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0E" w:rsidRPr="00AB540E" w:rsidRDefault="00AB540E" w:rsidP="00C836AB">
      <w:pPr>
        <w:jc w:val="both"/>
        <w:rPr>
          <w:rFonts w:ascii="Times New Roman" w:hAnsi="Times New Roman" w:cs="Times New Roman"/>
          <w:sz w:val="24"/>
          <w:szCs w:val="24"/>
          <w:lang w:val="en-GB"/>
        </w:rPr>
      </w:pPr>
      <w:r w:rsidRPr="00917DB3">
        <w:rPr>
          <w:b/>
          <w:lang w:val="en-GB"/>
        </w:rPr>
        <w:t>European Union Studies Association (EUSA) 2015 Biennial Conference in Boston</w:t>
      </w:r>
    </w:p>
    <w:p w:rsidR="00012F11" w:rsidRPr="00012F11" w:rsidRDefault="004C5307" w:rsidP="00C836AB">
      <w:pPr>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Efficient bilateralism?</w:t>
      </w:r>
      <w:proofErr w:type="gramEnd"/>
      <w:r>
        <w:rPr>
          <w:rFonts w:ascii="Times New Roman" w:hAnsi="Times New Roman" w:cs="Times New Roman"/>
          <w:b/>
          <w:sz w:val="24"/>
          <w:szCs w:val="24"/>
          <w:lang w:val="en-GB"/>
        </w:rPr>
        <w:t xml:space="preserve"> </w:t>
      </w:r>
      <w:r w:rsidR="00012F11" w:rsidRPr="00012F11">
        <w:rPr>
          <w:rFonts w:ascii="Times New Roman" w:hAnsi="Times New Roman" w:cs="Times New Roman"/>
          <w:b/>
          <w:sz w:val="24"/>
          <w:szCs w:val="24"/>
          <w:lang w:val="en-GB"/>
        </w:rPr>
        <w:t xml:space="preserve">The TTIP from an EU Trade Policy perspective </w:t>
      </w:r>
      <w:r w:rsidR="004E0310">
        <w:rPr>
          <w:rStyle w:val="Refernciadenotaapeudepgina"/>
          <w:rFonts w:ascii="Times New Roman" w:hAnsi="Times New Roman" w:cs="Times New Roman"/>
          <w:b/>
          <w:sz w:val="24"/>
          <w:szCs w:val="24"/>
          <w:lang w:val="en-GB"/>
        </w:rPr>
        <w:footnoteReference w:id="1"/>
      </w:r>
    </w:p>
    <w:p w:rsidR="00012F11" w:rsidRPr="00C836AB" w:rsidRDefault="00012F11" w:rsidP="00C836AB">
      <w:pPr>
        <w:spacing w:line="240" w:lineRule="auto"/>
        <w:jc w:val="both"/>
        <w:rPr>
          <w:rFonts w:ascii="Times New Roman" w:hAnsi="Times New Roman" w:cs="Times New Roman"/>
          <w:sz w:val="24"/>
          <w:szCs w:val="24"/>
          <w:lang w:val="en-US"/>
        </w:rPr>
      </w:pPr>
      <w:r w:rsidRPr="00145298">
        <w:rPr>
          <w:rFonts w:ascii="Times New Roman" w:hAnsi="Times New Roman" w:cs="Times New Roman"/>
          <w:sz w:val="24"/>
          <w:szCs w:val="24"/>
          <w:lang w:val="en-US"/>
        </w:rPr>
        <w:t xml:space="preserve">Patricia Garcia-Duran and Montserrat </w:t>
      </w:r>
      <w:r w:rsidR="00D3155A" w:rsidRPr="00145298">
        <w:rPr>
          <w:rFonts w:ascii="Times New Roman" w:hAnsi="Times New Roman" w:cs="Times New Roman"/>
          <w:sz w:val="24"/>
          <w:szCs w:val="24"/>
          <w:lang w:val="en-US"/>
        </w:rPr>
        <w:t xml:space="preserve">Millet </w:t>
      </w:r>
      <w:r w:rsidR="00D3155A">
        <w:rPr>
          <w:rFonts w:ascii="Times New Roman" w:hAnsi="Times New Roman" w:cs="Times New Roman"/>
          <w:sz w:val="24"/>
          <w:szCs w:val="24"/>
          <w:lang w:val="en-US"/>
        </w:rPr>
        <w:t>(</w:t>
      </w:r>
      <w:r w:rsidRPr="001A28E3">
        <w:rPr>
          <w:rFonts w:ascii="Times New Roman" w:hAnsi="Times New Roman" w:cs="Times New Roman"/>
          <w:sz w:val="24"/>
          <w:szCs w:val="24"/>
          <w:lang w:val="en-GB"/>
        </w:rPr>
        <w:t>University of Barcelona</w:t>
      </w:r>
      <w:r w:rsidR="00C836AB">
        <w:rPr>
          <w:rFonts w:ascii="Times New Roman" w:hAnsi="Times New Roman" w:cs="Times New Roman"/>
          <w:sz w:val="24"/>
          <w:szCs w:val="24"/>
          <w:lang w:val="en-GB"/>
        </w:rPr>
        <w:t>)</w:t>
      </w:r>
    </w:p>
    <w:p w:rsidR="000C437E" w:rsidRDefault="000C437E" w:rsidP="00C836AB">
      <w:pPr>
        <w:jc w:val="center"/>
        <w:rPr>
          <w:rFonts w:ascii="Times New Roman" w:hAnsi="Times New Roman" w:cs="Times New Roman"/>
          <w:i/>
          <w:sz w:val="24"/>
          <w:szCs w:val="24"/>
          <w:lang w:val="en-GB"/>
        </w:rPr>
      </w:pPr>
      <w:r>
        <w:rPr>
          <w:rFonts w:ascii="Times New Roman" w:hAnsi="Times New Roman" w:cs="Times New Roman"/>
          <w:i/>
          <w:sz w:val="24"/>
          <w:szCs w:val="24"/>
          <w:lang w:val="en-GB"/>
        </w:rPr>
        <w:t>Draft version, please do not cite without permission</w:t>
      </w:r>
    </w:p>
    <w:p w:rsidR="00683F3B" w:rsidRDefault="00012F11" w:rsidP="00C836AB">
      <w:pPr>
        <w:jc w:val="both"/>
        <w:rPr>
          <w:rFonts w:ascii="Times New Roman" w:hAnsi="Times New Roman" w:cs="Times New Roman"/>
          <w:i/>
          <w:sz w:val="24"/>
          <w:szCs w:val="24"/>
          <w:lang w:val="en-GB"/>
        </w:rPr>
      </w:pPr>
      <w:r w:rsidRPr="00012F11">
        <w:rPr>
          <w:rFonts w:ascii="Times New Roman" w:hAnsi="Times New Roman" w:cs="Times New Roman"/>
          <w:i/>
          <w:sz w:val="24"/>
          <w:szCs w:val="24"/>
          <w:lang w:val="en-GB"/>
        </w:rPr>
        <w:t>Abstract</w:t>
      </w:r>
      <w:r w:rsidR="00683F3B">
        <w:rPr>
          <w:rFonts w:ascii="Times New Roman" w:hAnsi="Times New Roman" w:cs="Times New Roman"/>
          <w:i/>
          <w:sz w:val="24"/>
          <w:szCs w:val="24"/>
          <w:lang w:val="en-GB"/>
        </w:rPr>
        <w:t xml:space="preserve"> </w:t>
      </w:r>
    </w:p>
    <w:p w:rsidR="0021613D" w:rsidRPr="0021613D" w:rsidRDefault="0021613D" w:rsidP="00C836AB">
      <w:pPr>
        <w:jc w:val="both"/>
        <w:rPr>
          <w:rFonts w:ascii="Times New Roman" w:hAnsi="Times New Roman" w:cs="Times New Roman"/>
          <w:sz w:val="24"/>
          <w:szCs w:val="24"/>
          <w:lang w:val="en"/>
        </w:rPr>
      </w:pPr>
      <w:r w:rsidRPr="0021613D">
        <w:rPr>
          <w:rFonts w:ascii="Times New Roman" w:hAnsi="Times New Roman" w:cs="Times New Roman"/>
          <w:sz w:val="24"/>
          <w:szCs w:val="24"/>
          <w:lang w:val="en"/>
        </w:rPr>
        <w:t xml:space="preserve">The EU bilateral trade strategy since 2006, including the TTIP, has been justified by the European Commission on the bases </w:t>
      </w:r>
      <w:r w:rsidRPr="0021613D">
        <w:rPr>
          <w:rFonts w:ascii="Times New Roman" w:hAnsi="Times New Roman" w:cs="Times New Roman"/>
          <w:sz w:val="24"/>
          <w:szCs w:val="24"/>
          <w:lang w:val="en-GB"/>
        </w:rPr>
        <w:t xml:space="preserve">that deep and comprehensive trade agreements are compatible with efficient multilateralism. The Commission argument is the following: </w:t>
      </w:r>
      <w:r w:rsidRPr="0021613D">
        <w:rPr>
          <w:rFonts w:ascii="Times New Roman" w:hAnsi="Times New Roman" w:cs="Times New Roman"/>
          <w:sz w:val="24"/>
          <w:szCs w:val="24"/>
          <w:lang w:val="en"/>
        </w:rPr>
        <w:t>in a context marked by international supply-chains, preferential agreements that allow for progress on what has been achieved at the multilateral level (topics WTO +) and in areas not already covered by the WTO (items WTO- X) may be considered as a stepping stone, not a stumbling block for multilateral liberalization. In other words, EU recent bilateral negotiations and agreements should be seen at worst as complementary to multilateral negotiations and at best as promoters.</w:t>
      </w:r>
    </w:p>
    <w:p w:rsidR="0021613D" w:rsidRPr="0021613D" w:rsidRDefault="0021613D" w:rsidP="00C836AB">
      <w:pPr>
        <w:jc w:val="both"/>
        <w:rPr>
          <w:rFonts w:ascii="Times New Roman" w:hAnsi="Times New Roman" w:cs="Times New Roman"/>
          <w:sz w:val="24"/>
          <w:szCs w:val="24"/>
          <w:lang w:val="en-GB"/>
        </w:rPr>
      </w:pPr>
      <w:r w:rsidRPr="0021613D">
        <w:rPr>
          <w:rFonts w:ascii="Times New Roman" w:hAnsi="Times New Roman" w:cs="Times New Roman"/>
          <w:sz w:val="24"/>
          <w:szCs w:val="24"/>
          <w:lang w:val="en-GB"/>
        </w:rPr>
        <w:t xml:space="preserve">This paper challenges this argument by pointing out that there has been a change in EU actions in the Doha Round since 2009 that may signal a change in the nature of its bilateral strategy. Content analysis of a primary source of information - the Bridges Weekly reports - shows that though the EU did not preclude the inclusion of new actors in the high table of negotiations at any time and was in favour of the Bali agreement of 2013, its willingness to make concessions reached a plateau in 2008. As complementarity between bilateralism and multilateralism may be influenced by the degree of progress at multilateral level negotiations, this shift from concessions to a stagnant position in the Doha Round may be indicative of a change in the nature of EU bilateral strategy. Indeed, from 2006 until 2009 the EU sought bilateral partners among new important trade players (India, ASEAN and South Korea). Since then, the EU has focused on reaching agreements with the old Quad members (Canada, Japan and the USA). </w:t>
      </w:r>
    </w:p>
    <w:p w:rsidR="0021613D" w:rsidRPr="0021613D" w:rsidRDefault="0021613D" w:rsidP="00C836AB">
      <w:pPr>
        <w:jc w:val="both"/>
        <w:rPr>
          <w:rFonts w:ascii="Times New Roman" w:hAnsi="Times New Roman" w:cs="Times New Roman"/>
          <w:sz w:val="24"/>
          <w:szCs w:val="24"/>
          <w:lang w:val="en-GB"/>
        </w:rPr>
      </w:pPr>
      <w:r w:rsidRPr="0021613D">
        <w:rPr>
          <w:rFonts w:ascii="Times New Roman" w:hAnsi="Times New Roman" w:cs="Times New Roman"/>
          <w:sz w:val="24"/>
          <w:szCs w:val="24"/>
          <w:lang w:val="en-GB"/>
        </w:rPr>
        <w:t>Assuming that the EU is not playing a double game and therefore there is a consistency between its actions at the multilateral and bilateral levels, its bilateral agreements may have gone from being a complement to being a replacement of multilateralism. We conclude that the TTIP may be read, at least in the short time, as an example of efficient bilateralism.</w:t>
      </w:r>
    </w:p>
    <w:p w:rsidR="004C5307" w:rsidRDefault="004C5307" w:rsidP="00C836AB">
      <w:pPr>
        <w:jc w:val="both"/>
        <w:rPr>
          <w:rFonts w:ascii="Times New Roman" w:hAnsi="Times New Roman" w:cs="Times New Roman"/>
          <w:sz w:val="24"/>
          <w:szCs w:val="24"/>
          <w:lang w:val="en-GB"/>
        </w:rPr>
      </w:pPr>
    </w:p>
    <w:p w:rsidR="00874087" w:rsidRPr="00A22DF2" w:rsidRDefault="00194D8F" w:rsidP="00A22DF2">
      <w:pPr>
        <w:rPr>
          <w:rFonts w:ascii="Times New Roman" w:hAnsi="Times New Roman" w:cs="Times New Roman"/>
          <w:sz w:val="28"/>
          <w:szCs w:val="28"/>
          <w:lang w:val="en"/>
        </w:rPr>
      </w:pPr>
      <w:r w:rsidRPr="00A22DF2">
        <w:rPr>
          <w:rFonts w:ascii="Times New Roman" w:hAnsi="Times New Roman" w:cs="Times New Roman"/>
          <w:b/>
          <w:sz w:val="28"/>
          <w:szCs w:val="28"/>
          <w:lang w:val="en"/>
        </w:rPr>
        <w:lastRenderedPageBreak/>
        <w:t xml:space="preserve">1. </w:t>
      </w:r>
      <w:r w:rsidR="005B19C2" w:rsidRPr="00A22DF2">
        <w:rPr>
          <w:rFonts w:ascii="Times New Roman" w:hAnsi="Times New Roman" w:cs="Times New Roman"/>
          <w:b/>
          <w:sz w:val="28"/>
          <w:szCs w:val="28"/>
          <w:lang w:val="en"/>
        </w:rPr>
        <w:t>Intro</w:t>
      </w:r>
      <w:r w:rsidR="00FE4161" w:rsidRPr="00A22DF2">
        <w:rPr>
          <w:rFonts w:ascii="Times New Roman" w:hAnsi="Times New Roman" w:cs="Times New Roman"/>
          <w:b/>
          <w:sz w:val="28"/>
          <w:szCs w:val="28"/>
          <w:lang w:val="en"/>
        </w:rPr>
        <w:t>duction</w:t>
      </w:r>
      <w:r w:rsidR="005B19C2" w:rsidRPr="00A22DF2">
        <w:rPr>
          <w:rFonts w:ascii="Times New Roman" w:hAnsi="Times New Roman" w:cs="Times New Roman"/>
          <w:sz w:val="28"/>
          <w:szCs w:val="28"/>
          <w:lang w:val="en"/>
        </w:rPr>
        <w:br/>
      </w:r>
    </w:p>
    <w:p w:rsidR="00CC59DC" w:rsidRDefault="00241EAA" w:rsidP="00C836AB">
      <w:pPr>
        <w:jc w:val="both"/>
        <w:rPr>
          <w:rFonts w:ascii="Times New Roman" w:hAnsi="Times New Roman" w:cs="Times New Roman"/>
          <w:sz w:val="24"/>
          <w:szCs w:val="24"/>
          <w:lang w:val="en-GB"/>
        </w:rPr>
      </w:pPr>
      <w:r>
        <w:rPr>
          <w:rFonts w:ascii="Times New Roman" w:hAnsi="Times New Roman" w:cs="Times New Roman"/>
          <w:sz w:val="24"/>
          <w:szCs w:val="24"/>
          <w:lang w:val="en"/>
        </w:rPr>
        <w:t>The TTIP is part of the</w:t>
      </w:r>
      <w:r w:rsidRPr="00241EAA">
        <w:rPr>
          <w:rFonts w:ascii="Times New Roman" w:hAnsi="Times New Roman" w:cs="Times New Roman"/>
          <w:sz w:val="24"/>
          <w:szCs w:val="24"/>
          <w:lang w:val="en"/>
        </w:rPr>
        <w:t xml:space="preserve"> maelstrom of bilateral trade negotiations</w:t>
      </w:r>
      <w:r>
        <w:rPr>
          <w:rFonts w:ascii="Times New Roman" w:hAnsi="Times New Roman" w:cs="Times New Roman"/>
          <w:sz w:val="24"/>
          <w:szCs w:val="24"/>
          <w:lang w:val="en"/>
        </w:rPr>
        <w:t xml:space="preserve"> that </w:t>
      </w:r>
      <w:r w:rsidR="009779B6">
        <w:rPr>
          <w:rFonts w:ascii="Times New Roman" w:hAnsi="Times New Roman" w:cs="Times New Roman"/>
          <w:sz w:val="24"/>
          <w:szCs w:val="24"/>
          <w:lang w:val="en"/>
        </w:rPr>
        <w:t>the European Union (</w:t>
      </w:r>
      <w:r w:rsidR="005B19C2" w:rsidRPr="00874087">
        <w:rPr>
          <w:rFonts w:ascii="Times New Roman" w:hAnsi="Times New Roman" w:cs="Times New Roman"/>
          <w:sz w:val="24"/>
          <w:szCs w:val="24"/>
          <w:lang w:val="en"/>
        </w:rPr>
        <w:t xml:space="preserve">EU) has launched </w:t>
      </w:r>
      <w:r>
        <w:rPr>
          <w:rFonts w:ascii="Times New Roman" w:hAnsi="Times New Roman" w:cs="Times New Roman"/>
          <w:sz w:val="24"/>
          <w:szCs w:val="24"/>
          <w:lang w:val="en"/>
        </w:rPr>
        <w:t>since mid-2000s</w:t>
      </w:r>
      <w:r w:rsidR="005B19C2" w:rsidRPr="00874087">
        <w:rPr>
          <w:rFonts w:ascii="Times New Roman" w:hAnsi="Times New Roman" w:cs="Times New Roman"/>
          <w:sz w:val="24"/>
          <w:szCs w:val="24"/>
          <w:lang w:val="en"/>
        </w:rPr>
        <w:t xml:space="preserve">. There are two major differences between these and other agreements signed in the past. The first is that the EU has sought to establish </w:t>
      </w:r>
      <w:r w:rsidR="00FE4161" w:rsidRPr="00874087">
        <w:rPr>
          <w:rFonts w:ascii="Times New Roman" w:hAnsi="Times New Roman" w:cs="Times New Roman"/>
          <w:sz w:val="24"/>
          <w:szCs w:val="24"/>
          <w:lang w:val="en"/>
        </w:rPr>
        <w:t xml:space="preserve">new-generation </w:t>
      </w:r>
      <w:r w:rsidR="005B19C2" w:rsidRPr="00874087">
        <w:rPr>
          <w:rFonts w:ascii="Times New Roman" w:hAnsi="Times New Roman" w:cs="Times New Roman"/>
          <w:sz w:val="24"/>
          <w:szCs w:val="24"/>
          <w:lang w:val="en"/>
        </w:rPr>
        <w:t xml:space="preserve">free trade areas </w:t>
      </w:r>
      <w:r w:rsidR="00851382" w:rsidRPr="00874087">
        <w:rPr>
          <w:rFonts w:ascii="Times New Roman" w:hAnsi="Times New Roman" w:cs="Times New Roman"/>
          <w:sz w:val="24"/>
          <w:szCs w:val="24"/>
          <w:lang w:val="en"/>
        </w:rPr>
        <w:t>with non</w:t>
      </w:r>
      <w:r w:rsidR="009779B6">
        <w:rPr>
          <w:rFonts w:ascii="Times New Roman" w:hAnsi="Times New Roman" w:cs="Times New Roman"/>
          <w:sz w:val="24"/>
          <w:szCs w:val="24"/>
          <w:lang w:val="en"/>
        </w:rPr>
        <w:t>-</w:t>
      </w:r>
      <w:r w:rsidR="005B19C2" w:rsidRPr="00874087">
        <w:rPr>
          <w:rFonts w:ascii="Times New Roman" w:hAnsi="Times New Roman" w:cs="Times New Roman"/>
          <w:sz w:val="24"/>
          <w:szCs w:val="24"/>
          <w:lang w:val="en"/>
        </w:rPr>
        <w:t xml:space="preserve">European developed countries </w:t>
      </w:r>
      <w:r w:rsidR="00FE4161" w:rsidRPr="00874087">
        <w:rPr>
          <w:rFonts w:ascii="Times New Roman" w:hAnsi="Times New Roman" w:cs="Times New Roman"/>
          <w:sz w:val="24"/>
          <w:szCs w:val="24"/>
          <w:lang w:val="en"/>
        </w:rPr>
        <w:t>while</w:t>
      </w:r>
      <w:r w:rsidR="005B19C2" w:rsidRPr="00874087">
        <w:rPr>
          <w:rFonts w:ascii="Times New Roman" w:hAnsi="Times New Roman" w:cs="Times New Roman"/>
          <w:sz w:val="24"/>
          <w:szCs w:val="24"/>
          <w:lang w:val="en"/>
        </w:rPr>
        <w:t xml:space="preserve"> its traditional approach </w:t>
      </w:r>
      <w:r w:rsidR="00FE4161" w:rsidRPr="00874087">
        <w:rPr>
          <w:rFonts w:ascii="Times New Roman" w:hAnsi="Times New Roman" w:cs="Times New Roman"/>
          <w:sz w:val="24"/>
          <w:szCs w:val="24"/>
          <w:lang w:val="en"/>
        </w:rPr>
        <w:t xml:space="preserve">was </w:t>
      </w:r>
      <w:r w:rsidR="005B19C2" w:rsidRPr="00874087">
        <w:rPr>
          <w:rFonts w:ascii="Times New Roman" w:hAnsi="Times New Roman" w:cs="Times New Roman"/>
          <w:sz w:val="24"/>
          <w:szCs w:val="24"/>
          <w:lang w:val="en"/>
        </w:rPr>
        <w:t xml:space="preserve">bilateral </w:t>
      </w:r>
      <w:r w:rsidR="00CC2D12">
        <w:rPr>
          <w:rFonts w:ascii="Times New Roman" w:hAnsi="Times New Roman" w:cs="Times New Roman"/>
          <w:sz w:val="24"/>
          <w:szCs w:val="24"/>
          <w:lang w:val="en"/>
        </w:rPr>
        <w:t xml:space="preserve">or regional </w:t>
      </w:r>
      <w:r w:rsidR="005B19C2" w:rsidRPr="00874087">
        <w:rPr>
          <w:rFonts w:ascii="Times New Roman" w:hAnsi="Times New Roman" w:cs="Times New Roman"/>
          <w:sz w:val="24"/>
          <w:szCs w:val="24"/>
          <w:lang w:val="en"/>
        </w:rPr>
        <w:t xml:space="preserve">agreements with neighboring and developing </w:t>
      </w:r>
      <w:r w:rsidR="00851382" w:rsidRPr="00874087">
        <w:rPr>
          <w:rFonts w:ascii="Times New Roman" w:hAnsi="Times New Roman" w:cs="Times New Roman"/>
          <w:sz w:val="24"/>
          <w:szCs w:val="24"/>
          <w:lang w:val="en"/>
        </w:rPr>
        <w:t xml:space="preserve">countries. </w:t>
      </w:r>
      <w:r w:rsidR="00FE4161" w:rsidRPr="00874087">
        <w:rPr>
          <w:rFonts w:ascii="Times New Roman" w:hAnsi="Times New Roman" w:cs="Times New Roman"/>
          <w:sz w:val="24"/>
          <w:szCs w:val="24"/>
          <w:lang w:val="en"/>
        </w:rPr>
        <w:t xml:space="preserve">The agreement with </w:t>
      </w:r>
      <w:r w:rsidR="005B19C2" w:rsidRPr="00874087">
        <w:rPr>
          <w:rFonts w:ascii="Times New Roman" w:hAnsi="Times New Roman" w:cs="Times New Roman"/>
          <w:sz w:val="24"/>
          <w:szCs w:val="24"/>
          <w:lang w:val="en"/>
        </w:rPr>
        <w:t xml:space="preserve">South Korea </w:t>
      </w:r>
      <w:r w:rsidR="00FE4161" w:rsidRPr="00874087">
        <w:rPr>
          <w:rFonts w:ascii="Times New Roman" w:hAnsi="Times New Roman" w:cs="Times New Roman"/>
          <w:sz w:val="24"/>
          <w:szCs w:val="24"/>
          <w:lang w:val="en"/>
        </w:rPr>
        <w:t xml:space="preserve">entered into force in 2011 and, </w:t>
      </w:r>
      <w:r w:rsidR="005B19C2" w:rsidRPr="00874087">
        <w:rPr>
          <w:rFonts w:ascii="Times New Roman" w:hAnsi="Times New Roman" w:cs="Times New Roman"/>
          <w:sz w:val="24"/>
          <w:szCs w:val="24"/>
          <w:lang w:val="en"/>
        </w:rPr>
        <w:t>in 2013</w:t>
      </w:r>
      <w:r w:rsidR="00FE4161" w:rsidRPr="00874087">
        <w:rPr>
          <w:rFonts w:ascii="Times New Roman" w:hAnsi="Times New Roman" w:cs="Times New Roman"/>
          <w:sz w:val="24"/>
          <w:szCs w:val="24"/>
          <w:lang w:val="en"/>
        </w:rPr>
        <w:t xml:space="preserve">, the EU reached an agreement </w:t>
      </w:r>
      <w:r w:rsidR="005B19C2" w:rsidRPr="00874087">
        <w:rPr>
          <w:rFonts w:ascii="Times New Roman" w:hAnsi="Times New Roman" w:cs="Times New Roman"/>
          <w:sz w:val="24"/>
          <w:szCs w:val="24"/>
          <w:lang w:val="en"/>
        </w:rPr>
        <w:t xml:space="preserve">with </w:t>
      </w:r>
      <w:r w:rsidR="00FE4161" w:rsidRPr="00874087">
        <w:rPr>
          <w:rFonts w:ascii="Times New Roman" w:hAnsi="Times New Roman" w:cs="Times New Roman"/>
          <w:sz w:val="24"/>
          <w:szCs w:val="24"/>
          <w:lang w:val="en"/>
        </w:rPr>
        <w:t xml:space="preserve">both </w:t>
      </w:r>
      <w:r w:rsidR="005B19C2" w:rsidRPr="00874087">
        <w:rPr>
          <w:rFonts w:ascii="Times New Roman" w:hAnsi="Times New Roman" w:cs="Times New Roman"/>
          <w:sz w:val="24"/>
          <w:szCs w:val="24"/>
          <w:lang w:val="en"/>
        </w:rPr>
        <w:t xml:space="preserve">Canada and Singapore and started negotiations </w:t>
      </w:r>
      <w:r>
        <w:rPr>
          <w:rFonts w:ascii="Times New Roman" w:hAnsi="Times New Roman" w:cs="Times New Roman"/>
          <w:sz w:val="24"/>
          <w:szCs w:val="24"/>
          <w:lang w:val="en"/>
        </w:rPr>
        <w:t xml:space="preserve">not only with the United States (US) but also </w:t>
      </w:r>
      <w:r w:rsidR="005B19C2" w:rsidRPr="00874087">
        <w:rPr>
          <w:rFonts w:ascii="Times New Roman" w:hAnsi="Times New Roman" w:cs="Times New Roman"/>
          <w:sz w:val="24"/>
          <w:szCs w:val="24"/>
          <w:lang w:val="en"/>
        </w:rPr>
        <w:t>with Japan.</w:t>
      </w:r>
      <w:r w:rsidR="005B19C2" w:rsidRPr="00874087">
        <w:rPr>
          <w:rFonts w:ascii="Times New Roman" w:hAnsi="Times New Roman" w:cs="Times New Roman"/>
          <w:sz w:val="24"/>
          <w:szCs w:val="24"/>
          <w:lang w:val="en"/>
        </w:rPr>
        <w:br/>
      </w:r>
      <w:r w:rsidR="005B19C2" w:rsidRPr="00874087">
        <w:rPr>
          <w:rFonts w:ascii="Times New Roman" w:hAnsi="Times New Roman" w:cs="Times New Roman"/>
          <w:sz w:val="24"/>
          <w:szCs w:val="24"/>
          <w:lang w:val="en"/>
        </w:rPr>
        <w:br/>
        <w:t xml:space="preserve">The second difference is that these agreements represent a change in the </w:t>
      </w:r>
      <w:r w:rsidR="00CC59DC" w:rsidRPr="00874087">
        <w:rPr>
          <w:rFonts w:ascii="Times New Roman" w:hAnsi="Times New Roman" w:cs="Times New Roman"/>
          <w:sz w:val="24"/>
          <w:szCs w:val="24"/>
          <w:lang w:val="en"/>
        </w:rPr>
        <w:t>trade</w:t>
      </w:r>
      <w:r w:rsidR="005B19C2" w:rsidRPr="00874087">
        <w:rPr>
          <w:rFonts w:ascii="Times New Roman" w:hAnsi="Times New Roman" w:cs="Times New Roman"/>
          <w:sz w:val="24"/>
          <w:szCs w:val="24"/>
          <w:lang w:val="en"/>
        </w:rPr>
        <w:t xml:space="preserve"> strategy </w:t>
      </w:r>
      <w:r w:rsidR="00CC59DC" w:rsidRPr="00874087">
        <w:rPr>
          <w:rFonts w:ascii="Times New Roman" w:hAnsi="Times New Roman" w:cs="Times New Roman"/>
          <w:sz w:val="24"/>
          <w:szCs w:val="24"/>
          <w:lang w:val="en"/>
        </w:rPr>
        <w:t xml:space="preserve">followed by </w:t>
      </w:r>
      <w:r w:rsidR="005B19C2" w:rsidRPr="00874087">
        <w:rPr>
          <w:rFonts w:ascii="Times New Roman" w:hAnsi="Times New Roman" w:cs="Times New Roman"/>
          <w:sz w:val="24"/>
          <w:szCs w:val="24"/>
          <w:lang w:val="en"/>
        </w:rPr>
        <w:t xml:space="preserve">the EU in previous years. From the late 1990s to the mid- 2000s, the EU tried to </w:t>
      </w:r>
      <w:r w:rsidR="004E6065" w:rsidRPr="00874087">
        <w:rPr>
          <w:rFonts w:ascii="Times New Roman" w:hAnsi="Times New Roman" w:cs="Times New Roman"/>
          <w:sz w:val="24"/>
          <w:szCs w:val="24"/>
          <w:lang w:val="en"/>
        </w:rPr>
        <w:t>“manage</w:t>
      </w:r>
      <w:r w:rsidR="005B19C2" w:rsidRPr="00874087">
        <w:rPr>
          <w:rFonts w:ascii="Times New Roman" w:hAnsi="Times New Roman" w:cs="Times New Roman"/>
          <w:sz w:val="24"/>
          <w:szCs w:val="24"/>
          <w:lang w:val="en"/>
        </w:rPr>
        <w:t xml:space="preserve"> </w:t>
      </w:r>
      <w:r w:rsidR="004E6065" w:rsidRPr="00874087">
        <w:rPr>
          <w:rFonts w:ascii="Times New Roman" w:hAnsi="Times New Roman" w:cs="Times New Roman"/>
          <w:sz w:val="24"/>
          <w:szCs w:val="24"/>
          <w:lang w:val="en"/>
        </w:rPr>
        <w:t>globalization”</w:t>
      </w:r>
      <w:r w:rsidR="005B19C2" w:rsidRPr="00874087">
        <w:rPr>
          <w:rFonts w:ascii="Times New Roman" w:hAnsi="Times New Roman" w:cs="Times New Roman"/>
          <w:sz w:val="24"/>
          <w:szCs w:val="24"/>
          <w:lang w:val="en"/>
        </w:rPr>
        <w:t xml:space="preserve"> </w:t>
      </w:r>
      <w:r w:rsidR="004E6065" w:rsidRPr="00874087">
        <w:rPr>
          <w:rFonts w:ascii="Times New Roman" w:hAnsi="Times New Roman" w:cs="Times New Roman"/>
          <w:sz w:val="24"/>
          <w:szCs w:val="24"/>
          <w:lang w:val="en"/>
        </w:rPr>
        <w:t xml:space="preserve">following </w:t>
      </w:r>
      <w:r w:rsidR="005B19C2" w:rsidRPr="00874087">
        <w:rPr>
          <w:rFonts w:ascii="Times New Roman" w:hAnsi="Times New Roman" w:cs="Times New Roman"/>
          <w:sz w:val="24"/>
          <w:szCs w:val="24"/>
          <w:lang w:val="en"/>
        </w:rPr>
        <w:t xml:space="preserve">the doctrine of the then Trade Commissioner Pascal </w:t>
      </w:r>
      <w:proofErr w:type="spellStart"/>
      <w:r w:rsidR="005B19C2" w:rsidRPr="00874087">
        <w:rPr>
          <w:rFonts w:ascii="Times New Roman" w:hAnsi="Times New Roman" w:cs="Times New Roman"/>
          <w:sz w:val="24"/>
          <w:szCs w:val="24"/>
          <w:lang w:val="en"/>
        </w:rPr>
        <w:t>Lamy</w:t>
      </w:r>
      <w:proofErr w:type="spellEnd"/>
      <w:r w:rsidR="005B19C2" w:rsidRPr="00874087">
        <w:rPr>
          <w:rFonts w:ascii="Times New Roman" w:hAnsi="Times New Roman" w:cs="Times New Roman"/>
          <w:sz w:val="24"/>
          <w:szCs w:val="24"/>
          <w:lang w:val="en"/>
        </w:rPr>
        <w:t xml:space="preserve"> (</w:t>
      </w:r>
      <w:proofErr w:type="spellStart"/>
      <w:r w:rsidR="005B19C2" w:rsidRPr="00874087">
        <w:rPr>
          <w:rFonts w:ascii="Times New Roman" w:hAnsi="Times New Roman" w:cs="Times New Roman"/>
          <w:sz w:val="24"/>
          <w:szCs w:val="24"/>
          <w:lang w:val="en"/>
        </w:rPr>
        <w:t>Meunier</w:t>
      </w:r>
      <w:proofErr w:type="spellEnd"/>
      <w:r w:rsidR="005B19C2" w:rsidRPr="00874087">
        <w:rPr>
          <w:rFonts w:ascii="Times New Roman" w:hAnsi="Times New Roman" w:cs="Times New Roman"/>
          <w:sz w:val="24"/>
          <w:szCs w:val="24"/>
          <w:lang w:val="en"/>
        </w:rPr>
        <w:t xml:space="preserve">, 2007). </w:t>
      </w:r>
      <w:r w:rsidR="004E6065" w:rsidRPr="00874087">
        <w:rPr>
          <w:rFonts w:ascii="Times New Roman" w:hAnsi="Times New Roman" w:cs="Times New Roman"/>
          <w:sz w:val="24"/>
          <w:szCs w:val="24"/>
          <w:lang w:val="en"/>
        </w:rPr>
        <w:t>It froze</w:t>
      </w:r>
      <w:r w:rsidR="005B19C2" w:rsidRPr="00874087">
        <w:rPr>
          <w:rFonts w:ascii="Times New Roman" w:hAnsi="Times New Roman" w:cs="Times New Roman"/>
          <w:sz w:val="24"/>
          <w:szCs w:val="24"/>
          <w:lang w:val="en"/>
        </w:rPr>
        <w:t xml:space="preserve"> the opening of new bilateral or regional trade agreements (although it continued with the already </w:t>
      </w:r>
      <w:r w:rsidR="004E6065" w:rsidRPr="00874087">
        <w:rPr>
          <w:rFonts w:ascii="Times New Roman" w:hAnsi="Times New Roman" w:cs="Times New Roman"/>
          <w:sz w:val="24"/>
          <w:szCs w:val="24"/>
          <w:lang w:val="en"/>
        </w:rPr>
        <w:t>initiated)</w:t>
      </w:r>
      <w:r w:rsidR="005B19C2" w:rsidRPr="00874087">
        <w:rPr>
          <w:rFonts w:ascii="Times New Roman" w:hAnsi="Times New Roman" w:cs="Times New Roman"/>
          <w:sz w:val="24"/>
          <w:szCs w:val="24"/>
          <w:lang w:val="en"/>
        </w:rPr>
        <w:t xml:space="preserve"> and </w:t>
      </w:r>
      <w:r w:rsidR="004E6065" w:rsidRPr="00874087">
        <w:rPr>
          <w:rFonts w:ascii="Times New Roman" w:hAnsi="Times New Roman" w:cs="Times New Roman"/>
          <w:sz w:val="24"/>
          <w:szCs w:val="24"/>
          <w:lang w:val="en"/>
        </w:rPr>
        <w:t xml:space="preserve">focused </w:t>
      </w:r>
      <w:r w:rsidR="005B19C2" w:rsidRPr="00874087">
        <w:rPr>
          <w:rFonts w:ascii="Times New Roman" w:hAnsi="Times New Roman" w:cs="Times New Roman"/>
          <w:sz w:val="24"/>
          <w:szCs w:val="24"/>
          <w:lang w:val="en"/>
        </w:rPr>
        <w:t xml:space="preserve">in shaping the new multilateral agenda or multilateral round of </w:t>
      </w:r>
      <w:r w:rsidR="004E6065" w:rsidRPr="00874087">
        <w:rPr>
          <w:rFonts w:ascii="Times New Roman" w:hAnsi="Times New Roman" w:cs="Times New Roman"/>
          <w:sz w:val="24"/>
          <w:szCs w:val="24"/>
          <w:lang w:val="en"/>
        </w:rPr>
        <w:t>negotiations,</w:t>
      </w:r>
      <w:r w:rsidR="005B19C2" w:rsidRPr="00874087">
        <w:rPr>
          <w:rFonts w:ascii="Times New Roman" w:hAnsi="Times New Roman" w:cs="Times New Roman"/>
          <w:sz w:val="24"/>
          <w:szCs w:val="24"/>
          <w:lang w:val="en"/>
        </w:rPr>
        <w:t xml:space="preserve"> even though the U.S. was pursuing a more </w:t>
      </w:r>
      <w:r w:rsidR="009779B6" w:rsidRPr="00874087">
        <w:rPr>
          <w:rFonts w:ascii="Times New Roman" w:hAnsi="Times New Roman" w:cs="Times New Roman"/>
          <w:sz w:val="24"/>
          <w:szCs w:val="24"/>
          <w:lang w:val="en"/>
        </w:rPr>
        <w:t>favorable</w:t>
      </w:r>
      <w:r w:rsidR="005B19C2" w:rsidRPr="00874087">
        <w:rPr>
          <w:rFonts w:ascii="Times New Roman" w:hAnsi="Times New Roman" w:cs="Times New Roman"/>
          <w:sz w:val="24"/>
          <w:szCs w:val="24"/>
          <w:lang w:val="en"/>
        </w:rPr>
        <w:t xml:space="preserve"> policy towards bilateral agreements. From the mid -</w:t>
      </w:r>
      <w:r w:rsidR="00CE1EA6" w:rsidRPr="00874087">
        <w:rPr>
          <w:rFonts w:ascii="Times New Roman" w:hAnsi="Times New Roman" w:cs="Times New Roman"/>
          <w:sz w:val="24"/>
          <w:szCs w:val="24"/>
          <w:lang w:val="en"/>
        </w:rPr>
        <w:t>2000s,</w:t>
      </w:r>
      <w:r w:rsidR="005B19C2" w:rsidRPr="00874087">
        <w:rPr>
          <w:rFonts w:ascii="Times New Roman" w:hAnsi="Times New Roman" w:cs="Times New Roman"/>
          <w:sz w:val="24"/>
          <w:szCs w:val="24"/>
          <w:lang w:val="en"/>
        </w:rPr>
        <w:t xml:space="preserve"> </w:t>
      </w:r>
      <w:r w:rsidR="00CE1EA6" w:rsidRPr="00874087">
        <w:rPr>
          <w:rFonts w:ascii="Times New Roman" w:hAnsi="Times New Roman" w:cs="Times New Roman"/>
          <w:sz w:val="24"/>
          <w:szCs w:val="24"/>
          <w:lang w:val="en"/>
        </w:rPr>
        <w:t>however,</w:t>
      </w:r>
      <w:r w:rsidR="005B19C2" w:rsidRPr="00874087">
        <w:rPr>
          <w:rFonts w:ascii="Times New Roman" w:hAnsi="Times New Roman" w:cs="Times New Roman"/>
          <w:sz w:val="24"/>
          <w:szCs w:val="24"/>
          <w:lang w:val="en"/>
        </w:rPr>
        <w:t xml:space="preserve"> both </w:t>
      </w:r>
      <w:r w:rsidR="00CE1EA6" w:rsidRPr="00874087">
        <w:rPr>
          <w:rFonts w:ascii="Times New Roman" w:hAnsi="Times New Roman" w:cs="Times New Roman"/>
          <w:sz w:val="24"/>
          <w:szCs w:val="24"/>
          <w:lang w:val="en"/>
        </w:rPr>
        <w:t>the</w:t>
      </w:r>
      <w:r w:rsidR="005B19C2" w:rsidRPr="00874087">
        <w:rPr>
          <w:rFonts w:ascii="Times New Roman" w:hAnsi="Times New Roman" w:cs="Times New Roman"/>
          <w:sz w:val="24"/>
          <w:szCs w:val="24"/>
          <w:lang w:val="en"/>
        </w:rPr>
        <w:t xml:space="preserve"> "Global Europe" strategy promoted by Commissioner Peter </w:t>
      </w:r>
      <w:proofErr w:type="spellStart"/>
      <w:r w:rsidR="009779B6" w:rsidRPr="00874087">
        <w:rPr>
          <w:rFonts w:ascii="Times New Roman" w:hAnsi="Times New Roman" w:cs="Times New Roman"/>
          <w:sz w:val="24"/>
          <w:szCs w:val="24"/>
          <w:lang w:val="en"/>
        </w:rPr>
        <w:t>Mandelson</w:t>
      </w:r>
      <w:proofErr w:type="spellEnd"/>
      <w:r w:rsidR="00C9376E">
        <w:rPr>
          <w:rFonts w:ascii="Times New Roman" w:hAnsi="Times New Roman" w:cs="Times New Roman"/>
          <w:sz w:val="24"/>
          <w:szCs w:val="24"/>
          <w:lang w:val="en"/>
        </w:rPr>
        <w:t xml:space="preserve"> (2004-2008)</w:t>
      </w:r>
      <w:r w:rsidR="009779B6" w:rsidRPr="00874087">
        <w:rPr>
          <w:rFonts w:ascii="Times New Roman" w:hAnsi="Times New Roman" w:cs="Times New Roman"/>
          <w:sz w:val="24"/>
          <w:szCs w:val="24"/>
          <w:lang w:val="en"/>
        </w:rPr>
        <w:t xml:space="preserve"> and</w:t>
      </w:r>
      <w:r w:rsidR="00CE1EA6" w:rsidRPr="00874087">
        <w:rPr>
          <w:rFonts w:ascii="Times New Roman" w:hAnsi="Times New Roman" w:cs="Times New Roman"/>
          <w:sz w:val="24"/>
          <w:szCs w:val="24"/>
          <w:lang w:val="en"/>
        </w:rPr>
        <w:t xml:space="preserve"> the</w:t>
      </w:r>
      <w:r w:rsidR="009779B6">
        <w:rPr>
          <w:rFonts w:ascii="Times New Roman" w:hAnsi="Times New Roman" w:cs="Times New Roman"/>
          <w:sz w:val="24"/>
          <w:szCs w:val="24"/>
          <w:lang w:val="en"/>
        </w:rPr>
        <w:t xml:space="preserve"> "</w:t>
      </w:r>
      <w:r w:rsidR="005B19C2" w:rsidRPr="00874087">
        <w:rPr>
          <w:rFonts w:ascii="Times New Roman" w:hAnsi="Times New Roman" w:cs="Times New Roman"/>
          <w:sz w:val="24"/>
          <w:szCs w:val="24"/>
          <w:lang w:val="en"/>
        </w:rPr>
        <w:t xml:space="preserve">Trade, Growth and World </w:t>
      </w:r>
      <w:r w:rsidR="00C9376E" w:rsidRPr="00874087">
        <w:rPr>
          <w:rFonts w:ascii="Times New Roman" w:hAnsi="Times New Roman" w:cs="Times New Roman"/>
          <w:sz w:val="24"/>
          <w:szCs w:val="24"/>
          <w:lang w:val="en"/>
        </w:rPr>
        <w:t>Affairs”</w:t>
      </w:r>
      <w:r w:rsidR="005B19C2" w:rsidRPr="00874087">
        <w:rPr>
          <w:rFonts w:ascii="Times New Roman" w:hAnsi="Times New Roman" w:cs="Times New Roman"/>
          <w:sz w:val="24"/>
          <w:szCs w:val="24"/>
          <w:lang w:val="en"/>
        </w:rPr>
        <w:t xml:space="preserve"> </w:t>
      </w:r>
      <w:r w:rsidR="00CE1EA6" w:rsidRPr="00874087">
        <w:rPr>
          <w:rFonts w:ascii="Times New Roman" w:hAnsi="Times New Roman" w:cs="Times New Roman"/>
          <w:sz w:val="24"/>
          <w:szCs w:val="24"/>
          <w:lang w:val="en"/>
        </w:rPr>
        <w:t xml:space="preserve">strategy </w:t>
      </w:r>
      <w:r w:rsidR="005B19C2" w:rsidRPr="00874087">
        <w:rPr>
          <w:rFonts w:ascii="Times New Roman" w:hAnsi="Times New Roman" w:cs="Times New Roman"/>
          <w:sz w:val="24"/>
          <w:szCs w:val="24"/>
          <w:lang w:val="en"/>
        </w:rPr>
        <w:t xml:space="preserve">promoted by Commissioner Karel De Gucht </w:t>
      </w:r>
      <w:r w:rsidR="00C9376E">
        <w:rPr>
          <w:rFonts w:ascii="Times New Roman" w:hAnsi="Times New Roman" w:cs="Times New Roman"/>
          <w:sz w:val="24"/>
          <w:szCs w:val="24"/>
          <w:lang w:val="en"/>
        </w:rPr>
        <w:t>(2010-2014)</w:t>
      </w:r>
      <w:r w:rsidR="005B19C2" w:rsidRPr="00874087">
        <w:rPr>
          <w:rFonts w:ascii="Times New Roman" w:hAnsi="Times New Roman" w:cs="Times New Roman"/>
          <w:sz w:val="24"/>
          <w:szCs w:val="24"/>
          <w:lang w:val="en"/>
        </w:rPr>
        <w:t>, recognize the need for the EU to sign preferential</w:t>
      </w:r>
      <w:r w:rsidR="009779B6">
        <w:rPr>
          <w:rFonts w:ascii="Times New Roman" w:hAnsi="Times New Roman" w:cs="Times New Roman"/>
          <w:sz w:val="24"/>
          <w:szCs w:val="24"/>
          <w:lang w:val="en"/>
        </w:rPr>
        <w:t xml:space="preserve"> agreements with key partners (</w:t>
      </w:r>
      <w:proofErr w:type="spellStart"/>
      <w:r w:rsidR="005B19C2" w:rsidRPr="00874087">
        <w:rPr>
          <w:rFonts w:ascii="Times New Roman" w:hAnsi="Times New Roman" w:cs="Times New Roman"/>
          <w:sz w:val="24"/>
          <w:szCs w:val="24"/>
          <w:lang w:val="en"/>
        </w:rPr>
        <w:t>Woolcock</w:t>
      </w:r>
      <w:proofErr w:type="spellEnd"/>
      <w:r w:rsidR="005B19C2" w:rsidRPr="00874087">
        <w:rPr>
          <w:rFonts w:ascii="Times New Roman" w:hAnsi="Times New Roman" w:cs="Times New Roman"/>
          <w:sz w:val="24"/>
          <w:szCs w:val="24"/>
          <w:lang w:val="en"/>
        </w:rPr>
        <w:t xml:space="preserve">, 2012). In the words of </w:t>
      </w:r>
      <w:proofErr w:type="spellStart"/>
      <w:r w:rsidR="005B19C2" w:rsidRPr="00874087">
        <w:rPr>
          <w:rFonts w:ascii="Times New Roman" w:hAnsi="Times New Roman" w:cs="Times New Roman"/>
          <w:sz w:val="24"/>
          <w:szCs w:val="24"/>
          <w:lang w:val="en"/>
        </w:rPr>
        <w:t>Conceição</w:t>
      </w:r>
      <w:proofErr w:type="spellEnd"/>
      <w:r w:rsidR="005B19C2" w:rsidRPr="00874087">
        <w:rPr>
          <w:rFonts w:ascii="Times New Roman" w:hAnsi="Times New Roman" w:cs="Times New Roman"/>
          <w:sz w:val="24"/>
          <w:szCs w:val="24"/>
          <w:lang w:val="en"/>
        </w:rPr>
        <w:t xml:space="preserve"> -</w:t>
      </w:r>
      <w:proofErr w:type="spellStart"/>
      <w:r w:rsidR="005B19C2" w:rsidRPr="00874087">
        <w:rPr>
          <w:rFonts w:ascii="Times New Roman" w:hAnsi="Times New Roman" w:cs="Times New Roman"/>
          <w:sz w:val="24"/>
          <w:szCs w:val="24"/>
          <w:lang w:val="en"/>
        </w:rPr>
        <w:t>Heldt</w:t>
      </w:r>
      <w:proofErr w:type="spellEnd"/>
      <w:r w:rsidR="005B19C2" w:rsidRPr="00874087">
        <w:rPr>
          <w:rFonts w:ascii="Times New Roman" w:hAnsi="Times New Roman" w:cs="Times New Roman"/>
          <w:sz w:val="24"/>
          <w:szCs w:val="24"/>
          <w:lang w:val="en"/>
        </w:rPr>
        <w:t xml:space="preserve"> (</w:t>
      </w:r>
      <w:r w:rsidR="00CE1EA6" w:rsidRPr="00874087">
        <w:rPr>
          <w:rFonts w:ascii="Times New Roman" w:hAnsi="Times New Roman" w:cs="Times New Roman"/>
          <w:sz w:val="24"/>
          <w:szCs w:val="24"/>
          <w:lang w:val="en"/>
        </w:rPr>
        <w:t>2013:</w:t>
      </w:r>
      <w:r w:rsidR="005B19C2" w:rsidRPr="00874087">
        <w:rPr>
          <w:rFonts w:ascii="Times New Roman" w:hAnsi="Times New Roman" w:cs="Times New Roman"/>
          <w:sz w:val="24"/>
          <w:szCs w:val="24"/>
          <w:lang w:val="en"/>
        </w:rPr>
        <w:t xml:space="preserve"> 122</w:t>
      </w:r>
      <w:r w:rsidR="00CE1EA6" w:rsidRPr="00874087">
        <w:rPr>
          <w:rFonts w:ascii="Times New Roman" w:hAnsi="Times New Roman" w:cs="Times New Roman"/>
          <w:sz w:val="24"/>
          <w:szCs w:val="24"/>
          <w:lang w:val="en"/>
        </w:rPr>
        <w:t>):</w:t>
      </w:r>
      <w:r w:rsidR="005B19C2" w:rsidRPr="00874087">
        <w:rPr>
          <w:rFonts w:ascii="Times New Roman" w:hAnsi="Times New Roman" w:cs="Times New Roman"/>
          <w:sz w:val="24"/>
          <w:szCs w:val="24"/>
          <w:lang w:val="en"/>
        </w:rPr>
        <w:t xml:space="preserve"> "</w:t>
      </w:r>
      <w:r w:rsidR="00CC59DC" w:rsidRPr="00874087">
        <w:rPr>
          <w:rFonts w:ascii="Times New Roman" w:hAnsi="Times New Roman" w:cs="Times New Roman"/>
          <w:sz w:val="24"/>
          <w:szCs w:val="24"/>
          <w:lang w:val="en-GB"/>
        </w:rPr>
        <w:t xml:space="preserve">“Officially, multilateralism was the favourite EU trade strategy until July 2006”. </w:t>
      </w:r>
    </w:p>
    <w:p w:rsidR="00145298" w:rsidRPr="00755774" w:rsidRDefault="00145298" w:rsidP="00C836AB">
      <w:pPr>
        <w:jc w:val="both"/>
        <w:rPr>
          <w:rFonts w:ascii="Times New Roman" w:hAnsi="Times New Roman" w:cs="Times New Roman"/>
          <w:sz w:val="24"/>
          <w:szCs w:val="24"/>
          <w:lang w:val="en"/>
        </w:rPr>
      </w:pPr>
      <w:r w:rsidRPr="00755774">
        <w:rPr>
          <w:rFonts w:ascii="Times New Roman" w:hAnsi="Times New Roman" w:cs="Times New Roman"/>
          <w:sz w:val="24"/>
          <w:szCs w:val="24"/>
          <w:lang w:val="en"/>
        </w:rPr>
        <w:t xml:space="preserve">The EU bilateral trade strategy since 2006, including the TTIP, has been justified by the European Commission on the bases </w:t>
      </w:r>
      <w:r w:rsidRPr="00755774">
        <w:rPr>
          <w:rFonts w:ascii="Times New Roman" w:hAnsi="Times New Roman" w:cs="Times New Roman"/>
          <w:sz w:val="24"/>
          <w:szCs w:val="24"/>
          <w:lang w:val="en-GB"/>
        </w:rPr>
        <w:t xml:space="preserve">that deep and comprehensive trade agreements are compatible with efficient multilateralism. The Commission argument is the following: </w:t>
      </w:r>
      <w:r w:rsidRPr="00755774">
        <w:rPr>
          <w:rFonts w:ascii="Times New Roman" w:hAnsi="Times New Roman" w:cs="Times New Roman"/>
          <w:sz w:val="24"/>
          <w:szCs w:val="24"/>
          <w:lang w:val="en"/>
        </w:rPr>
        <w:t xml:space="preserve">in a context marked by international supply-chains, preferential agreements that allow for progress on what has been achieved at the multilateral level (topics WTO +) and in areas not already covered by the WTO (items WTO- X) may be considered as a stepping stone, not a stumbling block for multilateral liberalization. In other words, EU recent bilateral negotiations and agreements should be seen at worst as complementary to multilateral negotiations </w:t>
      </w:r>
      <w:r w:rsidR="00AF0852" w:rsidRPr="00755774">
        <w:rPr>
          <w:rFonts w:ascii="Times New Roman" w:hAnsi="Times New Roman" w:cs="Times New Roman"/>
          <w:sz w:val="24"/>
          <w:szCs w:val="24"/>
          <w:lang w:val="en"/>
        </w:rPr>
        <w:t xml:space="preserve">at the Doha Round </w:t>
      </w:r>
      <w:r w:rsidRPr="00755774">
        <w:rPr>
          <w:rFonts w:ascii="Times New Roman" w:hAnsi="Times New Roman" w:cs="Times New Roman"/>
          <w:sz w:val="24"/>
          <w:szCs w:val="24"/>
          <w:lang w:val="en"/>
        </w:rPr>
        <w:t>and at best as promoters.</w:t>
      </w:r>
    </w:p>
    <w:p w:rsidR="00A22DF2" w:rsidRDefault="00E179A8" w:rsidP="00C836AB">
      <w:pPr>
        <w:jc w:val="both"/>
        <w:rPr>
          <w:rFonts w:ascii="Times New Roman" w:hAnsi="Times New Roman" w:cs="Times New Roman"/>
          <w:sz w:val="24"/>
          <w:szCs w:val="24"/>
          <w:lang w:val="en"/>
        </w:rPr>
      </w:pPr>
      <w:r w:rsidRPr="00755774">
        <w:rPr>
          <w:rFonts w:ascii="Times New Roman" w:hAnsi="Times New Roman" w:cs="Times New Roman"/>
          <w:sz w:val="24"/>
          <w:szCs w:val="24"/>
          <w:lang w:val="en"/>
        </w:rPr>
        <w:t xml:space="preserve">In </w:t>
      </w:r>
      <w:r w:rsidR="00D3155A">
        <w:rPr>
          <w:rFonts w:ascii="Times New Roman" w:hAnsi="Times New Roman" w:cs="Times New Roman"/>
          <w:sz w:val="24"/>
          <w:szCs w:val="24"/>
          <w:lang w:val="en"/>
        </w:rPr>
        <w:t xml:space="preserve">page 10 of </w:t>
      </w:r>
      <w:r w:rsidRPr="00755774">
        <w:rPr>
          <w:rFonts w:ascii="Times New Roman" w:hAnsi="Times New Roman" w:cs="Times New Roman"/>
          <w:sz w:val="24"/>
          <w:szCs w:val="24"/>
          <w:lang w:val="en"/>
        </w:rPr>
        <w:t>its Communication "Global Europe" of 2006, the European Commission specifically states that:</w:t>
      </w:r>
    </w:p>
    <w:p w:rsidR="00E179A8" w:rsidRPr="00A22DF2" w:rsidRDefault="00E179A8" w:rsidP="00C836AB">
      <w:pPr>
        <w:jc w:val="both"/>
        <w:rPr>
          <w:rFonts w:ascii="Times New Roman" w:hAnsi="Times New Roman" w:cs="Times New Roman"/>
          <w:sz w:val="20"/>
          <w:szCs w:val="20"/>
          <w:lang w:val="en"/>
        </w:rPr>
      </w:pPr>
      <w:r w:rsidRPr="00755774">
        <w:rPr>
          <w:rFonts w:ascii="Times New Roman" w:hAnsi="Times New Roman" w:cs="Times New Roman"/>
          <w:sz w:val="24"/>
          <w:szCs w:val="24"/>
          <w:lang w:val="en"/>
        </w:rPr>
        <w:br/>
      </w:r>
      <w:r w:rsidRPr="00A22DF2">
        <w:rPr>
          <w:rFonts w:ascii="Times New Roman" w:hAnsi="Times New Roman" w:cs="Times New Roman"/>
          <w:i/>
          <w:sz w:val="20"/>
          <w:szCs w:val="20"/>
          <w:lang w:val="en"/>
        </w:rPr>
        <w:t xml:space="preserve">Free Trade Agreements (FTAs), if approached with care, can build on WTO and other international rules by going further and faster in promoting openness and integration, by tackling issues which are not ready for multilateral discussion and by preparing the ground for the next level of multilateral </w:t>
      </w:r>
      <w:proofErr w:type="spellStart"/>
      <w:r w:rsidRPr="00A22DF2">
        <w:rPr>
          <w:rFonts w:ascii="Times New Roman" w:hAnsi="Times New Roman" w:cs="Times New Roman"/>
          <w:i/>
          <w:sz w:val="20"/>
          <w:szCs w:val="20"/>
          <w:lang w:val="en"/>
        </w:rPr>
        <w:t>liberalisation</w:t>
      </w:r>
      <w:proofErr w:type="spellEnd"/>
      <w:r w:rsidRPr="00A22DF2">
        <w:rPr>
          <w:rFonts w:ascii="Times New Roman" w:hAnsi="Times New Roman" w:cs="Times New Roman"/>
          <w:i/>
          <w:sz w:val="20"/>
          <w:szCs w:val="20"/>
          <w:lang w:val="en"/>
        </w:rPr>
        <w:t xml:space="preserve">. …To have a positive impact FTAs must be comprehensive in scope, provide for </w:t>
      </w:r>
      <w:proofErr w:type="spellStart"/>
      <w:r w:rsidRPr="00A22DF2">
        <w:rPr>
          <w:rFonts w:ascii="Times New Roman" w:hAnsi="Times New Roman" w:cs="Times New Roman"/>
          <w:i/>
          <w:sz w:val="20"/>
          <w:szCs w:val="20"/>
          <w:lang w:val="en"/>
        </w:rPr>
        <w:t>liberalisation</w:t>
      </w:r>
      <w:proofErr w:type="spellEnd"/>
      <w:r w:rsidRPr="00A22DF2">
        <w:rPr>
          <w:rFonts w:ascii="Times New Roman" w:hAnsi="Times New Roman" w:cs="Times New Roman"/>
          <w:i/>
          <w:sz w:val="20"/>
          <w:szCs w:val="20"/>
          <w:lang w:val="en"/>
        </w:rPr>
        <w:t xml:space="preserve"> of substantially all trade and go beyond WTO disciplines. The EU's priority will be to ensure that any new FTAs, including our own, serve as a stepping stone, not a stumbling block for multilateral </w:t>
      </w:r>
      <w:proofErr w:type="spellStart"/>
      <w:r w:rsidRPr="00A22DF2">
        <w:rPr>
          <w:rFonts w:ascii="Times New Roman" w:hAnsi="Times New Roman" w:cs="Times New Roman"/>
          <w:i/>
          <w:sz w:val="20"/>
          <w:szCs w:val="20"/>
          <w:lang w:val="en"/>
        </w:rPr>
        <w:t>liberalisation</w:t>
      </w:r>
      <w:proofErr w:type="spellEnd"/>
      <w:r w:rsidRPr="00A22DF2">
        <w:rPr>
          <w:rFonts w:ascii="Times New Roman" w:hAnsi="Times New Roman" w:cs="Times New Roman"/>
          <w:i/>
          <w:sz w:val="20"/>
          <w:szCs w:val="20"/>
          <w:lang w:val="en"/>
        </w:rPr>
        <w:t>.</w:t>
      </w:r>
      <w:r w:rsidRPr="00A22DF2">
        <w:rPr>
          <w:rFonts w:ascii="Times New Roman" w:hAnsi="Times New Roman" w:cs="Times New Roman"/>
          <w:i/>
          <w:sz w:val="20"/>
          <w:szCs w:val="20"/>
          <w:lang w:val="en-GB"/>
        </w:rPr>
        <w:t xml:space="preserve"> </w:t>
      </w:r>
    </w:p>
    <w:p w:rsidR="00E179A8" w:rsidRPr="00755774" w:rsidRDefault="00E179A8" w:rsidP="00C836AB">
      <w:pPr>
        <w:jc w:val="both"/>
        <w:rPr>
          <w:rFonts w:ascii="Times New Roman" w:hAnsi="Times New Roman" w:cs="Times New Roman"/>
          <w:sz w:val="24"/>
          <w:szCs w:val="24"/>
          <w:lang w:val="en-GB"/>
        </w:rPr>
      </w:pPr>
      <w:r w:rsidRPr="00755774">
        <w:rPr>
          <w:rFonts w:ascii="Times New Roman" w:hAnsi="Times New Roman" w:cs="Times New Roman"/>
          <w:sz w:val="24"/>
          <w:szCs w:val="24"/>
          <w:lang w:val="en"/>
        </w:rPr>
        <w:lastRenderedPageBreak/>
        <w:t xml:space="preserve">In its 2010 Communication "Trade, Growth and World Affairs ", the message remained the same: </w:t>
      </w:r>
      <w:r w:rsidRPr="00755774">
        <w:rPr>
          <w:rFonts w:ascii="Times New Roman" w:hAnsi="Times New Roman" w:cs="Times New Roman"/>
          <w:sz w:val="24"/>
          <w:szCs w:val="24"/>
          <w:lang w:val="en-GB"/>
        </w:rPr>
        <w:t>“the bilateral is not the enemy of the multilateral. The opposite may hold truer: liberalisation fuels liberalisation.” (European Commission, 2010: 5).</w:t>
      </w:r>
    </w:p>
    <w:p w:rsidR="00E179A8" w:rsidRPr="00755774" w:rsidRDefault="00E179A8" w:rsidP="00C836AB">
      <w:pPr>
        <w:jc w:val="both"/>
        <w:rPr>
          <w:rFonts w:ascii="Times New Roman" w:hAnsi="Times New Roman" w:cs="Times New Roman"/>
          <w:sz w:val="24"/>
          <w:szCs w:val="24"/>
          <w:lang w:val="en-GB"/>
        </w:rPr>
      </w:pPr>
      <w:r w:rsidRPr="00755774">
        <w:rPr>
          <w:rFonts w:ascii="Times New Roman" w:hAnsi="Times New Roman" w:cs="Times New Roman"/>
          <w:sz w:val="24"/>
          <w:szCs w:val="24"/>
          <w:lang w:val="en-GB"/>
        </w:rPr>
        <w:t>Regarding the TTIP, the US-EU Presidents joint press statement of 13 February 2013 is quite c</w:t>
      </w:r>
      <w:r w:rsidR="00D3155A">
        <w:rPr>
          <w:rFonts w:ascii="Times New Roman" w:hAnsi="Times New Roman" w:cs="Times New Roman"/>
          <w:sz w:val="24"/>
          <w:szCs w:val="24"/>
          <w:lang w:val="en-GB"/>
        </w:rPr>
        <w:t>lear: “Through this negotiation</w:t>
      </w:r>
      <w:r w:rsidRPr="00755774">
        <w:rPr>
          <w:rFonts w:ascii="Times New Roman" w:hAnsi="Times New Roman" w:cs="Times New Roman"/>
          <w:sz w:val="24"/>
          <w:szCs w:val="24"/>
          <w:lang w:val="en-GB"/>
        </w:rPr>
        <w:t xml:space="preserve">, the United States and the European Union will have the opportunity not only to expand trade and investment across the Atlantic, but also to contribute to the development of global rules that can strengthen the multilateral trading system” (EU, 2013). The European Commission memo published that same day explains that one of the key objectives of the TTIP is to address WTO+ and WTO-X areas (European Commission, 2013). </w:t>
      </w:r>
    </w:p>
    <w:p w:rsidR="000276FA" w:rsidRPr="00755774" w:rsidRDefault="00145298" w:rsidP="00C836AB">
      <w:pPr>
        <w:jc w:val="both"/>
        <w:rPr>
          <w:rFonts w:ascii="Times New Roman" w:hAnsi="Times New Roman" w:cs="Times New Roman"/>
          <w:sz w:val="24"/>
          <w:szCs w:val="24"/>
          <w:lang w:val="en"/>
        </w:rPr>
      </w:pPr>
      <w:r w:rsidRPr="00755774">
        <w:rPr>
          <w:rFonts w:ascii="Times New Roman" w:hAnsi="Times New Roman" w:cs="Times New Roman"/>
          <w:sz w:val="24"/>
          <w:szCs w:val="24"/>
          <w:lang w:val="en-GB"/>
        </w:rPr>
        <w:t>This paper challenges th</w:t>
      </w:r>
      <w:r w:rsidR="009E158D">
        <w:rPr>
          <w:rFonts w:ascii="Times New Roman" w:hAnsi="Times New Roman" w:cs="Times New Roman"/>
          <w:sz w:val="24"/>
          <w:szCs w:val="24"/>
          <w:lang w:val="en-GB"/>
        </w:rPr>
        <w:t xml:space="preserve">is </w:t>
      </w:r>
      <w:r w:rsidRPr="00755774">
        <w:rPr>
          <w:rFonts w:ascii="Times New Roman" w:hAnsi="Times New Roman" w:cs="Times New Roman"/>
          <w:sz w:val="24"/>
          <w:szCs w:val="24"/>
          <w:lang w:val="en-GB"/>
        </w:rPr>
        <w:t xml:space="preserve">argument </w:t>
      </w:r>
      <w:r w:rsidR="00E179A8" w:rsidRPr="00755774">
        <w:rPr>
          <w:rFonts w:ascii="Times New Roman" w:hAnsi="Times New Roman" w:cs="Times New Roman"/>
          <w:sz w:val="24"/>
          <w:szCs w:val="24"/>
          <w:lang w:val="en-GB"/>
        </w:rPr>
        <w:t>that EU bilateral strategy</w:t>
      </w:r>
      <w:r w:rsidR="00755774" w:rsidRPr="00755774">
        <w:rPr>
          <w:rFonts w:ascii="Times New Roman" w:hAnsi="Times New Roman" w:cs="Times New Roman"/>
          <w:sz w:val="24"/>
          <w:szCs w:val="24"/>
          <w:lang w:val="en-GB"/>
        </w:rPr>
        <w:t xml:space="preserve"> in general and the T</w:t>
      </w:r>
      <w:r w:rsidR="009E158D">
        <w:rPr>
          <w:rFonts w:ascii="Times New Roman" w:hAnsi="Times New Roman" w:cs="Times New Roman"/>
          <w:sz w:val="24"/>
          <w:szCs w:val="24"/>
          <w:lang w:val="en-GB"/>
        </w:rPr>
        <w:t>T</w:t>
      </w:r>
      <w:r w:rsidR="00755774" w:rsidRPr="00755774">
        <w:rPr>
          <w:rFonts w:ascii="Times New Roman" w:hAnsi="Times New Roman" w:cs="Times New Roman"/>
          <w:sz w:val="24"/>
          <w:szCs w:val="24"/>
          <w:lang w:val="en-GB"/>
        </w:rPr>
        <w:t>IP in particular are</w:t>
      </w:r>
      <w:r w:rsidR="00E179A8" w:rsidRPr="00755774">
        <w:rPr>
          <w:rFonts w:ascii="Times New Roman" w:hAnsi="Times New Roman" w:cs="Times New Roman"/>
          <w:sz w:val="24"/>
          <w:szCs w:val="24"/>
          <w:lang w:val="en-GB"/>
        </w:rPr>
        <w:t xml:space="preserve"> compatible with </w:t>
      </w:r>
      <w:r w:rsidR="00E179A8" w:rsidRPr="00755774">
        <w:rPr>
          <w:rFonts w:ascii="Times New Roman" w:hAnsi="Times New Roman" w:cs="Times New Roman"/>
          <w:sz w:val="24"/>
          <w:szCs w:val="24"/>
          <w:lang w:val="en"/>
        </w:rPr>
        <w:t xml:space="preserve">the EU </w:t>
      </w:r>
      <w:r w:rsidR="00E179A8" w:rsidRPr="00755774">
        <w:rPr>
          <w:rFonts w:ascii="Times New Roman" w:hAnsi="Times New Roman" w:cs="Times New Roman"/>
          <w:i/>
          <w:sz w:val="24"/>
          <w:szCs w:val="24"/>
          <w:lang w:val="en-GB"/>
        </w:rPr>
        <w:t xml:space="preserve">leitmotif </w:t>
      </w:r>
      <w:r w:rsidR="00E179A8" w:rsidRPr="00755774">
        <w:rPr>
          <w:rFonts w:ascii="Times New Roman" w:hAnsi="Times New Roman" w:cs="Times New Roman"/>
          <w:sz w:val="24"/>
          <w:szCs w:val="24"/>
          <w:lang w:val="en-GB"/>
        </w:rPr>
        <w:t>of efficient multilateralism</w:t>
      </w:r>
      <w:r w:rsidR="009E158D">
        <w:rPr>
          <w:rFonts w:ascii="Times New Roman" w:hAnsi="Times New Roman" w:cs="Times New Roman"/>
          <w:sz w:val="24"/>
          <w:szCs w:val="24"/>
          <w:lang w:val="en-GB"/>
        </w:rPr>
        <w:t>.</w:t>
      </w:r>
      <w:r w:rsidR="00E179A8" w:rsidRPr="00755774">
        <w:rPr>
          <w:rFonts w:ascii="Times New Roman" w:hAnsi="Times New Roman" w:cs="Times New Roman"/>
          <w:sz w:val="24"/>
          <w:szCs w:val="24"/>
          <w:lang w:val="en-GB"/>
        </w:rPr>
        <w:t xml:space="preserve"> </w:t>
      </w:r>
      <w:r w:rsidR="009E158D">
        <w:rPr>
          <w:rFonts w:ascii="Times New Roman" w:hAnsi="Times New Roman" w:cs="Times New Roman"/>
          <w:sz w:val="24"/>
          <w:szCs w:val="24"/>
          <w:lang w:val="en-GB"/>
        </w:rPr>
        <w:t xml:space="preserve">It attests that the fact that these </w:t>
      </w:r>
      <w:r w:rsidR="009E158D" w:rsidRPr="009E158D">
        <w:rPr>
          <w:rFonts w:ascii="Times New Roman" w:hAnsi="Times New Roman" w:cs="Times New Roman"/>
          <w:sz w:val="24"/>
          <w:szCs w:val="24"/>
          <w:lang w:val="en-GB"/>
        </w:rPr>
        <w:t xml:space="preserve">preferential agreements have the potential to be </w:t>
      </w:r>
      <w:r w:rsidR="009E158D">
        <w:rPr>
          <w:rFonts w:ascii="Times New Roman" w:hAnsi="Times New Roman" w:cs="Times New Roman"/>
          <w:sz w:val="24"/>
          <w:szCs w:val="24"/>
          <w:lang w:val="en-GB"/>
        </w:rPr>
        <w:t>multilaterali</w:t>
      </w:r>
      <w:r w:rsidR="009E158D" w:rsidRPr="009E158D">
        <w:rPr>
          <w:rFonts w:ascii="Times New Roman" w:hAnsi="Times New Roman" w:cs="Times New Roman"/>
          <w:sz w:val="24"/>
          <w:szCs w:val="24"/>
          <w:lang w:val="en-GB"/>
        </w:rPr>
        <w:t xml:space="preserve">zed </w:t>
      </w:r>
      <w:r w:rsidR="009E158D">
        <w:rPr>
          <w:rFonts w:ascii="Times New Roman" w:hAnsi="Times New Roman" w:cs="Times New Roman"/>
          <w:sz w:val="24"/>
          <w:szCs w:val="24"/>
          <w:lang w:val="en-GB"/>
        </w:rPr>
        <w:t xml:space="preserve">is not a sufficient condition for compatibility between the bilateral and multilateral trade approaches. </w:t>
      </w:r>
      <w:r w:rsidR="00B37406" w:rsidRPr="00755774">
        <w:rPr>
          <w:rFonts w:ascii="Times New Roman" w:hAnsi="Times New Roman" w:cs="Times New Roman"/>
          <w:sz w:val="24"/>
          <w:szCs w:val="24"/>
          <w:lang w:val="en-GB"/>
        </w:rPr>
        <w:t>By</w:t>
      </w:r>
      <w:r w:rsidR="00E179A8" w:rsidRPr="00755774">
        <w:rPr>
          <w:rFonts w:ascii="Times New Roman" w:hAnsi="Times New Roman" w:cs="Times New Roman"/>
          <w:sz w:val="24"/>
          <w:szCs w:val="24"/>
          <w:lang w:val="en-GB"/>
        </w:rPr>
        <w:t xml:space="preserve"> </w:t>
      </w:r>
      <w:r w:rsidR="00B37406" w:rsidRPr="00755774">
        <w:rPr>
          <w:rFonts w:ascii="Times New Roman" w:hAnsi="Times New Roman" w:cs="Times New Roman"/>
          <w:sz w:val="24"/>
          <w:szCs w:val="24"/>
          <w:lang w:val="en-GB"/>
        </w:rPr>
        <w:t>taking</w:t>
      </w:r>
      <w:r w:rsidR="00E179A8" w:rsidRPr="00755774">
        <w:rPr>
          <w:rFonts w:ascii="Times New Roman" w:hAnsi="Times New Roman" w:cs="Times New Roman"/>
          <w:sz w:val="24"/>
          <w:szCs w:val="24"/>
          <w:lang w:val="en-GB"/>
        </w:rPr>
        <w:t xml:space="preserve"> into account </w:t>
      </w:r>
      <w:r w:rsidR="000135BF" w:rsidRPr="00755774">
        <w:rPr>
          <w:rFonts w:ascii="Times New Roman" w:hAnsi="Times New Roman" w:cs="Times New Roman"/>
          <w:sz w:val="24"/>
          <w:szCs w:val="24"/>
          <w:lang w:val="en-GB"/>
        </w:rPr>
        <w:t>what is happening in the Doha Round</w:t>
      </w:r>
      <w:r w:rsidR="00CC2D12">
        <w:rPr>
          <w:rFonts w:ascii="Times New Roman" w:hAnsi="Times New Roman" w:cs="Times New Roman"/>
          <w:sz w:val="24"/>
          <w:szCs w:val="24"/>
          <w:lang w:val="en-GB"/>
        </w:rPr>
        <w:t xml:space="preserve"> (DR)</w:t>
      </w:r>
      <w:r w:rsidR="00B37406" w:rsidRPr="00755774">
        <w:rPr>
          <w:rFonts w:ascii="Times New Roman" w:hAnsi="Times New Roman" w:cs="Times New Roman"/>
          <w:sz w:val="24"/>
          <w:szCs w:val="24"/>
          <w:lang w:val="en-GB"/>
        </w:rPr>
        <w:t>, it shows</w:t>
      </w:r>
      <w:r w:rsidR="000135BF" w:rsidRPr="00755774">
        <w:rPr>
          <w:rFonts w:ascii="Times New Roman" w:hAnsi="Times New Roman" w:cs="Times New Roman"/>
          <w:sz w:val="24"/>
          <w:szCs w:val="24"/>
          <w:lang w:val="en-GB"/>
        </w:rPr>
        <w:t xml:space="preserve"> </w:t>
      </w:r>
      <w:r w:rsidR="00A07FA4" w:rsidRPr="00755774">
        <w:rPr>
          <w:rFonts w:ascii="Times New Roman" w:hAnsi="Times New Roman" w:cs="Times New Roman"/>
          <w:sz w:val="24"/>
          <w:szCs w:val="24"/>
          <w:lang w:val="en-GB"/>
        </w:rPr>
        <w:t xml:space="preserve">not only that there may be </w:t>
      </w:r>
      <w:r w:rsidR="0053129C" w:rsidRPr="00755774">
        <w:rPr>
          <w:rFonts w:ascii="Times New Roman" w:hAnsi="Times New Roman" w:cs="Times New Roman"/>
          <w:sz w:val="24"/>
          <w:szCs w:val="24"/>
          <w:lang w:val="en-GB"/>
        </w:rPr>
        <w:t>multilateral determinants to</w:t>
      </w:r>
      <w:r w:rsidR="000135BF" w:rsidRPr="00755774">
        <w:rPr>
          <w:rFonts w:ascii="Times New Roman" w:hAnsi="Times New Roman" w:cs="Times New Roman"/>
          <w:sz w:val="24"/>
          <w:szCs w:val="24"/>
          <w:lang w:val="en-GB"/>
        </w:rPr>
        <w:t xml:space="preserve"> </w:t>
      </w:r>
      <w:r w:rsidR="00455BE7" w:rsidRPr="00755774">
        <w:rPr>
          <w:rFonts w:ascii="Times New Roman" w:hAnsi="Times New Roman" w:cs="Times New Roman"/>
          <w:sz w:val="24"/>
          <w:szCs w:val="24"/>
          <w:lang w:val="en-GB"/>
        </w:rPr>
        <w:t xml:space="preserve">EU </w:t>
      </w:r>
      <w:r w:rsidR="00455BE7" w:rsidRPr="00755774">
        <w:rPr>
          <w:rFonts w:ascii="Times New Roman" w:hAnsi="Times New Roman" w:cs="Times New Roman"/>
          <w:sz w:val="24"/>
          <w:szCs w:val="24"/>
          <w:lang w:val="en"/>
        </w:rPr>
        <w:t>bilateral agreements</w:t>
      </w:r>
      <w:r w:rsidR="00123925" w:rsidRPr="00755774">
        <w:rPr>
          <w:rFonts w:ascii="Times New Roman" w:hAnsi="Times New Roman" w:cs="Times New Roman"/>
          <w:sz w:val="24"/>
          <w:szCs w:val="24"/>
          <w:lang w:val="en"/>
        </w:rPr>
        <w:t xml:space="preserve"> </w:t>
      </w:r>
      <w:r w:rsidR="00A07FA4" w:rsidRPr="00755774">
        <w:rPr>
          <w:rFonts w:ascii="Times New Roman" w:hAnsi="Times New Roman" w:cs="Times New Roman"/>
          <w:sz w:val="24"/>
          <w:szCs w:val="24"/>
          <w:lang w:val="en"/>
        </w:rPr>
        <w:t>but also that the</w:t>
      </w:r>
      <w:r w:rsidR="00E17603" w:rsidRPr="00755774">
        <w:rPr>
          <w:rFonts w:ascii="Times New Roman" w:hAnsi="Times New Roman" w:cs="Times New Roman"/>
          <w:sz w:val="24"/>
          <w:szCs w:val="24"/>
          <w:lang w:val="en"/>
        </w:rPr>
        <w:t>ir</w:t>
      </w:r>
      <w:r w:rsidR="00A07FA4" w:rsidRPr="00755774">
        <w:rPr>
          <w:rFonts w:ascii="Times New Roman" w:hAnsi="Times New Roman" w:cs="Times New Roman"/>
          <w:sz w:val="24"/>
          <w:szCs w:val="24"/>
          <w:lang w:val="en"/>
        </w:rPr>
        <w:t xml:space="preserve"> </w:t>
      </w:r>
      <w:r w:rsidR="00755774" w:rsidRPr="00755774">
        <w:rPr>
          <w:rFonts w:ascii="Times New Roman" w:hAnsi="Times New Roman" w:cs="Times New Roman"/>
          <w:sz w:val="24"/>
          <w:szCs w:val="24"/>
          <w:lang w:val="en"/>
        </w:rPr>
        <w:t>compatibility</w:t>
      </w:r>
      <w:r w:rsidR="000276FA" w:rsidRPr="00755774">
        <w:rPr>
          <w:rFonts w:ascii="Times New Roman" w:hAnsi="Times New Roman" w:cs="Times New Roman"/>
          <w:sz w:val="24"/>
          <w:szCs w:val="24"/>
          <w:lang w:val="en"/>
        </w:rPr>
        <w:t xml:space="preserve"> </w:t>
      </w:r>
      <w:r w:rsidR="009E158D">
        <w:rPr>
          <w:rFonts w:ascii="Times New Roman" w:hAnsi="Times New Roman" w:cs="Times New Roman"/>
          <w:sz w:val="24"/>
          <w:szCs w:val="24"/>
          <w:lang w:val="en"/>
        </w:rPr>
        <w:t xml:space="preserve">with efficient multilateralism </w:t>
      </w:r>
      <w:r w:rsidR="000276FA" w:rsidRPr="00755774">
        <w:rPr>
          <w:rFonts w:ascii="Times New Roman" w:hAnsi="Times New Roman" w:cs="Times New Roman"/>
          <w:sz w:val="24"/>
          <w:szCs w:val="24"/>
          <w:lang w:val="en-GB"/>
        </w:rPr>
        <w:t>may have changed in 2009</w:t>
      </w:r>
      <w:r w:rsidR="00123925" w:rsidRPr="00755774">
        <w:rPr>
          <w:rFonts w:ascii="Times New Roman" w:hAnsi="Times New Roman" w:cs="Times New Roman"/>
          <w:sz w:val="24"/>
          <w:szCs w:val="24"/>
          <w:lang w:val="en-GB"/>
        </w:rPr>
        <w:t>.</w:t>
      </w:r>
      <w:r w:rsidR="00085D3F" w:rsidRPr="00755774">
        <w:rPr>
          <w:rFonts w:ascii="Times New Roman" w:hAnsi="Times New Roman" w:cs="Times New Roman"/>
          <w:sz w:val="24"/>
          <w:szCs w:val="24"/>
          <w:lang w:val="en-GB"/>
        </w:rPr>
        <w:t xml:space="preserve"> The</w:t>
      </w:r>
      <w:r w:rsidR="005B19C2" w:rsidRPr="00755774">
        <w:rPr>
          <w:rFonts w:ascii="Times New Roman" w:hAnsi="Times New Roman" w:cs="Times New Roman"/>
          <w:sz w:val="24"/>
          <w:szCs w:val="24"/>
          <w:lang w:val="en"/>
        </w:rPr>
        <w:t xml:space="preserve"> article is divided into four </w:t>
      </w:r>
      <w:r w:rsidR="00194D8F" w:rsidRPr="00755774">
        <w:rPr>
          <w:rFonts w:ascii="Times New Roman" w:hAnsi="Times New Roman" w:cs="Times New Roman"/>
          <w:sz w:val="24"/>
          <w:szCs w:val="24"/>
          <w:lang w:val="en"/>
        </w:rPr>
        <w:t xml:space="preserve">more </w:t>
      </w:r>
      <w:r w:rsidR="008B6023" w:rsidRPr="00755774">
        <w:rPr>
          <w:rFonts w:ascii="Times New Roman" w:hAnsi="Times New Roman" w:cs="Times New Roman"/>
          <w:sz w:val="24"/>
          <w:szCs w:val="24"/>
          <w:lang w:val="en"/>
        </w:rPr>
        <w:t xml:space="preserve">sections. </w:t>
      </w:r>
      <w:r w:rsidR="005B19C2" w:rsidRPr="00755774">
        <w:rPr>
          <w:rFonts w:ascii="Times New Roman" w:hAnsi="Times New Roman" w:cs="Times New Roman"/>
          <w:sz w:val="24"/>
          <w:szCs w:val="24"/>
          <w:lang w:val="en"/>
        </w:rPr>
        <w:t>In section two</w:t>
      </w:r>
      <w:r w:rsidR="003B66CA" w:rsidRPr="00755774">
        <w:rPr>
          <w:rFonts w:ascii="Times New Roman" w:hAnsi="Times New Roman" w:cs="Times New Roman"/>
          <w:sz w:val="24"/>
          <w:szCs w:val="24"/>
          <w:lang w:val="en"/>
        </w:rPr>
        <w:t>,</w:t>
      </w:r>
      <w:r w:rsidR="005B19C2" w:rsidRPr="00755774">
        <w:rPr>
          <w:rFonts w:ascii="Times New Roman" w:hAnsi="Times New Roman" w:cs="Times New Roman"/>
          <w:sz w:val="24"/>
          <w:szCs w:val="24"/>
          <w:lang w:val="en"/>
        </w:rPr>
        <w:t xml:space="preserve"> </w:t>
      </w:r>
      <w:r w:rsidR="003507CC" w:rsidRPr="00755774">
        <w:rPr>
          <w:rFonts w:ascii="Times New Roman" w:hAnsi="Times New Roman" w:cs="Times New Roman"/>
          <w:sz w:val="24"/>
          <w:szCs w:val="24"/>
          <w:lang w:val="en"/>
        </w:rPr>
        <w:t xml:space="preserve">we </w:t>
      </w:r>
      <w:r w:rsidR="00455BE7" w:rsidRPr="00755774">
        <w:rPr>
          <w:rFonts w:ascii="Times New Roman" w:hAnsi="Times New Roman" w:cs="Times New Roman"/>
          <w:sz w:val="24"/>
          <w:szCs w:val="24"/>
          <w:lang w:val="en"/>
        </w:rPr>
        <w:t>recognize that</w:t>
      </w:r>
      <w:r w:rsidR="0011294F" w:rsidRPr="00755774">
        <w:rPr>
          <w:rFonts w:ascii="Times New Roman" w:hAnsi="Times New Roman" w:cs="Times New Roman"/>
          <w:sz w:val="24"/>
          <w:szCs w:val="24"/>
          <w:lang w:val="en"/>
        </w:rPr>
        <w:t xml:space="preserve"> the European Commission reasoning</w:t>
      </w:r>
      <w:r w:rsidR="00455BE7" w:rsidRPr="00755774">
        <w:rPr>
          <w:rFonts w:ascii="Times New Roman" w:hAnsi="Times New Roman" w:cs="Times New Roman"/>
          <w:sz w:val="24"/>
          <w:szCs w:val="24"/>
          <w:lang w:val="en"/>
        </w:rPr>
        <w:t xml:space="preserve"> is sustained by a large part of the literature.</w:t>
      </w:r>
      <w:r w:rsidR="000276FA" w:rsidRPr="00755774">
        <w:rPr>
          <w:rFonts w:ascii="Times New Roman" w:hAnsi="Times New Roman" w:cs="Times New Roman"/>
          <w:sz w:val="24"/>
          <w:szCs w:val="24"/>
          <w:lang w:val="en"/>
        </w:rPr>
        <w:t xml:space="preserve"> </w:t>
      </w:r>
      <w:r w:rsidR="00085D3F" w:rsidRPr="00755774">
        <w:rPr>
          <w:rFonts w:ascii="Times New Roman" w:hAnsi="Times New Roman" w:cs="Times New Roman"/>
          <w:sz w:val="24"/>
          <w:szCs w:val="24"/>
          <w:lang w:val="en"/>
        </w:rPr>
        <w:t xml:space="preserve"> In section three</w:t>
      </w:r>
      <w:r w:rsidR="000276FA" w:rsidRPr="00755774">
        <w:rPr>
          <w:rFonts w:ascii="Times New Roman" w:hAnsi="Times New Roman" w:cs="Times New Roman"/>
          <w:sz w:val="24"/>
          <w:szCs w:val="24"/>
          <w:lang w:val="en"/>
        </w:rPr>
        <w:t>, we justify the interest of adding an analysis of the D</w:t>
      </w:r>
      <w:r w:rsidR="00CC2D12">
        <w:rPr>
          <w:rFonts w:ascii="Times New Roman" w:hAnsi="Times New Roman" w:cs="Times New Roman"/>
          <w:sz w:val="24"/>
          <w:szCs w:val="24"/>
          <w:lang w:val="en"/>
        </w:rPr>
        <w:t>R</w:t>
      </w:r>
      <w:r w:rsidR="000276FA" w:rsidRPr="00755774">
        <w:rPr>
          <w:rFonts w:ascii="Times New Roman" w:hAnsi="Times New Roman" w:cs="Times New Roman"/>
          <w:sz w:val="24"/>
          <w:szCs w:val="24"/>
          <w:lang w:val="en"/>
        </w:rPr>
        <w:t xml:space="preserve"> into the equation and explain a way to do it. In section four we present the results. We conclude in section five. </w:t>
      </w:r>
    </w:p>
    <w:p w:rsidR="00AA1E84" w:rsidRDefault="00AA1E84" w:rsidP="00C836AB">
      <w:pPr>
        <w:jc w:val="both"/>
        <w:rPr>
          <w:rFonts w:ascii="Times New Roman" w:hAnsi="Times New Roman" w:cs="Times New Roman"/>
          <w:sz w:val="24"/>
          <w:szCs w:val="24"/>
          <w:lang w:val="en"/>
        </w:rPr>
      </w:pPr>
    </w:p>
    <w:p w:rsidR="0094710B" w:rsidRPr="00370CD5" w:rsidRDefault="003B66CA" w:rsidP="00D3155A">
      <w:pPr>
        <w:jc w:val="both"/>
        <w:rPr>
          <w:rFonts w:ascii="Times New Roman" w:hAnsi="Times New Roman" w:cs="Times New Roman"/>
          <w:sz w:val="24"/>
          <w:szCs w:val="24"/>
          <w:lang w:val="en"/>
        </w:rPr>
      </w:pPr>
      <w:r w:rsidRPr="00A22DF2">
        <w:rPr>
          <w:rFonts w:ascii="Times New Roman" w:hAnsi="Times New Roman" w:cs="Times New Roman"/>
          <w:b/>
          <w:sz w:val="28"/>
          <w:szCs w:val="28"/>
          <w:lang w:val="en"/>
        </w:rPr>
        <w:t>2</w:t>
      </w:r>
      <w:r w:rsidR="00F02B04" w:rsidRPr="00A22DF2">
        <w:rPr>
          <w:rFonts w:ascii="Times New Roman" w:hAnsi="Times New Roman" w:cs="Times New Roman"/>
          <w:b/>
          <w:sz w:val="28"/>
          <w:szCs w:val="28"/>
          <w:lang w:val="en"/>
        </w:rPr>
        <w:t xml:space="preserve">. </w:t>
      </w:r>
      <w:r w:rsidR="00E22463" w:rsidRPr="00A22DF2">
        <w:rPr>
          <w:rFonts w:ascii="Times New Roman" w:hAnsi="Times New Roman" w:cs="Times New Roman"/>
          <w:b/>
          <w:sz w:val="28"/>
          <w:szCs w:val="28"/>
          <w:lang w:val="en"/>
        </w:rPr>
        <w:t xml:space="preserve">The </w:t>
      </w:r>
      <w:r w:rsidR="00103986" w:rsidRPr="00A22DF2">
        <w:rPr>
          <w:rFonts w:ascii="Times New Roman" w:hAnsi="Times New Roman" w:cs="Times New Roman"/>
          <w:b/>
          <w:sz w:val="28"/>
          <w:szCs w:val="28"/>
          <w:lang w:val="en"/>
        </w:rPr>
        <w:t xml:space="preserve">pillars of the </w:t>
      </w:r>
      <w:r w:rsidR="00305B3E" w:rsidRPr="00A22DF2">
        <w:rPr>
          <w:rFonts w:ascii="Times New Roman" w:hAnsi="Times New Roman" w:cs="Times New Roman"/>
          <w:b/>
          <w:sz w:val="28"/>
          <w:szCs w:val="28"/>
          <w:lang w:val="en"/>
        </w:rPr>
        <w:t xml:space="preserve">European Commission </w:t>
      </w:r>
      <w:r w:rsidR="0011294F" w:rsidRPr="00A22DF2">
        <w:rPr>
          <w:rFonts w:ascii="Times New Roman" w:hAnsi="Times New Roman" w:cs="Times New Roman"/>
          <w:b/>
          <w:sz w:val="28"/>
          <w:szCs w:val="28"/>
          <w:lang w:val="en"/>
        </w:rPr>
        <w:t>reasoning</w:t>
      </w:r>
      <w:r w:rsidR="00103986">
        <w:rPr>
          <w:rFonts w:ascii="Times New Roman" w:hAnsi="Times New Roman" w:cs="Times New Roman"/>
          <w:b/>
          <w:sz w:val="32"/>
          <w:szCs w:val="32"/>
          <w:lang w:val="en"/>
        </w:rPr>
        <w:t xml:space="preserve"> </w:t>
      </w:r>
      <w:r w:rsidR="00D86C8D" w:rsidRPr="00133C96">
        <w:rPr>
          <w:rFonts w:ascii="Times New Roman" w:hAnsi="Times New Roman" w:cs="Times New Roman"/>
          <w:b/>
          <w:sz w:val="32"/>
          <w:szCs w:val="32"/>
          <w:lang w:val="en"/>
        </w:rPr>
        <w:br/>
      </w:r>
      <w:r w:rsidR="00D86C8D" w:rsidRPr="00874087">
        <w:rPr>
          <w:rFonts w:ascii="Times New Roman" w:hAnsi="Times New Roman" w:cs="Times New Roman"/>
          <w:sz w:val="24"/>
          <w:szCs w:val="24"/>
          <w:lang w:val="en"/>
        </w:rPr>
        <w:br/>
      </w:r>
      <w:r w:rsidR="00E97750" w:rsidRPr="00370CD5">
        <w:rPr>
          <w:rFonts w:ascii="Times New Roman" w:hAnsi="Times New Roman" w:cs="Times New Roman"/>
          <w:sz w:val="24"/>
          <w:szCs w:val="24"/>
          <w:lang w:val="en"/>
        </w:rPr>
        <w:t>Th</w:t>
      </w:r>
      <w:r w:rsidR="00DC7D24" w:rsidRPr="00370CD5">
        <w:rPr>
          <w:rFonts w:ascii="Times New Roman" w:hAnsi="Times New Roman" w:cs="Times New Roman"/>
          <w:sz w:val="24"/>
          <w:szCs w:val="24"/>
          <w:lang w:val="en"/>
        </w:rPr>
        <w:t>e</w:t>
      </w:r>
      <w:r w:rsidR="00E97750" w:rsidRPr="00370CD5">
        <w:rPr>
          <w:rFonts w:ascii="Times New Roman" w:hAnsi="Times New Roman" w:cs="Times New Roman"/>
          <w:sz w:val="24"/>
          <w:szCs w:val="24"/>
          <w:lang w:val="en"/>
        </w:rPr>
        <w:t xml:space="preserve"> line of reasoning </w:t>
      </w:r>
      <w:r w:rsidR="00E179A8" w:rsidRPr="00370CD5">
        <w:rPr>
          <w:rFonts w:ascii="Times New Roman" w:hAnsi="Times New Roman" w:cs="Times New Roman"/>
          <w:sz w:val="24"/>
          <w:szCs w:val="24"/>
          <w:lang w:val="en"/>
        </w:rPr>
        <w:t xml:space="preserve">of the European Commission </w:t>
      </w:r>
      <w:r w:rsidR="00E97750" w:rsidRPr="00370CD5">
        <w:rPr>
          <w:rFonts w:ascii="Times New Roman" w:hAnsi="Times New Roman" w:cs="Times New Roman"/>
          <w:sz w:val="24"/>
          <w:szCs w:val="24"/>
          <w:lang w:val="en"/>
        </w:rPr>
        <w:t xml:space="preserve">is backed by </w:t>
      </w:r>
      <w:r w:rsidR="004B612E" w:rsidRPr="00370CD5">
        <w:rPr>
          <w:rFonts w:ascii="Times New Roman" w:hAnsi="Times New Roman" w:cs="Times New Roman"/>
          <w:sz w:val="24"/>
          <w:szCs w:val="24"/>
          <w:lang w:val="en"/>
        </w:rPr>
        <w:t xml:space="preserve">a large </w:t>
      </w:r>
      <w:r w:rsidR="00E97750" w:rsidRPr="00370CD5">
        <w:rPr>
          <w:rFonts w:ascii="Times New Roman" w:hAnsi="Times New Roman" w:cs="Times New Roman"/>
          <w:sz w:val="24"/>
          <w:szCs w:val="24"/>
          <w:lang w:val="en"/>
        </w:rPr>
        <w:t xml:space="preserve">part of the academia and derives from </w:t>
      </w:r>
      <w:r w:rsidR="0094710B" w:rsidRPr="00370CD5">
        <w:rPr>
          <w:rFonts w:ascii="Times New Roman" w:hAnsi="Times New Roman" w:cs="Times New Roman"/>
          <w:sz w:val="24"/>
          <w:szCs w:val="24"/>
          <w:lang w:val="en"/>
        </w:rPr>
        <w:t>a</w:t>
      </w:r>
      <w:r w:rsidR="00E97750" w:rsidRPr="00370CD5">
        <w:rPr>
          <w:rFonts w:ascii="Times New Roman" w:hAnsi="Times New Roman" w:cs="Times New Roman"/>
          <w:sz w:val="24"/>
          <w:szCs w:val="24"/>
          <w:lang w:val="en"/>
        </w:rPr>
        <w:t xml:space="preserve"> debate on the complementarity of bilateral and multilateral approaches to trade</w:t>
      </w:r>
      <w:r w:rsidR="0094710B" w:rsidRPr="00370CD5">
        <w:rPr>
          <w:rFonts w:ascii="Times New Roman" w:hAnsi="Times New Roman" w:cs="Times New Roman"/>
          <w:sz w:val="24"/>
          <w:szCs w:val="24"/>
          <w:lang w:val="en"/>
        </w:rPr>
        <w:t xml:space="preserve"> that has been ongoing s</w:t>
      </w:r>
      <w:r w:rsidR="00D86C8D" w:rsidRPr="00370CD5">
        <w:rPr>
          <w:rFonts w:ascii="Times New Roman" w:hAnsi="Times New Roman" w:cs="Times New Roman"/>
          <w:sz w:val="24"/>
          <w:szCs w:val="24"/>
          <w:lang w:val="en"/>
        </w:rPr>
        <w:t xml:space="preserve">ince the birth of the multilateral trading system after World War </w:t>
      </w:r>
      <w:r w:rsidR="00362345" w:rsidRPr="00370CD5">
        <w:rPr>
          <w:rFonts w:ascii="Times New Roman" w:hAnsi="Times New Roman" w:cs="Times New Roman"/>
          <w:sz w:val="24"/>
          <w:szCs w:val="24"/>
          <w:lang w:val="en"/>
        </w:rPr>
        <w:t>II</w:t>
      </w:r>
      <w:r w:rsidR="0094710B" w:rsidRPr="00370CD5">
        <w:rPr>
          <w:rFonts w:ascii="Times New Roman" w:hAnsi="Times New Roman" w:cs="Times New Roman"/>
          <w:sz w:val="24"/>
          <w:szCs w:val="24"/>
          <w:lang w:val="en"/>
        </w:rPr>
        <w:t xml:space="preserve">. It is a debate that </w:t>
      </w:r>
      <w:r w:rsidR="00D86C8D" w:rsidRPr="00370CD5">
        <w:rPr>
          <w:rFonts w:ascii="Times New Roman" w:hAnsi="Times New Roman" w:cs="Times New Roman"/>
          <w:sz w:val="24"/>
          <w:szCs w:val="24"/>
          <w:lang w:val="en"/>
        </w:rPr>
        <w:t xml:space="preserve">has been addressed from different perspectives by experts in international law and international economic policy as well as </w:t>
      </w:r>
      <w:r w:rsidR="00A709D9" w:rsidRPr="00370CD5">
        <w:rPr>
          <w:rFonts w:ascii="Times New Roman" w:hAnsi="Times New Roman" w:cs="Times New Roman"/>
          <w:sz w:val="24"/>
          <w:szCs w:val="24"/>
          <w:lang w:val="en"/>
        </w:rPr>
        <w:t xml:space="preserve">EU </w:t>
      </w:r>
      <w:r w:rsidR="00D86C8D" w:rsidRPr="00370CD5">
        <w:rPr>
          <w:rFonts w:ascii="Times New Roman" w:hAnsi="Times New Roman" w:cs="Times New Roman"/>
          <w:sz w:val="24"/>
          <w:szCs w:val="24"/>
          <w:lang w:val="en"/>
        </w:rPr>
        <w:t xml:space="preserve">scholars. </w:t>
      </w:r>
      <w:r w:rsidR="0094710B" w:rsidRPr="00370CD5">
        <w:rPr>
          <w:rFonts w:ascii="Times New Roman" w:hAnsi="Times New Roman" w:cs="Times New Roman"/>
          <w:sz w:val="24"/>
          <w:szCs w:val="24"/>
          <w:lang w:val="en"/>
        </w:rPr>
        <w:t>Most of them agree that both strategies need not be mutually exclusive</w:t>
      </w:r>
      <w:r w:rsidR="001269B8" w:rsidRPr="00370CD5">
        <w:rPr>
          <w:rFonts w:ascii="Times New Roman" w:hAnsi="Times New Roman" w:cs="Times New Roman"/>
          <w:sz w:val="24"/>
          <w:szCs w:val="24"/>
          <w:lang w:val="en"/>
        </w:rPr>
        <w:t xml:space="preserve"> and that a key condition for compatibility is whether </w:t>
      </w:r>
      <w:r w:rsidR="00FE2D19" w:rsidRPr="00370CD5">
        <w:rPr>
          <w:rFonts w:ascii="Times New Roman" w:hAnsi="Times New Roman" w:cs="Times New Roman"/>
          <w:sz w:val="24"/>
          <w:szCs w:val="24"/>
          <w:lang w:val="en"/>
        </w:rPr>
        <w:t xml:space="preserve">preferential agreements </w:t>
      </w:r>
      <w:r w:rsidR="001269B8" w:rsidRPr="00370CD5">
        <w:rPr>
          <w:rFonts w:ascii="Times New Roman" w:hAnsi="Times New Roman" w:cs="Times New Roman"/>
          <w:sz w:val="24"/>
          <w:szCs w:val="24"/>
          <w:lang w:val="en"/>
        </w:rPr>
        <w:t>have the technical capacity to bolster or undermine the WTO</w:t>
      </w:r>
      <w:r w:rsidR="0094710B" w:rsidRPr="00370CD5">
        <w:rPr>
          <w:rFonts w:ascii="Times New Roman" w:hAnsi="Times New Roman" w:cs="Times New Roman"/>
          <w:sz w:val="24"/>
          <w:szCs w:val="24"/>
          <w:lang w:val="en"/>
        </w:rPr>
        <w:t xml:space="preserve">. </w:t>
      </w:r>
    </w:p>
    <w:p w:rsidR="001269B8" w:rsidRPr="00A22DF2" w:rsidRDefault="003F0709" w:rsidP="00C836AB">
      <w:pPr>
        <w:jc w:val="both"/>
        <w:rPr>
          <w:rFonts w:ascii="Times New Roman" w:hAnsi="Times New Roman" w:cs="Times New Roman"/>
          <w:b/>
          <w:sz w:val="24"/>
          <w:szCs w:val="24"/>
          <w:lang w:val="en"/>
        </w:rPr>
      </w:pPr>
      <w:r w:rsidRPr="00A22DF2">
        <w:rPr>
          <w:rFonts w:ascii="Times New Roman" w:hAnsi="Times New Roman" w:cs="Times New Roman"/>
          <w:b/>
          <w:sz w:val="24"/>
          <w:szCs w:val="24"/>
          <w:lang w:val="en"/>
        </w:rPr>
        <w:t>2</w:t>
      </w:r>
      <w:r w:rsidR="001269B8" w:rsidRPr="00A22DF2">
        <w:rPr>
          <w:rFonts w:ascii="Times New Roman" w:hAnsi="Times New Roman" w:cs="Times New Roman"/>
          <w:b/>
          <w:sz w:val="24"/>
          <w:szCs w:val="24"/>
          <w:lang w:val="en"/>
        </w:rPr>
        <w:t>.</w:t>
      </w:r>
      <w:r w:rsidR="005A4236" w:rsidRPr="00A22DF2">
        <w:rPr>
          <w:rFonts w:ascii="Times New Roman" w:hAnsi="Times New Roman" w:cs="Times New Roman"/>
          <w:b/>
          <w:sz w:val="24"/>
          <w:szCs w:val="24"/>
          <w:lang w:val="en"/>
        </w:rPr>
        <w:t>1.</w:t>
      </w:r>
      <w:r w:rsidR="001269B8" w:rsidRPr="00A22DF2">
        <w:rPr>
          <w:rFonts w:ascii="Times New Roman" w:hAnsi="Times New Roman" w:cs="Times New Roman"/>
          <w:b/>
          <w:sz w:val="24"/>
          <w:szCs w:val="24"/>
          <w:lang w:val="en"/>
        </w:rPr>
        <w:t xml:space="preserve"> Bilateralism and multilateralism need not be mutually exclusive</w:t>
      </w:r>
    </w:p>
    <w:p w:rsidR="00A22DF2" w:rsidRDefault="00D86C8D" w:rsidP="00C836AB">
      <w:pPr>
        <w:jc w:val="both"/>
        <w:rPr>
          <w:rFonts w:ascii="Times New Roman" w:eastAsia="Times New Roman" w:hAnsi="Times New Roman" w:cs="Times New Roman"/>
          <w:sz w:val="24"/>
          <w:szCs w:val="24"/>
          <w:vertAlign w:val="superscript"/>
          <w:lang w:val="en-GB" w:eastAsia="es-ES"/>
        </w:rPr>
      </w:pPr>
      <w:r w:rsidRPr="00874087">
        <w:rPr>
          <w:rFonts w:ascii="Times New Roman" w:hAnsi="Times New Roman" w:cs="Times New Roman"/>
          <w:sz w:val="24"/>
          <w:szCs w:val="24"/>
          <w:lang w:val="en"/>
        </w:rPr>
        <w:t>What is to be a pro-</w:t>
      </w:r>
      <w:r w:rsidR="003A4188">
        <w:rPr>
          <w:rFonts w:ascii="Times New Roman" w:hAnsi="Times New Roman" w:cs="Times New Roman"/>
          <w:sz w:val="24"/>
          <w:szCs w:val="24"/>
          <w:lang w:val="en"/>
        </w:rPr>
        <w:t xml:space="preserve">multilateralism </w:t>
      </w:r>
      <w:r w:rsidRPr="00874087">
        <w:rPr>
          <w:rFonts w:ascii="Times New Roman" w:hAnsi="Times New Roman" w:cs="Times New Roman"/>
          <w:sz w:val="24"/>
          <w:szCs w:val="24"/>
          <w:lang w:val="en"/>
        </w:rPr>
        <w:t xml:space="preserve">actor in the </w:t>
      </w:r>
      <w:r w:rsidR="003A4188">
        <w:rPr>
          <w:rFonts w:ascii="Times New Roman" w:hAnsi="Times New Roman" w:cs="Times New Roman"/>
          <w:sz w:val="24"/>
          <w:szCs w:val="24"/>
          <w:lang w:val="en"/>
        </w:rPr>
        <w:t>trade</w:t>
      </w:r>
      <w:r w:rsidRPr="00874087">
        <w:rPr>
          <w:rFonts w:ascii="Times New Roman" w:hAnsi="Times New Roman" w:cs="Times New Roman"/>
          <w:sz w:val="24"/>
          <w:szCs w:val="24"/>
          <w:lang w:val="en"/>
        </w:rPr>
        <w:t xml:space="preserve"> arena? If </w:t>
      </w:r>
      <w:r w:rsidR="003A4188">
        <w:rPr>
          <w:rFonts w:ascii="Times New Roman" w:hAnsi="Times New Roman" w:cs="Times New Roman"/>
          <w:sz w:val="24"/>
          <w:szCs w:val="24"/>
          <w:lang w:val="en"/>
        </w:rPr>
        <w:t xml:space="preserve">that </w:t>
      </w:r>
      <w:r w:rsidRPr="00874087">
        <w:rPr>
          <w:rFonts w:ascii="Times New Roman" w:hAnsi="Times New Roman" w:cs="Times New Roman"/>
          <w:sz w:val="24"/>
          <w:szCs w:val="24"/>
          <w:lang w:val="en"/>
        </w:rPr>
        <w:t xml:space="preserve">meant </w:t>
      </w:r>
      <w:r w:rsidR="003A4188">
        <w:rPr>
          <w:rFonts w:ascii="Times New Roman" w:hAnsi="Times New Roman" w:cs="Times New Roman"/>
          <w:sz w:val="24"/>
          <w:szCs w:val="24"/>
          <w:lang w:val="en"/>
        </w:rPr>
        <w:t xml:space="preserve">both </w:t>
      </w:r>
      <w:r w:rsidRPr="00874087">
        <w:rPr>
          <w:rFonts w:ascii="Times New Roman" w:hAnsi="Times New Roman" w:cs="Times New Roman"/>
          <w:sz w:val="24"/>
          <w:szCs w:val="24"/>
          <w:lang w:val="en"/>
        </w:rPr>
        <w:t xml:space="preserve">to be a member of the WTO and </w:t>
      </w:r>
      <w:r w:rsidR="003A4188">
        <w:rPr>
          <w:rFonts w:ascii="Times New Roman" w:hAnsi="Times New Roman" w:cs="Times New Roman"/>
          <w:sz w:val="24"/>
          <w:szCs w:val="24"/>
          <w:lang w:val="en"/>
        </w:rPr>
        <w:t xml:space="preserve">not having </w:t>
      </w:r>
      <w:r w:rsidRPr="00874087">
        <w:rPr>
          <w:rFonts w:ascii="Times New Roman" w:hAnsi="Times New Roman" w:cs="Times New Roman"/>
          <w:sz w:val="24"/>
          <w:szCs w:val="24"/>
          <w:lang w:val="en"/>
        </w:rPr>
        <w:t>bilateral agreements</w:t>
      </w:r>
      <w:r w:rsidR="003A4188">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 xml:space="preserve">only a country or territory in the world would meet the </w:t>
      </w:r>
      <w:r w:rsidR="008A3DE9" w:rsidRPr="00874087">
        <w:rPr>
          <w:rFonts w:ascii="Times New Roman" w:hAnsi="Times New Roman" w:cs="Times New Roman"/>
          <w:sz w:val="24"/>
          <w:szCs w:val="24"/>
          <w:lang w:val="en"/>
        </w:rPr>
        <w:t>definition:</w:t>
      </w:r>
      <w:r w:rsidRPr="00874087">
        <w:rPr>
          <w:rFonts w:ascii="Times New Roman" w:hAnsi="Times New Roman" w:cs="Times New Roman"/>
          <w:sz w:val="24"/>
          <w:szCs w:val="24"/>
          <w:lang w:val="en"/>
        </w:rPr>
        <w:t xml:space="preserve"> Mongolia. Currently all other WTO member countries have at least one free trade agreement (FTA</w:t>
      </w:r>
      <w:r w:rsidR="003A4188">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with another member. Therefore we can assume from the beginning that you can be an advocate of the multilateral system while having </w:t>
      </w:r>
      <w:r w:rsidR="00CC2D12">
        <w:rPr>
          <w:rFonts w:ascii="Times New Roman" w:hAnsi="Times New Roman" w:cs="Times New Roman"/>
          <w:sz w:val="24"/>
          <w:szCs w:val="24"/>
          <w:lang w:val="en"/>
        </w:rPr>
        <w:t xml:space="preserve">preferential trade </w:t>
      </w:r>
      <w:r w:rsidRPr="00874087">
        <w:rPr>
          <w:rFonts w:ascii="Times New Roman" w:hAnsi="Times New Roman" w:cs="Times New Roman"/>
          <w:sz w:val="24"/>
          <w:szCs w:val="24"/>
          <w:lang w:val="en"/>
        </w:rPr>
        <w:t>agreements with third countries.</w:t>
      </w:r>
      <w:r w:rsidRPr="00874087">
        <w:rPr>
          <w:rFonts w:ascii="Times New Roman" w:hAnsi="Times New Roman" w:cs="Times New Roman"/>
          <w:sz w:val="24"/>
          <w:szCs w:val="24"/>
          <w:lang w:val="en"/>
        </w:rPr>
        <w:br/>
      </w:r>
      <w:r w:rsidRPr="00874087">
        <w:rPr>
          <w:rFonts w:ascii="Times New Roman" w:hAnsi="Times New Roman" w:cs="Times New Roman"/>
          <w:sz w:val="24"/>
          <w:szCs w:val="24"/>
          <w:lang w:val="en"/>
        </w:rPr>
        <w:lastRenderedPageBreak/>
        <w:br/>
        <w:t xml:space="preserve">Indeed, the multilateral trading system established after World War </w:t>
      </w:r>
      <w:r w:rsidR="00063046" w:rsidRPr="00874087">
        <w:rPr>
          <w:rFonts w:ascii="Times New Roman" w:hAnsi="Times New Roman" w:cs="Times New Roman"/>
          <w:sz w:val="24"/>
          <w:szCs w:val="24"/>
          <w:lang w:val="en"/>
        </w:rPr>
        <w:t>II in</w:t>
      </w:r>
      <w:r w:rsidRPr="00874087">
        <w:rPr>
          <w:rFonts w:ascii="Times New Roman" w:hAnsi="Times New Roman" w:cs="Times New Roman"/>
          <w:sz w:val="24"/>
          <w:szCs w:val="24"/>
          <w:lang w:val="en"/>
        </w:rPr>
        <w:t xml:space="preserve"> the form of the GATT agreement </w:t>
      </w:r>
      <w:r w:rsidR="00063046">
        <w:rPr>
          <w:rFonts w:ascii="Times New Roman" w:hAnsi="Times New Roman" w:cs="Times New Roman"/>
          <w:sz w:val="24"/>
          <w:szCs w:val="24"/>
          <w:lang w:val="en"/>
        </w:rPr>
        <w:t>contemplated</w:t>
      </w:r>
      <w:r w:rsidRPr="00874087">
        <w:rPr>
          <w:rFonts w:ascii="Times New Roman" w:hAnsi="Times New Roman" w:cs="Times New Roman"/>
          <w:sz w:val="24"/>
          <w:szCs w:val="24"/>
          <w:lang w:val="en"/>
        </w:rPr>
        <w:t xml:space="preserve"> the possibility of breaking with its fundamental </w:t>
      </w:r>
      <w:r w:rsidR="00063046">
        <w:rPr>
          <w:rFonts w:ascii="Times New Roman" w:hAnsi="Times New Roman" w:cs="Times New Roman"/>
          <w:sz w:val="24"/>
          <w:szCs w:val="24"/>
          <w:lang w:val="en"/>
        </w:rPr>
        <w:t xml:space="preserve">principle of non–discrimination in certain circumstances. Article XXIV in particular allowed for </w:t>
      </w:r>
      <w:r w:rsidRPr="00874087">
        <w:rPr>
          <w:rFonts w:ascii="Times New Roman" w:hAnsi="Times New Roman" w:cs="Times New Roman"/>
          <w:sz w:val="24"/>
          <w:szCs w:val="24"/>
          <w:lang w:val="en"/>
        </w:rPr>
        <w:t xml:space="preserve">bilateral agreements </w:t>
      </w:r>
      <w:r w:rsidR="00063046">
        <w:rPr>
          <w:rFonts w:ascii="Times New Roman" w:hAnsi="Times New Roman" w:cs="Times New Roman"/>
          <w:sz w:val="24"/>
          <w:szCs w:val="24"/>
          <w:lang w:val="en"/>
        </w:rPr>
        <w:t xml:space="preserve">establishing </w:t>
      </w:r>
      <w:r w:rsidRPr="00874087">
        <w:rPr>
          <w:rFonts w:ascii="Times New Roman" w:hAnsi="Times New Roman" w:cs="Times New Roman"/>
          <w:sz w:val="24"/>
          <w:szCs w:val="24"/>
          <w:lang w:val="en"/>
        </w:rPr>
        <w:t>fre</w:t>
      </w:r>
      <w:r w:rsidR="00170DEF">
        <w:rPr>
          <w:rFonts w:ascii="Times New Roman" w:hAnsi="Times New Roman" w:cs="Times New Roman"/>
          <w:sz w:val="24"/>
          <w:szCs w:val="24"/>
          <w:lang w:val="en"/>
        </w:rPr>
        <w:t>e trade areas or customs unions</w:t>
      </w:r>
      <w:r w:rsidRPr="00874087">
        <w:rPr>
          <w:rFonts w:ascii="Times New Roman" w:hAnsi="Times New Roman" w:cs="Times New Roman"/>
          <w:sz w:val="24"/>
          <w:szCs w:val="24"/>
          <w:lang w:val="en"/>
        </w:rPr>
        <w:t xml:space="preserve">. In the 1970s, </w:t>
      </w:r>
      <w:r w:rsidR="00170DEF">
        <w:rPr>
          <w:rFonts w:ascii="Times New Roman" w:hAnsi="Times New Roman" w:cs="Times New Roman"/>
          <w:sz w:val="24"/>
          <w:szCs w:val="24"/>
          <w:lang w:val="en"/>
        </w:rPr>
        <w:t xml:space="preserve">moreover, </w:t>
      </w:r>
      <w:r w:rsidRPr="00874087">
        <w:rPr>
          <w:rFonts w:ascii="Times New Roman" w:hAnsi="Times New Roman" w:cs="Times New Roman"/>
          <w:sz w:val="24"/>
          <w:szCs w:val="24"/>
          <w:lang w:val="en"/>
        </w:rPr>
        <w:t xml:space="preserve">the GATT agreement </w:t>
      </w:r>
      <w:r w:rsidR="00170DEF">
        <w:rPr>
          <w:rFonts w:ascii="Times New Roman" w:hAnsi="Times New Roman" w:cs="Times New Roman"/>
          <w:sz w:val="24"/>
          <w:szCs w:val="24"/>
          <w:lang w:val="en"/>
        </w:rPr>
        <w:t>introduced</w:t>
      </w:r>
      <w:r w:rsidR="0099417C">
        <w:rPr>
          <w:rFonts w:ascii="Times New Roman" w:hAnsi="Times New Roman" w:cs="Times New Roman"/>
          <w:sz w:val="24"/>
          <w:szCs w:val="24"/>
          <w:lang w:val="en"/>
        </w:rPr>
        <w:t>,</w:t>
      </w:r>
      <w:r w:rsidR="0099417C" w:rsidRPr="0099417C">
        <w:rPr>
          <w:rFonts w:ascii="Times New Roman" w:hAnsi="Times New Roman" w:cs="Times New Roman"/>
          <w:sz w:val="24"/>
          <w:szCs w:val="24"/>
          <w:lang w:val="en"/>
        </w:rPr>
        <w:t xml:space="preserve"> as a result of pressure from developing countries</w:t>
      </w:r>
      <w:r w:rsidR="0099417C">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the </w:t>
      </w:r>
      <w:r w:rsidR="00170DEF">
        <w:rPr>
          <w:rFonts w:ascii="Times New Roman" w:hAnsi="Times New Roman" w:cs="Times New Roman"/>
          <w:sz w:val="24"/>
          <w:szCs w:val="24"/>
          <w:lang w:val="en"/>
        </w:rPr>
        <w:t>possibility</w:t>
      </w:r>
      <w:r w:rsidRPr="00874087">
        <w:rPr>
          <w:rFonts w:ascii="Times New Roman" w:hAnsi="Times New Roman" w:cs="Times New Roman"/>
          <w:sz w:val="24"/>
          <w:szCs w:val="24"/>
          <w:lang w:val="en"/>
        </w:rPr>
        <w:t xml:space="preserve"> to grant special trade treatment to developing countries.</w:t>
      </w:r>
      <w:r w:rsidRPr="00874087">
        <w:rPr>
          <w:rFonts w:ascii="Times New Roman" w:hAnsi="Times New Roman" w:cs="Times New Roman"/>
          <w:sz w:val="24"/>
          <w:szCs w:val="24"/>
          <w:lang w:val="en"/>
        </w:rPr>
        <w:br/>
      </w:r>
      <w:r w:rsidRPr="00874087">
        <w:rPr>
          <w:rFonts w:ascii="Times New Roman" w:hAnsi="Times New Roman" w:cs="Times New Roman"/>
          <w:sz w:val="24"/>
          <w:szCs w:val="24"/>
          <w:lang w:val="en"/>
        </w:rPr>
        <w:br/>
        <w:t>Therefore, the EU ha</w:t>
      </w:r>
      <w:r w:rsidR="003A65C3">
        <w:rPr>
          <w:rFonts w:ascii="Times New Roman" w:hAnsi="Times New Roman" w:cs="Times New Roman"/>
          <w:sz w:val="24"/>
          <w:szCs w:val="24"/>
          <w:lang w:val="en"/>
        </w:rPr>
        <w:t>ving</w:t>
      </w:r>
      <w:r w:rsidRPr="00874087">
        <w:rPr>
          <w:rFonts w:ascii="Times New Roman" w:hAnsi="Times New Roman" w:cs="Times New Roman"/>
          <w:sz w:val="24"/>
          <w:szCs w:val="24"/>
          <w:lang w:val="en"/>
        </w:rPr>
        <w:t xml:space="preserve"> </w:t>
      </w:r>
      <w:r w:rsidR="002C0B80" w:rsidRPr="00874087">
        <w:rPr>
          <w:rFonts w:ascii="Times New Roman" w:hAnsi="Times New Roman" w:cs="Times New Roman"/>
          <w:sz w:val="24"/>
          <w:szCs w:val="24"/>
          <w:lang w:val="en"/>
        </w:rPr>
        <w:t>(bilateral</w:t>
      </w:r>
      <w:r w:rsidRPr="00874087">
        <w:rPr>
          <w:rFonts w:ascii="Times New Roman" w:hAnsi="Times New Roman" w:cs="Times New Roman"/>
          <w:sz w:val="24"/>
          <w:szCs w:val="24"/>
          <w:lang w:val="en"/>
        </w:rPr>
        <w:t xml:space="preserve"> or regional) preferential agreements with third countries</w:t>
      </w:r>
      <w:r w:rsidR="003A65C3">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 xml:space="preserve">does not </w:t>
      </w:r>
      <w:r w:rsidR="003A65C3">
        <w:rPr>
          <w:rFonts w:ascii="Times New Roman" w:hAnsi="Times New Roman" w:cs="Times New Roman"/>
          <w:sz w:val="24"/>
          <w:szCs w:val="24"/>
          <w:lang w:val="en"/>
        </w:rPr>
        <w:t>automatically</w:t>
      </w:r>
      <w:r w:rsidRPr="00874087">
        <w:rPr>
          <w:rFonts w:ascii="Times New Roman" w:hAnsi="Times New Roman" w:cs="Times New Roman"/>
          <w:sz w:val="24"/>
          <w:szCs w:val="24"/>
          <w:lang w:val="en"/>
        </w:rPr>
        <w:t xml:space="preserve"> mean that </w:t>
      </w:r>
      <w:r w:rsidR="003A65C3">
        <w:rPr>
          <w:rFonts w:ascii="Times New Roman" w:hAnsi="Times New Roman" w:cs="Times New Roman"/>
          <w:sz w:val="24"/>
          <w:szCs w:val="24"/>
          <w:lang w:val="en"/>
        </w:rPr>
        <w:t xml:space="preserve">it is </w:t>
      </w:r>
      <w:r w:rsidRPr="00874087">
        <w:rPr>
          <w:rFonts w:ascii="Times New Roman" w:hAnsi="Times New Roman" w:cs="Times New Roman"/>
          <w:sz w:val="24"/>
          <w:szCs w:val="24"/>
          <w:lang w:val="en"/>
        </w:rPr>
        <w:t xml:space="preserve">conducting a </w:t>
      </w:r>
      <w:r w:rsidR="003A65C3">
        <w:rPr>
          <w:rFonts w:ascii="Times New Roman" w:hAnsi="Times New Roman" w:cs="Times New Roman"/>
          <w:sz w:val="24"/>
          <w:szCs w:val="24"/>
          <w:lang w:val="en"/>
        </w:rPr>
        <w:t>trade</w:t>
      </w:r>
      <w:r w:rsidRPr="00874087">
        <w:rPr>
          <w:rFonts w:ascii="Times New Roman" w:hAnsi="Times New Roman" w:cs="Times New Roman"/>
          <w:sz w:val="24"/>
          <w:szCs w:val="24"/>
          <w:lang w:val="en"/>
        </w:rPr>
        <w:t xml:space="preserve"> strategy contrary to the multilateral system. According to </w:t>
      </w:r>
      <w:r w:rsidR="002C0B80" w:rsidRPr="002C0B80">
        <w:rPr>
          <w:rFonts w:ascii="Times New Roman" w:hAnsi="Times New Roman" w:cs="Times New Roman"/>
          <w:sz w:val="24"/>
          <w:szCs w:val="24"/>
          <w:lang w:val="en"/>
        </w:rPr>
        <w:t xml:space="preserve">Pascal </w:t>
      </w:r>
      <w:proofErr w:type="spellStart"/>
      <w:r w:rsidR="002C0B80" w:rsidRPr="002C0B80">
        <w:rPr>
          <w:rFonts w:ascii="Times New Roman" w:hAnsi="Times New Roman" w:cs="Times New Roman"/>
          <w:sz w:val="24"/>
          <w:szCs w:val="24"/>
          <w:lang w:val="en"/>
        </w:rPr>
        <w:t>Lamy</w:t>
      </w:r>
      <w:proofErr w:type="spellEnd"/>
      <w:r w:rsidR="002C0B80" w:rsidRPr="002C0B80">
        <w:rPr>
          <w:rFonts w:ascii="Times New Roman" w:hAnsi="Times New Roman" w:cs="Times New Roman"/>
          <w:sz w:val="24"/>
          <w:szCs w:val="24"/>
          <w:lang w:val="en"/>
        </w:rPr>
        <w:t xml:space="preserve"> (2013: 29)</w:t>
      </w:r>
      <w:r w:rsidR="002C0B80">
        <w:rPr>
          <w:rFonts w:ascii="Times New Roman" w:hAnsi="Times New Roman" w:cs="Times New Roman"/>
          <w:sz w:val="24"/>
          <w:szCs w:val="24"/>
          <w:lang w:val="en"/>
        </w:rPr>
        <w:t xml:space="preserve">, </w:t>
      </w:r>
      <w:r w:rsidR="002C0B80" w:rsidRPr="002C0B80">
        <w:rPr>
          <w:rFonts w:ascii="Times New Roman" w:hAnsi="Times New Roman" w:cs="Times New Roman"/>
          <w:sz w:val="24"/>
          <w:szCs w:val="24"/>
          <w:lang w:val="en"/>
        </w:rPr>
        <w:t>Director</w:t>
      </w:r>
      <w:r w:rsidRPr="00874087">
        <w:rPr>
          <w:rFonts w:ascii="Times New Roman" w:hAnsi="Times New Roman" w:cs="Times New Roman"/>
          <w:sz w:val="24"/>
          <w:szCs w:val="24"/>
          <w:lang w:val="en"/>
        </w:rPr>
        <w:t xml:space="preserve"> General of the WTO in 2005-2013 and Trade Commissioner of the EU from 1999 to 2004</w:t>
      </w:r>
      <w:r w:rsidR="002C0B80">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w:t>
      </w:r>
      <w:r w:rsidR="002C0B80" w:rsidRPr="00874087">
        <w:rPr>
          <w:rFonts w:ascii="Times New Roman" w:hAnsi="Times New Roman" w:cs="Times New Roman"/>
          <w:sz w:val="24"/>
          <w:szCs w:val="24"/>
          <w:lang w:val="en"/>
        </w:rPr>
        <w:t>“</w:t>
      </w:r>
      <w:r w:rsidRPr="00874087">
        <w:rPr>
          <w:rFonts w:ascii="Times New Roman" w:hAnsi="Times New Roman" w:cs="Times New Roman"/>
          <w:sz w:val="24"/>
          <w:szCs w:val="24"/>
          <w:lang w:val="en"/>
        </w:rPr>
        <w:t>multilateralism is opposed to protectionism</w:t>
      </w:r>
      <w:r w:rsidR="002C0B80">
        <w:rPr>
          <w:rFonts w:ascii="Times New Roman" w:hAnsi="Times New Roman" w:cs="Times New Roman"/>
          <w:sz w:val="24"/>
          <w:szCs w:val="24"/>
          <w:lang w:val="en"/>
        </w:rPr>
        <w:t xml:space="preserve"> not regionalism</w:t>
      </w:r>
      <w:r w:rsidRPr="00874087">
        <w:rPr>
          <w:rFonts w:ascii="Times New Roman" w:hAnsi="Times New Roman" w:cs="Times New Roman"/>
          <w:sz w:val="24"/>
          <w:szCs w:val="24"/>
          <w:lang w:val="en"/>
        </w:rPr>
        <w:t>." However</w:t>
      </w:r>
      <w:r w:rsidR="002C0B80">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the multilateral system is only willing to accept bilateral or regional agreements </w:t>
      </w:r>
      <w:r w:rsidR="002C0B80">
        <w:rPr>
          <w:rFonts w:ascii="Times New Roman" w:hAnsi="Times New Roman" w:cs="Times New Roman"/>
          <w:sz w:val="24"/>
          <w:szCs w:val="24"/>
          <w:lang w:val="en"/>
        </w:rPr>
        <w:t xml:space="preserve">if </w:t>
      </w:r>
      <w:r w:rsidRPr="00874087">
        <w:rPr>
          <w:rFonts w:ascii="Times New Roman" w:hAnsi="Times New Roman" w:cs="Times New Roman"/>
          <w:sz w:val="24"/>
          <w:szCs w:val="24"/>
          <w:lang w:val="en"/>
        </w:rPr>
        <w:t xml:space="preserve">they allow </w:t>
      </w:r>
      <w:r w:rsidR="002C0B80">
        <w:rPr>
          <w:rFonts w:ascii="Times New Roman" w:hAnsi="Times New Roman" w:cs="Times New Roman"/>
          <w:sz w:val="24"/>
          <w:szCs w:val="24"/>
          <w:lang w:val="en"/>
        </w:rPr>
        <w:t xml:space="preserve">for </w:t>
      </w:r>
      <w:r w:rsidRPr="00874087">
        <w:rPr>
          <w:rFonts w:ascii="Times New Roman" w:hAnsi="Times New Roman" w:cs="Times New Roman"/>
          <w:sz w:val="24"/>
          <w:szCs w:val="24"/>
          <w:lang w:val="en"/>
        </w:rPr>
        <w:t>greater trade liberalization. More specifically, these agreements must meet ce</w:t>
      </w:r>
      <w:r w:rsidR="00785E26">
        <w:rPr>
          <w:rFonts w:ascii="Times New Roman" w:hAnsi="Times New Roman" w:cs="Times New Roman"/>
          <w:sz w:val="24"/>
          <w:szCs w:val="24"/>
          <w:lang w:val="en"/>
        </w:rPr>
        <w:t>rtain conditions to be accepted</w:t>
      </w:r>
      <w:r w:rsidRPr="00874087">
        <w:rPr>
          <w:rFonts w:ascii="Times New Roman" w:hAnsi="Times New Roman" w:cs="Times New Roman"/>
          <w:sz w:val="24"/>
          <w:szCs w:val="24"/>
          <w:lang w:val="en"/>
        </w:rPr>
        <w:t>:</w:t>
      </w:r>
      <w:r w:rsidR="00785E26" w:rsidRPr="00785E26">
        <w:rPr>
          <w:rFonts w:ascii="Times New Roman" w:eastAsia="Times New Roman" w:hAnsi="Times New Roman" w:cs="Times New Roman"/>
          <w:sz w:val="24"/>
          <w:szCs w:val="24"/>
          <w:vertAlign w:val="superscript"/>
          <w:lang w:val="en-GB" w:eastAsia="es-ES"/>
        </w:rPr>
        <w:t xml:space="preserve"> </w:t>
      </w:r>
      <w:r w:rsidR="00785E26" w:rsidRPr="00785E26">
        <w:rPr>
          <w:rFonts w:ascii="Times New Roman" w:hAnsi="Times New Roman" w:cs="Times New Roman"/>
          <w:sz w:val="24"/>
          <w:szCs w:val="24"/>
          <w:vertAlign w:val="superscript"/>
        </w:rPr>
        <w:footnoteReference w:id="2"/>
      </w:r>
    </w:p>
    <w:p w:rsidR="00A22DF2" w:rsidRDefault="00D86C8D" w:rsidP="00C836AB">
      <w:pPr>
        <w:jc w:val="both"/>
        <w:rPr>
          <w:rFonts w:ascii="Times New Roman" w:eastAsia="Times New Roman" w:hAnsi="Times New Roman" w:cs="Times New Roman"/>
          <w:sz w:val="24"/>
          <w:szCs w:val="24"/>
          <w:vertAlign w:val="superscript"/>
          <w:lang w:val="en-GB" w:eastAsia="es-ES"/>
        </w:rPr>
      </w:pPr>
      <w:r w:rsidRPr="00874087">
        <w:rPr>
          <w:rFonts w:ascii="Times New Roman" w:hAnsi="Times New Roman" w:cs="Times New Roman"/>
          <w:sz w:val="24"/>
          <w:szCs w:val="24"/>
          <w:lang w:val="en"/>
        </w:rPr>
        <w:br/>
        <w:t xml:space="preserve">1) </w:t>
      </w:r>
      <w:proofErr w:type="gramStart"/>
      <w:r w:rsidR="00785E26" w:rsidRPr="00874087">
        <w:rPr>
          <w:rFonts w:ascii="Times New Roman" w:hAnsi="Times New Roman" w:cs="Times New Roman"/>
          <w:sz w:val="24"/>
          <w:szCs w:val="24"/>
          <w:lang w:val="en"/>
        </w:rPr>
        <w:t>they</w:t>
      </w:r>
      <w:proofErr w:type="gramEnd"/>
      <w:r w:rsidRPr="00874087">
        <w:rPr>
          <w:rFonts w:ascii="Times New Roman" w:hAnsi="Times New Roman" w:cs="Times New Roman"/>
          <w:sz w:val="24"/>
          <w:szCs w:val="24"/>
          <w:lang w:val="en"/>
        </w:rPr>
        <w:t xml:space="preserve"> must affect all </w:t>
      </w:r>
      <w:r w:rsidR="002C0B80">
        <w:rPr>
          <w:rFonts w:ascii="Times New Roman" w:hAnsi="Times New Roman" w:cs="Times New Roman"/>
          <w:sz w:val="24"/>
          <w:szCs w:val="24"/>
          <w:lang w:val="en"/>
        </w:rPr>
        <w:t>commercial exchanges</w:t>
      </w:r>
      <w:r w:rsidRPr="00874087">
        <w:rPr>
          <w:rFonts w:ascii="Times New Roman" w:hAnsi="Times New Roman" w:cs="Times New Roman"/>
          <w:sz w:val="24"/>
          <w:szCs w:val="24"/>
          <w:lang w:val="en"/>
        </w:rPr>
        <w:t xml:space="preserve"> or </w:t>
      </w:r>
      <w:r w:rsidR="002C0B80">
        <w:rPr>
          <w:rFonts w:ascii="Times New Roman" w:hAnsi="Times New Roman" w:cs="Times New Roman"/>
          <w:sz w:val="24"/>
          <w:szCs w:val="24"/>
          <w:lang w:val="en"/>
        </w:rPr>
        <w:t xml:space="preserve">an </w:t>
      </w:r>
      <w:r w:rsidRPr="00874087">
        <w:rPr>
          <w:rFonts w:ascii="Times New Roman" w:hAnsi="Times New Roman" w:cs="Times New Roman"/>
          <w:sz w:val="24"/>
          <w:szCs w:val="24"/>
          <w:lang w:val="en"/>
        </w:rPr>
        <w:t xml:space="preserve">"essential" part of </w:t>
      </w:r>
      <w:r w:rsidR="00785E26" w:rsidRPr="00874087">
        <w:rPr>
          <w:rFonts w:ascii="Times New Roman" w:hAnsi="Times New Roman" w:cs="Times New Roman"/>
          <w:sz w:val="24"/>
          <w:szCs w:val="24"/>
          <w:lang w:val="en"/>
        </w:rPr>
        <w:t>them.</w:t>
      </w:r>
      <w:r w:rsidRPr="00874087">
        <w:rPr>
          <w:rFonts w:ascii="Times New Roman" w:hAnsi="Times New Roman" w:cs="Times New Roman"/>
          <w:sz w:val="24"/>
          <w:szCs w:val="24"/>
          <w:lang w:val="en"/>
        </w:rPr>
        <w:br/>
        <w:t>2) In the case of customs union</w:t>
      </w:r>
      <w:r w:rsidR="000A0D8C">
        <w:rPr>
          <w:rFonts w:ascii="Times New Roman" w:hAnsi="Times New Roman" w:cs="Times New Roman"/>
          <w:sz w:val="24"/>
          <w:szCs w:val="24"/>
          <w:lang w:val="en"/>
        </w:rPr>
        <w:t>s, the</w:t>
      </w:r>
      <w:r w:rsidRPr="00874087">
        <w:rPr>
          <w:rFonts w:ascii="Times New Roman" w:hAnsi="Times New Roman" w:cs="Times New Roman"/>
          <w:sz w:val="24"/>
          <w:szCs w:val="24"/>
          <w:lang w:val="en"/>
        </w:rPr>
        <w:t xml:space="preserve"> common external tariff should not </w:t>
      </w:r>
      <w:r w:rsidR="000A0D8C">
        <w:rPr>
          <w:rFonts w:ascii="Times New Roman" w:hAnsi="Times New Roman" w:cs="Times New Roman"/>
          <w:sz w:val="24"/>
          <w:szCs w:val="24"/>
          <w:lang w:val="en"/>
        </w:rPr>
        <w:t>imply</w:t>
      </w:r>
      <w:r w:rsidRPr="00874087">
        <w:rPr>
          <w:rFonts w:ascii="Times New Roman" w:hAnsi="Times New Roman" w:cs="Times New Roman"/>
          <w:sz w:val="24"/>
          <w:szCs w:val="24"/>
          <w:lang w:val="en"/>
        </w:rPr>
        <w:t xml:space="preserve"> greater protection against third countries. If this is so, </w:t>
      </w:r>
      <w:r w:rsidR="005E4CA4">
        <w:rPr>
          <w:rFonts w:ascii="Times New Roman" w:hAnsi="Times New Roman" w:cs="Times New Roman"/>
          <w:sz w:val="24"/>
          <w:szCs w:val="24"/>
          <w:lang w:val="en"/>
        </w:rPr>
        <w:t>the union</w:t>
      </w:r>
      <w:r w:rsidRPr="00874087">
        <w:rPr>
          <w:rFonts w:ascii="Times New Roman" w:hAnsi="Times New Roman" w:cs="Times New Roman"/>
          <w:sz w:val="24"/>
          <w:szCs w:val="24"/>
          <w:lang w:val="en"/>
        </w:rPr>
        <w:t xml:space="preserve"> should compensate for the added protection with tariff reductions in other </w:t>
      </w:r>
      <w:r w:rsidR="00785E26">
        <w:rPr>
          <w:rFonts w:ascii="Times New Roman" w:hAnsi="Times New Roman" w:cs="Times New Roman"/>
          <w:sz w:val="24"/>
          <w:szCs w:val="24"/>
          <w:lang w:val="en"/>
        </w:rPr>
        <w:t>tariff headings</w:t>
      </w:r>
      <w:r w:rsidRPr="00874087">
        <w:rPr>
          <w:rFonts w:ascii="Times New Roman" w:hAnsi="Times New Roman" w:cs="Times New Roman"/>
          <w:sz w:val="24"/>
          <w:szCs w:val="24"/>
          <w:lang w:val="en"/>
        </w:rPr>
        <w:t>.</w:t>
      </w:r>
      <w:r w:rsidRPr="00874087">
        <w:rPr>
          <w:rFonts w:ascii="Times New Roman" w:hAnsi="Times New Roman" w:cs="Times New Roman"/>
          <w:sz w:val="24"/>
          <w:szCs w:val="24"/>
          <w:lang w:val="en"/>
        </w:rPr>
        <w:br/>
        <w:t>3) Regional arrangements should be carried out within a maximum of 10 years.</w:t>
      </w:r>
      <w:r w:rsidRPr="00874087">
        <w:rPr>
          <w:rFonts w:ascii="Times New Roman" w:hAnsi="Times New Roman" w:cs="Times New Roman"/>
          <w:sz w:val="24"/>
          <w:szCs w:val="24"/>
          <w:lang w:val="en"/>
        </w:rPr>
        <w:br/>
      </w:r>
      <w:r w:rsidRPr="00874087">
        <w:rPr>
          <w:rFonts w:ascii="Times New Roman" w:hAnsi="Times New Roman" w:cs="Times New Roman"/>
          <w:sz w:val="24"/>
          <w:szCs w:val="24"/>
          <w:lang w:val="en"/>
        </w:rPr>
        <w:br/>
        <w:t>The validity of these conditions has been endorsed by the analysis of the</w:t>
      </w:r>
      <w:r w:rsidR="00F7734E">
        <w:rPr>
          <w:rFonts w:ascii="Times New Roman" w:hAnsi="Times New Roman" w:cs="Times New Roman"/>
          <w:sz w:val="24"/>
          <w:szCs w:val="24"/>
          <w:lang w:val="en"/>
        </w:rPr>
        <w:t xml:space="preserve"> bilateralism-multilateralism</w:t>
      </w:r>
      <w:r w:rsidRPr="00874087">
        <w:rPr>
          <w:rFonts w:ascii="Times New Roman" w:hAnsi="Times New Roman" w:cs="Times New Roman"/>
          <w:sz w:val="24"/>
          <w:szCs w:val="24"/>
          <w:lang w:val="en"/>
        </w:rPr>
        <w:t xml:space="preserve"> </w:t>
      </w:r>
      <w:r w:rsidR="003D18C7">
        <w:rPr>
          <w:rFonts w:ascii="Times New Roman" w:hAnsi="Times New Roman" w:cs="Times New Roman"/>
          <w:sz w:val="24"/>
          <w:szCs w:val="24"/>
          <w:lang w:val="en"/>
        </w:rPr>
        <w:t>rapport</w:t>
      </w:r>
      <w:r w:rsidRPr="00874087">
        <w:rPr>
          <w:rFonts w:ascii="Times New Roman" w:hAnsi="Times New Roman" w:cs="Times New Roman"/>
          <w:sz w:val="24"/>
          <w:szCs w:val="24"/>
          <w:lang w:val="en"/>
        </w:rPr>
        <w:t xml:space="preserve"> conducted from a</w:t>
      </w:r>
      <w:r w:rsidR="003D18C7">
        <w:rPr>
          <w:rFonts w:ascii="Times New Roman" w:hAnsi="Times New Roman" w:cs="Times New Roman"/>
          <w:sz w:val="24"/>
          <w:szCs w:val="24"/>
          <w:lang w:val="en"/>
        </w:rPr>
        <w:t>n economic policy perspective</w:t>
      </w:r>
      <w:r w:rsidRPr="00874087">
        <w:rPr>
          <w:rFonts w:ascii="Times New Roman" w:hAnsi="Times New Roman" w:cs="Times New Roman"/>
          <w:sz w:val="24"/>
          <w:szCs w:val="24"/>
          <w:lang w:val="en"/>
        </w:rPr>
        <w:t>. Economists</w:t>
      </w:r>
      <w:r w:rsidR="003D18C7">
        <w:rPr>
          <w:rFonts w:ascii="Times New Roman" w:hAnsi="Times New Roman" w:cs="Times New Roman"/>
          <w:sz w:val="24"/>
          <w:szCs w:val="24"/>
          <w:lang w:val="en"/>
        </w:rPr>
        <w:t xml:space="preserve"> such</w:t>
      </w:r>
      <w:r w:rsidRPr="00874087">
        <w:rPr>
          <w:rFonts w:ascii="Times New Roman" w:hAnsi="Times New Roman" w:cs="Times New Roman"/>
          <w:sz w:val="24"/>
          <w:szCs w:val="24"/>
          <w:lang w:val="en"/>
        </w:rPr>
        <w:t xml:space="preserve"> as Baldwin (1993, 2006, </w:t>
      </w:r>
      <w:proofErr w:type="gramStart"/>
      <w:r w:rsidRPr="00874087">
        <w:rPr>
          <w:rFonts w:ascii="Times New Roman" w:hAnsi="Times New Roman" w:cs="Times New Roman"/>
          <w:sz w:val="24"/>
          <w:szCs w:val="24"/>
          <w:lang w:val="en"/>
        </w:rPr>
        <w:t>2013</w:t>
      </w:r>
      <w:proofErr w:type="gramEnd"/>
      <w:r w:rsidRPr="00874087">
        <w:rPr>
          <w:rFonts w:ascii="Times New Roman" w:hAnsi="Times New Roman" w:cs="Times New Roman"/>
          <w:sz w:val="24"/>
          <w:szCs w:val="24"/>
          <w:lang w:val="en"/>
        </w:rPr>
        <w:t xml:space="preserve">) </w:t>
      </w:r>
      <w:r w:rsidR="00F7734E">
        <w:rPr>
          <w:rFonts w:ascii="Times New Roman" w:hAnsi="Times New Roman" w:cs="Times New Roman"/>
          <w:sz w:val="24"/>
          <w:szCs w:val="24"/>
          <w:lang w:val="en"/>
        </w:rPr>
        <w:t xml:space="preserve">have </w:t>
      </w:r>
      <w:r w:rsidRPr="00874087">
        <w:rPr>
          <w:rFonts w:ascii="Times New Roman" w:hAnsi="Times New Roman" w:cs="Times New Roman"/>
          <w:sz w:val="24"/>
          <w:szCs w:val="24"/>
          <w:lang w:val="en"/>
        </w:rPr>
        <w:t>argue</w:t>
      </w:r>
      <w:r w:rsidR="00F7734E">
        <w:rPr>
          <w:rFonts w:ascii="Times New Roman" w:hAnsi="Times New Roman" w:cs="Times New Roman"/>
          <w:sz w:val="24"/>
          <w:szCs w:val="24"/>
          <w:lang w:val="en"/>
        </w:rPr>
        <w:t>d</w:t>
      </w:r>
      <w:r w:rsidRPr="00874087">
        <w:rPr>
          <w:rFonts w:ascii="Times New Roman" w:hAnsi="Times New Roman" w:cs="Times New Roman"/>
          <w:sz w:val="24"/>
          <w:szCs w:val="24"/>
          <w:lang w:val="en"/>
        </w:rPr>
        <w:t xml:space="preserve"> that bilateralism and multilateralism </w:t>
      </w:r>
      <w:r w:rsidR="003D18C7">
        <w:rPr>
          <w:rFonts w:ascii="Times New Roman" w:hAnsi="Times New Roman" w:cs="Times New Roman"/>
          <w:sz w:val="24"/>
          <w:szCs w:val="24"/>
          <w:lang w:val="en"/>
        </w:rPr>
        <w:t xml:space="preserve">may </w:t>
      </w:r>
      <w:r w:rsidRPr="00874087">
        <w:rPr>
          <w:rFonts w:ascii="Times New Roman" w:hAnsi="Times New Roman" w:cs="Times New Roman"/>
          <w:sz w:val="24"/>
          <w:szCs w:val="24"/>
          <w:lang w:val="en"/>
        </w:rPr>
        <w:t>fe</w:t>
      </w:r>
      <w:r w:rsidR="003D18C7">
        <w:rPr>
          <w:rFonts w:ascii="Times New Roman" w:hAnsi="Times New Roman" w:cs="Times New Roman"/>
          <w:sz w:val="24"/>
          <w:szCs w:val="24"/>
          <w:lang w:val="en"/>
        </w:rPr>
        <w:t>e</w:t>
      </w:r>
      <w:r w:rsidRPr="00874087">
        <w:rPr>
          <w:rFonts w:ascii="Times New Roman" w:hAnsi="Times New Roman" w:cs="Times New Roman"/>
          <w:sz w:val="24"/>
          <w:szCs w:val="24"/>
          <w:lang w:val="en"/>
        </w:rPr>
        <w:t xml:space="preserve">dback </w:t>
      </w:r>
      <w:r w:rsidR="003D18C7">
        <w:rPr>
          <w:rFonts w:ascii="Times New Roman" w:hAnsi="Times New Roman" w:cs="Times New Roman"/>
          <w:sz w:val="24"/>
          <w:szCs w:val="24"/>
          <w:lang w:val="en"/>
        </w:rPr>
        <w:t xml:space="preserve">each other </w:t>
      </w:r>
      <w:r w:rsidRPr="00874087">
        <w:rPr>
          <w:rFonts w:ascii="Times New Roman" w:hAnsi="Times New Roman" w:cs="Times New Roman"/>
          <w:sz w:val="24"/>
          <w:szCs w:val="24"/>
          <w:lang w:val="en"/>
        </w:rPr>
        <w:t xml:space="preserve">and in fact have done so. This position </w:t>
      </w:r>
      <w:r w:rsidR="00743393">
        <w:rPr>
          <w:rFonts w:ascii="Times New Roman" w:hAnsi="Times New Roman" w:cs="Times New Roman"/>
          <w:sz w:val="24"/>
          <w:szCs w:val="24"/>
          <w:lang w:val="en"/>
        </w:rPr>
        <w:t>feeds</w:t>
      </w:r>
      <w:r w:rsidRPr="00874087">
        <w:rPr>
          <w:rFonts w:ascii="Times New Roman" w:hAnsi="Times New Roman" w:cs="Times New Roman"/>
          <w:sz w:val="24"/>
          <w:szCs w:val="24"/>
          <w:lang w:val="en"/>
        </w:rPr>
        <w:t xml:space="preserve"> largely on the effects of trade creation </w:t>
      </w:r>
      <w:r w:rsidR="003D18C7">
        <w:rPr>
          <w:rFonts w:ascii="Times New Roman" w:hAnsi="Times New Roman" w:cs="Times New Roman"/>
          <w:sz w:val="24"/>
          <w:szCs w:val="24"/>
          <w:lang w:val="en"/>
        </w:rPr>
        <w:t>that ensue from</w:t>
      </w:r>
      <w:r w:rsidRPr="00874087">
        <w:rPr>
          <w:rFonts w:ascii="Times New Roman" w:hAnsi="Times New Roman" w:cs="Times New Roman"/>
          <w:sz w:val="24"/>
          <w:szCs w:val="24"/>
          <w:lang w:val="en"/>
        </w:rPr>
        <w:t xml:space="preserve"> bilateral agreements and considers that these arrangements may be </w:t>
      </w:r>
      <w:r w:rsidR="003D18C7">
        <w:rPr>
          <w:rFonts w:ascii="Times New Roman" w:hAnsi="Times New Roman" w:cs="Times New Roman"/>
          <w:sz w:val="24"/>
          <w:szCs w:val="24"/>
          <w:lang w:val="en"/>
        </w:rPr>
        <w:t>building blocks of</w:t>
      </w:r>
      <w:r w:rsidRPr="00874087">
        <w:rPr>
          <w:rFonts w:ascii="Times New Roman" w:hAnsi="Times New Roman" w:cs="Times New Roman"/>
          <w:sz w:val="24"/>
          <w:szCs w:val="24"/>
          <w:lang w:val="en"/>
        </w:rPr>
        <w:t xml:space="preserve"> multilateralism </w:t>
      </w:r>
      <w:r w:rsidR="003D18C7">
        <w:rPr>
          <w:rFonts w:ascii="Times New Roman" w:hAnsi="Times New Roman" w:cs="Times New Roman"/>
          <w:sz w:val="24"/>
          <w:szCs w:val="24"/>
          <w:lang w:val="en"/>
        </w:rPr>
        <w:t xml:space="preserve">in the </w:t>
      </w:r>
      <w:r w:rsidRPr="00874087">
        <w:rPr>
          <w:rFonts w:ascii="Times New Roman" w:hAnsi="Times New Roman" w:cs="Times New Roman"/>
          <w:sz w:val="24"/>
          <w:szCs w:val="24"/>
          <w:lang w:val="en"/>
        </w:rPr>
        <w:t xml:space="preserve">medium to long term. Other authors such as </w:t>
      </w:r>
      <w:proofErr w:type="spellStart"/>
      <w:r w:rsidRPr="00874087">
        <w:rPr>
          <w:rFonts w:ascii="Times New Roman" w:hAnsi="Times New Roman" w:cs="Times New Roman"/>
          <w:sz w:val="24"/>
          <w:szCs w:val="24"/>
          <w:lang w:val="en"/>
        </w:rPr>
        <w:t>Bhagwati</w:t>
      </w:r>
      <w:proofErr w:type="spellEnd"/>
      <w:r w:rsidRPr="00874087">
        <w:rPr>
          <w:rFonts w:ascii="Times New Roman" w:hAnsi="Times New Roman" w:cs="Times New Roman"/>
          <w:sz w:val="24"/>
          <w:szCs w:val="24"/>
          <w:lang w:val="en"/>
        </w:rPr>
        <w:t xml:space="preserve"> (1991, 2008) argue instead that bilateralism can erode multilateralism mainly due to trade diversion</w:t>
      </w:r>
      <w:r w:rsidR="00453640">
        <w:rPr>
          <w:rFonts w:ascii="Times New Roman" w:hAnsi="Times New Roman" w:cs="Times New Roman"/>
          <w:sz w:val="24"/>
          <w:szCs w:val="24"/>
          <w:lang w:val="en"/>
        </w:rPr>
        <w:t xml:space="preserve"> effects, that is, to the inherent discrimination in market access these agreements imply</w:t>
      </w:r>
      <w:r w:rsidRPr="00874087">
        <w:rPr>
          <w:rFonts w:ascii="Times New Roman" w:hAnsi="Times New Roman" w:cs="Times New Roman"/>
          <w:sz w:val="24"/>
          <w:szCs w:val="24"/>
          <w:lang w:val="en"/>
        </w:rPr>
        <w:t xml:space="preserve">. This view </w:t>
      </w:r>
      <w:r w:rsidR="003D18C7">
        <w:rPr>
          <w:rFonts w:ascii="Times New Roman" w:hAnsi="Times New Roman" w:cs="Times New Roman"/>
          <w:sz w:val="24"/>
          <w:szCs w:val="24"/>
          <w:lang w:val="en"/>
        </w:rPr>
        <w:t>sustains</w:t>
      </w:r>
      <w:r w:rsidRPr="00874087">
        <w:rPr>
          <w:rFonts w:ascii="Times New Roman" w:hAnsi="Times New Roman" w:cs="Times New Roman"/>
          <w:sz w:val="24"/>
          <w:szCs w:val="24"/>
          <w:lang w:val="en"/>
        </w:rPr>
        <w:t xml:space="preserve"> that bilateral agreements </w:t>
      </w:r>
      <w:r w:rsidR="003D18C7">
        <w:rPr>
          <w:rFonts w:ascii="Times New Roman" w:hAnsi="Times New Roman" w:cs="Times New Roman"/>
          <w:sz w:val="24"/>
          <w:szCs w:val="24"/>
          <w:lang w:val="en"/>
        </w:rPr>
        <w:t>are</w:t>
      </w:r>
      <w:r w:rsidRPr="00874087">
        <w:rPr>
          <w:rFonts w:ascii="Times New Roman" w:hAnsi="Times New Roman" w:cs="Times New Roman"/>
          <w:sz w:val="24"/>
          <w:szCs w:val="24"/>
          <w:lang w:val="en"/>
        </w:rPr>
        <w:t xml:space="preserve"> </w:t>
      </w:r>
      <w:r w:rsidR="003D18C7">
        <w:rPr>
          <w:rFonts w:ascii="Times New Roman" w:hAnsi="Times New Roman" w:cs="Times New Roman"/>
          <w:sz w:val="24"/>
          <w:szCs w:val="24"/>
          <w:lang w:val="en"/>
        </w:rPr>
        <w:t xml:space="preserve">stumbling blocks to the </w:t>
      </w:r>
      <w:r w:rsidRPr="00874087">
        <w:rPr>
          <w:rFonts w:ascii="Times New Roman" w:hAnsi="Times New Roman" w:cs="Times New Roman"/>
          <w:sz w:val="24"/>
          <w:szCs w:val="24"/>
          <w:lang w:val="en"/>
        </w:rPr>
        <w:t xml:space="preserve">multilateral system </w:t>
      </w:r>
      <w:r w:rsidR="003D18C7">
        <w:rPr>
          <w:rFonts w:ascii="Times New Roman" w:hAnsi="Times New Roman" w:cs="Times New Roman"/>
          <w:sz w:val="24"/>
          <w:szCs w:val="24"/>
          <w:lang w:val="en"/>
        </w:rPr>
        <w:t xml:space="preserve">as </w:t>
      </w:r>
      <w:r w:rsidRPr="00874087">
        <w:rPr>
          <w:rFonts w:ascii="Times New Roman" w:hAnsi="Times New Roman" w:cs="Times New Roman"/>
          <w:sz w:val="24"/>
          <w:szCs w:val="24"/>
          <w:lang w:val="en"/>
        </w:rPr>
        <w:t xml:space="preserve">such a tangle of agreements - ' </w:t>
      </w:r>
      <w:r w:rsidR="003D18C7" w:rsidRPr="00874087">
        <w:rPr>
          <w:rFonts w:ascii="Times New Roman" w:hAnsi="Times New Roman" w:cs="Times New Roman"/>
          <w:sz w:val="24"/>
          <w:szCs w:val="24"/>
          <w:lang w:val="en"/>
        </w:rPr>
        <w:t>spaghettis</w:t>
      </w:r>
      <w:r w:rsidRPr="00874087">
        <w:rPr>
          <w:rFonts w:ascii="Times New Roman" w:hAnsi="Times New Roman" w:cs="Times New Roman"/>
          <w:sz w:val="24"/>
          <w:szCs w:val="24"/>
          <w:lang w:val="en"/>
        </w:rPr>
        <w:t xml:space="preserve"> bowls</w:t>
      </w:r>
      <w:r w:rsidR="003D18C7">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 hinder trade. </w:t>
      </w:r>
      <w:r w:rsidR="004D204B">
        <w:rPr>
          <w:rFonts w:ascii="Times New Roman" w:hAnsi="Times New Roman" w:cs="Times New Roman"/>
          <w:sz w:val="24"/>
          <w:szCs w:val="24"/>
          <w:lang w:val="en"/>
        </w:rPr>
        <w:t>As b</w:t>
      </w:r>
      <w:r w:rsidRPr="00874087">
        <w:rPr>
          <w:rFonts w:ascii="Times New Roman" w:hAnsi="Times New Roman" w:cs="Times New Roman"/>
          <w:sz w:val="24"/>
          <w:szCs w:val="24"/>
          <w:lang w:val="en"/>
        </w:rPr>
        <w:t>oth positions are based on empirical evidence</w:t>
      </w:r>
      <w:r w:rsidR="004D204B">
        <w:rPr>
          <w:rFonts w:ascii="Times New Roman" w:hAnsi="Times New Roman" w:cs="Times New Roman"/>
          <w:sz w:val="24"/>
          <w:szCs w:val="24"/>
          <w:lang w:val="en"/>
        </w:rPr>
        <w:t xml:space="preserve">, one can conclude that </w:t>
      </w:r>
      <w:r w:rsidRPr="00874087">
        <w:rPr>
          <w:rFonts w:ascii="Times New Roman" w:hAnsi="Times New Roman" w:cs="Times New Roman"/>
          <w:sz w:val="24"/>
          <w:szCs w:val="24"/>
          <w:lang w:val="en"/>
        </w:rPr>
        <w:t xml:space="preserve">the nature of bilateral agreements can determine </w:t>
      </w:r>
      <w:r w:rsidR="004054E9">
        <w:rPr>
          <w:rFonts w:ascii="Times New Roman" w:hAnsi="Times New Roman" w:cs="Times New Roman"/>
          <w:sz w:val="24"/>
          <w:szCs w:val="24"/>
          <w:lang w:val="en"/>
        </w:rPr>
        <w:t>their</w:t>
      </w:r>
      <w:r w:rsidRPr="00874087">
        <w:rPr>
          <w:rFonts w:ascii="Times New Roman" w:hAnsi="Times New Roman" w:cs="Times New Roman"/>
          <w:sz w:val="24"/>
          <w:szCs w:val="24"/>
          <w:lang w:val="en"/>
        </w:rPr>
        <w:t xml:space="preserve"> compatibility with the multilateral system: the more trade creation </w:t>
      </w:r>
      <w:r w:rsidR="003D18C7">
        <w:rPr>
          <w:rFonts w:ascii="Times New Roman" w:hAnsi="Times New Roman" w:cs="Times New Roman"/>
          <w:sz w:val="24"/>
          <w:szCs w:val="24"/>
          <w:lang w:val="en"/>
        </w:rPr>
        <w:t xml:space="preserve">versus </w:t>
      </w:r>
      <w:r w:rsidRPr="00874087">
        <w:rPr>
          <w:rFonts w:ascii="Times New Roman" w:hAnsi="Times New Roman" w:cs="Times New Roman"/>
          <w:sz w:val="24"/>
          <w:szCs w:val="24"/>
          <w:lang w:val="en"/>
        </w:rPr>
        <w:t xml:space="preserve">trade </w:t>
      </w:r>
      <w:r w:rsidRPr="00874087">
        <w:rPr>
          <w:rFonts w:ascii="Times New Roman" w:hAnsi="Times New Roman" w:cs="Times New Roman"/>
          <w:sz w:val="24"/>
          <w:szCs w:val="24"/>
          <w:lang w:val="en"/>
        </w:rPr>
        <w:lastRenderedPageBreak/>
        <w:t xml:space="preserve">diversion </w:t>
      </w:r>
      <w:r w:rsidR="003D18C7">
        <w:rPr>
          <w:rFonts w:ascii="Times New Roman" w:hAnsi="Times New Roman" w:cs="Times New Roman"/>
          <w:sz w:val="24"/>
          <w:szCs w:val="24"/>
          <w:lang w:val="en"/>
        </w:rPr>
        <w:t xml:space="preserve">an </w:t>
      </w:r>
      <w:r w:rsidRPr="00874087">
        <w:rPr>
          <w:rFonts w:ascii="Times New Roman" w:hAnsi="Times New Roman" w:cs="Times New Roman"/>
          <w:sz w:val="24"/>
          <w:szCs w:val="24"/>
          <w:lang w:val="en"/>
        </w:rPr>
        <w:t xml:space="preserve">agreement </w:t>
      </w:r>
      <w:r w:rsidR="003D18C7">
        <w:rPr>
          <w:rFonts w:ascii="Times New Roman" w:hAnsi="Times New Roman" w:cs="Times New Roman"/>
          <w:sz w:val="24"/>
          <w:szCs w:val="24"/>
          <w:lang w:val="en"/>
        </w:rPr>
        <w:t xml:space="preserve">entails the </w:t>
      </w:r>
      <w:r w:rsidRPr="00874087">
        <w:rPr>
          <w:rFonts w:ascii="Times New Roman" w:hAnsi="Times New Roman" w:cs="Times New Roman"/>
          <w:sz w:val="24"/>
          <w:szCs w:val="24"/>
          <w:lang w:val="en"/>
        </w:rPr>
        <w:t xml:space="preserve">more likely </w:t>
      </w:r>
      <w:r w:rsidR="003D18C7">
        <w:rPr>
          <w:rFonts w:ascii="Times New Roman" w:hAnsi="Times New Roman" w:cs="Times New Roman"/>
          <w:sz w:val="24"/>
          <w:szCs w:val="24"/>
          <w:lang w:val="en"/>
        </w:rPr>
        <w:t xml:space="preserve">it is </w:t>
      </w:r>
      <w:r w:rsidRPr="00874087">
        <w:rPr>
          <w:rFonts w:ascii="Times New Roman" w:hAnsi="Times New Roman" w:cs="Times New Roman"/>
          <w:sz w:val="24"/>
          <w:szCs w:val="24"/>
          <w:lang w:val="en"/>
        </w:rPr>
        <w:t>to support the multilateral system</w:t>
      </w:r>
      <w:r w:rsidR="003361D9">
        <w:rPr>
          <w:rFonts w:ascii="Times New Roman" w:hAnsi="Times New Roman" w:cs="Times New Roman"/>
          <w:sz w:val="24"/>
          <w:szCs w:val="24"/>
          <w:lang w:val="en"/>
        </w:rPr>
        <w:t xml:space="preserve"> (</w:t>
      </w:r>
      <w:r w:rsidR="003361D9" w:rsidRPr="000733D5">
        <w:rPr>
          <w:rFonts w:ascii="Times New Roman" w:hAnsi="Times New Roman" w:cs="Times New Roman"/>
          <w:sz w:val="24"/>
          <w:szCs w:val="24"/>
          <w:lang w:val="en"/>
        </w:rPr>
        <w:t>W</w:t>
      </w:r>
      <w:r w:rsidR="002A715F" w:rsidRPr="000733D5">
        <w:rPr>
          <w:rFonts w:ascii="Times New Roman" w:hAnsi="Times New Roman" w:cs="Times New Roman"/>
          <w:sz w:val="24"/>
          <w:szCs w:val="24"/>
          <w:lang w:val="en"/>
        </w:rPr>
        <w:t>TO</w:t>
      </w:r>
      <w:r w:rsidR="003361D9" w:rsidRPr="000733D5">
        <w:rPr>
          <w:rFonts w:ascii="Times New Roman" w:hAnsi="Times New Roman" w:cs="Times New Roman"/>
          <w:sz w:val="24"/>
          <w:szCs w:val="24"/>
          <w:lang w:val="en"/>
        </w:rPr>
        <w:t>, 2011</w:t>
      </w:r>
      <w:r w:rsidR="003361D9">
        <w:rPr>
          <w:rFonts w:ascii="Times New Roman" w:hAnsi="Times New Roman" w:cs="Times New Roman"/>
          <w:sz w:val="24"/>
          <w:szCs w:val="24"/>
          <w:lang w:val="en"/>
        </w:rPr>
        <w:t>)</w:t>
      </w:r>
      <w:r w:rsidRPr="00874087">
        <w:rPr>
          <w:rFonts w:ascii="Times New Roman" w:hAnsi="Times New Roman" w:cs="Times New Roman"/>
          <w:sz w:val="24"/>
          <w:szCs w:val="24"/>
          <w:lang w:val="en"/>
        </w:rPr>
        <w:t>.</w:t>
      </w:r>
      <w:r w:rsidR="004054E9" w:rsidRPr="004054E9">
        <w:rPr>
          <w:rFonts w:ascii="Times New Roman" w:eastAsia="Times New Roman" w:hAnsi="Times New Roman" w:cs="Times New Roman"/>
          <w:sz w:val="24"/>
          <w:szCs w:val="24"/>
          <w:vertAlign w:val="superscript"/>
          <w:lang w:val="en-GB" w:eastAsia="es-ES"/>
        </w:rPr>
        <w:t xml:space="preserve"> </w:t>
      </w:r>
      <w:r w:rsidR="004054E9" w:rsidRPr="004054E9">
        <w:rPr>
          <w:rFonts w:ascii="Times New Roman" w:hAnsi="Times New Roman" w:cs="Times New Roman"/>
          <w:sz w:val="24"/>
          <w:szCs w:val="24"/>
          <w:vertAlign w:val="superscript"/>
        </w:rPr>
        <w:footnoteReference w:id="3"/>
      </w:r>
    </w:p>
    <w:p w:rsidR="00A22DF2" w:rsidRDefault="00D86C8D" w:rsidP="00C836AB">
      <w:pPr>
        <w:jc w:val="both"/>
        <w:rPr>
          <w:rFonts w:ascii="Times New Roman" w:eastAsia="Times New Roman" w:hAnsi="Times New Roman" w:cs="Times New Roman"/>
          <w:sz w:val="24"/>
          <w:szCs w:val="24"/>
          <w:vertAlign w:val="superscript"/>
          <w:lang w:val="en-GB" w:eastAsia="es-ES"/>
        </w:rPr>
      </w:pPr>
      <w:r w:rsidRPr="00874087">
        <w:rPr>
          <w:rFonts w:ascii="Times New Roman" w:hAnsi="Times New Roman" w:cs="Times New Roman"/>
          <w:sz w:val="24"/>
          <w:szCs w:val="24"/>
          <w:lang w:val="en"/>
        </w:rPr>
        <w:br/>
        <w:t xml:space="preserve">So, one way to </w:t>
      </w:r>
      <w:r w:rsidR="004D204B">
        <w:rPr>
          <w:rFonts w:ascii="Times New Roman" w:hAnsi="Times New Roman" w:cs="Times New Roman"/>
          <w:sz w:val="24"/>
          <w:szCs w:val="24"/>
          <w:lang w:val="en"/>
        </w:rPr>
        <w:t xml:space="preserve">ascertain that the </w:t>
      </w:r>
      <w:r w:rsidRPr="00874087">
        <w:rPr>
          <w:rFonts w:ascii="Times New Roman" w:hAnsi="Times New Roman" w:cs="Times New Roman"/>
          <w:sz w:val="24"/>
          <w:szCs w:val="24"/>
          <w:lang w:val="en"/>
        </w:rPr>
        <w:t>EU</w:t>
      </w:r>
      <w:r w:rsidR="004D204B">
        <w:rPr>
          <w:rFonts w:ascii="Times New Roman" w:hAnsi="Times New Roman" w:cs="Times New Roman"/>
          <w:sz w:val="24"/>
          <w:szCs w:val="24"/>
          <w:lang w:val="en"/>
        </w:rPr>
        <w:t>’s bilateral strategy does not run against its pro-</w:t>
      </w:r>
      <w:r w:rsidRPr="00874087">
        <w:rPr>
          <w:rFonts w:ascii="Times New Roman" w:hAnsi="Times New Roman" w:cs="Times New Roman"/>
          <w:sz w:val="24"/>
          <w:szCs w:val="24"/>
          <w:lang w:val="en"/>
        </w:rPr>
        <w:t>mult</w:t>
      </w:r>
      <w:r w:rsidR="004D204B">
        <w:rPr>
          <w:rFonts w:ascii="Times New Roman" w:hAnsi="Times New Roman" w:cs="Times New Roman"/>
          <w:sz w:val="24"/>
          <w:szCs w:val="24"/>
          <w:lang w:val="en"/>
        </w:rPr>
        <w:t xml:space="preserve">ilateral stance </w:t>
      </w:r>
      <w:r w:rsidRPr="00874087">
        <w:rPr>
          <w:rFonts w:ascii="Times New Roman" w:hAnsi="Times New Roman" w:cs="Times New Roman"/>
          <w:sz w:val="24"/>
          <w:szCs w:val="24"/>
          <w:lang w:val="en"/>
        </w:rPr>
        <w:t xml:space="preserve">would be to analyze whether </w:t>
      </w:r>
      <w:r w:rsidR="004D204B">
        <w:rPr>
          <w:rFonts w:ascii="Times New Roman" w:hAnsi="Times New Roman" w:cs="Times New Roman"/>
          <w:sz w:val="24"/>
          <w:szCs w:val="24"/>
          <w:lang w:val="en"/>
        </w:rPr>
        <w:t xml:space="preserve">its </w:t>
      </w:r>
      <w:r w:rsidRPr="00874087">
        <w:rPr>
          <w:rFonts w:ascii="Times New Roman" w:hAnsi="Times New Roman" w:cs="Times New Roman"/>
          <w:sz w:val="24"/>
          <w:szCs w:val="24"/>
          <w:lang w:val="en"/>
        </w:rPr>
        <w:t>b</w:t>
      </w:r>
      <w:r w:rsidR="004D204B">
        <w:rPr>
          <w:rFonts w:ascii="Times New Roman" w:hAnsi="Times New Roman" w:cs="Times New Roman"/>
          <w:sz w:val="24"/>
          <w:szCs w:val="24"/>
          <w:lang w:val="en"/>
        </w:rPr>
        <w:t>ilateral agreements -signed or in</w:t>
      </w:r>
      <w:r w:rsidRPr="00874087">
        <w:rPr>
          <w:rFonts w:ascii="Times New Roman" w:hAnsi="Times New Roman" w:cs="Times New Roman"/>
          <w:sz w:val="24"/>
          <w:szCs w:val="24"/>
          <w:lang w:val="en"/>
        </w:rPr>
        <w:t xml:space="preserve"> negotiati</w:t>
      </w:r>
      <w:r w:rsidR="004D204B">
        <w:rPr>
          <w:rFonts w:ascii="Times New Roman" w:hAnsi="Times New Roman" w:cs="Times New Roman"/>
          <w:sz w:val="24"/>
          <w:szCs w:val="24"/>
          <w:lang w:val="en"/>
        </w:rPr>
        <w:t>on-</w:t>
      </w:r>
      <w:r w:rsidRPr="00874087">
        <w:rPr>
          <w:rFonts w:ascii="Times New Roman" w:hAnsi="Times New Roman" w:cs="Times New Roman"/>
          <w:sz w:val="24"/>
          <w:szCs w:val="24"/>
          <w:lang w:val="en"/>
        </w:rPr>
        <w:t xml:space="preserve"> comply with </w:t>
      </w:r>
      <w:r w:rsidR="004D204B">
        <w:rPr>
          <w:rFonts w:ascii="Times New Roman" w:hAnsi="Times New Roman" w:cs="Times New Roman"/>
          <w:sz w:val="24"/>
          <w:szCs w:val="24"/>
          <w:lang w:val="en"/>
        </w:rPr>
        <w:t xml:space="preserve">the </w:t>
      </w:r>
      <w:r w:rsidRPr="00874087">
        <w:rPr>
          <w:rFonts w:ascii="Times New Roman" w:hAnsi="Times New Roman" w:cs="Times New Roman"/>
          <w:sz w:val="24"/>
          <w:szCs w:val="24"/>
          <w:lang w:val="en"/>
        </w:rPr>
        <w:t xml:space="preserve">rules of the multilateral system. The problem is that such a </w:t>
      </w:r>
      <w:r w:rsidR="0048664D">
        <w:rPr>
          <w:rFonts w:ascii="Times New Roman" w:hAnsi="Times New Roman" w:cs="Times New Roman"/>
          <w:sz w:val="24"/>
          <w:szCs w:val="24"/>
          <w:lang w:val="en"/>
        </w:rPr>
        <w:t>study</w:t>
      </w:r>
      <w:r w:rsidRPr="00874087">
        <w:rPr>
          <w:rFonts w:ascii="Times New Roman" w:hAnsi="Times New Roman" w:cs="Times New Roman"/>
          <w:sz w:val="24"/>
          <w:szCs w:val="24"/>
          <w:lang w:val="en"/>
        </w:rPr>
        <w:t xml:space="preserve"> is very difficult from the moment that there is a legal limbo on this issue following the establishment of the EEC as a customs union in 1968</w:t>
      </w:r>
      <w:r w:rsidR="005D714C">
        <w:rPr>
          <w:rFonts w:ascii="Times New Roman" w:hAnsi="Times New Roman" w:cs="Times New Roman"/>
          <w:sz w:val="24"/>
          <w:szCs w:val="24"/>
          <w:lang w:val="en"/>
        </w:rPr>
        <w:t xml:space="preserve"> (W</w:t>
      </w:r>
      <w:r w:rsidR="002A715F">
        <w:rPr>
          <w:rFonts w:ascii="Times New Roman" w:hAnsi="Times New Roman" w:cs="Times New Roman"/>
          <w:sz w:val="24"/>
          <w:szCs w:val="24"/>
          <w:lang w:val="en"/>
        </w:rPr>
        <w:t>TO,</w:t>
      </w:r>
      <w:r w:rsidR="005D714C">
        <w:rPr>
          <w:rFonts w:ascii="Times New Roman" w:hAnsi="Times New Roman" w:cs="Times New Roman"/>
          <w:sz w:val="24"/>
          <w:szCs w:val="24"/>
          <w:lang w:val="en"/>
        </w:rPr>
        <w:t xml:space="preserve"> 2011)</w:t>
      </w:r>
      <w:r w:rsidRPr="00874087">
        <w:rPr>
          <w:rFonts w:ascii="Times New Roman" w:hAnsi="Times New Roman" w:cs="Times New Roman"/>
          <w:sz w:val="24"/>
          <w:szCs w:val="24"/>
          <w:lang w:val="en"/>
        </w:rPr>
        <w:t xml:space="preserve">. </w:t>
      </w:r>
      <w:r w:rsidR="0048664D">
        <w:rPr>
          <w:rFonts w:ascii="Times New Roman" w:hAnsi="Times New Roman" w:cs="Times New Roman"/>
          <w:sz w:val="24"/>
          <w:szCs w:val="24"/>
          <w:lang w:val="en"/>
        </w:rPr>
        <w:t>That</w:t>
      </w:r>
      <w:r w:rsidRPr="00874087">
        <w:rPr>
          <w:rFonts w:ascii="Times New Roman" w:hAnsi="Times New Roman" w:cs="Times New Roman"/>
          <w:sz w:val="24"/>
          <w:szCs w:val="24"/>
          <w:lang w:val="en"/>
        </w:rPr>
        <w:t xml:space="preserve"> regional economic integration led to disagreements </w:t>
      </w:r>
      <w:r w:rsidR="00DD50ED">
        <w:rPr>
          <w:rFonts w:ascii="Times New Roman" w:hAnsi="Times New Roman" w:cs="Times New Roman"/>
          <w:sz w:val="24"/>
          <w:szCs w:val="24"/>
          <w:lang w:val="en"/>
        </w:rPr>
        <w:t>on</w:t>
      </w:r>
      <w:r w:rsidRPr="00874087">
        <w:rPr>
          <w:rFonts w:ascii="Times New Roman" w:hAnsi="Times New Roman" w:cs="Times New Roman"/>
          <w:sz w:val="24"/>
          <w:szCs w:val="24"/>
          <w:lang w:val="en"/>
        </w:rPr>
        <w:t xml:space="preserve"> the method to use for</w:t>
      </w:r>
      <w:r w:rsidR="0048664D">
        <w:rPr>
          <w:rFonts w:ascii="Times New Roman" w:hAnsi="Times New Roman" w:cs="Times New Roman"/>
          <w:sz w:val="24"/>
          <w:szCs w:val="24"/>
          <w:lang w:val="en"/>
        </w:rPr>
        <w:t xml:space="preserve"> calculating the impact of the common external tariff </w:t>
      </w:r>
      <w:r w:rsidR="0048664D" w:rsidRPr="00874087">
        <w:rPr>
          <w:rFonts w:ascii="Times New Roman" w:hAnsi="Times New Roman" w:cs="Times New Roman"/>
          <w:sz w:val="24"/>
          <w:szCs w:val="24"/>
          <w:lang w:val="en"/>
        </w:rPr>
        <w:t>in</w:t>
      </w:r>
      <w:r w:rsidRPr="00874087">
        <w:rPr>
          <w:rFonts w:ascii="Times New Roman" w:hAnsi="Times New Roman" w:cs="Times New Roman"/>
          <w:sz w:val="24"/>
          <w:szCs w:val="24"/>
          <w:lang w:val="en"/>
        </w:rPr>
        <w:t xml:space="preserve"> third countries</w:t>
      </w:r>
      <w:r w:rsidR="0048664D">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w:t>
      </w:r>
      <w:r w:rsidR="0048664D">
        <w:rPr>
          <w:rFonts w:ascii="Times New Roman" w:hAnsi="Times New Roman" w:cs="Times New Roman"/>
          <w:sz w:val="24"/>
          <w:szCs w:val="24"/>
          <w:lang w:val="en"/>
        </w:rPr>
        <w:t xml:space="preserve">Agreement on that was </w:t>
      </w:r>
      <w:r w:rsidRPr="00874087">
        <w:rPr>
          <w:rFonts w:ascii="Times New Roman" w:hAnsi="Times New Roman" w:cs="Times New Roman"/>
          <w:sz w:val="24"/>
          <w:szCs w:val="24"/>
          <w:lang w:val="en"/>
        </w:rPr>
        <w:t xml:space="preserve">never achieved and there exists </w:t>
      </w:r>
      <w:r w:rsidR="0048664D">
        <w:rPr>
          <w:rFonts w:ascii="Times New Roman" w:hAnsi="Times New Roman" w:cs="Times New Roman"/>
          <w:sz w:val="24"/>
          <w:szCs w:val="24"/>
          <w:lang w:val="en"/>
        </w:rPr>
        <w:t>no</w:t>
      </w:r>
      <w:r w:rsidRPr="00874087">
        <w:rPr>
          <w:rFonts w:ascii="Times New Roman" w:hAnsi="Times New Roman" w:cs="Times New Roman"/>
          <w:sz w:val="24"/>
          <w:szCs w:val="24"/>
          <w:lang w:val="en"/>
        </w:rPr>
        <w:t xml:space="preserve"> formal decision on the compatibility of the EEC </w:t>
      </w:r>
      <w:r w:rsidR="000F4F00">
        <w:rPr>
          <w:rFonts w:ascii="Times New Roman" w:hAnsi="Times New Roman" w:cs="Times New Roman"/>
          <w:sz w:val="24"/>
          <w:szCs w:val="24"/>
          <w:lang w:val="en"/>
        </w:rPr>
        <w:t>with the GATT. Although several other preferential trade agreements have been examined by GATT working parties since then, only a few have been deemed to be compatible with Article XXIV and no agreement has been censured as incompatible with GATT rules.</w:t>
      </w:r>
      <w:r w:rsidR="0048664D">
        <w:rPr>
          <w:rFonts w:ascii="Times New Roman" w:hAnsi="Times New Roman" w:cs="Times New Roman"/>
          <w:sz w:val="24"/>
          <w:szCs w:val="24"/>
          <w:lang w:val="en"/>
        </w:rPr>
        <w:t xml:space="preserve"> In the words of </w:t>
      </w:r>
      <w:proofErr w:type="spellStart"/>
      <w:r w:rsidR="0048664D">
        <w:rPr>
          <w:rFonts w:ascii="Times New Roman" w:hAnsi="Times New Roman" w:cs="Times New Roman"/>
          <w:sz w:val="24"/>
          <w:szCs w:val="24"/>
          <w:lang w:val="en"/>
        </w:rPr>
        <w:t>Woolcock</w:t>
      </w:r>
      <w:proofErr w:type="spellEnd"/>
      <w:r w:rsidR="0048664D">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2007: 11</w:t>
      </w:r>
      <w:r w:rsidR="0048664D">
        <w:rPr>
          <w:rFonts w:ascii="Times New Roman" w:hAnsi="Times New Roman" w:cs="Times New Roman"/>
          <w:sz w:val="24"/>
          <w:szCs w:val="24"/>
          <w:lang w:val="en"/>
        </w:rPr>
        <w:t>)</w:t>
      </w:r>
      <w:r w:rsidRPr="00874087">
        <w:rPr>
          <w:rFonts w:ascii="Times New Roman" w:hAnsi="Times New Roman" w:cs="Times New Roman"/>
          <w:sz w:val="24"/>
          <w:szCs w:val="24"/>
          <w:lang w:val="en"/>
        </w:rPr>
        <w:t>: "</w:t>
      </w:r>
      <w:r w:rsidR="0048664D" w:rsidRPr="0048664D">
        <w:rPr>
          <w:rFonts w:ascii="Times New Roman" w:hAnsi="Times New Roman" w:cs="Times New Roman"/>
          <w:sz w:val="24"/>
          <w:szCs w:val="24"/>
          <w:lang w:val="en-GB"/>
        </w:rPr>
        <w:t>the scope for different interpretations of Article XXIV GATT is such that there is no effective WTO discipline</w:t>
      </w:r>
      <w:r w:rsidRPr="00874087">
        <w:rPr>
          <w:rFonts w:ascii="Times New Roman" w:hAnsi="Times New Roman" w:cs="Times New Roman"/>
          <w:sz w:val="24"/>
          <w:szCs w:val="24"/>
          <w:lang w:val="en"/>
        </w:rPr>
        <w:t>."</w:t>
      </w:r>
      <w:r w:rsidR="00AF7623" w:rsidRPr="00AF7623">
        <w:rPr>
          <w:rFonts w:ascii="Times New Roman" w:eastAsia="Times New Roman" w:hAnsi="Times New Roman" w:cs="Times New Roman"/>
          <w:sz w:val="24"/>
          <w:szCs w:val="24"/>
          <w:vertAlign w:val="superscript"/>
          <w:lang w:val="en-GB" w:eastAsia="es-ES"/>
        </w:rPr>
        <w:t xml:space="preserve"> </w:t>
      </w:r>
      <w:r w:rsidR="00AF7623" w:rsidRPr="00AF7623">
        <w:rPr>
          <w:rFonts w:ascii="Times New Roman" w:hAnsi="Times New Roman" w:cs="Times New Roman"/>
          <w:sz w:val="24"/>
          <w:szCs w:val="24"/>
          <w:vertAlign w:val="superscript"/>
        </w:rPr>
        <w:footnoteReference w:id="4"/>
      </w:r>
    </w:p>
    <w:p w:rsidR="001269B8" w:rsidRPr="002A16C5" w:rsidRDefault="00D86C8D" w:rsidP="00C836AB">
      <w:pPr>
        <w:jc w:val="both"/>
        <w:rPr>
          <w:rFonts w:ascii="Times New Roman" w:hAnsi="Times New Roman" w:cs="Times New Roman"/>
          <w:b/>
          <w:sz w:val="24"/>
          <w:szCs w:val="24"/>
          <w:lang w:val="en"/>
        </w:rPr>
      </w:pPr>
      <w:r w:rsidRPr="00874087">
        <w:rPr>
          <w:rFonts w:ascii="Times New Roman" w:hAnsi="Times New Roman" w:cs="Times New Roman"/>
          <w:sz w:val="24"/>
          <w:szCs w:val="24"/>
          <w:lang w:val="en"/>
        </w:rPr>
        <w:br/>
      </w:r>
      <w:r w:rsidR="003F0709" w:rsidRPr="002A16C5">
        <w:rPr>
          <w:rFonts w:ascii="Times New Roman" w:hAnsi="Times New Roman" w:cs="Times New Roman"/>
          <w:b/>
          <w:sz w:val="24"/>
          <w:szCs w:val="24"/>
          <w:lang w:val="en"/>
        </w:rPr>
        <w:t>2</w:t>
      </w:r>
      <w:r w:rsidR="001269B8" w:rsidRPr="002A16C5">
        <w:rPr>
          <w:rFonts w:ascii="Times New Roman" w:hAnsi="Times New Roman" w:cs="Times New Roman"/>
          <w:b/>
          <w:sz w:val="24"/>
          <w:szCs w:val="24"/>
          <w:lang w:val="en"/>
        </w:rPr>
        <w:t>.2. Technical capacity to bolster or undermine the WTO</w:t>
      </w:r>
    </w:p>
    <w:p w:rsidR="00A22DF2"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br/>
        <w:t xml:space="preserve">With the evolution of the GATT to the WTO and </w:t>
      </w:r>
      <w:r w:rsidR="00331FFD">
        <w:rPr>
          <w:rFonts w:ascii="Times New Roman" w:hAnsi="Times New Roman" w:cs="Times New Roman"/>
          <w:sz w:val="24"/>
          <w:szCs w:val="24"/>
          <w:lang w:val="en"/>
        </w:rPr>
        <w:t xml:space="preserve">the widening of trade </w:t>
      </w:r>
      <w:r w:rsidRPr="00874087">
        <w:rPr>
          <w:rFonts w:ascii="Times New Roman" w:hAnsi="Times New Roman" w:cs="Times New Roman"/>
          <w:sz w:val="24"/>
          <w:szCs w:val="24"/>
          <w:lang w:val="en"/>
        </w:rPr>
        <w:t>liberalization</w:t>
      </w:r>
      <w:r w:rsidR="00331FFD">
        <w:rPr>
          <w:rFonts w:ascii="Times New Roman" w:hAnsi="Times New Roman" w:cs="Times New Roman"/>
          <w:sz w:val="24"/>
          <w:szCs w:val="24"/>
          <w:lang w:val="en"/>
        </w:rPr>
        <w:t xml:space="preserve"> scope</w:t>
      </w:r>
      <w:r w:rsidR="00423EF1">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doctrine has sought</w:t>
      </w:r>
      <w:r w:rsidR="00331FFD">
        <w:rPr>
          <w:rFonts w:ascii="Times New Roman" w:hAnsi="Times New Roman" w:cs="Times New Roman"/>
          <w:sz w:val="24"/>
          <w:szCs w:val="24"/>
          <w:lang w:val="en"/>
        </w:rPr>
        <w:t xml:space="preserve"> ways to determine</w:t>
      </w:r>
      <w:r w:rsidRPr="00874087">
        <w:rPr>
          <w:rFonts w:ascii="Times New Roman" w:hAnsi="Times New Roman" w:cs="Times New Roman"/>
          <w:sz w:val="24"/>
          <w:szCs w:val="24"/>
          <w:lang w:val="en"/>
        </w:rPr>
        <w:t xml:space="preserve"> whether a bilateral agreement complies with multilatera</w:t>
      </w:r>
      <w:r w:rsidR="00BD2B35">
        <w:rPr>
          <w:rFonts w:ascii="Times New Roman" w:hAnsi="Times New Roman" w:cs="Times New Roman"/>
          <w:sz w:val="24"/>
          <w:szCs w:val="24"/>
          <w:lang w:val="en"/>
        </w:rPr>
        <w:t>l rules in this new framework (</w:t>
      </w:r>
      <w:proofErr w:type="spellStart"/>
      <w:r w:rsidRPr="00874087">
        <w:rPr>
          <w:rFonts w:ascii="Times New Roman" w:hAnsi="Times New Roman" w:cs="Times New Roman"/>
          <w:sz w:val="24"/>
          <w:szCs w:val="24"/>
          <w:lang w:val="en"/>
        </w:rPr>
        <w:t>Estevadeordal</w:t>
      </w:r>
      <w:proofErr w:type="spellEnd"/>
      <w:r w:rsidRPr="00874087">
        <w:rPr>
          <w:rFonts w:ascii="Times New Roman" w:hAnsi="Times New Roman" w:cs="Times New Roman"/>
          <w:sz w:val="24"/>
          <w:szCs w:val="24"/>
          <w:lang w:val="en"/>
        </w:rPr>
        <w:t xml:space="preserve"> </w:t>
      </w:r>
      <w:r w:rsidRPr="00331FFD">
        <w:rPr>
          <w:rFonts w:ascii="Times New Roman" w:hAnsi="Times New Roman" w:cs="Times New Roman"/>
          <w:i/>
          <w:sz w:val="24"/>
          <w:szCs w:val="24"/>
          <w:lang w:val="en"/>
        </w:rPr>
        <w:t>et al</w:t>
      </w:r>
      <w:r w:rsidRPr="00874087">
        <w:rPr>
          <w:rFonts w:ascii="Times New Roman" w:hAnsi="Times New Roman" w:cs="Times New Roman"/>
          <w:sz w:val="24"/>
          <w:szCs w:val="24"/>
          <w:lang w:val="en"/>
        </w:rPr>
        <w:t>, 2013). Starting from the basic condition of Article XXIV that bilateral agreements should not hinder multilateral a</w:t>
      </w:r>
      <w:r w:rsidR="00331FFD">
        <w:rPr>
          <w:rFonts w:ascii="Times New Roman" w:hAnsi="Times New Roman" w:cs="Times New Roman"/>
          <w:sz w:val="24"/>
          <w:szCs w:val="24"/>
          <w:lang w:val="en"/>
        </w:rPr>
        <w:t>chievements</w:t>
      </w:r>
      <w:r w:rsidRPr="00874087">
        <w:rPr>
          <w:rFonts w:ascii="Times New Roman" w:hAnsi="Times New Roman" w:cs="Times New Roman"/>
          <w:sz w:val="24"/>
          <w:szCs w:val="24"/>
          <w:lang w:val="en"/>
        </w:rPr>
        <w:t>, there is some consensus among experts that bilateral trade agreements should only enable progress in trade liberalization</w:t>
      </w:r>
      <w:r w:rsidR="00331FFD">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never </w:t>
      </w:r>
      <w:r w:rsidR="00331FFD">
        <w:rPr>
          <w:rFonts w:ascii="Times New Roman" w:hAnsi="Times New Roman" w:cs="Times New Roman"/>
          <w:sz w:val="24"/>
          <w:szCs w:val="24"/>
          <w:lang w:val="en"/>
        </w:rPr>
        <w:t xml:space="preserve">a pull </w:t>
      </w:r>
      <w:r w:rsidRPr="00874087">
        <w:rPr>
          <w:rFonts w:ascii="Times New Roman" w:hAnsi="Times New Roman" w:cs="Times New Roman"/>
          <w:sz w:val="24"/>
          <w:szCs w:val="24"/>
          <w:lang w:val="en"/>
        </w:rPr>
        <w:t xml:space="preserve">back. So, the more </w:t>
      </w:r>
      <w:r w:rsidR="00331FFD">
        <w:rPr>
          <w:rFonts w:ascii="Times New Roman" w:hAnsi="Times New Roman" w:cs="Times New Roman"/>
          <w:sz w:val="24"/>
          <w:szCs w:val="24"/>
          <w:lang w:val="en"/>
        </w:rPr>
        <w:t>a bilateral agreement allows to</w:t>
      </w:r>
      <w:r w:rsidRPr="00874087">
        <w:rPr>
          <w:rFonts w:ascii="Times New Roman" w:hAnsi="Times New Roman" w:cs="Times New Roman"/>
          <w:sz w:val="24"/>
          <w:szCs w:val="24"/>
          <w:lang w:val="en"/>
        </w:rPr>
        <w:t xml:space="preserve"> progress on what has been achieved at the multilateral level (topics WTO +)</w:t>
      </w:r>
      <w:r w:rsidR="00443585" w:rsidRPr="00443585">
        <w:rPr>
          <w:rFonts w:ascii="Times New Roman" w:hAnsi="Times New Roman" w:cs="Times New Roman"/>
          <w:sz w:val="24"/>
          <w:szCs w:val="24"/>
          <w:vertAlign w:val="superscript"/>
        </w:rPr>
        <w:footnoteReference w:id="5"/>
      </w:r>
      <w:r w:rsidRPr="00874087">
        <w:rPr>
          <w:rFonts w:ascii="Times New Roman" w:hAnsi="Times New Roman" w:cs="Times New Roman"/>
          <w:sz w:val="24"/>
          <w:szCs w:val="24"/>
          <w:lang w:val="en"/>
        </w:rPr>
        <w:t xml:space="preserve"> and </w:t>
      </w:r>
      <w:r w:rsidR="00331FFD">
        <w:rPr>
          <w:rFonts w:ascii="Times New Roman" w:hAnsi="Times New Roman" w:cs="Times New Roman"/>
          <w:sz w:val="24"/>
          <w:szCs w:val="24"/>
          <w:lang w:val="en"/>
        </w:rPr>
        <w:t>in areas not already covered by the WTO (items WTO- X</w:t>
      </w:r>
      <w:r w:rsidR="00565D54">
        <w:rPr>
          <w:rFonts w:ascii="Times New Roman" w:hAnsi="Times New Roman" w:cs="Times New Roman"/>
          <w:sz w:val="24"/>
          <w:szCs w:val="24"/>
          <w:lang w:val="en"/>
        </w:rPr>
        <w:t>)</w:t>
      </w:r>
      <w:r w:rsidR="00443585" w:rsidRPr="00443585">
        <w:rPr>
          <w:rFonts w:ascii="Times New Roman" w:hAnsi="Times New Roman" w:cs="Times New Roman"/>
          <w:sz w:val="24"/>
          <w:szCs w:val="24"/>
          <w:vertAlign w:val="superscript"/>
        </w:rPr>
        <w:footnoteReference w:id="6"/>
      </w:r>
      <w:r w:rsidRPr="00874087">
        <w:rPr>
          <w:rFonts w:ascii="Times New Roman" w:hAnsi="Times New Roman" w:cs="Times New Roman"/>
          <w:sz w:val="24"/>
          <w:szCs w:val="24"/>
          <w:lang w:val="en"/>
        </w:rPr>
        <w:t xml:space="preserve">, the more susceptible it </w:t>
      </w:r>
      <w:r w:rsidR="00331FFD">
        <w:rPr>
          <w:rFonts w:ascii="Times New Roman" w:hAnsi="Times New Roman" w:cs="Times New Roman"/>
          <w:sz w:val="24"/>
          <w:szCs w:val="24"/>
          <w:lang w:val="en"/>
        </w:rPr>
        <w:t>is</w:t>
      </w:r>
      <w:r w:rsidRPr="00874087">
        <w:rPr>
          <w:rFonts w:ascii="Times New Roman" w:hAnsi="Times New Roman" w:cs="Times New Roman"/>
          <w:sz w:val="24"/>
          <w:szCs w:val="24"/>
          <w:lang w:val="en"/>
        </w:rPr>
        <w:t xml:space="preserve"> not</w:t>
      </w:r>
      <w:r w:rsidR="00331FFD">
        <w:rPr>
          <w:rFonts w:ascii="Times New Roman" w:hAnsi="Times New Roman" w:cs="Times New Roman"/>
          <w:sz w:val="24"/>
          <w:szCs w:val="24"/>
          <w:lang w:val="en"/>
        </w:rPr>
        <w:t xml:space="preserve"> to</w:t>
      </w:r>
      <w:r w:rsidRPr="00874087">
        <w:rPr>
          <w:rFonts w:ascii="Times New Roman" w:hAnsi="Times New Roman" w:cs="Times New Roman"/>
          <w:sz w:val="24"/>
          <w:szCs w:val="24"/>
          <w:lang w:val="en"/>
        </w:rPr>
        <w:t xml:space="preserve"> undermine the multilateral system (Horn </w:t>
      </w:r>
      <w:r w:rsidRPr="00BD2B35">
        <w:rPr>
          <w:rFonts w:ascii="Times New Roman" w:hAnsi="Times New Roman" w:cs="Times New Roman"/>
          <w:i/>
          <w:sz w:val="24"/>
          <w:szCs w:val="24"/>
          <w:lang w:val="en"/>
        </w:rPr>
        <w:t>et al</w:t>
      </w:r>
      <w:r w:rsidRPr="00874087">
        <w:rPr>
          <w:rFonts w:ascii="Times New Roman" w:hAnsi="Times New Roman" w:cs="Times New Roman"/>
          <w:sz w:val="24"/>
          <w:szCs w:val="24"/>
          <w:lang w:val="en"/>
        </w:rPr>
        <w:t>, 2009).</w:t>
      </w:r>
    </w:p>
    <w:p w:rsidR="00DA6535"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br/>
      </w:r>
    </w:p>
    <w:p w:rsidR="00A22DF2" w:rsidRDefault="00DA6535" w:rsidP="00C836AB">
      <w:pPr>
        <w:jc w:val="both"/>
        <w:rPr>
          <w:rFonts w:ascii="Times New Roman" w:hAnsi="Times New Roman" w:cs="Times New Roman"/>
          <w:sz w:val="24"/>
          <w:szCs w:val="24"/>
          <w:lang w:val="en"/>
        </w:rPr>
      </w:pPr>
      <w:r w:rsidRPr="00DA6535">
        <w:rPr>
          <w:rFonts w:ascii="Times New Roman" w:hAnsi="Times New Roman" w:cs="Times New Roman"/>
          <w:sz w:val="24"/>
          <w:szCs w:val="24"/>
          <w:lang w:val="en"/>
        </w:rPr>
        <w:lastRenderedPageBreak/>
        <w:t>Several comparative analyses of EU preferential trade agreements with third countries indicate that the EU bilateral agreements would fulfill the requirement of being WTO+ and WTO-X (</w:t>
      </w:r>
      <w:proofErr w:type="spellStart"/>
      <w:r w:rsidRPr="00DA6535">
        <w:rPr>
          <w:rFonts w:ascii="Times New Roman" w:hAnsi="Times New Roman" w:cs="Times New Roman"/>
          <w:sz w:val="24"/>
          <w:szCs w:val="24"/>
          <w:lang w:val="en"/>
        </w:rPr>
        <w:t>Woolcock</w:t>
      </w:r>
      <w:proofErr w:type="spellEnd"/>
      <w:r w:rsidRPr="00DA6535">
        <w:rPr>
          <w:rFonts w:ascii="Times New Roman" w:hAnsi="Times New Roman" w:cs="Times New Roman"/>
          <w:sz w:val="24"/>
          <w:szCs w:val="24"/>
          <w:lang w:val="en"/>
        </w:rPr>
        <w:t>, 2007</w:t>
      </w:r>
      <w:r w:rsidR="00A75A90">
        <w:rPr>
          <w:rFonts w:ascii="Times New Roman" w:hAnsi="Times New Roman" w:cs="Times New Roman"/>
          <w:sz w:val="24"/>
          <w:szCs w:val="24"/>
          <w:lang w:val="en"/>
        </w:rPr>
        <w:t xml:space="preserve"> and 2014</w:t>
      </w:r>
      <w:r w:rsidRPr="00DA6535">
        <w:rPr>
          <w:rFonts w:ascii="Times New Roman" w:hAnsi="Times New Roman" w:cs="Times New Roman"/>
          <w:sz w:val="24"/>
          <w:szCs w:val="24"/>
          <w:lang w:val="en"/>
        </w:rPr>
        <w:t>; Horn et al, 2009). These studies show that, unlike the US, the EU does not have an FTA model. The agreements are adjusted according to the partner and, in particular, to the partner’s level of development. Moreover, the EU does not use its rules aggressively with developing countries. These are asked, at least at first, to implement international rather tha</w:t>
      </w:r>
      <w:r w:rsidR="00A75A90">
        <w:rPr>
          <w:rFonts w:ascii="Times New Roman" w:hAnsi="Times New Roman" w:cs="Times New Roman"/>
          <w:sz w:val="24"/>
          <w:szCs w:val="24"/>
          <w:lang w:val="en"/>
        </w:rPr>
        <w:t>n EU standards</w:t>
      </w:r>
      <w:r w:rsidRPr="00DA6535">
        <w:rPr>
          <w:rFonts w:ascii="Times New Roman" w:hAnsi="Times New Roman" w:cs="Times New Roman"/>
          <w:sz w:val="24"/>
          <w:szCs w:val="24"/>
          <w:lang w:val="en"/>
        </w:rPr>
        <w:t>. Finally, in recent years, the EU has been including WTO- X items in its preferential agreements negotiations with both emerging economies (Chile, South Africa, India and Brazil ) and developed countries (USA, Japan, South Korea and Singapore) as well as with its traditional partners (new agreements with the countries of the southern Mediterranean).</w:t>
      </w:r>
      <w:r w:rsidRPr="00DA6535">
        <w:rPr>
          <w:rFonts w:ascii="Times New Roman" w:hAnsi="Times New Roman" w:cs="Times New Roman"/>
          <w:sz w:val="24"/>
          <w:szCs w:val="24"/>
          <w:vertAlign w:val="superscript"/>
        </w:rPr>
        <w:footnoteReference w:id="7"/>
      </w:r>
      <w:r w:rsidRPr="00DA6535">
        <w:rPr>
          <w:rFonts w:ascii="Times New Roman" w:hAnsi="Times New Roman" w:cs="Times New Roman"/>
          <w:sz w:val="24"/>
          <w:szCs w:val="24"/>
          <w:lang w:val="en-GB"/>
        </w:rPr>
        <w:t xml:space="preserve"> </w:t>
      </w:r>
      <w:r w:rsidRPr="00DA6535">
        <w:rPr>
          <w:rFonts w:ascii="Times New Roman" w:hAnsi="Times New Roman" w:cs="Times New Roman"/>
          <w:sz w:val="24"/>
          <w:szCs w:val="24"/>
          <w:lang w:val="en"/>
        </w:rPr>
        <w:t>EU FTAs also try to go beyond what has been achieved in the field of services under the GATS (WTO+ issues).</w:t>
      </w:r>
    </w:p>
    <w:p w:rsidR="007A253C"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br/>
        <w:t xml:space="preserve">From this perspective, </w:t>
      </w:r>
      <w:r w:rsidR="006D702B">
        <w:rPr>
          <w:rFonts w:ascii="Times New Roman" w:hAnsi="Times New Roman" w:cs="Times New Roman"/>
          <w:sz w:val="24"/>
          <w:szCs w:val="24"/>
          <w:lang w:val="en"/>
        </w:rPr>
        <w:t xml:space="preserve">therefore, </w:t>
      </w:r>
      <w:r w:rsidRPr="00874087">
        <w:rPr>
          <w:rFonts w:ascii="Times New Roman" w:hAnsi="Times New Roman" w:cs="Times New Roman"/>
          <w:sz w:val="24"/>
          <w:szCs w:val="24"/>
          <w:lang w:val="en"/>
        </w:rPr>
        <w:t>mega</w:t>
      </w:r>
      <w:r w:rsidR="002D1305">
        <w:rPr>
          <w:rFonts w:ascii="Times New Roman" w:hAnsi="Times New Roman" w:cs="Times New Roman"/>
          <w:sz w:val="24"/>
          <w:szCs w:val="24"/>
          <w:lang w:val="en"/>
        </w:rPr>
        <w:t>-</w:t>
      </w:r>
      <w:r w:rsidRPr="00874087">
        <w:rPr>
          <w:rFonts w:ascii="Times New Roman" w:hAnsi="Times New Roman" w:cs="Times New Roman"/>
          <w:sz w:val="24"/>
          <w:szCs w:val="24"/>
          <w:lang w:val="en"/>
        </w:rPr>
        <w:t>regional negotiation</w:t>
      </w:r>
      <w:r w:rsidR="002D1305">
        <w:rPr>
          <w:rFonts w:ascii="Times New Roman" w:hAnsi="Times New Roman" w:cs="Times New Roman"/>
          <w:sz w:val="24"/>
          <w:szCs w:val="24"/>
          <w:lang w:val="en"/>
        </w:rPr>
        <w:t>s</w:t>
      </w:r>
      <w:r w:rsidRPr="00874087">
        <w:rPr>
          <w:rFonts w:ascii="Times New Roman" w:hAnsi="Times New Roman" w:cs="Times New Roman"/>
          <w:sz w:val="24"/>
          <w:szCs w:val="24"/>
          <w:lang w:val="en"/>
        </w:rPr>
        <w:t>, including the EU</w:t>
      </w:r>
      <w:r w:rsidR="002D1305">
        <w:rPr>
          <w:rFonts w:ascii="Times New Roman" w:hAnsi="Times New Roman" w:cs="Times New Roman"/>
          <w:sz w:val="24"/>
          <w:szCs w:val="24"/>
          <w:lang w:val="en"/>
        </w:rPr>
        <w:t>-US and EU-Japan ones</w:t>
      </w:r>
      <w:r w:rsidRPr="00874087">
        <w:rPr>
          <w:rFonts w:ascii="Times New Roman" w:hAnsi="Times New Roman" w:cs="Times New Roman"/>
          <w:sz w:val="24"/>
          <w:szCs w:val="24"/>
          <w:lang w:val="en"/>
        </w:rPr>
        <w:t>, could be a step towards the transfo</w:t>
      </w:r>
      <w:r w:rsidR="002D1305">
        <w:rPr>
          <w:rFonts w:ascii="Times New Roman" w:hAnsi="Times New Roman" w:cs="Times New Roman"/>
          <w:sz w:val="24"/>
          <w:szCs w:val="24"/>
          <w:lang w:val="en"/>
        </w:rPr>
        <w:t>rmation of ' spaghetti bowls ' (</w:t>
      </w:r>
      <w:r w:rsidRPr="00874087">
        <w:rPr>
          <w:rFonts w:ascii="Times New Roman" w:hAnsi="Times New Roman" w:cs="Times New Roman"/>
          <w:sz w:val="24"/>
          <w:szCs w:val="24"/>
          <w:lang w:val="en"/>
        </w:rPr>
        <w:t xml:space="preserve">chaos resulting from many different </w:t>
      </w:r>
      <w:r w:rsidR="002D1305">
        <w:rPr>
          <w:rFonts w:ascii="Times New Roman" w:hAnsi="Times New Roman" w:cs="Times New Roman"/>
          <w:sz w:val="24"/>
          <w:szCs w:val="24"/>
          <w:lang w:val="en"/>
        </w:rPr>
        <w:t>FTA</w:t>
      </w:r>
      <w:r w:rsidR="002D1305" w:rsidRPr="00874087">
        <w:rPr>
          <w:rFonts w:ascii="Times New Roman" w:hAnsi="Times New Roman" w:cs="Times New Roman"/>
          <w:sz w:val="24"/>
          <w:szCs w:val="24"/>
          <w:lang w:val="en"/>
        </w:rPr>
        <w:t xml:space="preserve">) </w:t>
      </w:r>
      <w:r w:rsidR="002D1305">
        <w:rPr>
          <w:rFonts w:ascii="Times New Roman" w:hAnsi="Times New Roman" w:cs="Times New Roman"/>
          <w:sz w:val="24"/>
          <w:szCs w:val="24"/>
          <w:lang w:val="en"/>
        </w:rPr>
        <w:t>into</w:t>
      </w:r>
      <w:r w:rsidRPr="00874087">
        <w:rPr>
          <w:rFonts w:ascii="Times New Roman" w:hAnsi="Times New Roman" w:cs="Times New Roman"/>
          <w:sz w:val="24"/>
          <w:szCs w:val="24"/>
          <w:lang w:val="en"/>
        </w:rPr>
        <w:t xml:space="preserve"> ' lasagna dishes </w:t>
      </w:r>
      <w:r w:rsidR="002D1305">
        <w:rPr>
          <w:rFonts w:ascii="Times New Roman" w:hAnsi="Times New Roman" w:cs="Times New Roman"/>
          <w:sz w:val="24"/>
          <w:szCs w:val="24"/>
          <w:lang w:val="en"/>
        </w:rPr>
        <w:t>' (</w:t>
      </w:r>
      <w:proofErr w:type="spellStart"/>
      <w:r w:rsidRPr="00874087">
        <w:rPr>
          <w:rFonts w:ascii="Times New Roman" w:hAnsi="Times New Roman" w:cs="Times New Roman"/>
          <w:sz w:val="24"/>
          <w:szCs w:val="24"/>
          <w:lang w:val="en"/>
        </w:rPr>
        <w:t>Estevadeordal</w:t>
      </w:r>
      <w:proofErr w:type="spellEnd"/>
      <w:r w:rsidRPr="00874087">
        <w:rPr>
          <w:rFonts w:ascii="Times New Roman" w:hAnsi="Times New Roman" w:cs="Times New Roman"/>
          <w:sz w:val="24"/>
          <w:szCs w:val="24"/>
          <w:lang w:val="en"/>
        </w:rPr>
        <w:t xml:space="preserve"> </w:t>
      </w:r>
      <w:r w:rsidRPr="002D1305">
        <w:rPr>
          <w:rFonts w:ascii="Times New Roman" w:hAnsi="Times New Roman" w:cs="Times New Roman"/>
          <w:i/>
          <w:sz w:val="24"/>
          <w:szCs w:val="24"/>
          <w:lang w:val="en"/>
        </w:rPr>
        <w:t>et al</w:t>
      </w:r>
      <w:r w:rsidRPr="00874087">
        <w:rPr>
          <w:rFonts w:ascii="Times New Roman" w:hAnsi="Times New Roman" w:cs="Times New Roman"/>
          <w:sz w:val="24"/>
          <w:szCs w:val="24"/>
          <w:lang w:val="en"/>
        </w:rPr>
        <w:t>, 2013). Th</w:t>
      </w:r>
      <w:r w:rsidR="00DF6A3B">
        <w:rPr>
          <w:rFonts w:ascii="Times New Roman" w:hAnsi="Times New Roman" w:cs="Times New Roman"/>
          <w:sz w:val="24"/>
          <w:szCs w:val="24"/>
          <w:lang w:val="en"/>
        </w:rPr>
        <w:t xml:space="preserve">ese </w:t>
      </w:r>
      <w:r w:rsidRPr="00874087">
        <w:rPr>
          <w:rFonts w:ascii="Times New Roman" w:hAnsi="Times New Roman" w:cs="Times New Roman"/>
          <w:sz w:val="24"/>
          <w:szCs w:val="24"/>
          <w:lang w:val="en"/>
        </w:rPr>
        <w:t>would be separate process</w:t>
      </w:r>
      <w:r w:rsidR="00DF6A3B">
        <w:rPr>
          <w:rFonts w:ascii="Times New Roman" w:hAnsi="Times New Roman" w:cs="Times New Roman"/>
          <w:sz w:val="24"/>
          <w:szCs w:val="24"/>
          <w:lang w:val="en"/>
        </w:rPr>
        <w:t>es</w:t>
      </w:r>
      <w:r w:rsidRPr="00874087">
        <w:rPr>
          <w:rFonts w:ascii="Times New Roman" w:hAnsi="Times New Roman" w:cs="Times New Roman"/>
          <w:sz w:val="24"/>
          <w:szCs w:val="24"/>
          <w:lang w:val="en"/>
        </w:rPr>
        <w:t xml:space="preserve"> </w:t>
      </w:r>
      <w:r w:rsidR="00DF6A3B">
        <w:rPr>
          <w:rFonts w:ascii="Times New Roman" w:hAnsi="Times New Roman" w:cs="Times New Roman"/>
          <w:sz w:val="24"/>
          <w:szCs w:val="24"/>
          <w:lang w:val="en"/>
        </w:rPr>
        <w:t>from</w:t>
      </w:r>
      <w:r w:rsidRPr="00874087">
        <w:rPr>
          <w:rFonts w:ascii="Times New Roman" w:hAnsi="Times New Roman" w:cs="Times New Roman"/>
          <w:sz w:val="24"/>
          <w:szCs w:val="24"/>
          <w:lang w:val="en"/>
        </w:rPr>
        <w:t xml:space="preserve"> the WTO but complementary in </w:t>
      </w:r>
      <w:r w:rsidR="00DF6A3B">
        <w:rPr>
          <w:rFonts w:ascii="Times New Roman" w:hAnsi="Times New Roman" w:cs="Times New Roman"/>
          <w:sz w:val="24"/>
          <w:szCs w:val="24"/>
          <w:lang w:val="en"/>
        </w:rPr>
        <w:t>their</w:t>
      </w:r>
      <w:r w:rsidRPr="00874087">
        <w:rPr>
          <w:rFonts w:ascii="Times New Roman" w:hAnsi="Times New Roman" w:cs="Times New Roman"/>
          <w:sz w:val="24"/>
          <w:szCs w:val="24"/>
          <w:lang w:val="en"/>
        </w:rPr>
        <w:t xml:space="preserve"> aim of reducing transaction costs inherent </w:t>
      </w:r>
      <w:r w:rsidR="00D93525">
        <w:rPr>
          <w:rFonts w:ascii="Times New Roman" w:hAnsi="Times New Roman" w:cs="Times New Roman"/>
          <w:sz w:val="24"/>
          <w:szCs w:val="24"/>
          <w:lang w:val="en"/>
        </w:rPr>
        <w:t>to</w:t>
      </w:r>
      <w:r w:rsidRPr="00874087">
        <w:rPr>
          <w:rFonts w:ascii="Times New Roman" w:hAnsi="Times New Roman" w:cs="Times New Roman"/>
          <w:sz w:val="24"/>
          <w:szCs w:val="24"/>
          <w:lang w:val="en"/>
        </w:rPr>
        <w:t xml:space="preserve"> the ' spaghetti bowl</w:t>
      </w:r>
      <w:r w:rsidR="00DF6A3B">
        <w:rPr>
          <w:rFonts w:ascii="Times New Roman" w:hAnsi="Times New Roman" w:cs="Times New Roman"/>
          <w:sz w:val="24"/>
          <w:szCs w:val="24"/>
          <w:lang w:val="en"/>
        </w:rPr>
        <w:t>s</w:t>
      </w:r>
      <w:r w:rsidRPr="00874087">
        <w:rPr>
          <w:rFonts w:ascii="Times New Roman" w:hAnsi="Times New Roman" w:cs="Times New Roman"/>
          <w:sz w:val="24"/>
          <w:szCs w:val="24"/>
          <w:lang w:val="en"/>
        </w:rPr>
        <w:t xml:space="preserve"> '. </w:t>
      </w:r>
      <w:r w:rsidR="004F1598" w:rsidRPr="004F1598">
        <w:rPr>
          <w:rFonts w:ascii="Times New Roman" w:hAnsi="Times New Roman" w:cs="Times New Roman"/>
          <w:sz w:val="24"/>
          <w:szCs w:val="24"/>
          <w:lang w:val="en-GB"/>
        </w:rPr>
        <w:t>As Abbott (2007: 582) put it: “The WTO might, in effect, ‘free-ride’ on all the PTA activity taking place.”</w:t>
      </w:r>
      <w:r w:rsidR="004F1598">
        <w:rPr>
          <w:rFonts w:ascii="Times New Roman" w:hAnsi="Times New Roman" w:cs="Times New Roman"/>
          <w:sz w:val="24"/>
          <w:szCs w:val="24"/>
          <w:lang w:val="en-GB"/>
        </w:rPr>
        <w:t xml:space="preserve"> </w:t>
      </w:r>
      <w:r w:rsidRPr="00874087">
        <w:rPr>
          <w:rFonts w:ascii="Times New Roman" w:hAnsi="Times New Roman" w:cs="Times New Roman"/>
          <w:sz w:val="24"/>
          <w:szCs w:val="24"/>
          <w:lang w:val="en"/>
        </w:rPr>
        <w:t xml:space="preserve">In fact, </w:t>
      </w:r>
      <w:r w:rsidR="00DF6A3B">
        <w:rPr>
          <w:rFonts w:ascii="Times New Roman" w:hAnsi="Times New Roman" w:cs="Times New Roman"/>
          <w:sz w:val="24"/>
          <w:szCs w:val="24"/>
          <w:lang w:val="en"/>
        </w:rPr>
        <w:t>one frequent exa</w:t>
      </w:r>
      <w:r w:rsidRPr="00874087">
        <w:rPr>
          <w:rFonts w:ascii="Times New Roman" w:hAnsi="Times New Roman" w:cs="Times New Roman"/>
          <w:sz w:val="24"/>
          <w:szCs w:val="24"/>
          <w:lang w:val="en"/>
        </w:rPr>
        <w:t>mple to how bilateral agreements can</w:t>
      </w:r>
      <w:r w:rsidR="0054082F">
        <w:rPr>
          <w:rFonts w:ascii="Times New Roman" w:hAnsi="Times New Roman" w:cs="Times New Roman"/>
          <w:sz w:val="24"/>
          <w:szCs w:val="24"/>
          <w:lang w:val="en"/>
        </w:rPr>
        <w:t xml:space="preserve"> be</w:t>
      </w:r>
      <w:r w:rsidRPr="00874087">
        <w:rPr>
          <w:rFonts w:ascii="Times New Roman" w:hAnsi="Times New Roman" w:cs="Times New Roman"/>
          <w:sz w:val="24"/>
          <w:szCs w:val="24"/>
          <w:lang w:val="en"/>
        </w:rPr>
        <w:t xml:space="preserve"> regionalize</w:t>
      </w:r>
      <w:r w:rsidR="0054082F">
        <w:rPr>
          <w:rFonts w:ascii="Times New Roman" w:hAnsi="Times New Roman" w:cs="Times New Roman"/>
          <w:sz w:val="24"/>
          <w:szCs w:val="24"/>
          <w:lang w:val="en"/>
        </w:rPr>
        <w:t>d</w:t>
      </w:r>
      <w:r w:rsidRPr="00874087">
        <w:rPr>
          <w:rFonts w:ascii="Times New Roman" w:hAnsi="Times New Roman" w:cs="Times New Roman"/>
          <w:sz w:val="24"/>
          <w:szCs w:val="24"/>
          <w:lang w:val="en"/>
        </w:rPr>
        <w:t xml:space="preserve"> and </w:t>
      </w:r>
      <w:r w:rsidR="0054082F">
        <w:rPr>
          <w:rFonts w:ascii="Times New Roman" w:hAnsi="Times New Roman" w:cs="Times New Roman"/>
          <w:sz w:val="24"/>
          <w:szCs w:val="24"/>
          <w:lang w:val="en"/>
        </w:rPr>
        <w:t xml:space="preserve">even become </w:t>
      </w:r>
      <w:r w:rsidRPr="00874087">
        <w:rPr>
          <w:rFonts w:ascii="Times New Roman" w:hAnsi="Times New Roman" w:cs="Times New Roman"/>
          <w:sz w:val="24"/>
          <w:szCs w:val="24"/>
          <w:lang w:val="en"/>
        </w:rPr>
        <w:t>multilateral is the creation of the Pan-European system of rules of origin in 1997</w:t>
      </w:r>
      <w:r w:rsidR="005A4236">
        <w:rPr>
          <w:rFonts w:ascii="Times New Roman" w:hAnsi="Times New Roman" w:cs="Times New Roman"/>
          <w:sz w:val="24"/>
          <w:szCs w:val="24"/>
          <w:lang w:val="en"/>
        </w:rPr>
        <w:t xml:space="preserve"> (Baldwin, 2013)</w:t>
      </w:r>
      <w:r w:rsidRPr="00874087">
        <w:rPr>
          <w:rFonts w:ascii="Times New Roman" w:hAnsi="Times New Roman" w:cs="Times New Roman"/>
          <w:sz w:val="24"/>
          <w:szCs w:val="24"/>
          <w:lang w:val="en"/>
        </w:rPr>
        <w:t>.</w:t>
      </w:r>
      <w:r w:rsidR="00443585" w:rsidRPr="00443585">
        <w:rPr>
          <w:rFonts w:ascii="Times New Roman" w:eastAsia="Times New Roman" w:hAnsi="Times New Roman" w:cs="Times New Roman"/>
          <w:sz w:val="24"/>
          <w:szCs w:val="24"/>
          <w:vertAlign w:val="superscript"/>
          <w:lang w:val="en-GB" w:eastAsia="es-ES"/>
        </w:rPr>
        <w:t xml:space="preserve"> </w:t>
      </w:r>
      <w:r w:rsidR="00443585" w:rsidRPr="00443585">
        <w:rPr>
          <w:rFonts w:ascii="Times New Roman" w:hAnsi="Times New Roman" w:cs="Times New Roman"/>
          <w:sz w:val="24"/>
          <w:szCs w:val="24"/>
          <w:vertAlign w:val="superscript"/>
        </w:rPr>
        <w:footnoteReference w:id="8"/>
      </w:r>
      <w:r w:rsidRPr="00874087">
        <w:rPr>
          <w:rFonts w:ascii="Times New Roman" w:hAnsi="Times New Roman" w:cs="Times New Roman"/>
          <w:sz w:val="24"/>
          <w:szCs w:val="24"/>
          <w:lang w:val="en"/>
        </w:rPr>
        <w:t xml:space="preserve"> </w:t>
      </w:r>
      <w:r w:rsidR="003B408A">
        <w:rPr>
          <w:rFonts w:ascii="Times New Roman" w:hAnsi="Times New Roman" w:cs="Times New Roman"/>
          <w:sz w:val="24"/>
          <w:szCs w:val="24"/>
          <w:lang w:val="en"/>
        </w:rPr>
        <w:t>F</w:t>
      </w:r>
      <w:r w:rsidRPr="00874087">
        <w:rPr>
          <w:rFonts w:ascii="Times New Roman" w:hAnsi="Times New Roman" w:cs="Times New Roman"/>
          <w:sz w:val="24"/>
          <w:szCs w:val="24"/>
          <w:lang w:val="en"/>
        </w:rPr>
        <w:t xml:space="preserve">ollowing the </w:t>
      </w:r>
      <w:r w:rsidR="002D1305" w:rsidRPr="00874087">
        <w:rPr>
          <w:rFonts w:ascii="Times New Roman" w:hAnsi="Times New Roman" w:cs="Times New Roman"/>
          <w:sz w:val="24"/>
          <w:szCs w:val="24"/>
          <w:lang w:val="en"/>
        </w:rPr>
        <w:t>metaphor,</w:t>
      </w:r>
      <w:r w:rsidRPr="00874087">
        <w:rPr>
          <w:rFonts w:ascii="Times New Roman" w:hAnsi="Times New Roman" w:cs="Times New Roman"/>
          <w:sz w:val="24"/>
          <w:szCs w:val="24"/>
          <w:lang w:val="en"/>
        </w:rPr>
        <w:t xml:space="preserve"> creating </w:t>
      </w:r>
      <w:r w:rsidR="002D1305" w:rsidRPr="00874087">
        <w:rPr>
          <w:rFonts w:ascii="Times New Roman" w:hAnsi="Times New Roman" w:cs="Times New Roman"/>
          <w:sz w:val="24"/>
          <w:szCs w:val="24"/>
          <w:lang w:val="en"/>
        </w:rPr>
        <w:t>lasagna</w:t>
      </w:r>
      <w:r w:rsidRPr="00874087">
        <w:rPr>
          <w:rFonts w:ascii="Times New Roman" w:hAnsi="Times New Roman" w:cs="Times New Roman"/>
          <w:sz w:val="24"/>
          <w:szCs w:val="24"/>
          <w:lang w:val="en"/>
        </w:rPr>
        <w:t xml:space="preserve"> would be a step in the development of a multilateral su</w:t>
      </w:r>
      <w:r w:rsidR="002D1305">
        <w:rPr>
          <w:rFonts w:ascii="Times New Roman" w:hAnsi="Times New Roman" w:cs="Times New Roman"/>
          <w:sz w:val="24"/>
          <w:szCs w:val="24"/>
          <w:lang w:val="en"/>
        </w:rPr>
        <w:t>per</w:t>
      </w:r>
      <w:r w:rsidRPr="00874087">
        <w:rPr>
          <w:rFonts w:ascii="Times New Roman" w:hAnsi="Times New Roman" w:cs="Times New Roman"/>
          <w:sz w:val="24"/>
          <w:szCs w:val="24"/>
          <w:lang w:val="en"/>
        </w:rPr>
        <w:t xml:space="preserve"> pizza.</w:t>
      </w:r>
    </w:p>
    <w:p w:rsidR="007A253C" w:rsidRPr="002A16C5" w:rsidRDefault="00DC7D24" w:rsidP="00C836AB">
      <w:pPr>
        <w:jc w:val="both"/>
        <w:rPr>
          <w:rFonts w:ascii="Times New Roman" w:hAnsi="Times New Roman" w:cs="Times New Roman"/>
          <w:sz w:val="24"/>
          <w:szCs w:val="24"/>
          <w:lang w:val="en"/>
        </w:rPr>
      </w:pPr>
      <w:r w:rsidRPr="002A16C5">
        <w:rPr>
          <w:rFonts w:ascii="Times New Roman" w:hAnsi="Times New Roman" w:cs="Times New Roman"/>
          <w:sz w:val="24"/>
          <w:szCs w:val="24"/>
          <w:lang w:val="en"/>
        </w:rPr>
        <w:t>I</w:t>
      </w:r>
      <w:r w:rsidR="007A253C" w:rsidRPr="002A16C5">
        <w:rPr>
          <w:rFonts w:ascii="Times New Roman" w:hAnsi="Times New Roman" w:cs="Times New Roman"/>
          <w:sz w:val="24"/>
          <w:szCs w:val="24"/>
          <w:lang w:val="en"/>
        </w:rPr>
        <w:t>t is interesting to note</w:t>
      </w:r>
      <w:r w:rsidR="00E17603" w:rsidRPr="002A16C5">
        <w:rPr>
          <w:rFonts w:ascii="Times New Roman" w:hAnsi="Times New Roman" w:cs="Times New Roman"/>
          <w:sz w:val="24"/>
          <w:szCs w:val="24"/>
          <w:lang w:val="en"/>
        </w:rPr>
        <w:t>,</w:t>
      </w:r>
      <w:r w:rsidR="007A253C" w:rsidRPr="002A16C5">
        <w:rPr>
          <w:rFonts w:ascii="Times New Roman" w:hAnsi="Times New Roman" w:cs="Times New Roman"/>
          <w:sz w:val="24"/>
          <w:szCs w:val="24"/>
          <w:lang w:val="en"/>
        </w:rPr>
        <w:t xml:space="preserve"> </w:t>
      </w:r>
      <w:r w:rsidR="00E17603" w:rsidRPr="002A16C5">
        <w:rPr>
          <w:rFonts w:ascii="Times New Roman" w:hAnsi="Times New Roman" w:cs="Times New Roman"/>
          <w:sz w:val="24"/>
          <w:szCs w:val="24"/>
          <w:lang w:val="en"/>
        </w:rPr>
        <w:t xml:space="preserve">in this sense, </w:t>
      </w:r>
      <w:r w:rsidR="007A253C" w:rsidRPr="002A16C5">
        <w:rPr>
          <w:rFonts w:ascii="Times New Roman" w:hAnsi="Times New Roman" w:cs="Times New Roman"/>
          <w:sz w:val="24"/>
          <w:szCs w:val="24"/>
          <w:lang w:val="en"/>
        </w:rPr>
        <w:t xml:space="preserve">that </w:t>
      </w:r>
      <w:r w:rsidR="00F062A2" w:rsidRPr="002A16C5">
        <w:rPr>
          <w:rFonts w:ascii="Times New Roman" w:hAnsi="Times New Roman" w:cs="Times New Roman"/>
          <w:sz w:val="24"/>
          <w:szCs w:val="24"/>
          <w:lang w:val="en"/>
        </w:rPr>
        <w:t xml:space="preserve">while </w:t>
      </w:r>
      <w:r w:rsidR="007A253C" w:rsidRPr="002A16C5">
        <w:rPr>
          <w:rFonts w:ascii="Times New Roman" w:hAnsi="Times New Roman" w:cs="Times New Roman"/>
          <w:sz w:val="24"/>
          <w:szCs w:val="24"/>
          <w:lang w:val="en"/>
        </w:rPr>
        <w:t xml:space="preserve">the TTIP is expected to </w:t>
      </w:r>
      <w:r w:rsidR="00F062A2" w:rsidRPr="002A16C5">
        <w:rPr>
          <w:rFonts w:ascii="Times New Roman" w:hAnsi="Times New Roman" w:cs="Times New Roman"/>
          <w:sz w:val="24"/>
          <w:szCs w:val="24"/>
          <w:lang w:val="en"/>
        </w:rPr>
        <w:t>have a negative impact on both the EU and US trade with third countries in the short term; in the long term the impact is to be positive</w:t>
      </w:r>
      <w:r w:rsidR="005A4236" w:rsidRPr="002A16C5">
        <w:rPr>
          <w:rFonts w:ascii="Times New Roman" w:hAnsi="Times New Roman" w:cs="Times New Roman"/>
          <w:sz w:val="24"/>
          <w:szCs w:val="24"/>
          <w:lang w:val="en"/>
        </w:rPr>
        <w:t xml:space="preserve"> thanks to a multilateralization of norms</w:t>
      </w:r>
      <w:r w:rsidR="007A253C" w:rsidRPr="002A16C5">
        <w:rPr>
          <w:rFonts w:ascii="Times New Roman" w:hAnsi="Times New Roman" w:cs="Times New Roman"/>
          <w:sz w:val="24"/>
          <w:szCs w:val="24"/>
          <w:lang w:val="en"/>
        </w:rPr>
        <w:t xml:space="preserve">. </w:t>
      </w:r>
      <w:r w:rsidR="00F062A2" w:rsidRPr="002A16C5">
        <w:rPr>
          <w:rFonts w:ascii="Times New Roman" w:hAnsi="Times New Roman" w:cs="Times New Roman"/>
          <w:sz w:val="24"/>
          <w:szCs w:val="24"/>
          <w:lang w:val="en"/>
        </w:rPr>
        <w:t xml:space="preserve">The </w:t>
      </w:r>
      <w:proofErr w:type="spellStart"/>
      <w:r w:rsidR="00F062A2" w:rsidRPr="002A16C5">
        <w:rPr>
          <w:rFonts w:ascii="Times New Roman" w:hAnsi="Times New Roman" w:cs="Times New Roman"/>
          <w:sz w:val="24"/>
          <w:szCs w:val="24"/>
          <w:lang w:val="en"/>
        </w:rPr>
        <w:t>Bertelsman</w:t>
      </w:r>
      <w:proofErr w:type="spellEnd"/>
      <w:r w:rsidR="00F062A2" w:rsidRPr="002A16C5">
        <w:rPr>
          <w:rFonts w:ascii="Times New Roman" w:hAnsi="Times New Roman" w:cs="Times New Roman"/>
          <w:sz w:val="24"/>
          <w:szCs w:val="24"/>
          <w:lang w:val="en"/>
        </w:rPr>
        <w:t xml:space="preserve"> Foundation commissioned study on the ma</w:t>
      </w:r>
      <w:r w:rsidR="005A4236" w:rsidRPr="002A16C5">
        <w:rPr>
          <w:rFonts w:ascii="Times New Roman" w:hAnsi="Times New Roman" w:cs="Times New Roman"/>
          <w:sz w:val="24"/>
          <w:szCs w:val="24"/>
          <w:lang w:val="en"/>
        </w:rPr>
        <w:t>croeconomic impact of the TTIP</w:t>
      </w:r>
      <w:r w:rsidR="00F062A2" w:rsidRPr="002A16C5">
        <w:rPr>
          <w:rFonts w:ascii="Times New Roman" w:hAnsi="Times New Roman" w:cs="Times New Roman"/>
          <w:sz w:val="24"/>
          <w:szCs w:val="24"/>
          <w:lang w:val="en"/>
        </w:rPr>
        <w:t xml:space="preserve"> estimates that EU and </w:t>
      </w:r>
      <w:proofErr w:type="gramStart"/>
      <w:r w:rsidR="00F062A2" w:rsidRPr="002A16C5">
        <w:rPr>
          <w:rFonts w:ascii="Times New Roman" w:hAnsi="Times New Roman" w:cs="Times New Roman"/>
          <w:sz w:val="24"/>
          <w:szCs w:val="24"/>
          <w:lang w:val="en"/>
        </w:rPr>
        <w:t>US</w:t>
      </w:r>
      <w:proofErr w:type="gramEnd"/>
      <w:r w:rsidR="00F062A2" w:rsidRPr="002A16C5">
        <w:rPr>
          <w:rFonts w:ascii="Times New Roman" w:hAnsi="Times New Roman" w:cs="Times New Roman"/>
          <w:sz w:val="24"/>
          <w:szCs w:val="24"/>
          <w:lang w:val="en"/>
        </w:rPr>
        <w:t xml:space="preserve"> trade with the rest of the world would drop in the short term by more than 10%</w:t>
      </w:r>
      <w:r w:rsidR="000A0AC4" w:rsidRPr="002A16C5">
        <w:rPr>
          <w:rFonts w:ascii="Times New Roman" w:hAnsi="Times New Roman" w:cs="Times New Roman"/>
          <w:sz w:val="24"/>
          <w:szCs w:val="24"/>
          <w:lang w:val="en"/>
        </w:rPr>
        <w:t xml:space="preserve"> (</w:t>
      </w:r>
      <w:proofErr w:type="spellStart"/>
      <w:r w:rsidR="000A0AC4" w:rsidRPr="002A16C5">
        <w:rPr>
          <w:rFonts w:ascii="Times New Roman" w:hAnsi="Times New Roman" w:cs="Times New Roman"/>
          <w:sz w:val="24"/>
          <w:szCs w:val="24"/>
          <w:lang w:val="en"/>
        </w:rPr>
        <w:t>Felbermayr</w:t>
      </w:r>
      <w:proofErr w:type="spellEnd"/>
      <w:r w:rsidR="000A0AC4" w:rsidRPr="002A16C5">
        <w:rPr>
          <w:rFonts w:ascii="Times New Roman" w:hAnsi="Times New Roman" w:cs="Times New Roman"/>
          <w:sz w:val="24"/>
          <w:szCs w:val="24"/>
          <w:lang w:val="en"/>
        </w:rPr>
        <w:t xml:space="preserve"> </w:t>
      </w:r>
      <w:r w:rsidR="000A0AC4" w:rsidRPr="002A16C5">
        <w:rPr>
          <w:rFonts w:ascii="Times New Roman" w:hAnsi="Times New Roman" w:cs="Times New Roman"/>
          <w:i/>
          <w:sz w:val="24"/>
          <w:szCs w:val="24"/>
          <w:lang w:val="en"/>
        </w:rPr>
        <w:t>et al</w:t>
      </w:r>
      <w:r w:rsidR="000A0AC4" w:rsidRPr="002A16C5">
        <w:rPr>
          <w:rFonts w:ascii="Times New Roman" w:hAnsi="Times New Roman" w:cs="Times New Roman"/>
          <w:sz w:val="24"/>
          <w:szCs w:val="24"/>
          <w:lang w:val="en"/>
        </w:rPr>
        <w:t>., 2013)</w:t>
      </w:r>
      <w:r w:rsidR="00F062A2" w:rsidRPr="002A16C5">
        <w:rPr>
          <w:rFonts w:ascii="Times New Roman" w:hAnsi="Times New Roman" w:cs="Times New Roman"/>
          <w:sz w:val="24"/>
          <w:szCs w:val="24"/>
          <w:lang w:val="en"/>
        </w:rPr>
        <w:t xml:space="preserve">. The Centre for Economic Policy Research study </w:t>
      </w:r>
      <w:r w:rsidR="005A4236" w:rsidRPr="002A16C5">
        <w:rPr>
          <w:rFonts w:ascii="Times New Roman" w:hAnsi="Times New Roman" w:cs="Times New Roman"/>
          <w:sz w:val="24"/>
          <w:szCs w:val="24"/>
          <w:lang w:val="en"/>
        </w:rPr>
        <w:t>calculates</w:t>
      </w:r>
      <w:r w:rsidR="00E17603" w:rsidRPr="002A16C5">
        <w:rPr>
          <w:rFonts w:ascii="Times New Roman" w:hAnsi="Times New Roman" w:cs="Times New Roman"/>
          <w:sz w:val="24"/>
          <w:szCs w:val="24"/>
          <w:lang w:val="en"/>
        </w:rPr>
        <w:t>,</w:t>
      </w:r>
      <w:r w:rsidR="00F062A2" w:rsidRPr="002A16C5">
        <w:rPr>
          <w:rFonts w:ascii="Times New Roman" w:hAnsi="Times New Roman" w:cs="Times New Roman"/>
          <w:sz w:val="24"/>
          <w:szCs w:val="24"/>
          <w:lang w:val="en"/>
        </w:rPr>
        <w:t xml:space="preserve"> </w:t>
      </w:r>
      <w:r w:rsidR="00F70172" w:rsidRPr="002A16C5">
        <w:rPr>
          <w:rFonts w:ascii="Times New Roman" w:hAnsi="Times New Roman" w:cs="Times New Roman"/>
          <w:sz w:val="24"/>
          <w:szCs w:val="24"/>
          <w:lang w:val="en"/>
        </w:rPr>
        <w:t>however</w:t>
      </w:r>
      <w:r w:rsidR="00E17603" w:rsidRPr="002A16C5">
        <w:rPr>
          <w:rFonts w:ascii="Times New Roman" w:hAnsi="Times New Roman" w:cs="Times New Roman"/>
          <w:sz w:val="24"/>
          <w:szCs w:val="24"/>
          <w:lang w:val="en"/>
        </w:rPr>
        <w:t>,</w:t>
      </w:r>
      <w:r w:rsidR="00F70172" w:rsidRPr="002A16C5">
        <w:rPr>
          <w:rFonts w:ascii="Times New Roman" w:hAnsi="Times New Roman" w:cs="Times New Roman"/>
          <w:sz w:val="24"/>
          <w:szCs w:val="24"/>
          <w:lang w:val="en"/>
        </w:rPr>
        <w:t xml:space="preserve"> </w:t>
      </w:r>
      <w:r w:rsidR="00F062A2" w:rsidRPr="002A16C5">
        <w:rPr>
          <w:rFonts w:ascii="Times New Roman" w:hAnsi="Times New Roman" w:cs="Times New Roman"/>
          <w:sz w:val="24"/>
          <w:szCs w:val="24"/>
          <w:lang w:val="en"/>
        </w:rPr>
        <w:t>that by 2027 the TTIP would increase GDP in the rest of the world by almost €100 billion (compared to €120 billion for the EU and €95 billion for the US)</w:t>
      </w:r>
      <w:r w:rsidR="000A0AC4" w:rsidRPr="002A16C5">
        <w:rPr>
          <w:rFonts w:ascii="Times New Roman" w:hAnsi="Times New Roman" w:cs="Times New Roman"/>
          <w:sz w:val="24"/>
          <w:szCs w:val="24"/>
          <w:lang w:val="en"/>
        </w:rPr>
        <w:t xml:space="preserve"> (Francois, 2013)</w:t>
      </w:r>
      <w:r w:rsidR="00F062A2" w:rsidRPr="002A16C5">
        <w:rPr>
          <w:rFonts w:ascii="Times New Roman" w:hAnsi="Times New Roman" w:cs="Times New Roman"/>
          <w:sz w:val="24"/>
          <w:szCs w:val="24"/>
          <w:lang w:val="en"/>
        </w:rPr>
        <w:t xml:space="preserve">. </w:t>
      </w:r>
      <w:r w:rsidR="000372EE" w:rsidRPr="002A16C5">
        <w:rPr>
          <w:rFonts w:ascii="Times New Roman" w:hAnsi="Times New Roman" w:cs="Times New Roman"/>
          <w:sz w:val="24"/>
          <w:szCs w:val="24"/>
          <w:lang w:val="en"/>
        </w:rPr>
        <w:t xml:space="preserve">This change in the nature of the TTIP impact on the rest of world would be the result of positive spillover effects derived from the EU and the US developing common regulatory approaches. The economic importance of the TTIP market will mean that their trade partners would have an incentive to move towards the </w:t>
      </w:r>
      <w:r w:rsidR="000372EE" w:rsidRPr="002A16C5">
        <w:rPr>
          <w:rFonts w:ascii="Times New Roman" w:hAnsi="Times New Roman" w:cs="Times New Roman"/>
          <w:sz w:val="24"/>
          <w:szCs w:val="24"/>
          <w:lang w:val="en"/>
        </w:rPr>
        <w:lastRenderedPageBreak/>
        <w:t xml:space="preserve">new transatlantic standards…making it easier to </w:t>
      </w:r>
      <w:proofErr w:type="spellStart"/>
      <w:r w:rsidR="000372EE" w:rsidRPr="002A16C5">
        <w:rPr>
          <w:rFonts w:ascii="Times New Roman" w:hAnsi="Times New Roman" w:cs="Times New Roman"/>
          <w:sz w:val="24"/>
          <w:szCs w:val="24"/>
          <w:lang w:val="en"/>
        </w:rPr>
        <w:t>multilateralize</w:t>
      </w:r>
      <w:proofErr w:type="spellEnd"/>
      <w:r w:rsidR="000372EE" w:rsidRPr="002A16C5">
        <w:rPr>
          <w:rFonts w:ascii="Times New Roman" w:hAnsi="Times New Roman" w:cs="Times New Roman"/>
          <w:sz w:val="24"/>
          <w:szCs w:val="24"/>
          <w:lang w:val="en"/>
        </w:rPr>
        <w:t xml:space="preserve"> them</w:t>
      </w:r>
      <w:r w:rsidR="005A4236" w:rsidRPr="002A16C5">
        <w:rPr>
          <w:rFonts w:ascii="Times New Roman" w:hAnsi="Times New Roman" w:cs="Times New Roman"/>
          <w:sz w:val="24"/>
          <w:szCs w:val="24"/>
          <w:lang w:val="en"/>
        </w:rPr>
        <w:t xml:space="preserve"> either </w:t>
      </w:r>
      <w:r w:rsidR="005A4236" w:rsidRPr="002A16C5">
        <w:rPr>
          <w:rFonts w:ascii="Times New Roman" w:hAnsi="Times New Roman" w:cs="Times New Roman"/>
          <w:i/>
          <w:sz w:val="24"/>
          <w:szCs w:val="24"/>
          <w:lang w:val="en"/>
        </w:rPr>
        <w:t>de jure</w:t>
      </w:r>
      <w:r w:rsidR="005A4236" w:rsidRPr="002A16C5">
        <w:rPr>
          <w:rFonts w:ascii="Times New Roman" w:hAnsi="Times New Roman" w:cs="Times New Roman"/>
          <w:sz w:val="24"/>
          <w:szCs w:val="24"/>
          <w:lang w:val="en"/>
        </w:rPr>
        <w:t xml:space="preserve"> or </w:t>
      </w:r>
      <w:r w:rsidR="005A4236" w:rsidRPr="002A16C5">
        <w:rPr>
          <w:rFonts w:ascii="Times New Roman" w:hAnsi="Times New Roman" w:cs="Times New Roman"/>
          <w:i/>
          <w:sz w:val="24"/>
          <w:szCs w:val="24"/>
          <w:lang w:val="en"/>
        </w:rPr>
        <w:t>de facto</w:t>
      </w:r>
      <w:r w:rsidR="000372EE" w:rsidRPr="002A16C5">
        <w:rPr>
          <w:rFonts w:ascii="Times New Roman" w:hAnsi="Times New Roman" w:cs="Times New Roman"/>
          <w:sz w:val="24"/>
          <w:szCs w:val="24"/>
          <w:lang w:val="en"/>
        </w:rPr>
        <w:t xml:space="preserve">. </w:t>
      </w:r>
    </w:p>
    <w:p w:rsidR="004B612E" w:rsidRDefault="00DA6535" w:rsidP="00C836AB">
      <w:pPr>
        <w:jc w:val="both"/>
        <w:rPr>
          <w:rFonts w:ascii="Times New Roman" w:hAnsi="Times New Roman" w:cs="Times New Roman"/>
          <w:color w:val="FF0000"/>
          <w:sz w:val="24"/>
          <w:szCs w:val="24"/>
          <w:lang w:val="en"/>
        </w:rPr>
      </w:pPr>
      <w:r w:rsidRPr="002A16C5">
        <w:rPr>
          <w:rFonts w:ascii="Times New Roman" w:hAnsi="Times New Roman" w:cs="Times New Roman"/>
          <w:sz w:val="24"/>
          <w:szCs w:val="24"/>
          <w:lang w:val="en"/>
        </w:rPr>
        <w:t xml:space="preserve">This body of literature has of course detractors. Some researchers have argued that </w:t>
      </w:r>
      <w:r w:rsidRPr="00DA6535">
        <w:rPr>
          <w:rFonts w:ascii="Times New Roman" w:hAnsi="Times New Roman" w:cs="Times New Roman"/>
          <w:sz w:val="24"/>
          <w:szCs w:val="24"/>
          <w:lang w:val="en"/>
        </w:rPr>
        <w:t xml:space="preserve">these mega- regional agreements, for all the WTO + and / or WTO -X topics they may cover, can also make the coexistence between the bilateral and multilateral systems more difficult, at least in the short term. As </w:t>
      </w:r>
      <w:proofErr w:type="spellStart"/>
      <w:r w:rsidRPr="00DA6535">
        <w:rPr>
          <w:rFonts w:ascii="Times New Roman" w:hAnsi="Times New Roman" w:cs="Times New Roman"/>
          <w:sz w:val="24"/>
          <w:szCs w:val="24"/>
          <w:lang w:val="en"/>
        </w:rPr>
        <w:t>Bhagwati</w:t>
      </w:r>
      <w:proofErr w:type="spellEnd"/>
      <w:r w:rsidRPr="00DA6535">
        <w:rPr>
          <w:rFonts w:ascii="Times New Roman" w:hAnsi="Times New Roman" w:cs="Times New Roman"/>
          <w:sz w:val="24"/>
          <w:szCs w:val="24"/>
          <w:lang w:val="en"/>
        </w:rPr>
        <w:t xml:space="preserve"> (2008: 94-95) remarks: "</w:t>
      </w:r>
      <w:r w:rsidRPr="00DA6535">
        <w:rPr>
          <w:rFonts w:ascii="Times New Roman" w:hAnsi="Times New Roman" w:cs="Times New Roman"/>
          <w:sz w:val="24"/>
          <w:szCs w:val="24"/>
          <w:lang w:val="en-GB"/>
        </w:rPr>
        <w:t xml:space="preserve">Lasagna cannot be made from spaghetti: it needs flat pasta. And pizza cannot be made from </w:t>
      </w:r>
      <w:proofErr w:type="spellStart"/>
      <w:r w:rsidRPr="00DA6535">
        <w:rPr>
          <w:rFonts w:ascii="Times New Roman" w:hAnsi="Times New Roman" w:cs="Times New Roman"/>
          <w:sz w:val="24"/>
          <w:szCs w:val="24"/>
          <w:lang w:val="en-GB"/>
        </w:rPr>
        <w:t>lasagna</w:t>
      </w:r>
      <w:proofErr w:type="spellEnd"/>
      <w:r w:rsidRPr="00DA6535">
        <w:rPr>
          <w:rFonts w:ascii="Times New Roman" w:hAnsi="Times New Roman" w:cs="Times New Roman"/>
          <w:sz w:val="24"/>
          <w:szCs w:val="24"/>
          <w:lang w:val="en-GB"/>
        </w:rPr>
        <w:t xml:space="preserve"> either!</w:t>
      </w:r>
      <w:r w:rsidRPr="00DA6535">
        <w:rPr>
          <w:rFonts w:ascii="Times New Roman" w:hAnsi="Times New Roman" w:cs="Times New Roman"/>
          <w:sz w:val="24"/>
          <w:szCs w:val="24"/>
          <w:lang w:val="en"/>
        </w:rPr>
        <w:t>" On one hand, these agreements can create new trade diversion effects</w:t>
      </w:r>
      <w:r w:rsidR="00AD25C9">
        <w:rPr>
          <w:rFonts w:ascii="Times New Roman" w:hAnsi="Times New Roman" w:cs="Times New Roman"/>
          <w:sz w:val="24"/>
          <w:szCs w:val="24"/>
          <w:lang w:val="en"/>
        </w:rPr>
        <w:t>,</w:t>
      </w:r>
      <w:r w:rsidRPr="00DA6535">
        <w:rPr>
          <w:rFonts w:ascii="Times New Roman" w:hAnsi="Times New Roman" w:cs="Times New Roman"/>
          <w:sz w:val="24"/>
          <w:szCs w:val="24"/>
          <w:lang w:val="en"/>
        </w:rPr>
        <w:t xml:space="preserve"> </w:t>
      </w:r>
      <w:r w:rsidR="00AD25C9">
        <w:rPr>
          <w:rFonts w:ascii="Times New Roman" w:hAnsi="Times New Roman" w:cs="Times New Roman"/>
          <w:sz w:val="24"/>
          <w:szCs w:val="24"/>
          <w:lang w:val="en"/>
        </w:rPr>
        <w:t xml:space="preserve">especially through different norm recognition schemes and a plurality of norms of origin </w:t>
      </w:r>
      <w:r w:rsidRPr="00DA6535">
        <w:rPr>
          <w:rFonts w:ascii="Times New Roman" w:hAnsi="Times New Roman" w:cs="Times New Roman"/>
          <w:sz w:val="24"/>
          <w:szCs w:val="24"/>
          <w:lang w:val="en"/>
        </w:rPr>
        <w:t>(Lawrence, 2013; Subramanian and Kessler, 2013). In particular, countries that tend to lose more decision-making power in the context of bilateral negotiations are the least economically powerful (</w:t>
      </w:r>
      <w:r w:rsidR="00B26E5E">
        <w:rPr>
          <w:rFonts w:ascii="Times New Roman" w:hAnsi="Times New Roman" w:cs="Times New Roman"/>
          <w:sz w:val="24"/>
          <w:szCs w:val="24"/>
          <w:lang w:val="en"/>
        </w:rPr>
        <w:t xml:space="preserve">UNCTAD, 2014; </w:t>
      </w:r>
      <w:proofErr w:type="spellStart"/>
      <w:r w:rsidRPr="00DA6535">
        <w:rPr>
          <w:rFonts w:ascii="Times New Roman" w:hAnsi="Times New Roman" w:cs="Times New Roman"/>
          <w:sz w:val="24"/>
          <w:szCs w:val="24"/>
          <w:lang w:val="en"/>
        </w:rPr>
        <w:t>Bhagwati</w:t>
      </w:r>
      <w:proofErr w:type="spellEnd"/>
      <w:r w:rsidRPr="00DA6535">
        <w:rPr>
          <w:rFonts w:ascii="Times New Roman" w:hAnsi="Times New Roman" w:cs="Times New Roman"/>
          <w:sz w:val="24"/>
          <w:szCs w:val="24"/>
          <w:lang w:val="en"/>
        </w:rPr>
        <w:t>, 2008; Abbott, 2007). Moreover, these agreements can divert multilateral negotiating capacity and create valid alternative market access for key economic actors (</w:t>
      </w:r>
      <w:proofErr w:type="spellStart"/>
      <w:r w:rsidRPr="00DA6535">
        <w:rPr>
          <w:rFonts w:ascii="Times New Roman" w:hAnsi="Times New Roman" w:cs="Times New Roman"/>
          <w:sz w:val="24"/>
          <w:szCs w:val="24"/>
          <w:lang w:val="en"/>
        </w:rPr>
        <w:t>Conceição</w:t>
      </w:r>
      <w:proofErr w:type="spellEnd"/>
      <w:r w:rsidRPr="00DA6535">
        <w:rPr>
          <w:rFonts w:ascii="Times New Roman" w:hAnsi="Times New Roman" w:cs="Times New Roman"/>
          <w:sz w:val="24"/>
          <w:szCs w:val="24"/>
          <w:lang w:val="en"/>
        </w:rPr>
        <w:t xml:space="preserve"> - Held, 2013). Last but not least, as Dr. </w:t>
      </w:r>
      <w:proofErr w:type="spellStart"/>
      <w:r w:rsidRPr="00DA6535">
        <w:rPr>
          <w:rFonts w:ascii="Times New Roman" w:hAnsi="Times New Roman" w:cs="Times New Roman"/>
          <w:sz w:val="24"/>
          <w:szCs w:val="24"/>
          <w:lang w:val="en"/>
        </w:rPr>
        <w:t>Supachai</w:t>
      </w:r>
      <w:proofErr w:type="spellEnd"/>
      <w:r w:rsidRPr="00DA6535">
        <w:rPr>
          <w:rFonts w:ascii="Times New Roman" w:hAnsi="Times New Roman" w:cs="Times New Roman"/>
          <w:sz w:val="24"/>
          <w:szCs w:val="24"/>
          <w:lang w:val="en"/>
        </w:rPr>
        <w:t xml:space="preserve"> -former WTO director-general (2002-2005) - has recently pointed out during an interview,</w:t>
      </w:r>
      <w:r w:rsidRPr="00DA6535">
        <w:rPr>
          <w:rFonts w:ascii="Times New Roman" w:hAnsi="Times New Roman" w:cs="Times New Roman"/>
          <w:sz w:val="24"/>
          <w:szCs w:val="24"/>
          <w:vertAlign w:val="superscript"/>
          <w:lang w:val="en"/>
        </w:rPr>
        <w:footnoteReference w:id="9"/>
      </w:r>
      <w:r w:rsidRPr="00DA6535">
        <w:rPr>
          <w:rFonts w:ascii="Times New Roman" w:hAnsi="Times New Roman" w:cs="Times New Roman"/>
          <w:sz w:val="24"/>
          <w:szCs w:val="24"/>
          <w:lang w:val="en"/>
        </w:rPr>
        <w:t xml:space="preserve"> they may set-up too forward-looking rules in areas that less developed economies would struggle to accommodate. Their impact would depend largely on whether they are more or less exclusive towards third countries.</w:t>
      </w:r>
      <w:r w:rsidRPr="00DA6535">
        <w:rPr>
          <w:rFonts w:ascii="Times New Roman" w:hAnsi="Times New Roman" w:cs="Times New Roman"/>
          <w:sz w:val="24"/>
          <w:szCs w:val="24"/>
          <w:lang w:val="en"/>
        </w:rPr>
        <w:br/>
      </w:r>
    </w:p>
    <w:p w:rsidR="00D3155A" w:rsidRDefault="00E31DED" w:rsidP="00C836AB">
      <w:pPr>
        <w:jc w:val="both"/>
        <w:rPr>
          <w:rFonts w:ascii="Times New Roman" w:hAnsi="Times New Roman" w:cs="Times New Roman"/>
          <w:sz w:val="24"/>
          <w:szCs w:val="24"/>
          <w:lang w:val="en"/>
        </w:rPr>
      </w:pPr>
      <w:r w:rsidRPr="002A16C5">
        <w:rPr>
          <w:rFonts w:ascii="Times New Roman" w:hAnsi="Times New Roman" w:cs="Times New Roman"/>
          <w:sz w:val="24"/>
          <w:szCs w:val="24"/>
          <w:lang w:val="en"/>
        </w:rPr>
        <w:t xml:space="preserve">Despite this criticism, however, bilateral agreements have tended to be looked at with increasing benevolence. This is in part due to globalization and the emergence of value added chains of production. </w:t>
      </w:r>
      <w:r>
        <w:rPr>
          <w:rFonts w:ascii="Times New Roman" w:hAnsi="Times New Roman" w:cs="Times New Roman"/>
          <w:sz w:val="24"/>
          <w:szCs w:val="24"/>
          <w:lang w:val="en"/>
        </w:rPr>
        <w:t xml:space="preserve">While Director General of the WTO, </w:t>
      </w:r>
      <w:proofErr w:type="spellStart"/>
      <w:r w:rsidR="00DA6535" w:rsidRPr="00DA6535">
        <w:rPr>
          <w:rFonts w:ascii="Times New Roman" w:hAnsi="Times New Roman" w:cs="Times New Roman"/>
          <w:sz w:val="24"/>
          <w:szCs w:val="24"/>
          <w:lang w:val="en"/>
        </w:rPr>
        <w:t>Lamy</w:t>
      </w:r>
      <w:proofErr w:type="spellEnd"/>
      <w:r w:rsidR="00DA6535" w:rsidRPr="00DA6535">
        <w:rPr>
          <w:rFonts w:ascii="Times New Roman" w:hAnsi="Times New Roman" w:cs="Times New Roman"/>
          <w:sz w:val="24"/>
          <w:szCs w:val="24"/>
          <w:lang w:val="en"/>
        </w:rPr>
        <w:t xml:space="preserve"> (2013</w:t>
      </w:r>
      <w:r w:rsidR="006D702B">
        <w:rPr>
          <w:rFonts w:ascii="Times New Roman" w:hAnsi="Times New Roman" w:cs="Times New Roman"/>
          <w:sz w:val="24"/>
          <w:szCs w:val="24"/>
          <w:lang w:val="en"/>
        </w:rPr>
        <w:t>) claimed</w:t>
      </w:r>
      <w:r w:rsidR="00DA6535" w:rsidRPr="00DA6535">
        <w:rPr>
          <w:rFonts w:ascii="Times New Roman" w:hAnsi="Times New Roman" w:cs="Times New Roman"/>
          <w:sz w:val="24"/>
          <w:szCs w:val="24"/>
          <w:lang w:val="en"/>
        </w:rPr>
        <w:t xml:space="preserve"> that </w:t>
      </w:r>
      <w:r w:rsidR="007C003C">
        <w:rPr>
          <w:rFonts w:ascii="Times New Roman" w:hAnsi="Times New Roman" w:cs="Times New Roman"/>
          <w:sz w:val="24"/>
          <w:szCs w:val="24"/>
          <w:lang w:val="en"/>
        </w:rPr>
        <w:t>mercantilism wa</w:t>
      </w:r>
      <w:r w:rsidR="00DA6535" w:rsidRPr="00DA6535">
        <w:rPr>
          <w:rFonts w:ascii="Times New Roman" w:hAnsi="Times New Roman" w:cs="Times New Roman"/>
          <w:sz w:val="24"/>
          <w:szCs w:val="24"/>
          <w:lang w:val="en"/>
        </w:rPr>
        <w:t>s dead because in order to be a competitive exporter a country must be a large importer. In a context marked by transn</w:t>
      </w:r>
      <w:r w:rsidR="007C003C">
        <w:rPr>
          <w:rFonts w:ascii="Times New Roman" w:hAnsi="Times New Roman" w:cs="Times New Roman"/>
          <w:sz w:val="24"/>
          <w:szCs w:val="24"/>
          <w:lang w:val="en"/>
        </w:rPr>
        <w:t>ational production chains what wa</w:t>
      </w:r>
      <w:r w:rsidR="00DA6535" w:rsidRPr="00DA6535">
        <w:rPr>
          <w:rFonts w:ascii="Times New Roman" w:hAnsi="Times New Roman" w:cs="Times New Roman"/>
          <w:sz w:val="24"/>
          <w:szCs w:val="24"/>
          <w:lang w:val="en"/>
        </w:rPr>
        <w:t xml:space="preserve">s needed is a clear regulatory framework in areas such as services and investments. He </w:t>
      </w:r>
      <w:r w:rsidR="006D702B">
        <w:rPr>
          <w:rFonts w:ascii="Times New Roman" w:hAnsi="Times New Roman" w:cs="Times New Roman"/>
          <w:sz w:val="24"/>
          <w:szCs w:val="24"/>
          <w:lang w:val="en"/>
        </w:rPr>
        <w:t>argued</w:t>
      </w:r>
      <w:r w:rsidR="00DA6535" w:rsidRPr="00DA6535">
        <w:rPr>
          <w:rFonts w:ascii="Times New Roman" w:hAnsi="Times New Roman" w:cs="Times New Roman"/>
          <w:sz w:val="24"/>
          <w:szCs w:val="24"/>
          <w:lang w:val="en"/>
        </w:rPr>
        <w:t xml:space="preserve"> that this </w:t>
      </w:r>
      <w:r w:rsidR="007C003C">
        <w:rPr>
          <w:rFonts w:ascii="Times New Roman" w:hAnsi="Times New Roman" w:cs="Times New Roman"/>
          <w:sz w:val="24"/>
          <w:szCs w:val="24"/>
          <w:lang w:val="en"/>
        </w:rPr>
        <w:t>governance demand wa</w:t>
      </w:r>
      <w:r w:rsidR="00DA6535" w:rsidRPr="00DA6535">
        <w:rPr>
          <w:rFonts w:ascii="Times New Roman" w:hAnsi="Times New Roman" w:cs="Times New Roman"/>
          <w:sz w:val="24"/>
          <w:szCs w:val="24"/>
          <w:lang w:val="en"/>
        </w:rPr>
        <w:t xml:space="preserve">s being met by the conclusion of preferential agreements. The key condition is that these agreements promote coherence between divergent regulatory regimes. In that case, the preferential and multilateral approaches would be mutually supportive. This was in fact one of the recommendations presented in April 2013 by the reflection group on the Future of Trade established by </w:t>
      </w:r>
      <w:proofErr w:type="spellStart"/>
      <w:r w:rsidR="00DA6535" w:rsidRPr="00DA6535">
        <w:rPr>
          <w:rFonts w:ascii="Times New Roman" w:hAnsi="Times New Roman" w:cs="Times New Roman"/>
          <w:sz w:val="24"/>
          <w:szCs w:val="24"/>
          <w:lang w:val="en"/>
        </w:rPr>
        <w:t>Lamy</w:t>
      </w:r>
      <w:proofErr w:type="spellEnd"/>
      <w:r w:rsidR="00DA6535" w:rsidRPr="00DA6535">
        <w:rPr>
          <w:rFonts w:ascii="Times New Roman" w:hAnsi="Times New Roman" w:cs="Times New Roman"/>
          <w:sz w:val="24"/>
          <w:szCs w:val="24"/>
          <w:lang w:val="en"/>
        </w:rPr>
        <w:t xml:space="preserve"> in 2012</w:t>
      </w:r>
      <w:r w:rsidR="00480938">
        <w:rPr>
          <w:rFonts w:ascii="Times New Roman" w:hAnsi="Times New Roman" w:cs="Times New Roman"/>
          <w:sz w:val="24"/>
          <w:szCs w:val="24"/>
          <w:lang w:val="en"/>
        </w:rPr>
        <w:t xml:space="preserve"> (WTO, 2013)</w:t>
      </w:r>
      <w:r w:rsidR="00DA6535" w:rsidRPr="00DA6535">
        <w:rPr>
          <w:rFonts w:ascii="Times New Roman" w:hAnsi="Times New Roman" w:cs="Times New Roman"/>
          <w:sz w:val="24"/>
          <w:szCs w:val="24"/>
          <w:lang w:val="en"/>
        </w:rPr>
        <w:t>.</w:t>
      </w:r>
      <w:r w:rsidR="00DA6535" w:rsidRPr="00DA6535">
        <w:rPr>
          <w:rFonts w:ascii="Times New Roman" w:hAnsi="Times New Roman" w:cs="Times New Roman"/>
          <w:sz w:val="24"/>
          <w:szCs w:val="24"/>
          <w:vertAlign w:val="superscript"/>
        </w:rPr>
        <w:footnoteReference w:id="10"/>
      </w:r>
      <w:r w:rsidR="004F1598" w:rsidRPr="004F1598">
        <w:rPr>
          <w:lang w:val="en-GB"/>
        </w:rPr>
        <w:t xml:space="preserve"> </w:t>
      </w:r>
      <w:r w:rsidR="00D3155A">
        <w:rPr>
          <w:rFonts w:ascii="Times New Roman" w:hAnsi="Times New Roman" w:cs="Times New Roman"/>
          <w:sz w:val="24"/>
          <w:szCs w:val="24"/>
          <w:lang w:val="en-GB"/>
        </w:rPr>
        <w:t>Regarding the TTIP</w:t>
      </w:r>
      <w:r w:rsidR="007D03C7">
        <w:rPr>
          <w:rFonts w:ascii="Times New Roman" w:hAnsi="Times New Roman" w:cs="Times New Roman"/>
          <w:sz w:val="24"/>
          <w:szCs w:val="24"/>
          <w:lang w:val="en-GB"/>
        </w:rPr>
        <w:t>, a</w:t>
      </w:r>
      <w:r w:rsidR="00753B81" w:rsidRPr="002A16C5">
        <w:rPr>
          <w:rFonts w:ascii="Times New Roman" w:hAnsi="Times New Roman" w:cs="Times New Roman"/>
          <w:sz w:val="24"/>
          <w:szCs w:val="24"/>
          <w:lang w:val="en"/>
        </w:rPr>
        <w:t xml:space="preserve">n ECFIN </w:t>
      </w:r>
      <w:r w:rsidR="00547260" w:rsidRPr="002A16C5">
        <w:rPr>
          <w:rFonts w:ascii="Times New Roman" w:hAnsi="Times New Roman" w:cs="Times New Roman"/>
          <w:sz w:val="24"/>
          <w:szCs w:val="24"/>
          <w:lang w:val="en"/>
        </w:rPr>
        <w:t>Economic Brief (</w:t>
      </w:r>
      <w:proofErr w:type="spellStart"/>
      <w:r w:rsidR="00547260" w:rsidRPr="002A16C5">
        <w:rPr>
          <w:rFonts w:ascii="Times New Roman" w:hAnsi="Times New Roman" w:cs="Times New Roman"/>
          <w:sz w:val="24"/>
          <w:szCs w:val="24"/>
          <w:lang w:val="en"/>
        </w:rPr>
        <w:t>Galar</w:t>
      </w:r>
      <w:proofErr w:type="spellEnd"/>
      <w:r w:rsidR="00547260" w:rsidRPr="002A16C5">
        <w:rPr>
          <w:rFonts w:ascii="Times New Roman" w:hAnsi="Times New Roman" w:cs="Times New Roman"/>
          <w:sz w:val="24"/>
          <w:szCs w:val="24"/>
          <w:lang w:val="en"/>
        </w:rPr>
        <w:t xml:space="preserve">, 2013) brings out that the EU exports and imports from the US are higher in value added than in gross terms. </w:t>
      </w:r>
      <w:r w:rsidR="00510105" w:rsidRPr="002A16C5">
        <w:rPr>
          <w:rFonts w:ascii="Times New Roman" w:hAnsi="Times New Roman" w:cs="Times New Roman"/>
          <w:sz w:val="24"/>
          <w:szCs w:val="24"/>
          <w:lang w:val="en"/>
        </w:rPr>
        <w:t>The author contends that b</w:t>
      </w:r>
      <w:r w:rsidR="00470BD8" w:rsidRPr="002A16C5">
        <w:rPr>
          <w:rFonts w:ascii="Times New Roman" w:hAnsi="Times New Roman" w:cs="Times New Roman"/>
          <w:sz w:val="24"/>
          <w:szCs w:val="24"/>
          <w:lang w:val="en"/>
        </w:rPr>
        <w:t xml:space="preserve">y </w:t>
      </w:r>
      <w:r w:rsidR="00224C8A" w:rsidRPr="002A16C5">
        <w:rPr>
          <w:rFonts w:ascii="Times New Roman" w:hAnsi="Times New Roman" w:cs="Times New Roman"/>
          <w:sz w:val="24"/>
          <w:szCs w:val="24"/>
          <w:lang w:val="en"/>
        </w:rPr>
        <w:t>forwarding</w:t>
      </w:r>
      <w:r w:rsidR="00470BD8" w:rsidRPr="002A16C5">
        <w:rPr>
          <w:rFonts w:ascii="Times New Roman" w:hAnsi="Times New Roman" w:cs="Times New Roman"/>
          <w:sz w:val="24"/>
          <w:szCs w:val="24"/>
          <w:lang w:val="en"/>
        </w:rPr>
        <w:t xml:space="preserve"> the TTIP (and an agreement with Japan) the EU would be strengthening global production networks and by so doing reinforcing the case for multilateralism</w:t>
      </w:r>
      <w:r w:rsidR="007D03C7">
        <w:rPr>
          <w:rFonts w:ascii="Times New Roman" w:hAnsi="Times New Roman" w:cs="Times New Roman"/>
          <w:sz w:val="24"/>
          <w:szCs w:val="24"/>
          <w:lang w:val="en"/>
        </w:rPr>
        <w:t xml:space="preserve"> </w:t>
      </w:r>
      <w:r w:rsidR="009038AB">
        <w:rPr>
          <w:rFonts w:ascii="Times New Roman" w:hAnsi="Times New Roman" w:cs="Times New Roman"/>
          <w:sz w:val="24"/>
          <w:szCs w:val="24"/>
          <w:lang w:val="en"/>
        </w:rPr>
        <w:t>(</w:t>
      </w:r>
      <w:r w:rsidR="007D03C7">
        <w:rPr>
          <w:rFonts w:ascii="Times New Roman" w:hAnsi="Times New Roman" w:cs="Times New Roman"/>
          <w:sz w:val="24"/>
          <w:szCs w:val="24"/>
          <w:lang w:val="en"/>
        </w:rPr>
        <w:t>assuming that these would be agreements open to new members</w:t>
      </w:r>
      <w:r w:rsidR="009038AB">
        <w:rPr>
          <w:rFonts w:ascii="Times New Roman" w:hAnsi="Times New Roman" w:cs="Times New Roman"/>
          <w:sz w:val="24"/>
          <w:szCs w:val="24"/>
          <w:lang w:val="en"/>
        </w:rPr>
        <w:t>)</w:t>
      </w:r>
      <w:r w:rsidR="00470BD8" w:rsidRPr="002A16C5">
        <w:rPr>
          <w:rFonts w:ascii="Times New Roman" w:hAnsi="Times New Roman" w:cs="Times New Roman"/>
          <w:sz w:val="24"/>
          <w:szCs w:val="24"/>
          <w:lang w:val="en"/>
        </w:rPr>
        <w:t>.</w:t>
      </w:r>
    </w:p>
    <w:p w:rsidR="00D41B3A" w:rsidRPr="007D03C7" w:rsidRDefault="00D41B3A" w:rsidP="00C836AB">
      <w:pPr>
        <w:jc w:val="both"/>
        <w:rPr>
          <w:rFonts w:ascii="Times New Roman" w:hAnsi="Times New Roman" w:cs="Times New Roman"/>
          <w:sz w:val="24"/>
          <w:szCs w:val="24"/>
          <w:lang w:val="en-GB"/>
        </w:rPr>
      </w:pPr>
    </w:p>
    <w:p w:rsidR="004F10C1" w:rsidRPr="002A16C5" w:rsidRDefault="003F0709" w:rsidP="00C836AB">
      <w:pPr>
        <w:jc w:val="both"/>
        <w:rPr>
          <w:rFonts w:ascii="Times New Roman" w:hAnsi="Times New Roman" w:cs="Times New Roman"/>
          <w:b/>
          <w:sz w:val="24"/>
          <w:szCs w:val="24"/>
          <w:lang w:val="en"/>
        </w:rPr>
      </w:pPr>
      <w:r w:rsidRPr="002A16C5">
        <w:rPr>
          <w:rFonts w:ascii="Times New Roman" w:hAnsi="Times New Roman" w:cs="Times New Roman"/>
          <w:b/>
          <w:sz w:val="24"/>
          <w:szCs w:val="24"/>
          <w:lang w:val="en"/>
        </w:rPr>
        <w:lastRenderedPageBreak/>
        <w:t>2</w:t>
      </w:r>
      <w:r w:rsidR="004F10C1" w:rsidRPr="002A16C5">
        <w:rPr>
          <w:rFonts w:ascii="Times New Roman" w:hAnsi="Times New Roman" w:cs="Times New Roman"/>
          <w:b/>
          <w:sz w:val="24"/>
          <w:szCs w:val="24"/>
          <w:lang w:val="en"/>
        </w:rPr>
        <w:t>.3. Conclusion</w:t>
      </w:r>
    </w:p>
    <w:p w:rsidR="004F10C1" w:rsidRPr="002A16C5" w:rsidRDefault="004F10C1" w:rsidP="00C836AB">
      <w:pPr>
        <w:jc w:val="both"/>
        <w:rPr>
          <w:rFonts w:ascii="Times New Roman" w:hAnsi="Times New Roman" w:cs="Times New Roman"/>
          <w:sz w:val="24"/>
          <w:szCs w:val="24"/>
          <w:lang w:val="en"/>
        </w:rPr>
      </w:pPr>
      <w:r w:rsidRPr="002A16C5">
        <w:rPr>
          <w:rFonts w:ascii="Times New Roman" w:hAnsi="Times New Roman" w:cs="Times New Roman"/>
          <w:sz w:val="24"/>
          <w:szCs w:val="24"/>
          <w:lang w:val="en"/>
        </w:rPr>
        <w:t>T</w:t>
      </w:r>
      <w:r w:rsidR="00F6518F" w:rsidRPr="002A16C5">
        <w:rPr>
          <w:rFonts w:ascii="Times New Roman" w:hAnsi="Times New Roman" w:cs="Times New Roman"/>
          <w:sz w:val="24"/>
          <w:szCs w:val="24"/>
          <w:lang w:val="en"/>
        </w:rPr>
        <w:t xml:space="preserve">he European Commission rationale regarding the affinity of the EU bilateral strategy and efficient multilateralism is based on a rich body of research on the effects upon the multilateral system not only of preferential tariffs but also </w:t>
      </w:r>
      <w:r w:rsidR="004B612E" w:rsidRPr="002A16C5">
        <w:rPr>
          <w:rFonts w:ascii="Times New Roman" w:hAnsi="Times New Roman" w:cs="Times New Roman"/>
          <w:sz w:val="24"/>
          <w:szCs w:val="24"/>
          <w:lang w:val="en"/>
        </w:rPr>
        <w:t>of deep</w:t>
      </w:r>
      <w:r w:rsidR="00F6518F" w:rsidRPr="002A16C5">
        <w:rPr>
          <w:rFonts w:ascii="Times New Roman" w:hAnsi="Times New Roman" w:cs="Times New Roman"/>
          <w:sz w:val="24"/>
          <w:szCs w:val="24"/>
          <w:lang w:val="en"/>
        </w:rPr>
        <w:t xml:space="preserve"> integration areas regarding non-tariffs barriers</w:t>
      </w:r>
      <w:r w:rsidR="004B612E" w:rsidRPr="002A16C5">
        <w:rPr>
          <w:rFonts w:ascii="Times New Roman" w:hAnsi="Times New Roman" w:cs="Times New Roman"/>
          <w:sz w:val="24"/>
          <w:szCs w:val="24"/>
          <w:lang w:val="en"/>
        </w:rPr>
        <w:t xml:space="preserve"> and value added chains o</w:t>
      </w:r>
      <w:r w:rsidR="00D41B3A" w:rsidRPr="002A16C5">
        <w:rPr>
          <w:rFonts w:ascii="Times New Roman" w:hAnsi="Times New Roman" w:cs="Times New Roman"/>
          <w:sz w:val="24"/>
          <w:szCs w:val="24"/>
          <w:lang w:val="en"/>
        </w:rPr>
        <w:t>f production</w:t>
      </w:r>
      <w:r w:rsidR="00F6518F" w:rsidRPr="002A16C5">
        <w:rPr>
          <w:rFonts w:ascii="Times New Roman" w:hAnsi="Times New Roman" w:cs="Times New Roman"/>
          <w:sz w:val="24"/>
          <w:szCs w:val="24"/>
          <w:lang w:val="en"/>
        </w:rPr>
        <w:t xml:space="preserve">. </w:t>
      </w:r>
      <w:r w:rsidRPr="002A16C5">
        <w:rPr>
          <w:rFonts w:ascii="Times New Roman" w:hAnsi="Times New Roman" w:cs="Times New Roman"/>
          <w:sz w:val="24"/>
          <w:szCs w:val="24"/>
          <w:lang w:val="en"/>
        </w:rPr>
        <w:t>In other words, its bilateral strategy justification, including the TTIP, cannot be accused of lack of analytical support.</w:t>
      </w:r>
      <w:r w:rsidR="00917718" w:rsidRPr="002A16C5">
        <w:rPr>
          <w:rFonts w:ascii="Times New Roman" w:hAnsi="Times New Roman" w:cs="Times New Roman"/>
          <w:sz w:val="24"/>
          <w:szCs w:val="24"/>
          <w:lang w:val="en"/>
        </w:rPr>
        <w:t xml:space="preserve"> </w:t>
      </w:r>
    </w:p>
    <w:p w:rsidR="00700DC1" w:rsidRPr="002A16C5" w:rsidRDefault="004F10C1" w:rsidP="00C836AB">
      <w:pPr>
        <w:jc w:val="both"/>
        <w:rPr>
          <w:rFonts w:ascii="Times New Roman" w:hAnsi="Times New Roman" w:cs="Times New Roman"/>
          <w:sz w:val="24"/>
          <w:szCs w:val="24"/>
          <w:lang w:val="en"/>
        </w:rPr>
      </w:pPr>
      <w:r w:rsidRPr="002A16C5">
        <w:rPr>
          <w:rFonts w:ascii="Times New Roman" w:hAnsi="Times New Roman" w:cs="Times New Roman"/>
          <w:sz w:val="24"/>
          <w:szCs w:val="24"/>
          <w:lang w:val="en"/>
        </w:rPr>
        <w:t>The argumentation of this strand of the literature, however, relies</w:t>
      </w:r>
      <w:r w:rsidR="006A2418" w:rsidRPr="002A16C5">
        <w:rPr>
          <w:rFonts w:ascii="Times New Roman" w:hAnsi="Times New Roman" w:cs="Times New Roman"/>
          <w:sz w:val="24"/>
          <w:szCs w:val="24"/>
          <w:lang w:val="en"/>
        </w:rPr>
        <w:t xml:space="preserve"> upon t</w:t>
      </w:r>
      <w:r w:rsidR="00F6518F" w:rsidRPr="002A16C5">
        <w:rPr>
          <w:rFonts w:ascii="Times New Roman" w:hAnsi="Times New Roman" w:cs="Times New Roman"/>
          <w:sz w:val="24"/>
          <w:szCs w:val="24"/>
          <w:lang w:val="en"/>
        </w:rPr>
        <w:t xml:space="preserve">he potential technical feasibility of multilateralization of bilateral or regional agreements. In fact, </w:t>
      </w:r>
      <w:r w:rsidR="00F721FD" w:rsidRPr="002A16C5">
        <w:rPr>
          <w:rFonts w:ascii="Times New Roman" w:hAnsi="Times New Roman" w:cs="Times New Roman"/>
          <w:sz w:val="24"/>
          <w:szCs w:val="24"/>
          <w:lang w:val="en"/>
        </w:rPr>
        <w:t xml:space="preserve">one may argue that for those researchers the </w:t>
      </w:r>
      <w:r w:rsidR="006A2418" w:rsidRPr="002A16C5">
        <w:rPr>
          <w:rFonts w:ascii="Times New Roman" w:hAnsi="Times New Roman" w:cs="Times New Roman"/>
          <w:sz w:val="24"/>
          <w:szCs w:val="24"/>
          <w:lang w:val="en"/>
        </w:rPr>
        <w:t xml:space="preserve">main </w:t>
      </w:r>
      <w:r w:rsidR="00F721FD" w:rsidRPr="002A16C5">
        <w:rPr>
          <w:rFonts w:ascii="Times New Roman" w:hAnsi="Times New Roman" w:cs="Times New Roman"/>
          <w:sz w:val="24"/>
          <w:szCs w:val="24"/>
          <w:lang w:val="en"/>
        </w:rPr>
        <w:t xml:space="preserve">condition for bilateralism and multilateralism compatibility is the potential for multilateralization of </w:t>
      </w:r>
      <w:r w:rsidR="00C976F0" w:rsidRPr="002A16C5">
        <w:rPr>
          <w:rFonts w:ascii="Times New Roman" w:hAnsi="Times New Roman" w:cs="Times New Roman"/>
          <w:sz w:val="24"/>
          <w:szCs w:val="24"/>
          <w:lang w:val="en"/>
        </w:rPr>
        <w:t>preferential agreements</w:t>
      </w:r>
      <w:r w:rsidR="00F721FD" w:rsidRPr="002A16C5">
        <w:rPr>
          <w:rFonts w:ascii="Times New Roman" w:hAnsi="Times New Roman" w:cs="Times New Roman"/>
          <w:sz w:val="24"/>
          <w:szCs w:val="24"/>
          <w:lang w:val="en"/>
        </w:rPr>
        <w:t xml:space="preserve"> as encapsulated in Equation 1. </w:t>
      </w:r>
      <w:r w:rsidR="006623F8" w:rsidRPr="002A16C5">
        <w:rPr>
          <w:rFonts w:ascii="Times New Roman" w:hAnsi="Times New Roman" w:cs="Times New Roman"/>
          <w:sz w:val="24"/>
          <w:szCs w:val="24"/>
          <w:lang w:val="en"/>
        </w:rPr>
        <w:t xml:space="preserve">This is where several questions emerge: </w:t>
      </w:r>
      <w:r w:rsidRPr="002A16C5">
        <w:rPr>
          <w:rFonts w:ascii="Times New Roman" w:hAnsi="Times New Roman" w:cs="Times New Roman"/>
          <w:sz w:val="24"/>
          <w:szCs w:val="24"/>
          <w:lang w:val="en"/>
        </w:rPr>
        <w:t>I</w:t>
      </w:r>
      <w:r w:rsidR="007464E7" w:rsidRPr="002A16C5">
        <w:rPr>
          <w:rFonts w:ascii="Times New Roman" w:hAnsi="Times New Roman" w:cs="Times New Roman"/>
          <w:sz w:val="24"/>
          <w:szCs w:val="24"/>
          <w:lang w:val="en"/>
        </w:rPr>
        <w:t xml:space="preserve">s the </w:t>
      </w:r>
      <w:r w:rsidR="00541378" w:rsidRPr="002A16C5">
        <w:rPr>
          <w:rFonts w:ascii="Times New Roman" w:hAnsi="Times New Roman" w:cs="Times New Roman"/>
          <w:sz w:val="24"/>
          <w:szCs w:val="24"/>
          <w:lang w:val="en"/>
        </w:rPr>
        <w:t xml:space="preserve">only </w:t>
      </w:r>
      <w:r w:rsidR="007464E7" w:rsidRPr="002A16C5">
        <w:rPr>
          <w:rFonts w:ascii="Times New Roman" w:hAnsi="Times New Roman" w:cs="Times New Roman"/>
          <w:sz w:val="24"/>
          <w:szCs w:val="24"/>
          <w:lang w:val="en"/>
        </w:rPr>
        <w:t xml:space="preserve">issue </w:t>
      </w:r>
      <w:r w:rsidR="00541378" w:rsidRPr="002A16C5">
        <w:rPr>
          <w:rFonts w:ascii="Times New Roman" w:hAnsi="Times New Roman" w:cs="Times New Roman"/>
          <w:sz w:val="24"/>
          <w:szCs w:val="24"/>
          <w:lang w:val="en"/>
        </w:rPr>
        <w:t xml:space="preserve">a </w:t>
      </w:r>
      <w:r w:rsidR="007464E7" w:rsidRPr="002A16C5">
        <w:rPr>
          <w:rFonts w:ascii="Times New Roman" w:hAnsi="Times New Roman" w:cs="Times New Roman"/>
          <w:sz w:val="24"/>
          <w:szCs w:val="24"/>
          <w:lang w:val="en"/>
        </w:rPr>
        <w:t>technical</w:t>
      </w:r>
      <w:r w:rsidR="00541378" w:rsidRPr="002A16C5">
        <w:rPr>
          <w:rFonts w:ascii="Times New Roman" w:hAnsi="Times New Roman" w:cs="Times New Roman"/>
          <w:sz w:val="24"/>
          <w:szCs w:val="24"/>
          <w:lang w:val="en"/>
        </w:rPr>
        <w:t xml:space="preserve"> one</w:t>
      </w:r>
      <w:r w:rsidR="007464E7" w:rsidRPr="002A16C5">
        <w:rPr>
          <w:rFonts w:ascii="Times New Roman" w:hAnsi="Times New Roman" w:cs="Times New Roman"/>
          <w:sz w:val="24"/>
          <w:szCs w:val="24"/>
          <w:lang w:val="en"/>
        </w:rPr>
        <w:t xml:space="preserve">? </w:t>
      </w:r>
      <w:r w:rsidR="00294D61">
        <w:rPr>
          <w:rFonts w:ascii="Times New Roman" w:hAnsi="Times New Roman" w:cs="Times New Roman"/>
          <w:sz w:val="24"/>
          <w:szCs w:val="24"/>
          <w:lang w:val="en"/>
        </w:rPr>
        <w:t xml:space="preserve">Is it possible that multilateralization does not take place despite the fact that bilateral agreements are technically compliant? </w:t>
      </w:r>
      <w:r w:rsidR="000852D0" w:rsidRPr="002A16C5">
        <w:rPr>
          <w:rFonts w:ascii="Times New Roman" w:hAnsi="Times New Roman" w:cs="Times New Roman"/>
          <w:sz w:val="24"/>
          <w:szCs w:val="24"/>
          <w:lang w:val="en"/>
        </w:rPr>
        <w:t>C</w:t>
      </w:r>
      <w:r w:rsidR="003A17BA" w:rsidRPr="002A16C5">
        <w:rPr>
          <w:rFonts w:ascii="Times New Roman" w:hAnsi="Times New Roman" w:cs="Times New Roman"/>
          <w:sz w:val="24"/>
          <w:szCs w:val="24"/>
          <w:lang w:val="en"/>
        </w:rPr>
        <w:t xml:space="preserve">an potentially compatible </w:t>
      </w:r>
      <w:r w:rsidR="000852D0" w:rsidRPr="002A16C5">
        <w:rPr>
          <w:rFonts w:ascii="Times New Roman" w:hAnsi="Times New Roman" w:cs="Times New Roman"/>
          <w:sz w:val="24"/>
          <w:szCs w:val="24"/>
          <w:lang w:val="en"/>
        </w:rPr>
        <w:t xml:space="preserve">regional agreements become stumbling blocks because </w:t>
      </w:r>
      <w:r w:rsidR="003A17BA" w:rsidRPr="002A16C5">
        <w:rPr>
          <w:rFonts w:ascii="Times New Roman" w:hAnsi="Times New Roman" w:cs="Times New Roman"/>
          <w:sz w:val="24"/>
          <w:szCs w:val="24"/>
          <w:lang w:val="en"/>
        </w:rPr>
        <w:t>multilateralization does not take place</w:t>
      </w:r>
      <w:r w:rsidR="000852D0" w:rsidRPr="002A16C5">
        <w:rPr>
          <w:rFonts w:ascii="Times New Roman" w:hAnsi="Times New Roman" w:cs="Times New Roman"/>
          <w:sz w:val="24"/>
          <w:szCs w:val="24"/>
          <w:lang w:val="en"/>
        </w:rPr>
        <w:t xml:space="preserve">? </w:t>
      </w:r>
    </w:p>
    <w:p w:rsidR="00700DC1" w:rsidRPr="002A16C5" w:rsidRDefault="00700DC1" w:rsidP="00C836AB">
      <w:pPr>
        <w:jc w:val="both"/>
        <w:rPr>
          <w:rFonts w:ascii="Times New Roman" w:hAnsi="Times New Roman" w:cs="Times New Roman"/>
          <w:i/>
          <w:sz w:val="24"/>
          <w:szCs w:val="24"/>
          <w:lang w:val="en"/>
        </w:rPr>
      </w:pPr>
      <w:r w:rsidRPr="002A16C5">
        <w:rPr>
          <w:rFonts w:ascii="Times New Roman" w:hAnsi="Times New Roman" w:cs="Times New Roman"/>
          <w:i/>
          <w:sz w:val="24"/>
          <w:szCs w:val="24"/>
          <w:lang w:val="en"/>
        </w:rPr>
        <w:t>Equation 1</w:t>
      </w:r>
    </w:p>
    <w:p w:rsidR="00700DC1" w:rsidRPr="002A16C5" w:rsidRDefault="00700DC1" w:rsidP="00C836AB">
      <w:pPr>
        <w:jc w:val="both"/>
        <w:rPr>
          <w:rFonts w:ascii="Times New Roman" w:hAnsi="Times New Roman" w:cs="Times New Roman"/>
          <w:i/>
          <w:sz w:val="24"/>
          <w:szCs w:val="24"/>
          <w:lang w:val="en"/>
        </w:rPr>
      </w:pPr>
      <w:r w:rsidRPr="002A16C5">
        <w:rPr>
          <w:rFonts w:ascii="Times New Roman" w:hAnsi="Times New Roman" w:cs="Times New Roman"/>
          <w:i/>
          <w:sz w:val="24"/>
          <w:szCs w:val="24"/>
          <w:lang w:val="en"/>
        </w:rPr>
        <w:t>Bilateral and multilateral trade approaches compatibility = (depends upon) the potential for multilateralization of regional trade agreements (the more WTO+ and WTO X the more possibilities).</w:t>
      </w:r>
    </w:p>
    <w:p w:rsidR="009001A7" w:rsidRPr="002A16C5" w:rsidRDefault="00700DC1" w:rsidP="00C836AB">
      <w:pPr>
        <w:jc w:val="both"/>
        <w:rPr>
          <w:rFonts w:ascii="Times New Roman" w:hAnsi="Times New Roman" w:cs="Times New Roman"/>
          <w:sz w:val="24"/>
          <w:szCs w:val="24"/>
          <w:lang w:val="en"/>
        </w:rPr>
      </w:pPr>
      <w:r w:rsidRPr="002A16C5">
        <w:rPr>
          <w:rFonts w:ascii="Times New Roman" w:hAnsi="Times New Roman" w:cs="Times New Roman"/>
          <w:sz w:val="24"/>
          <w:szCs w:val="24"/>
          <w:lang w:val="en-US"/>
        </w:rPr>
        <w:t xml:space="preserve">Some authors have started to put the comprehensiveness of this equation in doubt. </w:t>
      </w:r>
      <w:r w:rsidRPr="002A16C5">
        <w:rPr>
          <w:rFonts w:ascii="Times New Roman" w:hAnsi="Times New Roman" w:cs="Times New Roman"/>
          <w:sz w:val="24"/>
          <w:szCs w:val="24"/>
          <w:lang w:val="en"/>
        </w:rPr>
        <w:t xml:space="preserve">Ash and </w:t>
      </w:r>
      <w:proofErr w:type="spellStart"/>
      <w:r w:rsidRPr="002A16C5">
        <w:rPr>
          <w:rFonts w:ascii="Times New Roman" w:hAnsi="Times New Roman" w:cs="Times New Roman"/>
          <w:sz w:val="24"/>
          <w:szCs w:val="24"/>
          <w:lang w:val="en"/>
        </w:rPr>
        <w:t>Lejarraga</w:t>
      </w:r>
      <w:proofErr w:type="spellEnd"/>
      <w:r w:rsidRPr="002A16C5">
        <w:rPr>
          <w:rFonts w:ascii="Times New Roman" w:hAnsi="Times New Roman" w:cs="Times New Roman"/>
          <w:sz w:val="24"/>
          <w:szCs w:val="24"/>
          <w:lang w:val="en"/>
        </w:rPr>
        <w:t xml:space="preserve"> (2014: 81), for example, have pointed out: “whether, when, and how to </w:t>
      </w:r>
      <w:proofErr w:type="spellStart"/>
      <w:r w:rsidRPr="002A16C5">
        <w:rPr>
          <w:rFonts w:ascii="Times New Roman" w:hAnsi="Times New Roman" w:cs="Times New Roman"/>
          <w:sz w:val="24"/>
          <w:szCs w:val="24"/>
          <w:lang w:val="en"/>
        </w:rPr>
        <w:t>multilateralize</w:t>
      </w:r>
      <w:proofErr w:type="spellEnd"/>
      <w:r w:rsidRPr="002A16C5">
        <w:rPr>
          <w:rFonts w:ascii="Times New Roman" w:hAnsi="Times New Roman" w:cs="Times New Roman"/>
          <w:sz w:val="24"/>
          <w:szCs w:val="24"/>
          <w:lang w:val="en"/>
        </w:rPr>
        <w:t xml:space="preserve"> WTO-plus and WTO-beyond provisions in RTAs is primarily a political question…” If the technical condition is not enough:  </w:t>
      </w:r>
      <w:r w:rsidR="00DB4D37" w:rsidRPr="002A16C5">
        <w:rPr>
          <w:rFonts w:ascii="Times New Roman" w:hAnsi="Times New Roman" w:cs="Times New Roman"/>
          <w:sz w:val="24"/>
          <w:szCs w:val="24"/>
          <w:lang w:val="en"/>
        </w:rPr>
        <w:t>Wh</w:t>
      </w:r>
      <w:r w:rsidR="002A16C5">
        <w:rPr>
          <w:rFonts w:ascii="Times New Roman" w:hAnsi="Times New Roman" w:cs="Times New Roman"/>
          <w:sz w:val="24"/>
          <w:szCs w:val="24"/>
          <w:lang w:val="en"/>
        </w:rPr>
        <w:t xml:space="preserve">at other </w:t>
      </w:r>
      <w:r w:rsidR="009E603F" w:rsidRPr="002A16C5">
        <w:rPr>
          <w:rFonts w:ascii="Times New Roman" w:hAnsi="Times New Roman" w:cs="Times New Roman"/>
          <w:sz w:val="24"/>
          <w:szCs w:val="24"/>
          <w:lang w:val="en"/>
        </w:rPr>
        <w:t xml:space="preserve">conditions </w:t>
      </w:r>
      <w:r w:rsidR="002A16C5">
        <w:rPr>
          <w:rFonts w:ascii="Times New Roman" w:hAnsi="Times New Roman" w:cs="Times New Roman"/>
          <w:sz w:val="24"/>
          <w:szCs w:val="24"/>
          <w:lang w:val="en"/>
        </w:rPr>
        <w:t xml:space="preserve">should </w:t>
      </w:r>
      <w:r w:rsidR="009E603F" w:rsidRPr="002A16C5">
        <w:rPr>
          <w:rFonts w:ascii="Times New Roman" w:hAnsi="Times New Roman" w:cs="Times New Roman"/>
          <w:sz w:val="24"/>
          <w:szCs w:val="24"/>
          <w:lang w:val="en"/>
        </w:rPr>
        <w:t xml:space="preserve">be taken into account? </w:t>
      </w:r>
      <w:r w:rsidRPr="002A16C5">
        <w:rPr>
          <w:rFonts w:ascii="Times New Roman" w:hAnsi="Times New Roman" w:cs="Times New Roman"/>
          <w:sz w:val="24"/>
          <w:szCs w:val="24"/>
          <w:lang w:val="en"/>
        </w:rPr>
        <w:t>How c</w:t>
      </w:r>
      <w:r w:rsidR="008C7C68" w:rsidRPr="002A16C5">
        <w:rPr>
          <w:rFonts w:ascii="Times New Roman" w:hAnsi="Times New Roman" w:cs="Times New Roman"/>
          <w:sz w:val="24"/>
          <w:szCs w:val="24"/>
          <w:lang w:val="en"/>
        </w:rPr>
        <w:t xml:space="preserve">an we improve this equation? </w:t>
      </w:r>
      <w:r w:rsidR="000852D0" w:rsidRPr="002A16C5">
        <w:rPr>
          <w:rFonts w:ascii="Times New Roman" w:hAnsi="Times New Roman" w:cs="Times New Roman"/>
          <w:sz w:val="24"/>
          <w:szCs w:val="24"/>
          <w:lang w:val="en"/>
        </w:rPr>
        <w:t>As we already have a condition regarding the nature of bilateral agreements, w</w:t>
      </w:r>
      <w:r w:rsidR="00DB4D37" w:rsidRPr="002A16C5">
        <w:rPr>
          <w:rFonts w:ascii="Times New Roman" w:hAnsi="Times New Roman" w:cs="Times New Roman"/>
          <w:sz w:val="24"/>
          <w:szCs w:val="24"/>
          <w:lang w:val="en"/>
        </w:rPr>
        <w:t xml:space="preserve">e propose to </w:t>
      </w:r>
      <w:r w:rsidR="000852D0" w:rsidRPr="002A16C5">
        <w:rPr>
          <w:rFonts w:ascii="Times New Roman" w:hAnsi="Times New Roman" w:cs="Times New Roman"/>
          <w:sz w:val="24"/>
          <w:szCs w:val="24"/>
          <w:lang w:val="en"/>
        </w:rPr>
        <w:t>includ</w:t>
      </w:r>
      <w:r w:rsidR="00DB4D37" w:rsidRPr="002A16C5">
        <w:rPr>
          <w:rFonts w:ascii="Times New Roman" w:hAnsi="Times New Roman" w:cs="Times New Roman"/>
          <w:sz w:val="24"/>
          <w:szCs w:val="24"/>
          <w:lang w:val="en"/>
        </w:rPr>
        <w:t>e</w:t>
      </w:r>
      <w:r w:rsidR="000852D0" w:rsidRPr="002A16C5">
        <w:rPr>
          <w:rFonts w:ascii="Times New Roman" w:hAnsi="Times New Roman" w:cs="Times New Roman"/>
          <w:sz w:val="24"/>
          <w:szCs w:val="24"/>
          <w:lang w:val="en"/>
        </w:rPr>
        <w:t xml:space="preserve"> a condition regarding the nat</w:t>
      </w:r>
      <w:r w:rsidR="00DB4D37" w:rsidRPr="002A16C5">
        <w:rPr>
          <w:rFonts w:ascii="Times New Roman" w:hAnsi="Times New Roman" w:cs="Times New Roman"/>
          <w:sz w:val="24"/>
          <w:szCs w:val="24"/>
          <w:lang w:val="en"/>
        </w:rPr>
        <w:t xml:space="preserve">ure of the multilateral context, that is, a condition </w:t>
      </w:r>
      <w:r w:rsidR="00140532" w:rsidRPr="002A16C5">
        <w:rPr>
          <w:rFonts w:ascii="Times New Roman" w:hAnsi="Times New Roman" w:cs="Times New Roman"/>
          <w:sz w:val="24"/>
          <w:szCs w:val="24"/>
          <w:lang w:val="en"/>
        </w:rPr>
        <w:t xml:space="preserve">linked to </w:t>
      </w:r>
      <w:r w:rsidR="00DB4D37" w:rsidRPr="002A16C5">
        <w:rPr>
          <w:rFonts w:ascii="Times New Roman" w:hAnsi="Times New Roman" w:cs="Times New Roman"/>
          <w:sz w:val="24"/>
          <w:szCs w:val="24"/>
          <w:lang w:val="en"/>
        </w:rPr>
        <w:t>the other side of the coin.</w:t>
      </w:r>
      <w:r w:rsidR="008C7C68" w:rsidRPr="002A16C5">
        <w:rPr>
          <w:rFonts w:ascii="Times New Roman" w:hAnsi="Times New Roman" w:cs="Times New Roman"/>
          <w:sz w:val="24"/>
          <w:szCs w:val="24"/>
          <w:lang w:val="en"/>
        </w:rPr>
        <w:t xml:space="preserve"> </w:t>
      </w:r>
    </w:p>
    <w:p w:rsidR="002A16C5" w:rsidRPr="00A37FB0" w:rsidRDefault="002A16C5" w:rsidP="00C836AB">
      <w:pPr>
        <w:jc w:val="both"/>
        <w:rPr>
          <w:rFonts w:ascii="Times New Roman" w:hAnsi="Times New Roman" w:cs="Times New Roman"/>
          <w:color w:val="FF0000"/>
          <w:sz w:val="24"/>
          <w:szCs w:val="24"/>
          <w:lang w:val="en"/>
        </w:rPr>
      </w:pPr>
    </w:p>
    <w:p w:rsidR="005B1F41" w:rsidRPr="00A22DF2" w:rsidRDefault="005B1F41" w:rsidP="00C836AB">
      <w:pPr>
        <w:jc w:val="both"/>
        <w:rPr>
          <w:rFonts w:ascii="Times New Roman" w:hAnsi="Times New Roman" w:cs="Times New Roman"/>
          <w:b/>
          <w:sz w:val="28"/>
          <w:szCs w:val="28"/>
          <w:lang w:val="en"/>
        </w:rPr>
      </w:pPr>
      <w:r w:rsidRPr="00A22DF2">
        <w:rPr>
          <w:rFonts w:ascii="Times New Roman" w:hAnsi="Times New Roman" w:cs="Times New Roman"/>
          <w:b/>
          <w:sz w:val="28"/>
          <w:szCs w:val="28"/>
          <w:lang w:val="en"/>
        </w:rPr>
        <w:t xml:space="preserve">3. </w:t>
      </w:r>
      <w:r w:rsidR="00B419E0" w:rsidRPr="00A22DF2">
        <w:rPr>
          <w:rFonts w:ascii="Times New Roman" w:hAnsi="Times New Roman" w:cs="Times New Roman"/>
          <w:b/>
          <w:sz w:val="28"/>
          <w:szCs w:val="28"/>
          <w:lang w:val="en"/>
        </w:rPr>
        <w:t xml:space="preserve">Including </w:t>
      </w:r>
      <w:r w:rsidRPr="00A22DF2">
        <w:rPr>
          <w:rFonts w:ascii="Times New Roman" w:hAnsi="Times New Roman" w:cs="Times New Roman"/>
          <w:b/>
          <w:sz w:val="28"/>
          <w:szCs w:val="28"/>
          <w:lang w:val="en"/>
        </w:rPr>
        <w:t xml:space="preserve">the Doha Round </w:t>
      </w:r>
      <w:r w:rsidR="00B419E0" w:rsidRPr="00A22DF2">
        <w:rPr>
          <w:rFonts w:ascii="Times New Roman" w:hAnsi="Times New Roman" w:cs="Times New Roman"/>
          <w:b/>
          <w:sz w:val="28"/>
          <w:szCs w:val="28"/>
          <w:lang w:val="en"/>
        </w:rPr>
        <w:t>into the equation</w:t>
      </w:r>
    </w:p>
    <w:p w:rsidR="005F7046" w:rsidRPr="005F7046" w:rsidRDefault="00613391" w:rsidP="00C836AB">
      <w:pPr>
        <w:jc w:val="both"/>
        <w:rPr>
          <w:rFonts w:ascii="Times New Roman" w:hAnsi="Times New Roman" w:cs="Times New Roman"/>
          <w:i/>
          <w:sz w:val="24"/>
          <w:szCs w:val="24"/>
          <w:lang w:val="en"/>
        </w:rPr>
      </w:pPr>
      <w:r>
        <w:rPr>
          <w:rFonts w:ascii="Times New Roman" w:hAnsi="Times New Roman" w:cs="Times New Roman"/>
          <w:sz w:val="24"/>
          <w:szCs w:val="24"/>
          <w:lang w:val="en"/>
        </w:rPr>
        <w:t xml:space="preserve">In this section we </w:t>
      </w:r>
      <w:r w:rsidR="00535432">
        <w:rPr>
          <w:rFonts w:ascii="Times New Roman" w:hAnsi="Times New Roman" w:cs="Times New Roman"/>
          <w:sz w:val="24"/>
          <w:szCs w:val="24"/>
          <w:lang w:val="en"/>
        </w:rPr>
        <w:t xml:space="preserve">justify </w:t>
      </w:r>
      <w:r>
        <w:rPr>
          <w:rFonts w:ascii="Times New Roman" w:hAnsi="Times New Roman" w:cs="Times New Roman"/>
          <w:sz w:val="24"/>
          <w:szCs w:val="24"/>
          <w:lang w:val="en"/>
        </w:rPr>
        <w:t xml:space="preserve">the need to include the multilateral context into </w:t>
      </w:r>
      <w:r w:rsidR="003734FB">
        <w:rPr>
          <w:rFonts w:ascii="Times New Roman" w:hAnsi="Times New Roman" w:cs="Times New Roman"/>
          <w:sz w:val="24"/>
          <w:szCs w:val="24"/>
          <w:lang w:val="en"/>
        </w:rPr>
        <w:t>the equation on which the European Commission reasoning is based</w:t>
      </w:r>
      <w:r w:rsidR="00955244">
        <w:rPr>
          <w:rFonts w:ascii="Times New Roman" w:hAnsi="Times New Roman" w:cs="Times New Roman"/>
          <w:sz w:val="24"/>
          <w:szCs w:val="24"/>
          <w:lang w:val="en"/>
        </w:rPr>
        <w:t xml:space="preserve"> and propose a way to do so. The former is done by highlighting </w:t>
      </w:r>
      <w:r w:rsidR="00955244" w:rsidRPr="00955244">
        <w:rPr>
          <w:rFonts w:ascii="Times New Roman" w:hAnsi="Times New Roman" w:cs="Times New Roman"/>
          <w:sz w:val="24"/>
          <w:szCs w:val="24"/>
          <w:lang w:val="en"/>
        </w:rPr>
        <w:t>a less developed body of literature that stresses that the multilateral regime may bear on the formation of bilateral or regional agreements.</w:t>
      </w:r>
      <w:r w:rsidR="00955244">
        <w:rPr>
          <w:rFonts w:ascii="Times New Roman" w:hAnsi="Times New Roman" w:cs="Times New Roman"/>
          <w:sz w:val="24"/>
          <w:szCs w:val="24"/>
          <w:lang w:val="en"/>
        </w:rPr>
        <w:t xml:space="preserve"> The latter is done by defining a new independent variable.  </w:t>
      </w:r>
    </w:p>
    <w:p w:rsidR="005F7046" w:rsidRDefault="005F7046" w:rsidP="00C836AB">
      <w:pPr>
        <w:jc w:val="both"/>
        <w:rPr>
          <w:rFonts w:ascii="Times New Roman" w:hAnsi="Times New Roman" w:cs="Times New Roman"/>
          <w:color w:val="FF0000"/>
          <w:sz w:val="24"/>
          <w:szCs w:val="24"/>
          <w:lang w:val="en"/>
        </w:rPr>
      </w:pPr>
    </w:p>
    <w:p w:rsidR="00A22DF2" w:rsidRDefault="00A22DF2" w:rsidP="00C836AB">
      <w:pPr>
        <w:jc w:val="both"/>
        <w:rPr>
          <w:rFonts w:ascii="Times New Roman" w:hAnsi="Times New Roman" w:cs="Times New Roman"/>
          <w:color w:val="FF0000"/>
          <w:sz w:val="24"/>
          <w:szCs w:val="24"/>
          <w:lang w:val="en"/>
        </w:rPr>
      </w:pPr>
    </w:p>
    <w:p w:rsidR="00955244" w:rsidRPr="00D05CF3" w:rsidRDefault="003F0709" w:rsidP="00C836AB">
      <w:pPr>
        <w:jc w:val="both"/>
        <w:rPr>
          <w:rFonts w:ascii="Times New Roman" w:hAnsi="Times New Roman" w:cs="Times New Roman"/>
          <w:b/>
          <w:sz w:val="24"/>
          <w:szCs w:val="24"/>
          <w:lang w:val="en"/>
        </w:rPr>
      </w:pPr>
      <w:r w:rsidRPr="00D05CF3">
        <w:rPr>
          <w:rFonts w:ascii="Times New Roman" w:hAnsi="Times New Roman" w:cs="Times New Roman"/>
          <w:b/>
          <w:sz w:val="24"/>
          <w:szCs w:val="24"/>
          <w:lang w:val="en"/>
        </w:rPr>
        <w:lastRenderedPageBreak/>
        <w:t>3.1. A significant independent variable</w:t>
      </w:r>
    </w:p>
    <w:p w:rsidR="00AD4C39" w:rsidRDefault="00AD4C39"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Bergsten and Schott (1997</w:t>
      </w:r>
      <w:r w:rsidR="003B759B">
        <w:rPr>
          <w:rFonts w:ascii="Times New Roman" w:hAnsi="Times New Roman" w:cs="Times New Roman"/>
          <w:sz w:val="24"/>
          <w:szCs w:val="24"/>
          <w:lang w:val="en"/>
        </w:rPr>
        <w:t>: 3</w:t>
      </w:r>
      <w:r>
        <w:rPr>
          <w:rFonts w:ascii="Times New Roman" w:hAnsi="Times New Roman" w:cs="Times New Roman"/>
          <w:sz w:val="24"/>
          <w:szCs w:val="24"/>
          <w:lang w:val="en"/>
        </w:rPr>
        <w:t>)</w:t>
      </w:r>
      <w:r w:rsidR="007641B0">
        <w:rPr>
          <w:rFonts w:ascii="Times New Roman" w:hAnsi="Times New Roman" w:cs="Times New Roman"/>
          <w:sz w:val="24"/>
          <w:szCs w:val="24"/>
          <w:lang w:val="en"/>
        </w:rPr>
        <w:t xml:space="preserve">, in their </w:t>
      </w:r>
      <w:r w:rsidR="00E90A97">
        <w:rPr>
          <w:rFonts w:ascii="Times New Roman" w:hAnsi="Times New Roman" w:cs="Times New Roman"/>
          <w:sz w:val="24"/>
          <w:szCs w:val="24"/>
          <w:lang w:val="en"/>
        </w:rPr>
        <w:t xml:space="preserve">preliminary </w:t>
      </w:r>
      <w:r w:rsidR="007641B0">
        <w:rPr>
          <w:rFonts w:ascii="Times New Roman" w:hAnsi="Times New Roman" w:cs="Times New Roman"/>
          <w:sz w:val="24"/>
          <w:szCs w:val="24"/>
          <w:lang w:val="en"/>
        </w:rPr>
        <w:t>evaluation of NAFTA</w:t>
      </w:r>
      <w:r w:rsidR="00E90A97">
        <w:rPr>
          <w:rFonts w:ascii="Times New Roman" w:hAnsi="Times New Roman" w:cs="Times New Roman"/>
          <w:sz w:val="24"/>
          <w:szCs w:val="24"/>
          <w:lang w:val="en"/>
        </w:rPr>
        <w:t>,</w:t>
      </w:r>
      <w:r w:rsidR="003B759B">
        <w:rPr>
          <w:rFonts w:ascii="Times New Roman" w:hAnsi="Times New Roman" w:cs="Times New Roman"/>
          <w:sz w:val="24"/>
          <w:szCs w:val="24"/>
          <w:lang w:val="en"/>
        </w:rPr>
        <w:t xml:space="preserve"> argue </w:t>
      </w:r>
      <w:r>
        <w:rPr>
          <w:rFonts w:ascii="Times New Roman" w:hAnsi="Times New Roman" w:cs="Times New Roman"/>
          <w:sz w:val="24"/>
          <w:szCs w:val="24"/>
          <w:lang w:val="en"/>
        </w:rPr>
        <w:t xml:space="preserve">that </w:t>
      </w:r>
      <w:r w:rsidR="00E90A97">
        <w:rPr>
          <w:rFonts w:ascii="Times New Roman" w:hAnsi="Times New Roman" w:cs="Times New Roman"/>
          <w:sz w:val="24"/>
          <w:szCs w:val="24"/>
          <w:lang w:val="en"/>
        </w:rPr>
        <w:t xml:space="preserve">“The startup of NAFTA negotiations in 1991 gave renewed impetus to the Uruguay Round in the GATT, which had stalled in 1990 because of US-Europe differences over agriculture, by reminding the Europeans that the United States could pursue alternative trade strategies.” The authors further argue that the congressional passage of NAFTA in November 1993 together with the launching of a new era of cooperation </w:t>
      </w:r>
      <w:r w:rsidR="003E629B">
        <w:rPr>
          <w:rFonts w:ascii="Times New Roman" w:hAnsi="Times New Roman" w:cs="Times New Roman"/>
          <w:sz w:val="24"/>
          <w:szCs w:val="24"/>
          <w:lang w:val="en"/>
        </w:rPr>
        <w:t>via the APEC summit in Seattle “</w:t>
      </w:r>
      <w:r w:rsidR="00E90A97">
        <w:rPr>
          <w:rFonts w:ascii="Times New Roman" w:hAnsi="Times New Roman" w:cs="Times New Roman"/>
          <w:sz w:val="24"/>
          <w:szCs w:val="24"/>
          <w:lang w:val="en"/>
        </w:rPr>
        <w:t xml:space="preserve">played a critical role” in bringing the Uruguay Round to a successful conclusion in the following month. </w:t>
      </w:r>
    </w:p>
    <w:p w:rsidR="00A37293" w:rsidRDefault="00C976F0"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Some years later, </w:t>
      </w:r>
      <w:r w:rsidR="00731018">
        <w:rPr>
          <w:rFonts w:ascii="Times New Roman" w:hAnsi="Times New Roman" w:cs="Times New Roman"/>
          <w:sz w:val="24"/>
          <w:szCs w:val="24"/>
          <w:lang w:val="en"/>
        </w:rPr>
        <w:t xml:space="preserve">Mansfield and Reinhardt </w:t>
      </w:r>
      <w:r w:rsidR="00CE19CB">
        <w:rPr>
          <w:rFonts w:ascii="Times New Roman" w:hAnsi="Times New Roman" w:cs="Times New Roman"/>
          <w:sz w:val="24"/>
          <w:szCs w:val="24"/>
          <w:lang w:val="en"/>
        </w:rPr>
        <w:t>(</w:t>
      </w:r>
      <w:r w:rsidR="00731018">
        <w:rPr>
          <w:rFonts w:ascii="Times New Roman" w:hAnsi="Times New Roman" w:cs="Times New Roman"/>
          <w:sz w:val="24"/>
          <w:szCs w:val="24"/>
          <w:lang w:val="en"/>
        </w:rPr>
        <w:t>2003</w:t>
      </w:r>
      <w:r w:rsidR="00CE19CB">
        <w:rPr>
          <w:rFonts w:ascii="Times New Roman" w:hAnsi="Times New Roman" w:cs="Times New Roman"/>
          <w:sz w:val="24"/>
          <w:szCs w:val="24"/>
          <w:lang w:val="en"/>
        </w:rPr>
        <w:t>: 829) argued</w:t>
      </w:r>
      <w:r>
        <w:rPr>
          <w:rFonts w:ascii="Times New Roman" w:hAnsi="Times New Roman" w:cs="Times New Roman"/>
          <w:sz w:val="24"/>
          <w:szCs w:val="24"/>
          <w:lang w:val="en"/>
        </w:rPr>
        <w:t>, f</w:t>
      </w:r>
      <w:r w:rsidR="003E629B">
        <w:rPr>
          <w:rFonts w:ascii="Times New Roman" w:hAnsi="Times New Roman" w:cs="Times New Roman"/>
          <w:sz w:val="24"/>
          <w:szCs w:val="24"/>
          <w:lang w:val="en"/>
        </w:rPr>
        <w:t>ollowing a systematic approach,</w:t>
      </w:r>
      <w:r w:rsidR="00CE19CB">
        <w:rPr>
          <w:rFonts w:ascii="Times New Roman" w:hAnsi="Times New Roman" w:cs="Times New Roman"/>
          <w:sz w:val="24"/>
          <w:szCs w:val="24"/>
          <w:lang w:val="en"/>
        </w:rPr>
        <w:t xml:space="preserve"> that “developments at the heart of GAT</w:t>
      </w:r>
      <w:r w:rsidR="00E15961">
        <w:rPr>
          <w:rFonts w:ascii="Times New Roman" w:hAnsi="Times New Roman" w:cs="Times New Roman"/>
          <w:sz w:val="24"/>
          <w:szCs w:val="24"/>
          <w:lang w:val="en"/>
        </w:rPr>
        <w:t>T</w:t>
      </w:r>
      <w:r w:rsidR="00CE19CB">
        <w:rPr>
          <w:rFonts w:ascii="Times New Roman" w:hAnsi="Times New Roman" w:cs="Times New Roman"/>
          <w:sz w:val="24"/>
          <w:szCs w:val="24"/>
          <w:lang w:val="en"/>
        </w:rPr>
        <w:t xml:space="preserve">/WTO encourage its members to form PTAs as devices to obtain bargaining leverage within the multilateral regime”. </w:t>
      </w:r>
      <w:r w:rsidR="00E15961">
        <w:rPr>
          <w:rFonts w:ascii="Times New Roman" w:hAnsi="Times New Roman" w:cs="Times New Roman"/>
          <w:sz w:val="24"/>
          <w:szCs w:val="24"/>
          <w:lang w:val="en"/>
        </w:rPr>
        <w:t>Reciprocal p</w:t>
      </w:r>
      <w:r w:rsidR="001660D9">
        <w:rPr>
          <w:rFonts w:ascii="Times New Roman" w:hAnsi="Times New Roman" w:cs="Times New Roman"/>
          <w:sz w:val="24"/>
          <w:szCs w:val="24"/>
          <w:lang w:val="en"/>
        </w:rPr>
        <w:t>referential arrangements would both furnish states with insurance against the emergence of conditions within GAT</w:t>
      </w:r>
      <w:r w:rsidR="00E15961">
        <w:rPr>
          <w:rFonts w:ascii="Times New Roman" w:hAnsi="Times New Roman" w:cs="Times New Roman"/>
          <w:sz w:val="24"/>
          <w:szCs w:val="24"/>
          <w:lang w:val="en"/>
        </w:rPr>
        <w:t>T</w:t>
      </w:r>
      <w:r w:rsidR="001660D9">
        <w:rPr>
          <w:rFonts w:ascii="Times New Roman" w:hAnsi="Times New Roman" w:cs="Times New Roman"/>
          <w:sz w:val="24"/>
          <w:szCs w:val="24"/>
          <w:lang w:val="en"/>
        </w:rPr>
        <w:t xml:space="preserve">/WTO that could threaten their economic interests </w:t>
      </w:r>
      <w:r w:rsidR="00E15961">
        <w:rPr>
          <w:rFonts w:ascii="Times New Roman" w:hAnsi="Times New Roman" w:cs="Times New Roman"/>
          <w:sz w:val="24"/>
          <w:szCs w:val="24"/>
          <w:lang w:val="en"/>
        </w:rPr>
        <w:t xml:space="preserve">(such as a failure to reach agreement in multilateral talks) </w:t>
      </w:r>
      <w:r w:rsidR="001660D9">
        <w:rPr>
          <w:rFonts w:ascii="Times New Roman" w:hAnsi="Times New Roman" w:cs="Times New Roman"/>
          <w:sz w:val="24"/>
          <w:szCs w:val="24"/>
          <w:lang w:val="en"/>
        </w:rPr>
        <w:t xml:space="preserve">and give them a greater voice in multilateral trade talks by increasing their market power.  Their </w:t>
      </w:r>
      <w:r w:rsidR="00BD3DFE">
        <w:rPr>
          <w:rFonts w:ascii="Times New Roman" w:hAnsi="Times New Roman" w:cs="Times New Roman"/>
          <w:sz w:val="24"/>
          <w:szCs w:val="24"/>
          <w:lang w:val="en"/>
        </w:rPr>
        <w:t>econometrical</w:t>
      </w:r>
      <w:r w:rsidR="001660D9">
        <w:rPr>
          <w:rFonts w:ascii="Times New Roman" w:hAnsi="Times New Roman" w:cs="Times New Roman"/>
          <w:sz w:val="24"/>
          <w:szCs w:val="24"/>
          <w:lang w:val="en"/>
        </w:rPr>
        <w:t xml:space="preserve"> </w:t>
      </w:r>
      <w:r w:rsidR="00E15961">
        <w:rPr>
          <w:rFonts w:ascii="Times New Roman" w:hAnsi="Times New Roman" w:cs="Times New Roman"/>
          <w:sz w:val="24"/>
          <w:szCs w:val="24"/>
          <w:lang w:val="en"/>
        </w:rPr>
        <w:t>analysis indicates</w:t>
      </w:r>
      <w:r w:rsidR="001660D9">
        <w:rPr>
          <w:rFonts w:ascii="Times New Roman" w:hAnsi="Times New Roman" w:cs="Times New Roman"/>
          <w:sz w:val="24"/>
          <w:szCs w:val="24"/>
          <w:lang w:val="en"/>
        </w:rPr>
        <w:t xml:space="preserve"> that developments within the multilateral regime that can create incentives to </w:t>
      </w:r>
      <w:r w:rsidR="003A40D4">
        <w:rPr>
          <w:rFonts w:ascii="Times New Roman" w:hAnsi="Times New Roman" w:cs="Times New Roman"/>
          <w:sz w:val="24"/>
          <w:szCs w:val="24"/>
          <w:lang w:val="en"/>
        </w:rPr>
        <w:t xml:space="preserve">preferential trade agreement </w:t>
      </w:r>
      <w:r w:rsidR="001660D9">
        <w:rPr>
          <w:rFonts w:ascii="Times New Roman" w:hAnsi="Times New Roman" w:cs="Times New Roman"/>
          <w:sz w:val="24"/>
          <w:szCs w:val="24"/>
          <w:lang w:val="en"/>
        </w:rPr>
        <w:t xml:space="preserve">creation include the growth of GATT/WTO membership, trade disputes among GATT/WTO members and the periodic multilateral trade negotiations sponsored by GATT/WTO. </w:t>
      </w:r>
    </w:p>
    <w:p w:rsidR="00CA4A9A" w:rsidRDefault="00AD4C39"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Last but not least</w:t>
      </w:r>
      <w:r w:rsidR="00CA4A9A">
        <w:rPr>
          <w:rFonts w:ascii="Times New Roman" w:hAnsi="Times New Roman" w:cs="Times New Roman"/>
          <w:sz w:val="24"/>
          <w:szCs w:val="24"/>
          <w:lang w:val="en"/>
        </w:rPr>
        <w:t xml:space="preserve">, Baldwin and </w:t>
      </w:r>
      <w:proofErr w:type="spellStart"/>
      <w:r w:rsidR="00022339">
        <w:rPr>
          <w:rFonts w:ascii="Times New Roman" w:hAnsi="Times New Roman" w:cs="Times New Roman"/>
          <w:sz w:val="24"/>
          <w:szCs w:val="24"/>
          <w:lang w:val="en"/>
        </w:rPr>
        <w:t>Evenett</w:t>
      </w:r>
      <w:proofErr w:type="spellEnd"/>
      <w:r w:rsidR="00022339">
        <w:rPr>
          <w:rFonts w:ascii="Times New Roman" w:hAnsi="Times New Roman" w:cs="Times New Roman"/>
          <w:sz w:val="24"/>
          <w:szCs w:val="24"/>
          <w:lang w:val="en"/>
        </w:rPr>
        <w:t xml:space="preserve"> (</w:t>
      </w:r>
      <w:r w:rsidR="00CA4A9A" w:rsidRPr="00CA4A9A">
        <w:rPr>
          <w:rFonts w:ascii="Times New Roman" w:hAnsi="Times New Roman" w:cs="Times New Roman"/>
          <w:sz w:val="24"/>
          <w:szCs w:val="24"/>
          <w:lang w:val="en"/>
        </w:rPr>
        <w:t xml:space="preserve">2011) have </w:t>
      </w:r>
      <w:r w:rsidR="00CA4A9A">
        <w:rPr>
          <w:rFonts w:ascii="Times New Roman" w:hAnsi="Times New Roman" w:cs="Times New Roman"/>
          <w:sz w:val="24"/>
          <w:szCs w:val="24"/>
          <w:lang w:val="en"/>
        </w:rPr>
        <w:t>recently argued that</w:t>
      </w:r>
      <w:r w:rsidR="00CA4A9A" w:rsidRPr="00CA4A9A">
        <w:rPr>
          <w:rFonts w:ascii="Times New Roman" w:hAnsi="Times New Roman" w:cs="Times New Roman"/>
          <w:sz w:val="24"/>
          <w:szCs w:val="24"/>
          <w:lang w:val="en"/>
        </w:rPr>
        <w:t xml:space="preserve"> regionalism can be complementary to multilateralism when the multilateral system is active but becoming a substitute when the multilateral system is stagnant.</w:t>
      </w:r>
      <w:r w:rsidR="00CA4A9A">
        <w:rPr>
          <w:rFonts w:ascii="Times New Roman" w:hAnsi="Times New Roman" w:cs="Times New Roman"/>
          <w:sz w:val="24"/>
          <w:szCs w:val="24"/>
          <w:lang w:val="en"/>
        </w:rPr>
        <w:t xml:space="preserve"> In their words: </w:t>
      </w:r>
    </w:p>
    <w:p w:rsidR="00CA4A9A" w:rsidRPr="00A22DF2" w:rsidRDefault="00CA4A9A" w:rsidP="00C836AB">
      <w:pPr>
        <w:spacing w:after="0" w:line="240" w:lineRule="auto"/>
        <w:jc w:val="both"/>
        <w:rPr>
          <w:rFonts w:ascii="Times New Roman" w:hAnsi="Times New Roman" w:cs="Times New Roman"/>
          <w:i/>
          <w:sz w:val="20"/>
          <w:szCs w:val="20"/>
          <w:lang w:val="en"/>
        </w:rPr>
      </w:pPr>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regionalism</w:t>
      </w:r>
      <w:proofErr w:type="spellEnd"/>
      <w:r w:rsidRPr="00A22DF2">
        <w:rPr>
          <w:rFonts w:ascii="Times New Roman" w:hAnsi="Times New Roman" w:cs="Times New Roman"/>
          <w:i/>
          <w:sz w:val="20"/>
          <w:szCs w:val="20"/>
          <w:lang w:val="ca-ES"/>
        </w:rPr>
        <w:t xml:space="preserve"> per se </w:t>
      </w:r>
      <w:proofErr w:type="spellStart"/>
      <w:r w:rsidRPr="00A22DF2">
        <w:rPr>
          <w:rFonts w:ascii="Times New Roman" w:hAnsi="Times New Roman" w:cs="Times New Roman"/>
          <w:i/>
          <w:sz w:val="20"/>
          <w:szCs w:val="20"/>
          <w:lang w:val="ca-ES"/>
        </w:rPr>
        <w:t>was</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not</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the</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problem</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Multilateralism</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and</w:t>
      </w:r>
      <w:proofErr w:type="spellEnd"/>
      <w:r w:rsidR="005B22B2"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regionalism</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have</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gone</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hand</w:t>
      </w:r>
      <w:proofErr w:type="spellEnd"/>
      <w:r w:rsidRPr="00A22DF2">
        <w:rPr>
          <w:rFonts w:ascii="Times New Roman" w:hAnsi="Times New Roman" w:cs="Times New Roman"/>
          <w:i/>
          <w:sz w:val="20"/>
          <w:szCs w:val="20"/>
          <w:lang w:val="ca-ES"/>
        </w:rPr>
        <w:t xml:space="preserve"> in </w:t>
      </w:r>
      <w:proofErr w:type="spellStart"/>
      <w:r w:rsidRPr="00A22DF2">
        <w:rPr>
          <w:rFonts w:ascii="Times New Roman" w:hAnsi="Times New Roman" w:cs="Times New Roman"/>
          <w:i/>
          <w:sz w:val="20"/>
          <w:szCs w:val="20"/>
          <w:lang w:val="ca-ES"/>
        </w:rPr>
        <w:t>hand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throughout</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the</w:t>
      </w:r>
      <w:proofErr w:type="spellEnd"/>
      <w:r w:rsidRPr="00A22DF2">
        <w:rPr>
          <w:rFonts w:ascii="Times New Roman" w:hAnsi="Times New Roman" w:cs="Times New Roman"/>
          <w:i/>
          <w:sz w:val="20"/>
          <w:szCs w:val="20"/>
          <w:lang w:val="ca-ES"/>
        </w:rPr>
        <w:t xml:space="preserve"> GATT/</w:t>
      </w:r>
      <w:proofErr w:type="spellStart"/>
      <w:r w:rsidRPr="00A22DF2">
        <w:rPr>
          <w:rFonts w:ascii="Times New Roman" w:hAnsi="Times New Roman" w:cs="Times New Roman"/>
          <w:i/>
          <w:sz w:val="20"/>
          <w:szCs w:val="20"/>
          <w:lang w:val="ca-ES"/>
        </w:rPr>
        <w:t>WTO’s</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history</w:t>
      </w:r>
      <w:proofErr w:type="spellEnd"/>
      <w:r w:rsidRPr="00A22DF2">
        <w:rPr>
          <w:rFonts w:ascii="Times New Roman" w:hAnsi="Times New Roman" w:cs="Times New Roman"/>
          <w:i/>
          <w:sz w:val="20"/>
          <w:szCs w:val="20"/>
          <w:lang w:val="ca-ES"/>
        </w:rPr>
        <w:t>. Regional</w:t>
      </w:r>
      <w:r w:rsidR="005B22B2"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and</w:t>
      </w:r>
      <w:proofErr w:type="spellEnd"/>
      <w:r w:rsidRPr="00A22DF2">
        <w:rPr>
          <w:rFonts w:ascii="Times New Roman" w:hAnsi="Times New Roman" w:cs="Times New Roman"/>
          <w:i/>
          <w:sz w:val="20"/>
          <w:szCs w:val="20"/>
          <w:lang w:val="ca-ES"/>
        </w:rPr>
        <w:t xml:space="preserve"> bilateral </w:t>
      </w:r>
      <w:proofErr w:type="spellStart"/>
      <w:r w:rsidRPr="00A22DF2">
        <w:rPr>
          <w:rFonts w:ascii="Times New Roman" w:hAnsi="Times New Roman" w:cs="Times New Roman"/>
          <w:i/>
          <w:sz w:val="20"/>
          <w:szCs w:val="20"/>
          <w:lang w:val="ca-ES"/>
        </w:rPr>
        <w:t>arrangements</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were</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embedded</w:t>
      </w:r>
      <w:proofErr w:type="spellEnd"/>
      <w:r w:rsidRPr="00A22DF2">
        <w:rPr>
          <w:rFonts w:ascii="Times New Roman" w:hAnsi="Times New Roman" w:cs="Times New Roman"/>
          <w:i/>
          <w:sz w:val="20"/>
          <w:szCs w:val="20"/>
          <w:lang w:val="ca-ES"/>
        </w:rPr>
        <w:t xml:space="preserve"> in a vibrant </w:t>
      </w:r>
      <w:proofErr w:type="spellStart"/>
      <w:r w:rsidRPr="00A22DF2">
        <w:rPr>
          <w:rFonts w:ascii="Times New Roman" w:hAnsi="Times New Roman" w:cs="Times New Roman"/>
          <w:i/>
          <w:sz w:val="20"/>
          <w:szCs w:val="20"/>
          <w:lang w:val="ca-ES"/>
        </w:rPr>
        <w:t>and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reactive</w:t>
      </w:r>
      <w:proofErr w:type="spellEnd"/>
      <w:r w:rsidRPr="00A22DF2">
        <w:rPr>
          <w:rFonts w:ascii="Times New Roman" w:hAnsi="Times New Roman" w:cs="Times New Roman"/>
          <w:i/>
          <w:sz w:val="20"/>
          <w:szCs w:val="20"/>
          <w:lang w:val="ca-ES"/>
        </w:rPr>
        <w:t xml:space="preserve"> multilateral</w:t>
      </w:r>
      <w:r w:rsidR="005B22B2"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system</w:t>
      </w:r>
      <w:proofErr w:type="spellEnd"/>
      <w:r w:rsidRPr="00A22DF2">
        <w:rPr>
          <w:rFonts w:ascii="Times New Roman" w:hAnsi="Times New Roman" w:cs="Times New Roman"/>
          <w:i/>
          <w:sz w:val="20"/>
          <w:szCs w:val="20"/>
          <w:lang w:val="ca-ES"/>
        </w:rPr>
        <w:t xml:space="preserve"> – a </w:t>
      </w:r>
      <w:proofErr w:type="spellStart"/>
      <w:r w:rsidRPr="00A22DF2">
        <w:rPr>
          <w:rFonts w:ascii="Times New Roman" w:hAnsi="Times New Roman" w:cs="Times New Roman"/>
          <w:i/>
          <w:sz w:val="20"/>
          <w:szCs w:val="20"/>
          <w:lang w:val="ca-ES"/>
        </w:rPr>
        <w:t>system</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that</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could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and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frequently</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did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update</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its</w:t>
      </w:r>
      <w:proofErr w:type="spellEnd"/>
      <w:r w:rsidRPr="00A22DF2">
        <w:rPr>
          <w:rFonts w:ascii="Times New Roman" w:hAnsi="Times New Roman" w:cs="Times New Roman"/>
          <w:i/>
          <w:sz w:val="20"/>
          <w:szCs w:val="20"/>
          <w:lang w:val="ca-ES"/>
        </w:rPr>
        <w:t xml:space="preserve"> disciplines on </w:t>
      </w:r>
      <w:proofErr w:type="spellStart"/>
      <w:r w:rsidRPr="00A22DF2">
        <w:rPr>
          <w:rFonts w:ascii="Times New Roman" w:hAnsi="Times New Roman" w:cs="Times New Roman"/>
          <w:i/>
          <w:sz w:val="20"/>
          <w:szCs w:val="20"/>
          <w:lang w:val="ca-ES"/>
        </w:rPr>
        <w:t>preferential</w:t>
      </w:r>
      <w:proofErr w:type="spellEnd"/>
      <w:r w:rsidR="005B22B2"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arrangements</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Regionalism</w:t>
      </w:r>
      <w:proofErr w:type="spellEnd"/>
      <w:r w:rsidRPr="00A22DF2">
        <w:rPr>
          <w:rFonts w:ascii="Times New Roman" w:hAnsi="Times New Roman" w:cs="Times New Roman"/>
          <w:i/>
          <w:sz w:val="20"/>
          <w:szCs w:val="20"/>
          <w:lang w:val="ca-ES"/>
        </w:rPr>
        <w:t xml:space="preserve"> in a </w:t>
      </w:r>
      <w:proofErr w:type="spellStart"/>
      <w:r w:rsidRPr="00A22DF2">
        <w:rPr>
          <w:rFonts w:ascii="Times New Roman" w:hAnsi="Times New Roman" w:cs="Times New Roman"/>
          <w:i/>
          <w:sz w:val="20"/>
          <w:szCs w:val="20"/>
          <w:lang w:val="ca-ES"/>
        </w:rPr>
        <w:t>world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where</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multilateralism</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was</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permanently</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deadlocked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would</w:t>
      </w:r>
      <w:proofErr w:type="spellEnd"/>
      <w:r w:rsidRPr="00A22DF2">
        <w:rPr>
          <w:rFonts w:ascii="Times New Roman" w:hAnsi="Times New Roman" w:cs="Times New Roman"/>
          <w:i/>
          <w:sz w:val="20"/>
          <w:szCs w:val="20"/>
          <w:lang w:val="ca-ES"/>
        </w:rPr>
        <w:t xml:space="preserve"> be a </w:t>
      </w:r>
      <w:proofErr w:type="spellStart"/>
      <w:r w:rsidRPr="00A22DF2">
        <w:rPr>
          <w:rFonts w:ascii="Times New Roman" w:hAnsi="Times New Roman" w:cs="Times New Roman"/>
          <w:i/>
          <w:sz w:val="20"/>
          <w:szCs w:val="20"/>
          <w:lang w:val="ca-ES"/>
        </w:rPr>
        <w:t>very</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different</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proposition</w:t>
      </w:r>
      <w:proofErr w:type="spellEnd"/>
      <w:r w:rsidRPr="00A22DF2">
        <w:rPr>
          <w:rFonts w:ascii="Times New Roman" w:hAnsi="Times New Roman" w:cs="Times New Roman"/>
          <w:i/>
          <w:sz w:val="20"/>
          <w:szCs w:val="20"/>
          <w:lang w:val="ca-ES"/>
        </w:rPr>
        <w:t xml:space="preserve"> – </w:t>
      </w:r>
      <w:proofErr w:type="spellStart"/>
      <w:r w:rsidRPr="00A22DF2">
        <w:rPr>
          <w:rFonts w:ascii="Times New Roman" w:hAnsi="Times New Roman" w:cs="Times New Roman"/>
          <w:i/>
          <w:sz w:val="20"/>
          <w:szCs w:val="20"/>
          <w:lang w:val="ca-ES"/>
        </w:rPr>
        <w:t>regionalism</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would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begin</w:t>
      </w:r>
      <w:proofErr w:type="spellEnd"/>
      <w:r w:rsidRPr="00A22DF2">
        <w:rPr>
          <w:rFonts w:ascii="Times New Roman" w:hAnsi="Times New Roman" w:cs="Times New Roman"/>
          <w:i/>
          <w:sz w:val="20"/>
          <w:szCs w:val="20"/>
          <w:lang w:val="ca-ES"/>
        </w:rPr>
        <w:t xml:space="preserve"> to </w:t>
      </w:r>
      <w:proofErr w:type="spellStart"/>
      <w:r w:rsidRPr="00A22DF2">
        <w:rPr>
          <w:rFonts w:ascii="Times New Roman" w:hAnsi="Times New Roman" w:cs="Times New Roman"/>
          <w:i/>
          <w:sz w:val="20"/>
          <w:szCs w:val="20"/>
          <w:lang w:val="ca-ES"/>
        </w:rPr>
        <w:t>act</w:t>
      </w:r>
      <w:proofErr w:type="spellEnd"/>
      <w:r w:rsidRPr="00A22DF2">
        <w:rPr>
          <w:rFonts w:ascii="Times New Roman" w:hAnsi="Times New Roman" w:cs="Times New Roman"/>
          <w:i/>
          <w:sz w:val="20"/>
          <w:szCs w:val="20"/>
          <w:lang w:val="ca-ES"/>
        </w:rPr>
        <w:t xml:space="preserve"> as a </w:t>
      </w:r>
      <w:proofErr w:type="spellStart"/>
      <w:r w:rsidRPr="00A22DF2">
        <w:rPr>
          <w:rFonts w:ascii="Times New Roman" w:hAnsi="Times New Roman" w:cs="Times New Roman"/>
          <w:i/>
          <w:sz w:val="20"/>
          <w:szCs w:val="20"/>
          <w:lang w:val="ca-ES"/>
        </w:rPr>
        <w:t>substitute</w:t>
      </w:r>
      <w:proofErr w:type="spellEnd"/>
      <w:r w:rsidRPr="00A22DF2">
        <w:rPr>
          <w:rFonts w:ascii="Times New Roman" w:hAnsi="Times New Roman" w:cs="Times New Roman"/>
          <w:i/>
          <w:sz w:val="20"/>
          <w:szCs w:val="20"/>
          <w:lang w:val="ca-ES"/>
        </w:rPr>
        <w:t xml:space="preserve"> to </w:t>
      </w:r>
      <w:proofErr w:type="spellStart"/>
      <w:r w:rsidR="005B22B2" w:rsidRPr="00A22DF2">
        <w:rPr>
          <w:rFonts w:ascii="Times New Roman" w:hAnsi="Times New Roman" w:cs="Times New Roman"/>
          <w:i/>
          <w:sz w:val="20"/>
          <w:szCs w:val="20"/>
          <w:lang w:val="ca-ES"/>
        </w:rPr>
        <w:t>m</w:t>
      </w:r>
      <w:r w:rsidRPr="00A22DF2">
        <w:rPr>
          <w:rFonts w:ascii="Times New Roman" w:hAnsi="Times New Roman" w:cs="Times New Roman"/>
          <w:i/>
          <w:sz w:val="20"/>
          <w:szCs w:val="20"/>
          <w:lang w:val="ca-ES"/>
        </w:rPr>
        <w:t>ultilateralism</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rather</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than</w:t>
      </w:r>
      <w:proofErr w:type="spellEnd"/>
      <w:r w:rsidRPr="00A22DF2">
        <w:rPr>
          <w:rFonts w:ascii="Times New Roman" w:hAnsi="Times New Roman" w:cs="Times New Roman"/>
          <w:i/>
          <w:sz w:val="20"/>
          <w:szCs w:val="20"/>
          <w:lang w:val="ca-ES"/>
        </w:rPr>
        <w:t xml:space="preserve"> a complement. </w:t>
      </w:r>
      <w:r w:rsidR="004D2898" w:rsidRPr="00A22DF2">
        <w:rPr>
          <w:rFonts w:ascii="Times New Roman" w:hAnsi="Times New Roman" w:cs="Times New Roman"/>
          <w:i/>
          <w:sz w:val="20"/>
          <w:szCs w:val="20"/>
          <w:lang w:val="ca-ES"/>
        </w:rPr>
        <w:t xml:space="preserve">... </w:t>
      </w:r>
      <w:r w:rsidRPr="00A22DF2">
        <w:rPr>
          <w:rFonts w:ascii="Times New Roman" w:hAnsi="Times New Roman" w:cs="Times New Roman"/>
          <w:i/>
          <w:sz w:val="20"/>
          <w:szCs w:val="20"/>
          <w:lang w:val="ca-ES"/>
        </w:rPr>
        <w:t xml:space="preserve">(Baldwin </w:t>
      </w:r>
      <w:proofErr w:type="spellStart"/>
      <w:r w:rsidRPr="00A22DF2">
        <w:rPr>
          <w:rFonts w:ascii="Times New Roman" w:hAnsi="Times New Roman" w:cs="Times New Roman"/>
          <w:i/>
          <w:sz w:val="20"/>
          <w:szCs w:val="20"/>
          <w:lang w:val="ca-ES"/>
        </w:rPr>
        <w:t>and</w:t>
      </w:r>
      <w:proofErr w:type="spellEnd"/>
      <w:r w:rsidRPr="00A22DF2">
        <w:rPr>
          <w:rFonts w:ascii="Times New Roman" w:hAnsi="Times New Roman" w:cs="Times New Roman"/>
          <w:i/>
          <w:sz w:val="20"/>
          <w:szCs w:val="20"/>
          <w:lang w:val="ca-ES"/>
        </w:rPr>
        <w:t xml:space="preserve"> </w:t>
      </w:r>
      <w:proofErr w:type="spellStart"/>
      <w:r w:rsidRPr="00A22DF2">
        <w:rPr>
          <w:rFonts w:ascii="Times New Roman" w:hAnsi="Times New Roman" w:cs="Times New Roman"/>
          <w:i/>
          <w:sz w:val="20"/>
          <w:szCs w:val="20"/>
          <w:lang w:val="ca-ES"/>
        </w:rPr>
        <w:t>Evenett</w:t>
      </w:r>
      <w:proofErr w:type="spellEnd"/>
      <w:r w:rsidRPr="00A22DF2">
        <w:rPr>
          <w:rFonts w:ascii="Times New Roman" w:hAnsi="Times New Roman" w:cs="Times New Roman"/>
          <w:i/>
          <w:sz w:val="20"/>
          <w:szCs w:val="20"/>
          <w:lang w:val="ca-ES"/>
        </w:rPr>
        <w:t>, 2011: 5</w:t>
      </w:r>
      <w:r w:rsidR="004D2898" w:rsidRPr="00A22DF2">
        <w:rPr>
          <w:rFonts w:ascii="Times New Roman" w:hAnsi="Times New Roman" w:cs="Times New Roman"/>
          <w:i/>
          <w:sz w:val="20"/>
          <w:szCs w:val="20"/>
          <w:lang w:val="ca-ES"/>
        </w:rPr>
        <w:t>-6</w:t>
      </w:r>
      <w:r w:rsidRPr="00A22DF2">
        <w:rPr>
          <w:rFonts w:ascii="Times New Roman" w:hAnsi="Times New Roman" w:cs="Times New Roman"/>
          <w:i/>
          <w:sz w:val="20"/>
          <w:szCs w:val="20"/>
          <w:lang w:val="ca-ES"/>
        </w:rPr>
        <w:t>)</w:t>
      </w:r>
    </w:p>
    <w:p w:rsidR="00E21C62" w:rsidRDefault="00E21C62" w:rsidP="00C836AB">
      <w:pPr>
        <w:jc w:val="both"/>
        <w:rPr>
          <w:rFonts w:ascii="Times New Roman" w:hAnsi="Times New Roman" w:cs="Times New Roman"/>
          <w:sz w:val="24"/>
          <w:szCs w:val="24"/>
          <w:lang w:val="en-GB"/>
        </w:rPr>
      </w:pPr>
    </w:p>
    <w:p w:rsidR="00E21C62" w:rsidRDefault="00E21C62" w:rsidP="00C836A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That may be due to the fact that these preferential agreements, by increasing the bargaining power of the participants can also made them less willing to make concessions. As </w:t>
      </w:r>
      <w:proofErr w:type="spellStart"/>
      <w:r w:rsidRPr="00E21C62">
        <w:rPr>
          <w:rFonts w:ascii="Times New Roman" w:hAnsi="Times New Roman" w:cs="Times New Roman"/>
          <w:sz w:val="24"/>
          <w:szCs w:val="24"/>
          <w:lang w:val="en-GB"/>
        </w:rPr>
        <w:t>Conceiçáo</w:t>
      </w:r>
      <w:proofErr w:type="spellEnd"/>
      <w:r w:rsidRPr="00E21C62">
        <w:rPr>
          <w:rFonts w:ascii="Times New Roman" w:hAnsi="Times New Roman" w:cs="Times New Roman"/>
          <w:sz w:val="24"/>
          <w:szCs w:val="24"/>
          <w:lang w:val="en-GB"/>
        </w:rPr>
        <w:t>-Held (2013: 11</w:t>
      </w:r>
      <w:r>
        <w:rPr>
          <w:rFonts w:ascii="Times New Roman" w:hAnsi="Times New Roman" w:cs="Times New Roman"/>
          <w:sz w:val="24"/>
          <w:szCs w:val="24"/>
          <w:lang w:val="en-GB"/>
        </w:rPr>
        <w:t>4</w:t>
      </w:r>
      <w:r w:rsidRPr="00E21C62">
        <w:rPr>
          <w:rFonts w:ascii="Times New Roman" w:hAnsi="Times New Roman" w:cs="Times New Roman"/>
          <w:sz w:val="24"/>
          <w:szCs w:val="24"/>
          <w:lang w:val="en-GB"/>
        </w:rPr>
        <w:t>)</w:t>
      </w:r>
      <w:r>
        <w:rPr>
          <w:rFonts w:ascii="Times New Roman" w:hAnsi="Times New Roman" w:cs="Times New Roman"/>
          <w:sz w:val="24"/>
          <w:szCs w:val="24"/>
          <w:lang w:val="en-GB"/>
        </w:rPr>
        <w:t xml:space="preserve"> puts it: “</w:t>
      </w:r>
      <w:r w:rsidRPr="00E21C62">
        <w:rPr>
          <w:rFonts w:ascii="Times New Roman" w:hAnsi="Times New Roman" w:cs="Times New Roman"/>
          <w:sz w:val="24"/>
          <w:szCs w:val="24"/>
          <w:lang w:val="en-GB"/>
        </w:rPr>
        <w:t>the better the outside option of an actors, the less dependent it will be on a multilateral trade agreement</w:t>
      </w:r>
      <w:r>
        <w:rPr>
          <w:rFonts w:ascii="Times New Roman" w:hAnsi="Times New Roman" w:cs="Times New Roman"/>
          <w:sz w:val="24"/>
          <w:szCs w:val="24"/>
          <w:lang w:val="en-GB"/>
        </w:rPr>
        <w:t xml:space="preserve">”. </w:t>
      </w:r>
    </w:p>
    <w:p w:rsidR="00D3155A" w:rsidRDefault="009B56AD"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any case, </w:t>
      </w:r>
      <w:r w:rsidR="00036DF9">
        <w:rPr>
          <w:rFonts w:ascii="Times New Roman" w:hAnsi="Times New Roman" w:cs="Times New Roman"/>
          <w:sz w:val="24"/>
          <w:szCs w:val="24"/>
          <w:lang w:val="en"/>
        </w:rPr>
        <w:t>these studies</w:t>
      </w:r>
      <w:r>
        <w:rPr>
          <w:rFonts w:ascii="Times New Roman" w:hAnsi="Times New Roman" w:cs="Times New Roman"/>
          <w:sz w:val="24"/>
          <w:szCs w:val="24"/>
          <w:lang w:val="en"/>
        </w:rPr>
        <w:t xml:space="preserve"> signal that</w:t>
      </w:r>
      <w:r w:rsidR="00036DF9">
        <w:rPr>
          <w:rFonts w:ascii="Times New Roman" w:hAnsi="Times New Roman" w:cs="Times New Roman"/>
          <w:sz w:val="24"/>
          <w:szCs w:val="24"/>
          <w:lang w:val="en"/>
        </w:rPr>
        <w:t xml:space="preserve"> </w:t>
      </w:r>
      <w:r w:rsidR="00CC2218">
        <w:rPr>
          <w:rFonts w:ascii="Times New Roman" w:hAnsi="Times New Roman" w:cs="Times New Roman"/>
          <w:sz w:val="24"/>
          <w:szCs w:val="24"/>
          <w:lang w:val="en"/>
        </w:rPr>
        <w:t>t</w:t>
      </w:r>
      <w:r w:rsidR="00CC2218" w:rsidRPr="00CC2218">
        <w:rPr>
          <w:rFonts w:ascii="Times New Roman" w:hAnsi="Times New Roman" w:cs="Times New Roman"/>
          <w:sz w:val="24"/>
          <w:szCs w:val="24"/>
          <w:lang w:val="en"/>
        </w:rPr>
        <w:t xml:space="preserve">he multilateral context may be </w:t>
      </w:r>
      <w:r w:rsidR="00535432">
        <w:rPr>
          <w:rFonts w:ascii="Times New Roman" w:hAnsi="Times New Roman" w:cs="Times New Roman"/>
          <w:sz w:val="24"/>
          <w:szCs w:val="24"/>
          <w:lang w:val="en"/>
        </w:rPr>
        <w:t>a good independent variable to add to the compatibility equation for at least two reasons</w:t>
      </w:r>
      <w:r w:rsidR="004675C5">
        <w:rPr>
          <w:rFonts w:ascii="Times New Roman" w:hAnsi="Times New Roman" w:cs="Times New Roman"/>
          <w:sz w:val="24"/>
          <w:szCs w:val="24"/>
          <w:lang w:val="en"/>
        </w:rPr>
        <w:t xml:space="preserve">: </w:t>
      </w:r>
      <w:r w:rsidR="002E70B0">
        <w:rPr>
          <w:rFonts w:ascii="Times New Roman" w:hAnsi="Times New Roman" w:cs="Times New Roman"/>
          <w:sz w:val="24"/>
          <w:szCs w:val="24"/>
          <w:lang w:val="en"/>
        </w:rPr>
        <w:t xml:space="preserve">its </w:t>
      </w:r>
      <w:r w:rsidR="004675C5">
        <w:rPr>
          <w:rFonts w:ascii="Times New Roman" w:hAnsi="Times New Roman" w:cs="Times New Roman"/>
          <w:sz w:val="24"/>
          <w:szCs w:val="24"/>
          <w:lang w:val="en"/>
        </w:rPr>
        <w:t xml:space="preserve">lack of correlation with the European Commission independent variable and </w:t>
      </w:r>
      <w:r w:rsidR="002E70B0">
        <w:rPr>
          <w:rFonts w:ascii="Times New Roman" w:hAnsi="Times New Roman" w:cs="Times New Roman"/>
          <w:sz w:val="24"/>
          <w:szCs w:val="24"/>
          <w:lang w:val="en"/>
        </w:rPr>
        <w:t xml:space="preserve">its </w:t>
      </w:r>
      <w:r w:rsidR="004675C5">
        <w:rPr>
          <w:rFonts w:ascii="Times New Roman" w:hAnsi="Times New Roman" w:cs="Times New Roman"/>
          <w:sz w:val="24"/>
          <w:szCs w:val="24"/>
          <w:lang w:val="en"/>
        </w:rPr>
        <w:t xml:space="preserve">impact capacity on the dependent variable. Regarding the first, </w:t>
      </w:r>
      <w:r w:rsidR="002E70B0">
        <w:rPr>
          <w:rFonts w:ascii="Times New Roman" w:hAnsi="Times New Roman" w:cs="Times New Roman"/>
          <w:sz w:val="24"/>
          <w:szCs w:val="24"/>
          <w:lang w:val="en"/>
        </w:rPr>
        <w:t xml:space="preserve">any bilateral agreement, including the TTIP, </w:t>
      </w:r>
      <w:r w:rsidR="00535432" w:rsidRPr="00535432">
        <w:rPr>
          <w:rFonts w:ascii="Times New Roman" w:hAnsi="Times New Roman" w:cs="Times New Roman"/>
          <w:sz w:val="24"/>
          <w:szCs w:val="24"/>
          <w:lang w:val="en"/>
        </w:rPr>
        <w:t xml:space="preserve">could be </w:t>
      </w:r>
      <w:r w:rsidR="0036426E">
        <w:rPr>
          <w:rFonts w:ascii="Times New Roman" w:hAnsi="Times New Roman" w:cs="Times New Roman"/>
          <w:sz w:val="24"/>
          <w:szCs w:val="24"/>
          <w:lang w:val="en"/>
        </w:rPr>
        <w:t xml:space="preserve">either </w:t>
      </w:r>
      <w:r w:rsidR="00535432" w:rsidRPr="00535432">
        <w:rPr>
          <w:rFonts w:ascii="Times New Roman" w:hAnsi="Times New Roman" w:cs="Times New Roman"/>
          <w:sz w:val="24"/>
          <w:szCs w:val="24"/>
          <w:lang w:val="en"/>
        </w:rPr>
        <w:t xml:space="preserve">a strategy to get </w:t>
      </w:r>
      <w:r w:rsidR="0036426E">
        <w:rPr>
          <w:rFonts w:ascii="Times New Roman" w:hAnsi="Times New Roman" w:cs="Times New Roman"/>
          <w:sz w:val="24"/>
          <w:szCs w:val="24"/>
          <w:lang w:val="en"/>
        </w:rPr>
        <w:t>an</w:t>
      </w:r>
      <w:r w:rsidR="00535432" w:rsidRPr="00535432">
        <w:rPr>
          <w:rFonts w:ascii="Times New Roman" w:hAnsi="Times New Roman" w:cs="Times New Roman"/>
          <w:sz w:val="24"/>
          <w:szCs w:val="24"/>
          <w:lang w:val="en"/>
        </w:rPr>
        <w:t xml:space="preserve"> accord at the multilateral level or </w:t>
      </w:r>
      <w:r w:rsidR="0036426E">
        <w:rPr>
          <w:rFonts w:ascii="Times New Roman" w:hAnsi="Times New Roman" w:cs="Times New Roman"/>
          <w:sz w:val="24"/>
          <w:szCs w:val="24"/>
          <w:lang w:val="en"/>
        </w:rPr>
        <w:t>a</w:t>
      </w:r>
      <w:r w:rsidR="00535432" w:rsidRPr="00535432">
        <w:rPr>
          <w:rFonts w:ascii="Times New Roman" w:hAnsi="Times New Roman" w:cs="Times New Roman"/>
          <w:sz w:val="24"/>
          <w:szCs w:val="24"/>
          <w:lang w:val="en"/>
        </w:rPr>
        <w:t xml:space="preserve"> substitute to the multilateral accord independently of the WTO+ or WTO-X aspects of the agreement. </w:t>
      </w:r>
      <w:r w:rsidR="00D3155A">
        <w:rPr>
          <w:rFonts w:ascii="Times New Roman" w:hAnsi="Times New Roman" w:cs="Times New Roman"/>
          <w:sz w:val="24"/>
          <w:szCs w:val="24"/>
          <w:lang w:val="en"/>
        </w:rPr>
        <w:t xml:space="preserve">The inclusion of the multilateral context does not predetermine the sign of the technical variable; the results of both variables are not necessarily correlated. The </w:t>
      </w:r>
      <w:r w:rsidR="00D3155A">
        <w:rPr>
          <w:rFonts w:ascii="Times New Roman" w:hAnsi="Times New Roman" w:cs="Times New Roman"/>
          <w:sz w:val="24"/>
          <w:szCs w:val="24"/>
          <w:lang w:val="en"/>
        </w:rPr>
        <w:lastRenderedPageBreak/>
        <w:t xml:space="preserve">fact that an agreement is WTO+ and/or WTO-X does not preclude a negative multilateral context. </w:t>
      </w:r>
    </w:p>
    <w:p w:rsidR="00283E6C" w:rsidRDefault="002E70B0"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As to the s</w:t>
      </w:r>
      <w:r w:rsidR="00535432">
        <w:rPr>
          <w:rFonts w:ascii="Times New Roman" w:hAnsi="Times New Roman" w:cs="Times New Roman"/>
          <w:sz w:val="24"/>
          <w:szCs w:val="24"/>
          <w:lang w:val="en"/>
        </w:rPr>
        <w:t xml:space="preserve">econd, these studies </w:t>
      </w:r>
      <w:r w:rsidR="00D315BF">
        <w:rPr>
          <w:rFonts w:ascii="Times New Roman" w:hAnsi="Times New Roman" w:cs="Times New Roman"/>
          <w:sz w:val="24"/>
          <w:szCs w:val="24"/>
          <w:lang w:val="en"/>
        </w:rPr>
        <w:t xml:space="preserve">highlight that the multilateral context may be </w:t>
      </w:r>
      <w:r w:rsidR="00CC2218" w:rsidRPr="00CC2218">
        <w:rPr>
          <w:rFonts w:ascii="Times New Roman" w:hAnsi="Times New Roman" w:cs="Times New Roman"/>
          <w:sz w:val="24"/>
          <w:szCs w:val="24"/>
          <w:lang w:val="en"/>
        </w:rPr>
        <w:t>favorable or unfavorable to the compatibility</w:t>
      </w:r>
      <w:r w:rsidR="00CC2218">
        <w:rPr>
          <w:rFonts w:ascii="Times New Roman" w:hAnsi="Times New Roman" w:cs="Times New Roman"/>
          <w:sz w:val="24"/>
          <w:szCs w:val="24"/>
          <w:lang w:val="en"/>
        </w:rPr>
        <w:t xml:space="preserve"> between bilateralism and multilateralism</w:t>
      </w:r>
      <w:r w:rsidR="00CC2218" w:rsidRPr="00CC2218">
        <w:rPr>
          <w:rFonts w:ascii="Times New Roman" w:hAnsi="Times New Roman" w:cs="Times New Roman"/>
          <w:sz w:val="24"/>
          <w:szCs w:val="24"/>
          <w:lang w:val="en"/>
        </w:rPr>
        <w:t xml:space="preserve">. </w:t>
      </w:r>
      <w:r w:rsidR="002B0F79">
        <w:rPr>
          <w:rFonts w:ascii="Times New Roman" w:hAnsi="Times New Roman" w:cs="Times New Roman"/>
          <w:sz w:val="24"/>
          <w:szCs w:val="24"/>
          <w:lang w:val="en"/>
        </w:rPr>
        <w:t>In particular, they seem to indicate that t</w:t>
      </w:r>
      <w:r w:rsidR="00036DF9">
        <w:rPr>
          <w:rFonts w:ascii="Times New Roman" w:hAnsi="Times New Roman" w:cs="Times New Roman"/>
          <w:sz w:val="24"/>
          <w:szCs w:val="24"/>
          <w:lang w:val="en"/>
        </w:rPr>
        <w:t>he more difficulties at the multilateral negotiations</w:t>
      </w:r>
      <w:r w:rsidR="00CC2218">
        <w:rPr>
          <w:rFonts w:ascii="Times New Roman" w:hAnsi="Times New Roman" w:cs="Times New Roman"/>
          <w:sz w:val="24"/>
          <w:szCs w:val="24"/>
          <w:lang w:val="en"/>
        </w:rPr>
        <w:t>, the more possibilities</w:t>
      </w:r>
      <w:r w:rsidR="00036DF9">
        <w:rPr>
          <w:rFonts w:ascii="Times New Roman" w:hAnsi="Times New Roman" w:cs="Times New Roman"/>
          <w:sz w:val="24"/>
          <w:szCs w:val="24"/>
          <w:lang w:val="en"/>
        </w:rPr>
        <w:t xml:space="preserve"> </w:t>
      </w:r>
      <w:r w:rsidR="002B0F79">
        <w:rPr>
          <w:rFonts w:ascii="Times New Roman" w:hAnsi="Times New Roman" w:cs="Times New Roman"/>
          <w:sz w:val="24"/>
          <w:szCs w:val="24"/>
          <w:lang w:val="en"/>
        </w:rPr>
        <w:t>members will</w:t>
      </w:r>
      <w:r w:rsidR="00CC2218">
        <w:rPr>
          <w:rFonts w:ascii="Times New Roman" w:hAnsi="Times New Roman" w:cs="Times New Roman"/>
          <w:sz w:val="24"/>
          <w:szCs w:val="24"/>
          <w:lang w:val="en"/>
        </w:rPr>
        <w:t xml:space="preserve"> </w:t>
      </w:r>
      <w:r w:rsidR="002B0F79">
        <w:rPr>
          <w:rFonts w:ascii="Times New Roman" w:hAnsi="Times New Roman" w:cs="Times New Roman"/>
          <w:sz w:val="24"/>
          <w:szCs w:val="24"/>
          <w:lang w:val="en"/>
        </w:rPr>
        <w:t xml:space="preserve">negotiate </w:t>
      </w:r>
      <w:r w:rsidR="00036DF9">
        <w:rPr>
          <w:rFonts w:ascii="Times New Roman" w:hAnsi="Times New Roman" w:cs="Times New Roman"/>
          <w:sz w:val="24"/>
          <w:szCs w:val="24"/>
          <w:lang w:val="en"/>
        </w:rPr>
        <w:t xml:space="preserve">bilateral agreements </w:t>
      </w:r>
      <w:r w:rsidR="002B0F79">
        <w:rPr>
          <w:rFonts w:ascii="Times New Roman" w:hAnsi="Times New Roman" w:cs="Times New Roman"/>
          <w:sz w:val="24"/>
          <w:szCs w:val="24"/>
          <w:lang w:val="en"/>
        </w:rPr>
        <w:t>as a</w:t>
      </w:r>
      <w:r w:rsidR="00036DF9">
        <w:rPr>
          <w:rFonts w:ascii="Times New Roman" w:hAnsi="Times New Roman" w:cs="Times New Roman"/>
          <w:sz w:val="24"/>
          <w:szCs w:val="24"/>
          <w:lang w:val="en"/>
        </w:rPr>
        <w:t xml:space="preserve"> strategy to get </w:t>
      </w:r>
      <w:r w:rsidR="002B0F79">
        <w:rPr>
          <w:rFonts w:ascii="Times New Roman" w:hAnsi="Times New Roman" w:cs="Times New Roman"/>
          <w:sz w:val="24"/>
          <w:szCs w:val="24"/>
          <w:lang w:val="en"/>
        </w:rPr>
        <w:t xml:space="preserve">the accord </w:t>
      </w:r>
      <w:r w:rsidR="00036DF9">
        <w:rPr>
          <w:rFonts w:ascii="Times New Roman" w:hAnsi="Times New Roman" w:cs="Times New Roman"/>
          <w:sz w:val="24"/>
          <w:szCs w:val="24"/>
          <w:lang w:val="en"/>
        </w:rPr>
        <w:t>at the multilateral level</w:t>
      </w:r>
      <w:r w:rsidR="00977C07">
        <w:rPr>
          <w:rFonts w:ascii="Times New Roman" w:hAnsi="Times New Roman" w:cs="Times New Roman"/>
          <w:sz w:val="24"/>
          <w:szCs w:val="24"/>
          <w:lang w:val="en"/>
        </w:rPr>
        <w:t xml:space="preserve"> or at least </w:t>
      </w:r>
      <w:r w:rsidR="005578D7">
        <w:rPr>
          <w:rFonts w:ascii="Times New Roman" w:hAnsi="Times New Roman" w:cs="Times New Roman"/>
          <w:sz w:val="24"/>
          <w:szCs w:val="24"/>
          <w:lang w:val="en"/>
        </w:rPr>
        <w:t>as an</w:t>
      </w:r>
      <w:r w:rsidR="00977C07">
        <w:rPr>
          <w:rFonts w:ascii="Times New Roman" w:hAnsi="Times New Roman" w:cs="Times New Roman"/>
          <w:sz w:val="24"/>
          <w:szCs w:val="24"/>
          <w:lang w:val="en"/>
        </w:rPr>
        <w:t xml:space="preserve"> insurance against the round stalling or failing to</w:t>
      </w:r>
      <w:r w:rsidR="002E41D6">
        <w:rPr>
          <w:rFonts w:ascii="Times New Roman" w:hAnsi="Times New Roman" w:cs="Times New Roman"/>
          <w:sz w:val="24"/>
          <w:szCs w:val="24"/>
          <w:lang w:val="en"/>
        </w:rPr>
        <w:t xml:space="preserve"> ensure </w:t>
      </w:r>
      <w:r w:rsidR="00DA245A">
        <w:rPr>
          <w:rFonts w:ascii="Times New Roman" w:hAnsi="Times New Roman" w:cs="Times New Roman"/>
          <w:sz w:val="24"/>
          <w:szCs w:val="24"/>
          <w:lang w:val="en"/>
        </w:rPr>
        <w:t xml:space="preserve">certain </w:t>
      </w:r>
      <w:r w:rsidR="002E41D6">
        <w:rPr>
          <w:rFonts w:ascii="Times New Roman" w:hAnsi="Times New Roman" w:cs="Times New Roman"/>
          <w:sz w:val="24"/>
          <w:szCs w:val="24"/>
          <w:lang w:val="en"/>
        </w:rPr>
        <w:t>market access</w:t>
      </w:r>
      <w:r w:rsidR="00DA245A">
        <w:rPr>
          <w:rFonts w:ascii="Times New Roman" w:hAnsi="Times New Roman" w:cs="Times New Roman"/>
          <w:sz w:val="24"/>
          <w:szCs w:val="24"/>
          <w:lang w:val="en"/>
        </w:rPr>
        <w:t xml:space="preserve"> results</w:t>
      </w:r>
      <w:r w:rsidR="00036DF9">
        <w:rPr>
          <w:rFonts w:ascii="Times New Roman" w:hAnsi="Times New Roman" w:cs="Times New Roman"/>
          <w:sz w:val="24"/>
          <w:szCs w:val="24"/>
          <w:lang w:val="en"/>
        </w:rPr>
        <w:t xml:space="preserve">. However, </w:t>
      </w:r>
      <w:r w:rsidR="003A40D4">
        <w:rPr>
          <w:rFonts w:ascii="Times New Roman" w:hAnsi="Times New Roman" w:cs="Times New Roman"/>
          <w:sz w:val="24"/>
          <w:szCs w:val="24"/>
          <w:lang w:val="en"/>
        </w:rPr>
        <w:t>if these</w:t>
      </w:r>
      <w:r w:rsidR="00036DF9">
        <w:rPr>
          <w:rFonts w:ascii="Times New Roman" w:hAnsi="Times New Roman" w:cs="Times New Roman"/>
          <w:sz w:val="24"/>
          <w:szCs w:val="24"/>
          <w:lang w:val="en"/>
        </w:rPr>
        <w:t xml:space="preserve"> difficulties</w:t>
      </w:r>
      <w:r w:rsidR="004254A4">
        <w:rPr>
          <w:rFonts w:ascii="Times New Roman" w:hAnsi="Times New Roman" w:cs="Times New Roman"/>
          <w:sz w:val="24"/>
          <w:szCs w:val="24"/>
          <w:lang w:val="en"/>
        </w:rPr>
        <w:t xml:space="preserve"> are too severe, </w:t>
      </w:r>
      <w:r w:rsidR="003A40D4">
        <w:rPr>
          <w:rFonts w:ascii="Times New Roman" w:hAnsi="Times New Roman" w:cs="Times New Roman"/>
          <w:sz w:val="24"/>
          <w:szCs w:val="24"/>
          <w:lang w:val="en"/>
        </w:rPr>
        <w:t>they may</w:t>
      </w:r>
      <w:r w:rsidR="00036DF9">
        <w:rPr>
          <w:rFonts w:ascii="Times New Roman" w:hAnsi="Times New Roman" w:cs="Times New Roman"/>
          <w:sz w:val="24"/>
          <w:szCs w:val="24"/>
          <w:lang w:val="en"/>
        </w:rPr>
        <w:t xml:space="preserve"> lead towards the bilateral agreements becoming substitutes to a multilateral accord. </w:t>
      </w:r>
    </w:p>
    <w:p w:rsidR="0007557B" w:rsidRDefault="00757B25"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Table 1 summa</w:t>
      </w:r>
      <w:r w:rsidR="00716EEB">
        <w:rPr>
          <w:rFonts w:ascii="Times New Roman" w:hAnsi="Times New Roman" w:cs="Times New Roman"/>
          <w:sz w:val="24"/>
          <w:szCs w:val="24"/>
          <w:lang w:val="en"/>
        </w:rPr>
        <w:t>rizes this analytical framework using the building and stumbling blocks terminology</w:t>
      </w:r>
      <w:r w:rsidR="002A560F">
        <w:rPr>
          <w:rFonts w:ascii="Times New Roman" w:hAnsi="Times New Roman" w:cs="Times New Roman"/>
          <w:sz w:val="24"/>
          <w:szCs w:val="24"/>
          <w:lang w:val="en"/>
        </w:rPr>
        <w:t xml:space="preserve"> and Equation 2a encapsulates it</w:t>
      </w:r>
      <w:r w:rsidR="00716EEB">
        <w:rPr>
          <w:rFonts w:ascii="Times New Roman" w:hAnsi="Times New Roman" w:cs="Times New Roman"/>
          <w:sz w:val="24"/>
          <w:szCs w:val="24"/>
          <w:lang w:val="en"/>
        </w:rPr>
        <w:t xml:space="preserve">. </w:t>
      </w:r>
      <w:r w:rsidR="00283E6C">
        <w:rPr>
          <w:rFonts w:ascii="Times New Roman" w:hAnsi="Times New Roman" w:cs="Times New Roman"/>
          <w:sz w:val="24"/>
          <w:szCs w:val="24"/>
          <w:lang w:val="en"/>
        </w:rPr>
        <w:t xml:space="preserve">Both highlight the importance of </w:t>
      </w:r>
      <w:r w:rsidR="00E839AD">
        <w:rPr>
          <w:rFonts w:ascii="Times New Roman" w:hAnsi="Times New Roman" w:cs="Times New Roman"/>
          <w:sz w:val="24"/>
          <w:szCs w:val="24"/>
          <w:lang w:val="en"/>
        </w:rPr>
        <w:t xml:space="preserve">being able to distinguish between difficulties severity </w:t>
      </w:r>
      <w:r w:rsidR="00283E6C">
        <w:rPr>
          <w:rFonts w:ascii="Times New Roman" w:hAnsi="Times New Roman" w:cs="Times New Roman"/>
          <w:sz w:val="24"/>
          <w:szCs w:val="24"/>
          <w:lang w:val="en"/>
        </w:rPr>
        <w:t xml:space="preserve">to determine the positive or negative impact of this new independent variable to the compatibility nexus. </w:t>
      </w:r>
      <w:r w:rsidR="00E839AD">
        <w:rPr>
          <w:rFonts w:ascii="Times New Roman" w:hAnsi="Times New Roman" w:cs="Times New Roman"/>
          <w:sz w:val="24"/>
          <w:szCs w:val="24"/>
          <w:lang w:val="en"/>
        </w:rPr>
        <w:t>W</w:t>
      </w:r>
      <w:r w:rsidR="00E839AD" w:rsidRPr="00E839AD">
        <w:rPr>
          <w:rFonts w:ascii="Times New Roman" w:hAnsi="Times New Roman" w:cs="Times New Roman"/>
          <w:sz w:val="24"/>
          <w:szCs w:val="24"/>
          <w:lang w:val="en"/>
        </w:rPr>
        <w:t xml:space="preserve">hen </w:t>
      </w:r>
      <w:r w:rsidR="00E839AD">
        <w:rPr>
          <w:rFonts w:ascii="Times New Roman" w:hAnsi="Times New Roman" w:cs="Times New Roman"/>
          <w:sz w:val="24"/>
          <w:szCs w:val="24"/>
          <w:lang w:val="en"/>
        </w:rPr>
        <w:t xml:space="preserve">do </w:t>
      </w:r>
      <w:r w:rsidR="00E839AD" w:rsidRPr="00E839AD">
        <w:rPr>
          <w:rFonts w:ascii="Times New Roman" w:hAnsi="Times New Roman" w:cs="Times New Roman"/>
          <w:sz w:val="24"/>
          <w:szCs w:val="24"/>
          <w:lang w:val="en"/>
        </w:rPr>
        <w:t>difficulties at multilateral negotiations become too severe</w:t>
      </w:r>
      <w:r w:rsidR="00E839AD">
        <w:rPr>
          <w:rFonts w:ascii="Times New Roman" w:hAnsi="Times New Roman" w:cs="Times New Roman"/>
          <w:sz w:val="24"/>
          <w:szCs w:val="24"/>
          <w:lang w:val="en"/>
        </w:rPr>
        <w:t>?</w:t>
      </w:r>
      <w:r w:rsidR="00E839AD" w:rsidRPr="00E839AD">
        <w:rPr>
          <w:rFonts w:ascii="Times New Roman" w:hAnsi="Times New Roman" w:cs="Times New Roman"/>
          <w:sz w:val="24"/>
          <w:szCs w:val="24"/>
          <w:lang w:val="en"/>
        </w:rPr>
        <w:t xml:space="preserve"> </w:t>
      </w:r>
    </w:p>
    <w:p w:rsidR="00E839AD" w:rsidRPr="0007557B" w:rsidRDefault="00E839AD" w:rsidP="00C836AB">
      <w:pPr>
        <w:jc w:val="both"/>
        <w:rPr>
          <w:rFonts w:ascii="Times New Roman" w:hAnsi="Times New Roman" w:cs="Times New Roman"/>
          <w:sz w:val="24"/>
          <w:szCs w:val="24"/>
          <w:lang w:val="en"/>
        </w:rPr>
      </w:pPr>
    </w:p>
    <w:p w:rsidR="00246511" w:rsidRPr="00AF6DF9" w:rsidRDefault="00757B25" w:rsidP="00C836AB">
      <w:pPr>
        <w:jc w:val="both"/>
        <w:rPr>
          <w:rFonts w:ascii="Times New Roman" w:hAnsi="Times New Roman" w:cs="Times New Roman"/>
          <w:sz w:val="24"/>
          <w:szCs w:val="24"/>
          <w:lang w:val="en"/>
        </w:rPr>
      </w:pPr>
      <w:proofErr w:type="gramStart"/>
      <w:r>
        <w:rPr>
          <w:rFonts w:ascii="Times New Roman" w:hAnsi="Times New Roman" w:cs="Times New Roman"/>
          <w:sz w:val="24"/>
          <w:szCs w:val="24"/>
          <w:lang w:val="en"/>
        </w:rPr>
        <w:t>Table 1.</w:t>
      </w:r>
      <w:proofErr w:type="gramEnd"/>
      <w:r>
        <w:rPr>
          <w:rFonts w:ascii="Times New Roman" w:hAnsi="Times New Roman" w:cs="Times New Roman"/>
          <w:sz w:val="24"/>
          <w:szCs w:val="24"/>
          <w:lang w:val="en"/>
        </w:rPr>
        <w:t xml:space="preserve"> Link between compatibility (dependent variable) and multilateral negotiations </w:t>
      </w:r>
      <w:r w:rsidRPr="00AF6DF9">
        <w:rPr>
          <w:rFonts w:ascii="Times New Roman" w:hAnsi="Times New Roman" w:cs="Times New Roman"/>
          <w:sz w:val="24"/>
          <w:szCs w:val="24"/>
          <w:lang w:val="en"/>
        </w:rPr>
        <w:t>(new independent variable)</w:t>
      </w:r>
    </w:p>
    <w:tbl>
      <w:tblPr>
        <w:tblStyle w:val="Taulaambquadrcula"/>
        <w:tblpPr w:leftFromText="141" w:rightFromText="141" w:vertAnchor="text" w:horzAnchor="margin" w:tblpY="359"/>
        <w:tblW w:w="0" w:type="auto"/>
        <w:tblLook w:val="04A0" w:firstRow="1" w:lastRow="0" w:firstColumn="1" w:lastColumn="0" w:noHBand="0" w:noVBand="1"/>
      </w:tblPr>
      <w:tblGrid>
        <w:gridCol w:w="2881"/>
        <w:gridCol w:w="2881"/>
        <w:gridCol w:w="2882"/>
      </w:tblGrid>
      <w:tr w:rsidR="00AF6DF9" w:rsidRPr="00AF6DF9" w:rsidTr="001A7863">
        <w:tc>
          <w:tcPr>
            <w:tcW w:w="2881" w:type="dxa"/>
          </w:tcPr>
          <w:p w:rsidR="00AF6DF9" w:rsidRPr="00AF6DF9" w:rsidRDefault="00AF6DF9" w:rsidP="00C836AB">
            <w:pPr>
              <w:jc w:val="both"/>
              <w:rPr>
                <w:rFonts w:ascii="Times New Roman" w:hAnsi="Times New Roman" w:cs="Times New Roman"/>
                <w:sz w:val="24"/>
                <w:szCs w:val="24"/>
                <w:lang w:val="en"/>
              </w:rPr>
            </w:pPr>
            <w:r w:rsidRPr="00AF6DF9">
              <w:rPr>
                <w:rFonts w:ascii="Times New Roman" w:hAnsi="Times New Roman" w:cs="Times New Roman"/>
                <w:sz w:val="24"/>
                <w:szCs w:val="24"/>
                <w:lang w:val="en"/>
              </w:rPr>
              <w:t>Multilateral negotiations difficulties</w:t>
            </w:r>
          </w:p>
        </w:tc>
        <w:tc>
          <w:tcPr>
            <w:tcW w:w="2881" w:type="dxa"/>
          </w:tcPr>
          <w:p w:rsidR="00AF6DF9" w:rsidRPr="00AF6DF9" w:rsidRDefault="00AF6DF9" w:rsidP="00C836AB">
            <w:pPr>
              <w:jc w:val="both"/>
              <w:rPr>
                <w:rFonts w:ascii="Times New Roman" w:hAnsi="Times New Roman" w:cs="Times New Roman"/>
                <w:sz w:val="24"/>
                <w:szCs w:val="24"/>
                <w:lang w:val="en"/>
              </w:rPr>
            </w:pPr>
            <w:r w:rsidRPr="00AF6DF9">
              <w:rPr>
                <w:rFonts w:ascii="Times New Roman" w:hAnsi="Times New Roman" w:cs="Times New Roman"/>
                <w:sz w:val="24"/>
                <w:szCs w:val="24"/>
                <w:lang w:val="en"/>
              </w:rPr>
              <w:t>NOT too severe difficulties</w:t>
            </w:r>
          </w:p>
        </w:tc>
        <w:tc>
          <w:tcPr>
            <w:tcW w:w="2882" w:type="dxa"/>
          </w:tcPr>
          <w:p w:rsidR="00AF6DF9" w:rsidRPr="00AF6DF9" w:rsidRDefault="00AF6DF9" w:rsidP="00C836AB">
            <w:pPr>
              <w:jc w:val="both"/>
              <w:rPr>
                <w:rFonts w:ascii="Times New Roman" w:hAnsi="Times New Roman" w:cs="Times New Roman"/>
                <w:sz w:val="24"/>
                <w:szCs w:val="24"/>
                <w:lang w:val="en"/>
              </w:rPr>
            </w:pPr>
            <w:r w:rsidRPr="00AF6DF9">
              <w:rPr>
                <w:rFonts w:ascii="Times New Roman" w:hAnsi="Times New Roman" w:cs="Times New Roman"/>
                <w:sz w:val="24"/>
                <w:szCs w:val="24"/>
                <w:lang w:val="en"/>
              </w:rPr>
              <w:t>Too severe difficulties</w:t>
            </w:r>
          </w:p>
        </w:tc>
      </w:tr>
      <w:tr w:rsidR="00AF6DF9" w:rsidRPr="00D3155A" w:rsidTr="001A7863">
        <w:tc>
          <w:tcPr>
            <w:tcW w:w="2881" w:type="dxa"/>
          </w:tcPr>
          <w:p w:rsidR="00AF6DF9" w:rsidRDefault="00AF6DF9"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Incentive to bilateral agreements</w:t>
            </w:r>
          </w:p>
        </w:tc>
        <w:tc>
          <w:tcPr>
            <w:tcW w:w="2881" w:type="dxa"/>
          </w:tcPr>
          <w:p w:rsidR="00AF6DF9" w:rsidRDefault="00AF6DF9" w:rsidP="00C836AB">
            <w:pPr>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Bilaterals</w:t>
            </w:r>
            <w:proofErr w:type="spellEnd"/>
            <w:r>
              <w:rPr>
                <w:rFonts w:ascii="Times New Roman" w:hAnsi="Times New Roman" w:cs="Times New Roman"/>
                <w:sz w:val="24"/>
                <w:szCs w:val="24"/>
                <w:lang w:val="en"/>
              </w:rPr>
              <w:t xml:space="preserve"> as building blocks for multilateralism</w:t>
            </w:r>
          </w:p>
        </w:tc>
        <w:tc>
          <w:tcPr>
            <w:tcW w:w="2882" w:type="dxa"/>
          </w:tcPr>
          <w:p w:rsidR="00AF6DF9" w:rsidRDefault="00AF6DF9" w:rsidP="00C836AB">
            <w:pPr>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Bilaterals</w:t>
            </w:r>
            <w:proofErr w:type="spellEnd"/>
            <w:r>
              <w:rPr>
                <w:rFonts w:ascii="Times New Roman" w:hAnsi="Times New Roman" w:cs="Times New Roman"/>
                <w:sz w:val="24"/>
                <w:szCs w:val="24"/>
                <w:lang w:val="en"/>
              </w:rPr>
              <w:t xml:space="preserve"> as stumbling blocks to multilateralism</w:t>
            </w:r>
          </w:p>
        </w:tc>
      </w:tr>
    </w:tbl>
    <w:p w:rsidR="00246511" w:rsidRDefault="00246511" w:rsidP="00C836AB">
      <w:pPr>
        <w:jc w:val="both"/>
        <w:rPr>
          <w:rFonts w:ascii="Times New Roman" w:hAnsi="Times New Roman" w:cs="Times New Roman"/>
          <w:sz w:val="24"/>
          <w:szCs w:val="24"/>
          <w:lang w:val="en"/>
        </w:rPr>
      </w:pPr>
    </w:p>
    <w:p w:rsidR="002A560F" w:rsidRPr="002A560F" w:rsidRDefault="002A560F" w:rsidP="00C836AB">
      <w:pPr>
        <w:jc w:val="both"/>
        <w:rPr>
          <w:rFonts w:ascii="Times New Roman" w:hAnsi="Times New Roman" w:cs="Times New Roman"/>
          <w:sz w:val="24"/>
          <w:szCs w:val="24"/>
          <w:lang w:val="ca-ES"/>
        </w:rPr>
      </w:pPr>
      <w:proofErr w:type="spellStart"/>
      <w:r w:rsidRPr="002A560F">
        <w:rPr>
          <w:rFonts w:ascii="Times New Roman" w:hAnsi="Times New Roman" w:cs="Times New Roman"/>
          <w:i/>
          <w:iCs/>
          <w:sz w:val="24"/>
          <w:szCs w:val="24"/>
          <w:lang w:val="ca-ES"/>
        </w:rPr>
        <w:t>Equation</w:t>
      </w:r>
      <w:proofErr w:type="spellEnd"/>
      <w:r w:rsidRPr="002A560F">
        <w:rPr>
          <w:rFonts w:ascii="Times New Roman" w:hAnsi="Times New Roman" w:cs="Times New Roman"/>
          <w:i/>
          <w:iCs/>
          <w:sz w:val="24"/>
          <w:szCs w:val="24"/>
          <w:lang w:val="ca-ES"/>
        </w:rPr>
        <w:t xml:space="preserve"> 2</w:t>
      </w:r>
      <w:r>
        <w:rPr>
          <w:rFonts w:ascii="Times New Roman" w:hAnsi="Times New Roman" w:cs="Times New Roman"/>
          <w:i/>
          <w:iCs/>
          <w:sz w:val="24"/>
          <w:szCs w:val="24"/>
          <w:lang w:val="ca-ES"/>
        </w:rPr>
        <w:t>a</w:t>
      </w:r>
    </w:p>
    <w:p w:rsidR="002A560F" w:rsidRPr="002A560F" w:rsidRDefault="002A560F" w:rsidP="00C836AB">
      <w:pPr>
        <w:jc w:val="both"/>
        <w:rPr>
          <w:rFonts w:ascii="Times New Roman" w:hAnsi="Times New Roman" w:cs="Times New Roman"/>
          <w:sz w:val="24"/>
          <w:szCs w:val="24"/>
          <w:lang w:val="ca-ES"/>
        </w:rPr>
      </w:pPr>
      <w:r w:rsidRPr="002A560F">
        <w:rPr>
          <w:rFonts w:ascii="Times New Roman" w:hAnsi="Times New Roman" w:cs="Times New Roman"/>
          <w:i/>
          <w:iCs/>
          <w:sz w:val="24"/>
          <w:szCs w:val="24"/>
          <w:lang w:val="ca-ES"/>
        </w:rPr>
        <w:t xml:space="preserve">EU bilateral </w:t>
      </w:r>
      <w:proofErr w:type="spellStart"/>
      <w:r w:rsidRPr="002A560F">
        <w:rPr>
          <w:rFonts w:ascii="Times New Roman" w:hAnsi="Times New Roman" w:cs="Times New Roman"/>
          <w:i/>
          <w:iCs/>
          <w:sz w:val="24"/>
          <w:szCs w:val="24"/>
          <w:lang w:val="ca-ES"/>
        </w:rPr>
        <w:t>strategy</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and</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efficient</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multilateralism</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compatibility</w:t>
      </w:r>
      <w:proofErr w:type="spellEnd"/>
      <w:r w:rsidRPr="002A560F">
        <w:rPr>
          <w:rFonts w:ascii="Times New Roman" w:hAnsi="Times New Roman" w:cs="Times New Roman"/>
          <w:i/>
          <w:iCs/>
          <w:sz w:val="24"/>
          <w:szCs w:val="24"/>
          <w:lang w:val="ca-ES"/>
        </w:rPr>
        <w:t xml:space="preserve"> = </w:t>
      </w:r>
      <w:proofErr w:type="spellStart"/>
      <w:r w:rsidRPr="002A560F">
        <w:rPr>
          <w:rFonts w:ascii="Times New Roman" w:hAnsi="Times New Roman" w:cs="Times New Roman"/>
          <w:i/>
          <w:iCs/>
          <w:sz w:val="24"/>
          <w:szCs w:val="24"/>
          <w:lang w:val="ca-ES"/>
        </w:rPr>
        <w:t>potential</w:t>
      </w:r>
      <w:proofErr w:type="spellEnd"/>
      <w:r w:rsidRPr="002A560F">
        <w:rPr>
          <w:rFonts w:ascii="Times New Roman" w:hAnsi="Times New Roman" w:cs="Times New Roman"/>
          <w:i/>
          <w:iCs/>
          <w:sz w:val="24"/>
          <w:szCs w:val="24"/>
          <w:lang w:val="ca-ES"/>
        </w:rPr>
        <w:t xml:space="preserve"> for </w:t>
      </w:r>
      <w:proofErr w:type="spellStart"/>
      <w:r w:rsidRPr="002A560F">
        <w:rPr>
          <w:rFonts w:ascii="Times New Roman" w:hAnsi="Times New Roman" w:cs="Times New Roman"/>
          <w:i/>
          <w:iCs/>
          <w:sz w:val="24"/>
          <w:szCs w:val="24"/>
          <w:lang w:val="ca-ES"/>
        </w:rPr>
        <w:t>multilateralization</w:t>
      </w:r>
      <w:proofErr w:type="spellEnd"/>
      <w:r w:rsidRPr="002A560F">
        <w:rPr>
          <w:rFonts w:ascii="Times New Roman" w:hAnsi="Times New Roman" w:cs="Times New Roman"/>
          <w:i/>
          <w:iCs/>
          <w:sz w:val="24"/>
          <w:szCs w:val="24"/>
          <w:lang w:val="ca-ES"/>
        </w:rPr>
        <w:t xml:space="preserve"> of EU regional </w:t>
      </w:r>
      <w:proofErr w:type="spellStart"/>
      <w:r w:rsidRPr="002A560F">
        <w:rPr>
          <w:rFonts w:ascii="Times New Roman" w:hAnsi="Times New Roman" w:cs="Times New Roman"/>
          <w:i/>
          <w:iCs/>
          <w:sz w:val="24"/>
          <w:szCs w:val="24"/>
          <w:lang w:val="ca-ES"/>
        </w:rPr>
        <w:t>trade</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agreements</w:t>
      </w:r>
      <w:proofErr w:type="spellEnd"/>
      <w:r w:rsidRPr="002A560F">
        <w:rPr>
          <w:rFonts w:ascii="Times New Roman" w:hAnsi="Times New Roman" w:cs="Times New Roman"/>
          <w:i/>
          <w:iCs/>
          <w:sz w:val="24"/>
          <w:szCs w:val="24"/>
          <w:lang w:val="ca-ES"/>
        </w:rPr>
        <w:t xml:space="preserve"> + </w:t>
      </w:r>
      <w:proofErr w:type="spellStart"/>
      <w:r w:rsidRPr="002A560F">
        <w:rPr>
          <w:rFonts w:ascii="Times New Roman" w:hAnsi="Times New Roman" w:cs="Times New Roman"/>
          <w:i/>
          <w:iCs/>
          <w:sz w:val="24"/>
          <w:szCs w:val="24"/>
          <w:lang w:val="ca-ES"/>
        </w:rPr>
        <w:t>difficulties</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severity</w:t>
      </w:r>
      <w:proofErr w:type="spellEnd"/>
      <w:r w:rsidRPr="002A560F">
        <w:rPr>
          <w:rFonts w:ascii="Times New Roman" w:hAnsi="Times New Roman" w:cs="Times New Roman"/>
          <w:i/>
          <w:iCs/>
          <w:sz w:val="24"/>
          <w:szCs w:val="24"/>
          <w:lang w:val="ca-ES"/>
        </w:rPr>
        <w:t xml:space="preserve"> in </w:t>
      </w:r>
      <w:proofErr w:type="spellStart"/>
      <w:r w:rsidRPr="002A560F">
        <w:rPr>
          <w:rFonts w:ascii="Times New Roman" w:hAnsi="Times New Roman" w:cs="Times New Roman"/>
          <w:i/>
          <w:iCs/>
          <w:sz w:val="24"/>
          <w:szCs w:val="24"/>
          <w:lang w:val="ca-ES"/>
        </w:rPr>
        <w:t>the</w:t>
      </w:r>
      <w:proofErr w:type="spellEnd"/>
      <w:r w:rsidRPr="002A560F">
        <w:rPr>
          <w:rFonts w:ascii="Times New Roman" w:hAnsi="Times New Roman" w:cs="Times New Roman"/>
          <w:i/>
          <w:iCs/>
          <w:sz w:val="24"/>
          <w:szCs w:val="24"/>
          <w:lang w:val="ca-ES"/>
        </w:rPr>
        <w:t xml:space="preserve"> Doha Round (</w:t>
      </w:r>
      <w:proofErr w:type="spellStart"/>
      <w:r w:rsidRPr="002A560F">
        <w:rPr>
          <w:rFonts w:ascii="Times New Roman" w:hAnsi="Times New Roman" w:cs="Times New Roman"/>
          <w:i/>
          <w:iCs/>
          <w:sz w:val="24"/>
          <w:szCs w:val="24"/>
          <w:lang w:val="ca-ES"/>
        </w:rPr>
        <w:t>too</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severe</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difficulties</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go</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against</w:t>
      </w:r>
      <w:proofErr w:type="spellEnd"/>
      <w:r w:rsidRPr="002A560F">
        <w:rPr>
          <w:rFonts w:ascii="Times New Roman" w:hAnsi="Times New Roman" w:cs="Times New Roman"/>
          <w:i/>
          <w:iCs/>
          <w:sz w:val="24"/>
          <w:szCs w:val="24"/>
          <w:lang w:val="ca-ES"/>
        </w:rPr>
        <w:t xml:space="preserve"> </w:t>
      </w:r>
      <w:proofErr w:type="spellStart"/>
      <w:r w:rsidRPr="002A560F">
        <w:rPr>
          <w:rFonts w:ascii="Times New Roman" w:hAnsi="Times New Roman" w:cs="Times New Roman"/>
          <w:i/>
          <w:iCs/>
          <w:sz w:val="24"/>
          <w:szCs w:val="24"/>
          <w:lang w:val="ca-ES"/>
        </w:rPr>
        <w:t>compatibility</w:t>
      </w:r>
      <w:proofErr w:type="spellEnd"/>
      <w:r w:rsidRPr="002A560F">
        <w:rPr>
          <w:rFonts w:ascii="Times New Roman" w:hAnsi="Times New Roman" w:cs="Times New Roman"/>
          <w:i/>
          <w:iCs/>
          <w:sz w:val="24"/>
          <w:szCs w:val="24"/>
          <w:lang w:val="ca-ES"/>
        </w:rPr>
        <w:t xml:space="preserve">) </w:t>
      </w:r>
    </w:p>
    <w:p w:rsidR="002A560F" w:rsidRDefault="002A560F" w:rsidP="00C836AB">
      <w:pPr>
        <w:jc w:val="both"/>
        <w:rPr>
          <w:rFonts w:ascii="Times New Roman" w:hAnsi="Times New Roman" w:cs="Times New Roman"/>
          <w:color w:val="FF0000"/>
          <w:sz w:val="24"/>
          <w:szCs w:val="24"/>
          <w:lang w:val="en"/>
        </w:rPr>
      </w:pPr>
    </w:p>
    <w:p w:rsidR="00B419E0" w:rsidRPr="00D34F56" w:rsidRDefault="00B419E0" w:rsidP="00C836AB">
      <w:pPr>
        <w:jc w:val="both"/>
        <w:rPr>
          <w:rFonts w:ascii="Times New Roman" w:hAnsi="Times New Roman" w:cs="Times New Roman"/>
          <w:b/>
          <w:sz w:val="24"/>
          <w:szCs w:val="24"/>
          <w:lang w:val="en"/>
        </w:rPr>
      </w:pPr>
      <w:r w:rsidRPr="00D34F56">
        <w:rPr>
          <w:rFonts w:ascii="Times New Roman" w:hAnsi="Times New Roman" w:cs="Times New Roman"/>
          <w:b/>
          <w:sz w:val="24"/>
          <w:szCs w:val="24"/>
          <w:lang w:val="en"/>
        </w:rPr>
        <w:t xml:space="preserve">3.2. Defining </w:t>
      </w:r>
      <w:r w:rsidR="00D315BF" w:rsidRPr="00D34F56">
        <w:rPr>
          <w:rFonts w:ascii="Times New Roman" w:hAnsi="Times New Roman" w:cs="Times New Roman"/>
          <w:b/>
          <w:sz w:val="24"/>
          <w:szCs w:val="24"/>
          <w:lang w:val="en"/>
        </w:rPr>
        <w:t xml:space="preserve">and measuring </w:t>
      </w:r>
      <w:r w:rsidR="00917718" w:rsidRPr="00D34F56">
        <w:rPr>
          <w:rFonts w:ascii="Times New Roman" w:hAnsi="Times New Roman" w:cs="Times New Roman"/>
          <w:b/>
          <w:sz w:val="24"/>
          <w:szCs w:val="24"/>
          <w:lang w:val="en"/>
        </w:rPr>
        <w:t xml:space="preserve">the new </w:t>
      </w:r>
      <w:r w:rsidRPr="00D34F56">
        <w:rPr>
          <w:rFonts w:ascii="Times New Roman" w:hAnsi="Times New Roman" w:cs="Times New Roman"/>
          <w:b/>
          <w:sz w:val="24"/>
          <w:szCs w:val="24"/>
          <w:lang w:val="en"/>
        </w:rPr>
        <w:t>independent variable</w:t>
      </w:r>
    </w:p>
    <w:p w:rsidR="00555EF8" w:rsidRPr="00555EF8" w:rsidRDefault="00592B7E"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T</w:t>
      </w:r>
      <w:r w:rsidRPr="00592B7E">
        <w:rPr>
          <w:rFonts w:ascii="Times New Roman" w:hAnsi="Times New Roman" w:cs="Times New Roman"/>
          <w:sz w:val="24"/>
          <w:szCs w:val="24"/>
          <w:lang w:val="en"/>
        </w:rPr>
        <w:t>he literature does not provide for a definition of what should be considered too severe multilateral negotiations difficulties</w:t>
      </w:r>
      <w:r>
        <w:rPr>
          <w:rFonts w:ascii="Times New Roman" w:hAnsi="Times New Roman" w:cs="Times New Roman"/>
          <w:sz w:val="24"/>
          <w:szCs w:val="24"/>
          <w:lang w:val="en"/>
        </w:rPr>
        <w:t xml:space="preserve">. Nevertheless, one would expect these difficulties to be </w:t>
      </w:r>
      <w:r w:rsidR="005340FA">
        <w:rPr>
          <w:rFonts w:ascii="Times New Roman" w:hAnsi="Times New Roman" w:cs="Times New Roman"/>
          <w:sz w:val="24"/>
          <w:szCs w:val="24"/>
          <w:lang w:val="en"/>
        </w:rPr>
        <w:t xml:space="preserve">at least </w:t>
      </w:r>
      <w:r>
        <w:rPr>
          <w:rFonts w:ascii="Times New Roman" w:hAnsi="Times New Roman" w:cs="Times New Roman"/>
          <w:sz w:val="24"/>
          <w:szCs w:val="24"/>
          <w:lang w:val="en"/>
        </w:rPr>
        <w:t>apparent, that is, to be recognized by observers as especially severe</w:t>
      </w:r>
      <w:r w:rsidR="004254A4">
        <w:rPr>
          <w:rFonts w:ascii="Times New Roman" w:hAnsi="Times New Roman" w:cs="Times New Roman"/>
          <w:sz w:val="24"/>
          <w:szCs w:val="24"/>
          <w:lang w:val="en"/>
        </w:rPr>
        <w:t>, that is, as preventing any possibility of agreement in the short or even medium term</w:t>
      </w:r>
      <w:r>
        <w:rPr>
          <w:rFonts w:ascii="Times New Roman" w:hAnsi="Times New Roman" w:cs="Times New Roman"/>
          <w:sz w:val="24"/>
          <w:szCs w:val="24"/>
          <w:lang w:val="en"/>
        </w:rPr>
        <w:t xml:space="preserve">. In the DR case we can find such a period after </w:t>
      </w:r>
      <w:r w:rsidR="00DD39F5">
        <w:rPr>
          <w:rFonts w:ascii="Times New Roman" w:hAnsi="Times New Roman" w:cs="Times New Roman"/>
          <w:sz w:val="24"/>
          <w:szCs w:val="24"/>
          <w:lang w:val="en"/>
        </w:rPr>
        <w:t xml:space="preserve">the </w:t>
      </w:r>
      <w:r>
        <w:rPr>
          <w:rFonts w:ascii="Times New Roman" w:hAnsi="Times New Roman" w:cs="Times New Roman"/>
          <w:sz w:val="24"/>
          <w:szCs w:val="24"/>
          <w:lang w:val="en"/>
        </w:rPr>
        <w:t>2008</w:t>
      </w:r>
      <w:r w:rsidR="00DD39F5">
        <w:rPr>
          <w:rFonts w:ascii="Times New Roman" w:hAnsi="Times New Roman" w:cs="Times New Roman"/>
          <w:sz w:val="24"/>
          <w:szCs w:val="24"/>
          <w:lang w:val="en"/>
        </w:rPr>
        <w:t xml:space="preserve"> informal ministerial meeting –“the most serious attempt to date to bring the negotiations towards finalization” (</w:t>
      </w:r>
      <w:proofErr w:type="spellStart"/>
      <w:r w:rsidR="00DD39F5">
        <w:rPr>
          <w:rFonts w:ascii="Times New Roman" w:hAnsi="Times New Roman" w:cs="Times New Roman"/>
          <w:sz w:val="24"/>
          <w:szCs w:val="24"/>
          <w:lang w:val="en"/>
        </w:rPr>
        <w:t>Ahnlid</w:t>
      </w:r>
      <w:proofErr w:type="spellEnd"/>
      <w:r w:rsidR="00DD39F5">
        <w:rPr>
          <w:rFonts w:ascii="Times New Roman" w:hAnsi="Times New Roman" w:cs="Times New Roman"/>
          <w:sz w:val="24"/>
          <w:szCs w:val="24"/>
          <w:lang w:val="en"/>
        </w:rPr>
        <w:t xml:space="preserve"> and </w:t>
      </w:r>
      <w:proofErr w:type="spellStart"/>
      <w:r w:rsidR="00DD39F5">
        <w:rPr>
          <w:rFonts w:ascii="Times New Roman" w:hAnsi="Times New Roman" w:cs="Times New Roman"/>
          <w:sz w:val="24"/>
          <w:szCs w:val="24"/>
          <w:lang w:val="en"/>
        </w:rPr>
        <w:t>Elgström</w:t>
      </w:r>
      <w:proofErr w:type="spellEnd"/>
      <w:r w:rsidR="00DD39F5">
        <w:rPr>
          <w:rFonts w:ascii="Times New Roman" w:hAnsi="Times New Roman" w:cs="Times New Roman"/>
          <w:sz w:val="24"/>
          <w:szCs w:val="24"/>
          <w:lang w:val="en"/>
        </w:rPr>
        <w:t>, 2014: 81)</w:t>
      </w:r>
      <w:r>
        <w:rPr>
          <w:rFonts w:ascii="Times New Roman" w:hAnsi="Times New Roman" w:cs="Times New Roman"/>
          <w:sz w:val="24"/>
          <w:szCs w:val="24"/>
          <w:lang w:val="en"/>
        </w:rPr>
        <w:t xml:space="preserve">. </w:t>
      </w:r>
      <w:r w:rsidR="00555EF8" w:rsidRPr="00555EF8">
        <w:rPr>
          <w:rFonts w:ascii="Times New Roman" w:hAnsi="Times New Roman" w:cs="Times New Roman"/>
          <w:sz w:val="24"/>
          <w:szCs w:val="24"/>
          <w:lang w:val="en"/>
        </w:rPr>
        <w:t xml:space="preserve">Though the DR had been declared dead by some analysts at different times, it became </w:t>
      </w:r>
      <w:proofErr w:type="spellStart"/>
      <w:r w:rsidR="00555EF8" w:rsidRPr="00555EF8">
        <w:rPr>
          <w:rFonts w:ascii="Times New Roman" w:hAnsi="Times New Roman" w:cs="Times New Roman"/>
          <w:i/>
          <w:sz w:val="24"/>
          <w:szCs w:val="24"/>
          <w:lang w:val="en"/>
        </w:rPr>
        <w:t>vox</w:t>
      </w:r>
      <w:proofErr w:type="spellEnd"/>
      <w:r w:rsidR="00555EF8" w:rsidRPr="00555EF8">
        <w:rPr>
          <w:rFonts w:ascii="Times New Roman" w:hAnsi="Times New Roman" w:cs="Times New Roman"/>
          <w:i/>
          <w:sz w:val="24"/>
          <w:szCs w:val="24"/>
          <w:lang w:val="en"/>
        </w:rPr>
        <w:t xml:space="preserve"> </w:t>
      </w:r>
      <w:proofErr w:type="spellStart"/>
      <w:r w:rsidR="00555EF8" w:rsidRPr="00555EF8">
        <w:rPr>
          <w:rFonts w:ascii="Times New Roman" w:hAnsi="Times New Roman" w:cs="Times New Roman"/>
          <w:i/>
          <w:sz w:val="24"/>
          <w:szCs w:val="24"/>
          <w:lang w:val="en"/>
        </w:rPr>
        <w:t>populi</w:t>
      </w:r>
      <w:proofErr w:type="spellEnd"/>
      <w:r w:rsidR="00555EF8" w:rsidRPr="00555EF8">
        <w:rPr>
          <w:rFonts w:ascii="Times New Roman" w:hAnsi="Times New Roman" w:cs="Times New Roman"/>
          <w:sz w:val="24"/>
          <w:szCs w:val="24"/>
          <w:lang w:val="en"/>
        </w:rPr>
        <w:t xml:space="preserve"> after 2008 (</w:t>
      </w:r>
      <w:proofErr w:type="spellStart"/>
      <w:r w:rsidR="00555EF8" w:rsidRPr="00555EF8">
        <w:rPr>
          <w:rFonts w:ascii="Times New Roman" w:hAnsi="Times New Roman" w:cs="Times New Roman"/>
          <w:sz w:val="24"/>
          <w:szCs w:val="24"/>
          <w:lang w:val="en"/>
        </w:rPr>
        <w:t>Narlikar</w:t>
      </w:r>
      <w:proofErr w:type="spellEnd"/>
      <w:r w:rsidR="00555EF8" w:rsidRPr="00555EF8">
        <w:rPr>
          <w:rFonts w:ascii="Times New Roman" w:hAnsi="Times New Roman" w:cs="Times New Roman"/>
          <w:sz w:val="24"/>
          <w:szCs w:val="24"/>
          <w:lang w:val="en"/>
        </w:rPr>
        <w:t xml:space="preserve">, 2012; Schwab, 2011). In fact, </w:t>
      </w:r>
      <w:r w:rsidR="00555EF8" w:rsidRPr="00555EF8">
        <w:rPr>
          <w:rFonts w:ascii="Times New Roman" w:hAnsi="Times New Roman" w:cs="Times New Roman"/>
          <w:sz w:val="24"/>
          <w:szCs w:val="24"/>
          <w:lang w:val="en"/>
        </w:rPr>
        <w:lastRenderedPageBreak/>
        <w:t xml:space="preserve">according to </w:t>
      </w:r>
      <w:r w:rsidR="00555EF8" w:rsidRPr="00555EF8">
        <w:rPr>
          <w:rFonts w:ascii="Times New Roman" w:hAnsi="Times New Roman" w:cs="Times New Roman"/>
          <w:i/>
          <w:sz w:val="24"/>
          <w:szCs w:val="24"/>
          <w:lang w:val="en"/>
        </w:rPr>
        <w:t>Bridges Weekly</w:t>
      </w:r>
      <w:r w:rsidR="00555EF8" w:rsidRPr="00555EF8">
        <w:rPr>
          <w:rFonts w:ascii="Times New Roman" w:hAnsi="Times New Roman" w:cs="Times New Roman"/>
          <w:sz w:val="24"/>
          <w:szCs w:val="24"/>
          <w:lang w:val="en"/>
        </w:rPr>
        <w:t xml:space="preserve"> of 11 January 2012, the Ministerial Meeting of the WTO in December 2011 formally concluded that DR was in a "stalemate". Although the financial crisis that broke out in 2008 did not challenge the idea that trade should be as free as possible (Subramanian and Kessler, 2013; De Ville and Orbie, 2011), the difficulty in reaching agreements at the multilateral level put into question the ability of the WTO to be effective (</w:t>
      </w:r>
      <w:proofErr w:type="spellStart"/>
      <w:r w:rsidR="00555EF8" w:rsidRPr="00555EF8">
        <w:rPr>
          <w:rFonts w:ascii="Times New Roman" w:hAnsi="Times New Roman" w:cs="Times New Roman"/>
          <w:sz w:val="24"/>
          <w:szCs w:val="24"/>
          <w:lang w:val="en"/>
        </w:rPr>
        <w:t>Narlikar</w:t>
      </w:r>
      <w:proofErr w:type="spellEnd"/>
      <w:r w:rsidR="00555EF8" w:rsidRPr="00555EF8">
        <w:rPr>
          <w:rFonts w:ascii="Times New Roman" w:hAnsi="Times New Roman" w:cs="Times New Roman"/>
          <w:sz w:val="24"/>
          <w:szCs w:val="24"/>
          <w:lang w:val="en"/>
        </w:rPr>
        <w:t xml:space="preserve">, 2012; </w:t>
      </w:r>
      <w:proofErr w:type="spellStart"/>
      <w:r w:rsidR="00555EF8" w:rsidRPr="00555EF8">
        <w:rPr>
          <w:rFonts w:ascii="Times New Roman" w:hAnsi="Times New Roman" w:cs="Times New Roman"/>
          <w:sz w:val="24"/>
          <w:szCs w:val="24"/>
          <w:lang w:val="en"/>
        </w:rPr>
        <w:t>Bhagwati</w:t>
      </w:r>
      <w:proofErr w:type="spellEnd"/>
      <w:r w:rsidR="00555EF8" w:rsidRPr="00555EF8">
        <w:rPr>
          <w:rFonts w:ascii="Times New Roman" w:hAnsi="Times New Roman" w:cs="Times New Roman"/>
          <w:sz w:val="24"/>
          <w:szCs w:val="24"/>
          <w:lang w:val="en"/>
        </w:rPr>
        <w:t>, 2008). It may even be argued that the difficulties to enact the mini-package agreement achieved in December 2013 in the Bali Ministerial Meeting have not done much good to restore the WTO image</w:t>
      </w:r>
      <w:r w:rsidR="00D34F56">
        <w:rPr>
          <w:rFonts w:ascii="Times New Roman" w:hAnsi="Times New Roman" w:cs="Times New Roman"/>
          <w:sz w:val="24"/>
          <w:szCs w:val="24"/>
          <w:lang w:val="en"/>
        </w:rPr>
        <w:t xml:space="preserve"> (</w:t>
      </w:r>
      <w:proofErr w:type="spellStart"/>
      <w:r w:rsidR="00D34F56">
        <w:rPr>
          <w:rFonts w:ascii="Times New Roman" w:hAnsi="Times New Roman" w:cs="Times New Roman"/>
          <w:sz w:val="24"/>
          <w:szCs w:val="24"/>
          <w:lang w:val="en"/>
        </w:rPr>
        <w:t>Herwig</w:t>
      </w:r>
      <w:proofErr w:type="spellEnd"/>
      <w:r w:rsidR="00D34F56">
        <w:rPr>
          <w:rFonts w:ascii="Times New Roman" w:hAnsi="Times New Roman" w:cs="Times New Roman"/>
          <w:sz w:val="24"/>
          <w:szCs w:val="24"/>
          <w:lang w:val="en"/>
        </w:rPr>
        <w:t>, 2013)</w:t>
      </w:r>
      <w:r w:rsidR="00555EF8" w:rsidRPr="00555EF8">
        <w:rPr>
          <w:rFonts w:ascii="Times New Roman" w:hAnsi="Times New Roman" w:cs="Times New Roman"/>
          <w:sz w:val="24"/>
          <w:szCs w:val="24"/>
          <w:lang w:val="en"/>
        </w:rPr>
        <w:t xml:space="preserve">.  Can we </w:t>
      </w:r>
      <w:r>
        <w:rPr>
          <w:rFonts w:ascii="Times New Roman" w:hAnsi="Times New Roman" w:cs="Times New Roman"/>
          <w:sz w:val="24"/>
          <w:szCs w:val="24"/>
          <w:lang w:val="en"/>
        </w:rPr>
        <w:t xml:space="preserve">therefore </w:t>
      </w:r>
      <w:r w:rsidR="00555EF8" w:rsidRPr="00555EF8">
        <w:rPr>
          <w:rFonts w:ascii="Times New Roman" w:hAnsi="Times New Roman" w:cs="Times New Roman"/>
          <w:sz w:val="24"/>
          <w:szCs w:val="24"/>
          <w:lang w:val="en"/>
        </w:rPr>
        <w:t xml:space="preserve">consider that since 2009 and at least up until 2013 the DR negotiations difficulties </w:t>
      </w:r>
      <w:r w:rsidR="009124E9">
        <w:rPr>
          <w:rFonts w:ascii="Times New Roman" w:hAnsi="Times New Roman" w:cs="Times New Roman"/>
          <w:sz w:val="24"/>
          <w:szCs w:val="24"/>
          <w:lang w:val="en"/>
        </w:rPr>
        <w:t>were</w:t>
      </w:r>
      <w:r w:rsidR="00555EF8" w:rsidRPr="00555EF8">
        <w:rPr>
          <w:rFonts w:ascii="Times New Roman" w:hAnsi="Times New Roman" w:cs="Times New Roman"/>
          <w:sz w:val="24"/>
          <w:szCs w:val="24"/>
          <w:lang w:val="en"/>
        </w:rPr>
        <w:t xml:space="preserve"> too severe? </w:t>
      </w:r>
    </w:p>
    <w:p w:rsidR="00C76C72" w:rsidRDefault="005340FA"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The answer to this key question is not as straightforward as one may think because stalemates in multilateral negotiations are not so rare</w:t>
      </w:r>
      <w:r w:rsidR="00E658BF">
        <w:rPr>
          <w:rFonts w:ascii="Times New Roman" w:hAnsi="Times New Roman" w:cs="Times New Roman"/>
          <w:sz w:val="24"/>
          <w:szCs w:val="24"/>
          <w:lang w:val="en"/>
        </w:rPr>
        <w:t xml:space="preserve"> (</w:t>
      </w:r>
      <w:proofErr w:type="spellStart"/>
      <w:r w:rsidR="00E658BF">
        <w:rPr>
          <w:rFonts w:ascii="Times New Roman" w:hAnsi="Times New Roman" w:cs="Times New Roman"/>
          <w:sz w:val="24"/>
          <w:szCs w:val="24"/>
          <w:lang w:val="en"/>
        </w:rPr>
        <w:t>Herwig</w:t>
      </w:r>
      <w:proofErr w:type="spellEnd"/>
      <w:r w:rsidR="00E658BF">
        <w:rPr>
          <w:rFonts w:ascii="Times New Roman" w:hAnsi="Times New Roman" w:cs="Times New Roman"/>
          <w:sz w:val="24"/>
          <w:szCs w:val="24"/>
          <w:lang w:val="en"/>
        </w:rPr>
        <w:t>, 2013)</w:t>
      </w:r>
      <w:r>
        <w:rPr>
          <w:rFonts w:ascii="Times New Roman" w:hAnsi="Times New Roman" w:cs="Times New Roman"/>
          <w:sz w:val="24"/>
          <w:szCs w:val="24"/>
          <w:lang w:val="en"/>
        </w:rPr>
        <w:t xml:space="preserve">. </w:t>
      </w:r>
      <w:r w:rsidR="00592B7E">
        <w:rPr>
          <w:rFonts w:ascii="Times New Roman" w:hAnsi="Times New Roman" w:cs="Times New Roman"/>
          <w:sz w:val="24"/>
          <w:szCs w:val="24"/>
          <w:lang w:val="en"/>
        </w:rPr>
        <w:t>As</w:t>
      </w:r>
      <w:r w:rsidR="00177312">
        <w:rPr>
          <w:rFonts w:ascii="Times New Roman" w:hAnsi="Times New Roman" w:cs="Times New Roman"/>
          <w:sz w:val="24"/>
          <w:szCs w:val="24"/>
          <w:lang w:val="en"/>
        </w:rPr>
        <w:t xml:space="preserve"> most</w:t>
      </w:r>
      <w:r w:rsidR="00177312" w:rsidRPr="00177312">
        <w:rPr>
          <w:rFonts w:ascii="Times New Roman" w:hAnsi="Times New Roman" w:cs="Times New Roman"/>
          <w:sz w:val="24"/>
          <w:szCs w:val="24"/>
          <w:lang w:val="en"/>
        </w:rPr>
        <w:t xml:space="preserve"> </w:t>
      </w:r>
      <w:r w:rsidR="00845232">
        <w:rPr>
          <w:rFonts w:ascii="Times New Roman" w:hAnsi="Times New Roman" w:cs="Times New Roman"/>
          <w:sz w:val="24"/>
          <w:szCs w:val="24"/>
          <w:lang w:val="en"/>
        </w:rPr>
        <w:t>GATT</w:t>
      </w:r>
      <w:r w:rsidR="00177312" w:rsidRPr="00177312">
        <w:rPr>
          <w:rFonts w:ascii="Times New Roman" w:hAnsi="Times New Roman" w:cs="Times New Roman"/>
          <w:sz w:val="24"/>
          <w:szCs w:val="24"/>
          <w:lang w:val="en"/>
        </w:rPr>
        <w:t xml:space="preserve"> rounds have tended to be declared in danger at different points in time and have finally led to agreement</w:t>
      </w:r>
      <w:r w:rsidR="00177312">
        <w:rPr>
          <w:rFonts w:ascii="Times New Roman" w:hAnsi="Times New Roman" w:cs="Times New Roman"/>
          <w:sz w:val="24"/>
          <w:szCs w:val="24"/>
          <w:lang w:val="en"/>
        </w:rPr>
        <w:t xml:space="preserve"> </w:t>
      </w:r>
      <w:r w:rsidR="00177312" w:rsidRPr="00177312">
        <w:rPr>
          <w:rFonts w:ascii="Times New Roman" w:hAnsi="Times New Roman" w:cs="Times New Roman"/>
          <w:sz w:val="24"/>
          <w:szCs w:val="24"/>
          <w:lang w:val="en"/>
        </w:rPr>
        <w:t>(Mansfield and Reinhardt, 2003; Cohn, 2002)</w:t>
      </w:r>
      <w:r w:rsidR="00A87606">
        <w:rPr>
          <w:rFonts w:ascii="Times New Roman" w:hAnsi="Times New Roman" w:cs="Times New Roman"/>
          <w:sz w:val="24"/>
          <w:szCs w:val="24"/>
          <w:lang w:val="en"/>
        </w:rPr>
        <w:t xml:space="preserve">, it is difficult to judge the severity of negotiation difficulties on the bases of </w:t>
      </w:r>
      <w:r w:rsidR="00493207">
        <w:rPr>
          <w:rFonts w:ascii="Times New Roman" w:hAnsi="Times New Roman" w:cs="Times New Roman"/>
          <w:sz w:val="24"/>
          <w:szCs w:val="24"/>
          <w:lang w:val="en"/>
        </w:rPr>
        <w:t>the number of years without progress</w:t>
      </w:r>
      <w:r w:rsidR="00A87606">
        <w:rPr>
          <w:rFonts w:ascii="Times New Roman" w:hAnsi="Times New Roman" w:cs="Times New Roman"/>
          <w:sz w:val="24"/>
          <w:szCs w:val="24"/>
          <w:lang w:val="en"/>
        </w:rPr>
        <w:t>. It may be that one year of stalemate in the Uruguay Round is equivalent to four years in the DR due to</w:t>
      </w:r>
      <w:r w:rsidR="003B2164">
        <w:rPr>
          <w:rFonts w:ascii="Times New Roman" w:hAnsi="Times New Roman" w:cs="Times New Roman"/>
          <w:sz w:val="24"/>
          <w:szCs w:val="24"/>
          <w:lang w:val="en"/>
        </w:rPr>
        <w:t xml:space="preserve"> </w:t>
      </w:r>
      <w:r w:rsidR="00A87606">
        <w:rPr>
          <w:rFonts w:ascii="Times New Roman" w:hAnsi="Times New Roman" w:cs="Times New Roman"/>
          <w:sz w:val="24"/>
          <w:szCs w:val="24"/>
          <w:lang w:val="en"/>
        </w:rPr>
        <w:t xml:space="preserve">the higher number of participants, the scope of the negotiations or the impact of the </w:t>
      </w:r>
      <w:r w:rsidR="004254A4">
        <w:rPr>
          <w:rFonts w:ascii="Times New Roman" w:hAnsi="Times New Roman" w:cs="Times New Roman"/>
          <w:sz w:val="24"/>
          <w:szCs w:val="24"/>
          <w:lang w:val="en"/>
        </w:rPr>
        <w:t xml:space="preserve">2009 </w:t>
      </w:r>
      <w:r w:rsidR="00A87606">
        <w:rPr>
          <w:rFonts w:ascii="Times New Roman" w:hAnsi="Times New Roman" w:cs="Times New Roman"/>
          <w:sz w:val="24"/>
          <w:szCs w:val="24"/>
          <w:lang w:val="en"/>
        </w:rPr>
        <w:t xml:space="preserve">financial crisis. </w:t>
      </w:r>
      <w:r>
        <w:rPr>
          <w:rFonts w:ascii="Times New Roman" w:hAnsi="Times New Roman" w:cs="Times New Roman"/>
          <w:sz w:val="24"/>
          <w:szCs w:val="24"/>
          <w:lang w:val="en"/>
        </w:rPr>
        <w:t>For this</w:t>
      </w:r>
      <w:r w:rsidR="00AA38AD">
        <w:rPr>
          <w:rFonts w:ascii="Times New Roman" w:hAnsi="Times New Roman" w:cs="Times New Roman"/>
          <w:sz w:val="24"/>
          <w:szCs w:val="24"/>
          <w:lang w:val="en"/>
        </w:rPr>
        <w:t xml:space="preserve"> reason, </w:t>
      </w:r>
      <w:r w:rsidR="008D7CB7">
        <w:rPr>
          <w:rFonts w:ascii="Times New Roman" w:hAnsi="Times New Roman" w:cs="Times New Roman"/>
          <w:sz w:val="24"/>
          <w:szCs w:val="24"/>
          <w:lang w:val="en"/>
        </w:rPr>
        <w:t xml:space="preserve">to be able to answer this key question </w:t>
      </w:r>
      <w:r w:rsidR="003B2164">
        <w:rPr>
          <w:rFonts w:ascii="Times New Roman" w:hAnsi="Times New Roman" w:cs="Times New Roman"/>
          <w:sz w:val="24"/>
          <w:szCs w:val="24"/>
          <w:lang w:val="en"/>
        </w:rPr>
        <w:t xml:space="preserve">we </w:t>
      </w:r>
      <w:r w:rsidR="004254A4">
        <w:rPr>
          <w:rFonts w:ascii="Times New Roman" w:hAnsi="Times New Roman" w:cs="Times New Roman"/>
          <w:sz w:val="24"/>
          <w:szCs w:val="24"/>
          <w:lang w:val="en"/>
        </w:rPr>
        <w:t>need further evidence</w:t>
      </w:r>
      <w:r w:rsidR="00845232">
        <w:rPr>
          <w:rFonts w:ascii="Times New Roman" w:hAnsi="Times New Roman" w:cs="Times New Roman"/>
          <w:sz w:val="24"/>
          <w:szCs w:val="24"/>
          <w:lang w:val="en"/>
        </w:rPr>
        <w:t xml:space="preserve"> that </w:t>
      </w:r>
      <w:r w:rsidR="00C76C72">
        <w:rPr>
          <w:rFonts w:ascii="Times New Roman" w:hAnsi="Times New Roman" w:cs="Times New Roman"/>
          <w:sz w:val="24"/>
          <w:szCs w:val="24"/>
          <w:lang w:val="en"/>
        </w:rPr>
        <w:t>the severi</w:t>
      </w:r>
      <w:r w:rsidR="00845232">
        <w:rPr>
          <w:rFonts w:ascii="Times New Roman" w:hAnsi="Times New Roman" w:cs="Times New Roman"/>
          <w:sz w:val="24"/>
          <w:szCs w:val="24"/>
          <w:lang w:val="en"/>
        </w:rPr>
        <w:t xml:space="preserve">ty of the </w:t>
      </w:r>
      <w:r w:rsidR="00C76C72">
        <w:rPr>
          <w:rFonts w:ascii="Times New Roman" w:hAnsi="Times New Roman" w:cs="Times New Roman"/>
          <w:sz w:val="24"/>
          <w:szCs w:val="24"/>
          <w:lang w:val="en"/>
        </w:rPr>
        <w:t>negotiation difficulties became intense enough</w:t>
      </w:r>
      <w:r w:rsidR="00B064D1">
        <w:rPr>
          <w:rFonts w:ascii="Times New Roman" w:hAnsi="Times New Roman" w:cs="Times New Roman"/>
          <w:sz w:val="24"/>
          <w:szCs w:val="24"/>
          <w:lang w:val="en"/>
        </w:rPr>
        <w:t xml:space="preserve"> at least for the EU. </w:t>
      </w:r>
    </w:p>
    <w:p w:rsidR="000708E2" w:rsidRDefault="00AA6C0A"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To do so, we </w:t>
      </w:r>
      <w:r w:rsidR="003B2164">
        <w:rPr>
          <w:rFonts w:ascii="Times New Roman" w:hAnsi="Times New Roman" w:cs="Times New Roman"/>
          <w:sz w:val="24"/>
          <w:szCs w:val="24"/>
          <w:lang w:val="en"/>
        </w:rPr>
        <w:t>propose</w:t>
      </w:r>
      <w:r w:rsidR="00177312">
        <w:rPr>
          <w:rFonts w:ascii="Times New Roman" w:hAnsi="Times New Roman" w:cs="Times New Roman"/>
          <w:sz w:val="24"/>
          <w:szCs w:val="24"/>
          <w:lang w:val="en"/>
        </w:rPr>
        <w:t xml:space="preserve"> to</w:t>
      </w:r>
      <w:r w:rsidR="008F0A9D">
        <w:rPr>
          <w:rFonts w:ascii="Times New Roman" w:hAnsi="Times New Roman" w:cs="Times New Roman"/>
          <w:sz w:val="24"/>
          <w:szCs w:val="24"/>
          <w:lang w:val="en"/>
        </w:rPr>
        <w:t xml:space="preserve"> </w:t>
      </w:r>
      <w:r w:rsidR="0007557B">
        <w:rPr>
          <w:rFonts w:ascii="Times New Roman" w:hAnsi="Times New Roman" w:cs="Times New Roman"/>
          <w:sz w:val="24"/>
          <w:szCs w:val="24"/>
          <w:lang w:val="en"/>
        </w:rPr>
        <w:t>look at</w:t>
      </w:r>
      <w:r w:rsidR="008F0A9D">
        <w:rPr>
          <w:rFonts w:ascii="Times New Roman" w:hAnsi="Times New Roman" w:cs="Times New Roman"/>
          <w:sz w:val="24"/>
          <w:szCs w:val="24"/>
          <w:lang w:val="en"/>
        </w:rPr>
        <w:t xml:space="preserve"> EU reaction to</w:t>
      </w:r>
      <w:r w:rsidR="00CF2DE6">
        <w:rPr>
          <w:rFonts w:ascii="Times New Roman" w:hAnsi="Times New Roman" w:cs="Times New Roman"/>
          <w:sz w:val="24"/>
          <w:szCs w:val="24"/>
          <w:lang w:val="en"/>
        </w:rPr>
        <w:t xml:space="preserve"> that</w:t>
      </w:r>
      <w:r w:rsidR="008F0A9D">
        <w:rPr>
          <w:rFonts w:ascii="Times New Roman" w:hAnsi="Times New Roman" w:cs="Times New Roman"/>
          <w:sz w:val="24"/>
          <w:szCs w:val="24"/>
          <w:lang w:val="en"/>
        </w:rPr>
        <w:t xml:space="preserve"> negotiation </w:t>
      </w:r>
      <w:r w:rsidR="00716EEB">
        <w:rPr>
          <w:rFonts w:ascii="Times New Roman" w:hAnsi="Times New Roman" w:cs="Times New Roman"/>
          <w:sz w:val="24"/>
          <w:szCs w:val="24"/>
          <w:lang w:val="en"/>
        </w:rPr>
        <w:t>juncture</w:t>
      </w:r>
      <w:r w:rsidR="008F0A9D">
        <w:rPr>
          <w:rFonts w:ascii="Times New Roman" w:hAnsi="Times New Roman" w:cs="Times New Roman"/>
          <w:sz w:val="24"/>
          <w:szCs w:val="24"/>
          <w:lang w:val="en"/>
        </w:rPr>
        <w:t xml:space="preserve">. </w:t>
      </w:r>
      <w:r w:rsidR="006A582D">
        <w:rPr>
          <w:rFonts w:ascii="Times New Roman" w:hAnsi="Times New Roman" w:cs="Times New Roman"/>
          <w:sz w:val="24"/>
          <w:szCs w:val="24"/>
          <w:lang w:val="en"/>
        </w:rPr>
        <w:t xml:space="preserve">If the negotiations </w:t>
      </w:r>
      <w:r w:rsidR="008D7CB7">
        <w:rPr>
          <w:rFonts w:ascii="Times New Roman" w:hAnsi="Times New Roman" w:cs="Times New Roman"/>
          <w:sz w:val="24"/>
          <w:szCs w:val="24"/>
          <w:lang w:val="en"/>
        </w:rPr>
        <w:t xml:space="preserve">difficulties </w:t>
      </w:r>
      <w:r w:rsidR="006A582D">
        <w:rPr>
          <w:rFonts w:ascii="Times New Roman" w:hAnsi="Times New Roman" w:cs="Times New Roman"/>
          <w:sz w:val="24"/>
          <w:szCs w:val="24"/>
          <w:lang w:val="en"/>
        </w:rPr>
        <w:t>ha</w:t>
      </w:r>
      <w:r w:rsidR="009124E9">
        <w:rPr>
          <w:rFonts w:ascii="Times New Roman" w:hAnsi="Times New Roman" w:cs="Times New Roman"/>
          <w:sz w:val="24"/>
          <w:szCs w:val="24"/>
          <w:lang w:val="en"/>
        </w:rPr>
        <w:t>d</w:t>
      </w:r>
      <w:r w:rsidR="006A582D">
        <w:rPr>
          <w:rFonts w:ascii="Times New Roman" w:hAnsi="Times New Roman" w:cs="Times New Roman"/>
          <w:sz w:val="24"/>
          <w:szCs w:val="24"/>
          <w:lang w:val="en"/>
        </w:rPr>
        <w:t xml:space="preserve"> become too severe, one would expect the EU to react. N</w:t>
      </w:r>
      <w:r w:rsidR="00246511" w:rsidRPr="00246511">
        <w:rPr>
          <w:rFonts w:ascii="Times New Roman" w:hAnsi="Times New Roman" w:cs="Times New Roman"/>
          <w:sz w:val="24"/>
          <w:szCs w:val="24"/>
          <w:lang w:val="en"/>
        </w:rPr>
        <w:t xml:space="preserve">o reaction or change in </w:t>
      </w:r>
      <w:r w:rsidR="00F13D42">
        <w:rPr>
          <w:rFonts w:ascii="Times New Roman" w:hAnsi="Times New Roman" w:cs="Times New Roman"/>
          <w:sz w:val="24"/>
          <w:szCs w:val="24"/>
          <w:lang w:val="en"/>
        </w:rPr>
        <w:t>its</w:t>
      </w:r>
      <w:r w:rsidR="00246511" w:rsidRPr="00246511">
        <w:rPr>
          <w:rFonts w:ascii="Times New Roman" w:hAnsi="Times New Roman" w:cs="Times New Roman"/>
          <w:sz w:val="24"/>
          <w:szCs w:val="24"/>
          <w:lang w:val="en"/>
        </w:rPr>
        <w:t xml:space="preserve"> DR strategy would be taken a</w:t>
      </w:r>
      <w:r w:rsidR="00F13D42">
        <w:rPr>
          <w:rFonts w:ascii="Times New Roman" w:hAnsi="Times New Roman" w:cs="Times New Roman"/>
          <w:sz w:val="24"/>
          <w:szCs w:val="24"/>
          <w:lang w:val="en"/>
        </w:rPr>
        <w:t>s a sign that the difficulties we</w:t>
      </w:r>
      <w:r w:rsidR="00246511" w:rsidRPr="00246511">
        <w:rPr>
          <w:rFonts w:ascii="Times New Roman" w:hAnsi="Times New Roman" w:cs="Times New Roman"/>
          <w:sz w:val="24"/>
          <w:szCs w:val="24"/>
          <w:lang w:val="en"/>
        </w:rPr>
        <w:t>re not</w:t>
      </w:r>
      <w:r w:rsidR="009124E9">
        <w:rPr>
          <w:rFonts w:ascii="Times New Roman" w:hAnsi="Times New Roman" w:cs="Times New Roman"/>
          <w:sz w:val="24"/>
          <w:szCs w:val="24"/>
          <w:lang w:val="en"/>
        </w:rPr>
        <w:t xml:space="preserve"> perceived as</w:t>
      </w:r>
      <w:r w:rsidR="00246511" w:rsidRPr="00246511">
        <w:rPr>
          <w:rFonts w:ascii="Times New Roman" w:hAnsi="Times New Roman" w:cs="Times New Roman"/>
          <w:sz w:val="24"/>
          <w:szCs w:val="24"/>
          <w:lang w:val="en"/>
        </w:rPr>
        <w:t xml:space="preserve"> too severe </w:t>
      </w:r>
      <w:r w:rsidR="009124E9">
        <w:rPr>
          <w:rFonts w:ascii="Times New Roman" w:hAnsi="Times New Roman" w:cs="Times New Roman"/>
          <w:sz w:val="24"/>
          <w:szCs w:val="24"/>
          <w:lang w:val="en"/>
        </w:rPr>
        <w:t xml:space="preserve">by the EU. </w:t>
      </w:r>
      <w:r w:rsidR="00F13D42">
        <w:rPr>
          <w:rFonts w:ascii="Times New Roman" w:hAnsi="Times New Roman" w:cs="Times New Roman"/>
          <w:sz w:val="24"/>
          <w:szCs w:val="24"/>
          <w:lang w:val="en"/>
        </w:rPr>
        <w:t>In that case, the EU would have been expecting an agreement at the multilateral level that would have made possible the multilateralization of its bilateral agreements (at least in the area of market access), reducing the potential trade diversion effects and making its bilateral strategy compatible with efficient multilateralism</w:t>
      </w:r>
      <w:r w:rsidR="00246511" w:rsidRPr="00246511">
        <w:rPr>
          <w:rFonts w:ascii="Times New Roman" w:hAnsi="Times New Roman" w:cs="Times New Roman"/>
          <w:sz w:val="24"/>
          <w:szCs w:val="24"/>
          <w:lang w:val="en"/>
        </w:rPr>
        <w:t>. Alternatively, a reaction or change in the EU DR strategy would be taken as a sign that the difficulties ha</w:t>
      </w:r>
      <w:r w:rsidR="00F13D42">
        <w:rPr>
          <w:rFonts w:ascii="Times New Roman" w:hAnsi="Times New Roman" w:cs="Times New Roman"/>
          <w:sz w:val="24"/>
          <w:szCs w:val="24"/>
          <w:lang w:val="en"/>
        </w:rPr>
        <w:t>d</w:t>
      </w:r>
      <w:r w:rsidR="00246511" w:rsidRPr="00246511">
        <w:rPr>
          <w:rFonts w:ascii="Times New Roman" w:hAnsi="Times New Roman" w:cs="Times New Roman"/>
          <w:sz w:val="24"/>
          <w:szCs w:val="24"/>
          <w:lang w:val="en"/>
        </w:rPr>
        <w:t xml:space="preserve"> become too severe</w:t>
      </w:r>
      <w:r w:rsidR="00DF1050">
        <w:rPr>
          <w:rFonts w:ascii="Times New Roman" w:hAnsi="Times New Roman" w:cs="Times New Roman"/>
          <w:sz w:val="24"/>
          <w:szCs w:val="24"/>
          <w:lang w:val="en"/>
        </w:rPr>
        <w:t xml:space="preserve">. In that scenario, bilateral agreements after 2009 would have been undertaken </w:t>
      </w:r>
      <w:r w:rsidR="00B44F3B">
        <w:rPr>
          <w:rFonts w:ascii="Times New Roman" w:hAnsi="Times New Roman" w:cs="Times New Roman"/>
          <w:sz w:val="24"/>
          <w:szCs w:val="24"/>
          <w:lang w:val="en"/>
        </w:rPr>
        <w:t xml:space="preserve">without any expectation of reaching a multilateral agreement in the short or medium term. If this is the case, </w:t>
      </w:r>
      <w:r w:rsidR="00246511" w:rsidRPr="00246511">
        <w:rPr>
          <w:rFonts w:ascii="Times New Roman" w:hAnsi="Times New Roman" w:cs="Times New Roman"/>
          <w:sz w:val="24"/>
          <w:szCs w:val="24"/>
          <w:lang w:val="en"/>
        </w:rPr>
        <w:t xml:space="preserve">its bilateral strategy </w:t>
      </w:r>
      <w:r w:rsidR="00B44F3B">
        <w:rPr>
          <w:rFonts w:ascii="Times New Roman" w:hAnsi="Times New Roman" w:cs="Times New Roman"/>
          <w:sz w:val="24"/>
          <w:szCs w:val="24"/>
          <w:lang w:val="en"/>
        </w:rPr>
        <w:t xml:space="preserve">after 2009 </w:t>
      </w:r>
      <w:r w:rsidR="00246511" w:rsidRPr="00246511">
        <w:rPr>
          <w:rFonts w:ascii="Times New Roman" w:hAnsi="Times New Roman" w:cs="Times New Roman"/>
          <w:sz w:val="24"/>
          <w:szCs w:val="24"/>
          <w:lang w:val="en"/>
        </w:rPr>
        <w:t>may have become a substitute to multilateralism.</w:t>
      </w:r>
      <w:r w:rsidR="00CF2DE6" w:rsidRPr="00CF2DE6">
        <w:rPr>
          <w:rFonts w:ascii="Times New Roman" w:hAnsi="Times New Roman" w:cs="Times New Roman"/>
          <w:sz w:val="24"/>
          <w:szCs w:val="24"/>
          <w:lang w:val="en"/>
        </w:rPr>
        <w:t xml:space="preserve"> </w:t>
      </w:r>
      <w:r w:rsidR="00372CEE">
        <w:rPr>
          <w:rFonts w:ascii="Times New Roman" w:hAnsi="Times New Roman" w:cs="Times New Roman"/>
          <w:sz w:val="24"/>
          <w:szCs w:val="24"/>
          <w:lang w:val="en"/>
        </w:rPr>
        <w:t>This method is encapsulated in Equation 2b.</w:t>
      </w:r>
    </w:p>
    <w:p w:rsidR="00372CEE" w:rsidRPr="00372CEE" w:rsidRDefault="00372CEE" w:rsidP="00C836AB">
      <w:pPr>
        <w:jc w:val="both"/>
        <w:rPr>
          <w:rFonts w:ascii="Times New Roman" w:hAnsi="Times New Roman" w:cs="Times New Roman"/>
          <w:i/>
          <w:sz w:val="24"/>
          <w:szCs w:val="24"/>
          <w:lang w:val="en"/>
        </w:rPr>
      </w:pPr>
      <w:r w:rsidRPr="00372CEE">
        <w:rPr>
          <w:rFonts w:ascii="Times New Roman" w:hAnsi="Times New Roman" w:cs="Times New Roman"/>
          <w:i/>
          <w:sz w:val="24"/>
          <w:szCs w:val="24"/>
          <w:lang w:val="en"/>
        </w:rPr>
        <w:t>Equation 2</w:t>
      </w:r>
      <w:r>
        <w:rPr>
          <w:rFonts w:ascii="Times New Roman" w:hAnsi="Times New Roman" w:cs="Times New Roman"/>
          <w:i/>
          <w:sz w:val="24"/>
          <w:szCs w:val="24"/>
          <w:lang w:val="en"/>
        </w:rPr>
        <w:t>b</w:t>
      </w:r>
    </w:p>
    <w:p w:rsidR="00372CEE" w:rsidRPr="00372CEE" w:rsidRDefault="00372CEE" w:rsidP="00C836AB">
      <w:pPr>
        <w:jc w:val="both"/>
        <w:rPr>
          <w:rFonts w:ascii="Times New Roman" w:hAnsi="Times New Roman" w:cs="Times New Roman"/>
          <w:i/>
          <w:sz w:val="24"/>
          <w:szCs w:val="24"/>
          <w:lang w:val="en"/>
        </w:rPr>
      </w:pPr>
      <w:r w:rsidRPr="00372CEE">
        <w:rPr>
          <w:rFonts w:ascii="Times New Roman" w:hAnsi="Times New Roman" w:cs="Times New Roman"/>
          <w:i/>
          <w:sz w:val="24"/>
          <w:szCs w:val="24"/>
          <w:lang w:val="en"/>
        </w:rPr>
        <w:t xml:space="preserve">EU bilateral strategy and efficient multilateralism compatibility = potential for multilateralization of EU regional trade agreements + EU responses to </w:t>
      </w:r>
      <w:r w:rsidR="00143802">
        <w:rPr>
          <w:rFonts w:ascii="Times New Roman" w:hAnsi="Times New Roman" w:cs="Times New Roman"/>
          <w:i/>
          <w:sz w:val="24"/>
          <w:szCs w:val="24"/>
          <w:lang w:val="en"/>
        </w:rPr>
        <w:t xml:space="preserve">the </w:t>
      </w:r>
      <w:proofErr w:type="gramStart"/>
      <w:r w:rsidR="00143802">
        <w:rPr>
          <w:rFonts w:ascii="Times New Roman" w:hAnsi="Times New Roman" w:cs="Times New Roman"/>
          <w:i/>
          <w:sz w:val="24"/>
          <w:szCs w:val="24"/>
          <w:lang w:val="en"/>
        </w:rPr>
        <w:t xml:space="preserve">stalemate </w:t>
      </w:r>
      <w:r w:rsidRPr="00372CEE">
        <w:rPr>
          <w:rFonts w:ascii="Times New Roman" w:hAnsi="Times New Roman" w:cs="Times New Roman"/>
          <w:i/>
          <w:sz w:val="24"/>
          <w:szCs w:val="24"/>
          <w:lang w:val="en"/>
        </w:rPr>
        <w:t xml:space="preserve"> in</w:t>
      </w:r>
      <w:proofErr w:type="gramEnd"/>
      <w:r w:rsidRPr="00372CEE">
        <w:rPr>
          <w:rFonts w:ascii="Times New Roman" w:hAnsi="Times New Roman" w:cs="Times New Roman"/>
          <w:i/>
          <w:sz w:val="24"/>
          <w:szCs w:val="24"/>
          <w:lang w:val="en"/>
        </w:rPr>
        <w:t xml:space="preserve"> the Doha Round </w:t>
      </w:r>
      <w:r w:rsidR="00383A3F">
        <w:rPr>
          <w:rFonts w:ascii="Times New Roman" w:hAnsi="Times New Roman" w:cs="Times New Roman"/>
          <w:i/>
          <w:sz w:val="24"/>
          <w:szCs w:val="24"/>
          <w:lang w:val="en"/>
        </w:rPr>
        <w:t>(</w:t>
      </w:r>
      <w:r w:rsidR="00A91B06">
        <w:rPr>
          <w:rFonts w:ascii="Times New Roman" w:hAnsi="Times New Roman" w:cs="Times New Roman"/>
          <w:i/>
          <w:sz w:val="24"/>
          <w:szCs w:val="24"/>
          <w:lang w:val="en"/>
        </w:rPr>
        <w:t>change goes against compatibility)</w:t>
      </w:r>
    </w:p>
    <w:p w:rsidR="003661F3" w:rsidRDefault="000708E2"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That leaves us with the task to </w:t>
      </w:r>
      <w:r w:rsidR="00493207">
        <w:rPr>
          <w:rFonts w:ascii="Times New Roman" w:hAnsi="Times New Roman" w:cs="Times New Roman"/>
          <w:sz w:val="24"/>
          <w:szCs w:val="24"/>
          <w:lang w:val="en"/>
        </w:rPr>
        <w:t xml:space="preserve">define EU DR </w:t>
      </w:r>
      <w:r w:rsidR="009A12D6">
        <w:rPr>
          <w:rFonts w:ascii="Times New Roman" w:hAnsi="Times New Roman" w:cs="Times New Roman"/>
          <w:sz w:val="24"/>
          <w:szCs w:val="24"/>
          <w:lang w:val="en"/>
        </w:rPr>
        <w:t>Strategy</w:t>
      </w:r>
      <w:r w:rsidR="00D008F8">
        <w:rPr>
          <w:rFonts w:ascii="Times New Roman" w:hAnsi="Times New Roman" w:cs="Times New Roman"/>
          <w:sz w:val="24"/>
          <w:szCs w:val="24"/>
          <w:lang w:val="en"/>
        </w:rPr>
        <w:t xml:space="preserve"> so as to be able to establish whether it has changed</w:t>
      </w:r>
      <w:r w:rsidR="00493207">
        <w:rPr>
          <w:rFonts w:ascii="Times New Roman" w:hAnsi="Times New Roman" w:cs="Times New Roman"/>
          <w:sz w:val="24"/>
          <w:szCs w:val="24"/>
          <w:lang w:val="en"/>
        </w:rPr>
        <w:t xml:space="preserve">. </w:t>
      </w:r>
      <w:r w:rsidR="00D008F8">
        <w:rPr>
          <w:rFonts w:ascii="Times New Roman" w:hAnsi="Times New Roman" w:cs="Times New Roman"/>
          <w:sz w:val="24"/>
          <w:szCs w:val="24"/>
          <w:lang w:val="en"/>
        </w:rPr>
        <w:t>To do so</w:t>
      </w:r>
      <w:r w:rsidR="00493207">
        <w:rPr>
          <w:rFonts w:ascii="Times New Roman" w:hAnsi="Times New Roman" w:cs="Times New Roman"/>
          <w:sz w:val="24"/>
          <w:szCs w:val="24"/>
          <w:lang w:val="en"/>
        </w:rPr>
        <w:t xml:space="preserve"> </w:t>
      </w:r>
      <w:r w:rsidR="00AE1E7E">
        <w:rPr>
          <w:rFonts w:ascii="Times New Roman" w:hAnsi="Times New Roman" w:cs="Times New Roman"/>
          <w:sz w:val="24"/>
          <w:szCs w:val="24"/>
          <w:lang w:val="en"/>
        </w:rPr>
        <w:t>w</w:t>
      </w:r>
      <w:r w:rsidR="00493207">
        <w:rPr>
          <w:rFonts w:ascii="Times New Roman" w:hAnsi="Times New Roman" w:cs="Times New Roman"/>
          <w:sz w:val="24"/>
          <w:szCs w:val="24"/>
          <w:lang w:val="en"/>
        </w:rPr>
        <w:t xml:space="preserve">e propose </w:t>
      </w:r>
      <w:r w:rsidR="00AE1E7E">
        <w:rPr>
          <w:rFonts w:ascii="Times New Roman" w:hAnsi="Times New Roman" w:cs="Times New Roman"/>
          <w:sz w:val="24"/>
          <w:szCs w:val="24"/>
          <w:lang w:val="en"/>
        </w:rPr>
        <w:t xml:space="preserve">to focus on </w:t>
      </w:r>
      <w:r w:rsidR="00B44F3B">
        <w:rPr>
          <w:rFonts w:ascii="Times New Roman" w:hAnsi="Times New Roman" w:cs="Times New Roman"/>
          <w:sz w:val="24"/>
          <w:szCs w:val="24"/>
          <w:lang w:val="en"/>
        </w:rPr>
        <w:t xml:space="preserve">what most analysts consider to be the main reason for </w:t>
      </w:r>
      <w:r w:rsidR="00AE1E7E">
        <w:rPr>
          <w:rFonts w:ascii="Times New Roman" w:hAnsi="Times New Roman" w:cs="Times New Roman"/>
          <w:sz w:val="24"/>
          <w:szCs w:val="24"/>
          <w:lang w:val="en"/>
        </w:rPr>
        <w:t xml:space="preserve">the DR stalemate: the emergence of </w:t>
      </w:r>
      <w:r w:rsidR="00941470" w:rsidRPr="00493207">
        <w:rPr>
          <w:rFonts w:ascii="Times New Roman" w:hAnsi="Times New Roman" w:cs="Times New Roman"/>
          <w:sz w:val="24"/>
          <w:szCs w:val="24"/>
          <w:lang w:val="en"/>
        </w:rPr>
        <w:t>Brazil</w:t>
      </w:r>
      <w:r w:rsidR="00493207" w:rsidRPr="00493207">
        <w:rPr>
          <w:rFonts w:ascii="Times New Roman" w:hAnsi="Times New Roman" w:cs="Times New Roman"/>
          <w:sz w:val="24"/>
          <w:szCs w:val="24"/>
          <w:lang w:val="en"/>
        </w:rPr>
        <w:t>, India and China (BIC)</w:t>
      </w:r>
      <w:r w:rsidR="00AE1E7E">
        <w:rPr>
          <w:rFonts w:ascii="Times New Roman" w:hAnsi="Times New Roman" w:cs="Times New Roman"/>
          <w:sz w:val="24"/>
          <w:szCs w:val="24"/>
          <w:lang w:val="en"/>
        </w:rPr>
        <w:t xml:space="preserve"> as key veto players in the negotiations </w:t>
      </w:r>
      <w:r w:rsidR="00671BE7" w:rsidRPr="00671BE7">
        <w:rPr>
          <w:rFonts w:ascii="Times New Roman" w:hAnsi="Times New Roman" w:cs="Times New Roman"/>
          <w:sz w:val="24"/>
          <w:szCs w:val="24"/>
          <w:lang w:val="en"/>
        </w:rPr>
        <w:t>(</w:t>
      </w:r>
      <w:proofErr w:type="spellStart"/>
      <w:r w:rsidR="009A12D6">
        <w:rPr>
          <w:rFonts w:ascii="Times New Roman" w:hAnsi="Times New Roman" w:cs="Times New Roman"/>
          <w:sz w:val="24"/>
          <w:szCs w:val="24"/>
          <w:lang w:val="en"/>
        </w:rPr>
        <w:t>Ahnlid</w:t>
      </w:r>
      <w:proofErr w:type="spellEnd"/>
      <w:r w:rsidR="009A12D6">
        <w:rPr>
          <w:rFonts w:ascii="Times New Roman" w:hAnsi="Times New Roman" w:cs="Times New Roman"/>
          <w:sz w:val="24"/>
          <w:szCs w:val="24"/>
          <w:lang w:val="en"/>
        </w:rPr>
        <w:t xml:space="preserve"> and </w:t>
      </w:r>
      <w:proofErr w:type="spellStart"/>
      <w:r w:rsidR="009A12D6">
        <w:rPr>
          <w:rFonts w:ascii="Times New Roman" w:hAnsi="Times New Roman" w:cs="Times New Roman"/>
          <w:sz w:val="24"/>
          <w:szCs w:val="24"/>
          <w:lang w:val="en"/>
        </w:rPr>
        <w:t>Elgström</w:t>
      </w:r>
      <w:proofErr w:type="spellEnd"/>
      <w:r w:rsidR="009A12D6">
        <w:rPr>
          <w:rFonts w:ascii="Times New Roman" w:hAnsi="Times New Roman" w:cs="Times New Roman"/>
          <w:sz w:val="24"/>
          <w:szCs w:val="24"/>
          <w:lang w:val="en"/>
        </w:rPr>
        <w:t xml:space="preserve">, 2014; </w:t>
      </w:r>
      <w:proofErr w:type="spellStart"/>
      <w:r w:rsidR="00671BE7" w:rsidRPr="00671BE7">
        <w:rPr>
          <w:rFonts w:ascii="Times New Roman" w:hAnsi="Times New Roman" w:cs="Times New Roman"/>
          <w:sz w:val="24"/>
          <w:szCs w:val="24"/>
          <w:lang w:val="en"/>
        </w:rPr>
        <w:t>Narlikar</w:t>
      </w:r>
      <w:proofErr w:type="spellEnd"/>
      <w:r w:rsidR="00671BE7" w:rsidRPr="00671BE7">
        <w:rPr>
          <w:rFonts w:ascii="Times New Roman" w:hAnsi="Times New Roman" w:cs="Times New Roman"/>
          <w:sz w:val="24"/>
          <w:szCs w:val="24"/>
          <w:lang w:val="en"/>
        </w:rPr>
        <w:t xml:space="preserve">, </w:t>
      </w:r>
      <w:r w:rsidR="00671BE7" w:rsidRPr="00671BE7">
        <w:rPr>
          <w:rFonts w:ascii="Times New Roman" w:hAnsi="Times New Roman" w:cs="Times New Roman"/>
          <w:sz w:val="24"/>
          <w:szCs w:val="24"/>
          <w:lang w:val="en"/>
        </w:rPr>
        <w:lastRenderedPageBreak/>
        <w:t xml:space="preserve">2012; Schwab, 2011; Van den </w:t>
      </w:r>
      <w:proofErr w:type="spellStart"/>
      <w:r w:rsidR="00671BE7" w:rsidRPr="00671BE7">
        <w:rPr>
          <w:rFonts w:ascii="Times New Roman" w:hAnsi="Times New Roman" w:cs="Times New Roman"/>
          <w:sz w:val="24"/>
          <w:szCs w:val="24"/>
          <w:lang w:val="en"/>
        </w:rPr>
        <w:t>Bossche</w:t>
      </w:r>
      <w:proofErr w:type="spellEnd"/>
      <w:r w:rsidR="00671BE7" w:rsidRPr="00671BE7">
        <w:rPr>
          <w:rFonts w:ascii="Times New Roman" w:hAnsi="Times New Roman" w:cs="Times New Roman"/>
          <w:sz w:val="24"/>
          <w:szCs w:val="24"/>
          <w:lang w:val="en"/>
        </w:rPr>
        <w:t xml:space="preserve"> and </w:t>
      </w:r>
      <w:proofErr w:type="spellStart"/>
      <w:r w:rsidR="00671BE7" w:rsidRPr="00671BE7">
        <w:rPr>
          <w:rFonts w:ascii="Times New Roman" w:hAnsi="Times New Roman" w:cs="Times New Roman"/>
          <w:sz w:val="24"/>
          <w:szCs w:val="24"/>
          <w:lang w:val="en"/>
        </w:rPr>
        <w:t>Alexovicová</w:t>
      </w:r>
      <w:proofErr w:type="spellEnd"/>
      <w:r w:rsidR="00671BE7" w:rsidRPr="00671BE7">
        <w:rPr>
          <w:rFonts w:ascii="Times New Roman" w:hAnsi="Times New Roman" w:cs="Times New Roman"/>
          <w:sz w:val="24"/>
          <w:szCs w:val="24"/>
          <w:lang w:val="en"/>
        </w:rPr>
        <w:t xml:space="preserve">, 2005; </w:t>
      </w:r>
      <w:proofErr w:type="spellStart"/>
      <w:r w:rsidR="00671BE7" w:rsidRPr="00671BE7">
        <w:rPr>
          <w:rFonts w:ascii="Times New Roman" w:hAnsi="Times New Roman" w:cs="Times New Roman"/>
          <w:sz w:val="24"/>
          <w:szCs w:val="24"/>
          <w:lang w:val="en"/>
        </w:rPr>
        <w:t>Evenett</w:t>
      </w:r>
      <w:proofErr w:type="spellEnd"/>
      <w:r w:rsidR="00671BE7" w:rsidRPr="00671BE7">
        <w:rPr>
          <w:rFonts w:ascii="Times New Roman" w:hAnsi="Times New Roman" w:cs="Times New Roman"/>
          <w:sz w:val="24"/>
          <w:szCs w:val="24"/>
          <w:lang w:val="en"/>
        </w:rPr>
        <w:t>,  2003).</w:t>
      </w:r>
      <w:r w:rsidR="00671BE7">
        <w:rPr>
          <w:rFonts w:ascii="Times New Roman" w:hAnsi="Times New Roman" w:cs="Times New Roman"/>
          <w:sz w:val="24"/>
          <w:szCs w:val="24"/>
          <w:lang w:val="en"/>
        </w:rPr>
        <w:t xml:space="preserve"> </w:t>
      </w:r>
      <w:r w:rsidR="00177312" w:rsidRPr="00177312">
        <w:rPr>
          <w:rFonts w:ascii="Times New Roman" w:hAnsi="Times New Roman" w:cs="Times New Roman"/>
          <w:sz w:val="24"/>
          <w:szCs w:val="24"/>
          <w:lang w:val="en"/>
        </w:rPr>
        <w:t>Up until 2003, despite concessions to developing countries, consensus building in the GATT rounds of negotiations and in the DR  was determined by the US and the now EU, along with Japan and Canada</w:t>
      </w:r>
      <w:r w:rsidR="00AE1E7E">
        <w:rPr>
          <w:rFonts w:ascii="Times New Roman" w:hAnsi="Times New Roman" w:cs="Times New Roman"/>
          <w:sz w:val="24"/>
          <w:szCs w:val="24"/>
          <w:lang w:val="en"/>
        </w:rPr>
        <w:t>, the so called Quad</w:t>
      </w:r>
      <w:r w:rsidR="00177312" w:rsidRPr="00177312">
        <w:rPr>
          <w:rFonts w:ascii="Times New Roman" w:hAnsi="Times New Roman" w:cs="Times New Roman"/>
          <w:sz w:val="24"/>
          <w:szCs w:val="24"/>
          <w:lang w:val="en"/>
        </w:rPr>
        <w:t xml:space="preserve"> (</w:t>
      </w:r>
      <w:proofErr w:type="spellStart"/>
      <w:r w:rsidR="00177312" w:rsidRPr="00177312">
        <w:rPr>
          <w:rFonts w:ascii="Times New Roman" w:hAnsi="Times New Roman" w:cs="Times New Roman"/>
          <w:sz w:val="24"/>
          <w:szCs w:val="24"/>
          <w:lang w:val="en"/>
        </w:rPr>
        <w:t>Ehlermann</w:t>
      </w:r>
      <w:proofErr w:type="spellEnd"/>
      <w:r w:rsidR="00177312" w:rsidRPr="00177312">
        <w:rPr>
          <w:rFonts w:ascii="Times New Roman" w:hAnsi="Times New Roman" w:cs="Times New Roman"/>
          <w:sz w:val="24"/>
          <w:szCs w:val="24"/>
          <w:lang w:val="en"/>
        </w:rPr>
        <w:t xml:space="preserve"> and </w:t>
      </w:r>
      <w:proofErr w:type="spellStart"/>
      <w:r w:rsidR="00177312" w:rsidRPr="00177312">
        <w:rPr>
          <w:rFonts w:ascii="Times New Roman" w:hAnsi="Times New Roman" w:cs="Times New Roman"/>
          <w:sz w:val="24"/>
          <w:szCs w:val="24"/>
          <w:lang w:val="en"/>
        </w:rPr>
        <w:t>Ehring</w:t>
      </w:r>
      <w:proofErr w:type="spellEnd"/>
      <w:r w:rsidR="00177312" w:rsidRPr="00177312">
        <w:rPr>
          <w:rFonts w:ascii="Times New Roman" w:hAnsi="Times New Roman" w:cs="Times New Roman"/>
          <w:sz w:val="24"/>
          <w:szCs w:val="24"/>
          <w:lang w:val="en"/>
        </w:rPr>
        <w:t>, 2005).</w:t>
      </w:r>
      <w:r w:rsidR="00177312" w:rsidRPr="00177312">
        <w:rPr>
          <w:rFonts w:ascii="Times New Roman" w:hAnsi="Times New Roman" w:cs="Times New Roman"/>
          <w:sz w:val="24"/>
          <w:szCs w:val="24"/>
          <w:vertAlign w:val="superscript"/>
          <w:lang w:val="en"/>
        </w:rPr>
        <w:footnoteReference w:id="11"/>
      </w:r>
      <w:r w:rsidR="00177312" w:rsidRPr="00177312">
        <w:rPr>
          <w:rFonts w:ascii="Times New Roman" w:hAnsi="Times New Roman" w:cs="Times New Roman"/>
          <w:sz w:val="24"/>
          <w:szCs w:val="24"/>
          <w:lang w:val="en"/>
        </w:rPr>
        <w:t xml:space="preserve"> In the Cancun Ministerial Meeting of 2003, however, several developing countries, under the leadership of India and Brazil, challenged the classic Western leadership in the trade arena. Their opposition led to the removal of new topics of interest to developed countries from the Round Agenda</w:t>
      </w:r>
      <w:r w:rsidR="00AE1E7E">
        <w:rPr>
          <w:rFonts w:ascii="Times New Roman" w:hAnsi="Times New Roman" w:cs="Times New Roman"/>
          <w:sz w:val="24"/>
          <w:szCs w:val="24"/>
          <w:lang w:val="en"/>
        </w:rPr>
        <w:t>,</w:t>
      </w:r>
      <w:r w:rsidR="00177312" w:rsidRPr="00177312">
        <w:rPr>
          <w:rFonts w:ascii="Times New Roman" w:hAnsi="Times New Roman" w:cs="Times New Roman"/>
          <w:sz w:val="24"/>
          <w:szCs w:val="24"/>
          <w:lang w:val="en"/>
        </w:rPr>
        <w:t xml:space="preserve"> the rejection of the agreement on agriculture proposed by the US and the EU</w:t>
      </w:r>
      <w:r w:rsidR="00AE1E7E">
        <w:rPr>
          <w:rFonts w:ascii="Times New Roman" w:hAnsi="Times New Roman" w:cs="Times New Roman"/>
          <w:sz w:val="24"/>
          <w:szCs w:val="24"/>
          <w:lang w:val="en"/>
        </w:rPr>
        <w:t xml:space="preserve"> and to a shift from the Quad to new groupings of consensus-building that include the BIC </w:t>
      </w:r>
      <w:r w:rsidR="00AE1E7E" w:rsidRPr="00AE1E7E">
        <w:rPr>
          <w:rFonts w:ascii="Times New Roman" w:hAnsi="Times New Roman" w:cs="Times New Roman"/>
          <w:sz w:val="24"/>
          <w:szCs w:val="24"/>
          <w:lang w:val="en"/>
        </w:rPr>
        <w:t xml:space="preserve">(Garcia-Duran </w:t>
      </w:r>
      <w:r w:rsidR="00AE1E7E" w:rsidRPr="00AE1E7E">
        <w:rPr>
          <w:rFonts w:ascii="Times New Roman" w:hAnsi="Times New Roman" w:cs="Times New Roman"/>
          <w:i/>
          <w:sz w:val="24"/>
          <w:szCs w:val="24"/>
          <w:lang w:val="en"/>
        </w:rPr>
        <w:t>et al</w:t>
      </w:r>
      <w:r w:rsidR="00AE1E7E" w:rsidRPr="00AE1E7E">
        <w:rPr>
          <w:rFonts w:ascii="Times New Roman" w:hAnsi="Times New Roman" w:cs="Times New Roman"/>
          <w:sz w:val="24"/>
          <w:szCs w:val="24"/>
          <w:lang w:val="en"/>
        </w:rPr>
        <w:t xml:space="preserve">, 2014; </w:t>
      </w:r>
      <w:proofErr w:type="spellStart"/>
      <w:r w:rsidR="00AE1E7E" w:rsidRPr="00AE1E7E">
        <w:rPr>
          <w:rFonts w:ascii="Times New Roman" w:hAnsi="Times New Roman" w:cs="Times New Roman"/>
          <w:sz w:val="24"/>
          <w:szCs w:val="24"/>
          <w:lang w:val="en"/>
        </w:rPr>
        <w:t>Narlikar</w:t>
      </w:r>
      <w:proofErr w:type="spellEnd"/>
      <w:r w:rsidR="00AE1E7E" w:rsidRPr="00AE1E7E">
        <w:rPr>
          <w:rFonts w:ascii="Times New Roman" w:hAnsi="Times New Roman" w:cs="Times New Roman"/>
          <w:sz w:val="24"/>
          <w:szCs w:val="24"/>
          <w:lang w:val="en"/>
        </w:rPr>
        <w:t xml:space="preserve">, 2011b; </w:t>
      </w:r>
      <w:proofErr w:type="spellStart"/>
      <w:r w:rsidR="00AE1E7E" w:rsidRPr="00AE1E7E">
        <w:rPr>
          <w:rFonts w:ascii="Times New Roman" w:hAnsi="Times New Roman" w:cs="Times New Roman"/>
          <w:sz w:val="24"/>
          <w:szCs w:val="24"/>
          <w:lang w:val="en"/>
        </w:rPr>
        <w:t>Blackhurst</w:t>
      </w:r>
      <w:proofErr w:type="spellEnd"/>
      <w:r w:rsidR="00AE1E7E" w:rsidRPr="00AE1E7E">
        <w:rPr>
          <w:rFonts w:ascii="Times New Roman" w:hAnsi="Times New Roman" w:cs="Times New Roman"/>
          <w:sz w:val="24"/>
          <w:szCs w:val="24"/>
          <w:lang w:val="en"/>
        </w:rPr>
        <w:t xml:space="preserve"> and </w:t>
      </w:r>
      <w:proofErr w:type="spellStart"/>
      <w:r w:rsidR="00AE1E7E" w:rsidRPr="00AE1E7E">
        <w:rPr>
          <w:rFonts w:ascii="Times New Roman" w:hAnsi="Times New Roman" w:cs="Times New Roman"/>
          <w:sz w:val="24"/>
          <w:szCs w:val="24"/>
          <w:lang w:val="en"/>
        </w:rPr>
        <w:t>Hartridge</w:t>
      </w:r>
      <w:proofErr w:type="spellEnd"/>
      <w:r w:rsidR="00AE1E7E" w:rsidRPr="00AE1E7E">
        <w:rPr>
          <w:rFonts w:ascii="Times New Roman" w:hAnsi="Times New Roman" w:cs="Times New Roman"/>
          <w:sz w:val="24"/>
          <w:szCs w:val="24"/>
          <w:lang w:val="en"/>
        </w:rPr>
        <w:t>, 2004)</w:t>
      </w:r>
      <w:r w:rsidR="00177312" w:rsidRPr="00177312">
        <w:rPr>
          <w:rFonts w:ascii="Times New Roman" w:hAnsi="Times New Roman" w:cs="Times New Roman"/>
          <w:sz w:val="24"/>
          <w:szCs w:val="24"/>
          <w:lang w:val="en"/>
        </w:rPr>
        <w:t xml:space="preserve">. </w:t>
      </w:r>
      <w:r w:rsidR="00C017D4">
        <w:rPr>
          <w:rFonts w:ascii="Times New Roman" w:hAnsi="Times New Roman" w:cs="Times New Roman"/>
          <w:sz w:val="24"/>
          <w:szCs w:val="24"/>
          <w:lang w:val="en"/>
        </w:rPr>
        <w:t xml:space="preserve">How </w:t>
      </w:r>
      <w:r w:rsidR="005E139E">
        <w:rPr>
          <w:rFonts w:ascii="Times New Roman" w:hAnsi="Times New Roman" w:cs="Times New Roman"/>
          <w:sz w:val="24"/>
          <w:szCs w:val="24"/>
          <w:lang w:val="en"/>
        </w:rPr>
        <w:t>did</w:t>
      </w:r>
      <w:r w:rsidR="00C017D4">
        <w:rPr>
          <w:rFonts w:ascii="Times New Roman" w:hAnsi="Times New Roman" w:cs="Times New Roman"/>
          <w:sz w:val="24"/>
          <w:szCs w:val="24"/>
          <w:lang w:val="en"/>
        </w:rPr>
        <w:t xml:space="preserve"> the EU react to the emergence of these new key players in the negotiations?</w:t>
      </w:r>
      <w:r w:rsidR="005E139E">
        <w:rPr>
          <w:rFonts w:ascii="Times New Roman" w:hAnsi="Times New Roman" w:cs="Times New Roman"/>
          <w:sz w:val="24"/>
          <w:szCs w:val="24"/>
          <w:lang w:val="en"/>
        </w:rPr>
        <w:t xml:space="preserve"> Did it oppose or welcome their inclusion into the decision-making core? Did it make new concessions to satisfy their demands or took a passive role in the negotiations?  </w:t>
      </w:r>
      <w:r w:rsidR="00671BE7" w:rsidRPr="00671BE7">
        <w:rPr>
          <w:rFonts w:ascii="Times New Roman" w:hAnsi="Times New Roman" w:cs="Times New Roman"/>
          <w:sz w:val="24"/>
          <w:szCs w:val="24"/>
          <w:lang w:val="en"/>
        </w:rPr>
        <w:t>Did the EU attitude towards the emerging new players change from 2009 onwards?</w:t>
      </w:r>
      <w:r w:rsidR="003661F3">
        <w:rPr>
          <w:rFonts w:ascii="Times New Roman" w:hAnsi="Times New Roman" w:cs="Times New Roman"/>
          <w:sz w:val="24"/>
          <w:szCs w:val="24"/>
          <w:lang w:val="en"/>
        </w:rPr>
        <w:t xml:space="preserve"> </w:t>
      </w:r>
    </w:p>
    <w:p w:rsidR="00AF3E8D" w:rsidRDefault="003653C0" w:rsidP="00C836AB">
      <w:pPr>
        <w:jc w:val="both"/>
        <w:rPr>
          <w:rFonts w:ascii="Times New Roman" w:hAnsi="Times New Roman" w:cs="Times New Roman"/>
          <w:sz w:val="24"/>
          <w:szCs w:val="24"/>
          <w:lang w:val="en"/>
        </w:rPr>
      </w:pPr>
      <w:r w:rsidRPr="003653C0">
        <w:rPr>
          <w:rFonts w:ascii="Times New Roman" w:hAnsi="Times New Roman" w:cs="Times New Roman"/>
          <w:sz w:val="24"/>
          <w:szCs w:val="24"/>
          <w:lang w:val="en"/>
        </w:rPr>
        <w:t>Esther Barbé, Oriol Costa, Anna Herranz and Benjamin Kienzle (2014) ha</w:t>
      </w:r>
      <w:r w:rsidR="00D008F8">
        <w:rPr>
          <w:rFonts w:ascii="Times New Roman" w:hAnsi="Times New Roman" w:cs="Times New Roman"/>
          <w:sz w:val="24"/>
          <w:szCs w:val="24"/>
          <w:lang w:val="en"/>
        </w:rPr>
        <w:t>ve</w:t>
      </w:r>
      <w:r w:rsidRPr="003653C0">
        <w:rPr>
          <w:rFonts w:ascii="Times New Roman" w:hAnsi="Times New Roman" w:cs="Times New Roman"/>
          <w:sz w:val="24"/>
          <w:szCs w:val="24"/>
          <w:lang w:val="en"/>
        </w:rPr>
        <w:t xml:space="preserve"> designed </w:t>
      </w:r>
      <w:r w:rsidR="00D008F8">
        <w:rPr>
          <w:rFonts w:ascii="Times New Roman" w:hAnsi="Times New Roman" w:cs="Times New Roman"/>
          <w:sz w:val="24"/>
          <w:szCs w:val="24"/>
          <w:lang w:val="en"/>
        </w:rPr>
        <w:t xml:space="preserve">an analytical framework </w:t>
      </w:r>
      <w:r w:rsidRPr="003653C0">
        <w:rPr>
          <w:rFonts w:ascii="Times New Roman" w:hAnsi="Times New Roman" w:cs="Times New Roman"/>
          <w:sz w:val="24"/>
          <w:szCs w:val="24"/>
          <w:lang w:val="en"/>
        </w:rPr>
        <w:t xml:space="preserve">to study how the EU copes with the changing distribution of power in multilateral institutions. It assumes that this power shift adversely affects the EU and advances that there are two ideal-type strategies that the EU can pursue. The first is accommodation: EU policy adjustment seeking compromise with newly empowered actors.  The second is entrenchment: maintaining the policy held prior to structural change. </w:t>
      </w:r>
      <w:r w:rsidR="00AE7188">
        <w:rPr>
          <w:rFonts w:ascii="Times New Roman" w:hAnsi="Times New Roman" w:cs="Times New Roman"/>
          <w:sz w:val="24"/>
          <w:szCs w:val="24"/>
          <w:lang w:val="en"/>
        </w:rPr>
        <w:t>In our case, a</w:t>
      </w:r>
      <w:r w:rsidR="00AF3E8D">
        <w:rPr>
          <w:rFonts w:ascii="Times New Roman" w:hAnsi="Times New Roman" w:cs="Times New Roman"/>
          <w:sz w:val="24"/>
          <w:szCs w:val="24"/>
          <w:lang w:val="en"/>
        </w:rPr>
        <w:t>s table 2 summarizes, a</w:t>
      </w:r>
      <w:r w:rsidR="002E50E9" w:rsidRPr="002E50E9">
        <w:rPr>
          <w:rFonts w:ascii="Times New Roman" w:hAnsi="Times New Roman" w:cs="Times New Roman"/>
          <w:sz w:val="24"/>
          <w:szCs w:val="24"/>
          <w:lang w:val="en"/>
        </w:rPr>
        <w:t>ccommodation would</w:t>
      </w:r>
      <w:r w:rsidR="00FC5D5E">
        <w:rPr>
          <w:rFonts w:ascii="Times New Roman" w:hAnsi="Times New Roman" w:cs="Times New Roman"/>
          <w:sz w:val="24"/>
          <w:szCs w:val="24"/>
          <w:lang w:val="en"/>
        </w:rPr>
        <w:t xml:space="preserve"> mean</w:t>
      </w:r>
      <w:r w:rsidR="002E50E9" w:rsidRPr="002E50E9">
        <w:rPr>
          <w:rFonts w:ascii="Times New Roman" w:hAnsi="Times New Roman" w:cs="Times New Roman"/>
          <w:sz w:val="24"/>
          <w:szCs w:val="24"/>
          <w:lang w:val="en"/>
        </w:rPr>
        <w:t xml:space="preserve"> that the EU is trying to seek compromise with the new actors so that </w:t>
      </w:r>
      <w:r w:rsidR="004D2D25">
        <w:rPr>
          <w:rFonts w:ascii="Times New Roman" w:hAnsi="Times New Roman" w:cs="Times New Roman"/>
          <w:sz w:val="24"/>
          <w:szCs w:val="24"/>
          <w:lang w:val="en"/>
        </w:rPr>
        <w:t xml:space="preserve">its DR strategy would be to welcome their inclusion into the decision-making core and make new concessions to satisfy at least some of their demands. </w:t>
      </w:r>
      <w:r w:rsidR="002E50E9" w:rsidRPr="002E50E9">
        <w:rPr>
          <w:rFonts w:ascii="Times New Roman" w:hAnsi="Times New Roman" w:cs="Times New Roman"/>
          <w:sz w:val="24"/>
          <w:szCs w:val="24"/>
          <w:lang w:val="en"/>
        </w:rPr>
        <w:t xml:space="preserve">Entrenchment, on the other hand, would signify that the EU is trying to maintain the old way of doing things so that </w:t>
      </w:r>
      <w:r w:rsidR="004D2D25">
        <w:rPr>
          <w:rFonts w:ascii="Times New Roman" w:hAnsi="Times New Roman" w:cs="Times New Roman"/>
          <w:sz w:val="24"/>
          <w:szCs w:val="24"/>
          <w:lang w:val="en"/>
        </w:rPr>
        <w:t xml:space="preserve">either it does not welcome the new players into the decision-making core or it does not make an effort to make concessions so as to foster the negotiations. </w:t>
      </w:r>
    </w:p>
    <w:p w:rsidR="00AE7188" w:rsidRDefault="00AE7188" w:rsidP="00C836AB">
      <w:pPr>
        <w:jc w:val="both"/>
        <w:rPr>
          <w:rFonts w:ascii="Times New Roman" w:hAnsi="Times New Roman" w:cs="Times New Roman"/>
          <w:sz w:val="24"/>
          <w:szCs w:val="24"/>
          <w:lang w:val="en"/>
        </w:rPr>
      </w:pPr>
    </w:p>
    <w:p w:rsidR="00AF3E8D" w:rsidRPr="00AF3E8D" w:rsidRDefault="00AF3E8D" w:rsidP="00C836AB">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
        </w:rPr>
        <w:t>Table</w:t>
      </w:r>
      <w:r w:rsidRPr="00AF3E8D">
        <w:rPr>
          <w:rFonts w:ascii="Times New Roman" w:hAnsi="Times New Roman" w:cs="Times New Roman"/>
          <w:sz w:val="24"/>
          <w:szCs w:val="24"/>
          <w:lang w:val="en-US"/>
        </w:rPr>
        <w:t xml:space="preserve"> 2.</w:t>
      </w:r>
      <w:proofErr w:type="gramEnd"/>
      <w:r w:rsidRPr="00AF3E8D">
        <w:rPr>
          <w:rFonts w:ascii="Times New Roman" w:hAnsi="Times New Roman" w:cs="Times New Roman"/>
          <w:sz w:val="24"/>
          <w:szCs w:val="24"/>
          <w:lang w:val="en-US"/>
        </w:rPr>
        <w:t xml:space="preserve"> EU possible </w:t>
      </w:r>
      <w:r w:rsidRPr="00AF3E8D">
        <w:rPr>
          <w:rFonts w:ascii="Times New Roman" w:hAnsi="Times New Roman" w:cs="Times New Roman"/>
          <w:sz w:val="24"/>
          <w:szCs w:val="24"/>
          <w:lang w:val="en-GB"/>
        </w:rPr>
        <w:t>reactions</w:t>
      </w:r>
      <w:r w:rsidRPr="00AF3E8D">
        <w:rPr>
          <w:rFonts w:ascii="Times New Roman" w:hAnsi="Times New Roman" w:cs="Times New Roman"/>
          <w:sz w:val="24"/>
          <w:szCs w:val="24"/>
          <w:lang w:val="en-US"/>
        </w:rPr>
        <w:t xml:space="preserve"> to BIC in the DR</w:t>
      </w:r>
    </w:p>
    <w:tbl>
      <w:tblPr>
        <w:tblStyle w:val="Taulaambquadrcula"/>
        <w:tblW w:w="0" w:type="auto"/>
        <w:tblLook w:val="04A0" w:firstRow="1" w:lastRow="0" w:firstColumn="1" w:lastColumn="0" w:noHBand="0" w:noVBand="1"/>
      </w:tblPr>
      <w:tblGrid>
        <w:gridCol w:w="2881"/>
        <w:gridCol w:w="5307"/>
      </w:tblGrid>
      <w:tr w:rsidR="00AF3E8D" w:rsidRPr="00AF3E8D" w:rsidTr="006B58A0">
        <w:tc>
          <w:tcPr>
            <w:tcW w:w="2881" w:type="dxa"/>
          </w:tcPr>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EU Reaction to BIC</w:t>
            </w:r>
          </w:p>
        </w:tc>
        <w:tc>
          <w:tcPr>
            <w:tcW w:w="5307" w:type="dxa"/>
          </w:tcPr>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DR negotiations</w:t>
            </w:r>
          </w:p>
        </w:tc>
      </w:tr>
      <w:tr w:rsidR="00AF3E8D" w:rsidRPr="00D3155A" w:rsidTr="006B58A0">
        <w:tc>
          <w:tcPr>
            <w:tcW w:w="2881" w:type="dxa"/>
          </w:tcPr>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Accommodation</w:t>
            </w:r>
          </w:p>
        </w:tc>
        <w:tc>
          <w:tcPr>
            <w:tcW w:w="5307" w:type="dxa"/>
          </w:tcPr>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Welcome inclusion of BIC in decision-making core</w:t>
            </w:r>
          </w:p>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AND concessions to at least some of their demands</w:t>
            </w:r>
          </w:p>
        </w:tc>
      </w:tr>
      <w:tr w:rsidR="00AF3E8D" w:rsidRPr="00D3155A" w:rsidTr="006B58A0">
        <w:tc>
          <w:tcPr>
            <w:tcW w:w="2881" w:type="dxa"/>
          </w:tcPr>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 xml:space="preserve">Entrenchment </w:t>
            </w:r>
          </w:p>
        </w:tc>
        <w:tc>
          <w:tcPr>
            <w:tcW w:w="5307" w:type="dxa"/>
          </w:tcPr>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Reluctant inclusion of BIC in decision-making core</w:t>
            </w:r>
          </w:p>
          <w:p w:rsidR="00AF3E8D" w:rsidRPr="00AF3E8D" w:rsidRDefault="00AF3E8D" w:rsidP="00C836AB">
            <w:pPr>
              <w:spacing w:after="200" w:line="276" w:lineRule="auto"/>
              <w:jc w:val="both"/>
              <w:rPr>
                <w:rFonts w:ascii="Times New Roman" w:hAnsi="Times New Roman" w:cs="Times New Roman"/>
                <w:sz w:val="24"/>
                <w:szCs w:val="24"/>
                <w:lang w:val="en"/>
              </w:rPr>
            </w:pPr>
            <w:r w:rsidRPr="00AF3E8D">
              <w:rPr>
                <w:rFonts w:ascii="Times New Roman" w:hAnsi="Times New Roman" w:cs="Times New Roman"/>
                <w:sz w:val="24"/>
                <w:szCs w:val="24"/>
                <w:lang w:val="en"/>
              </w:rPr>
              <w:t>OR no concessions to BIC demands</w:t>
            </w:r>
          </w:p>
        </w:tc>
      </w:tr>
    </w:tbl>
    <w:p w:rsidR="00AF3E8D" w:rsidRPr="00AF3E8D" w:rsidRDefault="00AF3E8D" w:rsidP="00C836AB">
      <w:pPr>
        <w:jc w:val="both"/>
        <w:rPr>
          <w:rFonts w:ascii="Times New Roman" w:hAnsi="Times New Roman" w:cs="Times New Roman"/>
          <w:sz w:val="24"/>
          <w:szCs w:val="24"/>
          <w:lang w:val="en"/>
        </w:rPr>
      </w:pPr>
    </w:p>
    <w:p w:rsidR="004675C5" w:rsidRPr="004675C5" w:rsidRDefault="00AE7188" w:rsidP="00C836AB">
      <w:pPr>
        <w:jc w:val="both"/>
        <w:rPr>
          <w:rFonts w:ascii="Times New Roman" w:hAnsi="Times New Roman" w:cs="Times New Roman"/>
          <w:sz w:val="24"/>
          <w:szCs w:val="24"/>
          <w:lang w:val="en"/>
        </w:rPr>
      </w:pPr>
      <w:r w:rsidRPr="00AE7188">
        <w:rPr>
          <w:rFonts w:ascii="Times New Roman" w:hAnsi="Times New Roman" w:cs="Times New Roman"/>
          <w:sz w:val="24"/>
          <w:szCs w:val="24"/>
          <w:lang w:val="en"/>
        </w:rPr>
        <w:lastRenderedPageBreak/>
        <w:t>This analytical framework can help us establish whether there has been a change in the way the EU has reacted to the BIC and whether the change took place after 2008</w:t>
      </w:r>
      <w:r>
        <w:rPr>
          <w:rFonts w:ascii="Times New Roman" w:hAnsi="Times New Roman" w:cs="Times New Roman"/>
          <w:sz w:val="24"/>
          <w:szCs w:val="24"/>
          <w:lang w:val="en"/>
        </w:rPr>
        <w:t xml:space="preserve">. </w:t>
      </w:r>
      <w:r w:rsidR="00285C74">
        <w:rPr>
          <w:rFonts w:ascii="Times New Roman" w:hAnsi="Times New Roman" w:cs="Times New Roman"/>
          <w:sz w:val="24"/>
          <w:szCs w:val="24"/>
          <w:lang w:val="en"/>
        </w:rPr>
        <w:t>As established previously, n</w:t>
      </w:r>
      <w:r w:rsidR="00285C74" w:rsidRPr="00285C74">
        <w:rPr>
          <w:rFonts w:ascii="Times New Roman" w:hAnsi="Times New Roman" w:cs="Times New Roman"/>
          <w:sz w:val="24"/>
          <w:szCs w:val="24"/>
          <w:lang w:val="en"/>
        </w:rPr>
        <w:t xml:space="preserve">o change would mean that the negotiations difficulties are not </w:t>
      </w:r>
      <w:r w:rsidR="00D6161C">
        <w:rPr>
          <w:rFonts w:ascii="Times New Roman" w:hAnsi="Times New Roman" w:cs="Times New Roman"/>
          <w:sz w:val="24"/>
          <w:szCs w:val="24"/>
          <w:lang w:val="en"/>
        </w:rPr>
        <w:t xml:space="preserve">perceived as </w:t>
      </w:r>
      <w:r w:rsidR="00285C74" w:rsidRPr="00285C74">
        <w:rPr>
          <w:rFonts w:ascii="Times New Roman" w:hAnsi="Times New Roman" w:cs="Times New Roman"/>
          <w:sz w:val="24"/>
          <w:szCs w:val="24"/>
          <w:lang w:val="en"/>
        </w:rPr>
        <w:t xml:space="preserve">too severe and therefore that EU </w:t>
      </w:r>
      <w:r w:rsidR="00D6161C">
        <w:rPr>
          <w:rFonts w:ascii="Times New Roman" w:hAnsi="Times New Roman" w:cs="Times New Roman"/>
          <w:sz w:val="24"/>
          <w:szCs w:val="24"/>
          <w:lang w:val="en"/>
        </w:rPr>
        <w:t xml:space="preserve">is expecting a multilateral agreement to be reached. In that case, </w:t>
      </w:r>
      <w:r w:rsidR="00285C74" w:rsidRPr="00285C74">
        <w:rPr>
          <w:rFonts w:ascii="Times New Roman" w:hAnsi="Times New Roman" w:cs="Times New Roman"/>
          <w:sz w:val="24"/>
          <w:szCs w:val="24"/>
          <w:lang w:val="en"/>
        </w:rPr>
        <w:t xml:space="preserve">bilateral agreements may be devices to get the accord at the multilateral level. </w:t>
      </w:r>
      <w:r w:rsidR="00285C74">
        <w:rPr>
          <w:rFonts w:ascii="Times New Roman" w:hAnsi="Times New Roman" w:cs="Times New Roman"/>
          <w:sz w:val="24"/>
          <w:szCs w:val="24"/>
          <w:lang w:val="en"/>
        </w:rPr>
        <w:t xml:space="preserve">For our independent variable to be negative in terms of compatibility we should find that there has been a change in the EU reaction to the BIC after 2008. </w:t>
      </w:r>
      <w:r w:rsidR="004675C5" w:rsidRPr="004675C5">
        <w:rPr>
          <w:rFonts w:ascii="Times New Roman" w:hAnsi="Times New Roman" w:cs="Times New Roman"/>
          <w:sz w:val="24"/>
          <w:szCs w:val="24"/>
          <w:lang w:val="en"/>
        </w:rPr>
        <w:t>Equation 2</w:t>
      </w:r>
      <w:r w:rsidR="004675C5">
        <w:rPr>
          <w:rFonts w:ascii="Times New Roman" w:hAnsi="Times New Roman" w:cs="Times New Roman"/>
          <w:sz w:val="24"/>
          <w:szCs w:val="24"/>
          <w:lang w:val="en"/>
        </w:rPr>
        <w:t>c</w:t>
      </w:r>
      <w:r w:rsidR="004675C5" w:rsidRPr="004675C5">
        <w:rPr>
          <w:rFonts w:ascii="Times New Roman" w:hAnsi="Times New Roman" w:cs="Times New Roman"/>
          <w:sz w:val="24"/>
          <w:szCs w:val="24"/>
          <w:lang w:val="en"/>
        </w:rPr>
        <w:t xml:space="preserve"> encapsulates this proposal. </w:t>
      </w:r>
    </w:p>
    <w:p w:rsidR="004675C5" w:rsidRPr="004675C5" w:rsidRDefault="004675C5" w:rsidP="00C836AB">
      <w:pPr>
        <w:jc w:val="both"/>
        <w:rPr>
          <w:rFonts w:ascii="Times New Roman" w:hAnsi="Times New Roman" w:cs="Times New Roman"/>
          <w:i/>
          <w:sz w:val="24"/>
          <w:szCs w:val="24"/>
          <w:lang w:val="en"/>
        </w:rPr>
      </w:pPr>
      <w:r w:rsidRPr="004675C5">
        <w:rPr>
          <w:rFonts w:ascii="Times New Roman" w:hAnsi="Times New Roman" w:cs="Times New Roman"/>
          <w:i/>
          <w:sz w:val="24"/>
          <w:szCs w:val="24"/>
          <w:lang w:val="en"/>
        </w:rPr>
        <w:t>Equation 2</w:t>
      </w:r>
      <w:r>
        <w:rPr>
          <w:rFonts w:ascii="Times New Roman" w:hAnsi="Times New Roman" w:cs="Times New Roman"/>
          <w:i/>
          <w:sz w:val="24"/>
          <w:szCs w:val="24"/>
          <w:lang w:val="en"/>
        </w:rPr>
        <w:t>c</w:t>
      </w:r>
    </w:p>
    <w:p w:rsidR="004675C5" w:rsidRPr="004675C5" w:rsidRDefault="004675C5" w:rsidP="00C836AB">
      <w:pPr>
        <w:jc w:val="both"/>
        <w:rPr>
          <w:rFonts w:ascii="Times New Roman" w:hAnsi="Times New Roman" w:cs="Times New Roman"/>
          <w:i/>
          <w:sz w:val="24"/>
          <w:szCs w:val="24"/>
          <w:lang w:val="en"/>
        </w:rPr>
      </w:pPr>
      <w:r w:rsidRPr="004675C5">
        <w:rPr>
          <w:rFonts w:ascii="Times New Roman" w:hAnsi="Times New Roman" w:cs="Times New Roman"/>
          <w:i/>
          <w:sz w:val="24"/>
          <w:szCs w:val="24"/>
          <w:lang w:val="en"/>
        </w:rPr>
        <w:t>EU bilateral strategy and efficient multilateralism compatibility = potential for multilateralization of EU regional trade agreements + EU responses (accommodation or entrenchment) to BIC in the Doha Round before and after 2009 (change goes against compatibility)</w:t>
      </w:r>
    </w:p>
    <w:p w:rsidR="007F6DE0" w:rsidRDefault="007F6DE0" w:rsidP="00C836AB">
      <w:pPr>
        <w:jc w:val="both"/>
        <w:rPr>
          <w:rFonts w:ascii="Times New Roman" w:hAnsi="Times New Roman" w:cs="Times New Roman"/>
          <w:sz w:val="24"/>
          <w:szCs w:val="24"/>
          <w:lang w:val="en"/>
        </w:rPr>
      </w:pPr>
    </w:p>
    <w:p w:rsidR="002E50E9" w:rsidRPr="00910059" w:rsidRDefault="002E50E9" w:rsidP="00C836AB">
      <w:pPr>
        <w:jc w:val="both"/>
        <w:rPr>
          <w:rFonts w:ascii="Times New Roman" w:hAnsi="Times New Roman" w:cs="Times New Roman"/>
          <w:b/>
          <w:sz w:val="24"/>
          <w:szCs w:val="24"/>
          <w:lang w:val="en"/>
        </w:rPr>
      </w:pPr>
      <w:r w:rsidRPr="00910059">
        <w:rPr>
          <w:rFonts w:ascii="Times New Roman" w:hAnsi="Times New Roman" w:cs="Times New Roman"/>
          <w:b/>
          <w:sz w:val="24"/>
          <w:szCs w:val="24"/>
          <w:lang w:val="en"/>
        </w:rPr>
        <w:t>3.3. Conclusion</w:t>
      </w:r>
    </w:p>
    <w:p w:rsidR="00EB7F86" w:rsidRDefault="00053F50"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We propose to add a new independent variable into the compatibility equation of the European Commission</w:t>
      </w:r>
      <w:r w:rsidR="0031374B">
        <w:rPr>
          <w:rFonts w:ascii="Times New Roman" w:hAnsi="Times New Roman" w:cs="Times New Roman"/>
          <w:sz w:val="24"/>
          <w:szCs w:val="24"/>
          <w:lang w:val="en"/>
        </w:rPr>
        <w:t xml:space="preserve">: the reaction of </w:t>
      </w:r>
      <w:r w:rsidR="00D6161C">
        <w:rPr>
          <w:rFonts w:ascii="Times New Roman" w:hAnsi="Times New Roman" w:cs="Times New Roman"/>
          <w:sz w:val="24"/>
          <w:szCs w:val="24"/>
          <w:lang w:val="en"/>
        </w:rPr>
        <w:t>the EU to difficulties in the DR</w:t>
      </w:r>
      <w:r w:rsidR="0031374B">
        <w:rPr>
          <w:rFonts w:ascii="Times New Roman" w:hAnsi="Times New Roman" w:cs="Times New Roman"/>
          <w:sz w:val="24"/>
          <w:szCs w:val="24"/>
          <w:lang w:val="en"/>
        </w:rPr>
        <w:t xml:space="preserve"> negotiations</w:t>
      </w:r>
      <w:r>
        <w:rPr>
          <w:rFonts w:ascii="Times New Roman" w:hAnsi="Times New Roman" w:cs="Times New Roman"/>
          <w:sz w:val="24"/>
          <w:szCs w:val="24"/>
          <w:lang w:val="en"/>
        </w:rPr>
        <w:t>. The inclusion of this new variable is justified by</w:t>
      </w:r>
      <w:r w:rsidR="007E54B9">
        <w:rPr>
          <w:rFonts w:ascii="Times New Roman" w:hAnsi="Times New Roman" w:cs="Times New Roman"/>
          <w:sz w:val="24"/>
          <w:szCs w:val="24"/>
          <w:lang w:val="en"/>
        </w:rPr>
        <w:t xml:space="preserve"> a body of literature that indicates that there may be a link between multilateral negotiations difficulties and bilateral agreements objective. This literature indicates both </w:t>
      </w:r>
      <w:r>
        <w:rPr>
          <w:rFonts w:ascii="Times New Roman" w:hAnsi="Times New Roman" w:cs="Times New Roman"/>
          <w:sz w:val="24"/>
          <w:szCs w:val="24"/>
          <w:lang w:val="en"/>
        </w:rPr>
        <w:t xml:space="preserve">that difficulties in multilateral negotiations </w:t>
      </w:r>
      <w:r w:rsidR="0031374B">
        <w:rPr>
          <w:rFonts w:ascii="Times New Roman" w:hAnsi="Times New Roman" w:cs="Times New Roman"/>
          <w:sz w:val="24"/>
          <w:szCs w:val="24"/>
          <w:lang w:val="en"/>
        </w:rPr>
        <w:t xml:space="preserve">lead toward </w:t>
      </w:r>
      <w:r w:rsidR="00EB7F86">
        <w:rPr>
          <w:rFonts w:ascii="Times New Roman" w:hAnsi="Times New Roman" w:cs="Times New Roman"/>
          <w:sz w:val="24"/>
          <w:szCs w:val="24"/>
          <w:lang w:val="en"/>
        </w:rPr>
        <w:t xml:space="preserve">new </w:t>
      </w:r>
      <w:r w:rsidR="006E2A0C">
        <w:rPr>
          <w:rFonts w:ascii="Times New Roman" w:hAnsi="Times New Roman" w:cs="Times New Roman"/>
          <w:sz w:val="24"/>
          <w:szCs w:val="24"/>
          <w:lang w:val="en"/>
        </w:rPr>
        <w:t>bilateral agreements</w:t>
      </w:r>
      <w:r w:rsidR="007E54B9">
        <w:rPr>
          <w:rFonts w:ascii="Times New Roman" w:hAnsi="Times New Roman" w:cs="Times New Roman"/>
          <w:sz w:val="24"/>
          <w:szCs w:val="24"/>
          <w:lang w:val="en"/>
        </w:rPr>
        <w:t xml:space="preserve"> and that w</w:t>
      </w:r>
      <w:r w:rsidR="006E2A0C">
        <w:rPr>
          <w:rFonts w:ascii="Times New Roman" w:hAnsi="Times New Roman" w:cs="Times New Roman"/>
          <w:sz w:val="24"/>
          <w:szCs w:val="24"/>
          <w:lang w:val="en"/>
        </w:rPr>
        <w:t xml:space="preserve">hen these difficulties become too severe bilateral agreements become substitutes to the multilateral agreement.  </w:t>
      </w:r>
    </w:p>
    <w:p w:rsidR="00972494" w:rsidRPr="00972494" w:rsidRDefault="00972494" w:rsidP="00C836AB">
      <w:pPr>
        <w:jc w:val="both"/>
        <w:rPr>
          <w:rFonts w:ascii="Times New Roman" w:hAnsi="Times New Roman" w:cs="Times New Roman"/>
          <w:sz w:val="24"/>
          <w:szCs w:val="24"/>
          <w:lang w:val="en"/>
        </w:rPr>
      </w:pPr>
      <w:r w:rsidRPr="00972494">
        <w:rPr>
          <w:rFonts w:ascii="Times New Roman" w:hAnsi="Times New Roman" w:cs="Times New Roman"/>
          <w:sz w:val="24"/>
          <w:szCs w:val="24"/>
          <w:lang w:val="en"/>
        </w:rPr>
        <w:t>Is this what has happened in the case of the EU? Could it be that its bilateral strategy started as complemen</w:t>
      </w:r>
      <w:r w:rsidR="00D6161C">
        <w:rPr>
          <w:rFonts w:ascii="Times New Roman" w:hAnsi="Times New Roman" w:cs="Times New Roman"/>
          <w:sz w:val="24"/>
          <w:szCs w:val="24"/>
          <w:lang w:val="en"/>
        </w:rPr>
        <w:t xml:space="preserve">t and then became a substitute? </w:t>
      </w:r>
      <w:r w:rsidRPr="00972494">
        <w:rPr>
          <w:rFonts w:ascii="Times New Roman" w:hAnsi="Times New Roman" w:cs="Times New Roman"/>
          <w:sz w:val="24"/>
          <w:szCs w:val="24"/>
          <w:lang w:val="en"/>
        </w:rPr>
        <w:t>F</w:t>
      </w:r>
      <w:proofErr w:type="spellStart"/>
      <w:r w:rsidR="00D6161C">
        <w:rPr>
          <w:rFonts w:ascii="Times New Roman" w:hAnsi="Times New Roman" w:cs="Times New Roman"/>
          <w:sz w:val="24"/>
          <w:szCs w:val="24"/>
          <w:lang w:val="en-GB"/>
        </w:rPr>
        <w:t>rom</w:t>
      </w:r>
      <w:proofErr w:type="spellEnd"/>
      <w:r w:rsidR="00D6161C">
        <w:rPr>
          <w:rFonts w:ascii="Times New Roman" w:hAnsi="Times New Roman" w:cs="Times New Roman"/>
          <w:sz w:val="24"/>
          <w:szCs w:val="24"/>
          <w:lang w:val="en-GB"/>
        </w:rPr>
        <w:t xml:space="preserve"> </w:t>
      </w:r>
      <w:r w:rsidRPr="00972494">
        <w:rPr>
          <w:rFonts w:ascii="Times New Roman" w:hAnsi="Times New Roman" w:cs="Times New Roman"/>
          <w:sz w:val="24"/>
          <w:szCs w:val="24"/>
          <w:lang w:val="en-GB"/>
        </w:rPr>
        <w:t xml:space="preserve">2006 until 2009 the EU sought bilateral partners among new important trade players (India, ASEAN and South Korea). Since then, the EU has focused on reaching agreements with countries which are even more important trade partners (Canada, Japan and the US). Are we talking about the same bilateral strategy or has there been a change? </w:t>
      </w:r>
    </w:p>
    <w:p w:rsidR="00E566C2" w:rsidRDefault="00E566C2" w:rsidP="00E566C2">
      <w:pPr>
        <w:rPr>
          <w:rFonts w:ascii="Times New Roman" w:hAnsi="Times New Roman" w:cs="Times New Roman"/>
          <w:b/>
          <w:sz w:val="28"/>
          <w:szCs w:val="28"/>
          <w:lang w:val="en"/>
        </w:rPr>
      </w:pPr>
    </w:p>
    <w:p w:rsidR="00E566C2" w:rsidRDefault="000A10B4" w:rsidP="00E566C2">
      <w:pPr>
        <w:rPr>
          <w:rFonts w:ascii="Times New Roman" w:hAnsi="Times New Roman" w:cs="Times New Roman"/>
          <w:sz w:val="24"/>
          <w:szCs w:val="24"/>
          <w:lang w:val="en"/>
        </w:rPr>
      </w:pPr>
      <w:r w:rsidRPr="00E566C2">
        <w:rPr>
          <w:rFonts w:ascii="Times New Roman" w:hAnsi="Times New Roman" w:cs="Times New Roman"/>
          <w:b/>
          <w:sz w:val="28"/>
          <w:szCs w:val="28"/>
          <w:lang w:val="en"/>
        </w:rPr>
        <w:t xml:space="preserve">4. </w:t>
      </w:r>
      <w:r w:rsidR="00D86C8D" w:rsidRPr="00E566C2">
        <w:rPr>
          <w:rFonts w:ascii="Times New Roman" w:hAnsi="Times New Roman" w:cs="Times New Roman"/>
          <w:b/>
          <w:sz w:val="28"/>
          <w:szCs w:val="28"/>
          <w:lang w:val="en"/>
        </w:rPr>
        <w:t xml:space="preserve"> </w:t>
      </w:r>
      <w:r w:rsidR="007E54B9" w:rsidRPr="00E566C2">
        <w:rPr>
          <w:rFonts w:ascii="Times New Roman" w:hAnsi="Times New Roman" w:cs="Times New Roman"/>
          <w:b/>
          <w:sz w:val="28"/>
          <w:szCs w:val="28"/>
          <w:lang w:val="en"/>
        </w:rPr>
        <w:t>The reaction of the EU to the BIC since 2003</w:t>
      </w:r>
      <w:r w:rsidR="00917718" w:rsidRPr="00E566C2">
        <w:rPr>
          <w:rFonts w:ascii="Times New Roman" w:hAnsi="Times New Roman" w:cs="Times New Roman"/>
          <w:b/>
          <w:sz w:val="28"/>
          <w:szCs w:val="28"/>
          <w:lang w:val="en"/>
        </w:rPr>
        <w:t xml:space="preserve">  </w:t>
      </w:r>
      <w:r w:rsidR="00D86C8D" w:rsidRPr="00E566C2">
        <w:rPr>
          <w:rFonts w:ascii="Times New Roman" w:hAnsi="Times New Roman" w:cs="Times New Roman"/>
          <w:sz w:val="28"/>
          <w:szCs w:val="28"/>
          <w:lang w:val="en"/>
        </w:rPr>
        <w:br/>
      </w:r>
    </w:p>
    <w:p w:rsidR="00A22DF2" w:rsidRDefault="00D86C8D" w:rsidP="00E566C2">
      <w:pPr>
        <w:rPr>
          <w:rFonts w:ascii="Times New Roman" w:hAnsi="Times New Roman" w:cs="Times New Roman"/>
          <w:sz w:val="24"/>
          <w:szCs w:val="24"/>
          <w:lang w:val="en"/>
        </w:rPr>
      </w:pPr>
      <w:r w:rsidRPr="00874087">
        <w:rPr>
          <w:rFonts w:ascii="Times New Roman" w:hAnsi="Times New Roman" w:cs="Times New Roman"/>
          <w:sz w:val="24"/>
          <w:szCs w:val="24"/>
          <w:lang w:val="en"/>
        </w:rPr>
        <w:t xml:space="preserve">To carry out this analysis of the EU position </w:t>
      </w:r>
      <w:r w:rsidR="00CB05D4">
        <w:rPr>
          <w:rFonts w:ascii="Times New Roman" w:hAnsi="Times New Roman" w:cs="Times New Roman"/>
          <w:sz w:val="24"/>
          <w:szCs w:val="24"/>
          <w:lang w:val="en"/>
        </w:rPr>
        <w:t>versus</w:t>
      </w:r>
      <w:r w:rsidRPr="00874087">
        <w:rPr>
          <w:rFonts w:ascii="Times New Roman" w:hAnsi="Times New Roman" w:cs="Times New Roman"/>
          <w:sz w:val="24"/>
          <w:szCs w:val="24"/>
          <w:lang w:val="en"/>
        </w:rPr>
        <w:t xml:space="preserve"> emerging </w:t>
      </w:r>
      <w:r w:rsidR="00CB05D4">
        <w:rPr>
          <w:rFonts w:ascii="Times New Roman" w:hAnsi="Times New Roman" w:cs="Times New Roman"/>
          <w:sz w:val="24"/>
          <w:szCs w:val="24"/>
          <w:lang w:val="en"/>
        </w:rPr>
        <w:t xml:space="preserve">countries </w:t>
      </w:r>
      <w:r w:rsidRPr="00874087">
        <w:rPr>
          <w:rFonts w:ascii="Times New Roman" w:hAnsi="Times New Roman" w:cs="Times New Roman"/>
          <w:sz w:val="24"/>
          <w:szCs w:val="24"/>
          <w:lang w:val="en"/>
        </w:rPr>
        <w:t xml:space="preserve">along the </w:t>
      </w:r>
      <w:r w:rsidR="005A3D11">
        <w:rPr>
          <w:rFonts w:ascii="Times New Roman" w:hAnsi="Times New Roman" w:cs="Times New Roman"/>
          <w:sz w:val="24"/>
          <w:szCs w:val="24"/>
          <w:lang w:val="en"/>
        </w:rPr>
        <w:t>DR</w:t>
      </w:r>
      <w:r w:rsidRPr="00874087">
        <w:rPr>
          <w:rFonts w:ascii="Times New Roman" w:hAnsi="Times New Roman" w:cs="Times New Roman"/>
          <w:sz w:val="24"/>
          <w:szCs w:val="24"/>
          <w:lang w:val="en"/>
        </w:rPr>
        <w:t xml:space="preserve"> negotiations </w:t>
      </w:r>
      <w:r w:rsidR="00CB05D4">
        <w:rPr>
          <w:rFonts w:ascii="Times New Roman" w:hAnsi="Times New Roman" w:cs="Times New Roman"/>
          <w:sz w:val="24"/>
          <w:szCs w:val="24"/>
          <w:lang w:val="en"/>
        </w:rPr>
        <w:t>from</w:t>
      </w:r>
      <w:r w:rsidRPr="00874087">
        <w:rPr>
          <w:rFonts w:ascii="Times New Roman" w:hAnsi="Times New Roman" w:cs="Times New Roman"/>
          <w:sz w:val="24"/>
          <w:szCs w:val="24"/>
          <w:lang w:val="en"/>
        </w:rPr>
        <w:t xml:space="preserve"> 2003</w:t>
      </w:r>
      <w:r w:rsidR="00CB05D4">
        <w:rPr>
          <w:rFonts w:ascii="Times New Roman" w:hAnsi="Times New Roman" w:cs="Times New Roman"/>
          <w:sz w:val="24"/>
          <w:szCs w:val="24"/>
          <w:lang w:val="en"/>
        </w:rPr>
        <w:t xml:space="preserve"> to </w:t>
      </w:r>
      <w:r w:rsidRPr="00874087">
        <w:rPr>
          <w:rFonts w:ascii="Times New Roman" w:hAnsi="Times New Roman" w:cs="Times New Roman"/>
          <w:sz w:val="24"/>
          <w:szCs w:val="24"/>
          <w:lang w:val="en"/>
        </w:rPr>
        <w:t xml:space="preserve">2013, we </w:t>
      </w:r>
      <w:r w:rsidR="00CB05D4">
        <w:rPr>
          <w:rFonts w:ascii="Times New Roman" w:hAnsi="Times New Roman" w:cs="Times New Roman"/>
          <w:sz w:val="24"/>
          <w:szCs w:val="24"/>
          <w:lang w:val="en"/>
        </w:rPr>
        <w:t xml:space="preserve">have </w:t>
      </w:r>
      <w:r w:rsidRPr="00874087">
        <w:rPr>
          <w:rFonts w:ascii="Times New Roman" w:hAnsi="Times New Roman" w:cs="Times New Roman"/>
          <w:sz w:val="24"/>
          <w:szCs w:val="24"/>
          <w:lang w:val="en"/>
        </w:rPr>
        <w:t xml:space="preserve">used </w:t>
      </w:r>
      <w:r w:rsidR="00CB05D4">
        <w:rPr>
          <w:rFonts w:ascii="Times New Roman" w:hAnsi="Times New Roman" w:cs="Times New Roman"/>
          <w:sz w:val="24"/>
          <w:szCs w:val="24"/>
          <w:lang w:val="en"/>
        </w:rPr>
        <w:t>a primary source of information</w:t>
      </w:r>
      <w:r w:rsidRPr="00874087">
        <w:rPr>
          <w:rFonts w:ascii="Times New Roman" w:hAnsi="Times New Roman" w:cs="Times New Roman"/>
          <w:sz w:val="24"/>
          <w:szCs w:val="24"/>
          <w:lang w:val="en"/>
        </w:rPr>
        <w:t xml:space="preserve">: </w:t>
      </w:r>
      <w:r w:rsidR="00CB05D4">
        <w:rPr>
          <w:rFonts w:ascii="Times New Roman" w:hAnsi="Times New Roman" w:cs="Times New Roman"/>
          <w:sz w:val="24"/>
          <w:szCs w:val="24"/>
          <w:lang w:val="en"/>
        </w:rPr>
        <w:t xml:space="preserve">the </w:t>
      </w:r>
      <w:r w:rsidRPr="00CB05D4">
        <w:rPr>
          <w:rFonts w:ascii="Times New Roman" w:hAnsi="Times New Roman" w:cs="Times New Roman"/>
          <w:i/>
          <w:sz w:val="24"/>
          <w:szCs w:val="24"/>
          <w:lang w:val="en"/>
        </w:rPr>
        <w:t>Bridges Weekly</w:t>
      </w:r>
      <w:r w:rsidRPr="00874087">
        <w:rPr>
          <w:rFonts w:ascii="Times New Roman" w:hAnsi="Times New Roman" w:cs="Times New Roman"/>
          <w:sz w:val="24"/>
          <w:szCs w:val="24"/>
          <w:lang w:val="en"/>
        </w:rPr>
        <w:t xml:space="preserve"> </w:t>
      </w:r>
      <w:r w:rsidR="00CB05D4" w:rsidRPr="00874087">
        <w:rPr>
          <w:rFonts w:ascii="Times New Roman" w:hAnsi="Times New Roman" w:cs="Times New Roman"/>
          <w:sz w:val="24"/>
          <w:szCs w:val="24"/>
          <w:lang w:val="en"/>
        </w:rPr>
        <w:t xml:space="preserve">reports. </w:t>
      </w:r>
      <w:r w:rsidRPr="00874087">
        <w:rPr>
          <w:rFonts w:ascii="Times New Roman" w:hAnsi="Times New Roman" w:cs="Times New Roman"/>
          <w:sz w:val="24"/>
          <w:szCs w:val="24"/>
          <w:lang w:val="en"/>
        </w:rPr>
        <w:t>This publication of the International Centre for Trade and Sustainable Development (ICTSD) weekly summarizes what happen</w:t>
      </w:r>
      <w:r w:rsidR="00CB05D4">
        <w:rPr>
          <w:rFonts w:ascii="Times New Roman" w:hAnsi="Times New Roman" w:cs="Times New Roman"/>
          <w:sz w:val="24"/>
          <w:szCs w:val="24"/>
          <w:lang w:val="en"/>
        </w:rPr>
        <w:t>s</w:t>
      </w:r>
      <w:r w:rsidRPr="00874087">
        <w:rPr>
          <w:rFonts w:ascii="Times New Roman" w:hAnsi="Times New Roman" w:cs="Times New Roman"/>
          <w:sz w:val="24"/>
          <w:szCs w:val="24"/>
          <w:lang w:val="en"/>
        </w:rPr>
        <w:t xml:space="preserve"> in the context of the WTO</w:t>
      </w:r>
      <w:r w:rsidR="00CB05D4">
        <w:rPr>
          <w:rFonts w:ascii="Times New Roman" w:hAnsi="Times New Roman" w:cs="Times New Roman"/>
          <w:sz w:val="24"/>
          <w:szCs w:val="24"/>
          <w:lang w:val="en"/>
        </w:rPr>
        <w:t xml:space="preserve"> on the </w:t>
      </w:r>
      <w:r w:rsidRPr="00874087">
        <w:rPr>
          <w:rFonts w:ascii="Times New Roman" w:hAnsi="Times New Roman" w:cs="Times New Roman"/>
          <w:sz w:val="24"/>
          <w:szCs w:val="24"/>
          <w:lang w:val="en"/>
        </w:rPr>
        <w:t>base</w:t>
      </w:r>
      <w:r w:rsidR="00CB05D4">
        <w:rPr>
          <w:rFonts w:ascii="Times New Roman" w:hAnsi="Times New Roman" w:cs="Times New Roman"/>
          <w:sz w:val="24"/>
          <w:szCs w:val="24"/>
          <w:lang w:val="en"/>
        </w:rPr>
        <w:t>s of</w:t>
      </w:r>
      <w:r w:rsidRPr="00874087">
        <w:rPr>
          <w:rFonts w:ascii="Times New Roman" w:hAnsi="Times New Roman" w:cs="Times New Roman"/>
          <w:sz w:val="24"/>
          <w:szCs w:val="24"/>
          <w:lang w:val="en"/>
        </w:rPr>
        <w:t xml:space="preserve"> both interviews with participants in the negotiations a</w:t>
      </w:r>
      <w:r w:rsidR="00CB05D4">
        <w:rPr>
          <w:rFonts w:ascii="Times New Roman" w:hAnsi="Times New Roman" w:cs="Times New Roman"/>
          <w:sz w:val="24"/>
          <w:szCs w:val="24"/>
          <w:lang w:val="en"/>
        </w:rPr>
        <w:t>nd</w:t>
      </w:r>
      <w:r w:rsidRPr="00874087">
        <w:rPr>
          <w:rFonts w:ascii="Times New Roman" w:hAnsi="Times New Roman" w:cs="Times New Roman"/>
          <w:sz w:val="24"/>
          <w:szCs w:val="24"/>
          <w:lang w:val="en"/>
        </w:rPr>
        <w:t xml:space="preserve"> news from Reuters and several prestigious </w:t>
      </w:r>
      <w:r w:rsidR="00CB05D4" w:rsidRPr="00874087">
        <w:rPr>
          <w:rFonts w:ascii="Times New Roman" w:hAnsi="Times New Roman" w:cs="Times New Roman"/>
          <w:sz w:val="24"/>
          <w:szCs w:val="24"/>
          <w:lang w:val="en"/>
        </w:rPr>
        <w:t xml:space="preserve">newspapers. </w:t>
      </w:r>
      <w:r w:rsidR="00CB05D4" w:rsidRPr="00CB05D4">
        <w:rPr>
          <w:rFonts w:ascii="Times New Roman" w:hAnsi="Times New Roman" w:cs="Times New Roman"/>
          <w:sz w:val="24"/>
          <w:szCs w:val="24"/>
          <w:lang w:val="en"/>
        </w:rPr>
        <w:t xml:space="preserve">The </w:t>
      </w:r>
      <w:r w:rsidR="008E474E">
        <w:rPr>
          <w:rFonts w:ascii="Times New Roman" w:hAnsi="Times New Roman" w:cs="Times New Roman"/>
          <w:sz w:val="24"/>
          <w:szCs w:val="24"/>
          <w:lang w:val="en"/>
        </w:rPr>
        <w:t>account</w:t>
      </w:r>
      <w:r w:rsidR="00CB05D4" w:rsidRPr="00CB05D4">
        <w:rPr>
          <w:rFonts w:ascii="Times New Roman" w:hAnsi="Times New Roman" w:cs="Times New Roman"/>
          <w:sz w:val="24"/>
          <w:szCs w:val="24"/>
          <w:lang w:val="en"/>
        </w:rPr>
        <w:t xml:space="preserve"> of the negotiations</w:t>
      </w:r>
      <w:r w:rsidR="00CB05D4">
        <w:rPr>
          <w:rFonts w:ascii="Times New Roman" w:hAnsi="Times New Roman" w:cs="Times New Roman"/>
          <w:sz w:val="24"/>
          <w:szCs w:val="24"/>
          <w:lang w:val="en"/>
        </w:rPr>
        <w:t xml:space="preserve"> we </w:t>
      </w:r>
      <w:r w:rsidR="00250C52">
        <w:rPr>
          <w:rFonts w:ascii="Times New Roman" w:hAnsi="Times New Roman" w:cs="Times New Roman"/>
          <w:sz w:val="24"/>
          <w:szCs w:val="24"/>
          <w:lang w:val="en"/>
        </w:rPr>
        <w:lastRenderedPageBreak/>
        <w:t>employ</w:t>
      </w:r>
      <w:r w:rsidR="00CB05D4">
        <w:rPr>
          <w:rFonts w:ascii="Times New Roman" w:hAnsi="Times New Roman" w:cs="Times New Roman"/>
          <w:sz w:val="24"/>
          <w:szCs w:val="24"/>
          <w:lang w:val="en"/>
        </w:rPr>
        <w:t xml:space="preserve"> for the analysis </w:t>
      </w:r>
      <w:r w:rsidR="00CB05D4" w:rsidRPr="00CB05D4">
        <w:rPr>
          <w:rFonts w:ascii="Times New Roman" w:hAnsi="Times New Roman" w:cs="Times New Roman"/>
          <w:sz w:val="24"/>
          <w:szCs w:val="24"/>
          <w:lang w:val="en"/>
        </w:rPr>
        <w:t>is entirely based on this source of information.</w:t>
      </w:r>
      <w:r w:rsidRPr="00874087">
        <w:rPr>
          <w:rFonts w:ascii="Times New Roman" w:hAnsi="Times New Roman" w:cs="Times New Roman"/>
          <w:sz w:val="24"/>
          <w:szCs w:val="24"/>
          <w:lang w:val="en"/>
        </w:rPr>
        <w:br/>
      </w:r>
      <w:r w:rsidRPr="00874087">
        <w:rPr>
          <w:rFonts w:ascii="Times New Roman" w:hAnsi="Times New Roman" w:cs="Times New Roman"/>
          <w:sz w:val="24"/>
          <w:szCs w:val="24"/>
          <w:lang w:val="en"/>
        </w:rPr>
        <w:br/>
        <w:t>Th</w:t>
      </w:r>
      <w:r w:rsidR="00250C52">
        <w:rPr>
          <w:rFonts w:ascii="Times New Roman" w:hAnsi="Times New Roman" w:cs="Times New Roman"/>
          <w:sz w:val="24"/>
          <w:szCs w:val="24"/>
          <w:lang w:val="en"/>
        </w:rPr>
        <w:t>e</w:t>
      </w:r>
      <w:r w:rsidRPr="00874087">
        <w:rPr>
          <w:rFonts w:ascii="Times New Roman" w:hAnsi="Times New Roman" w:cs="Times New Roman"/>
          <w:sz w:val="24"/>
          <w:szCs w:val="24"/>
          <w:lang w:val="en"/>
        </w:rPr>
        <w:t xml:space="preserve"> </w:t>
      </w:r>
      <w:r w:rsidR="008E474E">
        <w:rPr>
          <w:rFonts w:ascii="Times New Roman" w:hAnsi="Times New Roman" w:cs="Times New Roman"/>
          <w:sz w:val="24"/>
          <w:szCs w:val="24"/>
          <w:lang w:val="en"/>
        </w:rPr>
        <w:t>narrative</w:t>
      </w:r>
      <w:r w:rsidRPr="00874087">
        <w:rPr>
          <w:rFonts w:ascii="Times New Roman" w:hAnsi="Times New Roman" w:cs="Times New Roman"/>
          <w:sz w:val="24"/>
          <w:szCs w:val="24"/>
          <w:lang w:val="en"/>
        </w:rPr>
        <w:t xml:space="preserve"> indicates that the position of the EU towards emerging </w:t>
      </w:r>
      <w:r w:rsidR="00CB05D4">
        <w:rPr>
          <w:rFonts w:ascii="Times New Roman" w:hAnsi="Times New Roman" w:cs="Times New Roman"/>
          <w:sz w:val="24"/>
          <w:szCs w:val="24"/>
          <w:lang w:val="en"/>
        </w:rPr>
        <w:t xml:space="preserve">countries has gone from accommodation in </w:t>
      </w:r>
      <w:r w:rsidRPr="00874087">
        <w:rPr>
          <w:rFonts w:ascii="Times New Roman" w:hAnsi="Times New Roman" w:cs="Times New Roman"/>
          <w:sz w:val="24"/>
          <w:szCs w:val="24"/>
          <w:lang w:val="en"/>
        </w:rPr>
        <w:t xml:space="preserve">2004-2008 to </w:t>
      </w:r>
      <w:r w:rsidR="00CB05D4" w:rsidRPr="00874087">
        <w:rPr>
          <w:rFonts w:ascii="Times New Roman" w:hAnsi="Times New Roman" w:cs="Times New Roman"/>
          <w:sz w:val="24"/>
          <w:szCs w:val="24"/>
          <w:lang w:val="en"/>
        </w:rPr>
        <w:t xml:space="preserve">entrenchment. </w:t>
      </w:r>
      <w:r w:rsidRPr="00874087">
        <w:rPr>
          <w:rFonts w:ascii="Times New Roman" w:hAnsi="Times New Roman" w:cs="Times New Roman"/>
          <w:sz w:val="24"/>
          <w:szCs w:val="24"/>
          <w:lang w:val="en"/>
        </w:rPr>
        <w:t>As we explain below</w:t>
      </w:r>
      <w:r w:rsidR="00CB05D4">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though the EU d</w:t>
      </w:r>
      <w:r w:rsidR="00CB05D4">
        <w:rPr>
          <w:rFonts w:ascii="Times New Roman" w:hAnsi="Times New Roman" w:cs="Times New Roman"/>
          <w:sz w:val="24"/>
          <w:szCs w:val="24"/>
          <w:lang w:val="en"/>
        </w:rPr>
        <w:t>id</w:t>
      </w:r>
      <w:r w:rsidRPr="00874087">
        <w:rPr>
          <w:rFonts w:ascii="Times New Roman" w:hAnsi="Times New Roman" w:cs="Times New Roman"/>
          <w:sz w:val="24"/>
          <w:szCs w:val="24"/>
          <w:lang w:val="en"/>
        </w:rPr>
        <w:t xml:space="preserve"> not preclude the inclusion of new actors in the d</w:t>
      </w:r>
      <w:r w:rsidR="00CB05D4">
        <w:rPr>
          <w:rFonts w:ascii="Times New Roman" w:hAnsi="Times New Roman" w:cs="Times New Roman"/>
          <w:sz w:val="24"/>
          <w:szCs w:val="24"/>
          <w:lang w:val="en"/>
        </w:rPr>
        <w:t xml:space="preserve">ecision-making mechanisms of the DR </w:t>
      </w:r>
      <w:r w:rsidRPr="00874087">
        <w:rPr>
          <w:rFonts w:ascii="Times New Roman" w:hAnsi="Times New Roman" w:cs="Times New Roman"/>
          <w:sz w:val="24"/>
          <w:szCs w:val="24"/>
          <w:lang w:val="en"/>
        </w:rPr>
        <w:t xml:space="preserve">at any time, </w:t>
      </w:r>
      <w:r w:rsidR="00CB05D4">
        <w:rPr>
          <w:rFonts w:ascii="Times New Roman" w:hAnsi="Times New Roman" w:cs="Times New Roman"/>
          <w:sz w:val="24"/>
          <w:szCs w:val="24"/>
          <w:lang w:val="en"/>
        </w:rPr>
        <w:t>its</w:t>
      </w:r>
      <w:r w:rsidRPr="00874087">
        <w:rPr>
          <w:rFonts w:ascii="Times New Roman" w:hAnsi="Times New Roman" w:cs="Times New Roman"/>
          <w:sz w:val="24"/>
          <w:szCs w:val="24"/>
          <w:lang w:val="en"/>
        </w:rPr>
        <w:t xml:space="preserve"> willingness to make concessions in negotiations seem</w:t>
      </w:r>
      <w:r w:rsidR="00CB05D4">
        <w:rPr>
          <w:rFonts w:ascii="Times New Roman" w:hAnsi="Times New Roman" w:cs="Times New Roman"/>
          <w:sz w:val="24"/>
          <w:szCs w:val="24"/>
          <w:lang w:val="en"/>
        </w:rPr>
        <w:t>ed</w:t>
      </w:r>
      <w:r w:rsidRPr="00874087">
        <w:rPr>
          <w:rFonts w:ascii="Times New Roman" w:hAnsi="Times New Roman" w:cs="Times New Roman"/>
          <w:sz w:val="24"/>
          <w:szCs w:val="24"/>
          <w:lang w:val="en"/>
        </w:rPr>
        <w:t xml:space="preserve"> to reach its limit in 2008. </w:t>
      </w:r>
      <w:r w:rsidR="00CE0B22" w:rsidRPr="00A22DF2">
        <w:rPr>
          <w:rFonts w:ascii="Times New Roman" w:hAnsi="Times New Roman" w:cs="Times New Roman"/>
          <w:sz w:val="24"/>
          <w:szCs w:val="24"/>
          <w:lang w:val="en"/>
        </w:rPr>
        <w:t>On the bases of our compatibility equation, t</w:t>
      </w:r>
      <w:r w:rsidR="00133C96" w:rsidRPr="00A22DF2">
        <w:rPr>
          <w:rFonts w:ascii="Times New Roman" w:hAnsi="Times New Roman" w:cs="Times New Roman"/>
          <w:sz w:val="24"/>
          <w:szCs w:val="24"/>
          <w:lang w:val="en"/>
        </w:rPr>
        <w:t>his change in attitude indicates</w:t>
      </w:r>
      <w:r w:rsidRPr="00A22DF2">
        <w:rPr>
          <w:rFonts w:ascii="Times New Roman" w:hAnsi="Times New Roman" w:cs="Times New Roman"/>
          <w:sz w:val="24"/>
          <w:szCs w:val="24"/>
          <w:lang w:val="en"/>
        </w:rPr>
        <w:t xml:space="preserve"> that </w:t>
      </w:r>
      <w:r w:rsidR="00133C96" w:rsidRPr="00A22DF2">
        <w:rPr>
          <w:rFonts w:ascii="Times New Roman" w:hAnsi="Times New Roman" w:cs="Times New Roman"/>
          <w:sz w:val="24"/>
          <w:szCs w:val="24"/>
          <w:lang w:val="en"/>
        </w:rPr>
        <w:t xml:space="preserve">the EU </w:t>
      </w:r>
      <w:r w:rsidRPr="00A22DF2">
        <w:rPr>
          <w:rFonts w:ascii="Times New Roman" w:hAnsi="Times New Roman" w:cs="Times New Roman"/>
          <w:sz w:val="24"/>
          <w:szCs w:val="24"/>
          <w:lang w:val="en"/>
        </w:rPr>
        <w:t xml:space="preserve">bilateral </w:t>
      </w:r>
      <w:r w:rsidR="00133C96" w:rsidRPr="00A22DF2">
        <w:rPr>
          <w:rFonts w:ascii="Times New Roman" w:hAnsi="Times New Roman" w:cs="Times New Roman"/>
          <w:sz w:val="24"/>
          <w:szCs w:val="24"/>
          <w:lang w:val="en"/>
        </w:rPr>
        <w:t xml:space="preserve">strategy could </w:t>
      </w:r>
      <w:r w:rsidRPr="00A22DF2">
        <w:rPr>
          <w:rFonts w:ascii="Times New Roman" w:hAnsi="Times New Roman" w:cs="Times New Roman"/>
          <w:sz w:val="24"/>
          <w:szCs w:val="24"/>
          <w:lang w:val="en"/>
        </w:rPr>
        <w:t xml:space="preserve">have </w:t>
      </w:r>
      <w:r w:rsidR="00133C96" w:rsidRPr="00A22DF2">
        <w:rPr>
          <w:rFonts w:ascii="Times New Roman" w:hAnsi="Times New Roman" w:cs="Times New Roman"/>
          <w:sz w:val="24"/>
          <w:szCs w:val="24"/>
          <w:lang w:val="en"/>
        </w:rPr>
        <w:t xml:space="preserve">also </w:t>
      </w:r>
      <w:r w:rsidR="00CE0B22" w:rsidRPr="00A22DF2">
        <w:rPr>
          <w:rFonts w:ascii="Times New Roman" w:hAnsi="Times New Roman" w:cs="Times New Roman"/>
          <w:sz w:val="24"/>
          <w:szCs w:val="24"/>
          <w:lang w:val="en"/>
        </w:rPr>
        <w:t xml:space="preserve">changed in nature: from compatible to efficient multilateralism to substitute. </w:t>
      </w:r>
    </w:p>
    <w:p w:rsidR="009E647D" w:rsidRPr="00A22DF2" w:rsidRDefault="00D86C8D" w:rsidP="00A22DF2">
      <w:pPr>
        <w:rPr>
          <w:rFonts w:ascii="Times New Roman" w:hAnsi="Times New Roman" w:cs="Times New Roman"/>
          <w:b/>
          <w:sz w:val="24"/>
          <w:szCs w:val="24"/>
          <w:lang w:val="en"/>
        </w:rPr>
      </w:pPr>
      <w:r w:rsidRPr="00874087">
        <w:rPr>
          <w:rFonts w:ascii="Times New Roman" w:hAnsi="Times New Roman" w:cs="Times New Roman"/>
          <w:sz w:val="24"/>
          <w:szCs w:val="24"/>
          <w:lang w:val="en"/>
        </w:rPr>
        <w:br/>
      </w:r>
      <w:r w:rsidR="00133C96" w:rsidRPr="00A22DF2">
        <w:rPr>
          <w:rFonts w:ascii="Times New Roman" w:hAnsi="Times New Roman" w:cs="Times New Roman"/>
          <w:b/>
          <w:sz w:val="24"/>
          <w:szCs w:val="24"/>
          <w:lang w:val="en"/>
        </w:rPr>
        <w:t xml:space="preserve">4.1. </w:t>
      </w:r>
      <w:r w:rsidR="00E2129A" w:rsidRPr="00A22DF2">
        <w:rPr>
          <w:rFonts w:ascii="Times New Roman" w:hAnsi="Times New Roman" w:cs="Times New Roman"/>
          <w:b/>
          <w:sz w:val="24"/>
          <w:szCs w:val="24"/>
          <w:lang w:val="en"/>
        </w:rPr>
        <w:t>D</w:t>
      </w:r>
      <w:r w:rsidRPr="00A22DF2">
        <w:rPr>
          <w:rFonts w:ascii="Times New Roman" w:hAnsi="Times New Roman" w:cs="Times New Roman"/>
          <w:b/>
          <w:sz w:val="24"/>
          <w:szCs w:val="24"/>
          <w:lang w:val="en"/>
        </w:rPr>
        <w:t>ecision</w:t>
      </w:r>
      <w:r w:rsidR="00133C96" w:rsidRPr="00A22DF2">
        <w:rPr>
          <w:rFonts w:ascii="Times New Roman" w:hAnsi="Times New Roman" w:cs="Times New Roman"/>
          <w:b/>
          <w:sz w:val="24"/>
          <w:szCs w:val="24"/>
          <w:lang w:val="en"/>
        </w:rPr>
        <w:t>-making</w:t>
      </w:r>
      <w:r w:rsidRPr="00A22DF2">
        <w:rPr>
          <w:rFonts w:ascii="Times New Roman" w:hAnsi="Times New Roman" w:cs="Times New Roman"/>
          <w:b/>
          <w:sz w:val="24"/>
          <w:szCs w:val="24"/>
          <w:lang w:val="en"/>
        </w:rPr>
        <w:t xml:space="preserve"> </w:t>
      </w:r>
      <w:r w:rsidR="00E2129A" w:rsidRPr="00A22DF2">
        <w:rPr>
          <w:rFonts w:ascii="Times New Roman" w:hAnsi="Times New Roman" w:cs="Times New Roman"/>
          <w:b/>
          <w:sz w:val="24"/>
          <w:szCs w:val="24"/>
          <w:lang w:val="en"/>
        </w:rPr>
        <w:t>a</w:t>
      </w:r>
      <w:r w:rsidR="00703F76" w:rsidRPr="00A22DF2">
        <w:rPr>
          <w:rFonts w:ascii="Times New Roman" w:hAnsi="Times New Roman" w:cs="Times New Roman"/>
          <w:b/>
          <w:sz w:val="24"/>
          <w:szCs w:val="24"/>
          <w:lang w:val="en"/>
        </w:rPr>
        <w:t>ccommodation</w:t>
      </w:r>
      <w:r w:rsidRPr="00A22DF2">
        <w:rPr>
          <w:rFonts w:ascii="Times New Roman" w:hAnsi="Times New Roman" w:cs="Times New Roman"/>
          <w:b/>
          <w:sz w:val="24"/>
          <w:szCs w:val="24"/>
          <w:lang w:val="en"/>
        </w:rPr>
        <w:br/>
      </w:r>
    </w:p>
    <w:p w:rsidR="00782D14" w:rsidRDefault="00D86C8D" w:rsidP="00C836AB">
      <w:pPr>
        <w:jc w:val="both"/>
        <w:rPr>
          <w:rFonts w:ascii="Times New Roman" w:hAnsi="Times New Roman" w:cs="Times New Roman"/>
          <w:sz w:val="24"/>
          <w:szCs w:val="24"/>
          <w:lang w:val="en-GB"/>
        </w:rPr>
      </w:pPr>
      <w:r w:rsidRPr="00874087">
        <w:rPr>
          <w:rFonts w:ascii="Times New Roman" w:hAnsi="Times New Roman" w:cs="Times New Roman"/>
          <w:sz w:val="24"/>
          <w:szCs w:val="24"/>
          <w:lang w:val="en"/>
        </w:rPr>
        <w:t xml:space="preserve">In rounds of international trade </w:t>
      </w:r>
      <w:r w:rsidR="00133C96" w:rsidRPr="00874087">
        <w:rPr>
          <w:rFonts w:ascii="Times New Roman" w:hAnsi="Times New Roman" w:cs="Times New Roman"/>
          <w:sz w:val="24"/>
          <w:szCs w:val="24"/>
          <w:lang w:val="en"/>
        </w:rPr>
        <w:t>negotiations,</w:t>
      </w:r>
      <w:r w:rsidRPr="00874087">
        <w:rPr>
          <w:rFonts w:ascii="Times New Roman" w:hAnsi="Times New Roman" w:cs="Times New Roman"/>
          <w:sz w:val="24"/>
          <w:szCs w:val="24"/>
          <w:lang w:val="en"/>
        </w:rPr>
        <w:t xml:space="preserve"> meetings to negotiate the content and make closer the positions are held at two levels: the technical and the </w:t>
      </w:r>
      <w:r w:rsidR="00133C96" w:rsidRPr="00874087">
        <w:rPr>
          <w:rFonts w:ascii="Times New Roman" w:hAnsi="Times New Roman" w:cs="Times New Roman"/>
          <w:sz w:val="24"/>
          <w:szCs w:val="24"/>
          <w:lang w:val="en"/>
        </w:rPr>
        <w:t xml:space="preserve">political. </w:t>
      </w:r>
      <w:r w:rsidRPr="00874087">
        <w:rPr>
          <w:rFonts w:ascii="Times New Roman" w:hAnsi="Times New Roman" w:cs="Times New Roman"/>
          <w:sz w:val="24"/>
          <w:szCs w:val="24"/>
          <w:lang w:val="en"/>
        </w:rPr>
        <w:t xml:space="preserve">The first takes place at the WTO headquarters in Geneva and is usually carried out by </w:t>
      </w:r>
      <w:r w:rsidR="00133C96">
        <w:rPr>
          <w:rFonts w:ascii="Times New Roman" w:hAnsi="Times New Roman" w:cs="Times New Roman"/>
          <w:sz w:val="24"/>
          <w:szCs w:val="24"/>
          <w:lang w:val="en"/>
        </w:rPr>
        <w:t xml:space="preserve">senior </w:t>
      </w:r>
      <w:r w:rsidRPr="00874087">
        <w:rPr>
          <w:rFonts w:ascii="Times New Roman" w:hAnsi="Times New Roman" w:cs="Times New Roman"/>
          <w:sz w:val="24"/>
          <w:szCs w:val="24"/>
          <w:lang w:val="en"/>
        </w:rPr>
        <w:t xml:space="preserve">officers of member countries and / or appointed </w:t>
      </w:r>
      <w:r w:rsidR="00350AE9" w:rsidRPr="00874087">
        <w:rPr>
          <w:rFonts w:ascii="Times New Roman" w:hAnsi="Times New Roman" w:cs="Times New Roman"/>
          <w:sz w:val="24"/>
          <w:szCs w:val="24"/>
          <w:lang w:val="en"/>
        </w:rPr>
        <w:t xml:space="preserve">ambassadors. </w:t>
      </w:r>
      <w:r w:rsidRPr="00874087">
        <w:rPr>
          <w:rFonts w:ascii="Times New Roman" w:hAnsi="Times New Roman" w:cs="Times New Roman"/>
          <w:sz w:val="24"/>
          <w:szCs w:val="24"/>
          <w:lang w:val="en"/>
        </w:rPr>
        <w:t xml:space="preserve">The second takes place at the level of trade ministers </w:t>
      </w:r>
      <w:r w:rsidR="00133C96">
        <w:rPr>
          <w:rFonts w:ascii="Times New Roman" w:hAnsi="Times New Roman" w:cs="Times New Roman"/>
          <w:sz w:val="24"/>
          <w:szCs w:val="24"/>
          <w:lang w:val="en"/>
        </w:rPr>
        <w:t xml:space="preserve">who </w:t>
      </w:r>
      <w:r w:rsidRPr="00874087">
        <w:rPr>
          <w:rFonts w:ascii="Times New Roman" w:hAnsi="Times New Roman" w:cs="Times New Roman"/>
          <w:sz w:val="24"/>
          <w:szCs w:val="24"/>
          <w:lang w:val="en"/>
        </w:rPr>
        <w:t xml:space="preserve">meet in different </w:t>
      </w:r>
      <w:r w:rsidR="00350AE9" w:rsidRPr="00874087">
        <w:rPr>
          <w:rFonts w:ascii="Times New Roman" w:hAnsi="Times New Roman" w:cs="Times New Roman"/>
          <w:sz w:val="24"/>
          <w:szCs w:val="24"/>
          <w:lang w:val="en"/>
        </w:rPr>
        <w:t>forum</w:t>
      </w:r>
      <w:r w:rsidR="00350AE9">
        <w:rPr>
          <w:rFonts w:ascii="Times New Roman" w:hAnsi="Times New Roman" w:cs="Times New Roman"/>
          <w:sz w:val="24"/>
          <w:szCs w:val="24"/>
          <w:lang w:val="en"/>
        </w:rPr>
        <w:t>s:</w:t>
      </w:r>
      <w:r w:rsidR="00133C96">
        <w:rPr>
          <w:rFonts w:ascii="Times New Roman" w:hAnsi="Times New Roman" w:cs="Times New Roman"/>
          <w:sz w:val="24"/>
          <w:szCs w:val="24"/>
          <w:lang w:val="en"/>
        </w:rPr>
        <w:t xml:space="preserve"> in the biannual ministerial </w:t>
      </w:r>
      <w:r w:rsidRPr="00874087">
        <w:rPr>
          <w:rFonts w:ascii="Times New Roman" w:hAnsi="Times New Roman" w:cs="Times New Roman"/>
          <w:sz w:val="24"/>
          <w:szCs w:val="24"/>
          <w:lang w:val="en"/>
        </w:rPr>
        <w:t>conference</w:t>
      </w:r>
      <w:r w:rsidR="00133C96">
        <w:rPr>
          <w:rFonts w:ascii="Times New Roman" w:hAnsi="Times New Roman" w:cs="Times New Roman"/>
          <w:sz w:val="24"/>
          <w:szCs w:val="24"/>
          <w:lang w:val="en"/>
        </w:rPr>
        <w:t>s</w:t>
      </w:r>
      <w:r w:rsidRPr="00874087">
        <w:rPr>
          <w:rFonts w:ascii="Times New Roman" w:hAnsi="Times New Roman" w:cs="Times New Roman"/>
          <w:sz w:val="24"/>
          <w:szCs w:val="24"/>
          <w:lang w:val="en"/>
        </w:rPr>
        <w:t xml:space="preserve"> </w:t>
      </w:r>
      <w:r w:rsidRPr="00133C96">
        <w:rPr>
          <w:rFonts w:ascii="Times New Roman" w:hAnsi="Times New Roman" w:cs="Times New Roman"/>
          <w:sz w:val="24"/>
          <w:szCs w:val="24"/>
          <w:lang w:val="en-GB"/>
        </w:rPr>
        <w:t>of the WTO</w:t>
      </w:r>
      <w:r w:rsidR="00133C96" w:rsidRPr="00133C96">
        <w:rPr>
          <w:rFonts w:ascii="Times New Roman" w:hAnsi="Times New Roman" w:cs="Times New Roman"/>
          <w:sz w:val="24"/>
          <w:szCs w:val="24"/>
          <w:lang w:val="en-GB"/>
        </w:rPr>
        <w:t xml:space="preserve"> and in the so-called</w:t>
      </w:r>
      <w:r w:rsidRPr="00133C96">
        <w:rPr>
          <w:rFonts w:ascii="Times New Roman" w:hAnsi="Times New Roman" w:cs="Times New Roman"/>
          <w:sz w:val="24"/>
          <w:szCs w:val="24"/>
          <w:lang w:val="en-GB"/>
        </w:rPr>
        <w:t xml:space="preserve"> mini</w:t>
      </w:r>
      <w:r w:rsidR="00133C96" w:rsidRPr="00133C96">
        <w:rPr>
          <w:rFonts w:ascii="Times New Roman" w:hAnsi="Times New Roman" w:cs="Times New Roman"/>
          <w:sz w:val="24"/>
          <w:szCs w:val="24"/>
          <w:lang w:val="en-GB"/>
        </w:rPr>
        <w:t>-</w:t>
      </w:r>
      <w:proofErr w:type="spellStart"/>
      <w:r w:rsidRPr="00133C96">
        <w:rPr>
          <w:rFonts w:ascii="Times New Roman" w:hAnsi="Times New Roman" w:cs="Times New Roman"/>
          <w:sz w:val="24"/>
          <w:szCs w:val="24"/>
          <w:lang w:val="en-GB"/>
        </w:rPr>
        <w:t>ministerial</w:t>
      </w:r>
      <w:r w:rsidR="00133C96" w:rsidRPr="00133C96">
        <w:rPr>
          <w:rFonts w:ascii="Times New Roman" w:hAnsi="Times New Roman" w:cs="Times New Roman"/>
          <w:sz w:val="24"/>
          <w:szCs w:val="24"/>
          <w:lang w:val="en-GB"/>
        </w:rPr>
        <w:t>s</w:t>
      </w:r>
      <w:proofErr w:type="spellEnd"/>
      <w:r w:rsidRPr="00133C96">
        <w:rPr>
          <w:rFonts w:ascii="Times New Roman" w:hAnsi="Times New Roman" w:cs="Times New Roman"/>
          <w:sz w:val="24"/>
          <w:szCs w:val="24"/>
          <w:lang w:val="en-GB"/>
        </w:rPr>
        <w:t xml:space="preserve"> </w:t>
      </w:r>
      <w:r w:rsidR="00133C96" w:rsidRPr="00133C96">
        <w:rPr>
          <w:rFonts w:ascii="Times New Roman" w:hAnsi="Times New Roman" w:cs="Times New Roman"/>
          <w:sz w:val="24"/>
          <w:szCs w:val="24"/>
          <w:lang w:val="en-GB"/>
        </w:rPr>
        <w:t xml:space="preserve">that </w:t>
      </w:r>
      <w:r w:rsidRPr="00133C96">
        <w:rPr>
          <w:rFonts w:ascii="Times New Roman" w:hAnsi="Times New Roman" w:cs="Times New Roman"/>
          <w:sz w:val="24"/>
          <w:szCs w:val="24"/>
          <w:lang w:val="en-GB"/>
        </w:rPr>
        <w:t xml:space="preserve">host </w:t>
      </w:r>
      <w:r w:rsidR="00133C96" w:rsidRPr="00133C96">
        <w:rPr>
          <w:rFonts w:ascii="Times New Roman" w:hAnsi="Times New Roman" w:cs="Times New Roman"/>
          <w:sz w:val="24"/>
          <w:szCs w:val="24"/>
          <w:lang w:val="en-GB"/>
        </w:rPr>
        <w:t xml:space="preserve">no </w:t>
      </w:r>
      <w:r w:rsidRPr="00133C96">
        <w:rPr>
          <w:rFonts w:ascii="Times New Roman" w:hAnsi="Times New Roman" w:cs="Times New Roman"/>
          <w:sz w:val="24"/>
          <w:szCs w:val="24"/>
          <w:lang w:val="en-GB"/>
        </w:rPr>
        <w:t>more than 30 countries and aim to give politi</w:t>
      </w:r>
      <w:r w:rsidR="00FF13DF">
        <w:rPr>
          <w:rFonts w:ascii="Times New Roman" w:hAnsi="Times New Roman" w:cs="Times New Roman"/>
          <w:sz w:val="24"/>
          <w:szCs w:val="24"/>
          <w:lang w:val="en-GB"/>
        </w:rPr>
        <w:t>cal impetus to the negotiations</w:t>
      </w:r>
      <w:r w:rsidRPr="00133C96">
        <w:rPr>
          <w:rFonts w:ascii="Times New Roman" w:hAnsi="Times New Roman" w:cs="Times New Roman"/>
          <w:sz w:val="24"/>
          <w:szCs w:val="24"/>
          <w:lang w:val="en-GB"/>
        </w:rPr>
        <w:t xml:space="preserve">. </w:t>
      </w:r>
      <w:r w:rsidR="00B67DE3">
        <w:rPr>
          <w:rFonts w:ascii="Times New Roman" w:hAnsi="Times New Roman" w:cs="Times New Roman"/>
          <w:sz w:val="24"/>
          <w:szCs w:val="24"/>
          <w:lang w:val="en-GB"/>
        </w:rPr>
        <w:t>Generally</w:t>
      </w:r>
      <w:r w:rsidR="00BC6A71">
        <w:rPr>
          <w:rFonts w:ascii="Times New Roman" w:hAnsi="Times New Roman" w:cs="Times New Roman"/>
          <w:sz w:val="24"/>
          <w:szCs w:val="24"/>
          <w:lang w:val="en-GB"/>
        </w:rPr>
        <w:t>, m</w:t>
      </w:r>
      <w:r w:rsidR="00133C96" w:rsidRPr="00133C96">
        <w:rPr>
          <w:rFonts w:ascii="Times New Roman" w:hAnsi="Times New Roman" w:cs="Times New Roman"/>
          <w:sz w:val="24"/>
          <w:szCs w:val="24"/>
          <w:lang w:val="en-GB"/>
        </w:rPr>
        <w:t>ini-</w:t>
      </w:r>
      <w:proofErr w:type="spellStart"/>
      <w:r w:rsidRPr="00133C96">
        <w:rPr>
          <w:rFonts w:ascii="Times New Roman" w:hAnsi="Times New Roman" w:cs="Times New Roman"/>
          <w:sz w:val="24"/>
          <w:szCs w:val="24"/>
          <w:lang w:val="en-GB"/>
        </w:rPr>
        <w:t>ministerial</w:t>
      </w:r>
      <w:r w:rsidR="00133C96" w:rsidRPr="00133C96">
        <w:rPr>
          <w:rFonts w:ascii="Times New Roman" w:hAnsi="Times New Roman" w:cs="Times New Roman"/>
          <w:sz w:val="24"/>
          <w:szCs w:val="24"/>
          <w:lang w:val="en-GB"/>
        </w:rPr>
        <w:t>s</w:t>
      </w:r>
      <w:proofErr w:type="spellEnd"/>
      <w:r w:rsidRPr="00133C96">
        <w:rPr>
          <w:rFonts w:ascii="Times New Roman" w:hAnsi="Times New Roman" w:cs="Times New Roman"/>
          <w:sz w:val="24"/>
          <w:szCs w:val="24"/>
          <w:lang w:val="en-GB"/>
        </w:rPr>
        <w:t xml:space="preserve"> take place several times a year in many different scenarios: </w:t>
      </w:r>
      <w:r w:rsidR="00133C96">
        <w:rPr>
          <w:rFonts w:ascii="Times New Roman" w:hAnsi="Times New Roman" w:cs="Times New Roman"/>
          <w:sz w:val="24"/>
          <w:szCs w:val="24"/>
          <w:lang w:val="en-GB"/>
        </w:rPr>
        <w:t xml:space="preserve">in </w:t>
      </w:r>
      <w:r w:rsidRPr="00133C96">
        <w:rPr>
          <w:rFonts w:ascii="Times New Roman" w:hAnsi="Times New Roman" w:cs="Times New Roman"/>
          <w:sz w:val="24"/>
          <w:szCs w:val="24"/>
          <w:lang w:val="en-GB"/>
        </w:rPr>
        <w:t>Geneva, wh</w:t>
      </w:r>
      <w:r w:rsidR="00133C96">
        <w:rPr>
          <w:rFonts w:ascii="Times New Roman" w:hAnsi="Times New Roman" w:cs="Times New Roman"/>
          <w:sz w:val="24"/>
          <w:szCs w:val="24"/>
          <w:lang w:val="en-GB"/>
        </w:rPr>
        <w:t>en</w:t>
      </w:r>
      <w:r w:rsidRPr="00133C96">
        <w:rPr>
          <w:rFonts w:ascii="Times New Roman" w:hAnsi="Times New Roman" w:cs="Times New Roman"/>
          <w:sz w:val="24"/>
          <w:szCs w:val="24"/>
          <w:lang w:val="en-GB"/>
        </w:rPr>
        <w:t xml:space="preserve"> the Director General considers it appropriate, and in </w:t>
      </w:r>
      <w:r w:rsidR="00133C96">
        <w:rPr>
          <w:rFonts w:ascii="Times New Roman" w:hAnsi="Times New Roman" w:cs="Times New Roman"/>
          <w:sz w:val="24"/>
          <w:szCs w:val="24"/>
          <w:lang w:val="en-GB"/>
        </w:rPr>
        <w:t xml:space="preserve">annual </w:t>
      </w:r>
      <w:r w:rsidRPr="00133C96">
        <w:rPr>
          <w:rFonts w:ascii="Times New Roman" w:hAnsi="Times New Roman" w:cs="Times New Roman"/>
          <w:sz w:val="24"/>
          <w:szCs w:val="24"/>
          <w:lang w:val="en-GB"/>
        </w:rPr>
        <w:t xml:space="preserve">international meetings </w:t>
      </w:r>
      <w:r w:rsidR="00782D14">
        <w:rPr>
          <w:rFonts w:ascii="Times New Roman" w:hAnsi="Times New Roman" w:cs="Times New Roman"/>
          <w:sz w:val="24"/>
          <w:szCs w:val="24"/>
          <w:lang w:val="en-GB"/>
        </w:rPr>
        <w:t xml:space="preserve">such </w:t>
      </w:r>
      <w:r w:rsidRPr="00133C96">
        <w:rPr>
          <w:rFonts w:ascii="Times New Roman" w:hAnsi="Times New Roman" w:cs="Times New Roman"/>
          <w:sz w:val="24"/>
          <w:szCs w:val="24"/>
          <w:lang w:val="en-GB"/>
        </w:rPr>
        <w:t>as Davos, OECD, G8, Cairns,</w:t>
      </w:r>
      <w:r w:rsidR="00782D14" w:rsidRPr="00782D14">
        <w:rPr>
          <w:rFonts w:ascii="Times New Roman" w:hAnsi="Times New Roman" w:cs="Times New Roman"/>
          <w:sz w:val="24"/>
          <w:szCs w:val="24"/>
          <w:vertAlign w:val="superscript"/>
        </w:rPr>
        <w:footnoteReference w:id="12"/>
      </w:r>
      <w:r w:rsidR="00782D14" w:rsidRPr="00782D14">
        <w:rPr>
          <w:rFonts w:ascii="Times New Roman" w:hAnsi="Times New Roman" w:cs="Times New Roman"/>
          <w:sz w:val="24"/>
          <w:szCs w:val="24"/>
          <w:lang w:val="en-GB"/>
        </w:rPr>
        <w:t xml:space="preserve"> </w:t>
      </w:r>
      <w:r w:rsidRPr="00133C96">
        <w:rPr>
          <w:rFonts w:ascii="Times New Roman" w:hAnsi="Times New Roman" w:cs="Times New Roman"/>
          <w:sz w:val="24"/>
          <w:szCs w:val="24"/>
          <w:lang w:val="en-GB"/>
        </w:rPr>
        <w:t xml:space="preserve"> </w:t>
      </w:r>
      <w:r w:rsidR="008A203F" w:rsidRPr="00133C96">
        <w:rPr>
          <w:rFonts w:ascii="Times New Roman" w:hAnsi="Times New Roman" w:cs="Times New Roman"/>
          <w:sz w:val="24"/>
          <w:szCs w:val="24"/>
          <w:lang w:val="en-GB"/>
        </w:rPr>
        <w:t xml:space="preserve">APEC </w:t>
      </w:r>
      <w:r w:rsidR="008A203F">
        <w:rPr>
          <w:rFonts w:ascii="Times New Roman" w:hAnsi="Times New Roman" w:cs="Times New Roman"/>
          <w:sz w:val="24"/>
          <w:szCs w:val="24"/>
          <w:lang w:val="en-GB"/>
        </w:rPr>
        <w:t>(</w:t>
      </w:r>
      <w:r w:rsidR="008A203F" w:rsidRPr="008A203F">
        <w:rPr>
          <w:rFonts w:ascii="Times New Roman" w:hAnsi="Times New Roman" w:cs="Times New Roman"/>
          <w:sz w:val="24"/>
          <w:szCs w:val="24"/>
          <w:lang w:val="en-GB"/>
        </w:rPr>
        <w:t>Asia-Pacific Economic Cooperation</w:t>
      </w:r>
      <w:r w:rsidR="008A203F">
        <w:rPr>
          <w:rFonts w:ascii="Times New Roman" w:hAnsi="Times New Roman" w:cs="Times New Roman"/>
          <w:sz w:val="24"/>
          <w:szCs w:val="24"/>
          <w:lang w:val="en-GB"/>
        </w:rPr>
        <w:t xml:space="preserve">) </w:t>
      </w:r>
      <w:r w:rsidR="008A203F" w:rsidRPr="00133C96">
        <w:rPr>
          <w:rFonts w:ascii="Times New Roman" w:hAnsi="Times New Roman" w:cs="Times New Roman"/>
          <w:sz w:val="24"/>
          <w:szCs w:val="24"/>
          <w:lang w:val="en-GB"/>
        </w:rPr>
        <w:t>and</w:t>
      </w:r>
      <w:r w:rsidR="00B67DE3">
        <w:rPr>
          <w:rFonts w:ascii="Times New Roman" w:hAnsi="Times New Roman" w:cs="Times New Roman"/>
          <w:sz w:val="24"/>
          <w:szCs w:val="24"/>
          <w:lang w:val="en-GB"/>
        </w:rPr>
        <w:t>,</w:t>
      </w:r>
      <w:r w:rsidRPr="00133C96">
        <w:rPr>
          <w:rFonts w:ascii="Times New Roman" w:hAnsi="Times New Roman" w:cs="Times New Roman"/>
          <w:sz w:val="24"/>
          <w:szCs w:val="24"/>
          <w:lang w:val="en-GB"/>
        </w:rPr>
        <w:t xml:space="preserve"> since 2008</w:t>
      </w:r>
      <w:r w:rsidR="00B67DE3">
        <w:rPr>
          <w:rFonts w:ascii="Times New Roman" w:hAnsi="Times New Roman" w:cs="Times New Roman"/>
          <w:sz w:val="24"/>
          <w:szCs w:val="24"/>
          <w:lang w:val="en-GB"/>
        </w:rPr>
        <w:t>,</w:t>
      </w:r>
      <w:r w:rsidRPr="00133C96">
        <w:rPr>
          <w:rFonts w:ascii="Times New Roman" w:hAnsi="Times New Roman" w:cs="Times New Roman"/>
          <w:sz w:val="24"/>
          <w:szCs w:val="24"/>
          <w:lang w:val="en-GB"/>
        </w:rPr>
        <w:t xml:space="preserve"> the financial G20.</w:t>
      </w:r>
    </w:p>
    <w:p w:rsidR="003928DD" w:rsidRDefault="00D86C8D" w:rsidP="00C836AB">
      <w:pPr>
        <w:jc w:val="both"/>
        <w:rPr>
          <w:rFonts w:ascii="Times New Roman" w:hAnsi="Times New Roman" w:cs="Times New Roman"/>
          <w:sz w:val="24"/>
          <w:szCs w:val="24"/>
          <w:lang w:val="en"/>
        </w:rPr>
      </w:pPr>
      <w:r w:rsidRPr="00782D14">
        <w:rPr>
          <w:rFonts w:ascii="Times New Roman" w:hAnsi="Times New Roman" w:cs="Times New Roman"/>
          <w:sz w:val="24"/>
          <w:szCs w:val="24"/>
          <w:lang w:val="en-GB"/>
        </w:rPr>
        <w:br/>
      </w:r>
      <w:r w:rsidRPr="00874087">
        <w:rPr>
          <w:rFonts w:ascii="Times New Roman" w:hAnsi="Times New Roman" w:cs="Times New Roman"/>
          <w:sz w:val="24"/>
          <w:szCs w:val="24"/>
          <w:lang w:val="en"/>
        </w:rPr>
        <w:t xml:space="preserve">The system to reach consensus on these trade </w:t>
      </w:r>
      <w:r w:rsidR="008A203F" w:rsidRPr="00874087">
        <w:rPr>
          <w:rFonts w:ascii="Times New Roman" w:hAnsi="Times New Roman" w:cs="Times New Roman"/>
          <w:sz w:val="24"/>
          <w:szCs w:val="24"/>
          <w:lang w:val="en"/>
        </w:rPr>
        <w:t>negotiations,</w:t>
      </w:r>
      <w:r w:rsidRPr="00874087">
        <w:rPr>
          <w:rFonts w:ascii="Times New Roman" w:hAnsi="Times New Roman" w:cs="Times New Roman"/>
          <w:sz w:val="24"/>
          <w:szCs w:val="24"/>
          <w:lang w:val="en"/>
        </w:rPr>
        <w:t xml:space="preserve"> either </w:t>
      </w:r>
      <w:r w:rsidR="008A203F">
        <w:rPr>
          <w:rFonts w:ascii="Times New Roman" w:hAnsi="Times New Roman" w:cs="Times New Roman"/>
          <w:sz w:val="24"/>
          <w:szCs w:val="24"/>
          <w:lang w:val="en"/>
        </w:rPr>
        <w:t xml:space="preserve">at </w:t>
      </w:r>
      <w:r w:rsidRPr="00874087">
        <w:rPr>
          <w:rFonts w:ascii="Times New Roman" w:hAnsi="Times New Roman" w:cs="Times New Roman"/>
          <w:sz w:val="24"/>
          <w:szCs w:val="24"/>
          <w:lang w:val="en"/>
        </w:rPr>
        <w:t xml:space="preserve">technical or political level, is </w:t>
      </w:r>
      <w:r w:rsidR="00BC6A71">
        <w:rPr>
          <w:rFonts w:ascii="Times New Roman" w:hAnsi="Times New Roman" w:cs="Times New Roman"/>
          <w:sz w:val="24"/>
          <w:szCs w:val="24"/>
          <w:lang w:val="en"/>
        </w:rPr>
        <w:t>commonly</w:t>
      </w:r>
      <w:r w:rsidRPr="00874087">
        <w:rPr>
          <w:rFonts w:ascii="Times New Roman" w:hAnsi="Times New Roman" w:cs="Times New Roman"/>
          <w:sz w:val="24"/>
          <w:szCs w:val="24"/>
          <w:lang w:val="en"/>
        </w:rPr>
        <w:t xml:space="preserve"> divided into three phases. First, the consensus </w:t>
      </w:r>
      <w:r w:rsidR="003928DD">
        <w:rPr>
          <w:rFonts w:ascii="Times New Roman" w:hAnsi="Times New Roman" w:cs="Times New Roman"/>
          <w:sz w:val="24"/>
          <w:szCs w:val="24"/>
          <w:lang w:val="en"/>
        </w:rPr>
        <w:t xml:space="preserve">is sought </w:t>
      </w:r>
      <w:r w:rsidRPr="00874087">
        <w:rPr>
          <w:rFonts w:ascii="Times New Roman" w:hAnsi="Times New Roman" w:cs="Times New Roman"/>
          <w:sz w:val="24"/>
          <w:szCs w:val="24"/>
          <w:lang w:val="en"/>
        </w:rPr>
        <w:t>among key market players</w:t>
      </w:r>
      <w:r w:rsidR="003928DD">
        <w:rPr>
          <w:rFonts w:ascii="Times New Roman" w:hAnsi="Times New Roman" w:cs="Times New Roman"/>
          <w:sz w:val="24"/>
          <w:szCs w:val="24"/>
          <w:lang w:val="en"/>
        </w:rPr>
        <w:t>, i.e.</w:t>
      </w:r>
      <w:r w:rsidRPr="00874087">
        <w:rPr>
          <w:rFonts w:ascii="Times New Roman" w:hAnsi="Times New Roman" w:cs="Times New Roman"/>
          <w:sz w:val="24"/>
          <w:szCs w:val="24"/>
          <w:lang w:val="en"/>
        </w:rPr>
        <w:t xml:space="preserve"> </w:t>
      </w:r>
      <w:r w:rsidR="003928DD">
        <w:rPr>
          <w:rFonts w:ascii="Times New Roman" w:hAnsi="Times New Roman" w:cs="Times New Roman"/>
          <w:sz w:val="24"/>
          <w:szCs w:val="24"/>
          <w:lang w:val="en"/>
        </w:rPr>
        <w:t>between</w:t>
      </w:r>
      <w:r w:rsidRPr="00874087">
        <w:rPr>
          <w:rFonts w:ascii="Times New Roman" w:hAnsi="Times New Roman" w:cs="Times New Roman"/>
          <w:sz w:val="24"/>
          <w:szCs w:val="24"/>
          <w:lang w:val="en"/>
        </w:rPr>
        <w:t xml:space="preserve"> members of the so-called Quad or mini-groups of key countries. The</w:t>
      </w:r>
      <w:r w:rsidR="003928DD">
        <w:rPr>
          <w:rFonts w:ascii="Times New Roman" w:hAnsi="Times New Roman" w:cs="Times New Roman"/>
          <w:sz w:val="24"/>
          <w:szCs w:val="24"/>
          <w:lang w:val="en"/>
        </w:rPr>
        <w:t xml:space="preserve"> second step is </w:t>
      </w:r>
      <w:r w:rsidRPr="00874087">
        <w:rPr>
          <w:rFonts w:ascii="Times New Roman" w:hAnsi="Times New Roman" w:cs="Times New Roman"/>
          <w:sz w:val="24"/>
          <w:szCs w:val="24"/>
          <w:lang w:val="en"/>
        </w:rPr>
        <w:t xml:space="preserve">to broaden the consensus </w:t>
      </w:r>
      <w:r w:rsidR="003928DD">
        <w:rPr>
          <w:rFonts w:ascii="Times New Roman" w:hAnsi="Times New Roman" w:cs="Times New Roman"/>
          <w:sz w:val="24"/>
          <w:szCs w:val="24"/>
          <w:lang w:val="en"/>
        </w:rPr>
        <w:t xml:space="preserve">to the </w:t>
      </w:r>
      <w:r w:rsidRPr="00874087">
        <w:rPr>
          <w:rFonts w:ascii="Times New Roman" w:hAnsi="Times New Roman" w:cs="Times New Roman"/>
          <w:sz w:val="24"/>
          <w:szCs w:val="24"/>
          <w:lang w:val="en"/>
        </w:rPr>
        <w:t>20-25 countries most affected by the measure through 'green room'</w:t>
      </w:r>
      <w:r w:rsidR="003928DD">
        <w:rPr>
          <w:rFonts w:ascii="Times New Roman" w:hAnsi="Times New Roman" w:cs="Times New Roman"/>
          <w:sz w:val="24"/>
          <w:szCs w:val="24"/>
          <w:lang w:val="en"/>
        </w:rPr>
        <w:t xml:space="preserve"> meetings.</w:t>
      </w:r>
      <w:r w:rsidR="003928DD" w:rsidRPr="003928DD">
        <w:rPr>
          <w:rFonts w:ascii="Times New Roman" w:hAnsi="Times New Roman" w:cs="Times New Roman"/>
          <w:sz w:val="24"/>
          <w:szCs w:val="24"/>
          <w:vertAlign w:val="superscript"/>
        </w:rPr>
        <w:footnoteReference w:id="13"/>
      </w:r>
      <w:r w:rsidR="003928DD">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 xml:space="preserve">Finally, </w:t>
      </w:r>
      <w:r w:rsidR="003928DD">
        <w:rPr>
          <w:rFonts w:ascii="Times New Roman" w:hAnsi="Times New Roman" w:cs="Times New Roman"/>
          <w:sz w:val="24"/>
          <w:szCs w:val="24"/>
          <w:lang w:val="en"/>
        </w:rPr>
        <w:t xml:space="preserve">the agreement is laid out </w:t>
      </w:r>
      <w:r w:rsidRPr="00874087">
        <w:rPr>
          <w:rFonts w:ascii="Times New Roman" w:hAnsi="Times New Roman" w:cs="Times New Roman"/>
          <w:sz w:val="24"/>
          <w:szCs w:val="24"/>
          <w:lang w:val="en"/>
        </w:rPr>
        <w:t>to the rest of the countries participating in the Round</w:t>
      </w:r>
      <w:r w:rsidR="003928DD">
        <w:rPr>
          <w:rFonts w:ascii="Times New Roman" w:hAnsi="Times New Roman" w:cs="Times New Roman"/>
          <w:sz w:val="24"/>
          <w:szCs w:val="24"/>
          <w:lang w:val="en"/>
        </w:rPr>
        <w:t xml:space="preserve"> so as to reach a final general consensus</w:t>
      </w:r>
      <w:r w:rsidRPr="00874087">
        <w:rPr>
          <w:rFonts w:ascii="Times New Roman" w:hAnsi="Times New Roman" w:cs="Times New Roman"/>
          <w:sz w:val="24"/>
          <w:szCs w:val="24"/>
          <w:lang w:val="en"/>
        </w:rPr>
        <w:t xml:space="preserve">. Unlike other international economic </w:t>
      </w:r>
      <w:r w:rsidR="003928DD" w:rsidRPr="00874087">
        <w:rPr>
          <w:rFonts w:ascii="Times New Roman" w:hAnsi="Times New Roman" w:cs="Times New Roman"/>
          <w:sz w:val="24"/>
          <w:szCs w:val="24"/>
          <w:lang w:val="en"/>
        </w:rPr>
        <w:t>organizations,</w:t>
      </w:r>
      <w:r w:rsidRPr="00874087">
        <w:rPr>
          <w:rFonts w:ascii="Times New Roman" w:hAnsi="Times New Roman" w:cs="Times New Roman"/>
          <w:sz w:val="24"/>
          <w:szCs w:val="24"/>
          <w:lang w:val="en"/>
        </w:rPr>
        <w:t xml:space="preserve"> these </w:t>
      </w:r>
      <w:r w:rsidR="003928DD">
        <w:rPr>
          <w:rFonts w:ascii="Times New Roman" w:hAnsi="Times New Roman" w:cs="Times New Roman"/>
          <w:sz w:val="24"/>
          <w:szCs w:val="24"/>
          <w:lang w:val="en"/>
        </w:rPr>
        <w:t xml:space="preserve">consensus-building </w:t>
      </w:r>
      <w:r w:rsidRPr="00874087">
        <w:rPr>
          <w:rFonts w:ascii="Times New Roman" w:hAnsi="Times New Roman" w:cs="Times New Roman"/>
          <w:sz w:val="24"/>
          <w:szCs w:val="24"/>
          <w:lang w:val="en"/>
        </w:rPr>
        <w:t>phases are informal. In other words,</w:t>
      </w:r>
      <w:r w:rsidR="003928DD">
        <w:rPr>
          <w:rFonts w:ascii="Times New Roman" w:hAnsi="Times New Roman" w:cs="Times New Roman"/>
          <w:sz w:val="24"/>
          <w:szCs w:val="24"/>
          <w:lang w:val="en"/>
        </w:rPr>
        <w:t xml:space="preserve"> their</w:t>
      </w:r>
      <w:r w:rsidRPr="00874087">
        <w:rPr>
          <w:rFonts w:ascii="Times New Roman" w:hAnsi="Times New Roman" w:cs="Times New Roman"/>
          <w:sz w:val="24"/>
          <w:szCs w:val="24"/>
          <w:lang w:val="en"/>
        </w:rPr>
        <w:t xml:space="preserve"> existence and composition are not </w:t>
      </w:r>
      <w:r w:rsidR="003928DD">
        <w:rPr>
          <w:rFonts w:ascii="Times New Roman" w:hAnsi="Times New Roman" w:cs="Times New Roman"/>
          <w:sz w:val="24"/>
          <w:szCs w:val="24"/>
          <w:lang w:val="en"/>
        </w:rPr>
        <w:t>determined by</w:t>
      </w:r>
      <w:r w:rsidRPr="00874087">
        <w:rPr>
          <w:rFonts w:ascii="Times New Roman" w:hAnsi="Times New Roman" w:cs="Times New Roman"/>
          <w:sz w:val="24"/>
          <w:szCs w:val="24"/>
          <w:lang w:val="en"/>
        </w:rPr>
        <w:t xml:space="preserve"> any rule or agreement</w:t>
      </w:r>
      <w:r w:rsidR="00C74ABF" w:rsidRPr="00874087">
        <w:rPr>
          <w:rFonts w:ascii="Times New Roman" w:hAnsi="Times New Roman" w:cs="Times New Roman"/>
          <w:sz w:val="24"/>
          <w:szCs w:val="24"/>
          <w:lang w:val="en"/>
        </w:rPr>
        <w:t xml:space="preserve"> (</w:t>
      </w:r>
      <w:proofErr w:type="spellStart"/>
      <w:r w:rsidRPr="00874087">
        <w:rPr>
          <w:rFonts w:ascii="Times New Roman" w:hAnsi="Times New Roman" w:cs="Times New Roman"/>
          <w:sz w:val="24"/>
          <w:szCs w:val="24"/>
          <w:lang w:val="en"/>
        </w:rPr>
        <w:t>Blackhurst</w:t>
      </w:r>
      <w:proofErr w:type="spellEnd"/>
      <w:r w:rsidRPr="00874087">
        <w:rPr>
          <w:rFonts w:ascii="Times New Roman" w:hAnsi="Times New Roman" w:cs="Times New Roman"/>
          <w:sz w:val="24"/>
          <w:szCs w:val="24"/>
          <w:lang w:val="en"/>
        </w:rPr>
        <w:t xml:space="preserve"> and </w:t>
      </w:r>
      <w:proofErr w:type="spellStart"/>
      <w:proofErr w:type="gramStart"/>
      <w:r w:rsidRPr="00874087">
        <w:rPr>
          <w:rFonts w:ascii="Times New Roman" w:hAnsi="Times New Roman" w:cs="Times New Roman"/>
          <w:sz w:val="24"/>
          <w:szCs w:val="24"/>
          <w:lang w:val="en"/>
        </w:rPr>
        <w:t>Hartridge</w:t>
      </w:r>
      <w:proofErr w:type="spellEnd"/>
      <w:r w:rsidRPr="00874087">
        <w:rPr>
          <w:rFonts w:ascii="Times New Roman" w:hAnsi="Times New Roman" w:cs="Times New Roman"/>
          <w:sz w:val="24"/>
          <w:szCs w:val="24"/>
          <w:lang w:val="en"/>
        </w:rPr>
        <w:t xml:space="preserve"> ,</w:t>
      </w:r>
      <w:proofErr w:type="gramEnd"/>
      <w:r w:rsidRPr="00874087">
        <w:rPr>
          <w:rFonts w:ascii="Times New Roman" w:hAnsi="Times New Roman" w:cs="Times New Roman"/>
          <w:sz w:val="24"/>
          <w:szCs w:val="24"/>
          <w:lang w:val="en"/>
        </w:rPr>
        <w:t xml:space="preserve"> 2004).</w:t>
      </w:r>
    </w:p>
    <w:p w:rsidR="00135D83"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lastRenderedPageBreak/>
        <w:t xml:space="preserve">Emerging countries were </w:t>
      </w:r>
      <w:r w:rsidR="00184EFB">
        <w:rPr>
          <w:rFonts w:ascii="Times New Roman" w:hAnsi="Times New Roman" w:cs="Times New Roman"/>
          <w:sz w:val="24"/>
          <w:szCs w:val="24"/>
          <w:lang w:val="en"/>
        </w:rPr>
        <w:t>regular</w:t>
      </w:r>
      <w:r w:rsidRPr="00874087">
        <w:rPr>
          <w:rFonts w:ascii="Times New Roman" w:hAnsi="Times New Roman" w:cs="Times New Roman"/>
          <w:sz w:val="24"/>
          <w:szCs w:val="24"/>
          <w:lang w:val="en"/>
        </w:rPr>
        <w:t xml:space="preserve"> participants in the 'green room' </w:t>
      </w:r>
      <w:r w:rsidR="00C74ABF">
        <w:rPr>
          <w:rFonts w:ascii="Times New Roman" w:hAnsi="Times New Roman" w:cs="Times New Roman"/>
          <w:sz w:val="24"/>
          <w:szCs w:val="24"/>
          <w:lang w:val="en"/>
        </w:rPr>
        <w:t xml:space="preserve">meetings </w:t>
      </w:r>
      <w:r w:rsidRPr="00874087">
        <w:rPr>
          <w:rFonts w:ascii="Times New Roman" w:hAnsi="Times New Roman" w:cs="Times New Roman"/>
          <w:sz w:val="24"/>
          <w:szCs w:val="24"/>
          <w:lang w:val="en"/>
        </w:rPr>
        <w:t>before the Cancun Ministerial Meeting (</w:t>
      </w:r>
      <w:proofErr w:type="spellStart"/>
      <w:r w:rsidRPr="00874087">
        <w:rPr>
          <w:rFonts w:ascii="Times New Roman" w:hAnsi="Times New Roman" w:cs="Times New Roman"/>
          <w:sz w:val="24"/>
          <w:szCs w:val="24"/>
          <w:lang w:val="en"/>
        </w:rPr>
        <w:t>Blackhurst</w:t>
      </w:r>
      <w:proofErr w:type="spellEnd"/>
      <w:r w:rsidRPr="00874087">
        <w:rPr>
          <w:rFonts w:ascii="Times New Roman" w:hAnsi="Times New Roman" w:cs="Times New Roman"/>
          <w:sz w:val="24"/>
          <w:szCs w:val="24"/>
          <w:lang w:val="en"/>
        </w:rPr>
        <w:t xml:space="preserve"> and </w:t>
      </w:r>
      <w:proofErr w:type="spellStart"/>
      <w:r w:rsidRPr="00874087">
        <w:rPr>
          <w:rFonts w:ascii="Times New Roman" w:hAnsi="Times New Roman" w:cs="Times New Roman"/>
          <w:sz w:val="24"/>
          <w:szCs w:val="24"/>
          <w:lang w:val="en"/>
        </w:rPr>
        <w:t>Hartridge</w:t>
      </w:r>
      <w:proofErr w:type="spellEnd"/>
      <w:r w:rsidRPr="00874087">
        <w:rPr>
          <w:rFonts w:ascii="Times New Roman" w:hAnsi="Times New Roman" w:cs="Times New Roman"/>
          <w:sz w:val="24"/>
          <w:szCs w:val="24"/>
          <w:lang w:val="en"/>
        </w:rPr>
        <w:t xml:space="preserve">, 2004; </w:t>
      </w:r>
      <w:proofErr w:type="spellStart"/>
      <w:r w:rsidRPr="00874087">
        <w:rPr>
          <w:rFonts w:ascii="Times New Roman" w:hAnsi="Times New Roman" w:cs="Times New Roman"/>
          <w:sz w:val="24"/>
          <w:szCs w:val="24"/>
          <w:lang w:val="en"/>
        </w:rPr>
        <w:t>Watal</w:t>
      </w:r>
      <w:proofErr w:type="spellEnd"/>
      <w:r w:rsidRPr="00874087">
        <w:rPr>
          <w:rFonts w:ascii="Times New Roman" w:hAnsi="Times New Roman" w:cs="Times New Roman"/>
          <w:sz w:val="24"/>
          <w:szCs w:val="24"/>
          <w:lang w:val="en"/>
        </w:rPr>
        <w:t xml:space="preserve"> and Schott, 2000), but the transition to the </w:t>
      </w:r>
      <w:r w:rsidR="00135D83" w:rsidRPr="00874087">
        <w:rPr>
          <w:rFonts w:ascii="Times New Roman" w:hAnsi="Times New Roman" w:cs="Times New Roman"/>
          <w:sz w:val="24"/>
          <w:szCs w:val="24"/>
          <w:lang w:val="en"/>
        </w:rPr>
        <w:t>“high</w:t>
      </w:r>
      <w:r w:rsidR="00C74ABF" w:rsidRPr="00C74ABF">
        <w:rPr>
          <w:rFonts w:ascii="Times New Roman" w:hAnsi="Times New Roman" w:cs="Times New Roman"/>
          <w:sz w:val="24"/>
          <w:szCs w:val="24"/>
          <w:lang w:val="en-GB"/>
        </w:rPr>
        <w:t xml:space="preserve"> table of multilateral negotiations</w:t>
      </w:r>
      <w:r w:rsidRPr="00874087">
        <w:rPr>
          <w:rFonts w:ascii="Times New Roman" w:hAnsi="Times New Roman" w:cs="Times New Roman"/>
          <w:sz w:val="24"/>
          <w:szCs w:val="24"/>
          <w:lang w:val="en"/>
        </w:rPr>
        <w:t>" (</w:t>
      </w:r>
      <w:proofErr w:type="spellStart"/>
      <w:r w:rsidRPr="00874087">
        <w:rPr>
          <w:rFonts w:ascii="Times New Roman" w:hAnsi="Times New Roman" w:cs="Times New Roman"/>
          <w:sz w:val="24"/>
          <w:szCs w:val="24"/>
          <w:lang w:val="en"/>
        </w:rPr>
        <w:t>Narlikar</w:t>
      </w:r>
      <w:proofErr w:type="spellEnd"/>
      <w:r w:rsidR="00C74ABF">
        <w:rPr>
          <w:rFonts w:ascii="Times New Roman" w:hAnsi="Times New Roman" w:cs="Times New Roman"/>
          <w:sz w:val="24"/>
          <w:szCs w:val="24"/>
          <w:lang w:val="en"/>
        </w:rPr>
        <w:t>, 2010</w:t>
      </w:r>
      <w:r w:rsidRPr="00874087">
        <w:rPr>
          <w:rFonts w:ascii="Times New Roman" w:hAnsi="Times New Roman" w:cs="Times New Roman"/>
          <w:sz w:val="24"/>
          <w:szCs w:val="24"/>
          <w:lang w:val="en"/>
        </w:rPr>
        <w:t xml:space="preserve">: 718) </w:t>
      </w:r>
      <w:r w:rsidR="00135D83" w:rsidRPr="00874087">
        <w:rPr>
          <w:rFonts w:ascii="Times New Roman" w:hAnsi="Times New Roman" w:cs="Times New Roman"/>
          <w:sz w:val="24"/>
          <w:szCs w:val="24"/>
          <w:lang w:val="en"/>
        </w:rPr>
        <w:t>occur</w:t>
      </w:r>
      <w:r w:rsidR="00135D83">
        <w:rPr>
          <w:rFonts w:ascii="Times New Roman" w:hAnsi="Times New Roman" w:cs="Times New Roman"/>
          <w:sz w:val="24"/>
          <w:szCs w:val="24"/>
          <w:lang w:val="en"/>
        </w:rPr>
        <w:t>red</w:t>
      </w:r>
      <w:r w:rsidRPr="00874087">
        <w:rPr>
          <w:rFonts w:ascii="Times New Roman" w:hAnsi="Times New Roman" w:cs="Times New Roman"/>
          <w:sz w:val="24"/>
          <w:szCs w:val="24"/>
          <w:lang w:val="en"/>
        </w:rPr>
        <w:t xml:space="preserve"> only in 2004</w:t>
      </w:r>
      <w:r w:rsidR="00135D83">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As already </w:t>
      </w:r>
      <w:r w:rsidR="00A47CE6">
        <w:rPr>
          <w:rFonts w:ascii="Times New Roman" w:hAnsi="Times New Roman" w:cs="Times New Roman"/>
          <w:sz w:val="24"/>
          <w:szCs w:val="24"/>
          <w:lang w:val="en"/>
        </w:rPr>
        <w:t>pointed out</w:t>
      </w:r>
      <w:r w:rsidRPr="00874087">
        <w:rPr>
          <w:rFonts w:ascii="Times New Roman" w:hAnsi="Times New Roman" w:cs="Times New Roman"/>
          <w:sz w:val="24"/>
          <w:szCs w:val="24"/>
          <w:lang w:val="en"/>
        </w:rPr>
        <w:t xml:space="preserve"> in the </w:t>
      </w:r>
      <w:r w:rsidR="00F34AB0">
        <w:rPr>
          <w:rFonts w:ascii="Times New Roman" w:hAnsi="Times New Roman" w:cs="Times New Roman"/>
          <w:sz w:val="24"/>
          <w:szCs w:val="24"/>
          <w:lang w:val="en"/>
        </w:rPr>
        <w:t>third</w:t>
      </w:r>
      <w:r w:rsidRPr="00874087">
        <w:rPr>
          <w:rFonts w:ascii="Times New Roman" w:hAnsi="Times New Roman" w:cs="Times New Roman"/>
          <w:sz w:val="24"/>
          <w:szCs w:val="24"/>
          <w:lang w:val="en"/>
        </w:rPr>
        <w:t xml:space="preserve"> </w:t>
      </w:r>
      <w:r w:rsidR="00135D83">
        <w:rPr>
          <w:rFonts w:ascii="Times New Roman" w:hAnsi="Times New Roman" w:cs="Times New Roman"/>
          <w:sz w:val="24"/>
          <w:szCs w:val="24"/>
          <w:lang w:val="en"/>
        </w:rPr>
        <w:t>section</w:t>
      </w:r>
      <w:r w:rsidRPr="00874087">
        <w:rPr>
          <w:rFonts w:ascii="Times New Roman" w:hAnsi="Times New Roman" w:cs="Times New Roman"/>
          <w:sz w:val="24"/>
          <w:szCs w:val="24"/>
          <w:lang w:val="en"/>
        </w:rPr>
        <w:t xml:space="preserve"> of this article, the breakdown of the </w:t>
      </w:r>
      <w:r w:rsidR="00135D83">
        <w:rPr>
          <w:rFonts w:ascii="Times New Roman" w:hAnsi="Times New Roman" w:cs="Times New Roman"/>
          <w:sz w:val="24"/>
          <w:szCs w:val="24"/>
          <w:lang w:val="en"/>
        </w:rPr>
        <w:t xml:space="preserve">traditional system of </w:t>
      </w:r>
      <w:r w:rsidRPr="00874087">
        <w:rPr>
          <w:rFonts w:ascii="Times New Roman" w:hAnsi="Times New Roman" w:cs="Times New Roman"/>
          <w:sz w:val="24"/>
          <w:szCs w:val="24"/>
          <w:lang w:val="en"/>
        </w:rPr>
        <w:t>consensus</w:t>
      </w:r>
      <w:r w:rsidR="00135D83">
        <w:rPr>
          <w:rFonts w:ascii="Times New Roman" w:hAnsi="Times New Roman" w:cs="Times New Roman"/>
          <w:sz w:val="24"/>
          <w:szCs w:val="24"/>
          <w:lang w:val="en"/>
        </w:rPr>
        <w:t>-building</w:t>
      </w:r>
      <w:r w:rsidRPr="00874087">
        <w:rPr>
          <w:rFonts w:ascii="Times New Roman" w:hAnsi="Times New Roman" w:cs="Times New Roman"/>
          <w:sz w:val="24"/>
          <w:szCs w:val="24"/>
          <w:lang w:val="en"/>
        </w:rPr>
        <w:t xml:space="preserve"> at the Cancun Ministerial led to the integration of </w:t>
      </w:r>
      <w:r w:rsidR="00135D83">
        <w:rPr>
          <w:rFonts w:ascii="Times New Roman" w:hAnsi="Times New Roman" w:cs="Times New Roman"/>
          <w:sz w:val="24"/>
          <w:szCs w:val="24"/>
          <w:lang w:val="en"/>
        </w:rPr>
        <w:t xml:space="preserve">the </w:t>
      </w:r>
      <w:r w:rsidRPr="00874087">
        <w:rPr>
          <w:rFonts w:ascii="Times New Roman" w:hAnsi="Times New Roman" w:cs="Times New Roman"/>
          <w:sz w:val="24"/>
          <w:szCs w:val="24"/>
          <w:lang w:val="en"/>
        </w:rPr>
        <w:t xml:space="preserve">emerging economies in the decision making </w:t>
      </w:r>
      <w:r w:rsidR="00135D83">
        <w:rPr>
          <w:rFonts w:ascii="Times New Roman" w:hAnsi="Times New Roman" w:cs="Times New Roman"/>
          <w:sz w:val="24"/>
          <w:szCs w:val="24"/>
          <w:lang w:val="en"/>
        </w:rPr>
        <w:t>core</w:t>
      </w:r>
      <w:r w:rsidRPr="00874087">
        <w:rPr>
          <w:rFonts w:ascii="Times New Roman" w:hAnsi="Times New Roman" w:cs="Times New Roman"/>
          <w:sz w:val="24"/>
          <w:szCs w:val="24"/>
          <w:lang w:val="en"/>
        </w:rPr>
        <w:t>.</w:t>
      </w:r>
    </w:p>
    <w:p w:rsidR="00B67DE3" w:rsidRDefault="00D86C8D" w:rsidP="00C836AB">
      <w:pPr>
        <w:jc w:val="both"/>
        <w:rPr>
          <w:rFonts w:ascii="Times New Roman" w:hAnsi="Times New Roman" w:cs="Times New Roman"/>
          <w:sz w:val="24"/>
          <w:szCs w:val="24"/>
          <w:lang w:val="en"/>
        </w:rPr>
      </w:pPr>
      <w:r w:rsidRPr="00FC0B3E">
        <w:rPr>
          <w:rFonts w:ascii="Times New Roman" w:hAnsi="Times New Roman" w:cs="Times New Roman"/>
          <w:sz w:val="24"/>
          <w:szCs w:val="24"/>
          <w:lang w:val="en-GB"/>
        </w:rPr>
        <w:br/>
      </w:r>
      <w:r w:rsidRPr="00874087">
        <w:rPr>
          <w:rFonts w:ascii="Times New Roman" w:hAnsi="Times New Roman" w:cs="Times New Roman"/>
          <w:sz w:val="24"/>
          <w:szCs w:val="24"/>
          <w:lang w:val="en"/>
        </w:rPr>
        <w:t xml:space="preserve">As the </w:t>
      </w:r>
      <w:r w:rsidRPr="00FD2D23">
        <w:rPr>
          <w:rFonts w:ascii="Times New Roman" w:hAnsi="Times New Roman" w:cs="Times New Roman"/>
          <w:i/>
          <w:sz w:val="24"/>
          <w:szCs w:val="24"/>
          <w:lang w:val="en"/>
        </w:rPr>
        <w:t>Bridges Weekly</w:t>
      </w:r>
      <w:r w:rsidR="00FC0B3E">
        <w:rPr>
          <w:rFonts w:ascii="Times New Roman" w:hAnsi="Times New Roman" w:cs="Times New Roman"/>
          <w:sz w:val="24"/>
          <w:szCs w:val="24"/>
          <w:lang w:val="en"/>
        </w:rPr>
        <w:t xml:space="preserve"> recounts</w:t>
      </w:r>
      <w:r w:rsidRPr="00874087">
        <w:rPr>
          <w:rFonts w:ascii="Times New Roman" w:hAnsi="Times New Roman" w:cs="Times New Roman"/>
          <w:sz w:val="24"/>
          <w:szCs w:val="24"/>
          <w:lang w:val="en"/>
        </w:rPr>
        <w:t xml:space="preserve">, </w:t>
      </w:r>
      <w:r w:rsidR="00FC0B3E">
        <w:rPr>
          <w:rFonts w:ascii="Times New Roman" w:hAnsi="Times New Roman" w:cs="Times New Roman"/>
          <w:sz w:val="24"/>
          <w:szCs w:val="24"/>
          <w:lang w:val="en"/>
        </w:rPr>
        <w:t>it w</w:t>
      </w:r>
      <w:r w:rsidRPr="00874087">
        <w:rPr>
          <w:rFonts w:ascii="Times New Roman" w:hAnsi="Times New Roman" w:cs="Times New Roman"/>
          <w:sz w:val="24"/>
          <w:szCs w:val="24"/>
          <w:lang w:val="en"/>
        </w:rPr>
        <w:t xml:space="preserve">as necessary to agree on some commitments in the agricultural </w:t>
      </w:r>
      <w:r w:rsidR="00FC0B3E">
        <w:rPr>
          <w:rFonts w:ascii="Times New Roman" w:hAnsi="Times New Roman" w:cs="Times New Roman"/>
          <w:sz w:val="24"/>
          <w:szCs w:val="24"/>
          <w:lang w:val="en"/>
        </w:rPr>
        <w:t>area</w:t>
      </w:r>
      <w:r w:rsidRPr="00874087">
        <w:rPr>
          <w:rFonts w:ascii="Times New Roman" w:hAnsi="Times New Roman" w:cs="Times New Roman"/>
          <w:sz w:val="24"/>
          <w:szCs w:val="24"/>
          <w:lang w:val="en"/>
        </w:rPr>
        <w:t>, the cornerstone of the Round</w:t>
      </w:r>
      <w:r w:rsidR="0069130E">
        <w:rPr>
          <w:rFonts w:ascii="Times New Roman" w:hAnsi="Times New Roman" w:cs="Times New Roman"/>
          <w:sz w:val="24"/>
          <w:szCs w:val="24"/>
          <w:lang w:val="en"/>
        </w:rPr>
        <w:t>,</w:t>
      </w:r>
      <w:r w:rsidR="0069130E" w:rsidRPr="0069130E">
        <w:rPr>
          <w:rFonts w:ascii="Times New Roman" w:hAnsi="Times New Roman" w:cs="Times New Roman"/>
          <w:sz w:val="24"/>
          <w:szCs w:val="24"/>
          <w:lang w:val="en"/>
        </w:rPr>
        <w:t xml:space="preserve"> to re</w:t>
      </w:r>
      <w:r w:rsidR="00B67DE3">
        <w:rPr>
          <w:rFonts w:ascii="Times New Roman" w:hAnsi="Times New Roman" w:cs="Times New Roman"/>
          <w:sz w:val="24"/>
          <w:szCs w:val="24"/>
          <w:lang w:val="en"/>
        </w:rPr>
        <w:t>-</w:t>
      </w:r>
      <w:r w:rsidR="0069130E" w:rsidRPr="0069130E">
        <w:rPr>
          <w:rFonts w:ascii="Times New Roman" w:hAnsi="Times New Roman" w:cs="Times New Roman"/>
          <w:sz w:val="24"/>
          <w:szCs w:val="24"/>
          <w:lang w:val="en"/>
        </w:rPr>
        <w:t xml:space="preserve">launch the DR negotiations in </w:t>
      </w:r>
      <w:r w:rsidR="0069130E">
        <w:rPr>
          <w:rFonts w:ascii="Times New Roman" w:hAnsi="Times New Roman" w:cs="Times New Roman"/>
          <w:sz w:val="24"/>
          <w:szCs w:val="24"/>
          <w:lang w:val="en"/>
        </w:rPr>
        <w:t>2004.</w:t>
      </w:r>
      <w:r w:rsidRPr="00874087">
        <w:rPr>
          <w:rFonts w:ascii="Times New Roman" w:hAnsi="Times New Roman" w:cs="Times New Roman"/>
          <w:sz w:val="24"/>
          <w:szCs w:val="24"/>
          <w:lang w:val="en"/>
        </w:rPr>
        <w:t xml:space="preserve"> </w:t>
      </w:r>
      <w:r w:rsidR="0069130E">
        <w:rPr>
          <w:rFonts w:ascii="Times New Roman" w:hAnsi="Times New Roman" w:cs="Times New Roman"/>
          <w:sz w:val="24"/>
          <w:szCs w:val="24"/>
          <w:lang w:val="en"/>
        </w:rPr>
        <w:t>C</w:t>
      </w:r>
      <w:r w:rsidRPr="00874087">
        <w:rPr>
          <w:rFonts w:ascii="Times New Roman" w:hAnsi="Times New Roman" w:cs="Times New Roman"/>
          <w:sz w:val="24"/>
          <w:szCs w:val="24"/>
          <w:lang w:val="en"/>
        </w:rPr>
        <w:t>onsensus was generated under the G5, also known a</w:t>
      </w:r>
      <w:r w:rsidR="00FC0B3E">
        <w:rPr>
          <w:rFonts w:ascii="Times New Roman" w:hAnsi="Times New Roman" w:cs="Times New Roman"/>
          <w:sz w:val="24"/>
          <w:szCs w:val="24"/>
          <w:lang w:val="en"/>
        </w:rPr>
        <w:t>s the ' Five Interested Parties'</w:t>
      </w:r>
      <w:r w:rsidRPr="00874087">
        <w:rPr>
          <w:rFonts w:ascii="Times New Roman" w:hAnsi="Times New Roman" w:cs="Times New Roman"/>
          <w:sz w:val="24"/>
          <w:szCs w:val="24"/>
          <w:lang w:val="en"/>
        </w:rPr>
        <w:t xml:space="preserve">, which includes the US, </w:t>
      </w:r>
      <w:r w:rsidR="00FC0B3E">
        <w:rPr>
          <w:rFonts w:ascii="Times New Roman" w:hAnsi="Times New Roman" w:cs="Times New Roman"/>
          <w:sz w:val="24"/>
          <w:szCs w:val="24"/>
          <w:lang w:val="en"/>
        </w:rPr>
        <w:t xml:space="preserve">the </w:t>
      </w:r>
      <w:r w:rsidRPr="00874087">
        <w:rPr>
          <w:rFonts w:ascii="Times New Roman" w:hAnsi="Times New Roman" w:cs="Times New Roman"/>
          <w:sz w:val="24"/>
          <w:szCs w:val="24"/>
          <w:lang w:val="en"/>
        </w:rPr>
        <w:t>EU, Brazil, India and</w:t>
      </w:r>
      <w:r w:rsidR="00FC0B3E">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the leader of the Cairns Group of agricultural exporting countries</w:t>
      </w:r>
      <w:r w:rsidR="00FC0B3E">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Australia. The result of this consensus </w:t>
      </w:r>
      <w:r w:rsidR="00FC0B3E">
        <w:rPr>
          <w:rFonts w:ascii="Times New Roman" w:hAnsi="Times New Roman" w:cs="Times New Roman"/>
          <w:sz w:val="24"/>
          <w:szCs w:val="24"/>
          <w:lang w:val="en"/>
        </w:rPr>
        <w:t>was the so</w:t>
      </w:r>
      <w:r w:rsidRPr="00874087">
        <w:rPr>
          <w:rFonts w:ascii="Times New Roman" w:hAnsi="Times New Roman" w:cs="Times New Roman"/>
          <w:sz w:val="24"/>
          <w:szCs w:val="24"/>
          <w:lang w:val="en"/>
        </w:rPr>
        <w:t>-called July 2004 package</w:t>
      </w:r>
      <w:r w:rsidR="00F96B5D">
        <w:rPr>
          <w:rFonts w:ascii="Times New Roman" w:hAnsi="Times New Roman" w:cs="Times New Roman"/>
          <w:sz w:val="24"/>
          <w:szCs w:val="24"/>
          <w:lang w:val="en"/>
        </w:rPr>
        <w:t xml:space="preserve">. While this pre-agreement allowed the reactivation of the DR, it was not sufficient to reach a final </w:t>
      </w:r>
      <w:r w:rsidR="00783632">
        <w:rPr>
          <w:rFonts w:ascii="Times New Roman" w:hAnsi="Times New Roman" w:cs="Times New Roman"/>
          <w:sz w:val="24"/>
          <w:szCs w:val="24"/>
          <w:lang w:val="en"/>
        </w:rPr>
        <w:t>deal</w:t>
      </w:r>
      <w:r w:rsidR="00F96B5D">
        <w:rPr>
          <w:rFonts w:ascii="Times New Roman" w:hAnsi="Times New Roman" w:cs="Times New Roman"/>
          <w:sz w:val="24"/>
          <w:szCs w:val="24"/>
          <w:lang w:val="en"/>
        </w:rPr>
        <w:t xml:space="preserve"> in 2005 as planned. </w:t>
      </w:r>
      <w:r w:rsidRPr="00874087">
        <w:rPr>
          <w:rFonts w:ascii="Times New Roman" w:hAnsi="Times New Roman" w:cs="Times New Roman"/>
          <w:sz w:val="24"/>
          <w:szCs w:val="24"/>
          <w:lang w:val="en"/>
        </w:rPr>
        <w:br/>
      </w:r>
    </w:p>
    <w:p w:rsidR="00E566C2"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t xml:space="preserve">Difficulties in reaching agreement have been constant. In the </w:t>
      </w:r>
      <w:r w:rsidR="00936A82">
        <w:rPr>
          <w:rFonts w:ascii="Times New Roman" w:hAnsi="Times New Roman" w:cs="Times New Roman"/>
          <w:sz w:val="24"/>
          <w:szCs w:val="24"/>
          <w:lang w:val="en"/>
        </w:rPr>
        <w:t>fourteen</w:t>
      </w:r>
      <w:r w:rsidRPr="00874087">
        <w:rPr>
          <w:rFonts w:ascii="Times New Roman" w:hAnsi="Times New Roman" w:cs="Times New Roman"/>
          <w:sz w:val="24"/>
          <w:szCs w:val="24"/>
          <w:lang w:val="en"/>
        </w:rPr>
        <w:t xml:space="preserve"> years since the start of </w:t>
      </w:r>
      <w:r w:rsidR="00B1759F">
        <w:rPr>
          <w:rFonts w:ascii="Times New Roman" w:hAnsi="Times New Roman" w:cs="Times New Roman"/>
          <w:sz w:val="24"/>
          <w:szCs w:val="24"/>
          <w:lang w:val="en"/>
        </w:rPr>
        <w:t xml:space="preserve">DR </w:t>
      </w:r>
      <w:r w:rsidR="00F96B5D" w:rsidRPr="00874087">
        <w:rPr>
          <w:rFonts w:ascii="Times New Roman" w:hAnsi="Times New Roman" w:cs="Times New Roman"/>
          <w:sz w:val="24"/>
          <w:szCs w:val="24"/>
          <w:lang w:val="en"/>
        </w:rPr>
        <w:t>negotiations,</w:t>
      </w:r>
      <w:r w:rsidRPr="00874087">
        <w:rPr>
          <w:rFonts w:ascii="Times New Roman" w:hAnsi="Times New Roman" w:cs="Times New Roman"/>
          <w:sz w:val="24"/>
          <w:szCs w:val="24"/>
          <w:lang w:val="en"/>
        </w:rPr>
        <w:t xml:space="preserve"> member countries have</w:t>
      </w:r>
      <w:r w:rsidR="00936A82">
        <w:rPr>
          <w:rFonts w:ascii="Times New Roman" w:hAnsi="Times New Roman" w:cs="Times New Roman"/>
          <w:sz w:val="24"/>
          <w:szCs w:val="24"/>
          <w:lang w:val="en"/>
        </w:rPr>
        <w:t xml:space="preserve"> regularly</w:t>
      </w:r>
      <w:r w:rsidRPr="00874087">
        <w:rPr>
          <w:rFonts w:ascii="Times New Roman" w:hAnsi="Times New Roman" w:cs="Times New Roman"/>
          <w:sz w:val="24"/>
          <w:szCs w:val="24"/>
          <w:lang w:val="en"/>
        </w:rPr>
        <w:t xml:space="preserve"> pledged to end </w:t>
      </w:r>
      <w:r w:rsidR="00936A82">
        <w:rPr>
          <w:rFonts w:ascii="Times New Roman" w:hAnsi="Times New Roman" w:cs="Times New Roman"/>
          <w:sz w:val="24"/>
          <w:szCs w:val="24"/>
          <w:lang w:val="en"/>
        </w:rPr>
        <w:t>them</w:t>
      </w:r>
      <w:r w:rsidRPr="00874087">
        <w:rPr>
          <w:rFonts w:ascii="Times New Roman" w:hAnsi="Times New Roman" w:cs="Times New Roman"/>
          <w:sz w:val="24"/>
          <w:szCs w:val="24"/>
          <w:lang w:val="en"/>
        </w:rPr>
        <w:t xml:space="preserve"> and failed in </w:t>
      </w:r>
      <w:r w:rsidR="00F96B5D">
        <w:rPr>
          <w:rFonts w:ascii="Times New Roman" w:hAnsi="Times New Roman" w:cs="Times New Roman"/>
          <w:sz w:val="24"/>
          <w:szCs w:val="24"/>
          <w:lang w:val="en"/>
        </w:rPr>
        <w:t>their</w:t>
      </w:r>
      <w:r w:rsidRPr="00874087">
        <w:rPr>
          <w:rFonts w:ascii="Times New Roman" w:hAnsi="Times New Roman" w:cs="Times New Roman"/>
          <w:sz w:val="24"/>
          <w:szCs w:val="24"/>
          <w:lang w:val="en"/>
        </w:rPr>
        <w:t xml:space="preserve"> </w:t>
      </w:r>
      <w:r w:rsidR="00F96B5D" w:rsidRPr="00874087">
        <w:rPr>
          <w:rFonts w:ascii="Times New Roman" w:hAnsi="Times New Roman" w:cs="Times New Roman"/>
          <w:sz w:val="24"/>
          <w:szCs w:val="24"/>
          <w:lang w:val="en"/>
        </w:rPr>
        <w:t xml:space="preserve">objective. </w:t>
      </w:r>
      <w:r w:rsidR="00F96B5D">
        <w:rPr>
          <w:rFonts w:ascii="Times New Roman" w:hAnsi="Times New Roman" w:cs="Times New Roman"/>
          <w:sz w:val="24"/>
          <w:szCs w:val="24"/>
          <w:lang w:val="en"/>
        </w:rPr>
        <w:t>E</w:t>
      </w:r>
      <w:r w:rsidRPr="00874087">
        <w:rPr>
          <w:rFonts w:ascii="Times New Roman" w:hAnsi="Times New Roman" w:cs="Times New Roman"/>
          <w:sz w:val="24"/>
          <w:szCs w:val="24"/>
          <w:lang w:val="en"/>
        </w:rPr>
        <w:t xml:space="preserve">fforts have been made to achieve this </w:t>
      </w:r>
      <w:r w:rsidR="00F96B5D">
        <w:rPr>
          <w:rFonts w:ascii="Times New Roman" w:hAnsi="Times New Roman" w:cs="Times New Roman"/>
          <w:sz w:val="24"/>
          <w:szCs w:val="24"/>
          <w:lang w:val="en"/>
        </w:rPr>
        <w:t xml:space="preserve">goal </w:t>
      </w:r>
      <w:r w:rsidRPr="00874087">
        <w:rPr>
          <w:rFonts w:ascii="Times New Roman" w:hAnsi="Times New Roman" w:cs="Times New Roman"/>
          <w:sz w:val="24"/>
          <w:szCs w:val="24"/>
          <w:lang w:val="en"/>
        </w:rPr>
        <w:t xml:space="preserve">by modifying </w:t>
      </w:r>
      <w:r w:rsidR="00F96B5D">
        <w:rPr>
          <w:rFonts w:ascii="Times New Roman" w:hAnsi="Times New Roman" w:cs="Times New Roman"/>
          <w:sz w:val="24"/>
          <w:szCs w:val="24"/>
          <w:lang w:val="en"/>
        </w:rPr>
        <w:t xml:space="preserve">several times </w:t>
      </w:r>
      <w:r w:rsidRPr="00874087">
        <w:rPr>
          <w:rFonts w:ascii="Times New Roman" w:hAnsi="Times New Roman" w:cs="Times New Roman"/>
          <w:sz w:val="24"/>
          <w:szCs w:val="24"/>
          <w:lang w:val="en"/>
        </w:rPr>
        <w:t>the composition of the consensus group</w:t>
      </w:r>
      <w:r w:rsidR="00F96B5D">
        <w:rPr>
          <w:rFonts w:ascii="Times New Roman" w:hAnsi="Times New Roman" w:cs="Times New Roman"/>
          <w:sz w:val="24"/>
          <w:szCs w:val="24"/>
          <w:lang w:val="en"/>
        </w:rPr>
        <w:t xml:space="preserve">s so as to try to adjust them to </w:t>
      </w:r>
      <w:r w:rsidRPr="00874087">
        <w:rPr>
          <w:rFonts w:ascii="Times New Roman" w:hAnsi="Times New Roman" w:cs="Times New Roman"/>
          <w:sz w:val="24"/>
          <w:szCs w:val="24"/>
          <w:lang w:val="en"/>
        </w:rPr>
        <w:t>the progress of the negotiations.</w:t>
      </w:r>
    </w:p>
    <w:p w:rsidR="00E566C2" w:rsidRDefault="00D86C8D" w:rsidP="00C836AB">
      <w:pPr>
        <w:jc w:val="both"/>
        <w:rPr>
          <w:rFonts w:ascii="Times New Roman" w:hAnsi="Times New Roman" w:cs="Times New Roman"/>
          <w:sz w:val="24"/>
          <w:szCs w:val="24"/>
          <w:lang w:val="en"/>
        </w:rPr>
      </w:pPr>
      <w:r w:rsidRPr="0069130E">
        <w:rPr>
          <w:rFonts w:ascii="Times New Roman" w:hAnsi="Times New Roman" w:cs="Times New Roman"/>
          <w:sz w:val="24"/>
          <w:szCs w:val="24"/>
          <w:lang w:val="en-GB"/>
        </w:rPr>
        <w:br/>
      </w:r>
      <w:r w:rsidRPr="00874087">
        <w:rPr>
          <w:rFonts w:ascii="Times New Roman" w:hAnsi="Times New Roman" w:cs="Times New Roman"/>
          <w:sz w:val="24"/>
          <w:szCs w:val="24"/>
          <w:lang w:val="en"/>
        </w:rPr>
        <w:t xml:space="preserve">In 2005, the G5 </w:t>
      </w:r>
      <w:r w:rsidR="00F10B7D">
        <w:rPr>
          <w:rFonts w:ascii="Times New Roman" w:hAnsi="Times New Roman" w:cs="Times New Roman"/>
          <w:sz w:val="24"/>
          <w:szCs w:val="24"/>
          <w:lang w:val="en"/>
        </w:rPr>
        <w:t>wa</w:t>
      </w:r>
      <w:r w:rsidRPr="00874087">
        <w:rPr>
          <w:rFonts w:ascii="Times New Roman" w:hAnsi="Times New Roman" w:cs="Times New Roman"/>
          <w:sz w:val="24"/>
          <w:szCs w:val="24"/>
          <w:lang w:val="en"/>
        </w:rPr>
        <w:t xml:space="preserve">s still the reference </w:t>
      </w:r>
      <w:r w:rsidR="0069130E">
        <w:rPr>
          <w:rFonts w:ascii="Times New Roman" w:hAnsi="Times New Roman" w:cs="Times New Roman"/>
          <w:sz w:val="24"/>
          <w:szCs w:val="24"/>
          <w:lang w:val="en"/>
        </w:rPr>
        <w:t xml:space="preserve">consensus-building core </w:t>
      </w:r>
      <w:r w:rsidRPr="00874087">
        <w:rPr>
          <w:rFonts w:ascii="Times New Roman" w:hAnsi="Times New Roman" w:cs="Times New Roman"/>
          <w:sz w:val="24"/>
          <w:szCs w:val="24"/>
          <w:lang w:val="en"/>
        </w:rPr>
        <w:t xml:space="preserve">for agricultural issues but in September of that year the new Quad </w:t>
      </w:r>
      <w:r w:rsidR="0069130E">
        <w:rPr>
          <w:rFonts w:ascii="Times New Roman" w:hAnsi="Times New Roman" w:cs="Times New Roman"/>
          <w:sz w:val="24"/>
          <w:szCs w:val="24"/>
          <w:lang w:val="en"/>
        </w:rPr>
        <w:t>ma</w:t>
      </w:r>
      <w:r w:rsidR="00F10B7D">
        <w:rPr>
          <w:rFonts w:ascii="Times New Roman" w:hAnsi="Times New Roman" w:cs="Times New Roman"/>
          <w:sz w:val="24"/>
          <w:szCs w:val="24"/>
          <w:lang w:val="en"/>
        </w:rPr>
        <w:t>de</w:t>
      </w:r>
      <w:r w:rsidR="0069130E">
        <w:rPr>
          <w:rFonts w:ascii="Times New Roman" w:hAnsi="Times New Roman" w:cs="Times New Roman"/>
          <w:sz w:val="24"/>
          <w:szCs w:val="24"/>
          <w:lang w:val="en"/>
        </w:rPr>
        <w:t xml:space="preserve"> its debut. Composed by the US</w:t>
      </w:r>
      <w:r w:rsidRPr="00874087">
        <w:rPr>
          <w:rFonts w:ascii="Times New Roman" w:hAnsi="Times New Roman" w:cs="Times New Roman"/>
          <w:sz w:val="24"/>
          <w:szCs w:val="24"/>
          <w:lang w:val="en"/>
        </w:rPr>
        <w:t xml:space="preserve">, </w:t>
      </w:r>
      <w:r w:rsidR="0069130E">
        <w:rPr>
          <w:rFonts w:ascii="Times New Roman" w:hAnsi="Times New Roman" w:cs="Times New Roman"/>
          <w:sz w:val="24"/>
          <w:szCs w:val="24"/>
          <w:lang w:val="en"/>
        </w:rPr>
        <w:t xml:space="preserve">the </w:t>
      </w:r>
      <w:r w:rsidRPr="00874087">
        <w:rPr>
          <w:rFonts w:ascii="Times New Roman" w:hAnsi="Times New Roman" w:cs="Times New Roman"/>
          <w:sz w:val="24"/>
          <w:szCs w:val="24"/>
          <w:lang w:val="en"/>
        </w:rPr>
        <w:t>EU, Brazil and India, this group receive</w:t>
      </w:r>
      <w:r w:rsidR="00F10B7D">
        <w:rPr>
          <w:rFonts w:ascii="Times New Roman" w:hAnsi="Times New Roman" w:cs="Times New Roman"/>
          <w:sz w:val="24"/>
          <w:szCs w:val="24"/>
          <w:lang w:val="en"/>
        </w:rPr>
        <w:t>d</w:t>
      </w:r>
      <w:r w:rsidRPr="00874087">
        <w:rPr>
          <w:rFonts w:ascii="Times New Roman" w:hAnsi="Times New Roman" w:cs="Times New Roman"/>
          <w:sz w:val="24"/>
          <w:szCs w:val="24"/>
          <w:lang w:val="en"/>
        </w:rPr>
        <w:t xml:space="preserve"> </w:t>
      </w:r>
      <w:r w:rsidR="0069130E">
        <w:rPr>
          <w:rFonts w:ascii="Times New Roman" w:hAnsi="Times New Roman" w:cs="Times New Roman"/>
          <w:sz w:val="24"/>
          <w:szCs w:val="24"/>
          <w:lang w:val="en"/>
        </w:rPr>
        <w:t>its</w:t>
      </w:r>
      <w:r w:rsidRPr="00874087">
        <w:rPr>
          <w:rFonts w:ascii="Times New Roman" w:hAnsi="Times New Roman" w:cs="Times New Roman"/>
          <w:sz w:val="24"/>
          <w:szCs w:val="24"/>
          <w:lang w:val="en"/>
        </w:rPr>
        <w:t xml:space="preserve"> name in memory of the old Quad</w:t>
      </w:r>
      <w:r w:rsidR="00936A82">
        <w:rPr>
          <w:rFonts w:ascii="Times New Roman" w:hAnsi="Times New Roman" w:cs="Times New Roman"/>
          <w:sz w:val="24"/>
          <w:szCs w:val="24"/>
          <w:lang w:val="en"/>
        </w:rPr>
        <w:t xml:space="preserve"> (USA, EU, Japan and Canada)</w:t>
      </w:r>
      <w:r w:rsidRPr="00874087">
        <w:rPr>
          <w:rFonts w:ascii="Times New Roman" w:hAnsi="Times New Roman" w:cs="Times New Roman"/>
          <w:sz w:val="24"/>
          <w:szCs w:val="24"/>
          <w:lang w:val="en"/>
        </w:rPr>
        <w:t>. Soon, however, the G6 appear</w:t>
      </w:r>
      <w:r w:rsidR="00F10B7D">
        <w:rPr>
          <w:rFonts w:ascii="Times New Roman" w:hAnsi="Times New Roman" w:cs="Times New Roman"/>
          <w:sz w:val="24"/>
          <w:szCs w:val="24"/>
          <w:lang w:val="en"/>
        </w:rPr>
        <w:t>ed</w:t>
      </w:r>
      <w:r w:rsidRPr="00874087">
        <w:rPr>
          <w:rFonts w:ascii="Times New Roman" w:hAnsi="Times New Roman" w:cs="Times New Roman"/>
          <w:sz w:val="24"/>
          <w:szCs w:val="24"/>
          <w:lang w:val="en"/>
        </w:rPr>
        <w:t xml:space="preserve">, consisting of the G5 countries plus Japan, to try to reach agreement not only on agricultural products but also </w:t>
      </w:r>
      <w:r w:rsidR="00D81DDB">
        <w:rPr>
          <w:rFonts w:ascii="Times New Roman" w:hAnsi="Times New Roman" w:cs="Times New Roman"/>
          <w:sz w:val="24"/>
          <w:szCs w:val="24"/>
          <w:lang w:val="en"/>
        </w:rPr>
        <w:t xml:space="preserve">on </w:t>
      </w:r>
      <w:r w:rsidRPr="00874087">
        <w:rPr>
          <w:rFonts w:ascii="Times New Roman" w:hAnsi="Times New Roman" w:cs="Times New Roman"/>
          <w:sz w:val="24"/>
          <w:szCs w:val="24"/>
          <w:lang w:val="en"/>
        </w:rPr>
        <w:t>non</w:t>
      </w:r>
      <w:r w:rsidR="0069130E">
        <w:rPr>
          <w:rFonts w:ascii="Times New Roman" w:hAnsi="Times New Roman" w:cs="Times New Roman"/>
          <w:sz w:val="24"/>
          <w:szCs w:val="24"/>
          <w:lang w:val="en"/>
        </w:rPr>
        <w:t>-</w:t>
      </w:r>
      <w:r w:rsidR="00D81DDB">
        <w:rPr>
          <w:rFonts w:ascii="Times New Roman" w:hAnsi="Times New Roman" w:cs="Times New Roman"/>
          <w:sz w:val="24"/>
          <w:szCs w:val="24"/>
          <w:lang w:val="en"/>
        </w:rPr>
        <w:t xml:space="preserve">agricultural </w:t>
      </w:r>
      <w:r w:rsidR="0069130E">
        <w:rPr>
          <w:rFonts w:ascii="Times New Roman" w:hAnsi="Times New Roman" w:cs="Times New Roman"/>
          <w:sz w:val="24"/>
          <w:szCs w:val="24"/>
          <w:lang w:val="en"/>
        </w:rPr>
        <w:t xml:space="preserve">ones </w:t>
      </w:r>
      <w:r w:rsidRPr="00874087">
        <w:rPr>
          <w:rFonts w:ascii="Times New Roman" w:hAnsi="Times New Roman" w:cs="Times New Roman"/>
          <w:sz w:val="24"/>
          <w:szCs w:val="24"/>
          <w:lang w:val="en"/>
        </w:rPr>
        <w:t>(</w:t>
      </w:r>
      <w:r w:rsidR="00D81DDB">
        <w:rPr>
          <w:rFonts w:ascii="Times New Roman" w:hAnsi="Times New Roman" w:cs="Times New Roman"/>
          <w:sz w:val="24"/>
          <w:szCs w:val="24"/>
          <w:lang w:val="en"/>
        </w:rPr>
        <w:t>N</w:t>
      </w:r>
      <w:r w:rsidRPr="00874087">
        <w:rPr>
          <w:rFonts w:ascii="Times New Roman" w:hAnsi="Times New Roman" w:cs="Times New Roman"/>
          <w:sz w:val="24"/>
          <w:szCs w:val="24"/>
          <w:lang w:val="en"/>
        </w:rPr>
        <w:t>AMA)</w:t>
      </w:r>
      <w:r w:rsidR="00D81DDB">
        <w:rPr>
          <w:rStyle w:val="Refernciadenotaapeudepgina"/>
          <w:rFonts w:ascii="Times New Roman" w:hAnsi="Times New Roman" w:cs="Times New Roman"/>
          <w:sz w:val="24"/>
          <w:szCs w:val="24"/>
          <w:lang w:val="en"/>
        </w:rPr>
        <w:footnoteReference w:id="14"/>
      </w:r>
      <w:r w:rsidRPr="00874087">
        <w:rPr>
          <w:rFonts w:ascii="Times New Roman" w:hAnsi="Times New Roman" w:cs="Times New Roman"/>
          <w:sz w:val="24"/>
          <w:szCs w:val="24"/>
          <w:lang w:val="en"/>
        </w:rPr>
        <w:t xml:space="preserve">. The declaration of the Hong Kong Ministerial in 2005 had </w:t>
      </w:r>
      <w:r w:rsidR="008176DD">
        <w:rPr>
          <w:rFonts w:ascii="Times New Roman" w:hAnsi="Times New Roman" w:cs="Times New Roman"/>
          <w:sz w:val="24"/>
          <w:szCs w:val="24"/>
          <w:lang w:val="en"/>
        </w:rPr>
        <w:t xml:space="preserve">made it clear </w:t>
      </w:r>
      <w:r w:rsidRPr="00874087">
        <w:rPr>
          <w:rFonts w:ascii="Times New Roman" w:hAnsi="Times New Roman" w:cs="Times New Roman"/>
          <w:sz w:val="24"/>
          <w:szCs w:val="24"/>
          <w:lang w:val="en"/>
        </w:rPr>
        <w:t>that results in the agriculture neg</w:t>
      </w:r>
      <w:r w:rsidR="008176DD">
        <w:rPr>
          <w:rFonts w:ascii="Times New Roman" w:hAnsi="Times New Roman" w:cs="Times New Roman"/>
          <w:sz w:val="24"/>
          <w:szCs w:val="24"/>
          <w:lang w:val="en"/>
        </w:rPr>
        <w:t xml:space="preserve">otiations were contingent upon </w:t>
      </w:r>
      <w:r w:rsidR="008176DD" w:rsidRPr="00874087">
        <w:rPr>
          <w:rFonts w:ascii="Times New Roman" w:hAnsi="Times New Roman" w:cs="Times New Roman"/>
          <w:sz w:val="24"/>
          <w:szCs w:val="24"/>
          <w:lang w:val="en"/>
        </w:rPr>
        <w:t>progress</w:t>
      </w:r>
      <w:r w:rsidR="008176DD">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 xml:space="preserve">on </w:t>
      </w:r>
      <w:r w:rsidR="00C15144">
        <w:rPr>
          <w:rFonts w:ascii="Times New Roman" w:hAnsi="Times New Roman" w:cs="Times New Roman"/>
          <w:sz w:val="24"/>
          <w:szCs w:val="24"/>
          <w:lang w:val="en"/>
        </w:rPr>
        <w:t>NAMA</w:t>
      </w:r>
      <w:r w:rsidRPr="00874087">
        <w:rPr>
          <w:rFonts w:ascii="Times New Roman" w:hAnsi="Times New Roman" w:cs="Times New Roman"/>
          <w:sz w:val="24"/>
          <w:szCs w:val="24"/>
          <w:lang w:val="en"/>
        </w:rPr>
        <w:t xml:space="preserve"> </w:t>
      </w:r>
      <w:r w:rsidR="008176DD">
        <w:rPr>
          <w:rFonts w:ascii="Times New Roman" w:hAnsi="Times New Roman" w:cs="Times New Roman"/>
          <w:sz w:val="24"/>
          <w:szCs w:val="24"/>
          <w:lang w:val="en"/>
        </w:rPr>
        <w:t xml:space="preserve">negotiations as the </w:t>
      </w:r>
      <w:r w:rsidRPr="00874087">
        <w:rPr>
          <w:rFonts w:ascii="Times New Roman" w:hAnsi="Times New Roman" w:cs="Times New Roman"/>
          <w:sz w:val="24"/>
          <w:szCs w:val="24"/>
          <w:lang w:val="en"/>
        </w:rPr>
        <w:t xml:space="preserve">EU </w:t>
      </w:r>
      <w:r w:rsidR="008176DD">
        <w:rPr>
          <w:rFonts w:ascii="Times New Roman" w:hAnsi="Times New Roman" w:cs="Times New Roman"/>
          <w:sz w:val="24"/>
          <w:szCs w:val="24"/>
          <w:lang w:val="en"/>
        </w:rPr>
        <w:t xml:space="preserve">needed to </w:t>
      </w:r>
      <w:r w:rsidRPr="00874087">
        <w:rPr>
          <w:rFonts w:ascii="Times New Roman" w:hAnsi="Times New Roman" w:cs="Times New Roman"/>
          <w:sz w:val="24"/>
          <w:szCs w:val="24"/>
          <w:lang w:val="en"/>
        </w:rPr>
        <w:t xml:space="preserve">justify its agricultural concessions </w:t>
      </w:r>
      <w:r w:rsidR="008176DD">
        <w:rPr>
          <w:rFonts w:ascii="Times New Roman" w:hAnsi="Times New Roman" w:cs="Times New Roman"/>
          <w:sz w:val="24"/>
          <w:szCs w:val="24"/>
          <w:lang w:val="en"/>
        </w:rPr>
        <w:t xml:space="preserve">with </w:t>
      </w:r>
      <w:r w:rsidRPr="00874087">
        <w:rPr>
          <w:rFonts w:ascii="Times New Roman" w:hAnsi="Times New Roman" w:cs="Times New Roman"/>
          <w:sz w:val="24"/>
          <w:szCs w:val="24"/>
          <w:lang w:val="en"/>
        </w:rPr>
        <w:t xml:space="preserve">benefits both </w:t>
      </w:r>
      <w:r w:rsidR="008176DD">
        <w:rPr>
          <w:rFonts w:ascii="Times New Roman" w:hAnsi="Times New Roman" w:cs="Times New Roman"/>
          <w:sz w:val="24"/>
          <w:szCs w:val="24"/>
          <w:lang w:val="en"/>
        </w:rPr>
        <w:t xml:space="preserve">in </w:t>
      </w:r>
      <w:r w:rsidRPr="00874087">
        <w:rPr>
          <w:rFonts w:ascii="Times New Roman" w:hAnsi="Times New Roman" w:cs="Times New Roman"/>
          <w:sz w:val="24"/>
          <w:szCs w:val="24"/>
          <w:lang w:val="en"/>
        </w:rPr>
        <w:t xml:space="preserve">industrial </w:t>
      </w:r>
      <w:r w:rsidR="008176DD">
        <w:rPr>
          <w:rFonts w:ascii="Times New Roman" w:hAnsi="Times New Roman" w:cs="Times New Roman"/>
          <w:sz w:val="24"/>
          <w:szCs w:val="24"/>
          <w:lang w:val="en"/>
        </w:rPr>
        <w:t xml:space="preserve">goods </w:t>
      </w:r>
      <w:r w:rsidRPr="00874087">
        <w:rPr>
          <w:rFonts w:ascii="Times New Roman" w:hAnsi="Times New Roman" w:cs="Times New Roman"/>
          <w:sz w:val="24"/>
          <w:szCs w:val="24"/>
          <w:lang w:val="en"/>
        </w:rPr>
        <w:t>and services.</w:t>
      </w:r>
    </w:p>
    <w:p w:rsidR="00A95FC0"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br/>
        <w:t xml:space="preserve">In 2007, the </w:t>
      </w:r>
      <w:r w:rsidR="00F10B7D">
        <w:rPr>
          <w:rFonts w:ascii="Times New Roman" w:hAnsi="Times New Roman" w:cs="Times New Roman"/>
          <w:sz w:val="24"/>
          <w:szCs w:val="24"/>
          <w:lang w:val="en"/>
        </w:rPr>
        <w:t xml:space="preserve">consensus </w:t>
      </w:r>
      <w:r w:rsidRPr="00874087">
        <w:rPr>
          <w:rFonts w:ascii="Times New Roman" w:hAnsi="Times New Roman" w:cs="Times New Roman"/>
          <w:sz w:val="24"/>
          <w:szCs w:val="24"/>
          <w:lang w:val="en"/>
        </w:rPr>
        <w:t xml:space="preserve">leadership was assumed </w:t>
      </w:r>
      <w:r w:rsidR="00F10B7D">
        <w:rPr>
          <w:rFonts w:ascii="Times New Roman" w:hAnsi="Times New Roman" w:cs="Times New Roman"/>
          <w:sz w:val="24"/>
          <w:szCs w:val="24"/>
          <w:lang w:val="en"/>
        </w:rPr>
        <w:t xml:space="preserve">again </w:t>
      </w:r>
      <w:r w:rsidRPr="00874087">
        <w:rPr>
          <w:rFonts w:ascii="Times New Roman" w:hAnsi="Times New Roman" w:cs="Times New Roman"/>
          <w:sz w:val="24"/>
          <w:szCs w:val="24"/>
          <w:lang w:val="en"/>
        </w:rPr>
        <w:t xml:space="preserve">by the new </w:t>
      </w:r>
      <w:r w:rsidR="00F10B7D">
        <w:rPr>
          <w:rFonts w:ascii="Times New Roman" w:hAnsi="Times New Roman" w:cs="Times New Roman"/>
          <w:sz w:val="24"/>
          <w:szCs w:val="24"/>
          <w:lang w:val="en"/>
        </w:rPr>
        <w:t>Quad</w:t>
      </w:r>
      <w:r w:rsidRPr="00874087">
        <w:rPr>
          <w:rFonts w:ascii="Times New Roman" w:hAnsi="Times New Roman" w:cs="Times New Roman"/>
          <w:sz w:val="24"/>
          <w:szCs w:val="24"/>
          <w:lang w:val="en"/>
        </w:rPr>
        <w:t xml:space="preserve"> or G4 because, by then, the major controversies in agriculture and NAMA </w:t>
      </w:r>
      <w:r w:rsidR="00F10B7D">
        <w:rPr>
          <w:rFonts w:ascii="Times New Roman" w:hAnsi="Times New Roman" w:cs="Times New Roman"/>
          <w:sz w:val="24"/>
          <w:szCs w:val="24"/>
          <w:lang w:val="en"/>
        </w:rPr>
        <w:t>were</w:t>
      </w:r>
      <w:r w:rsidRPr="00874087">
        <w:rPr>
          <w:rFonts w:ascii="Times New Roman" w:hAnsi="Times New Roman" w:cs="Times New Roman"/>
          <w:sz w:val="24"/>
          <w:szCs w:val="24"/>
          <w:lang w:val="en"/>
        </w:rPr>
        <w:t xml:space="preserve"> mainly </w:t>
      </w:r>
      <w:r w:rsidR="00F10B7D">
        <w:rPr>
          <w:rFonts w:ascii="Times New Roman" w:hAnsi="Times New Roman" w:cs="Times New Roman"/>
          <w:sz w:val="24"/>
          <w:szCs w:val="24"/>
          <w:lang w:val="en"/>
        </w:rPr>
        <w:t>among</w:t>
      </w:r>
      <w:r w:rsidRPr="00874087">
        <w:rPr>
          <w:rFonts w:ascii="Times New Roman" w:hAnsi="Times New Roman" w:cs="Times New Roman"/>
          <w:sz w:val="24"/>
          <w:szCs w:val="24"/>
          <w:lang w:val="en"/>
        </w:rPr>
        <w:t xml:space="preserve"> these four countries. It was the failure </w:t>
      </w:r>
      <w:r w:rsidR="00F10B7D">
        <w:rPr>
          <w:rFonts w:ascii="Times New Roman" w:hAnsi="Times New Roman" w:cs="Times New Roman"/>
          <w:sz w:val="24"/>
          <w:szCs w:val="24"/>
          <w:lang w:val="en"/>
        </w:rPr>
        <w:t xml:space="preserve">in 2008 of this four-sided </w:t>
      </w:r>
      <w:r w:rsidRPr="00874087">
        <w:rPr>
          <w:rFonts w:ascii="Times New Roman" w:hAnsi="Times New Roman" w:cs="Times New Roman"/>
          <w:sz w:val="24"/>
          <w:szCs w:val="24"/>
          <w:lang w:val="en"/>
        </w:rPr>
        <w:t>strategy</w:t>
      </w:r>
      <w:r w:rsidR="00F10B7D">
        <w:rPr>
          <w:rFonts w:ascii="Times New Roman" w:hAnsi="Times New Roman" w:cs="Times New Roman"/>
          <w:sz w:val="24"/>
          <w:szCs w:val="24"/>
          <w:lang w:val="en"/>
        </w:rPr>
        <w:t xml:space="preserve"> that led to the</w:t>
      </w:r>
      <w:r w:rsidRPr="00874087">
        <w:rPr>
          <w:rFonts w:ascii="Times New Roman" w:hAnsi="Times New Roman" w:cs="Times New Roman"/>
          <w:sz w:val="24"/>
          <w:szCs w:val="24"/>
          <w:lang w:val="en"/>
        </w:rPr>
        <w:t xml:space="preserve"> re- integrat</w:t>
      </w:r>
      <w:r w:rsidR="00F10B7D">
        <w:rPr>
          <w:rFonts w:ascii="Times New Roman" w:hAnsi="Times New Roman" w:cs="Times New Roman"/>
          <w:sz w:val="24"/>
          <w:szCs w:val="24"/>
          <w:lang w:val="en"/>
        </w:rPr>
        <w:t xml:space="preserve">ion of </w:t>
      </w:r>
      <w:r w:rsidRPr="00874087">
        <w:rPr>
          <w:rFonts w:ascii="Times New Roman" w:hAnsi="Times New Roman" w:cs="Times New Roman"/>
          <w:sz w:val="24"/>
          <w:szCs w:val="24"/>
          <w:lang w:val="en"/>
        </w:rPr>
        <w:t>more countries in</w:t>
      </w:r>
      <w:r w:rsidR="00F10B7D">
        <w:rPr>
          <w:rFonts w:ascii="Times New Roman" w:hAnsi="Times New Roman" w:cs="Times New Roman"/>
          <w:sz w:val="24"/>
          <w:szCs w:val="24"/>
          <w:lang w:val="en"/>
        </w:rPr>
        <w:t xml:space="preserve">to the </w:t>
      </w:r>
      <w:r w:rsidRPr="00874087">
        <w:rPr>
          <w:rFonts w:ascii="Times New Roman" w:hAnsi="Times New Roman" w:cs="Times New Roman"/>
          <w:sz w:val="24"/>
          <w:szCs w:val="24"/>
          <w:lang w:val="en"/>
        </w:rPr>
        <w:t>consensus</w:t>
      </w:r>
      <w:r w:rsidR="00F10B7D">
        <w:rPr>
          <w:rFonts w:ascii="Times New Roman" w:hAnsi="Times New Roman" w:cs="Times New Roman"/>
          <w:sz w:val="24"/>
          <w:szCs w:val="24"/>
          <w:lang w:val="en"/>
        </w:rPr>
        <w:t>-building core</w:t>
      </w:r>
      <w:r w:rsidRPr="00874087">
        <w:rPr>
          <w:rFonts w:ascii="Times New Roman" w:hAnsi="Times New Roman" w:cs="Times New Roman"/>
          <w:sz w:val="24"/>
          <w:szCs w:val="24"/>
          <w:lang w:val="en"/>
        </w:rPr>
        <w:t xml:space="preserve">. </w:t>
      </w:r>
      <w:r w:rsidR="00521972">
        <w:rPr>
          <w:rFonts w:ascii="Times New Roman" w:hAnsi="Times New Roman" w:cs="Times New Roman"/>
          <w:sz w:val="24"/>
          <w:szCs w:val="24"/>
          <w:lang w:val="en"/>
        </w:rPr>
        <w:t xml:space="preserve">Moreover, </w:t>
      </w:r>
      <w:r w:rsidRPr="00874087">
        <w:rPr>
          <w:rFonts w:ascii="Times New Roman" w:hAnsi="Times New Roman" w:cs="Times New Roman"/>
          <w:sz w:val="24"/>
          <w:szCs w:val="24"/>
          <w:lang w:val="en"/>
        </w:rPr>
        <w:t xml:space="preserve">China </w:t>
      </w:r>
      <w:r w:rsidR="00521972">
        <w:rPr>
          <w:rFonts w:ascii="Times New Roman" w:hAnsi="Times New Roman" w:cs="Times New Roman"/>
          <w:sz w:val="24"/>
          <w:szCs w:val="24"/>
          <w:lang w:val="en"/>
        </w:rPr>
        <w:t>joined</w:t>
      </w:r>
      <w:r w:rsidRPr="00874087">
        <w:rPr>
          <w:rFonts w:ascii="Times New Roman" w:hAnsi="Times New Roman" w:cs="Times New Roman"/>
          <w:sz w:val="24"/>
          <w:szCs w:val="24"/>
          <w:lang w:val="en"/>
        </w:rPr>
        <w:t xml:space="preserve"> the core of the negotiations</w:t>
      </w:r>
      <w:r w:rsidR="00F94A89">
        <w:rPr>
          <w:rFonts w:ascii="Times New Roman" w:hAnsi="Times New Roman" w:cs="Times New Roman"/>
          <w:sz w:val="24"/>
          <w:szCs w:val="24"/>
          <w:lang w:val="en"/>
        </w:rPr>
        <w:t xml:space="preserve"> that year for the first time, bringing about the G7</w:t>
      </w:r>
      <w:r w:rsidRPr="00874087">
        <w:rPr>
          <w:rFonts w:ascii="Times New Roman" w:hAnsi="Times New Roman" w:cs="Times New Roman"/>
          <w:sz w:val="24"/>
          <w:szCs w:val="24"/>
          <w:lang w:val="en"/>
        </w:rPr>
        <w:t xml:space="preserve">. This strategy </w:t>
      </w:r>
      <w:r w:rsidR="00F94A89">
        <w:rPr>
          <w:rFonts w:ascii="Times New Roman" w:hAnsi="Times New Roman" w:cs="Times New Roman"/>
          <w:sz w:val="24"/>
          <w:szCs w:val="24"/>
          <w:lang w:val="en"/>
        </w:rPr>
        <w:t xml:space="preserve">was </w:t>
      </w:r>
      <w:r w:rsidRPr="00874087">
        <w:rPr>
          <w:rFonts w:ascii="Times New Roman" w:hAnsi="Times New Roman" w:cs="Times New Roman"/>
          <w:sz w:val="24"/>
          <w:szCs w:val="24"/>
          <w:lang w:val="en"/>
        </w:rPr>
        <w:t xml:space="preserve">almost </w:t>
      </w:r>
      <w:r w:rsidR="00F94A89" w:rsidRPr="00874087">
        <w:rPr>
          <w:rFonts w:ascii="Times New Roman" w:hAnsi="Times New Roman" w:cs="Times New Roman"/>
          <w:sz w:val="24"/>
          <w:szCs w:val="24"/>
          <w:lang w:val="en"/>
        </w:rPr>
        <w:t>success</w:t>
      </w:r>
      <w:r w:rsidR="00F94A89">
        <w:rPr>
          <w:rFonts w:ascii="Times New Roman" w:hAnsi="Times New Roman" w:cs="Times New Roman"/>
          <w:sz w:val="24"/>
          <w:szCs w:val="24"/>
          <w:lang w:val="en"/>
        </w:rPr>
        <w:t>ful</w:t>
      </w:r>
      <w:r w:rsidR="00F94A89" w:rsidRPr="00874087">
        <w:rPr>
          <w:rFonts w:ascii="Times New Roman" w:hAnsi="Times New Roman" w:cs="Times New Roman"/>
          <w:sz w:val="24"/>
          <w:szCs w:val="24"/>
          <w:lang w:val="en"/>
        </w:rPr>
        <w:t xml:space="preserve">. </w:t>
      </w:r>
      <w:r w:rsidR="00F94A89">
        <w:rPr>
          <w:rFonts w:ascii="Times New Roman" w:hAnsi="Times New Roman" w:cs="Times New Roman"/>
          <w:sz w:val="24"/>
          <w:szCs w:val="24"/>
          <w:lang w:val="en"/>
        </w:rPr>
        <w:t>A</w:t>
      </w:r>
      <w:r w:rsidRPr="00874087">
        <w:rPr>
          <w:rFonts w:ascii="Times New Roman" w:hAnsi="Times New Roman" w:cs="Times New Roman"/>
          <w:sz w:val="24"/>
          <w:szCs w:val="24"/>
          <w:lang w:val="en"/>
        </w:rPr>
        <w:t xml:space="preserve">greement </w:t>
      </w:r>
      <w:r w:rsidR="00F94A89">
        <w:rPr>
          <w:rFonts w:ascii="Times New Roman" w:hAnsi="Times New Roman" w:cs="Times New Roman"/>
          <w:sz w:val="24"/>
          <w:szCs w:val="24"/>
          <w:lang w:val="en"/>
        </w:rPr>
        <w:t xml:space="preserve">was nearly achieved </w:t>
      </w:r>
      <w:r w:rsidRPr="00874087">
        <w:rPr>
          <w:rFonts w:ascii="Times New Roman" w:hAnsi="Times New Roman" w:cs="Times New Roman"/>
          <w:sz w:val="24"/>
          <w:szCs w:val="24"/>
          <w:lang w:val="en"/>
        </w:rPr>
        <w:t xml:space="preserve">in both July and December 2008. </w:t>
      </w:r>
      <w:r w:rsidR="00F94A89">
        <w:rPr>
          <w:rFonts w:ascii="Times New Roman" w:hAnsi="Times New Roman" w:cs="Times New Roman"/>
          <w:sz w:val="24"/>
          <w:szCs w:val="24"/>
          <w:lang w:val="en"/>
        </w:rPr>
        <w:t>T</w:t>
      </w:r>
      <w:r w:rsidRPr="00874087">
        <w:rPr>
          <w:rFonts w:ascii="Times New Roman" w:hAnsi="Times New Roman" w:cs="Times New Roman"/>
          <w:sz w:val="24"/>
          <w:szCs w:val="24"/>
          <w:lang w:val="en"/>
        </w:rPr>
        <w:t xml:space="preserve">he confrontation between the U.S. and India, with disagreements on </w:t>
      </w:r>
      <w:r w:rsidRPr="00874087">
        <w:rPr>
          <w:rFonts w:ascii="Times New Roman" w:hAnsi="Times New Roman" w:cs="Times New Roman"/>
          <w:sz w:val="24"/>
          <w:szCs w:val="24"/>
          <w:lang w:val="en"/>
        </w:rPr>
        <w:lastRenderedPageBreak/>
        <w:t>issues related to food security and the full liberalization of certain industrial sectors</w:t>
      </w:r>
      <w:r w:rsidR="00F94A89">
        <w:rPr>
          <w:rFonts w:ascii="Times New Roman" w:hAnsi="Times New Roman" w:cs="Times New Roman"/>
          <w:sz w:val="24"/>
          <w:szCs w:val="24"/>
          <w:lang w:val="en"/>
        </w:rPr>
        <w:t>, prevented it</w:t>
      </w:r>
      <w:r w:rsidRPr="00874087">
        <w:rPr>
          <w:rFonts w:ascii="Times New Roman" w:hAnsi="Times New Roman" w:cs="Times New Roman"/>
          <w:sz w:val="24"/>
          <w:szCs w:val="24"/>
          <w:lang w:val="en"/>
        </w:rPr>
        <w:t>.</w:t>
      </w:r>
    </w:p>
    <w:p w:rsidR="00422D5E"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t xml:space="preserve">In 2009 the DR </w:t>
      </w:r>
      <w:r w:rsidR="00580F73">
        <w:rPr>
          <w:rFonts w:ascii="Times New Roman" w:hAnsi="Times New Roman" w:cs="Times New Roman"/>
          <w:sz w:val="24"/>
          <w:szCs w:val="24"/>
          <w:lang w:val="en"/>
        </w:rPr>
        <w:t>dropped</w:t>
      </w:r>
      <w:r w:rsidRPr="00874087">
        <w:rPr>
          <w:rFonts w:ascii="Times New Roman" w:hAnsi="Times New Roman" w:cs="Times New Roman"/>
          <w:sz w:val="24"/>
          <w:szCs w:val="24"/>
          <w:lang w:val="en"/>
        </w:rPr>
        <w:t xml:space="preserve"> into lethargy</w:t>
      </w:r>
      <w:r w:rsidR="00580F73">
        <w:rPr>
          <w:rFonts w:ascii="Times New Roman" w:hAnsi="Times New Roman" w:cs="Times New Roman"/>
          <w:sz w:val="24"/>
          <w:szCs w:val="24"/>
          <w:lang w:val="en"/>
        </w:rPr>
        <w:t>. D</w:t>
      </w:r>
      <w:r w:rsidRPr="00874087">
        <w:rPr>
          <w:rFonts w:ascii="Times New Roman" w:hAnsi="Times New Roman" w:cs="Times New Roman"/>
          <w:sz w:val="24"/>
          <w:szCs w:val="24"/>
          <w:lang w:val="en"/>
        </w:rPr>
        <w:t xml:space="preserve">espite commitments </w:t>
      </w:r>
      <w:r w:rsidR="00580F73">
        <w:rPr>
          <w:rFonts w:ascii="Times New Roman" w:hAnsi="Times New Roman" w:cs="Times New Roman"/>
          <w:sz w:val="24"/>
          <w:szCs w:val="24"/>
          <w:lang w:val="en"/>
        </w:rPr>
        <w:t xml:space="preserve">to terminate the Round both </w:t>
      </w:r>
      <w:r w:rsidRPr="00874087">
        <w:rPr>
          <w:rFonts w:ascii="Times New Roman" w:hAnsi="Times New Roman" w:cs="Times New Roman"/>
          <w:sz w:val="24"/>
          <w:szCs w:val="24"/>
          <w:lang w:val="en"/>
        </w:rPr>
        <w:t xml:space="preserve">in 2009 and </w:t>
      </w:r>
      <w:r w:rsidR="00580F73">
        <w:rPr>
          <w:rFonts w:ascii="Times New Roman" w:hAnsi="Times New Roman" w:cs="Times New Roman"/>
          <w:sz w:val="24"/>
          <w:szCs w:val="24"/>
          <w:lang w:val="en"/>
        </w:rPr>
        <w:t xml:space="preserve">then </w:t>
      </w:r>
      <w:r w:rsidRPr="00874087">
        <w:rPr>
          <w:rFonts w:ascii="Times New Roman" w:hAnsi="Times New Roman" w:cs="Times New Roman"/>
          <w:sz w:val="24"/>
          <w:szCs w:val="24"/>
          <w:lang w:val="en"/>
        </w:rPr>
        <w:t xml:space="preserve">in 2011, there was </w:t>
      </w:r>
      <w:r w:rsidR="00580F73">
        <w:rPr>
          <w:rFonts w:ascii="Times New Roman" w:hAnsi="Times New Roman" w:cs="Times New Roman"/>
          <w:sz w:val="24"/>
          <w:szCs w:val="24"/>
          <w:lang w:val="en"/>
        </w:rPr>
        <w:t xml:space="preserve">no </w:t>
      </w:r>
      <w:r w:rsidRPr="00874087">
        <w:rPr>
          <w:rFonts w:ascii="Times New Roman" w:hAnsi="Times New Roman" w:cs="Times New Roman"/>
          <w:sz w:val="24"/>
          <w:szCs w:val="24"/>
          <w:lang w:val="en"/>
        </w:rPr>
        <w:t xml:space="preserve">real willingness to negotiate for it. </w:t>
      </w:r>
      <w:r w:rsidR="00580F73">
        <w:rPr>
          <w:rFonts w:ascii="Times New Roman" w:hAnsi="Times New Roman" w:cs="Times New Roman"/>
          <w:sz w:val="24"/>
          <w:szCs w:val="24"/>
          <w:lang w:val="en"/>
        </w:rPr>
        <w:t>N</w:t>
      </w:r>
      <w:r w:rsidRPr="00874087">
        <w:rPr>
          <w:rFonts w:ascii="Times New Roman" w:hAnsi="Times New Roman" w:cs="Times New Roman"/>
          <w:sz w:val="24"/>
          <w:szCs w:val="24"/>
          <w:lang w:val="en"/>
        </w:rPr>
        <w:t>o consensus</w:t>
      </w:r>
      <w:r w:rsidR="00580F73">
        <w:rPr>
          <w:rFonts w:ascii="Times New Roman" w:hAnsi="Times New Roman" w:cs="Times New Roman"/>
          <w:sz w:val="24"/>
          <w:szCs w:val="24"/>
          <w:lang w:val="en"/>
        </w:rPr>
        <w:t>-building</w:t>
      </w:r>
      <w:r w:rsidRPr="00874087">
        <w:rPr>
          <w:rFonts w:ascii="Times New Roman" w:hAnsi="Times New Roman" w:cs="Times New Roman"/>
          <w:sz w:val="24"/>
          <w:szCs w:val="24"/>
          <w:lang w:val="en"/>
        </w:rPr>
        <w:t xml:space="preserve"> </w:t>
      </w:r>
      <w:r w:rsidR="00580F73">
        <w:rPr>
          <w:rFonts w:ascii="Times New Roman" w:hAnsi="Times New Roman" w:cs="Times New Roman"/>
          <w:sz w:val="24"/>
          <w:szCs w:val="24"/>
          <w:lang w:val="en"/>
        </w:rPr>
        <w:t xml:space="preserve">core </w:t>
      </w:r>
      <w:r w:rsidRPr="00874087">
        <w:rPr>
          <w:rFonts w:ascii="Times New Roman" w:hAnsi="Times New Roman" w:cs="Times New Roman"/>
          <w:sz w:val="24"/>
          <w:szCs w:val="24"/>
          <w:lang w:val="en"/>
        </w:rPr>
        <w:t xml:space="preserve">formations </w:t>
      </w:r>
      <w:r w:rsidR="00580F73">
        <w:rPr>
          <w:rFonts w:ascii="Times New Roman" w:hAnsi="Times New Roman" w:cs="Times New Roman"/>
          <w:sz w:val="24"/>
          <w:szCs w:val="24"/>
          <w:lang w:val="en"/>
        </w:rPr>
        <w:t>we</w:t>
      </w:r>
      <w:r w:rsidRPr="00874087">
        <w:rPr>
          <w:rFonts w:ascii="Times New Roman" w:hAnsi="Times New Roman" w:cs="Times New Roman"/>
          <w:sz w:val="24"/>
          <w:szCs w:val="24"/>
          <w:lang w:val="en"/>
        </w:rPr>
        <w:t xml:space="preserve">re called </w:t>
      </w:r>
      <w:r w:rsidR="00580F73">
        <w:rPr>
          <w:rFonts w:ascii="Times New Roman" w:hAnsi="Times New Roman" w:cs="Times New Roman"/>
          <w:sz w:val="24"/>
          <w:szCs w:val="24"/>
          <w:lang w:val="en"/>
        </w:rPr>
        <w:t>for;</w:t>
      </w:r>
      <w:r w:rsidRPr="00874087">
        <w:rPr>
          <w:rFonts w:ascii="Times New Roman" w:hAnsi="Times New Roman" w:cs="Times New Roman"/>
          <w:sz w:val="24"/>
          <w:szCs w:val="24"/>
          <w:lang w:val="en"/>
        </w:rPr>
        <w:t xml:space="preserve"> meetings </w:t>
      </w:r>
      <w:r w:rsidR="00580F73">
        <w:rPr>
          <w:rFonts w:ascii="Times New Roman" w:hAnsi="Times New Roman" w:cs="Times New Roman"/>
          <w:sz w:val="24"/>
          <w:szCs w:val="24"/>
          <w:lang w:val="en"/>
        </w:rPr>
        <w:t>we</w:t>
      </w:r>
      <w:r w:rsidRPr="00874087">
        <w:rPr>
          <w:rFonts w:ascii="Times New Roman" w:hAnsi="Times New Roman" w:cs="Times New Roman"/>
          <w:sz w:val="24"/>
          <w:szCs w:val="24"/>
          <w:lang w:val="en"/>
        </w:rPr>
        <w:t xml:space="preserve">re bilateral or </w:t>
      </w:r>
      <w:r w:rsidR="00580F73">
        <w:rPr>
          <w:rFonts w:ascii="Times New Roman" w:hAnsi="Times New Roman" w:cs="Times New Roman"/>
          <w:sz w:val="24"/>
          <w:szCs w:val="24"/>
          <w:lang w:val="en"/>
        </w:rPr>
        <w:t xml:space="preserve">among </w:t>
      </w:r>
      <w:r w:rsidRPr="00874087">
        <w:rPr>
          <w:rFonts w:ascii="Times New Roman" w:hAnsi="Times New Roman" w:cs="Times New Roman"/>
          <w:sz w:val="24"/>
          <w:szCs w:val="24"/>
          <w:lang w:val="en"/>
        </w:rPr>
        <w:t>broader group</w:t>
      </w:r>
      <w:r w:rsidR="00580F73">
        <w:rPr>
          <w:rFonts w:ascii="Times New Roman" w:hAnsi="Times New Roman" w:cs="Times New Roman"/>
          <w:sz w:val="24"/>
          <w:szCs w:val="24"/>
          <w:lang w:val="en"/>
        </w:rPr>
        <w:t>s</w:t>
      </w:r>
      <w:r w:rsidRPr="00874087">
        <w:rPr>
          <w:rFonts w:ascii="Times New Roman" w:hAnsi="Times New Roman" w:cs="Times New Roman"/>
          <w:sz w:val="24"/>
          <w:szCs w:val="24"/>
          <w:lang w:val="en"/>
        </w:rPr>
        <w:t xml:space="preserve"> of countries. In fact</w:t>
      </w:r>
      <w:r w:rsidR="00535212">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w:t>
      </w:r>
      <w:r w:rsidR="00535212">
        <w:rPr>
          <w:rFonts w:ascii="Times New Roman" w:hAnsi="Times New Roman" w:cs="Times New Roman"/>
          <w:sz w:val="24"/>
          <w:szCs w:val="24"/>
          <w:lang w:val="en"/>
        </w:rPr>
        <w:t>a</w:t>
      </w:r>
      <w:r w:rsidRPr="00874087">
        <w:rPr>
          <w:rFonts w:ascii="Times New Roman" w:hAnsi="Times New Roman" w:cs="Times New Roman"/>
          <w:sz w:val="24"/>
          <w:szCs w:val="24"/>
          <w:lang w:val="en"/>
        </w:rPr>
        <w:t xml:space="preserve"> Plan B</w:t>
      </w:r>
      <w:r w:rsidR="00535212">
        <w:rPr>
          <w:rFonts w:ascii="Times New Roman" w:hAnsi="Times New Roman" w:cs="Times New Roman"/>
          <w:sz w:val="24"/>
          <w:szCs w:val="24"/>
          <w:lang w:val="en"/>
        </w:rPr>
        <w:t xml:space="preserve"> was brought forward in 2011</w:t>
      </w:r>
      <w:r w:rsidRPr="00874087">
        <w:rPr>
          <w:rFonts w:ascii="Times New Roman" w:hAnsi="Times New Roman" w:cs="Times New Roman"/>
          <w:sz w:val="24"/>
          <w:szCs w:val="24"/>
          <w:lang w:val="en"/>
        </w:rPr>
        <w:t xml:space="preserve">: </w:t>
      </w:r>
      <w:r w:rsidR="00535212">
        <w:rPr>
          <w:rFonts w:ascii="Times New Roman" w:hAnsi="Times New Roman" w:cs="Times New Roman"/>
          <w:sz w:val="24"/>
          <w:szCs w:val="24"/>
          <w:lang w:val="en"/>
        </w:rPr>
        <w:t>to focus negotiations</w:t>
      </w:r>
      <w:r w:rsidRPr="00874087">
        <w:rPr>
          <w:rFonts w:ascii="Times New Roman" w:hAnsi="Times New Roman" w:cs="Times New Roman"/>
          <w:sz w:val="24"/>
          <w:szCs w:val="24"/>
          <w:lang w:val="en"/>
        </w:rPr>
        <w:t xml:space="preserve"> </w:t>
      </w:r>
      <w:r w:rsidR="00535212">
        <w:rPr>
          <w:rFonts w:ascii="Times New Roman" w:hAnsi="Times New Roman" w:cs="Times New Roman"/>
          <w:sz w:val="24"/>
          <w:szCs w:val="24"/>
          <w:lang w:val="en"/>
        </w:rPr>
        <w:t xml:space="preserve">on </w:t>
      </w:r>
      <w:r w:rsidRPr="00874087">
        <w:rPr>
          <w:rFonts w:ascii="Times New Roman" w:hAnsi="Times New Roman" w:cs="Times New Roman"/>
          <w:sz w:val="24"/>
          <w:szCs w:val="24"/>
          <w:lang w:val="en"/>
        </w:rPr>
        <w:t xml:space="preserve">a </w:t>
      </w:r>
      <w:r w:rsidR="00535212">
        <w:rPr>
          <w:rFonts w:ascii="Times New Roman" w:hAnsi="Times New Roman" w:cs="Times New Roman"/>
          <w:sz w:val="24"/>
          <w:szCs w:val="24"/>
          <w:lang w:val="en"/>
        </w:rPr>
        <w:t>mini-</w:t>
      </w:r>
      <w:r w:rsidRPr="00874087">
        <w:rPr>
          <w:rFonts w:ascii="Times New Roman" w:hAnsi="Times New Roman" w:cs="Times New Roman"/>
          <w:sz w:val="24"/>
          <w:szCs w:val="24"/>
          <w:lang w:val="en"/>
        </w:rPr>
        <w:t>package</w:t>
      </w:r>
      <w:r w:rsidR="00535212">
        <w:rPr>
          <w:rFonts w:ascii="Times New Roman" w:hAnsi="Times New Roman" w:cs="Times New Roman"/>
          <w:sz w:val="24"/>
          <w:szCs w:val="24"/>
          <w:lang w:val="en"/>
        </w:rPr>
        <w:t xml:space="preserve"> so as to </w:t>
      </w:r>
      <w:r w:rsidRPr="00874087">
        <w:rPr>
          <w:rFonts w:ascii="Times New Roman" w:hAnsi="Times New Roman" w:cs="Times New Roman"/>
          <w:sz w:val="24"/>
          <w:szCs w:val="24"/>
          <w:lang w:val="en"/>
        </w:rPr>
        <w:t>achieve some partial agreements. Two and a half years after</w:t>
      </w:r>
      <w:r w:rsidR="00535212">
        <w:rPr>
          <w:rFonts w:ascii="Times New Roman" w:hAnsi="Times New Roman" w:cs="Times New Roman"/>
          <w:sz w:val="24"/>
          <w:szCs w:val="24"/>
          <w:lang w:val="en"/>
        </w:rPr>
        <w:t>, that accord</w:t>
      </w:r>
      <w:r w:rsidRPr="00874087">
        <w:rPr>
          <w:rFonts w:ascii="Times New Roman" w:hAnsi="Times New Roman" w:cs="Times New Roman"/>
          <w:sz w:val="24"/>
          <w:szCs w:val="24"/>
          <w:lang w:val="en"/>
        </w:rPr>
        <w:t xml:space="preserve"> </w:t>
      </w:r>
      <w:r w:rsidR="00535212">
        <w:rPr>
          <w:rFonts w:ascii="Times New Roman" w:hAnsi="Times New Roman" w:cs="Times New Roman"/>
          <w:sz w:val="24"/>
          <w:szCs w:val="24"/>
          <w:lang w:val="en"/>
        </w:rPr>
        <w:t>wa</w:t>
      </w:r>
      <w:r w:rsidRPr="00874087">
        <w:rPr>
          <w:rFonts w:ascii="Times New Roman" w:hAnsi="Times New Roman" w:cs="Times New Roman"/>
          <w:sz w:val="24"/>
          <w:szCs w:val="24"/>
          <w:lang w:val="en"/>
        </w:rPr>
        <w:t>s reached in the Bali Ministerial.</w:t>
      </w:r>
    </w:p>
    <w:p w:rsidR="00422D5E" w:rsidRDefault="00422D5E"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It is interesting to note that, following the </w:t>
      </w:r>
      <w:r w:rsidRPr="00181734">
        <w:rPr>
          <w:rFonts w:ascii="Times New Roman" w:hAnsi="Times New Roman" w:cs="Times New Roman"/>
          <w:i/>
          <w:sz w:val="24"/>
          <w:szCs w:val="24"/>
          <w:lang w:val="en"/>
        </w:rPr>
        <w:t>Bridges Weekly</w:t>
      </w:r>
      <w:r>
        <w:rPr>
          <w:rFonts w:ascii="Times New Roman" w:hAnsi="Times New Roman" w:cs="Times New Roman"/>
          <w:sz w:val="24"/>
          <w:szCs w:val="24"/>
          <w:lang w:val="en"/>
        </w:rPr>
        <w:t xml:space="preserve"> Reports, Bali negotiations </w:t>
      </w:r>
      <w:r w:rsidR="0073727D">
        <w:rPr>
          <w:rFonts w:ascii="Times New Roman" w:hAnsi="Times New Roman" w:cs="Times New Roman"/>
          <w:sz w:val="24"/>
          <w:szCs w:val="24"/>
          <w:lang w:val="en"/>
        </w:rPr>
        <w:t xml:space="preserve">were </w:t>
      </w:r>
      <w:r w:rsidR="001E5502">
        <w:rPr>
          <w:rFonts w:ascii="Times New Roman" w:hAnsi="Times New Roman" w:cs="Times New Roman"/>
          <w:sz w:val="24"/>
          <w:szCs w:val="24"/>
          <w:lang w:val="en"/>
        </w:rPr>
        <w:t xml:space="preserve">mostly </w:t>
      </w:r>
      <w:r w:rsidR="0073727D">
        <w:rPr>
          <w:rFonts w:ascii="Times New Roman" w:hAnsi="Times New Roman" w:cs="Times New Roman"/>
          <w:sz w:val="24"/>
          <w:szCs w:val="24"/>
          <w:lang w:val="en"/>
        </w:rPr>
        <w:t>carry out</w:t>
      </w:r>
      <w:r w:rsidR="001E5502">
        <w:rPr>
          <w:rFonts w:ascii="Times New Roman" w:hAnsi="Times New Roman" w:cs="Times New Roman"/>
          <w:sz w:val="24"/>
          <w:szCs w:val="24"/>
          <w:lang w:val="en"/>
        </w:rPr>
        <w:t xml:space="preserve"> in </w:t>
      </w:r>
      <w:r w:rsidR="0073727D">
        <w:rPr>
          <w:rFonts w:ascii="Times New Roman" w:hAnsi="Times New Roman" w:cs="Times New Roman"/>
          <w:sz w:val="24"/>
          <w:szCs w:val="24"/>
          <w:lang w:val="en"/>
        </w:rPr>
        <w:t>mini-</w:t>
      </w:r>
      <w:proofErr w:type="spellStart"/>
      <w:r w:rsidR="00181734">
        <w:rPr>
          <w:rFonts w:ascii="Times New Roman" w:hAnsi="Times New Roman" w:cs="Times New Roman"/>
          <w:sz w:val="24"/>
          <w:szCs w:val="24"/>
          <w:lang w:val="en"/>
        </w:rPr>
        <w:t>ministerials</w:t>
      </w:r>
      <w:proofErr w:type="spellEnd"/>
      <w:r w:rsidR="00181734">
        <w:rPr>
          <w:rFonts w:ascii="Times New Roman" w:hAnsi="Times New Roman" w:cs="Times New Roman"/>
          <w:sz w:val="24"/>
          <w:szCs w:val="24"/>
          <w:lang w:val="en"/>
        </w:rPr>
        <w:t xml:space="preserve"> and in technical meetings. </w:t>
      </w:r>
      <w:r w:rsidR="001E5502">
        <w:rPr>
          <w:rFonts w:ascii="Times New Roman" w:hAnsi="Times New Roman" w:cs="Times New Roman"/>
          <w:sz w:val="24"/>
          <w:szCs w:val="24"/>
          <w:lang w:val="en"/>
        </w:rPr>
        <w:t>No</w:t>
      </w:r>
      <w:r w:rsidR="00181734">
        <w:rPr>
          <w:rFonts w:ascii="Times New Roman" w:hAnsi="Times New Roman" w:cs="Times New Roman"/>
          <w:sz w:val="24"/>
          <w:szCs w:val="24"/>
          <w:lang w:val="en"/>
        </w:rPr>
        <w:t xml:space="preserve"> meeting of any of the mini-</w:t>
      </w:r>
      <w:r w:rsidR="001E5502">
        <w:rPr>
          <w:rFonts w:ascii="Times New Roman" w:hAnsi="Times New Roman" w:cs="Times New Roman"/>
          <w:sz w:val="24"/>
          <w:szCs w:val="24"/>
          <w:lang w:val="en"/>
        </w:rPr>
        <w:t xml:space="preserve">groups (Quad, G5, G6, G7 or G8) is accounted for in the Reports. </w:t>
      </w:r>
      <w:r w:rsidR="005B2F2A">
        <w:rPr>
          <w:rFonts w:ascii="Times New Roman" w:hAnsi="Times New Roman" w:cs="Times New Roman"/>
          <w:sz w:val="24"/>
          <w:szCs w:val="24"/>
          <w:lang w:val="en"/>
        </w:rPr>
        <w:t>In other words, Bali negotiations seem to have skipped the first usual stage in international trade negotiations and to have directly gone to the second phase.</w:t>
      </w:r>
      <w:r w:rsidR="00C36761">
        <w:rPr>
          <w:rFonts w:ascii="Times New Roman" w:hAnsi="Times New Roman" w:cs="Times New Roman"/>
          <w:sz w:val="24"/>
          <w:szCs w:val="24"/>
          <w:lang w:val="en"/>
        </w:rPr>
        <w:t xml:space="preserve"> This is probably due to the contents of the negotiations as </w:t>
      </w:r>
      <w:r w:rsidR="0032417F">
        <w:rPr>
          <w:rFonts w:ascii="Times New Roman" w:hAnsi="Times New Roman" w:cs="Times New Roman"/>
          <w:sz w:val="24"/>
          <w:szCs w:val="24"/>
          <w:lang w:val="en"/>
        </w:rPr>
        <w:t xml:space="preserve">the focus was on </w:t>
      </w:r>
      <w:r w:rsidR="0032417F" w:rsidRPr="0032417F">
        <w:rPr>
          <w:rFonts w:ascii="Times New Roman" w:hAnsi="Times New Roman" w:cs="Times New Roman"/>
          <w:sz w:val="24"/>
          <w:szCs w:val="24"/>
          <w:lang w:val="en"/>
        </w:rPr>
        <w:t>specific topics of</w:t>
      </w:r>
      <w:r w:rsidR="0032417F">
        <w:rPr>
          <w:rFonts w:ascii="Times New Roman" w:hAnsi="Times New Roman" w:cs="Times New Roman"/>
          <w:sz w:val="24"/>
          <w:szCs w:val="24"/>
          <w:lang w:val="en"/>
        </w:rPr>
        <w:t xml:space="preserve"> especial </w:t>
      </w:r>
      <w:r w:rsidR="0032417F" w:rsidRPr="0032417F">
        <w:rPr>
          <w:rFonts w:ascii="Times New Roman" w:hAnsi="Times New Roman" w:cs="Times New Roman"/>
          <w:sz w:val="24"/>
          <w:szCs w:val="24"/>
          <w:lang w:val="en"/>
        </w:rPr>
        <w:t>interest to</w:t>
      </w:r>
      <w:r w:rsidR="0032417F">
        <w:rPr>
          <w:rFonts w:ascii="Times New Roman" w:hAnsi="Times New Roman" w:cs="Times New Roman"/>
          <w:sz w:val="24"/>
          <w:szCs w:val="24"/>
          <w:lang w:val="en"/>
        </w:rPr>
        <w:t xml:space="preserve"> developing and least developed countries</w:t>
      </w:r>
      <w:r w:rsidR="0032417F" w:rsidRPr="0032417F">
        <w:rPr>
          <w:rFonts w:ascii="Times New Roman" w:hAnsi="Times New Roman" w:cs="Times New Roman"/>
          <w:sz w:val="24"/>
          <w:szCs w:val="24"/>
          <w:lang w:val="en"/>
        </w:rPr>
        <w:t>.</w:t>
      </w:r>
    </w:p>
    <w:p w:rsidR="003C18EB"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br/>
      </w:r>
      <w:r w:rsidR="005B2F2A">
        <w:rPr>
          <w:rFonts w:ascii="Times New Roman" w:hAnsi="Times New Roman" w:cs="Times New Roman"/>
          <w:sz w:val="24"/>
          <w:szCs w:val="24"/>
          <w:lang w:val="en"/>
        </w:rPr>
        <w:t>In any case</w:t>
      </w:r>
      <w:r w:rsidR="007B323C">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the EU has been a member of all the different </w:t>
      </w:r>
      <w:r w:rsidR="007B323C" w:rsidRPr="007B323C">
        <w:rPr>
          <w:rFonts w:ascii="Times New Roman" w:hAnsi="Times New Roman" w:cs="Times New Roman"/>
          <w:sz w:val="24"/>
          <w:szCs w:val="24"/>
          <w:lang w:val="en"/>
        </w:rPr>
        <w:t xml:space="preserve">consensus-building </w:t>
      </w:r>
      <w:r w:rsidRPr="00874087">
        <w:rPr>
          <w:rFonts w:ascii="Times New Roman" w:hAnsi="Times New Roman" w:cs="Times New Roman"/>
          <w:sz w:val="24"/>
          <w:szCs w:val="24"/>
          <w:lang w:val="en"/>
        </w:rPr>
        <w:t>groups created</w:t>
      </w:r>
      <w:r w:rsidR="00E2129A">
        <w:rPr>
          <w:rFonts w:ascii="Times New Roman" w:hAnsi="Times New Roman" w:cs="Times New Roman"/>
          <w:sz w:val="24"/>
          <w:szCs w:val="24"/>
          <w:lang w:val="en"/>
        </w:rPr>
        <w:t xml:space="preserve"> since 2003</w:t>
      </w:r>
      <w:r w:rsidRPr="00874087">
        <w:rPr>
          <w:rFonts w:ascii="Times New Roman" w:hAnsi="Times New Roman" w:cs="Times New Roman"/>
          <w:sz w:val="24"/>
          <w:szCs w:val="24"/>
          <w:lang w:val="en"/>
        </w:rPr>
        <w:t xml:space="preserve">. Our review of </w:t>
      </w:r>
      <w:r w:rsidRPr="007B323C">
        <w:rPr>
          <w:rFonts w:ascii="Times New Roman" w:hAnsi="Times New Roman" w:cs="Times New Roman"/>
          <w:i/>
          <w:sz w:val="24"/>
          <w:szCs w:val="24"/>
          <w:lang w:val="en"/>
        </w:rPr>
        <w:t>Bridges Weekly</w:t>
      </w:r>
      <w:r w:rsidRPr="00874087">
        <w:rPr>
          <w:rFonts w:ascii="Times New Roman" w:hAnsi="Times New Roman" w:cs="Times New Roman"/>
          <w:sz w:val="24"/>
          <w:szCs w:val="24"/>
          <w:lang w:val="en"/>
        </w:rPr>
        <w:t xml:space="preserve"> reveals that </w:t>
      </w:r>
      <w:r w:rsidR="007B323C">
        <w:rPr>
          <w:rFonts w:ascii="Times New Roman" w:hAnsi="Times New Roman" w:cs="Times New Roman"/>
          <w:sz w:val="24"/>
          <w:szCs w:val="24"/>
          <w:lang w:val="en"/>
        </w:rPr>
        <w:t xml:space="preserve">once it had accepted </w:t>
      </w:r>
      <w:r w:rsidRPr="00874087">
        <w:rPr>
          <w:rFonts w:ascii="Times New Roman" w:hAnsi="Times New Roman" w:cs="Times New Roman"/>
          <w:sz w:val="24"/>
          <w:szCs w:val="24"/>
          <w:lang w:val="en"/>
        </w:rPr>
        <w:t xml:space="preserve">the </w:t>
      </w:r>
      <w:r w:rsidR="003C18EB">
        <w:rPr>
          <w:rFonts w:ascii="Times New Roman" w:hAnsi="Times New Roman" w:cs="Times New Roman"/>
          <w:sz w:val="24"/>
          <w:szCs w:val="24"/>
          <w:lang w:val="en"/>
        </w:rPr>
        <w:t>emerging countries</w:t>
      </w:r>
      <w:r w:rsidRPr="00874087">
        <w:rPr>
          <w:rFonts w:ascii="Times New Roman" w:hAnsi="Times New Roman" w:cs="Times New Roman"/>
          <w:sz w:val="24"/>
          <w:szCs w:val="24"/>
          <w:lang w:val="en"/>
        </w:rPr>
        <w:t xml:space="preserve"> as necessary interlocutor</w:t>
      </w:r>
      <w:r w:rsidR="003C18EB">
        <w:rPr>
          <w:rFonts w:ascii="Times New Roman" w:hAnsi="Times New Roman" w:cs="Times New Roman"/>
          <w:sz w:val="24"/>
          <w:szCs w:val="24"/>
          <w:lang w:val="en"/>
        </w:rPr>
        <w:t>s</w:t>
      </w:r>
      <w:r w:rsidRPr="00874087">
        <w:rPr>
          <w:rFonts w:ascii="Times New Roman" w:hAnsi="Times New Roman" w:cs="Times New Roman"/>
          <w:sz w:val="24"/>
          <w:szCs w:val="24"/>
          <w:lang w:val="en"/>
        </w:rPr>
        <w:t xml:space="preserve"> in the negotiations after the break in Cancun,</w:t>
      </w:r>
      <w:r w:rsidR="00A3766C" w:rsidRPr="00A3766C">
        <w:rPr>
          <w:rFonts w:ascii="Times New Roman" w:hAnsi="Times New Roman" w:cs="Times New Roman"/>
          <w:sz w:val="24"/>
          <w:szCs w:val="24"/>
          <w:vertAlign w:val="superscript"/>
          <w:lang w:val="en-GB"/>
        </w:rPr>
        <w:t xml:space="preserve"> </w:t>
      </w:r>
      <w:r w:rsidR="00A3766C" w:rsidRPr="00A3766C">
        <w:rPr>
          <w:rFonts w:ascii="Times New Roman" w:hAnsi="Times New Roman" w:cs="Times New Roman"/>
          <w:sz w:val="24"/>
          <w:szCs w:val="24"/>
          <w:vertAlign w:val="superscript"/>
        </w:rPr>
        <w:footnoteReference w:id="15"/>
      </w:r>
      <w:r w:rsidR="00A3766C" w:rsidRPr="00A3766C">
        <w:rPr>
          <w:rFonts w:ascii="Times New Roman" w:hAnsi="Times New Roman" w:cs="Times New Roman"/>
          <w:sz w:val="24"/>
          <w:szCs w:val="24"/>
          <w:lang w:val="en-GB"/>
        </w:rPr>
        <w:t xml:space="preserve"> </w:t>
      </w:r>
      <w:r w:rsidRPr="00874087">
        <w:rPr>
          <w:rFonts w:ascii="Times New Roman" w:hAnsi="Times New Roman" w:cs="Times New Roman"/>
          <w:sz w:val="24"/>
          <w:szCs w:val="24"/>
          <w:lang w:val="en"/>
        </w:rPr>
        <w:t xml:space="preserve"> </w:t>
      </w:r>
      <w:r w:rsidR="007B323C">
        <w:rPr>
          <w:rFonts w:ascii="Times New Roman" w:hAnsi="Times New Roman" w:cs="Times New Roman"/>
          <w:sz w:val="24"/>
          <w:szCs w:val="24"/>
          <w:lang w:val="en"/>
        </w:rPr>
        <w:t xml:space="preserve">the EU </w:t>
      </w:r>
      <w:r w:rsidRPr="00874087">
        <w:rPr>
          <w:rFonts w:ascii="Times New Roman" w:hAnsi="Times New Roman" w:cs="Times New Roman"/>
          <w:sz w:val="24"/>
          <w:szCs w:val="24"/>
          <w:lang w:val="en"/>
        </w:rPr>
        <w:t xml:space="preserve">never opposed to integrating </w:t>
      </w:r>
      <w:r w:rsidR="003C18EB">
        <w:rPr>
          <w:rFonts w:ascii="Times New Roman" w:hAnsi="Times New Roman" w:cs="Times New Roman"/>
          <w:sz w:val="24"/>
          <w:szCs w:val="24"/>
          <w:lang w:val="en"/>
        </w:rPr>
        <w:t>the BIC</w:t>
      </w:r>
      <w:r w:rsidR="00E2129A">
        <w:rPr>
          <w:rFonts w:ascii="Times New Roman" w:hAnsi="Times New Roman" w:cs="Times New Roman"/>
          <w:sz w:val="24"/>
          <w:szCs w:val="24"/>
          <w:lang w:val="en"/>
        </w:rPr>
        <w:t xml:space="preserve"> into the </w:t>
      </w:r>
      <w:r w:rsidRPr="00874087">
        <w:rPr>
          <w:rFonts w:ascii="Times New Roman" w:hAnsi="Times New Roman" w:cs="Times New Roman"/>
          <w:sz w:val="24"/>
          <w:szCs w:val="24"/>
          <w:lang w:val="en"/>
        </w:rPr>
        <w:t>consensus</w:t>
      </w:r>
      <w:r w:rsidR="00E2129A">
        <w:rPr>
          <w:rFonts w:ascii="Times New Roman" w:hAnsi="Times New Roman" w:cs="Times New Roman"/>
          <w:sz w:val="24"/>
          <w:szCs w:val="24"/>
          <w:lang w:val="en"/>
        </w:rPr>
        <w:t>-building</w:t>
      </w:r>
      <w:r w:rsidRPr="00874087">
        <w:rPr>
          <w:rFonts w:ascii="Times New Roman" w:hAnsi="Times New Roman" w:cs="Times New Roman"/>
          <w:sz w:val="24"/>
          <w:szCs w:val="24"/>
          <w:lang w:val="en"/>
        </w:rPr>
        <w:t xml:space="preserve"> nuclei; </w:t>
      </w:r>
      <w:r w:rsidR="00E2129A">
        <w:rPr>
          <w:rFonts w:ascii="Times New Roman" w:hAnsi="Times New Roman" w:cs="Times New Roman"/>
          <w:sz w:val="24"/>
          <w:szCs w:val="24"/>
          <w:lang w:val="en"/>
        </w:rPr>
        <w:t xml:space="preserve">there is </w:t>
      </w:r>
      <w:r w:rsidRPr="00874087">
        <w:rPr>
          <w:rFonts w:ascii="Times New Roman" w:hAnsi="Times New Roman" w:cs="Times New Roman"/>
          <w:sz w:val="24"/>
          <w:szCs w:val="24"/>
          <w:lang w:val="en"/>
        </w:rPr>
        <w:t xml:space="preserve">no evidence of rejection of this new structure. </w:t>
      </w:r>
      <w:r w:rsidR="0086655B">
        <w:rPr>
          <w:rFonts w:ascii="Times New Roman" w:hAnsi="Times New Roman" w:cs="Times New Roman"/>
          <w:sz w:val="24"/>
          <w:szCs w:val="24"/>
          <w:lang w:val="en"/>
        </w:rPr>
        <w:t xml:space="preserve">In the decision-making area, therefore, the </w:t>
      </w:r>
      <w:r w:rsidR="0086655B" w:rsidRPr="0086655B">
        <w:rPr>
          <w:rFonts w:ascii="Times New Roman" w:hAnsi="Times New Roman" w:cs="Times New Roman"/>
          <w:sz w:val="24"/>
          <w:szCs w:val="24"/>
          <w:lang w:val="en"/>
        </w:rPr>
        <w:t xml:space="preserve">EU reaction to emerging countries </w:t>
      </w:r>
      <w:r w:rsidRPr="00874087">
        <w:rPr>
          <w:rFonts w:ascii="Times New Roman" w:hAnsi="Times New Roman" w:cs="Times New Roman"/>
          <w:sz w:val="24"/>
          <w:szCs w:val="24"/>
          <w:lang w:val="en"/>
        </w:rPr>
        <w:t xml:space="preserve">has been </w:t>
      </w:r>
      <w:r w:rsidR="0086655B">
        <w:rPr>
          <w:rFonts w:ascii="Times New Roman" w:hAnsi="Times New Roman" w:cs="Times New Roman"/>
          <w:sz w:val="24"/>
          <w:szCs w:val="24"/>
          <w:lang w:val="en"/>
        </w:rPr>
        <w:t>one of accommodation</w:t>
      </w:r>
      <w:r w:rsidRPr="00874087">
        <w:rPr>
          <w:rFonts w:ascii="Times New Roman" w:hAnsi="Times New Roman" w:cs="Times New Roman"/>
          <w:sz w:val="24"/>
          <w:szCs w:val="24"/>
          <w:lang w:val="en"/>
        </w:rPr>
        <w:t xml:space="preserve"> and th</w:t>
      </w:r>
      <w:r w:rsidR="0086655B">
        <w:rPr>
          <w:rFonts w:ascii="Times New Roman" w:hAnsi="Times New Roman" w:cs="Times New Roman"/>
          <w:sz w:val="24"/>
          <w:szCs w:val="24"/>
          <w:lang w:val="en"/>
        </w:rPr>
        <w:t>ence of</w:t>
      </w:r>
      <w:r w:rsidRPr="00874087">
        <w:rPr>
          <w:rFonts w:ascii="Times New Roman" w:hAnsi="Times New Roman" w:cs="Times New Roman"/>
          <w:sz w:val="24"/>
          <w:szCs w:val="24"/>
          <w:lang w:val="en"/>
        </w:rPr>
        <w:t xml:space="preserve"> recognition of the</w:t>
      </w:r>
      <w:r w:rsidR="003C18EB">
        <w:rPr>
          <w:rFonts w:ascii="Times New Roman" w:hAnsi="Times New Roman" w:cs="Times New Roman"/>
          <w:sz w:val="24"/>
          <w:szCs w:val="24"/>
          <w:lang w:val="en"/>
        </w:rPr>
        <w:t>ir</w:t>
      </w:r>
      <w:r w:rsidRPr="00874087">
        <w:rPr>
          <w:rFonts w:ascii="Times New Roman" w:hAnsi="Times New Roman" w:cs="Times New Roman"/>
          <w:sz w:val="24"/>
          <w:szCs w:val="24"/>
          <w:lang w:val="en"/>
        </w:rPr>
        <w:t xml:space="preserve"> veto power.</w:t>
      </w:r>
    </w:p>
    <w:p w:rsidR="009E647D" w:rsidRPr="00E03EFD" w:rsidRDefault="00D86C8D" w:rsidP="00C4584F">
      <w:pPr>
        <w:rPr>
          <w:rFonts w:ascii="Times New Roman" w:hAnsi="Times New Roman" w:cs="Times New Roman"/>
          <w:b/>
          <w:sz w:val="24"/>
          <w:szCs w:val="24"/>
          <w:lang w:val="en"/>
        </w:rPr>
      </w:pPr>
      <w:r w:rsidRPr="00874087">
        <w:rPr>
          <w:rFonts w:ascii="Times New Roman" w:hAnsi="Times New Roman" w:cs="Times New Roman"/>
          <w:sz w:val="24"/>
          <w:szCs w:val="24"/>
          <w:lang w:val="en"/>
        </w:rPr>
        <w:br/>
      </w:r>
      <w:r w:rsidR="009E647D" w:rsidRPr="00E03EFD">
        <w:rPr>
          <w:rFonts w:ascii="Times New Roman" w:hAnsi="Times New Roman" w:cs="Times New Roman"/>
          <w:b/>
          <w:sz w:val="24"/>
          <w:szCs w:val="24"/>
          <w:lang w:val="en"/>
        </w:rPr>
        <w:t>4.2</w:t>
      </w:r>
      <w:r w:rsidRPr="00E03EFD">
        <w:rPr>
          <w:rFonts w:ascii="Times New Roman" w:hAnsi="Times New Roman" w:cs="Times New Roman"/>
          <w:b/>
          <w:sz w:val="24"/>
          <w:szCs w:val="24"/>
          <w:lang w:val="en"/>
        </w:rPr>
        <w:t xml:space="preserve">. </w:t>
      </w:r>
      <w:r w:rsidR="009E647D" w:rsidRPr="00E03EFD">
        <w:rPr>
          <w:rFonts w:ascii="Times New Roman" w:hAnsi="Times New Roman" w:cs="Times New Roman"/>
          <w:b/>
          <w:sz w:val="24"/>
          <w:szCs w:val="24"/>
          <w:lang w:val="en"/>
        </w:rPr>
        <w:t>From accommodation</w:t>
      </w:r>
      <w:r w:rsidRPr="00E03EFD">
        <w:rPr>
          <w:rFonts w:ascii="Times New Roman" w:hAnsi="Times New Roman" w:cs="Times New Roman"/>
          <w:b/>
          <w:sz w:val="24"/>
          <w:szCs w:val="24"/>
          <w:lang w:val="en"/>
        </w:rPr>
        <w:t xml:space="preserve"> to entrenchment in the negotiations</w:t>
      </w:r>
      <w:r w:rsidRPr="00E03EFD">
        <w:rPr>
          <w:rFonts w:ascii="Times New Roman" w:hAnsi="Times New Roman" w:cs="Times New Roman"/>
          <w:b/>
          <w:sz w:val="24"/>
          <w:szCs w:val="24"/>
          <w:lang w:val="en"/>
        </w:rPr>
        <w:br/>
      </w:r>
    </w:p>
    <w:p w:rsidR="00E03EFD"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t xml:space="preserve">In the field of </w:t>
      </w:r>
      <w:r w:rsidR="002B764F">
        <w:rPr>
          <w:rFonts w:ascii="Times New Roman" w:hAnsi="Times New Roman" w:cs="Times New Roman"/>
          <w:sz w:val="24"/>
          <w:szCs w:val="24"/>
          <w:lang w:val="en"/>
        </w:rPr>
        <w:t xml:space="preserve">the DR </w:t>
      </w:r>
      <w:r w:rsidRPr="00874087">
        <w:rPr>
          <w:rFonts w:ascii="Times New Roman" w:hAnsi="Times New Roman" w:cs="Times New Roman"/>
          <w:sz w:val="24"/>
          <w:szCs w:val="24"/>
          <w:lang w:val="en"/>
        </w:rPr>
        <w:t xml:space="preserve">negotiations, our analysis of the events through the </w:t>
      </w:r>
      <w:r w:rsidRPr="009E647D">
        <w:rPr>
          <w:rFonts w:ascii="Times New Roman" w:hAnsi="Times New Roman" w:cs="Times New Roman"/>
          <w:i/>
          <w:sz w:val="24"/>
          <w:szCs w:val="24"/>
          <w:lang w:val="en"/>
        </w:rPr>
        <w:t>Bridges Weekly</w:t>
      </w:r>
      <w:r w:rsidRPr="00874087">
        <w:rPr>
          <w:rFonts w:ascii="Times New Roman" w:hAnsi="Times New Roman" w:cs="Times New Roman"/>
          <w:sz w:val="24"/>
          <w:szCs w:val="24"/>
          <w:lang w:val="en"/>
        </w:rPr>
        <w:t xml:space="preserve"> indicates that we can distinguish </w:t>
      </w:r>
      <w:r w:rsidR="00B643AE">
        <w:rPr>
          <w:rFonts w:ascii="Times New Roman" w:hAnsi="Times New Roman" w:cs="Times New Roman"/>
          <w:sz w:val="24"/>
          <w:szCs w:val="24"/>
          <w:lang w:val="en"/>
        </w:rPr>
        <w:t xml:space="preserve">between </w:t>
      </w:r>
      <w:r w:rsidRPr="00874087">
        <w:rPr>
          <w:rFonts w:ascii="Times New Roman" w:hAnsi="Times New Roman" w:cs="Times New Roman"/>
          <w:sz w:val="24"/>
          <w:szCs w:val="24"/>
          <w:lang w:val="en"/>
        </w:rPr>
        <w:t xml:space="preserve">two </w:t>
      </w:r>
      <w:r w:rsidR="009E647D">
        <w:rPr>
          <w:rFonts w:ascii="Times New Roman" w:hAnsi="Times New Roman" w:cs="Times New Roman"/>
          <w:sz w:val="24"/>
          <w:szCs w:val="24"/>
          <w:lang w:val="en"/>
        </w:rPr>
        <w:t xml:space="preserve">different EU </w:t>
      </w:r>
      <w:r w:rsidRPr="00874087">
        <w:rPr>
          <w:rFonts w:ascii="Times New Roman" w:hAnsi="Times New Roman" w:cs="Times New Roman"/>
          <w:sz w:val="24"/>
          <w:szCs w:val="24"/>
          <w:lang w:val="en"/>
        </w:rPr>
        <w:t xml:space="preserve">positions. </w:t>
      </w:r>
      <w:r w:rsidR="009E647D">
        <w:rPr>
          <w:rFonts w:ascii="Times New Roman" w:hAnsi="Times New Roman" w:cs="Times New Roman"/>
          <w:sz w:val="24"/>
          <w:szCs w:val="24"/>
          <w:lang w:val="en"/>
        </w:rPr>
        <w:t>The</w:t>
      </w:r>
      <w:r w:rsidRPr="00874087">
        <w:rPr>
          <w:rFonts w:ascii="Times New Roman" w:hAnsi="Times New Roman" w:cs="Times New Roman"/>
          <w:sz w:val="24"/>
          <w:szCs w:val="24"/>
          <w:lang w:val="en"/>
        </w:rPr>
        <w:t xml:space="preserve"> first reaction after the Cancun Ministerial was to adapt. Until 2008, the EU offered substantial concessions in two areas: the Singapore issues and the agricultural negotiations</w:t>
      </w:r>
      <w:r w:rsidR="009E647D">
        <w:rPr>
          <w:rFonts w:ascii="Times New Roman" w:hAnsi="Times New Roman" w:cs="Times New Roman"/>
          <w:sz w:val="24"/>
          <w:szCs w:val="24"/>
          <w:lang w:val="en"/>
        </w:rPr>
        <w:t xml:space="preserve">, so as to </w:t>
      </w:r>
      <w:r w:rsidR="009E647D" w:rsidRPr="00874087">
        <w:rPr>
          <w:rFonts w:ascii="Times New Roman" w:hAnsi="Times New Roman" w:cs="Times New Roman"/>
          <w:sz w:val="24"/>
          <w:szCs w:val="24"/>
          <w:lang w:val="en"/>
        </w:rPr>
        <w:t>allow</w:t>
      </w:r>
      <w:r w:rsidR="009E647D">
        <w:rPr>
          <w:rFonts w:ascii="Times New Roman" w:hAnsi="Times New Roman" w:cs="Times New Roman"/>
          <w:sz w:val="24"/>
          <w:szCs w:val="24"/>
          <w:lang w:val="en"/>
        </w:rPr>
        <w:t xml:space="preserve"> for progress</w:t>
      </w:r>
      <w:r w:rsidR="00190C13">
        <w:rPr>
          <w:rFonts w:ascii="Times New Roman" w:hAnsi="Times New Roman" w:cs="Times New Roman"/>
          <w:sz w:val="24"/>
          <w:szCs w:val="24"/>
          <w:lang w:val="en"/>
        </w:rPr>
        <w:t xml:space="preserve"> at the DR</w:t>
      </w:r>
      <w:r w:rsidRPr="00874087">
        <w:rPr>
          <w:rFonts w:ascii="Times New Roman" w:hAnsi="Times New Roman" w:cs="Times New Roman"/>
          <w:sz w:val="24"/>
          <w:szCs w:val="24"/>
          <w:lang w:val="en"/>
        </w:rPr>
        <w:t>. From 200</w:t>
      </w:r>
      <w:r w:rsidR="009E647D">
        <w:rPr>
          <w:rFonts w:ascii="Times New Roman" w:hAnsi="Times New Roman" w:cs="Times New Roman"/>
          <w:sz w:val="24"/>
          <w:szCs w:val="24"/>
          <w:lang w:val="en"/>
        </w:rPr>
        <w:t xml:space="preserve">9 </w:t>
      </w:r>
      <w:r w:rsidR="002B764F">
        <w:rPr>
          <w:rFonts w:ascii="Times New Roman" w:hAnsi="Times New Roman" w:cs="Times New Roman"/>
          <w:sz w:val="24"/>
          <w:szCs w:val="24"/>
          <w:lang w:val="en"/>
        </w:rPr>
        <w:t>until 2013,</w:t>
      </w:r>
      <w:r w:rsidRPr="00874087">
        <w:rPr>
          <w:rFonts w:ascii="Times New Roman" w:hAnsi="Times New Roman" w:cs="Times New Roman"/>
          <w:sz w:val="24"/>
          <w:szCs w:val="24"/>
          <w:lang w:val="en"/>
        </w:rPr>
        <w:t xml:space="preserve"> however, </w:t>
      </w:r>
      <w:r w:rsidR="009E647D">
        <w:rPr>
          <w:rFonts w:ascii="Times New Roman" w:hAnsi="Times New Roman" w:cs="Times New Roman"/>
          <w:sz w:val="24"/>
          <w:szCs w:val="24"/>
          <w:lang w:val="en"/>
        </w:rPr>
        <w:t xml:space="preserve">the EU adopted </w:t>
      </w:r>
      <w:r w:rsidRPr="00874087">
        <w:rPr>
          <w:rFonts w:ascii="Times New Roman" w:hAnsi="Times New Roman" w:cs="Times New Roman"/>
          <w:sz w:val="24"/>
          <w:szCs w:val="24"/>
          <w:lang w:val="en"/>
        </w:rPr>
        <w:t xml:space="preserve">a position of </w:t>
      </w:r>
      <w:r w:rsidR="009E647D" w:rsidRPr="00874087">
        <w:rPr>
          <w:rFonts w:ascii="Times New Roman" w:hAnsi="Times New Roman" w:cs="Times New Roman"/>
          <w:sz w:val="24"/>
          <w:szCs w:val="24"/>
          <w:lang w:val="en"/>
        </w:rPr>
        <w:t>entrenchment:</w:t>
      </w:r>
      <w:r w:rsidRPr="00874087">
        <w:rPr>
          <w:rFonts w:ascii="Times New Roman" w:hAnsi="Times New Roman" w:cs="Times New Roman"/>
          <w:sz w:val="24"/>
          <w:szCs w:val="24"/>
          <w:lang w:val="en"/>
        </w:rPr>
        <w:t xml:space="preserve"> </w:t>
      </w:r>
      <w:r w:rsidR="009E647D">
        <w:rPr>
          <w:rFonts w:ascii="Times New Roman" w:hAnsi="Times New Roman" w:cs="Times New Roman"/>
          <w:sz w:val="24"/>
          <w:szCs w:val="24"/>
          <w:lang w:val="en"/>
        </w:rPr>
        <w:t xml:space="preserve">it </w:t>
      </w:r>
      <w:r w:rsidR="002B764F">
        <w:rPr>
          <w:rFonts w:ascii="Times New Roman" w:hAnsi="Times New Roman" w:cs="Times New Roman"/>
          <w:sz w:val="24"/>
          <w:szCs w:val="24"/>
          <w:lang w:val="en"/>
        </w:rPr>
        <w:t>wa</w:t>
      </w:r>
      <w:r w:rsidRPr="00874087">
        <w:rPr>
          <w:rFonts w:ascii="Times New Roman" w:hAnsi="Times New Roman" w:cs="Times New Roman"/>
          <w:sz w:val="24"/>
          <w:szCs w:val="24"/>
          <w:lang w:val="en"/>
        </w:rPr>
        <w:t xml:space="preserve">s unwilling to offer new concessions thereby accepting the risk </w:t>
      </w:r>
      <w:r w:rsidR="00190C13">
        <w:rPr>
          <w:rFonts w:ascii="Times New Roman" w:hAnsi="Times New Roman" w:cs="Times New Roman"/>
          <w:sz w:val="24"/>
          <w:szCs w:val="24"/>
          <w:lang w:val="en"/>
        </w:rPr>
        <w:t xml:space="preserve">of </w:t>
      </w:r>
      <w:r w:rsidR="00EF0925">
        <w:rPr>
          <w:rFonts w:ascii="Times New Roman" w:hAnsi="Times New Roman" w:cs="Times New Roman"/>
          <w:sz w:val="24"/>
          <w:szCs w:val="24"/>
          <w:lang w:val="en"/>
        </w:rPr>
        <w:t xml:space="preserve">the DR </w:t>
      </w:r>
      <w:r w:rsidR="00190C13">
        <w:rPr>
          <w:rFonts w:ascii="Times New Roman" w:hAnsi="Times New Roman" w:cs="Times New Roman"/>
          <w:sz w:val="24"/>
          <w:szCs w:val="24"/>
          <w:lang w:val="en"/>
        </w:rPr>
        <w:t>stalling</w:t>
      </w:r>
      <w:r w:rsidR="00190C13" w:rsidRPr="00874087">
        <w:rPr>
          <w:rFonts w:ascii="Times New Roman" w:hAnsi="Times New Roman" w:cs="Times New Roman"/>
          <w:sz w:val="24"/>
          <w:szCs w:val="24"/>
          <w:lang w:val="en"/>
        </w:rPr>
        <w:t>.</w:t>
      </w:r>
    </w:p>
    <w:p w:rsidR="00190C13" w:rsidRPr="00FC3AC6" w:rsidRDefault="00D86C8D" w:rsidP="00C836AB">
      <w:pPr>
        <w:jc w:val="both"/>
        <w:rPr>
          <w:rFonts w:ascii="Times New Roman" w:hAnsi="Times New Roman" w:cs="Times New Roman"/>
          <w:sz w:val="24"/>
          <w:szCs w:val="24"/>
          <w:lang w:val="en-GB"/>
        </w:rPr>
      </w:pPr>
      <w:r w:rsidRPr="00874087">
        <w:rPr>
          <w:rFonts w:ascii="Times New Roman" w:hAnsi="Times New Roman" w:cs="Times New Roman"/>
          <w:sz w:val="24"/>
          <w:szCs w:val="24"/>
          <w:lang w:val="en"/>
        </w:rPr>
        <w:lastRenderedPageBreak/>
        <w:t xml:space="preserve">After the failure of the Cancun Ministerial in September 2003, the EU took a </w:t>
      </w:r>
      <w:r w:rsidR="00835AD0">
        <w:rPr>
          <w:rFonts w:ascii="Times New Roman" w:hAnsi="Times New Roman" w:cs="Times New Roman"/>
          <w:sz w:val="24"/>
          <w:szCs w:val="24"/>
          <w:lang w:val="en"/>
        </w:rPr>
        <w:t>time-out</w:t>
      </w:r>
      <w:r w:rsidR="00190C13">
        <w:rPr>
          <w:rFonts w:ascii="Times New Roman" w:hAnsi="Times New Roman" w:cs="Times New Roman"/>
          <w:sz w:val="24"/>
          <w:szCs w:val="24"/>
          <w:lang w:val="en"/>
        </w:rPr>
        <w:t xml:space="preserve"> to decide on whether to agree</w:t>
      </w:r>
      <w:r w:rsidRPr="00874087">
        <w:rPr>
          <w:rFonts w:ascii="Times New Roman" w:hAnsi="Times New Roman" w:cs="Times New Roman"/>
          <w:sz w:val="24"/>
          <w:szCs w:val="24"/>
          <w:lang w:val="en"/>
        </w:rPr>
        <w:t xml:space="preserve"> to </w:t>
      </w:r>
      <w:r w:rsidR="00190C13">
        <w:rPr>
          <w:rFonts w:ascii="Times New Roman" w:hAnsi="Times New Roman" w:cs="Times New Roman"/>
          <w:sz w:val="24"/>
          <w:szCs w:val="24"/>
          <w:lang w:val="en"/>
        </w:rPr>
        <w:t xml:space="preserve">the demands of </w:t>
      </w:r>
      <w:r w:rsidRPr="00874087">
        <w:rPr>
          <w:rFonts w:ascii="Times New Roman" w:hAnsi="Times New Roman" w:cs="Times New Roman"/>
          <w:sz w:val="24"/>
          <w:szCs w:val="24"/>
          <w:lang w:val="en"/>
        </w:rPr>
        <w:t xml:space="preserve">other WTO partners, especially </w:t>
      </w:r>
      <w:r w:rsidR="00835AD0">
        <w:rPr>
          <w:rFonts w:ascii="Times New Roman" w:hAnsi="Times New Roman" w:cs="Times New Roman"/>
          <w:sz w:val="24"/>
          <w:szCs w:val="24"/>
          <w:lang w:val="en"/>
        </w:rPr>
        <w:t xml:space="preserve">of </w:t>
      </w:r>
      <w:r w:rsidR="00190C13">
        <w:rPr>
          <w:rFonts w:ascii="Times New Roman" w:hAnsi="Times New Roman" w:cs="Times New Roman"/>
          <w:sz w:val="24"/>
          <w:szCs w:val="24"/>
          <w:lang w:val="en"/>
        </w:rPr>
        <w:t xml:space="preserve">the </w:t>
      </w:r>
      <w:r w:rsidRPr="00874087">
        <w:rPr>
          <w:rFonts w:ascii="Times New Roman" w:hAnsi="Times New Roman" w:cs="Times New Roman"/>
          <w:sz w:val="24"/>
          <w:szCs w:val="24"/>
          <w:lang w:val="en"/>
        </w:rPr>
        <w:t xml:space="preserve">emerging </w:t>
      </w:r>
      <w:r w:rsidR="00190C13">
        <w:rPr>
          <w:rFonts w:ascii="Times New Roman" w:hAnsi="Times New Roman" w:cs="Times New Roman"/>
          <w:sz w:val="24"/>
          <w:szCs w:val="24"/>
          <w:lang w:val="en"/>
        </w:rPr>
        <w:t>countries</w:t>
      </w:r>
      <w:r w:rsidRPr="00874087">
        <w:rPr>
          <w:rFonts w:ascii="Times New Roman" w:hAnsi="Times New Roman" w:cs="Times New Roman"/>
          <w:sz w:val="24"/>
          <w:szCs w:val="24"/>
          <w:lang w:val="en"/>
        </w:rPr>
        <w:t xml:space="preserve">, so that the round could continue. </w:t>
      </w:r>
      <w:r w:rsidR="00FC3AC6">
        <w:rPr>
          <w:rFonts w:ascii="Times New Roman" w:hAnsi="Times New Roman" w:cs="Times New Roman"/>
          <w:sz w:val="24"/>
          <w:szCs w:val="24"/>
          <w:lang w:val="en"/>
        </w:rPr>
        <w:t>It</w:t>
      </w:r>
      <w:r w:rsidRPr="00874087">
        <w:rPr>
          <w:rFonts w:ascii="Times New Roman" w:hAnsi="Times New Roman" w:cs="Times New Roman"/>
          <w:sz w:val="24"/>
          <w:szCs w:val="24"/>
          <w:lang w:val="en"/>
        </w:rPr>
        <w:t xml:space="preserve"> formally adopted</w:t>
      </w:r>
      <w:r w:rsidR="00FC3AC6">
        <w:rPr>
          <w:rFonts w:ascii="Times New Roman" w:hAnsi="Times New Roman" w:cs="Times New Roman"/>
          <w:sz w:val="24"/>
          <w:szCs w:val="24"/>
          <w:lang w:val="en"/>
        </w:rPr>
        <w:t xml:space="preserve"> its new position </w:t>
      </w:r>
      <w:r w:rsidRPr="00874087">
        <w:rPr>
          <w:rFonts w:ascii="Times New Roman" w:hAnsi="Times New Roman" w:cs="Times New Roman"/>
          <w:sz w:val="24"/>
          <w:szCs w:val="24"/>
          <w:lang w:val="en"/>
        </w:rPr>
        <w:t>on December 8 of that year</w:t>
      </w:r>
      <w:r w:rsidR="00B643AE" w:rsidRPr="00B643AE">
        <w:rPr>
          <w:rFonts w:ascii="Times New Roman" w:hAnsi="Times New Roman" w:cs="Times New Roman"/>
          <w:sz w:val="24"/>
          <w:szCs w:val="24"/>
          <w:lang w:val="en"/>
        </w:rPr>
        <w:t xml:space="preserve"> </w:t>
      </w:r>
      <w:r w:rsidR="00B643AE">
        <w:rPr>
          <w:rFonts w:ascii="Times New Roman" w:hAnsi="Times New Roman" w:cs="Times New Roman"/>
          <w:sz w:val="24"/>
          <w:szCs w:val="24"/>
          <w:lang w:val="en"/>
        </w:rPr>
        <w:t>f</w:t>
      </w:r>
      <w:r w:rsidR="00B643AE" w:rsidRPr="00B643AE">
        <w:rPr>
          <w:rFonts w:ascii="Times New Roman" w:hAnsi="Times New Roman" w:cs="Times New Roman"/>
          <w:sz w:val="24"/>
          <w:szCs w:val="24"/>
          <w:lang w:val="en"/>
        </w:rPr>
        <w:t xml:space="preserve">ollowing </w:t>
      </w:r>
      <w:r w:rsidR="00B643AE">
        <w:rPr>
          <w:rFonts w:ascii="Times New Roman" w:hAnsi="Times New Roman" w:cs="Times New Roman"/>
          <w:sz w:val="24"/>
          <w:szCs w:val="24"/>
          <w:lang w:val="en"/>
        </w:rPr>
        <w:t xml:space="preserve">a statement by </w:t>
      </w:r>
      <w:r w:rsidR="00B643AE" w:rsidRPr="00B643AE">
        <w:rPr>
          <w:rFonts w:ascii="Times New Roman" w:hAnsi="Times New Roman" w:cs="Times New Roman"/>
          <w:sz w:val="24"/>
          <w:szCs w:val="24"/>
          <w:lang w:val="en"/>
        </w:rPr>
        <w:t>the European Commission adopted in November 2003: “…</w:t>
      </w:r>
      <w:r w:rsidR="00B643AE" w:rsidRPr="00B643AE">
        <w:rPr>
          <w:rFonts w:ascii="Times New Roman" w:hAnsi="Times New Roman" w:cs="Times New Roman"/>
          <w:sz w:val="24"/>
          <w:szCs w:val="24"/>
          <w:lang w:val="en-GB"/>
        </w:rPr>
        <w:t>the EC remains committed to the multilateral trading system and will engage in re-launching talks, with the expectation that other parties show flexibility to negotiate and go beyond initial positions</w:t>
      </w:r>
      <w:r w:rsidR="00B643AE" w:rsidRPr="00B643AE">
        <w:rPr>
          <w:rFonts w:ascii="Times New Roman" w:hAnsi="Times New Roman" w:cs="Times New Roman"/>
          <w:sz w:val="24"/>
          <w:szCs w:val="24"/>
          <w:lang w:val="en"/>
        </w:rPr>
        <w:t>...“</w:t>
      </w:r>
      <w:r w:rsidR="00B643AE">
        <w:rPr>
          <w:rFonts w:ascii="Times New Roman" w:hAnsi="Times New Roman" w:cs="Times New Roman"/>
          <w:sz w:val="24"/>
          <w:szCs w:val="24"/>
          <w:lang w:val="en"/>
        </w:rPr>
        <w:t xml:space="preserve"> </w:t>
      </w:r>
      <w:r w:rsidR="00B643AE" w:rsidRPr="00B643AE">
        <w:rPr>
          <w:rFonts w:ascii="Times New Roman" w:hAnsi="Times New Roman" w:cs="Times New Roman"/>
          <w:sz w:val="24"/>
          <w:szCs w:val="24"/>
          <w:lang w:val="en"/>
        </w:rPr>
        <w:t>(</w:t>
      </w:r>
      <w:r w:rsidR="00B643AE" w:rsidRPr="00B643AE">
        <w:rPr>
          <w:rFonts w:ascii="Times New Roman" w:hAnsi="Times New Roman" w:cs="Times New Roman"/>
          <w:i/>
          <w:sz w:val="24"/>
          <w:szCs w:val="24"/>
          <w:lang w:val="en"/>
        </w:rPr>
        <w:t>Bridges Weekly</w:t>
      </w:r>
      <w:r w:rsidR="00B643AE" w:rsidRPr="00B643AE">
        <w:rPr>
          <w:rFonts w:ascii="Times New Roman" w:hAnsi="Times New Roman" w:cs="Times New Roman"/>
          <w:sz w:val="24"/>
          <w:szCs w:val="24"/>
          <w:lang w:val="en"/>
        </w:rPr>
        <w:t xml:space="preserve"> Vol. 7, No. 40, 26/11/2003).</w:t>
      </w:r>
      <w:r w:rsidRPr="00874087">
        <w:rPr>
          <w:rFonts w:ascii="Times New Roman" w:hAnsi="Times New Roman" w:cs="Times New Roman"/>
          <w:sz w:val="24"/>
          <w:szCs w:val="24"/>
          <w:lang w:val="en"/>
        </w:rPr>
        <w:t xml:space="preserve"> </w:t>
      </w:r>
      <w:r w:rsidR="00B643AE">
        <w:rPr>
          <w:rFonts w:ascii="Times New Roman" w:hAnsi="Times New Roman" w:cs="Times New Roman"/>
          <w:sz w:val="24"/>
          <w:szCs w:val="24"/>
          <w:lang w:val="en"/>
        </w:rPr>
        <w:t>By so doing, the EU</w:t>
      </w:r>
      <w:r w:rsidRPr="00874087">
        <w:rPr>
          <w:rFonts w:ascii="Times New Roman" w:hAnsi="Times New Roman" w:cs="Times New Roman"/>
          <w:sz w:val="24"/>
          <w:szCs w:val="24"/>
          <w:lang w:val="en"/>
        </w:rPr>
        <w:t xml:space="preserve"> accepted </w:t>
      </w:r>
      <w:r w:rsidR="00FC3AC6">
        <w:rPr>
          <w:rFonts w:ascii="Times New Roman" w:hAnsi="Times New Roman" w:cs="Times New Roman"/>
          <w:sz w:val="24"/>
          <w:szCs w:val="24"/>
          <w:lang w:val="en"/>
        </w:rPr>
        <w:t xml:space="preserve">both </w:t>
      </w:r>
      <w:r w:rsidRPr="00874087">
        <w:rPr>
          <w:rFonts w:ascii="Times New Roman" w:hAnsi="Times New Roman" w:cs="Times New Roman"/>
          <w:sz w:val="24"/>
          <w:szCs w:val="24"/>
          <w:lang w:val="en"/>
        </w:rPr>
        <w:t xml:space="preserve">that most of the Singapore issues </w:t>
      </w:r>
      <w:r w:rsidR="00B643AE">
        <w:rPr>
          <w:rFonts w:ascii="Times New Roman" w:hAnsi="Times New Roman" w:cs="Times New Roman"/>
          <w:sz w:val="24"/>
          <w:szCs w:val="24"/>
          <w:lang w:val="en"/>
        </w:rPr>
        <w:t>m</w:t>
      </w:r>
      <w:r w:rsidR="00F27BA2">
        <w:rPr>
          <w:rFonts w:ascii="Times New Roman" w:hAnsi="Times New Roman" w:cs="Times New Roman"/>
          <w:sz w:val="24"/>
          <w:szCs w:val="24"/>
          <w:lang w:val="en"/>
        </w:rPr>
        <w:t>ight</w:t>
      </w:r>
      <w:r w:rsidR="00FC3AC6">
        <w:rPr>
          <w:rFonts w:ascii="Times New Roman" w:hAnsi="Times New Roman" w:cs="Times New Roman"/>
          <w:sz w:val="24"/>
          <w:szCs w:val="24"/>
          <w:lang w:val="en"/>
        </w:rPr>
        <w:t xml:space="preserve"> be dropped from</w:t>
      </w:r>
      <w:r w:rsidRPr="00874087">
        <w:rPr>
          <w:rFonts w:ascii="Times New Roman" w:hAnsi="Times New Roman" w:cs="Times New Roman"/>
          <w:sz w:val="24"/>
          <w:szCs w:val="24"/>
          <w:lang w:val="en"/>
        </w:rPr>
        <w:t xml:space="preserve"> the negotiating agenda and</w:t>
      </w:r>
      <w:r w:rsidR="00FC3AC6">
        <w:rPr>
          <w:rFonts w:ascii="Times New Roman" w:hAnsi="Times New Roman" w:cs="Times New Roman"/>
          <w:sz w:val="24"/>
          <w:szCs w:val="24"/>
          <w:lang w:val="en"/>
        </w:rPr>
        <w:t xml:space="preserve"> that it</w:t>
      </w:r>
      <w:r w:rsidRPr="00874087">
        <w:rPr>
          <w:rFonts w:ascii="Times New Roman" w:hAnsi="Times New Roman" w:cs="Times New Roman"/>
          <w:sz w:val="24"/>
          <w:szCs w:val="24"/>
          <w:lang w:val="en"/>
        </w:rPr>
        <w:t xml:space="preserve"> should make further concessions on agricultural issues </w:t>
      </w:r>
      <w:r w:rsidR="00FC3AC6">
        <w:rPr>
          <w:rFonts w:ascii="Times New Roman" w:hAnsi="Times New Roman" w:cs="Times New Roman"/>
          <w:sz w:val="24"/>
          <w:szCs w:val="24"/>
          <w:lang w:val="en"/>
        </w:rPr>
        <w:t>to allow for progress at the DR</w:t>
      </w:r>
      <w:r w:rsidRPr="00874087">
        <w:rPr>
          <w:rFonts w:ascii="Times New Roman" w:hAnsi="Times New Roman" w:cs="Times New Roman"/>
          <w:sz w:val="24"/>
          <w:szCs w:val="24"/>
          <w:lang w:val="en"/>
        </w:rPr>
        <w:t>. This commitment</w:t>
      </w:r>
      <w:r w:rsidR="00835AD0">
        <w:rPr>
          <w:rFonts w:ascii="Times New Roman" w:hAnsi="Times New Roman" w:cs="Times New Roman"/>
          <w:sz w:val="24"/>
          <w:szCs w:val="24"/>
          <w:lang w:val="en"/>
        </w:rPr>
        <w:t xml:space="preserve">, together with the one of the </w:t>
      </w:r>
      <w:r w:rsidRPr="00874087">
        <w:rPr>
          <w:rFonts w:ascii="Times New Roman" w:hAnsi="Times New Roman" w:cs="Times New Roman"/>
          <w:sz w:val="24"/>
          <w:szCs w:val="24"/>
          <w:lang w:val="en"/>
        </w:rPr>
        <w:t>US</w:t>
      </w:r>
      <w:r w:rsidR="00835AD0">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 xml:space="preserve">in January 2004, </w:t>
      </w:r>
      <w:r w:rsidR="00FC3AC6">
        <w:rPr>
          <w:rFonts w:ascii="Times New Roman" w:hAnsi="Times New Roman" w:cs="Times New Roman"/>
          <w:sz w:val="24"/>
          <w:szCs w:val="24"/>
          <w:lang w:val="en"/>
        </w:rPr>
        <w:t>clear</w:t>
      </w:r>
      <w:r w:rsidR="00835AD0">
        <w:rPr>
          <w:rFonts w:ascii="Times New Roman" w:hAnsi="Times New Roman" w:cs="Times New Roman"/>
          <w:sz w:val="24"/>
          <w:szCs w:val="24"/>
          <w:lang w:val="en"/>
        </w:rPr>
        <w:t>ed</w:t>
      </w:r>
      <w:r w:rsidR="00FC3AC6">
        <w:rPr>
          <w:rFonts w:ascii="Times New Roman" w:hAnsi="Times New Roman" w:cs="Times New Roman"/>
          <w:sz w:val="24"/>
          <w:szCs w:val="24"/>
          <w:lang w:val="en"/>
        </w:rPr>
        <w:t xml:space="preserve"> the way for </w:t>
      </w:r>
      <w:r w:rsidR="00835AD0">
        <w:rPr>
          <w:rFonts w:ascii="Times New Roman" w:hAnsi="Times New Roman" w:cs="Times New Roman"/>
          <w:sz w:val="24"/>
          <w:szCs w:val="24"/>
          <w:lang w:val="en"/>
        </w:rPr>
        <w:t xml:space="preserve">resuming the DR </w:t>
      </w:r>
      <w:r w:rsidR="00FC3AC6">
        <w:rPr>
          <w:rFonts w:ascii="Times New Roman" w:hAnsi="Times New Roman" w:cs="Times New Roman"/>
          <w:sz w:val="24"/>
          <w:szCs w:val="24"/>
          <w:lang w:val="en"/>
        </w:rPr>
        <w:t>negotiations.</w:t>
      </w:r>
    </w:p>
    <w:p w:rsidR="00427183" w:rsidRDefault="00D86C8D" w:rsidP="00F27BA2">
      <w:pPr>
        <w:jc w:val="both"/>
        <w:rPr>
          <w:rFonts w:ascii="Times New Roman" w:hAnsi="Times New Roman" w:cs="Times New Roman"/>
          <w:color w:val="FF0000"/>
          <w:sz w:val="24"/>
          <w:szCs w:val="24"/>
          <w:lang w:val="en-GB"/>
        </w:rPr>
      </w:pPr>
      <w:r w:rsidRPr="00874087">
        <w:rPr>
          <w:rFonts w:ascii="Times New Roman" w:hAnsi="Times New Roman" w:cs="Times New Roman"/>
          <w:sz w:val="24"/>
          <w:szCs w:val="24"/>
          <w:lang w:val="en"/>
        </w:rPr>
        <w:t xml:space="preserve">The intention to </w:t>
      </w:r>
      <w:r w:rsidR="00434A33">
        <w:rPr>
          <w:rFonts w:ascii="Times New Roman" w:hAnsi="Times New Roman" w:cs="Times New Roman"/>
          <w:sz w:val="24"/>
          <w:szCs w:val="24"/>
          <w:lang w:val="en"/>
        </w:rPr>
        <w:t xml:space="preserve">wrap up </w:t>
      </w:r>
      <w:r w:rsidRPr="00874087">
        <w:rPr>
          <w:rFonts w:ascii="Times New Roman" w:hAnsi="Times New Roman" w:cs="Times New Roman"/>
          <w:sz w:val="24"/>
          <w:szCs w:val="24"/>
          <w:lang w:val="en"/>
        </w:rPr>
        <w:t xml:space="preserve">the </w:t>
      </w:r>
      <w:r w:rsidR="005A3D11">
        <w:rPr>
          <w:rFonts w:ascii="Times New Roman" w:hAnsi="Times New Roman" w:cs="Times New Roman"/>
          <w:sz w:val="24"/>
          <w:szCs w:val="24"/>
          <w:lang w:val="en"/>
        </w:rPr>
        <w:t>DR</w:t>
      </w:r>
      <w:r w:rsidR="00EF0925">
        <w:rPr>
          <w:rFonts w:ascii="Times New Roman" w:hAnsi="Times New Roman" w:cs="Times New Roman"/>
          <w:sz w:val="24"/>
          <w:szCs w:val="24"/>
          <w:lang w:val="en"/>
        </w:rPr>
        <w:t xml:space="preserve"> wa</w:t>
      </w:r>
      <w:r w:rsidRPr="00874087">
        <w:rPr>
          <w:rFonts w:ascii="Times New Roman" w:hAnsi="Times New Roman" w:cs="Times New Roman"/>
          <w:sz w:val="24"/>
          <w:szCs w:val="24"/>
          <w:lang w:val="en"/>
        </w:rPr>
        <w:t>s re</w:t>
      </w:r>
      <w:r w:rsidR="00434A33">
        <w:rPr>
          <w:rFonts w:ascii="Times New Roman" w:hAnsi="Times New Roman" w:cs="Times New Roman"/>
          <w:sz w:val="24"/>
          <w:szCs w:val="24"/>
          <w:lang w:val="en"/>
        </w:rPr>
        <w:t>newed</w:t>
      </w:r>
      <w:r w:rsidRPr="00874087">
        <w:rPr>
          <w:rFonts w:ascii="Times New Roman" w:hAnsi="Times New Roman" w:cs="Times New Roman"/>
          <w:sz w:val="24"/>
          <w:szCs w:val="24"/>
          <w:lang w:val="en"/>
        </w:rPr>
        <w:t xml:space="preserve"> each year from 2004 to </w:t>
      </w:r>
      <w:r w:rsidR="00835AD0" w:rsidRPr="00874087">
        <w:rPr>
          <w:rFonts w:ascii="Times New Roman" w:hAnsi="Times New Roman" w:cs="Times New Roman"/>
          <w:sz w:val="24"/>
          <w:szCs w:val="24"/>
          <w:lang w:val="en"/>
        </w:rPr>
        <w:t xml:space="preserve">2008. </w:t>
      </w:r>
      <w:r w:rsidRPr="00874087">
        <w:rPr>
          <w:rFonts w:ascii="Times New Roman" w:hAnsi="Times New Roman" w:cs="Times New Roman"/>
          <w:sz w:val="24"/>
          <w:szCs w:val="24"/>
          <w:lang w:val="en"/>
        </w:rPr>
        <w:t xml:space="preserve">In most of these negotiation </w:t>
      </w:r>
      <w:r w:rsidR="00434A33">
        <w:rPr>
          <w:rFonts w:ascii="Times New Roman" w:hAnsi="Times New Roman" w:cs="Times New Roman"/>
          <w:sz w:val="24"/>
          <w:szCs w:val="24"/>
          <w:lang w:val="en"/>
        </w:rPr>
        <w:t>developments</w:t>
      </w:r>
      <w:r w:rsidR="00434A33" w:rsidRPr="00874087">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the EU had to make concessions so that the process could continue. These conce</w:t>
      </w:r>
      <w:r w:rsidR="00434A33">
        <w:rPr>
          <w:rFonts w:ascii="Times New Roman" w:hAnsi="Times New Roman" w:cs="Times New Roman"/>
          <w:sz w:val="24"/>
          <w:szCs w:val="24"/>
          <w:lang w:val="en"/>
        </w:rPr>
        <w:t>ssions are summarized in Table 1</w:t>
      </w:r>
      <w:r w:rsidR="00A85E05">
        <w:rPr>
          <w:rFonts w:ascii="Times New Roman" w:hAnsi="Times New Roman" w:cs="Times New Roman"/>
          <w:sz w:val="24"/>
          <w:szCs w:val="24"/>
          <w:lang w:val="en"/>
        </w:rPr>
        <w:t xml:space="preserve"> taking into account that </w:t>
      </w:r>
      <w:r w:rsidR="00434A33">
        <w:rPr>
          <w:rFonts w:ascii="Times New Roman" w:hAnsi="Times New Roman" w:cs="Times New Roman"/>
          <w:sz w:val="24"/>
          <w:szCs w:val="24"/>
          <w:lang w:val="en"/>
        </w:rPr>
        <w:t xml:space="preserve">agricultural negotiations </w:t>
      </w:r>
      <w:r w:rsidRPr="00874087">
        <w:rPr>
          <w:rFonts w:ascii="Times New Roman" w:hAnsi="Times New Roman" w:cs="Times New Roman"/>
          <w:sz w:val="24"/>
          <w:szCs w:val="24"/>
          <w:lang w:val="en"/>
        </w:rPr>
        <w:t>are structured in three axes</w:t>
      </w:r>
      <w:r w:rsidR="00434A33">
        <w:rPr>
          <w:rFonts w:ascii="Times New Roman" w:hAnsi="Times New Roman" w:cs="Times New Roman"/>
          <w:sz w:val="24"/>
          <w:szCs w:val="24"/>
          <w:lang w:val="en"/>
        </w:rPr>
        <w:t>: market access (tariffs and quotas)</w:t>
      </w:r>
      <w:r w:rsidRPr="00434A33">
        <w:rPr>
          <w:rFonts w:ascii="Times New Roman" w:hAnsi="Times New Roman" w:cs="Times New Roman"/>
          <w:sz w:val="24"/>
          <w:szCs w:val="24"/>
          <w:lang w:val="en-GB"/>
        </w:rPr>
        <w:t xml:space="preserve">, domestic support and export </w:t>
      </w:r>
      <w:r w:rsidR="00434A33" w:rsidRPr="00434A33">
        <w:rPr>
          <w:rFonts w:ascii="Times New Roman" w:hAnsi="Times New Roman" w:cs="Times New Roman"/>
          <w:sz w:val="24"/>
          <w:szCs w:val="24"/>
          <w:lang w:val="en-GB"/>
        </w:rPr>
        <w:t>subsidies.</w:t>
      </w:r>
      <w:r w:rsidR="00931007">
        <w:rPr>
          <w:rFonts w:ascii="Times New Roman" w:hAnsi="Times New Roman" w:cs="Times New Roman"/>
          <w:sz w:val="24"/>
          <w:szCs w:val="24"/>
          <w:lang w:val="en-GB"/>
        </w:rPr>
        <w:t xml:space="preserve"> </w:t>
      </w:r>
      <w:r w:rsidR="00931007" w:rsidRPr="00402DB7">
        <w:rPr>
          <w:rFonts w:ascii="Times New Roman" w:hAnsi="Times New Roman" w:cs="Times New Roman"/>
          <w:sz w:val="24"/>
          <w:szCs w:val="24"/>
          <w:lang w:val="en-GB"/>
        </w:rPr>
        <w:t xml:space="preserve">It should </w:t>
      </w:r>
      <w:r w:rsidR="00427183">
        <w:rPr>
          <w:rFonts w:ascii="Times New Roman" w:hAnsi="Times New Roman" w:cs="Times New Roman"/>
          <w:sz w:val="24"/>
          <w:szCs w:val="24"/>
          <w:lang w:val="en-GB"/>
        </w:rPr>
        <w:t xml:space="preserve">also </w:t>
      </w:r>
      <w:r w:rsidR="00931007" w:rsidRPr="00402DB7">
        <w:rPr>
          <w:rFonts w:ascii="Times New Roman" w:hAnsi="Times New Roman" w:cs="Times New Roman"/>
          <w:sz w:val="24"/>
          <w:szCs w:val="24"/>
          <w:lang w:val="en-GB"/>
        </w:rPr>
        <w:t>be noted that it was widely accepted that the outcome of the round was contingent upon a “triangle of issues”</w:t>
      </w:r>
      <w:r w:rsidR="00402DB7" w:rsidRPr="00402DB7">
        <w:rPr>
          <w:rFonts w:ascii="Times New Roman" w:hAnsi="Times New Roman" w:cs="Times New Roman"/>
          <w:sz w:val="24"/>
          <w:szCs w:val="24"/>
          <w:lang w:val="en-GB"/>
        </w:rPr>
        <w:t xml:space="preserve"> (</w:t>
      </w:r>
      <w:r w:rsidR="00402DB7" w:rsidRPr="00402DB7">
        <w:rPr>
          <w:rFonts w:ascii="Times New Roman" w:hAnsi="Times New Roman" w:cs="Times New Roman"/>
          <w:i/>
          <w:sz w:val="24"/>
          <w:szCs w:val="24"/>
          <w:lang w:val="en-GB"/>
        </w:rPr>
        <w:t xml:space="preserve">Bridges Weekly </w:t>
      </w:r>
      <w:r w:rsidR="00402DB7" w:rsidRPr="00402DB7">
        <w:rPr>
          <w:rFonts w:ascii="Times New Roman" w:hAnsi="Times New Roman" w:cs="Times New Roman"/>
          <w:sz w:val="24"/>
          <w:szCs w:val="24"/>
          <w:lang w:val="en-GB"/>
        </w:rPr>
        <w:t>Vol.10, Nº 19, 31/5/2006</w:t>
      </w:r>
      <w:r w:rsidR="00402DB7">
        <w:rPr>
          <w:rFonts w:ascii="Times New Roman" w:hAnsi="Times New Roman" w:cs="Times New Roman"/>
          <w:sz w:val="24"/>
          <w:szCs w:val="24"/>
          <w:lang w:val="en-GB"/>
        </w:rPr>
        <w:t xml:space="preserve">): </w:t>
      </w:r>
      <w:r w:rsidR="00931007" w:rsidRPr="00402DB7">
        <w:rPr>
          <w:rFonts w:ascii="Times New Roman" w:hAnsi="Times New Roman" w:cs="Times New Roman"/>
          <w:sz w:val="24"/>
          <w:szCs w:val="24"/>
          <w:lang w:val="en-GB"/>
        </w:rPr>
        <w:t xml:space="preserve"> EU efforts in agricultural market access, US efforts on domestic </w:t>
      </w:r>
      <w:r w:rsidR="00402DB7">
        <w:rPr>
          <w:rFonts w:ascii="Times New Roman" w:hAnsi="Times New Roman" w:cs="Times New Roman"/>
          <w:sz w:val="24"/>
          <w:szCs w:val="24"/>
          <w:lang w:val="en-GB"/>
        </w:rPr>
        <w:t xml:space="preserve">farm </w:t>
      </w:r>
      <w:r w:rsidR="00931007" w:rsidRPr="00402DB7">
        <w:rPr>
          <w:rFonts w:ascii="Times New Roman" w:hAnsi="Times New Roman" w:cs="Times New Roman"/>
          <w:sz w:val="24"/>
          <w:szCs w:val="24"/>
          <w:lang w:val="en-GB"/>
        </w:rPr>
        <w:t>subsidies and emerging powers efforts regarding tariffs on industrial products.</w:t>
      </w:r>
      <w:r w:rsidR="00931007" w:rsidRPr="00931007">
        <w:rPr>
          <w:rFonts w:ascii="Times New Roman" w:hAnsi="Times New Roman" w:cs="Times New Roman"/>
          <w:color w:val="FF0000"/>
          <w:sz w:val="24"/>
          <w:szCs w:val="24"/>
          <w:lang w:val="en-GB"/>
        </w:rPr>
        <w:t xml:space="preserve"> </w:t>
      </w:r>
    </w:p>
    <w:p w:rsidR="00427183" w:rsidRDefault="00427183" w:rsidP="00F27BA2">
      <w:pPr>
        <w:jc w:val="both"/>
        <w:rPr>
          <w:rFonts w:ascii="Times New Roman" w:eastAsia="Times New Roman" w:hAnsi="Times New Roman" w:cs="Times New Roman"/>
          <w:sz w:val="24"/>
          <w:szCs w:val="24"/>
          <w:lang w:val="en-GB" w:eastAsia="es-ES"/>
        </w:rPr>
      </w:pPr>
    </w:p>
    <w:p w:rsidR="00C64F88" w:rsidRPr="00434A33" w:rsidRDefault="00434A33" w:rsidP="00F27BA2">
      <w:pPr>
        <w:jc w:val="both"/>
        <w:rPr>
          <w:rFonts w:ascii="Times New Roman" w:eastAsia="Times New Roman" w:hAnsi="Times New Roman" w:cs="Times New Roman"/>
          <w:sz w:val="24"/>
          <w:szCs w:val="24"/>
          <w:lang w:val="en-GB" w:eastAsia="es-ES"/>
        </w:rPr>
      </w:pPr>
      <w:proofErr w:type="gramStart"/>
      <w:r>
        <w:rPr>
          <w:rFonts w:ascii="Times New Roman" w:eastAsia="Times New Roman" w:hAnsi="Times New Roman" w:cs="Times New Roman"/>
          <w:sz w:val="24"/>
          <w:szCs w:val="24"/>
          <w:lang w:val="en-GB" w:eastAsia="es-ES"/>
        </w:rPr>
        <w:t xml:space="preserve">Table </w:t>
      </w:r>
      <w:r w:rsidR="00C64F88" w:rsidRPr="00434A33">
        <w:rPr>
          <w:rFonts w:ascii="Times New Roman" w:eastAsia="Times New Roman" w:hAnsi="Times New Roman" w:cs="Times New Roman"/>
          <w:sz w:val="24"/>
          <w:szCs w:val="24"/>
          <w:lang w:val="en-GB" w:eastAsia="es-ES"/>
        </w:rPr>
        <w:t>1.</w:t>
      </w:r>
      <w:proofErr w:type="gramEnd"/>
      <w:r w:rsidR="00C64F88" w:rsidRPr="00434A33">
        <w:rPr>
          <w:rFonts w:ascii="Times New Roman" w:eastAsia="Times New Roman" w:hAnsi="Times New Roman" w:cs="Times New Roman"/>
          <w:sz w:val="24"/>
          <w:szCs w:val="24"/>
          <w:lang w:val="en-GB" w:eastAsia="es-ES"/>
        </w:rPr>
        <w:t xml:space="preserve"> </w:t>
      </w:r>
      <w:r>
        <w:rPr>
          <w:rFonts w:ascii="Times New Roman" w:eastAsia="Times New Roman" w:hAnsi="Times New Roman" w:cs="Times New Roman"/>
          <w:sz w:val="24"/>
          <w:szCs w:val="24"/>
          <w:lang w:val="en-GB" w:eastAsia="es-ES"/>
        </w:rPr>
        <w:t xml:space="preserve">EU </w:t>
      </w:r>
      <w:r w:rsidRPr="00434A33">
        <w:rPr>
          <w:rFonts w:ascii="Times New Roman" w:eastAsia="Times New Roman" w:hAnsi="Times New Roman" w:cs="Times New Roman"/>
          <w:sz w:val="24"/>
          <w:szCs w:val="24"/>
          <w:lang w:val="en" w:eastAsia="es-ES"/>
        </w:rPr>
        <w:t>concessions in the D</w:t>
      </w:r>
      <w:r>
        <w:rPr>
          <w:rFonts w:ascii="Times New Roman" w:eastAsia="Times New Roman" w:hAnsi="Times New Roman" w:cs="Times New Roman"/>
          <w:sz w:val="24"/>
          <w:szCs w:val="24"/>
          <w:lang w:val="en" w:eastAsia="es-ES"/>
        </w:rPr>
        <w:t>R</w:t>
      </w:r>
      <w:r w:rsidRPr="00434A33">
        <w:rPr>
          <w:rFonts w:ascii="Times New Roman" w:eastAsia="Times New Roman" w:hAnsi="Times New Roman" w:cs="Times New Roman"/>
          <w:sz w:val="24"/>
          <w:szCs w:val="24"/>
          <w:lang w:val="en" w:eastAsia="es-ES"/>
        </w:rPr>
        <w:t xml:space="preserve"> negotiations</w:t>
      </w:r>
      <w:r w:rsidRPr="00434A33">
        <w:rPr>
          <w:rFonts w:ascii="Times New Roman" w:eastAsia="Times New Roman" w:hAnsi="Times New Roman" w:cs="Times New Roman"/>
          <w:sz w:val="24"/>
          <w:szCs w:val="24"/>
          <w:lang w:val="en-GB" w:eastAsia="es-ES"/>
        </w:rPr>
        <w:t xml:space="preserve"> </w:t>
      </w:r>
      <w:r w:rsidR="003076DE">
        <w:rPr>
          <w:rFonts w:ascii="Times New Roman" w:eastAsia="Times New Roman" w:hAnsi="Times New Roman" w:cs="Times New Roman"/>
          <w:sz w:val="24"/>
          <w:szCs w:val="24"/>
          <w:lang w:val="en-GB" w:eastAsia="es-ES"/>
        </w:rPr>
        <w:t>2003-2013</w:t>
      </w:r>
    </w:p>
    <w:p w:rsidR="00C64F88" w:rsidRPr="00434A33" w:rsidRDefault="00C64F88" w:rsidP="00C836AB">
      <w:pPr>
        <w:spacing w:after="0" w:line="240" w:lineRule="auto"/>
        <w:jc w:val="both"/>
        <w:rPr>
          <w:rFonts w:ascii="Times New Roman" w:eastAsia="Times New Roman" w:hAnsi="Times New Roman" w:cs="Times New Roman"/>
          <w:sz w:val="24"/>
          <w:szCs w:val="24"/>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94"/>
      </w:tblGrid>
      <w:tr w:rsidR="00C64F88" w:rsidRPr="00874087" w:rsidTr="00FB21C6">
        <w:tc>
          <w:tcPr>
            <w:tcW w:w="1526" w:type="dxa"/>
            <w:shd w:val="clear" w:color="auto" w:fill="auto"/>
          </w:tcPr>
          <w:p w:rsidR="00C64F88" w:rsidRPr="00874087" w:rsidRDefault="00434A33" w:rsidP="00C836AB">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Year</w:t>
            </w:r>
          </w:p>
        </w:tc>
        <w:tc>
          <w:tcPr>
            <w:tcW w:w="7194" w:type="dxa"/>
            <w:shd w:val="clear" w:color="auto" w:fill="auto"/>
          </w:tcPr>
          <w:p w:rsidR="00C64F88" w:rsidRPr="00874087" w:rsidRDefault="00434A33" w:rsidP="00C836AB">
            <w:pPr>
              <w:spacing w:after="0" w:line="240" w:lineRule="auto"/>
              <w:jc w:val="both"/>
              <w:rPr>
                <w:rFonts w:ascii="Times New Roman" w:eastAsia="Times New Roman" w:hAnsi="Times New Roman" w:cs="Times New Roman"/>
                <w:b/>
                <w:sz w:val="24"/>
                <w:szCs w:val="24"/>
                <w:lang w:eastAsia="es-ES"/>
              </w:rPr>
            </w:pPr>
            <w:proofErr w:type="spellStart"/>
            <w:r>
              <w:rPr>
                <w:rFonts w:ascii="Times New Roman" w:eastAsia="Times New Roman" w:hAnsi="Times New Roman" w:cs="Times New Roman"/>
                <w:b/>
                <w:sz w:val="24"/>
                <w:szCs w:val="24"/>
                <w:lang w:eastAsia="es-ES"/>
              </w:rPr>
              <w:t>Concessions</w:t>
            </w:r>
            <w:proofErr w:type="spellEnd"/>
          </w:p>
        </w:tc>
      </w:tr>
      <w:tr w:rsidR="00C64F88" w:rsidRPr="00D3155A" w:rsidTr="00FB21C6">
        <w:tc>
          <w:tcPr>
            <w:tcW w:w="1526" w:type="dxa"/>
            <w:shd w:val="clear" w:color="auto" w:fill="auto"/>
          </w:tcPr>
          <w:p w:rsidR="00C64F88" w:rsidRPr="00874087" w:rsidRDefault="00C64F88" w:rsidP="00C836AB">
            <w:pPr>
              <w:spacing w:after="0" w:line="240" w:lineRule="auto"/>
              <w:jc w:val="both"/>
              <w:rPr>
                <w:rFonts w:ascii="Times New Roman" w:eastAsia="Times New Roman" w:hAnsi="Times New Roman" w:cs="Times New Roman"/>
                <w:b/>
                <w:sz w:val="24"/>
                <w:szCs w:val="24"/>
                <w:lang w:eastAsia="es-ES"/>
              </w:rPr>
            </w:pPr>
            <w:r w:rsidRPr="00874087">
              <w:rPr>
                <w:rFonts w:ascii="Times New Roman" w:eastAsia="Times New Roman" w:hAnsi="Times New Roman" w:cs="Times New Roman"/>
                <w:b/>
                <w:sz w:val="24"/>
                <w:szCs w:val="24"/>
                <w:lang w:eastAsia="es-ES"/>
              </w:rPr>
              <w:t xml:space="preserve">2004: </w:t>
            </w:r>
            <w:proofErr w:type="spellStart"/>
            <w:r w:rsidR="00434A33">
              <w:rPr>
                <w:rFonts w:ascii="Times New Roman" w:eastAsia="Times New Roman" w:hAnsi="Times New Roman" w:cs="Times New Roman"/>
                <w:b/>
                <w:sz w:val="24"/>
                <w:szCs w:val="24"/>
                <w:lang w:eastAsia="es-ES"/>
              </w:rPr>
              <w:t>July</w:t>
            </w:r>
            <w:proofErr w:type="spellEnd"/>
            <w:r w:rsidR="00434A33">
              <w:rPr>
                <w:rFonts w:ascii="Times New Roman" w:eastAsia="Times New Roman" w:hAnsi="Times New Roman" w:cs="Times New Roman"/>
                <w:b/>
                <w:sz w:val="24"/>
                <w:szCs w:val="24"/>
                <w:lang w:eastAsia="es-ES"/>
              </w:rPr>
              <w:t xml:space="preserve"> </w:t>
            </w:r>
            <w:proofErr w:type="spellStart"/>
            <w:r w:rsidR="00434A33">
              <w:rPr>
                <w:rFonts w:ascii="Times New Roman" w:eastAsia="Times New Roman" w:hAnsi="Times New Roman" w:cs="Times New Roman"/>
                <w:b/>
                <w:sz w:val="24"/>
                <w:szCs w:val="24"/>
                <w:lang w:eastAsia="es-ES"/>
              </w:rPr>
              <w:t>Package</w:t>
            </w:r>
            <w:proofErr w:type="spellEnd"/>
          </w:p>
        </w:tc>
        <w:tc>
          <w:tcPr>
            <w:tcW w:w="7194" w:type="dxa"/>
            <w:shd w:val="clear" w:color="auto" w:fill="auto"/>
          </w:tcPr>
          <w:p w:rsidR="00A25D20" w:rsidRDefault="00386EDB" w:rsidP="00C836AB">
            <w:pPr>
              <w:spacing w:after="0" w:line="240" w:lineRule="auto"/>
              <w:jc w:val="both"/>
              <w:rPr>
                <w:rFonts w:ascii="Times New Roman" w:eastAsia="Times New Roman" w:hAnsi="Times New Roman" w:cs="Times New Roman"/>
                <w:sz w:val="24"/>
                <w:szCs w:val="24"/>
                <w:lang w:val="en" w:eastAsia="es-ES"/>
              </w:rPr>
            </w:pPr>
            <w:r>
              <w:rPr>
                <w:rFonts w:ascii="Times New Roman" w:eastAsia="Times New Roman" w:hAnsi="Times New Roman" w:cs="Times New Roman"/>
                <w:sz w:val="24"/>
                <w:szCs w:val="24"/>
                <w:lang w:val="en" w:eastAsia="es-ES"/>
              </w:rPr>
              <w:t>The EU accepted</w:t>
            </w:r>
            <w:r w:rsidR="00434A33" w:rsidRPr="00434A33">
              <w:rPr>
                <w:rFonts w:ascii="Times New Roman" w:eastAsia="Times New Roman" w:hAnsi="Times New Roman" w:cs="Times New Roman"/>
                <w:sz w:val="24"/>
                <w:szCs w:val="24"/>
                <w:lang w:val="en" w:eastAsia="es-ES"/>
              </w:rPr>
              <w:t xml:space="preserve"> </w:t>
            </w:r>
            <w:r w:rsidR="00434A33">
              <w:rPr>
                <w:rFonts w:ascii="Times New Roman" w:eastAsia="Times New Roman" w:hAnsi="Times New Roman" w:cs="Times New Roman"/>
                <w:sz w:val="24"/>
                <w:szCs w:val="24"/>
                <w:lang w:val="en" w:eastAsia="es-ES"/>
              </w:rPr>
              <w:t xml:space="preserve">to remove </w:t>
            </w:r>
            <w:r w:rsidR="00434A33" w:rsidRPr="00434A33">
              <w:rPr>
                <w:rFonts w:ascii="Times New Roman" w:eastAsia="Times New Roman" w:hAnsi="Times New Roman" w:cs="Times New Roman"/>
                <w:sz w:val="24"/>
                <w:szCs w:val="24"/>
                <w:lang w:val="en" w:eastAsia="es-ES"/>
              </w:rPr>
              <w:t xml:space="preserve">all or some </w:t>
            </w:r>
            <w:r w:rsidR="00434A33">
              <w:rPr>
                <w:rFonts w:ascii="Times New Roman" w:eastAsia="Times New Roman" w:hAnsi="Times New Roman" w:cs="Times New Roman"/>
                <w:sz w:val="24"/>
                <w:szCs w:val="24"/>
                <w:lang w:val="en" w:eastAsia="es-ES"/>
              </w:rPr>
              <w:t xml:space="preserve">of the Singapore </w:t>
            </w:r>
            <w:r w:rsidR="00434A33" w:rsidRPr="00434A33">
              <w:rPr>
                <w:rFonts w:ascii="Times New Roman" w:eastAsia="Times New Roman" w:hAnsi="Times New Roman" w:cs="Times New Roman"/>
                <w:sz w:val="24"/>
                <w:szCs w:val="24"/>
                <w:lang w:val="en" w:eastAsia="es-ES"/>
              </w:rPr>
              <w:t xml:space="preserve">issues </w:t>
            </w:r>
            <w:r w:rsidR="00434A33">
              <w:rPr>
                <w:rFonts w:ascii="Times New Roman" w:eastAsia="Times New Roman" w:hAnsi="Times New Roman" w:cs="Times New Roman"/>
                <w:sz w:val="24"/>
                <w:szCs w:val="24"/>
                <w:lang w:val="en" w:eastAsia="es-ES"/>
              </w:rPr>
              <w:t xml:space="preserve">from the Agenda </w:t>
            </w:r>
            <w:r w:rsidR="00434A33" w:rsidRPr="00434A33">
              <w:rPr>
                <w:rFonts w:ascii="Times New Roman" w:eastAsia="Times New Roman" w:hAnsi="Times New Roman" w:cs="Times New Roman"/>
                <w:sz w:val="24"/>
                <w:szCs w:val="24"/>
                <w:lang w:val="en" w:eastAsia="es-ES"/>
              </w:rPr>
              <w:t xml:space="preserve">and </w:t>
            </w:r>
            <w:r w:rsidR="00434A33">
              <w:rPr>
                <w:rFonts w:ascii="Times New Roman" w:eastAsia="Times New Roman" w:hAnsi="Times New Roman" w:cs="Times New Roman"/>
                <w:sz w:val="24"/>
                <w:szCs w:val="24"/>
                <w:lang w:val="en" w:eastAsia="es-ES"/>
              </w:rPr>
              <w:t xml:space="preserve">to </w:t>
            </w:r>
            <w:r w:rsidR="00434A33" w:rsidRPr="00434A33">
              <w:rPr>
                <w:rFonts w:ascii="Times New Roman" w:eastAsia="Times New Roman" w:hAnsi="Times New Roman" w:cs="Times New Roman"/>
                <w:sz w:val="24"/>
                <w:szCs w:val="24"/>
                <w:lang w:val="en" w:eastAsia="es-ES"/>
              </w:rPr>
              <w:t xml:space="preserve">eliminate export subsidies for agricultural products </w:t>
            </w:r>
            <w:r>
              <w:rPr>
                <w:rFonts w:ascii="Times New Roman" w:eastAsia="Times New Roman" w:hAnsi="Times New Roman" w:cs="Times New Roman"/>
                <w:sz w:val="24"/>
                <w:szCs w:val="24"/>
                <w:lang w:val="en" w:eastAsia="es-ES"/>
              </w:rPr>
              <w:t>(although without a deadline)</w:t>
            </w:r>
            <w:r w:rsidR="00A25D20">
              <w:rPr>
                <w:rFonts w:ascii="Times New Roman" w:eastAsia="Times New Roman" w:hAnsi="Times New Roman" w:cs="Times New Roman"/>
                <w:sz w:val="24"/>
                <w:szCs w:val="24"/>
                <w:lang w:val="en" w:eastAsia="es-ES"/>
              </w:rPr>
              <w:t>. Finally</w:t>
            </w:r>
            <w:r w:rsidR="00FB2D9B">
              <w:rPr>
                <w:rFonts w:ascii="Times New Roman" w:eastAsia="Times New Roman" w:hAnsi="Times New Roman" w:cs="Times New Roman"/>
                <w:sz w:val="24"/>
                <w:szCs w:val="24"/>
                <w:lang w:val="en" w:eastAsia="es-ES"/>
              </w:rPr>
              <w:t>,</w:t>
            </w:r>
            <w:r w:rsidR="00A25D20">
              <w:rPr>
                <w:rFonts w:ascii="Times New Roman" w:eastAsia="Times New Roman" w:hAnsi="Times New Roman" w:cs="Times New Roman"/>
                <w:sz w:val="24"/>
                <w:szCs w:val="24"/>
                <w:lang w:val="en" w:eastAsia="es-ES"/>
              </w:rPr>
              <w:t xml:space="preserve"> </w:t>
            </w:r>
            <w:r w:rsidR="00434A33" w:rsidRPr="00434A33">
              <w:rPr>
                <w:rFonts w:ascii="Times New Roman" w:eastAsia="Times New Roman" w:hAnsi="Times New Roman" w:cs="Times New Roman"/>
                <w:sz w:val="24"/>
                <w:szCs w:val="24"/>
                <w:lang w:val="en" w:eastAsia="es-ES"/>
              </w:rPr>
              <w:t xml:space="preserve">Trade Facilitation </w:t>
            </w:r>
            <w:r w:rsidR="00A25D20">
              <w:rPr>
                <w:rFonts w:ascii="Times New Roman" w:eastAsia="Times New Roman" w:hAnsi="Times New Roman" w:cs="Times New Roman"/>
                <w:sz w:val="24"/>
                <w:szCs w:val="24"/>
                <w:lang w:val="en" w:eastAsia="es-ES"/>
              </w:rPr>
              <w:t xml:space="preserve">was the only </w:t>
            </w:r>
            <w:r w:rsidR="00434A33" w:rsidRPr="00434A33">
              <w:rPr>
                <w:rFonts w:ascii="Times New Roman" w:eastAsia="Times New Roman" w:hAnsi="Times New Roman" w:cs="Times New Roman"/>
                <w:sz w:val="24"/>
                <w:szCs w:val="24"/>
                <w:lang w:val="en" w:eastAsia="es-ES"/>
              </w:rPr>
              <w:t xml:space="preserve">Singapore theme </w:t>
            </w:r>
            <w:r w:rsidR="00A25D20">
              <w:rPr>
                <w:rFonts w:ascii="Times New Roman" w:eastAsia="Times New Roman" w:hAnsi="Times New Roman" w:cs="Times New Roman"/>
                <w:sz w:val="24"/>
                <w:szCs w:val="24"/>
                <w:lang w:val="en" w:eastAsia="es-ES"/>
              </w:rPr>
              <w:t xml:space="preserve">included in the DR Agenda. </w:t>
            </w:r>
          </w:p>
          <w:p w:rsidR="00C64F88" w:rsidRPr="00434A33" w:rsidRDefault="00C64F88" w:rsidP="00C836AB">
            <w:pPr>
              <w:spacing w:after="0" w:line="240" w:lineRule="auto"/>
              <w:jc w:val="both"/>
              <w:rPr>
                <w:rFonts w:ascii="Times New Roman" w:eastAsia="Times New Roman" w:hAnsi="Times New Roman" w:cs="Times New Roman"/>
                <w:sz w:val="24"/>
                <w:szCs w:val="24"/>
                <w:lang w:val="en" w:eastAsia="es-ES"/>
              </w:rPr>
            </w:pPr>
          </w:p>
        </w:tc>
      </w:tr>
      <w:tr w:rsidR="00C64F88" w:rsidRPr="00D3155A" w:rsidTr="00FB21C6">
        <w:tc>
          <w:tcPr>
            <w:tcW w:w="1526" w:type="dxa"/>
            <w:shd w:val="clear" w:color="auto" w:fill="auto"/>
          </w:tcPr>
          <w:p w:rsidR="00C64F88" w:rsidRPr="00874087" w:rsidRDefault="00C64F88" w:rsidP="00C836AB">
            <w:pPr>
              <w:spacing w:after="0" w:line="240" w:lineRule="auto"/>
              <w:jc w:val="both"/>
              <w:rPr>
                <w:rFonts w:ascii="Times New Roman" w:eastAsia="Times New Roman" w:hAnsi="Times New Roman" w:cs="Times New Roman"/>
                <w:b/>
                <w:sz w:val="24"/>
                <w:szCs w:val="24"/>
                <w:lang w:eastAsia="es-ES"/>
              </w:rPr>
            </w:pPr>
            <w:r w:rsidRPr="00874087">
              <w:rPr>
                <w:rFonts w:ascii="Times New Roman" w:eastAsia="Times New Roman" w:hAnsi="Times New Roman" w:cs="Times New Roman"/>
                <w:b/>
                <w:sz w:val="24"/>
                <w:szCs w:val="24"/>
                <w:lang w:eastAsia="es-ES"/>
              </w:rPr>
              <w:t>2005</w:t>
            </w:r>
          </w:p>
          <w:p w:rsidR="00C64F88" w:rsidRPr="00874087" w:rsidRDefault="00A25D20" w:rsidP="00C836AB">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Hong Kong </w:t>
            </w:r>
            <w:r w:rsidR="00C64F88" w:rsidRPr="00874087">
              <w:rPr>
                <w:rFonts w:ascii="Times New Roman" w:eastAsia="Times New Roman" w:hAnsi="Times New Roman" w:cs="Times New Roman"/>
                <w:b/>
                <w:sz w:val="24"/>
                <w:szCs w:val="24"/>
                <w:lang w:eastAsia="es-ES"/>
              </w:rPr>
              <w:t xml:space="preserve">Ministerial </w:t>
            </w:r>
          </w:p>
        </w:tc>
        <w:tc>
          <w:tcPr>
            <w:tcW w:w="7194" w:type="dxa"/>
            <w:shd w:val="clear" w:color="auto" w:fill="auto"/>
          </w:tcPr>
          <w:p w:rsidR="00A25D20" w:rsidRDefault="00A25D20" w:rsidP="00C836AB">
            <w:pPr>
              <w:spacing w:after="0" w:line="240" w:lineRule="auto"/>
              <w:jc w:val="both"/>
              <w:rPr>
                <w:rFonts w:ascii="Times New Roman" w:eastAsia="Times New Roman" w:hAnsi="Times New Roman" w:cs="Times New Roman"/>
                <w:sz w:val="24"/>
                <w:szCs w:val="24"/>
                <w:lang w:val="en" w:eastAsia="es-ES"/>
              </w:rPr>
            </w:pPr>
            <w:r w:rsidRPr="00A25D20">
              <w:rPr>
                <w:rFonts w:ascii="Times New Roman" w:hAnsi="Times New Roman" w:cs="Times New Roman"/>
                <w:sz w:val="24"/>
                <w:szCs w:val="24"/>
                <w:lang w:val="en-GB"/>
              </w:rPr>
              <w:t xml:space="preserve">The </w:t>
            </w:r>
            <w:r w:rsidRPr="00A25D20">
              <w:rPr>
                <w:rFonts w:ascii="Times New Roman" w:eastAsia="Times New Roman" w:hAnsi="Times New Roman" w:cs="Times New Roman"/>
                <w:sz w:val="24"/>
                <w:szCs w:val="24"/>
                <w:lang w:val="en" w:eastAsia="es-ES"/>
              </w:rPr>
              <w:t xml:space="preserve">EU </w:t>
            </w:r>
            <w:r>
              <w:rPr>
                <w:rFonts w:ascii="Times New Roman" w:eastAsia="Times New Roman" w:hAnsi="Times New Roman" w:cs="Times New Roman"/>
                <w:sz w:val="24"/>
                <w:szCs w:val="24"/>
                <w:lang w:val="en" w:eastAsia="es-ES"/>
              </w:rPr>
              <w:t xml:space="preserve">accepted 2013 as the deadline to remove </w:t>
            </w:r>
            <w:r w:rsidRPr="00A25D20">
              <w:rPr>
                <w:rFonts w:ascii="Times New Roman" w:eastAsia="Times New Roman" w:hAnsi="Times New Roman" w:cs="Times New Roman"/>
                <w:sz w:val="24"/>
                <w:szCs w:val="24"/>
                <w:lang w:val="en" w:eastAsia="es-ES"/>
              </w:rPr>
              <w:t>export subsidies for agricultural products.</w:t>
            </w:r>
          </w:p>
          <w:p w:rsidR="00C64F88" w:rsidRPr="00A25D20" w:rsidRDefault="00C64F88" w:rsidP="00C836AB">
            <w:pPr>
              <w:spacing w:after="0" w:line="240" w:lineRule="auto"/>
              <w:jc w:val="both"/>
              <w:rPr>
                <w:rFonts w:ascii="Times New Roman" w:eastAsia="Times New Roman" w:hAnsi="Times New Roman" w:cs="Times New Roman"/>
                <w:sz w:val="24"/>
                <w:szCs w:val="24"/>
                <w:lang w:val="en" w:eastAsia="es-ES"/>
              </w:rPr>
            </w:pPr>
          </w:p>
        </w:tc>
      </w:tr>
      <w:tr w:rsidR="00C64F88" w:rsidRPr="00D3155A" w:rsidTr="00FB21C6">
        <w:tc>
          <w:tcPr>
            <w:tcW w:w="1526" w:type="dxa"/>
            <w:shd w:val="clear" w:color="auto" w:fill="auto"/>
          </w:tcPr>
          <w:p w:rsidR="00C64F88" w:rsidRPr="00874087" w:rsidRDefault="00C64F88" w:rsidP="00C836AB">
            <w:pPr>
              <w:spacing w:after="0" w:line="240" w:lineRule="auto"/>
              <w:jc w:val="both"/>
              <w:rPr>
                <w:rFonts w:ascii="Times New Roman" w:eastAsia="Times New Roman" w:hAnsi="Times New Roman" w:cs="Times New Roman"/>
                <w:b/>
                <w:sz w:val="24"/>
                <w:szCs w:val="24"/>
                <w:lang w:eastAsia="es-ES"/>
              </w:rPr>
            </w:pPr>
            <w:r w:rsidRPr="00874087">
              <w:rPr>
                <w:rFonts w:ascii="Times New Roman" w:eastAsia="Times New Roman" w:hAnsi="Times New Roman" w:cs="Times New Roman"/>
                <w:b/>
                <w:sz w:val="24"/>
                <w:szCs w:val="24"/>
                <w:lang w:eastAsia="es-ES"/>
              </w:rPr>
              <w:t>2006</w:t>
            </w:r>
          </w:p>
        </w:tc>
        <w:tc>
          <w:tcPr>
            <w:tcW w:w="7194" w:type="dxa"/>
            <w:shd w:val="clear" w:color="auto" w:fill="auto"/>
          </w:tcPr>
          <w:p w:rsidR="00A25D20" w:rsidRDefault="00A25D20" w:rsidP="00C836AB">
            <w:pPr>
              <w:spacing w:after="0" w:line="240" w:lineRule="auto"/>
              <w:jc w:val="both"/>
              <w:rPr>
                <w:rFonts w:ascii="Times New Roman" w:eastAsia="Times New Roman" w:hAnsi="Times New Roman" w:cs="Times New Roman"/>
                <w:sz w:val="24"/>
                <w:szCs w:val="24"/>
                <w:lang w:val="en" w:eastAsia="es-ES"/>
              </w:rPr>
            </w:pPr>
            <w:r w:rsidRPr="00A25D20">
              <w:rPr>
                <w:rFonts w:ascii="Times New Roman" w:eastAsia="Times New Roman" w:hAnsi="Times New Roman" w:cs="Times New Roman"/>
                <w:sz w:val="24"/>
                <w:szCs w:val="24"/>
                <w:lang w:val="en" w:eastAsia="es-ES"/>
              </w:rPr>
              <w:t>The EU agreed to reduce tariffs on agr</w:t>
            </w:r>
            <w:r w:rsidR="00FB2D9B">
              <w:rPr>
                <w:rFonts w:ascii="Times New Roman" w:eastAsia="Times New Roman" w:hAnsi="Times New Roman" w:cs="Times New Roman"/>
                <w:sz w:val="24"/>
                <w:szCs w:val="24"/>
                <w:lang w:val="en" w:eastAsia="es-ES"/>
              </w:rPr>
              <w:t>icultural products by 46 %. It wa</w:t>
            </w:r>
            <w:r w:rsidRPr="00A25D20">
              <w:rPr>
                <w:rFonts w:ascii="Times New Roman" w:eastAsia="Times New Roman" w:hAnsi="Times New Roman" w:cs="Times New Roman"/>
                <w:sz w:val="24"/>
                <w:szCs w:val="24"/>
                <w:lang w:val="en" w:eastAsia="es-ES"/>
              </w:rPr>
              <w:t xml:space="preserve">s a percentage close to what the </w:t>
            </w:r>
            <w:r w:rsidR="00427183">
              <w:rPr>
                <w:rFonts w:ascii="Times New Roman" w:eastAsia="Times New Roman" w:hAnsi="Times New Roman" w:cs="Times New Roman"/>
                <w:sz w:val="24"/>
                <w:szCs w:val="24"/>
                <w:lang w:val="en" w:eastAsia="es-ES"/>
              </w:rPr>
              <w:t>BIC</w:t>
            </w:r>
            <w:r>
              <w:rPr>
                <w:rFonts w:ascii="Times New Roman" w:eastAsia="Times New Roman" w:hAnsi="Times New Roman" w:cs="Times New Roman"/>
                <w:sz w:val="24"/>
                <w:szCs w:val="24"/>
                <w:lang w:val="en" w:eastAsia="es-ES"/>
              </w:rPr>
              <w:t xml:space="preserve"> w</w:t>
            </w:r>
            <w:r w:rsidR="00427183">
              <w:rPr>
                <w:rFonts w:ascii="Times New Roman" w:eastAsia="Times New Roman" w:hAnsi="Times New Roman" w:cs="Times New Roman"/>
                <w:sz w:val="24"/>
                <w:szCs w:val="24"/>
                <w:lang w:val="en" w:eastAsia="es-ES"/>
              </w:rPr>
              <w:t>ere</w:t>
            </w:r>
            <w:r>
              <w:rPr>
                <w:rFonts w:ascii="Times New Roman" w:eastAsia="Times New Roman" w:hAnsi="Times New Roman" w:cs="Times New Roman"/>
                <w:sz w:val="24"/>
                <w:szCs w:val="24"/>
                <w:lang w:val="en" w:eastAsia="es-ES"/>
              </w:rPr>
              <w:t xml:space="preserve"> demanding</w:t>
            </w:r>
            <w:r w:rsidRPr="00A25D20">
              <w:rPr>
                <w:rFonts w:ascii="Times New Roman" w:eastAsia="Times New Roman" w:hAnsi="Times New Roman" w:cs="Times New Roman"/>
                <w:sz w:val="24"/>
                <w:szCs w:val="24"/>
                <w:lang w:val="en" w:eastAsia="es-ES"/>
              </w:rPr>
              <w:t xml:space="preserve"> (54%) but far </w:t>
            </w:r>
            <w:r>
              <w:rPr>
                <w:rFonts w:ascii="Times New Roman" w:eastAsia="Times New Roman" w:hAnsi="Times New Roman" w:cs="Times New Roman"/>
                <w:sz w:val="24"/>
                <w:szCs w:val="24"/>
                <w:lang w:val="en" w:eastAsia="es-ES"/>
              </w:rPr>
              <w:t>away from what the U</w:t>
            </w:r>
            <w:r w:rsidRPr="00A25D20">
              <w:rPr>
                <w:rFonts w:ascii="Times New Roman" w:eastAsia="Times New Roman" w:hAnsi="Times New Roman" w:cs="Times New Roman"/>
                <w:sz w:val="24"/>
                <w:szCs w:val="24"/>
                <w:lang w:val="en" w:eastAsia="es-ES"/>
              </w:rPr>
              <w:t xml:space="preserve">S </w:t>
            </w:r>
            <w:r>
              <w:rPr>
                <w:rFonts w:ascii="Times New Roman" w:eastAsia="Times New Roman" w:hAnsi="Times New Roman" w:cs="Times New Roman"/>
                <w:sz w:val="24"/>
                <w:szCs w:val="24"/>
                <w:lang w:val="en" w:eastAsia="es-ES"/>
              </w:rPr>
              <w:t>requested</w:t>
            </w:r>
            <w:r w:rsidRPr="00A25D20">
              <w:rPr>
                <w:rFonts w:ascii="Times New Roman" w:eastAsia="Times New Roman" w:hAnsi="Times New Roman" w:cs="Times New Roman"/>
                <w:sz w:val="24"/>
                <w:szCs w:val="24"/>
                <w:lang w:val="en" w:eastAsia="es-ES"/>
              </w:rPr>
              <w:t xml:space="preserve"> (75%).</w:t>
            </w:r>
          </w:p>
          <w:p w:rsidR="00C64F88" w:rsidRPr="00A25D20" w:rsidRDefault="00C64F88" w:rsidP="00C836AB">
            <w:pPr>
              <w:spacing w:after="0" w:line="240" w:lineRule="auto"/>
              <w:jc w:val="both"/>
              <w:rPr>
                <w:rFonts w:ascii="Times New Roman" w:eastAsia="Times New Roman" w:hAnsi="Times New Roman" w:cs="Times New Roman"/>
                <w:sz w:val="24"/>
                <w:szCs w:val="24"/>
                <w:lang w:val="en" w:eastAsia="es-ES"/>
              </w:rPr>
            </w:pPr>
          </w:p>
        </w:tc>
      </w:tr>
      <w:tr w:rsidR="00C64F88" w:rsidRPr="00D3155A" w:rsidTr="00FB21C6">
        <w:tc>
          <w:tcPr>
            <w:tcW w:w="1526" w:type="dxa"/>
            <w:shd w:val="clear" w:color="auto" w:fill="auto"/>
          </w:tcPr>
          <w:p w:rsidR="00C64F88" w:rsidRPr="00874087" w:rsidRDefault="00C64F88" w:rsidP="00C836AB">
            <w:pPr>
              <w:spacing w:after="0" w:line="240" w:lineRule="auto"/>
              <w:jc w:val="both"/>
              <w:rPr>
                <w:rFonts w:ascii="Times New Roman" w:eastAsia="Times New Roman" w:hAnsi="Times New Roman" w:cs="Times New Roman"/>
                <w:b/>
                <w:sz w:val="24"/>
                <w:szCs w:val="24"/>
                <w:lang w:eastAsia="es-ES"/>
              </w:rPr>
            </w:pPr>
            <w:r w:rsidRPr="00874087">
              <w:rPr>
                <w:rFonts w:ascii="Times New Roman" w:eastAsia="Times New Roman" w:hAnsi="Times New Roman" w:cs="Times New Roman"/>
                <w:b/>
                <w:sz w:val="24"/>
                <w:szCs w:val="24"/>
                <w:lang w:eastAsia="es-ES"/>
              </w:rPr>
              <w:t>2007</w:t>
            </w:r>
          </w:p>
        </w:tc>
        <w:tc>
          <w:tcPr>
            <w:tcW w:w="7194" w:type="dxa"/>
            <w:shd w:val="clear" w:color="auto" w:fill="auto"/>
          </w:tcPr>
          <w:p w:rsidR="00FB21C6" w:rsidRDefault="00FB21C6" w:rsidP="00C836AB">
            <w:pPr>
              <w:spacing w:after="0" w:line="240" w:lineRule="auto"/>
              <w:jc w:val="both"/>
              <w:rPr>
                <w:rFonts w:ascii="Times New Roman" w:eastAsia="Times New Roman" w:hAnsi="Times New Roman" w:cs="Times New Roman"/>
                <w:sz w:val="24"/>
                <w:szCs w:val="24"/>
                <w:lang w:val="en" w:eastAsia="es-ES"/>
              </w:rPr>
            </w:pPr>
            <w:r w:rsidRPr="00FB21C6">
              <w:rPr>
                <w:rFonts w:ascii="Times New Roman" w:eastAsia="Times New Roman" w:hAnsi="Times New Roman" w:cs="Times New Roman"/>
                <w:sz w:val="24"/>
                <w:szCs w:val="24"/>
                <w:lang w:val="en" w:eastAsia="es-ES"/>
              </w:rPr>
              <w:t xml:space="preserve">Resistance by both the EU and US to expand </w:t>
            </w:r>
            <w:r>
              <w:rPr>
                <w:rFonts w:ascii="Times New Roman" w:eastAsia="Times New Roman" w:hAnsi="Times New Roman" w:cs="Times New Roman"/>
                <w:sz w:val="24"/>
                <w:szCs w:val="24"/>
                <w:lang w:val="en" w:eastAsia="es-ES"/>
              </w:rPr>
              <w:t>their</w:t>
            </w:r>
            <w:r w:rsidRPr="00FB21C6">
              <w:rPr>
                <w:rFonts w:ascii="Times New Roman" w:eastAsia="Times New Roman" w:hAnsi="Times New Roman" w:cs="Times New Roman"/>
                <w:sz w:val="24"/>
                <w:szCs w:val="24"/>
                <w:lang w:val="en" w:eastAsia="es-ES"/>
              </w:rPr>
              <w:t xml:space="preserve"> concessions in agriculture but eventually both expre</w:t>
            </w:r>
            <w:r>
              <w:rPr>
                <w:rFonts w:ascii="Times New Roman" w:eastAsia="Times New Roman" w:hAnsi="Times New Roman" w:cs="Times New Roman"/>
                <w:sz w:val="24"/>
                <w:szCs w:val="24"/>
                <w:lang w:val="en" w:eastAsia="es-ES"/>
              </w:rPr>
              <w:t xml:space="preserve">ssed their willingness to do so: </w:t>
            </w:r>
            <w:r w:rsidRPr="00FB21C6">
              <w:rPr>
                <w:rFonts w:ascii="Times New Roman" w:eastAsia="Times New Roman" w:hAnsi="Times New Roman" w:cs="Times New Roman"/>
                <w:sz w:val="24"/>
                <w:szCs w:val="24"/>
                <w:lang w:val="en" w:eastAsia="es-ES"/>
              </w:rPr>
              <w:t xml:space="preserve"> </w:t>
            </w:r>
            <w:r>
              <w:rPr>
                <w:rFonts w:ascii="Times New Roman" w:eastAsia="Times New Roman" w:hAnsi="Times New Roman" w:cs="Times New Roman"/>
                <w:sz w:val="24"/>
                <w:szCs w:val="24"/>
                <w:lang w:val="en" w:eastAsia="es-ES"/>
              </w:rPr>
              <w:t xml:space="preserve">the </w:t>
            </w:r>
            <w:r w:rsidRPr="00FB21C6">
              <w:rPr>
                <w:rFonts w:ascii="Times New Roman" w:eastAsia="Times New Roman" w:hAnsi="Times New Roman" w:cs="Times New Roman"/>
                <w:sz w:val="24"/>
                <w:szCs w:val="24"/>
                <w:lang w:val="en" w:eastAsia="es-ES"/>
              </w:rPr>
              <w:t xml:space="preserve">EU </w:t>
            </w:r>
            <w:r>
              <w:rPr>
                <w:rFonts w:ascii="Times New Roman" w:eastAsia="Times New Roman" w:hAnsi="Times New Roman" w:cs="Times New Roman"/>
                <w:sz w:val="24"/>
                <w:szCs w:val="24"/>
                <w:lang w:val="en" w:eastAsia="es-ES"/>
              </w:rPr>
              <w:t xml:space="preserve">regarding </w:t>
            </w:r>
            <w:r w:rsidRPr="00FB21C6">
              <w:rPr>
                <w:rFonts w:ascii="Times New Roman" w:eastAsia="Times New Roman" w:hAnsi="Times New Roman" w:cs="Times New Roman"/>
                <w:sz w:val="24"/>
                <w:szCs w:val="24"/>
                <w:lang w:val="en" w:eastAsia="es-ES"/>
              </w:rPr>
              <w:t xml:space="preserve">tariff reductions </w:t>
            </w:r>
            <w:r>
              <w:rPr>
                <w:rFonts w:ascii="Times New Roman" w:eastAsia="Times New Roman" w:hAnsi="Times New Roman" w:cs="Times New Roman"/>
                <w:sz w:val="24"/>
                <w:szCs w:val="24"/>
                <w:lang w:val="en" w:eastAsia="es-ES"/>
              </w:rPr>
              <w:t xml:space="preserve">and the US </w:t>
            </w:r>
            <w:r w:rsidRPr="00FB21C6">
              <w:rPr>
                <w:rFonts w:ascii="Times New Roman" w:eastAsia="Times New Roman" w:hAnsi="Times New Roman" w:cs="Times New Roman"/>
                <w:sz w:val="24"/>
                <w:szCs w:val="24"/>
                <w:lang w:val="en" w:eastAsia="es-ES"/>
              </w:rPr>
              <w:t>in</w:t>
            </w:r>
            <w:r>
              <w:rPr>
                <w:rFonts w:ascii="Times New Roman" w:eastAsia="Times New Roman" w:hAnsi="Times New Roman" w:cs="Times New Roman"/>
                <w:sz w:val="24"/>
                <w:szCs w:val="24"/>
                <w:lang w:val="en" w:eastAsia="es-ES"/>
              </w:rPr>
              <w:t xml:space="preserve"> relation to</w:t>
            </w:r>
            <w:r w:rsidRPr="00FB21C6">
              <w:rPr>
                <w:rFonts w:ascii="Times New Roman" w:eastAsia="Times New Roman" w:hAnsi="Times New Roman" w:cs="Times New Roman"/>
                <w:sz w:val="24"/>
                <w:szCs w:val="24"/>
                <w:lang w:val="en" w:eastAsia="es-ES"/>
              </w:rPr>
              <w:t xml:space="preserve"> domestic support</w:t>
            </w:r>
            <w:r>
              <w:rPr>
                <w:rFonts w:ascii="Times New Roman" w:eastAsia="Times New Roman" w:hAnsi="Times New Roman" w:cs="Times New Roman"/>
                <w:sz w:val="24"/>
                <w:szCs w:val="24"/>
                <w:lang w:val="en" w:eastAsia="es-ES"/>
              </w:rPr>
              <w:t>.</w:t>
            </w:r>
          </w:p>
          <w:p w:rsidR="00C64F88" w:rsidRPr="00FB21C6" w:rsidRDefault="00C64F88" w:rsidP="00C836AB">
            <w:pPr>
              <w:spacing w:after="0" w:line="240" w:lineRule="auto"/>
              <w:jc w:val="both"/>
              <w:rPr>
                <w:rFonts w:ascii="Times New Roman" w:eastAsia="Times New Roman" w:hAnsi="Times New Roman" w:cs="Times New Roman"/>
                <w:sz w:val="24"/>
                <w:szCs w:val="24"/>
                <w:lang w:val="en" w:eastAsia="es-ES"/>
              </w:rPr>
            </w:pPr>
          </w:p>
        </w:tc>
      </w:tr>
      <w:tr w:rsidR="00C64F88" w:rsidRPr="00D3155A" w:rsidTr="00FB21C6">
        <w:tc>
          <w:tcPr>
            <w:tcW w:w="1526" w:type="dxa"/>
            <w:shd w:val="clear" w:color="auto" w:fill="auto"/>
          </w:tcPr>
          <w:p w:rsidR="00C64F88" w:rsidRPr="00874087" w:rsidRDefault="00C64F88" w:rsidP="00C836AB">
            <w:pPr>
              <w:spacing w:after="0" w:line="240" w:lineRule="auto"/>
              <w:jc w:val="both"/>
              <w:rPr>
                <w:rFonts w:ascii="Times New Roman" w:eastAsia="Times New Roman" w:hAnsi="Times New Roman" w:cs="Times New Roman"/>
                <w:b/>
                <w:sz w:val="24"/>
                <w:szCs w:val="24"/>
                <w:lang w:eastAsia="es-ES"/>
              </w:rPr>
            </w:pPr>
            <w:r w:rsidRPr="00874087">
              <w:rPr>
                <w:rFonts w:ascii="Times New Roman" w:eastAsia="Times New Roman" w:hAnsi="Times New Roman" w:cs="Times New Roman"/>
                <w:b/>
                <w:sz w:val="24"/>
                <w:szCs w:val="24"/>
                <w:lang w:eastAsia="es-ES"/>
              </w:rPr>
              <w:t>2008</w:t>
            </w:r>
          </w:p>
        </w:tc>
        <w:tc>
          <w:tcPr>
            <w:tcW w:w="7194" w:type="dxa"/>
            <w:shd w:val="clear" w:color="auto" w:fill="auto"/>
          </w:tcPr>
          <w:p w:rsidR="00FB21C6" w:rsidRDefault="00FB21C6" w:rsidP="00C836AB">
            <w:pPr>
              <w:spacing w:after="0" w:line="240" w:lineRule="auto"/>
              <w:jc w:val="both"/>
              <w:rPr>
                <w:rFonts w:ascii="Times New Roman" w:eastAsia="Times New Roman" w:hAnsi="Times New Roman" w:cs="Times New Roman"/>
                <w:sz w:val="24"/>
                <w:szCs w:val="24"/>
                <w:lang w:val="en" w:eastAsia="es-ES"/>
              </w:rPr>
            </w:pPr>
            <w:r>
              <w:rPr>
                <w:rFonts w:ascii="Times New Roman" w:eastAsia="Times New Roman" w:hAnsi="Times New Roman" w:cs="Times New Roman"/>
                <w:sz w:val="24"/>
                <w:szCs w:val="24"/>
                <w:lang w:val="en" w:eastAsia="es-ES"/>
              </w:rPr>
              <w:t>The EU a</w:t>
            </w:r>
            <w:r w:rsidR="00FB2D9B">
              <w:rPr>
                <w:rFonts w:ascii="Times New Roman" w:eastAsia="Times New Roman" w:hAnsi="Times New Roman" w:cs="Times New Roman"/>
                <w:sz w:val="24"/>
                <w:szCs w:val="24"/>
                <w:lang w:val="en" w:eastAsia="es-ES"/>
              </w:rPr>
              <w:t>ccepted</w:t>
            </w:r>
            <w:r w:rsidRPr="00FB21C6">
              <w:rPr>
                <w:rFonts w:ascii="Times New Roman" w:eastAsia="Times New Roman" w:hAnsi="Times New Roman" w:cs="Times New Roman"/>
                <w:sz w:val="24"/>
                <w:szCs w:val="24"/>
                <w:lang w:val="en" w:eastAsia="es-ES"/>
              </w:rPr>
              <w:t xml:space="preserve"> to reduce its agricultural tariffs at the level </w:t>
            </w:r>
            <w:r w:rsidR="00427183">
              <w:rPr>
                <w:rFonts w:ascii="Times New Roman" w:eastAsia="Times New Roman" w:hAnsi="Times New Roman" w:cs="Times New Roman"/>
                <w:sz w:val="24"/>
                <w:szCs w:val="24"/>
                <w:lang w:val="en" w:eastAsia="es-ES"/>
              </w:rPr>
              <w:t>requested by the BIC</w:t>
            </w:r>
            <w:r>
              <w:rPr>
                <w:rFonts w:ascii="Times New Roman" w:eastAsia="Times New Roman" w:hAnsi="Times New Roman" w:cs="Times New Roman"/>
                <w:sz w:val="24"/>
                <w:szCs w:val="24"/>
                <w:lang w:val="en" w:eastAsia="es-ES"/>
              </w:rPr>
              <w:t xml:space="preserve"> and to cut down </w:t>
            </w:r>
            <w:r w:rsidRPr="00FB21C6">
              <w:rPr>
                <w:rFonts w:ascii="Times New Roman" w:eastAsia="Times New Roman" w:hAnsi="Times New Roman" w:cs="Times New Roman"/>
                <w:sz w:val="24"/>
                <w:szCs w:val="24"/>
                <w:lang w:val="en" w:eastAsia="es-ES"/>
              </w:rPr>
              <w:t>domestic agricultural s</w:t>
            </w:r>
            <w:r w:rsidR="00FB2D9B">
              <w:rPr>
                <w:rFonts w:ascii="Times New Roman" w:eastAsia="Times New Roman" w:hAnsi="Times New Roman" w:cs="Times New Roman"/>
                <w:sz w:val="24"/>
                <w:szCs w:val="24"/>
                <w:lang w:val="en" w:eastAsia="es-ES"/>
              </w:rPr>
              <w:t>upport</w:t>
            </w:r>
            <w:r w:rsidRPr="00FB21C6">
              <w:rPr>
                <w:rFonts w:ascii="Times New Roman" w:eastAsia="Times New Roman" w:hAnsi="Times New Roman" w:cs="Times New Roman"/>
                <w:sz w:val="24"/>
                <w:szCs w:val="24"/>
                <w:lang w:val="en" w:eastAsia="es-ES"/>
              </w:rPr>
              <w:t xml:space="preserve"> by 80%. </w:t>
            </w:r>
            <w:r w:rsidRPr="00FB21C6">
              <w:rPr>
                <w:rFonts w:ascii="Times New Roman" w:eastAsia="Times New Roman" w:hAnsi="Times New Roman" w:cs="Times New Roman"/>
                <w:sz w:val="24"/>
                <w:szCs w:val="24"/>
                <w:lang w:val="en" w:eastAsia="es-ES"/>
              </w:rPr>
              <w:lastRenderedPageBreak/>
              <w:t xml:space="preserve">Agriculture negotiations </w:t>
            </w:r>
            <w:r>
              <w:rPr>
                <w:rFonts w:ascii="Times New Roman" w:eastAsia="Times New Roman" w:hAnsi="Times New Roman" w:cs="Times New Roman"/>
                <w:sz w:val="24"/>
                <w:szCs w:val="24"/>
                <w:lang w:val="en" w:eastAsia="es-ES"/>
              </w:rPr>
              <w:t>we</w:t>
            </w:r>
            <w:r w:rsidRPr="00FB21C6">
              <w:rPr>
                <w:rFonts w:ascii="Times New Roman" w:eastAsia="Times New Roman" w:hAnsi="Times New Roman" w:cs="Times New Roman"/>
                <w:sz w:val="24"/>
                <w:szCs w:val="24"/>
                <w:lang w:val="en" w:eastAsia="es-ES"/>
              </w:rPr>
              <w:t xml:space="preserve">re </w:t>
            </w:r>
            <w:r>
              <w:rPr>
                <w:rFonts w:ascii="Times New Roman" w:eastAsia="Times New Roman" w:hAnsi="Times New Roman" w:cs="Times New Roman"/>
                <w:sz w:val="24"/>
                <w:szCs w:val="24"/>
                <w:lang w:val="en" w:eastAsia="es-ES"/>
              </w:rPr>
              <w:t xml:space="preserve">almost </w:t>
            </w:r>
            <w:r w:rsidRPr="00FB21C6">
              <w:rPr>
                <w:rFonts w:ascii="Times New Roman" w:eastAsia="Times New Roman" w:hAnsi="Times New Roman" w:cs="Times New Roman"/>
                <w:sz w:val="24"/>
                <w:szCs w:val="24"/>
                <w:lang w:val="en" w:eastAsia="es-ES"/>
              </w:rPr>
              <w:t>complet</w:t>
            </w:r>
            <w:r>
              <w:rPr>
                <w:rFonts w:ascii="Times New Roman" w:eastAsia="Times New Roman" w:hAnsi="Times New Roman" w:cs="Times New Roman"/>
                <w:sz w:val="24"/>
                <w:szCs w:val="24"/>
                <w:lang w:val="en" w:eastAsia="es-ES"/>
              </w:rPr>
              <w:t>ed</w:t>
            </w:r>
            <w:r w:rsidRPr="00FB21C6">
              <w:rPr>
                <w:rFonts w:ascii="Times New Roman" w:eastAsia="Times New Roman" w:hAnsi="Times New Roman" w:cs="Times New Roman"/>
                <w:sz w:val="24"/>
                <w:szCs w:val="24"/>
                <w:lang w:val="en" w:eastAsia="es-ES"/>
              </w:rPr>
              <w:t xml:space="preserve"> but differences between the US and India on a topic related to food secur</w:t>
            </w:r>
            <w:r>
              <w:rPr>
                <w:rFonts w:ascii="Times New Roman" w:eastAsia="Times New Roman" w:hAnsi="Times New Roman" w:cs="Times New Roman"/>
                <w:sz w:val="24"/>
                <w:szCs w:val="24"/>
                <w:lang w:val="en" w:eastAsia="es-ES"/>
              </w:rPr>
              <w:t>ity and rural development prevented the</w:t>
            </w:r>
            <w:r w:rsidRPr="00FB21C6">
              <w:rPr>
                <w:rFonts w:ascii="Times New Roman" w:eastAsia="Times New Roman" w:hAnsi="Times New Roman" w:cs="Times New Roman"/>
                <w:sz w:val="24"/>
                <w:szCs w:val="24"/>
                <w:lang w:val="en" w:eastAsia="es-ES"/>
              </w:rPr>
              <w:t xml:space="preserve"> </w:t>
            </w:r>
            <w:r w:rsidR="00B643AE">
              <w:rPr>
                <w:rFonts w:ascii="Times New Roman" w:eastAsia="Times New Roman" w:hAnsi="Times New Roman" w:cs="Times New Roman"/>
                <w:sz w:val="24"/>
                <w:szCs w:val="24"/>
                <w:lang w:val="en" w:eastAsia="es-ES"/>
              </w:rPr>
              <w:t>deal</w:t>
            </w:r>
            <w:r w:rsidRPr="00FB21C6">
              <w:rPr>
                <w:rFonts w:ascii="Times New Roman" w:eastAsia="Times New Roman" w:hAnsi="Times New Roman" w:cs="Times New Roman"/>
                <w:sz w:val="24"/>
                <w:szCs w:val="24"/>
                <w:lang w:val="en" w:eastAsia="es-ES"/>
              </w:rPr>
              <w:t>.</w:t>
            </w:r>
          </w:p>
          <w:p w:rsidR="00C64F88" w:rsidRPr="00FB21C6" w:rsidRDefault="00C64F88" w:rsidP="00C836AB">
            <w:pPr>
              <w:spacing w:after="0" w:line="240" w:lineRule="auto"/>
              <w:jc w:val="both"/>
              <w:rPr>
                <w:rFonts w:ascii="Times New Roman" w:eastAsia="Times New Roman" w:hAnsi="Times New Roman" w:cs="Times New Roman"/>
                <w:sz w:val="24"/>
                <w:szCs w:val="24"/>
                <w:lang w:val="en" w:eastAsia="es-ES"/>
              </w:rPr>
            </w:pPr>
          </w:p>
        </w:tc>
      </w:tr>
    </w:tbl>
    <w:p w:rsidR="00C64F88" w:rsidRPr="00874087" w:rsidRDefault="00FB21C6" w:rsidP="00C836AB">
      <w:pPr>
        <w:spacing w:after="0" w:line="240" w:lineRule="auto"/>
        <w:jc w:val="both"/>
        <w:rPr>
          <w:rFonts w:ascii="Times New Roman" w:eastAsia="Times New Roman" w:hAnsi="Times New Roman" w:cs="Times New Roman"/>
          <w:i/>
          <w:sz w:val="24"/>
          <w:szCs w:val="24"/>
          <w:lang w:val="en-GB" w:eastAsia="es-ES"/>
        </w:rPr>
      </w:pPr>
      <w:r>
        <w:rPr>
          <w:rFonts w:ascii="Times New Roman" w:eastAsia="Times New Roman" w:hAnsi="Times New Roman" w:cs="Times New Roman"/>
          <w:i/>
          <w:sz w:val="24"/>
          <w:szCs w:val="24"/>
          <w:lang w:val="en-GB" w:eastAsia="es-ES"/>
        </w:rPr>
        <w:lastRenderedPageBreak/>
        <w:t>Source</w:t>
      </w:r>
      <w:r w:rsidR="00C64F88" w:rsidRPr="00874087">
        <w:rPr>
          <w:rFonts w:ascii="Times New Roman" w:eastAsia="Times New Roman" w:hAnsi="Times New Roman" w:cs="Times New Roman"/>
          <w:i/>
          <w:sz w:val="24"/>
          <w:szCs w:val="24"/>
          <w:lang w:val="en-GB" w:eastAsia="es-ES"/>
        </w:rPr>
        <w:t xml:space="preserve">: Bridges Weekly 2004-2008. </w:t>
      </w:r>
    </w:p>
    <w:p w:rsidR="00C64F88" w:rsidRPr="00874087" w:rsidRDefault="00C64F88" w:rsidP="00C836AB">
      <w:pPr>
        <w:jc w:val="both"/>
        <w:rPr>
          <w:rFonts w:ascii="Times New Roman" w:hAnsi="Times New Roman" w:cs="Times New Roman"/>
          <w:sz w:val="24"/>
          <w:szCs w:val="24"/>
          <w:lang w:val="en"/>
        </w:rPr>
      </w:pPr>
    </w:p>
    <w:p w:rsidR="00F27BA2"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t>One can debate the degree of generosity of the</w:t>
      </w:r>
      <w:r w:rsidR="00C90CB6">
        <w:rPr>
          <w:rFonts w:ascii="Times New Roman" w:hAnsi="Times New Roman" w:cs="Times New Roman"/>
          <w:sz w:val="24"/>
          <w:szCs w:val="24"/>
          <w:lang w:val="en"/>
        </w:rPr>
        <w:t xml:space="preserve"> EU</w:t>
      </w:r>
      <w:r w:rsidRPr="00874087">
        <w:rPr>
          <w:rFonts w:ascii="Times New Roman" w:hAnsi="Times New Roman" w:cs="Times New Roman"/>
          <w:sz w:val="24"/>
          <w:szCs w:val="24"/>
          <w:lang w:val="en"/>
        </w:rPr>
        <w:t xml:space="preserve"> negotiating positions but one can hardly </w:t>
      </w:r>
      <w:r w:rsidR="00C90CB6">
        <w:rPr>
          <w:rFonts w:ascii="Times New Roman" w:hAnsi="Times New Roman" w:cs="Times New Roman"/>
          <w:sz w:val="24"/>
          <w:szCs w:val="24"/>
          <w:lang w:val="en"/>
        </w:rPr>
        <w:t xml:space="preserve">question </w:t>
      </w:r>
      <w:r w:rsidRPr="00874087">
        <w:rPr>
          <w:rFonts w:ascii="Times New Roman" w:hAnsi="Times New Roman" w:cs="Times New Roman"/>
          <w:sz w:val="24"/>
          <w:szCs w:val="24"/>
          <w:lang w:val="en"/>
        </w:rPr>
        <w:t>that</w:t>
      </w:r>
      <w:r w:rsidR="00C90CB6">
        <w:rPr>
          <w:rFonts w:ascii="Times New Roman" w:hAnsi="Times New Roman" w:cs="Times New Roman"/>
          <w:sz w:val="24"/>
          <w:szCs w:val="24"/>
          <w:lang w:val="en"/>
        </w:rPr>
        <w:t xml:space="preserve"> they </w:t>
      </w:r>
      <w:r w:rsidR="00472E8D">
        <w:rPr>
          <w:rFonts w:ascii="Times New Roman" w:hAnsi="Times New Roman" w:cs="Times New Roman"/>
          <w:sz w:val="24"/>
          <w:szCs w:val="24"/>
          <w:lang w:val="en"/>
        </w:rPr>
        <w:t>implied</w:t>
      </w:r>
      <w:r w:rsidR="00C90CB6">
        <w:rPr>
          <w:rFonts w:ascii="Times New Roman" w:hAnsi="Times New Roman" w:cs="Times New Roman"/>
          <w:sz w:val="24"/>
          <w:szCs w:val="24"/>
          <w:lang w:val="en"/>
        </w:rPr>
        <w:t xml:space="preserve"> concessions</w:t>
      </w:r>
      <w:r w:rsidRPr="00874087">
        <w:rPr>
          <w:rFonts w:ascii="Times New Roman" w:hAnsi="Times New Roman" w:cs="Times New Roman"/>
          <w:sz w:val="24"/>
          <w:szCs w:val="24"/>
          <w:lang w:val="en"/>
        </w:rPr>
        <w:t>, at least from the point of view of the EU</w:t>
      </w:r>
      <w:r w:rsidR="00C90CB6">
        <w:rPr>
          <w:rFonts w:ascii="Times New Roman" w:hAnsi="Times New Roman" w:cs="Times New Roman"/>
          <w:sz w:val="24"/>
          <w:szCs w:val="24"/>
          <w:lang w:val="en"/>
        </w:rPr>
        <w:t xml:space="preserve">. </w:t>
      </w:r>
      <w:r w:rsidR="00B643AE">
        <w:rPr>
          <w:rFonts w:ascii="Times New Roman" w:hAnsi="Times New Roman" w:cs="Times New Roman"/>
          <w:sz w:val="24"/>
          <w:szCs w:val="24"/>
          <w:lang w:val="en"/>
        </w:rPr>
        <w:t>In fact, a</w:t>
      </w:r>
      <w:r w:rsidRPr="00874087">
        <w:rPr>
          <w:rFonts w:ascii="Times New Roman" w:hAnsi="Times New Roman" w:cs="Times New Roman"/>
          <w:sz w:val="24"/>
          <w:szCs w:val="24"/>
          <w:lang w:val="en"/>
        </w:rPr>
        <w:t xml:space="preserve">s recounted in </w:t>
      </w:r>
      <w:r w:rsidRPr="00C90CB6">
        <w:rPr>
          <w:rFonts w:ascii="Times New Roman" w:hAnsi="Times New Roman" w:cs="Times New Roman"/>
          <w:i/>
          <w:sz w:val="24"/>
          <w:szCs w:val="24"/>
          <w:lang w:val="en"/>
        </w:rPr>
        <w:t>Bridges Weekly</w:t>
      </w:r>
      <w:r w:rsidRPr="00874087">
        <w:rPr>
          <w:rFonts w:ascii="Times New Roman" w:hAnsi="Times New Roman" w:cs="Times New Roman"/>
          <w:sz w:val="24"/>
          <w:szCs w:val="24"/>
          <w:lang w:val="en"/>
        </w:rPr>
        <w:t xml:space="preserve">, concessions in agriculture </w:t>
      </w:r>
      <w:r w:rsidR="00C90CB6">
        <w:rPr>
          <w:rFonts w:ascii="Times New Roman" w:hAnsi="Times New Roman" w:cs="Times New Roman"/>
          <w:sz w:val="24"/>
          <w:szCs w:val="24"/>
          <w:lang w:val="en"/>
        </w:rPr>
        <w:t>were made at the expense of</w:t>
      </w:r>
      <w:r w:rsidRPr="00874087">
        <w:rPr>
          <w:rFonts w:ascii="Times New Roman" w:hAnsi="Times New Roman" w:cs="Times New Roman"/>
          <w:sz w:val="24"/>
          <w:szCs w:val="24"/>
          <w:lang w:val="en"/>
        </w:rPr>
        <w:t xml:space="preserve"> great internal tensions within the </w:t>
      </w:r>
      <w:r w:rsidR="00C90CB6" w:rsidRPr="00874087">
        <w:rPr>
          <w:rFonts w:ascii="Times New Roman" w:hAnsi="Times New Roman" w:cs="Times New Roman"/>
          <w:sz w:val="24"/>
          <w:szCs w:val="24"/>
          <w:lang w:val="en"/>
        </w:rPr>
        <w:t xml:space="preserve">EU. </w:t>
      </w:r>
      <w:r w:rsidRPr="00472E8D">
        <w:rPr>
          <w:rFonts w:ascii="Times New Roman" w:hAnsi="Times New Roman" w:cs="Times New Roman"/>
          <w:sz w:val="24"/>
          <w:szCs w:val="24"/>
          <w:lang w:val="en"/>
        </w:rPr>
        <w:t>France led a strong opposition to all of them</w:t>
      </w:r>
      <w:r w:rsidR="00C90CB6" w:rsidRPr="00472E8D">
        <w:rPr>
          <w:rFonts w:ascii="Times New Roman" w:hAnsi="Times New Roman" w:cs="Times New Roman"/>
          <w:sz w:val="24"/>
          <w:szCs w:val="24"/>
          <w:lang w:val="en"/>
        </w:rPr>
        <w:t>,</w:t>
      </w:r>
      <w:r w:rsidRPr="00472E8D">
        <w:rPr>
          <w:rFonts w:ascii="Times New Roman" w:hAnsi="Times New Roman" w:cs="Times New Roman"/>
          <w:sz w:val="24"/>
          <w:szCs w:val="24"/>
          <w:lang w:val="en"/>
        </w:rPr>
        <w:t xml:space="preserve"> accusing the European Commission of lack of mandate to </w:t>
      </w:r>
      <w:r w:rsidR="00C90CB6" w:rsidRPr="00472E8D">
        <w:rPr>
          <w:rFonts w:ascii="Times New Roman" w:hAnsi="Times New Roman" w:cs="Times New Roman"/>
          <w:sz w:val="24"/>
          <w:szCs w:val="24"/>
          <w:lang w:val="en"/>
        </w:rPr>
        <w:t>perform, and tr</w:t>
      </w:r>
      <w:r w:rsidRPr="00472E8D">
        <w:rPr>
          <w:rFonts w:ascii="Times New Roman" w:hAnsi="Times New Roman" w:cs="Times New Roman"/>
          <w:sz w:val="24"/>
          <w:szCs w:val="24"/>
          <w:lang w:val="en"/>
        </w:rPr>
        <w:t>ied unsuccessfully to achieve a blocking minority</w:t>
      </w:r>
      <w:r w:rsidR="00472E8D" w:rsidRPr="00472E8D">
        <w:rPr>
          <w:rFonts w:ascii="Times New Roman" w:hAnsi="Times New Roman" w:cs="Times New Roman"/>
          <w:sz w:val="24"/>
          <w:szCs w:val="24"/>
          <w:lang w:val="en"/>
        </w:rPr>
        <w:t xml:space="preserve"> to prevent them</w:t>
      </w:r>
      <w:r w:rsidRPr="00472E8D">
        <w:rPr>
          <w:rFonts w:ascii="Times New Roman" w:hAnsi="Times New Roman" w:cs="Times New Roman"/>
          <w:sz w:val="24"/>
          <w:szCs w:val="24"/>
          <w:lang w:val="en"/>
        </w:rPr>
        <w:t>:</w:t>
      </w:r>
    </w:p>
    <w:p w:rsidR="00386EDB" w:rsidRPr="00E03EFD" w:rsidRDefault="00386EDB" w:rsidP="00C836AB">
      <w:pPr>
        <w:jc w:val="both"/>
        <w:rPr>
          <w:rFonts w:ascii="Times New Roman" w:hAnsi="Times New Roman" w:cs="Times New Roman"/>
          <w:sz w:val="20"/>
          <w:szCs w:val="20"/>
          <w:lang w:val="en-GB"/>
        </w:rPr>
      </w:pPr>
      <w:r w:rsidRPr="00E03EFD">
        <w:rPr>
          <w:rFonts w:ascii="Times New Roman" w:hAnsi="Times New Roman" w:cs="Times New Roman"/>
          <w:i/>
          <w:sz w:val="20"/>
          <w:szCs w:val="20"/>
          <w:lang w:val="en-US"/>
        </w:rPr>
        <w:t xml:space="preserve">In a further complication to a potential accord, however, nine EU countries, led by France and Italy, formed a coalition on Monday to push for better terms in a Doha Round deal, Reuters reported. EU Trade Commissioner Peter </w:t>
      </w:r>
      <w:proofErr w:type="spellStart"/>
      <w:r w:rsidRPr="00E03EFD">
        <w:rPr>
          <w:rFonts w:ascii="Times New Roman" w:hAnsi="Times New Roman" w:cs="Times New Roman"/>
          <w:i/>
          <w:sz w:val="20"/>
          <w:szCs w:val="20"/>
          <w:lang w:val="en-US"/>
        </w:rPr>
        <w:t>Mandelson</w:t>
      </w:r>
      <w:proofErr w:type="spellEnd"/>
      <w:r w:rsidRPr="00E03EFD">
        <w:rPr>
          <w:rFonts w:ascii="Times New Roman" w:hAnsi="Times New Roman" w:cs="Times New Roman"/>
          <w:i/>
          <w:sz w:val="20"/>
          <w:szCs w:val="20"/>
          <w:lang w:val="en-US"/>
        </w:rPr>
        <w:t xml:space="preserve"> has maintained that he has the support of EU member states in the negotiations, but the creation of the new alliance could nonetheless undermine his credibility at the talks.(Bridges Daily Update of July Negotiations, </w:t>
      </w:r>
      <w:r w:rsidRPr="00E03EFD">
        <w:rPr>
          <w:rFonts w:ascii="Times New Roman" w:hAnsi="Times New Roman" w:cs="Times New Roman"/>
          <w:i/>
          <w:sz w:val="20"/>
          <w:szCs w:val="20"/>
          <w:lang w:val="en-GB"/>
        </w:rPr>
        <w:t>nº 9, 29/7/2008)</w:t>
      </w:r>
    </w:p>
    <w:p w:rsidR="008342D9" w:rsidRPr="00134D27"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t xml:space="preserve">2008 was the year </w:t>
      </w:r>
      <w:r w:rsidR="00472E8D">
        <w:rPr>
          <w:rFonts w:ascii="Times New Roman" w:hAnsi="Times New Roman" w:cs="Times New Roman"/>
          <w:sz w:val="24"/>
          <w:szCs w:val="24"/>
          <w:lang w:val="en"/>
        </w:rPr>
        <w:t xml:space="preserve">a final deal was almost </w:t>
      </w:r>
      <w:r w:rsidR="006A7E52">
        <w:rPr>
          <w:rFonts w:ascii="Times New Roman" w:hAnsi="Times New Roman" w:cs="Times New Roman"/>
          <w:sz w:val="24"/>
          <w:szCs w:val="24"/>
          <w:lang w:val="en"/>
        </w:rPr>
        <w:t>attained</w:t>
      </w:r>
      <w:r w:rsidR="00472E8D">
        <w:rPr>
          <w:rFonts w:ascii="Times New Roman" w:hAnsi="Times New Roman" w:cs="Times New Roman"/>
          <w:sz w:val="24"/>
          <w:szCs w:val="24"/>
          <w:lang w:val="en"/>
        </w:rPr>
        <w:t>. It</w:t>
      </w:r>
      <w:r w:rsidRPr="00874087">
        <w:rPr>
          <w:rFonts w:ascii="Times New Roman" w:hAnsi="Times New Roman" w:cs="Times New Roman"/>
          <w:sz w:val="24"/>
          <w:szCs w:val="24"/>
          <w:lang w:val="en"/>
        </w:rPr>
        <w:t xml:space="preserve"> </w:t>
      </w:r>
      <w:r w:rsidR="00472E8D">
        <w:rPr>
          <w:rFonts w:ascii="Times New Roman" w:hAnsi="Times New Roman" w:cs="Times New Roman"/>
          <w:sz w:val="24"/>
          <w:szCs w:val="24"/>
          <w:lang w:val="en"/>
        </w:rPr>
        <w:t>was a</w:t>
      </w:r>
      <w:r w:rsidRPr="00874087">
        <w:rPr>
          <w:rFonts w:ascii="Times New Roman" w:hAnsi="Times New Roman" w:cs="Times New Roman"/>
          <w:sz w:val="24"/>
          <w:szCs w:val="24"/>
          <w:lang w:val="en"/>
        </w:rPr>
        <w:t>lso the time when the EU made clear that it had reached its</w:t>
      </w:r>
      <w:r w:rsidR="006A7E52">
        <w:rPr>
          <w:rFonts w:ascii="Times New Roman" w:hAnsi="Times New Roman" w:cs="Times New Roman"/>
          <w:sz w:val="24"/>
          <w:szCs w:val="24"/>
          <w:lang w:val="en"/>
        </w:rPr>
        <w:t xml:space="preserve"> negotiating</w:t>
      </w:r>
      <w:r w:rsidRPr="00874087">
        <w:rPr>
          <w:rFonts w:ascii="Times New Roman" w:hAnsi="Times New Roman" w:cs="Times New Roman"/>
          <w:sz w:val="24"/>
          <w:szCs w:val="24"/>
          <w:lang w:val="en"/>
        </w:rPr>
        <w:t xml:space="preserve"> limit: </w:t>
      </w:r>
      <w:r w:rsidR="00472E8D">
        <w:rPr>
          <w:rFonts w:ascii="Times New Roman" w:hAnsi="Times New Roman" w:cs="Times New Roman"/>
          <w:sz w:val="24"/>
          <w:szCs w:val="24"/>
          <w:lang w:val="en"/>
        </w:rPr>
        <w:t xml:space="preserve">it would offer no </w:t>
      </w:r>
      <w:r w:rsidRPr="00874087">
        <w:rPr>
          <w:rFonts w:ascii="Times New Roman" w:hAnsi="Times New Roman" w:cs="Times New Roman"/>
          <w:sz w:val="24"/>
          <w:szCs w:val="24"/>
          <w:lang w:val="en"/>
        </w:rPr>
        <w:t>more concession</w:t>
      </w:r>
      <w:r w:rsidR="006A7E52">
        <w:rPr>
          <w:rFonts w:ascii="Times New Roman" w:hAnsi="Times New Roman" w:cs="Times New Roman"/>
          <w:sz w:val="24"/>
          <w:szCs w:val="24"/>
          <w:lang w:val="en"/>
        </w:rPr>
        <w:t>s</w:t>
      </w:r>
      <w:r w:rsidRPr="00874087">
        <w:rPr>
          <w:rFonts w:ascii="Times New Roman" w:hAnsi="Times New Roman" w:cs="Times New Roman"/>
          <w:sz w:val="24"/>
          <w:szCs w:val="24"/>
          <w:lang w:val="en"/>
        </w:rPr>
        <w:t xml:space="preserve"> in the agricultural </w:t>
      </w:r>
      <w:r w:rsidR="006A7E52" w:rsidRPr="00874087">
        <w:rPr>
          <w:rFonts w:ascii="Times New Roman" w:hAnsi="Times New Roman" w:cs="Times New Roman"/>
          <w:sz w:val="24"/>
          <w:szCs w:val="24"/>
          <w:lang w:val="en"/>
        </w:rPr>
        <w:t xml:space="preserve">field. </w:t>
      </w:r>
      <w:r w:rsidRPr="00874087">
        <w:rPr>
          <w:rFonts w:ascii="Times New Roman" w:hAnsi="Times New Roman" w:cs="Times New Roman"/>
          <w:sz w:val="24"/>
          <w:szCs w:val="24"/>
          <w:lang w:val="en"/>
        </w:rPr>
        <w:t xml:space="preserve">To advance the negotiations other actors should make more </w:t>
      </w:r>
      <w:r w:rsidR="006A7E52">
        <w:rPr>
          <w:rFonts w:ascii="Times New Roman" w:hAnsi="Times New Roman" w:cs="Times New Roman"/>
          <w:sz w:val="24"/>
          <w:szCs w:val="24"/>
          <w:lang w:val="en"/>
        </w:rPr>
        <w:t>efforts</w:t>
      </w:r>
      <w:r w:rsidR="006A7E52" w:rsidRPr="00874087">
        <w:rPr>
          <w:rFonts w:ascii="Times New Roman" w:hAnsi="Times New Roman" w:cs="Times New Roman"/>
          <w:sz w:val="24"/>
          <w:szCs w:val="24"/>
          <w:lang w:val="en"/>
        </w:rPr>
        <w:t xml:space="preserve">. </w:t>
      </w:r>
      <w:r w:rsidRPr="00874087">
        <w:rPr>
          <w:rFonts w:ascii="Times New Roman" w:hAnsi="Times New Roman" w:cs="Times New Roman"/>
          <w:sz w:val="24"/>
          <w:szCs w:val="24"/>
          <w:lang w:val="en"/>
        </w:rPr>
        <w:t xml:space="preserve">As publicly acknowledged </w:t>
      </w:r>
      <w:r w:rsidR="006A7E52">
        <w:rPr>
          <w:rFonts w:ascii="Times New Roman" w:hAnsi="Times New Roman" w:cs="Times New Roman"/>
          <w:sz w:val="24"/>
          <w:szCs w:val="24"/>
          <w:lang w:val="en"/>
        </w:rPr>
        <w:t xml:space="preserve">by </w:t>
      </w:r>
      <w:r w:rsidRPr="00874087">
        <w:rPr>
          <w:rFonts w:ascii="Times New Roman" w:hAnsi="Times New Roman" w:cs="Times New Roman"/>
          <w:sz w:val="24"/>
          <w:szCs w:val="24"/>
          <w:lang w:val="en"/>
        </w:rPr>
        <w:t>the then Trade Commissioner De Gucht</w:t>
      </w:r>
      <w:r w:rsidR="006A7E52">
        <w:rPr>
          <w:rFonts w:ascii="Times New Roman" w:hAnsi="Times New Roman" w:cs="Times New Roman"/>
          <w:sz w:val="24"/>
          <w:szCs w:val="24"/>
          <w:lang w:val="en"/>
        </w:rPr>
        <w:t>,</w:t>
      </w:r>
      <w:r w:rsidRPr="00874087">
        <w:rPr>
          <w:rFonts w:ascii="Times New Roman" w:hAnsi="Times New Roman" w:cs="Times New Roman"/>
          <w:sz w:val="24"/>
          <w:szCs w:val="24"/>
          <w:lang w:val="en"/>
        </w:rPr>
        <w:t xml:space="preserve"> at a conference at the London School of Economics in March 2010, the EU </w:t>
      </w:r>
      <w:r w:rsidR="006A7E52">
        <w:rPr>
          <w:rFonts w:ascii="Times New Roman" w:hAnsi="Times New Roman" w:cs="Times New Roman"/>
          <w:sz w:val="24"/>
          <w:szCs w:val="24"/>
          <w:lang w:val="en"/>
        </w:rPr>
        <w:t xml:space="preserve">no longer </w:t>
      </w:r>
      <w:r w:rsidRPr="00874087">
        <w:rPr>
          <w:rFonts w:ascii="Times New Roman" w:hAnsi="Times New Roman" w:cs="Times New Roman"/>
          <w:sz w:val="24"/>
          <w:szCs w:val="24"/>
          <w:lang w:val="en"/>
        </w:rPr>
        <w:t>had domestic political support to go beyond (</w:t>
      </w:r>
      <w:r w:rsidRPr="006A7E52">
        <w:rPr>
          <w:rFonts w:ascii="Times New Roman" w:hAnsi="Times New Roman" w:cs="Times New Roman"/>
          <w:i/>
          <w:sz w:val="24"/>
          <w:szCs w:val="24"/>
          <w:lang w:val="en"/>
        </w:rPr>
        <w:t>Bridges Weekly</w:t>
      </w:r>
      <w:r w:rsidR="00134D27">
        <w:rPr>
          <w:rFonts w:ascii="Times New Roman" w:hAnsi="Times New Roman" w:cs="Times New Roman"/>
          <w:sz w:val="24"/>
          <w:szCs w:val="24"/>
          <w:lang w:val="en"/>
        </w:rPr>
        <w:t>, V</w:t>
      </w:r>
      <w:r w:rsidR="00402DB7">
        <w:rPr>
          <w:rFonts w:ascii="Times New Roman" w:hAnsi="Times New Roman" w:cs="Times New Roman"/>
          <w:sz w:val="24"/>
          <w:szCs w:val="24"/>
          <w:lang w:val="en"/>
        </w:rPr>
        <w:t>ol. 14, No. 11, 24/3/</w:t>
      </w:r>
      <w:r w:rsidRPr="00874087">
        <w:rPr>
          <w:rFonts w:ascii="Times New Roman" w:hAnsi="Times New Roman" w:cs="Times New Roman"/>
          <w:sz w:val="24"/>
          <w:szCs w:val="24"/>
          <w:lang w:val="en"/>
        </w:rPr>
        <w:t>2010).</w:t>
      </w:r>
      <w:r w:rsidRPr="00874087">
        <w:rPr>
          <w:rFonts w:ascii="Times New Roman" w:hAnsi="Times New Roman" w:cs="Times New Roman"/>
          <w:sz w:val="24"/>
          <w:szCs w:val="24"/>
          <w:lang w:val="en"/>
        </w:rPr>
        <w:br/>
      </w:r>
    </w:p>
    <w:p w:rsidR="006A7E52" w:rsidRPr="006C57F2" w:rsidRDefault="00D86C8D" w:rsidP="00C836AB">
      <w:pPr>
        <w:jc w:val="both"/>
        <w:rPr>
          <w:lang w:val="en-GB"/>
        </w:rPr>
      </w:pPr>
      <w:r w:rsidRPr="00874087">
        <w:rPr>
          <w:rFonts w:ascii="Times New Roman" w:hAnsi="Times New Roman" w:cs="Times New Roman"/>
          <w:sz w:val="24"/>
          <w:szCs w:val="24"/>
          <w:lang w:val="en"/>
        </w:rPr>
        <w:t xml:space="preserve">True to its </w:t>
      </w:r>
      <w:r w:rsidR="006A7E52">
        <w:rPr>
          <w:rFonts w:ascii="Times New Roman" w:hAnsi="Times New Roman" w:cs="Times New Roman"/>
          <w:sz w:val="24"/>
          <w:szCs w:val="24"/>
          <w:lang w:val="en"/>
        </w:rPr>
        <w:t>avowal</w:t>
      </w:r>
      <w:r w:rsidRPr="00874087">
        <w:rPr>
          <w:rFonts w:ascii="Times New Roman" w:hAnsi="Times New Roman" w:cs="Times New Roman"/>
          <w:sz w:val="24"/>
          <w:szCs w:val="24"/>
          <w:lang w:val="en"/>
        </w:rPr>
        <w:t xml:space="preserve">, the EU has not made ​​any concessions in the negotiations </w:t>
      </w:r>
      <w:r w:rsidR="006A7E52">
        <w:rPr>
          <w:rFonts w:ascii="Times New Roman" w:hAnsi="Times New Roman" w:cs="Times New Roman"/>
          <w:sz w:val="24"/>
          <w:szCs w:val="24"/>
          <w:lang w:val="en"/>
        </w:rPr>
        <w:t>since 2008</w:t>
      </w:r>
      <w:r w:rsidRPr="00874087">
        <w:rPr>
          <w:rFonts w:ascii="Times New Roman" w:hAnsi="Times New Roman" w:cs="Times New Roman"/>
          <w:sz w:val="24"/>
          <w:szCs w:val="24"/>
          <w:lang w:val="en"/>
        </w:rPr>
        <w:t xml:space="preserve">. It should be </w:t>
      </w:r>
      <w:r w:rsidR="006A7E52" w:rsidRPr="00874087">
        <w:rPr>
          <w:rFonts w:ascii="Times New Roman" w:hAnsi="Times New Roman" w:cs="Times New Roman"/>
          <w:sz w:val="24"/>
          <w:szCs w:val="24"/>
          <w:lang w:val="en"/>
        </w:rPr>
        <w:t>noted,</w:t>
      </w:r>
      <w:r w:rsidRPr="00874087">
        <w:rPr>
          <w:rFonts w:ascii="Times New Roman" w:hAnsi="Times New Roman" w:cs="Times New Roman"/>
          <w:sz w:val="24"/>
          <w:szCs w:val="24"/>
          <w:lang w:val="en"/>
        </w:rPr>
        <w:t xml:space="preserve"> however, that </w:t>
      </w:r>
      <w:r w:rsidR="006A7E52">
        <w:rPr>
          <w:rFonts w:ascii="Times New Roman" w:hAnsi="Times New Roman" w:cs="Times New Roman"/>
          <w:sz w:val="24"/>
          <w:szCs w:val="24"/>
          <w:lang w:val="en"/>
        </w:rPr>
        <w:t xml:space="preserve">it has </w:t>
      </w:r>
      <w:r w:rsidRPr="00874087">
        <w:rPr>
          <w:rFonts w:ascii="Times New Roman" w:hAnsi="Times New Roman" w:cs="Times New Roman"/>
          <w:sz w:val="24"/>
          <w:szCs w:val="24"/>
          <w:lang w:val="en"/>
        </w:rPr>
        <w:t xml:space="preserve">always </w:t>
      </w:r>
      <w:r w:rsidR="006A7E52">
        <w:rPr>
          <w:rFonts w:ascii="Times New Roman" w:hAnsi="Times New Roman" w:cs="Times New Roman"/>
          <w:sz w:val="24"/>
          <w:szCs w:val="24"/>
          <w:lang w:val="en"/>
        </w:rPr>
        <w:t>tried</w:t>
      </w:r>
      <w:r w:rsidRPr="00874087">
        <w:rPr>
          <w:rFonts w:ascii="Times New Roman" w:hAnsi="Times New Roman" w:cs="Times New Roman"/>
          <w:sz w:val="24"/>
          <w:szCs w:val="24"/>
          <w:lang w:val="en"/>
        </w:rPr>
        <w:t xml:space="preserve"> to facilitate meetings and potential agreements between </w:t>
      </w:r>
      <w:r w:rsidR="006A7E52">
        <w:rPr>
          <w:rFonts w:ascii="Times New Roman" w:hAnsi="Times New Roman" w:cs="Times New Roman"/>
          <w:sz w:val="24"/>
          <w:szCs w:val="24"/>
          <w:lang w:val="en"/>
        </w:rPr>
        <w:t>other international actors.</w:t>
      </w:r>
      <w:r w:rsidR="006B018D">
        <w:rPr>
          <w:rStyle w:val="Refernciadenotaapeudepgina"/>
          <w:rFonts w:ascii="Times New Roman" w:hAnsi="Times New Roman" w:cs="Times New Roman"/>
          <w:sz w:val="24"/>
          <w:szCs w:val="24"/>
          <w:lang w:val="en"/>
        </w:rPr>
        <w:footnoteReference w:id="16"/>
      </w:r>
      <w:r w:rsidR="006A7E52">
        <w:rPr>
          <w:rFonts w:ascii="Times New Roman" w:hAnsi="Times New Roman" w:cs="Times New Roman"/>
          <w:sz w:val="24"/>
          <w:szCs w:val="24"/>
          <w:lang w:val="en"/>
        </w:rPr>
        <w:t xml:space="preserve"> In </w:t>
      </w:r>
      <w:r w:rsidR="00D6606D">
        <w:rPr>
          <w:rFonts w:ascii="Times New Roman" w:hAnsi="Times New Roman" w:cs="Times New Roman"/>
          <w:sz w:val="24"/>
          <w:szCs w:val="24"/>
          <w:lang w:val="en"/>
        </w:rPr>
        <w:t>truth</w:t>
      </w:r>
      <w:r w:rsidR="006A7E52">
        <w:rPr>
          <w:rFonts w:ascii="Times New Roman" w:hAnsi="Times New Roman" w:cs="Times New Roman"/>
          <w:sz w:val="24"/>
          <w:szCs w:val="24"/>
          <w:lang w:val="en"/>
        </w:rPr>
        <w:t>, the 2013 Bali mini</w:t>
      </w:r>
      <w:r w:rsidRPr="00874087">
        <w:rPr>
          <w:rFonts w:ascii="Times New Roman" w:hAnsi="Times New Roman" w:cs="Times New Roman"/>
          <w:sz w:val="24"/>
          <w:szCs w:val="24"/>
          <w:lang w:val="en"/>
        </w:rPr>
        <w:t xml:space="preserve">-package </w:t>
      </w:r>
      <w:r w:rsidR="006A7E52">
        <w:rPr>
          <w:rFonts w:ascii="Times New Roman" w:hAnsi="Times New Roman" w:cs="Times New Roman"/>
          <w:sz w:val="24"/>
          <w:szCs w:val="24"/>
          <w:lang w:val="en"/>
        </w:rPr>
        <w:t>wa</w:t>
      </w:r>
      <w:r w:rsidRPr="00874087">
        <w:rPr>
          <w:rFonts w:ascii="Times New Roman" w:hAnsi="Times New Roman" w:cs="Times New Roman"/>
          <w:sz w:val="24"/>
          <w:szCs w:val="24"/>
          <w:lang w:val="en"/>
        </w:rPr>
        <w:t xml:space="preserve">s the result of a European proposal. </w:t>
      </w:r>
      <w:r w:rsidR="006C57F2">
        <w:rPr>
          <w:rFonts w:ascii="Times New Roman" w:hAnsi="Times New Roman" w:cs="Times New Roman"/>
          <w:sz w:val="24"/>
          <w:szCs w:val="24"/>
          <w:lang w:val="en"/>
        </w:rPr>
        <w:t xml:space="preserve">As soon as 2006, </w:t>
      </w:r>
      <w:r w:rsidRPr="00874087">
        <w:rPr>
          <w:rFonts w:ascii="Times New Roman" w:hAnsi="Times New Roman" w:cs="Times New Roman"/>
          <w:sz w:val="24"/>
          <w:szCs w:val="24"/>
          <w:lang w:val="en"/>
        </w:rPr>
        <w:t xml:space="preserve">the </w:t>
      </w:r>
      <w:r w:rsidR="006C57F2">
        <w:rPr>
          <w:rFonts w:ascii="Times New Roman" w:hAnsi="Times New Roman" w:cs="Times New Roman"/>
          <w:sz w:val="24"/>
          <w:szCs w:val="24"/>
          <w:lang w:val="en"/>
        </w:rPr>
        <w:t xml:space="preserve">then </w:t>
      </w:r>
      <w:r w:rsidR="006A7E52">
        <w:rPr>
          <w:rFonts w:ascii="Times New Roman" w:hAnsi="Times New Roman" w:cs="Times New Roman"/>
          <w:sz w:val="24"/>
          <w:szCs w:val="24"/>
          <w:lang w:val="en"/>
        </w:rPr>
        <w:t xml:space="preserve">EU </w:t>
      </w:r>
      <w:r w:rsidRPr="00874087">
        <w:rPr>
          <w:rFonts w:ascii="Times New Roman" w:hAnsi="Times New Roman" w:cs="Times New Roman"/>
          <w:sz w:val="24"/>
          <w:szCs w:val="24"/>
          <w:lang w:val="en"/>
        </w:rPr>
        <w:t xml:space="preserve">Trade Commissioner </w:t>
      </w:r>
      <w:proofErr w:type="spellStart"/>
      <w:r w:rsidRPr="00874087">
        <w:rPr>
          <w:rFonts w:ascii="Times New Roman" w:hAnsi="Times New Roman" w:cs="Times New Roman"/>
          <w:sz w:val="24"/>
          <w:szCs w:val="24"/>
          <w:lang w:val="en"/>
        </w:rPr>
        <w:t>Mandelson</w:t>
      </w:r>
      <w:proofErr w:type="spellEnd"/>
      <w:r w:rsidRPr="00874087">
        <w:rPr>
          <w:rFonts w:ascii="Times New Roman" w:hAnsi="Times New Roman" w:cs="Times New Roman"/>
          <w:sz w:val="24"/>
          <w:szCs w:val="24"/>
          <w:lang w:val="en"/>
        </w:rPr>
        <w:t xml:space="preserve"> </w:t>
      </w:r>
      <w:r w:rsidR="006A7E52">
        <w:rPr>
          <w:rFonts w:ascii="Times New Roman" w:hAnsi="Times New Roman" w:cs="Times New Roman"/>
          <w:sz w:val="24"/>
          <w:szCs w:val="24"/>
          <w:lang w:val="en"/>
        </w:rPr>
        <w:t xml:space="preserve">recommended </w:t>
      </w:r>
      <w:r w:rsidRPr="00874087">
        <w:rPr>
          <w:rFonts w:ascii="Times New Roman" w:hAnsi="Times New Roman" w:cs="Times New Roman"/>
          <w:sz w:val="24"/>
          <w:szCs w:val="24"/>
          <w:lang w:val="en"/>
        </w:rPr>
        <w:t xml:space="preserve">to close some deals </w:t>
      </w:r>
      <w:r w:rsidR="006A7E52">
        <w:rPr>
          <w:rFonts w:ascii="Times New Roman" w:hAnsi="Times New Roman" w:cs="Times New Roman"/>
          <w:sz w:val="24"/>
          <w:szCs w:val="24"/>
          <w:lang w:val="en"/>
        </w:rPr>
        <w:t xml:space="preserve">on issues </w:t>
      </w:r>
      <w:r w:rsidRPr="00874087">
        <w:rPr>
          <w:rFonts w:ascii="Times New Roman" w:hAnsi="Times New Roman" w:cs="Times New Roman"/>
          <w:sz w:val="24"/>
          <w:szCs w:val="24"/>
          <w:lang w:val="en"/>
        </w:rPr>
        <w:t>that favored developing countries and especially the least developed</w:t>
      </w:r>
      <w:r w:rsidR="00B8468F">
        <w:rPr>
          <w:rFonts w:ascii="Times New Roman" w:hAnsi="Times New Roman" w:cs="Times New Roman"/>
          <w:sz w:val="24"/>
          <w:szCs w:val="24"/>
          <w:lang w:val="en"/>
        </w:rPr>
        <w:t>,</w:t>
      </w:r>
      <w:r w:rsidR="00B8468F" w:rsidRPr="00B8468F">
        <w:rPr>
          <w:rFonts w:ascii="Times New Roman" w:hAnsi="Times New Roman" w:cs="Times New Roman"/>
          <w:sz w:val="24"/>
          <w:szCs w:val="24"/>
          <w:lang w:val="en"/>
        </w:rPr>
        <w:t xml:space="preserve"> </w:t>
      </w:r>
      <w:r w:rsidR="00B8468F">
        <w:rPr>
          <w:rFonts w:ascii="Times New Roman" w:hAnsi="Times New Roman" w:cs="Times New Roman"/>
          <w:sz w:val="24"/>
          <w:szCs w:val="24"/>
          <w:lang w:val="en"/>
        </w:rPr>
        <w:t xml:space="preserve">so as </w:t>
      </w:r>
      <w:r w:rsidR="00B8468F" w:rsidRPr="00B8468F">
        <w:rPr>
          <w:rFonts w:ascii="Times New Roman" w:hAnsi="Times New Roman" w:cs="Times New Roman"/>
          <w:sz w:val="24"/>
          <w:szCs w:val="24"/>
          <w:lang w:val="en"/>
        </w:rPr>
        <w:t xml:space="preserve">to make some progress in the DR and to prove </w:t>
      </w:r>
      <w:r w:rsidR="00B8468F">
        <w:rPr>
          <w:rFonts w:ascii="Times New Roman" w:hAnsi="Times New Roman" w:cs="Times New Roman"/>
          <w:sz w:val="24"/>
          <w:szCs w:val="24"/>
          <w:lang w:val="en"/>
        </w:rPr>
        <w:t xml:space="preserve">the </w:t>
      </w:r>
      <w:r w:rsidR="00B8468F" w:rsidRPr="00B8468F">
        <w:rPr>
          <w:rFonts w:ascii="Times New Roman" w:hAnsi="Times New Roman" w:cs="Times New Roman"/>
          <w:sz w:val="24"/>
          <w:szCs w:val="24"/>
          <w:lang w:val="en"/>
        </w:rPr>
        <w:t>pro-development nature</w:t>
      </w:r>
      <w:r w:rsidR="00B8468F">
        <w:rPr>
          <w:rFonts w:ascii="Times New Roman" w:hAnsi="Times New Roman" w:cs="Times New Roman"/>
          <w:sz w:val="24"/>
          <w:szCs w:val="24"/>
          <w:lang w:val="en"/>
        </w:rPr>
        <w:t xml:space="preserve"> of the negotiations</w:t>
      </w:r>
      <w:r w:rsidRPr="00874087">
        <w:rPr>
          <w:rFonts w:ascii="Times New Roman" w:hAnsi="Times New Roman" w:cs="Times New Roman"/>
          <w:sz w:val="24"/>
          <w:szCs w:val="24"/>
          <w:lang w:val="en"/>
        </w:rPr>
        <w:t>. This idea began to take shape in the WTO as a real plan B in 2011, in a context of negotiat</w:t>
      </w:r>
      <w:r w:rsidR="006C57F2">
        <w:rPr>
          <w:rFonts w:ascii="Times New Roman" w:hAnsi="Times New Roman" w:cs="Times New Roman"/>
          <w:sz w:val="24"/>
          <w:szCs w:val="24"/>
          <w:lang w:val="en"/>
        </w:rPr>
        <w:t>ion fatigue</w:t>
      </w:r>
      <w:r w:rsidR="00B8468F" w:rsidRPr="00874087">
        <w:rPr>
          <w:rFonts w:ascii="Times New Roman" w:hAnsi="Times New Roman" w:cs="Times New Roman"/>
          <w:sz w:val="24"/>
          <w:szCs w:val="24"/>
          <w:lang w:val="en"/>
        </w:rPr>
        <w:t>.</w:t>
      </w:r>
      <w:r w:rsidR="00951511">
        <w:rPr>
          <w:rFonts w:ascii="Times New Roman" w:hAnsi="Times New Roman" w:cs="Times New Roman"/>
          <w:sz w:val="24"/>
          <w:szCs w:val="24"/>
          <w:lang w:val="en"/>
        </w:rPr>
        <w:t xml:space="preserve"> </w:t>
      </w:r>
    </w:p>
    <w:p w:rsidR="00D86C8D" w:rsidRDefault="00D86C8D" w:rsidP="00C836AB">
      <w:pPr>
        <w:jc w:val="both"/>
        <w:rPr>
          <w:rFonts w:ascii="Times New Roman" w:hAnsi="Times New Roman" w:cs="Times New Roman"/>
          <w:sz w:val="24"/>
          <w:szCs w:val="24"/>
          <w:lang w:val="en"/>
        </w:rPr>
      </w:pPr>
      <w:r w:rsidRPr="00874087">
        <w:rPr>
          <w:rFonts w:ascii="Times New Roman" w:hAnsi="Times New Roman" w:cs="Times New Roman"/>
          <w:sz w:val="24"/>
          <w:szCs w:val="24"/>
          <w:lang w:val="en"/>
        </w:rPr>
        <w:t>Th</w:t>
      </w:r>
      <w:r w:rsidR="00B8468F">
        <w:rPr>
          <w:rFonts w:ascii="Times New Roman" w:hAnsi="Times New Roman" w:cs="Times New Roman"/>
          <w:sz w:val="24"/>
          <w:szCs w:val="24"/>
          <w:lang w:val="en"/>
        </w:rPr>
        <w:t>is</w:t>
      </w:r>
      <w:r w:rsidRPr="00874087">
        <w:rPr>
          <w:rFonts w:ascii="Times New Roman" w:hAnsi="Times New Roman" w:cs="Times New Roman"/>
          <w:sz w:val="24"/>
          <w:szCs w:val="24"/>
          <w:lang w:val="en"/>
        </w:rPr>
        <w:t xml:space="preserve"> EU </w:t>
      </w:r>
      <w:r w:rsidR="006B018D" w:rsidRPr="00E03EFD">
        <w:rPr>
          <w:rFonts w:ascii="Times New Roman" w:hAnsi="Times New Roman" w:cs="Times New Roman"/>
          <w:sz w:val="24"/>
          <w:szCs w:val="24"/>
          <w:lang w:val="en"/>
        </w:rPr>
        <w:t xml:space="preserve">mediation or even leadership </w:t>
      </w:r>
      <w:r w:rsidRPr="00874087">
        <w:rPr>
          <w:rFonts w:ascii="Times New Roman" w:hAnsi="Times New Roman" w:cs="Times New Roman"/>
          <w:sz w:val="24"/>
          <w:szCs w:val="24"/>
          <w:lang w:val="en"/>
        </w:rPr>
        <w:t>in the mini agreement is consistent with its traditional attitude towards multilateralism</w:t>
      </w:r>
      <w:r w:rsidR="006C57F2">
        <w:rPr>
          <w:rFonts w:ascii="Times New Roman" w:hAnsi="Times New Roman" w:cs="Times New Roman"/>
          <w:sz w:val="24"/>
          <w:szCs w:val="24"/>
          <w:lang w:val="en"/>
        </w:rPr>
        <w:t xml:space="preserve">. Nevertheless, it does not imply accommodation </w:t>
      </w:r>
      <w:r w:rsidR="00AC17FC">
        <w:rPr>
          <w:rFonts w:ascii="Times New Roman" w:hAnsi="Times New Roman" w:cs="Times New Roman"/>
          <w:sz w:val="24"/>
          <w:szCs w:val="24"/>
          <w:lang w:val="en"/>
        </w:rPr>
        <w:t xml:space="preserve">from our analysis perspective because </w:t>
      </w:r>
      <w:r w:rsidR="006C57F2">
        <w:rPr>
          <w:rFonts w:ascii="Times New Roman" w:hAnsi="Times New Roman" w:cs="Times New Roman"/>
          <w:sz w:val="24"/>
          <w:szCs w:val="24"/>
          <w:lang w:val="en"/>
        </w:rPr>
        <w:t xml:space="preserve">it did not signify </w:t>
      </w:r>
      <w:r w:rsidRPr="00874087">
        <w:rPr>
          <w:rFonts w:ascii="Times New Roman" w:hAnsi="Times New Roman" w:cs="Times New Roman"/>
          <w:sz w:val="24"/>
          <w:szCs w:val="24"/>
          <w:lang w:val="en"/>
        </w:rPr>
        <w:t xml:space="preserve">any additional concession. </w:t>
      </w:r>
      <w:r w:rsidR="00AC17FC">
        <w:rPr>
          <w:rFonts w:ascii="Times New Roman" w:hAnsi="Times New Roman" w:cs="Times New Roman"/>
          <w:sz w:val="24"/>
          <w:szCs w:val="24"/>
          <w:lang w:val="en"/>
        </w:rPr>
        <w:t>In</w:t>
      </w:r>
      <w:r w:rsidR="00D6606D">
        <w:rPr>
          <w:rFonts w:ascii="Times New Roman" w:hAnsi="Times New Roman" w:cs="Times New Roman"/>
          <w:sz w:val="24"/>
          <w:szCs w:val="24"/>
          <w:lang w:val="en"/>
        </w:rPr>
        <w:t>deed</w:t>
      </w:r>
      <w:r w:rsidR="00AC17FC">
        <w:rPr>
          <w:rFonts w:ascii="Times New Roman" w:hAnsi="Times New Roman" w:cs="Times New Roman"/>
          <w:sz w:val="24"/>
          <w:szCs w:val="24"/>
          <w:lang w:val="en"/>
        </w:rPr>
        <w:t>, despite the pressures, t</w:t>
      </w:r>
      <w:r w:rsidRPr="00874087">
        <w:rPr>
          <w:rFonts w:ascii="Times New Roman" w:hAnsi="Times New Roman" w:cs="Times New Roman"/>
          <w:sz w:val="24"/>
          <w:szCs w:val="24"/>
          <w:lang w:val="en"/>
        </w:rPr>
        <w:t xml:space="preserve">he EU </w:t>
      </w:r>
      <w:r w:rsidR="00AC17FC">
        <w:rPr>
          <w:rFonts w:ascii="Times New Roman" w:hAnsi="Times New Roman" w:cs="Times New Roman"/>
          <w:sz w:val="24"/>
          <w:szCs w:val="24"/>
          <w:lang w:val="en"/>
        </w:rPr>
        <w:t xml:space="preserve">did not agree </w:t>
      </w:r>
      <w:r w:rsidRPr="00874087">
        <w:rPr>
          <w:rFonts w:ascii="Times New Roman" w:hAnsi="Times New Roman" w:cs="Times New Roman"/>
          <w:sz w:val="24"/>
          <w:szCs w:val="24"/>
          <w:lang w:val="en"/>
        </w:rPr>
        <w:t xml:space="preserve">to include in the </w:t>
      </w:r>
      <w:r w:rsidR="00AC17FC">
        <w:rPr>
          <w:rFonts w:ascii="Times New Roman" w:hAnsi="Times New Roman" w:cs="Times New Roman"/>
          <w:sz w:val="24"/>
          <w:szCs w:val="24"/>
          <w:lang w:val="en"/>
        </w:rPr>
        <w:t xml:space="preserve">Bali </w:t>
      </w:r>
      <w:r w:rsidRPr="00874087">
        <w:rPr>
          <w:rFonts w:ascii="Times New Roman" w:hAnsi="Times New Roman" w:cs="Times New Roman"/>
          <w:sz w:val="24"/>
          <w:szCs w:val="24"/>
          <w:lang w:val="en"/>
        </w:rPr>
        <w:t xml:space="preserve">package </w:t>
      </w:r>
      <w:r w:rsidR="00AC17FC">
        <w:rPr>
          <w:rFonts w:ascii="Times New Roman" w:hAnsi="Times New Roman" w:cs="Times New Roman"/>
          <w:sz w:val="24"/>
          <w:szCs w:val="24"/>
          <w:lang w:val="en"/>
        </w:rPr>
        <w:t xml:space="preserve">its previous </w:t>
      </w:r>
      <w:r w:rsidRPr="00874087">
        <w:rPr>
          <w:rFonts w:ascii="Times New Roman" w:hAnsi="Times New Roman" w:cs="Times New Roman"/>
          <w:sz w:val="24"/>
          <w:szCs w:val="24"/>
          <w:lang w:val="en"/>
        </w:rPr>
        <w:t>commitment to eliminate export subsidies by 2013</w:t>
      </w:r>
      <w:r w:rsidR="00AC17FC">
        <w:rPr>
          <w:rFonts w:ascii="Times New Roman" w:hAnsi="Times New Roman" w:cs="Times New Roman"/>
          <w:sz w:val="24"/>
          <w:szCs w:val="24"/>
          <w:lang w:val="en"/>
        </w:rPr>
        <w:t>. It argued that</w:t>
      </w:r>
      <w:r w:rsidRPr="00874087">
        <w:rPr>
          <w:rFonts w:ascii="Times New Roman" w:hAnsi="Times New Roman" w:cs="Times New Roman"/>
          <w:sz w:val="24"/>
          <w:szCs w:val="24"/>
          <w:lang w:val="en"/>
        </w:rPr>
        <w:t xml:space="preserve"> this </w:t>
      </w:r>
      <w:r w:rsidR="00AC17FC">
        <w:rPr>
          <w:rFonts w:ascii="Times New Roman" w:hAnsi="Times New Roman" w:cs="Times New Roman"/>
          <w:sz w:val="24"/>
          <w:szCs w:val="24"/>
          <w:lang w:val="en"/>
        </w:rPr>
        <w:t>wa</w:t>
      </w:r>
      <w:r w:rsidRPr="00874087">
        <w:rPr>
          <w:rFonts w:ascii="Times New Roman" w:hAnsi="Times New Roman" w:cs="Times New Roman"/>
          <w:sz w:val="24"/>
          <w:szCs w:val="24"/>
          <w:lang w:val="en"/>
        </w:rPr>
        <w:t xml:space="preserve">s part of </w:t>
      </w:r>
      <w:r w:rsidR="00AC17FC">
        <w:rPr>
          <w:rFonts w:ascii="Times New Roman" w:hAnsi="Times New Roman" w:cs="Times New Roman"/>
          <w:sz w:val="24"/>
          <w:szCs w:val="24"/>
          <w:lang w:val="en"/>
        </w:rPr>
        <w:t>its</w:t>
      </w:r>
      <w:r w:rsidRPr="00874087">
        <w:rPr>
          <w:rFonts w:ascii="Times New Roman" w:hAnsi="Times New Roman" w:cs="Times New Roman"/>
          <w:sz w:val="24"/>
          <w:szCs w:val="24"/>
          <w:lang w:val="en"/>
        </w:rPr>
        <w:t xml:space="preserve"> concessions for a global agreement on the </w:t>
      </w:r>
      <w:r w:rsidR="005A3D11">
        <w:rPr>
          <w:rFonts w:ascii="Times New Roman" w:hAnsi="Times New Roman" w:cs="Times New Roman"/>
          <w:sz w:val="24"/>
          <w:szCs w:val="24"/>
          <w:lang w:val="en"/>
        </w:rPr>
        <w:t>DR</w:t>
      </w:r>
      <w:r w:rsidR="00AC17FC">
        <w:rPr>
          <w:rFonts w:ascii="Times New Roman" w:hAnsi="Times New Roman" w:cs="Times New Roman"/>
          <w:sz w:val="24"/>
          <w:szCs w:val="24"/>
          <w:lang w:val="en"/>
        </w:rPr>
        <w:t xml:space="preserve">. </w:t>
      </w:r>
    </w:p>
    <w:p w:rsidR="006C57F2" w:rsidRPr="00E119DB" w:rsidRDefault="006C57F2" w:rsidP="00C836AB">
      <w:pPr>
        <w:jc w:val="both"/>
        <w:rPr>
          <w:rFonts w:ascii="Times New Roman" w:hAnsi="Times New Roman" w:cs="Times New Roman"/>
          <w:sz w:val="24"/>
          <w:szCs w:val="24"/>
          <w:lang w:val="en-GB"/>
        </w:rPr>
      </w:pPr>
    </w:p>
    <w:p w:rsidR="00DC7D24" w:rsidRPr="00E03EFD" w:rsidRDefault="00F75BEE" w:rsidP="00E03EFD">
      <w:pPr>
        <w:rPr>
          <w:rFonts w:ascii="Times New Roman" w:hAnsi="Times New Roman" w:cs="Times New Roman"/>
          <w:sz w:val="28"/>
          <w:szCs w:val="28"/>
          <w:lang w:val="en"/>
        </w:rPr>
      </w:pPr>
      <w:r w:rsidRPr="00E03EFD">
        <w:rPr>
          <w:rFonts w:ascii="Times New Roman" w:hAnsi="Times New Roman" w:cs="Times New Roman"/>
          <w:b/>
          <w:sz w:val="28"/>
          <w:szCs w:val="28"/>
          <w:lang w:val="en-GB"/>
        </w:rPr>
        <w:lastRenderedPageBreak/>
        <w:t xml:space="preserve">5. </w:t>
      </w:r>
      <w:r w:rsidR="00A247B1" w:rsidRPr="00E03EFD">
        <w:rPr>
          <w:rFonts w:ascii="Times New Roman" w:hAnsi="Times New Roman" w:cs="Times New Roman"/>
          <w:b/>
          <w:sz w:val="28"/>
          <w:szCs w:val="28"/>
          <w:lang w:val="en-GB"/>
        </w:rPr>
        <w:t xml:space="preserve"> </w:t>
      </w:r>
      <w:r w:rsidR="00A247B1" w:rsidRPr="00E03EFD">
        <w:rPr>
          <w:rFonts w:ascii="Times New Roman" w:hAnsi="Times New Roman" w:cs="Times New Roman"/>
          <w:b/>
          <w:sz w:val="28"/>
          <w:szCs w:val="28"/>
          <w:lang w:val="en-US"/>
        </w:rPr>
        <w:t>Conclusion</w:t>
      </w:r>
      <w:r w:rsidR="00A247B1" w:rsidRPr="00E03EFD">
        <w:rPr>
          <w:rFonts w:ascii="Times New Roman" w:hAnsi="Times New Roman" w:cs="Times New Roman"/>
          <w:sz w:val="28"/>
          <w:szCs w:val="28"/>
          <w:lang w:val="en-US"/>
        </w:rPr>
        <w:br/>
      </w:r>
    </w:p>
    <w:p w:rsidR="00FF66A8" w:rsidRPr="00E80AD8" w:rsidRDefault="00DC7D24" w:rsidP="00C836AB">
      <w:pPr>
        <w:jc w:val="both"/>
        <w:rPr>
          <w:rFonts w:ascii="Times New Roman" w:hAnsi="Times New Roman" w:cs="Times New Roman"/>
          <w:sz w:val="24"/>
          <w:szCs w:val="24"/>
          <w:lang w:val="en"/>
        </w:rPr>
      </w:pPr>
      <w:r w:rsidRPr="00DC7D24">
        <w:rPr>
          <w:rFonts w:ascii="Times New Roman" w:hAnsi="Times New Roman" w:cs="Times New Roman"/>
          <w:sz w:val="24"/>
          <w:szCs w:val="24"/>
          <w:lang w:val="en"/>
        </w:rPr>
        <w:t xml:space="preserve">The European Commission has repeatedly argued since the mid-2000s that </w:t>
      </w:r>
      <w:r w:rsidR="00E80AD8" w:rsidRPr="00E80AD8">
        <w:rPr>
          <w:rFonts w:ascii="Times New Roman" w:hAnsi="Times New Roman" w:cs="Times New Roman"/>
          <w:sz w:val="24"/>
          <w:szCs w:val="24"/>
          <w:lang w:val="en"/>
        </w:rPr>
        <w:t>b</w:t>
      </w:r>
      <w:r w:rsidR="00E80AD8">
        <w:rPr>
          <w:rFonts w:ascii="Times New Roman" w:hAnsi="Times New Roman" w:cs="Times New Roman"/>
          <w:sz w:val="24"/>
          <w:szCs w:val="24"/>
          <w:lang w:val="en"/>
        </w:rPr>
        <w:t xml:space="preserve">ilateralism and multilateralism </w:t>
      </w:r>
      <w:r w:rsidR="00E80AD8" w:rsidRPr="00E80AD8">
        <w:rPr>
          <w:rFonts w:ascii="Times New Roman" w:hAnsi="Times New Roman" w:cs="Times New Roman"/>
          <w:sz w:val="24"/>
          <w:szCs w:val="24"/>
          <w:lang w:val="en"/>
        </w:rPr>
        <w:t xml:space="preserve">need not be mutually exclusive and that </w:t>
      </w:r>
      <w:r w:rsidR="00F27BA2">
        <w:rPr>
          <w:rFonts w:ascii="Times New Roman" w:hAnsi="Times New Roman" w:cs="Times New Roman"/>
          <w:sz w:val="24"/>
          <w:szCs w:val="24"/>
          <w:lang w:val="en"/>
        </w:rPr>
        <w:t>the</w:t>
      </w:r>
      <w:r w:rsidR="00E80AD8" w:rsidRPr="00E80AD8">
        <w:rPr>
          <w:rFonts w:ascii="Times New Roman" w:hAnsi="Times New Roman" w:cs="Times New Roman"/>
          <w:sz w:val="24"/>
          <w:szCs w:val="24"/>
          <w:lang w:val="en"/>
        </w:rPr>
        <w:t xml:space="preserve"> key condition for compatibility is whether preferential agreements have the technical capacity to bolster or undermine the WTO. </w:t>
      </w:r>
      <w:r w:rsidRPr="00DC7D24">
        <w:rPr>
          <w:rFonts w:ascii="Times New Roman" w:hAnsi="Times New Roman" w:cs="Times New Roman"/>
          <w:sz w:val="24"/>
          <w:szCs w:val="24"/>
          <w:lang w:val="en-GB"/>
        </w:rPr>
        <w:t xml:space="preserve">As EU new bilateral </w:t>
      </w:r>
      <w:r w:rsidRPr="00DC7D24">
        <w:rPr>
          <w:rFonts w:ascii="Times New Roman" w:hAnsi="Times New Roman" w:cs="Times New Roman"/>
          <w:sz w:val="24"/>
          <w:szCs w:val="24"/>
          <w:lang w:val="en"/>
        </w:rPr>
        <w:t xml:space="preserve">agreements allow for greater trade liberalization than the existing multilateral accords they can be seen as a form of enhanced cooperation in trade that would later on be susceptible of multilateralization. </w:t>
      </w:r>
      <w:r w:rsidR="00FF66A8">
        <w:rPr>
          <w:rFonts w:ascii="Times New Roman" w:hAnsi="Times New Roman" w:cs="Times New Roman"/>
          <w:sz w:val="24"/>
          <w:szCs w:val="24"/>
          <w:lang w:val="en-US"/>
        </w:rPr>
        <w:t xml:space="preserve">This paper </w:t>
      </w:r>
      <w:r w:rsidR="00777BCA" w:rsidRPr="00777BCA">
        <w:rPr>
          <w:rFonts w:ascii="Times New Roman" w:hAnsi="Times New Roman" w:cs="Times New Roman"/>
          <w:sz w:val="24"/>
          <w:szCs w:val="24"/>
          <w:lang w:val="en-US"/>
        </w:rPr>
        <w:t>ha</w:t>
      </w:r>
      <w:r w:rsidR="00FF66A8">
        <w:rPr>
          <w:rFonts w:ascii="Times New Roman" w:hAnsi="Times New Roman" w:cs="Times New Roman"/>
          <w:sz w:val="24"/>
          <w:szCs w:val="24"/>
          <w:lang w:val="en-US"/>
        </w:rPr>
        <w:t>s</w:t>
      </w:r>
      <w:r w:rsidR="00777BCA">
        <w:rPr>
          <w:rFonts w:ascii="Times New Roman" w:hAnsi="Times New Roman" w:cs="Times New Roman"/>
          <w:sz w:val="24"/>
          <w:szCs w:val="24"/>
          <w:lang w:val="en-US"/>
        </w:rPr>
        <w:t xml:space="preserve"> </w:t>
      </w:r>
      <w:r w:rsidR="00FF66A8">
        <w:rPr>
          <w:rFonts w:ascii="Times New Roman" w:hAnsi="Times New Roman" w:cs="Times New Roman"/>
          <w:sz w:val="24"/>
          <w:szCs w:val="24"/>
          <w:lang w:val="en-US"/>
        </w:rPr>
        <w:t xml:space="preserve">not disputed that claim. On the contrary, it has recognized that it is based on a solid research body and that the WTO+ and WTO-X nature of the agreements should be taken into account to establish the compatibility </w:t>
      </w:r>
      <w:r w:rsidR="00F27BA2">
        <w:rPr>
          <w:rFonts w:ascii="Times New Roman" w:hAnsi="Times New Roman" w:cs="Times New Roman"/>
          <w:sz w:val="24"/>
          <w:szCs w:val="24"/>
          <w:lang w:val="en-US"/>
        </w:rPr>
        <w:t>of bilateral and multilateral trade approaches</w:t>
      </w:r>
      <w:r w:rsidR="00FF66A8">
        <w:rPr>
          <w:rFonts w:ascii="Times New Roman" w:hAnsi="Times New Roman" w:cs="Times New Roman"/>
          <w:sz w:val="24"/>
          <w:szCs w:val="24"/>
          <w:lang w:val="en-US"/>
        </w:rPr>
        <w:t>.</w:t>
      </w:r>
    </w:p>
    <w:p w:rsidR="00945CBF" w:rsidRDefault="00FF66A8" w:rsidP="00C836AB">
      <w:pPr>
        <w:jc w:val="both"/>
        <w:rPr>
          <w:rFonts w:ascii="Times New Roman" w:hAnsi="Times New Roman" w:cs="Times New Roman"/>
          <w:sz w:val="24"/>
          <w:szCs w:val="24"/>
          <w:lang w:val="en"/>
        </w:rPr>
      </w:pPr>
      <w:r>
        <w:rPr>
          <w:rFonts w:ascii="Times New Roman" w:hAnsi="Times New Roman" w:cs="Times New Roman"/>
          <w:sz w:val="24"/>
          <w:szCs w:val="24"/>
          <w:lang w:val="en-US"/>
        </w:rPr>
        <w:t xml:space="preserve">This paper however has challenged the comprehensiveness of the European Commission argument. It has argued that the </w:t>
      </w:r>
      <w:r w:rsidRPr="00FF66A8">
        <w:rPr>
          <w:rFonts w:ascii="Times New Roman" w:hAnsi="Times New Roman" w:cs="Times New Roman"/>
          <w:sz w:val="24"/>
          <w:szCs w:val="24"/>
          <w:lang w:val="en"/>
        </w:rPr>
        <w:t>potential for multilateralization of regional trade agreements</w:t>
      </w:r>
      <w:r>
        <w:rPr>
          <w:rFonts w:ascii="Times New Roman" w:hAnsi="Times New Roman" w:cs="Times New Roman"/>
          <w:sz w:val="24"/>
          <w:szCs w:val="24"/>
          <w:lang w:val="en-US"/>
        </w:rPr>
        <w:t xml:space="preserve"> is </w:t>
      </w:r>
      <w:r w:rsidR="00777BCA" w:rsidRPr="00777BCA">
        <w:rPr>
          <w:rFonts w:ascii="Times New Roman" w:hAnsi="Times New Roman" w:cs="Times New Roman"/>
          <w:sz w:val="24"/>
          <w:szCs w:val="24"/>
          <w:lang w:val="en-US"/>
        </w:rPr>
        <w:t xml:space="preserve">not </w:t>
      </w:r>
      <w:r>
        <w:rPr>
          <w:rFonts w:ascii="Times New Roman" w:hAnsi="Times New Roman" w:cs="Times New Roman"/>
          <w:sz w:val="24"/>
          <w:szCs w:val="24"/>
          <w:lang w:val="en-US"/>
        </w:rPr>
        <w:t xml:space="preserve">a </w:t>
      </w:r>
      <w:r w:rsidR="00777BCA" w:rsidRPr="00777BCA">
        <w:rPr>
          <w:rFonts w:ascii="Times New Roman" w:hAnsi="Times New Roman" w:cs="Times New Roman"/>
          <w:sz w:val="24"/>
          <w:szCs w:val="24"/>
          <w:lang w:val="en-US"/>
        </w:rPr>
        <w:t xml:space="preserve">sufficient </w:t>
      </w:r>
      <w:r>
        <w:rPr>
          <w:rFonts w:ascii="Times New Roman" w:hAnsi="Times New Roman" w:cs="Times New Roman"/>
          <w:sz w:val="24"/>
          <w:szCs w:val="24"/>
          <w:lang w:val="en-US"/>
        </w:rPr>
        <w:t xml:space="preserve">condition for compatibility and proposed a new independent variable to complete the analytical equation: </w:t>
      </w:r>
      <w:r w:rsidR="00910059" w:rsidRPr="00910059">
        <w:rPr>
          <w:rFonts w:ascii="Times New Roman" w:hAnsi="Times New Roman" w:cs="Times New Roman"/>
          <w:iCs/>
          <w:sz w:val="24"/>
          <w:szCs w:val="24"/>
          <w:lang w:val="en-GB"/>
        </w:rPr>
        <w:t xml:space="preserve">difficulties severity in the multilateral negotiations. </w:t>
      </w:r>
      <w:r w:rsidR="00910059">
        <w:rPr>
          <w:rFonts w:ascii="Times New Roman" w:hAnsi="Times New Roman" w:cs="Times New Roman"/>
          <w:iCs/>
          <w:sz w:val="24"/>
          <w:szCs w:val="24"/>
          <w:lang w:val="en-GB"/>
        </w:rPr>
        <w:t>This variable is based on the idea that d</w:t>
      </w:r>
      <w:r w:rsidR="00910059" w:rsidRPr="00910059">
        <w:rPr>
          <w:rFonts w:ascii="Times New Roman" w:hAnsi="Times New Roman" w:cs="Times New Roman"/>
          <w:sz w:val="24"/>
          <w:szCs w:val="24"/>
          <w:lang w:val="en-GB"/>
        </w:rPr>
        <w:t xml:space="preserve">ifficulties </w:t>
      </w:r>
      <w:r w:rsidR="00910059" w:rsidRPr="00910059">
        <w:rPr>
          <w:rFonts w:ascii="Times New Roman" w:hAnsi="Times New Roman" w:cs="Times New Roman"/>
          <w:sz w:val="24"/>
          <w:szCs w:val="24"/>
          <w:lang w:val="en"/>
        </w:rPr>
        <w:t>in multilateral negotiations lead toward new bilateral agreements</w:t>
      </w:r>
      <w:r w:rsidR="00A36B3F">
        <w:rPr>
          <w:rFonts w:ascii="Times New Roman" w:hAnsi="Times New Roman" w:cs="Times New Roman"/>
          <w:sz w:val="24"/>
          <w:szCs w:val="24"/>
          <w:lang w:val="en"/>
        </w:rPr>
        <w:t xml:space="preserve"> as </w:t>
      </w:r>
      <w:r w:rsidR="00A36B3F" w:rsidRPr="00A36B3F">
        <w:rPr>
          <w:rFonts w:ascii="Times New Roman" w:hAnsi="Times New Roman" w:cs="Times New Roman"/>
          <w:sz w:val="24"/>
          <w:szCs w:val="24"/>
          <w:lang w:val="en"/>
        </w:rPr>
        <w:t>a strategy to get the accord at the multilateral level</w:t>
      </w:r>
      <w:r w:rsidR="00910059" w:rsidRPr="00910059">
        <w:rPr>
          <w:rFonts w:ascii="Times New Roman" w:hAnsi="Times New Roman" w:cs="Times New Roman"/>
          <w:sz w:val="24"/>
          <w:szCs w:val="24"/>
          <w:lang w:val="en"/>
        </w:rPr>
        <w:t xml:space="preserve"> </w:t>
      </w:r>
      <w:r w:rsidR="00910059">
        <w:rPr>
          <w:rFonts w:ascii="Times New Roman" w:hAnsi="Times New Roman" w:cs="Times New Roman"/>
          <w:sz w:val="24"/>
          <w:szCs w:val="24"/>
          <w:lang w:val="en"/>
        </w:rPr>
        <w:t>but</w:t>
      </w:r>
      <w:r w:rsidR="00910059" w:rsidRPr="00910059">
        <w:rPr>
          <w:rFonts w:ascii="Times New Roman" w:hAnsi="Times New Roman" w:cs="Times New Roman"/>
          <w:sz w:val="24"/>
          <w:szCs w:val="24"/>
          <w:lang w:val="en"/>
        </w:rPr>
        <w:t xml:space="preserve"> when these difficulties become too severe bilateral agreements </w:t>
      </w:r>
      <w:r w:rsidR="00F27BA2">
        <w:rPr>
          <w:rFonts w:ascii="Times New Roman" w:hAnsi="Times New Roman" w:cs="Times New Roman"/>
          <w:sz w:val="24"/>
          <w:szCs w:val="24"/>
          <w:lang w:val="en"/>
        </w:rPr>
        <w:t xml:space="preserve">may be a way to </w:t>
      </w:r>
      <w:r w:rsidR="00910059" w:rsidRPr="00910059">
        <w:rPr>
          <w:rFonts w:ascii="Times New Roman" w:hAnsi="Times New Roman" w:cs="Times New Roman"/>
          <w:sz w:val="24"/>
          <w:szCs w:val="24"/>
          <w:lang w:val="en"/>
        </w:rPr>
        <w:t xml:space="preserve">substitute </w:t>
      </w:r>
      <w:r w:rsidR="00F27BA2">
        <w:rPr>
          <w:rFonts w:ascii="Times New Roman" w:hAnsi="Times New Roman" w:cs="Times New Roman"/>
          <w:sz w:val="24"/>
          <w:szCs w:val="24"/>
          <w:lang w:val="en"/>
        </w:rPr>
        <w:t>the</w:t>
      </w:r>
      <w:r w:rsidR="00910059" w:rsidRPr="00910059">
        <w:rPr>
          <w:rFonts w:ascii="Times New Roman" w:hAnsi="Times New Roman" w:cs="Times New Roman"/>
          <w:sz w:val="24"/>
          <w:szCs w:val="24"/>
          <w:lang w:val="en"/>
        </w:rPr>
        <w:t xml:space="preserve"> multilateral agreement</w:t>
      </w:r>
      <w:r w:rsidR="00F27BA2">
        <w:rPr>
          <w:rFonts w:ascii="Times New Roman" w:hAnsi="Times New Roman" w:cs="Times New Roman"/>
          <w:sz w:val="24"/>
          <w:szCs w:val="24"/>
          <w:lang w:val="en"/>
        </w:rPr>
        <w:t xml:space="preserve"> and ensuring new market access</w:t>
      </w:r>
      <w:r w:rsidR="00910059" w:rsidRPr="00910059">
        <w:rPr>
          <w:rFonts w:ascii="Times New Roman" w:hAnsi="Times New Roman" w:cs="Times New Roman"/>
          <w:sz w:val="24"/>
          <w:szCs w:val="24"/>
          <w:lang w:val="en"/>
        </w:rPr>
        <w:t xml:space="preserve">.  </w:t>
      </w:r>
    </w:p>
    <w:p w:rsidR="00945CBF" w:rsidRDefault="00910059"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To establish whether the stalemate of the </w:t>
      </w:r>
      <w:r w:rsidR="00CC2D12">
        <w:rPr>
          <w:rFonts w:ascii="Times New Roman" w:hAnsi="Times New Roman" w:cs="Times New Roman"/>
          <w:sz w:val="24"/>
          <w:szCs w:val="24"/>
          <w:lang w:val="en"/>
        </w:rPr>
        <w:t>DR</w:t>
      </w:r>
      <w:r>
        <w:rPr>
          <w:rFonts w:ascii="Times New Roman" w:hAnsi="Times New Roman" w:cs="Times New Roman"/>
          <w:sz w:val="24"/>
          <w:szCs w:val="24"/>
          <w:lang w:val="en"/>
        </w:rPr>
        <w:t xml:space="preserve"> since 2009 can be considered </w:t>
      </w:r>
      <w:r w:rsidR="00F8548A">
        <w:rPr>
          <w:rFonts w:ascii="Times New Roman" w:hAnsi="Times New Roman" w:cs="Times New Roman"/>
          <w:sz w:val="24"/>
          <w:szCs w:val="24"/>
          <w:lang w:val="en"/>
        </w:rPr>
        <w:t xml:space="preserve">to represent too severe difficulties from the perspective of the EU, we have used a proxy. We have looked at whether the EU has changed its actions at the DR from that moment in time, that is, at whether there has been a change in </w:t>
      </w:r>
      <w:r w:rsidRPr="00F8548A">
        <w:rPr>
          <w:rFonts w:ascii="Times New Roman" w:hAnsi="Times New Roman" w:cs="Times New Roman"/>
          <w:sz w:val="24"/>
          <w:szCs w:val="24"/>
          <w:lang w:val="en"/>
        </w:rPr>
        <w:t xml:space="preserve">EU responses (accommodation or entrenchment) to BIC in the </w:t>
      </w:r>
      <w:r w:rsidR="00CC2D12">
        <w:rPr>
          <w:rFonts w:ascii="Times New Roman" w:hAnsi="Times New Roman" w:cs="Times New Roman"/>
          <w:sz w:val="24"/>
          <w:szCs w:val="24"/>
          <w:lang w:val="en"/>
        </w:rPr>
        <w:t>DR</w:t>
      </w:r>
      <w:r w:rsidRPr="00F8548A">
        <w:rPr>
          <w:rFonts w:ascii="Times New Roman" w:hAnsi="Times New Roman" w:cs="Times New Roman"/>
          <w:sz w:val="24"/>
          <w:szCs w:val="24"/>
          <w:lang w:val="en"/>
        </w:rPr>
        <w:t xml:space="preserve"> before and after 2009</w:t>
      </w:r>
      <w:r w:rsidR="00F8548A">
        <w:rPr>
          <w:rFonts w:ascii="Times New Roman" w:hAnsi="Times New Roman" w:cs="Times New Roman"/>
          <w:sz w:val="24"/>
          <w:szCs w:val="24"/>
          <w:lang w:val="en"/>
        </w:rPr>
        <w:t xml:space="preserve">. </w:t>
      </w:r>
      <w:r w:rsidR="00E80AD8" w:rsidRPr="00E80AD8">
        <w:rPr>
          <w:rFonts w:ascii="Times New Roman" w:hAnsi="Times New Roman" w:cs="Times New Roman"/>
          <w:sz w:val="24"/>
          <w:szCs w:val="24"/>
          <w:lang w:val="en"/>
        </w:rPr>
        <w:t xml:space="preserve">According to the results, </w:t>
      </w:r>
      <w:r w:rsidR="00F8548A">
        <w:rPr>
          <w:rFonts w:ascii="Times New Roman" w:hAnsi="Times New Roman" w:cs="Times New Roman"/>
          <w:sz w:val="24"/>
          <w:szCs w:val="24"/>
          <w:lang w:val="en"/>
        </w:rPr>
        <w:t xml:space="preserve">there has indeed been a change in the EU strategy towards the new trading powers. Until 2008 </w:t>
      </w:r>
      <w:r w:rsidR="00F8548A" w:rsidRPr="00F8548A">
        <w:rPr>
          <w:rFonts w:ascii="Times New Roman" w:hAnsi="Times New Roman" w:cs="Times New Roman"/>
          <w:sz w:val="24"/>
          <w:szCs w:val="24"/>
          <w:lang w:val="en"/>
        </w:rPr>
        <w:t>the position of the EU can be considered accommodative to the new trading powers. From 2009 onwards, however, the attitude of the EU in the Doha negotiations shifted to entrenchment. Having exhausted its scope to negotiate in agriculture in 2008, the EU has not offered more concessions at the multilateral level.</w:t>
      </w:r>
      <w:r w:rsidR="00F8548A">
        <w:rPr>
          <w:rFonts w:ascii="Times New Roman" w:hAnsi="Times New Roman" w:cs="Times New Roman"/>
          <w:sz w:val="24"/>
          <w:szCs w:val="24"/>
          <w:lang w:val="en"/>
        </w:rPr>
        <w:t xml:space="preserve"> </w:t>
      </w:r>
    </w:p>
    <w:p w:rsidR="00FB20CE" w:rsidRDefault="00F8548A"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From the viewpoint of the compatibility equation, these results indicate that </w:t>
      </w:r>
      <w:r w:rsidR="00E80AD8" w:rsidRPr="00E80AD8">
        <w:rPr>
          <w:rFonts w:ascii="Times New Roman" w:hAnsi="Times New Roman" w:cs="Times New Roman"/>
          <w:sz w:val="24"/>
          <w:szCs w:val="24"/>
          <w:lang w:val="en"/>
        </w:rPr>
        <w:t xml:space="preserve">EU bilateral agreements initiated in the twenty-first century can be justified from the perspective of the multilateral system until 2008. </w:t>
      </w:r>
      <w:r>
        <w:rPr>
          <w:rFonts w:ascii="Times New Roman" w:hAnsi="Times New Roman" w:cs="Times New Roman"/>
          <w:sz w:val="24"/>
          <w:szCs w:val="24"/>
          <w:lang w:val="en"/>
        </w:rPr>
        <w:t>The</w:t>
      </w:r>
      <w:r w:rsidR="00E80AD8" w:rsidRPr="00E80AD8">
        <w:rPr>
          <w:rFonts w:ascii="Times New Roman" w:hAnsi="Times New Roman" w:cs="Times New Roman"/>
          <w:sz w:val="24"/>
          <w:szCs w:val="24"/>
          <w:lang w:val="en-GB"/>
        </w:rPr>
        <w:t xml:space="preserve"> latest EU bilateral agreements or negotiations</w:t>
      </w:r>
      <w:r>
        <w:rPr>
          <w:rFonts w:ascii="Times New Roman" w:hAnsi="Times New Roman" w:cs="Times New Roman"/>
          <w:sz w:val="24"/>
          <w:szCs w:val="24"/>
          <w:lang w:val="en-GB"/>
        </w:rPr>
        <w:t>, however,</w:t>
      </w:r>
      <w:r w:rsidR="00E80AD8" w:rsidRPr="00E80AD8">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E80AD8" w:rsidRPr="00E80AD8">
        <w:rPr>
          <w:rFonts w:ascii="Times New Roman" w:hAnsi="Times New Roman" w:cs="Times New Roman"/>
          <w:sz w:val="24"/>
          <w:szCs w:val="24"/>
          <w:lang w:val="en-GB"/>
        </w:rPr>
        <w:t>ould be read as substitute</w:t>
      </w:r>
      <w:r>
        <w:rPr>
          <w:rFonts w:ascii="Times New Roman" w:hAnsi="Times New Roman" w:cs="Times New Roman"/>
          <w:sz w:val="24"/>
          <w:szCs w:val="24"/>
          <w:lang w:val="en-GB"/>
        </w:rPr>
        <w:t>s</w:t>
      </w:r>
      <w:r w:rsidR="00E80AD8" w:rsidRPr="00E80AD8">
        <w:rPr>
          <w:rFonts w:ascii="Times New Roman" w:hAnsi="Times New Roman" w:cs="Times New Roman"/>
          <w:sz w:val="24"/>
          <w:szCs w:val="24"/>
          <w:lang w:val="en-GB"/>
        </w:rPr>
        <w:t xml:space="preserve"> to a multilateral strategy. </w:t>
      </w:r>
      <w:r w:rsidR="00E80AD8" w:rsidRPr="00E80AD8">
        <w:rPr>
          <w:rFonts w:ascii="Times New Roman" w:hAnsi="Times New Roman" w:cs="Times New Roman"/>
          <w:sz w:val="24"/>
          <w:szCs w:val="24"/>
          <w:lang w:val="en"/>
        </w:rPr>
        <w:t>In other words, potential free -trade agreements with Japan or the US would hardly be defensible from the point of view of effective multilateralism, at least in the short term. Through these bilateral agreements, the EU would be looking for the market access opportunities that it used to obtain from multilateral agreements</w:t>
      </w:r>
      <w:r w:rsidR="00945CBF">
        <w:rPr>
          <w:rFonts w:ascii="Times New Roman" w:hAnsi="Times New Roman" w:cs="Times New Roman"/>
          <w:sz w:val="24"/>
          <w:szCs w:val="24"/>
          <w:lang w:val="en"/>
        </w:rPr>
        <w:t xml:space="preserve"> and that have become even more important in a context of economic crisis</w:t>
      </w:r>
      <w:r w:rsidR="00E80AD8" w:rsidRPr="00E80AD8">
        <w:rPr>
          <w:rFonts w:ascii="Times New Roman" w:hAnsi="Times New Roman" w:cs="Times New Roman"/>
          <w:sz w:val="24"/>
          <w:szCs w:val="24"/>
          <w:lang w:val="en"/>
        </w:rPr>
        <w:t>.</w:t>
      </w:r>
      <w:r w:rsidR="00E658BF">
        <w:rPr>
          <w:rFonts w:ascii="Times New Roman" w:hAnsi="Times New Roman" w:cs="Times New Roman"/>
          <w:sz w:val="24"/>
          <w:szCs w:val="24"/>
          <w:lang w:val="en"/>
        </w:rPr>
        <w:t xml:space="preserve"> Hence instead of efficient multilateralism the main aim of the EU would be efficient bilateralism.</w:t>
      </w:r>
    </w:p>
    <w:p w:rsidR="00945CBF" w:rsidRPr="00F27BA2" w:rsidRDefault="00BD3133" w:rsidP="00C836AB">
      <w:pPr>
        <w:jc w:val="both"/>
        <w:rPr>
          <w:rFonts w:ascii="Times New Roman" w:hAnsi="Times New Roman" w:cs="Times New Roman"/>
          <w:sz w:val="24"/>
          <w:szCs w:val="24"/>
          <w:lang w:val="en-GB"/>
        </w:rPr>
      </w:pPr>
      <w:bookmarkStart w:id="0" w:name="_GoBack"/>
      <w:bookmarkEnd w:id="0"/>
      <w:r w:rsidRPr="00BD3133">
        <w:rPr>
          <w:rFonts w:ascii="Times New Roman" w:hAnsi="Times New Roman" w:cs="Times New Roman"/>
          <w:sz w:val="24"/>
          <w:szCs w:val="24"/>
          <w:lang w:val="en"/>
        </w:rPr>
        <w:lastRenderedPageBreak/>
        <w:t xml:space="preserve">Anecdotal evidence lends support to our hypothesis that the nature of EU bilateral strategy has changed.  Since 2006, the EU reaction </w:t>
      </w:r>
      <w:r w:rsidR="001B6E02">
        <w:rPr>
          <w:rFonts w:ascii="Times New Roman" w:hAnsi="Times New Roman" w:cs="Times New Roman"/>
          <w:sz w:val="24"/>
          <w:szCs w:val="24"/>
          <w:lang w:val="en"/>
        </w:rPr>
        <w:t xml:space="preserve">to difficulties in the DR </w:t>
      </w:r>
      <w:r w:rsidRPr="00BD3133">
        <w:rPr>
          <w:rFonts w:ascii="Times New Roman" w:hAnsi="Times New Roman" w:cs="Times New Roman"/>
          <w:sz w:val="24"/>
          <w:szCs w:val="24"/>
          <w:lang w:val="en"/>
        </w:rPr>
        <w:t xml:space="preserve">seems to have been the same: bilateral agreements.  Yet </w:t>
      </w:r>
      <w:r w:rsidRPr="00BD3133">
        <w:rPr>
          <w:rFonts w:ascii="Times New Roman" w:hAnsi="Times New Roman" w:cs="Times New Roman"/>
          <w:sz w:val="24"/>
          <w:szCs w:val="24"/>
          <w:lang w:val="en-GB"/>
        </w:rPr>
        <w:t xml:space="preserve">from 2006 until 2009 the EU sought bilateral partners among new important trade players (India, ASEAN and South Korea). Since then, the EU has focused on reaching agreements with the old Quad members (Canada, Japan and the USA) which are even more important trade partners. </w:t>
      </w:r>
      <w:r w:rsidR="00E24CE6" w:rsidRPr="00F27BA2">
        <w:rPr>
          <w:rFonts w:ascii="Times New Roman" w:hAnsi="Times New Roman" w:cs="Times New Roman"/>
          <w:sz w:val="24"/>
          <w:szCs w:val="24"/>
          <w:lang w:val="en-GB"/>
        </w:rPr>
        <w:t xml:space="preserve">Moreover, these results are in line with the conclusions reached by some authors (Siles-Brügge, 2014; </w:t>
      </w:r>
      <w:r w:rsidR="00E24CE6" w:rsidRPr="00F27BA2">
        <w:rPr>
          <w:rFonts w:ascii="Times New Roman" w:hAnsi="Times New Roman" w:cs="Times New Roman"/>
          <w:sz w:val="24"/>
          <w:szCs w:val="24"/>
          <w:lang w:val="en"/>
        </w:rPr>
        <w:t xml:space="preserve">De Ville and Orbie, 2011) that policy-makers in DG Trade at a time of economic crisis are being more sympathetic to the arguments of exporters than import-competitors. </w:t>
      </w:r>
      <w:r w:rsidR="008E1218" w:rsidRPr="00F27BA2">
        <w:rPr>
          <w:rFonts w:ascii="Times New Roman" w:hAnsi="Times New Roman" w:cs="Times New Roman"/>
          <w:sz w:val="24"/>
          <w:szCs w:val="24"/>
          <w:lang w:val="en"/>
        </w:rPr>
        <w:t xml:space="preserve">They are also in alignment with recent research on how </w:t>
      </w:r>
      <w:r w:rsidR="003054EA" w:rsidRPr="00F27BA2">
        <w:rPr>
          <w:rFonts w:ascii="Times New Roman" w:hAnsi="Times New Roman" w:cs="Times New Roman"/>
          <w:sz w:val="24"/>
          <w:szCs w:val="24"/>
          <w:lang w:val="en"/>
        </w:rPr>
        <w:t xml:space="preserve">the reciprocity agenda of the EU, recognized in 2006 by the European Commission in ‘Global Europe’, varies depending on the degree of economic development of the partner. Following </w:t>
      </w:r>
      <w:proofErr w:type="spellStart"/>
      <w:r w:rsidR="003054EA" w:rsidRPr="00F27BA2">
        <w:rPr>
          <w:rFonts w:ascii="Times New Roman" w:hAnsi="Times New Roman" w:cs="Times New Roman"/>
          <w:sz w:val="24"/>
          <w:szCs w:val="24"/>
          <w:lang w:val="en"/>
        </w:rPr>
        <w:t>Woolcock</w:t>
      </w:r>
      <w:proofErr w:type="spellEnd"/>
      <w:r w:rsidR="003054EA" w:rsidRPr="00F27BA2">
        <w:rPr>
          <w:rFonts w:ascii="Times New Roman" w:hAnsi="Times New Roman" w:cs="Times New Roman"/>
          <w:sz w:val="24"/>
          <w:szCs w:val="24"/>
          <w:lang w:val="en"/>
        </w:rPr>
        <w:t xml:space="preserve"> (2014), the </w:t>
      </w:r>
      <w:r w:rsidR="008E1218" w:rsidRPr="00F27BA2">
        <w:rPr>
          <w:rFonts w:ascii="Times New Roman" w:hAnsi="Times New Roman" w:cs="Times New Roman"/>
          <w:sz w:val="24"/>
          <w:szCs w:val="24"/>
          <w:lang w:val="en"/>
        </w:rPr>
        <w:t xml:space="preserve">market access interests play less of a role the less developed the partner the EU deals with </w:t>
      </w:r>
      <w:r w:rsidR="003054EA" w:rsidRPr="00F27BA2">
        <w:rPr>
          <w:rFonts w:ascii="Times New Roman" w:hAnsi="Times New Roman" w:cs="Times New Roman"/>
          <w:sz w:val="24"/>
          <w:szCs w:val="24"/>
          <w:lang w:val="en"/>
        </w:rPr>
        <w:t>and vice-versa</w:t>
      </w:r>
      <w:r w:rsidR="008E1218" w:rsidRPr="00F27BA2">
        <w:rPr>
          <w:rFonts w:ascii="Times New Roman" w:hAnsi="Times New Roman" w:cs="Times New Roman"/>
          <w:sz w:val="24"/>
          <w:szCs w:val="24"/>
          <w:lang w:val="en"/>
        </w:rPr>
        <w:t xml:space="preserve">. </w:t>
      </w:r>
    </w:p>
    <w:p w:rsidR="00254291" w:rsidRPr="00254291" w:rsidRDefault="00254291" w:rsidP="00C836AB">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It may be that this new bilateral strategy </w:t>
      </w:r>
      <w:r w:rsidR="008B6D4A">
        <w:rPr>
          <w:rFonts w:ascii="Times New Roman" w:hAnsi="Times New Roman" w:cs="Times New Roman"/>
          <w:sz w:val="24"/>
          <w:szCs w:val="24"/>
          <w:lang w:val="en"/>
        </w:rPr>
        <w:t>would</w:t>
      </w:r>
      <w:r>
        <w:rPr>
          <w:rFonts w:ascii="Times New Roman" w:hAnsi="Times New Roman" w:cs="Times New Roman"/>
          <w:sz w:val="24"/>
          <w:szCs w:val="24"/>
          <w:lang w:val="en"/>
        </w:rPr>
        <w:t xml:space="preserve"> lead towards a multilateral agreement in the medium to long term by provoking a domino effect. The danger of the old Quad partners establishing a </w:t>
      </w:r>
      <w:r w:rsidR="00E658BF">
        <w:rPr>
          <w:rFonts w:ascii="Times New Roman" w:hAnsi="Times New Roman" w:cs="Times New Roman"/>
          <w:sz w:val="24"/>
          <w:szCs w:val="24"/>
          <w:lang w:val="en"/>
        </w:rPr>
        <w:t>preferential m</w:t>
      </w:r>
      <w:r>
        <w:rPr>
          <w:rFonts w:ascii="Times New Roman" w:hAnsi="Times New Roman" w:cs="Times New Roman"/>
          <w:sz w:val="24"/>
          <w:szCs w:val="24"/>
          <w:lang w:val="en"/>
        </w:rPr>
        <w:t xml:space="preserve">arket through bilateral agreements may lead the new trade veto players to lower their expectations and facilitate a multilateral compromise. But this may also not happen. </w:t>
      </w:r>
      <w:r w:rsidRPr="00254291">
        <w:rPr>
          <w:rFonts w:ascii="Times New Roman" w:hAnsi="Times New Roman" w:cs="Times New Roman"/>
          <w:sz w:val="24"/>
          <w:szCs w:val="24"/>
          <w:lang w:val="en"/>
        </w:rPr>
        <w:t xml:space="preserve">By </w:t>
      </w:r>
      <w:r w:rsidR="008B6D4A">
        <w:rPr>
          <w:rFonts w:ascii="Times New Roman" w:hAnsi="Times New Roman" w:cs="Times New Roman"/>
          <w:sz w:val="24"/>
          <w:szCs w:val="24"/>
          <w:lang w:val="en"/>
        </w:rPr>
        <w:t xml:space="preserve">opening these negotiations or signing </w:t>
      </w:r>
      <w:r w:rsidRPr="00254291">
        <w:rPr>
          <w:rFonts w:ascii="Times New Roman" w:hAnsi="Times New Roman" w:cs="Times New Roman"/>
          <w:sz w:val="24"/>
          <w:szCs w:val="24"/>
          <w:lang w:val="en"/>
        </w:rPr>
        <w:t>these agreements the EU</w:t>
      </w:r>
      <w:r w:rsidR="00E80AD8" w:rsidRPr="00254291">
        <w:rPr>
          <w:rFonts w:ascii="Times New Roman" w:hAnsi="Times New Roman" w:cs="Times New Roman"/>
          <w:sz w:val="24"/>
          <w:szCs w:val="24"/>
          <w:lang w:val="en"/>
        </w:rPr>
        <w:t xml:space="preserve"> </w:t>
      </w:r>
      <w:r w:rsidR="008B6D4A">
        <w:rPr>
          <w:rFonts w:ascii="Times New Roman" w:hAnsi="Times New Roman" w:cs="Times New Roman"/>
          <w:sz w:val="24"/>
          <w:szCs w:val="24"/>
          <w:lang w:val="en"/>
        </w:rPr>
        <w:t>has</w:t>
      </w:r>
      <w:r w:rsidR="00E80AD8" w:rsidRPr="00254291">
        <w:rPr>
          <w:rFonts w:ascii="Times New Roman" w:hAnsi="Times New Roman" w:cs="Times New Roman"/>
          <w:sz w:val="24"/>
          <w:szCs w:val="24"/>
          <w:lang w:val="en"/>
        </w:rPr>
        <w:t xml:space="preserve"> tak</w:t>
      </w:r>
      <w:r w:rsidR="008B6D4A">
        <w:rPr>
          <w:rFonts w:ascii="Times New Roman" w:hAnsi="Times New Roman" w:cs="Times New Roman"/>
          <w:sz w:val="24"/>
          <w:szCs w:val="24"/>
          <w:lang w:val="en"/>
        </w:rPr>
        <w:t>en</w:t>
      </w:r>
      <w:r w:rsidR="00E80AD8" w:rsidRPr="00254291">
        <w:rPr>
          <w:rFonts w:ascii="Times New Roman" w:hAnsi="Times New Roman" w:cs="Times New Roman"/>
          <w:sz w:val="24"/>
          <w:szCs w:val="24"/>
          <w:lang w:val="en"/>
        </w:rPr>
        <w:t xml:space="preserve"> </w:t>
      </w:r>
      <w:r w:rsidRPr="00254291">
        <w:rPr>
          <w:rFonts w:ascii="Times New Roman" w:hAnsi="Times New Roman" w:cs="Times New Roman"/>
          <w:sz w:val="24"/>
          <w:szCs w:val="24"/>
          <w:lang w:val="en"/>
        </w:rPr>
        <w:t>the risk of endangering the multilateral system.</w:t>
      </w:r>
      <w:r w:rsidR="008B6D4A">
        <w:rPr>
          <w:rFonts w:ascii="Times New Roman" w:hAnsi="Times New Roman" w:cs="Times New Roman"/>
          <w:sz w:val="24"/>
          <w:szCs w:val="24"/>
          <w:lang w:val="en"/>
        </w:rPr>
        <w:t xml:space="preserve"> </w:t>
      </w:r>
      <w:r w:rsidRPr="00254291">
        <w:rPr>
          <w:rFonts w:ascii="Times New Roman" w:hAnsi="Times New Roman" w:cs="Times New Roman"/>
          <w:sz w:val="24"/>
          <w:szCs w:val="24"/>
          <w:lang w:val="en"/>
        </w:rPr>
        <w:t xml:space="preserve"> </w:t>
      </w:r>
    </w:p>
    <w:p w:rsidR="00D22E65" w:rsidRDefault="00D22E65" w:rsidP="00C836AB">
      <w:pPr>
        <w:jc w:val="both"/>
        <w:rPr>
          <w:rFonts w:ascii="Times New Roman" w:hAnsi="Times New Roman" w:cs="Times New Roman"/>
          <w:sz w:val="24"/>
          <w:szCs w:val="24"/>
          <w:lang w:val="en-GB"/>
        </w:rPr>
      </w:pPr>
    </w:p>
    <w:p w:rsidR="00A247B1" w:rsidRPr="00A95FC0" w:rsidRDefault="00F75BEE" w:rsidP="00C836AB">
      <w:pPr>
        <w:pStyle w:val="Pargrafdellista1"/>
        <w:spacing w:line="240" w:lineRule="auto"/>
        <w:ind w:left="0"/>
        <w:jc w:val="both"/>
        <w:rPr>
          <w:rFonts w:ascii="Times New Roman" w:hAnsi="Times New Roman"/>
          <w:b/>
          <w:sz w:val="24"/>
          <w:szCs w:val="24"/>
          <w:lang w:val="en-US"/>
        </w:rPr>
      </w:pPr>
      <w:r w:rsidRPr="00A95FC0">
        <w:rPr>
          <w:rFonts w:ascii="Times New Roman" w:hAnsi="Times New Roman"/>
          <w:b/>
          <w:sz w:val="24"/>
          <w:szCs w:val="24"/>
          <w:lang w:val="en-US"/>
        </w:rPr>
        <w:t>References</w:t>
      </w:r>
      <w:r w:rsidR="00A247B1" w:rsidRPr="00A95FC0">
        <w:rPr>
          <w:rFonts w:ascii="Times New Roman" w:hAnsi="Times New Roman"/>
          <w:b/>
          <w:sz w:val="24"/>
          <w:szCs w:val="24"/>
          <w:lang w:val="en-US"/>
        </w:rPr>
        <w:t xml:space="preserve"> </w:t>
      </w:r>
    </w:p>
    <w:p w:rsidR="00A247B1" w:rsidRPr="00A95FC0" w:rsidRDefault="00A247B1" w:rsidP="00C836AB">
      <w:pPr>
        <w:pStyle w:val="Pargrafdellista1"/>
        <w:spacing w:line="240" w:lineRule="auto"/>
        <w:ind w:left="0"/>
        <w:jc w:val="both"/>
        <w:rPr>
          <w:rFonts w:ascii="Times New Roman" w:hAnsi="Times New Roman"/>
          <w:sz w:val="24"/>
          <w:szCs w:val="24"/>
          <w:lang w:val="en-US"/>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 xml:space="preserve">Abbot, Frederick M. “A new dominant trade species emerges: is bilateralism a threat?” </w:t>
      </w:r>
      <w:r w:rsidRPr="00874087">
        <w:rPr>
          <w:rFonts w:ascii="Times New Roman" w:hAnsi="Times New Roman"/>
          <w:i/>
          <w:sz w:val="24"/>
          <w:szCs w:val="24"/>
          <w:lang w:val="en-GB"/>
        </w:rPr>
        <w:t>Journal of International Economic Law</w:t>
      </w:r>
      <w:r w:rsidRPr="00874087">
        <w:rPr>
          <w:rFonts w:ascii="Times New Roman" w:hAnsi="Times New Roman"/>
          <w:sz w:val="24"/>
          <w:szCs w:val="24"/>
          <w:lang w:val="en-GB"/>
        </w:rPr>
        <w:t xml:space="preserve">, vol. 10, nº 3 (2007), p. 571-583. </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B023A4" w:rsidRDefault="00B023A4" w:rsidP="00C836AB">
      <w:pPr>
        <w:pStyle w:val="Pargrafdellista1"/>
        <w:spacing w:line="240" w:lineRule="auto"/>
        <w:ind w:left="0"/>
        <w:jc w:val="both"/>
        <w:rPr>
          <w:rFonts w:ascii="Times New Roman" w:hAnsi="Times New Roman"/>
          <w:sz w:val="24"/>
          <w:szCs w:val="24"/>
          <w:lang w:val="en-GB"/>
        </w:rPr>
      </w:pPr>
      <w:proofErr w:type="spellStart"/>
      <w:r>
        <w:rPr>
          <w:rFonts w:ascii="Times New Roman" w:hAnsi="Times New Roman"/>
          <w:sz w:val="24"/>
          <w:szCs w:val="24"/>
          <w:lang w:val="en-GB"/>
        </w:rPr>
        <w:t>Ahnlid</w:t>
      </w:r>
      <w:proofErr w:type="spellEnd"/>
      <w:r>
        <w:rPr>
          <w:rFonts w:ascii="Times New Roman" w:hAnsi="Times New Roman"/>
          <w:sz w:val="24"/>
          <w:szCs w:val="24"/>
          <w:lang w:val="en-GB"/>
        </w:rPr>
        <w:t xml:space="preserve">, Anders and </w:t>
      </w:r>
      <w:r w:rsidR="00402799">
        <w:rPr>
          <w:rFonts w:ascii="Times New Roman" w:hAnsi="Times New Roman"/>
          <w:sz w:val="24"/>
          <w:szCs w:val="24"/>
          <w:lang w:val="en-GB"/>
        </w:rPr>
        <w:t xml:space="preserve">Ole </w:t>
      </w:r>
      <w:proofErr w:type="spellStart"/>
      <w:r w:rsidR="00402799">
        <w:rPr>
          <w:rFonts w:ascii="Times New Roman" w:hAnsi="Times New Roman"/>
          <w:sz w:val="24"/>
          <w:szCs w:val="24"/>
          <w:lang w:val="en-GB"/>
        </w:rPr>
        <w:t>Elgström</w:t>
      </w:r>
      <w:proofErr w:type="spellEnd"/>
      <w:r w:rsidR="00402799">
        <w:rPr>
          <w:rFonts w:ascii="Times New Roman" w:hAnsi="Times New Roman"/>
          <w:sz w:val="24"/>
          <w:szCs w:val="24"/>
          <w:lang w:val="en-GB"/>
        </w:rPr>
        <w:t xml:space="preserve"> (2014) Challenging the European Union: the rising powers and the USA in the Doha Round, Contemporary Politics, 20:1, 77-89.</w:t>
      </w:r>
    </w:p>
    <w:p w:rsidR="00B023A4" w:rsidRDefault="00B023A4" w:rsidP="00C836AB">
      <w:pPr>
        <w:pStyle w:val="Pargrafdellista1"/>
        <w:spacing w:line="240" w:lineRule="auto"/>
        <w:ind w:left="0"/>
        <w:jc w:val="both"/>
        <w:rPr>
          <w:rFonts w:ascii="Times New Roman" w:hAnsi="Times New Roman"/>
          <w:sz w:val="24"/>
          <w:szCs w:val="24"/>
          <w:lang w:val="en-GB"/>
        </w:rPr>
      </w:pPr>
    </w:p>
    <w:p w:rsidR="00663F62" w:rsidRDefault="00663F62"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 xml:space="preserve">Ash, Ken and </w:t>
      </w:r>
      <w:proofErr w:type="spellStart"/>
      <w:r>
        <w:rPr>
          <w:rFonts w:ascii="Times New Roman" w:hAnsi="Times New Roman"/>
          <w:sz w:val="24"/>
          <w:szCs w:val="24"/>
          <w:lang w:val="en-GB"/>
        </w:rPr>
        <w:t>Iza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Lejarraga</w:t>
      </w:r>
      <w:proofErr w:type="spellEnd"/>
      <w:r>
        <w:rPr>
          <w:rFonts w:ascii="Times New Roman" w:hAnsi="Times New Roman"/>
          <w:sz w:val="24"/>
          <w:szCs w:val="24"/>
          <w:lang w:val="en-GB"/>
        </w:rPr>
        <w:t xml:space="preserve"> (2014) “Can we have Regionalism and Multilateralism?” in </w:t>
      </w:r>
      <w:r w:rsidRPr="00663F62">
        <w:rPr>
          <w:rFonts w:ascii="Times New Roman" w:hAnsi="Times New Roman"/>
          <w:i/>
          <w:sz w:val="24"/>
          <w:szCs w:val="24"/>
          <w:lang w:val="en-GB"/>
        </w:rPr>
        <w:t>Tackling Agriculture in the Post-Bali Context: A collection of short essays</w:t>
      </w:r>
      <w:r>
        <w:rPr>
          <w:rFonts w:ascii="Times New Roman" w:hAnsi="Times New Roman"/>
          <w:sz w:val="24"/>
          <w:szCs w:val="24"/>
          <w:lang w:val="en-GB"/>
        </w:rPr>
        <w:t xml:space="preserve">, edited by Ricardo </w:t>
      </w:r>
      <w:proofErr w:type="spellStart"/>
      <w:r>
        <w:rPr>
          <w:rFonts w:ascii="Times New Roman" w:hAnsi="Times New Roman"/>
          <w:sz w:val="24"/>
          <w:szCs w:val="24"/>
          <w:lang w:val="en-GB"/>
        </w:rPr>
        <w:t>Meléndez</w:t>
      </w:r>
      <w:proofErr w:type="spellEnd"/>
      <w:r>
        <w:rPr>
          <w:rFonts w:ascii="Times New Roman" w:hAnsi="Times New Roman"/>
          <w:sz w:val="24"/>
          <w:szCs w:val="24"/>
          <w:lang w:val="en-GB"/>
        </w:rPr>
        <w:t xml:space="preserve">-Ortiz, Christophe </w:t>
      </w:r>
      <w:proofErr w:type="spellStart"/>
      <w:r>
        <w:rPr>
          <w:rFonts w:ascii="Times New Roman" w:hAnsi="Times New Roman"/>
          <w:sz w:val="24"/>
          <w:szCs w:val="24"/>
          <w:lang w:val="en-GB"/>
        </w:rPr>
        <w:t>Bellmann</w:t>
      </w:r>
      <w:proofErr w:type="spellEnd"/>
      <w:r>
        <w:rPr>
          <w:rFonts w:ascii="Times New Roman" w:hAnsi="Times New Roman"/>
          <w:sz w:val="24"/>
          <w:szCs w:val="24"/>
          <w:lang w:val="en-GB"/>
        </w:rPr>
        <w:t xml:space="preserve"> and Jonathan Hepburn, ICTSD, Geneva, October 2014. (</w:t>
      </w:r>
      <w:proofErr w:type="gramStart"/>
      <w:r>
        <w:rPr>
          <w:rFonts w:ascii="Times New Roman" w:hAnsi="Times New Roman"/>
          <w:sz w:val="24"/>
          <w:szCs w:val="24"/>
          <w:lang w:val="en-GB"/>
        </w:rPr>
        <w:t>pages</w:t>
      </w:r>
      <w:proofErr w:type="gramEnd"/>
      <w:r>
        <w:rPr>
          <w:rFonts w:ascii="Times New Roman" w:hAnsi="Times New Roman"/>
          <w:sz w:val="24"/>
          <w:szCs w:val="24"/>
          <w:lang w:val="en-GB"/>
        </w:rPr>
        <w:t xml:space="preserve"> </w:t>
      </w:r>
      <w:r w:rsidR="009F72AA">
        <w:rPr>
          <w:rFonts w:ascii="Times New Roman" w:hAnsi="Times New Roman"/>
          <w:sz w:val="24"/>
          <w:szCs w:val="24"/>
          <w:lang w:val="en-GB"/>
        </w:rPr>
        <w:t>75-82).</w:t>
      </w:r>
    </w:p>
    <w:p w:rsidR="00663F62" w:rsidRDefault="00663F62"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 xml:space="preserve">Baldwin, Richard E. “A Domino Theory of Regionalism”. </w:t>
      </w:r>
      <w:r w:rsidRPr="00874087">
        <w:rPr>
          <w:rFonts w:ascii="Times New Roman" w:hAnsi="Times New Roman"/>
          <w:i/>
          <w:sz w:val="24"/>
          <w:szCs w:val="24"/>
          <w:lang w:val="en-GB"/>
        </w:rPr>
        <w:t>NBER Working Paper</w:t>
      </w:r>
      <w:r w:rsidRPr="00874087">
        <w:rPr>
          <w:rFonts w:ascii="Times New Roman" w:hAnsi="Times New Roman"/>
          <w:sz w:val="24"/>
          <w:szCs w:val="24"/>
          <w:lang w:val="en-GB"/>
        </w:rPr>
        <w:t>, nº 4465 (1993), p. 1-38.</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Baldwin, Richard E. “</w:t>
      </w:r>
      <w:proofErr w:type="spellStart"/>
      <w:r w:rsidRPr="00874087">
        <w:rPr>
          <w:rFonts w:ascii="Times New Roman" w:hAnsi="Times New Roman"/>
          <w:sz w:val="24"/>
          <w:szCs w:val="24"/>
          <w:lang w:val="en-GB"/>
        </w:rPr>
        <w:t>Multilateralising</w:t>
      </w:r>
      <w:proofErr w:type="spellEnd"/>
      <w:r w:rsidRPr="00874087">
        <w:rPr>
          <w:rFonts w:ascii="Times New Roman" w:hAnsi="Times New Roman"/>
          <w:sz w:val="24"/>
          <w:szCs w:val="24"/>
          <w:lang w:val="en-GB"/>
        </w:rPr>
        <w:t xml:space="preserve"> Regionalism: Spaghetti Bowls as </w:t>
      </w:r>
      <w:proofErr w:type="spellStart"/>
      <w:r w:rsidRPr="00874087">
        <w:rPr>
          <w:rFonts w:ascii="Times New Roman" w:hAnsi="Times New Roman"/>
          <w:sz w:val="24"/>
          <w:szCs w:val="24"/>
          <w:lang w:val="en-GB"/>
        </w:rPr>
        <w:t>Buiding</w:t>
      </w:r>
      <w:proofErr w:type="spellEnd"/>
      <w:r w:rsidRPr="00874087">
        <w:rPr>
          <w:rFonts w:ascii="Times New Roman" w:hAnsi="Times New Roman"/>
          <w:sz w:val="24"/>
          <w:szCs w:val="24"/>
          <w:lang w:val="en-GB"/>
        </w:rPr>
        <w:t xml:space="preserve"> Blocs on the Path to Global Free Trade”. </w:t>
      </w:r>
      <w:r w:rsidRPr="00874087">
        <w:rPr>
          <w:rFonts w:ascii="Times New Roman" w:hAnsi="Times New Roman"/>
          <w:i/>
          <w:sz w:val="24"/>
          <w:szCs w:val="24"/>
          <w:lang w:val="en-GB"/>
        </w:rPr>
        <w:t>The World Economy</w:t>
      </w:r>
      <w:r w:rsidRPr="00874087">
        <w:rPr>
          <w:rFonts w:ascii="Times New Roman" w:hAnsi="Times New Roman"/>
          <w:sz w:val="24"/>
          <w:szCs w:val="24"/>
          <w:lang w:val="en-GB"/>
        </w:rPr>
        <w:t>, vol. 29, nº 11 (2006), p. 1451-1518.</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 xml:space="preserve">Baldwin, Richard E. “Lessons from the European Spaghetti Bowl”. </w:t>
      </w:r>
      <w:r w:rsidRPr="00874087">
        <w:rPr>
          <w:rFonts w:ascii="Times New Roman" w:hAnsi="Times New Roman"/>
          <w:i/>
          <w:sz w:val="24"/>
          <w:szCs w:val="24"/>
          <w:lang w:val="en-GB"/>
        </w:rPr>
        <w:t>Asian Development Bank Institute Working Paper Series</w:t>
      </w:r>
      <w:r w:rsidRPr="00874087">
        <w:rPr>
          <w:rFonts w:ascii="Times New Roman" w:hAnsi="Times New Roman"/>
          <w:sz w:val="24"/>
          <w:szCs w:val="24"/>
          <w:lang w:val="en-GB"/>
        </w:rPr>
        <w:t xml:space="preserve">, nº 418 (2013), p. 1-13. </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lastRenderedPageBreak/>
        <w:t xml:space="preserve">Baldwin, Richard; </w:t>
      </w:r>
      <w:proofErr w:type="spellStart"/>
      <w:r w:rsidRPr="00874087">
        <w:rPr>
          <w:rFonts w:ascii="Times New Roman" w:hAnsi="Times New Roman"/>
          <w:sz w:val="24"/>
          <w:szCs w:val="24"/>
          <w:lang w:val="en-GB"/>
        </w:rPr>
        <w:t>Evenett</w:t>
      </w:r>
      <w:proofErr w:type="spellEnd"/>
      <w:r w:rsidRPr="00874087">
        <w:rPr>
          <w:rFonts w:ascii="Times New Roman" w:hAnsi="Times New Roman"/>
          <w:sz w:val="24"/>
          <w:szCs w:val="24"/>
          <w:lang w:val="en-GB"/>
        </w:rPr>
        <w:t xml:space="preserve">, Simon (eds.) </w:t>
      </w:r>
      <w:r w:rsidRPr="00874087">
        <w:rPr>
          <w:rFonts w:ascii="Times New Roman" w:hAnsi="Times New Roman"/>
          <w:i/>
          <w:sz w:val="24"/>
          <w:szCs w:val="24"/>
          <w:lang w:val="en-GB"/>
        </w:rPr>
        <w:t xml:space="preserve">Why World Leaders Must Resist the False Promise of </w:t>
      </w:r>
      <w:proofErr w:type="gramStart"/>
      <w:r w:rsidRPr="00874087">
        <w:rPr>
          <w:rFonts w:ascii="Times New Roman" w:hAnsi="Times New Roman"/>
          <w:i/>
          <w:sz w:val="24"/>
          <w:szCs w:val="24"/>
          <w:lang w:val="en-GB"/>
        </w:rPr>
        <w:t>Another</w:t>
      </w:r>
      <w:proofErr w:type="gramEnd"/>
      <w:r w:rsidRPr="00874087">
        <w:rPr>
          <w:rFonts w:ascii="Times New Roman" w:hAnsi="Times New Roman"/>
          <w:i/>
          <w:sz w:val="24"/>
          <w:szCs w:val="24"/>
          <w:lang w:val="en-GB"/>
        </w:rPr>
        <w:t xml:space="preserve"> Doha Delay</w:t>
      </w:r>
      <w:r w:rsidRPr="00874087">
        <w:rPr>
          <w:rFonts w:ascii="Times New Roman" w:hAnsi="Times New Roman"/>
          <w:sz w:val="24"/>
          <w:szCs w:val="24"/>
          <w:lang w:val="en-GB"/>
        </w:rPr>
        <w:t>. VoxEU.org eBook, 2011.</w:t>
      </w:r>
    </w:p>
    <w:p w:rsidR="00A247B1" w:rsidRDefault="00A247B1" w:rsidP="00C836AB">
      <w:pPr>
        <w:pStyle w:val="Pargrafdellista1"/>
        <w:spacing w:line="240" w:lineRule="auto"/>
        <w:ind w:left="0"/>
        <w:jc w:val="both"/>
        <w:rPr>
          <w:rFonts w:ascii="Times New Roman" w:hAnsi="Times New Roman"/>
          <w:sz w:val="24"/>
          <w:szCs w:val="24"/>
          <w:lang w:val="en-GB"/>
        </w:rPr>
      </w:pPr>
    </w:p>
    <w:p w:rsidR="00B24526" w:rsidRDefault="00B24526"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 xml:space="preserve">Barbé, Esther; Costa, Oriol; Herranz, Anna and Kienzle, Benjamin. “The EU in an unsettled international system. Coping with the power shift in global governance.” Paper presented at the </w:t>
      </w:r>
      <w:r w:rsidRPr="00B24526">
        <w:rPr>
          <w:rFonts w:ascii="Times New Roman" w:hAnsi="Times New Roman"/>
          <w:i/>
          <w:sz w:val="24"/>
          <w:szCs w:val="24"/>
          <w:lang w:val="en-GB"/>
        </w:rPr>
        <w:t>ISA’s 55</w:t>
      </w:r>
      <w:r w:rsidRPr="00B24526">
        <w:rPr>
          <w:rFonts w:ascii="Times New Roman" w:hAnsi="Times New Roman"/>
          <w:i/>
          <w:sz w:val="24"/>
          <w:szCs w:val="24"/>
          <w:vertAlign w:val="superscript"/>
          <w:lang w:val="en-GB"/>
        </w:rPr>
        <w:t>th</w:t>
      </w:r>
      <w:r w:rsidRPr="00B24526">
        <w:rPr>
          <w:rFonts w:ascii="Times New Roman" w:hAnsi="Times New Roman"/>
          <w:i/>
          <w:sz w:val="24"/>
          <w:szCs w:val="24"/>
          <w:lang w:val="en-GB"/>
        </w:rPr>
        <w:t xml:space="preserve"> Annual Convention</w:t>
      </w:r>
      <w:r>
        <w:rPr>
          <w:rFonts w:ascii="Times New Roman" w:hAnsi="Times New Roman"/>
          <w:sz w:val="24"/>
          <w:szCs w:val="24"/>
          <w:lang w:val="en-GB"/>
        </w:rPr>
        <w:t>, held in Toronto, Canada, 26-29 March 2014.</w:t>
      </w:r>
    </w:p>
    <w:p w:rsidR="00B24526" w:rsidRDefault="00B24526" w:rsidP="00C836AB">
      <w:pPr>
        <w:pStyle w:val="Pargrafdellista1"/>
        <w:spacing w:line="240" w:lineRule="auto"/>
        <w:ind w:left="0"/>
        <w:jc w:val="both"/>
        <w:rPr>
          <w:rFonts w:ascii="Times New Roman" w:hAnsi="Times New Roman"/>
          <w:sz w:val="24"/>
          <w:szCs w:val="24"/>
          <w:lang w:val="en-GB"/>
        </w:rPr>
      </w:pPr>
    </w:p>
    <w:p w:rsidR="003B759B" w:rsidRDefault="003B759B"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 xml:space="preserve">Bergsten, C. Fred and Schott, Jeffrey J. (1997) “A </w:t>
      </w:r>
      <w:proofErr w:type="spellStart"/>
      <w:r>
        <w:rPr>
          <w:rFonts w:ascii="Times New Roman" w:hAnsi="Times New Roman"/>
          <w:sz w:val="24"/>
          <w:szCs w:val="24"/>
          <w:lang w:val="en-GB"/>
        </w:rPr>
        <w:t>Preliminaty</w:t>
      </w:r>
      <w:proofErr w:type="spellEnd"/>
      <w:r>
        <w:rPr>
          <w:rFonts w:ascii="Times New Roman" w:hAnsi="Times New Roman"/>
          <w:sz w:val="24"/>
          <w:szCs w:val="24"/>
          <w:lang w:val="en-GB"/>
        </w:rPr>
        <w:t xml:space="preserve"> Evaluation of NAFTA” Testimony before the Subcommittee on Trade Ways and Means Committee of the United States House of Representatives, Washington, DC, September 11. </w:t>
      </w:r>
    </w:p>
    <w:p w:rsidR="003B759B" w:rsidRPr="00874087" w:rsidRDefault="003B759B"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Bhagwati</w:t>
      </w:r>
      <w:proofErr w:type="spellEnd"/>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Jagdish</w:t>
      </w:r>
      <w:proofErr w:type="spellEnd"/>
      <w:r w:rsidRPr="00874087">
        <w:rPr>
          <w:rFonts w:ascii="Times New Roman" w:hAnsi="Times New Roman"/>
          <w:sz w:val="24"/>
          <w:szCs w:val="24"/>
          <w:lang w:val="en-GB"/>
        </w:rPr>
        <w:t xml:space="preserve">. </w:t>
      </w:r>
      <w:r w:rsidRPr="00874087">
        <w:rPr>
          <w:rFonts w:ascii="Times New Roman" w:hAnsi="Times New Roman"/>
          <w:i/>
          <w:sz w:val="24"/>
          <w:szCs w:val="24"/>
          <w:lang w:val="en-GB"/>
        </w:rPr>
        <w:t>The World Trading System at Risk</w:t>
      </w:r>
      <w:r w:rsidRPr="00874087">
        <w:rPr>
          <w:rFonts w:ascii="Times New Roman" w:hAnsi="Times New Roman"/>
          <w:sz w:val="24"/>
          <w:szCs w:val="24"/>
          <w:lang w:val="en-GB"/>
        </w:rPr>
        <w:t xml:space="preserve">, Princeton: Princeton University Press, 1991.  </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Bhagwati</w:t>
      </w:r>
      <w:proofErr w:type="spellEnd"/>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Jagdish</w:t>
      </w:r>
      <w:proofErr w:type="spellEnd"/>
      <w:r w:rsidRPr="00874087">
        <w:rPr>
          <w:rFonts w:ascii="Times New Roman" w:hAnsi="Times New Roman"/>
          <w:sz w:val="24"/>
          <w:szCs w:val="24"/>
          <w:lang w:val="en-GB"/>
        </w:rPr>
        <w:t xml:space="preserve">. </w:t>
      </w:r>
      <w:r w:rsidRPr="00874087">
        <w:rPr>
          <w:rFonts w:ascii="Times New Roman" w:hAnsi="Times New Roman"/>
          <w:i/>
          <w:sz w:val="24"/>
          <w:szCs w:val="24"/>
          <w:lang w:val="en-GB"/>
        </w:rPr>
        <w:t>Termites in the Trading System</w:t>
      </w:r>
      <w:r w:rsidRPr="00874087">
        <w:rPr>
          <w:rFonts w:ascii="Times New Roman" w:hAnsi="Times New Roman"/>
          <w:sz w:val="24"/>
          <w:szCs w:val="24"/>
          <w:lang w:val="en-GB"/>
        </w:rPr>
        <w:t>. Oxford: Oxford University Press, 2008.</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Blackhurst</w:t>
      </w:r>
      <w:proofErr w:type="spellEnd"/>
      <w:r w:rsidRPr="00874087">
        <w:rPr>
          <w:rFonts w:ascii="Times New Roman" w:hAnsi="Times New Roman"/>
          <w:sz w:val="24"/>
          <w:szCs w:val="24"/>
          <w:lang w:val="en-GB"/>
        </w:rPr>
        <w:t xml:space="preserve">, Richard; </w:t>
      </w:r>
      <w:proofErr w:type="spellStart"/>
      <w:r w:rsidRPr="00874087">
        <w:rPr>
          <w:rFonts w:ascii="Times New Roman" w:hAnsi="Times New Roman"/>
          <w:sz w:val="24"/>
          <w:szCs w:val="24"/>
          <w:lang w:val="en-GB"/>
        </w:rPr>
        <w:t>Hartridge</w:t>
      </w:r>
      <w:proofErr w:type="spellEnd"/>
      <w:r w:rsidRPr="00874087">
        <w:rPr>
          <w:rFonts w:ascii="Times New Roman" w:hAnsi="Times New Roman"/>
          <w:sz w:val="24"/>
          <w:szCs w:val="24"/>
          <w:lang w:val="en-GB"/>
        </w:rPr>
        <w:t xml:space="preserve">, David. “Improving the capacity of WTO institutions to fulfil their mandate”. </w:t>
      </w:r>
      <w:r w:rsidRPr="00874087">
        <w:rPr>
          <w:rFonts w:ascii="Times New Roman" w:hAnsi="Times New Roman"/>
          <w:i/>
          <w:sz w:val="24"/>
          <w:szCs w:val="24"/>
          <w:lang w:val="en-GB"/>
        </w:rPr>
        <w:t>Journal of International Economic Law</w:t>
      </w:r>
      <w:r w:rsidRPr="00874087">
        <w:rPr>
          <w:rFonts w:ascii="Times New Roman" w:hAnsi="Times New Roman"/>
          <w:sz w:val="24"/>
          <w:szCs w:val="24"/>
          <w:lang w:val="en-GB"/>
        </w:rPr>
        <w:t xml:space="preserve">, vol. 7, nº 3 (2004), p. 705-716. </w:t>
      </w:r>
    </w:p>
    <w:p w:rsidR="00A247B1" w:rsidRDefault="00A247B1" w:rsidP="00C836AB">
      <w:pPr>
        <w:pStyle w:val="Pargrafdellista1"/>
        <w:spacing w:line="240" w:lineRule="auto"/>
        <w:ind w:left="0"/>
        <w:jc w:val="both"/>
        <w:rPr>
          <w:rFonts w:ascii="Times New Roman" w:hAnsi="Times New Roman"/>
          <w:sz w:val="24"/>
          <w:szCs w:val="24"/>
          <w:lang w:val="en-GB"/>
        </w:rPr>
      </w:pPr>
    </w:p>
    <w:p w:rsidR="00775C62" w:rsidRDefault="00775C62"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 xml:space="preserve">Cohn, Theodore H. </w:t>
      </w:r>
      <w:r w:rsidRPr="00775C62">
        <w:rPr>
          <w:rFonts w:ascii="Times New Roman" w:hAnsi="Times New Roman"/>
          <w:i/>
          <w:sz w:val="24"/>
          <w:szCs w:val="24"/>
          <w:lang w:val="en-GB"/>
        </w:rPr>
        <w:t>Governing Global Trade: International Institutions in Conflict and Convergence</w:t>
      </w:r>
      <w:r>
        <w:rPr>
          <w:rFonts w:ascii="Times New Roman" w:hAnsi="Times New Roman"/>
          <w:sz w:val="24"/>
          <w:szCs w:val="24"/>
          <w:lang w:val="en-GB"/>
        </w:rPr>
        <w:t xml:space="preserve">, Aldershot: </w:t>
      </w:r>
      <w:proofErr w:type="spellStart"/>
      <w:r>
        <w:rPr>
          <w:rFonts w:ascii="Times New Roman" w:hAnsi="Times New Roman"/>
          <w:sz w:val="24"/>
          <w:szCs w:val="24"/>
          <w:lang w:val="en-GB"/>
        </w:rPr>
        <w:t>Ashgate</w:t>
      </w:r>
      <w:proofErr w:type="spellEnd"/>
      <w:r>
        <w:rPr>
          <w:rFonts w:ascii="Times New Roman" w:hAnsi="Times New Roman"/>
          <w:sz w:val="24"/>
          <w:szCs w:val="24"/>
          <w:lang w:val="en-GB"/>
        </w:rPr>
        <w:t xml:space="preserve"> Publishing, 2002.</w:t>
      </w:r>
    </w:p>
    <w:p w:rsidR="00775C62" w:rsidRPr="00874087" w:rsidRDefault="00775C62"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Conceiçáo-Heldt</w:t>
      </w:r>
      <w:proofErr w:type="spellEnd"/>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Eugénia</w:t>
      </w:r>
      <w:proofErr w:type="spellEnd"/>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da</w:t>
      </w:r>
      <w:proofErr w:type="gramStart"/>
      <w:r w:rsidRPr="00874087">
        <w:rPr>
          <w:rFonts w:ascii="Times New Roman" w:hAnsi="Times New Roman"/>
          <w:sz w:val="24"/>
          <w:szCs w:val="24"/>
          <w:lang w:val="en-GB"/>
        </w:rPr>
        <w:t>.“</w:t>
      </w:r>
      <w:proofErr w:type="gramEnd"/>
      <w:r w:rsidRPr="00874087">
        <w:rPr>
          <w:rFonts w:ascii="Times New Roman" w:hAnsi="Times New Roman"/>
          <w:sz w:val="24"/>
          <w:szCs w:val="24"/>
          <w:lang w:val="en-GB"/>
        </w:rPr>
        <w:t>The</w:t>
      </w:r>
      <w:proofErr w:type="spellEnd"/>
      <w:r w:rsidRPr="00874087">
        <w:rPr>
          <w:rFonts w:ascii="Times New Roman" w:hAnsi="Times New Roman"/>
          <w:sz w:val="24"/>
          <w:szCs w:val="24"/>
          <w:lang w:val="en-GB"/>
        </w:rPr>
        <w:t xml:space="preserve"> Clash of Negotiations: The impact of Outside Options on Multilateral Trade Negotiations”. </w:t>
      </w:r>
      <w:r w:rsidRPr="00874087">
        <w:rPr>
          <w:rFonts w:ascii="Times New Roman" w:hAnsi="Times New Roman"/>
          <w:i/>
          <w:sz w:val="24"/>
          <w:szCs w:val="24"/>
          <w:lang w:val="en-GB"/>
        </w:rPr>
        <w:t>International Negotiation</w:t>
      </w:r>
      <w:r w:rsidRPr="00874087">
        <w:rPr>
          <w:rFonts w:ascii="Times New Roman" w:hAnsi="Times New Roman"/>
          <w:sz w:val="24"/>
          <w:szCs w:val="24"/>
          <w:lang w:val="en-GB"/>
        </w:rPr>
        <w:t>, nº18 (2013), p. 111-130.</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CC2D12">
        <w:rPr>
          <w:rFonts w:ascii="Times New Roman" w:hAnsi="Times New Roman"/>
          <w:sz w:val="24"/>
          <w:szCs w:val="24"/>
          <w:lang w:val="en-US"/>
        </w:rPr>
        <w:t xml:space="preserve">De Ville, </w:t>
      </w:r>
      <w:proofErr w:type="spellStart"/>
      <w:r w:rsidRPr="00CC2D12">
        <w:rPr>
          <w:rFonts w:ascii="Times New Roman" w:hAnsi="Times New Roman"/>
          <w:sz w:val="24"/>
          <w:szCs w:val="24"/>
          <w:lang w:val="en-US"/>
        </w:rPr>
        <w:t>Ferdi</w:t>
      </w:r>
      <w:proofErr w:type="spellEnd"/>
      <w:r w:rsidRPr="00CC2D12">
        <w:rPr>
          <w:rFonts w:ascii="Times New Roman" w:hAnsi="Times New Roman"/>
          <w:sz w:val="24"/>
          <w:szCs w:val="24"/>
          <w:lang w:val="en-US"/>
        </w:rPr>
        <w:t xml:space="preserve">; Orbie, Jan. </w:t>
      </w:r>
      <w:r w:rsidRPr="00874087">
        <w:rPr>
          <w:rFonts w:ascii="Times New Roman" w:hAnsi="Times New Roman"/>
          <w:sz w:val="24"/>
          <w:szCs w:val="24"/>
          <w:lang w:val="en-GB"/>
        </w:rPr>
        <w:t xml:space="preserve">“The European Union’s Trade Policy Response to the Crisis: Paradigm lost or reinforced?” </w:t>
      </w:r>
      <w:r w:rsidRPr="00874087">
        <w:rPr>
          <w:rFonts w:ascii="Times New Roman" w:hAnsi="Times New Roman"/>
          <w:i/>
          <w:sz w:val="24"/>
          <w:szCs w:val="24"/>
          <w:lang w:val="en-GB"/>
        </w:rPr>
        <w:t>European Integration online Papers</w:t>
      </w:r>
      <w:r w:rsidRPr="00874087">
        <w:rPr>
          <w:rFonts w:ascii="Times New Roman" w:hAnsi="Times New Roman"/>
          <w:sz w:val="24"/>
          <w:szCs w:val="24"/>
          <w:lang w:val="en-GB"/>
        </w:rPr>
        <w:t>, vol. 15, nº 2 (2011), p. 1-22.</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Ehlermann</w:t>
      </w:r>
      <w:proofErr w:type="spellEnd"/>
      <w:r w:rsidRPr="00874087">
        <w:rPr>
          <w:rFonts w:ascii="Times New Roman" w:hAnsi="Times New Roman"/>
          <w:sz w:val="24"/>
          <w:szCs w:val="24"/>
          <w:lang w:val="en-GB"/>
        </w:rPr>
        <w:t xml:space="preserve">, Claus-Dieter; </w:t>
      </w:r>
      <w:proofErr w:type="spellStart"/>
      <w:r w:rsidRPr="00874087">
        <w:rPr>
          <w:rFonts w:ascii="Times New Roman" w:hAnsi="Times New Roman"/>
          <w:sz w:val="24"/>
          <w:szCs w:val="24"/>
          <w:lang w:val="en-GB"/>
        </w:rPr>
        <w:t>Ehring</w:t>
      </w:r>
      <w:proofErr w:type="spellEnd"/>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Lothar</w:t>
      </w:r>
      <w:proofErr w:type="spellEnd"/>
      <w:r w:rsidRPr="00874087">
        <w:rPr>
          <w:rFonts w:ascii="Times New Roman" w:hAnsi="Times New Roman"/>
          <w:sz w:val="24"/>
          <w:szCs w:val="24"/>
          <w:lang w:val="en-GB"/>
        </w:rPr>
        <w:t xml:space="preserve">. “Is the consensus practice of the World Trade Organization adequate for making, revising and implementing rules on international trade?” </w:t>
      </w:r>
      <w:r w:rsidRPr="00874087">
        <w:rPr>
          <w:rFonts w:ascii="Times New Roman" w:hAnsi="Times New Roman"/>
          <w:i/>
          <w:sz w:val="24"/>
          <w:szCs w:val="24"/>
          <w:lang w:val="en-GB"/>
        </w:rPr>
        <w:t>Journal of International Economic Law</w:t>
      </w:r>
      <w:r w:rsidRPr="00874087">
        <w:rPr>
          <w:rFonts w:ascii="Times New Roman" w:hAnsi="Times New Roman"/>
          <w:sz w:val="24"/>
          <w:szCs w:val="24"/>
          <w:lang w:val="en-GB"/>
        </w:rPr>
        <w:t>, vol. 8, nº 1, p. 51-75.</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D5114D">
        <w:rPr>
          <w:rFonts w:ascii="Times New Roman" w:hAnsi="Times New Roman"/>
          <w:sz w:val="24"/>
          <w:szCs w:val="24"/>
          <w:lang w:val="en-GB"/>
        </w:rPr>
        <w:t>Estevadeordal</w:t>
      </w:r>
      <w:proofErr w:type="spellEnd"/>
      <w:r w:rsidRPr="00D5114D">
        <w:rPr>
          <w:rFonts w:ascii="Times New Roman" w:hAnsi="Times New Roman"/>
          <w:sz w:val="24"/>
          <w:szCs w:val="24"/>
          <w:lang w:val="en-GB"/>
        </w:rPr>
        <w:t xml:space="preserve">, </w:t>
      </w:r>
      <w:proofErr w:type="spellStart"/>
      <w:r w:rsidRPr="00D5114D">
        <w:rPr>
          <w:rFonts w:ascii="Times New Roman" w:hAnsi="Times New Roman"/>
          <w:sz w:val="24"/>
          <w:szCs w:val="24"/>
          <w:lang w:val="en-GB"/>
        </w:rPr>
        <w:t>Antoni</w:t>
      </w:r>
      <w:proofErr w:type="spellEnd"/>
      <w:r w:rsidRPr="00D5114D">
        <w:rPr>
          <w:rFonts w:ascii="Times New Roman" w:hAnsi="Times New Roman"/>
          <w:sz w:val="24"/>
          <w:szCs w:val="24"/>
          <w:lang w:val="en-GB"/>
        </w:rPr>
        <w:t xml:space="preserve">; </w:t>
      </w:r>
      <w:proofErr w:type="spellStart"/>
      <w:r w:rsidRPr="00D5114D">
        <w:rPr>
          <w:rFonts w:ascii="Times New Roman" w:hAnsi="Times New Roman"/>
          <w:sz w:val="24"/>
          <w:szCs w:val="24"/>
          <w:lang w:val="en-GB"/>
        </w:rPr>
        <w:t>Suominen</w:t>
      </w:r>
      <w:proofErr w:type="spellEnd"/>
      <w:r w:rsidRPr="00D5114D">
        <w:rPr>
          <w:rFonts w:ascii="Times New Roman" w:hAnsi="Times New Roman"/>
          <w:sz w:val="24"/>
          <w:szCs w:val="24"/>
          <w:lang w:val="en-GB"/>
        </w:rPr>
        <w:t xml:space="preserve">, Kati; Volpe, Christian. </w:t>
      </w:r>
      <w:r w:rsidRPr="00874087">
        <w:rPr>
          <w:rFonts w:ascii="Times New Roman" w:hAnsi="Times New Roman"/>
          <w:sz w:val="24"/>
          <w:szCs w:val="24"/>
          <w:lang w:val="en-GB"/>
        </w:rPr>
        <w:t xml:space="preserve">“Regional Trade Agreements, Development </w:t>
      </w:r>
      <w:r w:rsidR="00D656E9">
        <w:rPr>
          <w:rFonts w:ascii="Times New Roman" w:hAnsi="Times New Roman"/>
          <w:sz w:val="24"/>
          <w:szCs w:val="24"/>
          <w:lang w:val="en-GB"/>
        </w:rPr>
        <w:t>Challenges and Policy Options” i</w:t>
      </w:r>
      <w:r w:rsidRPr="00874087">
        <w:rPr>
          <w:rFonts w:ascii="Times New Roman" w:hAnsi="Times New Roman"/>
          <w:sz w:val="24"/>
          <w:szCs w:val="24"/>
          <w:lang w:val="en-GB"/>
        </w:rPr>
        <w:t xml:space="preserve">n </w:t>
      </w:r>
      <w:r w:rsidRPr="00874087">
        <w:rPr>
          <w:rFonts w:ascii="Times New Roman" w:hAnsi="Times New Roman"/>
          <w:i/>
          <w:sz w:val="24"/>
          <w:szCs w:val="24"/>
          <w:lang w:val="en-GB"/>
        </w:rPr>
        <w:t>The E15 Initiative: Strengthening the Multilateral Trading System</w:t>
      </w:r>
      <w:r w:rsidRPr="00874087">
        <w:rPr>
          <w:rFonts w:ascii="Times New Roman" w:hAnsi="Times New Roman"/>
          <w:sz w:val="24"/>
          <w:szCs w:val="24"/>
          <w:lang w:val="en-GB"/>
        </w:rPr>
        <w:t>, Regional Trade Agreements Group Proposals and Analysis (ICTSD and World Economic Forum), 2013, p. 7-27.</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81231F" w:rsidRDefault="0081231F" w:rsidP="00C836AB">
      <w:pPr>
        <w:pStyle w:val="Pargrafdellista1"/>
        <w:spacing w:line="240" w:lineRule="auto"/>
        <w:ind w:left="0"/>
        <w:jc w:val="both"/>
        <w:rPr>
          <w:rFonts w:ascii="Times New Roman" w:hAnsi="Times New Roman"/>
          <w:sz w:val="24"/>
          <w:szCs w:val="24"/>
          <w:lang w:val="en-GB"/>
        </w:rPr>
      </w:pPr>
    </w:p>
    <w:p w:rsidR="0081231F" w:rsidRPr="0081231F" w:rsidRDefault="0081231F" w:rsidP="00C836AB">
      <w:pPr>
        <w:pStyle w:val="Pargrafdellista1"/>
        <w:spacing w:line="240" w:lineRule="auto"/>
        <w:jc w:val="both"/>
        <w:rPr>
          <w:rFonts w:ascii="Times New Roman" w:hAnsi="Times New Roman"/>
          <w:sz w:val="24"/>
          <w:szCs w:val="24"/>
        </w:rPr>
      </w:pPr>
      <w:proofErr w:type="spellStart"/>
      <w:r w:rsidRPr="0081231F">
        <w:rPr>
          <w:rFonts w:ascii="Times New Roman" w:hAnsi="Times New Roman"/>
          <w:sz w:val="24"/>
          <w:szCs w:val="24"/>
        </w:rPr>
        <w:t>European</w:t>
      </w:r>
      <w:proofErr w:type="spellEnd"/>
      <w:r w:rsidRPr="0081231F">
        <w:rPr>
          <w:rFonts w:ascii="Times New Roman" w:hAnsi="Times New Roman"/>
          <w:sz w:val="24"/>
          <w:szCs w:val="24"/>
        </w:rPr>
        <w:t xml:space="preserve"> </w:t>
      </w:r>
      <w:proofErr w:type="spellStart"/>
      <w:r w:rsidRPr="0081231F">
        <w:rPr>
          <w:rFonts w:ascii="Times New Roman" w:hAnsi="Times New Roman"/>
          <w:sz w:val="24"/>
          <w:szCs w:val="24"/>
        </w:rPr>
        <w:t>Commission</w:t>
      </w:r>
      <w:proofErr w:type="spellEnd"/>
      <w:r w:rsidRPr="0081231F">
        <w:rPr>
          <w:rFonts w:ascii="Times New Roman" w:hAnsi="Times New Roman"/>
          <w:sz w:val="24"/>
          <w:szCs w:val="24"/>
        </w:rPr>
        <w:t xml:space="preserve"> (2006) “Global </w:t>
      </w:r>
      <w:proofErr w:type="spellStart"/>
      <w:r w:rsidRPr="0081231F">
        <w:rPr>
          <w:rFonts w:ascii="Times New Roman" w:hAnsi="Times New Roman"/>
          <w:sz w:val="24"/>
          <w:szCs w:val="24"/>
        </w:rPr>
        <w:t>Europe</w:t>
      </w:r>
      <w:proofErr w:type="spellEnd"/>
      <w:r w:rsidRPr="0081231F">
        <w:rPr>
          <w:rFonts w:ascii="Times New Roman" w:hAnsi="Times New Roman"/>
          <w:sz w:val="24"/>
          <w:szCs w:val="24"/>
        </w:rPr>
        <w:t xml:space="preserve">: </w:t>
      </w:r>
      <w:proofErr w:type="spellStart"/>
      <w:r w:rsidRPr="0081231F">
        <w:rPr>
          <w:rFonts w:ascii="Times New Roman" w:hAnsi="Times New Roman"/>
          <w:sz w:val="24"/>
          <w:szCs w:val="24"/>
        </w:rPr>
        <w:t>Competing</w:t>
      </w:r>
      <w:proofErr w:type="spellEnd"/>
      <w:r w:rsidRPr="0081231F">
        <w:rPr>
          <w:rFonts w:ascii="Times New Roman" w:hAnsi="Times New Roman"/>
          <w:sz w:val="24"/>
          <w:szCs w:val="24"/>
        </w:rPr>
        <w:t xml:space="preserve"> in </w:t>
      </w:r>
      <w:proofErr w:type="spellStart"/>
      <w:r w:rsidRPr="0081231F">
        <w:rPr>
          <w:rFonts w:ascii="Times New Roman" w:hAnsi="Times New Roman"/>
          <w:sz w:val="24"/>
          <w:szCs w:val="24"/>
        </w:rPr>
        <w:t>the</w:t>
      </w:r>
      <w:proofErr w:type="spellEnd"/>
      <w:r w:rsidRPr="0081231F">
        <w:rPr>
          <w:rFonts w:ascii="Times New Roman" w:hAnsi="Times New Roman"/>
          <w:sz w:val="24"/>
          <w:szCs w:val="24"/>
        </w:rPr>
        <w:t xml:space="preserve"> </w:t>
      </w:r>
      <w:proofErr w:type="spellStart"/>
      <w:r w:rsidRPr="0081231F">
        <w:rPr>
          <w:rFonts w:ascii="Times New Roman" w:hAnsi="Times New Roman"/>
          <w:sz w:val="24"/>
          <w:szCs w:val="24"/>
        </w:rPr>
        <w:t>World</w:t>
      </w:r>
      <w:proofErr w:type="spellEnd"/>
      <w:r w:rsidRPr="0081231F">
        <w:rPr>
          <w:rFonts w:ascii="Times New Roman" w:hAnsi="Times New Roman"/>
          <w:sz w:val="24"/>
          <w:szCs w:val="24"/>
        </w:rPr>
        <w:t xml:space="preserve">”, </w:t>
      </w:r>
      <w:proofErr w:type="gramStart"/>
      <w:r w:rsidRPr="0081231F">
        <w:rPr>
          <w:rFonts w:ascii="Times New Roman" w:hAnsi="Times New Roman"/>
          <w:sz w:val="24"/>
          <w:szCs w:val="24"/>
        </w:rPr>
        <w:t>COM(</w:t>
      </w:r>
      <w:proofErr w:type="gramEnd"/>
      <w:r w:rsidRPr="0081231F">
        <w:rPr>
          <w:rFonts w:ascii="Times New Roman" w:hAnsi="Times New Roman"/>
          <w:sz w:val="24"/>
          <w:szCs w:val="24"/>
        </w:rPr>
        <w:t xml:space="preserve">2006) 567 final. -&gt; también está en </w:t>
      </w:r>
      <w:proofErr w:type="spellStart"/>
      <w:r w:rsidRPr="0081231F">
        <w:rPr>
          <w:rFonts w:ascii="Times New Roman" w:hAnsi="Times New Roman"/>
          <w:sz w:val="24"/>
          <w:szCs w:val="24"/>
        </w:rPr>
        <w:t>castelloa</w:t>
      </w:r>
      <w:proofErr w:type="spellEnd"/>
      <w:r w:rsidRPr="0081231F">
        <w:rPr>
          <w:rFonts w:ascii="Times New Roman" w:hAnsi="Times New Roman"/>
          <w:sz w:val="24"/>
          <w:szCs w:val="24"/>
        </w:rPr>
        <w:t xml:space="preserve"> (en cambio </w:t>
      </w:r>
      <w:proofErr w:type="spellStart"/>
      <w:r w:rsidRPr="0081231F">
        <w:rPr>
          <w:rFonts w:ascii="Times New Roman" w:hAnsi="Times New Roman"/>
          <w:sz w:val="24"/>
          <w:szCs w:val="24"/>
        </w:rPr>
        <w:t>Commission</w:t>
      </w:r>
      <w:proofErr w:type="spellEnd"/>
      <w:r w:rsidRPr="0081231F">
        <w:rPr>
          <w:rFonts w:ascii="Times New Roman" w:hAnsi="Times New Roman"/>
          <w:sz w:val="24"/>
          <w:szCs w:val="24"/>
        </w:rPr>
        <w:t xml:space="preserve"> 2010 sólo en inglés y francés)</w:t>
      </w:r>
    </w:p>
    <w:p w:rsidR="0081231F" w:rsidRPr="0081231F" w:rsidRDefault="0081231F" w:rsidP="00C836AB">
      <w:pPr>
        <w:pStyle w:val="Pargrafdellista1"/>
        <w:spacing w:line="240" w:lineRule="auto"/>
        <w:ind w:left="0"/>
        <w:jc w:val="both"/>
        <w:rPr>
          <w:rFonts w:ascii="Times New Roman" w:hAnsi="Times New Roman"/>
          <w:sz w:val="24"/>
          <w:szCs w:val="24"/>
        </w:rPr>
      </w:pPr>
    </w:p>
    <w:p w:rsidR="00A247B1"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European Commission</w:t>
      </w:r>
      <w:r w:rsidR="00BD4FC8">
        <w:rPr>
          <w:rFonts w:ascii="Times New Roman" w:hAnsi="Times New Roman"/>
          <w:sz w:val="24"/>
          <w:szCs w:val="24"/>
          <w:lang w:val="en-GB"/>
        </w:rPr>
        <w:t xml:space="preserve"> (2010)</w:t>
      </w:r>
      <w:proofErr w:type="gramStart"/>
      <w:r w:rsidRPr="00874087">
        <w:rPr>
          <w:rFonts w:ascii="Times New Roman" w:hAnsi="Times New Roman"/>
          <w:sz w:val="24"/>
          <w:szCs w:val="24"/>
          <w:lang w:val="en-GB"/>
        </w:rPr>
        <w:t>.“Trade, Growth and World Affairs.</w:t>
      </w:r>
      <w:proofErr w:type="gramEnd"/>
      <w:r w:rsidRPr="00874087">
        <w:rPr>
          <w:rFonts w:ascii="Times New Roman" w:hAnsi="Times New Roman"/>
          <w:sz w:val="24"/>
          <w:szCs w:val="24"/>
          <w:lang w:val="en-GB"/>
        </w:rPr>
        <w:t xml:space="preserve"> Trade Policy as a core component of the EU’s 2020 strategy”. COM (2010) 612. </w:t>
      </w:r>
    </w:p>
    <w:p w:rsidR="00BD4FC8" w:rsidRDefault="00BD4FC8" w:rsidP="00C836AB">
      <w:pPr>
        <w:pStyle w:val="Pargrafdellista1"/>
        <w:spacing w:line="240" w:lineRule="auto"/>
        <w:ind w:left="0"/>
        <w:jc w:val="both"/>
        <w:rPr>
          <w:rFonts w:ascii="Times New Roman" w:hAnsi="Times New Roman"/>
          <w:sz w:val="24"/>
          <w:szCs w:val="24"/>
          <w:lang w:val="en-GB"/>
        </w:rPr>
      </w:pPr>
    </w:p>
    <w:p w:rsidR="00BD4FC8" w:rsidRPr="00874087" w:rsidRDefault="00BD4FC8"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lastRenderedPageBreak/>
        <w:t xml:space="preserve">European Commission (2013) “Memo- European Union and United States to launch negotiations for a Transatlantic Trade and Investment Partnership”, </w:t>
      </w:r>
      <w:r w:rsidRPr="00BD4FC8">
        <w:rPr>
          <w:rFonts w:ascii="Times New Roman" w:hAnsi="Times New Roman"/>
          <w:i/>
          <w:sz w:val="24"/>
          <w:szCs w:val="24"/>
          <w:lang w:val="en-GB"/>
        </w:rPr>
        <w:t>MEMO</w:t>
      </w:r>
      <w:r>
        <w:rPr>
          <w:rFonts w:ascii="Times New Roman" w:hAnsi="Times New Roman"/>
          <w:sz w:val="24"/>
          <w:szCs w:val="24"/>
          <w:lang w:val="en-GB"/>
        </w:rPr>
        <w:t>/13/95 of 13 February 2013.</w:t>
      </w:r>
    </w:p>
    <w:p w:rsidR="00A247B1" w:rsidRDefault="00A247B1" w:rsidP="00C836AB">
      <w:pPr>
        <w:pStyle w:val="Pargrafdellista1"/>
        <w:spacing w:line="240" w:lineRule="auto"/>
        <w:ind w:left="0"/>
        <w:jc w:val="both"/>
        <w:rPr>
          <w:rFonts w:ascii="Times New Roman" w:hAnsi="Times New Roman"/>
          <w:sz w:val="24"/>
          <w:szCs w:val="24"/>
          <w:lang w:val="en-GB"/>
        </w:rPr>
      </w:pPr>
    </w:p>
    <w:p w:rsidR="00277CDF" w:rsidRDefault="00277CDF"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European Union. “S</w:t>
      </w:r>
      <w:r w:rsidRPr="00277CDF">
        <w:rPr>
          <w:rFonts w:ascii="Times New Roman" w:hAnsi="Times New Roman"/>
          <w:sz w:val="24"/>
          <w:szCs w:val="24"/>
          <w:lang w:val="en-GB"/>
        </w:rPr>
        <w:t xml:space="preserve">tatement </w:t>
      </w:r>
      <w:r>
        <w:rPr>
          <w:rFonts w:ascii="Times New Roman" w:hAnsi="Times New Roman"/>
          <w:sz w:val="24"/>
          <w:szCs w:val="24"/>
          <w:lang w:val="en-GB"/>
        </w:rPr>
        <w:t>f</w:t>
      </w:r>
      <w:r w:rsidRPr="00277CDF">
        <w:rPr>
          <w:rFonts w:ascii="Times New Roman" w:hAnsi="Times New Roman"/>
          <w:sz w:val="24"/>
          <w:szCs w:val="24"/>
          <w:lang w:val="en-GB"/>
        </w:rPr>
        <w:t>rom U</w:t>
      </w:r>
      <w:r>
        <w:rPr>
          <w:rFonts w:ascii="Times New Roman" w:hAnsi="Times New Roman"/>
          <w:sz w:val="24"/>
          <w:szCs w:val="24"/>
          <w:lang w:val="en-GB"/>
        </w:rPr>
        <w:t xml:space="preserve">nited </w:t>
      </w:r>
      <w:r w:rsidRPr="00277CDF">
        <w:rPr>
          <w:rFonts w:ascii="Times New Roman" w:hAnsi="Times New Roman"/>
          <w:sz w:val="24"/>
          <w:szCs w:val="24"/>
          <w:lang w:val="en-GB"/>
        </w:rPr>
        <w:t>S</w:t>
      </w:r>
      <w:r>
        <w:rPr>
          <w:rFonts w:ascii="Times New Roman" w:hAnsi="Times New Roman"/>
          <w:sz w:val="24"/>
          <w:szCs w:val="24"/>
          <w:lang w:val="en-GB"/>
        </w:rPr>
        <w:t>tates</w:t>
      </w:r>
      <w:r w:rsidRPr="00277CDF">
        <w:rPr>
          <w:rFonts w:ascii="Times New Roman" w:hAnsi="Times New Roman"/>
          <w:sz w:val="24"/>
          <w:szCs w:val="24"/>
          <w:lang w:val="en-GB"/>
        </w:rPr>
        <w:t xml:space="preserve"> President Barack Obama, European Council President Herman Van Rompuy and European Commission President José Manuel </w:t>
      </w:r>
      <w:proofErr w:type="spellStart"/>
      <w:r w:rsidRPr="00277CDF">
        <w:rPr>
          <w:rFonts w:ascii="Times New Roman" w:hAnsi="Times New Roman"/>
          <w:sz w:val="24"/>
          <w:szCs w:val="24"/>
          <w:lang w:val="en-GB"/>
        </w:rPr>
        <w:t>Barroso</w:t>
      </w:r>
      <w:proofErr w:type="spellEnd"/>
      <w:r>
        <w:rPr>
          <w:rFonts w:ascii="Times New Roman" w:hAnsi="Times New Roman"/>
          <w:sz w:val="24"/>
          <w:szCs w:val="24"/>
          <w:lang w:val="en-GB"/>
        </w:rPr>
        <w:t>”</w:t>
      </w:r>
      <w:r w:rsidRPr="00277CDF">
        <w:rPr>
          <w:rFonts w:ascii="Times New Roman" w:hAnsi="Times New Roman"/>
          <w:sz w:val="24"/>
          <w:szCs w:val="24"/>
          <w:lang w:val="en-GB"/>
        </w:rPr>
        <w:t xml:space="preserve"> Delegation of the European Union to the USA </w:t>
      </w:r>
      <w:r w:rsidRPr="00D0577F">
        <w:rPr>
          <w:rFonts w:ascii="Times New Roman" w:hAnsi="Times New Roman"/>
          <w:i/>
          <w:sz w:val="24"/>
          <w:szCs w:val="24"/>
          <w:lang w:val="en-GB"/>
        </w:rPr>
        <w:t>press report</w:t>
      </w:r>
      <w:r w:rsidRPr="00277CDF">
        <w:rPr>
          <w:rFonts w:ascii="Times New Roman" w:hAnsi="Times New Roman"/>
          <w:sz w:val="24"/>
          <w:szCs w:val="24"/>
          <w:lang w:val="en-GB"/>
        </w:rPr>
        <w:t xml:space="preserve"> </w:t>
      </w:r>
      <w:r>
        <w:rPr>
          <w:rFonts w:ascii="Times New Roman" w:hAnsi="Times New Roman"/>
          <w:sz w:val="24"/>
          <w:szCs w:val="24"/>
          <w:lang w:val="en-GB"/>
        </w:rPr>
        <w:t>n</w:t>
      </w:r>
      <w:r w:rsidRPr="00277CDF">
        <w:rPr>
          <w:rFonts w:ascii="Times New Roman" w:hAnsi="Times New Roman"/>
          <w:sz w:val="24"/>
          <w:szCs w:val="24"/>
          <w:lang w:val="en-GB"/>
        </w:rPr>
        <w:t xml:space="preserve">º </w:t>
      </w:r>
      <w:r>
        <w:rPr>
          <w:rFonts w:ascii="Times New Roman" w:hAnsi="Times New Roman"/>
          <w:sz w:val="24"/>
          <w:szCs w:val="24"/>
          <w:lang w:val="en-GB"/>
        </w:rPr>
        <w:t>0</w:t>
      </w:r>
      <w:r w:rsidRPr="00277CDF">
        <w:rPr>
          <w:rFonts w:ascii="Times New Roman" w:hAnsi="Times New Roman"/>
          <w:sz w:val="24"/>
          <w:szCs w:val="24"/>
          <w:lang w:val="en-GB"/>
        </w:rPr>
        <w:t>4 of 13 February 2013</w:t>
      </w:r>
      <w:r>
        <w:rPr>
          <w:rFonts w:ascii="Times New Roman" w:hAnsi="Times New Roman"/>
          <w:sz w:val="24"/>
          <w:szCs w:val="24"/>
          <w:lang w:val="en-GB"/>
        </w:rPr>
        <w:t>.</w:t>
      </w:r>
    </w:p>
    <w:p w:rsidR="00277CDF" w:rsidRPr="00874087" w:rsidRDefault="00277CDF"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Evenett</w:t>
      </w:r>
      <w:proofErr w:type="spellEnd"/>
      <w:r w:rsidRPr="00874087">
        <w:rPr>
          <w:rFonts w:ascii="Times New Roman" w:hAnsi="Times New Roman"/>
          <w:sz w:val="24"/>
          <w:szCs w:val="24"/>
          <w:lang w:val="en-GB"/>
        </w:rPr>
        <w:t xml:space="preserve">, Simon J. “The failure of the WTO Ministerial Meeting in Cancun: Implications for Future Research”. </w:t>
      </w:r>
      <w:proofErr w:type="spellStart"/>
      <w:r w:rsidRPr="00874087">
        <w:rPr>
          <w:rFonts w:ascii="Times New Roman" w:hAnsi="Times New Roman"/>
          <w:i/>
          <w:sz w:val="24"/>
          <w:szCs w:val="24"/>
          <w:lang w:val="en-GB"/>
        </w:rPr>
        <w:t>CESifo</w:t>
      </w:r>
      <w:proofErr w:type="spellEnd"/>
      <w:r w:rsidRPr="00874087">
        <w:rPr>
          <w:rFonts w:ascii="Times New Roman" w:hAnsi="Times New Roman"/>
          <w:i/>
          <w:sz w:val="24"/>
          <w:szCs w:val="24"/>
          <w:lang w:val="en-GB"/>
        </w:rPr>
        <w:t xml:space="preserve"> Forum</w:t>
      </w:r>
      <w:r w:rsidRPr="00874087">
        <w:rPr>
          <w:rFonts w:ascii="Times New Roman" w:hAnsi="Times New Roman"/>
          <w:sz w:val="24"/>
          <w:szCs w:val="24"/>
          <w:lang w:val="en-GB"/>
        </w:rPr>
        <w:t xml:space="preserve">, nº 3 (2003), p. 11-17. </w:t>
      </w:r>
    </w:p>
    <w:p w:rsidR="00A247B1" w:rsidRDefault="00A247B1" w:rsidP="00C836AB">
      <w:pPr>
        <w:pStyle w:val="Pargrafdellista1"/>
        <w:spacing w:line="240" w:lineRule="auto"/>
        <w:ind w:left="0"/>
        <w:jc w:val="both"/>
        <w:rPr>
          <w:rFonts w:ascii="Times New Roman" w:hAnsi="Times New Roman"/>
          <w:sz w:val="24"/>
          <w:szCs w:val="24"/>
          <w:lang w:val="en-GB"/>
        </w:rPr>
      </w:pPr>
    </w:p>
    <w:p w:rsidR="005A73E1" w:rsidRDefault="005A73E1" w:rsidP="00C836AB">
      <w:pPr>
        <w:pStyle w:val="Pargrafdellista1"/>
        <w:spacing w:line="240" w:lineRule="auto"/>
        <w:ind w:left="0"/>
        <w:jc w:val="both"/>
        <w:rPr>
          <w:rFonts w:ascii="Times New Roman" w:hAnsi="Times New Roman"/>
          <w:sz w:val="24"/>
          <w:szCs w:val="24"/>
          <w:lang w:val="en-GB"/>
        </w:rPr>
      </w:pPr>
      <w:proofErr w:type="spellStart"/>
      <w:r>
        <w:rPr>
          <w:rFonts w:ascii="Times New Roman" w:hAnsi="Times New Roman"/>
          <w:sz w:val="24"/>
          <w:szCs w:val="24"/>
          <w:lang w:val="en-GB"/>
        </w:rPr>
        <w:t>Felbermayr</w:t>
      </w:r>
      <w:proofErr w:type="spellEnd"/>
      <w:r>
        <w:rPr>
          <w:rFonts w:ascii="Times New Roman" w:hAnsi="Times New Roman"/>
          <w:sz w:val="24"/>
          <w:szCs w:val="24"/>
          <w:lang w:val="en-GB"/>
        </w:rPr>
        <w:t xml:space="preserve">, Gabriel, Benedict </w:t>
      </w:r>
      <w:proofErr w:type="spellStart"/>
      <w:r>
        <w:rPr>
          <w:rFonts w:ascii="Times New Roman" w:hAnsi="Times New Roman"/>
          <w:sz w:val="24"/>
          <w:szCs w:val="24"/>
          <w:lang w:val="en-GB"/>
        </w:rPr>
        <w:t>Heid</w:t>
      </w:r>
      <w:proofErr w:type="spellEnd"/>
      <w:r>
        <w:rPr>
          <w:rFonts w:ascii="Times New Roman" w:hAnsi="Times New Roman"/>
          <w:sz w:val="24"/>
          <w:szCs w:val="24"/>
          <w:lang w:val="en-GB"/>
        </w:rPr>
        <w:t xml:space="preserve"> and Sybille </w:t>
      </w:r>
      <w:proofErr w:type="spellStart"/>
      <w:r>
        <w:rPr>
          <w:rFonts w:ascii="Times New Roman" w:hAnsi="Times New Roman"/>
          <w:sz w:val="24"/>
          <w:szCs w:val="24"/>
          <w:lang w:val="en-GB"/>
        </w:rPr>
        <w:t>Lehwald</w:t>
      </w:r>
      <w:proofErr w:type="spellEnd"/>
      <w:r>
        <w:rPr>
          <w:rFonts w:ascii="Times New Roman" w:hAnsi="Times New Roman"/>
          <w:sz w:val="24"/>
          <w:szCs w:val="24"/>
          <w:lang w:val="en-GB"/>
        </w:rPr>
        <w:t xml:space="preserve"> “Transatlantic Trade and Investment Partnership: Who benefits from a free-trade deal?</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w:t>
      </w:r>
      <w:r w:rsidRPr="005A73E1">
        <w:rPr>
          <w:rFonts w:ascii="Times New Roman" w:hAnsi="Times New Roman"/>
          <w:i/>
          <w:sz w:val="24"/>
          <w:szCs w:val="24"/>
          <w:lang w:val="en-GB"/>
        </w:rPr>
        <w:t>Bertelsmann Foundation</w:t>
      </w:r>
      <w:r>
        <w:rPr>
          <w:rFonts w:ascii="Times New Roman" w:hAnsi="Times New Roman"/>
          <w:sz w:val="24"/>
          <w:szCs w:val="24"/>
          <w:lang w:val="en-GB"/>
        </w:rPr>
        <w:t xml:space="preserve">, 17 June 2013. </w:t>
      </w:r>
    </w:p>
    <w:p w:rsidR="005A73E1" w:rsidRDefault="005A73E1" w:rsidP="00C836AB">
      <w:pPr>
        <w:pStyle w:val="Pargrafdellista1"/>
        <w:spacing w:line="240" w:lineRule="auto"/>
        <w:ind w:left="0"/>
        <w:jc w:val="both"/>
        <w:rPr>
          <w:rFonts w:ascii="Times New Roman" w:hAnsi="Times New Roman"/>
          <w:sz w:val="24"/>
          <w:szCs w:val="24"/>
          <w:lang w:val="en-GB"/>
        </w:rPr>
      </w:pPr>
    </w:p>
    <w:p w:rsidR="00F70172" w:rsidRDefault="00F70172"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Francois, Joseph (</w:t>
      </w:r>
      <w:proofErr w:type="spellStart"/>
      <w:r>
        <w:rPr>
          <w:rFonts w:ascii="Times New Roman" w:hAnsi="Times New Roman"/>
          <w:sz w:val="24"/>
          <w:szCs w:val="24"/>
          <w:lang w:val="en-GB"/>
        </w:rPr>
        <w:t>dir</w:t>
      </w:r>
      <w:proofErr w:type="spellEnd"/>
      <w:r>
        <w:rPr>
          <w:rFonts w:ascii="Times New Roman" w:hAnsi="Times New Roman"/>
          <w:sz w:val="24"/>
          <w:szCs w:val="24"/>
          <w:lang w:val="en-GB"/>
        </w:rPr>
        <w:t xml:space="preserve">) “Reducing Transatlantic Barriers to Trade and Investment: An Economic Assessment”, </w:t>
      </w:r>
      <w:r w:rsidRPr="00F70172">
        <w:rPr>
          <w:rFonts w:ascii="Times New Roman" w:hAnsi="Times New Roman"/>
          <w:i/>
          <w:sz w:val="24"/>
          <w:szCs w:val="24"/>
          <w:lang w:val="en-GB"/>
        </w:rPr>
        <w:t>Centre for Economic Policy Research</w:t>
      </w:r>
      <w:r>
        <w:rPr>
          <w:rFonts w:ascii="Times New Roman" w:hAnsi="Times New Roman"/>
          <w:sz w:val="24"/>
          <w:szCs w:val="24"/>
          <w:lang w:val="en-GB"/>
        </w:rPr>
        <w:t xml:space="preserve">, London, March 2013. </w:t>
      </w:r>
    </w:p>
    <w:p w:rsidR="00F70172" w:rsidRPr="00874087" w:rsidRDefault="00F70172" w:rsidP="00C836AB">
      <w:pPr>
        <w:pStyle w:val="Pargrafdellista1"/>
        <w:spacing w:line="240" w:lineRule="auto"/>
        <w:ind w:left="0"/>
        <w:jc w:val="both"/>
        <w:rPr>
          <w:rFonts w:ascii="Times New Roman" w:hAnsi="Times New Roman"/>
          <w:sz w:val="24"/>
          <w:szCs w:val="24"/>
          <w:lang w:val="en-GB"/>
        </w:rPr>
      </w:pPr>
    </w:p>
    <w:p w:rsidR="00753B81" w:rsidRDefault="00753B81" w:rsidP="00C836AB">
      <w:pPr>
        <w:pStyle w:val="Pargrafdellista1"/>
        <w:spacing w:line="240" w:lineRule="auto"/>
        <w:ind w:left="0"/>
        <w:jc w:val="both"/>
        <w:rPr>
          <w:rFonts w:ascii="Times New Roman" w:hAnsi="Times New Roman"/>
          <w:sz w:val="24"/>
          <w:szCs w:val="24"/>
          <w:lang w:val="en-GB"/>
        </w:rPr>
      </w:pPr>
      <w:proofErr w:type="spellStart"/>
      <w:r>
        <w:rPr>
          <w:rFonts w:ascii="Times New Roman" w:hAnsi="Times New Roman"/>
          <w:sz w:val="24"/>
          <w:szCs w:val="24"/>
          <w:lang w:val="en-GB"/>
        </w:rPr>
        <w:t>Galar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Malgorzata</w:t>
      </w:r>
      <w:proofErr w:type="spellEnd"/>
      <w:r>
        <w:rPr>
          <w:rFonts w:ascii="Times New Roman" w:hAnsi="Times New Roman"/>
          <w:sz w:val="24"/>
          <w:szCs w:val="24"/>
          <w:lang w:val="en-GB"/>
        </w:rPr>
        <w:t xml:space="preserve"> “EU trade negotiations from a global value chain perspective” ECFIN Economic Brief Issue 28, December 2013.</w:t>
      </w:r>
    </w:p>
    <w:p w:rsidR="00753B81" w:rsidRDefault="00753B8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gramStart"/>
      <w:r w:rsidRPr="00E17603">
        <w:rPr>
          <w:rFonts w:ascii="Times New Roman" w:hAnsi="Times New Roman"/>
          <w:sz w:val="24"/>
          <w:szCs w:val="24"/>
          <w:lang w:val="en-US"/>
        </w:rPr>
        <w:t>Garcia-Duran, Patricia; Kienzle, Benjamin; Millet, Montserrat.</w:t>
      </w:r>
      <w:proofErr w:type="gramEnd"/>
      <w:r w:rsidRPr="00E17603">
        <w:rPr>
          <w:rFonts w:ascii="Times New Roman" w:hAnsi="Times New Roman"/>
          <w:sz w:val="24"/>
          <w:szCs w:val="24"/>
          <w:lang w:val="en-US"/>
        </w:rPr>
        <w:t xml:space="preserve"> </w:t>
      </w:r>
      <w:r w:rsidRPr="00874087">
        <w:rPr>
          <w:rFonts w:ascii="Times New Roman" w:hAnsi="Times New Roman"/>
          <w:sz w:val="24"/>
          <w:szCs w:val="24"/>
          <w:lang w:val="en-GB"/>
        </w:rPr>
        <w:t xml:space="preserve">“Revisiting European influence: the case of agricultural trade negotiations”. </w:t>
      </w:r>
      <w:r w:rsidRPr="00874087">
        <w:rPr>
          <w:rFonts w:ascii="Times New Roman" w:hAnsi="Times New Roman"/>
          <w:i/>
          <w:sz w:val="24"/>
          <w:szCs w:val="24"/>
          <w:lang w:val="en-GB"/>
        </w:rPr>
        <w:t>Journal of World Trade</w:t>
      </w:r>
      <w:r w:rsidRPr="00874087">
        <w:rPr>
          <w:rFonts w:ascii="Times New Roman" w:hAnsi="Times New Roman"/>
          <w:sz w:val="24"/>
          <w:szCs w:val="24"/>
          <w:lang w:val="en-GB"/>
        </w:rPr>
        <w:t>, vol. 48, nº 5 (2014)</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590879" w:rsidRDefault="00590879" w:rsidP="00C836AB">
      <w:pPr>
        <w:pStyle w:val="Pargrafdellista1"/>
        <w:spacing w:line="240" w:lineRule="auto"/>
        <w:ind w:left="0"/>
        <w:jc w:val="both"/>
        <w:rPr>
          <w:rFonts w:ascii="Times New Roman" w:hAnsi="Times New Roman"/>
          <w:sz w:val="24"/>
          <w:szCs w:val="24"/>
          <w:lang w:val="en-GB"/>
        </w:rPr>
      </w:pPr>
      <w:proofErr w:type="spellStart"/>
      <w:r>
        <w:rPr>
          <w:rFonts w:ascii="Times New Roman" w:hAnsi="Times New Roman"/>
          <w:sz w:val="24"/>
          <w:szCs w:val="24"/>
          <w:lang w:val="en-GB"/>
        </w:rPr>
        <w:t>Herwig</w:t>
      </w:r>
      <w:proofErr w:type="spellEnd"/>
      <w:r>
        <w:rPr>
          <w:rFonts w:ascii="Times New Roman" w:hAnsi="Times New Roman"/>
          <w:sz w:val="24"/>
          <w:szCs w:val="24"/>
          <w:lang w:val="en-GB"/>
        </w:rPr>
        <w:t xml:space="preserve">, Alexia (2013)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WTO and the Doha Negotiation in Crisis? </w:t>
      </w:r>
      <w:proofErr w:type="gramStart"/>
      <w:r>
        <w:rPr>
          <w:rFonts w:ascii="Times New Roman" w:hAnsi="Times New Roman"/>
          <w:sz w:val="24"/>
          <w:szCs w:val="24"/>
          <w:lang w:val="en-GB"/>
        </w:rPr>
        <w:t xml:space="preserve">Netherlands Yearbook of International Law </w:t>
      </w:r>
      <w:proofErr w:type="spellStart"/>
      <w:r>
        <w:rPr>
          <w:rFonts w:ascii="Times New Roman" w:hAnsi="Times New Roman"/>
          <w:sz w:val="24"/>
          <w:szCs w:val="24"/>
          <w:lang w:val="en-GB"/>
        </w:rPr>
        <w:t>Vol</w:t>
      </w:r>
      <w:proofErr w:type="spellEnd"/>
      <w:r>
        <w:rPr>
          <w:rFonts w:ascii="Times New Roman" w:hAnsi="Times New Roman"/>
          <w:sz w:val="24"/>
          <w:szCs w:val="24"/>
          <w:lang w:val="en-GB"/>
        </w:rPr>
        <w:t xml:space="preserve"> 44 (no number), p 161-185.</w:t>
      </w:r>
      <w:proofErr w:type="gramEnd"/>
    </w:p>
    <w:p w:rsidR="00590879" w:rsidRPr="00D5114D" w:rsidRDefault="00590879" w:rsidP="00C836AB">
      <w:pPr>
        <w:pStyle w:val="Pargrafdellista1"/>
        <w:spacing w:line="240" w:lineRule="auto"/>
        <w:ind w:left="0"/>
        <w:jc w:val="both"/>
        <w:rPr>
          <w:rFonts w:ascii="Times New Roman" w:hAnsi="Times New Roman"/>
          <w:sz w:val="24"/>
          <w:szCs w:val="24"/>
          <w:lang w:val="en-GB"/>
        </w:rPr>
      </w:pPr>
    </w:p>
    <w:p w:rsidR="00A247B1" w:rsidRPr="00D5114D" w:rsidRDefault="00A247B1" w:rsidP="00C836AB">
      <w:pPr>
        <w:pStyle w:val="Pargrafdellista1"/>
        <w:spacing w:line="240" w:lineRule="auto"/>
        <w:ind w:left="0"/>
        <w:jc w:val="both"/>
        <w:rPr>
          <w:rFonts w:ascii="Times New Roman" w:hAnsi="Times New Roman"/>
          <w:sz w:val="24"/>
          <w:szCs w:val="24"/>
        </w:rPr>
      </w:pPr>
      <w:proofErr w:type="gramStart"/>
      <w:r w:rsidRPr="00D5114D">
        <w:rPr>
          <w:rFonts w:ascii="Times New Roman" w:hAnsi="Times New Roman"/>
          <w:sz w:val="24"/>
          <w:szCs w:val="24"/>
          <w:lang w:val="en-GB"/>
        </w:rPr>
        <w:t xml:space="preserve">Horn, Henrik; </w:t>
      </w:r>
      <w:proofErr w:type="spellStart"/>
      <w:r w:rsidRPr="00D5114D">
        <w:rPr>
          <w:rFonts w:ascii="Times New Roman" w:hAnsi="Times New Roman"/>
          <w:sz w:val="24"/>
          <w:szCs w:val="24"/>
          <w:lang w:val="en-GB"/>
        </w:rPr>
        <w:t>Mavroidis</w:t>
      </w:r>
      <w:proofErr w:type="spellEnd"/>
      <w:r w:rsidRPr="00D5114D">
        <w:rPr>
          <w:rFonts w:ascii="Times New Roman" w:hAnsi="Times New Roman"/>
          <w:sz w:val="24"/>
          <w:szCs w:val="24"/>
          <w:lang w:val="en-GB"/>
        </w:rPr>
        <w:t xml:space="preserve">, </w:t>
      </w:r>
      <w:proofErr w:type="spellStart"/>
      <w:r w:rsidRPr="00D5114D">
        <w:rPr>
          <w:rFonts w:ascii="Times New Roman" w:hAnsi="Times New Roman"/>
          <w:sz w:val="24"/>
          <w:szCs w:val="24"/>
          <w:lang w:val="en-GB"/>
        </w:rPr>
        <w:t>Petros</w:t>
      </w:r>
      <w:proofErr w:type="spellEnd"/>
      <w:r w:rsidRPr="00D5114D">
        <w:rPr>
          <w:rFonts w:ascii="Times New Roman" w:hAnsi="Times New Roman"/>
          <w:sz w:val="24"/>
          <w:szCs w:val="24"/>
          <w:lang w:val="en-GB"/>
        </w:rPr>
        <w:t xml:space="preserve"> C; Sapir, André.</w:t>
      </w:r>
      <w:proofErr w:type="gramEnd"/>
      <w:r w:rsidRPr="00D5114D">
        <w:rPr>
          <w:rFonts w:ascii="Times New Roman" w:hAnsi="Times New Roman"/>
          <w:sz w:val="24"/>
          <w:szCs w:val="24"/>
          <w:lang w:val="en-GB"/>
        </w:rPr>
        <w:t xml:space="preserve"> </w:t>
      </w:r>
      <w:r w:rsidRPr="00874087">
        <w:rPr>
          <w:rFonts w:ascii="Times New Roman" w:hAnsi="Times New Roman"/>
          <w:sz w:val="24"/>
          <w:szCs w:val="24"/>
          <w:lang w:val="en-GB"/>
        </w:rPr>
        <w:t xml:space="preserve">“Beyond the WTO? An anatomy of EU and US preferential trade agreements”. </w:t>
      </w:r>
      <w:proofErr w:type="spellStart"/>
      <w:r w:rsidRPr="00D5114D">
        <w:rPr>
          <w:rFonts w:ascii="Times New Roman" w:hAnsi="Times New Roman"/>
          <w:i/>
          <w:sz w:val="24"/>
          <w:szCs w:val="24"/>
        </w:rPr>
        <w:t>Bruegel</w:t>
      </w:r>
      <w:proofErr w:type="spellEnd"/>
      <w:r w:rsidRPr="00D5114D">
        <w:rPr>
          <w:rFonts w:ascii="Times New Roman" w:hAnsi="Times New Roman"/>
          <w:i/>
          <w:sz w:val="24"/>
          <w:szCs w:val="24"/>
        </w:rPr>
        <w:t xml:space="preserve"> </w:t>
      </w:r>
      <w:proofErr w:type="spellStart"/>
      <w:r w:rsidRPr="00D5114D">
        <w:rPr>
          <w:rFonts w:ascii="Times New Roman" w:hAnsi="Times New Roman"/>
          <w:i/>
          <w:sz w:val="24"/>
          <w:szCs w:val="24"/>
        </w:rPr>
        <w:t>Blueprint</w:t>
      </w:r>
      <w:proofErr w:type="spellEnd"/>
      <w:r w:rsidRPr="00D5114D">
        <w:rPr>
          <w:rFonts w:ascii="Times New Roman" w:hAnsi="Times New Roman"/>
          <w:i/>
          <w:sz w:val="24"/>
          <w:szCs w:val="24"/>
        </w:rPr>
        <w:t xml:space="preserve"> Series</w:t>
      </w:r>
      <w:r w:rsidRPr="00D5114D">
        <w:rPr>
          <w:rFonts w:ascii="Times New Roman" w:hAnsi="Times New Roman"/>
          <w:sz w:val="24"/>
          <w:szCs w:val="24"/>
        </w:rPr>
        <w:t xml:space="preserve">, nº 7 (2009), p. 1-65. </w:t>
      </w:r>
    </w:p>
    <w:p w:rsidR="00A247B1" w:rsidRPr="00D5114D" w:rsidRDefault="00A247B1" w:rsidP="00C836AB">
      <w:pPr>
        <w:pStyle w:val="Pargrafdellista1"/>
        <w:spacing w:line="240" w:lineRule="auto"/>
        <w:ind w:left="0"/>
        <w:jc w:val="both"/>
        <w:rPr>
          <w:rFonts w:ascii="Times New Roman" w:hAnsi="Times New Roman"/>
          <w:sz w:val="24"/>
          <w:szCs w:val="24"/>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rPr>
        <w:t xml:space="preserve">Lamy, Pascal. “La gran transformación del comercio internacional”. </w:t>
      </w:r>
      <w:r w:rsidRPr="00874087">
        <w:rPr>
          <w:rFonts w:ascii="Times New Roman" w:hAnsi="Times New Roman"/>
          <w:i/>
          <w:sz w:val="24"/>
          <w:szCs w:val="24"/>
          <w:lang w:val="en-GB"/>
        </w:rPr>
        <w:t>Política Exterior</w:t>
      </w:r>
      <w:r w:rsidRPr="00874087">
        <w:rPr>
          <w:rFonts w:ascii="Times New Roman" w:hAnsi="Times New Roman"/>
          <w:sz w:val="24"/>
          <w:szCs w:val="24"/>
          <w:lang w:val="en-GB"/>
        </w:rPr>
        <w:t>, vol. 151, (mayo-</w:t>
      </w:r>
      <w:proofErr w:type="spellStart"/>
      <w:r w:rsidRPr="00874087">
        <w:rPr>
          <w:rFonts w:ascii="Times New Roman" w:hAnsi="Times New Roman"/>
          <w:sz w:val="24"/>
          <w:szCs w:val="24"/>
          <w:lang w:val="en-GB"/>
        </w:rPr>
        <w:t>junio</w:t>
      </w:r>
      <w:proofErr w:type="spellEnd"/>
      <w:r w:rsidRPr="00874087">
        <w:rPr>
          <w:rFonts w:ascii="Times New Roman" w:hAnsi="Times New Roman"/>
          <w:sz w:val="24"/>
          <w:szCs w:val="24"/>
          <w:lang w:val="en-GB"/>
        </w:rPr>
        <w:t xml:space="preserve"> 2013), p. 28-35.</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 xml:space="preserve">Lawrence, </w:t>
      </w:r>
      <w:proofErr w:type="spellStart"/>
      <w:r w:rsidRPr="00874087">
        <w:rPr>
          <w:rFonts w:ascii="Times New Roman" w:hAnsi="Times New Roman"/>
          <w:sz w:val="24"/>
          <w:szCs w:val="24"/>
          <w:lang w:val="en-GB"/>
        </w:rPr>
        <w:t>Rovert</w:t>
      </w:r>
      <w:proofErr w:type="spellEnd"/>
      <w:r w:rsidRPr="00874087">
        <w:rPr>
          <w:rFonts w:ascii="Times New Roman" w:hAnsi="Times New Roman"/>
          <w:sz w:val="24"/>
          <w:szCs w:val="24"/>
          <w:lang w:val="en-GB"/>
        </w:rPr>
        <w:t xml:space="preserve"> Z. “When the immovable object meets the unstoppable force” en </w:t>
      </w:r>
      <w:r w:rsidRPr="00874087">
        <w:rPr>
          <w:rFonts w:ascii="Times New Roman" w:hAnsi="Times New Roman"/>
          <w:i/>
          <w:sz w:val="24"/>
          <w:szCs w:val="24"/>
          <w:lang w:val="en-GB"/>
        </w:rPr>
        <w:t xml:space="preserve">The E15 </w:t>
      </w:r>
      <w:proofErr w:type="spellStart"/>
      <w:r w:rsidRPr="00874087">
        <w:rPr>
          <w:rFonts w:ascii="Times New Roman" w:hAnsi="Times New Roman"/>
          <w:i/>
          <w:sz w:val="24"/>
          <w:szCs w:val="24"/>
          <w:lang w:val="en-GB"/>
        </w:rPr>
        <w:t>Initiave</w:t>
      </w:r>
      <w:proofErr w:type="spellEnd"/>
      <w:r w:rsidRPr="00874087">
        <w:rPr>
          <w:rFonts w:ascii="Times New Roman" w:hAnsi="Times New Roman"/>
          <w:i/>
          <w:sz w:val="24"/>
          <w:szCs w:val="24"/>
          <w:lang w:val="en-GB"/>
        </w:rPr>
        <w:t>: Strengthening the Multilateral Trading System</w:t>
      </w:r>
      <w:r w:rsidRPr="00874087">
        <w:rPr>
          <w:rFonts w:ascii="Times New Roman" w:hAnsi="Times New Roman"/>
          <w:sz w:val="24"/>
          <w:szCs w:val="24"/>
          <w:lang w:val="en-GB"/>
        </w:rPr>
        <w:t>, Regional Trade Agreements Group Proposals and Analysis (ICTSD and World Economic Forum), 2013, p. 39-42.</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Meunier</w:t>
      </w:r>
      <w:proofErr w:type="spellEnd"/>
      <w:r w:rsidRPr="00874087">
        <w:rPr>
          <w:rFonts w:ascii="Times New Roman" w:hAnsi="Times New Roman"/>
          <w:sz w:val="24"/>
          <w:szCs w:val="24"/>
          <w:lang w:val="en-GB"/>
        </w:rPr>
        <w:t xml:space="preserve">, Sophie. “Managing Globalization? The EU in International Trade Negotiations”. </w:t>
      </w:r>
      <w:r w:rsidRPr="00874087">
        <w:rPr>
          <w:rFonts w:ascii="Times New Roman" w:hAnsi="Times New Roman"/>
          <w:i/>
          <w:sz w:val="24"/>
          <w:szCs w:val="24"/>
          <w:lang w:val="en-GB"/>
        </w:rPr>
        <w:t>Journal of Common Market Studies</w:t>
      </w:r>
      <w:r w:rsidRPr="00874087">
        <w:rPr>
          <w:rFonts w:ascii="Times New Roman" w:hAnsi="Times New Roman"/>
          <w:sz w:val="24"/>
          <w:szCs w:val="24"/>
          <w:lang w:val="en-GB"/>
        </w:rPr>
        <w:t>, vol. 45, nº 4 (2007), p. 905-926.</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Narlikar</w:t>
      </w:r>
      <w:proofErr w:type="spellEnd"/>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Amrita</w:t>
      </w:r>
      <w:proofErr w:type="gramStart"/>
      <w:r w:rsidRPr="00874087">
        <w:rPr>
          <w:rFonts w:ascii="Times New Roman" w:hAnsi="Times New Roman"/>
          <w:sz w:val="24"/>
          <w:szCs w:val="24"/>
          <w:lang w:val="en-GB"/>
        </w:rPr>
        <w:t>.“</w:t>
      </w:r>
      <w:proofErr w:type="gramEnd"/>
      <w:r w:rsidRPr="00874087">
        <w:rPr>
          <w:rFonts w:ascii="Times New Roman" w:hAnsi="Times New Roman"/>
          <w:sz w:val="24"/>
          <w:szCs w:val="24"/>
          <w:lang w:val="en-GB"/>
        </w:rPr>
        <w:t>New</w:t>
      </w:r>
      <w:proofErr w:type="spellEnd"/>
      <w:r w:rsidRPr="00874087">
        <w:rPr>
          <w:rFonts w:ascii="Times New Roman" w:hAnsi="Times New Roman"/>
          <w:sz w:val="24"/>
          <w:szCs w:val="24"/>
          <w:lang w:val="en-GB"/>
        </w:rPr>
        <w:t xml:space="preserve"> powers in the club: the challenges of global trade governance”. </w:t>
      </w:r>
      <w:r w:rsidRPr="00874087">
        <w:rPr>
          <w:rFonts w:ascii="Times New Roman" w:hAnsi="Times New Roman"/>
          <w:i/>
          <w:sz w:val="24"/>
          <w:szCs w:val="24"/>
          <w:lang w:val="en-GB"/>
        </w:rPr>
        <w:t>International Affairs</w:t>
      </w:r>
      <w:r w:rsidRPr="00874087">
        <w:rPr>
          <w:rFonts w:ascii="Times New Roman" w:hAnsi="Times New Roman"/>
          <w:sz w:val="24"/>
          <w:szCs w:val="24"/>
          <w:lang w:val="en-GB"/>
        </w:rPr>
        <w:t>, vol. 86, nº 3 (2010), p. 717-728.</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Narlikar</w:t>
      </w:r>
      <w:proofErr w:type="spellEnd"/>
      <w:r w:rsidRPr="00874087">
        <w:rPr>
          <w:rFonts w:ascii="Times New Roman" w:hAnsi="Times New Roman"/>
          <w:sz w:val="24"/>
          <w:szCs w:val="24"/>
          <w:lang w:val="en-GB"/>
        </w:rPr>
        <w:t>, Amrita. “Adapting to new power balances: in</w:t>
      </w:r>
      <w:r w:rsidR="003908D8">
        <w:rPr>
          <w:rFonts w:ascii="Times New Roman" w:hAnsi="Times New Roman"/>
          <w:sz w:val="24"/>
          <w:szCs w:val="24"/>
          <w:lang w:val="en-GB"/>
        </w:rPr>
        <w:t>stitutional reform in the WTO” i</w:t>
      </w:r>
      <w:r w:rsidRPr="00874087">
        <w:rPr>
          <w:rFonts w:ascii="Times New Roman" w:hAnsi="Times New Roman"/>
          <w:sz w:val="24"/>
          <w:szCs w:val="24"/>
          <w:lang w:val="en-GB"/>
        </w:rPr>
        <w:t xml:space="preserve">n </w:t>
      </w:r>
      <w:r w:rsidRPr="00874087">
        <w:rPr>
          <w:rFonts w:ascii="Times New Roman" w:hAnsi="Times New Roman"/>
          <w:i/>
          <w:sz w:val="24"/>
          <w:szCs w:val="24"/>
          <w:lang w:val="en-GB"/>
        </w:rPr>
        <w:t>Governing the World Trade Organization: Past, Present and Beyond Doha</w:t>
      </w:r>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Cottier</w:t>
      </w:r>
      <w:proofErr w:type="spellEnd"/>
      <w:r w:rsidRPr="00874087">
        <w:rPr>
          <w:rFonts w:ascii="Times New Roman" w:hAnsi="Times New Roman"/>
          <w:sz w:val="24"/>
          <w:szCs w:val="24"/>
          <w:lang w:val="en-GB"/>
        </w:rPr>
        <w:t xml:space="preserve">, </w:t>
      </w:r>
      <w:r w:rsidRPr="00874087">
        <w:rPr>
          <w:rFonts w:ascii="Times New Roman" w:hAnsi="Times New Roman"/>
          <w:sz w:val="24"/>
          <w:szCs w:val="24"/>
          <w:lang w:val="en-GB"/>
        </w:rPr>
        <w:lastRenderedPageBreak/>
        <w:t xml:space="preserve">Thomas and </w:t>
      </w:r>
      <w:proofErr w:type="spellStart"/>
      <w:r w:rsidRPr="00874087">
        <w:rPr>
          <w:rFonts w:ascii="Times New Roman" w:hAnsi="Times New Roman"/>
          <w:sz w:val="24"/>
          <w:szCs w:val="24"/>
          <w:lang w:val="en-GB"/>
        </w:rPr>
        <w:t>Elsig</w:t>
      </w:r>
      <w:proofErr w:type="spellEnd"/>
      <w:r w:rsidRPr="00874087">
        <w:rPr>
          <w:rFonts w:ascii="Times New Roman" w:hAnsi="Times New Roman"/>
          <w:sz w:val="24"/>
          <w:szCs w:val="24"/>
          <w:lang w:val="en-GB"/>
        </w:rPr>
        <w:t>, Manfred (</w:t>
      </w:r>
      <w:proofErr w:type="spellStart"/>
      <w:proofErr w:type="gramStart"/>
      <w:r w:rsidRPr="00874087">
        <w:rPr>
          <w:rFonts w:ascii="Times New Roman" w:hAnsi="Times New Roman"/>
          <w:sz w:val="24"/>
          <w:szCs w:val="24"/>
          <w:lang w:val="en-GB"/>
        </w:rPr>
        <w:t>eds</w:t>
      </w:r>
      <w:proofErr w:type="spellEnd"/>
      <w:proofErr w:type="gramEnd"/>
      <w:r w:rsidRPr="00874087">
        <w:rPr>
          <w:rFonts w:ascii="Times New Roman" w:hAnsi="Times New Roman"/>
          <w:sz w:val="24"/>
          <w:szCs w:val="24"/>
          <w:lang w:val="en-GB"/>
        </w:rPr>
        <w:t>), Cambridge: Cambridge University Press, 2011a, p 111-128.</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Narlikar</w:t>
      </w:r>
      <w:proofErr w:type="spellEnd"/>
      <w:r w:rsidRPr="00874087">
        <w:rPr>
          <w:rFonts w:ascii="Times New Roman" w:hAnsi="Times New Roman"/>
          <w:sz w:val="24"/>
          <w:szCs w:val="24"/>
          <w:lang w:val="en-GB"/>
        </w:rPr>
        <w:t xml:space="preserve">, Amrita. “The ministerial process and power dynamics in the World Trade Organization: understanding failure from Seattle to </w:t>
      </w:r>
      <w:proofErr w:type="spellStart"/>
      <w:r w:rsidRPr="00874087">
        <w:rPr>
          <w:rFonts w:ascii="Times New Roman" w:hAnsi="Times New Roman"/>
          <w:sz w:val="24"/>
          <w:szCs w:val="24"/>
          <w:lang w:val="en-GB"/>
        </w:rPr>
        <w:t>Cancún</w:t>
      </w:r>
      <w:proofErr w:type="spellEnd"/>
      <w:r w:rsidRPr="00874087">
        <w:rPr>
          <w:rFonts w:ascii="Times New Roman" w:hAnsi="Times New Roman"/>
          <w:sz w:val="24"/>
          <w:szCs w:val="24"/>
          <w:lang w:val="en-GB"/>
        </w:rPr>
        <w:t xml:space="preserve">”. </w:t>
      </w:r>
      <w:r w:rsidRPr="00874087">
        <w:rPr>
          <w:rFonts w:ascii="Times New Roman" w:hAnsi="Times New Roman"/>
          <w:i/>
          <w:sz w:val="24"/>
          <w:szCs w:val="24"/>
          <w:lang w:val="en-GB"/>
        </w:rPr>
        <w:t>New Political Economy</w:t>
      </w:r>
      <w:r w:rsidRPr="00874087">
        <w:rPr>
          <w:rFonts w:ascii="Times New Roman" w:hAnsi="Times New Roman"/>
          <w:sz w:val="24"/>
          <w:szCs w:val="24"/>
          <w:lang w:val="en-GB"/>
        </w:rPr>
        <w:t>, vol. 9, nº 3 (2011b), p. 413-428.</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spellStart"/>
      <w:r w:rsidRPr="00874087">
        <w:rPr>
          <w:rFonts w:ascii="Times New Roman" w:hAnsi="Times New Roman"/>
          <w:sz w:val="24"/>
          <w:szCs w:val="24"/>
          <w:lang w:val="en-GB"/>
        </w:rPr>
        <w:t>Narlikar</w:t>
      </w:r>
      <w:proofErr w:type="spellEnd"/>
      <w:r w:rsidRPr="00874087">
        <w:rPr>
          <w:rFonts w:ascii="Times New Roman" w:hAnsi="Times New Roman"/>
          <w:sz w:val="24"/>
          <w:szCs w:val="24"/>
          <w:lang w:val="en-GB"/>
        </w:rPr>
        <w:t>, Amrita. “Collective Agency, Systemic Consequences: bargaining co</w:t>
      </w:r>
      <w:r w:rsidR="003908D8">
        <w:rPr>
          <w:rFonts w:ascii="Times New Roman" w:hAnsi="Times New Roman"/>
          <w:sz w:val="24"/>
          <w:szCs w:val="24"/>
          <w:lang w:val="en-GB"/>
        </w:rPr>
        <w:t>alitions in the WTO” i</w:t>
      </w:r>
      <w:r w:rsidRPr="00874087">
        <w:rPr>
          <w:rFonts w:ascii="Times New Roman" w:hAnsi="Times New Roman"/>
          <w:sz w:val="24"/>
          <w:szCs w:val="24"/>
          <w:lang w:val="en-GB"/>
        </w:rPr>
        <w:t xml:space="preserve">n </w:t>
      </w:r>
      <w:r w:rsidRPr="00874087">
        <w:rPr>
          <w:rFonts w:ascii="Times New Roman" w:hAnsi="Times New Roman"/>
          <w:i/>
          <w:sz w:val="24"/>
          <w:szCs w:val="24"/>
          <w:lang w:val="en-GB"/>
        </w:rPr>
        <w:t>The Oxford Handbook on the World Trade Organization</w:t>
      </w:r>
      <w:r w:rsidRPr="00874087">
        <w:rPr>
          <w:rFonts w:ascii="Times New Roman" w:hAnsi="Times New Roman"/>
          <w:sz w:val="24"/>
          <w:szCs w:val="24"/>
          <w:lang w:val="en-GB"/>
        </w:rPr>
        <w:t xml:space="preserve">, </w:t>
      </w:r>
      <w:proofErr w:type="spellStart"/>
      <w:r w:rsidRPr="00874087">
        <w:rPr>
          <w:rFonts w:ascii="Times New Roman" w:hAnsi="Times New Roman"/>
          <w:sz w:val="24"/>
          <w:szCs w:val="24"/>
          <w:lang w:val="en-GB"/>
        </w:rPr>
        <w:t>Narlikar</w:t>
      </w:r>
      <w:proofErr w:type="spellEnd"/>
      <w:r w:rsidRPr="00874087">
        <w:rPr>
          <w:rFonts w:ascii="Times New Roman" w:hAnsi="Times New Roman"/>
          <w:sz w:val="24"/>
          <w:szCs w:val="24"/>
          <w:lang w:val="en-GB"/>
        </w:rPr>
        <w:t xml:space="preserve">, Amrita; </w:t>
      </w:r>
      <w:proofErr w:type="spellStart"/>
      <w:r w:rsidRPr="00874087">
        <w:rPr>
          <w:rFonts w:ascii="Times New Roman" w:hAnsi="Times New Roman"/>
          <w:sz w:val="24"/>
          <w:szCs w:val="24"/>
          <w:lang w:val="en-GB"/>
        </w:rPr>
        <w:t>Daunton</w:t>
      </w:r>
      <w:proofErr w:type="spellEnd"/>
      <w:r w:rsidRPr="00874087">
        <w:rPr>
          <w:rFonts w:ascii="Times New Roman" w:hAnsi="Times New Roman"/>
          <w:sz w:val="24"/>
          <w:szCs w:val="24"/>
          <w:lang w:val="en-GB"/>
        </w:rPr>
        <w:t xml:space="preserve">, Martin </w:t>
      </w:r>
      <w:r w:rsidR="003908D8">
        <w:rPr>
          <w:rFonts w:ascii="Times New Roman" w:hAnsi="Times New Roman"/>
          <w:sz w:val="24"/>
          <w:szCs w:val="24"/>
          <w:lang w:val="en-GB"/>
        </w:rPr>
        <w:t>and</w:t>
      </w:r>
      <w:r w:rsidRPr="00874087">
        <w:rPr>
          <w:rFonts w:ascii="Times New Roman" w:hAnsi="Times New Roman"/>
          <w:sz w:val="24"/>
          <w:szCs w:val="24"/>
          <w:lang w:val="en-GB"/>
        </w:rPr>
        <w:t xml:space="preserve"> Stern, Robert M. (</w:t>
      </w:r>
      <w:proofErr w:type="spellStart"/>
      <w:proofErr w:type="gramStart"/>
      <w:r w:rsidRPr="00874087">
        <w:rPr>
          <w:rFonts w:ascii="Times New Roman" w:hAnsi="Times New Roman"/>
          <w:sz w:val="24"/>
          <w:szCs w:val="24"/>
          <w:lang w:val="en-GB"/>
        </w:rPr>
        <w:t>eds</w:t>
      </w:r>
      <w:proofErr w:type="spellEnd"/>
      <w:proofErr w:type="gramEnd"/>
      <w:r w:rsidRPr="00874087">
        <w:rPr>
          <w:rFonts w:ascii="Times New Roman" w:hAnsi="Times New Roman"/>
          <w:sz w:val="24"/>
          <w:szCs w:val="24"/>
          <w:lang w:val="en-GB"/>
        </w:rPr>
        <w:t>), Croydon: Oxford University Press, 2012, p. 184-209.</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Default="00E24CE6"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 xml:space="preserve">Siles-Brügge, Gabriel (2014) “EU trade and development policy beyond the ACP: subordinating developmental to commercial imperatives in the reform of GSP” </w:t>
      </w:r>
      <w:r w:rsidRPr="00E24CE6">
        <w:rPr>
          <w:rFonts w:ascii="Times New Roman" w:hAnsi="Times New Roman"/>
          <w:i/>
          <w:sz w:val="24"/>
          <w:szCs w:val="24"/>
          <w:lang w:val="en-GB"/>
        </w:rPr>
        <w:t>Contemporary Politics</w:t>
      </w:r>
      <w:r>
        <w:rPr>
          <w:rFonts w:ascii="Times New Roman" w:hAnsi="Times New Roman"/>
          <w:sz w:val="24"/>
          <w:szCs w:val="24"/>
          <w:lang w:val="en-GB"/>
        </w:rPr>
        <w:t>, Vol. 20, nº 1, 49-62.</w:t>
      </w:r>
    </w:p>
    <w:p w:rsidR="00E24CE6" w:rsidRPr="00E119DB" w:rsidRDefault="00E24CE6"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proofErr w:type="gramStart"/>
      <w:r w:rsidRPr="00874087">
        <w:rPr>
          <w:rFonts w:ascii="Times New Roman" w:hAnsi="Times New Roman"/>
          <w:sz w:val="24"/>
          <w:szCs w:val="24"/>
          <w:lang w:val="en-GB"/>
        </w:rPr>
        <w:t xml:space="preserve">Subramanian, Arvind; Kessler, Martin “The </w:t>
      </w:r>
      <w:proofErr w:type="spellStart"/>
      <w:r w:rsidRPr="00874087">
        <w:rPr>
          <w:rFonts w:ascii="Times New Roman" w:hAnsi="Times New Roman"/>
          <w:sz w:val="24"/>
          <w:szCs w:val="24"/>
          <w:lang w:val="en-GB"/>
        </w:rPr>
        <w:t>Hyperglobalization</w:t>
      </w:r>
      <w:proofErr w:type="spellEnd"/>
      <w:r w:rsidRPr="00874087">
        <w:rPr>
          <w:rFonts w:ascii="Times New Roman" w:hAnsi="Times New Roman"/>
          <w:sz w:val="24"/>
          <w:szCs w:val="24"/>
          <w:lang w:val="en-GB"/>
        </w:rPr>
        <w:t xml:space="preserve"> of Trade and Its Future”.</w:t>
      </w:r>
      <w:proofErr w:type="gramEnd"/>
      <w:r w:rsidRPr="00874087">
        <w:rPr>
          <w:rFonts w:ascii="Times New Roman" w:hAnsi="Times New Roman"/>
          <w:sz w:val="24"/>
          <w:szCs w:val="24"/>
          <w:lang w:val="en-GB"/>
        </w:rPr>
        <w:t xml:space="preserve"> </w:t>
      </w:r>
      <w:r w:rsidRPr="00874087">
        <w:rPr>
          <w:rFonts w:ascii="Times New Roman" w:hAnsi="Times New Roman"/>
          <w:i/>
          <w:sz w:val="24"/>
          <w:szCs w:val="24"/>
          <w:lang w:val="en-GB"/>
        </w:rPr>
        <w:t>Peterson Institute for International Economics Working Paper</w:t>
      </w:r>
      <w:r w:rsidRPr="00874087">
        <w:rPr>
          <w:rFonts w:ascii="Times New Roman" w:hAnsi="Times New Roman"/>
          <w:sz w:val="24"/>
          <w:szCs w:val="24"/>
          <w:lang w:val="en-GB"/>
        </w:rPr>
        <w:t>, nº 13-6 (2013), p. 1-66.</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 xml:space="preserve">Schwab, Susan C. “After Doha: Why the Negotiations Are Doomed and What We Should Do About It”. </w:t>
      </w:r>
      <w:r w:rsidRPr="00874087">
        <w:rPr>
          <w:rFonts w:ascii="Times New Roman" w:hAnsi="Times New Roman"/>
          <w:i/>
          <w:sz w:val="24"/>
          <w:szCs w:val="24"/>
          <w:lang w:val="en-GB"/>
        </w:rPr>
        <w:t>Foreign Affairs</w:t>
      </w:r>
      <w:r w:rsidRPr="00874087">
        <w:rPr>
          <w:rFonts w:ascii="Times New Roman" w:hAnsi="Times New Roman"/>
          <w:sz w:val="24"/>
          <w:szCs w:val="24"/>
          <w:lang w:val="en-GB"/>
        </w:rPr>
        <w:t>, May-June 2011.</w:t>
      </w:r>
    </w:p>
    <w:p w:rsidR="00A247B1" w:rsidRDefault="00A247B1" w:rsidP="00C836AB">
      <w:pPr>
        <w:pStyle w:val="Pargrafdellista1"/>
        <w:spacing w:line="240" w:lineRule="auto"/>
        <w:ind w:left="0"/>
        <w:jc w:val="both"/>
        <w:rPr>
          <w:rFonts w:ascii="Times New Roman" w:hAnsi="Times New Roman"/>
          <w:sz w:val="24"/>
          <w:szCs w:val="24"/>
          <w:lang w:val="en-GB"/>
        </w:rPr>
      </w:pPr>
    </w:p>
    <w:p w:rsidR="00B26E5E" w:rsidRDefault="00B26E5E"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 xml:space="preserve">UNCTAD (2014) </w:t>
      </w:r>
      <w:r w:rsidRPr="00E16148">
        <w:rPr>
          <w:rFonts w:ascii="Times New Roman" w:hAnsi="Times New Roman"/>
          <w:i/>
          <w:sz w:val="24"/>
          <w:szCs w:val="24"/>
          <w:lang w:val="en-GB"/>
        </w:rPr>
        <w:t>Trade and Development Report 2014: Global Governance and Policy Space for Development</w:t>
      </w:r>
      <w:r>
        <w:rPr>
          <w:rFonts w:ascii="Times New Roman" w:hAnsi="Times New Roman"/>
          <w:sz w:val="24"/>
          <w:szCs w:val="24"/>
          <w:lang w:val="en-GB"/>
        </w:rPr>
        <w:t xml:space="preserve">, UNCTAD/TDR/2014. </w:t>
      </w:r>
    </w:p>
    <w:p w:rsidR="00B26E5E" w:rsidRPr="00874087" w:rsidRDefault="00B26E5E"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2E70B0">
        <w:rPr>
          <w:rFonts w:ascii="Times New Roman" w:hAnsi="Times New Roman"/>
          <w:sz w:val="24"/>
          <w:szCs w:val="24"/>
        </w:rPr>
        <w:t xml:space="preserve">Van den </w:t>
      </w:r>
      <w:proofErr w:type="spellStart"/>
      <w:r w:rsidRPr="002E70B0">
        <w:rPr>
          <w:rFonts w:ascii="Times New Roman" w:hAnsi="Times New Roman"/>
          <w:sz w:val="24"/>
          <w:szCs w:val="24"/>
        </w:rPr>
        <w:t>Bossche</w:t>
      </w:r>
      <w:proofErr w:type="spellEnd"/>
      <w:r w:rsidRPr="002E70B0">
        <w:rPr>
          <w:rFonts w:ascii="Times New Roman" w:hAnsi="Times New Roman"/>
          <w:sz w:val="24"/>
          <w:szCs w:val="24"/>
        </w:rPr>
        <w:t xml:space="preserve">, Peter; </w:t>
      </w:r>
      <w:proofErr w:type="spellStart"/>
      <w:r w:rsidRPr="002E70B0">
        <w:rPr>
          <w:rFonts w:ascii="Times New Roman" w:hAnsi="Times New Roman"/>
          <w:sz w:val="24"/>
          <w:szCs w:val="24"/>
        </w:rPr>
        <w:t>Alexovicová</w:t>
      </w:r>
      <w:proofErr w:type="spellEnd"/>
      <w:r w:rsidRPr="002E70B0">
        <w:rPr>
          <w:rFonts w:ascii="Times New Roman" w:hAnsi="Times New Roman"/>
          <w:sz w:val="24"/>
          <w:szCs w:val="24"/>
        </w:rPr>
        <w:t xml:space="preserve">, </w:t>
      </w:r>
      <w:proofErr w:type="spellStart"/>
      <w:r w:rsidRPr="002E70B0">
        <w:rPr>
          <w:rFonts w:ascii="Times New Roman" w:hAnsi="Times New Roman"/>
          <w:sz w:val="24"/>
          <w:szCs w:val="24"/>
        </w:rPr>
        <w:t>Iveta</w:t>
      </w:r>
      <w:proofErr w:type="spellEnd"/>
      <w:r w:rsidRPr="002E70B0">
        <w:rPr>
          <w:rFonts w:ascii="Times New Roman" w:hAnsi="Times New Roman"/>
          <w:sz w:val="24"/>
          <w:szCs w:val="24"/>
        </w:rPr>
        <w:t xml:space="preserve">. </w:t>
      </w:r>
      <w:r w:rsidRPr="00874087">
        <w:rPr>
          <w:rFonts w:ascii="Times New Roman" w:hAnsi="Times New Roman"/>
          <w:sz w:val="24"/>
          <w:szCs w:val="24"/>
          <w:lang w:val="en-GB"/>
        </w:rPr>
        <w:t xml:space="preserve">“Effective Global Economic Governance by the World Trade Organization”. </w:t>
      </w:r>
      <w:r w:rsidRPr="00874087">
        <w:rPr>
          <w:rFonts w:ascii="Times New Roman" w:hAnsi="Times New Roman"/>
          <w:i/>
          <w:sz w:val="24"/>
          <w:szCs w:val="24"/>
          <w:lang w:val="en-GB"/>
        </w:rPr>
        <w:t>Journal of International Economic Law</w:t>
      </w:r>
      <w:r w:rsidRPr="00874087">
        <w:rPr>
          <w:rFonts w:ascii="Times New Roman" w:hAnsi="Times New Roman"/>
          <w:sz w:val="24"/>
          <w:szCs w:val="24"/>
          <w:lang w:val="en-GB"/>
        </w:rPr>
        <w:t xml:space="preserve">, vol. 8, nº 3 (2005), p. 667-690. </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Woolcock, Ste</w:t>
      </w:r>
      <w:r w:rsidR="00D80EA7">
        <w:rPr>
          <w:rFonts w:ascii="Times New Roman" w:hAnsi="Times New Roman"/>
          <w:sz w:val="24"/>
          <w:szCs w:val="24"/>
          <w:lang w:val="en-GB"/>
        </w:rPr>
        <w:t>ph</w:t>
      </w:r>
      <w:r w:rsidRPr="00874087">
        <w:rPr>
          <w:rFonts w:ascii="Times New Roman" w:hAnsi="Times New Roman"/>
          <w:sz w:val="24"/>
          <w:szCs w:val="24"/>
          <w:lang w:val="en-GB"/>
        </w:rPr>
        <w:t xml:space="preserve">en. “European Union policy towards Free Trade Agreements” </w:t>
      </w:r>
      <w:r w:rsidRPr="00874087">
        <w:rPr>
          <w:rFonts w:ascii="Times New Roman" w:hAnsi="Times New Roman"/>
          <w:i/>
          <w:sz w:val="24"/>
          <w:szCs w:val="24"/>
          <w:lang w:val="en-GB"/>
        </w:rPr>
        <w:t>European Centre for International Political Economy (ECIPE) Working Paper</w:t>
      </w:r>
      <w:r w:rsidRPr="00874087">
        <w:rPr>
          <w:rFonts w:ascii="Times New Roman" w:hAnsi="Times New Roman"/>
          <w:sz w:val="24"/>
          <w:szCs w:val="24"/>
          <w:lang w:val="en-GB"/>
        </w:rPr>
        <w:t>, nº 3 (2007).</w:t>
      </w:r>
    </w:p>
    <w:p w:rsidR="00A247B1" w:rsidRPr="00874087" w:rsidRDefault="00A247B1" w:rsidP="00C836AB">
      <w:pPr>
        <w:pStyle w:val="Pargrafdellista1"/>
        <w:spacing w:line="240" w:lineRule="auto"/>
        <w:ind w:left="0"/>
        <w:jc w:val="both"/>
        <w:rPr>
          <w:rFonts w:ascii="Times New Roman" w:hAnsi="Times New Roman"/>
          <w:sz w:val="24"/>
          <w:szCs w:val="24"/>
          <w:lang w:val="en-GB"/>
        </w:rPr>
      </w:pPr>
    </w:p>
    <w:p w:rsidR="00A247B1" w:rsidRPr="00874087" w:rsidRDefault="00D80EA7" w:rsidP="00C836AB">
      <w:pPr>
        <w:pStyle w:val="Pargrafdellista1"/>
        <w:spacing w:line="240" w:lineRule="auto"/>
        <w:ind w:left="0"/>
        <w:jc w:val="both"/>
        <w:rPr>
          <w:rFonts w:ascii="Times New Roman" w:hAnsi="Times New Roman"/>
          <w:sz w:val="24"/>
          <w:szCs w:val="24"/>
          <w:lang w:val="en-GB"/>
        </w:rPr>
      </w:pPr>
      <w:proofErr w:type="spellStart"/>
      <w:r>
        <w:rPr>
          <w:rFonts w:ascii="Times New Roman" w:hAnsi="Times New Roman"/>
          <w:sz w:val="24"/>
          <w:szCs w:val="24"/>
          <w:lang w:val="en-GB"/>
        </w:rPr>
        <w:t>Woolcock</w:t>
      </w:r>
      <w:proofErr w:type="spellEnd"/>
      <w:r>
        <w:rPr>
          <w:rFonts w:ascii="Times New Roman" w:hAnsi="Times New Roman"/>
          <w:sz w:val="24"/>
          <w:szCs w:val="24"/>
          <w:lang w:val="en-GB"/>
        </w:rPr>
        <w:t>, Steph</w:t>
      </w:r>
      <w:r w:rsidR="00A247B1" w:rsidRPr="00874087">
        <w:rPr>
          <w:rFonts w:ascii="Times New Roman" w:hAnsi="Times New Roman"/>
          <w:sz w:val="24"/>
          <w:szCs w:val="24"/>
          <w:lang w:val="en-GB"/>
        </w:rPr>
        <w:t xml:space="preserve">en. </w:t>
      </w:r>
      <w:r w:rsidR="00A247B1" w:rsidRPr="00874087">
        <w:rPr>
          <w:rFonts w:ascii="Times New Roman" w:hAnsi="Times New Roman"/>
          <w:i/>
          <w:sz w:val="24"/>
          <w:szCs w:val="24"/>
          <w:lang w:val="en-GB"/>
        </w:rPr>
        <w:t>European Union Economic Diplomacy: The Role of the EU in External Economic Relations</w:t>
      </w:r>
      <w:r w:rsidR="00A247B1" w:rsidRPr="00874087">
        <w:rPr>
          <w:rFonts w:ascii="Times New Roman" w:hAnsi="Times New Roman"/>
          <w:sz w:val="24"/>
          <w:szCs w:val="24"/>
          <w:lang w:val="en-GB"/>
        </w:rPr>
        <w:t xml:space="preserve">. Farnham: </w:t>
      </w:r>
      <w:proofErr w:type="spellStart"/>
      <w:r w:rsidR="00A247B1" w:rsidRPr="00874087">
        <w:rPr>
          <w:rFonts w:ascii="Times New Roman" w:hAnsi="Times New Roman"/>
          <w:sz w:val="24"/>
          <w:szCs w:val="24"/>
          <w:lang w:val="en-GB"/>
        </w:rPr>
        <w:t>Ashgate</w:t>
      </w:r>
      <w:proofErr w:type="spellEnd"/>
      <w:r w:rsidR="00A247B1" w:rsidRPr="00874087">
        <w:rPr>
          <w:rFonts w:ascii="Times New Roman" w:hAnsi="Times New Roman"/>
          <w:sz w:val="24"/>
          <w:szCs w:val="24"/>
          <w:lang w:val="en-GB"/>
        </w:rPr>
        <w:t xml:space="preserve">, 2012. </w:t>
      </w:r>
    </w:p>
    <w:p w:rsidR="00A247B1" w:rsidRDefault="00A247B1" w:rsidP="00C836AB">
      <w:pPr>
        <w:pStyle w:val="Pargrafdellista1"/>
        <w:spacing w:line="240" w:lineRule="auto"/>
        <w:ind w:left="0"/>
        <w:jc w:val="both"/>
        <w:rPr>
          <w:rFonts w:ascii="Times New Roman" w:hAnsi="Times New Roman"/>
          <w:sz w:val="24"/>
          <w:szCs w:val="24"/>
          <w:lang w:val="en-GB"/>
        </w:rPr>
      </w:pPr>
    </w:p>
    <w:p w:rsidR="00D80EA7" w:rsidRDefault="00D80EA7" w:rsidP="00C836AB">
      <w:pPr>
        <w:pStyle w:val="Pargrafdellista1"/>
        <w:spacing w:line="240" w:lineRule="auto"/>
        <w:ind w:left="0"/>
        <w:jc w:val="both"/>
        <w:rPr>
          <w:rFonts w:ascii="Times New Roman" w:hAnsi="Times New Roman"/>
          <w:sz w:val="24"/>
          <w:szCs w:val="24"/>
          <w:lang w:val="en-GB"/>
        </w:rPr>
      </w:pPr>
      <w:proofErr w:type="spellStart"/>
      <w:r>
        <w:rPr>
          <w:rFonts w:ascii="Times New Roman" w:hAnsi="Times New Roman"/>
          <w:sz w:val="24"/>
          <w:szCs w:val="24"/>
          <w:lang w:val="en-GB"/>
        </w:rPr>
        <w:t>Woolcock</w:t>
      </w:r>
      <w:proofErr w:type="spellEnd"/>
      <w:r>
        <w:rPr>
          <w:rFonts w:ascii="Times New Roman" w:hAnsi="Times New Roman"/>
          <w:sz w:val="24"/>
          <w:szCs w:val="24"/>
          <w:lang w:val="en-GB"/>
        </w:rPr>
        <w:t xml:space="preserve">, Stephen (2014) “Differentiation within reciprocity: the European Union approach to preferential trade agreements” </w:t>
      </w:r>
      <w:r w:rsidRPr="00D80EA7">
        <w:rPr>
          <w:rFonts w:ascii="Times New Roman" w:hAnsi="Times New Roman"/>
          <w:i/>
          <w:sz w:val="24"/>
          <w:szCs w:val="24"/>
          <w:lang w:val="en-GB"/>
        </w:rPr>
        <w:t>Contemporary Politics</w:t>
      </w:r>
      <w:r>
        <w:rPr>
          <w:rFonts w:ascii="Times New Roman" w:hAnsi="Times New Roman"/>
          <w:sz w:val="24"/>
          <w:szCs w:val="24"/>
          <w:lang w:val="en-GB"/>
        </w:rPr>
        <w:t xml:space="preserve"> 20(1) 36-48.</w:t>
      </w:r>
      <w:r>
        <w:rPr>
          <w:rFonts w:ascii="Times New Roman" w:hAnsi="Times New Roman"/>
          <w:i/>
          <w:sz w:val="24"/>
          <w:szCs w:val="24"/>
          <w:lang w:val="en-GB"/>
        </w:rPr>
        <w:t xml:space="preserve"> </w:t>
      </w:r>
    </w:p>
    <w:p w:rsidR="00D80EA7" w:rsidRPr="00874087" w:rsidRDefault="00D80EA7" w:rsidP="00C836AB">
      <w:pPr>
        <w:pStyle w:val="Pargrafdellista1"/>
        <w:spacing w:line="240" w:lineRule="auto"/>
        <w:ind w:left="0"/>
        <w:jc w:val="both"/>
        <w:rPr>
          <w:rFonts w:ascii="Times New Roman" w:hAnsi="Times New Roman"/>
          <w:sz w:val="24"/>
          <w:szCs w:val="24"/>
          <w:lang w:val="en-GB"/>
        </w:rPr>
      </w:pPr>
    </w:p>
    <w:p w:rsidR="00A247B1" w:rsidRPr="00874087" w:rsidRDefault="00A247B1" w:rsidP="00C836AB">
      <w:pPr>
        <w:pStyle w:val="Pargrafdellista1"/>
        <w:spacing w:line="240" w:lineRule="auto"/>
        <w:ind w:left="0"/>
        <w:jc w:val="both"/>
        <w:rPr>
          <w:rFonts w:ascii="Times New Roman" w:hAnsi="Times New Roman"/>
          <w:sz w:val="24"/>
          <w:szCs w:val="24"/>
          <w:lang w:val="en-GB"/>
        </w:rPr>
      </w:pPr>
      <w:r w:rsidRPr="00874087">
        <w:rPr>
          <w:rFonts w:ascii="Times New Roman" w:hAnsi="Times New Roman"/>
          <w:sz w:val="24"/>
          <w:szCs w:val="24"/>
          <w:lang w:val="en-GB"/>
        </w:rPr>
        <w:t>W</w:t>
      </w:r>
      <w:r w:rsidR="00D80EA7">
        <w:rPr>
          <w:rFonts w:ascii="Times New Roman" w:hAnsi="Times New Roman"/>
          <w:sz w:val="24"/>
          <w:szCs w:val="24"/>
          <w:lang w:val="en-GB"/>
        </w:rPr>
        <w:t>TO</w:t>
      </w:r>
      <w:r w:rsidRPr="00874087">
        <w:rPr>
          <w:rFonts w:ascii="Times New Roman" w:hAnsi="Times New Roman"/>
          <w:sz w:val="24"/>
          <w:szCs w:val="24"/>
          <w:lang w:val="en-GB"/>
        </w:rPr>
        <w:t>. “Transparency mechanism for regional trade agreements”. Negotiating Group on Rules (</w:t>
      </w:r>
      <w:proofErr w:type="gramStart"/>
      <w:r w:rsidRPr="00874087">
        <w:rPr>
          <w:rFonts w:ascii="Times New Roman" w:hAnsi="Times New Roman"/>
          <w:sz w:val="24"/>
          <w:szCs w:val="24"/>
          <w:lang w:val="en-GB"/>
        </w:rPr>
        <w:t>Job(</w:t>
      </w:r>
      <w:proofErr w:type="gramEnd"/>
      <w:r w:rsidRPr="00874087">
        <w:rPr>
          <w:rFonts w:ascii="Times New Roman" w:hAnsi="Times New Roman"/>
          <w:sz w:val="24"/>
          <w:szCs w:val="24"/>
          <w:lang w:val="en-GB"/>
        </w:rPr>
        <w:t xml:space="preserve">06)/59/Rev5), 2006. </w:t>
      </w:r>
    </w:p>
    <w:p w:rsidR="00A247B1" w:rsidRDefault="00A247B1" w:rsidP="00C836AB">
      <w:pPr>
        <w:pStyle w:val="Pargrafdellista1"/>
        <w:spacing w:line="240" w:lineRule="auto"/>
        <w:ind w:left="0"/>
        <w:jc w:val="both"/>
        <w:rPr>
          <w:rFonts w:ascii="Times New Roman" w:hAnsi="Times New Roman"/>
          <w:sz w:val="24"/>
          <w:szCs w:val="24"/>
          <w:lang w:val="en-GB"/>
        </w:rPr>
      </w:pPr>
    </w:p>
    <w:p w:rsidR="00CB4BAB" w:rsidRPr="00874087" w:rsidRDefault="00CB4BAB" w:rsidP="00C836AB">
      <w:pPr>
        <w:pStyle w:val="Pargrafdellista1"/>
        <w:spacing w:line="240" w:lineRule="auto"/>
        <w:ind w:left="0"/>
        <w:jc w:val="both"/>
        <w:rPr>
          <w:rFonts w:ascii="Times New Roman" w:hAnsi="Times New Roman"/>
          <w:sz w:val="24"/>
          <w:szCs w:val="24"/>
          <w:lang w:val="en-GB"/>
        </w:rPr>
      </w:pPr>
      <w:r>
        <w:rPr>
          <w:rFonts w:ascii="Times New Roman" w:hAnsi="Times New Roman"/>
          <w:sz w:val="24"/>
          <w:szCs w:val="24"/>
          <w:lang w:val="en-GB"/>
        </w:rPr>
        <w:t>WTO. “The WTO and preferential trade agreements: From coexistence to coherence”. World Trade Report 2011</w:t>
      </w:r>
      <w:r w:rsidR="002A715F">
        <w:rPr>
          <w:rFonts w:ascii="Times New Roman" w:hAnsi="Times New Roman"/>
          <w:sz w:val="24"/>
          <w:szCs w:val="24"/>
          <w:lang w:val="en-GB"/>
        </w:rPr>
        <w:t>, 2011</w:t>
      </w:r>
      <w:r>
        <w:rPr>
          <w:rFonts w:ascii="Times New Roman" w:hAnsi="Times New Roman"/>
          <w:sz w:val="24"/>
          <w:szCs w:val="24"/>
          <w:lang w:val="en-GB"/>
        </w:rPr>
        <w:t xml:space="preserve">. </w:t>
      </w:r>
    </w:p>
    <w:p w:rsidR="00A247B1" w:rsidRPr="00874087" w:rsidRDefault="00480938" w:rsidP="00C836A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WTO (2013) </w:t>
      </w:r>
      <w:r w:rsidRPr="00480938">
        <w:rPr>
          <w:rFonts w:ascii="Times New Roman" w:hAnsi="Times New Roman" w:cs="Times New Roman"/>
          <w:i/>
          <w:sz w:val="24"/>
          <w:szCs w:val="24"/>
          <w:lang w:val="en-GB"/>
        </w:rPr>
        <w:t>The Future of trade: the challenges of convergence</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Report of the Panel on Defining the Future of Trade convened by WTO Director General Pascal </w:t>
      </w:r>
      <w:proofErr w:type="spellStart"/>
      <w:r>
        <w:rPr>
          <w:rFonts w:ascii="Times New Roman" w:hAnsi="Times New Roman" w:cs="Times New Roman"/>
          <w:sz w:val="24"/>
          <w:szCs w:val="24"/>
          <w:lang w:val="en-GB"/>
        </w:rPr>
        <w:t>Lamy</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D86C8D" w:rsidRPr="00874087" w:rsidRDefault="00D86C8D" w:rsidP="00C836AB">
      <w:pPr>
        <w:jc w:val="both"/>
        <w:rPr>
          <w:rFonts w:ascii="Times New Roman" w:hAnsi="Times New Roman" w:cs="Times New Roman"/>
          <w:sz w:val="24"/>
          <w:szCs w:val="24"/>
          <w:lang w:val="en-GB"/>
        </w:rPr>
      </w:pPr>
    </w:p>
    <w:sectPr w:rsidR="00D86C8D" w:rsidRPr="0087408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41" w:rsidRDefault="002C0641" w:rsidP="007F7220">
      <w:pPr>
        <w:spacing w:after="0" w:line="240" w:lineRule="auto"/>
      </w:pPr>
      <w:r>
        <w:separator/>
      </w:r>
    </w:p>
  </w:endnote>
  <w:endnote w:type="continuationSeparator" w:id="0">
    <w:p w:rsidR="002C0641" w:rsidRDefault="002C0641" w:rsidP="007F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65498"/>
      <w:docPartObj>
        <w:docPartGallery w:val="Page Numbers (Bottom of Page)"/>
        <w:docPartUnique/>
      </w:docPartObj>
    </w:sdtPr>
    <w:sdtEndPr/>
    <w:sdtContent>
      <w:p w:rsidR="007F7220" w:rsidRDefault="007F7220">
        <w:pPr>
          <w:pStyle w:val="Peu"/>
          <w:jc w:val="right"/>
        </w:pPr>
        <w:r>
          <w:fldChar w:fldCharType="begin"/>
        </w:r>
        <w:r>
          <w:instrText>PAGE   \* MERGEFORMAT</w:instrText>
        </w:r>
        <w:r>
          <w:fldChar w:fldCharType="separate"/>
        </w:r>
        <w:r w:rsidR="00FB20CE" w:rsidRPr="00FB20CE">
          <w:rPr>
            <w:noProof/>
            <w:lang w:val="ca-ES"/>
          </w:rPr>
          <w:t>23</w:t>
        </w:r>
        <w:r>
          <w:fldChar w:fldCharType="end"/>
        </w:r>
      </w:p>
    </w:sdtContent>
  </w:sdt>
  <w:p w:rsidR="007F7220" w:rsidRDefault="007F722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41" w:rsidRDefault="002C0641" w:rsidP="007F7220">
      <w:pPr>
        <w:spacing w:after="0" w:line="240" w:lineRule="auto"/>
      </w:pPr>
      <w:r>
        <w:separator/>
      </w:r>
    </w:p>
  </w:footnote>
  <w:footnote w:type="continuationSeparator" w:id="0">
    <w:p w:rsidR="002C0641" w:rsidRDefault="002C0641" w:rsidP="007F7220">
      <w:pPr>
        <w:spacing w:after="0" w:line="240" w:lineRule="auto"/>
      </w:pPr>
      <w:r>
        <w:continuationSeparator/>
      </w:r>
    </w:p>
  </w:footnote>
  <w:footnote w:id="1">
    <w:p w:rsidR="004E0310" w:rsidRPr="00A22DF2" w:rsidRDefault="004E0310">
      <w:pPr>
        <w:pStyle w:val="Textdenotaapeudepgina"/>
        <w:rPr>
          <w:lang w:val="ca-ES"/>
        </w:rPr>
      </w:pPr>
      <w:r w:rsidRPr="00A22DF2">
        <w:rPr>
          <w:rStyle w:val="Refernciadenotaapeudepgina"/>
        </w:rPr>
        <w:footnoteRef/>
      </w:r>
      <w:r w:rsidRPr="00A22DF2">
        <w:rPr>
          <w:lang w:val="en-GB"/>
        </w:rPr>
        <w:t xml:space="preserve"> </w:t>
      </w:r>
      <w:proofErr w:type="spellStart"/>
      <w:r w:rsidRPr="00A22DF2">
        <w:rPr>
          <w:lang w:val="ca-ES"/>
        </w:rPr>
        <w:t>This</w:t>
      </w:r>
      <w:proofErr w:type="spellEnd"/>
      <w:r w:rsidRPr="00A22DF2">
        <w:rPr>
          <w:lang w:val="ca-ES"/>
        </w:rPr>
        <w:t xml:space="preserve"> article falls </w:t>
      </w:r>
      <w:proofErr w:type="spellStart"/>
      <w:r w:rsidRPr="00A22DF2">
        <w:rPr>
          <w:lang w:val="ca-ES"/>
        </w:rPr>
        <w:t>within</w:t>
      </w:r>
      <w:proofErr w:type="spellEnd"/>
      <w:r w:rsidRPr="00A22DF2">
        <w:rPr>
          <w:lang w:val="ca-ES"/>
        </w:rPr>
        <w:t xml:space="preserve"> </w:t>
      </w:r>
      <w:proofErr w:type="spellStart"/>
      <w:r w:rsidRPr="00A22DF2">
        <w:rPr>
          <w:lang w:val="ca-ES"/>
        </w:rPr>
        <w:t>the</w:t>
      </w:r>
      <w:proofErr w:type="spellEnd"/>
      <w:r w:rsidRPr="00A22DF2">
        <w:rPr>
          <w:lang w:val="ca-ES"/>
        </w:rPr>
        <w:t xml:space="preserve"> EU-IANUS </w:t>
      </w:r>
      <w:proofErr w:type="spellStart"/>
      <w:r w:rsidRPr="00A22DF2">
        <w:rPr>
          <w:lang w:val="ca-ES"/>
        </w:rPr>
        <w:t>research</w:t>
      </w:r>
      <w:proofErr w:type="spellEnd"/>
      <w:r w:rsidRPr="00A22DF2">
        <w:rPr>
          <w:lang w:val="ca-ES"/>
        </w:rPr>
        <w:t xml:space="preserve"> </w:t>
      </w:r>
      <w:proofErr w:type="spellStart"/>
      <w:r w:rsidRPr="00A22DF2">
        <w:rPr>
          <w:lang w:val="ca-ES"/>
        </w:rPr>
        <w:t>project</w:t>
      </w:r>
      <w:proofErr w:type="spellEnd"/>
      <w:r w:rsidRPr="00A22DF2">
        <w:rPr>
          <w:lang w:val="ca-ES"/>
        </w:rPr>
        <w:t xml:space="preserve"> (</w:t>
      </w:r>
      <w:proofErr w:type="spellStart"/>
      <w:r w:rsidRPr="00A22DF2">
        <w:rPr>
          <w:lang w:val="ca-ES"/>
        </w:rPr>
        <w:t>The</w:t>
      </w:r>
      <w:proofErr w:type="spellEnd"/>
      <w:r w:rsidRPr="00A22DF2">
        <w:rPr>
          <w:lang w:val="ca-ES"/>
        </w:rPr>
        <w:t xml:space="preserve"> EU in </w:t>
      </w:r>
      <w:proofErr w:type="spellStart"/>
      <w:r w:rsidRPr="00A22DF2">
        <w:rPr>
          <w:lang w:val="ca-ES"/>
        </w:rPr>
        <w:t>an</w:t>
      </w:r>
      <w:proofErr w:type="spellEnd"/>
      <w:r w:rsidRPr="00A22DF2">
        <w:rPr>
          <w:lang w:val="ca-ES"/>
        </w:rPr>
        <w:t xml:space="preserve"> </w:t>
      </w:r>
      <w:proofErr w:type="spellStart"/>
      <w:r w:rsidRPr="00A22DF2">
        <w:rPr>
          <w:lang w:val="ca-ES"/>
        </w:rPr>
        <w:t>unsettled</w:t>
      </w:r>
      <w:proofErr w:type="spellEnd"/>
      <w:r w:rsidRPr="00A22DF2">
        <w:rPr>
          <w:lang w:val="ca-ES"/>
        </w:rPr>
        <w:t xml:space="preserve"> International </w:t>
      </w:r>
      <w:proofErr w:type="spellStart"/>
      <w:r w:rsidRPr="00A22DF2">
        <w:rPr>
          <w:lang w:val="ca-ES"/>
        </w:rPr>
        <w:t>system</w:t>
      </w:r>
      <w:proofErr w:type="spellEnd"/>
      <w:r w:rsidRPr="00A22DF2">
        <w:rPr>
          <w:lang w:val="ca-ES"/>
        </w:rPr>
        <w:t xml:space="preserve">: crisis, </w:t>
      </w:r>
      <w:proofErr w:type="spellStart"/>
      <w:r w:rsidRPr="00A22DF2">
        <w:rPr>
          <w:lang w:val="ca-ES"/>
        </w:rPr>
        <w:t>polarity</w:t>
      </w:r>
      <w:proofErr w:type="spellEnd"/>
      <w:r w:rsidRPr="00A22DF2">
        <w:rPr>
          <w:lang w:val="ca-ES"/>
        </w:rPr>
        <w:t xml:space="preserve"> </w:t>
      </w:r>
      <w:proofErr w:type="spellStart"/>
      <w:r w:rsidRPr="00A22DF2">
        <w:rPr>
          <w:lang w:val="ca-ES"/>
        </w:rPr>
        <w:t>and</w:t>
      </w:r>
      <w:proofErr w:type="spellEnd"/>
      <w:r w:rsidRPr="00A22DF2">
        <w:rPr>
          <w:lang w:val="ca-ES"/>
        </w:rPr>
        <w:t xml:space="preserve"> </w:t>
      </w:r>
      <w:proofErr w:type="spellStart"/>
      <w:r w:rsidRPr="00A22DF2">
        <w:rPr>
          <w:lang w:val="ca-ES"/>
        </w:rPr>
        <w:t>multilateralism</w:t>
      </w:r>
      <w:proofErr w:type="spellEnd"/>
      <w:r w:rsidRPr="00A22DF2">
        <w:rPr>
          <w:lang w:val="ca-ES"/>
        </w:rPr>
        <w:t xml:space="preserve">) </w:t>
      </w:r>
      <w:proofErr w:type="spellStart"/>
      <w:r w:rsidRPr="00A22DF2">
        <w:rPr>
          <w:lang w:val="ca-ES"/>
        </w:rPr>
        <w:t>funded</w:t>
      </w:r>
      <w:proofErr w:type="spellEnd"/>
      <w:r w:rsidRPr="00A22DF2">
        <w:rPr>
          <w:lang w:val="ca-ES"/>
        </w:rPr>
        <w:t xml:space="preserve"> </w:t>
      </w:r>
      <w:proofErr w:type="spellStart"/>
      <w:r w:rsidRPr="00A22DF2">
        <w:rPr>
          <w:lang w:val="ca-ES"/>
        </w:rPr>
        <w:t>by</w:t>
      </w:r>
      <w:proofErr w:type="spellEnd"/>
      <w:r w:rsidRPr="00A22DF2">
        <w:rPr>
          <w:lang w:val="ca-ES"/>
        </w:rPr>
        <w:t xml:space="preserve"> </w:t>
      </w:r>
      <w:proofErr w:type="spellStart"/>
      <w:r w:rsidRPr="00A22DF2">
        <w:rPr>
          <w:lang w:val="ca-ES"/>
        </w:rPr>
        <w:t>the</w:t>
      </w:r>
      <w:proofErr w:type="spellEnd"/>
      <w:r w:rsidRPr="00A22DF2">
        <w:rPr>
          <w:lang w:val="ca-ES"/>
        </w:rPr>
        <w:t xml:space="preserve"> </w:t>
      </w:r>
      <w:proofErr w:type="spellStart"/>
      <w:r w:rsidRPr="00A22DF2">
        <w:rPr>
          <w:lang w:val="ca-ES"/>
        </w:rPr>
        <w:t>National</w:t>
      </w:r>
      <w:proofErr w:type="spellEnd"/>
      <w:r w:rsidRPr="00A22DF2">
        <w:rPr>
          <w:lang w:val="ca-ES"/>
        </w:rPr>
        <w:t xml:space="preserve"> R+D </w:t>
      </w:r>
      <w:proofErr w:type="spellStart"/>
      <w:r w:rsidRPr="00A22DF2">
        <w:rPr>
          <w:lang w:val="ca-ES"/>
        </w:rPr>
        <w:t>Plan</w:t>
      </w:r>
      <w:proofErr w:type="spellEnd"/>
      <w:r w:rsidRPr="00A22DF2">
        <w:rPr>
          <w:lang w:val="ca-ES"/>
        </w:rPr>
        <w:t xml:space="preserve"> of </w:t>
      </w:r>
      <w:proofErr w:type="spellStart"/>
      <w:r w:rsidRPr="00A22DF2">
        <w:rPr>
          <w:lang w:val="ca-ES"/>
        </w:rPr>
        <w:t>the</w:t>
      </w:r>
      <w:proofErr w:type="spellEnd"/>
      <w:r w:rsidRPr="00A22DF2">
        <w:rPr>
          <w:lang w:val="ca-ES"/>
        </w:rPr>
        <w:t xml:space="preserve"> </w:t>
      </w:r>
      <w:proofErr w:type="spellStart"/>
      <w:r w:rsidRPr="00A22DF2">
        <w:rPr>
          <w:lang w:val="ca-ES"/>
        </w:rPr>
        <w:t>Spanish</w:t>
      </w:r>
      <w:proofErr w:type="spellEnd"/>
      <w:r w:rsidRPr="00A22DF2">
        <w:rPr>
          <w:lang w:val="ca-ES"/>
        </w:rPr>
        <w:t xml:space="preserve"> </w:t>
      </w:r>
      <w:proofErr w:type="spellStart"/>
      <w:r w:rsidRPr="00A22DF2">
        <w:rPr>
          <w:lang w:val="ca-ES"/>
        </w:rPr>
        <w:t>Ministry</w:t>
      </w:r>
      <w:proofErr w:type="spellEnd"/>
      <w:r w:rsidRPr="00A22DF2">
        <w:rPr>
          <w:lang w:val="ca-ES"/>
        </w:rPr>
        <w:t xml:space="preserve"> of </w:t>
      </w:r>
      <w:proofErr w:type="spellStart"/>
      <w:r w:rsidRPr="00A22DF2">
        <w:rPr>
          <w:lang w:val="ca-ES"/>
        </w:rPr>
        <w:t>Economy</w:t>
      </w:r>
      <w:proofErr w:type="spellEnd"/>
      <w:r w:rsidRPr="00A22DF2">
        <w:rPr>
          <w:lang w:val="ca-ES"/>
        </w:rPr>
        <w:t xml:space="preserve"> </w:t>
      </w:r>
      <w:proofErr w:type="spellStart"/>
      <w:r w:rsidRPr="00A22DF2">
        <w:rPr>
          <w:lang w:val="ca-ES"/>
        </w:rPr>
        <w:t>and</w:t>
      </w:r>
      <w:proofErr w:type="spellEnd"/>
      <w:r w:rsidRPr="00A22DF2">
        <w:rPr>
          <w:lang w:val="ca-ES"/>
        </w:rPr>
        <w:t xml:space="preserve"> </w:t>
      </w:r>
      <w:proofErr w:type="spellStart"/>
      <w:r w:rsidRPr="00A22DF2">
        <w:rPr>
          <w:lang w:val="ca-ES"/>
        </w:rPr>
        <w:t>Competiveness</w:t>
      </w:r>
      <w:proofErr w:type="spellEnd"/>
      <w:r w:rsidRPr="00A22DF2">
        <w:rPr>
          <w:lang w:val="ca-ES"/>
        </w:rPr>
        <w:t xml:space="preserve"> (CSO2012-33361).</w:t>
      </w:r>
      <w:r w:rsidRPr="00A22DF2">
        <w:rPr>
          <w:lang w:val="en-GB"/>
        </w:rPr>
        <w:t xml:space="preserve"> The authors would like to thank Esther Barbé and the other EU-IANUS researchers for their valuable support and input. They are also happy to acknowledge the helpful comments by David Cleeton, Gabriel Siles-Brügge and the participants of a panel on ‘The Transatlantic Trade and Investment Partnership: A Framework for Progress’ at the UACES Annual Conference 2014, where an earlier version of this paper was presented.</w:t>
      </w:r>
    </w:p>
  </w:footnote>
  <w:footnote w:id="2">
    <w:p w:rsidR="00785E26" w:rsidRPr="00785E26" w:rsidRDefault="00785E26" w:rsidP="00785E26">
      <w:pPr>
        <w:pStyle w:val="Textdenotaapeudepgina"/>
        <w:rPr>
          <w:lang w:val="en-GB"/>
        </w:rPr>
      </w:pPr>
      <w:r>
        <w:rPr>
          <w:rStyle w:val="Refernciadenotaapeudepgina"/>
        </w:rPr>
        <w:footnoteRef/>
      </w:r>
      <w:r w:rsidRPr="00785E26">
        <w:rPr>
          <w:lang w:val="en-GB"/>
        </w:rPr>
        <w:t xml:space="preserve"> Art</w:t>
      </w:r>
      <w:r>
        <w:rPr>
          <w:lang w:val="en-GB"/>
        </w:rPr>
        <w:t>icle</w:t>
      </w:r>
      <w:r w:rsidRPr="00785E26">
        <w:rPr>
          <w:lang w:val="en-GB"/>
        </w:rPr>
        <w:t xml:space="preserve"> XXIV </w:t>
      </w:r>
      <w:r>
        <w:rPr>
          <w:lang w:val="en"/>
        </w:rPr>
        <w:t>taking into account the</w:t>
      </w:r>
      <w:r w:rsidRPr="00785E26">
        <w:rPr>
          <w:lang w:val="en"/>
        </w:rPr>
        <w:t xml:space="preserve"> Understanding signed at the Uruguay Round intended to clarify and specify some aspects of the article that had led to controversies </w:t>
      </w:r>
      <w:r w:rsidR="005E4CA4" w:rsidRPr="00785E26">
        <w:rPr>
          <w:lang w:val="en"/>
        </w:rPr>
        <w:t xml:space="preserve">and </w:t>
      </w:r>
      <w:r w:rsidR="005E4CA4">
        <w:rPr>
          <w:lang w:val="en"/>
        </w:rPr>
        <w:t>different</w:t>
      </w:r>
      <w:r>
        <w:rPr>
          <w:lang w:val="en"/>
        </w:rPr>
        <w:t xml:space="preserve"> </w:t>
      </w:r>
      <w:r w:rsidRPr="00785E26">
        <w:rPr>
          <w:lang w:val="en"/>
        </w:rPr>
        <w:t>interpretations.</w:t>
      </w:r>
      <w:r>
        <w:rPr>
          <w:lang w:val="en"/>
        </w:rPr>
        <w:t xml:space="preserve"> </w:t>
      </w:r>
      <w:r w:rsidRPr="00785E26">
        <w:rPr>
          <w:lang w:val="en-GB"/>
        </w:rPr>
        <w:t xml:space="preserve">  </w:t>
      </w:r>
    </w:p>
  </w:footnote>
  <w:footnote w:id="3">
    <w:p w:rsidR="004054E9" w:rsidRPr="004054E9" w:rsidRDefault="004054E9" w:rsidP="004054E9">
      <w:pPr>
        <w:pStyle w:val="Textdenotaapeudepgina"/>
        <w:rPr>
          <w:lang w:val="en-GB"/>
        </w:rPr>
      </w:pPr>
      <w:r>
        <w:rPr>
          <w:rStyle w:val="Refernciadenotaapeudepgina"/>
        </w:rPr>
        <w:footnoteRef/>
      </w:r>
      <w:r>
        <w:rPr>
          <w:lang w:val="en-GB"/>
        </w:rPr>
        <w:t xml:space="preserve"> </w:t>
      </w:r>
      <w:r w:rsidRPr="004054E9">
        <w:rPr>
          <w:lang w:val="en"/>
        </w:rPr>
        <w:t>It should be noted that for some authors like Baldwin, trade diversion</w:t>
      </w:r>
      <w:r>
        <w:rPr>
          <w:lang w:val="en"/>
        </w:rPr>
        <w:t>, that is,</w:t>
      </w:r>
      <w:r w:rsidRPr="004054E9">
        <w:rPr>
          <w:lang w:val="en"/>
        </w:rPr>
        <w:t xml:space="preserve"> any bilateral or regional agreement </w:t>
      </w:r>
      <w:r>
        <w:rPr>
          <w:lang w:val="en"/>
        </w:rPr>
        <w:t>inherent discrimination against third countries,</w:t>
      </w:r>
      <w:r w:rsidRPr="004054E9">
        <w:rPr>
          <w:lang w:val="en"/>
        </w:rPr>
        <w:t xml:space="preserve"> can trigger a domino effect</w:t>
      </w:r>
      <w:r>
        <w:rPr>
          <w:lang w:val="en"/>
        </w:rPr>
        <w:t xml:space="preserve"> by </w:t>
      </w:r>
      <w:r w:rsidR="00E75844">
        <w:rPr>
          <w:lang w:val="en"/>
        </w:rPr>
        <w:t xml:space="preserve">encouraging </w:t>
      </w:r>
      <w:r w:rsidR="00E75844" w:rsidRPr="004054E9">
        <w:rPr>
          <w:lang w:val="en"/>
        </w:rPr>
        <w:t>third</w:t>
      </w:r>
      <w:r w:rsidRPr="004054E9">
        <w:rPr>
          <w:lang w:val="en"/>
        </w:rPr>
        <w:t xml:space="preserve"> countries to participate in the preferential agreement</w:t>
      </w:r>
      <w:r>
        <w:rPr>
          <w:lang w:val="en"/>
        </w:rPr>
        <w:t xml:space="preserve">. </w:t>
      </w:r>
      <w:r w:rsidRPr="004054E9">
        <w:rPr>
          <w:lang w:val="en-GB"/>
        </w:rPr>
        <w:t xml:space="preserve"> </w:t>
      </w:r>
    </w:p>
  </w:footnote>
  <w:footnote w:id="4">
    <w:p w:rsidR="00AF7623" w:rsidRPr="00E75844" w:rsidRDefault="00AF7623" w:rsidP="00AF7623">
      <w:pPr>
        <w:pStyle w:val="Textdenotaapeudepgina"/>
        <w:rPr>
          <w:lang w:val="en-GB"/>
        </w:rPr>
      </w:pPr>
      <w:r>
        <w:rPr>
          <w:rStyle w:val="Refernciadenotaapeudepgina"/>
        </w:rPr>
        <w:footnoteRef/>
      </w:r>
      <w:r w:rsidRPr="00AF7623">
        <w:rPr>
          <w:lang w:val="en-GB"/>
        </w:rPr>
        <w:t xml:space="preserve"> </w:t>
      </w:r>
      <w:r w:rsidRPr="00AF7623">
        <w:rPr>
          <w:lang w:val="en"/>
        </w:rPr>
        <w:t xml:space="preserve">In the DR, the WTO members </w:t>
      </w:r>
      <w:r w:rsidR="00D46DE9">
        <w:rPr>
          <w:lang w:val="en"/>
        </w:rPr>
        <w:t>raised preferential agreements</w:t>
      </w:r>
      <w:r w:rsidRPr="00AF7623">
        <w:rPr>
          <w:lang w:val="en"/>
        </w:rPr>
        <w:t xml:space="preserve"> to "systemic problem" or problem that affects the entire global trading system and needs to be addressed as such (</w:t>
      </w:r>
      <w:proofErr w:type="spellStart"/>
      <w:r w:rsidRPr="00AF7623">
        <w:rPr>
          <w:lang w:val="en"/>
        </w:rPr>
        <w:t>Estevadeordal</w:t>
      </w:r>
      <w:proofErr w:type="spellEnd"/>
      <w:r w:rsidRPr="00AF7623">
        <w:rPr>
          <w:lang w:val="en"/>
        </w:rPr>
        <w:t xml:space="preserve"> </w:t>
      </w:r>
      <w:r w:rsidRPr="00D46DE9">
        <w:rPr>
          <w:i/>
          <w:lang w:val="en"/>
        </w:rPr>
        <w:t>et al</w:t>
      </w:r>
      <w:r w:rsidRPr="00AF7623">
        <w:rPr>
          <w:lang w:val="en"/>
        </w:rPr>
        <w:t xml:space="preserve">, 2013). </w:t>
      </w:r>
      <w:r w:rsidRPr="00E75844">
        <w:rPr>
          <w:lang w:val="en-GB"/>
        </w:rPr>
        <w:t xml:space="preserve">However, all that has been achieved in this regard is a </w:t>
      </w:r>
      <w:r w:rsidR="00D46DE9" w:rsidRPr="00E75844">
        <w:rPr>
          <w:lang w:val="en-GB"/>
        </w:rPr>
        <w:t xml:space="preserve">DR </w:t>
      </w:r>
      <w:r w:rsidRPr="00E75844">
        <w:rPr>
          <w:lang w:val="en-GB"/>
        </w:rPr>
        <w:t xml:space="preserve">pre-agreement on a transparency mechanism for preferential trade agreements (WTO, 2006). </w:t>
      </w:r>
    </w:p>
  </w:footnote>
  <w:footnote w:id="5">
    <w:p w:rsidR="00443585" w:rsidRPr="00423EF1" w:rsidRDefault="00443585" w:rsidP="00443585">
      <w:pPr>
        <w:pStyle w:val="Textdenotaapeudepgina"/>
        <w:rPr>
          <w:lang w:val="en-GB"/>
        </w:rPr>
      </w:pPr>
      <w:r>
        <w:rPr>
          <w:rStyle w:val="Refernciadenotaapeudepgina"/>
        </w:rPr>
        <w:footnoteRef/>
      </w:r>
      <w:r w:rsidR="00423EF1" w:rsidRPr="00423EF1">
        <w:rPr>
          <w:lang w:val="en-GB"/>
        </w:rPr>
        <w:t xml:space="preserve"> For example, the total elimination of tariffs and the liberalization of more trade in services</w:t>
      </w:r>
      <w:r w:rsidRPr="00423EF1">
        <w:rPr>
          <w:lang w:val="en-GB"/>
        </w:rPr>
        <w:t>.</w:t>
      </w:r>
    </w:p>
  </w:footnote>
  <w:footnote w:id="6">
    <w:p w:rsidR="00443585" w:rsidRPr="00423EF1" w:rsidRDefault="00443585" w:rsidP="00443585">
      <w:pPr>
        <w:pStyle w:val="Textdenotaapeudepgina"/>
        <w:rPr>
          <w:lang w:val="en-GB"/>
        </w:rPr>
      </w:pPr>
      <w:r>
        <w:rPr>
          <w:rStyle w:val="Refernciadenotaapeudepgina"/>
        </w:rPr>
        <w:footnoteRef/>
      </w:r>
      <w:r w:rsidR="00423EF1" w:rsidRPr="00423EF1">
        <w:rPr>
          <w:lang w:val="en-GB"/>
        </w:rPr>
        <w:t xml:space="preserve"> </w:t>
      </w:r>
      <w:r w:rsidR="00EC0E18">
        <w:rPr>
          <w:lang w:val="en-GB"/>
        </w:rPr>
        <w:t>Following the W</w:t>
      </w:r>
      <w:r w:rsidR="00FF3DC9">
        <w:rPr>
          <w:lang w:val="en-GB"/>
        </w:rPr>
        <w:t xml:space="preserve">orld Trade Report </w:t>
      </w:r>
      <w:r w:rsidR="00EC0E18">
        <w:rPr>
          <w:lang w:val="en-GB"/>
        </w:rPr>
        <w:t>2011</w:t>
      </w:r>
      <w:r w:rsidR="00FF3DC9">
        <w:rPr>
          <w:lang w:val="en-GB"/>
        </w:rPr>
        <w:t>,</w:t>
      </w:r>
      <w:r w:rsidR="00EC0E18">
        <w:rPr>
          <w:lang w:val="en-GB"/>
        </w:rPr>
        <w:t xml:space="preserve"> the main policy areas covered by WTO-X provisions are</w:t>
      </w:r>
      <w:r w:rsidR="00423EF1" w:rsidRPr="00423EF1">
        <w:rPr>
          <w:lang w:val="en-GB"/>
        </w:rPr>
        <w:t>: competition policy, investment</w:t>
      </w:r>
      <w:r w:rsidR="00EC0E18">
        <w:rPr>
          <w:lang w:val="en-GB"/>
        </w:rPr>
        <w:t xml:space="preserve">, movement of capital </w:t>
      </w:r>
      <w:r w:rsidR="00F35357" w:rsidRPr="00423EF1">
        <w:rPr>
          <w:lang w:val="en-GB"/>
        </w:rPr>
        <w:t>and intellectual</w:t>
      </w:r>
      <w:r w:rsidR="00423EF1" w:rsidRPr="00423EF1">
        <w:rPr>
          <w:lang w:val="en-GB"/>
        </w:rPr>
        <w:t xml:space="preserve"> property rights not covered by TRIPS.</w:t>
      </w:r>
      <w:r w:rsidRPr="00423EF1">
        <w:rPr>
          <w:lang w:val="en-GB"/>
        </w:rPr>
        <w:t xml:space="preserve"> </w:t>
      </w:r>
      <w:r w:rsidR="00FF3DC9">
        <w:rPr>
          <w:lang w:val="en-GB"/>
        </w:rPr>
        <w:t>The next largest group of policy areas are: environmental laws, labour market regulations and measures on visa and asylum.</w:t>
      </w:r>
    </w:p>
  </w:footnote>
  <w:footnote w:id="7">
    <w:p w:rsidR="00DA6535" w:rsidRPr="00DA3FA5" w:rsidRDefault="00DA6535" w:rsidP="00DA6535">
      <w:pPr>
        <w:pStyle w:val="Textdenotaapeudepgina"/>
        <w:rPr>
          <w:lang w:val="en-GB"/>
        </w:rPr>
      </w:pPr>
      <w:r>
        <w:rPr>
          <w:rStyle w:val="Refernciadenotaapeudepgina"/>
        </w:rPr>
        <w:footnoteRef/>
      </w:r>
      <w:r w:rsidRPr="00DA3FA5">
        <w:rPr>
          <w:lang w:val="en-GB"/>
        </w:rPr>
        <w:t xml:space="preserve"> </w:t>
      </w:r>
      <w:r>
        <w:rPr>
          <w:lang w:val="en-GB"/>
        </w:rPr>
        <w:t>A</w:t>
      </w:r>
      <w:r w:rsidRPr="00DA3FA5">
        <w:rPr>
          <w:lang w:val="en-GB"/>
        </w:rPr>
        <w:t xml:space="preserve">ccording to </w:t>
      </w:r>
      <w:r>
        <w:rPr>
          <w:lang w:val="en-GB"/>
        </w:rPr>
        <w:t>Horn</w:t>
      </w:r>
      <w:r w:rsidRPr="00DA3FA5">
        <w:rPr>
          <w:lang w:val="en-GB"/>
        </w:rPr>
        <w:t xml:space="preserve"> </w:t>
      </w:r>
      <w:r w:rsidRPr="00DA3FA5">
        <w:rPr>
          <w:i/>
          <w:lang w:val="en-GB"/>
        </w:rPr>
        <w:t>et a</w:t>
      </w:r>
      <w:r w:rsidRPr="00DA3FA5">
        <w:rPr>
          <w:lang w:val="en-GB"/>
        </w:rPr>
        <w:t xml:space="preserve">l (2009), </w:t>
      </w:r>
      <w:r>
        <w:rPr>
          <w:lang w:val="en-GB"/>
        </w:rPr>
        <w:t xml:space="preserve">however, </w:t>
      </w:r>
      <w:r w:rsidRPr="00DA3FA5">
        <w:rPr>
          <w:lang w:val="en-GB"/>
        </w:rPr>
        <w:t xml:space="preserve">EU agreements show a significant amount of "legal </w:t>
      </w:r>
      <w:r>
        <w:rPr>
          <w:lang w:val="en-GB"/>
        </w:rPr>
        <w:t>inflation“</w:t>
      </w:r>
      <w:r w:rsidRPr="00DA3FA5">
        <w:rPr>
          <w:lang w:val="en-GB"/>
        </w:rPr>
        <w:t>, i</w:t>
      </w:r>
      <w:r>
        <w:rPr>
          <w:lang w:val="en-GB"/>
        </w:rPr>
        <w:t>.</w:t>
      </w:r>
      <w:r w:rsidRPr="00DA3FA5">
        <w:rPr>
          <w:lang w:val="en-GB"/>
        </w:rPr>
        <w:t>e</w:t>
      </w:r>
      <w:r>
        <w:rPr>
          <w:lang w:val="en-GB"/>
        </w:rPr>
        <w:t>.</w:t>
      </w:r>
      <w:r w:rsidRPr="00DA3FA5">
        <w:rPr>
          <w:lang w:val="en-GB"/>
        </w:rPr>
        <w:t xml:space="preserve"> </w:t>
      </w:r>
      <w:r>
        <w:rPr>
          <w:lang w:val="en-GB"/>
        </w:rPr>
        <w:t>commitments</w:t>
      </w:r>
      <w:r w:rsidRPr="00DA3FA5">
        <w:rPr>
          <w:lang w:val="en-GB"/>
        </w:rPr>
        <w:t xml:space="preserve"> that are not legally enforceable.  </w:t>
      </w:r>
    </w:p>
  </w:footnote>
  <w:footnote w:id="8">
    <w:p w:rsidR="00443585" w:rsidRPr="00443585" w:rsidRDefault="00443585" w:rsidP="00443585">
      <w:pPr>
        <w:pStyle w:val="Textdenotaapeudepgina"/>
        <w:rPr>
          <w:lang w:val="en-GB"/>
        </w:rPr>
      </w:pPr>
      <w:r>
        <w:rPr>
          <w:rStyle w:val="Refernciadenotaapeudepgina"/>
        </w:rPr>
        <w:footnoteRef/>
      </w:r>
      <w:r w:rsidR="00331666">
        <w:rPr>
          <w:lang w:val="en-GB"/>
        </w:rPr>
        <w:t xml:space="preserve"> </w:t>
      </w:r>
      <w:r w:rsidR="00331666" w:rsidRPr="00331666">
        <w:rPr>
          <w:lang w:val="en"/>
        </w:rPr>
        <w:t xml:space="preserve">Another way to </w:t>
      </w:r>
      <w:r w:rsidR="00331666">
        <w:rPr>
          <w:lang w:val="en"/>
        </w:rPr>
        <w:t>“</w:t>
      </w:r>
      <w:proofErr w:type="spellStart"/>
      <w:r w:rsidR="00331666" w:rsidRPr="00331666">
        <w:rPr>
          <w:lang w:val="en"/>
        </w:rPr>
        <w:t>multilateraliz</w:t>
      </w:r>
      <w:r w:rsidR="00331666">
        <w:rPr>
          <w:lang w:val="en"/>
        </w:rPr>
        <w:t>ing</w:t>
      </w:r>
      <w:proofErr w:type="spellEnd"/>
      <w:r w:rsidR="00331666">
        <w:rPr>
          <w:lang w:val="en"/>
        </w:rPr>
        <w:t>”</w:t>
      </w:r>
      <w:r w:rsidR="00331666" w:rsidRPr="00331666">
        <w:rPr>
          <w:lang w:val="en"/>
        </w:rPr>
        <w:t xml:space="preserve"> bilateral agreements </w:t>
      </w:r>
      <w:r w:rsidR="00331666">
        <w:rPr>
          <w:lang w:val="en"/>
        </w:rPr>
        <w:t>would be to make them</w:t>
      </w:r>
      <w:r w:rsidR="00331666" w:rsidRPr="00331666">
        <w:rPr>
          <w:lang w:val="en"/>
        </w:rPr>
        <w:t xml:space="preserve"> irrelevant </w:t>
      </w:r>
      <w:r w:rsidR="00331666">
        <w:rPr>
          <w:lang w:val="en"/>
        </w:rPr>
        <w:t>by bounding</w:t>
      </w:r>
      <w:r w:rsidR="00331666" w:rsidRPr="00331666">
        <w:rPr>
          <w:lang w:val="en"/>
        </w:rPr>
        <w:t xml:space="preserve"> "most favored nation tariffs" or WTO tariffs to zero for a set of goods (as the Agreement on Information Technology</w:t>
      </w:r>
      <w:r w:rsidR="00331666">
        <w:rPr>
          <w:lang w:val="en"/>
        </w:rPr>
        <w:t xml:space="preserve"> did in 1996</w:t>
      </w:r>
      <w:r w:rsidR="00331666" w:rsidRPr="00331666">
        <w:rPr>
          <w:lang w:val="en"/>
        </w:rPr>
        <w:t xml:space="preserve">). </w:t>
      </w:r>
      <w:r w:rsidR="00331666" w:rsidRPr="00331666">
        <w:rPr>
          <w:lang w:val="en-GB"/>
        </w:rPr>
        <w:t xml:space="preserve">If tariffs are zero for all </w:t>
      </w:r>
      <w:r w:rsidR="00331666">
        <w:rPr>
          <w:lang w:val="en-GB"/>
        </w:rPr>
        <w:t>im</w:t>
      </w:r>
      <w:r w:rsidR="00331666" w:rsidRPr="00331666">
        <w:rPr>
          <w:lang w:val="en-GB"/>
        </w:rPr>
        <w:t>ports irrespective of origin</w:t>
      </w:r>
      <w:r w:rsidR="00331666">
        <w:rPr>
          <w:lang w:val="en-GB"/>
        </w:rPr>
        <w:t>, granting</w:t>
      </w:r>
      <w:r w:rsidR="00331666" w:rsidRPr="00331666">
        <w:rPr>
          <w:lang w:val="en-GB"/>
        </w:rPr>
        <w:t xml:space="preserve"> bilateral or regional preferences </w:t>
      </w:r>
      <w:r w:rsidR="00331666">
        <w:rPr>
          <w:lang w:val="en-GB"/>
        </w:rPr>
        <w:t>would no longe</w:t>
      </w:r>
      <w:r w:rsidR="003B408A">
        <w:rPr>
          <w:lang w:val="en-GB"/>
        </w:rPr>
        <w:t>r make sense</w:t>
      </w:r>
      <w:r w:rsidR="00331666">
        <w:rPr>
          <w:lang w:val="en-GB"/>
        </w:rPr>
        <w:t xml:space="preserve">. </w:t>
      </w:r>
      <w:r w:rsidRPr="00443585">
        <w:rPr>
          <w:lang w:val="en-GB"/>
        </w:rPr>
        <w:t>(Baldwin, 2006)</w:t>
      </w:r>
      <w:r w:rsidR="003B408A">
        <w:rPr>
          <w:lang w:val="en-GB"/>
        </w:rPr>
        <w:t xml:space="preserve"> </w:t>
      </w:r>
      <w:r w:rsidRPr="00443585">
        <w:rPr>
          <w:lang w:val="en-GB"/>
        </w:rPr>
        <w:t xml:space="preserve"> </w:t>
      </w:r>
      <w:r w:rsidR="003B408A">
        <w:rPr>
          <w:lang w:val="en-GB"/>
        </w:rPr>
        <w:t>This is in fact the case for nearly 50 per cent of world trade (</w:t>
      </w:r>
      <w:proofErr w:type="spellStart"/>
      <w:r w:rsidR="003B408A">
        <w:rPr>
          <w:lang w:val="en-GB"/>
        </w:rPr>
        <w:t>Subramaian</w:t>
      </w:r>
      <w:proofErr w:type="spellEnd"/>
      <w:r w:rsidR="003B408A">
        <w:rPr>
          <w:lang w:val="en-GB"/>
        </w:rPr>
        <w:t xml:space="preserve"> and Kessler, 2013). </w:t>
      </w:r>
    </w:p>
  </w:footnote>
  <w:footnote w:id="9">
    <w:p w:rsidR="00DA6535" w:rsidRPr="001E170F" w:rsidRDefault="00DA6535" w:rsidP="00DA6535">
      <w:pPr>
        <w:pStyle w:val="Textdenotaapeudepgina"/>
        <w:rPr>
          <w:lang w:val="en-GB"/>
        </w:rPr>
      </w:pPr>
      <w:r>
        <w:rPr>
          <w:rStyle w:val="Refernciadenotaapeudepgina"/>
        </w:rPr>
        <w:footnoteRef/>
      </w:r>
      <w:r w:rsidRPr="001E170F">
        <w:rPr>
          <w:lang w:val="en-GB"/>
        </w:rPr>
        <w:t xml:space="preserve"> </w:t>
      </w:r>
      <w:r>
        <w:rPr>
          <w:lang w:val="en-GB"/>
        </w:rPr>
        <w:t xml:space="preserve">Business Desk of </w:t>
      </w:r>
      <w:r w:rsidRPr="001E170F">
        <w:rPr>
          <w:i/>
          <w:lang w:val="en-GB"/>
        </w:rPr>
        <w:t>The New Zealand Herald</w:t>
      </w:r>
      <w:r>
        <w:rPr>
          <w:i/>
          <w:lang w:val="en-GB"/>
        </w:rPr>
        <w:t>,</w:t>
      </w:r>
      <w:r>
        <w:rPr>
          <w:lang w:val="en-GB"/>
        </w:rPr>
        <w:t xml:space="preserve"> “TPP risk weaker world trade system –ex WTO boss”, 21 July 2014.</w:t>
      </w:r>
    </w:p>
  </w:footnote>
  <w:footnote w:id="10">
    <w:p w:rsidR="00DA6535" w:rsidRPr="00F35357" w:rsidRDefault="00DA6535" w:rsidP="00DA6535">
      <w:pPr>
        <w:pStyle w:val="Textdenotaapeudepgina"/>
        <w:rPr>
          <w:lang w:val="en-GB"/>
        </w:rPr>
      </w:pPr>
      <w:r>
        <w:rPr>
          <w:rStyle w:val="Refernciadenotaapeudepgina"/>
        </w:rPr>
        <w:footnoteRef/>
      </w:r>
      <w:r>
        <w:rPr>
          <w:lang w:val="en-GB"/>
        </w:rPr>
        <w:t xml:space="preserve"> </w:t>
      </w:r>
      <w:r w:rsidRPr="00F35357">
        <w:rPr>
          <w:lang w:val="en"/>
        </w:rPr>
        <w:t xml:space="preserve">Another group of reflection on how to strengthen the multilateral trading system, The E15 Initiative of the International Centre for Trade and Sustainable Development (ICTSD) and the World Economic Forum, </w:t>
      </w:r>
      <w:r w:rsidR="00E16945">
        <w:rPr>
          <w:lang w:val="en"/>
        </w:rPr>
        <w:t xml:space="preserve">reached similar conclusions </w:t>
      </w:r>
      <w:r>
        <w:rPr>
          <w:lang w:val="en"/>
        </w:rPr>
        <w:t>in December 2013.</w:t>
      </w:r>
      <w:r w:rsidRPr="00F35357">
        <w:rPr>
          <w:lang w:val="en-GB"/>
        </w:rPr>
        <w:t xml:space="preserve"> </w:t>
      </w:r>
    </w:p>
  </w:footnote>
  <w:footnote w:id="11">
    <w:p w:rsidR="00177312" w:rsidRPr="00F94C0F" w:rsidRDefault="00177312" w:rsidP="00177312">
      <w:pPr>
        <w:pStyle w:val="Textdenotaapeudepgina"/>
        <w:rPr>
          <w:lang w:val="en-GB"/>
        </w:rPr>
      </w:pPr>
      <w:r>
        <w:rPr>
          <w:rStyle w:val="Refernciadenotaapeudepgina"/>
        </w:rPr>
        <w:footnoteRef/>
      </w:r>
      <w:r w:rsidRPr="00F94C0F">
        <w:rPr>
          <w:lang w:val="en-GB"/>
        </w:rPr>
        <w:t xml:space="preserve"> </w:t>
      </w:r>
      <w:r>
        <w:rPr>
          <w:lang w:val="en-GB"/>
        </w:rPr>
        <w:t>On the formation of the Quad see Cohn (2002).</w:t>
      </w:r>
    </w:p>
  </w:footnote>
  <w:footnote w:id="12">
    <w:p w:rsidR="00782D14" w:rsidRPr="0069130E" w:rsidRDefault="00782D14" w:rsidP="00782D14">
      <w:pPr>
        <w:pStyle w:val="Textdenotaapeudepgina"/>
        <w:rPr>
          <w:lang w:val="en-GB"/>
        </w:rPr>
      </w:pPr>
      <w:r>
        <w:rPr>
          <w:rStyle w:val="Refernciadenotaapeudepgina"/>
        </w:rPr>
        <w:footnoteRef/>
      </w:r>
      <w:r w:rsidRPr="00782D14">
        <w:rPr>
          <w:lang w:val="en-GB"/>
        </w:rPr>
        <w:t xml:space="preserve"> </w:t>
      </w:r>
      <w:r w:rsidRPr="00782D14">
        <w:rPr>
          <w:lang w:val="en"/>
        </w:rPr>
        <w:t xml:space="preserve">The Cairns Group is a coalition of countries </w:t>
      </w:r>
      <w:r>
        <w:rPr>
          <w:lang w:val="en"/>
        </w:rPr>
        <w:t>which</w:t>
      </w:r>
      <w:r w:rsidRPr="00782D14">
        <w:rPr>
          <w:lang w:val="en"/>
        </w:rPr>
        <w:t xml:space="preserve"> w</w:t>
      </w:r>
      <w:r>
        <w:rPr>
          <w:lang w:val="en"/>
        </w:rPr>
        <w:t>as</w:t>
      </w:r>
      <w:r w:rsidRPr="00782D14">
        <w:rPr>
          <w:lang w:val="en"/>
        </w:rPr>
        <w:t xml:space="preserve"> born in the Uruguay Round to push for the liberalization of agricultural trade. </w:t>
      </w:r>
      <w:r w:rsidRPr="00782D14">
        <w:rPr>
          <w:lang w:val="en-GB"/>
        </w:rPr>
        <w:t>It consists of</w:t>
      </w:r>
      <w:r>
        <w:rPr>
          <w:lang w:val="en-GB"/>
        </w:rPr>
        <w:t xml:space="preserve"> both</w:t>
      </w:r>
      <w:r w:rsidRPr="00782D14">
        <w:rPr>
          <w:lang w:val="en-GB"/>
        </w:rPr>
        <w:t xml:space="preserve"> developed and developing </w:t>
      </w:r>
      <w:r>
        <w:rPr>
          <w:lang w:val="en-GB"/>
        </w:rPr>
        <w:t xml:space="preserve">agricultural exporter countries. </w:t>
      </w:r>
    </w:p>
  </w:footnote>
  <w:footnote w:id="13">
    <w:p w:rsidR="003928DD" w:rsidRPr="00AA32EC" w:rsidRDefault="003928DD" w:rsidP="003928DD">
      <w:pPr>
        <w:pStyle w:val="Textdenotaapeudepgina"/>
        <w:rPr>
          <w:lang w:val="ca-ES"/>
        </w:rPr>
      </w:pPr>
      <w:r>
        <w:rPr>
          <w:rStyle w:val="Refernciadenotaapeudepgina"/>
        </w:rPr>
        <w:footnoteRef/>
      </w:r>
      <w:r w:rsidRPr="003928DD">
        <w:rPr>
          <w:lang w:val="en-GB"/>
        </w:rPr>
        <w:t xml:space="preserve"> </w:t>
      </w:r>
      <w:r w:rsidRPr="003928DD">
        <w:rPr>
          <w:lang w:val="en"/>
        </w:rPr>
        <w:t xml:space="preserve">The term 'green room' comes from the color of the walls of the meeting room attached to the office of </w:t>
      </w:r>
      <w:proofErr w:type="spellStart"/>
      <w:r w:rsidR="00350AE9">
        <w:rPr>
          <w:lang w:val="en"/>
        </w:rPr>
        <w:t>Mr</w:t>
      </w:r>
      <w:proofErr w:type="spellEnd"/>
      <w:r w:rsidR="00350AE9">
        <w:rPr>
          <w:lang w:val="en"/>
        </w:rPr>
        <w:t xml:space="preserve"> Arthur </w:t>
      </w:r>
      <w:proofErr w:type="spellStart"/>
      <w:r w:rsidR="00350AE9">
        <w:rPr>
          <w:lang w:val="en"/>
        </w:rPr>
        <w:t>Dunkel</w:t>
      </w:r>
      <w:proofErr w:type="spellEnd"/>
      <w:r w:rsidR="00350AE9">
        <w:rPr>
          <w:lang w:val="en"/>
        </w:rPr>
        <w:t xml:space="preserve">, </w:t>
      </w:r>
      <w:r w:rsidRPr="003928DD">
        <w:rPr>
          <w:lang w:val="en"/>
        </w:rPr>
        <w:t xml:space="preserve">Director General of the GATT in </w:t>
      </w:r>
      <w:r w:rsidR="00350AE9">
        <w:rPr>
          <w:lang w:val="en"/>
        </w:rPr>
        <w:t xml:space="preserve">the </w:t>
      </w:r>
      <w:r w:rsidRPr="003928DD">
        <w:rPr>
          <w:lang w:val="en"/>
        </w:rPr>
        <w:t>1970</w:t>
      </w:r>
      <w:r w:rsidR="00350AE9">
        <w:rPr>
          <w:lang w:val="en"/>
        </w:rPr>
        <w:t>s</w:t>
      </w:r>
      <w:r w:rsidRPr="003928DD">
        <w:rPr>
          <w:lang w:val="en"/>
        </w:rPr>
        <w:t xml:space="preserve"> (</w:t>
      </w:r>
      <w:proofErr w:type="spellStart"/>
      <w:r w:rsidRPr="003928DD">
        <w:rPr>
          <w:lang w:val="en"/>
        </w:rPr>
        <w:t>Blackhurst</w:t>
      </w:r>
      <w:proofErr w:type="spellEnd"/>
      <w:r w:rsidRPr="003928DD">
        <w:rPr>
          <w:lang w:val="en"/>
        </w:rPr>
        <w:t xml:space="preserve"> and </w:t>
      </w:r>
      <w:proofErr w:type="spellStart"/>
      <w:r w:rsidRPr="003928DD">
        <w:rPr>
          <w:lang w:val="en"/>
        </w:rPr>
        <w:t>Hartridge</w:t>
      </w:r>
      <w:proofErr w:type="spellEnd"/>
      <w:r w:rsidRPr="003928DD">
        <w:rPr>
          <w:lang w:val="en"/>
        </w:rPr>
        <w:t xml:space="preserve">, 2004). In those years, these meetings </w:t>
      </w:r>
      <w:r>
        <w:rPr>
          <w:lang w:val="en"/>
        </w:rPr>
        <w:t xml:space="preserve">usually </w:t>
      </w:r>
      <w:r w:rsidR="00350AE9" w:rsidRPr="003928DD">
        <w:rPr>
          <w:lang w:val="en"/>
        </w:rPr>
        <w:t>covered less</w:t>
      </w:r>
      <w:r w:rsidRPr="003928DD">
        <w:rPr>
          <w:lang w:val="en"/>
        </w:rPr>
        <w:t xml:space="preserve"> than 8 </w:t>
      </w:r>
      <w:r>
        <w:rPr>
          <w:lang w:val="en"/>
        </w:rPr>
        <w:t>countries delegations</w:t>
      </w:r>
      <w:r w:rsidRPr="003928DD">
        <w:rPr>
          <w:lang w:val="en"/>
        </w:rPr>
        <w:t xml:space="preserve">. Although </w:t>
      </w:r>
      <w:r>
        <w:rPr>
          <w:lang w:val="en"/>
        </w:rPr>
        <w:t xml:space="preserve">it </w:t>
      </w:r>
      <w:r w:rsidRPr="003928DD">
        <w:rPr>
          <w:lang w:val="en"/>
        </w:rPr>
        <w:t xml:space="preserve">no longer designates a specific physical space, this term is still used to designate informal meetings, now </w:t>
      </w:r>
      <w:r>
        <w:rPr>
          <w:lang w:val="en"/>
        </w:rPr>
        <w:t xml:space="preserve">of  </w:t>
      </w:r>
      <w:r w:rsidRPr="003928DD">
        <w:rPr>
          <w:lang w:val="en"/>
        </w:rPr>
        <w:t>20-30 members, convened by the Director-General or the President of one of the areas of negotiation</w:t>
      </w:r>
      <w:r>
        <w:rPr>
          <w:lang w:val="en"/>
        </w:rPr>
        <w:t>,</w:t>
      </w:r>
      <w:r w:rsidRPr="003928DD">
        <w:rPr>
          <w:lang w:val="en"/>
        </w:rPr>
        <w:t xml:space="preserve"> to try reach </w:t>
      </w:r>
      <w:r>
        <w:rPr>
          <w:lang w:val="en"/>
        </w:rPr>
        <w:t xml:space="preserve">a </w:t>
      </w:r>
      <w:r w:rsidRPr="003928DD">
        <w:rPr>
          <w:lang w:val="en"/>
        </w:rPr>
        <w:t>consensus which can then be extended to the rest of the membership</w:t>
      </w:r>
      <w:r>
        <w:rPr>
          <w:lang w:val="en"/>
        </w:rPr>
        <w:t xml:space="preserve">. </w:t>
      </w:r>
      <w:r>
        <w:rPr>
          <w:lang w:val="ca-ES"/>
        </w:rPr>
        <w:t>(</w:t>
      </w:r>
      <w:proofErr w:type="spellStart"/>
      <w:r>
        <w:rPr>
          <w:lang w:val="ca-ES"/>
        </w:rPr>
        <w:t>Narlikar</w:t>
      </w:r>
      <w:proofErr w:type="spellEnd"/>
      <w:r>
        <w:rPr>
          <w:lang w:val="ca-ES"/>
        </w:rPr>
        <w:t xml:space="preserve">, 2011b; </w:t>
      </w:r>
      <w:proofErr w:type="spellStart"/>
      <w:r>
        <w:rPr>
          <w:lang w:val="ca-ES"/>
        </w:rPr>
        <w:t>Schott</w:t>
      </w:r>
      <w:proofErr w:type="spellEnd"/>
      <w:r>
        <w:rPr>
          <w:lang w:val="ca-ES"/>
        </w:rPr>
        <w:t xml:space="preserve"> </w:t>
      </w:r>
      <w:proofErr w:type="spellStart"/>
      <w:r>
        <w:rPr>
          <w:lang w:val="ca-ES"/>
        </w:rPr>
        <w:t>and</w:t>
      </w:r>
      <w:proofErr w:type="spellEnd"/>
      <w:r>
        <w:rPr>
          <w:lang w:val="ca-ES"/>
        </w:rPr>
        <w:t xml:space="preserve"> </w:t>
      </w:r>
      <w:proofErr w:type="spellStart"/>
      <w:r>
        <w:rPr>
          <w:lang w:val="ca-ES"/>
        </w:rPr>
        <w:t>Watal</w:t>
      </w:r>
      <w:proofErr w:type="spellEnd"/>
      <w:r>
        <w:rPr>
          <w:lang w:val="ca-ES"/>
        </w:rPr>
        <w:t xml:space="preserve">, 2000). </w:t>
      </w:r>
    </w:p>
  </w:footnote>
  <w:footnote w:id="14">
    <w:p w:rsidR="00D81DDB" w:rsidRPr="00D81DDB" w:rsidRDefault="00D81DDB">
      <w:pPr>
        <w:pStyle w:val="Textdenotaapeudepgina"/>
        <w:rPr>
          <w:lang w:val="en-GB"/>
        </w:rPr>
      </w:pPr>
      <w:r>
        <w:rPr>
          <w:rStyle w:val="Refernciadenotaapeudepgina"/>
        </w:rPr>
        <w:footnoteRef/>
      </w:r>
      <w:r w:rsidRPr="00D81DDB">
        <w:rPr>
          <w:lang w:val="en-GB"/>
        </w:rPr>
        <w:t xml:space="preserve"> </w:t>
      </w:r>
      <w:r>
        <w:rPr>
          <w:lang w:val="en-GB"/>
        </w:rPr>
        <w:t>NAMA</w:t>
      </w:r>
      <w:r w:rsidR="00CC325A">
        <w:rPr>
          <w:lang w:val="en-GB"/>
        </w:rPr>
        <w:t xml:space="preserve"> (non-agricultural market access</w:t>
      </w:r>
      <w:r w:rsidR="00C15144">
        <w:rPr>
          <w:lang w:val="en-GB"/>
        </w:rPr>
        <w:t>) refers</w:t>
      </w:r>
      <w:r w:rsidRPr="00D81DDB">
        <w:rPr>
          <w:lang w:val="en-GB"/>
        </w:rPr>
        <w:t xml:space="preserve"> to all products not covered by the</w:t>
      </w:r>
      <w:r>
        <w:rPr>
          <w:lang w:val="en-GB"/>
        </w:rPr>
        <w:t xml:space="preserve"> Uruguay Round</w:t>
      </w:r>
      <w:r w:rsidRPr="00D81DDB">
        <w:rPr>
          <w:lang w:val="en-GB"/>
        </w:rPr>
        <w:t xml:space="preserve"> Agreement on Agriculture</w:t>
      </w:r>
      <w:r>
        <w:rPr>
          <w:lang w:val="en-GB"/>
        </w:rPr>
        <w:t xml:space="preserve">: </w:t>
      </w:r>
      <w:r w:rsidRPr="00D81DDB">
        <w:rPr>
          <w:lang w:val="en-GB"/>
        </w:rPr>
        <w:t>it includes manufacturing products, fuels and mining products, fish and fish products, and forestry products.</w:t>
      </w:r>
    </w:p>
  </w:footnote>
  <w:footnote w:id="15">
    <w:p w:rsidR="00A3766C" w:rsidRPr="00A3766C" w:rsidRDefault="00A3766C" w:rsidP="00A3766C">
      <w:pPr>
        <w:pStyle w:val="Textdenotaapeudepgina"/>
        <w:rPr>
          <w:lang w:val="en-GB"/>
        </w:rPr>
      </w:pPr>
      <w:r>
        <w:rPr>
          <w:rStyle w:val="Refernciadenotaapeudepgina"/>
        </w:rPr>
        <w:footnoteRef/>
      </w:r>
      <w:r w:rsidRPr="00A3766C">
        <w:rPr>
          <w:lang w:val="en-GB"/>
        </w:rPr>
        <w:t xml:space="preserve"> </w:t>
      </w:r>
      <w:r w:rsidRPr="00A3766C">
        <w:rPr>
          <w:lang w:val="en"/>
        </w:rPr>
        <w:t xml:space="preserve">According to the </w:t>
      </w:r>
      <w:r w:rsidRPr="00A3766C">
        <w:rPr>
          <w:i/>
          <w:lang w:val="en"/>
        </w:rPr>
        <w:t>Financial Times</w:t>
      </w:r>
      <w:r w:rsidRPr="00A3766C">
        <w:rPr>
          <w:lang w:val="en"/>
        </w:rPr>
        <w:t xml:space="preserve">, Pascal </w:t>
      </w:r>
      <w:proofErr w:type="spellStart"/>
      <w:r w:rsidRPr="00A3766C">
        <w:rPr>
          <w:lang w:val="en"/>
        </w:rPr>
        <w:t>Lamy</w:t>
      </w:r>
      <w:proofErr w:type="spellEnd"/>
      <w:r w:rsidRPr="00A3766C">
        <w:rPr>
          <w:lang w:val="en"/>
        </w:rPr>
        <w:t xml:space="preserve">, then EU Trade Commissioner, </w:t>
      </w:r>
      <w:r>
        <w:rPr>
          <w:lang w:val="en"/>
        </w:rPr>
        <w:t xml:space="preserve">declared </w:t>
      </w:r>
      <w:r w:rsidRPr="00A3766C">
        <w:rPr>
          <w:lang w:val="en"/>
        </w:rPr>
        <w:t>in December 2003 that the G20 was a necessary negotiating partner.</w:t>
      </w:r>
      <w:r w:rsidRPr="00A3766C">
        <w:rPr>
          <w:lang w:val="en-GB"/>
        </w:rPr>
        <w:t xml:space="preserve"> (FT 14/12/2003)</w:t>
      </w:r>
      <w:r w:rsidR="00B44F3B">
        <w:rPr>
          <w:lang w:val="en-GB"/>
        </w:rPr>
        <w:t xml:space="preserve">. </w:t>
      </w:r>
      <w:r w:rsidR="00CB72E6">
        <w:rPr>
          <w:lang w:val="en-GB"/>
        </w:rPr>
        <w:t xml:space="preserve"> Formed exclusively of developing countries, t</w:t>
      </w:r>
      <w:r w:rsidR="00B44F3B">
        <w:rPr>
          <w:lang w:val="en-GB"/>
        </w:rPr>
        <w:t>he G20</w:t>
      </w:r>
      <w:r w:rsidR="00B44F3B" w:rsidRPr="00B44F3B">
        <w:rPr>
          <w:lang w:val="en-GB"/>
        </w:rPr>
        <w:t xml:space="preserve"> was formed to reject the US-EU pact on agriculture presented at the September 2003 </w:t>
      </w:r>
      <w:proofErr w:type="spellStart"/>
      <w:r w:rsidR="00B44F3B" w:rsidRPr="00B44F3B">
        <w:rPr>
          <w:lang w:val="en-GB"/>
        </w:rPr>
        <w:t>Cancún</w:t>
      </w:r>
      <w:proofErr w:type="spellEnd"/>
      <w:r w:rsidR="00B44F3B" w:rsidRPr="00B44F3B">
        <w:rPr>
          <w:lang w:val="en-GB"/>
        </w:rPr>
        <w:t xml:space="preserve"> Ministerial Conference</w:t>
      </w:r>
      <w:r w:rsidR="00B44F3B">
        <w:rPr>
          <w:lang w:val="en-GB"/>
        </w:rPr>
        <w:t>.</w:t>
      </w:r>
      <w:r w:rsidR="00B44F3B" w:rsidRPr="00B44F3B">
        <w:rPr>
          <w:lang w:val="en-GB"/>
        </w:rPr>
        <w:t xml:space="preserve"> </w:t>
      </w:r>
      <w:r w:rsidR="00CB72E6">
        <w:rPr>
          <w:lang w:val="en-GB"/>
        </w:rPr>
        <w:t>Led by Brazil and India, this</w:t>
      </w:r>
      <w:r w:rsidR="00CB72E6" w:rsidRPr="00CB72E6">
        <w:rPr>
          <w:rFonts w:eastAsia="Calibri"/>
          <w:sz w:val="24"/>
          <w:szCs w:val="24"/>
          <w:shd w:val="clear" w:color="auto" w:fill="FFFFFF"/>
          <w:lang w:val="en-GB"/>
        </w:rPr>
        <w:t xml:space="preserve"> </w:t>
      </w:r>
      <w:r w:rsidR="00CB72E6" w:rsidRPr="00CB72E6">
        <w:rPr>
          <w:lang w:val="en-GB"/>
        </w:rPr>
        <w:t>was the first coalition to include China</w:t>
      </w:r>
      <w:r w:rsidR="00CB72E6">
        <w:rPr>
          <w:lang w:val="en-GB"/>
        </w:rPr>
        <w:t xml:space="preserve">. </w:t>
      </w:r>
      <w:r w:rsidR="00B44F3B" w:rsidRPr="002C2718">
        <w:rPr>
          <w:lang w:val="en-GB"/>
        </w:rPr>
        <w:t>The original countries of the G20 were: Argentina, Brazil, Bolivia, Chile, China, Colombia, Costa Rica, Cuba, Ecuador, El Salvador, Guatemala, India, Mexico, Pakistan, Paraguay, Peru, the Philippines, South Africa, Thailand, and Venezuela. Later there were changes in the composition of the group: Egypt and Kenya joined, but various South American countries withdrew under pressure from the US.</w:t>
      </w:r>
      <w:r w:rsidR="00B44F3B">
        <w:rPr>
          <w:lang w:val="en-GB"/>
        </w:rPr>
        <w:t xml:space="preserve"> </w:t>
      </w:r>
    </w:p>
  </w:footnote>
  <w:footnote w:id="16">
    <w:p w:rsidR="006B018D" w:rsidRPr="006B018D" w:rsidRDefault="006B018D">
      <w:pPr>
        <w:pStyle w:val="Textdenotaapeudepgina"/>
        <w:rPr>
          <w:lang w:val="ca-ES"/>
        </w:rPr>
      </w:pPr>
      <w:r>
        <w:rPr>
          <w:rStyle w:val="Refernciadenotaapeudepgina"/>
        </w:rPr>
        <w:footnoteRef/>
      </w:r>
      <w:r w:rsidRPr="006B018D">
        <w:rPr>
          <w:lang w:val="en-US"/>
        </w:rPr>
        <w:t xml:space="preserve"> </w:t>
      </w:r>
      <w:proofErr w:type="spellStart"/>
      <w:r w:rsidRPr="00E03EFD">
        <w:rPr>
          <w:lang w:val="en"/>
        </w:rPr>
        <w:t>Ahnlid</w:t>
      </w:r>
      <w:proofErr w:type="spellEnd"/>
      <w:r w:rsidRPr="00E03EFD">
        <w:rPr>
          <w:lang w:val="en"/>
        </w:rPr>
        <w:t xml:space="preserve"> and </w:t>
      </w:r>
      <w:proofErr w:type="spellStart"/>
      <w:r w:rsidRPr="00E03EFD">
        <w:rPr>
          <w:lang w:val="en"/>
        </w:rPr>
        <w:t>Elgström</w:t>
      </w:r>
      <w:proofErr w:type="spellEnd"/>
      <w:r w:rsidRPr="00E03EFD">
        <w:rPr>
          <w:lang w:val="en"/>
        </w:rPr>
        <w:t xml:space="preserve"> (2014</w:t>
      </w:r>
      <w:r w:rsidR="009B5792" w:rsidRPr="00E03EFD">
        <w:rPr>
          <w:lang w:val="en"/>
        </w:rPr>
        <w:t>: 87</w:t>
      </w:r>
      <w:r w:rsidRPr="00E03EFD">
        <w:rPr>
          <w:lang w:val="en"/>
        </w:rPr>
        <w:t xml:space="preserve">) </w:t>
      </w:r>
      <w:r w:rsidR="00372747" w:rsidRPr="00E03EFD">
        <w:rPr>
          <w:lang w:val="en"/>
        </w:rPr>
        <w:t>allege</w:t>
      </w:r>
      <w:r w:rsidRPr="00E03EFD">
        <w:rPr>
          <w:lang w:val="en"/>
        </w:rPr>
        <w:t xml:space="preserve"> that the EU role in the negotiations </w:t>
      </w:r>
      <w:r w:rsidR="009B5792" w:rsidRPr="00E03EFD">
        <w:rPr>
          <w:lang w:val="en"/>
        </w:rPr>
        <w:t xml:space="preserve">changed </w:t>
      </w:r>
      <w:r w:rsidR="00372747" w:rsidRPr="00E03EFD">
        <w:rPr>
          <w:lang w:val="en"/>
        </w:rPr>
        <w:t>at</w:t>
      </w:r>
      <w:r w:rsidRPr="00E03EFD">
        <w:rPr>
          <w:lang w:val="en"/>
        </w:rPr>
        <w:t xml:space="preserve"> the end of the 2008 meeting</w:t>
      </w:r>
      <w:r w:rsidR="009B5792" w:rsidRPr="00E03EFD">
        <w:rPr>
          <w:lang w:val="en"/>
        </w:rPr>
        <w:t>: “becoming more a mediator than a leader”</w:t>
      </w:r>
      <w:r w:rsidRPr="00E03EFD">
        <w:rPr>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229"/>
    <w:multiLevelType w:val="hybridMultilevel"/>
    <w:tmpl w:val="812CFBF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BFA4BA7"/>
    <w:multiLevelType w:val="hybridMultilevel"/>
    <w:tmpl w:val="29DA019A"/>
    <w:lvl w:ilvl="0" w:tplc="FAAE9CC2">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6D73EFC"/>
    <w:multiLevelType w:val="hybridMultilevel"/>
    <w:tmpl w:val="3BEAF48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C2"/>
    <w:rsid w:val="00000ACB"/>
    <w:rsid w:val="00012F11"/>
    <w:rsid w:val="000135BF"/>
    <w:rsid w:val="000164BE"/>
    <w:rsid w:val="00017F54"/>
    <w:rsid w:val="00022339"/>
    <w:rsid w:val="00026A83"/>
    <w:rsid w:val="000276FA"/>
    <w:rsid w:val="000328B1"/>
    <w:rsid w:val="0003454A"/>
    <w:rsid w:val="00036DF9"/>
    <w:rsid w:val="000372EE"/>
    <w:rsid w:val="00041997"/>
    <w:rsid w:val="00053F50"/>
    <w:rsid w:val="00055F0F"/>
    <w:rsid w:val="00061CDC"/>
    <w:rsid w:val="00063046"/>
    <w:rsid w:val="000640F8"/>
    <w:rsid w:val="00064C72"/>
    <w:rsid w:val="000656A3"/>
    <w:rsid w:val="00067781"/>
    <w:rsid w:val="000708E2"/>
    <w:rsid w:val="000711D7"/>
    <w:rsid w:val="00072B09"/>
    <w:rsid w:val="000733D5"/>
    <w:rsid w:val="0007557B"/>
    <w:rsid w:val="00076C66"/>
    <w:rsid w:val="00076D0A"/>
    <w:rsid w:val="00082BFC"/>
    <w:rsid w:val="00084FA5"/>
    <w:rsid w:val="000852D0"/>
    <w:rsid w:val="00085D3F"/>
    <w:rsid w:val="000A0AC4"/>
    <w:rsid w:val="000A0D8C"/>
    <w:rsid w:val="000A10B4"/>
    <w:rsid w:val="000A2A2F"/>
    <w:rsid w:val="000B0F5E"/>
    <w:rsid w:val="000C1698"/>
    <w:rsid w:val="000C437E"/>
    <w:rsid w:val="000C58B8"/>
    <w:rsid w:val="000D18BA"/>
    <w:rsid w:val="000E251A"/>
    <w:rsid w:val="000E58D3"/>
    <w:rsid w:val="000E5F20"/>
    <w:rsid w:val="000F3C0B"/>
    <w:rsid w:val="000F4E7B"/>
    <w:rsid w:val="000F4F00"/>
    <w:rsid w:val="00103986"/>
    <w:rsid w:val="0011294F"/>
    <w:rsid w:val="001208AE"/>
    <w:rsid w:val="00123328"/>
    <w:rsid w:val="00123925"/>
    <w:rsid w:val="001269B8"/>
    <w:rsid w:val="0013121C"/>
    <w:rsid w:val="00131804"/>
    <w:rsid w:val="00133C96"/>
    <w:rsid w:val="00134D27"/>
    <w:rsid w:val="00135D83"/>
    <w:rsid w:val="00140532"/>
    <w:rsid w:val="00141D43"/>
    <w:rsid w:val="00143802"/>
    <w:rsid w:val="00145298"/>
    <w:rsid w:val="001455F4"/>
    <w:rsid w:val="00163A89"/>
    <w:rsid w:val="00163AC7"/>
    <w:rsid w:val="00164CFD"/>
    <w:rsid w:val="001660D9"/>
    <w:rsid w:val="001677B0"/>
    <w:rsid w:val="00170DEF"/>
    <w:rsid w:val="00171371"/>
    <w:rsid w:val="00177312"/>
    <w:rsid w:val="00181734"/>
    <w:rsid w:val="00184EFB"/>
    <w:rsid w:val="001858E5"/>
    <w:rsid w:val="00190C13"/>
    <w:rsid w:val="00191EEE"/>
    <w:rsid w:val="00194D8F"/>
    <w:rsid w:val="001A28E3"/>
    <w:rsid w:val="001A465C"/>
    <w:rsid w:val="001A4FFA"/>
    <w:rsid w:val="001B6E02"/>
    <w:rsid w:val="001C2E4E"/>
    <w:rsid w:val="001D14AC"/>
    <w:rsid w:val="001D57C6"/>
    <w:rsid w:val="001D5976"/>
    <w:rsid w:val="001E170F"/>
    <w:rsid w:val="001E5502"/>
    <w:rsid w:val="00205A71"/>
    <w:rsid w:val="0020730D"/>
    <w:rsid w:val="0021613D"/>
    <w:rsid w:val="00224C8A"/>
    <w:rsid w:val="0023031D"/>
    <w:rsid w:val="00234598"/>
    <w:rsid w:val="00241EAA"/>
    <w:rsid w:val="00246511"/>
    <w:rsid w:val="00250C52"/>
    <w:rsid w:val="00253344"/>
    <w:rsid w:val="00254291"/>
    <w:rsid w:val="002558AC"/>
    <w:rsid w:val="002602E3"/>
    <w:rsid w:val="002611F6"/>
    <w:rsid w:val="00263460"/>
    <w:rsid w:val="00264430"/>
    <w:rsid w:val="00265746"/>
    <w:rsid w:val="0027214E"/>
    <w:rsid w:val="0027480C"/>
    <w:rsid w:val="0027783D"/>
    <w:rsid w:val="00277CDF"/>
    <w:rsid w:val="00283E6C"/>
    <w:rsid w:val="00285C74"/>
    <w:rsid w:val="00291918"/>
    <w:rsid w:val="00293679"/>
    <w:rsid w:val="00294386"/>
    <w:rsid w:val="00294D61"/>
    <w:rsid w:val="002A16C5"/>
    <w:rsid w:val="002A560F"/>
    <w:rsid w:val="002A715F"/>
    <w:rsid w:val="002B0F79"/>
    <w:rsid w:val="002B26D4"/>
    <w:rsid w:val="002B764F"/>
    <w:rsid w:val="002C0641"/>
    <w:rsid w:val="002C0B80"/>
    <w:rsid w:val="002C3FCF"/>
    <w:rsid w:val="002D1305"/>
    <w:rsid w:val="002E1B6A"/>
    <w:rsid w:val="002E25E2"/>
    <w:rsid w:val="002E41D6"/>
    <w:rsid w:val="002E50E9"/>
    <w:rsid w:val="002E70B0"/>
    <w:rsid w:val="002E73E4"/>
    <w:rsid w:val="003054EA"/>
    <w:rsid w:val="00305B3E"/>
    <w:rsid w:val="00306B9C"/>
    <w:rsid w:val="003076DE"/>
    <w:rsid w:val="00311D9B"/>
    <w:rsid w:val="0031374B"/>
    <w:rsid w:val="0032417F"/>
    <w:rsid w:val="00331666"/>
    <w:rsid w:val="00331FFD"/>
    <w:rsid w:val="00334CEB"/>
    <w:rsid w:val="003361D9"/>
    <w:rsid w:val="003373F1"/>
    <w:rsid w:val="00342F4A"/>
    <w:rsid w:val="003507CC"/>
    <w:rsid w:val="00350AE9"/>
    <w:rsid w:val="0035219C"/>
    <w:rsid w:val="00352AE3"/>
    <w:rsid w:val="00355F0F"/>
    <w:rsid w:val="00362345"/>
    <w:rsid w:val="0036426E"/>
    <w:rsid w:val="00364328"/>
    <w:rsid w:val="003653C0"/>
    <w:rsid w:val="003661F3"/>
    <w:rsid w:val="00370CD5"/>
    <w:rsid w:val="00372747"/>
    <w:rsid w:val="00372CEE"/>
    <w:rsid w:val="003734FB"/>
    <w:rsid w:val="003812F9"/>
    <w:rsid w:val="003822D8"/>
    <w:rsid w:val="00383A3F"/>
    <w:rsid w:val="00386EDB"/>
    <w:rsid w:val="003908D8"/>
    <w:rsid w:val="003928DD"/>
    <w:rsid w:val="003A17BA"/>
    <w:rsid w:val="003A2EE8"/>
    <w:rsid w:val="003A40D4"/>
    <w:rsid w:val="003A4188"/>
    <w:rsid w:val="003A65C3"/>
    <w:rsid w:val="003B2164"/>
    <w:rsid w:val="003B408A"/>
    <w:rsid w:val="003B656E"/>
    <w:rsid w:val="003B66CA"/>
    <w:rsid w:val="003B6780"/>
    <w:rsid w:val="003B759B"/>
    <w:rsid w:val="003C18EB"/>
    <w:rsid w:val="003C4841"/>
    <w:rsid w:val="003D18C7"/>
    <w:rsid w:val="003E1C5F"/>
    <w:rsid w:val="003E402F"/>
    <w:rsid w:val="003E629B"/>
    <w:rsid w:val="003F0709"/>
    <w:rsid w:val="003F2797"/>
    <w:rsid w:val="00402799"/>
    <w:rsid w:val="00402DB7"/>
    <w:rsid w:val="004054E9"/>
    <w:rsid w:val="00405F31"/>
    <w:rsid w:val="00412357"/>
    <w:rsid w:val="00422D5E"/>
    <w:rsid w:val="00423EF1"/>
    <w:rsid w:val="004254A4"/>
    <w:rsid w:val="00427183"/>
    <w:rsid w:val="00431EA4"/>
    <w:rsid w:val="004322CB"/>
    <w:rsid w:val="00434A33"/>
    <w:rsid w:val="004359C1"/>
    <w:rsid w:val="00443585"/>
    <w:rsid w:val="0044540F"/>
    <w:rsid w:val="00452464"/>
    <w:rsid w:val="00452B5E"/>
    <w:rsid w:val="00453640"/>
    <w:rsid w:val="00454D62"/>
    <w:rsid w:val="00455BE7"/>
    <w:rsid w:val="004675C5"/>
    <w:rsid w:val="00470BD8"/>
    <w:rsid w:val="00472E8D"/>
    <w:rsid w:val="00474EF8"/>
    <w:rsid w:val="00475ADB"/>
    <w:rsid w:val="004804F5"/>
    <w:rsid w:val="00480938"/>
    <w:rsid w:val="00481C86"/>
    <w:rsid w:val="00483903"/>
    <w:rsid w:val="0048664D"/>
    <w:rsid w:val="00493207"/>
    <w:rsid w:val="00494F03"/>
    <w:rsid w:val="004956A8"/>
    <w:rsid w:val="004A4694"/>
    <w:rsid w:val="004A638B"/>
    <w:rsid w:val="004B612E"/>
    <w:rsid w:val="004C5307"/>
    <w:rsid w:val="004D204B"/>
    <w:rsid w:val="004D2898"/>
    <w:rsid w:val="004D2D25"/>
    <w:rsid w:val="004E0310"/>
    <w:rsid w:val="004E6065"/>
    <w:rsid w:val="004F08A4"/>
    <w:rsid w:val="004F10C1"/>
    <w:rsid w:val="004F1598"/>
    <w:rsid w:val="004F61A5"/>
    <w:rsid w:val="004F64C7"/>
    <w:rsid w:val="004F7BA8"/>
    <w:rsid w:val="0050546E"/>
    <w:rsid w:val="00510105"/>
    <w:rsid w:val="005200E0"/>
    <w:rsid w:val="00521972"/>
    <w:rsid w:val="005226E7"/>
    <w:rsid w:val="00523017"/>
    <w:rsid w:val="0053129C"/>
    <w:rsid w:val="00533DA6"/>
    <w:rsid w:val="005340FA"/>
    <w:rsid w:val="00534939"/>
    <w:rsid w:val="00535212"/>
    <w:rsid w:val="00535432"/>
    <w:rsid w:val="00535DA5"/>
    <w:rsid w:val="0054082F"/>
    <w:rsid w:val="00541378"/>
    <w:rsid w:val="00547260"/>
    <w:rsid w:val="00547FF3"/>
    <w:rsid w:val="00555EF8"/>
    <w:rsid w:val="00556B80"/>
    <w:rsid w:val="005578D7"/>
    <w:rsid w:val="00560C77"/>
    <w:rsid w:val="00565D54"/>
    <w:rsid w:val="0057246B"/>
    <w:rsid w:val="005803A1"/>
    <w:rsid w:val="00580F73"/>
    <w:rsid w:val="00590879"/>
    <w:rsid w:val="00592B7E"/>
    <w:rsid w:val="0059334E"/>
    <w:rsid w:val="00597CEC"/>
    <w:rsid w:val="005A3D11"/>
    <w:rsid w:val="005A4236"/>
    <w:rsid w:val="005A68BB"/>
    <w:rsid w:val="005A73E1"/>
    <w:rsid w:val="005B19C2"/>
    <w:rsid w:val="005B1F41"/>
    <w:rsid w:val="005B22B2"/>
    <w:rsid w:val="005B2F2A"/>
    <w:rsid w:val="005B6521"/>
    <w:rsid w:val="005D714C"/>
    <w:rsid w:val="005E139E"/>
    <w:rsid w:val="005E4CA4"/>
    <w:rsid w:val="005E5C5D"/>
    <w:rsid w:val="005F7046"/>
    <w:rsid w:val="00601BEE"/>
    <w:rsid w:val="00613391"/>
    <w:rsid w:val="0061411F"/>
    <w:rsid w:val="006479EE"/>
    <w:rsid w:val="00660FBF"/>
    <w:rsid w:val="006623F8"/>
    <w:rsid w:val="00663F62"/>
    <w:rsid w:val="00666067"/>
    <w:rsid w:val="00667525"/>
    <w:rsid w:val="00671BE7"/>
    <w:rsid w:val="00676F9F"/>
    <w:rsid w:val="00683A90"/>
    <w:rsid w:val="00683F3B"/>
    <w:rsid w:val="0069130E"/>
    <w:rsid w:val="006A2418"/>
    <w:rsid w:val="006A582D"/>
    <w:rsid w:val="006A765B"/>
    <w:rsid w:val="006A7E52"/>
    <w:rsid w:val="006B018D"/>
    <w:rsid w:val="006C57F2"/>
    <w:rsid w:val="006D2675"/>
    <w:rsid w:val="006D31E4"/>
    <w:rsid w:val="006D702B"/>
    <w:rsid w:val="006E1025"/>
    <w:rsid w:val="006E2A0C"/>
    <w:rsid w:val="00700DC1"/>
    <w:rsid w:val="00703F76"/>
    <w:rsid w:val="00716EEB"/>
    <w:rsid w:val="00727374"/>
    <w:rsid w:val="00727CB4"/>
    <w:rsid w:val="00731018"/>
    <w:rsid w:val="007326E6"/>
    <w:rsid w:val="0073727D"/>
    <w:rsid w:val="00741EEC"/>
    <w:rsid w:val="00743393"/>
    <w:rsid w:val="007464E7"/>
    <w:rsid w:val="00747F11"/>
    <w:rsid w:val="00751926"/>
    <w:rsid w:val="007521AF"/>
    <w:rsid w:val="007527FA"/>
    <w:rsid w:val="00753B81"/>
    <w:rsid w:val="00755774"/>
    <w:rsid w:val="00756439"/>
    <w:rsid w:val="00757B25"/>
    <w:rsid w:val="007641B0"/>
    <w:rsid w:val="007668C6"/>
    <w:rsid w:val="00775C62"/>
    <w:rsid w:val="00777BCA"/>
    <w:rsid w:val="0078149F"/>
    <w:rsid w:val="00782D14"/>
    <w:rsid w:val="00783632"/>
    <w:rsid w:val="00785E26"/>
    <w:rsid w:val="00795640"/>
    <w:rsid w:val="0079737B"/>
    <w:rsid w:val="007A0555"/>
    <w:rsid w:val="007A182A"/>
    <w:rsid w:val="007A253C"/>
    <w:rsid w:val="007B323C"/>
    <w:rsid w:val="007B5BAE"/>
    <w:rsid w:val="007C003C"/>
    <w:rsid w:val="007C1D41"/>
    <w:rsid w:val="007D03C7"/>
    <w:rsid w:val="007D1CC0"/>
    <w:rsid w:val="007E36B5"/>
    <w:rsid w:val="007E54B9"/>
    <w:rsid w:val="007E7E9B"/>
    <w:rsid w:val="007F6DE0"/>
    <w:rsid w:val="007F7220"/>
    <w:rsid w:val="00802BF7"/>
    <w:rsid w:val="00807580"/>
    <w:rsid w:val="0081231F"/>
    <w:rsid w:val="00813C42"/>
    <w:rsid w:val="008146B1"/>
    <w:rsid w:val="00814E86"/>
    <w:rsid w:val="00815115"/>
    <w:rsid w:val="00815573"/>
    <w:rsid w:val="008176DD"/>
    <w:rsid w:val="0082420B"/>
    <w:rsid w:val="00825D37"/>
    <w:rsid w:val="008342D9"/>
    <w:rsid w:val="00835AD0"/>
    <w:rsid w:val="00837925"/>
    <w:rsid w:val="00845232"/>
    <w:rsid w:val="00851382"/>
    <w:rsid w:val="00857CF6"/>
    <w:rsid w:val="00862BCD"/>
    <w:rsid w:val="0086332E"/>
    <w:rsid w:val="00864AA9"/>
    <w:rsid w:val="00864D60"/>
    <w:rsid w:val="0086655B"/>
    <w:rsid w:val="00874087"/>
    <w:rsid w:val="00875C1C"/>
    <w:rsid w:val="00886506"/>
    <w:rsid w:val="0089304E"/>
    <w:rsid w:val="008A0B24"/>
    <w:rsid w:val="008A203F"/>
    <w:rsid w:val="008A3DE9"/>
    <w:rsid w:val="008A7320"/>
    <w:rsid w:val="008B38CA"/>
    <w:rsid w:val="008B6023"/>
    <w:rsid w:val="008B6D4A"/>
    <w:rsid w:val="008C7C68"/>
    <w:rsid w:val="008D15F8"/>
    <w:rsid w:val="008D7CB7"/>
    <w:rsid w:val="008E1218"/>
    <w:rsid w:val="008E46DF"/>
    <w:rsid w:val="008E474E"/>
    <w:rsid w:val="008F0A9D"/>
    <w:rsid w:val="008F1683"/>
    <w:rsid w:val="008F62A3"/>
    <w:rsid w:val="009001A7"/>
    <w:rsid w:val="009038AB"/>
    <w:rsid w:val="00910059"/>
    <w:rsid w:val="009124E9"/>
    <w:rsid w:val="00917718"/>
    <w:rsid w:val="0092176C"/>
    <w:rsid w:val="00927758"/>
    <w:rsid w:val="00931007"/>
    <w:rsid w:val="009312BA"/>
    <w:rsid w:val="00932B69"/>
    <w:rsid w:val="00936A82"/>
    <w:rsid w:val="00941470"/>
    <w:rsid w:val="00945CBF"/>
    <w:rsid w:val="0094696F"/>
    <w:rsid w:val="0094710B"/>
    <w:rsid w:val="00951511"/>
    <w:rsid w:val="00954777"/>
    <w:rsid w:val="00955244"/>
    <w:rsid w:val="00972494"/>
    <w:rsid w:val="009779B6"/>
    <w:rsid w:val="00977C07"/>
    <w:rsid w:val="00980289"/>
    <w:rsid w:val="0099417C"/>
    <w:rsid w:val="009A12D6"/>
    <w:rsid w:val="009A1884"/>
    <w:rsid w:val="009A756E"/>
    <w:rsid w:val="009A7C48"/>
    <w:rsid w:val="009B3E54"/>
    <w:rsid w:val="009B56AD"/>
    <w:rsid w:val="009B5792"/>
    <w:rsid w:val="009B7C29"/>
    <w:rsid w:val="009C14A4"/>
    <w:rsid w:val="009D6EA5"/>
    <w:rsid w:val="009D7FA8"/>
    <w:rsid w:val="009E158D"/>
    <w:rsid w:val="009E603F"/>
    <w:rsid w:val="009E647D"/>
    <w:rsid w:val="009F72AA"/>
    <w:rsid w:val="009F75C1"/>
    <w:rsid w:val="00A07FA4"/>
    <w:rsid w:val="00A145C8"/>
    <w:rsid w:val="00A16CA7"/>
    <w:rsid w:val="00A22DF2"/>
    <w:rsid w:val="00A23C51"/>
    <w:rsid w:val="00A247B1"/>
    <w:rsid w:val="00A24A89"/>
    <w:rsid w:val="00A25D20"/>
    <w:rsid w:val="00A36B3F"/>
    <w:rsid w:val="00A37293"/>
    <w:rsid w:val="00A3766C"/>
    <w:rsid w:val="00A37FB0"/>
    <w:rsid w:val="00A47CE6"/>
    <w:rsid w:val="00A55A43"/>
    <w:rsid w:val="00A709D9"/>
    <w:rsid w:val="00A7235F"/>
    <w:rsid w:val="00A738CC"/>
    <w:rsid w:val="00A75A90"/>
    <w:rsid w:val="00A8195B"/>
    <w:rsid w:val="00A85E05"/>
    <w:rsid w:val="00A86183"/>
    <w:rsid w:val="00A87606"/>
    <w:rsid w:val="00A91B06"/>
    <w:rsid w:val="00A9502E"/>
    <w:rsid w:val="00A95FC0"/>
    <w:rsid w:val="00AA1E84"/>
    <w:rsid w:val="00AA34CD"/>
    <w:rsid w:val="00AA38AD"/>
    <w:rsid w:val="00AA455F"/>
    <w:rsid w:val="00AA6C0A"/>
    <w:rsid w:val="00AB18C3"/>
    <w:rsid w:val="00AB49AD"/>
    <w:rsid w:val="00AB540E"/>
    <w:rsid w:val="00AB7A89"/>
    <w:rsid w:val="00AB7AB4"/>
    <w:rsid w:val="00AC17FC"/>
    <w:rsid w:val="00AC60BF"/>
    <w:rsid w:val="00AD25C9"/>
    <w:rsid w:val="00AD4C39"/>
    <w:rsid w:val="00AE1E7E"/>
    <w:rsid w:val="00AE57A7"/>
    <w:rsid w:val="00AE67A9"/>
    <w:rsid w:val="00AE7188"/>
    <w:rsid w:val="00AF0852"/>
    <w:rsid w:val="00AF2F60"/>
    <w:rsid w:val="00AF3801"/>
    <w:rsid w:val="00AF3E8D"/>
    <w:rsid w:val="00AF6DF9"/>
    <w:rsid w:val="00AF702E"/>
    <w:rsid w:val="00AF7623"/>
    <w:rsid w:val="00B023A4"/>
    <w:rsid w:val="00B0273B"/>
    <w:rsid w:val="00B04904"/>
    <w:rsid w:val="00B064D1"/>
    <w:rsid w:val="00B1759F"/>
    <w:rsid w:val="00B2366B"/>
    <w:rsid w:val="00B24526"/>
    <w:rsid w:val="00B26D7E"/>
    <w:rsid w:val="00B26E5E"/>
    <w:rsid w:val="00B276BC"/>
    <w:rsid w:val="00B372C1"/>
    <w:rsid w:val="00B37406"/>
    <w:rsid w:val="00B419E0"/>
    <w:rsid w:val="00B44F3B"/>
    <w:rsid w:val="00B62573"/>
    <w:rsid w:val="00B626DD"/>
    <w:rsid w:val="00B643AE"/>
    <w:rsid w:val="00B67DE3"/>
    <w:rsid w:val="00B70F37"/>
    <w:rsid w:val="00B72D8B"/>
    <w:rsid w:val="00B730CE"/>
    <w:rsid w:val="00B8015D"/>
    <w:rsid w:val="00B8468F"/>
    <w:rsid w:val="00B903C0"/>
    <w:rsid w:val="00B9438D"/>
    <w:rsid w:val="00BA42A9"/>
    <w:rsid w:val="00BA7995"/>
    <w:rsid w:val="00BB5B17"/>
    <w:rsid w:val="00BC1C92"/>
    <w:rsid w:val="00BC6A71"/>
    <w:rsid w:val="00BD2B35"/>
    <w:rsid w:val="00BD3133"/>
    <w:rsid w:val="00BD3DFE"/>
    <w:rsid w:val="00BD4FC8"/>
    <w:rsid w:val="00BD5B8A"/>
    <w:rsid w:val="00BD68BC"/>
    <w:rsid w:val="00BD72C4"/>
    <w:rsid w:val="00BE3EB4"/>
    <w:rsid w:val="00BF5B64"/>
    <w:rsid w:val="00C017D4"/>
    <w:rsid w:val="00C06E67"/>
    <w:rsid w:val="00C13E3B"/>
    <w:rsid w:val="00C15144"/>
    <w:rsid w:val="00C15B71"/>
    <w:rsid w:val="00C209B7"/>
    <w:rsid w:val="00C2235F"/>
    <w:rsid w:val="00C236E5"/>
    <w:rsid w:val="00C334D4"/>
    <w:rsid w:val="00C36761"/>
    <w:rsid w:val="00C4584F"/>
    <w:rsid w:val="00C45A4C"/>
    <w:rsid w:val="00C570E4"/>
    <w:rsid w:val="00C64F88"/>
    <w:rsid w:val="00C677F8"/>
    <w:rsid w:val="00C7190D"/>
    <w:rsid w:val="00C74ABF"/>
    <w:rsid w:val="00C754D4"/>
    <w:rsid w:val="00C76C72"/>
    <w:rsid w:val="00C77C9A"/>
    <w:rsid w:val="00C817ED"/>
    <w:rsid w:val="00C836AB"/>
    <w:rsid w:val="00C90CB6"/>
    <w:rsid w:val="00C9376E"/>
    <w:rsid w:val="00C94CC0"/>
    <w:rsid w:val="00C97214"/>
    <w:rsid w:val="00C976F0"/>
    <w:rsid w:val="00CA293A"/>
    <w:rsid w:val="00CA4A9A"/>
    <w:rsid w:val="00CA6E89"/>
    <w:rsid w:val="00CB05D4"/>
    <w:rsid w:val="00CB1FFE"/>
    <w:rsid w:val="00CB4BAB"/>
    <w:rsid w:val="00CB72E6"/>
    <w:rsid w:val="00CC2218"/>
    <w:rsid w:val="00CC2D12"/>
    <w:rsid w:val="00CC325A"/>
    <w:rsid w:val="00CC59DC"/>
    <w:rsid w:val="00CD65F5"/>
    <w:rsid w:val="00CE0B22"/>
    <w:rsid w:val="00CE18AF"/>
    <w:rsid w:val="00CE19CB"/>
    <w:rsid w:val="00CE1EA6"/>
    <w:rsid w:val="00CE2566"/>
    <w:rsid w:val="00CE5EA0"/>
    <w:rsid w:val="00CF2DE6"/>
    <w:rsid w:val="00D008F8"/>
    <w:rsid w:val="00D03C1E"/>
    <w:rsid w:val="00D0558F"/>
    <w:rsid w:val="00D0577F"/>
    <w:rsid w:val="00D05CF3"/>
    <w:rsid w:val="00D07EB5"/>
    <w:rsid w:val="00D20095"/>
    <w:rsid w:val="00D22E65"/>
    <w:rsid w:val="00D26D1E"/>
    <w:rsid w:val="00D3155A"/>
    <w:rsid w:val="00D315BF"/>
    <w:rsid w:val="00D32320"/>
    <w:rsid w:val="00D34F56"/>
    <w:rsid w:val="00D37DD7"/>
    <w:rsid w:val="00D41B3A"/>
    <w:rsid w:val="00D41C6E"/>
    <w:rsid w:val="00D46DE9"/>
    <w:rsid w:val="00D5114D"/>
    <w:rsid w:val="00D54861"/>
    <w:rsid w:val="00D55925"/>
    <w:rsid w:val="00D5725A"/>
    <w:rsid w:val="00D6161C"/>
    <w:rsid w:val="00D656E9"/>
    <w:rsid w:val="00D6606D"/>
    <w:rsid w:val="00D744BD"/>
    <w:rsid w:val="00D80EA7"/>
    <w:rsid w:val="00D81DDB"/>
    <w:rsid w:val="00D86C8D"/>
    <w:rsid w:val="00D86F61"/>
    <w:rsid w:val="00D90F79"/>
    <w:rsid w:val="00D93525"/>
    <w:rsid w:val="00D95E1D"/>
    <w:rsid w:val="00DA230A"/>
    <w:rsid w:val="00DA245A"/>
    <w:rsid w:val="00DA3FA5"/>
    <w:rsid w:val="00DA4F2C"/>
    <w:rsid w:val="00DA6535"/>
    <w:rsid w:val="00DB493D"/>
    <w:rsid w:val="00DB4D37"/>
    <w:rsid w:val="00DC2890"/>
    <w:rsid w:val="00DC7D24"/>
    <w:rsid w:val="00DD39F5"/>
    <w:rsid w:val="00DD50ED"/>
    <w:rsid w:val="00DD53F4"/>
    <w:rsid w:val="00DD79C7"/>
    <w:rsid w:val="00DF1050"/>
    <w:rsid w:val="00DF6A3B"/>
    <w:rsid w:val="00DF7159"/>
    <w:rsid w:val="00E03EFD"/>
    <w:rsid w:val="00E119DB"/>
    <w:rsid w:val="00E15961"/>
    <w:rsid w:val="00E16148"/>
    <w:rsid w:val="00E16945"/>
    <w:rsid w:val="00E16BEB"/>
    <w:rsid w:val="00E17603"/>
    <w:rsid w:val="00E179A8"/>
    <w:rsid w:val="00E208D8"/>
    <w:rsid w:val="00E2129A"/>
    <w:rsid w:val="00E21C62"/>
    <w:rsid w:val="00E22463"/>
    <w:rsid w:val="00E22846"/>
    <w:rsid w:val="00E22CCF"/>
    <w:rsid w:val="00E24CE6"/>
    <w:rsid w:val="00E31DED"/>
    <w:rsid w:val="00E44F4F"/>
    <w:rsid w:val="00E457A5"/>
    <w:rsid w:val="00E509F0"/>
    <w:rsid w:val="00E519F2"/>
    <w:rsid w:val="00E556D7"/>
    <w:rsid w:val="00E566C2"/>
    <w:rsid w:val="00E648D6"/>
    <w:rsid w:val="00E658BF"/>
    <w:rsid w:val="00E7124B"/>
    <w:rsid w:val="00E75844"/>
    <w:rsid w:val="00E80AD8"/>
    <w:rsid w:val="00E839AD"/>
    <w:rsid w:val="00E90A97"/>
    <w:rsid w:val="00E912DA"/>
    <w:rsid w:val="00E927E4"/>
    <w:rsid w:val="00E954EF"/>
    <w:rsid w:val="00E97750"/>
    <w:rsid w:val="00EA28EF"/>
    <w:rsid w:val="00EB7504"/>
    <w:rsid w:val="00EB7F86"/>
    <w:rsid w:val="00EC0E18"/>
    <w:rsid w:val="00EC3FA7"/>
    <w:rsid w:val="00EC5432"/>
    <w:rsid w:val="00ED13D6"/>
    <w:rsid w:val="00ED5E16"/>
    <w:rsid w:val="00EF0925"/>
    <w:rsid w:val="00EF4013"/>
    <w:rsid w:val="00F02B04"/>
    <w:rsid w:val="00F037C4"/>
    <w:rsid w:val="00F0537D"/>
    <w:rsid w:val="00F05EA0"/>
    <w:rsid w:val="00F062A2"/>
    <w:rsid w:val="00F10B7D"/>
    <w:rsid w:val="00F113EE"/>
    <w:rsid w:val="00F13D42"/>
    <w:rsid w:val="00F15F20"/>
    <w:rsid w:val="00F27BA2"/>
    <w:rsid w:val="00F34AB0"/>
    <w:rsid w:val="00F35357"/>
    <w:rsid w:val="00F3687D"/>
    <w:rsid w:val="00F41333"/>
    <w:rsid w:val="00F461CD"/>
    <w:rsid w:val="00F47BAF"/>
    <w:rsid w:val="00F54C46"/>
    <w:rsid w:val="00F573A0"/>
    <w:rsid w:val="00F63732"/>
    <w:rsid w:val="00F64E7C"/>
    <w:rsid w:val="00F6518F"/>
    <w:rsid w:val="00F664EF"/>
    <w:rsid w:val="00F668B9"/>
    <w:rsid w:val="00F67FF8"/>
    <w:rsid w:val="00F70172"/>
    <w:rsid w:val="00F71320"/>
    <w:rsid w:val="00F721FD"/>
    <w:rsid w:val="00F75BEE"/>
    <w:rsid w:val="00F7734E"/>
    <w:rsid w:val="00F8548A"/>
    <w:rsid w:val="00F875A5"/>
    <w:rsid w:val="00F94A89"/>
    <w:rsid w:val="00F94C0F"/>
    <w:rsid w:val="00F96B5D"/>
    <w:rsid w:val="00FA3FA5"/>
    <w:rsid w:val="00FA54D2"/>
    <w:rsid w:val="00FB20CE"/>
    <w:rsid w:val="00FB21C6"/>
    <w:rsid w:val="00FB2D9B"/>
    <w:rsid w:val="00FB6C0A"/>
    <w:rsid w:val="00FC0B3E"/>
    <w:rsid w:val="00FC3AC6"/>
    <w:rsid w:val="00FC5D5E"/>
    <w:rsid w:val="00FC701B"/>
    <w:rsid w:val="00FD2D23"/>
    <w:rsid w:val="00FD4214"/>
    <w:rsid w:val="00FE2D19"/>
    <w:rsid w:val="00FE4161"/>
    <w:rsid w:val="00FE542E"/>
    <w:rsid w:val="00FF0C64"/>
    <w:rsid w:val="00FF13DF"/>
    <w:rsid w:val="00FF1B49"/>
    <w:rsid w:val="00FF3DC9"/>
    <w:rsid w:val="00FF66A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ol2">
    <w:name w:val="heading 2"/>
    <w:basedOn w:val="Normal"/>
    <w:next w:val="Normal"/>
    <w:link w:val="Ttol2Car"/>
    <w:uiPriority w:val="9"/>
    <w:unhideWhenUsed/>
    <w:qFormat/>
    <w:rsid w:val="00E21C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grafdellista1">
    <w:name w:val="Paràgraf de llista1"/>
    <w:basedOn w:val="Normal"/>
    <w:rsid w:val="00A247B1"/>
    <w:pPr>
      <w:ind w:left="720"/>
      <w:contextualSpacing/>
    </w:pPr>
    <w:rPr>
      <w:rFonts w:ascii="Calibri" w:eastAsia="Times New Roman" w:hAnsi="Calibri" w:cs="Times New Roman"/>
    </w:rPr>
  </w:style>
  <w:style w:type="paragraph" w:styleId="Capalera">
    <w:name w:val="header"/>
    <w:basedOn w:val="Normal"/>
    <w:link w:val="CapaleraCar"/>
    <w:uiPriority w:val="99"/>
    <w:unhideWhenUsed/>
    <w:rsid w:val="007F722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F7220"/>
    <w:rPr>
      <w:lang w:val="es-ES"/>
    </w:rPr>
  </w:style>
  <w:style w:type="paragraph" w:styleId="Peu">
    <w:name w:val="footer"/>
    <w:basedOn w:val="Normal"/>
    <w:link w:val="PeuCar"/>
    <w:uiPriority w:val="99"/>
    <w:unhideWhenUsed/>
    <w:rsid w:val="007F722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F7220"/>
    <w:rPr>
      <w:lang w:val="es-ES"/>
    </w:rPr>
  </w:style>
  <w:style w:type="paragraph" w:styleId="Textdenotaapeudepgina">
    <w:name w:val="footnote text"/>
    <w:aliases w:val=" Char"/>
    <w:basedOn w:val="Normal"/>
    <w:link w:val="TextdenotaapeudepginaCar"/>
    <w:uiPriority w:val="99"/>
    <w:semiHidden/>
    <w:rsid w:val="00133C96"/>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aliases w:val=" Char Car"/>
    <w:basedOn w:val="Tipusdelletraperdefectedelpargraf"/>
    <w:link w:val="Textdenotaapeudepgina"/>
    <w:uiPriority w:val="99"/>
    <w:semiHidden/>
    <w:rsid w:val="00133C96"/>
    <w:rPr>
      <w:rFonts w:ascii="Times New Roman" w:eastAsia="Times New Roman" w:hAnsi="Times New Roman" w:cs="Times New Roman"/>
      <w:sz w:val="20"/>
      <w:szCs w:val="20"/>
      <w:lang w:val="es-ES" w:eastAsia="es-ES"/>
    </w:rPr>
  </w:style>
  <w:style w:type="character" w:styleId="Refernciadenotaapeudepgina">
    <w:name w:val="footnote reference"/>
    <w:uiPriority w:val="99"/>
    <w:semiHidden/>
    <w:rsid w:val="00133C96"/>
    <w:rPr>
      <w:vertAlign w:val="superscript"/>
    </w:rPr>
  </w:style>
  <w:style w:type="paragraph" w:styleId="NormalWeb">
    <w:name w:val="Normal (Web)"/>
    <w:basedOn w:val="Normal"/>
    <w:uiPriority w:val="99"/>
    <w:semiHidden/>
    <w:unhideWhenUsed/>
    <w:rsid w:val="00386EDB"/>
    <w:rPr>
      <w:rFonts w:ascii="Times New Roman" w:hAnsi="Times New Roman" w:cs="Times New Roman"/>
      <w:sz w:val="24"/>
      <w:szCs w:val="24"/>
    </w:rPr>
  </w:style>
  <w:style w:type="character" w:customStyle="1" w:styleId="Ttol2Car">
    <w:name w:val="Títol 2 Car"/>
    <w:basedOn w:val="Tipusdelletraperdefectedelpargraf"/>
    <w:link w:val="Ttol2"/>
    <w:uiPriority w:val="9"/>
    <w:rsid w:val="00E21C62"/>
    <w:rPr>
      <w:rFonts w:asciiTheme="majorHAnsi" w:eastAsiaTheme="majorEastAsia" w:hAnsiTheme="majorHAnsi" w:cstheme="majorBidi"/>
      <w:b/>
      <w:bCs/>
      <w:color w:val="4F81BD" w:themeColor="accent1"/>
      <w:sz w:val="26"/>
      <w:szCs w:val="26"/>
      <w:lang w:val="es-ES"/>
    </w:rPr>
  </w:style>
  <w:style w:type="table" w:styleId="Taulaambquadrcula">
    <w:name w:val="Table Grid"/>
    <w:basedOn w:val="Taulanormal"/>
    <w:uiPriority w:val="59"/>
    <w:rsid w:val="0058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ol2">
    <w:name w:val="heading 2"/>
    <w:basedOn w:val="Normal"/>
    <w:next w:val="Normal"/>
    <w:link w:val="Ttol2Car"/>
    <w:uiPriority w:val="9"/>
    <w:unhideWhenUsed/>
    <w:qFormat/>
    <w:rsid w:val="00E21C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grafdellista1">
    <w:name w:val="Paràgraf de llista1"/>
    <w:basedOn w:val="Normal"/>
    <w:rsid w:val="00A247B1"/>
    <w:pPr>
      <w:ind w:left="720"/>
      <w:contextualSpacing/>
    </w:pPr>
    <w:rPr>
      <w:rFonts w:ascii="Calibri" w:eastAsia="Times New Roman" w:hAnsi="Calibri" w:cs="Times New Roman"/>
    </w:rPr>
  </w:style>
  <w:style w:type="paragraph" w:styleId="Capalera">
    <w:name w:val="header"/>
    <w:basedOn w:val="Normal"/>
    <w:link w:val="CapaleraCar"/>
    <w:uiPriority w:val="99"/>
    <w:unhideWhenUsed/>
    <w:rsid w:val="007F722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F7220"/>
    <w:rPr>
      <w:lang w:val="es-ES"/>
    </w:rPr>
  </w:style>
  <w:style w:type="paragraph" w:styleId="Peu">
    <w:name w:val="footer"/>
    <w:basedOn w:val="Normal"/>
    <w:link w:val="PeuCar"/>
    <w:uiPriority w:val="99"/>
    <w:unhideWhenUsed/>
    <w:rsid w:val="007F722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F7220"/>
    <w:rPr>
      <w:lang w:val="es-ES"/>
    </w:rPr>
  </w:style>
  <w:style w:type="paragraph" w:styleId="Textdenotaapeudepgina">
    <w:name w:val="footnote text"/>
    <w:aliases w:val=" Char"/>
    <w:basedOn w:val="Normal"/>
    <w:link w:val="TextdenotaapeudepginaCar"/>
    <w:uiPriority w:val="99"/>
    <w:semiHidden/>
    <w:rsid w:val="00133C96"/>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aliases w:val=" Char Car"/>
    <w:basedOn w:val="Tipusdelletraperdefectedelpargraf"/>
    <w:link w:val="Textdenotaapeudepgina"/>
    <w:uiPriority w:val="99"/>
    <w:semiHidden/>
    <w:rsid w:val="00133C96"/>
    <w:rPr>
      <w:rFonts w:ascii="Times New Roman" w:eastAsia="Times New Roman" w:hAnsi="Times New Roman" w:cs="Times New Roman"/>
      <w:sz w:val="20"/>
      <w:szCs w:val="20"/>
      <w:lang w:val="es-ES" w:eastAsia="es-ES"/>
    </w:rPr>
  </w:style>
  <w:style w:type="character" w:styleId="Refernciadenotaapeudepgina">
    <w:name w:val="footnote reference"/>
    <w:uiPriority w:val="99"/>
    <w:semiHidden/>
    <w:rsid w:val="00133C96"/>
    <w:rPr>
      <w:vertAlign w:val="superscript"/>
    </w:rPr>
  </w:style>
  <w:style w:type="paragraph" w:styleId="NormalWeb">
    <w:name w:val="Normal (Web)"/>
    <w:basedOn w:val="Normal"/>
    <w:uiPriority w:val="99"/>
    <w:semiHidden/>
    <w:unhideWhenUsed/>
    <w:rsid w:val="00386EDB"/>
    <w:rPr>
      <w:rFonts w:ascii="Times New Roman" w:hAnsi="Times New Roman" w:cs="Times New Roman"/>
      <w:sz w:val="24"/>
      <w:szCs w:val="24"/>
    </w:rPr>
  </w:style>
  <w:style w:type="character" w:customStyle="1" w:styleId="Ttol2Car">
    <w:name w:val="Títol 2 Car"/>
    <w:basedOn w:val="Tipusdelletraperdefectedelpargraf"/>
    <w:link w:val="Ttol2"/>
    <w:uiPriority w:val="9"/>
    <w:rsid w:val="00E21C62"/>
    <w:rPr>
      <w:rFonts w:asciiTheme="majorHAnsi" w:eastAsiaTheme="majorEastAsia" w:hAnsiTheme="majorHAnsi" w:cstheme="majorBidi"/>
      <w:b/>
      <w:bCs/>
      <w:color w:val="4F81BD" w:themeColor="accent1"/>
      <w:sz w:val="26"/>
      <w:szCs w:val="26"/>
      <w:lang w:val="es-ES"/>
    </w:rPr>
  </w:style>
  <w:style w:type="table" w:styleId="Taulaambquadrcula">
    <w:name w:val="Table Grid"/>
    <w:basedOn w:val="Taulanormal"/>
    <w:uiPriority w:val="59"/>
    <w:rsid w:val="0058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0484">
      <w:bodyDiv w:val="1"/>
      <w:marLeft w:val="0"/>
      <w:marRight w:val="0"/>
      <w:marTop w:val="0"/>
      <w:marBottom w:val="0"/>
      <w:divBdr>
        <w:top w:val="none" w:sz="0" w:space="0" w:color="auto"/>
        <w:left w:val="none" w:sz="0" w:space="0" w:color="auto"/>
        <w:bottom w:val="none" w:sz="0" w:space="0" w:color="auto"/>
        <w:right w:val="none" w:sz="0" w:space="0" w:color="auto"/>
      </w:divBdr>
    </w:div>
    <w:div w:id="15380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54D7-DF0D-4814-B4E0-CDB06B20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23</Pages>
  <Words>9174</Words>
  <Characters>52297</Characters>
  <Application>Microsoft Office Word</Application>
  <DocSecurity>0</DocSecurity>
  <Lines>435</Lines>
  <Paragraphs>122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60</cp:revision>
  <cp:lastPrinted>2015-01-14T14:58:00Z</cp:lastPrinted>
  <dcterms:created xsi:type="dcterms:W3CDTF">2015-02-10T08:32:00Z</dcterms:created>
  <dcterms:modified xsi:type="dcterms:W3CDTF">2015-02-27T12:28:00Z</dcterms:modified>
</cp:coreProperties>
</file>