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40430" w14:textId="77777777" w:rsidR="005166B6" w:rsidRDefault="005166B6" w:rsidP="009722B3">
      <w:pPr>
        <w:spacing w:before="100" w:beforeAutospacing="1" w:after="100" w:afterAutospacing="1" w:line="360" w:lineRule="auto"/>
        <w:jc w:val="center"/>
        <w:rPr>
          <w:sz w:val="48"/>
          <w:szCs w:val="48"/>
        </w:rPr>
      </w:pPr>
    </w:p>
    <w:p w14:paraId="21A0D285" w14:textId="77777777" w:rsidR="005166B6" w:rsidRDefault="005166B6" w:rsidP="009722B3">
      <w:pPr>
        <w:spacing w:before="100" w:beforeAutospacing="1" w:after="100" w:afterAutospacing="1" w:line="360" w:lineRule="auto"/>
        <w:jc w:val="center"/>
        <w:rPr>
          <w:sz w:val="48"/>
          <w:szCs w:val="48"/>
        </w:rPr>
      </w:pPr>
    </w:p>
    <w:p w14:paraId="43794A3C" w14:textId="20297BA4" w:rsidR="00F67ADD" w:rsidRPr="009722B3" w:rsidRDefault="00F67ADD" w:rsidP="009722B3">
      <w:pPr>
        <w:spacing w:before="100" w:beforeAutospacing="1" w:after="100" w:afterAutospacing="1" w:line="360" w:lineRule="auto"/>
        <w:jc w:val="center"/>
        <w:rPr>
          <w:sz w:val="36"/>
          <w:szCs w:val="36"/>
        </w:rPr>
      </w:pPr>
      <w:r w:rsidRPr="009722B3">
        <w:rPr>
          <w:sz w:val="48"/>
          <w:szCs w:val="48"/>
        </w:rPr>
        <w:t>Network-</w:t>
      </w:r>
      <w:proofErr w:type="spellStart"/>
      <w:r w:rsidRPr="009722B3">
        <w:rPr>
          <w:sz w:val="48"/>
          <w:szCs w:val="48"/>
        </w:rPr>
        <w:t>oriented</w:t>
      </w:r>
      <w:proofErr w:type="spellEnd"/>
      <w:r w:rsidRPr="009722B3">
        <w:rPr>
          <w:sz w:val="48"/>
          <w:szCs w:val="48"/>
        </w:rPr>
        <w:t xml:space="preserve"> performance management systems in international </w:t>
      </w:r>
      <w:proofErr w:type="spellStart"/>
      <w:r w:rsidRPr="009722B3">
        <w:rPr>
          <w:sz w:val="48"/>
          <w:szCs w:val="48"/>
        </w:rPr>
        <w:t>organizations</w:t>
      </w:r>
      <w:proofErr w:type="spellEnd"/>
      <w:r w:rsidRPr="009722B3">
        <w:rPr>
          <w:sz w:val="48"/>
          <w:szCs w:val="48"/>
        </w:rPr>
        <w:t xml:space="preserve">: the case of the </w:t>
      </w:r>
      <w:proofErr w:type="spellStart"/>
      <w:r w:rsidRPr="009722B3">
        <w:rPr>
          <w:sz w:val="48"/>
          <w:szCs w:val="48"/>
        </w:rPr>
        <w:t>European</w:t>
      </w:r>
      <w:proofErr w:type="spellEnd"/>
      <w:r w:rsidRPr="009722B3">
        <w:rPr>
          <w:sz w:val="48"/>
          <w:szCs w:val="48"/>
        </w:rPr>
        <w:t xml:space="preserve"> Union</w:t>
      </w:r>
    </w:p>
    <w:p w14:paraId="07E8B549" w14:textId="7AFE79DF" w:rsidR="009722B3" w:rsidRPr="009722B3" w:rsidRDefault="009722B3" w:rsidP="009722B3">
      <w:pPr>
        <w:spacing w:before="100" w:beforeAutospacing="1" w:after="100" w:afterAutospacing="1"/>
        <w:jc w:val="center"/>
        <w:rPr>
          <w:rFonts w:ascii="Corbel" w:hAnsi="Corbel"/>
          <w:sz w:val="28"/>
          <w:szCs w:val="28"/>
        </w:rPr>
      </w:pPr>
      <w:r w:rsidRPr="009722B3">
        <w:rPr>
          <w:rFonts w:ascii="Corbel" w:hAnsi="Corbel"/>
          <w:sz w:val="28"/>
          <w:szCs w:val="28"/>
        </w:rPr>
        <w:t xml:space="preserve">Marco Amici, </w:t>
      </w:r>
      <w:proofErr w:type="spellStart"/>
      <w:r w:rsidRPr="009722B3">
        <w:rPr>
          <w:rFonts w:ascii="Corbel" w:hAnsi="Corbel"/>
          <w:sz w:val="28"/>
          <w:szCs w:val="28"/>
        </w:rPr>
        <w:t>Denita</w:t>
      </w:r>
      <w:proofErr w:type="spellEnd"/>
      <w:r w:rsidRPr="009722B3">
        <w:rPr>
          <w:rFonts w:ascii="Corbel" w:hAnsi="Corbel"/>
          <w:sz w:val="28"/>
          <w:szCs w:val="28"/>
        </w:rPr>
        <w:t xml:space="preserve"> </w:t>
      </w:r>
      <w:proofErr w:type="spellStart"/>
      <w:r w:rsidRPr="009722B3">
        <w:rPr>
          <w:rFonts w:ascii="Corbel" w:hAnsi="Corbel"/>
          <w:sz w:val="28"/>
          <w:szCs w:val="28"/>
        </w:rPr>
        <w:t>Cepiku</w:t>
      </w:r>
      <w:proofErr w:type="spellEnd"/>
      <w:r w:rsidRPr="009722B3">
        <w:rPr>
          <w:rFonts w:ascii="Corbel" w:hAnsi="Corbel"/>
          <w:sz w:val="28"/>
          <w:szCs w:val="28"/>
        </w:rPr>
        <w:t>, Lorenzo Costumato</w:t>
      </w:r>
    </w:p>
    <w:p w14:paraId="1321D123" w14:textId="69DEC61E" w:rsidR="009722B3" w:rsidRPr="009722B3" w:rsidRDefault="009722B3" w:rsidP="009722B3">
      <w:pPr>
        <w:spacing w:before="100" w:beforeAutospacing="1" w:after="100" w:afterAutospacing="1"/>
        <w:jc w:val="center"/>
        <w:rPr>
          <w:rFonts w:ascii="Corbel" w:hAnsi="Corbel"/>
          <w:i/>
          <w:iCs/>
          <w:sz w:val="28"/>
          <w:szCs w:val="28"/>
        </w:rPr>
      </w:pPr>
      <w:r w:rsidRPr="009722B3">
        <w:rPr>
          <w:rFonts w:ascii="Corbel" w:hAnsi="Corbel"/>
          <w:i/>
          <w:iCs/>
          <w:sz w:val="28"/>
          <w:szCs w:val="28"/>
        </w:rPr>
        <w:t xml:space="preserve">University of Rome Tor Vergata, Department of Management and </w:t>
      </w:r>
      <w:proofErr w:type="spellStart"/>
      <w:r w:rsidRPr="009722B3">
        <w:rPr>
          <w:rFonts w:ascii="Corbel" w:hAnsi="Corbel"/>
          <w:i/>
          <w:iCs/>
          <w:sz w:val="28"/>
          <w:szCs w:val="28"/>
        </w:rPr>
        <w:t>Law</w:t>
      </w:r>
      <w:proofErr w:type="spellEnd"/>
      <w:r w:rsidRPr="009722B3">
        <w:rPr>
          <w:rFonts w:ascii="Corbel" w:hAnsi="Corbel"/>
          <w:i/>
          <w:iCs/>
          <w:sz w:val="28"/>
          <w:szCs w:val="28"/>
        </w:rPr>
        <w:t xml:space="preserve"> (</w:t>
      </w:r>
      <w:proofErr w:type="spellStart"/>
      <w:r w:rsidRPr="009722B3">
        <w:rPr>
          <w:rFonts w:ascii="Corbel" w:hAnsi="Corbel"/>
          <w:i/>
          <w:iCs/>
          <w:sz w:val="28"/>
          <w:szCs w:val="28"/>
        </w:rPr>
        <w:t>Italy</w:t>
      </w:r>
      <w:proofErr w:type="spellEnd"/>
      <w:r w:rsidRPr="009722B3">
        <w:rPr>
          <w:rFonts w:ascii="Corbel" w:hAnsi="Corbel"/>
          <w:i/>
          <w:iCs/>
          <w:sz w:val="28"/>
          <w:szCs w:val="28"/>
        </w:rPr>
        <w:t>)</w:t>
      </w:r>
    </w:p>
    <w:p w14:paraId="1F21C7F3" w14:textId="77777777" w:rsidR="00F67ADD" w:rsidRPr="005F4866" w:rsidRDefault="00F67ADD" w:rsidP="002F71BC">
      <w:pPr>
        <w:pStyle w:val="Titolo4"/>
        <w:rPr>
          <w:rFonts w:ascii="Corbel" w:hAnsi="Corbel" w:cs="Times New Roman"/>
          <w:b/>
          <w:bCs/>
          <w:i w:val="0"/>
          <w:iCs w:val="0"/>
          <w:color w:val="000000" w:themeColor="text1"/>
          <w:lang w:val="en-US"/>
        </w:rPr>
      </w:pPr>
      <w:r w:rsidRPr="005F4866">
        <w:rPr>
          <w:rFonts w:ascii="Corbel" w:hAnsi="Corbel" w:cs="Times New Roman"/>
          <w:b/>
          <w:bCs/>
          <w:i w:val="0"/>
          <w:iCs w:val="0"/>
          <w:color w:val="000000" w:themeColor="text1"/>
          <w:lang w:val="en-US"/>
        </w:rPr>
        <w:lastRenderedPageBreak/>
        <w:t>Abstract</w:t>
      </w:r>
    </w:p>
    <w:p w14:paraId="31EB7EDA" w14:textId="77777777" w:rsidR="009A7917" w:rsidRPr="004303E3" w:rsidRDefault="00F67ADD" w:rsidP="002F71BC">
      <w:pPr>
        <w:pStyle w:val="Titolo4"/>
        <w:jc w:val="both"/>
        <w:rPr>
          <w:rFonts w:ascii="Corbel" w:hAnsi="Corbel" w:cs="Times New Roman"/>
          <w:i w:val="0"/>
          <w:iCs w:val="0"/>
          <w:color w:val="000000" w:themeColor="text1"/>
          <w:sz w:val="22"/>
          <w:szCs w:val="22"/>
          <w:lang w:val="en-GB"/>
        </w:rPr>
      </w:pPr>
      <w:r w:rsidRPr="004303E3">
        <w:rPr>
          <w:rFonts w:ascii="Corbel" w:hAnsi="Corbel" w:cs="Times New Roman"/>
          <w:i w:val="0"/>
          <w:iCs w:val="0"/>
          <w:color w:val="000000" w:themeColor="text1"/>
          <w:sz w:val="22"/>
          <w:szCs w:val="22"/>
          <w:lang w:val="en-GB"/>
        </w:rPr>
        <w:t xml:space="preserve">In the hunt of effective solutions to the emerging global challenges fuelled by the financial, health, security and environmental threats, the demand for better performing international organizations is increasingly pressing. Forms of globalization as the recent COVID-19 health emergency influenced people’s life simultaneously and call for a broader role of international organizations created to foster mutual collaboration among states to better face such globalization processes. In this scenario, the latter are constrained by high expectations to solve complex transnational problems, from one side, and by the continuous lament of poor performance, from the other. </w:t>
      </w:r>
    </w:p>
    <w:p w14:paraId="715905B8" w14:textId="77777777" w:rsidR="009A7917" w:rsidRPr="004303E3" w:rsidRDefault="00F67ADD" w:rsidP="002F71BC">
      <w:pPr>
        <w:pStyle w:val="Titolo4"/>
        <w:jc w:val="both"/>
        <w:rPr>
          <w:rFonts w:ascii="Corbel" w:hAnsi="Corbel" w:cs="Times New Roman"/>
          <w:b/>
          <w:i w:val="0"/>
          <w:iCs w:val="0"/>
          <w:color w:val="000000" w:themeColor="text1"/>
          <w:sz w:val="22"/>
          <w:szCs w:val="22"/>
          <w:lang w:val="en-GB"/>
        </w:rPr>
      </w:pPr>
      <w:r w:rsidRPr="004303E3">
        <w:rPr>
          <w:rFonts w:ascii="Corbel" w:hAnsi="Corbel" w:cs="Times New Roman"/>
          <w:i w:val="0"/>
          <w:iCs w:val="0"/>
          <w:color w:val="000000" w:themeColor="text1"/>
          <w:sz w:val="22"/>
          <w:szCs w:val="22"/>
          <w:lang w:val="en-GB"/>
        </w:rPr>
        <w:t>This also brings legitimacy problems, which, according to the output legitimacy perspective</w:t>
      </w:r>
      <w:r w:rsidR="009A7917" w:rsidRPr="004303E3">
        <w:rPr>
          <w:rFonts w:ascii="Corbel" w:hAnsi="Corbel" w:cs="Times New Roman"/>
          <w:i w:val="0"/>
          <w:iCs w:val="0"/>
          <w:color w:val="000000" w:themeColor="text1"/>
          <w:sz w:val="22"/>
          <w:szCs w:val="22"/>
          <w:lang w:val="en-GB"/>
        </w:rPr>
        <w:t xml:space="preserve">, </w:t>
      </w:r>
      <w:r w:rsidRPr="004303E3">
        <w:rPr>
          <w:rFonts w:ascii="Corbel" w:hAnsi="Corbel" w:cs="Times New Roman"/>
          <w:i w:val="0"/>
          <w:iCs w:val="0"/>
          <w:color w:val="000000" w:themeColor="text1"/>
          <w:sz w:val="22"/>
          <w:szCs w:val="22"/>
          <w:lang w:val="en-GB"/>
        </w:rPr>
        <w:t xml:space="preserve">could be addressed by enhancing performance.  In fact, the output legitimacy is linked with the effective results produced by the respective organization, in other words, the degree to which actions taken by international organizations are legitimized depends on their capacity to deliver the results. A good performance could reduce the gap between the increased powers acquired by international organizations and the perceived lack of legitimacy, but, on the other side, inadequate performance could question their legitimacy and credibility. </w:t>
      </w:r>
      <w:r w:rsidRPr="004303E3">
        <w:rPr>
          <w:rFonts w:ascii="Corbel" w:hAnsi="Corbel" w:cs="Times New Roman"/>
          <w:b/>
          <w:i w:val="0"/>
          <w:iCs w:val="0"/>
          <w:color w:val="000000" w:themeColor="text1"/>
          <w:sz w:val="22"/>
          <w:szCs w:val="22"/>
          <w:lang w:val="en-GB"/>
        </w:rPr>
        <w:t xml:space="preserve"> </w:t>
      </w:r>
    </w:p>
    <w:p w14:paraId="11512D45" w14:textId="77777777" w:rsidR="009A7917" w:rsidRPr="004303E3" w:rsidRDefault="00F67ADD" w:rsidP="002F71BC">
      <w:pPr>
        <w:pStyle w:val="Titolo4"/>
        <w:jc w:val="both"/>
        <w:rPr>
          <w:rFonts w:ascii="Corbel" w:hAnsi="Corbel" w:cs="Times New Roman"/>
          <w:i w:val="0"/>
          <w:iCs w:val="0"/>
          <w:color w:val="000000" w:themeColor="text1"/>
          <w:sz w:val="22"/>
          <w:szCs w:val="22"/>
          <w:lang w:val="en-US"/>
        </w:rPr>
      </w:pPr>
      <w:r w:rsidRPr="004303E3">
        <w:rPr>
          <w:rFonts w:ascii="Corbel" w:hAnsi="Corbel" w:cs="Times New Roman"/>
          <w:i w:val="0"/>
          <w:iCs w:val="0"/>
          <w:color w:val="000000" w:themeColor="text1"/>
          <w:sz w:val="22"/>
          <w:szCs w:val="22"/>
          <w:lang w:val="en-GB"/>
        </w:rPr>
        <w:t>Improvements in performance thus lead to an increased legitimacy of the organization as such, but how the results achieved by international organizations are measured? How are performance management systems embedded in international organizations? While there is no shortage of research and studies assessing performance management systems in public sector organizations, the performance management systems of international organizations attracted very little attention in literature.</w:t>
      </w:r>
    </w:p>
    <w:p w14:paraId="66260A83" w14:textId="17609DC7" w:rsidR="00F67ADD" w:rsidRPr="009722B3" w:rsidRDefault="00F67ADD" w:rsidP="002F71BC">
      <w:pPr>
        <w:pStyle w:val="Titolo4"/>
        <w:jc w:val="both"/>
        <w:rPr>
          <w:rFonts w:ascii="Corbel" w:hAnsi="Corbel" w:cs="Times New Roman"/>
          <w:b/>
          <w:i w:val="0"/>
          <w:iCs w:val="0"/>
          <w:color w:val="000000" w:themeColor="text1"/>
          <w:lang w:val="en-GB"/>
        </w:rPr>
      </w:pPr>
      <w:r w:rsidRPr="004303E3">
        <w:rPr>
          <w:rFonts w:ascii="Corbel" w:hAnsi="Corbel" w:cs="Times New Roman"/>
          <w:i w:val="0"/>
          <w:iCs w:val="0"/>
          <w:color w:val="000000" w:themeColor="text1"/>
          <w:sz w:val="22"/>
          <w:szCs w:val="22"/>
          <w:lang w:val="en-GB"/>
        </w:rPr>
        <w:t>This paper intends to advance the knowledge on the performance management of international organizations by relying on the concept of networks’ governance and networks’ performance defined in literature. In such perspective international organizations display the key characteristics of networks. Consequently</w:t>
      </w:r>
      <w:r w:rsidRPr="004303E3">
        <w:rPr>
          <w:rFonts w:ascii="Corbel" w:hAnsi="Corbel" w:cs="Times New Roman"/>
          <w:i w:val="0"/>
          <w:iCs w:val="0"/>
          <w:color w:val="000000" w:themeColor="text1"/>
          <w:sz w:val="22"/>
          <w:szCs w:val="22"/>
          <w:lang w:val="en-US"/>
        </w:rPr>
        <w:t>, a network-oriented performance measurement system should facilitate collaborative relations among the partners of an international organization on the one hand and, on the other hand, can support the evaluation of their results from an outcome-based perspective</w:t>
      </w:r>
      <w:r w:rsidR="009A7917" w:rsidRPr="004303E3">
        <w:rPr>
          <w:rFonts w:ascii="Corbel" w:hAnsi="Corbel" w:cs="Times New Roman"/>
          <w:i w:val="0"/>
          <w:iCs w:val="0"/>
          <w:color w:val="000000" w:themeColor="text1"/>
          <w:sz w:val="22"/>
          <w:szCs w:val="22"/>
          <w:lang w:val="en-US"/>
        </w:rPr>
        <w:t xml:space="preserve">. </w:t>
      </w:r>
      <w:r w:rsidRPr="004303E3">
        <w:rPr>
          <w:rFonts w:ascii="Corbel" w:hAnsi="Corbel" w:cs="Times New Roman"/>
          <w:i w:val="0"/>
          <w:iCs w:val="0"/>
          <w:color w:val="000000" w:themeColor="text1"/>
          <w:sz w:val="22"/>
          <w:szCs w:val="22"/>
          <w:lang w:val="en-US"/>
        </w:rPr>
        <w:t xml:space="preserve">Building on such literature, the proposed work will investigate </w:t>
      </w:r>
      <w:r w:rsidRPr="004303E3">
        <w:rPr>
          <w:rFonts w:ascii="Corbel" w:hAnsi="Corbel" w:cs="Times New Roman"/>
          <w:i w:val="0"/>
          <w:iCs w:val="0"/>
          <w:color w:val="000000" w:themeColor="text1"/>
          <w:sz w:val="22"/>
          <w:szCs w:val="22"/>
          <w:lang w:val="en-GB"/>
        </w:rPr>
        <w:t xml:space="preserve">how complexity and network concepts are applied to the administrative context of international organizations, by analysing </w:t>
      </w:r>
      <w:r w:rsidRPr="004303E3">
        <w:rPr>
          <w:rFonts w:ascii="Corbel" w:hAnsi="Corbel" w:cs="Times New Roman"/>
          <w:i w:val="0"/>
          <w:iCs w:val="0"/>
          <w:color w:val="000000" w:themeColor="text1"/>
          <w:sz w:val="22"/>
          <w:szCs w:val="22"/>
          <w:lang w:val="en-US"/>
        </w:rPr>
        <w:t xml:space="preserve">the characteristics of the performance management system of the European Union. The case study will focus on assessing whether it is </w:t>
      </w:r>
      <w:r w:rsidRPr="004303E3">
        <w:rPr>
          <w:rFonts w:ascii="Corbel" w:hAnsi="Corbel" w:cs="Times New Roman"/>
          <w:i w:val="0"/>
          <w:iCs w:val="0"/>
          <w:color w:val="000000" w:themeColor="text1"/>
          <w:sz w:val="22"/>
          <w:szCs w:val="22"/>
          <w:lang w:val="en-GB"/>
        </w:rPr>
        <w:t>network oriented</w:t>
      </w:r>
      <w:r w:rsidRPr="004303E3">
        <w:rPr>
          <w:rFonts w:ascii="Corbel" w:hAnsi="Corbel" w:cs="Times New Roman"/>
          <w:i w:val="0"/>
          <w:iCs w:val="0"/>
          <w:color w:val="000000" w:themeColor="text1"/>
          <w:sz w:val="22"/>
          <w:szCs w:val="22"/>
          <w:lang w:val="en-US"/>
        </w:rPr>
        <w:t xml:space="preserve"> able to capture the exogenous and endogenous determinants of network performance.</w:t>
      </w:r>
      <w:r w:rsidRPr="009722B3">
        <w:rPr>
          <w:rFonts w:ascii="Corbel" w:hAnsi="Corbel" w:cs="Times New Roman"/>
          <w:i w:val="0"/>
          <w:iCs w:val="0"/>
          <w:color w:val="000000" w:themeColor="text1"/>
          <w:lang w:val="en-US"/>
        </w:rPr>
        <w:t xml:space="preserve"> </w:t>
      </w:r>
    </w:p>
    <w:p w14:paraId="6A075598" w14:textId="366BAAAB" w:rsidR="00F67ADD" w:rsidRPr="009722B3" w:rsidRDefault="00F67ADD" w:rsidP="002F71BC">
      <w:pPr>
        <w:rPr>
          <w:rFonts w:ascii="Corbel" w:hAnsi="Corbel"/>
          <w:lang w:val="en-US"/>
        </w:rPr>
      </w:pPr>
    </w:p>
    <w:p w14:paraId="799DC052" w14:textId="77777777" w:rsidR="005D14B9" w:rsidRDefault="005D14B9" w:rsidP="002F71BC">
      <w:pPr>
        <w:jc w:val="both"/>
        <w:rPr>
          <w:rFonts w:ascii="Corbel" w:hAnsi="Corbel"/>
          <w:b/>
          <w:bCs/>
          <w:iCs/>
          <w:lang w:val="en-GB"/>
        </w:rPr>
      </w:pPr>
      <w:r>
        <w:rPr>
          <w:rFonts w:ascii="Corbel" w:hAnsi="Corbel"/>
          <w:b/>
          <w:bCs/>
          <w:iCs/>
          <w:lang w:val="en-GB"/>
        </w:rPr>
        <w:br w:type="page"/>
      </w:r>
    </w:p>
    <w:p w14:paraId="59D9B11F" w14:textId="31B4A153" w:rsidR="00F67ADD" w:rsidRPr="009722B3" w:rsidRDefault="003B3FCE" w:rsidP="002F71BC">
      <w:pPr>
        <w:jc w:val="both"/>
        <w:rPr>
          <w:rFonts w:ascii="Corbel" w:hAnsi="Corbel"/>
          <w:b/>
          <w:bCs/>
          <w:iCs/>
          <w:lang w:val="en-GB"/>
        </w:rPr>
      </w:pPr>
      <w:r w:rsidRPr="009722B3">
        <w:rPr>
          <w:rFonts w:ascii="Corbel" w:hAnsi="Corbel"/>
          <w:b/>
          <w:bCs/>
          <w:iCs/>
          <w:lang w:val="en-GB"/>
        </w:rPr>
        <w:lastRenderedPageBreak/>
        <w:t>1. The conceptualization of international organization and the relation with networks</w:t>
      </w:r>
    </w:p>
    <w:p w14:paraId="0F6CCA9B" w14:textId="39B94F52" w:rsidR="00F67ADD" w:rsidRPr="004303E3" w:rsidRDefault="00F67ADD" w:rsidP="002F71BC">
      <w:pPr>
        <w:jc w:val="both"/>
        <w:rPr>
          <w:rFonts w:ascii="Corbel" w:hAnsi="Corbel"/>
          <w:i/>
          <w:sz w:val="22"/>
          <w:szCs w:val="22"/>
          <w:lang w:val="en-GB"/>
        </w:rPr>
      </w:pPr>
      <w:r w:rsidRPr="004303E3">
        <w:rPr>
          <w:rFonts w:ascii="Corbel" w:hAnsi="Corbel"/>
          <w:sz w:val="22"/>
          <w:szCs w:val="22"/>
          <w:lang w:val="en-GB"/>
        </w:rPr>
        <w:t xml:space="preserve">The term “international organizations” refers to a wide variety of formal structures with both common elements as well as specific peculiarities, which call for clarification. As noted by </w:t>
      </w:r>
      <w:proofErr w:type="spellStart"/>
      <w:r w:rsidRPr="004303E3">
        <w:rPr>
          <w:rFonts w:ascii="Corbel" w:hAnsi="Corbel"/>
          <w:sz w:val="22"/>
          <w:szCs w:val="22"/>
          <w:lang w:val="en-GB"/>
        </w:rPr>
        <w:t>Brechin</w:t>
      </w:r>
      <w:proofErr w:type="spellEnd"/>
      <w:r w:rsidRPr="004303E3">
        <w:rPr>
          <w:rFonts w:ascii="Corbel" w:hAnsi="Corbel"/>
          <w:sz w:val="22"/>
          <w:szCs w:val="22"/>
          <w:lang w:val="en-GB"/>
        </w:rPr>
        <w:t xml:space="preserve"> and Ness (2013), scholars of international organizations “seem to typically focus on inter-governmental organizations, and at times, seem to use the term interchangeably. This can be confusing”. In the same vein, </w:t>
      </w:r>
      <w:proofErr w:type="spellStart"/>
      <w:r w:rsidRPr="004303E3">
        <w:rPr>
          <w:rFonts w:ascii="Corbel" w:hAnsi="Corbel"/>
          <w:sz w:val="22"/>
          <w:szCs w:val="22"/>
          <w:lang w:val="en-GB"/>
        </w:rPr>
        <w:t>Dijkzeul</w:t>
      </w:r>
      <w:proofErr w:type="spellEnd"/>
      <w:r w:rsidRPr="004303E3">
        <w:rPr>
          <w:rFonts w:ascii="Corbel" w:hAnsi="Corbel"/>
          <w:sz w:val="22"/>
          <w:szCs w:val="22"/>
          <w:lang w:val="en-GB"/>
        </w:rPr>
        <w:t xml:space="preserve"> and </w:t>
      </w:r>
      <w:proofErr w:type="spellStart"/>
      <w:r w:rsidRPr="004303E3">
        <w:rPr>
          <w:rFonts w:ascii="Corbel" w:hAnsi="Corbel"/>
          <w:sz w:val="22"/>
          <w:szCs w:val="22"/>
          <w:lang w:val="en-GB"/>
        </w:rPr>
        <w:t>Beigbeder</w:t>
      </w:r>
      <w:proofErr w:type="spellEnd"/>
      <w:r w:rsidRPr="004303E3">
        <w:rPr>
          <w:rFonts w:ascii="Corbel" w:hAnsi="Corbel"/>
          <w:sz w:val="22"/>
          <w:szCs w:val="22"/>
          <w:lang w:val="en-GB"/>
        </w:rPr>
        <w:t xml:space="preserve"> (2003) claim that “sometimes the term international organization is used to include multinational corporations, bilateral organizations, multilateral organizations, and international non-governmental organizations (INGOs).” “Other times, only UN organizations are covered by this term.” Most commonly, the term international organization is used to refer to “all forms of non-state actors working at international or global levels” (</w:t>
      </w:r>
      <w:proofErr w:type="spellStart"/>
      <w:r w:rsidRPr="004303E3">
        <w:rPr>
          <w:rFonts w:ascii="Corbel" w:hAnsi="Corbel"/>
          <w:sz w:val="22"/>
          <w:szCs w:val="22"/>
          <w:lang w:val="en-GB"/>
        </w:rPr>
        <w:t>Brechin</w:t>
      </w:r>
      <w:proofErr w:type="spellEnd"/>
      <w:r w:rsidRPr="004303E3">
        <w:rPr>
          <w:rFonts w:ascii="Corbel" w:hAnsi="Corbel"/>
          <w:sz w:val="22"/>
          <w:szCs w:val="22"/>
          <w:lang w:val="en-GB"/>
        </w:rPr>
        <w:t xml:space="preserve"> </w:t>
      </w:r>
      <w:r w:rsidR="00421664" w:rsidRPr="004303E3">
        <w:rPr>
          <w:rFonts w:ascii="Corbel" w:hAnsi="Corbel"/>
          <w:sz w:val="22"/>
          <w:szCs w:val="22"/>
          <w:lang w:val="en-GB"/>
        </w:rPr>
        <w:t>&amp;</w:t>
      </w:r>
      <w:r w:rsidRPr="004303E3">
        <w:rPr>
          <w:rFonts w:ascii="Corbel" w:hAnsi="Corbel"/>
          <w:sz w:val="22"/>
          <w:szCs w:val="22"/>
          <w:lang w:val="en-GB"/>
        </w:rPr>
        <w:t xml:space="preserve"> Ness</w:t>
      </w:r>
      <w:r w:rsidR="00421664" w:rsidRPr="004303E3">
        <w:rPr>
          <w:rFonts w:ascii="Corbel" w:hAnsi="Corbel"/>
          <w:sz w:val="22"/>
          <w:szCs w:val="22"/>
          <w:lang w:val="en-GB"/>
        </w:rPr>
        <w:t>,</w:t>
      </w:r>
      <w:r w:rsidRPr="004303E3">
        <w:rPr>
          <w:rFonts w:ascii="Corbel" w:hAnsi="Corbel"/>
          <w:sz w:val="22"/>
          <w:szCs w:val="22"/>
          <w:lang w:val="en-GB"/>
        </w:rPr>
        <w:t xml:space="preserve"> 2013). According to this, intergovernmental organizations (IGOs) can be considered a subset of the international organizations’ category together with international non-governmental organizations (INGOs). The reference work on this topic is the Yearbook of International Organizations published yearly, since 1999, by the Union of the International Associations (UIA). It contains the list</w:t>
      </w:r>
      <w:r w:rsidRPr="004303E3">
        <w:rPr>
          <w:rStyle w:val="Rimandonotadichiusura"/>
          <w:rFonts w:ascii="Corbel" w:hAnsi="Corbel"/>
          <w:sz w:val="22"/>
          <w:szCs w:val="22"/>
          <w:lang w:val="en-GB"/>
        </w:rPr>
        <w:endnoteReference w:id="1"/>
      </w:r>
      <w:r w:rsidRPr="004303E3">
        <w:rPr>
          <w:rFonts w:ascii="Corbel" w:hAnsi="Corbel"/>
          <w:sz w:val="22"/>
          <w:szCs w:val="22"/>
          <w:lang w:val="en-GB"/>
        </w:rPr>
        <w:t xml:space="preserve"> of all types of international organizations according to different criteria</w:t>
      </w:r>
      <w:r w:rsidRPr="004303E3">
        <w:rPr>
          <w:rStyle w:val="Rimandonotadichiusura"/>
          <w:rFonts w:ascii="Corbel" w:hAnsi="Corbel"/>
          <w:sz w:val="22"/>
          <w:szCs w:val="22"/>
          <w:lang w:val="en-GB"/>
        </w:rPr>
        <w:endnoteReference w:id="2"/>
      </w:r>
      <w:r w:rsidRPr="004303E3">
        <w:rPr>
          <w:rFonts w:ascii="Corbel" w:hAnsi="Corbel"/>
          <w:sz w:val="22"/>
          <w:szCs w:val="22"/>
          <w:lang w:val="en-GB"/>
        </w:rPr>
        <w:t xml:space="preserve">. </w:t>
      </w:r>
    </w:p>
    <w:p w14:paraId="70D5B979" w14:textId="5FC9A496" w:rsidR="00F67ADD" w:rsidRPr="004303E3" w:rsidRDefault="00F67ADD" w:rsidP="002F71BC">
      <w:pPr>
        <w:jc w:val="both"/>
        <w:rPr>
          <w:rFonts w:ascii="Corbel" w:hAnsi="Corbel"/>
          <w:sz w:val="22"/>
          <w:szCs w:val="22"/>
          <w:lang w:val="en-GB"/>
        </w:rPr>
      </w:pPr>
      <w:r w:rsidRPr="004303E3">
        <w:rPr>
          <w:rFonts w:ascii="Corbel" w:hAnsi="Corbel"/>
          <w:sz w:val="22"/>
          <w:szCs w:val="22"/>
          <w:lang w:val="en-GB"/>
        </w:rPr>
        <w:t>Based on such classification, Bauer (2007) proposes a different categorization of international organizations focused on the type of decision-making systems adopted. In his view, international organizations whose members are predominantly sovereign states can be considered as "public international organizations." They differ from "private international organizations" whose members are mainly private actors. Public international organizations can have an intergovernmental or supranational character. This latter refers to the different decision-making system adopted by international organizations. In supranational organizations, member states transcend national boundaries or interests and take the decisions by majority voting system, while in intergovernmental organizations state governments play a more prominent role, and unanimity applies</w:t>
      </w:r>
      <w:r w:rsidRPr="004303E3">
        <w:rPr>
          <w:rFonts w:ascii="Corbel" w:hAnsi="Corbel"/>
          <w:sz w:val="22"/>
          <w:szCs w:val="22"/>
          <w:lang w:val="en-US"/>
        </w:rPr>
        <w:t>.</w:t>
      </w:r>
      <w:r w:rsidRPr="004303E3">
        <w:rPr>
          <w:rFonts w:ascii="Corbel" w:hAnsi="Corbel"/>
          <w:sz w:val="22"/>
          <w:szCs w:val="22"/>
          <w:lang w:val="en-GB"/>
        </w:rPr>
        <w:t xml:space="preserve"> Consequently, following the Yearbook of International Organizations, the “public international organizations” are those international organizations (Bauer</w:t>
      </w:r>
      <w:r w:rsidR="000B61D6" w:rsidRPr="004303E3">
        <w:rPr>
          <w:rFonts w:ascii="Corbel" w:hAnsi="Corbel"/>
          <w:sz w:val="22"/>
          <w:szCs w:val="22"/>
          <w:lang w:val="en-GB"/>
        </w:rPr>
        <w:t>,</w:t>
      </w:r>
      <w:r w:rsidRPr="004303E3">
        <w:rPr>
          <w:rFonts w:ascii="Corbel" w:hAnsi="Corbel"/>
          <w:sz w:val="22"/>
          <w:szCs w:val="22"/>
          <w:lang w:val="en-GB"/>
        </w:rPr>
        <w:t xml:space="preserve"> 2007):</w:t>
      </w:r>
    </w:p>
    <w:p w14:paraId="5239440D" w14:textId="77777777" w:rsidR="00F67ADD" w:rsidRPr="004303E3" w:rsidRDefault="00F67ADD" w:rsidP="002F71BC">
      <w:pPr>
        <w:pStyle w:val="Paragrafoelenco"/>
        <w:numPr>
          <w:ilvl w:val="0"/>
          <w:numId w:val="33"/>
        </w:numPr>
        <w:spacing w:line="240" w:lineRule="auto"/>
        <w:jc w:val="both"/>
        <w:rPr>
          <w:rFonts w:ascii="Corbel" w:hAnsi="Corbel"/>
          <w:lang w:val="en-GB"/>
        </w:rPr>
      </w:pPr>
      <w:r w:rsidRPr="004303E3">
        <w:rPr>
          <w:rFonts w:ascii="Corbel" w:hAnsi="Corbel"/>
          <w:lang w:val="en-GB"/>
        </w:rPr>
        <w:t xml:space="preserve">based on a formal instrument of agreement between the governments of </w:t>
      </w:r>
      <w:proofErr w:type="gramStart"/>
      <w:r w:rsidRPr="004303E3">
        <w:rPr>
          <w:rFonts w:ascii="Corbel" w:hAnsi="Corbel"/>
          <w:lang w:val="en-GB"/>
        </w:rPr>
        <w:t>nation-states;</w:t>
      </w:r>
      <w:proofErr w:type="gramEnd"/>
    </w:p>
    <w:p w14:paraId="79F4928B" w14:textId="77777777" w:rsidR="00F67ADD" w:rsidRPr="004303E3" w:rsidRDefault="00F67ADD" w:rsidP="002F71BC">
      <w:pPr>
        <w:pStyle w:val="Paragrafoelenco"/>
        <w:numPr>
          <w:ilvl w:val="0"/>
          <w:numId w:val="33"/>
        </w:numPr>
        <w:spacing w:line="240" w:lineRule="auto"/>
        <w:jc w:val="both"/>
        <w:rPr>
          <w:rFonts w:ascii="Corbel" w:hAnsi="Corbel"/>
          <w:lang w:val="en-GB"/>
        </w:rPr>
      </w:pPr>
      <w:r w:rsidRPr="004303E3">
        <w:rPr>
          <w:rFonts w:ascii="Corbel" w:hAnsi="Corbel"/>
          <w:lang w:val="en-GB"/>
        </w:rPr>
        <w:t xml:space="preserve">including three or more nation-states as parties to the </w:t>
      </w:r>
      <w:proofErr w:type="gramStart"/>
      <w:r w:rsidRPr="004303E3">
        <w:rPr>
          <w:rFonts w:ascii="Corbel" w:hAnsi="Corbel"/>
          <w:lang w:val="en-GB"/>
        </w:rPr>
        <w:t>agreement;</w:t>
      </w:r>
      <w:proofErr w:type="gramEnd"/>
    </w:p>
    <w:p w14:paraId="36A6C6F2" w14:textId="77777777" w:rsidR="00F67ADD" w:rsidRPr="004303E3" w:rsidRDefault="00F67ADD" w:rsidP="002F71BC">
      <w:pPr>
        <w:pStyle w:val="Paragrafoelenco"/>
        <w:numPr>
          <w:ilvl w:val="0"/>
          <w:numId w:val="33"/>
        </w:numPr>
        <w:spacing w:line="240" w:lineRule="auto"/>
        <w:jc w:val="both"/>
        <w:rPr>
          <w:rFonts w:ascii="Corbel" w:hAnsi="Corbel"/>
          <w:lang w:val="en-GB"/>
        </w:rPr>
      </w:pPr>
      <w:r w:rsidRPr="004303E3">
        <w:rPr>
          <w:rFonts w:ascii="Corbel" w:hAnsi="Corbel"/>
          <w:lang w:val="en-GB"/>
        </w:rPr>
        <w:t xml:space="preserve">having intergovernmental or supranational </w:t>
      </w:r>
      <w:proofErr w:type="gramStart"/>
      <w:r w:rsidRPr="004303E3">
        <w:rPr>
          <w:rFonts w:ascii="Corbel" w:hAnsi="Corbel"/>
          <w:lang w:val="en-GB"/>
        </w:rPr>
        <w:t>character;</w:t>
      </w:r>
      <w:proofErr w:type="gramEnd"/>
    </w:p>
    <w:p w14:paraId="372B13D9" w14:textId="77777777" w:rsidR="00F67ADD" w:rsidRPr="004303E3" w:rsidRDefault="00F67ADD" w:rsidP="002F71BC">
      <w:pPr>
        <w:pStyle w:val="Paragrafoelenco"/>
        <w:numPr>
          <w:ilvl w:val="0"/>
          <w:numId w:val="33"/>
        </w:numPr>
        <w:spacing w:line="240" w:lineRule="auto"/>
        <w:jc w:val="both"/>
        <w:rPr>
          <w:rFonts w:ascii="Corbel" w:hAnsi="Corbel"/>
          <w:lang w:val="en-GB"/>
        </w:rPr>
      </w:pPr>
      <w:r w:rsidRPr="004303E3">
        <w:rPr>
          <w:rFonts w:ascii="Corbel" w:hAnsi="Corbel"/>
          <w:lang w:val="en-GB"/>
        </w:rPr>
        <w:t xml:space="preserve">possessing a permanent secretariat performing ongoing tasks.  </w:t>
      </w:r>
    </w:p>
    <w:p w14:paraId="2B781445" w14:textId="5E6301AD" w:rsidR="00F67ADD" w:rsidRPr="004303E3" w:rsidRDefault="00F67ADD" w:rsidP="002F71BC">
      <w:pPr>
        <w:jc w:val="both"/>
        <w:rPr>
          <w:rFonts w:ascii="Corbel" w:hAnsi="Corbel"/>
          <w:color w:val="000000" w:themeColor="text1"/>
          <w:sz w:val="22"/>
          <w:szCs w:val="22"/>
          <w:lang w:val="en-US"/>
        </w:rPr>
      </w:pPr>
      <w:r w:rsidRPr="004303E3">
        <w:rPr>
          <w:rFonts w:ascii="Corbel" w:hAnsi="Corbel"/>
          <w:color w:val="000000" w:themeColor="text1"/>
          <w:sz w:val="22"/>
          <w:szCs w:val="22"/>
          <w:lang w:val="en-GB"/>
        </w:rPr>
        <w:t>Relying on the concept of networks defined in literature (</w:t>
      </w:r>
      <w:proofErr w:type="spellStart"/>
      <w:r w:rsidRPr="004303E3">
        <w:rPr>
          <w:rFonts w:ascii="Corbel" w:hAnsi="Corbel"/>
          <w:color w:val="000000" w:themeColor="text1"/>
          <w:sz w:val="22"/>
          <w:szCs w:val="22"/>
          <w:lang w:val="en-GB"/>
        </w:rPr>
        <w:t>Agranoff</w:t>
      </w:r>
      <w:proofErr w:type="spellEnd"/>
      <w:r w:rsidRPr="004303E3">
        <w:rPr>
          <w:rFonts w:ascii="Corbel" w:hAnsi="Corbel"/>
          <w:color w:val="000000" w:themeColor="text1"/>
          <w:sz w:val="22"/>
          <w:szCs w:val="22"/>
          <w:lang w:val="en-GB"/>
        </w:rPr>
        <w:t xml:space="preserve"> </w:t>
      </w:r>
      <w:r w:rsidR="000B61D6" w:rsidRPr="004303E3">
        <w:rPr>
          <w:rFonts w:ascii="Corbel" w:hAnsi="Corbel"/>
          <w:color w:val="000000" w:themeColor="text1"/>
          <w:sz w:val="22"/>
          <w:szCs w:val="22"/>
          <w:lang w:val="en-GB"/>
        </w:rPr>
        <w:t>&amp;</w:t>
      </w:r>
      <w:r w:rsidRPr="004303E3">
        <w:rPr>
          <w:rFonts w:ascii="Corbel" w:hAnsi="Corbel"/>
          <w:color w:val="000000" w:themeColor="text1"/>
          <w:sz w:val="22"/>
          <w:szCs w:val="22"/>
          <w:lang w:val="en-GB"/>
        </w:rPr>
        <w:t xml:space="preserve"> McGuire</w:t>
      </w:r>
      <w:r w:rsidR="000B61D6" w:rsidRPr="004303E3">
        <w:rPr>
          <w:rFonts w:ascii="Corbel" w:hAnsi="Corbel"/>
          <w:color w:val="000000" w:themeColor="text1"/>
          <w:sz w:val="22"/>
          <w:szCs w:val="22"/>
          <w:lang w:val="en-GB"/>
        </w:rPr>
        <w:t>,</w:t>
      </w:r>
      <w:r w:rsidRPr="004303E3">
        <w:rPr>
          <w:rFonts w:ascii="Corbel" w:hAnsi="Corbel"/>
          <w:color w:val="000000" w:themeColor="text1"/>
          <w:sz w:val="22"/>
          <w:szCs w:val="22"/>
          <w:lang w:val="en-GB"/>
        </w:rPr>
        <w:t xml:space="preserve"> 1998; Ferlie </w:t>
      </w:r>
      <w:r w:rsidR="000B61D6" w:rsidRPr="004303E3">
        <w:rPr>
          <w:rFonts w:ascii="Corbel" w:hAnsi="Corbel"/>
          <w:color w:val="000000" w:themeColor="text1"/>
          <w:sz w:val="22"/>
          <w:szCs w:val="22"/>
          <w:lang w:val="en-GB"/>
        </w:rPr>
        <w:t>&amp;</w:t>
      </w:r>
      <w:r w:rsidRPr="004303E3">
        <w:rPr>
          <w:rFonts w:ascii="Corbel" w:hAnsi="Corbel"/>
          <w:color w:val="000000" w:themeColor="text1"/>
          <w:sz w:val="22"/>
          <w:szCs w:val="22"/>
          <w:lang w:val="en-GB"/>
        </w:rPr>
        <w:t xml:space="preserve"> Pettigrew</w:t>
      </w:r>
      <w:r w:rsidR="000B61D6" w:rsidRPr="004303E3">
        <w:rPr>
          <w:rFonts w:ascii="Corbel" w:hAnsi="Corbel"/>
          <w:color w:val="000000" w:themeColor="text1"/>
          <w:sz w:val="22"/>
          <w:szCs w:val="22"/>
          <w:lang w:val="en-GB"/>
        </w:rPr>
        <w:t>,</w:t>
      </w:r>
      <w:r w:rsidRPr="004303E3">
        <w:rPr>
          <w:rFonts w:ascii="Corbel" w:hAnsi="Corbel"/>
          <w:color w:val="000000" w:themeColor="text1"/>
          <w:sz w:val="22"/>
          <w:szCs w:val="22"/>
          <w:lang w:val="en-GB"/>
        </w:rPr>
        <w:t xml:space="preserve"> 1996; Ferlie et al.</w:t>
      </w:r>
      <w:r w:rsidR="000B61D6" w:rsidRPr="004303E3">
        <w:rPr>
          <w:rFonts w:ascii="Corbel" w:hAnsi="Corbel"/>
          <w:color w:val="000000" w:themeColor="text1"/>
          <w:sz w:val="22"/>
          <w:szCs w:val="22"/>
          <w:lang w:val="en-GB"/>
        </w:rPr>
        <w:t>,</w:t>
      </w:r>
      <w:r w:rsidRPr="004303E3">
        <w:rPr>
          <w:rFonts w:ascii="Corbel" w:hAnsi="Corbel"/>
          <w:color w:val="000000" w:themeColor="text1"/>
          <w:sz w:val="22"/>
          <w:szCs w:val="22"/>
          <w:lang w:val="en-GB"/>
        </w:rPr>
        <w:t xml:space="preserve"> 2011; O’Toole</w:t>
      </w:r>
      <w:r w:rsidR="000B61D6" w:rsidRPr="004303E3">
        <w:rPr>
          <w:rFonts w:ascii="Corbel" w:hAnsi="Corbel"/>
          <w:color w:val="000000" w:themeColor="text1"/>
          <w:sz w:val="22"/>
          <w:szCs w:val="22"/>
          <w:lang w:val="en-GB"/>
        </w:rPr>
        <w:t>,</w:t>
      </w:r>
      <w:r w:rsidRPr="004303E3">
        <w:rPr>
          <w:rFonts w:ascii="Corbel" w:hAnsi="Corbel"/>
          <w:color w:val="000000" w:themeColor="text1"/>
          <w:sz w:val="22"/>
          <w:szCs w:val="22"/>
          <w:lang w:val="en-GB"/>
        </w:rPr>
        <w:t xml:space="preserve"> 1997; Milward </w:t>
      </w:r>
      <w:r w:rsidR="000B61D6" w:rsidRPr="004303E3">
        <w:rPr>
          <w:rFonts w:ascii="Corbel" w:hAnsi="Corbel"/>
          <w:color w:val="000000" w:themeColor="text1"/>
          <w:sz w:val="22"/>
          <w:szCs w:val="22"/>
          <w:lang w:val="en-GB"/>
        </w:rPr>
        <w:t>&amp;</w:t>
      </w:r>
      <w:r w:rsidRPr="004303E3">
        <w:rPr>
          <w:rFonts w:ascii="Corbel" w:hAnsi="Corbel"/>
          <w:color w:val="000000" w:themeColor="text1"/>
          <w:sz w:val="22"/>
          <w:szCs w:val="22"/>
          <w:lang w:val="en-GB"/>
        </w:rPr>
        <w:t xml:space="preserve"> </w:t>
      </w:r>
      <w:proofErr w:type="spellStart"/>
      <w:r w:rsidRPr="004303E3">
        <w:rPr>
          <w:rFonts w:ascii="Corbel" w:hAnsi="Corbel"/>
          <w:color w:val="000000" w:themeColor="text1"/>
          <w:sz w:val="22"/>
          <w:szCs w:val="22"/>
          <w:lang w:val="en-GB"/>
        </w:rPr>
        <w:t>Provan</w:t>
      </w:r>
      <w:proofErr w:type="spellEnd"/>
      <w:r w:rsidR="000B61D6" w:rsidRPr="004303E3">
        <w:rPr>
          <w:rFonts w:ascii="Corbel" w:hAnsi="Corbel"/>
          <w:color w:val="000000" w:themeColor="text1"/>
          <w:sz w:val="22"/>
          <w:szCs w:val="22"/>
          <w:lang w:val="en-GB"/>
        </w:rPr>
        <w:t>,</w:t>
      </w:r>
      <w:r w:rsidRPr="004303E3">
        <w:rPr>
          <w:rFonts w:ascii="Corbel" w:hAnsi="Corbel"/>
          <w:color w:val="000000" w:themeColor="text1"/>
          <w:sz w:val="22"/>
          <w:szCs w:val="22"/>
          <w:lang w:val="en-GB"/>
        </w:rPr>
        <w:t xml:space="preserve"> 2003; </w:t>
      </w:r>
      <w:proofErr w:type="spellStart"/>
      <w:r w:rsidRPr="004303E3">
        <w:rPr>
          <w:rFonts w:ascii="Corbel" w:hAnsi="Corbel"/>
          <w:color w:val="000000" w:themeColor="text1"/>
          <w:sz w:val="22"/>
          <w:szCs w:val="22"/>
          <w:lang w:val="en-GB"/>
        </w:rPr>
        <w:t>Provan</w:t>
      </w:r>
      <w:proofErr w:type="spellEnd"/>
      <w:r w:rsidRPr="004303E3">
        <w:rPr>
          <w:rFonts w:ascii="Corbel" w:hAnsi="Corbel"/>
          <w:color w:val="000000" w:themeColor="text1"/>
          <w:sz w:val="22"/>
          <w:szCs w:val="22"/>
          <w:lang w:val="en-GB"/>
        </w:rPr>
        <w:t xml:space="preserve"> </w:t>
      </w:r>
      <w:r w:rsidR="000B61D6" w:rsidRPr="004303E3">
        <w:rPr>
          <w:rFonts w:ascii="Corbel" w:hAnsi="Corbel"/>
          <w:color w:val="000000" w:themeColor="text1"/>
          <w:sz w:val="22"/>
          <w:szCs w:val="22"/>
          <w:lang w:val="en-GB"/>
        </w:rPr>
        <w:t>&amp;</w:t>
      </w:r>
      <w:r w:rsidRPr="004303E3">
        <w:rPr>
          <w:rFonts w:ascii="Corbel" w:hAnsi="Corbel"/>
          <w:color w:val="000000" w:themeColor="text1"/>
          <w:sz w:val="22"/>
          <w:szCs w:val="22"/>
          <w:lang w:val="en-GB"/>
        </w:rPr>
        <w:t xml:space="preserve"> Milward</w:t>
      </w:r>
      <w:r w:rsidR="000B61D6" w:rsidRPr="004303E3">
        <w:rPr>
          <w:rFonts w:ascii="Corbel" w:hAnsi="Corbel"/>
          <w:color w:val="000000" w:themeColor="text1"/>
          <w:sz w:val="22"/>
          <w:szCs w:val="22"/>
          <w:lang w:val="en-GB"/>
        </w:rPr>
        <w:t>,</w:t>
      </w:r>
      <w:r w:rsidRPr="004303E3">
        <w:rPr>
          <w:rFonts w:ascii="Corbel" w:hAnsi="Corbel"/>
          <w:color w:val="000000" w:themeColor="text1"/>
          <w:sz w:val="22"/>
          <w:szCs w:val="22"/>
          <w:lang w:val="en-GB"/>
        </w:rPr>
        <w:t xml:space="preserve"> 1995</w:t>
      </w:r>
      <w:r w:rsidR="000B61D6" w:rsidRPr="004303E3">
        <w:rPr>
          <w:rFonts w:ascii="Corbel" w:hAnsi="Corbel"/>
          <w:color w:val="000000" w:themeColor="text1"/>
          <w:sz w:val="22"/>
          <w:szCs w:val="22"/>
          <w:lang w:val="en-GB"/>
        </w:rPr>
        <w:t>;</w:t>
      </w:r>
      <w:r w:rsidRPr="004303E3">
        <w:rPr>
          <w:rFonts w:ascii="Corbel" w:hAnsi="Corbel"/>
          <w:color w:val="000000" w:themeColor="text1"/>
          <w:sz w:val="22"/>
          <w:szCs w:val="22"/>
          <w:lang w:val="en-GB"/>
        </w:rPr>
        <w:t xml:space="preserve"> 2001; </w:t>
      </w:r>
      <w:proofErr w:type="spellStart"/>
      <w:r w:rsidRPr="004303E3">
        <w:rPr>
          <w:rFonts w:ascii="Corbel" w:hAnsi="Corbel"/>
          <w:color w:val="000000" w:themeColor="text1"/>
          <w:sz w:val="22"/>
          <w:szCs w:val="22"/>
          <w:lang w:val="en-GB"/>
        </w:rPr>
        <w:t>Provan</w:t>
      </w:r>
      <w:proofErr w:type="spellEnd"/>
      <w:r w:rsidRPr="004303E3">
        <w:rPr>
          <w:rFonts w:ascii="Corbel" w:hAnsi="Corbel"/>
          <w:color w:val="000000" w:themeColor="text1"/>
          <w:sz w:val="22"/>
          <w:szCs w:val="22"/>
          <w:lang w:val="en-GB"/>
        </w:rPr>
        <w:t xml:space="preserve"> </w:t>
      </w:r>
      <w:r w:rsidR="000B61D6" w:rsidRPr="004303E3">
        <w:rPr>
          <w:rFonts w:ascii="Corbel" w:hAnsi="Corbel"/>
          <w:color w:val="000000" w:themeColor="text1"/>
          <w:sz w:val="22"/>
          <w:szCs w:val="22"/>
          <w:lang w:val="en-GB"/>
        </w:rPr>
        <w:t>&amp;</w:t>
      </w:r>
      <w:r w:rsidRPr="004303E3">
        <w:rPr>
          <w:rFonts w:ascii="Corbel" w:hAnsi="Corbel"/>
          <w:color w:val="000000" w:themeColor="text1"/>
          <w:sz w:val="22"/>
          <w:szCs w:val="22"/>
          <w:lang w:val="en-GB"/>
        </w:rPr>
        <w:t xml:space="preserve"> Sebastian</w:t>
      </w:r>
      <w:r w:rsidR="000B61D6" w:rsidRPr="004303E3">
        <w:rPr>
          <w:rFonts w:ascii="Corbel" w:hAnsi="Corbel"/>
          <w:color w:val="000000" w:themeColor="text1"/>
          <w:sz w:val="22"/>
          <w:szCs w:val="22"/>
          <w:lang w:val="en-GB"/>
        </w:rPr>
        <w:t>,</w:t>
      </w:r>
      <w:r w:rsidRPr="004303E3">
        <w:rPr>
          <w:rFonts w:ascii="Corbel" w:hAnsi="Corbel"/>
          <w:color w:val="000000" w:themeColor="text1"/>
          <w:sz w:val="22"/>
          <w:szCs w:val="22"/>
          <w:lang w:val="en-GB"/>
        </w:rPr>
        <w:t xml:space="preserve"> 1998), international organizations can also be seen as networks of organizations. According to </w:t>
      </w:r>
      <w:r w:rsidRPr="004303E3">
        <w:rPr>
          <w:rFonts w:ascii="Corbel" w:hAnsi="Corbel"/>
          <w:color w:val="000000" w:themeColor="text1"/>
          <w:sz w:val="22"/>
          <w:szCs w:val="22"/>
          <w:lang w:val="en-US"/>
        </w:rPr>
        <w:t xml:space="preserve">O’Toole (1997:45), networks can be defined as </w:t>
      </w:r>
      <w:r w:rsidRPr="004303E3">
        <w:rPr>
          <w:rFonts w:ascii="Corbel" w:hAnsi="Corbel"/>
          <w:color w:val="000000" w:themeColor="text1"/>
          <w:sz w:val="22"/>
          <w:szCs w:val="22"/>
          <w:lang w:val="en-GB"/>
        </w:rPr>
        <w:t>“</w:t>
      </w:r>
      <w:r w:rsidRPr="004303E3">
        <w:rPr>
          <w:rFonts w:ascii="Corbel" w:hAnsi="Corbel"/>
          <w:color w:val="000000" w:themeColor="text1"/>
          <w:sz w:val="22"/>
          <w:szCs w:val="22"/>
          <w:lang w:val="en-US"/>
        </w:rPr>
        <w:t xml:space="preserve">structures of interdependence involving multiple organizations or parts of thereof, where one unit is not merely the formal subordinate of the others in some larger hierarchical arrangement” </w:t>
      </w:r>
      <w:r w:rsidRPr="004303E3">
        <w:rPr>
          <w:rFonts w:ascii="Corbel" w:hAnsi="Corbel"/>
          <w:color w:val="000000" w:themeColor="text1"/>
          <w:sz w:val="22"/>
          <w:szCs w:val="22"/>
          <w:lang w:val="en-GB"/>
        </w:rPr>
        <w:t xml:space="preserve">or as a form of organizing essential governance functions across independent actors (Elliott </w:t>
      </w:r>
      <w:r w:rsidR="000B61D6" w:rsidRPr="004303E3">
        <w:rPr>
          <w:rFonts w:ascii="Corbel" w:hAnsi="Corbel"/>
          <w:color w:val="000000" w:themeColor="text1"/>
          <w:sz w:val="22"/>
          <w:szCs w:val="22"/>
          <w:lang w:val="en-GB"/>
        </w:rPr>
        <w:t>&amp;</w:t>
      </w:r>
      <w:r w:rsidRPr="004303E3">
        <w:rPr>
          <w:rFonts w:ascii="Corbel" w:hAnsi="Corbel"/>
          <w:color w:val="000000" w:themeColor="text1"/>
          <w:sz w:val="22"/>
          <w:szCs w:val="22"/>
          <w:lang w:val="en-GB"/>
        </w:rPr>
        <w:t xml:space="preserve"> </w:t>
      </w:r>
      <w:proofErr w:type="spellStart"/>
      <w:r w:rsidRPr="004303E3">
        <w:rPr>
          <w:rFonts w:ascii="Corbel" w:hAnsi="Corbel"/>
          <w:color w:val="000000" w:themeColor="text1"/>
          <w:sz w:val="22"/>
          <w:szCs w:val="22"/>
          <w:lang w:val="en-GB"/>
        </w:rPr>
        <w:t>Salamon</w:t>
      </w:r>
      <w:proofErr w:type="spellEnd"/>
      <w:r w:rsidR="000B61D6" w:rsidRPr="004303E3">
        <w:rPr>
          <w:rFonts w:ascii="Corbel" w:hAnsi="Corbel"/>
          <w:color w:val="000000" w:themeColor="text1"/>
          <w:sz w:val="22"/>
          <w:szCs w:val="22"/>
          <w:lang w:val="en-GB"/>
        </w:rPr>
        <w:t>,</w:t>
      </w:r>
      <w:r w:rsidRPr="004303E3">
        <w:rPr>
          <w:rFonts w:ascii="Corbel" w:hAnsi="Corbel"/>
          <w:color w:val="000000" w:themeColor="text1"/>
          <w:sz w:val="22"/>
          <w:szCs w:val="22"/>
          <w:lang w:val="en-GB"/>
        </w:rPr>
        <w:t xml:space="preserve"> 2002).</w:t>
      </w:r>
      <w:r w:rsidRPr="004303E3">
        <w:rPr>
          <w:rFonts w:ascii="Corbel" w:hAnsi="Corbel"/>
          <w:color w:val="000000" w:themeColor="text1"/>
          <w:sz w:val="22"/>
          <w:szCs w:val="22"/>
          <w:lang w:val="en-US"/>
        </w:rPr>
        <w:t xml:space="preserve"> The key features of networks include:</w:t>
      </w:r>
    </w:p>
    <w:p w14:paraId="38AE6A1E" w14:textId="0F292BCF" w:rsidR="00F67ADD" w:rsidRPr="004303E3" w:rsidRDefault="00F67ADD" w:rsidP="002F71BC">
      <w:pPr>
        <w:pStyle w:val="Paragrafoelenco"/>
        <w:numPr>
          <w:ilvl w:val="0"/>
          <w:numId w:val="35"/>
        </w:numPr>
        <w:spacing w:line="240" w:lineRule="auto"/>
        <w:jc w:val="both"/>
        <w:rPr>
          <w:rFonts w:ascii="Corbel" w:hAnsi="Corbel"/>
          <w:color w:val="000000" w:themeColor="text1"/>
          <w:lang w:val="en-US"/>
        </w:rPr>
      </w:pPr>
      <w:r w:rsidRPr="004303E3">
        <w:rPr>
          <w:rFonts w:ascii="Corbel" w:hAnsi="Corbel"/>
          <w:color w:val="000000" w:themeColor="text1"/>
          <w:lang w:val="en-US"/>
        </w:rPr>
        <w:t xml:space="preserve">the orientation towards addressing complex policy problems that cannot be solved by one actor alone, and require the collaboration of several actors </w:t>
      </w:r>
      <w:r w:rsidRPr="004303E3">
        <w:rPr>
          <w:rFonts w:ascii="Calibri" w:hAnsi="Calibri" w:cs="Calibri"/>
          <w:color w:val="000000" w:themeColor="text1"/>
          <w:lang w:val="en-US"/>
        </w:rPr>
        <w:t>﻿</w:t>
      </w:r>
      <w:r w:rsidRPr="004303E3">
        <w:rPr>
          <w:rFonts w:ascii="Corbel" w:hAnsi="Corbel"/>
          <w:color w:val="000000" w:themeColor="text1"/>
          <w:lang w:val="en-US"/>
        </w:rPr>
        <w:t>(Mandell</w:t>
      </w:r>
      <w:r w:rsidR="000B61D6" w:rsidRPr="004303E3">
        <w:rPr>
          <w:rFonts w:ascii="Corbel" w:hAnsi="Corbel"/>
          <w:color w:val="000000" w:themeColor="text1"/>
          <w:lang w:val="en-US"/>
        </w:rPr>
        <w:t>,</w:t>
      </w:r>
      <w:r w:rsidRPr="004303E3">
        <w:rPr>
          <w:rFonts w:ascii="Corbel" w:hAnsi="Corbel"/>
          <w:color w:val="000000" w:themeColor="text1"/>
          <w:lang w:val="en-US"/>
        </w:rPr>
        <w:t xml:space="preserve"> 2001; </w:t>
      </w:r>
      <w:proofErr w:type="spellStart"/>
      <w:r w:rsidRPr="004303E3">
        <w:rPr>
          <w:rFonts w:ascii="Corbel" w:hAnsi="Corbel"/>
          <w:color w:val="000000" w:themeColor="text1"/>
          <w:lang w:val="en-US"/>
        </w:rPr>
        <w:t>Agranoff</w:t>
      </w:r>
      <w:proofErr w:type="spellEnd"/>
      <w:r w:rsidRPr="004303E3">
        <w:rPr>
          <w:rFonts w:ascii="Corbel" w:hAnsi="Corbel"/>
          <w:color w:val="000000" w:themeColor="text1"/>
          <w:lang w:val="en-US"/>
        </w:rPr>
        <w:t xml:space="preserve"> </w:t>
      </w:r>
      <w:r w:rsidR="000B61D6" w:rsidRPr="004303E3">
        <w:rPr>
          <w:rFonts w:ascii="Corbel" w:hAnsi="Corbel"/>
          <w:color w:val="000000" w:themeColor="text1"/>
          <w:lang w:val="en-US"/>
        </w:rPr>
        <w:t>&amp;</w:t>
      </w:r>
      <w:r w:rsidRPr="004303E3">
        <w:rPr>
          <w:rFonts w:ascii="Corbel" w:hAnsi="Corbel"/>
          <w:color w:val="000000" w:themeColor="text1"/>
          <w:lang w:val="en-US"/>
        </w:rPr>
        <w:t xml:space="preserve"> McGuire</w:t>
      </w:r>
      <w:r w:rsidR="000B61D6" w:rsidRPr="004303E3">
        <w:rPr>
          <w:rFonts w:ascii="Corbel" w:hAnsi="Corbel"/>
          <w:color w:val="000000" w:themeColor="text1"/>
          <w:lang w:val="en-US"/>
        </w:rPr>
        <w:t>,</w:t>
      </w:r>
      <w:r w:rsidRPr="004303E3">
        <w:rPr>
          <w:rFonts w:ascii="Corbel" w:hAnsi="Corbel"/>
          <w:color w:val="000000" w:themeColor="text1"/>
          <w:lang w:val="en-US"/>
        </w:rPr>
        <w:t xml:space="preserve"> 2003; </w:t>
      </w:r>
      <w:proofErr w:type="spellStart"/>
      <w:r w:rsidRPr="004303E3">
        <w:rPr>
          <w:rFonts w:ascii="Corbel" w:hAnsi="Corbel"/>
          <w:color w:val="000000" w:themeColor="text1"/>
          <w:lang w:val="en-GB"/>
        </w:rPr>
        <w:t>Koppenjan</w:t>
      </w:r>
      <w:proofErr w:type="spellEnd"/>
      <w:r w:rsidRPr="004303E3">
        <w:rPr>
          <w:rFonts w:ascii="Corbel" w:hAnsi="Corbel"/>
          <w:color w:val="000000" w:themeColor="text1"/>
          <w:lang w:val="en-GB"/>
        </w:rPr>
        <w:t xml:space="preserve"> </w:t>
      </w:r>
      <w:r w:rsidR="000B61D6" w:rsidRPr="004303E3">
        <w:rPr>
          <w:rFonts w:ascii="Corbel" w:hAnsi="Corbel"/>
          <w:color w:val="000000" w:themeColor="text1"/>
          <w:lang w:val="en-GB"/>
        </w:rPr>
        <w:t>&amp;</w:t>
      </w:r>
      <w:r w:rsidRPr="004303E3">
        <w:rPr>
          <w:rFonts w:ascii="Corbel" w:hAnsi="Corbel"/>
          <w:color w:val="000000" w:themeColor="text1"/>
          <w:lang w:val="en-GB"/>
        </w:rPr>
        <w:t xml:space="preserve"> </w:t>
      </w:r>
      <w:proofErr w:type="spellStart"/>
      <w:r w:rsidRPr="004303E3">
        <w:rPr>
          <w:rFonts w:ascii="Corbel" w:hAnsi="Corbel"/>
          <w:color w:val="000000" w:themeColor="text1"/>
          <w:lang w:val="en-GB"/>
        </w:rPr>
        <w:t>Klijn</w:t>
      </w:r>
      <w:proofErr w:type="spellEnd"/>
      <w:r w:rsidR="000B61D6" w:rsidRPr="004303E3">
        <w:rPr>
          <w:rFonts w:ascii="Corbel" w:hAnsi="Corbel"/>
          <w:color w:val="000000" w:themeColor="text1"/>
          <w:lang w:val="en-GB"/>
        </w:rPr>
        <w:t>,</w:t>
      </w:r>
      <w:r w:rsidRPr="004303E3">
        <w:rPr>
          <w:rFonts w:ascii="Corbel" w:hAnsi="Corbel"/>
          <w:color w:val="000000" w:themeColor="text1"/>
          <w:lang w:val="en-US"/>
        </w:rPr>
        <w:t xml:space="preserve"> 2004</w:t>
      </w:r>
      <w:proofErr w:type="gramStart"/>
      <w:r w:rsidRPr="004303E3">
        <w:rPr>
          <w:rFonts w:ascii="Corbel" w:hAnsi="Corbel"/>
          <w:color w:val="000000" w:themeColor="text1"/>
          <w:lang w:val="en-US"/>
        </w:rPr>
        <w:t>);</w:t>
      </w:r>
      <w:proofErr w:type="gramEnd"/>
      <w:r w:rsidRPr="004303E3">
        <w:rPr>
          <w:rFonts w:ascii="Corbel" w:hAnsi="Corbel"/>
          <w:color w:val="000000" w:themeColor="text1"/>
          <w:lang w:val="en-US"/>
        </w:rPr>
        <w:t xml:space="preserve"> </w:t>
      </w:r>
    </w:p>
    <w:p w14:paraId="1629CC94" w14:textId="0DE11DE1" w:rsidR="00F67ADD" w:rsidRPr="004303E3" w:rsidRDefault="00F67ADD" w:rsidP="002F71BC">
      <w:pPr>
        <w:pStyle w:val="Paragrafoelenco"/>
        <w:numPr>
          <w:ilvl w:val="0"/>
          <w:numId w:val="35"/>
        </w:numPr>
        <w:spacing w:line="240" w:lineRule="auto"/>
        <w:jc w:val="both"/>
        <w:rPr>
          <w:rFonts w:ascii="Corbel" w:hAnsi="Corbel"/>
          <w:color w:val="000000" w:themeColor="text1"/>
          <w:lang w:val="en-US"/>
        </w:rPr>
      </w:pPr>
      <w:r w:rsidRPr="004303E3">
        <w:rPr>
          <w:rFonts w:ascii="Corbel" w:hAnsi="Corbel"/>
          <w:color w:val="000000" w:themeColor="text1"/>
          <w:lang w:val="en-US"/>
        </w:rPr>
        <w:t xml:space="preserve">high interdependencies (that can be perceived at different degrees of intensity by each node of the network) between actors, which could bring to sharing resources owned by different actors, in terms of knowledge, financial, instrumental, and human resources </w:t>
      </w:r>
      <w:r w:rsidRPr="004303E3">
        <w:rPr>
          <w:rFonts w:ascii="Calibri" w:hAnsi="Calibri" w:cs="Calibri"/>
          <w:color w:val="000000" w:themeColor="text1"/>
          <w:lang w:val="en-US"/>
        </w:rPr>
        <w:t>﻿</w:t>
      </w:r>
      <w:r w:rsidRPr="004303E3">
        <w:rPr>
          <w:rFonts w:ascii="Corbel" w:hAnsi="Corbel"/>
          <w:color w:val="000000" w:themeColor="text1"/>
          <w:lang w:val="en-US"/>
        </w:rPr>
        <w:t>(</w:t>
      </w:r>
      <w:proofErr w:type="spellStart"/>
      <w:r w:rsidRPr="004303E3">
        <w:rPr>
          <w:rFonts w:ascii="Corbel" w:hAnsi="Corbel"/>
          <w:color w:val="000000" w:themeColor="text1"/>
          <w:lang w:val="en-US"/>
        </w:rPr>
        <w:t>Hanf</w:t>
      </w:r>
      <w:proofErr w:type="spellEnd"/>
      <w:r w:rsidRPr="004303E3">
        <w:rPr>
          <w:rFonts w:ascii="Corbel" w:hAnsi="Corbel"/>
          <w:color w:val="000000" w:themeColor="text1"/>
          <w:lang w:val="en-US"/>
        </w:rPr>
        <w:t xml:space="preserve"> </w:t>
      </w:r>
      <w:r w:rsidR="000B61D6" w:rsidRPr="004303E3">
        <w:rPr>
          <w:rFonts w:ascii="Corbel" w:hAnsi="Corbel"/>
          <w:color w:val="000000" w:themeColor="text1"/>
          <w:lang w:val="en-US"/>
        </w:rPr>
        <w:t>&amp;</w:t>
      </w:r>
      <w:r w:rsidRPr="004303E3">
        <w:rPr>
          <w:rFonts w:ascii="Corbel" w:hAnsi="Corbel"/>
          <w:color w:val="000000" w:themeColor="text1"/>
          <w:lang w:val="en-US"/>
        </w:rPr>
        <w:t xml:space="preserve"> </w:t>
      </w:r>
      <w:proofErr w:type="spellStart"/>
      <w:r w:rsidRPr="004303E3">
        <w:rPr>
          <w:rFonts w:ascii="Corbel" w:hAnsi="Corbel"/>
          <w:color w:val="000000" w:themeColor="text1"/>
          <w:lang w:val="en-US"/>
        </w:rPr>
        <w:t>Scharpf</w:t>
      </w:r>
      <w:proofErr w:type="spellEnd"/>
      <w:r w:rsidR="000B61D6" w:rsidRPr="004303E3">
        <w:rPr>
          <w:rFonts w:ascii="Corbel" w:hAnsi="Corbel"/>
          <w:color w:val="000000" w:themeColor="text1"/>
          <w:lang w:val="en-US"/>
        </w:rPr>
        <w:t>,</w:t>
      </w:r>
      <w:r w:rsidRPr="004303E3">
        <w:rPr>
          <w:rFonts w:ascii="Corbel" w:hAnsi="Corbel"/>
          <w:color w:val="000000" w:themeColor="text1"/>
          <w:lang w:val="en-US"/>
        </w:rPr>
        <w:t xml:space="preserve"> 1978</w:t>
      </w:r>
      <w:proofErr w:type="gramStart"/>
      <w:r w:rsidRPr="004303E3">
        <w:rPr>
          <w:rFonts w:ascii="Corbel" w:hAnsi="Corbel"/>
          <w:color w:val="000000" w:themeColor="text1"/>
          <w:lang w:val="en-US"/>
        </w:rPr>
        <w:t>);</w:t>
      </w:r>
      <w:proofErr w:type="gramEnd"/>
      <w:r w:rsidRPr="004303E3">
        <w:rPr>
          <w:rFonts w:ascii="Corbel" w:hAnsi="Corbel"/>
          <w:color w:val="000000" w:themeColor="text1"/>
          <w:lang w:val="en-US"/>
        </w:rPr>
        <w:t xml:space="preserve"> </w:t>
      </w:r>
    </w:p>
    <w:p w14:paraId="5C9A0EC6" w14:textId="13B02419" w:rsidR="00F67ADD" w:rsidRPr="004303E3" w:rsidRDefault="00F67ADD" w:rsidP="002F71BC">
      <w:pPr>
        <w:pStyle w:val="Paragrafoelenco"/>
        <w:numPr>
          <w:ilvl w:val="0"/>
          <w:numId w:val="35"/>
        </w:numPr>
        <w:spacing w:line="240" w:lineRule="auto"/>
        <w:jc w:val="both"/>
        <w:rPr>
          <w:rFonts w:ascii="Corbel" w:hAnsi="Corbel"/>
          <w:color w:val="000000" w:themeColor="text1"/>
          <w:lang w:val="en-US"/>
        </w:rPr>
      </w:pPr>
      <w:r w:rsidRPr="004303E3">
        <w:rPr>
          <w:rFonts w:ascii="Corbel" w:hAnsi="Corbel"/>
          <w:color w:val="000000" w:themeColor="text1"/>
          <w:lang w:val="en-US"/>
        </w:rPr>
        <w:t>complex interactions between actors because each actor may have different expectations and because each actor has its perception of problems, solutions, and strategies (</w:t>
      </w:r>
      <w:r w:rsidRPr="004303E3">
        <w:rPr>
          <w:rFonts w:ascii="Calibri" w:hAnsi="Calibri" w:cs="Calibri"/>
          <w:color w:val="000000" w:themeColor="text1"/>
          <w:lang w:val="en-US"/>
        </w:rPr>
        <w:t>﻿</w:t>
      </w:r>
      <w:proofErr w:type="spellStart"/>
      <w:r w:rsidRPr="004303E3">
        <w:rPr>
          <w:rFonts w:ascii="Corbel" w:hAnsi="Corbel"/>
          <w:color w:val="000000" w:themeColor="text1"/>
          <w:lang w:val="en-US"/>
        </w:rPr>
        <w:t>Hanf</w:t>
      </w:r>
      <w:proofErr w:type="spellEnd"/>
      <w:r w:rsidRPr="004303E3">
        <w:rPr>
          <w:rFonts w:ascii="Corbel" w:hAnsi="Corbel"/>
          <w:color w:val="000000" w:themeColor="text1"/>
          <w:lang w:val="en-US"/>
        </w:rPr>
        <w:t xml:space="preserve"> </w:t>
      </w:r>
      <w:r w:rsidR="000B61D6" w:rsidRPr="004303E3">
        <w:rPr>
          <w:rFonts w:ascii="Corbel" w:hAnsi="Corbel"/>
          <w:color w:val="000000" w:themeColor="text1"/>
          <w:lang w:val="en-US"/>
        </w:rPr>
        <w:t>&amp;</w:t>
      </w:r>
      <w:r w:rsidRPr="004303E3">
        <w:rPr>
          <w:rFonts w:ascii="Corbel" w:hAnsi="Corbel"/>
          <w:color w:val="000000" w:themeColor="text1"/>
          <w:lang w:val="en-US"/>
        </w:rPr>
        <w:t xml:space="preserve"> </w:t>
      </w:r>
      <w:proofErr w:type="spellStart"/>
      <w:r w:rsidRPr="004303E3">
        <w:rPr>
          <w:rFonts w:ascii="Corbel" w:hAnsi="Corbel"/>
          <w:color w:val="000000" w:themeColor="text1"/>
          <w:lang w:val="en-US"/>
        </w:rPr>
        <w:t>Scharpf</w:t>
      </w:r>
      <w:proofErr w:type="spellEnd"/>
      <w:r w:rsidR="000B61D6" w:rsidRPr="004303E3">
        <w:rPr>
          <w:rFonts w:ascii="Corbel" w:hAnsi="Corbel"/>
          <w:color w:val="000000" w:themeColor="text1"/>
          <w:lang w:val="en-US"/>
        </w:rPr>
        <w:t xml:space="preserve">, </w:t>
      </w:r>
      <w:r w:rsidRPr="004303E3">
        <w:rPr>
          <w:rFonts w:ascii="Corbel" w:hAnsi="Corbel"/>
          <w:color w:val="000000" w:themeColor="text1"/>
          <w:lang w:val="en-US"/>
        </w:rPr>
        <w:t xml:space="preserve">1978; </w:t>
      </w:r>
      <w:proofErr w:type="spellStart"/>
      <w:r w:rsidRPr="004303E3">
        <w:rPr>
          <w:rFonts w:ascii="Corbel" w:hAnsi="Corbel"/>
          <w:color w:val="000000" w:themeColor="text1"/>
          <w:lang w:val="en-US"/>
        </w:rPr>
        <w:t>Agranoff</w:t>
      </w:r>
      <w:proofErr w:type="spellEnd"/>
      <w:r w:rsidRPr="004303E3">
        <w:rPr>
          <w:rFonts w:ascii="Corbel" w:hAnsi="Corbel"/>
          <w:color w:val="000000" w:themeColor="text1"/>
          <w:lang w:val="en-US"/>
        </w:rPr>
        <w:t xml:space="preserve"> </w:t>
      </w:r>
      <w:r w:rsidR="000B61D6" w:rsidRPr="004303E3">
        <w:rPr>
          <w:rFonts w:ascii="Corbel" w:hAnsi="Corbel"/>
          <w:color w:val="000000" w:themeColor="text1"/>
          <w:lang w:val="en-US"/>
        </w:rPr>
        <w:t>&amp;</w:t>
      </w:r>
      <w:r w:rsidRPr="004303E3">
        <w:rPr>
          <w:rFonts w:ascii="Corbel" w:hAnsi="Corbel"/>
          <w:color w:val="000000" w:themeColor="text1"/>
          <w:lang w:val="en-US"/>
        </w:rPr>
        <w:t xml:space="preserve"> McGuire</w:t>
      </w:r>
      <w:r w:rsidR="000B61D6" w:rsidRPr="004303E3">
        <w:rPr>
          <w:rFonts w:ascii="Corbel" w:hAnsi="Corbel"/>
          <w:color w:val="000000" w:themeColor="text1"/>
          <w:lang w:val="en-US"/>
        </w:rPr>
        <w:t>,</w:t>
      </w:r>
      <w:r w:rsidRPr="004303E3">
        <w:rPr>
          <w:rFonts w:ascii="Corbel" w:hAnsi="Corbel"/>
          <w:color w:val="000000" w:themeColor="text1"/>
          <w:lang w:val="en-US"/>
        </w:rPr>
        <w:t xml:space="preserve"> 2003; McGuire </w:t>
      </w:r>
      <w:r w:rsidR="000B61D6" w:rsidRPr="004303E3">
        <w:rPr>
          <w:rFonts w:ascii="Corbel" w:hAnsi="Corbel"/>
          <w:color w:val="000000" w:themeColor="text1"/>
          <w:lang w:val="en-US"/>
        </w:rPr>
        <w:t>&amp;</w:t>
      </w:r>
      <w:r w:rsidRPr="004303E3">
        <w:rPr>
          <w:rFonts w:ascii="Corbel" w:hAnsi="Corbel"/>
          <w:color w:val="000000" w:themeColor="text1"/>
          <w:lang w:val="en-US"/>
        </w:rPr>
        <w:t xml:space="preserve"> </w:t>
      </w:r>
      <w:proofErr w:type="spellStart"/>
      <w:r w:rsidRPr="004303E3">
        <w:rPr>
          <w:rFonts w:ascii="Corbel" w:hAnsi="Corbel"/>
          <w:color w:val="000000" w:themeColor="text1"/>
          <w:lang w:val="en-US"/>
        </w:rPr>
        <w:t>Agranoff</w:t>
      </w:r>
      <w:proofErr w:type="spellEnd"/>
      <w:r w:rsidR="000B61D6" w:rsidRPr="004303E3">
        <w:rPr>
          <w:rFonts w:ascii="Corbel" w:hAnsi="Corbel"/>
          <w:color w:val="000000" w:themeColor="text1"/>
          <w:lang w:val="en-US"/>
        </w:rPr>
        <w:t>,</w:t>
      </w:r>
      <w:r w:rsidRPr="004303E3">
        <w:rPr>
          <w:rFonts w:ascii="Corbel" w:hAnsi="Corbel"/>
          <w:color w:val="000000" w:themeColor="text1"/>
          <w:lang w:val="en-US"/>
        </w:rPr>
        <w:t xml:space="preserve"> 2011).</w:t>
      </w:r>
    </w:p>
    <w:p w14:paraId="1D35A6EF" w14:textId="0C41BD75" w:rsidR="00F67ADD" w:rsidRPr="004303E3" w:rsidRDefault="00F67ADD" w:rsidP="002F71BC">
      <w:pPr>
        <w:jc w:val="both"/>
        <w:rPr>
          <w:rFonts w:ascii="Corbel" w:hAnsi="Corbel"/>
          <w:color w:val="000000" w:themeColor="text1"/>
          <w:sz w:val="22"/>
          <w:szCs w:val="22"/>
          <w:lang w:val="en-US"/>
        </w:rPr>
      </w:pPr>
      <w:r w:rsidRPr="004303E3">
        <w:rPr>
          <w:rFonts w:ascii="Corbel" w:hAnsi="Corbel"/>
          <w:color w:val="000000" w:themeColor="text1"/>
          <w:sz w:val="22"/>
          <w:szCs w:val="22"/>
          <w:lang w:val="en-US"/>
        </w:rPr>
        <w:t>I</w:t>
      </w:r>
      <w:proofErr w:type="spellStart"/>
      <w:r w:rsidRPr="004303E3">
        <w:rPr>
          <w:rFonts w:ascii="Corbel" w:hAnsi="Corbel"/>
          <w:color w:val="000000" w:themeColor="text1"/>
          <w:sz w:val="22"/>
          <w:szCs w:val="22"/>
          <w:lang w:val="en-GB"/>
        </w:rPr>
        <w:t>nternational</w:t>
      </w:r>
      <w:proofErr w:type="spellEnd"/>
      <w:r w:rsidRPr="004303E3">
        <w:rPr>
          <w:rFonts w:ascii="Corbel" w:hAnsi="Corbel"/>
          <w:color w:val="000000" w:themeColor="text1"/>
          <w:sz w:val="22"/>
          <w:szCs w:val="22"/>
          <w:lang w:val="en-GB"/>
        </w:rPr>
        <w:t xml:space="preserve"> organizations display the key characteristics of networks (Bingham </w:t>
      </w:r>
      <w:r w:rsidR="00124F6B" w:rsidRPr="004303E3">
        <w:rPr>
          <w:rFonts w:ascii="Corbel" w:hAnsi="Corbel"/>
          <w:color w:val="000000" w:themeColor="text1"/>
          <w:sz w:val="22"/>
          <w:szCs w:val="22"/>
          <w:lang w:val="en-GB"/>
        </w:rPr>
        <w:t>&amp;</w:t>
      </w:r>
      <w:r w:rsidRPr="004303E3">
        <w:rPr>
          <w:rFonts w:ascii="Corbel" w:hAnsi="Corbel"/>
          <w:color w:val="000000" w:themeColor="text1"/>
          <w:sz w:val="22"/>
          <w:szCs w:val="22"/>
          <w:lang w:val="en-GB"/>
        </w:rPr>
        <w:t xml:space="preserve"> O’Leary, 2007; Rhodes</w:t>
      </w:r>
      <w:r w:rsidR="00124F6B" w:rsidRPr="004303E3">
        <w:rPr>
          <w:rFonts w:ascii="Corbel" w:hAnsi="Corbel"/>
          <w:color w:val="000000" w:themeColor="text1"/>
          <w:sz w:val="22"/>
          <w:szCs w:val="22"/>
          <w:lang w:val="en-GB"/>
        </w:rPr>
        <w:t>,</w:t>
      </w:r>
      <w:r w:rsidRPr="004303E3">
        <w:rPr>
          <w:rFonts w:ascii="Corbel" w:hAnsi="Corbel"/>
          <w:color w:val="000000" w:themeColor="text1"/>
          <w:sz w:val="22"/>
          <w:szCs w:val="22"/>
          <w:lang w:val="en-GB"/>
        </w:rPr>
        <w:t xml:space="preserve"> 199</w:t>
      </w:r>
      <w:r w:rsidR="006C2BD6">
        <w:rPr>
          <w:rFonts w:ascii="Corbel" w:hAnsi="Corbel"/>
          <w:color w:val="000000" w:themeColor="text1"/>
          <w:sz w:val="22"/>
          <w:szCs w:val="22"/>
          <w:lang w:val="en-GB"/>
        </w:rPr>
        <w:t>6</w:t>
      </w:r>
      <w:r w:rsidR="00124F6B" w:rsidRPr="004303E3">
        <w:rPr>
          <w:rFonts w:ascii="Corbel" w:hAnsi="Corbel"/>
          <w:color w:val="000000" w:themeColor="text1"/>
          <w:sz w:val="22"/>
          <w:szCs w:val="22"/>
          <w:lang w:val="en-GB"/>
        </w:rPr>
        <w:t>;</w:t>
      </w:r>
      <w:r w:rsidRPr="004303E3">
        <w:rPr>
          <w:rFonts w:ascii="Corbel" w:hAnsi="Corbel"/>
          <w:color w:val="000000" w:themeColor="text1"/>
          <w:sz w:val="22"/>
          <w:szCs w:val="22"/>
          <w:lang w:val="en-GB"/>
        </w:rPr>
        <w:t xml:space="preserve"> </w:t>
      </w:r>
      <w:proofErr w:type="spellStart"/>
      <w:r w:rsidRPr="004303E3">
        <w:rPr>
          <w:rFonts w:ascii="Corbel" w:hAnsi="Corbel"/>
          <w:color w:val="000000" w:themeColor="text1"/>
          <w:sz w:val="22"/>
          <w:szCs w:val="22"/>
          <w:lang w:val="en-GB"/>
        </w:rPr>
        <w:t>Klijn</w:t>
      </w:r>
      <w:proofErr w:type="spellEnd"/>
      <w:r w:rsidRPr="004303E3">
        <w:rPr>
          <w:rFonts w:ascii="Corbel" w:hAnsi="Corbel"/>
          <w:color w:val="000000" w:themeColor="text1"/>
          <w:sz w:val="22"/>
          <w:szCs w:val="22"/>
          <w:lang w:val="en-GB"/>
        </w:rPr>
        <w:t xml:space="preserve"> </w:t>
      </w:r>
      <w:r w:rsidR="00124F6B" w:rsidRPr="004303E3">
        <w:rPr>
          <w:rFonts w:ascii="Corbel" w:hAnsi="Corbel"/>
          <w:color w:val="000000" w:themeColor="text1"/>
          <w:sz w:val="22"/>
          <w:szCs w:val="22"/>
          <w:lang w:val="en-GB"/>
        </w:rPr>
        <w:t>&amp;</w:t>
      </w:r>
      <w:r w:rsidRPr="004303E3">
        <w:rPr>
          <w:rFonts w:ascii="Corbel" w:hAnsi="Corbel"/>
          <w:color w:val="000000" w:themeColor="text1"/>
          <w:sz w:val="22"/>
          <w:szCs w:val="22"/>
          <w:lang w:val="en-GB"/>
        </w:rPr>
        <w:t xml:space="preserve"> </w:t>
      </w:r>
      <w:proofErr w:type="spellStart"/>
      <w:r w:rsidRPr="004303E3">
        <w:rPr>
          <w:rFonts w:ascii="Corbel" w:hAnsi="Corbel"/>
          <w:color w:val="000000" w:themeColor="text1"/>
          <w:sz w:val="22"/>
          <w:szCs w:val="22"/>
          <w:lang w:val="en-GB"/>
        </w:rPr>
        <w:t>Teisman</w:t>
      </w:r>
      <w:proofErr w:type="spellEnd"/>
      <w:r w:rsidR="00124F6B" w:rsidRPr="004303E3">
        <w:rPr>
          <w:rFonts w:ascii="Corbel" w:hAnsi="Corbel"/>
          <w:color w:val="000000" w:themeColor="text1"/>
          <w:sz w:val="22"/>
          <w:szCs w:val="22"/>
          <w:lang w:val="en-GB"/>
        </w:rPr>
        <w:t>,</w:t>
      </w:r>
      <w:r w:rsidRPr="004303E3">
        <w:rPr>
          <w:rFonts w:ascii="Corbel" w:hAnsi="Corbel"/>
          <w:color w:val="000000" w:themeColor="text1"/>
          <w:sz w:val="22"/>
          <w:szCs w:val="22"/>
          <w:lang w:val="en-GB"/>
        </w:rPr>
        <w:t xml:space="preserve"> 1997; </w:t>
      </w:r>
      <w:proofErr w:type="spellStart"/>
      <w:r w:rsidRPr="004303E3">
        <w:rPr>
          <w:rFonts w:ascii="Corbel" w:hAnsi="Corbel"/>
          <w:color w:val="000000" w:themeColor="text1"/>
          <w:sz w:val="22"/>
          <w:szCs w:val="22"/>
          <w:lang w:val="en-GB"/>
        </w:rPr>
        <w:t>Agranoff</w:t>
      </w:r>
      <w:proofErr w:type="spellEnd"/>
      <w:r w:rsidR="00124F6B" w:rsidRPr="004303E3">
        <w:rPr>
          <w:rFonts w:ascii="Corbel" w:hAnsi="Corbel"/>
          <w:color w:val="000000" w:themeColor="text1"/>
          <w:sz w:val="22"/>
          <w:szCs w:val="22"/>
          <w:lang w:val="en-GB"/>
        </w:rPr>
        <w:t>,</w:t>
      </w:r>
      <w:r w:rsidRPr="004303E3">
        <w:rPr>
          <w:rFonts w:ascii="Corbel" w:hAnsi="Corbel"/>
          <w:color w:val="000000" w:themeColor="text1"/>
          <w:sz w:val="22"/>
          <w:szCs w:val="22"/>
          <w:lang w:val="en-GB"/>
        </w:rPr>
        <w:t xml:space="preserve"> 2003). Among them:</w:t>
      </w:r>
    </w:p>
    <w:p w14:paraId="2E51F2F8" w14:textId="3561A4A3" w:rsidR="00F67ADD" w:rsidRPr="004303E3" w:rsidRDefault="00124F6B" w:rsidP="00124F6B">
      <w:pPr>
        <w:pStyle w:val="Paragrafoelenco"/>
        <w:numPr>
          <w:ilvl w:val="0"/>
          <w:numId w:val="1"/>
        </w:numPr>
        <w:spacing w:line="240" w:lineRule="auto"/>
        <w:jc w:val="both"/>
        <w:rPr>
          <w:rFonts w:ascii="Corbel" w:hAnsi="Corbel"/>
          <w:color w:val="000000" w:themeColor="text1"/>
          <w:lang w:val="en-GB"/>
        </w:rPr>
      </w:pPr>
      <w:r w:rsidRPr="004303E3">
        <w:rPr>
          <w:rFonts w:ascii="Corbel" w:hAnsi="Corbel"/>
          <w:color w:val="000000" w:themeColor="text1"/>
          <w:lang w:val="en-GB"/>
        </w:rPr>
        <w:t>I</w:t>
      </w:r>
      <w:r w:rsidR="00F67ADD" w:rsidRPr="004303E3">
        <w:rPr>
          <w:rFonts w:ascii="Corbel" w:hAnsi="Corbel"/>
          <w:color w:val="000000" w:themeColor="text1"/>
          <w:lang w:val="en-GB"/>
        </w:rPr>
        <w:t xml:space="preserve">nternational organizations are composed of other organizations (nation-states), each with its interests and objectives that </w:t>
      </w:r>
      <w:proofErr w:type="gramStart"/>
      <w:r w:rsidR="00F67ADD" w:rsidRPr="004303E3">
        <w:rPr>
          <w:rFonts w:ascii="Corbel" w:hAnsi="Corbel"/>
          <w:color w:val="000000" w:themeColor="text1"/>
          <w:lang w:val="en-GB"/>
        </w:rPr>
        <w:t>have to</w:t>
      </w:r>
      <w:proofErr w:type="gramEnd"/>
      <w:r w:rsidR="00F67ADD" w:rsidRPr="004303E3">
        <w:rPr>
          <w:rFonts w:ascii="Corbel" w:hAnsi="Corbel"/>
          <w:color w:val="000000" w:themeColor="text1"/>
          <w:lang w:val="en-GB"/>
        </w:rPr>
        <w:t xml:space="preserve"> be met</w:t>
      </w:r>
      <w:r w:rsidRPr="004303E3">
        <w:rPr>
          <w:rFonts w:ascii="Corbel" w:hAnsi="Corbel"/>
          <w:color w:val="000000" w:themeColor="text1"/>
          <w:lang w:val="en-GB"/>
        </w:rPr>
        <w:t>.</w:t>
      </w:r>
      <w:r w:rsidR="00F67ADD" w:rsidRPr="004303E3">
        <w:rPr>
          <w:rFonts w:ascii="Corbel" w:hAnsi="Corbel"/>
          <w:color w:val="000000" w:themeColor="text1"/>
          <w:lang w:val="en-GB"/>
        </w:rPr>
        <w:t xml:space="preserve"> </w:t>
      </w:r>
    </w:p>
    <w:p w14:paraId="18E2ED43" w14:textId="77777777" w:rsidR="00F67ADD" w:rsidRPr="004303E3" w:rsidRDefault="00F67ADD" w:rsidP="002F71BC">
      <w:pPr>
        <w:pStyle w:val="Paragrafoelenco"/>
        <w:numPr>
          <w:ilvl w:val="0"/>
          <w:numId w:val="1"/>
        </w:numPr>
        <w:spacing w:line="240" w:lineRule="auto"/>
        <w:jc w:val="both"/>
        <w:rPr>
          <w:rFonts w:ascii="Corbel" w:hAnsi="Corbel"/>
          <w:color w:val="000000" w:themeColor="text1"/>
          <w:lang w:val="en-GB"/>
        </w:rPr>
      </w:pPr>
      <w:r w:rsidRPr="004303E3">
        <w:rPr>
          <w:rFonts w:ascii="Corbel" w:hAnsi="Corbel"/>
          <w:color w:val="000000" w:themeColor="text1"/>
          <w:lang w:val="en-GB"/>
        </w:rPr>
        <w:t xml:space="preserve">Both common and different missions exist. Hence, states' missions can at any time clash with the mission of the entire network / international </w:t>
      </w:r>
      <w:proofErr w:type="gramStart"/>
      <w:r w:rsidRPr="004303E3">
        <w:rPr>
          <w:rFonts w:ascii="Corbel" w:hAnsi="Corbel"/>
          <w:color w:val="000000" w:themeColor="text1"/>
          <w:lang w:val="en-GB"/>
        </w:rPr>
        <w:t>organization;</w:t>
      </w:r>
      <w:proofErr w:type="gramEnd"/>
      <w:r w:rsidRPr="004303E3">
        <w:rPr>
          <w:rFonts w:ascii="Corbel" w:hAnsi="Corbel"/>
          <w:color w:val="000000" w:themeColor="text1"/>
          <w:lang w:val="en-GB"/>
        </w:rPr>
        <w:t xml:space="preserve"> </w:t>
      </w:r>
    </w:p>
    <w:p w14:paraId="54B4DCA9" w14:textId="77777777" w:rsidR="00F67ADD" w:rsidRPr="004303E3" w:rsidRDefault="00F67ADD" w:rsidP="002F71BC">
      <w:pPr>
        <w:pStyle w:val="Paragrafoelenco"/>
        <w:numPr>
          <w:ilvl w:val="0"/>
          <w:numId w:val="1"/>
        </w:numPr>
        <w:spacing w:line="240" w:lineRule="auto"/>
        <w:jc w:val="both"/>
        <w:rPr>
          <w:rFonts w:ascii="Corbel" w:hAnsi="Corbel"/>
          <w:color w:val="000000" w:themeColor="text1"/>
          <w:lang w:val="en-GB"/>
        </w:rPr>
      </w:pPr>
      <w:r w:rsidRPr="004303E3">
        <w:rPr>
          <w:rFonts w:ascii="Corbel" w:hAnsi="Corbel"/>
          <w:color w:val="000000" w:themeColor="text1"/>
          <w:lang w:val="en-GB"/>
        </w:rPr>
        <w:t xml:space="preserve">Diversity among network members' cultures exist which may present conflict management challenges within the network </w:t>
      </w:r>
      <w:proofErr w:type="gramStart"/>
      <w:r w:rsidRPr="004303E3">
        <w:rPr>
          <w:rFonts w:ascii="Corbel" w:hAnsi="Corbel"/>
          <w:color w:val="000000" w:themeColor="text1"/>
          <w:lang w:val="en-GB"/>
        </w:rPr>
        <w:t>itself;</w:t>
      </w:r>
      <w:proofErr w:type="gramEnd"/>
      <w:r w:rsidRPr="004303E3">
        <w:rPr>
          <w:rFonts w:ascii="Corbel" w:hAnsi="Corbel"/>
          <w:color w:val="000000" w:themeColor="text1"/>
          <w:lang w:val="en-GB"/>
        </w:rPr>
        <w:t xml:space="preserve"> </w:t>
      </w:r>
    </w:p>
    <w:p w14:paraId="39821783" w14:textId="77777777" w:rsidR="00F67ADD" w:rsidRPr="004303E3" w:rsidRDefault="00F67ADD" w:rsidP="002F71BC">
      <w:pPr>
        <w:pStyle w:val="Paragrafoelenco"/>
        <w:numPr>
          <w:ilvl w:val="0"/>
          <w:numId w:val="1"/>
        </w:numPr>
        <w:spacing w:line="240" w:lineRule="auto"/>
        <w:jc w:val="both"/>
        <w:rPr>
          <w:rFonts w:ascii="Corbel" w:hAnsi="Corbel"/>
          <w:color w:val="000000" w:themeColor="text1"/>
          <w:lang w:val="en-GB"/>
        </w:rPr>
      </w:pPr>
      <w:r w:rsidRPr="004303E3">
        <w:rPr>
          <w:rFonts w:ascii="Corbel" w:hAnsi="Corbel"/>
          <w:color w:val="000000" w:themeColor="text1"/>
          <w:lang w:val="en-GB"/>
        </w:rPr>
        <w:lastRenderedPageBreak/>
        <w:t xml:space="preserve">Different methods of operation, diverse degrees of hierarchy and management control exist, which may affect what a network can and cannot achieve and the speed at which it is </w:t>
      </w:r>
      <w:proofErr w:type="gramStart"/>
      <w:r w:rsidRPr="004303E3">
        <w:rPr>
          <w:rFonts w:ascii="Corbel" w:hAnsi="Corbel"/>
          <w:color w:val="000000" w:themeColor="text1"/>
          <w:lang w:val="en-GB"/>
        </w:rPr>
        <w:t>accomplished;</w:t>
      </w:r>
      <w:proofErr w:type="gramEnd"/>
      <w:r w:rsidRPr="004303E3">
        <w:rPr>
          <w:rFonts w:ascii="Corbel" w:hAnsi="Corbel"/>
          <w:color w:val="000000" w:themeColor="text1"/>
          <w:lang w:val="en-GB"/>
        </w:rPr>
        <w:t xml:space="preserve"> </w:t>
      </w:r>
    </w:p>
    <w:p w14:paraId="4ECCC771" w14:textId="77777777" w:rsidR="00F67ADD" w:rsidRPr="004303E3" w:rsidRDefault="00F67ADD" w:rsidP="002F71BC">
      <w:pPr>
        <w:pStyle w:val="Paragrafoelenco"/>
        <w:numPr>
          <w:ilvl w:val="0"/>
          <w:numId w:val="1"/>
        </w:numPr>
        <w:spacing w:line="240" w:lineRule="auto"/>
        <w:jc w:val="both"/>
        <w:rPr>
          <w:rFonts w:ascii="Corbel" w:hAnsi="Corbel"/>
          <w:color w:val="000000" w:themeColor="text1"/>
          <w:lang w:val="en-GB"/>
        </w:rPr>
      </w:pPr>
      <w:r w:rsidRPr="004303E3">
        <w:rPr>
          <w:rFonts w:ascii="Corbel" w:hAnsi="Corbel"/>
          <w:color w:val="000000" w:themeColor="text1"/>
          <w:lang w:val="en-GB"/>
        </w:rPr>
        <w:t xml:space="preserve">Network members have different stakeholder groups and different </w:t>
      </w:r>
      <w:proofErr w:type="gramStart"/>
      <w:r w:rsidRPr="004303E3">
        <w:rPr>
          <w:rFonts w:ascii="Corbel" w:hAnsi="Corbel"/>
          <w:color w:val="000000" w:themeColor="text1"/>
          <w:lang w:val="en-GB"/>
        </w:rPr>
        <w:t>funders;</w:t>
      </w:r>
      <w:proofErr w:type="gramEnd"/>
      <w:r w:rsidRPr="004303E3">
        <w:rPr>
          <w:rFonts w:ascii="Corbel" w:hAnsi="Corbel"/>
          <w:color w:val="000000" w:themeColor="text1"/>
          <w:lang w:val="en-GB"/>
        </w:rPr>
        <w:t xml:space="preserve"> </w:t>
      </w:r>
    </w:p>
    <w:p w14:paraId="210C2580" w14:textId="77777777" w:rsidR="00F67ADD" w:rsidRPr="004303E3" w:rsidRDefault="00F67ADD" w:rsidP="002F71BC">
      <w:pPr>
        <w:pStyle w:val="Paragrafoelenco"/>
        <w:numPr>
          <w:ilvl w:val="0"/>
          <w:numId w:val="1"/>
        </w:numPr>
        <w:spacing w:line="240" w:lineRule="auto"/>
        <w:jc w:val="both"/>
        <w:rPr>
          <w:rFonts w:ascii="Corbel" w:hAnsi="Corbel"/>
          <w:color w:val="000000" w:themeColor="text1"/>
          <w:lang w:val="en-GB"/>
        </w:rPr>
      </w:pPr>
      <w:r w:rsidRPr="004303E3">
        <w:rPr>
          <w:rFonts w:ascii="Corbel" w:hAnsi="Corbel"/>
          <w:color w:val="000000" w:themeColor="text1"/>
          <w:lang w:val="en-GB"/>
        </w:rPr>
        <w:t xml:space="preserve">Network members have different degrees of power, despite network rules which may give an equal vote to each </w:t>
      </w:r>
      <w:proofErr w:type="gramStart"/>
      <w:r w:rsidRPr="004303E3">
        <w:rPr>
          <w:rFonts w:ascii="Corbel" w:hAnsi="Corbel"/>
          <w:color w:val="000000" w:themeColor="text1"/>
          <w:lang w:val="en-GB"/>
        </w:rPr>
        <w:t>member;</w:t>
      </w:r>
      <w:proofErr w:type="gramEnd"/>
      <w:r w:rsidRPr="004303E3">
        <w:rPr>
          <w:rFonts w:ascii="Corbel" w:hAnsi="Corbel"/>
          <w:color w:val="000000" w:themeColor="text1"/>
          <w:lang w:val="en-GB"/>
        </w:rPr>
        <w:t xml:space="preserve"> </w:t>
      </w:r>
    </w:p>
    <w:p w14:paraId="6A07651B" w14:textId="77777777" w:rsidR="00F67ADD" w:rsidRPr="004303E3" w:rsidRDefault="00F67ADD" w:rsidP="002F71BC">
      <w:pPr>
        <w:pStyle w:val="Paragrafoelenco"/>
        <w:numPr>
          <w:ilvl w:val="0"/>
          <w:numId w:val="1"/>
        </w:numPr>
        <w:spacing w:line="240" w:lineRule="auto"/>
        <w:jc w:val="both"/>
        <w:rPr>
          <w:rFonts w:ascii="Corbel" w:hAnsi="Corbel"/>
          <w:color w:val="000000" w:themeColor="text1"/>
          <w:lang w:val="en-GB"/>
        </w:rPr>
      </w:pPr>
      <w:r w:rsidRPr="004303E3">
        <w:rPr>
          <w:rFonts w:ascii="Corbel" w:hAnsi="Corbel"/>
          <w:color w:val="000000" w:themeColor="text1"/>
          <w:lang w:val="en-GB"/>
        </w:rPr>
        <w:t xml:space="preserve">Networks typically are formed to address multiple issues and complex problems that are not easily solved by one </w:t>
      </w:r>
      <w:proofErr w:type="gramStart"/>
      <w:r w:rsidRPr="004303E3">
        <w:rPr>
          <w:rFonts w:ascii="Corbel" w:hAnsi="Corbel"/>
          <w:color w:val="000000" w:themeColor="text1"/>
          <w:lang w:val="en-GB"/>
        </w:rPr>
        <w:t>nation-state;</w:t>
      </w:r>
      <w:proofErr w:type="gramEnd"/>
    </w:p>
    <w:p w14:paraId="38BEB332" w14:textId="77777777" w:rsidR="00F67ADD" w:rsidRPr="004303E3" w:rsidRDefault="00F67ADD" w:rsidP="002F71BC">
      <w:pPr>
        <w:pStyle w:val="Paragrafoelenco"/>
        <w:numPr>
          <w:ilvl w:val="0"/>
          <w:numId w:val="1"/>
        </w:numPr>
        <w:spacing w:line="240" w:lineRule="auto"/>
        <w:jc w:val="both"/>
        <w:rPr>
          <w:rFonts w:ascii="Corbel" w:hAnsi="Corbel"/>
          <w:color w:val="000000" w:themeColor="text1"/>
          <w:lang w:val="en-GB"/>
        </w:rPr>
      </w:pPr>
      <w:r w:rsidRPr="004303E3">
        <w:rPr>
          <w:rFonts w:ascii="Corbel" w:hAnsi="Corbel"/>
          <w:color w:val="000000" w:themeColor="text1"/>
          <w:lang w:val="en-GB"/>
        </w:rPr>
        <w:t xml:space="preserve">Interdependency regarding the distribution of resources between various network members, the goals they pursue and their perceptions of their resource </w:t>
      </w:r>
      <w:proofErr w:type="gramStart"/>
      <w:r w:rsidRPr="004303E3">
        <w:rPr>
          <w:rFonts w:ascii="Corbel" w:hAnsi="Corbel"/>
          <w:color w:val="000000" w:themeColor="text1"/>
          <w:lang w:val="en-GB"/>
        </w:rPr>
        <w:t>dependencies;</w:t>
      </w:r>
      <w:proofErr w:type="gramEnd"/>
      <w:r w:rsidRPr="004303E3">
        <w:rPr>
          <w:rFonts w:ascii="Corbel" w:hAnsi="Corbel"/>
          <w:color w:val="000000" w:themeColor="text1"/>
          <w:lang w:val="en-GB"/>
        </w:rPr>
        <w:t xml:space="preserve"> </w:t>
      </w:r>
    </w:p>
    <w:p w14:paraId="06ED5EB5" w14:textId="77777777" w:rsidR="00F67ADD" w:rsidRPr="004303E3" w:rsidRDefault="00F67ADD" w:rsidP="002F71BC">
      <w:pPr>
        <w:pStyle w:val="Paragrafoelenco"/>
        <w:numPr>
          <w:ilvl w:val="0"/>
          <w:numId w:val="1"/>
        </w:numPr>
        <w:spacing w:line="240" w:lineRule="auto"/>
        <w:jc w:val="both"/>
        <w:rPr>
          <w:rFonts w:ascii="Corbel" w:hAnsi="Corbel"/>
          <w:color w:val="000000" w:themeColor="text1"/>
          <w:lang w:val="en-GB"/>
        </w:rPr>
      </w:pPr>
      <w:r w:rsidRPr="004303E3">
        <w:rPr>
          <w:rFonts w:ascii="Corbel" w:hAnsi="Corbel"/>
          <w:color w:val="000000" w:themeColor="text1"/>
          <w:lang w:val="en-GB"/>
        </w:rPr>
        <w:t xml:space="preserve">There are continuing interactions among network members to exchange resources and negotiate shared purposes. </w:t>
      </w:r>
    </w:p>
    <w:p w14:paraId="5B56FB8D" w14:textId="77777777" w:rsidR="00F67ADD" w:rsidRPr="004303E3" w:rsidRDefault="00F67ADD" w:rsidP="002F71BC">
      <w:pPr>
        <w:jc w:val="both"/>
        <w:rPr>
          <w:rFonts w:ascii="Corbel" w:hAnsi="Corbel"/>
          <w:color w:val="000000" w:themeColor="text1"/>
          <w:sz w:val="22"/>
          <w:szCs w:val="22"/>
          <w:lang w:val="en-GB"/>
        </w:rPr>
      </w:pPr>
      <w:r w:rsidRPr="004303E3">
        <w:rPr>
          <w:rFonts w:ascii="Corbel" w:hAnsi="Corbel"/>
          <w:color w:val="000000" w:themeColor="text1"/>
          <w:sz w:val="22"/>
          <w:szCs w:val="22"/>
          <w:lang w:val="en-US"/>
        </w:rPr>
        <w:t>Considering international organizations, the concept of networks can be applied at two different levels. The first level focuses on networks in which international organizations are members. In this case, the international organization is a network member. The second level brings us in considering the international organization as a network of organizations where the nation-states are the network nodes. This perspective will be the one assumed in our analysis and within the forthcoming case study on European Union.</w:t>
      </w:r>
    </w:p>
    <w:p w14:paraId="32FD3A19" w14:textId="7DF5C1F3" w:rsidR="00F67ADD" w:rsidRPr="004303E3" w:rsidRDefault="00F67ADD" w:rsidP="002F71BC">
      <w:pPr>
        <w:jc w:val="both"/>
        <w:rPr>
          <w:rFonts w:ascii="Corbel" w:hAnsi="Corbel"/>
          <w:color w:val="000000" w:themeColor="text1"/>
          <w:sz w:val="22"/>
          <w:szCs w:val="22"/>
          <w:lang w:val="en-GB"/>
        </w:rPr>
      </w:pPr>
      <w:r w:rsidRPr="004303E3">
        <w:rPr>
          <w:rFonts w:ascii="Corbel" w:hAnsi="Corbel"/>
          <w:color w:val="000000" w:themeColor="text1"/>
          <w:sz w:val="22"/>
          <w:szCs w:val="22"/>
          <w:lang w:val="en-GB"/>
        </w:rPr>
        <w:t>As we know from the literature, network governance is one of the most investigated issues in such collaborative environment (</w:t>
      </w:r>
      <w:proofErr w:type="spellStart"/>
      <w:r w:rsidRPr="004303E3">
        <w:rPr>
          <w:rFonts w:ascii="Corbel" w:hAnsi="Corbel"/>
          <w:color w:val="000000" w:themeColor="text1"/>
          <w:sz w:val="22"/>
          <w:szCs w:val="22"/>
          <w:lang w:val="en-GB"/>
        </w:rPr>
        <w:t>Keast</w:t>
      </w:r>
      <w:proofErr w:type="spellEnd"/>
      <w:r w:rsidRPr="004303E3">
        <w:rPr>
          <w:rFonts w:ascii="Corbel" w:hAnsi="Corbel"/>
          <w:color w:val="000000" w:themeColor="text1"/>
          <w:sz w:val="22"/>
          <w:szCs w:val="22"/>
          <w:lang w:val="en-GB"/>
        </w:rPr>
        <w:t xml:space="preserve"> et al.</w:t>
      </w:r>
      <w:r w:rsidR="00124F6B" w:rsidRPr="004303E3">
        <w:rPr>
          <w:rFonts w:ascii="Corbel" w:hAnsi="Corbel"/>
          <w:color w:val="000000" w:themeColor="text1"/>
          <w:sz w:val="22"/>
          <w:szCs w:val="22"/>
          <w:lang w:val="en-GB"/>
        </w:rPr>
        <w:t>,</w:t>
      </w:r>
      <w:r w:rsidRPr="004303E3">
        <w:rPr>
          <w:rFonts w:ascii="Corbel" w:hAnsi="Corbel"/>
          <w:color w:val="000000" w:themeColor="text1"/>
          <w:sz w:val="22"/>
          <w:szCs w:val="22"/>
          <w:lang w:val="en-GB"/>
        </w:rPr>
        <w:t xml:space="preserve"> 2014; </w:t>
      </w:r>
      <w:proofErr w:type="spellStart"/>
      <w:r w:rsidRPr="004303E3">
        <w:rPr>
          <w:rFonts w:ascii="Corbel" w:hAnsi="Corbel"/>
          <w:color w:val="000000" w:themeColor="text1"/>
          <w:sz w:val="22"/>
          <w:szCs w:val="22"/>
          <w:lang w:val="en-GB"/>
        </w:rPr>
        <w:t>Klijn</w:t>
      </w:r>
      <w:proofErr w:type="spellEnd"/>
      <w:r w:rsidRPr="004303E3">
        <w:rPr>
          <w:rFonts w:ascii="Corbel" w:hAnsi="Corbel"/>
          <w:color w:val="000000" w:themeColor="text1"/>
          <w:sz w:val="22"/>
          <w:szCs w:val="22"/>
          <w:lang w:val="en-GB"/>
        </w:rPr>
        <w:t xml:space="preserve"> &amp; </w:t>
      </w:r>
      <w:proofErr w:type="spellStart"/>
      <w:r w:rsidRPr="004303E3">
        <w:rPr>
          <w:rFonts w:ascii="Corbel" w:hAnsi="Corbel"/>
          <w:color w:val="000000" w:themeColor="text1"/>
          <w:sz w:val="22"/>
          <w:szCs w:val="22"/>
          <w:lang w:val="en-GB"/>
        </w:rPr>
        <w:t>Koppenjan</w:t>
      </w:r>
      <w:proofErr w:type="spellEnd"/>
      <w:r w:rsidRPr="004303E3">
        <w:rPr>
          <w:rFonts w:ascii="Corbel" w:hAnsi="Corbel"/>
          <w:color w:val="000000" w:themeColor="text1"/>
          <w:sz w:val="22"/>
          <w:szCs w:val="22"/>
          <w:lang w:val="en-GB"/>
        </w:rPr>
        <w:t xml:space="preserve">, 2016). In 2007, </w:t>
      </w:r>
      <w:proofErr w:type="spellStart"/>
      <w:r w:rsidRPr="004303E3">
        <w:rPr>
          <w:rFonts w:ascii="Corbel" w:hAnsi="Corbel"/>
          <w:color w:val="000000" w:themeColor="text1"/>
          <w:sz w:val="22"/>
          <w:szCs w:val="22"/>
          <w:lang w:val="en-GB"/>
        </w:rPr>
        <w:t>Provan</w:t>
      </w:r>
      <w:proofErr w:type="spellEnd"/>
      <w:r w:rsidRPr="004303E3">
        <w:rPr>
          <w:rFonts w:ascii="Corbel" w:hAnsi="Corbel"/>
          <w:color w:val="000000" w:themeColor="text1"/>
          <w:sz w:val="22"/>
          <w:szCs w:val="22"/>
          <w:lang w:val="en-GB"/>
        </w:rPr>
        <w:t xml:space="preserve"> and </w:t>
      </w:r>
      <w:proofErr w:type="spellStart"/>
      <w:r w:rsidRPr="004303E3">
        <w:rPr>
          <w:rFonts w:ascii="Corbel" w:hAnsi="Corbel"/>
          <w:color w:val="000000" w:themeColor="text1"/>
          <w:sz w:val="22"/>
          <w:szCs w:val="22"/>
          <w:lang w:val="en-GB"/>
        </w:rPr>
        <w:t>Kenis</w:t>
      </w:r>
      <w:proofErr w:type="spellEnd"/>
      <w:r w:rsidRPr="004303E3">
        <w:rPr>
          <w:rFonts w:ascii="Corbel" w:hAnsi="Corbel"/>
          <w:color w:val="000000" w:themeColor="text1"/>
          <w:sz w:val="22"/>
          <w:szCs w:val="22"/>
          <w:lang w:val="en-GB"/>
        </w:rPr>
        <w:t xml:space="preserve"> have categorized three different governance models of inter-organizational networks that can be helpful in the identification of similarities among networks and how international organizations’ work. </w:t>
      </w:r>
    </w:p>
    <w:p w14:paraId="37AA9DCF" w14:textId="0B0C7DDD" w:rsidR="00F67ADD" w:rsidRPr="004303E3" w:rsidRDefault="003B3FCE" w:rsidP="002F71BC">
      <w:pPr>
        <w:jc w:val="both"/>
        <w:rPr>
          <w:rFonts w:ascii="Corbel" w:hAnsi="Corbel"/>
          <w:color w:val="000000" w:themeColor="text1"/>
          <w:sz w:val="22"/>
          <w:szCs w:val="22"/>
          <w:lang w:val="en-GB"/>
        </w:rPr>
      </w:pPr>
      <w:r w:rsidRPr="004303E3">
        <w:rPr>
          <w:rFonts w:ascii="Corbel" w:hAnsi="Corbel"/>
          <w:color w:val="000000" w:themeColor="text1"/>
          <w:sz w:val="22"/>
          <w:szCs w:val="22"/>
          <w:lang w:val="en-GB"/>
        </w:rPr>
        <w:t>First</w:t>
      </w:r>
      <w:r w:rsidR="00F67ADD" w:rsidRPr="004303E3">
        <w:rPr>
          <w:rFonts w:ascii="Corbel" w:hAnsi="Corbel"/>
          <w:color w:val="000000" w:themeColor="text1"/>
          <w:sz w:val="22"/>
          <w:szCs w:val="22"/>
          <w:lang w:val="en-GB"/>
        </w:rPr>
        <w:t xml:space="preserve">, network governance may or may not be brokered. In the first case, the network can be brokered by all the organizations involved, as peers, or by an organization or a small group of members whose act as leaders. When all the organizations participate in network governance, we can refer to a “shared governance”. Instead, when the network is characterized by the presence of a stronger organization (or a small group of organizations) with enough power and resources to lead the network, we can refer to the “lead-governance” model. Naturally, there is a trade-off between these two models, moving from a highly decentralized form in the shared-governance, to a more centralized one in the lead-governance model. To summarize, the two governance models differ in the level of centralization of management and the degree of inclusiveness/participation of the government entity in the network itself (Moretti, 2017). </w:t>
      </w:r>
    </w:p>
    <w:p w14:paraId="2774E80A" w14:textId="55611329" w:rsidR="00F67ADD" w:rsidRPr="004303E3" w:rsidRDefault="00F67ADD" w:rsidP="002F71BC">
      <w:pPr>
        <w:jc w:val="both"/>
        <w:rPr>
          <w:rFonts w:ascii="Corbel" w:hAnsi="Corbel"/>
          <w:color w:val="000000" w:themeColor="text1"/>
          <w:sz w:val="22"/>
          <w:szCs w:val="22"/>
          <w:lang w:val="en-GB"/>
        </w:rPr>
      </w:pPr>
      <w:r w:rsidRPr="004303E3">
        <w:rPr>
          <w:rFonts w:ascii="Corbel" w:hAnsi="Corbel"/>
          <w:color w:val="000000" w:themeColor="text1"/>
          <w:sz w:val="22"/>
          <w:szCs w:val="22"/>
          <w:lang w:val="en-GB"/>
        </w:rPr>
        <w:t>Another relevant distinction concern whether the network is internally or externally brokered. At one extreme, we observe inter-organizational networks governed collectively by their members (shared-governance) or by a leader organization (lead-governance). On the opposite, there are networks in which an external structure, linked to the network at different intensity degrees, has the governance responsibility. Literature (</w:t>
      </w:r>
      <w:proofErr w:type="spellStart"/>
      <w:r w:rsidRPr="004303E3">
        <w:rPr>
          <w:rFonts w:ascii="Corbel" w:hAnsi="Corbel"/>
          <w:color w:val="000000" w:themeColor="text1"/>
          <w:sz w:val="22"/>
          <w:szCs w:val="22"/>
          <w:lang w:val="en-GB"/>
        </w:rPr>
        <w:t>Provan</w:t>
      </w:r>
      <w:proofErr w:type="spellEnd"/>
      <w:r w:rsidRPr="004303E3">
        <w:rPr>
          <w:rFonts w:ascii="Corbel" w:hAnsi="Corbel"/>
          <w:color w:val="000000" w:themeColor="text1"/>
          <w:sz w:val="22"/>
          <w:szCs w:val="22"/>
          <w:lang w:val="en-GB"/>
        </w:rPr>
        <w:t xml:space="preserve"> &amp; </w:t>
      </w:r>
      <w:proofErr w:type="spellStart"/>
      <w:r w:rsidRPr="004303E3">
        <w:rPr>
          <w:rFonts w:ascii="Corbel" w:hAnsi="Corbel"/>
          <w:color w:val="000000" w:themeColor="text1"/>
          <w:sz w:val="22"/>
          <w:szCs w:val="22"/>
          <w:lang w:val="en-GB"/>
        </w:rPr>
        <w:t>Kenis</w:t>
      </w:r>
      <w:proofErr w:type="spellEnd"/>
      <w:r w:rsidRPr="004303E3">
        <w:rPr>
          <w:rFonts w:ascii="Corbel" w:hAnsi="Corbel"/>
          <w:color w:val="000000" w:themeColor="text1"/>
          <w:sz w:val="22"/>
          <w:szCs w:val="22"/>
          <w:lang w:val="en-GB"/>
        </w:rPr>
        <w:t xml:space="preserve">, 2007; </w:t>
      </w:r>
      <w:proofErr w:type="spellStart"/>
      <w:r w:rsidRPr="004303E3">
        <w:rPr>
          <w:rFonts w:ascii="Corbel" w:hAnsi="Corbel"/>
          <w:color w:val="000000" w:themeColor="text1"/>
          <w:sz w:val="22"/>
          <w:szCs w:val="22"/>
          <w:lang w:val="en-GB"/>
        </w:rPr>
        <w:t>Kenis</w:t>
      </w:r>
      <w:proofErr w:type="spellEnd"/>
      <w:r w:rsidRPr="004303E3">
        <w:rPr>
          <w:rFonts w:ascii="Corbel" w:hAnsi="Corbel"/>
          <w:color w:val="000000" w:themeColor="text1"/>
          <w:sz w:val="22"/>
          <w:szCs w:val="22"/>
          <w:lang w:val="en-GB"/>
        </w:rPr>
        <w:t xml:space="preserve"> &amp; </w:t>
      </w:r>
      <w:proofErr w:type="spellStart"/>
      <w:r w:rsidRPr="004303E3">
        <w:rPr>
          <w:rFonts w:ascii="Corbel" w:hAnsi="Corbel"/>
          <w:color w:val="000000" w:themeColor="text1"/>
          <w:sz w:val="22"/>
          <w:szCs w:val="22"/>
          <w:lang w:val="en-GB"/>
        </w:rPr>
        <w:t>Provan</w:t>
      </w:r>
      <w:proofErr w:type="spellEnd"/>
      <w:r w:rsidRPr="004303E3">
        <w:rPr>
          <w:rFonts w:ascii="Corbel" w:hAnsi="Corbel"/>
          <w:color w:val="000000" w:themeColor="text1"/>
          <w:sz w:val="22"/>
          <w:szCs w:val="22"/>
          <w:lang w:val="en-GB"/>
        </w:rPr>
        <w:t>, 2009) has defined this structure as a Network Administrative Form (NAO) that can be either voluntarily established by network actors or mandated as part of the network formation process (</w:t>
      </w:r>
      <w:proofErr w:type="spellStart"/>
      <w:r w:rsidRPr="004303E3">
        <w:rPr>
          <w:rFonts w:ascii="Corbel" w:hAnsi="Corbel"/>
          <w:color w:val="000000" w:themeColor="text1"/>
          <w:sz w:val="22"/>
          <w:szCs w:val="22"/>
          <w:lang w:val="en-GB"/>
        </w:rPr>
        <w:t>Provan</w:t>
      </w:r>
      <w:proofErr w:type="spellEnd"/>
      <w:r w:rsidRPr="004303E3">
        <w:rPr>
          <w:rFonts w:ascii="Corbel" w:hAnsi="Corbel"/>
          <w:color w:val="000000" w:themeColor="text1"/>
          <w:sz w:val="22"/>
          <w:szCs w:val="22"/>
          <w:lang w:val="en-GB"/>
        </w:rPr>
        <w:t xml:space="preserve"> &amp; </w:t>
      </w:r>
      <w:proofErr w:type="spellStart"/>
      <w:r w:rsidRPr="004303E3">
        <w:rPr>
          <w:rFonts w:ascii="Corbel" w:hAnsi="Corbel"/>
          <w:color w:val="000000" w:themeColor="text1"/>
          <w:sz w:val="22"/>
          <w:szCs w:val="22"/>
          <w:lang w:val="en-GB"/>
        </w:rPr>
        <w:t>Kenis</w:t>
      </w:r>
      <w:proofErr w:type="spellEnd"/>
      <w:r w:rsidRPr="004303E3">
        <w:rPr>
          <w:rFonts w:ascii="Corbel" w:hAnsi="Corbel"/>
          <w:color w:val="000000" w:themeColor="text1"/>
          <w:sz w:val="22"/>
          <w:szCs w:val="22"/>
          <w:lang w:val="en-GB"/>
        </w:rPr>
        <w:t xml:space="preserve">, 2007). Figure </w:t>
      </w:r>
      <w:r w:rsidR="00124F6B" w:rsidRPr="004303E3">
        <w:rPr>
          <w:rFonts w:ascii="Corbel" w:hAnsi="Corbel"/>
          <w:color w:val="000000" w:themeColor="text1"/>
          <w:sz w:val="22"/>
          <w:szCs w:val="22"/>
          <w:lang w:val="en-GB"/>
        </w:rPr>
        <w:t>1</w:t>
      </w:r>
      <w:r w:rsidRPr="004303E3">
        <w:rPr>
          <w:rFonts w:ascii="Corbel" w:hAnsi="Corbel"/>
          <w:color w:val="000000" w:themeColor="text1"/>
          <w:sz w:val="22"/>
          <w:szCs w:val="22"/>
          <w:lang w:val="en-GB"/>
        </w:rPr>
        <w:t xml:space="preserve"> visually represents the described models of network governance.</w:t>
      </w:r>
    </w:p>
    <w:p w14:paraId="4AF6994E" w14:textId="77777777" w:rsidR="00F67ADD" w:rsidRPr="004303E3" w:rsidRDefault="00F67ADD" w:rsidP="002F71BC">
      <w:pPr>
        <w:jc w:val="both"/>
        <w:rPr>
          <w:rFonts w:ascii="Corbel" w:hAnsi="Corbel"/>
          <w:color w:val="000000" w:themeColor="text1"/>
          <w:sz w:val="22"/>
          <w:szCs w:val="22"/>
          <w:lang w:val="en-GB"/>
        </w:rPr>
      </w:pPr>
      <w:r w:rsidRPr="004303E3">
        <w:rPr>
          <w:rFonts w:ascii="Corbel" w:hAnsi="Corbel"/>
          <w:color w:val="000000" w:themeColor="text1"/>
          <w:sz w:val="22"/>
          <w:szCs w:val="22"/>
          <w:lang w:val="en-GB"/>
        </w:rPr>
        <w:t xml:space="preserve">Each governance form has certain key features, strengths, and weaknesses. In practice, no one model is better or more effective than the others. Choosing one form instead of another should depend on the desired outcomes and the types of actors involved. By looking at international organizations’ definitions that we have considered in previous paragraphs and anticipating the case study on European Union, the NAO governance model seems to be a powerful magnifying glass for describing international organizations as inter-organizational networks. </w:t>
      </w:r>
    </w:p>
    <w:p w14:paraId="71641EB9" w14:textId="5AC0F1A7" w:rsidR="00F67ADD" w:rsidRPr="004303E3" w:rsidRDefault="00F67ADD" w:rsidP="002F71BC">
      <w:pPr>
        <w:jc w:val="both"/>
        <w:rPr>
          <w:rFonts w:ascii="Corbel" w:hAnsi="Corbel"/>
          <w:color w:val="000000" w:themeColor="text1"/>
          <w:sz w:val="22"/>
          <w:szCs w:val="22"/>
          <w:lang w:val="en-GB"/>
        </w:rPr>
      </w:pPr>
      <w:r w:rsidRPr="004303E3">
        <w:rPr>
          <w:rFonts w:ascii="Corbel" w:hAnsi="Corbel"/>
          <w:color w:val="000000" w:themeColor="text1"/>
          <w:sz w:val="22"/>
          <w:szCs w:val="22"/>
          <w:lang w:val="en-GB"/>
        </w:rPr>
        <w:t xml:space="preserve">More in detail, the basic idea of the NAO model is that an </w:t>
      </w:r>
      <w:r w:rsidRPr="004303E3">
        <w:rPr>
          <w:rFonts w:ascii="Corbel" w:hAnsi="Corbel"/>
          <w:i/>
          <w:iCs/>
          <w:color w:val="000000" w:themeColor="text1"/>
          <w:sz w:val="22"/>
          <w:szCs w:val="22"/>
          <w:lang w:val="en-GB"/>
        </w:rPr>
        <w:t>ad hoc</w:t>
      </w:r>
      <w:r w:rsidRPr="004303E3">
        <w:rPr>
          <w:rFonts w:ascii="Corbel" w:hAnsi="Corbel"/>
          <w:color w:val="000000" w:themeColor="text1"/>
          <w:sz w:val="22"/>
          <w:szCs w:val="22"/>
          <w:lang w:val="en-GB"/>
        </w:rPr>
        <w:t xml:space="preserve"> administrative structure is responsible for the management of the network. Because of the inefficiency of shared-governance model and potential problems deriving from the dominance of one leader organization, the NAO model can be seen as an alternative (</w:t>
      </w:r>
      <w:proofErr w:type="spellStart"/>
      <w:r w:rsidRPr="004303E3">
        <w:rPr>
          <w:rFonts w:ascii="Corbel" w:hAnsi="Corbel"/>
          <w:color w:val="000000" w:themeColor="text1"/>
          <w:sz w:val="22"/>
          <w:szCs w:val="22"/>
          <w:lang w:val="en-GB"/>
        </w:rPr>
        <w:t>Kenis</w:t>
      </w:r>
      <w:proofErr w:type="spellEnd"/>
      <w:r w:rsidRPr="004303E3">
        <w:rPr>
          <w:rFonts w:ascii="Corbel" w:hAnsi="Corbel"/>
          <w:color w:val="000000" w:themeColor="text1"/>
          <w:sz w:val="22"/>
          <w:szCs w:val="22"/>
          <w:lang w:val="en-GB"/>
        </w:rPr>
        <w:t xml:space="preserve"> &amp; </w:t>
      </w:r>
      <w:proofErr w:type="spellStart"/>
      <w:r w:rsidRPr="004303E3">
        <w:rPr>
          <w:rFonts w:ascii="Corbel" w:hAnsi="Corbel"/>
          <w:color w:val="000000" w:themeColor="text1"/>
          <w:sz w:val="22"/>
          <w:szCs w:val="22"/>
          <w:lang w:val="en-GB"/>
        </w:rPr>
        <w:t>Provan</w:t>
      </w:r>
      <w:proofErr w:type="spellEnd"/>
      <w:r w:rsidRPr="004303E3">
        <w:rPr>
          <w:rFonts w:ascii="Corbel" w:hAnsi="Corbel"/>
          <w:color w:val="000000" w:themeColor="text1"/>
          <w:sz w:val="22"/>
          <w:szCs w:val="22"/>
          <w:lang w:val="en-GB"/>
        </w:rPr>
        <w:t xml:space="preserve">, 2009). By mentioning </w:t>
      </w:r>
      <w:proofErr w:type="spellStart"/>
      <w:r w:rsidRPr="004303E3">
        <w:rPr>
          <w:rFonts w:ascii="Corbel" w:hAnsi="Corbel"/>
          <w:color w:val="000000" w:themeColor="text1"/>
          <w:sz w:val="22"/>
          <w:szCs w:val="22"/>
          <w:lang w:val="en-GB"/>
        </w:rPr>
        <w:t>Provan</w:t>
      </w:r>
      <w:proofErr w:type="spellEnd"/>
      <w:r w:rsidRPr="004303E3">
        <w:rPr>
          <w:rFonts w:ascii="Corbel" w:hAnsi="Corbel"/>
          <w:color w:val="000000" w:themeColor="text1"/>
          <w:sz w:val="22"/>
          <w:szCs w:val="22"/>
          <w:lang w:val="en-GB"/>
        </w:rPr>
        <w:t xml:space="preserve"> and </w:t>
      </w:r>
      <w:proofErr w:type="spellStart"/>
      <w:r w:rsidRPr="004303E3">
        <w:rPr>
          <w:rFonts w:ascii="Corbel" w:hAnsi="Corbel"/>
          <w:color w:val="000000" w:themeColor="text1"/>
          <w:sz w:val="22"/>
          <w:szCs w:val="22"/>
          <w:lang w:val="en-GB"/>
        </w:rPr>
        <w:t>Kenis's</w:t>
      </w:r>
      <w:proofErr w:type="spellEnd"/>
      <w:r w:rsidRPr="004303E3">
        <w:rPr>
          <w:rFonts w:ascii="Corbel" w:hAnsi="Corbel"/>
          <w:color w:val="000000" w:themeColor="text1"/>
          <w:sz w:val="22"/>
          <w:szCs w:val="22"/>
          <w:lang w:val="en-GB"/>
        </w:rPr>
        <w:t xml:space="preserve"> (2007) studies, in the NAO model, although network members still interact with one another (as in the shared-governance form), the government of the network is centralized (as in the lead-governance). Unlike what happens in the lead-governance model, the NAO is not a member of the network with its value, mission, and goals. The NAO governs the network from the extern and may be modest in scale, consisting only of a small group of people, or it may be a formal structure with specific staff, organogram, and physically distinct offices (</w:t>
      </w:r>
      <w:proofErr w:type="spellStart"/>
      <w:r w:rsidRPr="004303E3">
        <w:rPr>
          <w:rFonts w:ascii="Corbel" w:hAnsi="Corbel"/>
          <w:color w:val="000000" w:themeColor="text1"/>
          <w:sz w:val="22"/>
          <w:szCs w:val="22"/>
          <w:lang w:val="en-GB"/>
        </w:rPr>
        <w:t>Provan</w:t>
      </w:r>
      <w:proofErr w:type="spellEnd"/>
      <w:r w:rsidR="00124F6B" w:rsidRPr="004303E3">
        <w:rPr>
          <w:rFonts w:ascii="Corbel" w:hAnsi="Corbel"/>
          <w:color w:val="000000" w:themeColor="text1"/>
          <w:sz w:val="22"/>
          <w:szCs w:val="22"/>
          <w:lang w:val="en-GB"/>
        </w:rPr>
        <w:t xml:space="preserve"> et al.</w:t>
      </w:r>
      <w:r w:rsidRPr="004303E3">
        <w:rPr>
          <w:rFonts w:ascii="Corbel" w:hAnsi="Corbel"/>
          <w:color w:val="000000" w:themeColor="text1"/>
          <w:sz w:val="22"/>
          <w:szCs w:val="22"/>
          <w:lang w:val="en-GB"/>
        </w:rPr>
        <w:t>, 200</w:t>
      </w:r>
      <w:r w:rsidR="00DD12BA" w:rsidRPr="004303E3">
        <w:rPr>
          <w:rFonts w:ascii="Corbel" w:hAnsi="Corbel"/>
          <w:color w:val="000000" w:themeColor="text1"/>
          <w:sz w:val="22"/>
          <w:szCs w:val="22"/>
          <w:lang w:val="en-GB"/>
        </w:rPr>
        <w:t>5</w:t>
      </w:r>
      <w:r w:rsidRPr="004303E3">
        <w:rPr>
          <w:rFonts w:ascii="Corbel" w:hAnsi="Corbel"/>
          <w:color w:val="000000" w:themeColor="text1"/>
          <w:sz w:val="22"/>
          <w:szCs w:val="22"/>
          <w:lang w:val="en-GB"/>
        </w:rPr>
        <w:t>).</w:t>
      </w:r>
    </w:p>
    <w:p w14:paraId="28FB93CC" w14:textId="45DC9270" w:rsidR="00F67ADD" w:rsidRPr="004303E3" w:rsidRDefault="00F67ADD" w:rsidP="002F71BC">
      <w:pPr>
        <w:jc w:val="both"/>
        <w:rPr>
          <w:rFonts w:ascii="Corbel" w:hAnsi="Corbel"/>
          <w:color w:val="000000" w:themeColor="text1"/>
          <w:sz w:val="22"/>
          <w:szCs w:val="22"/>
          <w:lang w:val="en-GB"/>
        </w:rPr>
      </w:pPr>
      <w:r w:rsidRPr="004303E3">
        <w:rPr>
          <w:rFonts w:ascii="Corbel" w:hAnsi="Corbel"/>
          <w:color w:val="000000" w:themeColor="text1"/>
          <w:sz w:val="22"/>
          <w:szCs w:val="22"/>
          <w:lang w:val="en-GB"/>
        </w:rPr>
        <w:lastRenderedPageBreak/>
        <w:t>This latter configuration often occurs in international organizations where new institutional actors were established to manage the network and provide support for the goals’ achievement. These structures often include representatives from the network members and are responsible for all the strategic-level network issues. With this structure, network participants and groups may interact and work with one another (the dotted lines), but activities and key decisions are coordinated through and by a separate, independent entity (</w:t>
      </w:r>
      <w:proofErr w:type="spellStart"/>
      <w:r w:rsidRPr="004303E3">
        <w:rPr>
          <w:rFonts w:ascii="Corbel" w:hAnsi="Corbel"/>
          <w:color w:val="000000" w:themeColor="text1"/>
          <w:sz w:val="22"/>
          <w:szCs w:val="22"/>
          <w:lang w:val="en-GB"/>
        </w:rPr>
        <w:t>Kenis</w:t>
      </w:r>
      <w:proofErr w:type="spellEnd"/>
      <w:r w:rsidRPr="004303E3">
        <w:rPr>
          <w:rFonts w:ascii="Corbel" w:hAnsi="Corbel"/>
          <w:color w:val="000000" w:themeColor="text1"/>
          <w:sz w:val="22"/>
          <w:szCs w:val="22"/>
          <w:lang w:val="en-GB"/>
        </w:rPr>
        <w:t xml:space="preserve"> &amp; </w:t>
      </w:r>
      <w:proofErr w:type="spellStart"/>
      <w:r w:rsidRPr="004303E3">
        <w:rPr>
          <w:rFonts w:ascii="Corbel" w:hAnsi="Corbel"/>
          <w:color w:val="000000" w:themeColor="text1"/>
          <w:sz w:val="22"/>
          <w:szCs w:val="22"/>
          <w:lang w:val="en-GB"/>
        </w:rPr>
        <w:t>Provan</w:t>
      </w:r>
      <w:proofErr w:type="spellEnd"/>
      <w:r w:rsidRPr="004303E3">
        <w:rPr>
          <w:rFonts w:ascii="Corbel" w:hAnsi="Corbel"/>
          <w:color w:val="000000" w:themeColor="text1"/>
          <w:sz w:val="22"/>
          <w:szCs w:val="22"/>
          <w:lang w:val="en-GB"/>
        </w:rPr>
        <w:t xml:space="preserve">, 2007). Furthermore, the presence of an NAO can act as a driver for gaining both internal and external legitimacy by fostering the trust among the network members and, also, giving actors that are not within the network an identifiable structure to interact with. The NAO enable the solution of three main trade-offs between the shared-governance and the leader-governance models (see figure </w:t>
      </w:r>
      <w:r w:rsidR="00124F6B" w:rsidRPr="004303E3">
        <w:rPr>
          <w:rFonts w:ascii="Corbel" w:hAnsi="Corbel"/>
          <w:color w:val="000000" w:themeColor="text1"/>
          <w:sz w:val="22"/>
          <w:szCs w:val="22"/>
          <w:lang w:val="en-GB"/>
        </w:rPr>
        <w:t>2</w:t>
      </w:r>
      <w:r w:rsidRPr="004303E3">
        <w:rPr>
          <w:rFonts w:ascii="Corbel" w:hAnsi="Corbel"/>
          <w:color w:val="000000" w:themeColor="text1"/>
          <w:sz w:val="22"/>
          <w:szCs w:val="22"/>
          <w:lang w:val="en-GB"/>
        </w:rPr>
        <w:t>).</w:t>
      </w:r>
    </w:p>
    <w:p w14:paraId="0E14D46D" w14:textId="77777777" w:rsidR="004303E3" w:rsidRDefault="004303E3" w:rsidP="002F71BC">
      <w:pPr>
        <w:pStyle w:val="Didascalia"/>
        <w:keepNext/>
        <w:jc w:val="both"/>
        <w:rPr>
          <w:rFonts w:ascii="Corbel" w:hAnsi="Corbel"/>
          <w:b/>
          <w:bCs/>
          <w:lang w:val="en-US"/>
        </w:rPr>
      </w:pPr>
    </w:p>
    <w:p w14:paraId="4B758591" w14:textId="560161E1" w:rsidR="00124F6B" w:rsidRDefault="00124F6B" w:rsidP="002F71BC">
      <w:pPr>
        <w:pStyle w:val="Didascalia"/>
        <w:keepNext/>
        <w:jc w:val="both"/>
        <w:rPr>
          <w:rFonts w:ascii="Corbel" w:hAnsi="Corbel"/>
          <w:b/>
          <w:bCs/>
          <w:lang w:val="en-US"/>
        </w:rPr>
      </w:pPr>
      <w:r w:rsidRPr="009722B3">
        <w:rPr>
          <w:rFonts w:ascii="Corbel" w:hAnsi="Corbel"/>
          <w:b/>
          <w:bCs/>
          <w:lang w:val="en-US"/>
        </w:rPr>
        <w:t xml:space="preserve">Figure </w:t>
      </w:r>
      <w:r>
        <w:rPr>
          <w:rFonts w:ascii="Corbel" w:hAnsi="Corbel"/>
          <w:b/>
          <w:bCs/>
          <w:lang w:val="en-US"/>
        </w:rPr>
        <w:t>1</w:t>
      </w:r>
      <w:r w:rsidRPr="009722B3">
        <w:rPr>
          <w:rFonts w:ascii="Corbel" w:hAnsi="Corbel"/>
          <w:b/>
          <w:bCs/>
          <w:lang w:val="en-US"/>
        </w:rPr>
        <w:t xml:space="preserve"> - Source: </w:t>
      </w:r>
      <w:proofErr w:type="spellStart"/>
      <w:r w:rsidRPr="009722B3">
        <w:rPr>
          <w:rFonts w:ascii="Corbel" w:hAnsi="Corbel"/>
          <w:b/>
          <w:bCs/>
          <w:lang w:val="en-US"/>
        </w:rPr>
        <w:t>Kenis</w:t>
      </w:r>
      <w:proofErr w:type="spellEnd"/>
      <w:r w:rsidRPr="009722B3">
        <w:rPr>
          <w:rFonts w:ascii="Corbel" w:hAnsi="Corbel"/>
          <w:b/>
          <w:bCs/>
          <w:lang w:val="en-US"/>
        </w:rPr>
        <w:t xml:space="preserve"> and </w:t>
      </w:r>
      <w:proofErr w:type="spellStart"/>
      <w:r w:rsidRPr="009722B3">
        <w:rPr>
          <w:rFonts w:ascii="Corbel" w:hAnsi="Corbel"/>
          <w:b/>
          <w:bCs/>
          <w:lang w:val="en-US"/>
        </w:rPr>
        <w:t>Provan</w:t>
      </w:r>
      <w:proofErr w:type="spellEnd"/>
      <w:r w:rsidRPr="009722B3">
        <w:rPr>
          <w:rFonts w:ascii="Corbel" w:hAnsi="Corbel"/>
          <w:b/>
          <w:bCs/>
          <w:lang w:val="en-US"/>
        </w:rPr>
        <w:t>, 2009</w:t>
      </w:r>
    </w:p>
    <w:p w14:paraId="38F93A7D" w14:textId="7BEABB48" w:rsidR="00124F6B" w:rsidRDefault="00124F6B" w:rsidP="00124F6B">
      <w:pPr>
        <w:rPr>
          <w:lang w:val="en-US" w:eastAsia="en-US"/>
        </w:rPr>
      </w:pPr>
      <w:r w:rsidRPr="009722B3">
        <w:rPr>
          <w:rFonts w:ascii="Corbel" w:hAnsi="Corbel"/>
          <w:noProof/>
        </w:rPr>
        <w:drawing>
          <wp:inline distT="0" distB="0" distL="0" distR="0" wp14:anchorId="27EEAB42" wp14:editId="0A2CD4CD">
            <wp:extent cx="3600000" cy="4159136"/>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a:extLst>
                        <a:ext uri="{28A0092B-C50C-407E-A947-70E740481C1C}">
                          <a14:useLocalDpi xmlns:a14="http://schemas.microsoft.com/office/drawing/2010/main" val="0"/>
                        </a:ext>
                      </a:extLst>
                    </a:blip>
                    <a:stretch>
                      <a:fillRect/>
                    </a:stretch>
                  </pic:blipFill>
                  <pic:spPr>
                    <a:xfrm>
                      <a:off x="0" y="0"/>
                      <a:ext cx="3600000" cy="4159136"/>
                    </a:xfrm>
                    <a:prstGeom prst="rect">
                      <a:avLst/>
                    </a:prstGeom>
                  </pic:spPr>
                </pic:pic>
              </a:graphicData>
            </a:graphic>
          </wp:inline>
        </w:drawing>
      </w:r>
    </w:p>
    <w:p w14:paraId="771FC3FF" w14:textId="77777777" w:rsidR="00124F6B" w:rsidRPr="00124F6B" w:rsidRDefault="00124F6B" w:rsidP="00124F6B">
      <w:pPr>
        <w:rPr>
          <w:lang w:val="en-US" w:eastAsia="en-US"/>
        </w:rPr>
      </w:pPr>
    </w:p>
    <w:p w14:paraId="5661C4DC" w14:textId="3D18D74C" w:rsidR="00F67ADD" w:rsidRPr="009722B3" w:rsidRDefault="00F67ADD" w:rsidP="002F71BC">
      <w:pPr>
        <w:pStyle w:val="Didascalia"/>
        <w:keepNext/>
        <w:jc w:val="both"/>
        <w:rPr>
          <w:rFonts w:ascii="Corbel" w:hAnsi="Corbel"/>
          <w:b/>
          <w:bCs/>
          <w:lang w:val="en-US"/>
        </w:rPr>
      </w:pPr>
      <w:r w:rsidRPr="009722B3">
        <w:rPr>
          <w:rFonts w:ascii="Corbel" w:hAnsi="Corbel"/>
          <w:b/>
          <w:bCs/>
          <w:lang w:val="en-US"/>
        </w:rPr>
        <w:t xml:space="preserve">Figure </w:t>
      </w:r>
      <w:r w:rsidR="00124F6B">
        <w:rPr>
          <w:rFonts w:ascii="Corbel" w:hAnsi="Corbel"/>
          <w:b/>
          <w:bCs/>
          <w:lang w:val="en-US"/>
        </w:rPr>
        <w:t>2</w:t>
      </w:r>
      <w:r w:rsidRPr="009722B3">
        <w:rPr>
          <w:rFonts w:ascii="Corbel" w:hAnsi="Corbel"/>
          <w:b/>
          <w:bCs/>
          <w:lang w:val="en-US"/>
        </w:rPr>
        <w:t xml:space="preserve"> - Trade-offs among shared-governance and leader-governance (own elaboration)</w:t>
      </w:r>
    </w:p>
    <w:p w14:paraId="7748F1A9" w14:textId="5E8E468C" w:rsidR="00F67ADD" w:rsidRDefault="00F67ADD" w:rsidP="002F71BC">
      <w:pPr>
        <w:jc w:val="both"/>
        <w:rPr>
          <w:rFonts w:ascii="Corbel" w:hAnsi="Corbel"/>
          <w:color w:val="44546A" w:themeColor="text2"/>
          <w:lang w:val="en-GB"/>
        </w:rPr>
      </w:pPr>
      <w:r w:rsidRPr="009722B3">
        <w:rPr>
          <w:rFonts w:ascii="Corbel" w:hAnsi="Corbel"/>
          <w:noProof/>
          <w:color w:val="44546A" w:themeColor="text2"/>
        </w:rPr>
        <w:drawing>
          <wp:inline distT="0" distB="0" distL="0" distR="0" wp14:anchorId="7280B88A" wp14:editId="4F348031">
            <wp:extent cx="6116320" cy="2179320"/>
            <wp:effectExtent l="12700" t="12700" r="17780" b="177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6320" cy="2179320"/>
                    </a:xfrm>
                    <a:prstGeom prst="rect">
                      <a:avLst/>
                    </a:prstGeom>
                    <a:ln>
                      <a:solidFill>
                        <a:schemeClr val="accent1"/>
                      </a:solidFill>
                    </a:ln>
                  </pic:spPr>
                </pic:pic>
              </a:graphicData>
            </a:graphic>
          </wp:inline>
        </w:drawing>
      </w:r>
    </w:p>
    <w:p w14:paraId="1335544F" w14:textId="77777777" w:rsidR="004303E3" w:rsidRPr="004303E3" w:rsidRDefault="004303E3" w:rsidP="002F71BC">
      <w:pPr>
        <w:jc w:val="both"/>
        <w:rPr>
          <w:rFonts w:ascii="Corbel" w:hAnsi="Corbel"/>
          <w:color w:val="44546A" w:themeColor="text2"/>
          <w:lang w:val="en-GB"/>
        </w:rPr>
      </w:pPr>
    </w:p>
    <w:p w14:paraId="446BCE17" w14:textId="50C89F5A" w:rsidR="00F67ADD" w:rsidRPr="009722B3" w:rsidRDefault="003B3FCE" w:rsidP="002F71BC">
      <w:pPr>
        <w:jc w:val="both"/>
        <w:rPr>
          <w:rFonts w:ascii="Corbel" w:hAnsi="Corbel"/>
          <w:b/>
          <w:bCs/>
          <w:iCs/>
          <w:lang w:val="en-GB"/>
        </w:rPr>
      </w:pPr>
      <w:r w:rsidRPr="009722B3">
        <w:rPr>
          <w:rFonts w:ascii="Corbel" w:hAnsi="Corbel"/>
          <w:b/>
          <w:bCs/>
          <w:iCs/>
          <w:lang w:val="en-GB"/>
        </w:rPr>
        <w:lastRenderedPageBreak/>
        <w:t>2. The</w:t>
      </w:r>
      <w:r w:rsidR="00F67ADD" w:rsidRPr="009722B3">
        <w:rPr>
          <w:rFonts w:ascii="Corbel" w:hAnsi="Corbel"/>
          <w:b/>
          <w:bCs/>
          <w:iCs/>
          <w:lang w:val="en-GB"/>
        </w:rPr>
        <w:t xml:space="preserve"> role of international organizations</w:t>
      </w:r>
      <w:r w:rsidRPr="009722B3">
        <w:rPr>
          <w:rFonts w:ascii="Corbel" w:hAnsi="Corbel"/>
          <w:b/>
          <w:bCs/>
          <w:iCs/>
          <w:lang w:val="en-GB"/>
        </w:rPr>
        <w:t xml:space="preserve"> and the management deficit</w:t>
      </w:r>
    </w:p>
    <w:p w14:paraId="76CE1F32" w14:textId="53EF2F9E" w:rsidR="00F67ADD" w:rsidRPr="004303E3" w:rsidRDefault="00F67ADD" w:rsidP="002F71BC">
      <w:pPr>
        <w:jc w:val="both"/>
        <w:rPr>
          <w:rFonts w:ascii="Corbel" w:hAnsi="Corbel"/>
          <w:sz w:val="22"/>
          <w:szCs w:val="22"/>
          <w:lang w:val="en-GB"/>
        </w:rPr>
      </w:pPr>
      <w:r w:rsidRPr="004303E3">
        <w:rPr>
          <w:rFonts w:ascii="Corbel" w:hAnsi="Corbel"/>
          <w:sz w:val="22"/>
          <w:szCs w:val="22"/>
          <w:lang w:val="en-GB"/>
        </w:rPr>
        <w:t>The increased importance in number, scope, and size of international organizations does not seem to correspond to a similar theoretical and empirical attention by scholars. Several authors (Bauer</w:t>
      </w:r>
      <w:r w:rsidR="00CD3E2C" w:rsidRPr="004303E3">
        <w:rPr>
          <w:rFonts w:ascii="Corbel" w:hAnsi="Corbel"/>
          <w:sz w:val="22"/>
          <w:szCs w:val="22"/>
          <w:lang w:val="en-GB"/>
        </w:rPr>
        <w:t>,</w:t>
      </w:r>
      <w:r w:rsidRPr="004303E3">
        <w:rPr>
          <w:rFonts w:ascii="Corbel" w:hAnsi="Corbel"/>
          <w:sz w:val="22"/>
          <w:szCs w:val="22"/>
          <w:lang w:val="en-GB"/>
        </w:rPr>
        <w:t xml:space="preserve"> 2007; Balint </w:t>
      </w:r>
      <w:r w:rsidR="00CD3E2C" w:rsidRPr="004303E3">
        <w:rPr>
          <w:rFonts w:ascii="Corbel" w:hAnsi="Corbel"/>
          <w:sz w:val="22"/>
          <w:szCs w:val="22"/>
          <w:lang w:val="en-GB"/>
        </w:rPr>
        <w:t>&amp;</w:t>
      </w:r>
      <w:r w:rsidRPr="004303E3">
        <w:rPr>
          <w:rFonts w:ascii="Corbel" w:hAnsi="Corbel"/>
          <w:sz w:val="22"/>
          <w:szCs w:val="22"/>
          <w:lang w:val="en-GB"/>
        </w:rPr>
        <w:t xml:space="preserve"> </w:t>
      </w:r>
      <w:proofErr w:type="spellStart"/>
      <w:r w:rsidRPr="004303E3">
        <w:rPr>
          <w:rFonts w:ascii="Corbel" w:hAnsi="Corbel"/>
          <w:sz w:val="22"/>
          <w:szCs w:val="22"/>
          <w:lang w:val="en-GB"/>
        </w:rPr>
        <w:t>Knill</w:t>
      </w:r>
      <w:proofErr w:type="spellEnd"/>
      <w:r w:rsidRPr="004303E3">
        <w:rPr>
          <w:rFonts w:ascii="Corbel" w:hAnsi="Corbel"/>
          <w:sz w:val="22"/>
          <w:szCs w:val="22"/>
          <w:lang w:val="en-GB"/>
        </w:rPr>
        <w:t xml:space="preserve">, 2007; </w:t>
      </w:r>
      <w:proofErr w:type="spellStart"/>
      <w:r w:rsidRPr="004303E3">
        <w:rPr>
          <w:rFonts w:ascii="Corbel" w:hAnsi="Corbel"/>
          <w:sz w:val="22"/>
          <w:szCs w:val="22"/>
          <w:lang w:val="en-GB"/>
        </w:rPr>
        <w:t>Brechin</w:t>
      </w:r>
      <w:proofErr w:type="spellEnd"/>
      <w:r w:rsidRPr="004303E3">
        <w:rPr>
          <w:rFonts w:ascii="Corbel" w:hAnsi="Corbel"/>
          <w:sz w:val="22"/>
          <w:szCs w:val="22"/>
          <w:lang w:val="en-GB"/>
        </w:rPr>
        <w:t xml:space="preserve"> </w:t>
      </w:r>
      <w:r w:rsidR="00CD3E2C" w:rsidRPr="004303E3">
        <w:rPr>
          <w:rFonts w:ascii="Corbel" w:hAnsi="Corbel"/>
          <w:sz w:val="22"/>
          <w:szCs w:val="22"/>
          <w:lang w:val="en-GB"/>
        </w:rPr>
        <w:t>&amp;</w:t>
      </w:r>
      <w:r w:rsidRPr="004303E3">
        <w:rPr>
          <w:rFonts w:ascii="Corbel" w:hAnsi="Corbel"/>
          <w:sz w:val="22"/>
          <w:szCs w:val="22"/>
          <w:lang w:val="en-GB"/>
        </w:rPr>
        <w:t xml:space="preserve"> Ness</w:t>
      </w:r>
      <w:r w:rsidR="00CD3E2C" w:rsidRPr="004303E3">
        <w:rPr>
          <w:rFonts w:ascii="Corbel" w:hAnsi="Corbel"/>
          <w:sz w:val="22"/>
          <w:szCs w:val="22"/>
          <w:lang w:val="en-GB"/>
        </w:rPr>
        <w:t>,</w:t>
      </w:r>
      <w:r w:rsidRPr="004303E3">
        <w:rPr>
          <w:rFonts w:ascii="Corbel" w:hAnsi="Corbel"/>
          <w:sz w:val="22"/>
          <w:szCs w:val="22"/>
          <w:lang w:val="en-GB"/>
        </w:rPr>
        <w:t xml:space="preserve"> 1988) complain about the lack of a comprehensive and systemic approach to the study of international organizations, especially concerning their internal management. According to </w:t>
      </w:r>
      <w:proofErr w:type="spellStart"/>
      <w:r w:rsidRPr="004303E3">
        <w:rPr>
          <w:rFonts w:ascii="Corbel" w:hAnsi="Corbel"/>
          <w:sz w:val="22"/>
          <w:szCs w:val="22"/>
          <w:lang w:val="en-GB"/>
        </w:rPr>
        <w:t>Dijkzeul</w:t>
      </w:r>
      <w:proofErr w:type="spellEnd"/>
      <w:r w:rsidRPr="004303E3">
        <w:rPr>
          <w:rFonts w:ascii="Corbel" w:hAnsi="Corbel"/>
          <w:sz w:val="22"/>
          <w:szCs w:val="22"/>
          <w:lang w:val="en-GB"/>
        </w:rPr>
        <w:t xml:space="preserve"> and </w:t>
      </w:r>
      <w:proofErr w:type="spellStart"/>
      <w:r w:rsidRPr="004303E3">
        <w:rPr>
          <w:rFonts w:ascii="Corbel" w:hAnsi="Corbel"/>
          <w:sz w:val="22"/>
          <w:szCs w:val="22"/>
          <w:lang w:val="en-GB"/>
        </w:rPr>
        <w:t>Beigbeder</w:t>
      </w:r>
      <w:proofErr w:type="spellEnd"/>
      <w:r w:rsidRPr="004303E3">
        <w:rPr>
          <w:rFonts w:ascii="Corbel" w:hAnsi="Corbel"/>
          <w:sz w:val="22"/>
          <w:szCs w:val="22"/>
          <w:lang w:val="en-GB"/>
        </w:rPr>
        <w:t xml:space="preserve"> (2003), “over the last two decades, the debate on international organizations has been characterized by a continuous lament that more and better studies are required.” The lack of a comprehensive theory explaining the behaviour of international organizations is still probably the main evidence. The reasons, according to Bauer (2007), </w:t>
      </w:r>
      <w:r w:rsidRPr="004303E3">
        <w:rPr>
          <w:rFonts w:ascii="Corbel" w:hAnsi="Corbel"/>
          <w:sz w:val="22"/>
          <w:szCs w:val="22"/>
          <w:lang w:val="en-US"/>
        </w:rPr>
        <w:t xml:space="preserve">are probably “due to the fact that international organizations topic falls between the boundaries of several social sciences sub-disciplines”, namely international relations, organizational sociology, public administration, and business administration. </w:t>
      </w:r>
      <w:r w:rsidRPr="004303E3">
        <w:rPr>
          <w:rFonts w:ascii="Corbel" w:hAnsi="Corbel"/>
          <w:sz w:val="22"/>
          <w:szCs w:val="22"/>
          <w:lang w:val="en-GB"/>
        </w:rPr>
        <w:t xml:space="preserve">The intensity, scope, and research focus of such </w:t>
      </w:r>
      <w:r w:rsidR="003B3FCE" w:rsidRPr="004303E3">
        <w:rPr>
          <w:rFonts w:ascii="Corbel" w:hAnsi="Corbel"/>
          <w:sz w:val="22"/>
          <w:szCs w:val="22"/>
          <w:lang w:val="en-GB"/>
        </w:rPr>
        <w:t>discipline’s</w:t>
      </w:r>
      <w:r w:rsidRPr="004303E3">
        <w:rPr>
          <w:rFonts w:ascii="Corbel" w:hAnsi="Corbel"/>
          <w:sz w:val="22"/>
          <w:szCs w:val="22"/>
          <w:lang w:val="en-GB"/>
        </w:rPr>
        <w:t xml:space="preserve"> </w:t>
      </w:r>
      <w:r w:rsidRPr="004303E3">
        <w:rPr>
          <w:rFonts w:ascii="Corbel" w:hAnsi="Corbel"/>
          <w:i/>
          <w:iCs/>
          <w:sz w:val="22"/>
          <w:szCs w:val="22"/>
          <w:lang w:val="en-GB"/>
        </w:rPr>
        <w:t>vis à vis</w:t>
      </w:r>
      <w:r w:rsidRPr="004303E3">
        <w:rPr>
          <w:rFonts w:ascii="Corbel" w:hAnsi="Corbel"/>
          <w:sz w:val="22"/>
          <w:szCs w:val="22"/>
          <w:lang w:val="en-GB"/>
        </w:rPr>
        <w:t xml:space="preserve"> international organizations varied considerably along time. The study of international organizations by international relations scholars, for example, after the second world war witnessed a considerable development (</w:t>
      </w:r>
      <w:proofErr w:type="spellStart"/>
      <w:r w:rsidRPr="004303E3">
        <w:rPr>
          <w:rFonts w:ascii="Corbel" w:hAnsi="Corbel"/>
          <w:sz w:val="22"/>
          <w:szCs w:val="22"/>
          <w:lang w:val="en-GB"/>
        </w:rPr>
        <w:t>Brechin</w:t>
      </w:r>
      <w:proofErr w:type="spellEnd"/>
      <w:r w:rsidRPr="004303E3">
        <w:rPr>
          <w:rFonts w:ascii="Corbel" w:hAnsi="Corbel"/>
          <w:sz w:val="22"/>
          <w:szCs w:val="22"/>
          <w:lang w:val="en-GB"/>
        </w:rPr>
        <w:t xml:space="preserve"> </w:t>
      </w:r>
      <w:r w:rsidR="00CD3E2C" w:rsidRPr="004303E3">
        <w:rPr>
          <w:rFonts w:ascii="Corbel" w:hAnsi="Corbel"/>
          <w:sz w:val="22"/>
          <w:szCs w:val="22"/>
          <w:lang w:val="en-GB"/>
        </w:rPr>
        <w:t>&amp;</w:t>
      </w:r>
      <w:r w:rsidRPr="004303E3">
        <w:rPr>
          <w:rFonts w:ascii="Corbel" w:hAnsi="Corbel"/>
          <w:sz w:val="22"/>
          <w:szCs w:val="22"/>
          <w:lang w:val="en-GB"/>
        </w:rPr>
        <w:t xml:space="preserve"> Ness</w:t>
      </w:r>
      <w:r w:rsidR="00CD3E2C" w:rsidRPr="004303E3">
        <w:rPr>
          <w:rFonts w:ascii="Corbel" w:hAnsi="Corbel"/>
          <w:sz w:val="22"/>
          <w:szCs w:val="22"/>
          <w:lang w:val="en-GB"/>
        </w:rPr>
        <w:t>,</w:t>
      </w:r>
      <w:r w:rsidRPr="004303E3">
        <w:rPr>
          <w:rFonts w:ascii="Corbel" w:hAnsi="Corbel"/>
          <w:sz w:val="22"/>
          <w:szCs w:val="22"/>
          <w:lang w:val="en-GB"/>
        </w:rPr>
        <w:t xml:space="preserve"> 1987) “to such an extent that international organizations were viewed not so much as a subfield but as practically the core of the discipline” (Rochester, 1986). On the same vein, Bauer (2007) notes that international organizations have been the focus of scholarly interest for many years</w:t>
      </w:r>
      <w:r w:rsidRPr="004303E3">
        <w:rPr>
          <w:rStyle w:val="Rimandonotadichiusura"/>
          <w:rFonts w:ascii="Corbel" w:hAnsi="Corbel"/>
          <w:sz w:val="22"/>
          <w:szCs w:val="22"/>
          <w:lang w:val="en-GB"/>
        </w:rPr>
        <w:endnoteReference w:id="3"/>
      </w:r>
      <w:r w:rsidRPr="004303E3">
        <w:rPr>
          <w:rFonts w:ascii="Corbel" w:hAnsi="Corbel"/>
          <w:sz w:val="22"/>
          <w:szCs w:val="22"/>
          <w:lang w:val="en-GB"/>
        </w:rPr>
        <w:t xml:space="preserve">. Such interest was characterized by little or no interaction between the different disciplines, which dealt with the study of international organizations separately. According to </w:t>
      </w:r>
      <w:proofErr w:type="spellStart"/>
      <w:r w:rsidRPr="004303E3">
        <w:rPr>
          <w:rFonts w:ascii="Corbel" w:hAnsi="Corbel"/>
          <w:sz w:val="22"/>
          <w:szCs w:val="22"/>
          <w:lang w:val="en-GB"/>
        </w:rPr>
        <w:t>Brechin</w:t>
      </w:r>
      <w:proofErr w:type="spellEnd"/>
      <w:r w:rsidRPr="004303E3">
        <w:rPr>
          <w:rFonts w:ascii="Corbel" w:hAnsi="Corbel"/>
          <w:sz w:val="22"/>
          <w:szCs w:val="22"/>
          <w:lang w:val="en-GB"/>
        </w:rPr>
        <w:t xml:space="preserve"> and Ness (1987:2), the “gap between the study of international organizations and the sociology of organization is deep and persistent” adding “for reasons unknown, international organizations […] have not been studied much from a sociological perspective”. One year before, Jonsson (1986: 39) had noted that “the relations between organization theory and the study of international organizations […] has largely been one of mutual neglect.” Similarly, </w:t>
      </w:r>
      <w:proofErr w:type="spellStart"/>
      <w:r w:rsidRPr="004303E3">
        <w:rPr>
          <w:rFonts w:ascii="Corbel" w:hAnsi="Corbel"/>
          <w:sz w:val="22"/>
          <w:szCs w:val="22"/>
          <w:lang w:val="en-GB"/>
        </w:rPr>
        <w:t>Dijkzeul</w:t>
      </w:r>
      <w:proofErr w:type="spellEnd"/>
      <w:r w:rsidRPr="004303E3">
        <w:rPr>
          <w:rFonts w:ascii="Corbel" w:hAnsi="Corbel"/>
          <w:sz w:val="22"/>
          <w:szCs w:val="22"/>
          <w:lang w:val="en-GB"/>
        </w:rPr>
        <w:t xml:space="preserve"> and </w:t>
      </w:r>
      <w:proofErr w:type="spellStart"/>
      <w:r w:rsidRPr="004303E3">
        <w:rPr>
          <w:rFonts w:ascii="Corbel" w:hAnsi="Corbel"/>
          <w:sz w:val="22"/>
          <w:szCs w:val="22"/>
          <w:lang w:val="en-GB"/>
        </w:rPr>
        <w:t>Beigbeder</w:t>
      </w:r>
      <w:proofErr w:type="spellEnd"/>
      <w:r w:rsidRPr="004303E3">
        <w:rPr>
          <w:rFonts w:ascii="Corbel" w:hAnsi="Corbel"/>
          <w:sz w:val="22"/>
          <w:szCs w:val="22"/>
          <w:lang w:val="en-GB"/>
        </w:rPr>
        <w:t xml:space="preserve"> (2003: 16) considered the “lack of interaction among scholars from the disciplines of international relations, business administration and public administration,” one of the general shortcomings in the study of international relations. They did not find any relevant interactions between international relations theory and management and organization theory – apart from few exceptions (Allison, 1971; Jervis, 1976; Cox </w:t>
      </w:r>
      <w:r w:rsidR="00CD3E2C" w:rsidRPr="004303E3">
        <w:rPr>
          <w:rFonts w:ascii="Corbel" w:hAnsi="Corbel"/>
          <w:sz w:val="22"/>
          <w:szCs w:val="22"/>
          <w:lang w:val="en-GB"/>
        </w:rPr>
        <w:t>&amp;</w:t>
      </w:r>
      <w:r w:rsidRPr="004303E3">
        <w:rPr>
          <w:rFonts w:ascii="Corbel" w:hAnsi="Corbel"/>
          <w:sz w:val="22"/>
          <w:szCs w:val="22"/>
          <w:lang w:val="en-GB"/>
        </w:rPr>
        <w:t xml:space="preserve"> Jacobson, 1973) – concluding “disciplinary myopia often </w:t>
      </w:r>
      <w:proofErr w:type="gramStart"/>
      <w:r w:rsidRPr="004303E3">
        <w:rPr>
          <w:rFonts w:ascii="Corbel" w:hAnsi="Corbel"/>
          <w:sz w:val="22"/>
          <w:szCs w:val="22"/>
          <w:lang w:val="en-GB"/>
        </w:rPr>
        <w:t>persist</w:t>
      </w:r>
      <w:proofErr w:type="gramEnd"/>
      <w:r w:rsidRPr="004303E3">
        <w:rPr>
          <w:rFonts w:ascii="Corbel" w:hAnsi="Corbel"/>
          <w:sz w:val="22"/>
          <w:szCs w:val="22"/>
          <w:lang w:val="en-GB"/>
        </w:rPr>
        <w:t xml:space="preserve">.” </w:t>
      </w:r>
    </w:p>
    <w:p w14:paraId="5C8FAF02" w14:textId="4C5B29BD" w:rsidR="00F67ADD" w:rsidRPr="004303E3" w:rsidRDefault="00F67ADD" w:rsidP="002F71BC">
      <w:pPr>
        <w:jc w:val="both"/>
        <w:rPr>
          <w:rFonts w:ascii="Corbel" w:hAnsi="Corbel"/>
          <w:sz w:val="22"/>
          <w:szCs w:val="22"/>
          <w:lang w:val="en-GB"/>
        </w:rPr>
      </w:pPr>
      <w:r w:rsidRPr="004303E3">
        <w:rPr>
          <w:rFonts w:ascii="Corbel" w:hAnsi="Corbel"/>
          <w:sz w:val="22"/>
          <w:szCs w:val="22"/>
          <w:lang w:val="en-GB"/>
        </w:rPr>
        <w:t>Each discipline has been concerned with a particular aspect of international organizations, thus preventing, so far, a systematic understanding of their role and functioning. Similarly, Bauer et al. (2017:</w:t>
      </w:r>
      <w:r w:rsidR="00CD3E2C" w:rsidRPr="004303E3">
        <w:rPr>
          <w:rFonts w:ascii="Corbel" w:hAnsi="Corbel"/>
          <w:sz w:val="22"/>
          <w:szCs w:val="22"/>
          <w:lang w:val="en-GB"/>
        </w:rPr>
        <w:t>4</w:t>
      </w:r>
      <w:r w:rsidRPr="004303E3">
        <w:rPr>
          <w:rFonts w:ascii="Corbel" w:hAnsi="Corbel"/>
          <w:sz w:val="22"/>
          <w:szCs w:val="22"/>
          <w:lang w:val="en-GB"/>
        </w:rPr>
        <w:t xml:space="preserve">) stress how “historically there has been a kind of mutual disregard preventing interdisciplinary debate. Public administration was not interested in international bureaucratic issues, while international relations did not look systematic at the intra-organizational features of international organizations”. Bauer (2007) points out how </w:t>
      </w:r>
      <w:r w:rsidRPr="004303E3">
        <w:rPr>
          <w:rFonts w:ascii="Corbel" w:hAnsi="Corbel"/>
          <w:sz w:val="22"/>
          <w:szCs w:val="22"/>
          <w:lang w:val="en-US"/>
        </w:rPr>
        <w:t>international relations and comparative politics restricted their research interests on the relations between sovereign states and international organizations and how these latter affect domestic politics and policies. The main theoretical traditions in international relations, although with different visions, mainly looked at international organizations as a sort of device or platform for transnational decision making, ignoring their bureaucratic interior (Bauer</w:t>
      </w:r>
      <w:r w:rsidR="00CD3E2C" w:rsidRPr="004303E3">
        <w:rPr>
          <w:rFonts w:ascii="Corbel" w:hAnsi="Corbel"/>
          <w:sz w:val="22"/>
          <w:szCs w:val="22"/>
          <w:lang w:val="en-US"/>
        </w:rPr>
        <w:t>,</w:t>
      </w:r>
      <w:r w:rsidRPr="004303E3">
        <w:rPr>
          <w:rFonts w:ascii="Corbel" w:hAnsi="Corbel"/>
          <w:sz w:val="22"/>
          <w:szCs w:val="22"/>
          <w:lang w:val="en-US"/>
        </w:rPr>
        <w:t xml:space="preserve"> 2007). At the same time, organizational sociologists focused their research interests </w:t>
      </w:r>
      <w:proofErr w:type="gramStart"/>
      <w:r w:rsidRPr="004303E3">
        <w:rPr>
          <w:rFonts w:ascii="Corbel" w:hAnsi="Corbel"/>
          <w:sz w:val="22"/>
          <w:szCs w:val="22"/>
          <w:lang w:val="en-US"/>
        </w:rPr>
        <w:t>in</w:t>
      </w:r>
      <w:proofErr w:type="gramEnd"/>
      <w:r w:rsidRPr="004303E3">
        <w:rPr>
          <w:rFonts w:ascii="Corbel" w:hAnsi="Corbel"/>
          <w:sz w:val="22"/>
          <w:szCs w:val="22"/>
          <w:lang w:val="en-US"/>
        </w:rPr>
        <w:t xml:space="preserve"> the study of the functioning of modern organizations, but scarcely noting the existence of the international organizations (</w:t>
      </w:r>
      <w:proofErr w:type="spellStart"/>
      <w:r w:rsidRPr="004303E3">
        <w:rPr>
          <w:rFonts w:ascii="Corbel" w:hAnsi="Corbel"/>
          <w:sz w:val="22"/>
          <w:szCs w:val="22"/>
          <w:lang w:val="en-GB"/>
        </w:rPr>
        <w:t>Brechin</w:t>
      </w:r>
      <w:proofErr w:type="spellEnd"/>
      <w:r w:rsidRPr="004303E3">
        <w:rPr>
          <w:rFonts w:ascii="Corbel" w:hAnsi="Corbel"/>
          <w:sz w:val="22"/>
          <w:szCs w:val="22"/>
          <w:lang w:val="en-GB"/>
        </w:rPr>
        <w:t xml:space="preserve"> </w:t>
      </w:r>
      <w:r w:rsidR="00CD3E2C" w:rsidRPr="004303E3">
        <w:rPr>
          <w:rFonts w:ascii="Corbel" w:hAnsi="Corbel"/>
          <w:sz w:val="22"/>
          <w:szCs w:val="22"/>
          <w:lang w:val="en-GB"/>
        </w:rPr>
        <w:t>&amp;</w:t>
      </w:r>
      <w:r w:rsidRPr="004303E3">
        <w:rPr>
          <w:rFonts w:ascii="Corbel" w:hAnsi="Corbel"/>
          <w:sz w:val="22"/>
          <w:szCs w:val="22"/>
          <w:lang w:val="en-GB"/>
        </w:rPr>
        <w:t xml:space="preserve"> Ness 1987</w:t>
      </w:r>
      <w:r w:rsidRPr="004303E3">
        <w:rPr>
          <w:rFonts w:ascii="Corbel" w:hAnsi="Corbel"/>
          <w:sz w:val="22"/>
          <w:szCs w:val="22"/>
          <w:lang w:val="en-US"/>
        </w:rPr>
        <w:t xml:space="preserve">). </w:t>
      </w:r>
      <w:proofErr w:type="spellStart"/>
      <w:r w:rsidRPr="004303E3">
        <w:rPr>
          <w:rFonts w:ascii="Corbel" w:hAnsi="Corbel"/>
          <w:sz w:val="22"/>
          <w:szCs w:val="22"/>
          <w:lang w:val="en-US"/>
        </w:rPr>
        <w:t>Gordenker</w:t>
      </w:r>
      <w:proofErr w:type="spellEnd"/>
      <w:r w:rsidRPr="004303E3">
        <w:rPr>
          <w:rFonts w:ascii="Corbel" w:hAnsi="Corbel"/>
          <w:sz w:val="22"/>
          <w:szCs w:val="22"/>
          <w:lang w:val="en-US"/>
        </w:rPr>
        <w:t xml:space="preserve"> and Sanders (1978) suggest that possible reasons for the lack of integration between political scientists and sociologists’ work lies in the fact that these latter only focused their attention on business firms and governments which do not provide applicable models for international organizations. The disciplines studying both internal functioning of organizations and their relationships are business administration and public administration. Despite this, </w:t>
      </w:r>
      <w:proofErr w:type="spellStart"/>
      <w:r w:rsidRPr="004303E3">
        <w:rPr>
          <w:rFonts w:ascii="Corbel" w:hAnsi="Corbel"/>
          <w:sz w:val="22"/>
          <w:szCs w:val="22"/>
          <w:lang w:val="en-GB"/>
        </w:rPr>
        <w:t>Dijkzeul</w:t>
      </w:r>
      <w:proofErr w:type="spellEnd"/>
      <w:r w:rsidRPr="004303E3">
        <w:rPr>
          <w:rFonts w:ascii="Corbel" w:hAnsi="Corbel"/>
          <w:sz w:val="22"/>
          <w:szCs w:val="22"/>
          <w:lang w:val="en-GB"/>
        </w:rPr>
        <w:t xml:space="preserve"> and </w:t>
      </w:r>
      <w:proofErr w:type="spellStart"/>
      <w:r w:rsidRPr="004303E3">
        <w:rPr>
          <w:rFonts w:ascii="Corbel" w:hAnsi="Corbel"/>
          <w:sz w:val="22"/>
          <w:szCs w:val="22"/>
          <w:lang w:val="en-GB"/>
        </w:rPr>
        <w:t>Beigbeder</w:t>
      </w:r>
      <w:proofErr w:type="spellEnd"/>
      <w:r w:rsidRPr="004303E3">
        <w:rPr>
          <w:rFonts w:ascii="Corbel" w:hAnsi="Corbel"/>
          <w:sz w:val="22"/>
          <w:szCs w:val="22"/>
          <w:lang w:val="en-GB"/>
        </w:rPr>
        <w:t xml:space="preserve"> (2003:10) acknowledge that “attention to international organizations from a business administration point of view is minimal” as the focus is on “private enterprise and international organizations falls outside the realm.” Similarly, in Public Administration, the main research focus is on no-profit and national public organizations, although international organizations are not as marginalized as in business administration (</w:t>
      </w:r>
      <w:proofErr w:type="spellStart"/>
      <w:r w:rsidRPr="004303E3">
        <w:rPr>
          <w:rFonts w:ascii="Corbel" w:hAnsi="Corbel"/>
          <w:sz w:val="22"/>
          <w:szCs w:val="22"/>
          <w:lang w:val="en-GB"/>
        </w:rPr>
        <w:t>Dijkzeul</w:t>
      </w:r>
      <w:proofErr w:type="spellEnd"/>
      <w:r w:rsidRPr="004303E3">
        <w:rPr>
          <w:rFonts w:ascii="Corbel" w:hAnsi="Corbel"/>
          <w:sz w:val="22"/>
          <w:szCs w:val="22"/>
          <w:lang w:val="en-GB"/>
        </w:rPr>
        <w:t xml:space="preserve"> </w:t>
      </w:r>
      <w:r w:rsidR="001F3040" w:rsidRPr="004303E3">
        <w:rPr>
          <w:rFonts w:ascii="Corbel" w:hAnsi="Corbel"/>
          <w:sz w:val="22"/>
          <w:szCs w:val="22"/>
          <w:lang w:val="en-GB"/>
        </w:rPr>
        <w:t>&amp;</w:t>
      </w:r>
      <w:r w:rsidRPr="004303E3">
        <w:rPr>
          <w:rFonts w:ascii="Corbel" w:hAnsi="Corbel"/>
          <w:sz w:val="22"/>
          <w:szCs w:val="22"/>
          <w:lang w:val="en-GB"/>
        </w:rPr>
        <w:t xml:space="preserve"> </w:t>
      </w:r>
      <w:proofErr w:type="spellStart"/>
      <w:r w:rsidRPr="004303E3">
        <w:rPr>
          <w:rFonts w:ascii="Corbel" w:hAnsi="Corbel"/>
          <w:sz w:val="22"/>
          <w:szCs w:val="22"/>
          <w:lang w:val="en-GB"/>
        </w:rPr>
        <w:t>Beigbeder</w:t>
      </w:r>
      <w:proofErr w:type="spellEnd"/>
      <w:r w:rsidR="001F3040" w:rsidRPr="004303E3">
        <w:rPr>
          <w:rFonts w:ascii="Corbel" w:hAnsi="Corbel"/>
          <w:sz w:val="22"/>
          <w:szCs w:val="22"/>
          <w:lang w:val="en-GB"/>
        </w:rPr>
        <w:t>,</w:t>
      </w:r>
      <w:r w:rsidRPr="004303E3">
        <w:rPr>
          <w:rFonts w:ascii="Corbel" w:hAnsi="Corbel"/>
          <w:sz w:val="22"/>
          <w:szCs w:val="22"/>
          <w:lang w:val="en-GB"/>
        </w:rPr>
        <w:t xml:space="preserve"> 2003). </w:t>
      </w:r>
      <w:r w:rsidRPr="004303E3">
        <w:rPr>
          <w:rFonts w:ascii="Corbel" w:hAnsi="Corbel"/>
          <w:sz w:val="22"/>
          <w:szCs w:val="22"/>
          <w:lang w:val="en-US"/>
        </w:rPr>
        <w:t xml:space="preserve">In their relevant contribution to understanding the functioning of international organizations, </w:t>
      </w:r>
      <w:proofErr w:type="spellStart"/>
      <w:r w:rsidRPr="004303E3">
        <w:rPr>
          <w:rFonts w:ascii="Corbel" w:hAnsi="Corbel"/>
          <w:sz w:val="22"/>
          <w:szCs w:val="22"/>
          <w:lang w:val="en-US"/>
        </w:rPr>
        <w:t>Dijkzeul</w:t>
      </w:r>
      <w:proofErr w:type="spellEnd"/>
      <w:r w:rsidRPr="004303E3">
        <w:rPr>
          <w:rFonts w:ascii="Corbel" w:hAnsi="Corbel"/>
          <w:sz w:val="22"/>
          <w:szCs w:val="22"/>
          <w:lang w:val="en-US"/>
        </w:rPr>
        <w:t xml:space="preserve"> and </w:t>
      </w:r>
      <w:proofErr w:type="spellStart"/>
      <w:r w:rsidRPr="004303E3">
        <w:rPr>
          <w:rFonts w:ascii="Corbel" w:hAnsi="Corbel"/>
          <w:sz w:val="22"/>
          <w:szCs w:val="22"/>
          <w:lang w:val="en-US"/>
        </w:rPr>
        <w:t>Beigbeder</w:t>
      </w:r>
      <w:proofErr w:type="spellEnd"/>
      <w:r w:rsidRPr="004303E3">
        <w:rPr>
          <w:rFonts w:ascii="Corbel" w:hAnsi="Corbel"/>
          <w:sz w:val="22"/>
          <w:szCs w:val="22"/>
          <w:lang w:val="en-US"/>
        </w:rPr>
        <w:t xml:space="preserve"> (2003) suggested more considerable attention on actual management issues of international organizations, including the management of resources and the achievement of results. In fact, according to them, the conventional type of study suffers from three important shortcomings. These latter include (</w:t>
      </w:r>
      <w:proofErr w:type="spellStart"/>
      <w:r w:rsidRPr="004303E3">
        <w:rPr>
          <w:rFonts w:ascii="Corbel" w:hAnsi="Corbel"/>
          <w:sz w:val="22"/>
          <w:szCs w:val="22"/>
          <w:lang w:val="en-US"/>
        </w:rPr>
        <w:t>Dijkzeul</w:t>
      </w:r>
      <w:proofErr w:type="spellEnd"/>
      <w:r w:rsidRPr="004303E3">
        <w:rPr>
          <w:rFonts w:ascii="Corbel" w:hAnsi="Corbel"/>
          <w:sz w:val="22"/>
          <w:szCs w:val="22"/>
          <w:lang w:val="en-US"/>
        </w:rPr>
        <w:t xml:space="preserve"> </w:t>
      </w:r>
      <w:r w:rsidR="001F3040" w:rsidRPr="004303E3">
        <w:rPr>
          <w:rFonts w:ascii="Corbel" w:hAnsi="Corbel"/>
          <w:sz w:val="22"/>
          <w:szCs w:val="22"/>
          <w:lang w:val="en-US"/>
        </w:rPr>
        <w:t>&amp;</w:t>
      </w:r>
      <w:r w:rsidRPr="004303E3">
        <w:rPr>
          <w:rFonts w:ascii="Corbel" w:hAnsi="Corbel"/>
          <w:sz w:val="22"/>
          <w:szCs w:val="22"/>
          <w:lang w:val="en-US"/>
        </w:rPr>
        <w:t xml:space="preserve"> </w:t>
      </w:r>
      <w:proofErr w:type="spellStart"/>
      <w:r w:rsidRPr="004303E3">
        <w:rPr>
          <w:rFonts w:ascii="Corbel" w:hAnsi="Corbel"/>
          <w:sz w:val="22"/>
          <w:szCs w:val="22"/>
          <w:lang w:val="en-US"/>
        </w:rPr>
        <w:t>Beigbeder</w:t>
      </w:r>
      <w:proofErr w:type="spellEnd"/>
      <w:r w:rsidR="001F3040" w:rsidRPr="004303E3">
        <w:rPr>
          <w:rFonts w:ascii="Corbel" w:hAnsi="Corbel"/>
          <w:sz w:val="22"/>
          <w:szCs w:val="22"/>
          <w:lang w:val="en-US"/>
        </w:rPr>
        <w:t>,</w:t>
      </w:r>
      <w:r w:rsidRPr="004303E3">
        <w:rPr>
          <w:rFonts w:ascii="Corbel" w:hAnsi="Corbel"/>
          <w:sz w:val="22"/>
          <w:szCs w:val="22"/>
          <w:lang w:val="en-US"/>
        </w:rPr>
        <w:t xml:space="preserve"> 2003): </w:t>
      </w:r>
    </w:p>
    <w:p w14:paraId="0F39C4A9" w14:textId="77777777" w:rsidR="00F67ADD" w:rsidRPr="004303E3" w:rsidRDefault="00F67ADD" w:rsidP="002F71BC">
      <w:pPr>
        <w:pStyle w:val="Paragrafoelenco"/>
        <w:numPr>
          <w:ilvl w:val="0"/>
          <w:numId w:val="1"/>
        </w:numPr>
        <w:spacing w:line="240" w:lineRule="auto"/>
        <w:jc w:val="both"/>
        <w:rPr>
          <w:rFonts w:ascii="Corbel" w:hAnsi="Corbel"/>
          <w:lang w:val="en-GB"/>
        </w:rPr>
      </w:pPr>
      <w:r w:rsidRPr="004303E3">
        <w:rPr>
          <w:rFonts w:ascii="Corbel" w:hAnsi="Corbel"/>
          <w:lang w:val="en-US"/>
        </w:rPr>
        <w:lastRenderedPageBreak/>
        <w:t xml:space="preserve">the insufficiently appropriate theory about the actual functioning of international </w:t>
      </w:r>
      <w:proofErr w:type="gramStart"/>
      <w:r w:rsidRPr="004303E3">
        <w:rPr>
          <w:rFonts w:ascii="Corbel" w:hAnsi="Corbel"/>
          <w:lang w:val="en-US"/>
        </w:rPr>
        <w:t>organizations;</w:t>
      </w:r>
      <w:proofErr w:type="gramEnd"/>
      <w:r w:rsidRPr="004303E3">
        <w:rPr>
          <w:rFonts w:ascii="Corbel" w:hAnsi="Corbel"/>
          <w:lang w:val="en-US"/>
        </w:rPr>
        <w:t xml:space="preserve"> </w:t>
      </w:r>
    </w:p>
    <w:p w14:paraId="363A2E35" w14:textId="77777777" w:rsidR="00F67ADD" w:rsidRPr="004303E3" w:rsidRDefault="00F67ADD" w:rsidP="002F71BC">
      <w:pPr>
        <w:pStyle w:val="Paragrafoelenco"/>
        <w:numPr>
          <w:ilvl w:val="0"/>
          <w:numId w:val="1"/>
        </w:numPr>
        <w:spacing w:line="240" w:lineRule="auto"/>
        <w:jc w:val="both"/>
        <w:rPr>
          <w:rFonts w:ascii="Corbel" w:hAnsi="Corbel"/>
          <w:lang w:val="en-GB"/>
        </w:rPr>
      </w:pPr>
      <w:r w:rsidRPr="004303E3">
        <w:rPr>
          <w:rFonts w:ascii="Corbel" w:hAnsi="Corbel"/>
          <w:lang w:val="en-US"/>
        </w:rPr>
        <w:t xml:space="preserve">a lack of interaction of scholars from the disciplines of international relations, business administration and public </w:t>
      </w:r>
      <w:proofErr w:type="gramStart"/>
      <w:r w:rsidRPr="004303E3">
        <w:rPr>
          <w:rFonts w:ascii="Corbel" w:hAnsi="Corbel"/>
          <w:lang w:val="en-US"/>
        </w:rPr>
        <w:t>administration;</w:t>
      </w:r>
      <w:proofErr w:type="gramEnd"/>
      <w:r w:rsidRPr="004303E3">
        <w:rPr>
          <w:rFonts w:ascii="Corbel" w:hAnsi="Corbel"/>
          <w:lang w:val="en-US"/>
        </w:rPr>
        <w:t xml:space="preserve"> </w:t>
      </w:r>
    </w:p>
    <w:p w14:paraId="710B8489" w14:textId="77777777" w:rsidR="00F67ADD" w:rsidRPr="004303E3" w:rsidRDefault="00F67ADD" w:rsidP="002F71BC">
      <w:pPr>
        <w:pStyle w:val="Paragrafoelenco"/>
        <w:numPr>
          <w:ilvl w:val="0"/>
          <w:numId w:val="1"/>
        </w:numPr>
        <w:spacing w:line="240" w:lineRule="auto"/>
        <w:jc w:val="both"/>
        <w:rPr>
          <w:rFonts w:ascii="Corbel" w:hAnsi="Corbel"/>
          <w:lang w:val="en-GB"/>
        </w:rPr>
      </w:pPr>
      <w:r w:rsidRPr="004303E3">
        <w:rPr>
          <w:rFonts w:ascii="Corbel" w:hAnsi="Corbel"/>
          <w:lang w:val="en-US"/>
        </w:rPr>
        <w:t xml:space="preserve">a choice of units of analysis, concepts, and research methodology that blocks attention to such issues as implementation, internal </w:t>
      </w:r>
      <w:proofErr w:type="gramStart"/>
      <w:r w:rsidRPr="004303E3">
        <w:rPr>
          <w:rFonts w:ascii="Corbel" w:hAnsi="Corbel"/>
          <w:lang w:val="en-US"/>
        </w:rPr>
        <w:t>functioning</w:t>
      </w:r>
      <w:proofErr w:type="gramEnd"/>
      <w:r w:rsidRPr="004303E3">
        <w:rPr>
          <w:rFonts w:ascii="Corbel" w:hAnsi="Corbel"/>
          <w:lang w:val="en-US"/>
        </w:rPr>
        <w:t xml:space="preserve"> and deviations from mandate, but emphasizes such issues as decision making and the role of states.</w:t>
      </w:r>
    </w:p>
    <w:p w14:paraId="61E88171" w14:textId="605D18B1" w:rsidR="00F67ADD" w:rsidRPr="004303E3" w:rsidRDefault="00F67ADD" w:rsidP="002F71BC">
      <w:pPr>
        <w:jc w:val="both"/>
        <w:rPr>
          <w:rFonts w:ascii="Corbel" w:hAnsi="Corbel"/>
          <w:sz w:val="22"/>
          <w:szCs w:val="22"/>
          <w:lang w:val="en-GB"/>
        </w:rPr>
      </w:pPr>
      <w:r w:rsidRPr="004303E3">
        <w:rPr>
          <w:rFonts w:ascii="Corbel" w:hAnsi="Corbel"/>
          <w:sz w:val="22"/>
          <w:szCs w:val="22"/>
          <w:lang w:val="en-GB"/>
        </w:rPr>
        <w:t>Despite such a complex picture, the time has come to re-connect the research programs of the different academic disciplines towards a more integrated approach to the study of international organizations (Bauer et al.</w:t>
      </w:r>
      <w:r w:rsidR="001F3040" w:rsidRPr="004303E3">
        <w:rPr>
          <w:rFonts w:ascii="Corbel" w:hAnsi="Corbel"/>
          <w:sz w:val="22"/>
          <w:szCs w:val="22"/>
          <w:lang w:val="en-GB"/>
        </w:rPr>
        <w:t>,</w:t>
      </w:r>
      <w:r w:rsidRPr="004303E3">
        <w:rPr>
          <w:rFonts w:ascii="Corbel" w:hAnsi="Corbel"/>
          <w:sz w:val="22"/>
          <w:szCs w:val="22"/>
          <w:lang w:val="en-GB"/>
        </w:rPr>
        <w:t xml:space="preserve"> 2017). In the following paragraphs, the different perspectives of the study of international organizations will be briefly explored.        </w:t>
      </w:r>
    </w:p>
    <w:p w14:paraId="2FBAA7B0" w14:textId="6E8920C1" w:rsidR="00F67ADD" w:rsidRDefault="00F67ADD" w:rsidP="002F71BC">
      <w:pPr>
        <w:jc w:val="both"/>
        <w:rPr>
          <w:rFonts w:ascii="Corbel" w:hAnsi="Corbel"/>
          <w:i/>
          <w:lang w:val="en-GB"/>
        </w:rPr>
      </w:pPr>
    </w:p>
    <w:p w14:paraId="1DBA7FE1" w14:textId="77777777" w:rsidR="001F3040" w:rsidRPr="009722B3" w:rsidRDefault="001F3040" w:rsidP="002F71BC">
      <w:pPr>
        <w:jc w:val="both"/>
        <w:rPr>
          <w:rFonts w:ascii="Corbel" w:hAnsi="Corbel"/>
          <w:i/>
          <w:lang w:val="en-GB"/>
        </w:rPr>
      </w:pPr>
    </w:p>
    <w:p w14:paraId="26BFEA66" w14:textId="3A31A541" w:rsidR="00F67ADD" w:rsidRPr="009722B3" w:rsidRDefault="003B3FCE" w:rsidP="002F71BC">
      <w:pPr>
        <w:jc w:val="both"/>
        <w:rPr>
          <w:rFonts w:ascii="Corbel" w:hAnsi="Corbel"/>
          <w:b/>
          <w:bCs/>
          <w:iCs/>
          <w:lang w:val="en-US"/>
        </w:rPr>
      </w:pPr>
      <w:r w:rsidRPr="009722B3">
        <w:rPr>
          <w:rFonts w:ascii="Corbel" w:hAnsi="Corbel"/>
          <w:b/>
          <w:bCs/>
          <w:iCs/>
          <w:lang w:val="en-US"/>
        </w:rPr>
        <w:t>3</w:t>
      </w:r>
      <w:r w:rsidR="00F67ADD" w:rsidRPr="009722B3">
        <w:rPr>
          <w:rFonts w:ascii="Corbel" w:hAnsi="Corbel"/>
          <w:b/>
          <w:bCs/>
          <w:iCs/>
          <w:lang w:val="en-US"/>
        </w:rPr>
        <w:t xml:space="preserve"> The different ways to generate legitimacy: input and output legitimacy</w:t>
      </w:r>
    </w:p>
    <w:p w14:paraId="2B900E44" w14:textId="643F6976" w:rsidR="00F67ADD" w:rsidRPr="004303E3" w:rsidRDefault="00F67ADD" w:rsidP="002F71BC">
      <w:pPr>
        <w:jc w:val="both"/>
        <w:rPr>
          <w:rFonts w:ascii="Corbel" w:hAnsi="Corbel"/>
          <w:sz w:val="22"/>
          <w:szCs w:val="22"/>
          <w:lang w:val="en-US"/>
        </w:rPr>
      </w:pPr>
      <w:r w:rsidRPr="004303E3">
        <w:rPr>
          <w:rFonts w:ascii="Corbel" w:hAnsi="Corbel"/>
          <w:sz w:val="22"/>
          <w:szCs w:val="22"/>
          <w:lang w:val="en-US"/>
        </w:rPr>
        <w:t xml:space="preserve">The debate over the legitimacy of international organizations is a very complex topic, around which lawyers, political </w:t>
      </w:r>
      <w:proofErr w:type="gramStart"/>
      <w:r w:rsidRPr="004303E3">
        <w:rPr>
          <w:rFonts w:ascii="Corbel" w:hAnsi="Corbel"/>
          <w:sz w:val="22"/>
          <w:szCs w:val="22"/>
          <w:lang w:val="en-US"/>
        </w:rPr>
        <w:t>scientists</w:t>
      </w:r>
      <w:proofErr w:type="gramEnd"/>
      <w:r w:rsidRPr="004303E3">
        <w:rPr>
          <w:rFonts w:ascii="Corbel" w:hAnsi="Corbel"/>
          <w:sz w:val="22"/>
          <w:szCs w:val="22"/>
          <w:lang w:val="en-US"/>
        </w:rPr>
        <w:t xml:space="preserve"> and moral philosophers were confronted for a long time to find answers to the following questions: Are international organizations legitimate? What gives international organizations the right to exercise power? From where they receive their legitimacy? (Schneller</w:t>
      </w:r>
      <w:r w:rsidR="009B5C13" w:rsidRPr="004303E3">
        <w:rPr>
          <w:rFonts w:ascii="Corbel" w:hAnsi="Corbel"/>
          <w:sz w:val="22"/>
          <w:szCs w:val="22"/>
          <w:lang w:val="en-US"/>
        </w:rPr>
        <w:t>,</w:t>
      </w:r>
      <w:r w:rsidRPr="004303E3">
        <w:rPr>
          <w:rFonts w:ascii="Corbel" w:hAnsi="Corbel"/>
          <w:sz w:val="22"/>
          <w:szCs w:val="22"/>
          <w:lang w:val="en-US"/>
        </w:rPr>
        <w:t xml:space="preserve"> 2010). The search for a comprehensive answer triggered an extensive debate among the different epistemic communities of scholars (Zurn</w:t>
      </w:r>
      <w:r w:rsidR="009B5C13" w:rsidRPr="004303E3">
        <w:rPr>
          <w:rFonts w:ascii="Corbel" w:hAnsi="Corbel"/>
          <w:sz w:val="22"/>
          <w:szCs w:val="22"/>
          <w:lang w:val="en-US"/>
        </w:rPr>
        <w:t>,</w:t>
      </w:r>
      <w:r w:rsidRPr="004303E3">
        <w:rPr>
          <w:rFonts w:ascii="Corbel" w:hAnsi="Corbel"/>
          <w:sz w:val="22"/>
          <w:szCs w:val="22"/>
          <w:lang w:val="en-US"/>
        </w:rPr>
        <w:t xml:space="preserve"> 2004; </w:t>
      </w:r>
      <w:proofErr w:type="spellStart"/>
      <w:r w:rsidRPr="004303E3">
        <w:rPr>
          <w:rFonts w:ascii="Corbel" w:hAnsi="Corbel"/>
          <w:sz w:val="22"/>
          <w:szCs w:val="22"/>
          <w:lang w:val="en-US"/>
        </w:rPr>
        <w:t>Scharpf</w:t>
      </w:r>
      <w:proofErr w:type="spellEnd"/>
      <w:r w:rsidR="009B5C13" w:rsidRPr="004303E3">
        <w:rPr>
          <w:rFonts w:ascii="Corbel" w:hAnsi="Corbel"/>
          <w:sz w:val="22"/>
          <w:szCs w:val="22"/>
          <w:lang w:val="en-US"/>
        </w:rPr>
        <w:t>,</w:t>
      </w:r>
      <w:r w:rsidRPr="004303E3">
        <w:rPr>
          <w:rFonts w:ascii="Corbel" w:hAnsi="Corbel"/>
          <w:sz w:val="22"/>
          <w:szCs w:val="22"/>
          <w:lang w:val="en-US"/>
        </w:rPr>
        <w:t xml:space="preserve"> 2004; Beetham</w:t>
      </w:r>
      <w:r w:rsidR="009B5C13" w:rsidRPr="004303E3">
        <w:rPr>
          <w:rFonts w:ascii="Corbel" w:hAnsi="Corbel"/>
          <w:sz w:val="22"/>
          <w:szCs w:val="22"/>
          <w:lang w:val="en-US"/>
        </w:rPr>
        <w:t>,</w:t>
      </w:r>
      <w:r w:rsidRPr="004303E3">
        <w:rPr>
          <w:rFonts w:ascii="Corbel" w:hAnsi="Corbel"/>
          <w:sz w:val="22"/>
          <w:szCs w:val="22"/>
          <w:lang w:val="en-US"/>
        </w:rPr>
        <w:t xml:space="preserve"> 1991; Schneller</w:t>
      </w:r>
      <w:r w:rsidR="009B5C13" w:rsidRPr="004303E3">
        <w:rPr>
          <w:rFonts w:ascii="Corbel" w:hAnsi="Corbel"/>
          <w:sz w:val="22"/>
          <w:szCs w:val="22"/>
          <w:lang w:val="en-US"/>
        </w:rPr>
        <w:t>,</w:t>
      </w:r>
      <w:r w:rsidRPr="004303E3">
        <w:rPr>
          <w:rFonts w:ascii="Corbel" w:hAnsi="Corbel"/>
          <w:sz w:val="22"/>
          <w:szCs w:val="22"/>
          <w:lang w:val="en-US"/>
        </w:rPr>
        <w:t xml:space="preserve"> 2010) on the use of different theories and approaches that would be impossible to analytically reconciling here. For our purposes, it would be enough to focus on the most common approaches dealing with the legitimacy of international organizations. </w:t>
      </w:r>
    </w:p>
    <w:p w14:paraId="0D893ED7" w14:textId="66EEAFEB" w:rsidR="00F67ADD" w:rsidRPr="004303E3" w:rsidRDefault="00F67ADD" w:rsidP="002F71BC">
      <w:pPr>
        <w:jc w:val="both"/>
        <w:rPr>
          <w:rFonts w:ascii="Corbel" w:hAnsi="Corbel"/>
          <w:sz w:val="22"/>
          <w:szCs w:val="22"/>
          <w:lang w:val="en-US"/>
        </w:rPr>
      </w:pPr>
      <w:r w:rsidRPr="004303E3">
        <w:rPr>
          <w:rFonts w:ascii="Corbel" w:hAnsi="Corbel"/>
          <w:sz w:val="22"/>
          <w:szCs w:val="22"/>
          <w:lang w:val="en-US"/>
        </w:rPr>
        <w:t>The first distinction found is between input, social, and output legitimacy. Input legitimacy looks at the way the will of people is represented in decisions taken by the organizations (</w:t>
      </w:r>
      <w:proofErr w:type="spellStart"/>
      <w:r w:rsidRPr="004303E3">
        <w:rPr>
          <w:rFonts w:ascii="Corbel" w:hAnsi="Corbel"/>
          <w:sz w:val="22"/>
          <w:szCs w:val="22"/>
          <w:lang w:val="en-US"/>
        </w:rPr>
        <w:t>Mehde</w:t>
      </w:r>
      <w:proofErr w:type="spellEnd"/>
      <w:r w:rsidR="009B5C13" w:rsidRPr="004303E3">
        <w:rPr>
          <w:rFonts w:ascii="Corbel" w:hAnsi="Corbel"/>
          <w:sz w:val="22"/>
          <w:szCs w:val="22"/>
          <w:lang w:val="en-US"/>
        </w:rPr>
        <w:t>,</w:t>
      </w:r>
      <w:r w:rsidRPr="004303E3">
        <w:rPr>
          <w:rFonts w:ascii="Corbel" w:hAnsi="Corbel"/>
          <w:sz w:val="22"/>
          <w:szCs w:val="22"/>
          <w:lang w:val="en-US"/>
        </w:rPr>
        <w:t xml:space="preserve"> 2007). This kind of legitimacy is linked with the formal ties between the electorate and the decision-making system of the organizations. It is concerned with the way the people elect their representatives and how these latter represent them in the context of the international organizations (</w:t>
      </w:r>
      <w:r w:rsidR="0093499F" w:rsidRPr="004303E3">
        <w:rPr>
          <w:rFonts w:ascii="Corbel" w:hAnsi="Corbel"/>
          <w:sz w:val="22"/>
          <w:szCs w:val="22"/>
          <w:lang w:val="en-US"/>
        </w:rPr>
        <w:t>,</w:t>
      </w:r>
      <w:r w:rsidRPr="004303E3">
        <w:rPr>
          <w:rFonts w:ascii="Corbel" w:hAnsi="Corbel"/>
          <w:sz w:val="22"/>
          <w:szCs w:val="22"/>
          <w:lang w:val="en-US"/>
        </w:rPr>
        <w:t xml:space="preserve"> 2007). According to Dahl (1989), input legitimacy requires that the following five criteria must be fulfilled: the effective participation of the citizens; voting equality at the decisive stage; an enlightened understanding of the matters to be decided; the citizens’ control over the agenda; and the inclusion of all adults subject to the binding collective decisions of the association. Together with input legitimacy, social legitimacy (</w:t>
      </w:r>
      <w:proofErr w:type="spellStart"/>
      <w:r w:rsidRPr="004303E3">
        <w:rPr>
          <w:rFonts w:ascii="Corbel" w:hAnsi="Corbel"/>
          <w:sz w:val="22"/>
          <w:szCs w:val="22"/>
          <w:lang w:val="en-US"/>
        </w:rPr>
        <w:t>Weiler</w:t>
      </w:r>
      <w:proofErr w:type="spellEnd"/>
      <w:r w:rsidR="0093499F" w:rsidRPr="004303E3">
        <w:rPr>
          <w:rFonts w:ascii="Corbel" w:hAnsi="Corbel"/>
          <w:sz w:val="22"/>
          <w:szCs w:val="22"/>
          <w:lang w:val="en-US"/>
        </w:rPr>
        <w:t>,</w:t>
      </w:r>
      <w:r w:rsidRPr="004303E3">
        <w:rPr>
          <w:rFonts w:ascii="Corbel" w:hAnsi="Corbel"/>
          <w:sz w:val="22"/>
          <w:szCs w:val="22"/>
          <w:lang w:val="en-US"/>
        </w:rPr>
        <w:t xml:space="preserve"> 1991) </w:t>
      </w:r>
      <w:r w:rsidR="00C52142" w:rsidRPr="004303E3">
        <w:rPr>
          <w:rFonts w:ascii="Corbel" w:hAnsi="Corbel"/>
          <w:sz w:val="22"/>
          <w:szCs w:val="22"/>
          <w:lang w:val="en-US"/>
        </w:rPr>
        <w:t>shares</w:t>
      </w:r>
      <w:r w:rsidRPr="004303E3">
        <w:rPr>
          <w:rFonts w:ascii="Corbel" w:hAnsi="Corbel"/>
          <w:sz w:val="22"/>
          <w:szCs w:val="22"/>
          <w:lang w:val="en-US"/>
        </w:rPr>
        <w:t xml:space="preserve"> a similar focus on people but includes those backings which consider the legitimacy of different forms of democratic rule to be dependent in one way or another on the social context in which a political system operates (</w:t>
      </w:r>
      <w:proofErr w:type="spellStart"/>
      <w:r w:rsidRPr="004303E3">
        <w:rPr>
          <w:rFonts w:ascii="Corbel" w:hAnsi="Corbel"/>
          <w:sz w:val="22"/>
          <w:szCs w:val="22"/>
          <w:lang w:val="en-US"/>
        </w:rPr>
        <w:t>Schimmelfennig</w:t>
      </w:r>
      <w:proofErr w:type="spellEnd"/>
      <w:r w:rsidR="0093499F" w:rsidRPr="004303E3">
        <w:rPr>
          <w:rFonts w:ascii="Corbel" w:hAnsi="Corbel"/>
          <w:sz w:val="22"/>
          <w:szCs w:val="22"/>
          <w:lang w:val="en-US"/>
        </w:rPr>
        <w:t>,</w:t>
      </w:r>
      <w:r w:rsidRPr="004303E3">
        <w:rPr>
          <w:rFonts w:ascii="Corbel" w:hAnsi="Corbel"/>
          <w:sz w:val="22"/>
          <w:szCs w:val="22"/>
          <w:lang w:val="en-US"/>
        </w:rPr>
        <w:t xml:space="preserve"> 1996). According to the social legitimacy approach, individuals are not atomistic constituents of society (</w:t>
      </w:r>
      <w:proofErr w:type="spellStart"/>
      <w:r w:rsidRPr="004303E3">
        <w:rPr>
          <w:rFonts w:ascii="Corbel" w:hAnsi="Corbel"/>
          <w:sz w:val="22"/>
          <w:szCs w:val="22"/>
          <w:lang w:val="en-US"/>
        </w:rPr>
        <w:t>Schimmelfennig</w:t>
      </w:r>
      <w:proofErr w:type="spellEnd"/>
      <w:r w:rsidR="0093499F" w:rsidRPr="004303E3">
        <w:rPr>
          <w:rFonts w:ascii="Corbel" w:hAnsi="Corbel"/>
          <w:sz w:val="22"/>
          <w:szCs w:val="22"/>
          <w:lang w:val="en-US"/>
        </w:rPr>
        <w:t>,</w:t>
      </w:r>
      <w:r w:rsidRPr="004303E3">
        <w:rPr>
          <w:rFonts w:ascii="Corbel" w:hAnsi="Corbel"/>
          <w:sz w:val="22"/>
          <w:szCs w:val="22"/>
          <w:lang w:val="en-US"/>
        </w:rPr>
        <w:t xml:space="preserve"> 1996). These latter are born and socialized into communities from which they acquire their values and normative orientations, developing a collective identity and a sense of belonging (</w:t>
      </w:r>
      <w:proofErr w:type="spellStart"/>
      <w:r w:rsidRPr="004303E3">
        <w:rPr>
          <w:rFonts w:ascii="Corbel" w:hAnsi="Corbel"/>
          <w:sz w:val="22"/>
          <w:szCs w:val="22"/>
          <w:lang w:val="en-US"/>
        </w:rPr>
        <w:t>Schimmelfennig</w:t>
      </w:r>
      <w:proofErr w:type="spellEnd"/>
      <w:r w:rsidR="0093499F" w:rsidRPr="004303E3">
        <w:rPr>
          <w:rFonts w:ascii="Corbel" w:hAnsi="Corbel"/>
          <w:sz w:val="22"/>
          <w:szCs w:val="22"/>
          <w:lang w:val="en-US"/>
        </w:rPr>
        <w:t>,</w:t>
      </w:r>
      <w:r w:rsidRPr="004303E3">
        <w:rPr>
          <w:rFonts w:ascii="Corbel" w:hAnsi="Corbel"/>
          <w:sz w:val="22"/>
          <w:szCs w:val="22"/>
          <w:lang w:val="en-US"/>
        </w:rPr>
        <w:t xml:space="preserve"> 1996). Consequently, democracy is not a form of rule that can be established by whatever association of individuals but only by social groups. It follows that the political order at the level of international organizations must protect the communities (by consensual decision-making) to which the collective identities of the individuals are oriented (</w:t>
      </w:r>
      <w:proofErr w:type="spellStart"/>
      <w:r w:rsidRPr="004303E3">
        <w:rPr>
          <w:rFonts w:ascii="Corbel" w:hAnsi="Corbel"/>
          <w:sz w:val="22"/>
          <w:szCs w:val="22"/>
          <w:lang w:val="en-US"/>
        </w:rPr>
        <w:t>Schimmelfennig</w:t>
      </w:r>
      <w:proofErr w:type="spellEnd"/>
      <w:r w:rsidR="0093499F" w:rsidRPr="004303E3">
        <w:rPr>
          <w:rFonts w:ascii="Corbel" w:hAnsi="Corbel"/>
          <w:sz w:val="22"/>
          <w:szCs w:val="22"/>
          <w:lang w:val="en-US"/>
        </w:rPr>
        <w:t>,</w:t>
      </w:r>
      <w:r w:rsidRPr="004303E3">
        <w:rPr>
          <w:rFonts w:ascii="Corbel" w:hAnsi="Corbel"/>
          <w:sz w:val="22"/>
          <w:szCs w:val="22"/>
          <w:lang w:val="en-US"/>
        </w:rPr>
        <w:t xml:space="preserve"> 1996). Nevertheless, from a practical point of view, input and social legitimacy appear to lack the desirable substance when applied to international organizations, triggering the complex debate over their democratic deficit. Both approaches suggest that the only way to increase legitimacy would be the direct involvement and participation of individuals or groups in the decision-making system (</w:t>
      </w:r>
      <w:proofErr w:type="spellStart"/>
      <w:r w:rsidRPr="004303E3">
        <w:rPr>
          <w:rFonts w:ascii="Corbel" w:hAnsi="Corbel"/>
          <w:sz w:val="22"/>
          <w:szCs w:val="22"/>
          <w:lang w:val="en-US"/>
        </w:rPr>
        <w:t>Mehde</w:t>
      </w:r>
      <w:proofErr w:type="spellEnd"/>
      <w:r w:rsidR="0093499F" w:rsidRPr="004303E3">
        <w:rPr>
          <w:rFonts w:ascii="Corbel" w:hAnsi="Corbel"/>
          <w:sz w:val="22"/>
          <w:szCs w:val="22"/>
          <w:lang w:val="en-US"/>
        </w:rPr>
        <w:t>,</w:t>
      </w:r>
      <w:r w:rsidRPr="004303E3">
        <w:rPr>
          <w:rFonts w:ascii="Corbel" w:hAnsi="Corbel"/>
          <w:sz w:val="22"/>
          <w:szCs w:val="22"/>
          <w:lang w:val="en-US"/>
        </w:rPr>
        <w:t xml:space="preserve"> 2007). This happens through the act of voting, which produces little or no chance of influence the decisions even at the national level (</w:t>
      </w:r>
      <w:proofErr w:type="spellStart"/>
      <w:r w:rsidRPr="004303E3">
        <w:rPr>
          <w:rFonts w:ascii="Corbel" w:hAnsi="Corbel"/>
          <w:sz w:val="22"/>
          <w:szCs w:val="22"/>
          <w:lang w:val="en-US"/>
        </w:rPr>
        <w:t>Mehde</w:t>
      </w:r>
      <w:proofErr w:type="spellEnd"/>
      <w:r w:rsidR="0093499F" w:rsidRPr="004303E3">
        <w:rPr>
          <w:rFonts w:ascii="Corbel" w:hAnsi="Corbel"/>
          <w:sz w:val="22"/>
          <w:szCs w:val="22"/>
          <w:lang w:val="en-US"/>
        </w:rPr>
        <w:t>,</w:t>
      </w:r>
      <w:r w:rsidRPr="004303E3">
        <w:rPr>
          <w:rFonts w:ascii="Corbel" w:hAnsi="Corbel"/>
          <w:sz w:val="22"/>
          <w:szCs w:val="22"/>
          <w:lang w:val="en-US"/>
        </w:rPr>
        <w:t xml:space="preserve"> 2007). At the international level, the situation is worse. There are no direct elections in the context of international organizations</w:t>
      </w:r>
      <w:r w:rsidRPr="004303E3">
        <w:rPr>
          <w:rStyle w:val="Rimandonotadichiusura"/>
          <w:rFonts w:ascii="Corbel" w:hAnsi="Corbel"/>
          <w:sz w:val="22"/>
          <w:szCs w:val="22"/>
          <w:lang w:val="en-US"/>
        </w:rPr>
        <w:endnoteReference w:id="4"/>
      </w:r>
      <w:r w:rsidRPr="004303E3">
        <w:rPr>
          <w:rFonts w:ascii="Corbel" w:hAnsi="Corbel"/>
          <w:sz w:val="22"/>
          <w:szCs w:val="22"/>
          <w:lang w:val="en-US"/>
        </w:rPr>
        <w:t xml:space="preserve"> and the link between the electorate at the national level and the international decision-making is weak. </w:t>
      </w:r>
    </w:p>
    <w:p w14:paraId="653C7F37" w14:textId="2FF5FEFA" w:rsidR="00F67ADD" w:rsidRPr="004303E3" w:rsidRDefault="00F67ADD" w:rsidP="002F71BC">
      <w:pPr>
        <w:jc w:val="both"/>
        <w:rPr>
          <w:rFonts w:ascii="Corbel" w:hAnsi="Corbel"/>
          <w:sz w:val="22"/>
          <w:szCs w:val="22"/>
          <w:lang w:val="en-US"/>
        </w:rPr>
      </w:pPr>
      <w:r w:rsidRPr="004303E3">
        <w:rPr>
          <w:rFonts w:ascii="Corbel" w:hAnsi="Corbel"/>
          <w:sz w:val="22"/>
          <w:szCs w:val="22"/>
          <w:lang w:val="en-US"/>
        </w:rPr>
        <w:t xml:space="preserve">By contrast, output legitimacy focuses on the positive results that any state or administrative entity brings about. According to </w:t>
      </w:r>
      <w:proofErr w:type="spellStart"/>
      <w:r w:rsidRPr="004303E3">
        <w:rPr>
          <w:rFonts w:ascii="Corbel" w:hAnsi="Corbel"/>
          <w:sz w:val="22"/>
          <w:szCs w:val="22"/>
          <w:lang w:val="en-US"/>
        </w:rPr>
        <w:t>Scharpf</w:t>
      </w:r>
      <w:proofErr w:type="spellEnd"/>
      <w:r w:rsidRPr="004303E3">
        <w:rPr>
          <w:rFonts w:ascii="Corbel" w:hAnsi="Corbel"/>
          <w:sz w:val="22"/>
          <w:szCs w:val="22"/>
          <w:lang w:val="en-US"/>
        </w:rPr>
        <w:t xml:space="preserve"> (2004), the output legitimacy is linked with the effective results produced by the respective organization. It does not require a pre-existent collective identity, but only “the perception of a range of common interest that is sufficiently broad and stable to justify international arrangements for collective action” (</w:t>
      </w:r>
      <w:proofErr w:type="spellStart"/>
      <w:r w:rsidRPr="004303E3">
        <w:rPr>
          <w:rFonts w:ascii="Corbel" w:hAnsi="Corbel"/>
          <w:sz w:val="22"/>
          <w:szCs w:val="22"/>
          <w:lang w:val="en-US"/>
        </w:rPr>
        <w:t>Scharpf</w:t>
      </w:r>
      <w:proofErr w:type="spellEnd"/>
      <w:r w:rsidRPr="004303E3">
        <w:rPr>
          <w:rFonts w:ascii="Corbel" w:hAnsi="Corbel"/>
          <w:sz w:val="22"/>
          <w:szCs w:val="22"/>
          <w:lang w:val="en-US"/>
        </w:rPr>
        <w:t xml:space="preserve"> 2004:12). Consequently, the legitimacy of a political system depends on its </w:t>
      </w:r>
      <w:r w:rsidRPr="004303E3">
        <w:rPr>
          <w:rFonts w:ascii="Corbel" w:hAnsi="Corbel"/>
          <w:sz w:val="22"/>
          <w:szCs w:val="22"/>
          <w:lang w:val="en-US"/>
        </w:rPr>
        <w:lastRenderedPageBreak/>
        <w:t>capacity to achieve the citizens' goals and solve their problems effectively and efficiently (</w:t>
      </w:r>
      <w:proofErr w:type="spellStart"/>
      <w:r w:rsidRPr="004303E3">
        <w:rPr>
          <w:rFonts w:ascii="Corbel" w:hAnsi="Corbel"/>
          <w:sz w:val="22"/>
          <w:szCs w:val="22"/>
          <w:lang w:val="en-US"/>
        </w:rPr>
        <w:t>Schimmelfennig</w:t>
      </w:r>
      <w:proofErr w:type="spellEnd"/>
      <w:r w:rsidR="0093499F" w:rsidRPr="004303E3">
        <w:rPr>
          <w:rFonts w:ascii="Corbel" w:hAnsi="Corbel"/>
          <w:sz w:val="22"/>
          <w:szCs w:val="22"/>
          <w:lang w:val="en-US"/>
        </w:rPr>
        <w:t>,</w:t>
      </w:r>
      <w:r w:rsidRPr="004303E3">
        <w:rPr>
          <w:rFonts w:ascii="Corbel" w:hAnsi="Corbel"/>
          <w:sz w:val="22"/>
          <w:szCs w:val="22"/>
          <w:lang w:val="en-US"/>
        </w:rPr>
        <w:t xml:space="preserve"> 1996). The higher this capacity, the more legitimate the system (</w:t>
      </w:r>
      <w:proofErr w:type="spellStart"/>
      <w:r w:rsidRPr="004303E3">
        <w:rPr>
          <w:rFonts w:ascii="Corbel" w:hAnsi="Corbel"/>
          <w:sz w:val="22"/>
          <w:szCs w:val="22"/>
          <w:lang w:val="en-US"/>
        </w:rPr>
        <w:t>Schimmelfennig</w:t>
      </w:r>
      <w:proofErr w:type="spellEnd"/>
      <w:r w:rsidR="0093499F" w:rsidRPr="004303E3">
        <w:rPr>
          <w:rFonts w:ascii="Corbel" w:hAnsi="Corbel"/>
          <w:sz w:val="22"/>
          <w:szCs w:val="22"/>
          <w:lang w:val="en-US"/>
        </w:rPr>
        <w:t>,</w:t>
      </w:r>
      <w:r w:rsidRPr="004303E3">
        <w:rPr>
          <w:rFonts w:ascii="Corbel" w:hAnsi="Corbel"/>
          <w:sz w:val="22"/>
          <w:szCs w:val="22"/>
          <w:lang w:val="en-US"/>
        </w:rPr>
        <w:t xml:space="preserve"> 1996).</w:t>
      </w:r>
      <w:r w:rsidRPr="004303E3">
        <w:rPr>
          <w:rFonts w:ascii="Corbel" w:hAnsi="Corbel"/>
          <w:b/>
          <w:sz w:val="22"/>
          <w:szCs w:val="22"/>
          <w:lang w:val="en-US"/>
        </w:rPr>
        <w:t xml:space="preserve"> </w:t>
      </w:r>
      <w:r w:rsidRPr="004303E3">
        <w:rPr>
          <w:rFonts w:ascii="Corbel" w:hAnsi="Corbel"/>
          <w:sz w:val="22"/>
          <w:szCs w:val="22"/>
          <w:lang w:val="en-US"/>
        </w:rPr>
        <w:t xml:space="preserve">In other words, the degree to which actions taken by international organizations are legitimized depends on the results of such actions. Output legitimacy highlights democracy as "government for the people" in contrast with the input legitimacy perspective of “governing by the people” outlined above. Differently, this approach is not concerned with the structure of the democratic process but on its capacity to deliver the results. It is democratic insofar as the output is in the interest of the citizens. Dahl and Tufte (1973:135) define "system capacity" as the capacity of a polity "to respond fully to the collective preferences of its citizens." On a similar vein, Buchanan and Keohane (2006:422) stress “how the justification for having global governance institutions is primarily if not exclusively instrumental: we value them because of the benefits they bring, rather than regarding them as intrinsically valuable.” Consequently, “if an institution exhibits a pattern of egregious disparity between its actual performance, on the one hand, and its self-proclaimed procedures or major goals, on the other, its legitimacy is seriously called into question” (Buchanan </w:t>
      </w:r>
      <w:r w:rsidR="0093499F" w:rsidRPr="004303E3">
        <w:rPr>
          <w:rFonts w:ascii="Corbel" w:hAnsi="Corbel"/>
          <w:sz w:val="22"/>
          <w:szCs w:val="22"/>
          <w:lang w:val="en-US"/>
        </w:rPr>
        <w:t>&amp;</w:t>
      </w:r>
      <w:r w:rsidRPr="004303E3">
        <w:rPr>
          <w:rFonts w:ascii="Corbel" w:hAnsi="Corbel"/>
          <w:sz w:val="22"/>
          <w:szCs w:val="22"/>
          <w:lang w:val="en-US"/>
        </w:rPr>
        <w:t xml:space="preserve"> Keohane</w:t>
      </w:r>
      <w:r w:rsidR="0093499F" w:rsidRPr="004303E3">
        <w:rPr>
          <w:rFonts w:ascii="Corbel" w:hAnsi="Corbel"/>
          <w:sz w:val="22"/>
          <w:szCs w:val="22"/>
          <w:lang w:val="en-US"/>
        </w:rPr>
        <w:t>,</w:t>
      </w:r>
      <w:r w:rsidRPr="004303E3">
        <w:rPr>
          <w:rFonts w:ascii="Corbel" w:hAnsi="Corbel"/>
          <w:sz w:val="22"/>
          <w:szCs w:val="22"/>
          <w:lang w:val="en-US"/>
        </w:rPr>
        <w:t xml:space="preserve"> 2006:422). According to this approach, legitimacy is invariably linked to performance, and improvements in performance lead to an increased legitimacy of the organization as such (</w:t>
      </w:r>
      <w:proofErr w:type="spellStart"/>
      <w:r w:rsidRPr="004303E3">
        <w:rPr>
          <w:rFonts w:ascii="Corbel" w:hAnsi="Corbel"/>
          <w:sz w:val="22"/>
          <w:szCs w:val="22"/>
          <w:lang w:val="en-US"/>
        </w:rPr>
        <w:t>Mehde</w:t>
      </w:r>
      <w:proofErr w:type="spellEnd"/>
      <w:r w:rsidR="0093499F" w:rsidRPr="004303E3">
        <w:rPr>
          <w:rFonts w:ascii="Corbel" w:hAnsi="Corbel"/>
          <w:sz w:val="22"/>
          <w:szCs w:val="22"/>
          <w:lang w:val="en-US"/>
        </w:rPr>
        <w:t>,</w:t>
      </w:r>
      <w:r w:rsidRPr="004303E3">
        <w:rPr>
          <w:rFonts w:ascii="Corbel" w:hAnsi="Corbel"/>
          <w:sz w:val="22"/>
          <w:szCs w:val="22"/>
          <w:lang w:val="en-US"/>
        </w:rPr>
        <w:t xml:space="preserve"> 2007). As stressed by Gutner and Thompson (2010:228), “for most of the international organizations, performance is the path to legitimacy and our ability to understand performance […] is crucial”. Nevertheless, such perspective poses several practical difficulties and includes ambiguous elements to deal with (</w:t>
      </w:r>
      <w:r w:rsidR="0093499F" w:rsidRPr="004303E3">
        <w:rPr>
          <w:rFonts w:ascii="Corbel" w:hAnsi="Corbel"/>
          <w:sz w:val="22"/>
          <w:szCs w:val="22"/>
          <w:lang w:val="en-US"/>
        </w:rPr>
        <w:t>,</w:t>
      </w:r>
      <w:r w:rsidRPr="004303E3">
        <w:rPr>
          <w:rFonts w:ascii="Corbel" w:hAnsi="Corbel"/>
          <w:sz w:val="22"/>
          <w:szCs w:val="22"/>
          <w:lang w:val="en-US"/>
        </w:rPr>
        <w:t xml:space="preserve"> 2007). The difficulty in measuring the results of international organizations as long as there </w:t>
      </w:r>
      <w:proofErr w:type="gramStart"/>
      <w:r w:rsidRPr="004303E3">
        <w:rPr>
          <w:rFonts w:ascii="Corbel" w:hAnsi="Corbel"/>
          <w:sz w:val="22"/>
          <w:szCs w:val="22"/>
          <w:lang w:val="en-US"/>
        </w:rPr>
        <w:t>is</w:t>
      </w:r>
      <w:proofErr w:type="gramEnd"/>
      <w:r w:rsidRPr="004303E3">
        <w:rPr>
          <w:rFonts w:ascii="Corbel" w:hAnsi="Corbel"/>
          <w:sz w:val="22"/>
          <w:szCs w:val="22"/>
          <w:lang w:val="en-US"/>
        </w:rPr>
        <w:t xml:space="preserve"> no direct contacts with citizens or the fact that acceptance refers only to a group of people smaller than the entire population affected are just the most relevant (</w:t>
      </w:r>
      <w:proofErr w:type="spellStart"/>
      <w:r w:rsidRPr="004303E3">
        <w:rPr>
          <w:rFonts w:ascii="Corbel" w:hAnsi="Corbel"/>
          <w:sz w:val="22"/>
          <w:szCs w:val="22"/>
          <w:lang w:val="en-US"/>
        </w:rPr>
        <w:t>Mehde</w:t>
      </w:r>
      <w:proofErr w:type="spellEnd"/>
      <w:r w:rsidR="0093499F" w:rsidRPr="004303E3">
        <w:rPr>
          <w:rFonts w:ascii="Corbel" w:hAnsi="Corbel"/>
          <w:sz w:val="22"/>
          <w:szCs w:val="22"/>
          <w:lang w:val="en-US"/>
        </w:rPr>
        <w:t>,</w:t>
      </w:r>
      <w:r w:rsidRPr="004303E3">
        <w:rPr>
          <w:rFonts w:ascii="Corbel" w:hAnsi="Corbel"/>
          <w:sz w:val="22"/>
          <w:szCs w:val="22"/>
          <w:lang w:val="en-US"/>
        </w:rPr>
        <w:t xml:space="preserve"> 2007). Agreeing on what is considered an effective and accepted output for an international organization could be a quite complex issue. For example, considering the different output legitimacy conceptions developed by </w:t>
      </w:r>
      <w:proofErr w:type="spellStart"/>
      <w:r w:rsidRPr="004303E3">
        <w:rPr>
          <w:rFonts w:ascii="Corbel" w:hAnsi="Corbel"/>
          <w:sz w:val="22"/>
          <w:szCs w:val="22"/>
          <w:lang w:val="en-US"/>
        </w:rPr>
        <w:t>Moravcsik</w:t>
      </w:r>
      <w:proofErr w:type="spellEnd"/>
      <w:r w:rsidRPr="004303E3">
        <w:rPr>
          <w:rFonts w:ascii="Corbel" w:hAnsi="Corbel"/>
          <w:sz w:val="22"/>
          <w:szCs w:val="22"/>
          <w:lang w:val="en-US"/>
        </w:rPr>
        <w:t xml:space="preserve"> (2004), those attached to the libertarian approach will consider a government legitimate if it provides an effective protection of individual liberties against “potentially arbitrary, corrupt and tyrannical power” (</w:t>
      </w:r>
      <w:proofErr w:type="spellStart"/>
      <w:r w:rsidRPr="004303E3">
        <w:rPr>
          <w:rFonts w:ascii="Corbel" w:hAnsi="Corbel"/>
          <w:sz w:val="22"/>
          <w:szCs w:val="22"/>
          <w:lang w:val="en-US"/>
        </w:rPr>
        <w:t>Moravcsik</w:t>
      </w:r>
      <w:proofErr w:type="spellEnd"/>
      <w:r w:rsidRPr="004303E3">
        <w:rPr>
          <w:rFonts w:ascii="Corbel" w:hAnsi="Corbel"/>
          <w:sz w:val="22"/>
          <w:szCs w:val="22"/>
          <w:lang w:val="en-US"/>
        </w:rPr>
        <w:t>, 2004:339). By contrast, those favoring the social democratic model will consider legitimate an organization bringing about equality and social justice (</w:t>
      </w:r>
      <w:proofErr w:type="spellStart"/>
      <w:r w:rsidRPr="004303E3">
        <w:rPr>
          <w:rFonts w:ascii="Corbel" w:hAnsi="Corbel"/>
          <w:sz w:val="22"/>
          <w:szCs w:val="22"/>
          <w:lang w:val="en-US"/>
        </w:rPr>
        <w:t>Moravcsik</w:t>
      </w:r>
      <w:proofErr w:type="spellEnd"/>
      <w:r w:rsidR="0093499F" w:rsidRPr="004303E3">
        <w:rPr>
          <w:rFonts w:ascii="Corbel" w:hAnsi="Corbel"/>
          <w:sz w:val="22"/>
          <w:szCs w:val="22"/>
          <w:lang w:val="en-US"/>
        </w:rPr>
        <w:t>,</w:t>
      </w:r>
      <w:r w:rsidRPr="004303E3">
        <w:rPr>
          <w:rFonts w:ascii="Corbel" w:hAnsi="Corbel"/>
          <w:sz w:val="22"/>
          <w:szCs w:val="22"/>
          <w:lang w:val="en-US"/>
        </w:rPr>
        <w:t xml:space="preserve"> 2004). On a different level, measuring the results of different organizations imply the adoption of distinct and specific criteria difficult to generalize in analytical terms. But as noted by Gutner and Thompson (2010:229), in times </w:t>
      </w:r>
      <w:proofErr w:type="gramStart"/>
      <w:r w:rsidRPr="004303E3">
        <w:rPr>
          <w:rFonts w:ascii="Corbel" w:hAnsi="Corbel"/>
          <w:sz w:val="22"/>
          <w:szCs w:val="22"/>
          <w:lang w:val="en-US"/>
        </w:rPr>
        <w:t>were</w:t>
      </w:r>
      <w:proofErr w:type="gramEnd"/>
      <w:r w:rsidRPr="004303E3">
        <w:rPr>
          <w:rFonts w:ascii="Corbel" w:hAnsi="Corbel"/>
          <w:sz w:val="22"/>
          <w:szCs w:val="22"/>
          <w:lang w:val="en-US"/>
        </w:rPr>
        <w:t xml:space="preserve"> international organizations are confronted with new and relevant challenges posed by the globalization process and need to reform, “it is critical that scholars do more than sit passively on the sidelines.” Therefore, although such difficulties, the output legitimacy perspective can be a crucial leverage to shift the debate on the alleged democratic deficit of international organizations, from the traditional legalistic and political approach to the management side of international organizations. The output legitimacy perspective is of significant interest as it correlates the performance of international organizations to their legitimacy. From one side, a good performance could reduce the gap between the increased powers acquired by international organizations and the perceived lack of legitimacy, but, on the other side, inadequate performance could question their legitimacy and credibility. </w:t>
      </w:r>
    </w:p>
    <w:p w14:paraId="3076D1EB" w14:textId="205BBE82" w:rsidR="00F67ADD" w:rsidRDefault="00F67ADD" w:rsidP="002F71BC">
      <w:pPr>
        <w:jc w:val="both"/>
        <w:rPr>
          <w:rFonts w:ascii="Corbel" w:hAnsi="Corbel"/>
          <w:lang w:val="en-US"/>
        </w:rPr>
      </w:pPr>
    </w:p>
    <w:p w14:paraId="7AA83A05" w14:textId="77777777" w:rsidR="0093499F" w:rsidRPr="009722B3" w:rsidRDefault="0093499F" w:rsidP="002F71BC">
      <w:pPr>
        <w:jc w:val="both"/>
        <w:rPr>
          <w:rFonts w:ascii="Corbel" w:hAnsi="Corbel"/>
          <w:lang w:val="en-US"/>
        </w:rPr>
      </w:pPr>
    </w:p>
    <w:p w14:paraId="595FFAB1" w14:textId="3A1446B9" w:rsidR="00F67ADD" w:rsidRPr="009722B3" w:rsidRDefault="004303E3" w:rsidP="002F71BC">
      <w:pPr>
        <w:jc w:val="both"/>
        <w:rPr>
          <w:rFonts w:ascii="Corbel" w:hAnsi="Corbel"/>
          <w:b/>
          <w:bCs/>
          <w:i/>
          <w:lang w:val="en-US"/>
        </w:rPr>
      </w:pPr>
      <w:r>
        <w:rPr>
          <w:rFonts w:ascii="Corbel" w:hAnsi="Corbel"/>
          <w:b/>
          <w:bCs/>
          <w:i/>
          <w:lang w:val="en-US"/>
        </w:rPr>
        <w:t>4</w:t>
      </w:r>
      <w:r w:rsidR="00F67ADD" w:rsidRPr="009722B3">
        <w:rPr>
          <w:rFonts w:ascii="Corbel" w:hAnsi="Corbel"/>
          <w:b/>
          <w:bCs/>
          <w:i/>
          <w:lang w:val="en-US"/>
        </w:rPr>
        <w:t>. Performance management: recent trends and substance</w:t>
      </w:r>
    </w:p>
    <w:p w14:paraId="52212C5F" w14:textId="43B1E2BE" w:rsidR="00F67ADD" w:rsidRPr="004303E3" w:rsidRDefault="00F67ADD" w:rsidP="002F71BC">
      <w:pPr>
        <w:jc w:val="both"/>
        <w:rPr>
          <w:rFonts w:ascii="Corbel" w:hAnsi="Corbel"/>
          <w:sz w:val="22"/>
          <w:szCs w:val="22"/>
          <w:lang w:val="en-US"/>
        </w:rPr>
      </w:pPr>
      <w:r w:rsidRPr="004303E3">
        <w:rPr>
          <w:rFonts w:ascii="Corbel" w:hAnsi="Corbel"/>
          <w:sz w:val="22"/>
          <w:szCs w:val="22"/>
          <w:lang w:val="en-US"/>
        </w:rPr>
        <w:t xml:space="preserve">The trend towards reforming public sector organizations is closely associated with the increasing orientation of public management towards performances. According to several authors (Pollitt </w:t>
      </w:r>
      <w:r w:rsidR="00D5002E" w:rsidRPr="004303E3">
        <w:rPr>
          <w:rFonts w:ascii="Corbel" w:hAnsi="Corbel"/>
          <w:sz w:val="22"/>
          <w:szCs w:val="22"/>
          <w:lang w:val="en-US"/>
        </w:rPr>
        <w:t>&amp;</w:t>
      </w:r>
      <w:r w:rsidRPr="004303E3">
        <w:rPr>
          <w:rFonts w:ascii="Corbel" w:hAnsi="Corbel"/>
          <w:sz w:val="22"/>
          <w:szCs w:val="22"/>
          <w:lang w:val="en-US"/>
        </w:rPr>
        <w:t xml:space="preserve"> Bouckaert</w:t>
      </w:r>
      <w:r w:rsidR="00D5002E" w:rsidRPr="004303E3">
        <w:rPr>
          <w:rFonts w:ascii="Corbel" w:hAnsi="Corbel"/>
          <w:sz w:val="22"/>
          <w:szCs w:val="22"/>
          <w:lang w:val="en-US"/>
        </w:rPr>
        <w:t>,</w:t>
      </w:r>
      <w:r w:rsidRPr="004303E3">
        <w:rPr>
          <w:rFonts w:ascii="Corbel" w:hAnsi="Corbel"/>
          <w:sz w:val="22"/>
          <w:szCs w:val="22"/>
          <w:lang w:val="en-US"/>
        </w:rPr>
        <w:t xml:space="preserve"> 2017; Hood</w:t>
      </w:r>
      <w:r w:rsidR="00D5002E" w:rsidRPr="004303E3">
        <w:rPr>
          <w:rFonts w:ascii="Corbel" w:hAnsi="Corbel"/>
          <w:sz w:val="22"/>
          <w:szCs w:val="22"/>
          <w:lang w:val="en-US"/>
        </w:rPr>
        <w:t>,</w:t>
      </w:r>
      <w:r w:rsidRPr="004303E3">
        <w:rPr>
          <w:rFonts w:ascii="Corbel" w:hAnsi="Corbel"/>
          <w:sz w:val="22"/>
          <w:szCs w:val="22"/>
          <w:lang w:val="en-US"/>
        </w:rPr>
        <w:t xml:space="preserve"> 1991; Hood </w:t>
      </w:r>
      <w:r w:rsidR="00D5002E" w:rsidRPr="004303E3">
        <w:rPr>
          <w:rFonts w:ascii="Corbel" w:hAnsi="Corbel"/>
          <w:sz w:val="22"/>
          <w:szCs w:val="22"/>
          <w:lang w:val="en-US"/>
        </w:rPr>
        <w:t>&amp;</w:t>
      </w:r>
      <w:r w:rsidRPr="004303E3">
        <w:rPr>
          <w:rFonts w:ascii="Corbel" w:hAnsi="Corbel"/>
          <w:sz w:val="22"/>
          <w:szCs w:val="22"/>
          <w:lang w:val="en-US"/>
        </w:rPr>
        <w:t xml:space="preserve"> Peters</w:t>
      </w:r>
      <w:r w:rsidR="00D5002E" w:rsidRPr="004303E3">
        <w:rPr>
          <w:rFonts w:ascii="Corbel" w:hAnsi="Corbel"/>
          <w:sz w:val="22"/>
          <w:szCs w:val="22"/>
          <w:lang w:val="en-US"/>
        </w:rPr>
        <w:t>,</w:t>
      </w:r>
      <w:r w:rsidRPr="004303E3">
        <w:rPr>
          <w:rFonts w:ascii="Corbel" w:hAnsi="Corbel"/>
          <w:sz w:val="22"/>
          <w:szCs w:val="22"/>
          <w:lang w:val="en-US"/>
        </w:rPr>
        <w:t xml:space="preserve"> 2004), performance management is the core of public management. Consequently, public sector reforms included a strong emphasis on adopting performance management systems, to the point that, as put it by </w:t>
      </w:r>
      <w:proofErr w:type="spellStart"/>
      <w:r w:rsidRPr="004303E3">
        <w:rPr>
          <w:rFonts w:ascii="Corbel" w:hAnsi="Corbel"/>
          <w:sz w:val="22"/>
          <w:szCs w:val="22"/>
          <w:lang w:val="en-US"/>
        </w:rPr>
        <w:t>Radin</w:t>
      </w:r>
      <w:proofErr w:type="spellEnd"/>
      <w:r w:rsidRPr="004303E3">
        <w:rPr>
          <w:rFonts w:ascii="Corbel" w:hAnsi="Corbel"/>
          <w:sz w:val="22"/>
          <w:szCs w:val="22"/>
          <w:lang w:val="en-US"/>
        </w:rPr>
        <w:t xml:space="preserve"> (2000:168), “if there is a single theme that characterizes the public sector in the 1990s, is the demand for performance. </w:t>
      </w:r>
    </w:p>
    <w:p w14:paraId="5DB00AB5" w14:textId="4E180F89" w:rsidR="00F67ADD" w:rsidRPr="004303E3" w:rsidRDefault="00F67ADD" w:rsidP="002F71BC">
      <w:pPr>
        <w:jc w:val="both"/>
        <w:rPr>
          <w:rFonts w:ascii="Corbel" w:hAnsi="Corbel"/>
          <w:sz w:val="22"/>
          <w:szCs w:val="22"/>
          <w:lang w:val="en-US"/>
        </w:rPr>
      </w:pPr>
      <w:r w:rsidRPr="004303E3">
        <w:rPr>
          <w:rFonts w:ascii="Corbel" w:hAnsi="Corbel"/>
          <w:sz w:val="22"/>
          <w:szCs w:val="22"/>
          <w:lang w:val="en-US"/>
        </w:rPr>
        <w:t xml:space="preserve">Performance is not a unitary concept and encompasses different meanings and levels. As for the concept, in literature, different definitions of performance can be found. Bovaird (1996:147) formulated a generic description of performance “as a set of information about the achievement of varying significance to different stakeholders.” More commonly, performance can be defined as an organization’s ability to achieve agreed objectives. Consequently, assessing organizational performance means analyzing the outcome produced as well as the process leading to the outcome in terms of efficiency, effort, and skills (Gutner </w:t>
      </w:r>
      <w:r w:rsidR="00D5002E" w:rsidRPr="004303E3">
        <w:rPr>
          <w:rFonts w:ascii="Corbel" w:hAnsi="Corbel"/>
          <w:sz w:val="22"/>
          <w:szCs w:val="22"/>
          <w:lang w:val="en-US"/>
        </w:rPr>
        <w:t>&amp;</w:t>
      </w:r>
      <w:r w:rsidRPr="004303E3">
        <w:rPr>
          <w:rFonts w:ascii="Corbel" w:hAnsi="Corbel"/>
          <w:sz w:val="22"/>
          <w:szCs w:val="22"/>
          <w:lang w:val="en-US"/>
        </w:rPr>
        <w:t xml:space="preserve"> </w:t>
      </w:r>
      <w:r w:rsidRPr="004303E3">
        <w:rPr>
          <w:rFonts w:ascii="Corbel" w:hAnsi="Corbel"/>
          <w:sz w:val="22"/>
          <w:szCs w:val="22"/>
          <w:lang w:val="en-US"/>
        </w:rPr>
        <w:lastRenderedPageBreak/>
        <w:t>Thompson</w:t>
      </w:r>
      <w:r w:rsidR="00D5002E" w:rsidRPr="004303E3">
        <w:rPr>
          <w:rFonts w:ascii="Corbel" w:hAnsi="Corbel"/>
          <w:sz w:val="22"/>
          <w:szCs w:val="22"/>
          <w:lang w:val="en-US"/>
        </w:rPr>
        <w:t>,</w:t>
      </w:r>
      <w:r w:rsidRPr="004303E3">
        <w:rPr>
          <w:rFonts w:ascii="Corbel" w:hAnsi="Corbel"/>
          <w:sz w:val="22"/>
          <w:szCs w:val="22"/>
          <w:lang w:val="en-US"/>
        </w:rPr>
        <w:t xml:space="preserve"> 2010). Different models and metrics are generally employed to measure the performance of organizations according to the extension and intensity of the performance measurement. </w:t>
      </w:r>
    </w:p>
    <w:p w14:paraId="4597A58F" w14:textId="3B986DB4" w:rsidR="00F67ADD" w:rsidRPr="009722B3" w:rsidRDefault="00F67ADD" w:rsidP="002F71BC">
      <w:pPr>
        <w:jc w:val="both"/>
        <w:rPr>
          <w:rFonts w:ascii="Corbel" w:hAnsi="Corbel"/>
          <w:lang w:val="en-US"/>
        </w:rPr>
      </w:pPr>
      <w:r w:rsidRPr="004303E3">
        <w:rPr>
          <w:rFonts w:ascii="Corbel" w:hAnsi="Corbel"/>
          <w:sz w:val="22"/>
          <w:szCs w:val="22"/>
          <w:lang w:val="en-US"/>
        </w:rPr>
        <w:t xml:space="preserve">The extension of a performance management system can be measured along two different dimensions, span, and depth. Span of performance can be defined as the horizontal expansion of the results and is linked to the mechanistic relationship between inputs, activities, and outputs (Bouckaert </w:t>
      </w:r>
      <w:r w:rsidR="0000395B" w:rsidRPr="004303E3">
        <w:rPr>
          <w:rFonts w:ascii="Corbel" w:hAnsi="Corbel"/>
          <w:sz w:val="22"/>
          <w:szCs w:val="22"/>
          <w:lang w:val="en-US"/>
        </w:rPr>
        <w:t>&amp;</w:t>
      </w:r>
      <w:r w:rsidRPr="004303E3">
        <w:rPr>
          <w:rFonts w:ascii="Corbel" w:hAnsi="Corbel"/>
          <w:sz w:val="22"/>
          <w:szCs w:val="22"/>
          <w:lang w:val="en-US"/>
        </w:rPr>
        <w:t xml:space="preserve"> Halligan</w:t>
      </w:r>
      <w:r w:rsidR="0000395B" w:rsidRPr="004303E3">
        <w:rPr>
          <w:rFonts w:ascii="Corbel" w:hAnsi="Corbel"/>
          <w:sz w:val="22"/>
          <w:szCs w:val="22"/>
          <w:lang w:val="en-US"/>
        </w:rPr>
        <w:t>,</w:t>
      </w:r>
      <w:r w:rsidRPr="004303E3">
        <w:rPr>
          <w:rFonts w:ascii="Corbel" w:hAnsi="Corbel"/>
          <w:sz w:val="22"/>
          <w:szCs w:val="22"/>
          <w:lang w:val="en-US"/>
        </w:rPr>
        <w:t xml:space="preserve"> 2008). The latter is defined as the quantitative and qualitative results in terms of services or products, generated by processing inputs. (Bouckaert </w:t>
      </w:r>
      <w:r w:rsidR="00E562BB" w:rsidRPr="004303E3">
        <w:rPr>
          <w:rFonts w:ascii="Corbel" w:hAnsi="Corbel"/>
          <w:sz w:val="22"/>
          <w:szCs w:val="22"/>
          <w:lang w:val="en-US"/>
        </w:rPr>
        <w:t>&amp;</w:t>
      </w:r>
      <w:r w:rsidRPr="004303E3">
        <w:rPr>
          <w:rFonts w:ascii="Corbel" w:hAnsi="Corbel"/>
          <w:sz w:val="22"/>
          <w:szCs w:val="22"/>
          <w:lang w:val="en-US"/>
        </w:rPr>
        <w:t xml:space="preserve"> Halligan</w:t>
      </w:r>
      <w:r w:rsidR="00E562BB" w:rsidRPr="004303E3">
        <w:rPr>
          <w:rFonts w:ascii="Corbel" w:hAnsi="Corbel"/>
          <w:sz w:val="22"/>
          <w:szCs w:val="22"/>
          <w:lang w:val="en-US"/>
        </w:rPr>
        <w:t>,</w:t>
      </w:r>
      <w:r w:rsidRPr="004303E3">
        <w:rPr>
          <w:rFonts w:ascii="Corbel" w:hAnsi="Corbel"/>
          <w:sz w:val="22"/>
          <w:szCs w:val="22"/>
          <w:lang w:val="en-US"/>
        </w:rPr>
        <w:t xml:space="preserve"> 2008). Normally outputs are never considered an end in themselves, and as much as they are, more easily can be transferred to the private sector (Bouckaert </w:t>
      </w:r>
      <w:r w:rsidR="00E562BB" w:rsidRPr="004303E3">
        <w:rPr>
          <w:rFonts w:ascii="Corbel" w:hAnsi="Corbel"/>
          <w:sz w:val="22"/>
          <w:szCs w:val="22"/>
          <w:lang w:val="en-US"/>
        </w:rPr>
        <w:t>&amp;</w:t>
      </w:r>
      <w:r w:rsidRPr="004303E3">
        <w:rPr>
          <w:rFonts w:ascii="Corbel" w:hAnsi="Corbel"/>
          <w:sz w:val="22"/>
          <w:szCs w:val="22"/>
          <w:lang w:val="en-US"/>
        </w:rPr>
        <w:t xml:space="preserve"> Halligan</w:t>
      </w:r>
      <w:r w:rsidR="00E562BB" w:rsidRPr="004303E3">
        <w:rPr>
          <w:rFonts w:ascii="Corbel" w:hAnsi="Corbel"/>
          <w:sz w:val="22"/>
          <w:szCs w:val="22"/>
          <w:lang w:val="en-US"/>
        </w:rPr>
        <w:t>,</w:t>
      </w:r>
      <w:r w:rsidRPr="004303E3">
        <w:rPr>
          <w:rFonts w:ascii="Corbel" w:hAnsi="Corbel"/>
          <w:sz w:val="22"/>
          <w:szCs w:val="22"/>
          <w:lang w:val="en-US"/>
        </w:rPr>
        <w:t xml:space="preserve"> 2008). Conversely, the less an output is an </w:t>
      </w:r>
      <w:proofErr w:type="gramStart"/>
      <w:r w:rsidRPr="004303E3">
        <w:rPr>
          <w:rFonts w:ascii="Corbel" w:hAnsi="Corbel"/>
          <w:sz w:val="22"/>
          <w:szCs w:val="22"/>
          <w:lang w:val="en-US"/>
        </w:rPr>
        <w:t>end in itself, the</w:t>
      </w:r>
      <w:proofErr w:type="gramEnd"/>
      <w:r w:rsidRPr="004303E3">
        <w:rPr>
          <w:rFonts w:ascii="Corbel" w:hAnsi="Corbel"/>
          <w:sz w:val="22"/>
          <w:szCs w:val="22"/>
          <w:lang w:val="en-US"/>
        </w:rPr>
        <w:t xml:space="preserve"> more belongs to the public sector (Bouckaert </w:t>
      </w:r>
      <w:r w:rsidR="00E562BB" w:rsidRPr="004303E3">
        <w:rPr>
          <w:rFonts w:ascii="Corbel" w:hAnsi="Corbel"/>
          <w:sz w:val="22"/>
          <w:szCs w:val="22"/>
          <w:lang w:val="en-US"/>
        </w:rPr>
        <w:t>&amp;</w:t>
      </w:r>
      <w:r w:rsidRPr="004303E3">
        <w:rPr>
          <w:rFonts w:ascii="Corbel" w:hAnsi="Corbel"/>
          <w:sz w:val="22"/>
          <w:szCs w:val="22"/>
          <w:lang w:val="en-US"/>
        </w:rPr>
        <w:t xml:space="preserve"> Halligan</w:t>
      </w:r>
      <w:r w:rsidR="00E562BB" w:rsidRPr="004303E3">
        <w:rPr>
          <w:rFonts w:ascii="Corbel" w:hAnsi="Corbel"/>
          <w:sz w:val="22"/>
          <w:szCs w:val="22"/>
          <w:lang w:val="en-US"/>
        </w:rPr>
        <w:t>,</w:t>
      </w:r>
      <w:r w:rsidRPr="004303E3">
        <w:rPr>
          <w:rFonts w:ascii="Corbel" w:hAnsi="Corbel"/>
          <w:sz w:val="22"/>
          <w:szCs w:val="22"/>
          <w:lang w:val="en-US"/>
        </w:rPr>
        <w:t xml:space="preserve"> 2008). Outputs then leave the organization and enter the society, and their effect is defined as an outcome. This latter should be the primary concern in assessing public sector performance. Therefore, as much as a performance management system </w:t>
      </w:r>
      <w:proofErr w:type="gramStart"/>
      <w:r w:rsidRPr="004303E3">
        <w:rPr>
          <w:rFonts w:ascii="Corbel" w:hAnsi="Corbel"/>
          <w:sz w:val="22"/>
          <w:szCs w:val="22"/>
          <w:lang w:val="en-US"/>
        </w:rPr>
        <w:t>is able to</w:t>
      </w:r>
      <w:proofErr w:type="gramEnd"/>
      <w:r w:rsidRPr="004303E3">
        <w:rPr>
          <w:rFonts w:ascii="Corbel" w:hAnsi="Corbel"/>
          <w:sz w:val="22"/>
          <w:szCs w:val="22"/>
          <w:lang w:val="en-US"/>
        </w:rPr>
        <w:t xml:space="preserve"> measure outcomes as much wider is the span. Although some claimed that also outcomes and effects are not the </w:t>
      </w:r>
      <w:proofErr w:type="gramStart"/>
      <w:r w:rsidRPr="004303E3">
        <w:rPr>
          <w:rFonts w:ascii="Corbel" w:hAnsi="Corbel"/>
          <w:sz w:val="22"/>
          <w:szCs w:val="22"/>
          <w:lang w:val="en-US"/>
        </w:rPr>
        <w:t>ultimate aim</w:t>
      </w:r>
      <w:proofErr w:type="gramEnd"/>
      <w:r w:rsidRPr="004303E3">
        <w:rPr>
          <w:rFonts w:ascii="Corbel" w:hAnsi="Corbel"/>
          <w:sz w:val="22"/>
          <w:szCs w:val="22"/>
          <w:lang w:val="en-US"/>
        </w:rPr>
        <w:t xml:space="preserve"> of public sector organizations, being this latter “guaranteeing a functional level of trust by citizens in all its institutions and organizations” (Pollitt </w:t>
      </w:r>
      <w:r w:rsidR="00E562BB" w:rsidRPr="004303E3">
        <w:rPr>
          <w:rFonts w:ascii="Corbel" w:hAnsi="Corbel"/>
          <w:sz w:val="22"/>
          <w:szCs w:val="22"/>
          <w:lang w:val="en-US"/>
        </w:rPr>
        <w:t>&amp;</w:t>
      </w:r>
      <w:r w:rsidRPr="004303E3">
        <w:rPr>
          <w:rFonts w:ascii="Corbel" w:hAnsi="Corbel"/>
          <w:sz w:val="22"/>
          <w:szCs w:val="22"/>
          <w:lang w:val="en-US"/>
        </w:rPr>
        <w:t xml:space="preserve"> Bouckaert</w:t>
      </w:r>
      <w:r w:rsidR="00E562BB" w:rsidRPr="004303E3">
        <w:rPr>
          <w:rFonts w:ascii="Corbel" w:hAnsi="Corbel"/>
          <w:sz w:val="22"/>
          <w:szCs w:val="22"/>
          <w:lang w:val="en-US"/>
        </w:rPr>
        <w:t>,</w:t>
      </w:r>
      <w:r w:rsidRPr="004303E3">
        <w:rPr>
          <w:rFonts w:ascii="Corbel" w:hAnsi="Corbel"/>
          <w:sz w:val="22"/>
          <w:szCs w:val="22"/>
          <w:lang w:val="en-US"/>
        </w:rPr>
        <w:t xml:space="preserve"> 2008). Similarly, Gutner and Thompson (2010) </w:t>
      </w:r>
      <w:proofErr w:type="gramStart"/>
      <w:r w:rsidRPr="004303E3">
        <w:rPr>
          <w:rFonts w:ascii="Corbel" w:hAnsi="Corbel"/>
          <w:sz w:val="22"/>
          <w:szCs w:val="22"/>
          <w:lang w:val="en-US"/>
        </w:rPr>
        <w:t>proposes</w:t>
      </w:r>
      <w:proofErr w:type="gramEnd"/>
      <w:r w:rsidRPr="004303E3">
        <w:rPr>
          <w:rFonts w:ascii="Corbel" w:hAnsi="Corbel"/>
          <w:sz w:val="22"/>
          <w:szCs w:val="22"/>
          <w:lang w:val="en-US"/>
        </w:rPr>
        <w:t xml:space="preserve"> a similar metric to measure the different levels of performance achieved by an organization focused on macro outcomes at one end of a continuum and process-based indicators on the other. In this case, the span will be narrow as much as the system will be focused on measuring the internal processes carried out within the organization to achieve the agreed objectives. Conversely, it will be is wider as much as the performance system can measure the ability of the organization to solve problems and enhance welfare (outcomes). Nevertheless, outcomes or effects are generally realized with the contribution of several organizations. Thus, performance management systems should not be just organized at the level of a single organization (micro-level) but at least at the level of policy field (meso-level) or government-wide (macro-level) (Bouckaert </w:t>
      </w:r>
      <w:r w:rsidR="00E562BB" w:rsidRPr="004303E3">
        <w:rPr>
          <w:rFonts w:ascii="Corbel" w:hAnsi="Corbel"/>
          <w:sz w:val="22"/>
          <w:szCs w:val="22"/>
          <w:lang w:val="en-US"/>
        </w:rPr>
        <w:t>&amp;</w:t>
      </w:r>
      <w:r w:rsidRPr="004303E3">
        <w:rPr>
          <w:rFonts w:ascii="Corbel" w:hAnsi="Corbel"/>
          <w:sz w:val="22"/>
          <w:szCs w:val="22"/>
          <w:lang w:val="en-US"/>
        </w:rPr>
        <w:t xml:space="preserve"> Halligan</w:t>
      </w:r>
      <w:r w:rsidR="00E562BB" w:rsidRPr="004303E3">
        <w:rPr>
          <w:rFonts w:ascii="Corbel" w:hAnsi="Corbel"/>
          <w:sz w:val="22"/>
          <w:szCs w:val="22"/>
          <w:lang w:val="en-US"/>
        </w:rPr>
        <w:t>,</w:t>
      </w:r>
      <w:r w:rsidRPr="004303E3">
        <w:rPr>
          <w:rFonts w:ascii="Corbel" w:hAnsi="Corbel"/>
          <w:sz w:val="22"/>
          <w:szCs w:val="22"/>
          <w:lang w:val="en-US"/>
        </w:rPr>
        <w:t xml:space="preserve"> 2008). This is related to the vertical dimension of performance, which is defined as performance depth. Also, performance can be conceived at the individual or organizational level (Talbot</w:t>
      </w:r>
      <w:r w:rsidR="00E562BB" w:rsidRPr="004303E3">
        <w:rPr>
          <w:rFonts w:ascii="Corbel" w:hAnsi="Corbel"/>
          <w:sz w:val="22"/>
          <w:szCs w:val="22"/>
          <w:lang w:val="en-US"/>
        </w:rPr>
        <w:t>,</w:t>
      </w:r>
      <w:r w:rsidRPr="004303E3">
        <w:rPr>
          <w:rFonts w:ascii="Corbel" w:hAnsi="Corbel"/>
          <w:sz w:val="22"/>
          <w:szCs w:val="22"/>
          <w:lang w:val="en-US"/>
        </w:rPr>
        <w:t xml:space="preserve"> 2005). Combining span and depth of performance can result in a different focus of performance systems. </w:t>
      </w:r>
    </w:p>
    <w:p w14:paraId="341D23C4" w14:textId="2DF4081E" w:rsidR="00E97990" w:rsidRDefault="00E97990" w:rsidP="002F71BC">
      <w:pPr>
        <w:jc w:val="both"/>
        <w:rPr>
          <w:rFonts w:ascii="Corbel" w:hAnsi="Corbel"/>
          <w:lang w:val="en-US"/>
        </w:rPr>
      </w:pPr>
    </w:p>
    <w:p w14:paraId="05E83CC5" w14:textId="77777777" w:rsidR="00E562BB" w:rsidRPr="009722B3" w:rsidRDefault="00E562BB" w:rsidP="002F71BC">
      <w:pPr>
        <w:jc w:val="both"/>
        <w:rPr>
          <w:rFonts w:ascii="Corbel" w:hAnsi="Corbel"/>
          <w:lang w:val="en-US"/>
        </w:rPr>
      </w:pPr>
    </w:p>
    <w:p w14:paraId="54039784" w14:textId="4A2B7B8C" w:rsidR="00F67ADD" w:rsidRPr="009722B3" w:rsidRDefault="004303E3" w:rsidP="002F71BC">
      <w:pPr>
        <w:jc w:val="both"/>
        <w:rPr>
          <w:rFonts w:ascii="Corbel" w:hAnsi="Corbel"/>
          <w:b/>
          <w:bCs/>
          <w:iCs/>
          <w:lang w:val="en-US"/>
        </w:rPr>
      </w:pPr>
      <w:r>
        <w:rPr>
          <w:rFonts w:ascii="Corbel" w:hAnsi="Corbel"/>
          <w:b/>
          <w:bCs/>
          <w:iCs/>
          <w:lang w:val="en-US"/>
        </w:rPr>
        <w:t>5</w:t>
      </w:r>
      <w:r w:rsidR="00E97990" w:rsidRPr="009722B3">
        <w:rPr>
          <w:rFonts w:ascii="Corbel" w:hAnsi="Corbel"/>
          <w:b/>
          <w:bCs/>
          <w:iCs/>
          <w:lang w:val="en-US"/>
        </w:rPr>
        <w:t>.</w:t>
      </w:r>
      <w:r w:rsidR="00F67ADD" w:rsidRPr="009722B3">
        <w:rPr>
          <w:rFonts w:ascii="Corbel" w:hAnsi="Corbel"/>
          <w:b/>
          <w:bCs/>
          <w:iCs/>
          <w:lang w:val="en-US"/>
        </w:rPr>
        <w:t xml:space="preserve"> Assessing performance management systems in international organizations</w:t>
      </w:r>
    </w:p>
    <w:p w14:paraId="28D881AA" w14:textId="62861741" w:rsidR="00F67ADD" w:rsidRPr="004303E3" w:rsidRDefault="00F67ADD" w:rsidP="002F71BC">
      <w:pPr>
        <w:jc w:val="both"/>
        <w:rPr>
          <w:rFonts w:ascii="Corbel" w:hAnsi="Corbel"/>
          <w:sz w:val="22"/>
          <w:szCs w:val="22"/>
          <w:lang w:val="en-US"/>
        </w:rPr>
      </w:pPr>
      <w:r w:rsidRPr="004303E3">
        <w:rPr>
          <w:rFonts w:ascii="Corbel" w:hAnsi="Corbel"/>
          <w:sz w:val="22"/>
          <w:szCs w:val="22"/>
          <w:lang w:val="en-US"/>
        </w:rPr>
        <w:t xml:space="preserve">As described above, span and depth of performance vary across reform models and public administration frameworks, as shown in several comparative performance studies (Bouckaert </w:t>
      </w:r>
      <w:r w:rsidR="001C07F5" w:rsidRPr="004303E3">
        <w:rPr>
          <w:rFonts w:ascii="Corbel" w:hAnsi="Corbel"/>
          <w:sz w:val="22"/>
          <w:szCs w:val="22"/>
          <w:lang w:val="en-US"/>
        </w:rPr>
        <w:t>&amp;</w:t>
      </w:r>
      <w:r w:rsidRPr="004303E3">
        <w:rPr>
          <w:rFonts w:ascii="Corbel" w:hAnsi="Corbel"/>
          <w:sz w:val="22"/>
          <w:szCs w:val="22"/>
          <w:lang w:val="en-US"/>
        </w:rPr>
        <w:t xml:space="preserve"> Halligan</w:t>
      </w:r>
      <w:r w:rsidR="001C07F5" w:rsidRPr="004303E3">
        <w:rPr>
          <w:rFonts w:ascii="Corbel" w:hAnsi="Corbel"/>
          <w:sz w:val="22"/>
          <w:szCs w:val="22"/>
          <w:lang w:val="en-US"/>
        </w:rPr>
        <w:t>,</w:t>
      </w:r>
      <w:r w:rsidRPr="004303E3">
        <w:rPr>
          <w:rFonts w:ascii="Corbel" w:hAnsi="Corbel"/>
          <w:sz w:val="22"/>
          <w:szCs w:val="22"/>
          <w:lang w:val="en-US"/>
        </w:rPr>
        <w:t xml:space="preserve"> 2008; </w:t>
      </w:r>
      <w:proofErr w:type="spellStart"/>
      <w:r w:rsidRPr="004303E3">
        <w:rPr>
          <w:rFonts w:ascii="Corbel" w:hAnsi="Corbel"/>
          <w:sz w:val="22"/>
          <w:szCs w:val="22"/>
          <w:lang w:val="en-US"/>
        </w:rPr>
        <w:t>Valotti</w:t>
      </w:r>
      <w:proofErr w:type="spellEnd"/>
      <w:r w:rsidRPr="004303E3">
        <w:rPr>
          <w:rFonts w:ascii="Corbel" w:hAnsi="Corbel"/>
          <w:sz w:val="22"/>
          <w:szCs w:val="22"/>
          <w:lang w:val="en-US"/>
        </w:rPr>
        <w:t xml:space="preserve"> et al.</w:t>
      </w:r>
      <w:r w:rsidR="001C07F5" w:rsidRPr="004303E3">
        <w:rPr>
          <w:rFonts w:ascii="Corbel" w:hAnsi="Corbel"/>
          <w:sz w:val="22"/>
          <w:szCs w:val="22"/>
          <w:lang w:val="en-US"/>
        </w:rPr>
        <w:t>,</w:t>
      </w:r>
      <w:r w:rsidRPr="004303E3">
        <w:rPr>
          <w:rFonts w:ascii="Corbel" w:hAnsi="Corbel"/>
          <w:sz w:val="22"/>
          <w:szCs w:val="22"/>
          <w:lang w:val="en-US"/>
        </w:rPr>
        <w:t xml:space="preserve"> 2010). By contrast, the extension and intensity of performance management systems of international organizations attracted little attention in literature. Despite measuring the performance of international organizations is more complex and challenging, compared to national governments, this should not prevent us from dealing with such complexities. As put by Gutner and Thompson (2010:234), “understanding and explaining the performance of international organizations is uniquely difficult and – uniquely interesting.” </w:t>
      </w:r>
    </w:p>
    <w:p w14:paraId="14F32104" w14:textId="55751EF6" w:rsidR="00F67ADD" w:rsidRPr="004303E3" w:rsidRDefault="00F67ADD" w:rsidP="002F71BC">
      <w:pPr>
        <w:jc w:val="both"/>
        <w:rPr>
          <w:rFonts w:ascii="Corbel" w:hAnsi="Corbel"/>
          <w:sz w:val="22"/>
          <w:szCs w:val="22"/>
          <w:lang w:val="en-US"/>
        </w:rPr>
      </w:pPr>
      <w:r w:rsidRPr="004303E3">
        <w:rPr>
          <w:rFonts w:ascii="Corbel" w:hAnsi="Corbel"/>
          <w:sz w:val="22"/>
          <w:szCs w:val="22"/>
          <w:lang w:val="en-US"/>
        </w:rPr>
        <w:t>International organizations share many complexities with public sector organizations when it comes to defining performance, as they often have multiple goals broadly defined and are influenced by many stakeholders with different degrees of power (</w:t>
      </w:r>
      <w:proofErr w:type="spellStart"/>
      <w:r w:rsidRPr="004303E3">
        <w:rPr>
          <w:rFonts w:ascii="Corbel" w:hAnsi="Corbel"/>
          <w:sz w:val="22"/>
          <w:szCs w:val="22"/>
          <w:lang w:val="en-US"/>
        </w:rPr>
        <w:t>Perrow</w:t>
      </w:r>
      <w:proofErr w:type="spellEnd"/>
      <w:r w:rsidR="001C07F5" w:rsidRPr="004303E3">
        <w:rPr>
          <w:rFonts w:ascii="Corbel" w:hAnsi="Corbel"/>
          <w:sz w:val="22"/>
          <w:szCs w:val="22"/>
          <w:lang w:val="en-US"/>
        </w:rPr>
        <w:t>,</w:t>
      </w:r>
      <w:r w:rsidRPr="004303E3">
        <w:rPr>
          <w:rFonts w:ascii="Corbel" w:hAnsi="Corbel"/>
          <w:sz w:val="22"/>
          <w:szCs w:val="22"/>
          <w:lang w:val="en-US"/>
        </w:rPr>
        <w:t xml:space="preserve"> 1986; Moe</w:t>
      </w:r>
      <w:r w:rsidR="001C07F5" w:rsidRPr="004303E3">
        <w:rPr>
          <w:rFonts w:ascii="Corbel" w:hAnsi="Corbel"/>
          <w:sz w:val="22"/>
          <w:szCs w:val="22"/>
          <w:lang w:val="en-US"/>
        </w:rPr>
        <w:t>,</w:t>
      </w:r>
      <w:r w:rsidRPr="004303E3">
        <w:rPr>
          <w:rFonts w:ascii="Corbel" w:hAnsi="Corbel"/>
          <w:sz w:val="22"/>
          <w:szCs w:val="22"/>
          <w:lang w:val="en-US"/>
        </w:rPr>
        <w:t xml:space="preserve"> 1989). Gutner and Thompson (2010) identify three different common obstacles: </w:t>
      </w:r>
    </w:p>
    <w:p w14:paraId="4E464A27" w14:textId="77777777" w:rsidR="00F67ADD" w:rsidRPr="004303E3" w:rsidRDefault="00F67ADD" w:rsidP="001C07F5">
      <w:pPr>
        <w:pStyle w:val="Paragrafoelenco"/>
        <w:numPr>
          <w:ilvl w:val="0"/>
          <w:numId w:val="39"/>
        </w:numPr>
        <w:spacing w:line="240" w:lineRule="auto"/>
        <w:ind w:left="709"/>
        <w:jc w:val="both"/>
        <w:rPr>
          <w:rFonts w:ascii="Corbel" w:hAnsi="Corbel"/>
          <w:lang w:val="en-US"/>
        </w:rPr>
      </w:pPr>
      <w:r w:rsidRPr="004303E3">
        <w:rPr>
          <w:rFonts w:ascii="Corbel" w:hAnsi="Corbel"/>
          <w:lang w:val="en-US"/>
        </w:rPr>
        <w:t xml:space="preserve">the lofty mandates of international organizations that prevent the possibility of judging performance </w:t>
      </w:r>
      <w:proofErr w:type="gramStart"/>
      <w:r w:rsidRPr="004303E3">
        <w:rPr>
          <w:rFonts w:ascii="Corbel" w:hAnsi="Corbel"/>
          <w:lang w:val="en-US"/>
        </w:rPr>
        <w:t>effectively;</w:t>
      </w:r>
      <w:proofErr w:type="gramEnd"/>
      <w:r w:rsidRPr="004303E3">
        <w:rPr>
          <w:rFonts w:ascii="Corbel" w:hAnsi="Corbel"/>
          <w:lang w:val="en-US"/>
        </w:rPr>
        <w:t xml:space="preserve"> </w:t>
      </w:r>
    </w:p>
    <w:p w14:paraId="7997A0BE" w14:textId="77777777" w:rsidR="00F67ADD" w:rsidRPr="004303E3" w:rsidRDefault="00F67ADD" w:rsidP="001C07F5">
      <w:pPr>
        <w:pStyle w:val="Paragrafoelenco"/>
        <w:numPr>
          <w:ilvl w:val="0"/>
          <w:numId w:val="39"/>
        </w:numPr>
        <w:spacing w:line="240" w:lineRule="auto"/>
        <w:ind w:left="709"/>
        <w:jc w:val="both"/>
        <w:rPr>
          <w:rFonts w:ascii="Corbel" w:hAnsi="Corbel"/>
          <w:lang w:val="en-US"/>
        </w:rPr>
      </w:pPr>
      <w:r w:rsidRPr="004303E3">
        <w:rPr>
          <w:rFonts w:ascii="Corbel" w:hAnsi="Corbel"/>
          <w:lang w:val="en-US"/>
        </w:rPr>
        <w:t xml:space="preserve">the “eye of beholder problem” in the performance evaluation, consequently performance can vary significantly depending on the </w:t>
      </w:r>
      <w:proofErr w:type="gramStart"/>
      <w:r w:rsidRPr="004303E3">
        <w:rPr>
          <w:rFonts w:ascii="Corbel" w:hAnsi="Corbel"/>
          <w:lang w:val="en-US"/>
        </w:rPr>
        <w:t>analyst;</w:t>
      </w:r>
      <w:proofErr w:type="gramEnd"/>
      <w:r w:rsidRPr="004303E3">
        <w:rPr>
          <w:rFonts w:ascii="Corbel" w:hAnsi="Corbel"/>
          <w:lang w:val="en-US"/>
        </w:rPr>
        <w:t xml:space="preserve"> </w:t>
      </w:r>
    </w:p>
    <w:p w14:paraId="48FE8C6A" w14:textId="77777777" w:rsidR="00F67ADD" w:rsidRPr="004303E3" w:rsidRDefault="00F67ADD" w:rsidP="001C07F5">
      <w:pPr>
        <w:pStyle w:val="Paragrafoelenco"/>
        <w:numPr>
          <w:ilvl w:val="0"/>
          <w:numId w:val="39"/>
        </w:numPr>
        <w:spacing w:line="240" w:lineRule="auto"/>
        <w:ind w:left="709"/>
        <w:jc w:val="both"/>
        <w:rPr>
          <w:rFonts w:ascii="Corbel" w:hAnsi="Corbel"/>
          <w:lang w:val="en-US"/>
        </w:rPr>
      </w:pPr>
      <w:r w:rsidRPr="004303E3">
        <w:rPr>
          <w:rFonts w:ascii="Corbel" w:hAnsi="Corbel"/>
          <w:lang w:val="en-US"/>
        </w:rPr>
        <w:t xml:space="preserve">the issue of self-evaluation, as all international organizations evaluate themselves based on performance objectives set and methods of measuring them, preventing objective </w:t>
      </w:r>
      <w:proofErr w:type="gramStart"/>
      <w:r w:rsidRPr="004303E3">
        <w:rPr>
          <w:rFonts w:ascii="Corbel" w:hAnsi="Corbel"/>
          <w:lang w:val="en-US"/>
        </w:rPr>
        <w:t>evaluations</w:t>
      </w:r>
      <w:proofErr w:type="gramEnd"/>
      <w:r w:rsidRPr="004303E3">
        <w:rPr>
          <w:rFonts w:ascii="Corbel" w:hAnsi="Corbel"/>
          <w:lang w:val="en-US"/>
        </w:rPr>
        <w:t xml:space="preserve"> and leading to self-serving ones. </w:t>
      </w:r>
    </w:p>
    <w:p w14:paraId="685D8DDB" w14:textId="5F39D814" w:rsidR="00F67ADD" w:rsidRPr="004303E3" w:rsidRDefault="00F67ADD" w:rsidP="002F71BC">
      <w:pPr>
        <w:jc w:val="both"/>
        <w:rPr>
          <w:rFonts w:ascii="Corbel" w:hAnsi="Corbel"/>
          <w:sz w:val="22"/>
          <w:szCs w:val="22"/>
          <w:lang w:val="en-US"/>
        </w:rPr>
      </w:pPr>
      <w:r w:rsidRPr="004303E3">
        <w:rPr>
          <w:rFonts w:ascii="Corbel" w:hAnsi="Corbel"/>
          <w:sz w:val="22"/>
          <w:szCs w:val="22"/>
          <w:lang w:val="en-US"/>
        </w:rPr>
        <w:t>Moreover, international organizations are distinct from public sector organizations as they are governed by states and their performance is linked to the ability of governments to cooperate and collectively manage large organizations (</w:t>
      </w:r>
      <w:proofErr w:type="spellStart"/>
      <w:r w:rsidRPr="004303E3">
        <w:rPr>
          <w:rFonts w:ascii="Corbel" w:hAnsi="Corbel"/>
          <w:sz w:val="22"/>
          <w:szCs w:val="22"/>
          <w:lang w:val="en-US"/>
        </w:rPr>
        <w:t>Lyne</w:t>
      </w:r>
      <w:proofErr w:type="spellEnd"/>
      <w:r w:rsidRPr="004303E3">
        <w:rPr>
          <w:rFonts w:ascii="Corbel" w:hAnsi="Corbel"/>
          <w:sz w:val="22"/>
          <w:szCs w:val="22"/>
          <w:lang w:val="en-US"/>
        </w:rPr>
        <w:t xml:space="preserve"> at al.</w:t>
      </w:r>
      <w:r w:rsidR="00D36619" w:rsidRPr="004303E3">
        <w:rPr>
          <w:rFonts w:ascii="Corbel" w:hAnsi="Corbel"/>
          <w:sz w:val="22"/>
          <w:szCs w:val="22"/>
          <w:lang w:val="en-US"/>
        </w:rPr>
        <w:t>,</w:t>
      </w:r>
      <w:r w:rsidRPr="004303E3">
        <w:rPr>
          <w:rFonts w:ascii="Corbel" w:hAnsi="Corbel"/>
          <w:sz w:val="22"/>
          <w:szCs w:val="22"/>
          <w:lang w:val="en-US"/>
        </w:rPr>
        <w:t xml:space="preserve"> 2016). Member states, moreover, could have sometimes diverging performance objectives. In the same vein, </w:t>
      </w:r>
      <w:proofErr w:type="spellStart"/>
      <w:r w:rsidRPr="004303E3">
        <w:rPr>
          <w:rFonts w:ascii="Corbel" w:hAnsi="Corbel"/>
          <w:sz w:val="22"/>
          <w:szCs w:val="22"/>
          <w:lang w:val="en-US"/>
        </w:rPr>
        <w:t>Mehde</w:t>
      </w:r>
      <w:proofErr w:type="spellEnd"/>
      <w:r w:rsidRPr="004303E3">
        <w:rPr>
          <w:rFonts w:ascii="Corbel" w:hAnsi="Corbel"/>
          <w:sz w:val="22"/>
          <w:szCs w:val="22"/>
          <w:lang w:val="en-US"/>
        </w:rPr>
        <w:t xml:space="preserve"> (2007) notes that international organizations are accountable too many people and to many different governments. Consequently, they need to satisfy a </w:t>
      </w:r>
      <w:r w:rsidRPr="004303E3">
        <w:rPr>
          <w:rFonts w:ascii="Corbel" w:hAnsi="Corbel"/>
          <w:sz w:val="22"/>
          <w:szCs w:val="22"/>
          <w:lang w:val="en-US"/>
        </w:rPr>
        <w:lastRenderedPageBreak/>
        <w:t>great number of highly diverse actors having very different and sometimes conflicting interests. At the same time, they lack a single public as a point of reference as well as a general election encompassing all the citizens affected by the activities of international organizations, except one case</w:t>
      </w:r>
      <w:r w:rsidRPr="004303E3">
        <w:rPr>
          <w:rStyle w:val="Rimandonotaapidipagina"/>
          <w:rFonts w:ascii="Corbel" w:hAnsi="Corbel"/>
          <w:sz w:val="22"/>
          <w:szCs w:val="22"/>
          <w:lang w:val="en-US"/>
        </w:rPr>
        <w:t xml:space="preserve">, </w:t>
      </w:r>
      <w:r w:rsidRPr="004303E3">
        <w:rPr>
          <w:rFonts w:ascii="Corbel" w:hAnsi="Corbel"/>
          <w:sz w:val="22"/>
          <w:szCs w:val="22"/>
          <w:lang w:val="en-US"/>
        </w:rPr>
        <w:t>the European Union. On the one hand, creating satisfactory results is a very ambitious task in this respect; on the other, international organizations need to avoid situations in which they are blamed for poor performance for problems they are not responsible for (</w:t>
      </w:r>
      <w:proofErr w:type="spellStart"/>
      <w:r w:rsidRPr="004303E3">
        <w:rPr>
          <w:rFonts w:ascii="Corbel" w:hAnsi="Corbel"/>
          <w:sz w:val="22"/>
          <w:szCs w:val="22"/>
          <w:lang w:val="en-US"/>
        </w:rPr>
        <w:t>Mehde</w:t>
      </w:r>
      <w:proofErr w:type="spellEnd"/>
      <w:r w:rsidR="00D36619" w:rsidRPr="004303E3">
        <w:rPr>
          <w:rFonts w:ascii="Corbel" w:hAnsi="Corbel"/>
          <w:sz w:val="22"/>
          <w:szCs w:val="22"/>
          <w:lang w:val="en-US"/>
        </w:rPr>
        <w:t>,</w:t>
      </w:r>
      <w:r w:rsidRPr="004303E3">
        <w:rPr>
          <w:rFonts w:ascii="Corbel" w:hAnsi="Corbel"/>
          <w:sz w:val="22"/>
          <w:szCs w:val="22"/>
          <w:lang w:val="en-US"/>
        </w:rPr>
        <w:t xml:space="preserve"> 2007). Additionally, international organizations do not generally engage in service provisions but rather deal with more intangible goods, although with variations. The preservation of environment or cultural heritage can be more tangible than peace or financial stability, but in any case, difficult to measure (Kaul et al.</w:t>
      </w:r>
      <w:r w:rsidR="00D36619" w:rsidRPr="004303E3">
        <w:rPr>
          <w:rFonts w:ascii="Corbel" w:hAnsi="Corbel"/>
          <w:sz w:val="22"/>
          <w:szCs w:val="22"/>
          <w:lang w:val="en-US"/>
        </w:rPr>
        <w:t>,</w:t>
      </w:r>
      <w:r w:rsidRPr="004303E3">
        <w:rPr>
          <w:rFonts w:ascii="Corbel" w:hAnsi="Corbel"/>
          <w:sz w:val="22"/>
          <w:szCs w:val="22"/>
          <w:lang w:val="en-US"/>
        </w:rPr>
        <w:t xml:space="preserve"> 1999). Nevertheless, as described in the previous paragraph, performance measurement can significantly differ in terms of span and depth, and outcome indicators are not the only performance metric used to monitor organizational performance. According to the performance metric proposed by Gutner and Thompson, (2010), with </w:t>
      </w:r>
      <w:r w:rsidR="00D36619" w:rsidRPr="004303E3">
        <w:rPr>
          <w:rFonts w:ascii="Corbel" w:hAnsi="Corbel"/>
          <w:sz w:val="22"/>
          <w:szCs w:val="22"/>
          <w:lang w:val="en-US"/>
        </w:rPr>
        <w:t>macro-outcomes</w:t>
      </w:r>
      <w:r w:rsidRPr="004303E3">
        <w:rPr>
          <w:rFonts w:ascii="Corbel" w:hAnsi="Corbel"/>
          <w:sz w:val="22"/>
          <w:szCs w:val="22"/>
          <w:lang w:val="en-US"/>
        </w:rPr>
        <w:t xml:space="preserve"> at one end and more process-based indicators at the other, there is a wide range of indicators we can use for measuring international organizations’ results. Alongside the outcome perspective, we could focus on the micro-level of the international organization, measuring the efficiency in performing the functions and tasks necessary to achieve higher objectives. In this case the level of analysis is different, the outcome perspective is linked to the international organization’s action, that is responsible for achieving the ultimate objectives set in the treaties, whereas the efficiency is generally related to the functioning of the international organization secretariat performing the administrative and management duties (also referred as the international public administration). The two levels are linked, although efficient administrative bodies could have little impact on the achievement of higher objectives (Gutner </w:t>
      </w:r>
      <w:r w:rsidR="00D36619" w:rsidRPr="004303E3">
        <w:rPr>
          <w:rFonts w:ascii="Corbel" w:hAnsi="Corbel"/>
          <w:sz w:val="22"/>
          <w:szCs w:val="22"/>
          <w:lang w:val="en-US"/>
        </w:rPr>
        <w:t>&amp;</w:t>
      </w:r>
      <w:r w:rsidRPr="004303E3">
        <w:rPr>
          <w:rFonts w:ascii="Corbel" w:hAnsi="Corbel"/>
          <w:sz w:val="22"/>
          <w:szCs w:val="22"/>
          <w:lang w:val="en-US"/>
        </w:rPr>
        <w:t xml:space="preserve"> Thompson</w:t>
      </w:r>
      <w:r w:rsidR="00D36619" w:rsidRPr="004303E3">
        <w:rPr>
          <w:rFonts w:ascii="Corbel" w:hAnsi="Corbel"/>
          <w:sz w:val="22"/>
          <w:szCs w:val="22"/>
          <w:lang w:val="en-US"/>
        </w:rPr>
        <w:t>,</w:t>
      </w:r>
      <w:r w:rsidRPr="004303E3">
        <w:rPr>
          <w:rFonts w:ascii="Corbel" w:hAnsi="Corbel"/>
          <w:sz w:val="22"/>
          <w:szCs w:val="22"/>
          <w:lang w:val="en-US"/>
        </w:rPr>
        <w:t xml:space="preserve"> 2010). A third possibility could be looking at an intermediate level between process and outcome, which is defined in public policy literature as “outputs” or “intermediate outputs” (Levy at al.</w:t>
      </w:r>
      <w:r w:rsidR="00D36619" w:rsidRPr="004303E3">
        <w:rPr>
          <w:rFonts w:ascii="Corbel" w:hAnsi="Corbel"/>
          <w:sz w:val="22"/>
          <w:szCs w:val="22"/>
          <w:lang w:val="en-US"/>
        </w:rPr>
        <w:t>,</w:t>
      </w:r>
      <w:r w:rsidRPr="004303E3">
        <w:rPr>
          <w:rFonts w:ascii="Corbel" w:hAnsi="Corbel"/>
          <w:sz w:val="22"/>
          <w:szCs w:val="22"/>
          <w:lang w:val="en-US"/>
        </w:rPr>
        <w:t xml:space="preserve"> 1974). The latter refers to the intermediate output of the international organization activities, for example, the number of programs financed to reduce illegal migration flows or the number of environmental </w:t>
      </w:r>
      <w:proofErr w:type="gramStart"/>
      <w:r w:rsidRPr="004303E3">
        <w:rPr>
          <w:rFonts w:ascii="Corbel" w:hAnsi="Corbel"/>
          <w:sz w:val="22"/>
          <w:szCs w:val="22"/>
          <w:lang w:val="en-US"/>
        </w:rPr>
        <w:t>legislation</w:t>
      </w:r>
      <w:proofErr w:type="gramEnd"/>
      <w:r w:rsidRPr="004303E3">
        <w:rPr>
          <w:rFonts w:ascii="Corbel" w:hAnsi="Corbel"/>
          <w:sz w:val="22"/>
          <w:szCs w:val="22"/>
          <w:lang w:val="en-US"/>
        </w:rPr>
        <w:t xml:space="preserve"> produced to decrease air pollution. In this case, although the effects of such output on the final problem is not automatic, likely, an organization that performs well in the output production can more easily achieve their objectives in terms of outcome (Gutner </w:t>
      </w:r>
      <w:r w:rsidR="00D36619" w:rsidRPr="004303E3">
        <w:rPr>
          <w:rFonts w:ascii="Corbel" w:hAnsi="Corbel"/>
          <w:sz w:val="22"/>
          <w:szCs w:val="22"/>
          <w:lang w:val="en-US"/>
        </w:rPr>
        <w:t>&amp;</w:t>
      </w:r>
      <w:r w:rsidRPr="004303E3">
        <w:rPr>
          <w:rFonts w:ascii="Corbel" w:hAnsi="Corbel"/>
          <w:sz w:val="22"/>
          <w:szCs w:val="22"/>
          <w:lang w:val="en-US"/>
        </w:rPr>
        <w:t xml:space="preserve"> Thompson</w:t>
      </w:r>
      <w:r w:rsidR="00D36619" w:rsidRPr="004303E3">
        <w:rPr>
          <w:rFonts w:ascii="Corbel" w:hAnsi="Corbel"/>
          <w:sz w:val="22"/>
          <w:szCs w:val="22"/>
          <w:lang w:val="en-US"/>
        </w:rPr>
        <w:t>,</w:t>
      </w:r>
      <w:r w:rsidRPr="004303E3">
        <w:rPr>
          <w:rFonts w:ascii="Corbel" w:hAnsi="Corbel"/>
          <w:sz w:val="22"/>
          <w:szCs w:val="22"/>
          <w:lang w:val="en-US"/>
        </w:rPr>
        <w:t xml:space="preserve"> 2010). Equally, a focus on process indicators is more appropriate in case we are interested in assessing the functioning of the administrative secretariat and understanding whether there is a relation between micro and macro-level performance. The limitation of focusing on process indicators is that good process performance does not necessarily translate into outcome performance (Gutner </w:t>
      </w:r>
      <w:r w:rsidR="00D36619" w:rsidRPr="004303E3">
        <w:rPr>
          <w:rFonts w:ascii="Corbel" w:hAnsi="Corbel"/>
          <w:sz w:val="22"/>
          <w:szCs w:val="22"/>
          <w:lang w:val="en-US"/>
        </w:rPr>
        <w:t>&amp;</w:t>
      </w:r>
      <w:r w:rsidRPr="004303E3">
        <w:rPr>
          <w:rFonts w:ascii="Corbel" w:hAnsi="Corbel"/>
          <w:sz w:val="22"/>
          <w:szCs w:val="22"/>
          <w:lang w:val="en-US"/>
        </w:rPr>
        <w:t xml:space="preserve"> Thompson</w:t>
      </w:r>
      <w:r w:rsidR="00D36619" w:rsidRPr="004303E3">
        <w:rPr>
          <w:rFonts w:ascii="Corbel" w:hAnsi="Corbel"/>
          <w:sz w:val="22"/>
          <w:szCs w:val="22"/>
          <w:lang w:val="en-US"/>
        </w:rPr>
        <w:t>,</w:t>
      </w:r>
      <w:r w:rsidRPr="004303E3">
        <w:rPr>
          <w:rFonts w:ascii="Corbel" w:hAnsi="Corbel"/>
          <w:sz w:val="22"/>
          <w:szCs w:val="22"/>
          <w:lang w:val="en-US"/>
        </w:rPr>
        <w:t xml:space="preserve"> 2010). </w:t>
      </w:r>
    </w:p>
    <w:p w14:paraId="6817F21B" w14:textId="1CFF8A12" w:rsidR="00F67ADD" w:rsidRPr="004303E3" w:rsidRDefault="00F67ADD" w:rsidP="002F71BC">
      <w:pPr>
        <w:jc w:val="both"/>
        <w:rPr>
          <w:rFonts w:ascii="Corbel" w:hAnsi="Corbel"/>
          <w:sz w:val="22"/>
          <w:szCs w:val="22"/>
          <w:lang w:val="en-US"/>
        </w:rPr>
      </w:pPr>
      <w:r w:rsidRPr="004303E3">
        <w:rPr>
          <w:rFonts w:ascii="Corbel" w:hAnsi="Corbel"/>
          <w:sz w:val="22"/>
          <w:szCs w:val="22"/>
          <w:lang w:val="en-US"/>
        </w:rPr>
        <w:t>Moving to the outcome orientation of international organization performance, helpful insights on how to measure the problem-solving capacity of international organizations can come from regime-effectiveness literature, which explores in more detail the concepts of effectiveness and outcomes and explain their variation (Young</w:t>
      </w:r>
      <w:r w:rsidR="00EF76C9" w:rsidRPr="004303E3">
        <w:rPr>
          <w:rFonts w:ascii="Corbel" w:hAnsi="Corbel"/>
          <w:sz w:val="22"/>
          <w:szCs w:val="22"/>
          <w:lang w:val="en-US"/>
        </w:rPr>
        <w:t>,</w:t>
      </w:r>
      <w:r w:rsidRPr="004303E3">
        <w:rPr>
          <w:rFonts w:ascii="Corbel" w:hAnsi="Corbel"/>
          <w:sz w:val="22"/>
          <w:szCs w:val="22"/>
          <w:lang w:val="en-US"/>
        </w:rPr>
        <w:t xml:space="preserve"> 1999; </w:t>
      </w:r>
      <w:proofErr w:type="spellStart"/>
      <w:r w:rsidRPr="004303E3">
        <w:rPr>
          <w:rFonts w:ascii="Corbel" w:hAnsi="Corbel"/>
          <w:sz w:val="22"/>
          <w:szCs w:val="22"/>
          <w:lang w:val="en-US"/>
        </w:rPr>
        <w:t>Underdal</w:t>
      </w:r>
      <w:proofErr w:type="spellEnd"/>
      <w:r w:rsidRPr="004303E3">
        <w:rPr>
          <w:rFonts w:ascii="Corbel" w:hAnsi="Corbel"/>
          <w:sz w:val="22"/>
          <w:szCs w:val="22"/>
          <w:lang w:val="en-US"/>
        </w:rPr>
        <w:t xml:space="preserve"> </w:t>
      </w:r>
      <w:r w:rsidR="00EF76C9" w:rsidRPr="004303E3">
        <w:rPr>
          <w:rFonts w:ascii="Corbel" w:hAnsi="Corbel"/>
          <w:sz w:val="22"/>
          <w:szCs w:val="22"/>
          <w:lang w:val="en-US"/>
        </w:rPr>
        <w:t>&amp;</w:t>
      </w:r>
      <w:r w:rsidRPr="004303E3">
        <w:rPr>
          <w:rFonts w:ascii="Corbel" w:hAnsi="Corbel"/>
          <w:sz w:val="22"/>
          <w:szCs w:val="22"/>
          <w:lang w:val="en-US"/>
        </w:rPr>
        <w:t xml:space="preserve"> Young</w:t>
      </w:r>
      <w:r w:rsidR="00EF76C9" w:rsidRPr="004303E3">
        <w:rPr>
          <w:rFonts w:ascii="Corbel" w:hAnsi="Corbel"/>
          <w:sz w:val="22"/>
          <w:szCs w:val="22"/>
          <w:lang w:val="en-US"/>
        </w:rPr>
        <w:t>,</w:t>
      </w:r>
      <w:r w:rsidRPr="004303E3">
        <w:rPr>
          <w:rFonts w:ascii="Corbel" w:hAnsi="Corbel"/>
          <w:sz w:val="22"/>
          <w:szCs w:val="22"/>
          <w:lang w:val="en-US"/>
        </w:rPr>
        <w:t xml:space="preserve"> 2004). According to </w:t>
      </w:r>
      <w:proofErr w:type="spellStart"/>
      <w:r w:rsidRPr="004303E3">
        <w:rPr>
          <w:rFonts w:ascii="Corbel" w:hAnsi="Corbel"/>
          <w:sz w:val="22"/>
          <w:szCs w:val="22"/>
          <w:lang w:val="en-US"/>
        </w:rPr>
        <w:t>Underland</w:t>
      </w:r>
      <w:proofErr w:type="spellEnd"/>
      <w:r w:rsidRPr="004303E3">
        <w:rPr>
          <w:rFonts w:ascii="Corbel" w:hAnsi="Corbel"/>
          <w:sz w:val="22"/>
          <w:szCs w:val="22"/>
          <w:lang w:val="en-US"/>
        </w:rPr>
        <w:t xml:space="preserve"> (2012:11), regime effectiveness can be described as whether the regime can “solve the problem that motivated its establishment.” In other words, if an environmental regime can objectively increase the physical state of the environment (Gutner </w:t>
      </w:r>
      <w:r w:rsidR="00EF76C9" w:rsidRPr="004303E3">
        <w:rPr>
          <w:rFonts w:ascii="Corbel" w:hAnsi="Corbel"/>
          <w:sz w:val="22"/>
          <w:szCs w:val="22"/>
          <w:lang w:val="en-US"/>
        </w:rPr>
        <w:t>&amp;</w:t>
      </w:r>
      <w:r w:rsidRPr="004303E3">
        <w:rPr>
          <w:rFonts w:ascii="Corbel" w:hAnsi="Corbel"/>
          <w:sz w:val="22"/>
          <w:szCs w:val="22"/>
          <w:lang w:val="en-US"/>
        </w:rPr>
        <w:t xml:space="preserve"> Thompson</w:t>
      </w:r>
      <w:r w:rsidR="00EF76C9" w:rsidRPr="004303E3">
        <w:rPr>
          <w:rFonts w:ascii="Corbel" w:hAnsi="Corbel"/>
          <w:sz w:val="22"/>
          <w:szCs w:val="22"/>
          <w:lang w:val="en-US"/>
        </w:rPr>
        <w:t>,</w:t>
      </w:r>
      <w:r w:rsidRPr="004303E3">
        <w:rPr>
          <w:rFonts w:ascii="Corbel" w:hAnsi="Corbel"/>
          <w:sz w:val="22"/>
          <w:szCs w:val="22"/>
          <w:lang w:val="en-US"/>
        </w:rPr>
        <w:t xml:space="preserve"> 2010). </w:t>
      </w:r>
    </w:p>
    <w:p w14:paraId="79AFF70F" w14:textId="4D6ACB5C" w:rsidR="00F67ADD" w:rsidRPr="004303E3" w:rsidRDefault="00F67ADD" w:rsidP="002F71BC">
      <w:pPr>
        <w:jc w:val="both"/>
        <w:rPr>
          <w:rFonts w:ascii="Corbel" w:hAnsi="Corbel"/>
          <w:sz w:val="22"/>
          <w:szCs w:val="22"/>
          <w:lang w:val="en-US"/>
        </w:rPr>
      </w:pPr>
      <w:r w:rsidRPr="004303E3">
        <w:rPr>
          <w:rFonts w:ascii="Corbel" w:hAnsi="Corbel"/>
          <w:sz w:val="22"/>
          <w:szCs w:val="22"/>
          <w:lang w:val="en-US"/>
        </w:rPr>
        <w:t xml:space="preserve">Nevertheless, the regime effectiveness has different limitations when applied to international organizations. The international organization is only one element of the regime - the latter generally includes multiple international organizations and other actors - and consequently, the outcome cannot be associated with a single organization (Gutner </w:t>
      </w:r>
      <w:r w:rsidR="00BA34F6" w:rsidRPr="004303E3">
        <w:rPr>
          <w:rFonts w:ascii="Corbel" w:hAnsi="Corbel"/>
          <w:sz w:val="22"/>
          <w:szCs w:val="22"/>
          <w:lang w:val="en-US"/>
        </w:rPr>
        <w:t>&amp;</w:t>
      </w:r>
      <w:r w:rsidRPr="004303E3">
        <w:rPr>
          <w:rFonts w:ascii="Corbel" w:hAnsi="Corbel"/>
          <w:sz w:val="22"/>
          <w:szCs w:val="22"/>
          <w:lang w:val="en-US"/>
        </w:rPr>
        <w:t xml:space="preserve"> Thompson</w:t>
      </w:r>
      <w:r w:rsidR="00BA34F6" w:rsidRPr="004303E3">
        <w:rPr>
          <w:rFonts w:ascii="Corbel" w:hAnsi="Corbel"/>
          <w:sz w:val="22"/>
          <w:szCs w:val="22"/>
          <w:lang w:val="en-US"/>
        </w:rPr>
        <w:t>,</w:t>
      </w:r>
      <w:r w:rsidRPr="004303E3">
        <w:rPr>
          <w:rFonts w:ascii="Corbel" w:hAnsi="Corbel"/>
          <w:sz w:val="22"/>
          <w:szCs w:val="22"/>
          <w:lang w:val="en-US"/>
        </w:rPr>
        <w:t xml:space="preserve"> 2010). However, outcome measures can be difficultly attributed to a single international organization. According to Gutner and Thompson (2010), outcome-based indicators may be appropriate in case international organizations have a predominant role </w:t>
      </w:r>
      <w:proofErr w:type="gramStart"/>
      <w:r w:rsidRPr="004303E3">
        <w:rPr>
          <w:rFonts w:ascii="Corbel" w:hAnsi="Corbel"/>
          <w:sz w:val="22"/>
          <w:szCs w:val="22"/>
          <w:lang w:val="en-US"/>
        </w:rPr>
        <w:t>in a given</w:t>
      </w:r>
      <w:proofErr w:type="gramEnd"/>
      <w:r w:rsidRPr="004303E3">
        <w:rPr>
          <w:rFonts w:ascii="Corbel" w:hAnsi="Corbel"/>
          <w:sz w:val="22"/>
          <w:szCs w:val="22"/>
          <w:lang w:val="en-US"/>
        </w:rPr>
        <w:t xml:space="preserve"> policy area with objectively measurable solutions. Inappropriate in case political factors outside of their control constrained them (Gutner </w:t>
      </w:r>
      <w:r w:rsidR="00BA34F6" w:rsidRPr="004303E3">
        <w:rPr>
          <w:rFonts w:ascii="Corbel" w:hAnsi="Corbel"/>
          <w:sz w:val="22"/>
          <w:szCs w:val="22"/>
          <w:lang w:val="en-US"/>
        </w:rPr>
        <w:t>&amp;</w:t>
      </w:r>
      <w:r w:rsidRPr="004303E3">
        <w:rPr>
          <w:rFonts w:ascii="Corbel" w:hAnsi="Corbel"/>
          <w:sz w:val="22"/>
          <w:szCs w:val="22"/>
          <w:lang w:val="en-US"/>
        </w:rPr>
        <w:t xml:space="preserve"> Thompson</w:t>
      </w:r>
      <w:r w:rsidR="00BA34F6" w:rsidRPr="004303E3">
        <w:rPr>
          <w:rFonts w:ascii="Corbel" w:hAnsi="Corbel"/>
          <w:sz w:val="22"/>
          <w:szCs w:val="22"/>
          <w:lang w:val="en-US"/>
        </w:rPr>
        <w:t>,</w:t>
      </w:r>
      <w:r w:rsidRPr="004303E3">
        <w:rPr>
          <w:rFonts w:ascii="Corbel" w:hAnsi="Corbel"/>
          <w:sz w:val="22"/>
          <w:szCs w:val="22"/>
          <w:lang w:val="en-US"/>
        </w:rPr>
        <w:t xml:space="preserve"> 2010). Nevertheless, such a condition</w:t>
      </w:r>
      <w:proofErr w:type="gramStart"/>
      <w:r w:rsidRPr="004303E3">
        <w:rPr>
          <w:rFonts w:ascii="Corbel" w:hAnsi="Corbel"/>
          <w:sz w:val="22"/>
          <w:szCs w:val="22"/>
          <w:lang w:val="en-US"/>
        </w:rPr>
        <w:t>, in reality, is</w:t>
      </w:r>
      <w:proofErr w:type="gramEnd"/>
      <w:r w:rsidRPr="004303E3">
        <w:rPr>
          <w:rFonts w:ascii="Corbel" w:hAnsi="Corbel"/>
          <w:sz w:val="22"/>
          <w:szCs w:val="22"/>
          <w:lang w:val="en-US"/>
        </w:rPr>
        <w:t xml:space="preserve"> extremely difficult to observe. More commonly, international organizations, even if not included in any regime, need to interact with multiple actors and be subject to external factors, to achieve the higher objectives set in the constitutional treaties. In other words, as international organizations are more and more confronted with the production of global public goods, with transnational and diffuse character, these latter will result from a combination of the interactions among different public and private actors at the global level. Consequently, the public policy process at the global level is increasingly seen as “an interaction in which the different actors exchange information about problems, preferences, and means, and trade-off </w:t>
      </w:r>
      <w:r w:rsidRPr="004303E3">
        <w:rPr>
          <w:rFonts w:ascii="Corbel" w:hAnsi="Corbel"/>
          <w:sz w:val="22"/>
          <w:szCs w:val="22"/>
          <w:lang w:val="en-US"/>
        </w:rPr>
        <w:lastRenderedPageBreak/>
        <w:t>goals and resources” (</w:t>
      </w:r>
      <w:proofErr w:type="spellStart"/>
      <w:r w:rsidRPr="004303E3">
        <w:rPr>
          <w:rFonts w:ascii="Corbel" w:hAnsi="Corbel"/>
          <w:sz w:val="22"/>
          <w:szCs w:val="22"/>
          <w:lang w:val="en-US"/>
        </w:rPr>
        <w:t>Kickert</w:t>
      </w:r>
      <w:proofErr w:type="spellEnd"/>
      <w:r w:rsidRPr="004303E3">
        <w:rPr>
          <w:rFonts w:ascii="Corbel" w:hAnsi="Corbel"/>
          <w:sz w:val="22"/>
          <w:szCs w:val="22"/>
          <w:lang w:val="en-US"/>
        </w:rPr>
        <w:t xml:space="preserve"> et al.</w:t>
      </w:r>
      <w:r w:rsidR="00102DC6" w:rsidRPr="004303E3">
        <w:rPr>
          <w:rFonts w:ascii="Corbel" w:hAnsi="Corbel"/>
          <w:sz w:val="22"/>
          <w:szCs w:val="22"/>
          <w:lang w:val="en-US"/>
        </w:rPr>
        <w:t>,</w:t>
      </w:r>
      <w:r w:rsidRPr="004303E3">
        <w:rPr>
          <w:rFonts w:ascii="Corbel" w:hAnsi="Corbel"/>
          <w:sz w:val="22"/>
          <w:szCs w:val="22"/>
          <w:lang w:val="en-US"/>
        </w:rPr>
        <w:t xml:space="preserve"> 1997:24). In this respect, a contribution to understanding the role of international organizations as a producer of global public goods can come from the network theory. The policies at the international level are now shaped through organizational networks and their effectiveness depends “on the ability and willingness of a variety of organizational actors, public and private to work together” (Metcalfe</w:t>
      </w:r>
      <w:r w:rsidR="00102DC6" w:rsidRPr="004303E3">
        <w:rPr>
          <w:rFonts w:ascii="Corbel" w:hAnsi="Corbel"/>
          <w:sz w:val="22"/>
          <w:szCs w:val="22"/>
          <w:lang w:val="en-US"/>
        </w:rPr>
        <w:t>,</w:t>
      </w:r>
      <w:r w:rsidRPr="004303E3">
        <w:rPr>
          <w:rFonts w:ascii="Corbel" w:hAnsi="Corbel"/>
          <w:sz w:val="22"/>
          <w:szCs w:val="22"/>
          <w:lang w:val="en-US"/>
        </w:rPr>
        <w:t xml:space="preserve"> 2000:828). </w:t>
      </w:r>
    </w:p>
    <w:p w14:paraId="6EA5E0F3" w14:textId="66AD452E" w:rsidR="00F67ADD" w:rsidRPr="004303E3" w:rsidRDefault="00F67ADD" w:rsidP="002F71BC">
      <w:pPr>
        <w:jc w:val="both"/>
        <w:rPr>
          <w:rFonts w:ascii="Corbel" w:hAnsi="Corbel"/>
          <w:color w:val="000000" w:themeColor="text1"/>
          <w:sz w:val="22"/>
          <w:szCs w:val="22"/>
          <w:lang w:val="en-US"/>
        </w:rPr>
      </w:pPr>
      <w:r w:rsidRPr="004303E3">
        <w:rPr>
          <w:rFonts w:ascii="Corbel" w:hAnsi="Corbel"/>
          <w:sz w:val="22"/>
          <w:szCs w:val="22"/>
          <w:lang w:val="en-US"/>
        </w:rPr>
        <w:t xml:space="preserve">In this context, </w:t>
      </w:r>
      <w:r w:rsidRPr="004303E3">
        <w:rPr>
          <w:rFonts w:ascii="Corbel" w:hAnsi="Corbel"/>
          <w:color w:val="000000" w:themeColor="text1"/>
          <w:sz w:val="22"/>
          <w:szCs w:val="22"/>
          <w:lang w:val="en-US"/>
        </w:rPr>
        <w:t>the role of international organizations in managing networks is a crucial aspect for increasing the effectiveness of global public production, and consequently to achieve the final objective they have been created. According to network theory, different authors (</w:t>
      </w:r>
      <w:proofErr w:type="spellStart"/>
      <w:r w:rsidRPr="004303E3">
        <w:rPr>
          <w:rFonts w:ascii="Corbel" w:hAnsi="Corbel"/>
          <w:color w:val="000000" w:themeColor="text1"/>
          <w:sz w:val="22"/>
          <w:szCs w:val="22"/>
          <w:lang w:val="en-US"/>
        </w:rPr>
        <w:t>Agranoff</w:t>
      </w:r>
      <w:proofErr w:type="spellEnd"/>
      <w:r w:rsidRPr="004303E3">
        <w:rPr>
          <w:rFonts w:ascii="Corbel" w:hAnsi="Corbel"/>
          <w:color w:val="000000" w:themeColor="text1"/>
          <w:sz w:val="22"/>
          <w:szCs w:val="22"/>
          <w:lang w:val="en-US"/>
        </w:rPr>
        <w:t xml:space="preserve"> </w:t>
      </w:r>
      <w:r w:rsidR="00DD12BA" w:rsidRPr="004303E3">
        <w:rPr>
          <w:rFonts w:ascii="Corbel" w:hAnsi="Corbel"/>
          <w:color w:val="000000" w:themeColor="text1"/>
          <w:sz w:val="22"/>
          <w:szCs w:val="22"/>
          <w:lang w:val="en-US"/>
        </w:rPr>
        <w:t>&amp;</w:t>
      </w:r>
      <w:r w:rsidRPr="004303E3">
        <w:rPr>
          <w:rFonts w:ascii="Corbel" w:hAnsi="Corbel"/>
          <w:color w:val="000000" w:themeColor="text1"/>
          <w:sz w:val="22"/>
          <w:szCs w:val="22"/>
          <w:lang w:val="en-US"/>
        </w:rPr>
        <w:t xml:space="preserve"> McGuire</w:t>
      </w:r>
      <w:r w:rsidR="00DD12BA" w:rsidRPr="004303E3">
        <w:rPr>
          <w:rFonts w:ascii="Corbel" w:hAnsi="Corbel"/>
          <w:color w:val="000000" w:themeColor="text1"/>
          <w:sz w:val="22"/>
          <w:szCs w:val="22"/>
          <w:lang w:val="en-US"/>
        </w:rPr>
        <w:t>,</w:t>
      </w:r>
      <w:r w:rsidRPr="004303E3">
        <w:rPr>
          <w:rFonts w:ascii="Corbel" w:hAnsi="Corbel"/>
          <w:color w:val="000000" w:themeColor="text1"/>
          <w:sz w:val="22"/>
          <w:szCs w:val="22"/>
          <w:lang w:val="en-US"/>
        </w:rPr>
        <w:t xml:space="preserve"> 2001; Milward </w:t>
      </w:r>
      <w:r w:rsidR="00DD12BA" w:rsidRPr="004303E3">
        <w:rPr>
          <w:rFonts w:ascii="Corbel" w:hAnsi="Corbel"/>
          <w:color w:val="000000" w:themeColor="text1"/>
          <w:sz w:val="22"/>
          <w:szCs w:val="22"/>
          <w:lang w:val="en-US"/>
        </w:rPr>
        <w:t>&amp;</w:t>
      </w:r>
      <w:r w:rsidRPr="004303E3">
        <w:rPr>
          <w:rFonts w:ascii="Corbel" w:hAnsi="Corbel"/>
          <w:color w:val="000000" w:themeColor="text1"/>
          <w:sz w:val="22"/>
          <w:szCs w:val="22"/>
          <w:lang w:val="en-US"/>
        </w:rPr>
        <w:t xml:space="preserve"> </w:t>
      </w:r>
      <w:proofErr w:type="spellStart"/>
      <w:r w:rsidRPr="004303E3">
        <w:rPr>
          <w:rFonts w:ascii="Corbel" w:hAnsi="Corbel"/>
          <w:color w:val="000000" w:themeColor="text1"/>
          <w:sz w:val="22"/>
          <w:szCs w:val="22"/>
          <w:lang w:val="en-US"/>
        </w:rPr>
        <w:t>Provan</w:t>
      </w:r>
      <w:proofErr w:type="spellEnd"/>
      <w:r w:rsidR="00DD12BA" w:rsidRPr="004303E3">
        <w:rPr>
          <w:rFonts w:ascii="Corbel" w:hAnsi="Corbel"/>
          <w:color w:val="000000" w:themeColor="text1"/>
          <w:sz w:val="22"/>
          <w:szCs w:val="22"/>
          <w:lang w:val="en-US"/>
        </w:rPr>
        <w:t>,</w:t>
      </w:r>
      <w:r w:rsidRPr="004303E3">
        <w:rPr>
          <w:rFonts w:ascii="Corbel" w:hAnsi="Corbel"/>
          <w:color w:val="000000" w:themeColor="text1"/>
          <w:sz w:val="22"/>
          <w:szCs w:val="22"/>
          <w:lang w:val="en-US"/>
        </w:rPr>
        <w:t xml:space="preserve"> 2003; </w:t>
      </w:r>
      <w:proofErr w:type="spellStart"/>
      <w:r w:rsidRPr="004303E3">
        <w:rPr>
          <w:rFonts w:ascii="Corbel" w:hAnsi="Corbel"/>
          <w:color w:val="000000" w:themeColor="text1"/>
          <w:sz w:val="22"/>
          <w:szCs w:val="22"/>
          <w:lang w:val="en-US"/>
        </w:rPr>
        <w:t>Mayntz</w:t>
      </w:r>
      <w:proofErr w:type="spellEnd"/>
      <w:r w:rsidR="00DD12BA" w:rsidRPr="004303E3">
        <w:rPr>
          <w:rFonts w:ascii="Corbel" w:hAnsi="Corbel"/>
          <w:color w:val="000000" w:themeColor="text1"/>
          <w:sz w:val="22"/>
          <w:szCs w:val="22"/>
          <w:lang w:val="en-US"/>
        </w:rPr>
        <w:t>,</w:t>
      </w:r>
      <w:r w:rsidRPr="004303E3">
        <w:rPr>
          <w:rFonts w:ascii="Corbel" w:hAnsi="Corbel"/>
          <w:color w:val="000000" w:themeColor="text1"/>
          <w:sz w:val="22"/>
          <w:szCs w:val="22"/>
          <w:lang w:val="en-US"/>
        </w:rPr>
        <w:t xml:space="preserve"> 1998) recognize in the public sector organizations those entitled to steer and coordinate networks due to their specific peculiarities and strategic coordination mechanisms, as funding, normative regulations and objectives setting (</w:t>
      </w:r>
      <w:proofErr w:type="spellStart"/>
      <w:r w:rsidRPr="004303E3">
        <w:rPr>
          <w:rFonts w:ascii="Corbel" w:hAnsi="Corbel"/>
          <w:color w:val="000000" w:themeColor="text1"/>
          <w:sz w:val="22"/>
          <w:szCs w:val="22"/>
          <w:lang w:val="en-US"/>
        </w:rPr>
        <w:t>Meneguzzo</w:t>
      </w:r>
      <w:proofErr w:type="spellEnd"/>
      <w:r w:rsidR="00DD12BA" w:rsidRPr="004303E3">
        <w:rPr>
          <w:rFonts w:ascii="Corbel" w:hAnsi="Corbel"/>
          <w:color w:val="000000" w:themeColor="text1"/>
          <w:sz w:val="22"/>
          <w:szCs w:val="22"/>
          <w:lang w:val="en-US"/>
        </w:rPr>
        <w:t>,</w:t>
      </w:r>
      <w:r w:rsidRPr="004303E3">
        <w:rPr>
          <w:rFonts w:ascii="Corbel" w:hAnsi="Corbel"/>
          <w:color w:val="000000" w:themeColor="text1"/>
          <w:sz w:val="22"/>
          <w:szCs w:val="22"/>
          <w:lang w:val="en-US"/>
        </w:rPr>
        <w:t xml:space="preserve"> 2006). </w:t>
      </w:r>
      <w:r w:rsidRPr="004303E3">
        <w:rPr>
          <w:rFonts w:ascii="Corbel" w:hAnsi="Corbel"/>
          <w:i/>
          <w:color w:val="000000" w:themeColor="text1"/>
          <w:sz w:val="22"/>
          <w:szCs w:val="22"/>
          <w:lang w:val="en-US"/>
        </w:rPr>
        <w:t>Mutatis mutandis</w:t>
      </w:r>
      <w:r w:rsidRPr="004303E3">
        <w:rPr>
          <w:rFonts w:ascii="Corbel" w:hAnsi="Corbel"/>
          <w:color w:val="000000" w:themeColor="text1"/>
          <w:sz w:val="22"/>
          <w:szCs w:val="22"/>
          <w:lang w:val="en-US"/>
        </w:rPr>
        <w:t xml:space="preserve">, it is reasonable to expect that international organizations should play the same strategic role at the international level in the coordination of international policy networks </w:t>
      </w:r>
      <w:proofErr w:type="gramStart"/>
      <w:r w:rsidRPr="004303E3">
        <w:rPr>
          <w:rFonts w:ascii="Corbel" w:hAnsi="Corbel"/>
          <w:color w:val="000000" w:themeColor="text1"/>
          <w:sz w:val="22"/>
          <w:szCs w:val="22"/>
          <w:lang w:val="en-US"/>
        </w:rPr>
        <w:t>for the production of</w:t>
      </w:r>
      <w:proofErr w:type="gramEnd"/>
      <w:r w:rsidRPr="004303E3">
        <w:rPr>
          <w:rFonts w:ascii="Corbel" w:hAnsi="Corbel"/>
          <w:color w:val="000000" w:themeColor="text1"/>
          <w:sz w:val="22"/>
          <w:szCs w:val="22"/>
          <w:lang w:val="en-US"/>
        </w:rPr>
        <w:t xml:space="preserve"> global public goods</w:t>
      </w:r>
      <w:r w:rsidRPr="004303E3">
        <w:rPr>
          <w:rFonts w:ascii="Corbel" w:hAnsi="Corbel"/>
          <w:i/>
          <w:color w:val="000000" w:themeColor="text1"/>
          <w:sz w:val="22"/>
          <w:szCs w:val="22"/>
          <w:lang w:val="en-US"/>
        </w:rPr>
        <w:t>.</w:t>
      </w:r>
      <w:r w:rsidRPr="004303E3">
        <w:rPr>
          <w:rFonts w:ascii="Corbel" w:hAnsi="Corbel"/>
          <w:color w:val="000000" w:themeColor="text1"/>
          <w:sz w:val="22"/>
          <w:szCs w:val="22"/>
          <w:lang w:val="en-US"/>
        </w:rPr>
        <w:t xml:space="preserve"> </w:t>
      </w:r>
    </w:p>
    <w:p w14:paraId="6CB3B6B2" w14:textId="3E26ABEB" w:rsidR="00F67ADD" w:rsidRPr="004303E3" w:rsidRDefault="00F67ADD" w:rsidP="002F71BC">
      <w:pPr>
        <w:jc w:val="both"/>
        <w:rPr>
          <w:rFonts w:ascii="Corbel" w:hAnsi="Corbel"/>
          <w:color w:val="000000" w:themeColor="text1"/>
          <w:sz w:val="22"/>
          <w:szCs w:val="22"/>
          <w:lang w:val="en-US"/>
        </w:rPr>
      </w:pPr>
      <w:r w:rsidRPr="004303E3">
        <w:rPr>
          <w:rFonts w:ascii="Corbel" w:hAnsi="Corbel"/>
          <w:color w:val="000000" w:themeColor="text1"/>
          <w:sz w:val="22"/>
          <w:szCs w:val="22"/>
          <w:lang w:val="en-US"/>
        </w:rPr>
        <w:t xml:space="preserve">From a performance management perspective, the focus moves toward network performance, which, as described above, characterizes the New Public Governance reform model. Although the highlighted complexities, the performance management systems of international organizations should be performance </w:t>
      </w:r>
      <w:proofErr w:type="gramStart"/>
      <w:r w:rsidRPr="004303E3">
        <w:rPr>
          <w:rFonts w:ascii="Corbel" w:hAnsi="Corbel"/>
          <w:color w:val="000000" w:themeColor="text1"/>
          <w:sz w:val="22"/>
          <w:szCs w:val="22"/>
          <w:lang w:val="en-US"/>
        </w:rPr>
        <w:t>network-oriented</w:t>
      </w:r>
      <w:proofErr w:type="gramEnd"/>
      <w:r w:rsidRPr="004303E3">
        <w:rPr>
          <w:rFonts w:ascii="Corbel" w:hAnsi="Corbel"/>
          <w:color w:val="000000" w:themeColor="text1"/>
          <w:sz w:val="22"/>
          <w:szCs w:val="22"/>
          <w:lang w:val="en-US"/>
        </w:rPr>
        <w:t>. In other words, the performance measurement system should support collaborative relations among the network members and evaluate their performance. From an operational point of view, the performance management systems should focus on measuring the outcome (the global public goods) that must be considered, in the case of international organizations, as collaborative results. They should include specific indicators for measuring the performance of networks and monitoring the elements useful to detect under which conditions networks are able to perform better (</w:t>
      </w:r>
      <w:proofErr w:type="spellStart"/>
      <w:r w:rsidRPr="004303E3">
        <w:rPr>
          <w:rFonts w:ascii="Corbel" w:hAnsi="Corbel"/>
          <w:color w:val="000000" w:themeColor="text1"/>
          <w:sz w:val="22"/>
          <w:szCs w:val="22"/>
          <w:lang w:val="en-US"/>
        </w:rPr>
        <w:t>Kenis</w:t>
      </w:r>
      <w:proofErr w:type="spellEnd"/>
      <w:r w:rsidRPr="004303E3">
        <w:rPr>
          <w:rFonts w:ascii="Corbel" w:hAnsi="Corbel"/>
          <w:color w:val="000000" w:themeColor="text1"/>
          <w:sz w:val="22"/>
          <w:szCs w:val="22"/>
          <w:lang w:val="en-US"/>
        </w:rPr>
        <w:t xml:space="preserve"> </w:t>
      </w:r>
      <w:r w:rsidR="00DD12BA" w:rsidRPr="004303E3">
        <w:rPr>
          <w:rFonts w:ascii="Corbel" w:hAnsi="Corbel"/>
          <w:color w:val="000000" w:themeColor="text1"/>
          <w:sz w:val="22"/>
          <w:szCs w:val="22"/>
          <w:lang w:val="en-US"/>
        </w:rPr>
        <w:t>&amp;</w:t>
      </w:r>
      <w:r w:rsidRPr="004303E3">
        <w:rPr>
          <w:rFonts w:ascii="Corbel" w:hAnsi="Corbel"/>
          <w:color w:val="000000" w:themeColor="text1"/>
          <w:sz w:val="22"/>
          <w:szCs w:val="22"/>
          <w:lang w:val="en-US"/>
        </w:rPr>
        <w:t xml:space="preserve"> </w:t>
      </w:r>
      <w:proofErr w:type="spellStart"/>
      <w:r w:rsidRPr="004303E3">
        <w:rPr>
          <w:rFonts w:ascii="Corbel" w:hAnsi="Corbel"/>
          <w:color w:val="000000" w:themeColor="text1"/>
          <w:sz w:val="22"/>
          <w:szCs w:val="22"/>
          <w:lang w:val="en-US"/>
        </w:rPr>
        <w:t>Provan</w:t>
      </w:r>
      <w:proofErr w:type="spellEnd"/>
      <w:r w:rsidR="00DD12BA" w:rsidRPr="004303E3">
        <w:rPr>
          <w:rFonts w:ascii="Corbel" w:hAnsi="Corbel"/>
          <w:color w:val="000000" w:themeColor="text1"/>
          <w:sz w:val="22"/>
          <w:szCs w:val="22"/>
          <w:lang w:val="en-US"/>
        </w:rPr>
        <w:t>,</w:t>
      </w:r>
      <w:r w:rsidRPr="004303E3">
        <w:rPr>
          <w:rFonts w:ascii="Corbel" w:hAnsi="Corbel"/>
          <w:color w:val="000000" w:themeColor="text1"/>
          <w:sz w:val="22"/>
          <w:szCs w:val="22"/>
          <w:lang w:val="en-US"/>
        </w:rPr>
        <w:t xml:space="preserve"> 2009). </w:t>
      </w:r>
    </w:p>
    <w:p w14:paraId="4574C493" w14:textId="77777777" w:rsidR="00F67ADD" w:rsidRPr="004303E3" w:rsidRDefault="00F67ADD" w:rsidP="002F71BC">
      <w:pPr>
        <w:jc w:val="both"/>
        <w:rPr>
          <w:rFonts w:ascii="Corbel" w:hAnsi="Corbel"/>
          <w:color w:val="000000" w:themeColor="text1"/>
          <w:sz w:val="22"/>
          <w:szCs w:val="22"/>
          <w:lang w:val="en-US"/>
        </w:rPr>
      </w:pPr>
      <w:r w:rsidRPr="004303E3">
        <w:rPr>
          <w:rFonts w:ascii="Corbel" w:hAnsi="Corbel"/>
          <w:color w:val="000000" w:themeColor="text1"/>
          <w:sz w:val="22"/>
          <w:szCs w:val="22"/>
          <w:lang w:val="en-US"/>
        </w:rPr>
        <w:t>By looking at the literature on the performance management in a network, many studies have analyzed the drivers of network performance, in different policy areas and contexts. The main drivers that have been identified are the structure of the network, the level of trust between partners, the behavior of network managers, implemented management strategies and resource distribution among partners (</w:t>
      </w:r>
      <w:proofErr w:type="spellStart"/>
      <w:r w:rsidRPr="004303E3">
        <w:rPr>
          <w:rFonts w:ascii="Corbel" w:hAnsi="Corbel"/>
          <w:color w:val="000000" w:themeColor="text1"/>
          <w:sz w:val="22"/>
          <w:szCs w:val="22"/>
          <w:lang w:val="en-US"/>
        </w:rPr>
        <w:t>Costumato</w:t>
      </w:r>
      <w:proofErr w:type="spellEnd"/>
      <w:r w:rsidRPr="004303E3">
        <w:rPr>
          <w:rFonts w:ascii="Corbel" w:hAnsi="Corbel"/>
          <w:color w:val="000000" w:themeColor="text1"/>
          <w:sz w:val="22"/>
          <w:szCs w:val="22"/>
          <w:lang w:val="en-US"/>
        </w:rPr>
        <w:t>, 2021).</w:t>
      </w:r>
    </w:p>
    <w:p w14:paraId="2BA60343" w14:textId="7E0B5B0E" w:rsidR="00F67ADD" w:rsidRPr="004303E3" w:rsidRDefault="00F67ADD" w:rsidP="002F71BC">
      <w:pPr>
        <w:jc w:val="both"/>
        <w:rPr>
          <w:rFonts w:ascii="Corbel" w:hAnsi="Corbel"/>
          <w:color w:val="000000" w:themeColor="text1"/>
          <w:sz w:val="22"/>
          <w:szCs w:val="22"/>
          <w:lang w:val="en-US"/>
        </w:rPr>
      </w:pPr>
      <w:proofErr w:type="spellStart"/>
      <w:r w:rsidRPr="004303E3">
        <w:rPr>
          <w:rFonts w:ascii="Corbel" w:hAnsi="Corbel"/>
          <w:color w:val="000000" w:themeColor="text1"/>
          <w:sz w:val="22"/>
          <w:szCs w:val="22"/>
          <w:lang w:val="en-US"/>
        </w:rPr>
        <w:t>Provan</w:t>
      </w:r>
      <w:proofErr w:type="spellEnd"/>
      <w:r w:rsidRPr="004303E3">
        <w:rPr>
          <w:rFonts w:ascii="Corbel" w:hAnsi="Corbel"/>
          <w:color w:val="000000" w:themeColor="text1"/>
          <w:sz w:val="22"/>
          <w:szCs w:val="22"/>
          <w:lang w:val="en-US"/>
        </w:rPr>
        <w:t xml:space="preserve"> and Milward (1995) were the first to propose a framework for the conceptualizing and measuring of public network performance, which deals with the relationship between context, </w:t>
      </w:r>
      <w:proofErr w:type="gramStart"/>
      <w:r w:rsidRPr="004303E3">
        <w:rPr>
          <w:rFonts w:ascii="Corbel" w:hAnsi="Corbel"/>
          <w:color w:val="000000" w:themeColor="text1"/>
          <w:sz w:val="22"/>
          <w:szCs w:val="22"/>
          <w:lang w:val="en-US"/>
        </w:rPr>
        <w:t>structure</w:t>
      </w:r>
      <w:proofErr w:type="gramEnd"/>
      <w:r w:rsidRPr="004303E3">
        <w:rPr>
          <w:rFonts w:ascii="Corbel" w:hAnsi="Corbel"/>
          <w:color w:val="000000" w:themeColor="text1"/>
          <w:sz w:val="22"/>
          <w:szCs w:val="22"/>
          <w:lang w:val="en-US"/>
        </w:rPr>
        <w:t xml:space="preserve"> and the effectiveness of four mental health delivery networks (</w:t>
      </w:r>
      <w:proofErr w:type="spellStart"/>
      <w:r w:rsidRPr="004303E3">
        <w:rPr>
          <w:rFonts w:ascii="Corbel" w:hAnsi="Corbel"/>
          <w:color w:val="000000" w:themeColor="text1"/>
          <w:sz w:val="22"/>
          <w:szCs w:val="22"/>
          <w:lang w:val="en-US"/>
        </w:rPr>
        <w:t>Cristofoli</w:t>
      </w:r>
      <w:proofErr w:type="spellEnd"/>
      <w:r w:rsidRPr="004303E3">
        <w:rPr>
          <w:rFonts w:ascii="Corbel" w:hAnsi="Corbel"/>
          <w:color w:val="000000" w:themeColor="text1"/>
          <w:sz w:val="22"/>
          <w:szCs w:val="22"/>
          <w:lang w:val="en-US"/>
        </w:rPr>
        <w:t xml:space="preserve"> and </w:t>
      </w:r>
      <w:proofErr w:type="spellStart"/>
      <w:r w:rsidRPr="004303E3">
        <w:rPr>
          <w:rFonts w:ascii="Corbel" w:hAnsi="Corbel"/>
          <w:color w:val="000000" w:themeColor="text1"/>
          <w:sz w:val="22"/>
          <w:szCs w:val="22"/>
          <w:lang w:val="en-US"/>
        </w:rPr>
        <w:t>Macciò</w:t>
      </w:r>
      <w:proofErr w:type="spellEnd"/>
      <w:r w:rsidRPr="004303E3">
        <w:rPr>
          <w:rFonts w:ascii="Corbel" w:hAnsi="Corbel"/>
          <w:color w:val="000000" w:themeColor="text1"/>
          <w:sz w:val="22"/>
          <w:szCs w:val="22"/>
          <w:lang w:val="en-US"/>
        </w:rPr>
        <w:t xml:space="preserve">, 2018). Since then, network performance has been explored by various authors and from multiple perspectives. In 2001, another work by </w:t>
      </w:r>
      <w:proofErr w:type="spellStart"/>
      <w:r w:rsidRPr="004303E3">
        <w:rPr>
          <w:rFonts w:ascii="Corbel" w:hAnsi="Corbel"/>
          <w:color w:val="000000" w:themeColor="text1"/>
          <w:sz w:val="22"/>
          <w:szCs w:val="22"/>
          <w:lang w:val="en-US"/>
        </w:rPr>
        <w:t>Provan</w:t>
      </w:r>
      <w:proofErr w:type="spellEnd"/>
      <w:r w:rsidRPr="004303E3">
        <w:rPr>
          <w:rFonts w:ascii="Corbel" w:hAnsi="Corbel"/>
          <w:color w:val="000000" w:themeColor="text1"/>
          <w:sz w:val="22"/>
          <w:szCs w:val="22"/>
          <w:lang w:val="en-US"/>
        </w:rPr>
        <w:t xml:space="preserve"> and Milward, considers three performance variables in a network: the outcome produced for the benefit of each partner, the outcome achieved for the community at large as well as the network level outcome. They conclude that performance management in a network is relevant to motivate the network members about the convenience to remain in the network compared to other organizational forms (</w:t>
      </w:r>
      <w:proofErr w:type="spellStart"/>
      <w:r w:rsidRPr="004303E3">
        <w:rPr>
          <w:rFonts w:ascii="Corbel" w:hAnsi="Corbel"/>
          <w:color w:val="000000" w:themeColor="text1"/>
          <w:sz w:val="22"/>
          <w:szCs w:val="22"/>
          <w:lang w:val="en-US"/>
        </w:rPr>
        <w:t>Provan</w:t>
      </w:r>
      <w:proofErr w:type="spellEnd"/>
      <w:r w:rsidRPr="004303E3">
        <w:rPr>
          <w:rFonts w:ascii="Corbel" w:hAnsi="Corbel"/>
          <w:color w:val="000000" w:themeColor="text1"/>
          <w:sz w:val="22"/>
          <w:szCs w:val="22"/>
          <w:lang w:val="en-US"/>
        </w:rPr>
        <w:t xml:space="preserve"> </w:t>
      </w:r>
      <w:r w:rsidR="00DD12BA" w:rsidRPr="004303E3">
        <w:rPr>
          <w:rFonts w:ascii="Corbel" w:hAnsi="Corbel"/>
          <w:color w:val="000000" w:themeColor="text1"/>
          <w:sz w:val="22"/>
          <w:szCs w:val="22"/>
          <w:lang w:val="en-US"/>
        </w:rPr>
        <w:t>&amp;</w:t>
      </w:r>
      <w:r w:rsidRPr="004303E3">
        <w:rPr>
          <w:rFonts w:ascii="Corbel" w:hAnsi="Corbel"/>
          <w:color w:val="000000" w:themeColor="text1"/>
          <w:sz w:val="22"/>
          <w:szCs w:val="22"/>
          <w:lang w:val="en-US"/>
        </w:rPr>
        <w:t xml:space="preserve"> Milward 2001). Starting from </w:t>
      </w:r>
      <w:proofErr w:type="spellStart"/>
      <w:r w:rsidRPr="004303E3">
        <w:rPr>
          <w:rFonts w:ascii="Corbel" w:hAnsi="Corbel"/>
          <w:color w:val="000000" w:themeColor="text1"/>
          <w:sz w:val="22"/>
          <w:szCs w:val="22"/>
          <w:lang w:val="en-US"/>
        </w:rPr>
        <w:t>Provan</w:t>
      </w:r>
      <w:proofErr w:type="spellEnd"/>
      <w:r w:rsidRPr="004303E3">
        <w:rPr>
          <w:rFonts w:ascii="Corbel" w:hAnsi="Corbel"/>
          <w:color w:val="000000" w:themeColor="text1"/>
          <w:sz w:val="22"/>
          <w:szCs w:val="22"/>
          <w:lang w:val="en-US"/>
        </w:rPr>
        <w:t xml:space="preserve"> and Milward works (1995, 2001) some authors have assumed a single organization point of view, exploring how networks can foster better performance results for any partner within the network (Giacomini et al., 2018; </w:t>
      </w:r>
      <w:proofErr w:type="spellStart"/>
      <w:r w:rsidRPr="004303E3">
        <w:rPr>
          <w:rFonts w:ascii="Corbel" w:hAnsi="Corbel"/>
          <w:color w:val="000000" w:themeColor="text1"/>
          <w:sz w:val="22"/>
          <w:szCs w:val="22"/>
          <w:lang w:val="en-US"/>
        </w:rPr>
        <w:t>Provan</w:t>
      </w:r>
      <w:proofErr w:type="spellEnd"/>
      <w:r w:rsidRPr="004303E3">
        <w:rPr>
          <w:rFonts w:ascii="Corbel" w:hAnsi="Corbel"/>
          <w:color w:val="000000" w:themeColor="text1"/>
          <w:sz w:val="22"/>
          <w:szCs w:val="22"/>
          <w:lang w:val="en-US"/>
        </w:rPr>
        <w:t xml:space="preserve"> et al., 200</w:t>
      </w:r>
      <w:r w:rsidR="00DD12BA" w:rsidRPr="004303E3">
        <w:rPr>
          <w:rFonts w:ascii="Corbel" w:hAnsi="Corbel"/>
          <w:color w:val="000000" w:themeColor="text1"/>
          <w:sz w:val="22"/>
          <w:szCs w:val="22"/>
          <w:lang w:val="en-US"/>
        </w:rPr>
        <w:t>5</w:t>
      </w:r>
      <w:r w:rsidRPr="004303E3">
        <w:rPr>
          <w:rFonts w:ascii="Corbel" w:hAnsi="Corbel"/>
          <w:color w:val="000000" w:themeColor="text1"/>
          <w:sz w:val="22"/>
          <w:szCs w:val="22"/>
          <w:lang w:val="en-US"/>
        </w:rPr>
        <w:t xml:space="preserve">; Kiefer </w:t>
      </w:r>
      <w:r w:rsidR="00DD12BA" w:rsidRPr="004303E3">
        <w:rPr>
          <w:rFonts w:ascii="Corbel" w:hAnsi="Corbel"/>
          <w:color w:val="000000" w:themeColor="text1"/>
          <w:sz w:val="22"/>
          <w:szCs w:val="22"/>
          <w:lang w:val="en-US"/>
        </w:rPr>
        <w:t>&amp;</w:t>
      </w:r>
      <w:r w:rsidRPr="004303E3">
        <w:rPr>
          <w:rFonts w:ascii="Corbel" w:hAnsi="Corbel"/>
          <w:color w:val="000000" w:themeColor="text1"/>
          <w:sz w:val="22"/>
          <w:szCs w:val="22"/>
          <w:lang w:val="en-US"/>
        </w:rPr>
        <w:t xml:space="preserve"> </w:t>
      </w:r>
      <w:proofErr w:type="spellStart"/>
      <w:r w:rsidRPr="004303E3">
        <w:rPr>
          <w:rFonts w:ascii="Corbel" w:hAnsi="Corbel"/>
          <w:color w:val="000000" w:themeColor="text1"/>
          <w:sz w:val="22"/>
          <w:szCs w:val="22"/>
          <w:lang w:val="en-US"/>
        </w:rPr>
        <w:t>Montjoy</w:t>
      </w:r>
      <w:proofErr w:type="spellEnd"/>
      <w:r w:rsidRPr="004303E3">
        <w:rPr>
          <w:rFonts w:ascii="Corbel" w:hAnsi="Corbel"/>
          <w:color w:val="000000" w:themeColor="text1"/>
          <w:sz w:val="22"/>
          <w:szCs w:val="22"/>
          <w:lang w:val="en-US"/>
        </w:rPr>
        <w:t xml:space="preserve">, 2006; May and Winter, 2007; </w:t>
      </w:r>
      <w:proofErr w:type="spellStart"/>
      <w:r w:rsidRPr="004303E3">
        <w:rPr>
          <w:rFonts w:ascii="Corbel" w:hAnsi="Corbel"/>
          <w:color w:val="000000" w:themeColor="text1"/>
          <w:sz w:val="22"/>
          <w:szCs w:val="22"/>
          <w:lang w:val="en-US"/>
        </w:rPr>
        <w:t>LeRoux</w:t>
      </w:r>
      <w:proofErr w:type="spellEnd"/>
      <w:r w:rsidRPr="004303E3">
        <w:rPr>
          <w:rFonts w:ascii="Corbel" w:hAnsi="Corbel"/>
          <w:color w:val="000000" w:themeColor="text1"/>
          <w:sz w:val="22"/>
          <w:szCs w:val="22"/>
          <w:lang w:val="en-US"/>
        </w:rPr>
        <w:t xml:space="preserve"> et al., 2010). Others have assumed a whole network perspective </w:t>
      </w:r>
      <w:proofErr w:type="gramStart"/>
      <w:r w:rsidRPr="004303E3">
        <w:rPr>
          <w:rFonts w:ascii="Corbel" w:hAnsi="Corbel"/>
          <w:color w:val="000000" w:themeColor="text1"/>
          <w:sz w:val="22"/>
          <w:szCs w:val="22"/>
          <w:lang w:val="en-US"/>
        </w:rPr>
        <w:t>in an effort to</w:t>
      </w:r>
      <w:proofErr w:type="gramEnd"/>
      <w:r w:rsidRPr="004303E3">
        <w:rPr>
          <w:rFonts w:ascii="Corbel" w:hAnsi="Corbel"/>
          <w:color w:val="000000" w:themeColor="text1"/>
          <w:sz w:val="22"/>
          <w:szCs w:val="22"/>
          <w:lang w:val="en-US"/>
        </w:rPr>
        <w:t xml:space="preserve"> understand how best to measure the results of collaboration (Mandell, 1994; </w:t>
      </w:r>
      <w:proofErr w:type="spellStart"/>
      <w:r w:rsidRPr="004303E3">
        <w:rPr>
          <w:rFonts w:ascii="Corbel" w:hAnsi="Corbel"/>
          <w:color w:val="000000" w:themeColor="text1"/>
          <w:sz w:val="22"/>
          <w:szCs w:val="22"/>
          <w:lang w:val="en-US"/>
        </w:rPr>
        <w:t>Provan</w:t>
      </w:r>
      <w:proofErr w:type="spellEnd"/>
      <w:r w:rsidRPr="004303E3">
        <w:rPr>
          <w:rFonts w:ascii="Corbel" w:hAnsi="Corbel"/>
          <w:color w:val="000000" w:themeColor="text1"/>
          <w:sz w:val="22"/>
          <w:szCs w:val="22"/>
          <w:lang w:val="en-US"/>
        </w:rPr>
        <w:t xml:space="preserve"> </w:t>
      </w:r>
      <w:r w:rsidR="00DD12BA" w:rsidRPr="004303E3">
        <w:rPr>
          <w:rFonts w:ascii="Corbel" w:hAnsi="Corbel"/>
          <w:color w:val="000000" w:themeColor="text1"/>
          <w:sz w:val="22"/>
          <w:szCs w:val="22"/>
          <w:lang w:val="en-US"/>
        </w:rPr>
        <w:t>&amp;</w:t>
      </w:r>
      <w:r w:rsidRPr="004303E3">
        <w:rPr>
          <w:rFonts w:ascii="Corbel" w:hAnsi="Corbel"/>
          <w:color w:val="000000" w:themeColor="text1"/>
          <w:sz w:val="22"/>
          <w:szCs w:val="22"/>
          <w:lang w:val="en-US"/>
        </w:rPr>
        <w:t xml:space="preserve"> Milward, 1995; </w:t>
      </w:r>
      <w:proofErr w:type="spellStart"/>
      <w:r w:rsidRPr="004303E3">
        <w:rPr>
          <w:rFonts w:ascii="Corbel" w:hAnsi="Corbel"/>
          <w:color w:val="000000" w:themeColor="text1"/>
          <w:sz w:val="22"/>
          <w:szCs w:val="22"/>
          <w:lang w:val="en-US"/>
        </w:rPr>
        <w:t>Provan</w:t>
      </w:r>
      <w:proofErr w:type="spellEnd"/>
      <w:r w:rsidRPr="004303E3">
        <w:rPr>
          <w:rFonts w:ascii="Corbel" w:hAnsi="Corbel"/>
          <w:color w:val="000000" w:themeColor="text1"/>
          <w:sz w:val="22"/>
          <w:szCs w:val="22"/>
          <w:lang w:val="en-US"/>
        </w:rPr>
        <w:t xml:space="preserve"> and Sebastian, 1998; </w:t>
      </w:r>
      <w:proofErr w:type="spellStart"/>
      <w:r w:rsidRPr="004303E3">
        <w:rPr>
          <w:rFonts w:ascii="Corbel" w:hAnsi="Corbel"/>
          <w:color w:val="000000" w:themeColor="text1"/>
          <w:sz w:val="22"/>
          <w:szCs w:val="22"/>
          <w:lang w:val="en-US"/>
        </w:rPr>
        <w:t>Keast</w:t>
      </w:r>
      <w:proofErr w:type="spellEnd"/>
      <w:r w:rsidRPr="004303E3">
        <w:rPr>
          <w:rFonts w:ascii="Corbel" w:hAnsi="Corbel"/>
          <w:color w:val="000000" w:themeColor="text1"/>
          <w:sz w:val="22"/>
          <w:szCs w:val="22"/>
          <w:lang w:val="en-US"/>
        </w:rPr>
        <w:t xml:space="preserve"> et al., 2004; Van </w:t>
      </w:r>
      <w:proofErr w:type="spellStart"/>
      <w:r w:rsidRPr="004303E3">
        <w:rPr>
          <w:rFonts w:ascii="Corbel" w:hAnsi="Corbel"/>
          <w:color w:val="000000" w:themeColor="text1"/>
          <w:sz w:val="22"/>
          <w:szCs w:val="22"/>
          <w:lang w:val="en-US"/>
        </w:rPr>
        <w:t>Raaij</w:t>
      </w:r>
      <w:proofErr w:type="spellEnd"/>
      <w:r w:rsidRPr="004303E3">
        <w:rPr>
          <w:rFonts w:ascii="Corbel" w:hAnsi="Corbel"/>
          <w:color w:val="000000" w:themeColor="text1"/>
          <w:sz w:val="22"/>
          <w:szCs w:val="22"/>
          <w:lang w:val="en-US"/>
        </w:rPr>
        <w:t xml:space="preserve">, 2006; </w:t>
      </w:r>
      <w:proofErr w:type="spellStart"/>
      <w:r w:rsidRPr="004303E3">
        <w:rPr>
          <w:rFonts w:ascii="Corbel" w:hAnsi="Corbel"/>
          <w:color w:val="000000" w:themeColor="text1"/>
          <w:sz w:val="22"/>
          <w:szCs w:val="22"/>
          <w:lang w:val="en-US"/>
        </w:rPr>
        <w:t>Lindencrona</w:t>
      </w:r>
      <w:proofErr w:type="spellEnd"/>
      <w:r w:rsidRPr="004303E3">
        <w:rPr>
          <w:rFonts w:ascii="Corbel" w:hAnsi="Corbel"/>
          <w:color w:val="000000" w:themeColor="text1"/>
          <w:sz w:val="22"/>
          <w:szCs w:val="22"/>
          <w:lang w:val="en-US"/>
        </w:rPr>
        <w:t xml:space="preserve"> et al., 2009; </w:t>
      </w:r>
      <w:proofErr w:type="spellStart"/>
      <w:r w:rsidRPr="004303E3">
        <w:rPr>
          <w:rFonts w:ascii="Corbel" w:hAnsi="Corbel"/>
          <w:color w:val="000000" w:themeColor="text1"/>
          <w:sz w:val="22"/>
          <w:szCs w:val="22"/>
          <w:lang w:val="en-US"/>
        </w:rPr>
        <w:t>Provan</w:t>
      </w:r>
      <w:proofErr w:type="spellEnd"/>
      <w:r w:rsidRPr="004303E3">
        <w:rPr>
          <w:rFonts w:ascii="Corbel" w:hAnsi="Corbel"/>
          <w:color w:val="000000" w:themeColor="text1"/>
          <w:sz w:val="22"/>
          <w:szCs w:val="22"/>
          <w:lang w:val="en-US"/>
        </w:rPr>
        <w:t xml:space="preserve"> et al., 2009; </w:t>
      </w:r>
      <w:proofErr w:type="spellStart"/>
      <w:r w:rsidRPr="004303E3">
        <w:rPr>
          <w:rFonts w:ascii="Corbel" w:hAnsi="Corbel"/>
          <w:color w:val="000000" w:themeColor="text1"/>
          <w:sz w:val="22"/>
          <w:szCs w:val="22"/>
          <w:lang w:val="en-US"/>
        </w:rPr>
        <w:t>Herranz</w:t>
      </w:r>
      <w:proofErr w:type="spellEnd"/>
      <w:r w:rsidRPr="004303E3">
        <w:rPr>
          <w:rFonts w:ascii="Corbel" w:hAnsi="Corbel"/>
          <w:color w:val="000000" w:themeColor="text1"/>
          <w:sz w:val="22"/>
          <w:szCs w:val="22"/>
          <w:lang w:val="en-US"/>
        </w:rPr>
        <w:t>, 2010). Finally, some authors have analyzed network performance assuming the beneficiaries’ point of view (</w:t>
      </w:r>
      <w:proofErr w:type="spellStart"/>
      <w:r w:rsidRPr="004303E3">
        <w:rPr>
          <w:rFonts w:ascii="Corbel" w:hAnsi="Corbel"/>
          <w:color w:val="000000" w:themeColor="text1"/>
          <w:sz w:val="22"/>
          <w:szCs w:val="22"/>
          <w:lang w:val="en-US"/>
        </w:rPr>
        <w:t>Provan</w:t>
      </w:r>
      <w:proofErr w:type="spellEnd"/>
      <w:r w:rsidRPr="004303E3">
        <w:rPr>
          <w:rFonts w:ascii="Corbel" w:hAnsi="Corbel"/>
          <w:color w:val="000000" w:themeColor="text1"/>
          <w:sz w:val="22"/>
          <w:szCs w:val="22"/>
          <w:lang w:val="en-US"/>
        </w:rPr>
        <w:t xml:space="preserve"> </w:t>
      </w:r>
      <w:r w:rsidR="00701AD0" w:rsidRPr="004303E3">
        <w:rPr>
          <w:rFonts w:ascii="Corbel" w:hAnsi="Corbel"/>
          <w:color w:val="000000" w:themeColor="text1"/>
          <w:sz w:val="22"/>
          <w:szCs w:val="22"/>
          <w:lang w:val="en-US"/>
        </w:rPr>
        <w:t>&amp;</w:t>
      </w:r>
      <w:r w:rsidRPr="004303E3">
        <w:rPr>
          <w:rFonts w:ascii="Corbel" w:hAnsi="Corbel"/>
          <w:color w:val="000000" w:themeColor="text1"/>
          <w:sz w:val="22"/>
          <w:szCs w:val="22"/>
          <w:lang w:val="en-US"/>
        </w:rPr>
        <w:t xml:space="preserve"> Milward, 1995; </w:t>
      </w:r>
      <w:proofErr w:type="spellStart"/>
      <w:r w:rsidRPr="004303E3">
        <w:rPr>
          <w:rFonts w:ascii="Corbel" w:hAnsi="Corbel"/>
          <w:color w:val="000000" w:themeColor="text1"/>
          <w:sz w:val="22"/>
          <w:szCs w:val="22"/>
          <w:lang w:val="en-US"/>
        </w:rPr>
        <w:t>Provan</w:t>
      </w:r>
      <w:proofErr w:type="spellEnd"/>
      <w:r w:rsidRPr="004303E3">
        <w:rPr>
          <w:rFonts w:ascii="Corbel" w:hAnsi="Corbel"/>
          <w:color w:val="000000" w:themeColor="text1"/>
          <w:sz w:val="22"/>
          <w:szCs w:val="22"/>
          <w:lang w:val="en-US"/>
        </w:rPr>
        <w:t xml:space="preserve"> </w:t>
      </w:r>
      <w:r w:rsidR="00701AD0" w:rsidRPr="004303E3">
        <w:rPr>
          <w:rFonts w:ascii="Corbel" w:hAnsi="Corbel"/>
          <w:color w:val="000000" w:themeColor="text1"/>
          <w:sz w:val="22"/>
          <w:szCs w:val="22"/>
          <w:lang w:val="en-US"/>
        </w:rPr>
        <w:t>&amp;</w:t>
      </w:r>
      <w:r w:rsidRPr="004303E3">
        <w:rPr>
          <w:rFonts w:ascii="Corbel" w:hAnsi="Corbel"/>
          <w:color w:val="000000" w:themeColor="text1"/>
          <w:sz w:val="22"/>
          <w:szCs w:val="22"/>
          <w:lang w:val="en-US"/>
        </w:rPr>
        <w:t xml:space="preserve"> Sebastian, 1998; </w:t>
      </w:r>
      <w:proofErr w:type="spellStart"/>
      <w:r w:rsidRPr="004303E3">
        <w:rPr>
          <w:rFonts w:ascii="Corbel" w:hAnsi="Corbel"/>
          <w:color w:val="000000" w:themeColor="text1"/>
          <w:sz w:val="22"/>
          <w:szCs w:val="22"/>
          <w:lang w:val="en-US"/>
        </w:rPr>
        <w:t>Cristofoli</w:t>
      </w:r>
      <w:proofErr w:type="spellEnd"/>
      <w:r w:rsidRPr="004303E3">
        <w:rPr>
          <w:rFonts w:ascii="Corbel" w:hAnsi="Corbel"/>
          <w:color w:val="000000" w:themeColor="text1"/>
          <w:sz w:val="22"/>
          <w:szCs w:val="22"/>
          <w:lang w:val="en-US"/>
        </w:rPr>
        <w:t xml:space="preserve"> et al., 2015; </w:t>
      </w:r>
      <w:proofErr w:type="spellStart"/>
      <w:r w:rsidRPr="004303E3">
        <w:rPr>
          <w:rFonts w:ascii="Corbel" w:hAnsi="Corbel"/>
          <w:color w:val="000000" w:themeColor="text1"/>
          <w:sz w:val="22"/>
          <w:szCs w:val="22"/>
          <w:lang w:val="en-US"/>
        </w:rPr>
        <w:t>Raab</w:t>
      </w:r>
      <w:proofErr w:type="spellEnd"/>
      <w:r w:rsidRPr="004303E3">
        <w:rPr>
          <w:rFonts w:ascii="Corbel" w:hAnsi="Corbel"/>
          <w:color w:val="000000" w:themeColor="text1"/>
          <w:sz w:val="22"/>
          <w:szCs w:val="22"/>
          <w:lang w:val="en-US"/>
        </w:rPr>
        <w:t xml:space="preserve"> et al., 2013; </w:t>
      </w:r>
      <w:proofErr w:type="spellStart"/>
      <w:r w:rsidRPr="004303E3">
        <w:rPr>
          <w:rFonts w:ascii="Corbel" w:hAnsi="Corbel"/>
          <w:color w:val="000000" w:themeColor="text1"/>
          <w:sz w:val="22"/>
          <w:szCs w:val="22"/>
          <w:lang w:val="en-US"/>
        </w:rPr>
        <w:t>Cristofoli</w:t>
      </w:r>
      <w:proofErr w:type="spellEnd"/>
      <w:r w:rsidRPr="004303E3">
        <w:rPr>
          <w:rFonts w:ascii="Corbel" w:hAnsi="Corbel"/>
          <w:color w:val="000000" w:themeColor="text1"/>
          <w:sz w:val="22"/>
          <w:szCs w:val="22"/>
          <w:lang w:val="en-US"/>
        </w:rPr>
        <w:t xml:space="preserve"> and Markovic, 2016). From our perspective, examining the performance of the network </w:t>
      </w:r>
      <w:proofErr w:type="gramStart"/>
      <w:r w:rsidRPr="004303E3">
        <w:rPr>
          <w:rFonts w:ascii="Corbel" w:hAnsi="Corbel"/>
          <w:color w:val="000000" w:themeColor="text1"/>
          <w:sz w:val="22"/>
          <w:szCs w:val="22"/>
          <w:lang w:val="en-US"/>
        </w:rPr>
        <w:t>as a whole can</w:t>
      </w:r>
      <w:proofErr w:type="gramEnd"/>
      <w:r w:rsidRPr="004303E3">
        <w:rPr>
          <w:rFonts w:ascii="Corbel" w:hAnsi="Corbel"/>
          <w:color w:val="000000" w:themeColor="text1"/>
          <w:sz w:val="22"/>
          <w:szCs w:val="22"/>
          <w:lang w:val="en-US"/>
        </w:rPr>
        <w:t xml:space="preserve"> enhance the understanding of how international organizations can be described from a network perspective and how collective outcomes can be achieved (</w:t>
      </w:r>
      <w:proofErr w:type="spellStart"/>
      <w:r w:rsidRPr="004303E3">
        <w:rPr>
          <w:rFonts w:ascii="Corbel" w:hAnsi="Corbel"/>
          <w:color w:val="000000" w:themeColor="text1"/>
          <w:sz w:val="22"/>
          <w:szCs w:val="22"/>
          <w:lang w:val="en-US"/>
        </w:rPr>
        <w:t>Provan</w:t>
      </w:r>
      <w:proofErr w:type="spellEnd"/>
      <w:r w:rsidRPr="004303E3">
        <w:rPr>
          <w:rFonts w:ascii="Corbel" w:hAnsi="Corbel"/>
          <w:color w:val="000000" w:themeColor="text1"/>
          <w:sz w:val="22"/>
          <w:szCs w:val="22"/>
          <w:lang w:val="en-US"/>
        </w:rPr>
        <w:t xml:space="preserve"> et al., 2007). Furthermore, the literature </w:t>
      </w:r>
      <w:proofErr w:type="gramStart"/>
      <w:r w:rsidRPr="004303E3">
        <w:rPr>
          <w:rFonts w:ascii="Corbel" w:hAnsi="Corbel"/>
          <w:color w:val="000000" w:themeColor="text1"/>
          <w:sz w:val="22"/>
          <w:szCs w:val="22"/>
          <w:lang w:val="en-US"/>
        </w:rPr>
        <w:t>have</w:t>
      </w:r>
      <w:proofErr w:type="gramEnd"/>
      <w:r w:rsidRPr="004303E3">
        <w:rPr>
          <w:rFonts w:ascii="Corbel" w:hAnsi="Corbel"/>
          <w:color w:val="000000" w:themeColor="text1"/>
          <w:sz w:val="22"/>
          <w:szCs w:val="22"/>
          <w:lang w:val="en-US"/>
        </w:rPr>
        <w:t xml:space="preserve"> identified two main components influencing network performance at the three different levels, exogenous elements over which network managers have little control, and endogenous elements that can be instrumentally used by the network manager (</w:t>
      </w:r>
      <w:proofErr w:type="spellStart"/>
      <w:r w:rsidRPr="004303E3">
        <w:rPr>
          <w:rFonts w:ascii="Corbel" w:hAnsi="Corbel"/>
          <w:color w:val="000000" w:themeColor="text1"/>
          <w:sz w:val="22"/>
          <w:szCs w:val="22"/>
          <w:lang w:val="en-US"/>
        </w:rPr>
        <w:t>Cepiku</w:t>
      </w:r>
      <w:proofErr w:type="spellEnd"/>
      <w:r w:rsidRPr="004303E3">
        <w:rPr>
          <w:rFonts w:ascii="Corbel" w:hAnsi="Corbel"/>
          <w:color w:val="000000" w:themeColor="text1"/>
          <w:sz w:val="22"/>
          <w:szCs w:val="22"/>
          <w:lang w:val="en-US"/>
        </w:rPr>
        <w:t>, 2013). The exogenous elements include:</w:t>
      </w:r>
    </w:p>
    <w:p w14:paraId="1AD7DC3C" w14:textId="69C836BA" w:rsidR="00F67ADD" w:rsidRPr="004303E3" w:rsidRDefault="00F67ADD" w:rsidP="004303E3">
      <w:pPr>
        <w:pStyle w:val="Paragrafoelenco"/>
        <w:numPr>
          <w:ilvl w:val="0"/>
          <w:numId w:val="40"/>
        </w:numPr>
        <w:spacing w:line="240" w:lineRule="auto"/>
        <w:jc w:val="both"/>
        <w:rPr>
          <w:rFonts w:ascii="Corbel" w:hAnsi="Corbel"/>
          <w:color w:val="000000" w:themeColor="text1"/>
          <w:lang w:val="en-US"/>
        </w:rPr>
      </w:pPr>
      <w:r w:rsidRPr="004303E3">
        <w:rPr>
          <w:rFonts w:ascii="Corbel" w:hAnsi="Corbel"/>
          <w:color w:val="000000" w:themeColor="text1"/>
          <w:lang w:val="en-US"/>
        </w:rPr>
        <w:t>The type of network, its voluntary nature, and the level of network development (</w:t>
      </w:r>
      <w:proofErr w:type="spellStart"/>
      <w:r w:rsidRPr="004303E3">
        <w:rPr>
          <w:rFonts w:ascii="Corbel" w:hAnsi="Corbel"/>
          <w:color w:val="000000" w:themeColor="text1"/>
          <w:lang w:val="en-US"/>
        </w:rPr>
        <w:t>Kenis</w:t>
      </w:r>
      <w:proofErr w:type="spellEnd"/>
      <w:r w:rsidRPr="004303E3">
        <w:rPr>
          <w:rFonts w:ascii="Corbel" w:hAnsi="Corbel"/>
          <w:color w:val="000000" w:themeColor="text1"/>
          <w:lang w:val="en-US"/>
        </w:rPr>
        <w:t xml:space="preserve"> </w:t>
      </w:r>
      <w:r w:rsidR="00701AD0" w:rsidRPr="004303E3">
        <w:rPr>
          <w:rFonts w:ascii="Corbel" w:hAnsi="Corbel"/>
          <w:color w:val="000000" w:themeColor="text1"/>
          <w:lang w:val="en-US"/>
        </w:rPr>
        <w:t>&amp;</w:t>
      </w:r>
      <w:r w:rsidRPr="004303E3">
        <w:rPr>
          <w:rFonts w:ascii="Corbel" w:hAnsi="Corbel"/>
          <w:color w:val="000000" w:themeColor="text1"/>
          <w:lang w:val="en-US"/>
        </w:rPr>
        <w:t xml:space="preserve"> </w:t>
      </w:r>
      <w:proofErr w:type="spellStart"/>
      <w:r w:rsidRPr="004303E3">
        <w:rPr>
          <w:rFonts w:ascii="Corbel" w:hAnsi="Corbel"/>
          <w:color w:val="000000" w:themeColor="text1"/>
          <w:lang w:val="en-US"/>
        </w:rPr>
        <w:t>Provan</w:t>
      </w:r>
      <w:proofErr w:type="spellEnd"/>
      <w:r w:rsidR="00701AD0" w:rsidRPr="004303E3">
        <w:rPr>
          <w:rFonts w:ascii="Corbel" w:hAnsi="Corbel"/>
          <w:color w:val="000000" w:themeColor="text1"/>
          <w:lang w:val="en-US"/>
        </w:rPr>
        <w:t>,</w:t>
      </w:r>
      <w:r w:rsidRPr="004303E3">
        <w:rPr>
          <w:rFonts w:ascii="Corbel" w:hAnsi="Corbel"/>
          <w:color w:val="000000" w:themeColor="text1"/>
          <w:lang w:val="en-US"/>
        </w:rPr>
        <w:t xml:space="preserve"> 2009). The authors suggest that all network members should firstly share the measurement system of network performance and all external factors influencing such performance should be identified (</w:t>
      </w:r>
      <w:proofErr w:type="spellStart"/>
      <w:r w:rsidRPr="004303E3">
        <w:rPr>
          <w:rFonts w:ascii="Corbel" w:hAnsi="Corbel"/>
          <w:color w:val="000000" w:themeColor="text1"/>
          <w:lang w:val="en-US"/>
        </w:rPr>
        <w:t>Kenis</w:t>
      </w:r>
      <w:proofErr w:type="spellEnd"/>
      <w:r w:rsidRPr="004303E3">
        <w:rPr>
          <w:rFonts w:ascii="Corbel" w:hAnsi="Corbel"/>
          <w:color w:val="000000" w:themeColor="text1"/>
          <w:lang w:val="en-US"/>
        </w:rPr>
        <w:t xml:space="preserve"> </w:t>
      </w:r>
      <w:r w:rsidR="00701AD0" w:rsidRPr="004303E3">
        <w:rPr>
          <w:rFonts w:ascii="Corbel" w:hAnsi="Corbel"/>
          <w:color w:val="000000" w:themeColor="text1"/>
          <w:lang w:val="en-US"/>
        </w:rPr>
        <w:t>&amp;</w:t>
      </w:r>
      <w:r w:rsidRPr="004303E3">
        <w:rPr>
          <w:rFonts w:ascii="Corbel" w:hAnsi="Corbel"/>
          <w:color w:val="000000" w:themeColor="text1"/>
          <w:lang w:val="en-US"/>
        </w:rPr>
        <w:t xml:space="preserve"> </w:t>
      </w:r>
      <w:proofErr w:type="spellStart"/>
      <w:r w:rsidRPr="004303E3">
        <w:rPr>
          <w:rFonts w:ascii="Corbel" w:hAnsi="Corbel"/>
          <w:color w:val="000000" w:themeColor="text1"/>
          <w:lang w:val="en-US"/>
        </w:rPr>
        <w:t>Provan</w:t>
      </w:r>
      <w:proofErr w:type="spellEnd"/>
      <w:r w:rsidR="00701AD0" w:rsidRPr="004303E3">
        <w:rPr>
          <w:rFonts w:ascii="Corbel" w:hAnsi="Corbel"/>
          <w:color w:val="000000" w:themeColor="text1"/>
          <w:lang w:val="en-US"/>
        </w:rPr>
        <w:t>,</w:t>
      </w:r>
      <w:r w:rsidRPr="004303E3">
        <w:rPr>
          <w:rFonts w:ascii="Corbel" w:hAnsi="Corbel"/>
          <w:color w:val="000000" w:themeColor="text1"/>
          <w:lang w:val="en-US"/>
        </w:rPr>
        <w:t xml:space="preserve"> 2009). </w:t>
      </w:r>
    </w:p>
    <w:p w14:paraId="6628BACB" w14:textId="40E872D5" w:rsidR="00F67ADD" w:rsidRPr="004303E3" w:rsidRDefault="00F67ADD" w:rsidP="004303E3">
      <w:pPr>
        <w:pStyle w:val="Paragrafoelenco"/>
        <w:numPr>
          <w:ilvl w:val="0"/>
          <w:numId w:val="40"/>
        </w:numPr>
        <w:spacing w:line="240" w:lineRule="auto"/>
        <w:jc w:val="both"/>
        <w:rPr>
          <w:rFonts w:ascii="Corbel" w:hAnsi="Corbel"/>
          <w:color w:val="000000" w:themeColor="text1"/>
          <w:lang w:val="en-US"/>
        </w:rPr>
      </w:pPr>
      <w:r w:rsidRPr="004303E3">
        <w:rPr>
          <w:rFonts w:ascii="Corbel" w:hAnsi="Corbel"/>
          <w:color w:val="000000" w:themeColor="text1"/>
          <w:lang w:val="en-US"/>
        </w:rPr>
        <w:lastRenderedPageBreak/>
        <w:t>The fact that network objectives should be preliminary set with the agreement of all members (goal consensus) and then subject to periodic evaluation to guarantee that the contribution of each organization is in line with its capacity to deliver it. (</w:t>
      </w:r>
      <w:proofErr w:type="spellStart"/>
      <w:r w:rsidRPr="004303E3">
        <w:rPr>
          <w:rFonts w:ascii="Corbel" w:hAnsi="Corbel"/>
          <w:color w:val="000000" w:themeColor="text1"/>
          <w:lang w:val="en-US"/>
        </w:rPr>
        <w:t>Voets</w:t>
      </w:r>
      <w:proofErr w:type="spellEnd"/>
      <w:r w:rsidRPr="004303E3">
        <w:rPr>
          <w:rFonts w:ascii="Corbel" w:hAnsi="Corbel"/>
          <w:color w:val="000000" w:themeColor="text1"/>
          <w:lang w:val="en-US"/>
        </w:rPr>
        <w:t xml:space="preserve"> et al.</w:t>
      </w:r>
      <w:r w:rsidR="00701AD0" w:rsidRPr="004303E3">
        <w:rPr>
          <w:rFonts w:ascii="Corbel" w:hAnsi="Corbel"/>
          <w:color w:val="000000" w:themeColor="text1"/>
          <w:lang w:val="en-US"/>
        </w:rPr>
        <w:t>,</w:t>
      </w:r>
      <w:r w:rsidRPr="004303E3">
        <w:rPr>
          <w:rFonts w:ascii="Corbel" w:hAnsi="Corbel"/>
          <w:color w:val="000000" w:themeColor="text1"/>
          <w:lang w:val="en-US"/>
        </w:rPr>
        <w:t xml:space="preserve"> 2008). </w:t>
      </w:r>
    </w:p>
    <w:p w14:paraId="4392E526" w14:textId="0BF1EF22" w:rsidR="00F67ADD" w:rsidRPr="004303E3" w:rsidRDefault="00F67ADD" w:rsidP="004303E3">
      <w:pPr>
        <w:pStyle w:val="Paragrafoelenco"/>
        <w:numPr>
          <w:ilvl w:val="0"/>
          <w:numId w:val="40"/>
        </w:numPr>
        <w:spacing w:line="240" w:lineRule="auto"/>
        <w:jc w:val="both"/>
        <w:rPr>
          <w:rFonts w:ascii="Corbel" w:hAnsi="Corbel"/>
          <w:color w:val="000000" w:themeColor="text1"/>
          <w:lang w:val="en-US"/>
        </w:rPr>
      </w:pPr>
      <w:r w:rsidRPr="004303E3">
        <w:rPr>
          <w:rFonts w:ascii="Corbel" w:hAnsi="Corbel"/>
          <w:color w:val="000000" w:themeColor="text1"/>
          <w:lang w:val="en-US"/>
        </w:rPr>
        <w:t>The form of the network i.e., shared governance, lead organization or network administrative form (</w:t>
      </w:r>
      <w:proofErr w:type="spellStart"/>
      <w:r w:rsidRPr="004303E3">
        <w:rPr>
          <w:rFonts w:ascii="Corbel" w:hAnsi="Corbel"/>
          <w:color w:val="000000" w:themeColor="text1"/>
          <w:lang w:val="en-US"/>
        </w:rPr>
        <w:t>Kenis</w:t>
      </w:r>
      <w:proofErr w:type="spellEnd"/>
      <w:r w:rsidRPr="004303E3">
        <w:rPr>
          <w:rFonts w:ascii="Corbel" w:hAnsi="Corbel"/>
          <w:color w:val="000000" w:themeColor="text1"/>
          <w:lang w:val="en-US"/>
        </w:rPr>
        <w:t xml:space="preserve"> </w:t>
      </w:r>
      <w:r w:rsidR="00701AD0" w:rsidRPr="004303E3">
        <w:rPr>
          <w:rFonts w:ascii="Corbel" w:hAnsi="Corbel"/>
          <w:color w:val="000000" w:themeColor="text1"/>
          <w:lang w:val="en-US"/>
        </w:rPr>
        <w:t>&amp;</w:t>
      </w:r>
      <w:r w:rsidRPr="004303E3">
        <w:rPr>
          <w:rFonts w:ascii="Corbel" w:hAnsi="Corbel"/>
          <w:color w:val="000000" w:themeColor="text1"/>
          <w:lang w:val="en-US"/>
        </w:rPr>
        <w:t xml:space="preserve"> </w:t>
      </w:r>
      <w:proofErr w:type="spellStart"/>
      <w:r w:rsidRPr="004303E3">
        <w:rPr>
          <w:rFonts w:ascii="Corbel" w:hAnsi="Corbel"/>
          <w:color w:val="000000" w:themeColor="text1"/>
          <w:lang w:val="en-US"/>
        </w:rPr>
        <w:t>Provan</w:t>
      </w:r>
      <w:proofErr w:type="spellEnd"/>
      <w:r w:rsidR="00701AD0" w:rsidRPr="004303E3">
        <w:rPr>
          <w:rFonts w:ascii="Corbel" w:hAnsi="Corbel"/>
          <w:color w:val="000000" w:themeColor="text1"/>
          <w:lang w:val="en-US"/>
        </w:rPr>
        <w:t>,</w:t>
      </w:r>
      <w:r w:rsidRPr="004303E3">
        <w:rPr>
          <w:rFonts w:ascii="Corbel" w:hAnsi="Corbel"/>
          <w:color w:val="000000" w:themeColor="text1"/>
          <w:lang w:val="en-US"/>
        </w:rPr>
        <w:t xml:space="preserve"> 2009).</w:t>
      </w:r>
    </w:p>
    <w:p w14:paraId="756DAFC1" w14:textId="5B6FA26C" w:rsidR="00F67ADD" w:rsidRPr="004303E3" w:rsidRDefault="00F67ADD" w:rsidP="004303E3">
      <w:pPr>
        <w:pStyle w:val="Paragrafoelenco"/>
        <w:numPr>
          <w:ilvl w:val="0"/>
          <w:numId w:val="40"/>
        </w:numPr>
        <w:spacing w:line="240" w:lineRule="auto"/>
        <w:jc w:val="both"/>
        <w:rPr>
          <w:rFonts w:ascii="Corbel" w:hAnsi="Corbel"/>
          <w:color w:val="000000" w:themeColor="text1"/>
          <w:lang w:val="en-US"/>
        </w:rPr>
      </w:pPr>
      <w:r w:rsidRPr="004303E3">
        <w:rPr>
          <w:rFonts w:ascii="Corbel" w:hAnsi="Corbel"/>
          <w:color w:val="000000" w:themeColor="text1"/>
          <w:lang w:val="en-US"/>
        </w:rPr>
        <w:t>The type of network relations that can be of collaborative or social type or competitive or market type (</w:t>
      </w:r>
      <w:proofErr w:type="spellStart"/>
      <w:r w:rsidRPr="004303E3">
        <w:rPr>
          <w:rFonts w:ascii="Corbel" w:hAnsi="Corbel"/>
          <w:color w:val="000000" w:themeColor="text1"/>
          <w:lang w:val="en-US"/>
        </w:rPr>
        <w:t>Herranz</w:t>
      </w:r>
      <w:proofErr w:type="spellEnd"/>
      <w:r w:rsidR="00701AD0" w:rsidRPr="004303E3">
        <w:rPr>
          <w:rFonts w:ascii="Corbel" w:hAnsi="Corbel"/>
          <w:color w:val="000000" w:themeColor="text1"/>
          <w:lang w:val="en-US"/>
        </w:rPr>
        <w:t>,</w:t>
      </w:r>
      <w:r w:rsidRPr="004303E3">
        <w:rPr>
          <w:rFonts w:ascii="Corbel" w:hAnsi="Corbel"/>
          <w:color w:val="000000" w:themeColor="text1"/>
          <w:lang w:val="en-US"/>
        </w:rPr>
        <w:t xml:space="preserve"> 2010).</w:t>
      </w:r>
    </w:p>
    <w:p w14:paraId="0BFC6DDC" w14:textId="77777777" w:rsidR="00F67ADD" w:rsidRPr="004303E3" w:rsidRDefault="00F67ADD" w:rsidP="004303E3">
      <w:pPr>
        <w:pStyle w:val="Paragrafoelenco"/>
        <w:numPr>
          <w:ilvl w:val="0"/>
          <w:numId w:val="40"/>
        </w:numPr>
        <w:spacing w:line="240" w:lineRule="auto"/>
        <w:jc w:val="both"/>
        <w:rPr>
          <w:rFonts w:ascii="Corbel" w:hAnsi="Corbel"/>
          <w:color w:val="000000" w:themeColor="text1"/>
          <w:lang w:val="en-US"/>
        </w:rPr>
      </w:pPr>
      <w:r w:rsidRPr="004303E3">
        <w:rPr>
          <w:rFonts w:ascii="Corbel" w:hAnsi="Corbel"/>
          <w:color w:val="000000" w:themeColor="text1"/>
          <w:lang w:val="en-US"/>
        </w:rPr>
        <w:t xml:space="preserve">The complementarity of partners, their </w:t>
      </w:r>
      <w:proofErr w:type="gramStart"/>
      <w:r w:rsidRPr="004303E3">
        <w:rPr>
          <w:rFonts w:ascii="Corbel" w:hAnsi="Corbel"/>
          <w:color w:val="000000" w:themeColor="text1"/>
          <w:lang w:val="en-US"/>
        </w:rPr>
        <w:t>number</w:t>
      </w:r>
      <w:proofErr w:type="gramEnd"/>
      <w:r w:rsidRPr="004303E3">
        <w:rPr>
          <w:rFonts w:ascii="Corbel" w:hAnsi="Corbel"/>
          <w:color w:val="000000" w:themeColor="text1"/>
          <w:lang w:val="en-US"/>
        </w:rPr>
        <w:t xml:space="preserve"> and the geographical location as well as their trust and previous collaboration history (</w:t>
      </w:r>
      <w:proofErr w:type="spellStart"/>
      <w:r w:rsidRPr="004303E3">
        <w:rPr>
          <w:rFonts w:ascii="Corbel" w:hAnsi="Corbel"/>
          <w:color w:val="000000" w:themeColor="text1"/>
          <w:lang w:val="en-US"/>
        </w:rPr>
        <w:t>Cepiku</w:t>
      </w:r>
      <w:proofErr w:type="spellEnd"/>
      <w:r w:rsidRPr="004303E3">
        <w:rPr>
          <w:rFonts w:ascii="Corbel" w:hAnsi="Corbel"/>
          <w:color w:val="000000" w:themeColor="text1"/>
          <w:lang w:val="en-US"/>
        </w:rPr>
        <w:t>, 2013)</w:t>
      </w:r>
    </w:p>
    <w:p w14:paraId="6E0F5661" w14:textId="5862A81E" w:rsidR="00F67ADD" w:rsidRPr="004303E3" w:rsidRDefault="00F67ADD" w:rsidP="002F71BC">
      <w:pPr>
        <w:jc w:val="both"/>
        <w:rPr>
          <w:rFonts w:ascii="Corbel" w:hAnsi="Corbel"/>
          <w:color w:val="000000" w:themeColor="text1"/>
          <w:sz w:val="22"/>
          <w:szCs w:val="22"/>
          <w:lang w:val="en-US"/>
        </w:rPr>
      </w:pPr>
      <w:r w:rsidRPr="004303E3">
        <w:rPr>
          <w:rFonts w:ascii="Corbel" w:hAnsi="Corbel"/>
          <w:color w:val="000000" w:themeColor="text1"/>
          <w:sz w:val="22"/>
          <w:szCs w:val="22"/>
          <w:lang w:val="en-US"/>
        </w:rPr>
        <w:t>The endogenous elements influencing network performance include the network management processes and the leadership style (</w:t>
      </w:r>
      <w:proofErr w:type="spellStart"/>
      <w:r w:rsidRPr="004303E3">
        <w:rPr>
          <w:rFonts w:ascii="Corbel" w:hAnsi="Corbel"/>
          <w:color w:val="000000" w:themeColor="text1"/>
          <w:sz w:val="22"/>
          <w:szCs w:val="22"/>
          <w:lang w:val="en-US"/>
        </w:rPr>
        <w:t>Cepiku</w:t>
      </w:r>
      <w:proofErr w:type="spellEnd"/>
      <w:r w:rsidRPr="004303E3">
        <w:rPr>
          <w:rFonts w:ascii="Corbel" w:hAnsi="Corbel"/>
          <w:color w:val="000000" w:themeColor="text1"/>
          <w:sz w:val="22"/>
          <w:szCs w:val="22"/>
          <w:lang w:val="en-US"/>
        </w:rPr>
        <w:t xml:space="preserve">, 2013). The importance of the process variable has been acknowledged by several authors (McGuire </w:t>
      </w:r>
      <w:r w:rsidR="00AB23A1" w:rsidRPr="004303E3">
        <w:rPr>
          <w:rFonts w:ascii="Corbel" w:hAnsi="Corbel"/>
          <w:color w:val="000000" w:themeColor="text1"/>
          <w:sz w:val="22"/>
          <w:szCs w:val="22"/>
          <w:lang w:val="en-US"/>
        </w:rPr>
        <w:t>&amp;</w:t>
      </w:r>
      <w:r w:rsidRPr="004303E3">
        <w:rPr>
          <w:rFonts w:ascii="Corbel" w:hAnsi="Corbel"/>
          <w:color w:val="000000" w:themeColor="text1"/>
          <w:sz w:val="22"/>
          <w:szCs w:val="22"/>
          <w:lang w:val="en-US"/>
        </w:rPr>
        <w:t xml:space="preserve"> </w:t>
      </w:r>
      <w:proofErr w:type="spellStart"/>
      <w:r w:rsidRPr="004303E3">
        <w:rPr>
          <w:rFonts w:ascii="Corbel" w:hAnsi="Corbel"/>
          <w:color w:val="000000" w:themeColor="text1"/>
          <w:sz w:val="22"/>
          <w:szCs w:val="22"/>
          <w:lang w:val="en-US"/>
        </w:rPr>
        <w:t>Agranoff</w:t>
      </w:r>
      <w:proofErr w:type="spellEnd"/>
      <w:r w:rsidR="00AB23A1" w:rsidRPr="004303E3">
        <w:rPr>
          <w:rFonts w:ascii="Corbel" w:hAnsi="Corbel"/>
          <w:color w:val="000000" w:themeColor="text1"/>
          <w:sz w:val="22"/>
          <w:szCs w:val="22"/>
          <w:lang w:val="en-US"/>
        </w:rPr>
        <w:t>,</w:t>
      </w:r>
      <w:r w:rsidRPr="004303E3">
        <w:rPr>
          <w:rFonts w:ascii="Corbel" w:hAnsi="Corbel"/>
          <w:color w:val="000000" w:themeColor="text1"/>
          <w:sz w:val="22"/>
          <w:szCs w:val="22"/>
          <w:lang w:val="en-US"/>
        </w:rPr>
        <w:t xml:space="preserve"> 2007; </w:t>
      </w:r>
      <w:proofErr w:type="spellStart"/>
      <w:r w:rsidRPr="004303E3">
        <w:rPr>
          <w:rFonts w:ascii="Corbel" w:hAnsi="Corbel"/>
          <w:color w:val="000000" w:themeColor="text1"/>
          <w:sz w:val="22"/>
          <w:szCs w:val="22"/>
          <w:lang w:val="en-US"/>
        </w:rPr>
        <w:t>Klijn</w:t>
      </w:r>
      <w:proofErr w:type="spellEnd"/>
      <w:r w:rsidRPr="004303E3">
        <w:rPr>
          <w:rFonts w:ascii="Corbel" w:hAnsi="Corbel"/>
          <w:color w:val="000000" w:themeColor="text1"/>
          <w:sz w:val="22"/>
          <w:szCs w:val="22"/>
          <w:lang w:val="en-US"/>
        </w:rPr>
        <w:t xml:space="preserve"> et al.</w:t>
      </w:r>
      <w:r w:rsidR="00AB23A1" w:rsidRPr="004303E3">
        <w:rPr>
          <w:rFonts w:ascii="Corbel" w:hAnsi="Corbel"/>
          <w:color w:val="000000" w:themeColor="text1"/>
          <w:sz w:val="22"/>
          <w:szCs w:val="22"/>
          <w:lang w:val="en-US"/>
        </w:rPr>
        <w:t>,</w:t>
      </w:r>
      <w:r w:rsidRPr="004303E3">
        <w:rPr>
          <w:rFonts w:ascii="Corbel" w:hAnsi="Corbel"/>
          <w:color w:val="000000" w:themeColor="text1"/>
          <w:sz w:val="22"/>
          <w:szCs w:val="22"/>
          <w:lang w:val="en-US"/>
        </w:rPr>
        <w:t xml:space="preserve"> 2010), which emphasize the importance of measuring not only the performance network but also the quality of interaction among the network members (</w:t>
      </w:r>
      <w:proofErr w:type="spellStart"/>
      <w:r w:rsidRPr="004303E3">
        <w:rPr>
          <w:rFonts w:ascii="Corbel" w:hAnsi="Corbel"/>
          <w:color w:val="000000" w:themeColor="text1"/>
          <w:sz w:val="22"/>
          <w:szCs w:val="22"/>
          <w:lang w:val="en-US"/>
        </w:rPr>
        <w:t>Cepiku</w:t>
      </w:r>
      <w:proofErr w:type="spellEnd"/>
      <w:r w:rsidRPr="004303E3">
        <w:rPr>
          <w:rFonts w:ascii="Corbel" w:hAnsi="Corbel"/>
          <w:color w:val="000000" w:themeColor="text1"/>
          <w:sz w:val="22"/>
          <w:szCs w:val="22"/>
          <w:lang w:val="en-US"/>
        </w:rPr>
        <w:t xml:space="preserve">, 2013).  Network interaction can be influenced by many factors, including, a wise design, the use of forums, agreements supporting accountability, conflict management, and trust-building activities (Crosby </w:t>
      </w:r>
      <w:r w:rsidR="00AB23A1" w:rsidRPr="004303E3">
        <w:rPr>
          <w:rFonts w:ascii="Corbel" w:hAnsi="Corbel"/>
          <w:color w:val="000000" w:themeColor="text1"/>
          <w:sz w:val="22"/>
          <w:szCs w:val="22"/>
          <w:lang w:val="en-US"/>
        </w:rPr>
        <w:t>&amp;</w:t>
      </w:r>
      <w:r w:rsidRPr="004303E3">
        <w:rPr>
          <w:rFonts w:ascii="Corbel" w:hAnsi="Corbel"/>
          <w:color w:val="000000" w:themeColor="text1"/>
          <w:sz w:val="22"/>
          <w:szCs w:val="22"/>
          <w:lang w:val="en-US"/>
        </w:rPr>
        <w:t xml:space="preserve"> Bryson, 2010). </w:t>
      </w:r>
    </w:p>
    <w:p w14:paraId="5D71AFB0" w14:textId="77777777" w:rsidR="00F67ADD" w:rsidRPr="004303E3" w:rsidRDefault="00F67ADD" w:rsidP="002F71BC">
      <w:pPr>
        <w:jc w:val="both"/>
        <w:rPr>
          <w:rFonts w:ascii="Corbel" w:hAnsi="Corbel"/>
          <w:color w:val="000000" w:themeColor="text1"/>
          <w:sz w:val="22"/>
          <w:szCs w:val="22"/>
          <w:lang w:val="en-US"/>
        </w:rPr>
      </w:pPr>
      <w:r w:rsidRPr="004303E3">
        <w:rPr>
          <w:rFonts w:ascii="Corbel" w:hAnsi="Corbel"/>
          <w:color w:val="000000" w:themeColor="text1"/>
          <w:sz w:val="22"/>
          <w:szCs w:val="22"/>
          <w:lang w:val="en-US"/>
        </w:rPr>
        <w:t>Despite the broad literature on public network performance, several gaps must be identified. The current literature has developed separated streams: exogenous Vs endogenous perspective; process-oriented Vs structural approaches; whole networks Vs single organization as unit of analysis; and static Vs dynamic view of the network (</w:t>
      </w:r>
      <w:proofErr w:type="spellStart"/>
      <w:r w:rsidRPr="004303E3">
        <w:rPr>
          <w:rFonts w:ascii="Corbel" w:hAnsi="Corbel"/>
          <w:color w:val="000000" w:themeColor="text1"/>
          <w:sz w:val="22"/>
          <w:szCs w:val="22"/>
          <w:lang w:val="en-US"/>
        </w:rPr>
        <w:t>Cepiku</w:t>
      </w:r>
      <w:proofErr w:type="spellEnd"/>
      <w:r w:rsidRPr="004303E3">
        <w:rPr>
          <w:rFonts w:ascii="Corbel" w:hAnsi="Corbel"/>
          <w:color w:val="000000" w:themeColor="text1"/>
          <w:sz w:val="22"/>
          <w:szCs w:val="22"/>
          <w:lang w:val="en-US"/>
        </w:rPr>
        <w:t xml:space="preserve">, 2013). </w:t>
      </w:r>
    </w:p>
    <w:p w14:paraId="6D6DD4DE" w14:textId="6CCBEB6C" w:rsidR="00F67ADD" w:rsidRPr="004303E3" w:rsidRDefault="00F67ADD" w:rsidP="002F71BC">
      <w:pPr>
        <w:jc w:val="both"/>
        <w:rPr>
          <w:rFonts w:ascii="Corbel" w:hAnsi="Corbel"/>
          <w:color w:val="000000" w:themeColor="text1"/>
          <w:sz w:val="22"/>
          <w:szCs w:val="22"/>
          <w:lang w:val="en-US"/>
        </w:rPr>
      </w:pPr>
      <w:r w:rsidRPr="004303E3">
        <w:rPr>
          <w:rFonts w:ascii="Corbel" w:hAnsi="Corbel"/>
          <w:color w:val="000000" w:themeColor="text1"/>
          <w:sz w:val="22"/>
          <w:szCs w:val="22"/>
          <w:lang w:val="en-US"/>
        </w:rPr>
        <w:t xml:space="preserve">To overcome these gaps, we can refer to a theory-based model (figure </w:t>
      </w:r>
      <w:r w:rsidR="00AB23A1" w:rsidRPr="004303E3">
        <w:rPr>
          <w:rFonts w:ascii="Corbel" w:hAnsi="Corbel"/>
          <w:color w:val="000000" w:themeColor="text1"/>
          <w:sz w:val="22"/>
          <w:szCs w:val="22"/>
          <w:lang w:val="en-US"/>
        </w:rPr>
        <w:t>3</w:t>
      </w:r>
      <w:r w:rsidRPr="004303E3">
        <w:rPr>
          <w:rFonts w:ascii="Corbel" w:hAnsi="Corbel"/>
          <w:color w:val="000000" w:themeColor="text1"/>
          <w:sz w:val="22"/>
          <w:szCs w:val="22"/>
          <w:lang w:val="en-US"/>
        </w:rPr>
        <w:t>) that contributes to the existing literature and will be the base for the case study on European Union. First, the model highlights the link between several categories of determinants that were usually analyzed autonomously. The exogenous-endogenous dichotomy does not allow identifying other relevant determinants that can influence the network and can be influenced by the network itself. It means that not all the determinants listed in figure 2 are beyond the management’s control, while others – internal and external resources – can be influenced by the network management (</w:t>
      </w:r>
      <w:proofErr w:type="spellStart"/>
      <w:r w:rsidRPr="004303E3">
        <w:rPr>
          <w:rFonts w:ascii="Corbel" w:hAnsi="Corbel"/>
          <w:color w:val="000000" w:themeColor="text1"/>
          <w:sz w:val="22"/>
          <w:szCs w:val="22"/>
          <w:lang w:val="en-US"/>
        </w:rPr>
        <w:t>Cepiku</w:t>
      </w:r>
      <w:proofErr w:type="spellEnd"/>
      <w:r w:rsidRPr="004303E3">
        <w:rPr>
          <w:rFonts w:ascii="Corbel" w:hAnsi="Corbel"/>
          <w:color w:val="000000" w:themeColor="text1"/>
          <w:sz w:val="22"/>
          <w:szCs w:val="22"/>
          <w:lang w:val="en-US"/>
        </w:rPr>
        <w:t xml:space="preserve">, 2013). </w:t>
      </w:r>
    </w:p>
    <w:p w14:paraId="298C3200" w14:textId="77777777" w:rsidR="00F67ADD" w:rsidRPr="004303E3" w:rsidRDefault="00F67ADD" w:rsidP="002F71BC">
      <w:pPr>
        <w:jc w:val="both"/>
        <w:rPr>
          <w:rFonts w:ascii="Corbel" w:hAnsi="Corbel"/>
          <w:color w:val="000000" w:themeColor="text1"/>
          <w:sz w:val="22"/>
          <w:szCs w:val="22"/>
          <w:lang w:val="en-US"/>
        </w:rPr>
      </w:pPr>
      <w:r w:rsidRPr="004303E3">
        <w:rPr>
          <w:rFonts w:ascii="Corbel" w:hAnsi="Corbel"/>
          <w:color w:val="000000" w:themeColor="text1"/>
          <w:sz w:val="22"/>
          <w:szCs w:val="22"/>
          <w:lang w:val="en-US"/>
        </w:rPr>
        <w:t>Second, in our model we argue that the governance design of the network (shared-governance, leader organization, NAO) cannot be a-priori listed within the exogenous determinants (</w:t>
      </w:r>
      <w:proofErr w:type="spellStart"/>
      <w:r w:rsidRPr="004303E3">
        <w:rPr>
          <w:rFonts w:ascii="Corbel" w:hAnsi="Corbel"/>
          <w:color w:val="000000" w:themeColor="text1"/>
          <w:sz w:val="22"/>
          <w:szCs w:val="22"/>
          <w:lang w:val="en-US"/>
        </w:rPr>
        <w:t>Kenis</w:t>
      </w:r>
      <w:proofErr w:type="spellEnd"/>
      <w:r w:rsidRPr="004303E3">
        <w:rPr>
          <w:rFonts w:ascii="Corbel" w:hAnsi="Corbel"/>
          <w:color w:val="000000" w:themeColor="text1"/>
          <w:sz w:val="22"/>
          <w:szCs w:val="22"/>
          <w:lang w:val="en-US"/>
        </w:rPr>
        <w:t xml:space="preserve"> &amp; </w:t>
      </w:r>
      <w:proofErr w:type="spellStart"/>
      <w:r w:rsidRPr="004303E3">
        <w:rPr>
          <w:rFonts w:ascii="Corbel" w:hAnsi="Corbel"/>
          <w:color w:val="000000" w:themeColor="text1"/>
          <w:sz w:val="22"/>
          <w:szCs w:val="22"/>
          <w:lang w:val="en-US"/>
        </w:rPr>
        <w:t>Provan</w:t>
      </w:r>
      <w:proofErr w:type="spellEnd"/>
      <w:r w:rsidRPr="004303E3">
        <w:rPr>
          <w:rFonts w:ascii="Corbel" w:hAnsi="Corbel"/>
          <w:color w:val="000000" w:themeColor="text1"/>
          <w:sz w:val="22"/>
          <w:szCs w:val="22"/>
          <w:lang w:val="en-US"/>
        </w:rPr>
        <w:t>, 2009). If the network is mandated, the governance configuration could be determined top-down or by law. In this case the governance model must be considered as an exogenous factor. For this reason, the main exogenous factor in the presented model is the type of inception.</w:t>
      </w:r>
    </w:p>
    <w:p w14:paraId="0266EC77" w14:textId="77777777" w:rsidR="00F67ADD" w:rsidRPr="004303E3" w:rsidRDefault="00F67ADD" w:rsidP="002F71BC">
      <w:pPr>
        <w:jc w:val="both"/>
        <w:rPr>
          <w:rFonts w:ascii="Corbel" w:hAnsi="Corbel"/>
          <w:color w:val="000000" w:themeColor="text1"/>
          <w:sz w:val="22"/>
          <w:szCs w:val="22"/>
          <w:lang w:val="en-US"/>
        </w:rPr>
      </w:pPr>
      <w:r w:rsidRPr="004303E3">
        <w:rPr>
          <w:rFonts w:ascii="Corbel" w:hAnsi="Corbel"/>
          <w:color w:val="000000" w:themeColor="text1"/>
          <w:sz w:val="22"/>
          <w:szCs w:val="22"/>
          <w:lang w:val="en-US"/>
        </w:rPr>
        <w:t xml:space="preserve">Third, the model distinguishes between the process and structural characteristics of the network management and the network management outcomes in terms of the quality of interaction among members: Based on this, the network management is considered a determinant, while the outcomes of the quality of interactions are intermediate results. By looking at the results considered in the model, we distinguish between three levels of outcomes: community-level outcomes and single organizational-level outcomes as </w:t>
      </w:r>
      <w:proofErr w:type="gramStart"/>
      <w:r w:rsidRPr="004303E3">
        <w:rPr>
          <w:rFonts w:ascii="Corbel" w:hAnsi="Corbel"/>
          <w:color w:val="000000" w:themeColor="text1"/>
          <w:sz w:val="22"/>
          <w:szCs w:val="22"/>
          <w:lang w:val="en-US"/>
        </w:rPr>
        <w:t>final results</w:t>
      </w:r>
      <w:proofErr w:type="gramEnd"/>
      <w:r w:rsidRPr="004303E3">
        <w:rPr>
          <w:rFonts w:ascii="Corbel" w:hAnsi="Corbel"/>
          <w:color w:val="000000" w:themeColor="text1"/>
          <w:sz w:val="22"/>
          <w:szCs w:val="22"/>
          <w:lang w:val="en-US"/>
        </w:rPr>
        <w:t>; and the network-level outcomes as intermediate results (</w:t>
      </w:r>
      <w:proofErr w:type="spellStart"/>
      <w:r w:rsidRPr="004303E3">
        <w:rPr>
          <w:rFonts w:ascii="Corbel" w:hAnsi="Corbel"/>
          <w:color w:val="000000" w:themeColor="text1"/>
          <w:sz w:val="22"/>
          <w:szCs w:val="22"/>
          <w:lang w:val="en-US"/>
        </w:rPr>
        <w:t>Provan</w:t>
      </w:r>
      <w:proofErr w:type="spellEnd"/>
      <w:r w:rsidRPr="004303E3">
        <w:rPr>
          <w:rFonts w:ascii="Corbel" w:hAnsi="Corbel"/>
          <w:color w:val="000000" w:themeColor="text1"/>
          <w:sz w:val="22"/>
          <w:szCs w:val="22"/>
          <w:lang w:val="en-US"/>
        </w:rPr>
        <w:t xml:space="preserve"> &amp; Milward, 2001).</w:t>
      </w:r>
    </w:p>
    <w:p w14:paraId="418A4921" w14:textId="77777777" w:rsidR="00F67ADD" w:rsidRPr="004303E3" w:rsidRDefault="00F67ADD" w:rsidP="002F71BC">
      <w:pPr>
        <w:jc w:val="both"/>
        <w:rPr>
          <w:rFonts w:ascii="Corbel" w:hAnsi="Corbel"/>
          <w:color w:val="000000" w:themeColor="text1"/>
          <w:sz w:val="22"/>
          <w:szCs w:val="22"/>
          <w:lang w:val="en-US"/>
        </w:rPr>
      </w:pPr>
      <w:r w:rsidRPr="004303E3">
        <w:rPr>
          <w:rFonts w:ascii="Corbel" w:hAnsi="Corbel"/>
          <w:color w:val="000000" w:themeColor="text1"/>
          <w:sz w:val="22"/>
          <w:szCs w:val="22"/>
          <w:lang w:val="en-US"/>
        </w:rPr>
        <w:t xml:space="preserve">Fourth, the dynamic view of network performance provided, supports the argument that the relation between the determinants and the intermediate and </w:t>
      </w:r>
      <w:proofErr w:type="gramStart"/>
      <w:r w:rsidRPr="004303E3">
        <w:rPr>
          <w:rFonts w:ascii="Corbel" w:hAnsi="Corbel"/>
          <w:color w:val="000000" w:themeColor="text1"/>
          <w:sz w:val="22"/>
          <w:szCs w:val="22"/>
          <w:lang w:val="en-US"/>
        </w:rPr>
        <w:t>final results</w:t>
      </w:r>
      <w:proofErr w:type="gramEnd"/>
      <w:r w:rsidRPr="004303E3">
        <w:rPr>
          <w:rFonts w:ascii="Corbel" w:hAnsi="Corbel"/>
          <w:color w:val="000000" w:themeColor="text1"/>
          <w:sz w:val="22"/>
          <w:szCs w:val="22"/>
          <w:lang w:val="en-US"/>
        </w:rPr>
        <w:t xml:space="preserve"> is bidirectional.   </w:t>
      </w:r>
    </w:p>
    <w:p w14:paraId="5B863CCF" w14:textId="012F93BD" w:rsidR="00E7737C" w:rsidRDefault="00E7737C" w:rsidP="00E7737C">
      <w:pPr>
        <w:pStyle w:val="Didascalia"/>
        <w:jc w:val="both"/>
        <w:rPr>
          <w:rFonts w:ascii="Corbel" w:hAnsi="Corbel"/>
          <w:b/>
          <w:bCs/>
          <w:lang w:val="en-US"/>
        </w:rPr>
      </w:pPr>
    </w:p>
    <w:p w14:paraId="19436007" w14:textId="48C7A005" w:rsidR="004303E3" w:rsidRDefault="004303E3" w:rsidP="004303E3">
      <w:pPr>
        <w:rPr>
          <w:lang w:val="en-US" w:eastAsia="en-US"/>
        </w:rPr>
      </w:pPr>
    </w:p>
    <w:p w14:paraId="2D52BCFE" w14:textId="5A291DE9" w:rsidR="004303E3" w:rsidRDefault="004303E3" w:rsidP="004303E3">
      <w:pPr>
        <w:rPr>
          <w:lang w:val="en-US" w:eastAsia="en-US"/>
        </w:rPr>
      </w:pPr>
    </w:p>
    <w:p w14:paraId="766D51FA" w14:textId="5AEED7F5" w:rsidR="004303E3" w:rsidRDefault="004303E3" w:rsidP="004303E3">
      <w:pPr>
        <w:rPr>
          <w:lang w:val="en-US" w:eastAsia="en-US"/>
        </w:rPr>
      </w:pPr>
    </w:p>
    <w:p w14:paraId="17DFC0D3" w14:textId="7DF52AED" w:rsidR="004303E3" w:rsidRDefault="004303E3" w:rsidP="004303E3">
      <w:pPr>
        <w:rPr>
          <w:lang w:val="en-US" w:eastAsia="en-US"/>
        </w:rPr>
      </w:pPr>
    </w:p>
    <w:p w14:paraId="417CC2DA" w14:textId="6A4C0FAB" w:rsidR="004303E3" w:rsidRDefault="004303E3" w:rsidP="004303E3">
      <w:pPr>
        <w:rPr>
          <w:lang w:val="en-US" w:eastAsia="en-US"/>
        </w:rPr>
      </w:pPr>
    </w:p>
    <w:p w14:paraId="0301F13C" w14:textId="7C9043AA" w:rsidR="004303E3" w:rsidRDefault="004303E3" w:rsidP="004303E3">
      <w:pPr>
        <w:rPr>
          <w:lang w:val="en-US" w:eastAsia="en-US"/>
        </w:rPr>
      </w:pPr>
    </w:p>
    <w:p w14:paraId="4580CBCB" w14:textId="7916FF0A" w:rsidR="004303E3" w:rsidRDefault="004303E3" w:rsidP="004303E3">
      <w:pPr>
        <w:rPr>
          <w:lang w:val="en-US" w:eastAsia="en-US"/>
        </w:rPr>
      </w:pPr>
    </w:p>
    <w:p w14:paraId="024309BD" w14:textId="60D948BD" w:rsidR="004303E3" w:rsidRDefault="004303E3" w:rsidP="004303E3">
      <w:pPr>
        <w:rPr>
          <w:lang w:val="en-US" w:eastAsia="en-US"/>
        </w:rPr>
      </w:pPr>
    </w:p>
    <w:p w14:paraId="0AC85388" w14:textId="42393CDB" w:rsidR="004303E3" w:rsidRDefault="004303E3" w:rsidP="004303E3">
      <w:pPr>
        <w:rPr>
          <w:lang w:val="en-US" w:eastAsia="en-US"/>
        </w:rPr>
      </w:pPr>
    </w:p>
    <w:p w14:paraId="28E07D18" w14:textId="472BCBE6" w:rsidR="004303E3" w:rsidRDefault="004303E3" w:rsidP="004303E3">
      <w:pPr>
        <w:rPr>
          <w:lang w:val="en-US" w:eastAsia="en-US"/>
        </w:rPr>
      </w:pPr>
    </w:p>
    <w:p w14:paraId="763A09A6" w14:textId="77777777" w:rsidR="004303E3" w:rsidRPr="004303E3" w:rsidRDefault="004303E3" w:rsidP="004303E3">
      <w:pPr>
        <w:rPr>
          <w:lang w:val="en-US" w:eastAsia="en-US"/>
        </w:rPr>
      </w:pPr>
    </w:p>
    <w:p w14:paraId="1199A0CD" w14:textId="47D7C975" w:rsidR="00E7737C" w:rsidRPr="00E7737C" w:rsidRDefault="00E7737C" w:rsidP="00E7737C">
      <w:pPr>
        <w:pStyle w:val="Didascalia"/>
        <w:jc w:val="both"/>
        <w:rPr>
          <w:rFonts w:ascii="Corbel" w:hAnsi="Corbel" w:cs="Times New Roman"/>
          <w:b/>
          <w:bCs/>
          <w:color w:val="FF0000"/>
          <w:lang w:val="en-US"/>
        </w:rPr>
      </w:pPr>
      <w:r w:rsidRPr="009722B3">
        <w:rPr>
          <w:rFonts w:ascii="Corbel" w:hAnsi="Corbel"/>
          <w:b/>
          <w:bCs/>
          <w:lang w:val="en-US"/>
        </w:rPr>
        <w:lastRenderedPageBreak/>
        <w:t xml:space="preserve">Figure </w:t>
      </w:r>
      <w:r>
        <w:rPr>
          <w:rFonts w:ascii="Corbel" w:hAnsi="Corbel"/>
          <w:b/>
          <w:bCs/>
        </w:rPr>
        <w:t>3</w:t>
      </w:r>
      <w:r w:rsidRPr="009722B3">
        <w:rPr>
          <w:rFonts w:ascii="Corbel" w:hAnsi="Corbel"/>
          <w:b/>
          <w:bCs/>
          <w:lang w:val="en-US"/>
        </w:rPr>
        <w:t xml:space="preserve"> - A dynamic Multidimensional Model of Network Performance. Source: </w:t>
      </w:r>
      <w:proofErr w:type="spellStart"/>
      <w:r w:rsidRPr="009722B3">
        <w:rPr>
          <w:rFonts w:ascii="Corbel" w:hAnsi="Corbel"/>
          <w:b/>
          <w:bCs/>
          <w:lang w:val="en-US"/>
        </w:rPr>
        <w:t>Cepiku</w:t>
      </w:r>
      <w:proofErr w:type="spellEnd"/>
      <w:r w:rsidRPr="009722B3">
        <w:rPr>
          <w:rFonts w:ascii="Corbel" w:hAnsi="Corbel"/>
          <w:b/>
          <w:bCs/>
          <w:lang w:val="en-US"/>
        </w:rPr>
        <w:t>, 2013</w:t>
      </w:r>
    </w:p>
    <w:p w14:paraId="71243DCC" w14:textId="7CCAF804" w:rsidR="00F67ADD" w:rsidRPr="009722B3" w:rsidRDefault="00F67ADD" w:rsidP="002F71BC">
      <w:pPr>
        <w:keepNext/>
        <w:jc w:val="both"/>
        <w:rPr>
          <w:rFonts w:ascii="Corbel" w:hAnsi="Corbel"/>
        </w:rPr>
      </w:pPr>
      <w:r w:rsidRPr="009722B3">
        <w:rPr>
          <w:rFonts w:ascii="Corbel" w:hAnsi="Corbel"/>
          <w:noProof/>
        </w:rPr>
        <w:drawing>
          <wp:inline distT="0" distB="0" distL="0" distR="0" wp14:anchorId="0BDDC48C" wp14:editId="55C9E8DA">
            <wp:extent cx="5511800" cy="35052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0">
                      <a:extLst>
                        <a:ext uri="{28A0092B-C50C-407E-A947-70E740481C1C}">
                          <a14:useLocalDpi xmlns:a14="http://schemas.microsoft.com/office/drawing/2010/main" val="0"/>
                        </a:ext>
                      </a:extLst>
                    </a:blip>
                    <a:stretch>
                      <a:fillRect/>
                    </a:stretch>
                  </pic:blipFill>
                  <pic:spPr>
                    <a:xfrm>
                      <a:off x="0" y="0"/>
                      <a:ext cx="5511800" cy="3505200"/>
                    </a:xfrm>
                    <a:prstGeom prst="rect">
                      <a:avLst/>
                    </a:prstGeom>
                  </pic:spPr>
                </pic:pic>
              </a:graphicData>
            </a:graphic>
          </wp:inline>
        </w:drawing>
      </w:r>
    </w:p>
    <w:p w14:paraId="398F8CAA" w14:textId="3C587BCD" w:rsidR="00E7737C" w:rsidRDefault="00E7737C" w:rsidP="002F71BC">
      <w:pPr>
        <w:jc w:val="both"/>
        <w:rPr>
          <w:rFonts w:ascii="Corbel" w:hAnsi="Corbel"/>
          <w:i/>
          <w:lang w:val="en-US"/>
        </w:rPr>
      </w:pPr>
    </w:p>
    <w:p w14:paraId="29922956" w14:textId="77777777" w:rsidR="00E7737C" w:rsidRPr="009722B3" w:rsidRDefault="00E7737C" w:rsidP="002F71BC">
      <w:pPr>
        <w:jc w:val="both"/>
        <w:rPr>
          <w:rFonts w:ascii="Corbel" w:hAnsi="Corbel"/>
          <w:i/>
          <w:lang w:val="en-US"/>
        </w:rPr>
      </w:pPr>
    </w:p>
    <w:p w14:paraId="73ED0F40" w14:textId="1615BDA3" w:rsidR="00F63E83" w:rsidRPr="009722B3" w:rsidRDefault="00C97818" w:rsidP="002F71BC">
      <w:pPr>
        <w:jc w:val="both"/>
        <w:rPr>
          <w:rFonts w:ascii="Corbel" w:hAnsi="Corbel"/>
          <w:b/>
          <w:bCs/>
          <w:iCs/>
          <w:lang w:val="en-US"/>
        </w:rPr>
      </w:pPr>
      <w:r w:rsidRPr="009722B3">
        <w:rPr>
          <w:rFonts w:ascii="Corbel" w:hAnsi="Corbel"/>
          <w:b/>
          <w:bCs/>
          <w:iCs/>
          <w:lang w:val="en-US"/>
        </w:rPr>
        <w:t xml:space="preserve">6. The case study: assessing </w:t>
      </w:r>
      <w:r w:rsidR="00F63E83" w:rsidRPr="009722B3">
        <w:rPr>
          <w:rFonts w:ascii="Corbel" w:hAnsi="Corbel"/>
          <w:b/>
          <w:bCs/>
          <w:iCs/>
          <w:lang w:val="en-US"/>
        </w:rPr>
        <w:t>functioning</w:t>
      </w:r>
      <w:r w:rsidR="004341E0" w:rsidRPr="009722B3">
        <w:rPr>
          <w:rFonts w:ascii="Corbel" w:hAnsi="Corbel"/>
          <w:b/>
          <w:bCs/>
          <w:iCs/>
          <w:lang w:val="en-US"/>
        </w:rPr>
        <w:t xml:space="preserve"> of the European Union</w:t>
      </w:r>
      <w:r w:rsidRPr="009722B3">
        <w:rPr>
          <w:rFonts w:ascii="Corbel" w:hAnsi="Corbel"/>
          <w:b/>
          <w:bCs/>
          <w:iCs/>
          <w:lang w:val="en-US"/>
        </w:rPr>
        <w:t xml:space="preserve"> performance framework</w:t>
      </w:r>
    </w:p>
    <w:p w14:paraId="686EFE9D" w14:textId="30F6127D" w:rsidR="00017A15" w:rsidRPr="001D6E52" w:rsidRDefault="00F63E83" w:rsidP="002F71BC">
      <w:pPr>
        <w:jc w:val="both"/>
        <w:rPr>
          <w:rFonts w:ascii="Corbel" w:hAnsi="Corbel"/>
          <w:sz w:val="22"/>
          <w:szCs w:val="22"/>
          <w:lang w:val="en-US"/>
        </w:rPr>
      </w:pPr>
      <w:r w:rsidRPr="001D6E52">
        <w:rPr>
          <w:rFonts w:ascii="Corbel" w:hAnsi="Corbel"/>
          <w:sz w:val="22"/>
          <w:szCs w:val="22"/>
          <w:lang w:val="en-US"/>
        </w:rPr>
        <w:t>The European Union (EU), within the realm of international organizations, can be classified as a regional organization of general</w:t>
      </w:r>
      <w:r w:rsidR="0059264C" w:rsidRPr="001D6E52">
        <w:rPr>
          <w:rFonts w:ascii="Corbel" w:hAnsi="Corbel"/>
          <w:sz w:val="22"/>
          <w:szCs w:val="22"/>
          <w:lang w:val="en-US"/>
        </w:rPr>
        <w:t>-</w:t>
      </w:r>
      <w:r w:rsidRPr="001D6E52">
        <w:rPr>
          <w:rFonts w:ascii="Corbel" w:hAnsi="Corbel"/>
          <w:sz w:val="22"/>
          <w:szCs w:val="22"/>
          <w:lang w:val="en-US"/>
        </w:rPr>
        <w:t>purpose although with unique characteristics compar</w:t>
      </w:r>
      <w:r w:rsidR="0059264C" w:rsidRPr="001D6E52">
        <w:rPr>
          <w:rFonts w:ascii="Corbel" w:hAnsi="Corbel"/>
          <w:sz w:val="22"/>
          <w:szCs w:val="22"/>
          <w:lang w:val="en-US"/>
        </w:rPr>
        <w:t>ed</w:t>
      </w:r>
      <w:r w:rsidRPr="001D6E52">
        <w:rPr>
          <w:rFonts w:ascii="Corbel" w:hAnsi="Corbel"/>
          <w:sz w:val="22"/>
          <w:szCs w:val="22"/>
          <w:lang w:val="en-US"/>
        </w:rPr>
        <w:t xml:space="preserve"> to other traditional regional organizations. The </w:t>
      </w:r>
      <w:r w:rsidR="00065FB4" w:rsidRPr="001D6E52">
        <w:rPr>
          <w:rFonts w:ascii="Corbel" w:hAnsi="Corbel"/>
          <w:sz w:val="22"/>
          <w:szCs w:val="22"/>
          <w:lang w:val="en-US"/>
        </w:rPr>
        <w:t>EU</w:t>
      </w:r>
      <w:r w:rsidR="0059264C" w:rsidRPr="001D6E52">
        <w:rPr>
          <w:rFonts w:ascii="Corbel" w:hAnsi="Corbel"/>
          <w:sz w:val="22"/>
          <w:szCs w:val="22"/>
          <w:lang w:val="en-US"/>
        </w:rPr>
        <w:t xml:space="preserve"> </w:t>
      </w:r>
      <w:r w:rsidRPr="001D6E52">
        <w:rPr>
          <w:rFonts w:ascii="Corbel" w:hAnsi="Corbel"/>
          <w:sz w:val="22"/>
          <w:szCs w:val="22"/>
          <w:lang w:val="en-US"/>
        </w:rPr>
        <w:t xml:space="preserve">encompasses different aspects of both inter-governmentalism and supranationalism, according to the different sectors of competence, as well as a relevant number of functions. These include, normative and rule creation, collecting information and monitoring trends, mediating role as well as operational functions including allocating resources and providing financial assistance. </w:t>
      </w:r>
      <w:r w:rsidR="00017A15" w:rsidRPr="001D6E52">
        <w:rPr>
          <w:rFonts w:ascii="Corbel" w:hAnsi="Corbel"/>
          <w:sz w:val="22"/>
          <w:szCs w:val="22"/>
          <w:lang w:val="en-US"/>
        </w:rPr>
        <w:t xml:space="preserve">Such a </w:t>
      </w:r>
      <w:r w:rsidRPr="001D6E52">
        <w:rPr>
          <w:rFonts w:ascii="Corbel" w:hAnsi="Corbel"/>
          <w:sz w:val="22"/>
          <w:szCs w:val="22"/>
          <w:lang w:val="en-US"/>
        </w:rPr>
        <w:t xml:space="preserve">complexity raised several issues about the nature of the </w:t>
      </w:r>
      <w:r w:rsidR="00065FB4" w:rsidRPr="001D6E52">
        <w:rPr>
          <w:rFonts w:ascii="Corbel" w:hAnsi="Corbel"/>
          <w:sz w:val="22"/>
          <w:szCs w:val="22"/>
          <w:lang w:val="en-US"/>
        </w:rPr>
        <w:t>EU</w:t>
      </w:r>
      <w:r w:rsidRPr="001D6E52">
        <w:rPr>
          <w:rFonts w:ascii="Corbel" w:hAnsi="Corbel"/>
          <w:sz w:val="22"/>
          <w:szCs w:val="22"/>
          <w:lang w:val="en-US"/>
        </w:rPr>
        <w:t>. The coexistence of both aspects</w:t>
      </w:r>
      <w:r w:rsidR="0059264C" w:rsidRPr="001D6E52">
        <w:rPr>
          <w:rFonts w:ascii="Corbel" w:hAnsi="Corbel"/>
          <w:sz w:val="22"/>
          <w:szCs w:val="22"/>
          <w:lang w:val="en-US"/>
        </w:rPr>
        <w:t>,</w:t>
      </w:r>
      <w:r w:rsidRPr="001D6E52">
        <w:rPr>
          <w:rFonts w:ascii="Corbel" w:hAnsi="Corbel"/>
          <w:sz w:val="22"/>
          <w:szCs w:val="22"/>
          <w:lang w:val="en-US"/>
        </w:rPr>
        <w:t xml:space="preserve"> as well as its evolutionary process</w:t>
      </w:r>
      <w:r w:rsidR="0059264C" w:rsidRPr="001D6E52">
        <w:rPr>
          <w:rFonts w:ascii="Corbel" w:hAnsi="Corbel"/>
          <w:sz w:val="22"/>
          <w:szCs w:val="22"/>
          <w:lang w:val="en-US"/>
        </w:rPr>
        <w:t>,</w:t>
      </w:r>
      <w:r w:rsidRPr="001D6E52">
        <w:rPr>
          <w:rFonts w:ascii="Corbel" w:hAnsi="Corbel"/>
          <w:sz w:val="22"/>
          <w:szCs w:val="22"/>
          <w:lang w:val="en-US"/>
        </w:rPr>
        <w:t xml:space="preserve"> softened the initial perception of the </w:t>
      </w:r>
      <w:r w:rsidR="00065FB4" w:rsidRPr="001D6E52">
        <w:rPr>
          <w:rFonts w:ascii="Corbel" w:hAnsi="Corbel"/>
          <w:sz w:val="22"/>
          <w:szCs w:val="22"/>
          <w:lang w:val="en-US"/>
        </w:rPr>
        <w:t>EU</w:t>
      </w:r>
      <w:r w:rsidRPr="001D6E52">
        <w:rPr>
          <w:rFonts w:ascii="Corbel" w:hAnsi="Corbel"/>
          <w:sz w:val="22"/>
          <w:szCs w:val="22"/>
          <w:lang w:val="en-US"/>
        </w:rPr>
        <w:t xml:space="preserve"> as an international organization. </w:t>
      </w:r>
    </w:p>
    <w:p w14:paraId="052AAA53" w14:textId="20B4DD9D" w:rsidR="00017A15" w:rsidRPr="001D6E52" w:rsidRDefault="00F63E83" w:rsidP="002F71BC">
      <w:pPr>
        <w:jc w:val="both"/>
        <w:rPr>
          <w:rFonts w:ascii="Corbel" w:hAnsi="Corbel"/>
          <w:sz w:val="22"/>
          <w:szCs w:val="22"/>
          <w:lang w:val="en-US"/>
        </w:rPr>
      </w:pPr>
      <w:r w:rsidRPr="001D6E52">
        <w:rPr>
          <w:rFonts w:ascii="Corbel" w:hAnsi="Corbel"/>
          <w:sz w:val="22"/>
          <w:szCs w:val="22"/>
          <w:lang w:val="en-US"/>
        </w:rPr>
        <w:t xml:space="preserve">Comparing to the origins of foundation in 1951, the </w:t>
      </w:r>
      <w:r w:rsidR="00065FB4" w:rsidRPr="001D6E52">
        <w:rPr>
          <w:rFonts w:ascii="Corbel" w:hAnsi="Corbel"/>
          <w:sz w:val="22"/>
          <w:szCs w:val="22"/>
          <w:lang w:val="en-US"/>
        </w:rPr>
        <w:t>EU</w:t>
      </w:r>
      <w:r w:rsidRPr="001D6E52">
        <w:rPr>
          <w:rFonts w:ascii="Corbel" w:hAnsi="Corbel"/>
          <w:sz w:val="22"/>
          <w:szCs w:val="22"/>
          <w:lang w:val="en-US"/>
        </w:rPr>
        <w:t xml:space="preserve"> </w:t>
      </w:r>
      <w:proofErr w:type="gramStart"/>
      <w:r w:rsidRPr="001D6E52">
        <w:rPr>
          <w:rFonts w:ascii="Corbel" w:hAnsi="Corbel"/>
          <w:sz w:val="22"/>
          <w:szCs w:val="22"/>
          <w:lang w:val="en-US"/>
        </w:rPr>
        <w:t>widened significantly</w:t>
      </w:r>
      <w:proofErr w:type="gramEnd"/>
      <w:r w:rsidRPr="001D6E52">
        <w:rPr>
          <w:rFonts w:ascii="Corbel" w:hAnsi="Corbel"/>
          <w:sz w:val="22"/>
          <w:szCs w:val="22"/>
          <w:lang w:val="en-US"/>
        </w:rPr>
        <w:t xml:space="preserve"> its scope through what Haas defined as “functional spillovers” (Haas 1958:257). The EU thus moved from an economic integration project to a political one with a consequence of deepening the ties with the member states. These delegated parts of their sovereignty in specific fields</w:t>
      </w:r>
      <w:r w:rsidRPr="001D6E52">
        <w:rPr>
          <w:rStyle w:val="Rimandonotadichiusura"/>
          <w:rFonts w:ascii="Corbel" w:hAnsi="Corbel"/>
          <w:sz w:val="22"/>
          <w:szCs w:val="22"/>
          <w:lang w:val="en-US"/>
        </w:rPr>
        <w:endnoteReference w:id="5"/>
      </w:r>
      <w:r w:rsidRPr="001D6E52">
        <w:rPr>
          <w:rFonts w:ascii="Corbel" w:hAnsi="Corbel"/>
          <w:sz w:val="22"/>
          <w:szCs w:val="22"/>
          <w:lang w:val="en-US"/>
        </w:rPr>
        <w:t xml:space="preserve"> at the </w:t>
      </w:r>
      <w:r w:rsidR="00065FB4" w:rsidRPr="001D6E52">
        <w:rPr>
          <w:rFonts w:ascii="Corbel" w:hAnsi="Corbel"/>
          <w:sz w:val="22"/>
          <w:szCs w:val="22"/>
          <w:lang w:val="en-US"/>
        </w:rPr>
        <w:t>EU</w:t>
      </w:r>
      <w:r w:rsidRPr="001D6E52">
        <w:rPr>
          <w:rFonts w:ascii="Corbel" w:hAnsi="Corbel"/>
          <w:sz w:val="22"/>
          <w:szCs w:val="22"/>
          <w:lang w:val="en-US"/>
        </w:rPr>
        <w:t xml:space="preserve"> level, until the point that today the majority part of the policymaking in the European countries is commonly referred </w:t>
      </w:r>
      <w:r w:rsidR="0059264C" w:rsidRPr="001D6E52">
        <w:rPr>
          <w:rFonts w:ascii="Corbel" w:hAnsi="Corbel"/>
          <w:sz w:val="22"/>
          <w:szCs w:val="22"/>
          <w:lang w:val="en-US"/>
        </w:rPr>
        <w:t xml:space="preserve">to </w:t>
      </w:r>
      <w:r w:rsidRPr="001D6E52">
        <w:rPr>
          <w:rFonts w:ascii="Corbel" w:hAnsi="Corbel"/>
          <w:sz w:val="22"/>
          <w:szCs w:val="22"/>
          <w:lang w:val="en-US"/>
        </w:rPr>
        <w:t xml:space="preserve">as EU policy, decided within the EU institutional framework. </w:t>
      </w:r>
      <w:r w:rsidR="0059264C" w:rsidRPr="001D6E52">
        <w:rPr>
          <w:rFonts w:ascii="Corbel" w:hAnsi="Corbel"/>
          <w:sz w:val="22"/>
          <w:szCs w:val="22"/>
          <w:lang w:val="en-US"/>
        </w:rPr>
        <w:t>At</w:t>
      </w:r>
      <w:r w:rsidRPr="001D6E52">
        <w:rPr>
          <w:rFonts w:ascii="Corbel" w:hAnsi="Corbel"/>
          <w:sz w:val="22"/>
          <w:szCs w:val="22"/>
          <w:lang w:val="en-US"/>
        </w:rPr>
        <w:t xml:space="preserve"> the same time, in the most sensitive areas, including internal affairs and security, defense and foreign policy, education policy as well as economic and fiscal policy, the EU acts as a traditional international organization mainly </w:t>
      </w:r>
      <w:r w:rsidR="0059264C" w:rsidRPr="001D6E52">
        <w:rPr>
          <w:rFonts w:ascii="Corbel" w:hAnsi="Corbel"/>
          <w:sz w:val="22"/>
          <w:szCs w:val="22"/>
          <w:lang w:val="en-US"/>
        </w:rPr>
        <w:t>to facilitate</w:t>
      </w:r>
      <w:r w:rsidRPr="001D6E52">
        <w:rPr>
          <w:rFonts w:ascii="Corbel" w:hAnsi="Corbel"/>
          <w:sz w:val="22"/>
          <w:szCs w:val="22"/>
          <w:lang w:val="en-US"/>
        </w:rPr>
        <w:t xml:space="preserve"> intergovernmental bargains. </w:t>
      </w:r>
    </w:p>
    <w:p w14:paraId="134BF9B9" w14:textId="71C59B97" w:rsidR="00F63E83" w:rsidRPr="001D6E52" w:rsidRDefault="00F63E83" w:rsidP="002F71BC">
      <w:pPr>
        <w:jc w:val="both"/>
        <w:rPr>
          <w:rFonts w:ascii="Corbel" w:hAnsi="Corbel"/>
          <w:sz w:val="22"/>
          <w:szCs w:val="22"/>
          <w:lang w:val="en-US"/>
        </w:rPr>
      </w:pPr>
      <w:r w:rsidRPr="001D6E52">
        <w:rPr>
          <w:rFonts w:ascii="Corbel" w:hAnsi="Corbel"/>
          <w:sz w:val="22"/>
          <w:szCs w:val="22"/>
          <w:lang w:val="en-US"/>
        </w:rPr>
        <w:t>Th</w:t>
      </w:r>
      <w:r w:rsidR="00017A15" w:rsidRPr="001D6E52">
        <w:rPr>
          <w:rFonts w:ascii="Corbel" w:hAnsi="Corbel"/>
          <w:sz w:val="22"/>
          <w:szCs w:val="22"/>
          <w:lang w:val="en-US"/>
        </w:rPr>
        <w:t>e</w:t>
      </w:r>
      <w:r w:rsidRPr="001D6E52">
        <w:rPr>
          <w:rFonts w:ascii="Corbel" w:hAnsi="Corbel"/>
          <w:sz w:val="22"/>
          <w:szCs w:val="22"/>
          <w:lang w:val="en-US"/>
        </w:rPr>
        <w:t>s</w:t>
      </w:r>
      <w:r w:rsidR="00017A15" w:rsidRPr="001D6E52">
        <w:rPr>
          <w:rFonts w:ascii="Corbel" w:hAnsi="Corbel"/>
          <w:sz w:val="22"/>
          <w:szCs w:val="22"/>
          <w:lang w:val="en-US"/>
        </w:rPr>
        <w:t>e</w:t>
      </w:r>
      <w:r w:rsidRPr="001D6E52">
        <w:rPr>
          <w:rFonts w:ascii="Corbel" w:hAnsi="Corbel"/>
          <w:sz w:val="22"/>
          <w:szCs w:val="22"/>
          <w:lang w:val="en-US"/>
        </w:rPr>
        <w:t xml:space="preserve"> </w:t>
      </w:r>
      <w:r w:rsidR="00017A15" w:rsidRPr="001D6E52">
        <w:rPr>
          <w:rFonts w:ascii="Corbel" w:hAnsi="Corbel"/>
          <w:sz w:val="22"/>
          <w:szCs w:val="22"/>
          <w:lang w:val="en-US"/>
        </w:rPr>
        <w:t xml:space="preserve">are </w:t>
      </w:r>
      <w:r w:rsidRPr="001D6E52">
        <w:rPr>
          <w:rFonts w:ascii="Corbel" w:hAnsi="Corbel"/>
          <w:sz w:val="22"/>
          <w:szCs w:val="22"/>
          <w:lang w:val="en-US"/>
        </w:rPr>
        <w:t>regulated by two EU founding treaties</w:t>
      </w:r>
      <w:r w:rsidR="00017A15" w:rsidRPr="001D6E52">
        <w:rPr>
          <w:rFonts w:ascii="Corbel" w:hAnsi="Corbel"/>
          <w:sz w:val="22"/>
          <w:szCs w:val="22"/>
          <w:lang w:val="en-US"/>
        </w:rPr>
        <w:t>:</w:t>
      </w:r>
      <w:r w:rsidRPr="001D6E52">
        <w:rPr>
          <w:rFonts w:ascii="Corbel" w:hAnsi="Corbel"/>
          <w:sz w:val="22"/>
          <w:szCs w:val="22"/>
          <w:lang w:val="en-US"/>
        </w:rPr>
        <w:t xml:space="preserve"> the Treaty of the European Union (TEU) and </w:t>
      </w:r>
      <w:r w:rsidR="0059264C" w:rsidRPr="001D6E52">
        <w:rPr>
          <w:rFonts w:ascii="Corbel" w:hAnsi="Corbel"/>
          <w:sz w:val="22"/>
          <w:szCs w:val="22"/>
          <w:lang w:val="en-US"/>
        </w:rPr>
        <w:t xml:space="preserve">the </w:t>
      </w:r>
      <w:r w:rsidRPr="001D6E52">
        <w:rPr>
          <w:rFonts w:ascii="Corbel" w:hAnsi="Corbel"/>
          <w:sz w:val="22"/>
          <w:szCs w:val="22"/>
          <w:lang w:val="en-US"/>
        </w:rPr>
        <w:t xml:space="preserve">Treaty on the Functioning (TFEU) of the European Union. The first sets out the fundamental principles and norms the EU is based upon, as well as the objectives, the </w:t>
      </w:r>
      <w:r w:rsidR="00F85210" w:rsidRPr="001D6E52">
        <w:rPr>
          <w:rFonts w:ascii="Corbel" w:hAnsi="Corbel"/>
          <w:sz w:val="22"/>
          <w:szCs w:val="22"/>
          <w:lang w:val="en-US"/>
        </w:rPr>
        <w:t>values,</w:t>
      </w:r>
      <w:r w:rsidRPr="001D6E52">
        <w:rPr>
          <w:rFonts w:ascii="Corbel" w:hAnsi="Corbel"/>
          <w:sz w:val="22"/>
          <w:szCs w:val="22"/>
          <w:lang w:val="en-US"/>
        </w:rPr>
        <w:t xml:space="preserve"> and organization’s competences, whereas the second is focused on setting the rules for the functioning of the European institutions and the decision-making procedures. </w:t>
      </w:r>
      <w:r w:rsidRPr="001D6E52">
        <w:rPr>
          <w:rFonts w:ascii="Corbel" w:hAnsi="Corbel"/>
          <w:sz w:val="22"/>
          <w:szCs w:val="22"/>
          <w:lang w:val="en-GB"/>
        </w:rPr>
        <w:t>The decisions making system of the EU is based on the following organizational design, including:</w:t>
      </w:r>
    </w:p>
    <w:p w14:paraId="64B7E74D" w14:textId="22ACB1BE" w:rsidR="00F63E83" w:rsidRPr="001D6E52" w:rsidRDefault="00F63E83" w:rsidP="002F71BC">
      <w:pPr>
        <w:pStyle w:val="Paragrafoelenco"/>
        <w:numPr>
          <w:ilvl w:val="0"/>
          <w:numId w:val="19"/>
        </w:numPr>
        <w:spacing w:line="240" w:lineRule="auto"/>
        <w:jc w:val="both"/>
        <w:rPr>
          <w:rFonts w:ascii="Corbel" w:hAnsi="Corbel"/>
          <w:lang w:val="en-US"/>
        </w:rPr>
      </w:pPr>
      <w:r w:rsidRPr="001D6E52">
        <w:rPr>
          <w:rFonts w:ascii="Corbel" w:hAnsi="Corbel"/>
          <w:lang w:val="en-US"/>
        </w:rPr>
        <w:t xml:space="preserve">the European Council, which gathers all the EU heads of state or government </w:t>
      </w:r>
      <w:r w:rsidR="0059264C" w:rsidRPr="001D6E52">
        <w:rPr>
          <w:rFonts w:ascii="Corbel" w:hAnsi="Corbel"/>
          <w:lang w:val="en-US"/>
        </w:rPr>
        <w:t>to</w:t>
      </w:r>
      <w:r w:rsidRPr="001D6E52">
        <w:rPr>
          <w:rFonts w:ascii="Corbel" w:hAnsi="Corbel"/>
          <w:lang w:val="en-US"/>
        </w:rPr>
        <w:t xml:space="preserve"> provid</w:t>
      </w:r>
      <w:r w:rsidR="0059264C" w:rsidRPr="001D6E52">
        <w:rPr>
          <w:rFonts w:ascii="Corbel" w:hAnsi="Corbel"/>
          <w:lang w:val="en-US"/>
        </w:rPr>
        <w:t>e</w:t>
      </w:r>
      <w:r w:rsidRPr="001D6E52">
        <w:rPr>
          <w:rFonts w:ascii="Corbel" w:hAnsi="Corbel"/>
          <w:lang w:val="en-US"/>
        </w:rPr>
        <w:t xml:space="preserve"> strategic input for the EU </w:t>
      </w:r>
      <w:proofErr w:type="gramStart"/>
      <w:r w:rsidRPr="001D6E52">
        <w:rPr>
          <w:rFonts w:ascii="Corbel" w:hAnsi="Corbel"/>
          <w:lang w:val="en-US"/>
        </w:rPr>
        <w:t>action</w:t>
      </w:r>
      <w:r w:rsidR="00F85210" w:rsidRPr="001D6E52">
        <w:rPr>
          <w:rFonts w:ascii="Corbel" w:hAnsi="Corbel"/>
          <w:lang w:val="en-US"/>
        </w:rPr>
        <w:t>;</w:t>
      </w:r>
      <w:proofErr w:type="gramEnd"/>
    </w:p>
    <w:p w14:paraId="7E315E8B" w14:textId="77777777" w:rsidR="00F63E83" w:rsidRPr="001D6E52" w:rsidRDefault="00F63E83" w:rsidP="002F71BC">
      <w:pPr>
        <w:pStyle w:val="Paragrafoelenco"/>
        <w:numPr>
          <w:ilvl w:val="0"/>
          <w:numId w:val="19"/>
        </w:numPr>
        <w:spacing w:line="240" w:lineRule="auto"/>
        <w:jc w:val="both"/>
        <w:rPr>
          <w:rFonts w:ascii="Corbel" w:hAnsi="Corbel"/>
          <w:lang w:val="en-US"/>
        </w:rPr>
      </w:pPr>
      <w:r w:rsidRPr="001D6E52">
        <w:rPr>
          <w:rFonts w:ascii="Corbel" w:hAnsi="Corbel"/>
          <w:lang w:val="en-US"/>
        </w:rPr>
        <w:t xml:space="preserve">the Council of Ministers of the European Union made up of national Ministries and mainly dealing with legislative </w:t>
      </w:r>
      <w:proofErr w:type="gramStart"/>
      <w:r w:rsidRPr="001D6E52">
        <w:rPr>
          <w:rFonts w:ascii="Corbel" w:hAnsi="Corbel"/>
          <w:lang w:val="en-US"/>
        </w:rPr>
        <w:t>functions;</w:t>
      </w:r>
      <w:proofErr w:type="gramEnd"/>
      <w:r w:rsidRPr="001D6E52">
        <w:rPr>
          <w:rFonts w:ascii="Corbel" w:hAnsi="Corbel"/>
          <w:lang w:val="en-US"/>
        </w:rPr>
        <w:t xml:space="preserve">  </w:t>
      </w:r>
    </w:p>
    <w:p w14:paraId="4704F813" w14:textId="77777777" w:rsidR="00F63E83" w:rsidRPr="001D6E52" w:rsidRDefault="00F63E83" w:rsidP="002F71BC">
      <w:pPr>
        <w:pStyle w:val="Paragrafoelenco"/>
        <w:numPr>
          <w:ilvl w:val="0"/>
          <w:numId w:val="19"/>
        </w:numPr>
        <w:spacing w:line="240" w:lineRule="auto"/>
        <w:jc w:val="both"/>
        <w:rPr>
          <w:rFonts w:ascii="Corbel" w:hAnsi="Corbel"/>
          <w:lang w:val="en-US"/>
        </w:rPr>
      </w:pPr>
      <w:r w:rsidRPr="001D6E52">
        <w:rPr>
          <w:rFonts w:ascii="Corbel" w:hAnsi="Corbel"/>
          <w:lang w:val="en-US"/>
        </w:rPr>
        <w:lastRenderedPageBreak/>
        <w:t xml:space="preserve">the European Parliament, directly elected by the European citizens and involved together with the Council of Minister in the legislative </w:t>
      </w:r>
      <w:proofErr w:type="gramStart"/>
      <w:r w:rsidRPr="001D6E52">
        <w:rPr>
          <w:rFonts w:ascii="Corbel" w:hAnsi="Corbel"/>
          <w:lang w:val="en-US"/>
        </w:rPr>
        <w:t>process;</w:t>
      </w:r>
      <w:proofErr w:type="gramEnd"/>
      <w:r w:rsidRPr="001D6E52">
        <w:rPr>
          <w:rFonts w:ascii="Corbel" w:hAnsi="Corbel"/>
          <w:lang w:val="en-US"/>
        </w:rPr>
        <w:t xml:space="preserve">  </w:t>
      </w:r>
    </w:p>
    <w:p w14:paraId="24ADDB3A" w14:textId="3BEA53E0" w:rsidR="00F63E83" w:rsidRPr="001D6E52" w:rsidRDefault="00F63E83" w:rsidP="002F71BC">
      <w:pPr>
        <w:pStyle w:val="Paragrafoelenco"/>
        <w:numPr>
          <w:ilvl w:val="0"/>
          <w:numId w:val="19"/>
        </w:numPr>
        <w:spacing w:line="240" w:lineRule="auto"/>
        <w:jc w:val="both"/>
        <w:rPr>
          <w:rFonts w:ascii="Corbel" w:hAnsi="Corbel"/>
          <w:lang w:val="en-US"/>
        </w:rPr>
      </w:pPr>
      <w:r w:rsidRPr="001D6E52">
        <w:rPr>
          <w:rFonts w:ascii="Corbel" w:hAnsi="Corbel"/>
          <w:lang w:val="en-US"/>
        </w:rPr>
        <w:t xml:space="preserve">The European Commission, promoting the general interest of the </w:t>
      </w:r>
      <w:r w:rsidR="00065FB4" w:rsidRPr="001D6E52">
        <w:rPr>
          <w:rFonts w:ascii="Corbel" w:hAnsi="Corbel"/>
          <w:lang w:val="en-US"/>
        </w:rPr>
        <w:t>EU</w:t>
      </w:r>
      <w:r w:rsidRPr="001D6E52">
        <w:rPr>
          <w:rFonts w:ascii="Corbel" w:hAnsi="Corbel"/>
          <w:lang w:val="en-US"/>
        </w:rPr>
        <w:t xml:space="preserve"> and acting as the executive body of the EU, participating in almost all stage</w:t>
      </w:r>
      <w:r w:rsidR="0059264C" w:rsidRPr="001D6E52">
        <w:rPr>
          <w:rFonts w:ascii="Corbel" w:hAnsi="Corbel"/>
          <w:lang w:val="en-US"/>
        </w:rPr>
        <w:t>s</w:t>
      </w:r>
      <w:r w:rsidRPr="001D6E52">
        <w:rPr>
          <w:rFonts w:ascii="Corbel" w:hAnsi="Corbel"/>
          <w:lang w:val="en-US"/>
        </w:rPr>
        <w:t xml:space="preserve"> of the EU </w:t>
      </w:r>
      <w:r w:rsidR="00F85210" w:rsidRPr="001D6E52">
        <w:rPr>
          <w:rFonts w:ascii="Corbel" w:hAnsi="Corbel"/>
          <w:lang w:val="en-US"/>
        </w:rPr>
        <w:t>policymaking</w:t>
      </w:r>
      <w:r w:rsidRPr="001D6E52">
        <w:rPr>
          <w:rFonts w:ascii="Corbel" w:hAnsi="Corbel"/>
          <w:lang w:val="en-US"/>
        </w:rPr>
        <w:t xml:space="preserve">, being the administrative body of the </w:t>
      </w:r>
      <w:r w:rsidR="00065FB4" w:rsidRPr="001D6E52">
        <w:rPr>
          <w:rFonts w:ascii="Corbel" w:hAnsi="Corbel"/>
          <w:lang w:val="en-US"/>
        </w:rPr>
        <w:t>EU</w:t>
      </w:r>
      <w:r w:rsidR="00BA0E1D" w:rsidRPr="001D6E52">
        <w:rPr>
          <w:rStyle w:val="Rimandonotaapidipagina"/>
          <w:rFonts w:ascii="Corbel" w:hAnsi="Corbel"/>
          <w:lang w:val="en-US"/>
        </w:rPr>
        <w:footnoteReference w:id="1"/>
      </w:r>
      <w:r w:rsidRPr="001D6E52">
        <w:rPr>
          <w:rFonts w:ascii="Corbel" w:hAnsi="Corbel"/>
          <w:lang w:val="en-US"/>
        </w:rPr>
        <w:t>.</w:t>
      </w:r>
    </w:p>
    <w:p w14:paraId="5F22B589" w14:textId="5F60BF63" w:rsidR="001A6C76" w:rsidRPr="001D6E52" w:rsidRDefault="00F85210" w:rsidP="002F71BC">
      <w:pPr>
        <w:jc w:val="both"/>
        <w:rPr>
          <w:rFonts w:ascii="Corbel" w:hAnsi="Corbel"/>
          <w:sz w:val="22"/>
          <w:szCs w:val="22"/>
          <w:lang w:val="en-US"/>
        </w:rPr>
      </w:pPr>
      <w:r w:rsidRPr="001D6E52">
        <w:rPr>
          <w:rFonts w:ascii="Corbel" w:hAnsi="Corbel"/>
          <w:sz w:val="22"/>
          <w:szCs w:val="22"/>
          <w:lang w:val="en-US"/>
        </w:rPr>
        <w:t xml:space="preserve">All </w:t>
      </w:r>
      <w:r w:rsidR="00C52142" w:rsidRPr="001D6E52">
        <w:rPr>
          <w:rFonts w:ascii="Corbel" w:hAnsi="Corbel"/>
          <w:sz w:val="22"/>
          <w:szCs w:val="22"/>
          <w:lang w:val="en-US"/>
        </w:rPr>
        <w:t xml:space="preserve">EU </w:t>
      </w:r>
      <w:r w:rsidRPr="001D6E52">
        <w:rPr>
          <w:rFonts w:ascii="Corbel" w:hAnsi="Corbel"/>
          <w:sz w:val="22"/>
          <w:szCs w:val="22"/>
          <w:lang w:val="en-US"/>
        </w:rPr>
        <w:t xml:space="preserve">institutions </w:t>
      </w:r>
      <w:r w:rsidR="00C52142" w:rsidRPr="001D6E52">
        <w:rPr>
          <w:rFonts w:ascii="Corbel" w:hAnsi="Corbel"/>
          <w:sz w:val="22"/>
          <w:szCs w:val="22"/>
          <w:lang w:val="en-US"/>
        </w:rPr>
        <w:t xml:space="preserve">works within a common performance framework </w:t>
      </w:r>
      <w:r w:rsidR="00330F17" w:rsidRPr="001D6E52">
        <w:rPr>
          <w:rFonts w:ascii="Corbel" w:hAnsi="Corbel"/>
          <w:sz w:val="22"/>
          <w:szCs w:val="22"/>
          <w:lang w:val="en-US"/>
        </w:rPr>
        <w:t>described in the next paragraphs.</w:t>
      </w:r>
      <w:r w:rsidR="00C52142" w:rsidRPr="001D6E52">
        <w:rPr>
          <w:rFonts w:ascii="Corbel" w:hAnsi="Corbel"/>
          <w:sz w:val="22"/>
          <w:szCs w:val="22"/>
          <w:lang w:val="en-US"/>
        </w:rPr>
        <w:t xml:space="preserve"> </w:t>
      </w:r>
    </w:p>
    <w:p w14:paraId="6D592804" w14:textId="77777777" w:rsidR="00F63E83" w:rsidRPr="009722B3" w:rsidRDefault="00F63E83" w:rsidP="002F71BC">
      <w:pPr>
        <w:jc w:val="both"/>
        <w:rPr>
          <w:rFonts w:ascii="Corbel" w:hAnsi="Corbel"/>
          <w:bCs/>
          <w:iCs/>
          <w:lang w:val="en-US"/>
        </w:rPr>
      </w:pPr>
    </w:p>
    <w:p w14:paraId="67B28C18" w14:textId="454138FF" w:rsidR="00416BD2" w:rsidRPr="00FC14A5" w:rsidRDefault="00416BD2" w:rsidP="002F71BC">
      <w:pPr>
        <w:jc w:val="both"/>
        <w:rPr>
          <w:rFonts w:ascii="Corbel" w:hAnsi="Corbel"/>
          <w:b/>
          <w:i/>
          <w:iCs/>
          <w:lang w:val="en-US"/>
        </w:rPr>
      </w:pPr>
      <w:r w:rsidRPr="00FC14A5">
        <w:rPr>
          <w:rFonts w:ascii="Corbel" w:hAnsi="Corbel"/>
          <w:b/>
          <w:i/>
          <w:iCs/>
          <w:lang w:val="en-US"/>
        </w:rPr>
        <w:t>6.1</w:t>
      </w:r>
      <w:r w:rsidRPr="00FC14A5">
        <w:rPr>
          <w:rFonts w:ascii="Corbel" w:hAnsi="Corbel"/>
          <w:b/>
          <w:i/>
          <w:iCs/>
          <w:lang w:val="en-US"/>
        </w:rPr>
        <w:tab/>
        <w:t>The strategic levels of the EU performance framework</w:t>
      </w:r>
    </w:p>
    <w:p w14:paraId="69229240" w14:textId="4C88FC11" w:rsidR="00F63E83" w:rsidRPr="004279DC" w:rsidRDefault="00F63E83" w:rsidP="002F71BC">
      <w:pPr>
        <w:jc w:val="both"/>
        <w:rPr>
          <w:rFonts w:ascii="Corbel" w:hAnsi="Corbel"/>
          <w:bCs/>
          <w:iCs/>
          <w:sz w:val="22"/>
          <w:szCs w:val="22"/>
          <w:lang w:val="en-US"/>
        </w:rPr>
      </w:pPr>
      <w:r w:rsidRPr="004279DC">
        <w:rPr>
          <w:rFonts w:ascii="Corbel" w:hAnsi="Corbel"/>
          <w:bCs/>
          <w:iCs/>
          <w:sz w:val="22"/>
          <w:szCs w:val="22"/>
          <w:lang w:val="en-US"/>
        </w:rPr>
        <w:t>The E</w:t>
      </w:r>
      <w:r w:rsidR="00946D2A" w:rsidRPr="004279DC">
        <w:rPr>
          <w:rFonts w:ascii="Corbel" w:hAnsi="Corbel"/>
          <w:bCs/>
          <w:iCs/>
          <w:sz w:val="22"/>
          <w:szCs w:val="22"/>
          <w:lang w:val="en-US"/>
        </w:rPr>
        <w:t>U</w:t>
      </w:r>
      <w:r w:rsidRPr="004279DC">
        <w:rPr>
          <w:rFonts w:ascii="Corbel" w:hAnsi="Corbel"/>
          <w:bCs/>
          <w:iCs/>
          <w:sz w:val="22"/>
          <w:szCs w:val="22"/>
          <w:lang w:val="en-US"/>
        </w:rPr>
        <w:t xml:space="preserve"> performance framework, simplified in </w:t>
      </w:r>
      <w:r w:rsidR="00FC14A5" w:rsidRPr="004279DC">
        <w:rPr>
          <w:rFonts w:ascii="Corbel" w:hAnsi="Corbel"/>
          <w:bCs/>
          <w:iCs/>
          <w:sz w:val="22"/>
          <w:szCs w:val="22"/>
          <w:lang w:val="en-US"/>
        </w:rPr>
        <w:t>figure</w:t>
      </w:r>
      <w:r w:rsidRPr="004279DC">
        <w:rPr>
          <w:rFonts w:ascii="Corbel" w:hAnsi="Corbel"/>
          <w:bCs/>
          <w:iCs/>
          <w:sz w:val="22"/>
          <w:szCs w:val="22"/>
          <w:lang w:val="en-US"/>
        </w:rPr>
        <w:t xml:space="preserve"> </w:t>
      </w:r>
      <w:r w:rsidR="00FC14A5" w:rsidRPr="004279DC">
        <w:rPr>
          <w:rFonts w:ascii="Corbel" w:hAnsi="Corbel"/>
          <w:bCs/>
          <w:iCs/>
          <w:sz w:val="22"/>
          <w:szCs w:val="22"/>
          <w:lang w:val="en-US"/>
        </w:rPr>
        <w:t>4</w:t>
      </w:r>
      <w:r w:rsidRPr="004279DC">
        <w:rPr>
          <w:rFonts w:ascii="Corbel" w:hAnsi="Corbel"/>
          <w:bCs/>
          <w:iCs/>
          <w:sz w:val="22"/>
          <w:szCs w:val="22"/>
          <w:lang w:val="en-US"/>
        </w:rPr>
        <w:t xml:space="preserve">, is composed of three different but interrelated strategic layers, the international layer, the European Union </w:t>
      </w:r>
      <w:proofErr w:type="gramStart"/>
      <w:r w:rsidRPr="004279DC">
        <w:rPr>
          <w:rFonts w:ascii="Corbel" w:hAnsi="Corbel"/>
          <w:bCs/>
          <w:iCs/>
          <w:sz w:val="22"/>
          <w:szCs w:val="22"/>
          <w:lang w:val="en-US"/>
        </w:rPr>
        <w:t>layer</w:t>
      </w:r>
      <w:proofErr w:type="gramEnd"/>
      <w:r w:rsidRPr="004279DC">
        <w:rPr>
          <w:rFonts w:ascii="Corbel" w:hAnsi="Corbel"/>
          <w:bCs/>
          <w:iCs/>
          <w:sz w:val="22"/>
          <w:szCs w:val="22"/>
          <w:lang w:val="en-US"/>
        </w:rPr>
        <w:t xml:space="preserve"> and the member states layer.</w:t>
      </w:r>
    </w:p>
    <w:p w14:paraId="3E3AE919" w14:textId="77777777" w:rsidR="00FC14A5" w:rsidRPr="009722B3" w:rsidRDefault="00FC14A5" w:rsidP="002F71BC">
      <w:pPr>
        <w:jc w:val="both"/>
        <w:rPr>
          <w:rFonts w:ascii="Corbel" w:hAnsi="Corbel"/>
          <w:bCs/>
          <w:iCs/>
          <w:lang w:val="en-US"/>
        </w:rPr>
      </w:pPr>
    </w:p>
    <w:p w14:paraId="041F39C8" w14:textId="190A4D07" w:rsidR="00F63E83" w:rsidRPr="00FC14A5" w:rsidRDefault="00946D2A" w:rsidP="00FC14A5">
      <w:pPr>
        <w:pStyle w:val="Didascalia"/>
        <w:jc w:val="both"/>
        <w:rPr>
          <w:rFonts w:ascii="Corbel" w:hAnsi="Corbel"/>
          <w:b/>
          <w:bCs/>
          <w:lang w:val="en-US"/>
        </w:rPr>
      </w:pPr>
      <w:r w:rsidRPr="00FC14A5">
        <w:rPr>
          <w:rFonts w:ascii="Corbel" w:hAnsi="Corbel"/>
          <w:b/>
          <w:bCs/>
          <w:lang w:val="en-US"/>
        </w:rPr>
        <w:t>Figure</w:t>
      </w:r>
      <w:r w:rsidR="00F63E83" w:rsidRPr="00FC14A5">
        <w:rPr>
          <w:rFonts w:ascii="Corbel" w:hAnsi="Corbel"/>
          <w:b/>
          <w:bCs/>
          <w:lang w:val="en-US"/>
        </w:rPr>
        <w:t xml:space="preserve"> </w:t>
      </w:r>
      <w:r w:rsidR="00FC14A5" w:rsidRPr="00FC14A5">
        <w:rPr>
          <w:rFonts w:ascii="Corbel" w:hAnsi="Corbel"/>
          <w:b/>
          <w:bCs/>
          <w:lang w:val="en-US"/>
        </w:rPr>
        <w:t>4</w:t>
      </w:r>
      <w:r w:rsidR="00EB155C" w:rsidRPr="00FC14A5">
        <w:rPr>
          <w:rFonts w:ascii="Corbel" w:hAnsi="Corbel"/>
          <w:b/>
          <w:bCs/>
          <w:lang w:val="en-US"/>
        </w:rPr>
        <w:t xml:space="preserve"> </w:t>
      </w:r>
      <w:r w:rsidR="00F63E83" w:rsidRPr="00FC14A5">
        <w:rPr>
          <w:rFonts w:ascii="Corbel" w:hAnsi="Corbel"/>
          <w:b/>
          <w:bCs/>
          <w:lang w:val="en-US"/>
        </w:rPr>
        <w:t xml:space="preserve">– </w:t>
      </w:r>
      <w:r w:rsidR="00E90228" w:rsidRPr="00FC14A5">
        <w:rPr>
          <w:rFonts w:ascii="Corbel" w:hAnsi="Corbel"/>
          <w:b/>
          <w:bCs/>
          <w:lang w:val="en-US"/>
        </w:rPr>
        <w:t>Performance management levels in the European Union</w:t>
      </w:r>
    </w:p>
    <w:p w14:paraId="5930B27A" w14:textId="2E51114A" w:rsidR="00D91FF1" w:rsidRPr="009722B3" w:rsidRDefault="00D91FF1" w:rsidP="002F71BC">
      <w:pPr>
        <w:jc w:val="both"/>
        <w:rPr>
          <w:rFonts w:ascii="Corbel" w:hAnsi="Corbel"/>
          <w:lang w:val="en-GB"/>
        </w:rPr>
      </w:pPr>
      <w:r w:rsidRPr="009722B3">
        <w:rPr>
          <w:rFonts w:ascii="Corbel" w:hAnsi="Corbel"/>
          <w:noProof/>
        </w:rPr>
        <w:drawing>
          <wp:inline distT="0" distB="0" distL="0" distR="0" wp14:anchorId="77111B65" wp14:editId="0228B1C6">
            <wp:extent cx="6116320" cy="2986405"/>
            <wp:effectExtent l="0" t="0" r="508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6320" cy="2986405"/>
                    </a:xfrm>
                    <a:prstGeom prst="rect">
                      <a:avLst/>
                    </a:prstGeom>
                  </pic:spPr>
                </pic:pic>
              </a:graphicData>
            </a:graphic>
          </wp:inline>
        </w:drawing>
      </w:r>
    </w:p>
    <w:p w14:paraId="73276067" w14:textId="77777777" w:rsidR="00093FE4" w:rsidRPr="009722B3" w:rsidRDefault="00093FE4" w:rsidP="002F71BC">
      <w:pPr>
        <w:jc w:val="both"/>
        <w:rPr>
          <w:rFonts w:ascii="Corbel" w:hAnsi="Corbel"/>
          <w:bCs/>
          <w:iCs/>
          <w:lang w:val="en-US"/>
        </w:rPr>
      </w:pPr>
    </w:p>
    <w:p w14:paraId="3CF86375" w14:textId="5A7790DB" w:rsidR="00F63E83" w:rsidRPr="004279DC" w:rsidRDefault="00F63E83" w:rsidP="002F71BC">
      <w:pPr>
        <w:jc w:val="both"/>
        <w:rPr>
          <w:rFonts w:ascii="Corbel" w:hAnsi="Corbel"/>
          <w:bCs/>
          <w:iCs/>
          <w:sz w:val="22"/>
          <w:szCs w:val="22"/>
          <w:lang w:val="en-US"/>
        </w:rPr>
      </w:pPr>
      <w:r w:rsidRPr="004279DC">
        <w:rPr>
          <w:rFonts w:ascii="Corbel" w:hAnsi="Corbel"/>
          <w:bCs/>
          <w:iCs/>
          <w:sz w:val="22"/>
          <w:szCs w:val="22"/>
          <w:lang w:val="en-US"/>
        </w:rPr>
        <w:t xml:space="preserve">The </w:t>
      </w:r>
      <w:r w:rsidRPr="004279DC">
        <w:rPr>
          <w:rFonts w:ascii="Corbel" w:hAnsi="Corbel"/>
          <w:iCs/>
          <w:sz w:val="22"/>
          <w:szCs w:val="22"/>
          <w:lang w:val="en-US"/>
        </w:rPr>
        <w:t>international strategic level</w:t>
      </w:r>
      <w:r w:rsidRPr="004279DC">
        <w:rPr>
          <w:rFonts w:ascii="Corbel" w:hAnsi="Corbel"/>
          <w:bCs/>
          <w:iCs/>
          <w:sz w:val="22"/>
          <w:szCs w:val="22"/>
          <w:lang w:val="en-US"/>
        </w:rPr>
        <w:t xml:space="preserve"> includes strategies elaborated at </w:t>
      </w:r>
      <w:r w:rsidR="0059264C" w:rsidRPr="004279DC">
        <w:rPr>
          <w:rFonts w:ascii="Corbel" w:hAnsi="Corbel"/>
          <w:bCs/>
          <w:iCs/>
          <w:sz w:val="22"/>
          <w:szCs w:val="22"/>
          <w:lang w:val="en-US"/>
        </w:rPr>
        <w:t xml:space="preserve">the </w:t>
      </w:r>
      <w:r w:rsidRPr="004279DC">
        <w:rPr>
          <w:rFonts w:ascii="Corbel" w:hAnsi="Corbel"/>
          <w:bCs/>
          <w:iCs/>
          <w:sz w:val="22"/>
          <w:szCs w:val="22"/>
          <w:lang w:val="en-US"/>
        </w:rPr>
        <w:t xml:space="preserve">international level, </w:t>
      </w:r>
      <w:r w:rsidR="00DA2F51" w:rsidRPr="004279DC">
        <w:rPr>
          <w:rFonts w:ascii="Corbel" w:hAnsi="Corbel"/>
          <w:bCs/>
          <w:iCs/>
          <w:sz w:val="22"/>
          <w:szCs w:val="22"/>
          <w:lang w:val="en-US"/>
        </w:rPr>
        <w:t xml:space="preserve">above </w:t>
      </w:r>
      <w:r w:rsidRPr="004279DC">
        <w:rPr>
          <w:rFonts w:ascii="Corbel" w:hAnsi="Corbel"/>
          <w:bCs/>
          <w:iCs/>
          <w:sz w:val="22"/>
          <w:szCs w:val="22"/>
          <w:lang w:val="en-US"/>
        </w:rPr>
        <w:t xml:space="preserve">the EU, mainly aiming at producing or preserving the global public goods. Among these, particular attention was given by the EU to the UN 2030 Agenda for Sustainable Development (“UN 2030 Agenda”), adopted by world leaders in 2015, which represents the new global sustainable development framework balancing its three dimensions, economic, </w:t>
      </w:r>
      <w:proofErr w:type="gramStart"/>
      <w:r w:rsidRPr="004279DC">
        <w:rPr>
          <w:rFonts w:ascii="Corbel" w:hAnsi="Corbel"/>
          <w:bCs/>
          <w:iCs/>
          <w:sz w:val="22"/>
          <w:szCs w:val="22"/>
          <w:lang w:val="en-US"/>
        </w:rPr>
        <w:t>social</w:t>
      </w:r>
      <w:proofErr w:type="gramEnd"/>
      <w:r w:rsidRPr="004279DC">
        <w:rPr>
          <w:rFonts w:ascii="Corbel" w:hAnsi="Corbel"/>
          <w:bCs/>
          <w:iCs/>
          <w:sz w:val="22"/>
          <w:szCs w:val="22"/>
          <w:lang w:val="en-US"/>
        </w:rPr>
        <w:t xml:space="preserve"> and environmental. It sets out 17 Sustainable Development Goals (SDGs) to eradicate poverty and achieve sustainable development by 2030 worldwide ensuring that no one is left behind (European Commission 2016</w:t>
      </w:r>
      <w:r w:rsidR="00525655" w:rsidRPr="004279DC">
        <w:rPr>
          <w:rFonts w:ascii="Corbel" w:hAnsi="Corbel"/>
          <w:bCs/>
          <w:iCs/>
          <w:sz w:val="22"/>
          <w:szCs w:val="22"/>
          <w:lang w:val="en-US"/>
        </w:rPr>
        <w:t>b</w:t>
      </w:r>
      <w:r w:rsidRPr="004279DC">
        <w:rPr>
          <w:rFonts w:ascii="Corbel" w:hAnsi="Corbel"/>
          <w:bCs/>
          <w:iCs/>
          <w:sz w:val="22"/>
          <w:szCs w:val="22"/>
          <w:lang w:val="en-US"/>
        </w:rPr>
        <w:t xml:space="preserve">). The </w:t>
      </w:r>
      <w:proofErr w:type="gramStart"/>
      <w:r w:rsidRPr="004279DC">
        <w:rPr>
          <w:rFonts w:ascii="Corbel" w:hAnsi="Corbel"/>
          <w:bCs/>
          <w:iCs/>
          <w:sz w:val="22"/>
          <w:szCs w:val="22"/>
          <w:lang w:val="en-US"/>
        </w:rPr>
        <w:t>Agenda</w:t>
      </w:r>
      <w:proofErr w:type="gramEnd"/>
      <w:r w:rsidRPr="004279DC">
        <w:rPr>
          <w:rFonts w:ascii="Corbel" w:hAnsi="Corbel"/>
          <w:bCs/>
          <w:iCs/>
          <w:sz w:val="22"/>
          <w:szCs w:val="22"/>
          <w:lang w:val="en-US"/>
        </w:rPr>
        <w:t xml:space="preserve"> includes 169 underlying targets and an indicator framework composed of 230 indicators agreed at </w:t>
      </w:r>
      <w:r w:rsidR="0059264C" w:rsidRPr="004279DC">
        <w:rPr>
          <w:rFonts w:ascii="Corbel" w:hAnsi="Corbel"/>
          <w:bCs/>
          <w:iCs/>
          <w:sz w:val="22"/>
          <w:szCs w:val="22"/>
          <w:lang w:val="en-US"/>
        </w:rPr>
        <w:t xml:space="preserve">the </w:t>
      </w:r>
      <w:r w:rsidRPr="004279DC">
        <w:rPr>
          <w:rFonts w:ascii="Corbel" w:hAnsi="Corbel"/>
          <w:bCs/>
          <w:iCs/>
          <w:sz w:val="22"/>
          <w:szCs w:val="22"/>
          <w:lang w:val="en-US"/>
        </w:rPr>
        <w:t xml:space="preserve">UN level to monitor the progress towards the achievement of the SDGs. The goals and targets of the UN 2030 Agenda have the following characteristics, are global, universally </w:t>
      </w:r>
      <w:proofErr w:type="gramStart"/>
      <w:r w:rsidRPr="004279DC">
        <w:rPr>
          <w:rFonts w:ascii="Corbel" w:hAnsi="Corbel"/>
          <w:bCs/>
          <w:iCs/>
          <w:sz w:val="22"/>
          <w:szCs w:val="22"/>
          <w:lang w:val="en-US"/>
        </w:rPr>
        <w:t>applicable</w:t>
      </w:r>
      <w:proofErr w:type="gramEnd"/>
      <w:r w:rsidRPr="004279DC">
        <w:rPr>
          <w:rFonts w:ascii="Corbel" w:hAnsi="Corbel"/>
          <w:bCs/>
          <w:iCs/>
          <w:sz w:val="22"/>
          <w:szCs w:val="22"/>
          <w:lang w:val="en-US"/>
        </w:rPr>
        <w:t xml:space="preserve"> and interlinked.</w:t>
      </w:r>
    </w:p>
    <w:p w14:paraId="2220F395" w14:textId="2085F5A5" w:rsidR="00F63E83" w:rsidRPr="004279DC" w:rsidRDefault="00F63E83" w:rsidP="002F71BC">
      <w:pPr>
        <w:jc w:val="both"/>
        <w:rPr>
          <w:rFonts w:ascii="Corbel" w:hAnsi="Corbel"/>
          <w:bCs/>
          <w:iCs/>
          <w:sz w:val="22"/>
          <w:szCs w:val="22"/>
          <w:lang w:val="en-US"/>
        </w:rPr>
      </w:pPr>
    </w:p>
    <w:p w14:paraId="2E465E8B" w14:textId="478F92DA" w:rsidR="00F63E83" w:rsidRPr="004279DC" w:rsidRDefault="00F63E83" w:rsidP="002F71BC">
      <w:pPr>
        <w:jc w:val="both"/>
        <w:rPr>
          <w:rFonts w:ascii="Corbel" w:hAnsi="Corbel"/>
          <w:bCs/>
          <w:iCs/>
          <w:sz w:val="22"/>
          <w:szCs w:val="22"/>
          <w:lang w:val="en-US"/>
        </w:rPr>
      </w:pPr>
      <w:r w:rsidRPr="004279DC">
        <w:rPr>
          <w:rFonts w:ascii="Corbel" w:hAnsi="Corbel"/>
          <w:bCs/>
          <w:iCs/>
          <w:sz w:val="22"/>
          <w:szCs w:val="22"/>
          <w:lang w:val="en-US"/>
        </w:rPr>
        <w:t xml:space="preserve">The </w:t>
      </w:r>
      <w:r w:rsidRPr="004279DC">
        <w:rPr>
          <w:rFonts w:ascii="Corbel" w:hAnsi="Corbel"/>
          <w:iCs/>
          <w:sz w:val="22"/>
          <w:szCs w:val="22"/>
          <w:lang w:val="en-US"/>
        </w:rPr>
        <w:t>EU strategic level</w:t>
      </w:r>
      <w:r w:rsidRPr="004279DC">
        <w:rPr>
          <w:rFonts w:ascii="Corbel" w:hAnsi="Corbel"/>
          <w:b/>
          <w:bCs/>
          <w:iCs/>
          <w:sz w:val="22"/>
          <w:szCs w:val="22"/>
          <w:lang w:val="en-US"/>
        </w:rPr>
        <w:t xml:space="preserve"> </w:t>
      </w:r>
      <w:r w:rsidRPr="004279DC">
        <w:rPr>
          <w:rFonts w:ascii="Corbel" w:hAnsi="Corbel"/>
          <w:bCs/>
          <w:iCs/>
          <w:sz w:val="22"/>
          <w:szCs w:val="22"/>
          <w:lang w:val="en-US"/>
        </w:rPr>
        <w:t>is the core of our analysis and includes all the priorities and the objectives set at the EU level and their link with the international strategies. Within the EU strategic level, some performance documents address to all EU institutions and bodies while others are specific for each institution. The following strategic documents belong to the first group</w:t>
      </w:r>
      <w:r w:rsidR="004279DC">
        <w:rPr>
          <w:rFonts w:ascii="Corbel" w:hAnsi="Corbel"/>
          <w:bCs/>
          <w:iCs/>
          <w:sz w:val="22"/>
          <w:szCs w:val="22"/>
          <w:lang w:val="en-US"/>
        </w:rPr>
        <w:t>.</w:t>
      </w:r>
    </w:p>
    <w:p w14:paraId="5CA5B503" w14:textId="77777777" w:rsidR="00F63E83" w:rsidRPr="009722B3" w:rsidRDefault="00F63E83" w:rsidP="002F71BC">
      <w:pPr>
        <w:jc w:val="both"/>
        <w:rPr>
          <w:rFonts w:ascii="Corbel" w:hAnsi="Corbel"/>
          <w:bCs/>
          <w:iCs/>
          <w:lang w:val="en-US"/>
        </w:rPr>
      </w:pPr>
    </w:p>
    <w:p w14:paraId="5C1E2EF9" w14:textId="77777777" w:rsidR="00F63E83" w:rsidRPr="009722B3" w:rsidRDefault="00F63E83" w:rsidP="002F71BC">
      <w:pPr>
        <w:pStyle w:val="Paragrafoelenco"/>
        <w:numPr>
          <w:ilvl w:val="0"/>
          <w:numId w:val="1"/>
        </w:numPr>
        <w:spacing w:line="240" w:lineRule="auto"/>
        <w:jc w:val="both"/>
        <w:rPr>
          <w:rFonts w:ascii="Corbel" w:hAnsi="Corbel"/>
          <w:bCs/>
          <w:iCs/>
          <w:sz w:val="24"/>
          <w:szCs w:val="24"/>
          <w:lang w:val="en-US"/>
        </w:rPr>
      </w:pPr>
      <w:r w:rsidRPr="009722B3">
        <w:rPr>
          <w:rFonts w:ascii="Corbel" w:hAnsi="Corbel"/>
          <w:bCs/>
          <w:i/>
          <w:iCs/>
          <w:sz w:val="24"/>
          <w:szCs w:val="24"/>
          <w:lang w:val="en-US"/>
        </w:rPr>
        <w:lastRenderedPageBreak/>
        <w:t>The Founding Treaties of the EU</w:t>
      </w:r>
    </w:p>
    <w:p w14:paraId="0CFCDC1A" w14:textId="05AF2513" w:rsidR="00F63E83" w:rsidRPr="004279DC" w:rsidRDefault="001E00C7" w:rsidP="002F71BC">
      <w:pPr>
        <w:jc w:val="both"/>
        <w:rPr>
          <w:rFonts w:ascii="Corbel" w:hAnsi="Corbel"/>
          <w:bCs/>
          <w:iCs/>
          <w:sz w:val="22"/>
          <w:szCs w:val="22"/>
          <w:lang w:val="en-US"/>
        </w:rPr>
      </w:pPr>
      <w:r w:rsidRPr="004279DC">
        <w:rPr>
          <w:rFonts w:ascii="Corbel" w:hAnsi="Corbel"/>
          <w:bCs/>
          <w:iCs/>
          <w:sz w:val="22"/>
          <w:szCs w:val="22"/>
          <w:lang w:val="en-US"/>
        </w:rPr>
        <w:t>Like</w:t>
      </w:r>
      <w:r w:rsidR="00F63E83" w:rsidRPr="004279DC">
        <w:rPr>
          <w:rFonts w:ascii="Corbel" w:hAnsi="Corbel"/>
          <w:bCs/>
          <w:iCs/>
          <w:sz w:val="22"/>
          <w:szCs w:val="22"/>
          <w:lang w:val="en-US"/>
        </w:rPr>
        <w:t xml:space="preserve"> all international organizations, the founding treaties of the EU set the EU limits, competences, and functions as well as the general objectives the EU aims to achieve</w:t>
      </w:r>
      <w:r w:rsidR="004279DC" w:rsidRPr="004279DC">
        <w:rPr>
          <w:rFonts w:ascii="Corbel" w:hAnsi="Corbel"/>
          <w:bCs/>
          <w:iCs/>
          <w:sz w:val="22"/>
          <w:szCs w:val="22"/>
          <w:lang w:val="en-US"/>
        </w:rPr>
        <w:t xml:space="preserve"> (Box 1)</w:t>
      </w:r>
      <w:r w:rsidR="005166F2" w:rsidRPr="004279DC">
        <w:rPr>
          <w:rFonts w:ascii="Corbel" w:hAnsi="Corbel"/>
          <w:bCs/>
          <w:iCs/>
          <w:sz w:val="22"/>
          <w:szCs w:val="22"/>
          <w:lang w:val="en-US"/>
        </w:rPr>
        <w:t>. These latter</w:t>
      </w:r>
      <w:r w:rsidR="00F63E83" w:rsidRPr="004279DC">
        <w:rPr>
          <w:rFonts w:ascii="Corbel" w:hAnsi="Corbel"/>
          <w:bCs/>
          <w:iCs/>
          <w:sz w:val="22"/>
          <w:szCs w:val="22"/>
          <w:lang w:val="en-US"/>
        </w:rPr>
        <w:t xml:space="preserve"> are laid down in the art. 3 of the Treaty of the </w:t>
      </w:r>
      <w:r w:rsidR="005166F2" w:rsidRPr="004279DC">
        <w:rPr>
          <w:rFonts w:ascii="Corbel" w:hAnsi="Corbel"/>
          <w:bCs/>
          <w:iCs/>
          <w:sz w:val="22"/>
          <w:szCs w:val="22"/>
          <w:lang w:val="en-US"/>
        </w:rPr>
        <w:t>European Union</w:t>
      </w:r>
      <w:r w:rsidR="00F63E83" w:rsidRPr="004279DC">
        <w:rPr>
          <w:rFonts w:ascii="Corbel" w:hAnsi="Corbel"/>
          <w:bCs/>
          <w:iCs/>
          <w:sz w:val="22"/>
          <w:szCs w:val="22"/>
          <w:lang w:val="en-US"/>
        </w:rPr>
        <w:t xml:space="preserve"> (TEU). Although broadly defined, the capacity to achieve these objectives should justify (or not) the very existence of the organization.</w:t>
      </w:r>
    </w:p>
    <w:p w14:paraId="6389F6BD" w14:textId="77777777" w:rsidR="00EB155C" w:rsidRPr="009722B3" w:rsidRDefault="00EB155C" w:rsidP="002F71BC">
      <w:pPr>
        <w:jc w:val="both"/>
        <w:rPr>
          <w:rFonts w:ascii="Corbel" w:hAnsi="Corbel"/>
          <w:bCs/>
          <w:iCs/>
          <w:lang w:val="en-US"/>
        </w:rPr>
      </w:pPr>
    </w:p>
    <w:p w14:paraId="15B7C858" w14:textId="42D78A7C" w:rsidR="00042169" w:rsidRPr="004279DC" w:rsidRDefault="004279DC" w:rsidP="004279DC">
      <w:pPr>
        <w:pStyle w:val="Didascalia"/>
        <w:jc w:val="both"/>
        <w:rPr>
          <w:rFonts w:ascii="Corbel" w:hAnsi="Corbel"/>
          <w:b/>
          <w:bCs/>
          <w:lang w:val="en-US"/>
        </w:rPr>
      </w:pPr>
      <w:r w:rsidRPr="004279DC">
        <w:rPr>
          <w:rFonts w:ascii="Corbel" w:hAnsi="Corbel"/>
          <w:b/>
          <w:bCs/>
          <w:lang w:val="en-US"/>
        </w:rPr>
        <w:t>Box 1</w:t>
      </w:r>
      <w:r w:rsidR="00042169" w:rsidRPr="004279DC">
        <w:rPr>
          <w:rFonts w:ascii="Corbel" w:hAnsi="Corbel"/>
          <w:b/>
          <w:bCs/>
          <w:lang w:val="en-US"/>
        </w:rPr>
        <w:t xml:space="preserve"> – The general objectives of the European Union</w:t>
      </w:r>
    </w:p>
    <w:tbl>
      <w:tblPr>
        <w:tblStyle w:val="Grigliatabella"/>
        <w:tblW w:w="0" w:type="auto"/>
        <w:tblLook w:val="04A0" w:firstRow="1" w:lastRow="0" w:firstColumn="1" w:lastColumn="0" w:noHBand="0" w:noVBand="1"/>
      </w:tblPr>
      <w:tblGrid>
        <w:gridCol w:w="9622"/>
      </w:tblGrid>
      <w:tr w:rsidR="00042169" w:rsidRPr="009722B3" w14:paraId="02E96321" w14:textId="77777777" w:rsidTr="001E00C7">
        <w:tc>
          <w:tcPr>
            <w:tcW w:w="9622" w:type="dxa"/>
          </w:tcPr>
          <w:p w14:paraId="468D97E2" w14:textId="77777777" w:rsidR="00042169" w:rsidRPr="004279DC" w:rsidRDefault="00042169" w:rsidP="004279DC">
            <w:pPr>
              <w:pStyle w:val="NormaleWeb"/>
              <w:jc w:val="both"/>
              <w:rPr>
                <w:rFonts w:ascii="Corbel" w:hAnsi="Corbel"/>
                <w:sz w:val="18"/>
                <w:szCs w:val="18"/>
                <w:lang w:val="en-US"/>
              </w:rPr>
            </w:pPr>
            <w:r w:rsidRPr="004279DC">
              <w:rPr>
                <w:rFonts w:ascii="Corbel" w:hAnsi="Corbel"/>
                <w:sz w:val="18"/>
                <w:szCs w:val="18"/>
                <w:lang w:val="en-US"/>
              </w:rPr>
              <w:t>Article 3 (TEU)</w:t>
            </w:r>
          </w:p>
          <w:p w14:paraId="630A9B83" w14:textId="77777777" w:rsidR="004279DC" w:rsidRDefault="00042169" w:rsidP="004279DC">
            <w:pPr>
              <w:pStyle w:val="NormaleWeb"/>
              <w:jc w:val="both"/>
              <w:rPr>
                <w:rFonts w:ascii="Corbel" w:hAnsi="Corbel"/>
                <w:sz w:val="18"/>
                <w:szCs w:val="18"/>
                <w:lang w:val="en-US"/>
              </w:rPr>
            </w:pPr>
            <w:r w:rsidRPr="004279DC">
              <w:rPr>
                <w:rFonts w:ascii="Corbel" w:hAnsi="Corbel"/>
                <w:sz w:val="18"/>
                <w:szCs w:val="18"/>
                <w:lang w:val="en-US"/>
              </w:rPr>
              <w:t xml:space="preserve">1. The Union's aim is to </w:t>
            </w:r>
            <w:r w:rsidRPr="004279DC">
              <w:rPr>
                <w:rFonts w:ascii="Corbel" w:hAnsi="Corbel"/>
                <w:b/>
                <w:sz w:val="18"/>
                <w:szCs w:val="18"/>
                <w:lang w:val="en-US"/>
              </w:rPr>
              <w:t>promote peace</w:t>
            </w:r>
            <w:r w:rsidRPr="004279DC">
              <w:rPr>
                <w:rFonts w:ascii="Corbel" w:hAnsi="Corbel"/>
                <w:sz w:val="18"/>
                <w:szCs w:val="18"/>
                <w:lang w:val="en-US"/>
              </w:rPr>
              <w:t xml:space="preserve">, its </w:t>
            </w:r>
            <w:proofErr w:type="gramStart"/>
            <w:r w:rsidRPr="004279DC">
              <w:rPr>
                <w:rFonts w:ascii="Corbel" w:hAnsi="Corbel"/>
                <w:sz w:val="18"/>
                <w:szCs w:val="18"/>
                <w:lang w:val="en-US"/>
              </w:rPr>
              <w:t>values</w:t>
            </w:r>
            <w:proofErr w:type="gramEnd"/>
            <w:r w:rsidRPr="004279DC">
              <w:rPr>
                <w:rFonts w:ascii="Corbel" w:hAnsi="Corbel"/>
                <w:sz w:val="18"/>
                <w:szCs w:val="18"/>
                <w:lang w:val="en-US"/>
              </w:rPr>
              <w:t xml:space="preserve"> and the well-being of its peoples.</w:t>
            </w:r>
          </w:p>
          <w:p w14:paraId="00A0DD3C" w14:textId="36D34BAA" w:rsidR="00042169" w:rsidRPr="004279DC" w:rsidRDefault="00042169" w:rsidP="004279DC">
            <w:pPr>
              <w:pStyle w:val="NormaleWeb"/>
              <w:jc w:val="both"/>
              <w:rPr>
                <w:rFonts w:ascii="Corbel" w:hAnsi="Corbel"/>
                <w:sz w:val="18"/>
                <w:szCs w:val="18"/>
                <w:lang w:val="en-US"/>
              </w:rPr>
            </w:pPr>
            <w:r w:rsidRPr="004279DC">
              <w:rPr>
                <w:rFonts w:ascii="Corbel" w:hAnsi="Corbel"/>
                <w:sz w:val="18"/>
                <w:szCs w:val="18"/>
                <w:lang w:val="en-US"/>
              </w:rPr>
              <w:t xml:space="preserve">2. The Union shall offer its citizens an </w:t>
            </w:r>
            <w:r w:rsidRPr="004279DC">
              <w:rPr>
                <w:rFonts w:ascii="Corbel" w:hAnsi="Corbel"/>
                <w:b/>
                <w:sz w:val="18"/>
                <w:szCs w:val="18"/>
                <w:lang w:val="en-US"/>
              </w:rPr>
              <w:t xml:space="preserve">area of freedom, </w:t>
            </w:r>
            <w:proofErr w:type="gramStart"/>
            <w:r w:rsidRPr="004279DC">
              <w:rPr>
                <w:rFonts w:ascii="Corbel" w:hAnsi="Corbel"/>
                <w:b/>
                <w:sz w:val="18"/>
                <w:szCs w:val="18"/>
                <w:lang w:val="en-US"/>
              </w:rPr>
              <w:t>security</w:t>
            </w:r>
            <w:proofErr w:type="gramEnd"/>
            <w:r w:rsidRPr="004279DC">
              <w:rPr>
                <w:rFonts w:ascii="Corbel" w:hAnsi="Corbel"/>
                <w:b/>
                <w:sz w:val="18"/>
                <w:szCs w:val="18"/>
                <w:lang w:val="en-US"/>
              </w:rPr>
              <w:t xml:space="preserve"> and justice</w:t>
            </w:r>
            <w:r w:rsidRPr="004279DC">
              <w:rPr>
                <w:rFonts w:ascii="Corbel" w:hAnsi="Corbel"/>
                <w:sz w:val="18"/>
                <w:szCs w:val="18"/>
                <w:lang w:val="en-US"/>
              </w:rPr>
              <w:t xml:space="preserve"> without internal frontiers, in which the </w:t>
            </w:r>
            <w:r w:rsidRPr="004279DC">
              <w:rPr>
                <w:rFonts w:ascii="Corbel" w:hAnsi="Corbel"/>
                <w:b/>
                <w:sz w:val="18"/>
                <w:szCs w:val="18"/>
                <w:lang w:val="en-US"/>
              </w:rPr>
              <w:t>free movement of persons</w:t>
            </w:r>
            <w:r w:rsidRPr="004279DC">
              <w:rPr>
                <w:rFonts w:ascii="Corbel" w:hAnsi="Corbel"/>
                <w:sz w:val="18"/>
                <w:szCs w:val="18"/>
                <w:lang w:val="en-US"/>
              </w:rPr>
              <w:t xml:space="preserve"> is ensured in conjunction with appropriate measures with respect to external border controls, asylum, immigration and the prevention and combating of crime.</w:t>
            </w:r>
          </w:p>
          <w:p w14:paraId="3654067D" w14:textId="77777777" w:rsidR="00042169" w:rsidRPr="004279DC" w:rsidRDefault="00042169" w:rsidP="004279DC">
            <w:pPr>
              <w:pStyle w:val="NormaleWeb"/>
              <w:jc w:val="both"/>
              <w:rPr>
                <w:rFonts w:ascii="Corbel" w:hAnsi="Corbel"/>
                <w:sz w:val="18"/>
                <w:szCs w:val="18"/>
                <w:lang w:val="en-US"/>
              </w:rPr>
            </w:pPr>
            <w:r w:rsidRPr="004279DC">
              <w:rPr>
                <w:rFonts w:ascii="Corbel" w:hAnsi="Corbel"/>
                <w:sz w:val="18"/>
                <w:szCs w:val="18"/>
                <w:lang w:val="en-US"/>
              </w:rPr>
              <w:t xml:space="preserve">3. The Union shall establish an </w:t>
            </w:r>
            <w:r w:rsidRPr="004279DC">
              <w:rPr>
                <w:rFonts w:ascii="Corbel" w:hAnsi="Corbel"/>
                <w:b/>
                <w:sz w:val="18"/>
                <w:szCs w:val="18"/>
                <w:lang w:val="en-US"/>
              </w:rPr>
              <w:t>internal market</w:t>
            </w:r>
            <w:r w:rsidRPr="004279DC">
              <w:rPr>
                <w:rFonts w:ascii="Corbel" w:hAnsi="Corbel"/>
                <w:sz w:val="18"/>
                <w:szCs w:val="18"/>
                <w:lang w:val="en-US"/>
              </w:rPr>
              <w:t xml:space="preserve">. It shall work for the sustainable development of Europe based on balanced </w:t>
            </w:r>
            <w:r w:rsidRPr="004279DC">
              <w:rPr>
                <w:rFonts w:ascii="Corbel" w:hAnsi="Corbel"/>
                <w:b/>
                <w:sz w:val="18"/>
                <w:szCs w:val="18"/>
                <w:lang w:val="en-US"/>
              </w:rPr>
              <w:t>economic growth and price stability</w:t>
            </w:r>
            <w:r w:rsidRPr="004279DC">
              <w:rPr>
                <w:rFonts w:ascii="Corbel" w:hAnsi="Corbel"/>
                <w:sz w:val="18"/>
                <w:szCs w:val="18"/>
                <w:lang w:val="en-US"/>
              </w:rPr>
              <w:t xml:space="preserve">, a </w:t>
            </w:r>
            <w:r w:rsidRPr="004279DC">
              <w:rPr>
                <w:rFonts w:ascii="Corbel" w:hAnsi="Corbel"/>
                <w:b/>
                <w:sz w:val="18"/>
                <w:szCs w:val="18"/>
                <w:lang w:val="en-US"/>
              </w:rPr>
              <w:t>highly competitive social market economy</w:t>
            </w:r>
            <w:r w:rsidRPr="004279DC">
              <w:rPr>
                <w:rFonts w:ascii="Corbel" w:hAnsi="Corbel"/>
                <w:sz w:val="18"/>
                <w:szCs w:val="18"/>
                <w:lang w:val="en-US"/>
              </w:rPr>
              <w:t xml:space="preserve">, aiming at </w:t>
            </w:r>
            <w:r w:rsidRPr="004279DC">
              <w:rPr>
                <w:rFonts w:ascii="Corbel" w:hAnsi="Corbel"/>
                <w:b/>
                <w:sz w:val="18"/>
                <w:szCs w:val="18"/>
                <w:lang w:val="en-US"/>
              </w:rPr>
              <w:t>full employment and social progress,</w:t>
            </w:r>
            <w:r w:rsidRPr="004279DC">
              <w:rPr>
                <w:rFonts w:ascii="Corbel" w:hAnsi="Corbel"/>
                <w:sz w:val="18"/>
                <w:szCs w:val="18"/>
                <w:lang w:val="en-US"/>
              </w:rPr>
              <w:t xml:space="preserve"> and a </w:t>
            </w:r>
            <w:r w:rsidRPr="004279DC">
              <w:rPr>
                <w:rFonts w:ascii="Corbel" w:hAnsi="Corbel"/>
                <w:b/>
                <w:sz w:val="18"/>
                <w:szCs w:val="18"/>
                <w:lang w:val="en-US"/>
              </w:rPr>
              <w:t>high level of protection and improvement of the quality of the environment</w:t>
            </w:r>
            <w:r w:rsidRPr="004279DC">
              <w:rPr>
                <w:rFonts w:ascii="Corbel" w:hAnsi="Corbel"/>
                <w:sz w:val="18"/>
                <w:szCs w:val="18"/>
                <w:lang w:val="en-US"/>
              </w:rPr>
              <w:t>. It shall promote scientific and technological advance.</w:t>
            </w:r>
          </w:p>
          <w:p w14:paraId="5089AC06" w14:textId="77777777" w:rsidR="00042169" w:rsidRPr="004279DC" w:rsidRDefault="00042169" w:rsidP="004279DC">
            <w:pPr>
              <w:pStyle w:val="NormaleWeb"/>
              <w:jc w:val="both"/>
              <w:rPr>
                <w:rFonts w:ascii="Corbel" w:hAnsi="Corbel"/>
                <w:sz w:val="18"/>
                <w:szCs w:val="18"/>
                <w:lang w:val="en-US"/>
              </w:rPr>
            </w:pPr>
            <w:r w:rsidRPr="004279DC">
              <w:rPr>
                <w:rFonts w:ascii="Corbel" w:hAnsi="Corbel"/>
                <w:sz w:val="18"/>
                <w:szCs w:val="18"/>
                <w:lang w:val="en-US"/>
              </w:rPr>
              <w:t xml:space="preserve">It shall </w:t>
            </w:r>
            <w:r w:rsidRPr="004279DC">
              <w:rPr>
                <w:rFonts w:ascii="Corbel" w:hAnsi="Corbel"/>
                <w:b/>
                <w:sz w:val="18"/>
                <w:szCs w:val="18"/>
                <w:lang w:val="en-US"/>
              </w:rPr>
              <w:t>combat social exclusion and discrimination</w:t>
            </w:r>
            <w:r w:rsidRPr="004279DC">
              <w:rPr>
                <w:rFonts w:ascii="Corbel" w:hAnsi="Corbel"/>
                <w:sz w:val="18"/>
                <w:szCs w:val="18"/>
                <w:lang w:val="en-US"/>
              </w:rPr>
              <w:t xml:space="preserve">, and shall </w:t>
            </w:r>
            <w:r w:rsidRPr="004279DC">
              <w:rPr>
                <w:rFonts w:ascii="Corbel" w:hAnsi="Corbel"/>
                <w:b/>
                <w:sz w:val="18"/>
                <w:szCs w:val="18"/>
                <w:lang w:val="en-US"/>
              </w:rPr>
              <w:t>promote social justice and protection</w:t>
            </w:r>
            <w:r w:rsidRPr="004279DC">
              <w:rPr>
                <w:rFonts w:ascii="Corbel" w:hAnsi="Corbel"/>
                <w:sz w:val="18"/>
                <w:szCs w:val="18"/>
                <w:lang w:val="en-US"/>
              </w:rPr>
              <w:t xml:space="preserve">, </w:t>
            </w:r>
            <w:r w:rsidRPr="004279DC">
              <w:rPr>
                <w:rFonts w:ascii="Corbel" w:hAnsi="Corbel"/>
                <w:b/>
                <w:sz w:val="18"/>
                <w:szCs w:val="18"/>
                <w:lang w:val="en-US"/>
              </w:rPr>
              <w:t>equality between women and men</w:t>
            </w:r>
            <w:r w:rsidRPr="004279DC">
              <w:rPr>
                <w:rFonts w:ascii="Corbel" w:hAnsi="Corbel"/>
                <w:sz w:val="18"/>
                <w:szCs w:val="18"/>
                <w:lang w:val="en-US"/>
              </w:rPr>
              <w:t>, solidarity between generations and protection of the rights of the child.</w:t>
            </w:r>
          </w:p>
          <w:p w14:paraId="4C99337A" w14:textId="77777777" w:rsidR="00042169" w:rsidRPr="004279DC" w:rsidRDefault="00042169" w:rsidP="004279DC">
            <w:pPr>
              <w:pStyle w:val="NormaleWeb"/>
              <w:jc w:val="both"/>
              <w:rPr>
                <w:rFonts w:ascii="Corbel" w:hAnsi="Corbel"/>
                <w:sz w:val="18"/>
                <w:szCs w:val="18"/>
                <w:lang w:val="en-US"/>
              </w:rPr>
            </w:pPr>
            <w:r w:rsidRPr="004279DC">
              <w:rPr>
                <w:rFonts w:ascii="Corbel" w:hAnsi="Corbel"/>
                <w:sz w:val="18"/>
                <w:szCs w:val="18"/>
                <w:lang w:val="en-US"/>
              </w:rPr>
              <w:t xml:space="preserve">It shall promote </w:t>
            </w:r>
            <w:r w:rsidRPr="004279DC">
              <w:rPr>
                <w:rFonts w:ascii="Corbel" w:hAnsi="Corbel"/>
                <w:b/>
                <w:sz w:val="18"/>
                <w:szCs w:val="18"/>
                <w:lang w:val="en-US"/>
              </w:rPr>
              <w:t xml:space="preserve">economic, </w:t>
            </w:r>
            <w:proofErr w:type="gramStart"/>
            <w:r w:rsidRPr="004279DC">
              <w:rPr>
                <w:rFonts w:ascii="Corbel" w:hAnsi="Corbel"/>
                <w:b/>
                <w:sz w:val="18"/>
                <w:szCs w:val="18"/>
                <w:lang w:val="en-US"/>
              </w:rPr>
              <w:t>social</w:t>
            </w:r>
            <w:proofErr w:type="gramEnd"/>
            <w:r w:rsidRPr="004279DC">
              <w:rPr>
                <w:rFonts w:ascii="Corbel" w:hAnsi="Corbel"/>
                <w:b/>
                <w:sz w:val="18"/>
                <w:szCs w:val="18"/>
                <w:lang w:val="en-US"/>
              </w:rPr>
              <w:t xml:space="preserve"> and territorial cohesion</w:t>
            </w:r>
            <w:r w:rsidRPr="004279DC">
              <w:rPr>
                <w:rFonts w:ascii="Corbel" w:hAnsi="Corbel"/>
                <w:sz w:val="18"/>
                <w:szCs w:val="18"/>
                <w:lang w:val="en-US"/>
              </w:rPr>
              <w:t>, and solidarity among Member States.</w:t>
            </w:r>
          </w:p>
          <w:p w14:paraId="2C58AC3C" w14:textId="4FB2D13F" w:rsidR="00042169" w:rsidRPr="004279DC" w:rsidRDefault="00042169" w:rsidP="004279DC">
            <w:pPr>
              <w:pStyle w:val="NormaleWeb"/>
              <w:jc w:val="both"/>
              <w:rPr>
                <w:rFonts w:ascii="Corbel" w:hAnsi="Corbel"/>
                <w:sz w:val="18"/>
                <w:szCs w:val="18"/>
                <w:lang w:val="en-US"/>
              </w:rPr>
            </w:pPr>
            <w:r w:rsidRPr="004279DC">
              <w:rPr>
                <w:rFonts w:ascii="Corbel" w:hAnsi="Corbel"/>
                <w:sz w:val="18"/>
                <w:szCs w:val="18"/>
                <w:lang w:val="en-US"/>
              </w:rPr>
              <w:t xml:space="preserve">It shall </w:t>
            </w:r>
            <w:r w:rsidRPr="004279DC">
              <w:rPr>
                <w:rFonts w:ascii="Corbel" w:hAnsi="Corbel"/>
                <w:b/>
                <w:sz w:val="18"/>
                <w:szCs w:val="18"/>
                <w:lang w:val="en-US"/>
              </w:rPr>
              <w:t xml:space="preserve">respect its rich cultural and linguistic </w:t>
            </w:r>
            <w:r w:rsidR="004B5089" w:rsidRPr="004279DC">
              <w:rPr>
                <w:rFonts w:ascii="Corbel" w:hAnsi="Corbel"/>
                <w:b/>
                <w:sz w:val="18"/>
                <w:szCs w:val="18"/>
                <w:lang w:val="en-US"/>
              </w:rPr>
              <w:t>diversity</w:t>
            </w:r>
            <w:r w:rsidR="004B5089" w:rsidRPr="004279DC">
              <w:rPr>
                <w:rFonts w:ascii="Corbel" w:hAnsi="Corbel"/>
                <w:sz w:val="18"/>
                <w:szCs w:val="18"/>
                <w:lang w:val="en-US"/>
              </w:rPr>
              <w:t xml:space="preserve"> and</w:t>
            </w:r>
            <w:r w:rsidRPr="004279DC">
              <w:rPr>
                <w:rFonts w:ascii="Corbel" w:hAnsi="Corbel"/>
                <w:sz w:val="18"/>
                <w:szCs w:val="18"/>
                <w:lang w:val="en-US"/>
              </w:rPr>
              <w:t xml:space="preserve"> shall ensure that Europe's cultural heritage is safeguarded and enhanced.</w:t>
            </w:r>
          </w:p>
          <w:p w14:paraId="60D43643" w14:textId="77777777" w:rsidR="00042169" w:rsidRPr="004279DC" w:rsidRDefault="00042169" w:rsidP="004279DC">
            <w:pPr>
              <w:pStyle w:val="NormaleWeb"/>
              <w:jc w:val="both"/>
              <w:rPr>
                <w:rFonts w:ascii="Corbel" w:hAnsi="Corbel"/>
                <w:sz w:val="18"/>
                <w:szCs w:val="18"/>
                <w:lang w:val="en-US"/>
              </w:rPr>
            </w:pPr>
            <w:r w:rsidRPr="004279DC">
              <w:rPr>
                <w:rFonts w:ascii="Corbel" w:hAnsi="Corbel"/>
                <w:sz w:val="18"/>
                <w:szCs w:val="18"/>
                <w:lang w:val="en-US"/>
              </w:rPr>
              <w:t xml:space="preserve">4. The Union shall establish an </w:t>
            </w:r>
            <w:r w:rsidRPr="004279DC">
              <w:rPr>
                <w:rFonts w:ascii="Corbel" w:hAnsi="Corbel"/>
                <w:b/>
                <w:sz w:val="18"/>
                <w:szCs w:val="18"/>
                <w:lang w:val="en-US"/>
              </w:rPr>
              <w:t>economic and monetary union</w:t>
            </w:r>
            <w:r w:rsidRPr="004279DC">
              <w:rPr>
                <w:rFonts w:ascii="Corbel" w:hAnsi="Corbel"/>
                <w:sz w:val="18"/>
                <w:szCs w:val="18"/>
                <w:lang w:val="en-US"/>
              </w:rPr>
              <w:t xml:space="preserve"> whose currency is the euro.</w:t>
            </w:r>
          </w:p>
          <w:p w14:paraId="48329895" w14:textId="77777777" w:rsidR="00042169" w:rsidRPr="004279DC" w:rsidRDefault="00042169" w:rsidP="004279DC">
            <w:pPr>
              <w:pStyle w:val="NormaleWeb"/>
              <w:jc w:val="both"/>
              <w:rPr>
                <w:rFonts w:ascii="Corbel" w:hAnsi="Corbel"/>
                <w:sz w:val="18"/>
                <w:szCs w:val="18"/>
                <w:lang w:val="en-US"/>
              </w:rPr>
            </w:pPr>
            <w:r w:rsidRPr="004279DC">
              <w:rPr>
                <w:rFonts w:ascii="Corbel" w:hAnsi="Corbel"/>
                <w:sz w:val="18"/>
                <w:szCs w:val="18"/>
                <w:lang w:val="en-US"/>
              </w:rPr>
              <w:t>5. In its relations with the wider world, the Union shall uphold and</w:t>
            </w:r>
            <w:r w:rsidRPr="004279DC">
              <w:rPr>
                <w:rFonts w:ascii="Corbel" w:hAnsi="Corbel"/>
                <w:b/>
                <w:sz w:val="18"/>
                <w:szCs w:val="18"/>
                <w:lang w:val="en-US"/>
              </w:rPr>
              <w:t xml:space="preserve"> promote its values and interests</w:t>
            </w:r>
            <w:r w:rsidRPr="004279DC">
              <w:rPr>
                <w:rFonts w:ascii="Corbel" w:hAnsi="Corbel"/>
                <w:sz w:val="18"/>
                <w:szCs w:val="18"/>
                <w:lang w:val="en-US"/>
              </w:rPr>
              <w:t xml:space="preserve"> and contribute to the protection of its citizens. It shall contribute to peace, security, the sustainable development of the Earth, solidarity and mutual respect among peoples, free and fair trade, eradication of poverty and the protection of human rights, in particular the rights of the child, as well as to the strict observance and the development of international law, including respect for the principles of the United Nations Charter.</w:t>
            </w:r>
          </w:p>
          <w:p w14:paraId="2228664D" w14:textId="315BCE07" w:rsidR="00042169" w:rsidRPr="004279DC" w:rsidRDefault="00042169" w:rsidP="004279DC">
            <w:pPr>
              <w:pStyle w:val="NormaleWeb"/>
              <w:jc w:val="both"/>
              <w:rPr>
                <w:rFonts w:ascii="Corbel" w:hAnsi="Corbel"/>
                <w:sz w:val="18"/>
                <w:szCs w:val="18"/>
                <w:lang w:val="en-US"/>
              </w:rPr>
            </w:pPr>
            <w:r w:rsidRPr="004279DC">
              <w:rPr>
                <w:rFonts w:ascii="Corbel" w:hAnsi="Corbel"/>
                <w:sz w:val="18"/>
                <w:szCs w:val="18"/>
                <w:lang w:val="en-US"/>
              </w:rPr>
              <w:t>6. The Union shall pursue its objectives by appropriate means commensurate with the competences which are conferred upon it in the Treaties</w:t>
            </w:r>
            <w:r w:rsidR="004279DC">
              <w:rPr>
                <w:rFonts w:ascii="Corbel" w:hAnsi="Corbel"/>
                <w:sz w:val="18"/>
                <w:szCs w:val="18"/>
                <w:lang w:val="en-US"/>
              </w:rPr>
              <w:t>.</w:t>
            </w:r>
          </w:p>
        </w:tc>
      </w:tr>
    </w:tbl>
    <w:p w14:paraId="5CD3A07C" w14:textId="77777777" w:rsidR="00042169" w:rsidRPr="009722B3" w:rsidRDefault="00042169" w:rsidP="002F71BC">
      <w:pPr>
        <w:jc w:val="both"/>
        <w:rPr>
          <w:rFonts w:ascii="Corbel" w:hAnsi="Corbel"/>
          <w:bCs/>
          <w:iCs/>
          <w:lang w:val="en-US"/>
        </w:rPr>
      </w:pPr>
    </w:p>
    <w:p w14:paraId="32F74FD2" w14:textId="77777777" w:rsidR="00F63E83" w:rsidRPr="009722B3" w:rsidRDefault="00F63E83" w:rsidP="002F71BC">
      <w:pPr>
        <w:pStyle w:val="Paragrafoelenco"/>
        <w:numPr>
          <w:ilvl w:val="0"/>
          <w:numId w:val="1"/>
        </w:numPr>
        <w:spacing w:line="240" w:lineRule="auto"/>
        <w:jc w:val="both"/>
        <w:rPr>
          <w:rFonts w:ascii="Corbel" w:hAnsi="Corbel"/>
          <w:sz w:val="24"/>
          <w:szCs w:val="24"/>
          <w:lang w:val="en-US"/>
        </w:rPr>
      </w:pPr>
      <w:r w:rsidRPr="009722B3">
        <w:rPr>
          <w:rFonts w:ascii="Corbel" w:hAnsi="Corbel"/>
          <w:bCs/>
          <w:i/>
          <w:iCs/>
          <w:sz w:val="24"/>
          <w:szCs w:val="24"/>
          <w:lang w:val="en-US"/>
        </w:rPr>
        <w:t>The EU ten-year strategy</w:t>
      </w:r>
      <w:r w:rsidRPr="009722B3">
        <w:rPr>
          <w:rFonts w:ascii="Corbel" w:hAnsi="Corbel"/>
          <w:bCs/>
          <w:iCs/>
          <w:sz w:val="24"/>
          <w:szCs w:val="24"/>
          <w:lang w:val="en-US"/>
        </w:rPr>
        <w:t xml:space="preserve"> </w:t>
      </w:r>
    </w:p>
    <w:p w14:paraId="3DBFC2AE" w14:textId="4C704A91" w:rsidR="00042169" w:rsidRPr="004279DC" w:rsidRDefault="00F63E83" w:rsidP="002F71BC">
      <w:pPr>
        <w:jc w:val="both"/>
        <w:rPr>
          <w:rFonts w:ascii="Corbel" w:hAnsi="Corbel"/>
          <w:sz w:val="22"/>
          <w:szCs w:val="22"/>
          <w:lang w:val="en-US"/>
        </w:rPr>
      </w:pPr>
      <w:r w:rsidRPr="004279DC">
        <w:rPr>
          <w:rFonts w:ascii="Corbel" w:hAnsi="Corbel"/>
          <w:bCs/>
          <w:iCs/>
          <w:sz w:val="22"/>
          <w:szCs w:val="22"/>
          <w:lang w:val="en-US"/>
        </w:rPr>
        <w:t xml:space="preserve">It is a shared strategy between the EU and the member states </w:t>
      </w:r>
      <w:r w:rsidRPr="004279DC">
        <w:rPr>
          <w:rFonts w:ascii="Corbel" w:hAnsi="Corbel"/>
          <w:sz w:val="22"/>
          <w:szCs w:val="22"/>
          <w:lang w:val="en-US"/>
        </w:rPr>
        <w:t xml:space="preserve">designed to achieve a shared set of strategic objectives based on those laid down in the art. 3 of the </w:t>
      </w:r>
      <w:r w:rsidR="005166F2" w:rsidRPr="004279DC">
        <w:rPr>
          <w:rFonts w:ascii="Corbel" w:hAnsi="Corbel"/>
          <w:bCs/>
          <w:iCs/>
          <w:sz w:val="22"/>
          <w:szCs w:val="22"/>
          <w:lang w:val="en-US"/>
        </w:rPr>
        <w:t>Treaty of the European Union</w:t>
      </w:r>
      <w:r w:rsidRPr="004279DC">
        <w:rPr>
          <w:rFonts w:ascii="Corbel" w:hAnsi="Corbel"/>
          <w:sz w:val="22"/>
          <w:szCs w:val="22"/>
          <w:lang w:val="en-US"/>
        </w:rPr>
        <w:t>. The EU long term strategy includes priorities, objectives</w:t>
      </w:r>
      <w:r w:rsidR="0059264C" w:rsidRPr="004279DC">
        <w:rPr>
          <w:rFonts w:ascii="Corbel" w:hAnsi="Corbel"/>
          <w:sz w:val="22"/>
          <w:szCs w:val="22"/>
          <w:lang w:val="en-US"/>
        </w:rPr>
        <w:t>,</w:t>
      </w:r>
      <w:r w:rsidRPr="004279DC">
        <w:rPr>
          <w:rFonts w:ascii="Corbel" w:hAnsi="Corbel"/>
          <w:sz w:val="22"/>
          <w:szCs w:val="22"/>
          <w:lang w:val="en-US"/>
        </w:rPr>
        <w:t xml:space="preserve"> and targets to focus </w:t>
      </w:r>
      <w:r w:rsidR="0059264C" w:rsidRPr="004279DC">
        <w:rPr>
          <w:rFonts w:ascii="Corbel" w:hAnsi="Corbel"/>
          <w:sz w:val="22"/>
          <w:szCs w:val="22"/>
          <w:lang w:val="en-US"/>
        </w:rPr>
        <w:t xml:space="preserve">on </w:t>
      </w:r>
      <w:r w:rsidRPr="004279DC">
        <w:rPr>
          <w:rFonts w:ascii="Corbel" w:hAnsi="Corbel"/>
          <w:sz w:val="22"/>
          <w:szCs w:val="22"/>
          <w:lang w:val="en-US"/>
        </w:rPr>
        <w:t>EU and member states</w:t>
      </w:r>
      <w:r w:rsidR="0059264C" w:rsidRPr="004279DC">
        <w:rPr>
          <w:rFonts w:ascii="Corbel" w:hAnsi="Corbel"/>
          <w:sz w:val="22"/>
          <w:szCs w:val="22"/>
          <w:lang w:val="en-US"/>
        </w:rPr>
        <w:t>’</w:t>
      </w:r>
      <w:r w:rsidRPr="004279DC">
        <w:rPr>
          <w:rFonts w:ascii="Corbel" w:hAnsi="Corbel"/>
          <w:sz w:val="22"/>
          <w:szCs w:val="22"/>
          <w:lang w:val="en-US"/>
        </w:rPr>
        <w:t xml:space="preserve"> actions over </w:t>
      </w:r>
      <w:r w:rsidR="0059264C" w:rsidRPr="004279DC">
        <w:rPr>
          <w:rFonts w:ascii="Corbel" w:hAnsi="Corbel"/>
          <w:sz w:val="22"/>
          <w:szCs w:val="22"/>
          <w:lang w:val="en-US"/>
        </w:rPr>
        <w:t>ten-years</w:t>
      </w:r>
      <w:r w:rsidR="004279DC" w:rsidRPr="004279DC">
        <w:rPr>
          <w:rFonts w:ascii="Corbel" w:hAnsi="Corbel"/>
          <w:sz w:val="22"/>
          <w:szCs w:val="22"/>
          <w:lang w:val="en-US"/>
        </w:rPr>
        <w:t xml:space="preserve"> (table 1)</w:t>
      </w:r>
      <w:r w:rsidR="0059264C" w:rsidRPr="004279DC">
        <w:rPr>
          <w:rFonts w:ascii="Corbel" w:hAnsi="Corbel"/>
          <w:sz w:val="22"/>
          <w:szCs w:val="22"/>
          <w:lang w:val="en-US"/>
        </w:rPr>
        <w:t>.</w:t>
      </w:r>
      <w:r w:rsidRPr="004279DC">
        <w:rPr>
          <w:rFonts w:ascii="Corbel" w:hAnsi="Corbel"/>
          <w:sz w:val="22"/>
          <w:szCs w:val="22"/>
          <w:lang w:val="en-US"/>
        </w:rPr>
        <w:t xml:space="preserve"> The first long-term strategy, known as</w:t>
      </w:r>
      <w:r w:rsidR="0059264C" w:rsidRPr="004279DC">
        <w:rPr>
          <w:rFonts w:ascii="Corbel" w:hAnsi="Corbel"/>
          <w:sz w:val="22"/>
          <w:szCs w:val="22"/>
          <w:lang w:val="en-US"/>
        </w:rPr>
        <w:t xml:space="preserve"> the</w:t>
      </w:r>
      <w:r w:rsidRPr="004279DC">
        <w:rPr>
          <w:rFonts w:ascii="Corbel" w:hAnsi="Corbel"/>
          <w:sz w:val="22"/>
          <w:szCs w:val="22"/>
          <w:lang w:val="en-US"/>
        </w:rPr>
        <w:t xml:space="preserve"> Lisbon strategy, covered a period of ten years from 2000 to 2010 with a mid-term review in 2005. It was based on three priorities (economy, social protection</w:t>
      </w:r>
      <w:r w:rsidR="0059264C" w:rsidRPr="004279DC">
        <w:rPr>
          <w:rFonts w:ascii="Corbel" w:hAnsi="Corbel"/>
          <w:sz w:val="22"/>
          <w:szCs w:val="22"/>
          <w:lang w:val="en-US"/>
        </w:rPr>
        <w:t>,</w:t>
      </w:r>
      <w:r w:rsidRPr="004279DC">
        <w:rPr>
          <w:rFonts w:ascii="Corbel" w:hAnsi="Corbel"/>
          <w:sz w:val="22"/>
          <w:szCs w:val="22"/>
          <w:lang w:val="en-US"/>
        </w:rPr>
        <w:t xml:space="preserve"> and environment) as well as equipped with clear objectives and indicators. At the end of 2010, a new long-term strategy known as Europe 2020 was launched covering the period 2010 – 2020, having a similar format, including three priorities, five thematic areas, eight targets monitored by nine headline indicators (and sub-indicators) as well as seven flagship initiatives.  </w:t>
      </w:r>
    </w:p>
    <w:p w14:paraId="28C7AAB6" w14:textId="77777777" w:rsidR="00042169" w:rsidRPr="009722B3" w:rsidRDefault="00042169" w:rsidP="002F71BC">
      <w:pPr>
        <w:jc w:val="both"/>
        <w:rPr>
          <w:rFonts w:ascii="Corbel" w:hAnsi="Corbel"/>
          <w:lang w:val="en-US"/>
        </w:rPr>
      </w:pPr>
    </w:p>
    <w:p w14:paraId="1E18F327" w14:textId="0412F909" w:rsidR="00042169" w:rsidRPr="004279DC" w:rsidRDefault="00042169" w:rsidP="004279DC">
      <w:pPr>
        <w:pStyle w:val="Didascalia"/>
        <w:jc w:val="both"/>
        <w:rPr>
          <w:rFonts w:ascii="Corbel" w:hAnsi="Corbel"/>
          <w:b/>
          <w:bCs/>
          <w:lang w:val="en-US"/>
        </w:rPr>
      </w:pPr>
      <w:r w:rsidRPr="004279DC">
        <w:rPr>
          <w:rFonts w:ascii="Corbel" w:hAnsi="Corbel"/>
          <w:b/>
          <w:bCs/>
          <w:lang w:val="en-US"/>
        </w:rPr>
        <w:t xml:space="preserve">Table </w:t>
      </w:r>
      <w:r w:rsidR="004279DC">
        <w:rPr>
          <w:rFonts w:ascii="Corbel" w:hAnsi="Corbel"/>
          <w:b/>
          <w:bCs/>
          <w:lang w:val="en-US"/>
        </w:rPr>
        <w:t>1</w:t>
      </w:r>
      <w:r w:rsidRPr="004279DC">
        <w:rPr>
          <w:rFonts w:ascii="Corbel" w:hAnsi="Corbel"/>
          <w:b/>
          <w:bCs/>
          <w:lang w:val="en-US"/>
        </w:rPr>
        <w:t xml:space="preserve"> – Priorities of the Europe 2020 strategy</w:t>
      </w:r>
      <w:r w:rsidR="00B04D80" w:rsidRPr="004279DC">
        <w:rPr>
          <w:rFonts w:ascii="Corbel" w:hAnsi="Corbel"/>
          <w:b/>
          <w:bCs/>
          <w:lang w:val="en-US"/>
        </w:rPr>
        <w:t xml:space="preserve"> vs General objectives (art. 3 TEU)</w:t>
      </w: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9"/>
        <w:gridCol w:w="1368"/>
        <w:gridCol w:w="2742"/>
        <w:gridCol w:w="2410"/>
        <w:gridCol w:w="2082"/>
      </w:tblGrid>
      <w:tr w:rsidR="00B04D80" w:rsidRPr="009722B3" w14:paraId="0AEDCC47" w14:textId="77777777" w:rsidTr="00330F17">
        <w:trPr>
          <w:trHeight w:val="309"/>
        </w:trPr>
        <w:tc>
          <w:tcPr>
            <w:tcW w:w="7645" w:type="dxa"/>
            <w:gridSpan w:val="4"/>
            <w:shd w:val="clear" w:color="auto" w:fill="auto"/>
            <w:noWrap/>
            <w:vAlign w:val="bottom"/>
            <w:hideMark/>
          </w:tcPr>
          <w:p w14:paraId="77280E81" w14:textId="77777777" w:rsidR="00B04D80" w:rsidRPr="009722B3" w:rsidRDefault="00B04D80" w:rsidP="002F71BC">
            <w:pPr>
              <w:jc w:val="center"/>
              <w:rPr>
                <w:rFonts w:ascii="Corbel" w:hAnsi="Corbel" w:cs="Calibri"/>
                <w:b/>
                <w:bCs/>
                <w:color w:val="000000"/>
                <w:sz w:val="20"/>
                <w:szCs w:val="20"/>
                <w:lang w:val="en-GB"/>
              </w:rPr>
            </w:pPr>
            <w:r w:rsidRPr="009722B3">
              <w:rPr>
                <w:rFonts w:ascii="Corbel" w:hAnsi="Corbel" w:cs="Calibri"/>
                <w:b/>
                <w:bCs/>
                <w:color w:val="000000"/>
                <w:sz w:val="20"/>
                <w:szCs w:val="20"/>
                <w:lang w:val="en-GB"/>
              </w:rPr>
              <w:t>Europe 2020 Strategy (2010 - 2020)</w:t>
            </w:r>
          </w:p>
        </w:tc>
        <w:tc>
          <w:tcPr>
            <w:tcW w:w="2126" w:type="dxa"/>
            <w:vMerge w:val="restart"/>
            <w:shd w:val="clear" w:color="auto" w:fill="auto"/>
            <w:vAlign w:val="center"/>
          </w:tcPr>
          <w:p w14:paraId="3E34CEC9" w14:textId="08DD85EF" w:rsidR="00B04D80" w:rsidRPr="009722B3" w:rsidRDefault="00B04D80" w:rsidP="002F71BC">
            <w:pPr>
              <w:jc w:val="center"/>
              <w:rPr>
                <w:rFonts w:ascii="Corbel" w:hAnsi="Corbel" w:cs="Calibri"/>
                <w:b/>
                <w:bCs/>
                <w:color w:val="000000"/>
                <w:sz w:val="20"/>
                <w:szCs w:val="20"/>
                <w:lang w:val="en-GB"/>
              </w:rPr>
            </w:pPr>
            <w:r w:rsidRPr="009722B3">
              <w:rPr>
                <w:rFonts w:ascii="Corbel" w:hAnsi="Corbel" w:cs="Calibri"/>
                <w:b/>
                <w:bCs/>
                <w:color w:val="000000"/>
                <w:sz w:val="20"/>
                <w:szCs w:val="20"/>
                <w:lang w:val="en-GB"/>
              </w:rPr>
              <w:t>General objectives (art. 3 TUE)</w:t>
            </w:r>
          </w:p>
        </w:tc>
      </w:tr>
      <w:tr w:rsidR="00B04D80" w:rsidRPr="009722B3" w14:paraId="4B5237DB" w14:textId="77777777" w:rsidTr="00330F17">
        <w:trPr>
          <w:trHeight w:val="291"/>
        </w:trPr>
        <w:tc>
          <w:tcPr>
            <w:tcW w:w="1169" w:type="dxa"/>
            <w:shd w:val="clear" w:color="auto" w:fill="auto"/>
            <w:noWrap/>
            <w:vAlign w:val="bottom"/>
            <w:hideMark/>
          </w:tcPr>
          <w:p w14:paraId="5FC27417" w14:textId="77777777" w:rsidR="00B04D80" w:rsidRPr="009722B3" w:rsidRDefault="00B04D80" w:rsidP="002F71BC">
            <w:pPr>
              <w:jc w:val="center"/>
              <w:rPr>
                <w:rFonts w:ascii="Corbel" w:hAnsi="Corbel" w:cs="Calibri"/>
                <w:b/>
                <w:bCs/>
                <w:color w:val="000000"/>
                <w:sz w:val="20"/>
                <w:szCs w:val="20"/>
                <w:lang w:val="en-GB"/>
              </w:rPr>
            </w:pPr>
            <w:r w:rsidRPr="009722B3">
              <w:rPr>
                <w:rFonts w:ascii="Corbel" w:hAnsi="Corbel" w:cs="Calibri"/>
                <w:b/>
                <w:bCs/>
                <w:color w:val="000000"/>
                <w:sz w:val="20"/>
                <w:szCs w:val="20"/>
                <w:lang w:val="en-GB"/>
              </w:rPr>
              <w:t>Priorities</w:t>
            </w:r>
          </w:p>
        </w:tc>
        <w:tc>
          <w:tcPr>
            <w:tcW w:w="1324" w:type="dxa"/>
            <w:shd w:val="clear" w:color="auto" w:fill="auto"/>
            <w:noWrap/>
            <w:vAlign w:val="bottom"/>
            <w:hideMark/>
          </w:tcPr>
          <w:p w14:paraId="41EC8E51" w14:textId="77777777" w:rsidR="00B04D80" w:rsidRPr="009722B3" w:rsidRDefault="00B04D80" w:rsidP="002F71BC">
            <w:pPr>
              <w:jc w:val="center"/>
              <w:rPr>
                <w:rFonts w:ascii="Corbel" w:hAnsi="Corbel" w:cs="Calibri"/>
                <w:b/>
                <w:bCs/>
                <w:color w:val="000000"/>
                <w:sz w:val="20"/>
                <w:szCs w:val="20"/>
                <w:lang w:val="en-GB"/>
              </w:rPr>
            </w:pPr>
            <w:r w:rsidRPr="009722B3">
              <w:rPr>
                <w:rFonts w:ascii="Corbel" w:hAnsi="Corbel" w:cs="Calibri"/>
                <w:b/>
                <w:bCs/>
                <w:color w:val="000000"/>
                <w:sz w:val="20"/>
                <w:szCs w:val="20"/>
                <w:lang w:val="en-GB"/>
              </w:rPr>
              <w:t>Thematic Areas</w:t>
            </w:r>
          </w:p>
        </w:tc>
        <w:tc>
          <w:tcPr>
            <w:tcW w:w="2742" w:type="dxa"/>
            <w:shd w:val="clear" w:color="auto" w:fill="auto"/>
            <w:noWrap/>
            <w:vAlign w:val="bottom"/>
            <w:hideMark/>
          </w:tcPr>
          <w:p w14:paraId="2B1C8BD9" w14:textId="77777777" w:rsidR="00B04D80" w:rsidRPr="009722B3" w:rsidRDefault="00B04D80" w:rsidP="002F71BC">
            <w:pPr>
              <w:jc w:val="center"/>
              <w:rPr>
                <w:rFonts w:ascii="Corbel" w:hAnsi="Corbel" w:cs="Calibri"/>
                <w:b/>
                <w:bCs/>
                <w:color w:val="000000"/>
                <w:sz w:val="20"/>
                <w:szCs w:val="20"/>
                <w:lang w:val="en-GB"/>
              </w:rPr>
            </w:pPr>
            <w:r w:rsidRPr="009722B3">
              <w:rPr>
                <w:rFonts w:ascii="Corbel" w:hAnsi="Corbel" w:cs="Calibri"/>
                <w:b/>
                <w:bCs/>
                <w:color w:val="000000"/>
                <w:sz w:val="20"/>
                <w:szCs w:val="20"/>
                <w:lang w:val="en-GB"/>
              </w:rPr>
              <w:t xml:space="preserve">Targets </w:t>
            </w:r>
          </w:p>
        </w:tc>
        <w:tc>
          <w:tcPr>
            <w:tcW w:w="2410" w:type="dxa"/>
            <w:shd w:val="clear" w:color="auto" w:fill="auto"/>
            <w:noWrap/>
            <w:vAlign w:val="bottom"/>
            <w:hideMark/>
          </w:tcPr>
          <w:p w14:paraId="012DD62F" w14:textId="77777777" w:rsidR="00B04D80" w:rsidRPr="009722B3" w:rsidRDefault="00B04D80" w:rsidP="002F71BC">
            <w:pPr>
              <w:jc w:val="center"/>
              <w:rPr>
                <w:rFonts w:ascii="Corbel" w:hAnsi="Corbel" w:cs="Calibri"/>
                <w:b/>
                <w:bCs/>
                <w:color w:val="000000"/>
                <w:sz w:val="20"/>
                <w:szCs w:val="20"/>
                <w:lang w:val="en-GB"/>
              </w:rPr>
            </w:pPr>
            <w:r w:rsidRPr="009722B3">
              <w:rPr>
                <w:rFonts w:ascii="Corbel" w:hAnsi="Corbel" w:cs="Calibri"/>
                <w:b/>
                <w:bCs/>
                <w:color w:val="000000"/>
                <w:sz w:val="20"/>
                <w:szCs w:val="20"/>
                <w:lang w:val="en-GB"/>
              </w:rPr>
              <w:t>Headline Indicators</w:t>
            </w:r>
          </w:p>
        </w:tc>
        <w:tc>
          <w:tcPr>
            <w:tcW w:w="2126" w:type="dxa"/>
            <w:vMerge/>
            <w:shd w:val="clear" w:color="auto" w:fill="auto"/>
            <w:noWrap/>
            <w:vAlign w:val="bottom"/>
            <w:hideMark/>
          </w:tcPr>
          <w:p w14:paraId="567E6E16" w14:textId="004F9A42" w:rsidR="00B04D80" w:rsidRPr="009722B3" w:rsidRDefault="00B04D80" w:rsidP="002F71BC">
            <w:pPr>
              <w:jc w:val="center"/>
              <w:rPr>
                <w:rFonts w:ascii="Corbel" w:hAnsi="Corbel" w:cs="Calibri"/>
                <w:b/>
                <w:bCs/>
                <w:color w:val="000000"/>
                <w:sz w:val="20"/>
                <w:szCs w:val="20"/>
                <w:highlight w:val="yellow"/>
                <w:lang w:val="en-GB"/>
              </w:rPr>
            </w:pPr>
          </w:p>
        </w:tc>
      </w:tr>
      <w:tr w:rsidR="00042169" w:rsidRPr="009722B3" w14:paraId="7DEAA66E" w14:textId="77777777" w:rsidTr="00330F17">
        <w:trPr>
          <w:trHeight w:val="382"/>
        </w:trPr>
        <w:tc>
          <w:tcPr>
            <w:tcW w:w="1169" w:type="dxa"/>
            <w:vMerge w:val="restart"/>
            <w:shd w:val="clear" w:color="auto" w:fill="auto"/>
            <w:vAlign w:val="center"/>
            <w:hideMark/>
          </w:tcPr>
          <w:p w14:paraId="1E10A9C1" w14:textId="77777777" w:rsidR="00042169" w:rsidRPr="009722B3" w:rsidRDefault="00042169" w:rsidP="002F71BC">
            <w:pPr>
              <w:rPr>
                <w:rFonts w:ascii="Corbel" w:hAnsi="Corbel" w:cs="Calibri"/>
                <w:color w:val="000000"/>
                <w:sz w:val="20"/>
                <w:szCs w:val="20"/>
                <w:u w:val="single"/>
                <w:lang w:val="en-GB"/>
              </w:rPr>
            </w:pPr>
            <w:r w:rsidRPr="009722B3">
              <w:rPr>
                <w:rFonts w:ascii="Corbel" w:hAnsi="Corbel" w:cs="Calibri"/>
                <w:color w:val="000000"/>
                <w:sz w:val="20"/>
                <w:szCs w:val="20"/>
                <w:u w:val="single"/>
                <w:lang w:val="en-GB"/>
              </w:rPr>
              <w:lastRenderedPageBreak/>
              <w:t>1. Smart Growth</w:t>
            </w:r>
          </w:p>
        </w:tc>
        <w:tc>
          <w:tcPr>
            <w:tcW w:w="1324" w:type="dxa"/>
            <w:shd w:val="clear" w:color="auto" w:fill="auto"/>
            <w:vAlign w:val="center"/>
            <w:hideMark/>
          </w:tcPr>
          <w:p w14:paraId="004D0F02" w14:textId="77777777" w:rsidR="00042169" w:rsidRPr="009722B3" w:rsidRDefault="00042169" w:rsidP="002F71BC">
            <w:pPr>
              <w:rPr>
                <w:rFonts w:ascii="Corbel" w:hAnsi="Corbel" w:cs="Calibri"/>
                <w:color w:val="000000"/>
                <w:sz w:val="20"/>
                <w:szCs w:val="20"/>
                <w:lang w:val="en-GB"/>
              </w:rPr>
            </w:pPr>
            <w:r w:rsidRPr="009722B3">
              <w:rPr>
                <w:rFonts w:ascii="Corbel" w:hAnsi="Corbel" w:cs="Calibri"/>
                <w:color w:val="000000"/>
                <w:sz w:val="20"/>
                <w:szCs w:val="20"/>
                <w:lang w:val="en-GB"/>
              </w:rPr>
              <w:t>1. R&amp;D and innovation</w:t>
            </w:r>
          </w:p>
        </w:tc>
        <w:tc>
          <w:tcPr>
            <w:tcW w:w="2742" w:type="dxa"/>
            <w:shd w:val="clear" w:color="auto" w:fill="auto"/>
            <w:vAlign w:val="center"/>
            <w:hideMark/>
          </w:tcPr>
          <w:p w14:paraId="2745748E" w14:textId="77777777" w:rsidR="00042169" w:rsidRPr="009722B3" w:rsidRDefault="00042169" w:rsidP="002F71BC">
            <w:pPr>
              <w:rPr>
                <w:rFonts w:ascii="Corbel" w:hAnsi="Corbel" w:cs="Calibri"/>
                <w:color w:val="000000"/>
                <w:sz w:val="20"/>
                <w:szCs w:val="20"/>
                <w:lang w:val="en-GB"/>
              </w:rPr>
            </w:pPr>
            <w:r w:rsidRPr="009722B3">
              <w:rPr>
                <w:rFonts w:ascii="Corbel" w:hAnsi="Corbel" w:cs="Calibri"/>
                <w:color w:val="000000"/>
                <w:sz w:val="20"/>
                <w:szCs w:val="20"/>
                <w:lang w:val="en-GB"/>
              </w:rPr>
              <w:t>1.Increasing combined public and private investment in R&amp;D to 3 % of GDP</w:t>
            </w:r>
          </w:p>
        </w:tc>
        <w:tc>
          <w:tcPr>
            <w:tcW w:w="2410" w:type="dxa"/>
            <w:shd w:val="clear" w:color="auto" w:fill="auto"/>
            <w:vAlign w:val="center"/>
            <w:hideMark/>
          </w:tcPr>
          <w:p w14:paraId="2E95213D" w14:textId="77777777" w:rsidR="00042169" w:rsidRPr="009722B3" w:rsidRDefault="00042169" w:rsidP="002F71BC">
            <w:pPr>
              <w:rPr>
                <w:rFonts w:ascii="Corbel" w:hAnsi="Corbel" w:cs="Calibri"/>
                <w:color w:val="000000"/>
                <w:sz w:val="20"/>
                <w:szCs w:val="20"/>
                <w:lang w:val="en-GB"/>
              </w:rPr>
            </w:pPr>
            <w:r w:rsidRPr="009722B3">
              <w:rPr>
                <w:rFonts w:ascii="Corbel" w:hAnsi="Corbel" w:cs="Calibri"/>
                <w:color w:val="000000"/>
                <w:sz w:val="20"/>
                <w:szCs w:val="20"/>
                <w:lang w:val="en-GB"/>
              </w:rPr>
              <w:t>1.Gross domestic expenditure on R&amp;D (% of GDP)</w:t>
            </w:r>
          </w:p>
        </w:tc>
        <w:tc>
          <w:tcPr>
            <w:tcW w:w="2126" w:type="dxa"/>
            <w:shd w:val="clear" w:color="auto" w:fill="auto"/>
            <w:vAlign w:val="center"/>
            <w:hideMark/>
          </w:tcPr>
          <w:p w14:paraId="2A28E51F" w14:textId="721D7DF3" w:rsidR="00042169" w:rsidRPr="009722B3" w:rsidRDefault="00B04D80" w:rsidP="002F71BC">
            <w:pPr>
              <w:rPr>
                <w:rFonts w:ascii="Corbel" w:hAnsi="Corbel" w:cs="Calibri"/>
                <w:color w:val="000000"/>
                <w:sz w:val="20"/>
                <w:szCs w:val="20"/>
                <w:lang w:val="en-GB"/>
              </w:rPr>
            </w:pPr>
            <w:r w:rsidRPr="009722B3">
              <w:rPr>
                <w:rFonts w:ascii="Corbel" w:hAnsi="Corbel" w:cs="Calibri"/>
                <w:color w:val="000000"/>
                <w:sz w:val="20"/>
                <w:szCs w:val="20"/>
                <w:lang w:val="en-GB"/>
              </w:rPr>
              <w:t>[…] highly competitive social market economy […] (art. 3.3)</w:t>
            </w:r>
          </w:p>
        </w:tc>
      </w:tr>
      <w:tr w:rsidR="00B04D80" w:rsidRPr="009722B3" w14:paraId="5D815E61" w14:textId="77777777" w:rsidTr="00330F17">
        <w:trPr>
          <w:trHeight w:val="519"/>
        </w:trPr>
        <w:tc>
          <w:tcPr>
            <w:tcW w:w="1169" w:type="dxa"/>
            <w:vMerge/>
            <w:vAlign w:val="center"/>
            <w:hideMark/>
          </w:tcPr>
          <w:p w14:paraId="2DFFD7CD" w14:textId="77777777" w:rsidR="00B04D80" w:rsidRPr="009722B3" w:rsidRDefault="00B04D80" w:rsidP="002F71BC">
            <w:pPr>
              <w:rPr>
                <w:rFonts w:ascii="Corbel" w:hAnsi="Corbel" w:cs="Calibri"/>
                <w:color w:val="000000"/>
                <w:sz w:val="20"/>
                <w:szCs w:val="20"/>
                <w:u w:val="single"/>
                <w:lang w:val="en-GB"/>
              </w:rPr>
            </w:pPr>
          </w:p>
        </w:tc>
        <w:tc>
          <w:tcPr>
            <w:tcW w:w="1324" w:type="dxa"/>
            <w:vMerge w:val="restart"/>
            <w:shd w:val="clear" w:color="auto" w:fill="auto"/>
            <w:vAlign w:val="center"/>
            <w:hideMark/>
          </w:tcPr>
          <w:p w14:paraId="4B06A778" w14:textId="77777777" w:rsidR="00B04D80" w:rsidRPr="009722B3" w:rsidRDefault="00B04D80" w:rsidP="002F71BC">
            <w:pPr>
              <w:rPr>
                <w:rFonts w:ascii="Corbel" w:hAnsi="Corbel" w:cs="Calibri"/>
                <w:color w:val="000000"/>
                <w:sz w:val="20"/>
                <w:szCs w:val="20"/>
                <w:lang w:val="en-GB"/>
              </w:rPr>
            </w:pPr>
            <w:r w:rsidRPr="009722B3">
              <w:rPr>
                <w:rFonts w:ascii="Corbel" w:hAnsi="Corbel" w:cs="Calibri"/>
                <w:color w:val="000000"/>
                <w:sz w:val="20"/>
                <w:szCs w:val="20"/>
                <w:lang w:val="en-GB"/>
              </w:rPr>
              <w:t>2.Education</w:t>
            </w:r>
          </w:p>
        </w:tc>
        <w:tc>
          <w:tcPr>
            <w:tcW w:w="2742" w:type="dxa"/>
            <w:shd w:val="clear" w:color="auto" w:fill="auto"/>
            <w:vAlign w:val="center"/>
            <w:hideMark/>
          </w:tcPr>
          <w:p w14:paraId="595371D2" w14:textId="77777777" w:rsidR="00B04D80" w:rsidRPr="009722B3" w:rsidRDefault="00B04D80" w:rsidP="002F71BC">
            <w:pPr>
              <w:rPr>
                <w:rFonts w:ascii="Corbel" w:hAnsi="Corbel" w:cs="Calibri"/>
                <w:color w:val="000000"/>
                <w:sz w:val="20"/>
                <w:szCs w:val="20"/>
                <w:lang w:val="en-GB"/>
              </w:rPr>
            </w:pPr>
            <w:r w:rsidRPr="009722B3">
              <w:rPr>
                <w:rFonts w:ascii="Corbel" w:hAnsi="Corbel" w:cs="Calibri"/>
                <w:color w:val="000000"/>
                <w:sz w:val="20"/>
                <w:szCs w:val="20"/>
                <w:lang w:val="en-GB"/>
              </w:rPr>
              <w:t>2.Reducing school drop-out rates to less than 10%</w:t>
            </w:r>
          </w:p>
        </w:tc>
        <w:tc>
          <w:tcPr>
            <w:tcW w:w="2410" w:type="dxa"/>
            <w:shd w:val="clear" w:color="auto" w:fill="auto"/>
            <w:vAlign w:val="center"/>
            <w:hideMark/>
          </w:tcPr>
          <w:p w14:paraId="71426D36" w14:textId="77777777" w:rsidR="00B04D80" w:rsidRPr="009722B3" w:rsidRDefault="00B04D80" w:rsidP="002F71BC">
            <w:pPr>
              <w:rPr>
                <w:rFonts w:ascii="Corbel" w:hAnsi="Corbel" w:cs="Calibri"/>
                <w:color w:val="000000"/>
                <w:sz w:val="20"/>
                <w:szCs w:val="20"/>
                <w:lang w:val="en-GB"/>
              </w:rPr>
            </w:pPr>
            <w:r w:rsidRPr="009722B3">
              <w:rPr>
                <w:rFonts w:ascii="Corbel" w:hAnsi="Corbel" w:cs="Calibri"/>
                <w:color w:val="000000"/>
                <w:sz w:val="20"/>
                <w:szCs w:val="20"/>
                <w:lang w:val="en-GB"/>
              </w:rPr>
              <w:t>2.Early leavers from education and training, total (3) (% of population aged 18–24)</w:t>
            </w:r>
          </w:p>
        </w:tc>
        <w:tc>
          <w:tcPr>
            <w:tcW w:w="2126" w:type="dxa"/>
            <w:vMerge w:val="restart"/>
            <w:shd w:val="clear" w:color="auto" w:fill="auto"/>
            <w:vAlign w:val="center"/>
            <w:hideMark/>
          </w:tcPr>
          <w:p w14:paraId="1C64AE59" w14:textId="00EF29A6" w:rsidR="00B04D80" w:rsidRPr="009722B3" w:rsidRDefault="00B04D80" w:rsidP="002F71BC">
            <w:pPr>
              <w:rPr>
                <w:rFonts w:ascii="Corbel" w:hAnsi="Corbel" w:cs="Calibri"/>
                <w:color w:val="000000"/>
                <w:sz w:val="20"/>
                <w:szCs w:val="20"/>
                <w:lang w:val="en-GB"/>
              </w:rPr>
            </w:pPr>
            <w:r w:rsidRPr="009722B3">
              <w:rPr>
                <w:rFonts w:ascii="Corbel" w:hAnsi="Corbel" w:cs="Calibri"/>
                <w:color w:val="000000"/>
                <w:sz w:val="20"/>
                <w:szCs w:val="20"/>
                <w:lang w:val="en-GB"/>
              </w:rPr>
              <w:t>[…] combat social exclusion and discrimination […] (art. 3.3)</w:t>
            </w:r>
          </w:p>
        </w:tc>
      </w:tr>
      <w:tr w:rsidR="00B04D80" w:rsidRPr="009722B3" w14:paraId="14E7B27B" w14:textId="77777777" w:rsidTr="00330F17">
        <w:trPr>
          <w:trHeight w:val="658"/>
        </w:trPr>
        <w:tc>
          <w:tcPr>
            <w:tcW w:w="1169" w:type="dxa"/>
            <w:vMerge/>
            <w:vAlign w:val="center"/>
            <w:hideMark/>
          </w:tcPr>
          <w:p w14:paraId="470E851B" w14:textId="77777777" w:rsidR="00B04D80" w:rsidRPr="009722B3" w:rsidRDefault="00B04D80" w:rsidP="002F71BC">
            <w:pPr>
              <w:rPr>
                <w:rFonts w:ascii="Corbel" w:hAnsi="Corbel" w:cs="Calibri"/>
                <w:color w:val="000000"/>
                <w:sz w:val="20"/>
                <w:szCs w:val="20"/>
                <w:u w:val="single"/>
                <w:lang w:val="en-GB"/>
              </w:rPr>
            </w:pPr>
          </w:p>
        </w:tc>
        <w:tc>
          <w:tcPr>
            <w:tcW w:w="1324" w:type="dxa"/>
            <w:vMerge/>
            <w:vAlign w:val="center"/>
            <w:hideMark/>
          </w:tcPr>
          <w:p w14:paraId="13153CCB" w14:textId="77777777" w:rsidR="00B04D80" w:rsidRPr="009722B3" w:rsidRDefault="00B04D80" w:rsidP="002F71BC">
            <w:pPr>
              <w:rPr>
                <w:rFonts w:ascii="Corbel" w:hAnsi="Corbel" w:cs="Calibri"/>
                <w:color w:val="000000"/>
                <w:sz w:val="20"/>
                <w:szCs w:val="20"/>
                <w:lang w:val="en-GB"/>
              </w:rPr>
            </w:pPr>
          </w:p>
        </w:tc>
        <w:tc>
          <w:tcPr>
            <w:tcW w:w="2742" w:type="dxa"/>
            <w:shd w:val="clear" w:color="auto" w:fill="auto"/>
            <w:vAlign w:val="center"/>
            <w:hideMark/>
          </w:tcPr>
          <w:p w14:paraId="30CA0560" w14:textId="77777777" w:rsidR="00B04D80" w:rsidRPr="009722B3" w:rsidRDefault="00B04D80" w:rsidP="002F71BC">
            <w:pPr>
              <w:rPr>
                <w:rFonts w:ascii="Corbel" w:hAnsi="Corbel" w:cs="Calibri"/>
                <w:color w:val="000000"/>
                <w:sz w:val="20"/>
                <w:szCs w:val="20"/>
                <w:lang w:val="en-GB"/>
              </w:rPr>
            </w:pPr>
            <w:r w:rsidRPr="009722B3">
              <w:rPr>
                <w:rFonts w:ascii="Corbel" w:hAnsi="Corbel" w:cs="Calibri"/>
                <w:color w:val="000000"/>
                <w:sz w:val="20"/>
                <w:szCs w:val="20"/>
                <w:lang w:val="en-GB"/>
              </w:rPr>
              <w:t>3.Increasing the share of the population aged 30–34 having completed tertiary education to at least 40 %</w:t>
            </w:r>
          </w:p>
        </w:tc>
        <w:tc>
          <w:tcPr>
            <w:tcW w:w="2410" w:type="dxa"/>
            <w:shd w:val="clear" w:color="auto" w:fill="auto"/>
            <w:vAlign w:val="center"/>
            <w:hideMark/>
          </w:tcPr>
          <w:p w14:paraId="513CEE3E" w14:textId="77777777" w:rsidR="00B04D80" w:rsidRPr="009722B3" w:rsidRDefault="00B04D80" w:rsidP="002F71BC">
            <w:pPr>
              <w:rPr>
                <w:rFonts w:ascii="Corbel" w:hAnsi="Corbel" w:cs="Calibri"/>
                <w:color w:val="000000"/>
                <w:sz w:val="20"/>
                <w:szCs w:val="20"/>
                <w:lang w:val="en-GB"/>
              </w:rPr>
            </w:pPr>
            <w:r w:rsidRPr="009722B3">
              <w:rPr>
                <w:rFonts w:ascii="Corbel" w:hAnsi="Corbel" w:cs="Calibri"/>
                <w:color w:val="000000"/>
                <w:sz w:val="20"/>
                <w:szCs w:val="20"/>
                <w:lang w:val="en-GB"/>
              </w:rPr>
              <w:t>3.Tertiary educational attainment, total (3) (% of population aged 30–34)</w:t>
            </w:r>
          </w:p>
        </w:tc>
        <w:tc>
          <w:tcPr>
            <w:tcW w:w="2126" w:type="dxa"/>
            <w:vMerge/>
            <w:shd w:val="clear" w:color="auto" w:fill="auto"/>
            <w:vAlign w:val="center"/>
            <w:hideMark/>
          </w:tcPr>
          <w:p w14:paraId="298CAD79" w14:textId="69C133AA" w:rsidR="00B04D80" w:rsidRPr="009722B3" w:rsidRDefault="00B04D80" w:rsidP="002F71BC">
            <w:pPr>
              <w:rPr>
                <w:rFonts w:ascii="Corbel" w:hAnsi="Corbel" w:cs="Calibri"/>
                <w:color w:val="000000"/>
                <w:sz w:val="20"/>
                <w:szCs w:val="20"/>
                <w:lang w:val="en-GB"/>
              </w:rPr>
            </w:pPr>
          </w:p>
        </w:tc>
      </w:tr>
      <w:tr w:rsidR="004B5089" w:rsidRPr="009722B3" w14:paraId="7E38C96C" w14:textId="77777777" w:rsidTr="00330F17">
        <w:trPr>
          <w:trHeight w:val="429"/>
        </w:trPr>
        <w:tc>
          <w:tcPr>
            <w:tcW w:w="1169" w:type="dxa"/>
            <w:vMerge w:val="restart"/>
            <w:shd w:val="clear" w:color="auto" w:fill="auto"/>
            <w:vAlign w:val="center"/>
            <w:hideMark/>
          </w:tcPr>
          <w:p w14:paraId="17B6E304" w14:textId="77777777" w:rsidR="004B5089" w:rsidRPr="009722B3" w:rsidRDefault="004B5089" w:rsidP="002F71BC">
            <w:pPr>
              <w:rPr>
                <w:rFonts w:ascii="Corbel" w:hAnsi="Corbel" w:cs="Calibri"/>
                <w:color w:val="000000"/>
                <w:sz w:val="20"/>
                <w:szCs w:val="20"/>
                <w:u w:val="single"/>
                <w:lang w:val="en-GB"/>
              </w:rPr>
            </w:pPr>
            <w:r w:rsidRPr="009722B3">
              <w:rPr>
                <w:rFonts w:ascii="Corbel" w:hAnsi="Corbel" w:cs="Calibri"/>
                <w:color w:val="000000"/>
                <w:sz w:val="20"/>
                <w:szCs w:val="20"/>
                <w:u w:val="single"/>
                <w:lang w:val="en-GB"/>
              </w:rPr>
              <w:t>2. Sustainable Growth</w:t>
            </w:r>
          </w:p>
        </w:tc>
        <w:tc>
          <w:tcPr>
            <w:tcW w:w="1324" w:type="dxa"/>
            <w:vMerge w:val="restart"/>
            <w:shd w:val="clear" w:color="auto" w:fill="auto"/>
            <w:vAlign w:val="center"/>
            <w:hideMark/>
          </w:tcPr>
          <w:p w14:paraId="5E2FCB1F" w14:textId="77777777" w:rsidR="004B5089" w:rsidRPr="009722B3" w:rsidRDefault="004B5089" w:rsidP="002F71BC">
            <w:pPr>
              <w:jc w:val="center"/>
              <w:rPr>
                <w:rFonts w:ascii="Corbel" w:hAnsi="Corbel" w:cs="Calibri"/>
                <w:color w:val="000000"/>
                <w:sz w:val="20"/>
                <w:szCs w:val="20"/>
                <w:lang w:val="en-GB"/>
              </w:rPr>
            </w:pPr>
            <w:r w:rsidRPr="009722B3">
              <w:rPr>
                <w:rFonts w:ascii="Corbel" w:hAnsi="Corbel" w:cs="Calibri"/>
                <w:color w:val="000000"/>
                <w:sz w:val="20"/>
                <w:szCs w:val="20"/>
                <w:lang w:val="en-GB"/>
              </w:rPr>
              <w:t>3.Climate change and energy</w:t>
            </w:r>
          </w:p>
        </w:tc>
        <w:tc>
          <w:tcPr>
            <w:tcW w:w="2742" w:type="dxa"/>
            <w:shd w:val="clear" w:color="auto" w:fill="auto"/>
            <w:vAlign w:val="center"/>
            <w:hideMark/>
          </w:tcPr>
          <w:p w14:paraId="6A9046B7" w14:textId="77777777" w:rsidR="004B5089" w:rsidRPr="009722B3" w:rsidRDefault="004B5089" w:rsidP="002F71BC">
            <w:pPr>
              <w:rPr>
                <w:rFonts w:ascii="Corbel" w:hAnsi="Corbel" w:cs="Calibri"/>
                <w:color w:val="000000"/>
                <w:sz w:val="20"/>
                <w:szCs w:val="20"/>
                <w:lang w:val="en-GB"/>
              </w:rPr>
            </w:pPr>
            <w:r w:rsidRPr="009722B3">
              <w:rPr>
                <w:rFonts w:ascii="Corbel" w:hAnsi="Corbel" w:cs="Calibri"/>
                <w:color w:val="000000"/>
                <w:sz w:val="20"/>
                <w:szCs w:val="20"/>
                <w:lang w:val="en-GB"/>
              </w:rPr>
              <w:t>4.Reducing greenhouse gas emissions by at least 20 % compared to 1990 levels</w:t>
            </w:r>
          </w:p>
        </w:tc>
        <w:tc>
          <w:tcPr>
            <w:tcW w:w="2410" w:type="dxa"/>
            <w:shd w:val="clear" w:color="auto" w:fill="auto"/>
            <w:vAlign w:val="center"/>
            <w:hideMark/>
          </w:tcPr>
          <w:p w14:paraId="3BF5CE3F" w14:textId="77777777" w:rsidR="004B5089" w:rsidRPr="009722B3" w:rsidRDefault="004B5089" w:rsidP="002F71BC">
            <w:pPr>
              <w:rPr>
                <w:rFonts w:ascii="Corbel" w:hAnsi="Corbel" w:cs="Calibri"/>
                <w:color w:val="000000"/>
                <w:sz w:val="20"/>
                <w:szCs w:val="20"/>
                <w:lang w:val="en-GB"/>
              </w:rPr>
            </w:pPr>
            <w:r w:rsidRPr="009722B3">
              <w:rPr>
                <w:rFonts w:ascii="Corbel" w:hAnsi="Corbel" w:cs="Calibri"/>
                <w:color w:val="000000"/>
                <w:sz w:val="20"/>
                <w:szCs w:val="20"/>
                <w:lang w:val="en-GB"/>
              </w:rPr>
              <w:t>4.Greenhouse gas emissions (2) (Index 1990 = 100)</w:t>
            </w:r>
          </w:p>
        </w:tc>
        <w:tc>
          <w:tcPr>
            <w:tcW w:w="2126" w:type="dxa"/>
            <w:vMerge w:val="restart"/>
            <w:shd w:val="clear" w:color="auto" w:fill="auto"/>
            <w:vAlign w:val="center"/>
            <w:hideMark/>
          </w:tcPr>
          <w:p w14:paraId="02A5EAFA" w14:textId="5040323A" w:rsidR="004B5089" w:rsidRPr="009722B3" w:rsidRDefault="004B5089" w:rsidP="002F71BC">
            <w:pPr>
              <w:rPr>
                <w:rFonts w:ascii="Corbel" w:hAnsi="Corbel" w:cs="Calibri"/>
                <w:color w:val="000000"/>
                <w:sz w:val="20"/>
                <w:szCs w:val="20"/>
                <w:lang w:val="en-GB"/>
              </w:rPr>
            </w:pPr>
            <w:r w:rsidRPr="009722B3">
              <w:rPr>
                <w:rFonts w:ascii="Corbel" w:hAnsi="Corbel" w:cs="Calibri"/>
                <w:color w:val="000000"/>
                <w:sz w:val="20"/>
                <w:szCs w:val="20"/>
                <w:lang w:val="en-GB"/>
              </w:rPr>
              <w:t> […] high level of protection and improvement of the quality of the environment […] (art. 3.3)</w:t>
            </w:r>
          </w:p>
          <w:p w14:paraId="5FF612B6" w14:textId="32341F69" w:rsidR="004B5089" w:rsidRPr="009722B3" w:rsidRDefault="004B5089" w:rsidP="002F71BC">
            <w:pPr>
              <w:rPr>
                <w:rFonts w:ascii="Corbel" w:hAnsi="Corbel" w:cs="Calibri"/>
                <w:color w:val="000000"/>
                <w:sz w:val="20"/>
                <w:szCs w:val="20"/>
                <w:lang w:val="en-GB"/>
              </w:rPr>
            </w:pPr>
            <w:r w:rsidRPr="009722B3">
              <w:rPr>
                <w:rFonts w:ascii="Corbel" w:hAnsi="Corbel" w:cs="Calibri"/>
                <w:color w:val="000000"/>
                <w:sz w:val="20"/>
                <w:szCs w:val="20"/>
                <w:lang w:val="en-GB"/>
              </w:rPr>
              <w:t> </w:t>
            </w:r>
          </w:p>
        </w:tc>
      </w:tr>
      <w:tr w:rsidR="004B5089" w:rsidRPr="009722B3" w14:paraId="0D08A0C9" w14:textId="77777777" w:rsidTr="00330F17">
        <w:trPr>
          <w:trHeight w:val="567"/>
        </w:trPr>
        <w:tc>
          <w:tcPr>
            <w:tcW w:w="1169" w:type="dxa"/>
            <w:vMerge/>
            <w:vAlign w:val="center"/>
            <w:hideMark/>
          </w:tcPr>
          <w:p w14:paraId="6394375B" w14:textId="77777777" w:rsidR="004B5089" w:rsidRPr="009722B3" w:rsidRDefault="004B5089" w:rsidP="002F71BC">
            <w:pPr>
              <w:rPr>
                <w:rFonts w:ascii="Corbel" w:hAnsi="Corbel" w:cs="Calibri"/>
                <w:color w:val="000000"/>
                <w:sz w:val="20"/>
                <w:szCs w:val="20"/>
                <w:u w:val="single"/>
                <w:lang w:val="en-GB"/>
              </w:rPr>
            </w:pPr>
          </w:p>
        </w:tc>
        <w:tc>
          <w:tcPr>
            <w:tcW w:w="1324" w:type="dxa"/>
            <w:vMerge/>
            <w:vAlign w:val="center"/>
            <w:hideMark/>
          </w:tcPr>
          <w:p w14:paraId="481C9977" w14:textId="77777777" w:rsidR="004B5089" w:rsidRPr="009722B3" w:rsidRDefault="004B5089" w:rsidP="002F71BC">
            <w:pPr>
              <w:rPr>
                <w:rFonts w:ascii="Corbel" w:hAnsi="Corbel" w:cs="Calibri"/>
                <w:color w:val="000000"/>
                <w:sz w:val="20"/>
                <w:szCs w:val="20"/>
                <w:lang w:val="en-GB"/>
              </w:rPr>
            </w:pPr>
          </w:p>
        </w:tc>
        <w:tc>
          <w:tcPr>
            <w:tcW w:w="2742" w:type="dxa"/>
            <w:shd w:val="clear" w:color="auto" w:fill="auto"/>
            <w:vAlign w:val="center"/>
            <w:hideMark/>
          </w:tcPr>
          <w:p w14:paraId="0C384A4B" w14:textId="77777777" w:rsidR="004B5089" w:rsidRPr="009722B3" w:rsidRDefault="004B5089" w:rsidP="002F71BC">
            <w:pPr>
              <w:rPr>
                <w:rFonts w:ascii="Corbel" w:hAnsi="Corbel" w:cs="Calibri"/>
                <w:color w:val="000000"/>
                <w:sz w:val="20"/>
                <w:szCs w:val="20"/>
                <w:lang w:val="en-GB"/>
              </w:rPr>
            </w:pPr>
            <w:r w:rsidRPr="009722B3">
              <w:rPr>
                <w:rFonts w:ascii="Corbel" w:hAnsi="Corbel" w:cs="Calibri"/>
                <w:color w:val="000000"/>
                <w:sz w:val="20"/>
                <w:szCs w:val="20"/>
                <w:lang w:val="en-GB"/>
              </w:rPr>
              <w:t xml:space="preserve">5.Increasing the share of renewable energy in final energy consumption to 20 % </w:t>
            </w:r>
          </w:p>
        </w:tc>
        <w:tc>
          <w:tcPr>
            <w:tcW w:w="2410" w:type="dxa"/>
            <w:shd w:val="clear" w:color="auto" w:fill="auto"/>
            <w:vAlign w:val="center"/>
            <w:hideMark/>
          </w:tcPr>
          <w:p w14:paraId="6686CD7A" w14:textId="77777777" w:rsidR="004B5089" w:rsidRPr="009722B3" w:rsidRDefault="004B5089" w:rsidP="002F71BC">
            <w:pPr>
              <w:rPr>
                <w:rFonts w:ascii="Corbel" w:hAnsi="Corbel" w:cs="Calibri"/>
                <w:color w:val="000000"/>
                <w:sz w:val="20"/>
                <w:szCs w:val="20"/>
                <w:lang w:val="en-GB"/>
              </w:rPr>
            </w:pPr>
            <w:r w:rsidRPr="009722B3">
              <w:rPr>
                <w:rFonts w:ascii="Corbel" w:hAnsi="Corbel" w:cs="Calibri"/>
                <w:color w:val="000000"/>
                <w:sz w:val="20"/>
                <w:szCs w:val="20"/>
                <w:lang w:val="en-GB"/>
              </w:rPr>
              <w:t>5.Share of renewable energy in gross final energy consumption (%)</w:t>
            </w:r>
          </w:p>
        </w:tc>
        <w:tc>
          <w:tcPr>
            <w:tcW w:w="2126" w:type="dxa"/>
            <w:vMerge/>
            <w:shd w:val="clear" w:color="auto" w:fill="auto"/>
            <w:vAlign w:val="center"/>
            <w:hideMark/>
          </w:tcPr>
          <w:p w14:paraId="5C859DEE" w14:textId="36D774BB" w:rsidR="004B5089" w:rsidRPr="009722B3" w:rsidRDefault="004B5089" w:rsidP="002F71BC">
            <w:pPr>
              <w:rPr>
                <w:rFonts w:ascii="Corbel" w:hAnsi="Corbel" w:cs="Calibri"/>
                <w:color w:val="000000"/>
                <w:sz w:val="20"/>
                <w:szCs w:val="20"/>
                <w:lang w:val="en-GB"/>
              </w:rPr>
            </w:pPr>
          </w:p>
        </w:tc>
      </w:tr>
      <w:tr w:rsidR="004B5089" w:rsidRPr="009722B3" w14:paraId="2A8B8D13" w14:textId="77777777" w:rsidTr="00330F17">
        <w:trPr>
          <w:trHeight w:val="564"/>
        </w:trPr>
        <w:tc>
          <w:tcPr>
            <w:tcW w:w="1169" w:type="dxa"/>
            <w:vMerge/>
            <w:vAlign w:val="center"/>
            <w:hideMark/>
          </w:tcPr>
          <w:p w14:paraId="1F0CF306" w14:textId="77777777" w:rsidR="004B5089" w:rsidRPr="009722B3" w:rsidRDefault="004B5089" w:rsidP="002F71BC">
            <w:pPr>
              <w:rPr>
                <w:rFonts w:ascii="Corbel" w:hAnsi="Corbel" w:cs="Calibri"/>
                <w:color w:val="000000"/>
                <w:sz w:val="20"/>
                <w:szCs w:val="20"/>
                <w:u w:val="single"/>
                <w:lang w:val="en-GB"/>
              </w:rPr>
            </w:pPr>
          </w:p>
        </w:tc>
        <w:tc>
          <w:tcPr>
            <w:tcW w:w="1324" w:type="dxa"/>
            <w:vMerge/>
            <w:vAlign w:val="center"/>
            <w:hideMark/>
          </w:tcPr>
          <w:p w14:paraId="4ED3E2E7" w14:textId="77777777" w:rsidR="004B5089" w:rsidRPr="009722B3" w:rsidRDefault="004B5089" w:rsidP="002F71BC">
            <w:pPr>
              <w:rPr>
                <w:rFonts w:ascii="Corbel" w:hAnsi="Corbel" w:cs="Calibri"/>
                <w:color w:val="000000"/>
                <w:sz w:val="20"/>
                <w:szCs w:val="20"/>
                <w:lang w:val="en-GB"/>
              </w:rPr>
            </w:pPr>
          </w:p>
        </w:tc>
        <w:tc>
          <w:tcPr>
            <w:tcW w:w="2742" w:type="dxa"/>
            <w:vMerge w:val="restart"/>
            <w:shd w:val="clear" w:color="auto" w:fill="auto"/>
            <w:vAlign w:val="center"/>
            <w:hideMark/>
          </w:tcPr>
          <w:p w14:paraId="31B49AD3" w14:textId="77777777" w:rsidR="004B5089" w:rsidRPr="009722B3" w:rsidRDefault="004B5089" w:rsidP="002F71BC">
            <w:pPr>
              <w:rPr>
                <w:rFonts w:ascii="Corbel" w:hAnsi="Corbel" w:cs="Calibri"/>
                <w:color w:val="000000"/>
                <w:sz w:val="20"/>
                <w:szCs w:val="20"/>
                <w:lang w:val="en-GB"/>
              </w:rPr>
            </w:pPr>
            <w:r w:rsidRPr="009722B3">
              <w:rPr>
                <w:rFonts w:ascii="Corbel" w:hAnsi="Corbel" w:cs="Calibri"/>
                <w:color w:val="000000"/>
                <w:sz w:val="20"/>
                <w:szCs w:val="20"/>
                <w:lang w:val="en-GB"/>
              </w:rPr>
              <w:t>6.Moving towards a 20% increase in energy efficiency</w:t>
            </w:r>
          </w:p>
        </w:tc>
        <w:tc>
          <w:tcPr>
            <w:tcW w:w="2410" w:type="dxa"/>
            <w:shd w:val="clear" w:color="auto" w:fill="auto"/>
            <w:vAlign w:val="center"/>
            <w:hideMark/>
          </w:tcPr>
          <w:p w14:paraId="78A4617F" w14:textId="77777777" w:rsidR="004B5089" w:rsidRPr="009722B3" w:rsidRDefault="004B5089" w:rsidP="002F71BC">
            <w:pPr>
              <w:rPr>
                <w:rFonts w:ascii="Corbel" w:hAnsi="Corbel" w:cs="Calibri"/>
                <w:color w:val="000000"/>
                <w:sz w:val="20"/>
                <w:szCs w:val="20"/>
                <w:lang w:val="en-GB"/>
              </w:rPr>
            </w:pPr>
            <w:r w:rsidRPr="009722B3">
              <w:rPr>
                <w:rFonts w:ascii="Corbel" w:hAnsi="Corbel" w:cs="Calibri"/>
                <w:color w:val="000000"/>
                <w:sz w:val="20"/>
                <w:szCs w:val="20"/>
                <w:lang w:val="en-GB"/>
              </w:rPr>
              <w:t>6.Primary energy consumption</w:t>
            </w:r>
            <w:r w:rsidRPr="009722B3">
              <w:rPr>
                <w:rFonts w:ascii="Corbel" w:hAnsi="Corbel" w:cs="Calibri"/>
                <w:color w:val="000000"/>
                <w:sz w:val="20"/>
                <w:szCs w:val="20"/>
                <w:lang w:val="en-GB"/>
              </w:rPr>
              <w:br/>
              <w:t>(Million tonnes of oil equivalent)</w:t>
            </w:r>
          </w:p>
        </w:tc>
        <w:tc>
          <w:tcPr>
            <w:tcW w:w="2126" w:type="dxa"/>
            <w:vMerge/>
            <w:shd w:val="clear" w:color="auto" w:fill="auto"/>
            <w:vAlign w:val="center"/>
            <w:hideMark/>
          </w:tcPr>
          <w:p w14:paraId="553D44F7" w14:textId="55F39B2F" w:rsidR="004B5089" w:rsidRPr="009722B3" w:rsidRDefault="004B5089" w:rsidP="002F71BC">
            <w:pPr>
              <w:rPr>
                <w:rFonts w:ascii="Corbel" w:hAnsi="Corbel" w:cs="Calibri"/>
                <w:color w:val="000000"/>
                <w:sz w:val="20"/>
                <w:szCs w:val="20"/>
                <w:lang w:val="en-GB"/>
              </w:rPr>
            </w:pPr>
          </w:p>
        </w:tc>
      </w:tr>
      <w:tr w:rsidR="004B5089" w:rsidRPr="009722B3" w14:paraId="59B7D63C" w14:textId="77777777" w:rsidTr="00330F17">
        <w:trPr>
          <w:trHeight w:val="134"/>
        </w:trPr>
        <w:tc>
          <w:tcPr>
            <w:tcW w:w="1169" w:type="dxa"/>
            <w:vMerge/>
            <w:vAlign w:val="center"/>
            <w:hideMark/>
          </w:tcPr>
          <w:p w14:paraId="46AFE778" w14:textId="77777777" w:rsidR="004B5089" w:rsidRPr="009722B3" w:rsidRDefault="004B5089" w:rsidP="002F71BC">
            <w:pPr>
              <w:rPr>
                <w:rFonts w:ascii="Corbel" w:hAnsi="Corbel" w:cs="Calibri"/>
                <w:color w:val="000000"/>
                <w:sz w:val="20"/>
                <w:szCs w:val="20"/>
                <w:u w:val="single"/>
                <w:lang w:val="en-GB"/>
              </w:rPr>
            </w:pPr>
          </w:p>
        </w:tc>
        <w:tc>
          <w:tcPr>
            <w:tcW w:w="1324" w:type="dxa"/>
            <w:vMerge/>
            <w:vAlign w:val="center"/>
            <w:hideMark/>
          </w:tcPr>
          <w:p w14:paraId="654FD111" w14:textId="77777777" w:rsidR="004B5089" w:rsidRPr="009722B3" w:rsidRDefault="004B5089" w:rsidP="002F71BC">
            <w:pPr>
              <w:rPr>
                <w:rFonts w:ascii="Corbel" w:hAnsi="Corbel" w:cs="Calibri"/>
                <w:color w:val="000000"/>
                <w:sz w:val="20"/>
                <w:szCs w:val="20"/>
                <w:lang w:val="en-GB"/>
              </w:rPr>
            </w:pPr>
          </w:p>
        </w:tc>
        <w:tc>
          <w:tcPr>
            <w:tcW w:w="2742" w:type="dxa"/>
            <w:vMerge/>
            <w:vAlign w:val="center"/>
            <w:hideMark/>
          </w:tcPr>
          <w:p w14:paraId="42145749" w14:textId="77777777" w:rsidR="004B5089" w:rsidRPr="009722B3" w:rsidRDefault="004B5089" w:rsidP="002F71BC">
            <w:pPr>
              <w:rPr>
                <w:rFonts w:ascii="Corbel" w:hAnsi="Corbel" w:cs="Calibri"/>
                <w:color w:val="000000"/>
                <w:sz w:val="20"/>
                <w:szCs w:val="20"/>
                <w:lang w:val="en-GB"/>
              </w:rPr>
            </w:pPr>
          </w:p>
        </w:tc>
        <w:tc>
          <w:tcPr>
            <w:tcW w:w="2410" w:type="dxa"/>
            <w:shd w:val="clear" w:color="auto" w:fill="auto"/>
            <w:vAlign w:val="center"/>
            <w:hideMark/>
          </w:tcPr>
          <w:p w14:paraId="21656AC1" w14:textId="77777777" w:rsidR="004B5089" w:rsidRPr="009722B3" w:rsidRDefault="004B5089" w:rsidP="002F71BC">
            <w:pPr>
              <w:rPr>
                <w:rFonts w:ascii="Corbel" w:hAnsi="Corbel" w:cs="Calibri"/>
                <w:color w:val="000000"/>
                <w:sz w:val="20"/>
                <w:szCs w:val="20"/>
                <w:lang w:val="en-GB"/>
              </w:rPr>
            </w:pPr>
            <w:r w:rsidRPr="009722B3">
              <w:rPr>
                <w:rFonts w:ascii="Corbel" w:hAnsi="Corbel" w:cs="Calibri"/>
                <w:color w:val="000000"/>
                <w:sz w:val="20"/>
                <w:szCs w:val="20"/>
                <w:lang w:val="en-GB"/>
              </w:rPr>
              <w:t>7.Final energy consumption</w:t>
            </w:r>
            <w:r w:rsidRPr="009722B3">
              <w:rPr>
                <w:rFonts w:ascii="Corbel" w:hAnsi="Corbel" w:cs="Calibri"/>
                <w:color w:val="000000"/>
                <w:sz w:val="20"/>
                <w:szCs w:val="20"/>
                <w:lang w:val="en-GB"/>
              </w:rPr>
              <w:br/>
              <w:t>(Million tonnes of oil equivalent)</w:t>
            </w:r>
          </w:p>
        </w:tc>
        <w:tc>
          <w:tcPr>
            <w:tcW w:w="2126" w:type="dxa"/>
            <w:vMerge/>
            <w:shd w:val="clear" w:color="auto" w:fill="auto"/>
            <w:vAlign w:val="center"/>
            <w:hideMark/>
          </w:tcPr>
          <w:p w14:paraId="4ABD42C8" w14:textId="216AFAB2" w:rsidR="004B5089" w:rsidRPr="009722B3" w:rsidRDefault="004B5089" w:rsidP="002F71BC">
            <w:pPr>
              <w:rPr>
                <w:rFonts w:ascii="Corbel" w:hAnsi="Corbel" w:cs="Calibri"/>
                <w:color w:val="000000"/>
                <w:sz w:val="20"/>
                <w:szCs w:val="20"/>
                <w:lang w:val="en-GB"/>
              </w:rPr>
            </w:pPr>
          </w:p>
        </w:tc>
      </w:tr>
      <w:tr w:rsidR="00042169" w:rsidRPr="009722B3" w14:paraId="3ABE14EE" w14:textId="77777777" w:rsidTr="00330F17">
        <w:trPr>
          <w:trHeight w:val="413"/>
        </w:trPr>
        <w:tc>
          <w:tcPr>
            <w:tcW w:w="1169" w:type="dxa"/>
            <w:vMerge w:val="restart"/>
            <w:shd w:val="clear" w:color="auto" w:fill="auto"/>
            <w:vAlign w:val="center"/>
            <w:hideMark/>
          </w:tcPr>
          <w:p w14:paraId="7CA2A4FE" w14:textId="77777777" w:rsidR="00042169" w:rsidRPr="009722B3" w:rsidRDefault="00042169" w:rsidP="002F71BC">
            <w:pPr>
              <w:rPr>
                <w:rFonts w:ascii="Corbel" w:hAnsi="Corbel" w:cs="Calibri"/>
                <w:color w:val="000000"/>
                <w:sz w:val="20"/>
                <w:szCs w:val="20"/>
                <w:u w:val="single"/>
                <w:lang w:val="en-GB"/>
              </w:rPr>
            </w:pPr>
            <w:r w:rsidRPr="009722B3">
              <w:rPr>
                <w:rFonts w:ascii="Corbel" w:hAnsi="Corbel" w:cs="Calibri"/>
                <w:color w:val="000000"/>
                <w:sz w:val="20"/>
                <w:szCs w:val="20"/>
                <w:u w:val="single"/>
                <w:lang w:val="en-GB"/>
              </w:rPr>
              <w:t>3. Inclusive Growth</w:t>
            </w:r>
          </w:p>
        </w:tc>
        <w:tc>
          <w:tcPr>
            <w:tcW w:w="1324" w:type="dxa"/>
            <w:shd w:val="clear" w:color="auto" w:fill="auto"/>
            <w:vAlign w:val="center"/>
            <w:hideMark/>
          </w:tcPr>
          <w:p w14:paraId="06A0A561" w14:textId="77777777" w:rsidR="00042169" w:rsidRPr="009722B3" w:rsidRDefault="00042169" w:rsidP="002F71BC">
            <w:pPr>
              <w:rPr>
                <w:rFonts w:ascii="Corbel" w:hAnsi="Corbel" w:cs="Calibri"/>
                <w:color w:val="000000"/>
                <w:sz w:val="20"/>
                <w:szCs w:val="20"/>
                <w:lang w:val="en-GB"/>
              </w:rPr>
            </w:pPr>
            <w:r w:rsidRPr="009722B3">
              <w:rPr>
                <w:rFonts w:ascii="Corbel" w:hAnsi="Corbel" w:cs="Calibri"/>
                <w:color w:val="000000"/>
                <w:sz w:val="20"/>
                <w:szCs w:val="20"/>
                <w:lang w:val="en-GB"/>
              </w:rPr>
              <w:t>4.Employment</w:t>
            </w:r>
          </w:p>
        </w:tc>
        <w:tc>
          <w:tcPr>
            <w:tcW w:w="2742" w:type="dxa"/>
            <w:shd w:val="clear" w:color="auto" w:fill="auto"/>
            <w:vAlign w:val="center"/>
            <w:hideMark/>
          </w:tcPr>
          <w:p w14:paraId="5BF52C84" w14:textId="77777777" w:rsidR="00042169" w:rsidRPr="009722B3" w:rsidRDefault="00042169" w:rsidP="002F71BC">
            <w:pPr>
              <w:rPr>
                <w:rFonts w:ascii="Corbel" w:hAnsi="Corbel" w:cs="Calibri"/>
                <w:color w:val="000000"/>
                <w:sz w:val="20"/>
                <w:szCs w:val="20"/>
                <w:lang w:val="en-GB"/>
              </w:rPr>
            </w:pPr>
            <w:r w:rsidRPr="009722B3">
              <w:rPr>
                <w:rFonts w:ascii="Corbel" w:hAnsi="Corbel" w:cs="Calibri"/>
                <w:color w:val="000000"/>
                <w:sz w:val="20"/>
                <w:szCs w:val="20"/>
                <w:lang w:val="en-GB"/>
              </w:rPr>
              <w:t>7.Increasing the employment rate of the population aged 20–64 to at least 75 %</w:t>
            </w:r>
          </w:p>
        </w:tc>
        <w:tc>
          <w:tcPr>
            <w:tcW w:w="2410" w:type="dxa"/>
            <w:shd w:val="clear" w:color="auto" w:fill="auto"/>
            <w:vAlign w:val="center"/>
            <w:hideMark/>
          </w:tcPr>
          <w:p w14:paraId="67B99938" w14:textId="77777777" w:rsidR="00042169" w:rsidRPr="009722B3" w:rsidRDefault="00042169" w:rsidP="002F71BC">
            <w:pPr>
              <w:rPr>
                <w:rFonts w:ascii="Corbel" w:hAnsi="Corbel" w:cs="Calibri"/>
                <w:color w:val="000000"/>
                <w:sz w:val="20"/>
                <w:szCs w:val="20"/>
                <w:lang w:val="en-GB"/>
              </w:rPr>
            </w:pPr>
            <w:r w:rsidRPr="009722B3">
              <w:rPr>
                <w:rFonts w:ascii="Corbel" w:hAnsi="Corbel" w:cs="Calibri"/>
                <w:color w:val="000000"/>
                <w:sz w:val="20"/>
                <w:szCs w:val="20"/>
                <w:lang w:val="en-GB"/>
              </w:rPr>
              <w:t>8.Employment rate age group 20–64, total (% of population)</w:t>
            </w:r>
          </w:p>
        </w:tc>
        <w:tc>
          <w:tcPr>
            <w:tcW w:w="2126" w:type="dxa"/>
            <w:shd w:val="clear" w:color="auto" w:fill="auto"/>
            <w:vAlign w:val="center"/>
            <w:hideMark/>
          </w:tcPr>
          <w:p w14:paraId="5637EE4E" w14:textId="6CCB3C3E" w:rsidR="00042169" w:rsidRPr="009722B3" w:rsidRDefault="004B5089" w:rsidP="002F71BC">
            <w:pPr>
              <w:rPr>
                <w:rFonts w:ascii="Corbel" w:hAnsi="Corbel" w:cs="Calibri"/>
                <w:color w:val="000000"/>
                <w:sz w:val="20"/>
                <w:szCs w:val="20"/>
                <w:lang w:val="en-GB"/>
              </w:rPr>
            </w:pPr>
            <w:r w:rsidRPr="009722B3">
              <w:rPr>
                <w:rFonts w:ascii="Corbel" w:hAnsi="Corbel" w:cs="Calibri"/>
                <w:color w:val="000000"/>
                <w:sz w:val="20"/>
                <w:szCs w:val="20"/>
                <w:lang w:val="en-GB"/>
              </w:rPr>
              <w:t>[…] full employment and social progress […] (art. 3.3)</w:t>
            </w:r>
          </w:p>
        </w:tc>
      </w:tr>
      <w:tr w:rsidR="00042169" w:rsidRPr="009722B3" w14:paraId="695A876C" w14:textId="77777777" w:rsidTr="00330F17">
        <w:trPr>
          <w:trHeight w:val="551"/>
        </w:trPr>
        <w:tc>
          <w:tcPr>
            <w:tcW w:w="1169" w:type="dxa"/>
            <w:vMerge/>
            <w:vAlign w:val="center"/>
            <w:hideMark/>
          </w:tcPr>
          <w:p w14:paraId="2935CC33" w14:textId="77777777" w:rsidR="00042169" w:rsidRPr="009722B3" w:rsidRDefault="00042169" w:rsidP="002F71BC">
            <w:pPr>
              <w:rPr>
                <w:rFonts w:ascii="Corbel" w:hAnsi="Corbel" w:cs="Calibri"/>
                <w:color w:val="000000"/>
                <w:sz w:val="20"/>
                <w:szCs w:val="20"/>
                <w:u w:val="single"/>
                <w:lang w:val="en-GB"/>
              </w:rPr>
            </w:pPr>
          </w:p>
        </w:tc>
        <w:tc>
          <w:tcPr>
            <w:tcW w:w="1324" w:type="dxa"/>
            <w:shd w:val="clear" w:color="auto" w:fill="auto"/>
            <w:vAlign w:val="center"/>
            <w:hideMark/>
          </w:tcPr>
          <w:p w14:paraId="0FE77CEC" w14:textId="77777777" w:rsidR="00042169" w:rsidRPr="009722B3" w:rsidRDefault="00042169" w:rsidP="002F71BC">
            <w:pPr>
              <w:rPr>
                <w:rFonts w:ascii="Corbel" w:hAnsi="Corbel" w:cs="Calibri"/>
                <w:color w:val="000000"/>
                <w:sz w:val="20"/>
                <w:szCs w:val="20"/>
                <w:lang w:val="en-GB"/>
              </w:rPr>
            </w:pPr>
            <w:r w:rsidRPr="009722B3">
              <w:rPr>
                <w:rFonts w:ascii="Corbel" w:hAnsi="Corbel" w:cs="Calibri"/>
                <w:color w:val="000000"/>
                <w:sz w:val="20"/>
                <w:szCs w:val="20"/>
                <w:lang w:val="en-GB"/>
              </w:rPr>
              <w:t>5.Poverty and social exclusion</w:t>
            </w:r>
          </w:p>
        </w:tc>
        <w:tc>
          <w:tcPr>
            <w:tcW w:w="2742" w:type="dxa"/>
            <w:shd w:val="clear" w:color="auto" w:fill="auto"/>
            <w:vAlign w:val="center"/>
            <w:hideMark/>
          </w:tcPr>
          <w:p w14:paraId="3EB02CA5" w14:textId="4BD30771" w:rsidR="00042169" w:rsidRPr="009722B3" w:rsidRDefault="00042169" w:rsidP="002F71BC">
            <w:pPr>
              <w:rPr>
                <w:rFonts w:ascii="Corbel" w:hAnsi="Corbel" w:cs="Calibri"/>
                <w:color w:val="000000"/>
                <w:sz w:val="20"/>
                <w:szCs w:val="20"/>
                <w:lang w:val="en-GB"/>
              </w:rPr>
            </w:pPr>
            <w:r w:rsidRPr="009722B3">
              <w:rPr>
                <w:rFonts w:ascii="Corbel" w:hAnsi="Corbel" w:cs="Calibri"/>
                <w:color w:val="000000"/>
                <w:sz w:val="20"/>
                <w:szCs w:val="20"/>
                <w:lang w:val="en-GB"/>
              </w:rPr>
              <w:t>8.</w:t>
            </w:r>
            <w:r w:rsidR="004B5089" w:rsidRPr="009722B3">
              <w:rPr>
                <w:rFonts w:ascii="Corbel" w:hAnsi="Corbel" w:cs="Calibri"/>
                <w:color w:val="000000"/>
                <w:sz w:val="20"/>
                <w:szCs w:val="20"/>
                <w:lang w:val="en-GB"/>
              </w:rPr>
              <w:t xml:space="preserve"> </w:t>
            </w:r>
            <w:r w:rsidRPr="009722B3">
              <w:rPr>
                <w:rFonts w:ascii="Corbel" w:hAnsi="Corbel" w:cs="Calibri"/>
                <w:color w:val="000000"/>
                <w:sz w:val="20"/>
                <w:szCs w:val="20"/>
                <w:lang w:val="en-GB"/>
              </w:rPr>
              <w:t xml:space="preserve">Lifting at least 20 million people out of the risk of poverty and social exclusion </w:t>
            </w:r>
          </w:p>
        </w:tc>
        <w:tc>
          <w:tcPr>
            <w:tcW w:w="2410" w:type="dxa"/>
            <w:shd w:val="clear" w:color="auto" w:fill="auto"/>
            <w:vAlign w:val="center"/>
            <w:hideMark/>
          </w:tcPr>
          <w:p w14:paraId="07AD97A7" w14:textId="77777777" w:rsidR="00042169" w:rsidRPr="009722B3" w:rsidRDefault="00042169" w:rsidP="002F71BC">
            <w:pPr>
              <w:rPr>
                <w:rFonts w:ascii="Corbel" w:hAnsi="Corbel" w:cs="Calibri"/>
                <w:color w:val="000000"/>
                <w:sz w:val="20"/>
                <w:szCs w:val="20"/>
                <w:lang w:val="en-GB"/>
              </w:rPr>
            </w:pPr>
            <w:r w:rsidRPr="009722B3">
              <w:rPr>
                <w:rFonts w:ascii="Corbel" w:hAnsi="Corbel" w:cs="Calibri"/>
                <w:color w:val="000000"/>
                <w:sz w:val="20"/>
                <w:szCs w:val="20"/>
                <w:lang w:val="en-GB"/>
              </w:rPr>
              <w:t>9.People at risk of poverty or social exclusion, EU-28 (Million people)</w:t>
            </w:r>
          </w:p>
        </w:tc>
        <w:tc>
          <w:tcPr>
            <w:tcW w:w="2126" w:type="dxa"/>
            <w:shd w:val="clear" w:color="auto" w:fill="auto"/>
            <w:vAlign w:val="center"/>
            <w:hideMark/>
          </w:tcPr>
          <w:p w14:paraId="299F8FC0" w14:textId="41B2BC50" w:rsidR="00042169" w:rsidRPr="009722B3" w:rsidRDefault="004B5089" w:rsidP="002F71BC">
            <w:pPr>
              <w:rPr>
                <w:rFonts w:ascii="Corbel" w:hAnsi="Corbel" w:cs="Calibri"/>
                <w:color w:val="000000"/>
                <w:sz w:val="20"/>
                <w:szCs w:val="20"/>
                <w:lang w:val="en-GB"/>
              </w:rPr>
            </w:pPr>
            <w:r w:rsidRPr="009722B3">
              <w:rPr>
                <w:rFonts w:ascii="Corbel" w:hAnsi="Corbel" w:cs="Calibri"/>
                <w:color w:val="000000"/>
                <w:sz w:val="20"/>
                <w:szCs w:val="20"/>
                <w:lang w:val="en-GB"/>
              </w:rPr>
              <w:t>[…] combat social exclusion and discrimination […]</w:t>
            </w:r>
            <w:r w:rsidR="00B04D80" w:rsidRPr="009722B3">
              <w:rPr>
                <w:rFonts w:ascii="Corbel" w:hAnsi="Corbel" w:cs="Calibri"/>
                <w:color w:val="000000"/>
                <w:sz w:val="20"/>
                <w:szCs w:val="20"/>
                <w:lang w:val="en-GB"/>
              </w:rPr>
              <w:t xml:space="preserve"> </w:t>
            </w:r>
            <w:r w:rsidRPr="009722B3">
              <w:rPr>
                <w:rFonts w:ascii="Corbel" w:hAnsi="Corbel" w:cs="Calibri"/>
                <w:color w:val="000000"/>
                <w:sz w:val="20"/>
                <w:szCs w:val="20"/>
                <w:lang w:val="en-GB"/>
              </w:rPr>
              <w:t>(art. 3.3)</w:t>
            </w:r>
          </w:p>
        </w:tc>
      </w:tr>
    </w:tbl>
    <w:p w14:paraId="0ED87EBA" w14:textId="77777777" w:rsidR="00042169" w:rsidRPr="009722B3" w:rsidRDefault="00042169" w:rsidP="002F71BC">
      <w:pPr>
        <w:rPr>
          <w:rFonts w:ascii="Corbel" w:hAnsi="Corbel"/>
        </w:rPr>
      </w:pPr>
    </w:p>
    <w:p w14:paraId="5F12803A" w14:textId="549DA521" w:rsidR="00F63E83" w:rsidRPr="00542980" w:rsidRDefault="00F63E83" w:rsidP="002F71BC">
      <w:pPr>
        <w:jc w:val="both"/>
        <w:rPr>
          <w:rFonts w:ascii="Corbel" w:hAnsi="Corbel"/>
          <w:bCs/>
          <w:iCs/>
          <w:sz w:val="22"/>
          <w:szCs w:val="22"/>
          <w:lang w:val="en-US"/>
        </w:rPr>
      </w:pPr>
      <w:r w:rsidRPr="00542980">
        <w:rPr>
          <w:rFonts w:ascii="Corbel" w:hAnsi="Corbel"/>
          <w:sz w:val="22"/>
          <w:szCs w:val="22"/>
          <w:lang w:val="en-US"/>
        </w:rPr>
        <w:t>Thematic areas and targets are strictly interlinked, for example, higher educational levels are associated with better employability</w:t>
      </w:r>
      <w:r w:rsidR="00DA2F51" w:rsidRPr="00542980">
        <w:rPr>
          <w:rFonts w:ascii="Corbel" w:hAnsi="Corbel"/>
          <w:sz w:val="22"/>
          <w:szCs w:val="22"/>
          <w:lang w:val="en-US"/>
        </w:rPr>
        <w:t>,</w:t>
      </w:r>
      <w:r w:rsidRPr="00542980">
        <w:rPr>
          <w:rFonts w:ascii="Corbel" w:hAnsi="Corbel"/>
          <w:sz w:val="22"/>
          <w:szCs w:val="22"/>
          <w:lang w:val="en-US"/>
        </w:rPr>
        <w:t xml:space="preserve"> which in turn increases employment rates and helps to reduce poverty (Eurostat 2016). Finally, the targets of </w:t>
      </w:r>
      <w:r w:rsidR="0059264C" w:rsidRPr="00542980">
        <w:rPr>
          <w:rFonts w:ascii="Corbel" w:hAnsi="Corbel"/>
          <w:sz w:val="22"/>
          <w:szCs w:val="22"/>
          <w:lang w:val="en-US"/>
        </w:rPr>
        <w:t xml:space="preserve">the </w:t>
      </w:r>
      <w:r w:rsidRPr="00542980">
        <w:rPr>
          <w:rFonts w:ascii="Corbel" w:hAnsi="Corbel"/>
          <w:sz w:val="22"/>
          <w:szCs w:val="22"/>
          <w:lang w:val="en-US"/>
        </w:rPr>
        <w:t xml:space="preserve">Europe 2020 strategy have been also translated into national targets, to reflect the different economic and social conditions as well as the level of their contribution towards the implementation of </w:t>
      </w:r>
      <w:r w:rsidR="0059264C" w:rsidRPr="00542980">
        <w:rPr>
          <w:rFonts w:ascii="Corbel" w:hAnsi="Corbel"/>
          <w:sz w:val="22"/>
          <w:szCs w:val="22"/>
          <w:lang w:val="en-US"/>
        </w:rPr>
        <w:t xml:space="preserve">the </w:t>
      </w:r>
      <w:r w:rsidRPr="00542980">
        <w:rPr>
          <w:rFonts w:ascii="Corbel" w:hAnsi="Corbel"/>
          <w:sz w:val="22"/>
          <w:szCs w:val="22"/>
          <w:lang w:val="en-US"/>
        </w:rPr>
        <w:t xml:space="preserve">Europe 2020 strategy. </w:t>
      </w:r>
      <w:r w:rsidRPr="00542980">
        <w:rPr>
          <w:rFonts w:ascii="Corbel" w:hAnsi="Corbel"/>
          <w:bCs/>
          <w:iCs/>
          <w:sz w:val="22"/>
          <w:szCs w:val="22"/>
          <w:lang w:val="en-US"/>
        </w:rPr>
        <w:t xml:space="preserve">The EU ten-year strategies provide a comprehensive and common strategic framework for both the EU and the member states. The objectives and targets of the EU ten-year strategy should feed the strategic plans </w:t>
      </w:r>
      <w:r w:rsidR="00042169" w:rsidRPr="00542980">
        <w:rPr>
          <w:rFonts w:ascii="Corbel" w:hAnsi="Corbel"/>
          <w:bCs/>
          <w:iCs/>
          <w:sz w:val="22"/>
          <w:szCs w:val="22"/>
          <w:lang w:val="en-US"/>
        </w:rPr>
        <w:t>at</w:t>
      </w:r>
      <w:r w:rsidRPr="00542980">
        <w:rPr>
          <w:rFonts w:ascii="Corbel" w:hAnsi="Corbel"/>
          <w:bCs/>
          <w:iCs/>
          <w:sz w:val="22"/>
          <w:szCs w:val="22"/>
          <w:lang w:val="en-US"/>
        </w:rPr>
        <w:t xml:space="preserve"> the EU institutions level, as well as at the level of the member states. </w:t>
      </w:r>
      <w:r w:rsidR="0059264C" w:rsidRPr="00542980">
        <w:rPr>
          <w:rFonts w:ascii="Corbel" w:hAnsi="Corbel"/>
          <w:bCs/>
          <w:iCs/>
          <w:sz w:val="22"/>
          <w:szCs w:val="22"/>
          <w:lang w:val="en-US"/>
        </w:rPr>
        <w:t>The</w:t>
      </w:r>
      <w:r w:rsidRPr="00542980">
        <w:rPr>
          <w:rFonts w:ascii="Corbel" w:hAnsi="Corbel"/>
          <w:bCs/>
          <w:iCs/>
          <w:sz w:val="22"/>
          <w:szCs w:val="22"/>
          <w:lang w:val="en-US"/>
        </w:rPr>
        <w:t xml:space="preserve"> achievement of Europe 2020 objectives will thus greatly depend on the effective synergy between</w:t>
      </w:r>
      <w:r w:rsidRPr="00542980">
        <w:rPr>
          <w:rFonts w:ascii="Corbel" w:hAnsi="Corbel"/>
          <w:sz w:val="22"/>
          <w:szCs w:val="22"/>
          <w:lang w:val="en-US"/>
        </w:rPr>
        <w:t xml:space="preserve"> EU and national actions.</w:t>
      </w:r>
      <w:r w:rsidRPr="00542980">
        <w:rPr>
          <w:rFonts w:ascii="Corbel" w:hAnsi="Corbel"/>
          <w:bCs/>
          <w:iCs/>
          <w:sz w:val="22"/>
          <w:szCs w:val="22"/>
          <w:lang w:val="en-US"/>
        </w:rPr>
        <w:t xml:space="preserve"> The monitoring and reporting mechanism assessing the implementation of the Europe 2020 </w:t>
      </w:r>
      <w:r w:rsidR="004B5089" w:rsidRPr="00542980">
        <w:rPr>
          <w:rFonts w:ascii="Corbel" w:hAnsi="Corbel"/>
          <w:bCs/>
          <w:iCs/>
          <w:sz w:val="22"/>
          <w:szCs w:val="22"/>
          <w:lang w:val="en-US"/>
        </w:rPr>
        <w:t>was</w:t>
      </w:r>
      <w:r w:rsidRPr="00542980">
        <w:rPr>
          <w:rFonts w:ascii="Corbel" w:hAnsi="Corbel"/>
          <w:bCs/>
          <w:iCs/>
          <w:sz w:val="22"/>
          <w:szCs w:val="22"/>
          <w:lang w:val="en-US"/>
        </w:rPr>
        <w:t xml:space="preserve"> partly integrated in</w:t>
      </w:r>
      <w:r w:rsidR="0059264C" w:rsidRPr="00542980">
        <w:rPr>
          <w:rFonts w:ascii="Corbel" w:hAnsi="Corbel"/>
          <w:bCs/>
          <w:iCs/>
          <w:sz w:val="22"/>
          <w:szCs w:val="22"/>
          <w:lang w:val="en-US"/>
        </w:rPr>
        <w:t>to</w:t>
      </w:r>
      <w:r w:rsidRPr="00542980">
        <w:rPr>
          <w:rFonts w:ascii="Corbel" w:hAnsi="Corbel"/>
          <w:bCs/>
          <w:iCs/>
          <w:sz w:val="22"/>
          <w:szCs w:val="22"/>
          <w:lang w:val="en-US"/>
        </w:rPr>
        <w:t xml:space="preserve"> the economic surveillance framework known as</w:t>
      </w:r>
      <w:r w:rsidR="0059264C" w:rsidRPr="00542980">
        <w:rPr>
          <w:rFonts w:ascii="Corbel" w:hAnsi="Corbel"/>
          <w:bCs/>
          <w:iCs/>
          <w:sz w:val="22"/>
          <w:szCs w:val="22"/>
          <w:lang w:val="en-US"/>
        </w:rPr>
        <w:t xml:space="preserve"> the</w:t>
      </w:r>
      <w:r w:rsidRPr="00542980">
        <w:rPr>
          <w:rFonts w:ascii="Corbel" w:hAnsi="Corbel"/>
          <w:bCs/>
          <w:iCs/>
          <w:sz w:val="22"/>
          <w:szCs w:val="22"/>
          <w:lang w:val="en-US"/>
        </w:rPr>
        <w:t xml:space="preserve"> “EU Semester” related to fiscal and economic policy coordination. </w:t>
      </w:r>
      <w:r w:rsidR="0059264C" w:rsidRPr="00542980">
        <w:rPr>
          <w:rFonts w:ascii="Corbel" w:hAnsi="Corbel"/>
          <w:bCs/>
          <w:iCs/>
          <w:sz w:val="22"/>
          <w:szCs w:val="22"/>
          <w:lang w:val="en-US"/>
        </w:rPr>
        <w:t>Also</w:t>
      </w:r>
      <w:r w:rsidRPr="00542980">
        <w:rPr>
          <w:rFonts w:ascii="Corbel" w:hAnsi="Corbel"/>
          <w:bCs/>
          <w:iCs/>
          <w:sz w:val="22"/>
          <w:szCs w:val="22"/>
          <w:lang w:val="en-US"/>
        </w:rPr>
        <w:t>, progress towards the achievement of Europe 2020 targets can be monitored in the Eurostat web portal</w:t>
      </w:r>
      <w:r w:rsidR="005166F2" w:rsidRPr="00542980">
        <w:rPr>
          <w:rStyle w:val="Rimandonotadichiusura"/>
          <w:rFonts w:ascii="Corbel" w:hAnsi="Corbel"/>
          <w:bCs/>
          <w:iCs/>
          <w:sz w:val="22"/>
          <w:szCs w:val="22"/>
          <w:lang w:val="en-US"/>
        </w:rPr>
        <w:endnoteReference w:id="6"/>
      </w:r>
      <w:r w:rsidRPr="00542980">
        <w:rPr>
          <w:rFonts w:ascii="Corbel" w:hAnsi="Corbel"/>
          <w:bCs/>
          <w:iCs/>
          <w:sz w:val="22"/>
          <w:szCs w:val="22"/>
          <w:lang w:val="en-US"/>
        </w:rPr>
        <w:t xml:space="preserve"> allowing each indicator to be tracked at European and national level</w:t>
      </w:r>
      <w:r w:rsidR="0059264C" w:rsidRPr="00542980">
        <w:rPr>
          <w:rFonts w:ascii="Corbel" w:hAnsi="Corbel"/>
          <w:bCs/>
          <w:iCs/>
          <w:sz w:val="22"/>
          <w:szCs w:val="22"/>
          <w:lang w:val="en-US"/>
        </w:rPr>
        <w:t>s</w:t>
      </w:r>
      <w:r w:rsidRPr="00542980">
        <w:rPr>
          <w:rFonts w:ascii="Corbel" w:hAnsi="Corbel"/>
          <w:bCs/>
          <w:iCs/>
          <w:sz w:val="22"/>
          <w:szCs w:val="22"/>
          <w:lang w:val="en-US"/>
        </w:rPr>
        <w:t xml:space="preserve">.    </w:t>
      </w:r>
    </w:p>
    <w:p w14:paraId="52946933" w14:textId="0AE978D7" w:rsidR="001E00C7" w:rsidRPr="00542980" w:rsidRDefault="00B04D80" w:rsidP="002F71BC">
      <w:pPr>
        <w:jc w:val="both"/>
        <w:rPr>
          <w:rFonts w:ascii="Corbel" w:hAnsi="Corbel"/>
          <w:bCs/>
          <w:iCs/>
          <w:sz w:val="22"/>
          <w:szCs w:val="22"/>
          <w:lang w:val="en-US"/>
        </w:rPr>
      </w:pPr>
      <w:r w:rsidRPr="00542980">
        <w:rPr>
          <w:rFonts w:ascii="Corbel" w:hAnsi="Corbel"/>
          <w:bCs/>
          <w:iCs/>
          <w:sz w:val="22"/>
          <w:szCs w:val="22"/>
          <w:lang w:val="en-US"/>
        </w:rPr>
        <w:t xml:space="preserve">For the current period 2020 – 2030 the EU has not </w:t>
      </w:r>
      <w:r w:rsidR="001E00C7" w:rsidRPr="00542980">
        <w:rPr>
          <w:rFonts w:ascii="Corbel" w:hAnsi="Corbel"/>
          <w:bCs/>
          <w:iCs/>
          <w:sz w:val="22"/>
          <w:szCs w:val="22"/>
          <w:lang w:val="en-US"/>
        </w:rPr>
        <w:t xml:space="preserve">yet adopted a common ten-year strategy despite the European Commission published at the end of January 2019, a reflection paper “Towards a Sustainable Europe by 2030” outlining three possible scenarios on how to better integrate the UN 2030 Agenda into the post-2020 EU strategic framework. </w:t>
      </w:r>
      <w:r w:rsidR="00042169" w:rsidRPr="00542980">
        <w:rPr>
          <w:rFonts w:ascii="Corbel" w:hAnsi="Corbel"/>
          <w:bCs/>
          <w:iCs/>
          <w:sz w:val="22"/>
          <w:szCs w:val="22"/>
          <w:lang w:val="en-US"/>
        </w:rPr>
        <w:t>The three envisaged scenarios aim</w:t>
      </w:r>
      <w:r w:rsidR="001E00C7" w:rsidRPr="00542980">
        <w:rPr>
          <w:rFonts w:ascii="Corbel" w:hAnsi="Corbel"/>
          <w:bCs/>
          <w:iCs/>
          <w:sz w:val="22"/>
          <w:szCs w:val="22"/>
          <w:lang w:val="en-US"/>
        </w:rPr>
        <w:t>ed</w:t>
      </w:r>
      <w:r w:rsidR="00042169" w:rsidRPr="00542980">
        <w:rPr>
          <w:rFonts w:ascii="Corbel" w:hAnsi="Corbel"/>
          <w:bCs/>
          <w:iCs/>
          <w:sz w:val="22"/>
          <w:szCs w:val="22"/>
          <w:lang w:val="en-US"/>
        </w:rPr>
        <w:t xml:space="preserve"> at opening the debate among the citizens, stakeholders, and governments on how to prepare the next EU strategic agenda, outlining different responses that are neither restrictive nor prescriptive (European Commission</w:t>
      </w:r>
      <w:r w:rsidR="004279DC" w:rsidRPr="00542980">
        <w:rPr>
          <w:rFonts w:ascii="Corbel" w:hAnsi="Corbel"/>
          <w:bCs/>
          <w:iCs/>
          <w:sz w:val="22"/>
          <w:szCs w:val="22"/>
          <w:lang w:val="en-US"/>
        </w:rPr>
        <w:t>,</w:t>
      </w:r>
      <w:r w:rsidR="00042169" w:rsidRPr="00542980">
        <w:rPr>
          <w:rFonts w:ascii="Corbel" w:hAnsi="Corbel"/>
          <w:bCs/>
          <w:iCs/>
          <w:sz w:val="22"/>
          <w:szCs w:val="22"/>
          <w:lang w:val="en-US"/>
        </w:rPr>
        <w:t xml:space="preserve"> 2019). </w:t>
      </w:r>
      <w:r w:rsidR="001E00C7" w:rsidRPr="00542980">
        <w:rPr>
          <w:rFonts w:ascii="Corbel" w:hAnsi="Corbel"/>
          <w:bCs/>
          <w:iCs/>
          <w:sz w:val="22"/>
          <w:szCs w:val="22"/>
          <w:lang w:val="en-US"/>
        </w:rPr>
        <w:t>The breakout of the Covid-19 pandemic</w:t>
      </w:r>
      <w:r w:rsidR="00EF5FC2" w:rsidRPr="00542980">
        <w:rPr>
          <w:rFonts w:ascii="Corbel" w:hAnsi="Corbel"/>
          <w:bCs/>
          <w:iCs/>
          <w:sz w:val="22"/>
          <w:szCs w:val="22"/>
          <w:lang w:val="en-US"/>
        </w:rPr>
        <w:t xml:space="preserve"> in January 2020 moved the attention on the recovery measures and stopped the debate on the adoption of the long-term EU common strategy</w:t>
      </w:r>
      <w:r w:rsidR="00330F17" w:rsidRPr="00542980">
        <w:rPr>
          <w:rFonts w:ascii="Corbel" w:hAnsi="Corbel"/>
          <w:bCs/>
          <w:iCs/>
          <w:sz w:val="22"/>
          <w:szCs w:val="22"/>
          <w:lang w:val="en-US"/>
        </w:rPr>
        <w:t xml:space="preserve"> which has not yet been adopted by the European Union</w:t>
      </w:r>
      <w:r w:rsidR="00EF5FC2" w:rsidRPr="00542980">
        <w:rPr>
          <w:rFonts w:ascii="Corbel" w:hAnsi="Corbel"/>
          <w:bCs/>
          <w:iCs/>
          <w:sz w:val="22"/>
          <w:szCs w:val="22"/>
          <w:lang w:val="en-US"/>
        </w:rPr>
        <w:t>.</w:t>
      </w:r>
      <w:r w:rsidR="001E00C7" w:rsidRPr="00542980">
        <w:rPr>
          <w:rFonts w:ascii="Corbel" w:hAnsi="Corbel"/>
          <w:bCs/>
          <w:iCs/>
          <w:sz w:val="22"/>
          <w:szCs w:val="22"/>
          <w:lang w:val="en-US"/>
        </w:rPr>
        <w:t xml:space="preserve"> </w:t>
      </w:r>
    </w:p>
    <w:p w14:paraId="3D915A81" w14:textId="77777777" w:rsidR="00042169" w:rsidRPr="009722B3" w:rsidRDefault="00042169" w:rsidP="002F71BC">
      <w:pPr>
        <w:jc w:val="both"/>
        <w:rPr>
          <w:rFonts w:ascii="Corbel" w:hAnsi="Corbel"/>
          <w:bCs/>
          <w:iCs/>
          <w:lang w:val="en-US"/>
        </w:rPr>
      </w:pPr>
    </w:p>
    <w:p w14:paraId="75907245" w14:textId="77777777" w:rsidR="00F63E83" w:rsidRPr="009722B3" w:rsidRDefault="00F63E83" w:rsidP="002F71BC">
      <w:pPr>
        <w:pStyle w:val="Paragrafoelenco"/>
        <w:numPr>
          <w:ilvl w:val="0"/>
          <w:numId w:val="1"/>
        </w:numPr>
        <w:spacing w:line="240" w:lineRule="auto"/>
        <w:jc w:val="both"/>
        <w:rPr>
          <w:rFonts w:ascii="Corbel" w:hAnsi="Corbel"/>
          <w:i/>
          <w:sz w:val="24"/>
          <w:szCs w:val="24"/>
          <w:lang w:val="en-US"/>
        </w:rPr>
      </w:pPr>
      <w:r w:rsidRPr="009722B3">
        <w:rPr>
          <w:rFonts w:ascii="Corbel" w:hAnsi="Corbel"/>
          <w:i/>
          <w:sz w:val="24"/>
          <w:szCs w:val="24"/>
          <w:lang w:val="en-US"/>
        </w:rPr>
        <w:lastRenderedPageBreak/>
        <w:t xml:space="preserve">Strategic Agenda of the European Council. </w:t>
      </w:r>
    </w:p>
    <w:p w14:paraId="5F539687" w14:textId="57679878" w:rsidR="00EB155C" w:rsidRPr="00542980" w:rsidRDefault="00F63E83" w:rsidP="002F71BC">
      <w:pPr>
        <w:jc w:val="both"/>
        <w:rPr>
          <w:rFonts w:ascii="Corbel" w:hAnsi="Corbel"/>
          <w:sz w:val="22"/>
          <w:szCs w:val="22"/>
          <w:lang w:val="en-US"/>
        </w:rPr>
      </w:pPr>
      <w:r w:rsidRPr="00542980">
        <w:rPr>
          <w:rFonts w:ascii="Corbel" w:hAnsi="Corbel"/>
          <w:sz w:val="22"/>
          <w:szCs w:val="22"/>
          <w:lang w:val="en-US"/>
        </w:rPr>
        <w:t xml:space="preserve">An additional source for strategic inputs at </w:t>
      </w:r>
      <w:r w:rsidR="0059264C" w:rsidRPr="00542980">
        <w:rPr>
          <w:rFonts w:ascii="Corbel" w:hAnsi="Corbel"/>
          <w:sz w:val="22"/>
          <w:szCs w:val="22"/>
          <w:lang w:val="en-US"/>
        </w:rPr>
        <w:t xml:space="preserve">the </w:t>
      </w:r>
      <w:r w:rsidRPr="00542980">
        <w:rPr>
          <w:rFonts w:ascii="Corbel" w:hAnsi="Corbel"/>
          <w:sz w:val="22"/>
          <w:szCs w:val="22"/>
          <w:lang w:val="en-US"/>
        </w:rPr>
        <w:t xml:space="preserve">EU level comes from the European Council, composed by the EU national head of States and governments. According to art. 15 of </w:t>
      </w:r>
      <w:r w:rsidR="005166F2" w:rsidRPr="00542980">
        <w:rPr>
          <w:rFonts w:ascii="Corbel" w:hAnsi="Corbel"/>
          <w:sz w:val="22"/>
          <w:szCs w:val="22"/>
          <w:lang w:val="en-US"/>
        </w:rPr>
        <w:t xml:space="preserve">the </w:t>
      </w:r>
      <w:r w:rsidRPr="00542980">
        <w:rPr>
          <w:rFonts w:ascii="Corbel" w:hAnsi="Corbel"/>
          <w:sz w:val="22"/>
          <w:szCs w:val="22"/>
          <w:lang w:val="en-US"/>
        </w:rPr>
        <w:t>T</w:t>
      </w:r>
      <w:r w:rsidR="005166F2" w:rsidRPr="00542980">
        <w:rPr>
          <w:rFonts w:ascii="Corbel" w:hAnsi="Corbel"/>
          <w:sz w:val="22"/>
          <w:szCs w:val="22"/>
          <w:lang w:val="en-US"/>
        </w:rPr>
        <w:t>reaty of the European Union (TEU)</w:t>
      </w:r>
      <w:r w:rsidRPr="00542980">
        <w:rPr>
          <w:rFonts w:ascii="Corbel" w:hAnsi="Corbel"/>
          <w:sz w:val="22"/>
          <w:szCs w:val="22"/>
          <w:lang w:val="en-US"/>
        </w:rPr>
        <w:t xml:space="preserve">, the European Council </w:t>
      </w:r>
      <w:r w:rsidRPr="00542980">
        <w:rPr>
          <w:rFonts w:ascii="Corbel" w:hAnsi="Corbel"/>
          <w:i/>
          <w:sz w:val="22"/>
          <w:szCs w:val="22"/>
          <w:lang w:val="en-US"/>
        </w:rPr>
        <w:t>“</w:t>
      </w:r>
      <w:r w:rsidRPr="00542980">
        <w:rPr>
          <w:rFonts w:ascii="Corbel" w:hAnsi="Corbel"/>
          <w:sz w:val="22"/>
          <w:szCs w:val="22"/>
          <w:lang w:val="en-US"/>
        </w:rPr>
        <w:t>shall provide the Union with the necessary impetus for its development and shall define the general political directions and priorities thereof.”</w:t>
      </w:r>
      <w:r w:rsidRPr="00542980">
        <w:rPr>
          <w:rFonts w:ascii="Corbel" w:hAnsi="Corbel"/>
          <w:i/>
          <w:sz w:val="22"/>
          <w:szCs w:val="22"/>
          <w:lang w:val="en-US"/>
        </w:rPr>
        <w:t xml:space="preserve"> </w:t>
      </w:r>
      <w:r w:rsidRPr="00542980">
        <w:rPr>
          <w:rFonts w:ascii="Corbel" w:hAnsi="Corbel"/>
          <w:sz w:val="22"/>
          <w:szCs w:val="22"/>
          <w:lang w:val="en-US"/>
        </w:rPr>
        <w:t xml:space="preserve">In doing this the European Council adopted </w:t>
      </w:r>
      <w:r w:rsidR="0059264C" w:rsidRPr="00542980">
        <w:rPr>
          <w:rFonts w:ascii="Corbel" w:hAnsi="Corbel"/>
          <w:sz w:val="22"/>
          <w:szCs w:val="22"/>
          <w:lang w:val="en-US"/>
        </w:rPr>
        <w:t>i</w:t>
      </w:r>
      <w:r w:rsidRPr="00542980">
        <w:rPr>
          <w:rFonts w:ascii="Corbel" w:hAnsi="Corbel"/>
          <w:sz w:val="22"/>
          <w:szCs w:val="22"/>
          <w:lang w:val="en-US"/>
        </w:rPr>
        <w:t>n June 201</w:t>
      </w:r>
      <w:r w:rsidR="00EF5FC2" w:rsidRPr="00542980">
        <w:rPr>
          <w:rFonts w:ascii="Corbel" w:hAnsi="Corbel"/>
          <w:sz w:val="22"/>
          <w:szCs w:val="22"/>
          <w:lang w:val="en-US"/>
        </w:rPr>
        <w:t>9</w:t>
      </w:r>
      <w:r w:rsidRPr="00542980">
        <w:rPr>
          <w:rFonts w:ascii="Corbel" w:hAnsi="Corbel"/>
          <w:sz w:val="22"/>
          <w:szCs w:val="22"/>
          <w:lang w:val="en-US"/>
        </w:rPr>
        <w:t xml:space="preserve"> the “</w:t>
      </w:r>
      <w:r w:rsidR="00EF5FC2" w:rsidRPr="00542980">
        <w:rPr>
          <w:rFonts w:ascii="Corbel" w:hAnsi="Corbel"/>
          <w:sz w:val="22"/>
          <w:szCs w:val="22"/>
          <w:lang w:val="en-US"/>
        </w:rPr>
        <w:t>A New Strategic Agenda 2019-2024</w:t>
      </w:r>
      <w:r w:rsidRPr="00542980">
        <w:rPr>
          <w:rFonts w:ascii="Corbel" w:hAnsi="Corbel"/>
          <w:sz w:val="22"/>
          <w:szCs w:val="22"/>
          <w:lang w:val="en-US"/>
        </w:rPr>
        <w:t xml:space="preserve">”, composed of five fields, </w:t>
      </w:r>
      <w:r w:rsidR="00EF5FC2" w:rsidRPr="00542980">
        <w:rPr>
          <w:rFonts w:ascii="Corbel" w:hAnsi="Corbel"/>
          <w:sz w:val="22"/>
          <w:szCs w:val="22"/>
          <w:lang w:val="en-US"/>
        </w:rPr>
        <w:t>priorities,</w:t>
      </w:r>
      <w:r w:rsidRPr="00542980">
        <w:rPr>
          <w:rFonts w:ascii="Corbel" w:hAnsi="Corbel"/>
          <w:sz w:val="22"/>
          <w:szCs w:val="22"/>
          <w:lang w:val="en-US"/>
        </w:rPr>
        <w:t xml:space="preserve"> and actions</w:t>
      </w:r>
      <w:r w:rsidRPr="00542980">
        <w:rPr>
          <w:rStyle w:val="Rimandonotadichiusura"/>
          <w:rFonts w:ascii="Corbel" w:hAnsi="Corbel"/>
          <w:sz w:val="22"/>
          <w:szCs w:val="22"/>
          <w:lang w:val="en-US"/>
        </w:rPr>
        <w:endnoteReference w:id="7"/>
      </w:r>
      <w:r w:rsidRPr="00542980">
        <w:rPr>
          <w:rFonts w:ascii="Corbel" w:hAnsi="Corbel"/>
          <w:sz w:val="22"/>
          <w:szCs w:val="22"/>
          <w:lang w:val="en-US"/>
        </w:rPr>
        <w:t xml:space="preserve"> to guide the EU work for the next five years</w:t>
      </w:r>
      <w:r w:rsidR="00542980">
        <w:rPr>
          <w:rFonts w:ascii="Corbel" w:hAnsi="Corbel"/>
          <w:sz w:val="22"/>
          <w:szCs w:val="22"/>
          <w:lang w:val="en-US"/>
        </w:rPr>
        <w:t xml:space="preserve"> (table 2)</w:t>
      </w:r>
      <w:r w:rsidRPr="00542980">
        <w:rPr>
          <w:rFonts w:ascii="Corbel" w:hAnsi="Corbel"/>
          <w:sz w:val="22"/>
          <w:szCs w:val="22"/>
          <w:lang w:val="en-US"/>
        </w:rPr>
        <w:t xml:space="preserve">. Contrary to the Europe </w:t>
      </w:r>
      <w:r w:rsidR="00EF5FC2" w:rsidRPr="00542980">
        <w:rPr>
          <w:rFonts w:ascii="Corbel" w:hAnsi="Corbel"/>
          <w:sz w:val="22"/>
          <w:szCs w:val="22"/>
          <w:lang w:val="en-US"/>
        </w:rPr>
        <w:t>ten-year</w:t>
      </w:r>
      <w:r w:rsidRPr="00542980">
        <w:rPr>
          <w:rFonts w:ascii="Corbel" w:hAnsi="Corbel"/>
          <w:sz w:val="22"/>
          <w:szCs w:val="22"/>
          <w:lang w:val="en-US"/>
        </w:rPr>
        <w:t xml:space="preserve"> strategy, the strategic agenda adopted by the Council do</w:t>
      </w:r>
      <w:r w:rsidR="005166F2" w:rsidRPr="00542980">
        <w:rPr>
          <w:rFonts w:ascii="Corbel" w:hAnsi="Corbel"/>
          <w:sz w:val="22"/>
          <w:szCs w:val="22"/>
          <w:lang w:val="en-US"/>
        </w:rPr>
        <w:t>es</w:t>
      </w:r>
      <w:r w:rsidRPr="00542980">
        <w:rPr>
          <w:rFonts w:ascii="Corbel" w:hAnsi="Corbel"/>
          <w:sz w:val="22"/>
          <w:szCs w:val="22"/>
          <w:lang w:val="en-US"/>
        </w:rPr>
        <w:t xml:space="preserve"> not include targets or indicators to feed the reporting and monitoring system.</w:t>
      </w:r>
    </w:p>
    <w:p w14:paraId="3BBF60BF" w14:textId="37EF54DF" w:rsidR="00EB155C" w:rsidRPr="009722B3" w:rsidRDefault="00EB155C" w:rsidP="002F71BC">
      <w:pPr>
        <w:jc w:val="both"/>
        <w:rPr>
          <w:rFonts w:ascii="Corbel" w:hAnsi="Corbel"/>
          <w:lang w:val="en-US"/>
        </w:rPr>
      </w:pPr>
    </w:p>
    <w:p w14:paraId="5A298968" w14:textId="464A9C04" w:rsidR="00330F17" w:rsidRPr="00542980" w:rsidRDefault="00EB155C" w:rsidP="00542980">
      <w:pPr>
        <w:pStyle w:val="Didascalia"/>
        <w:jc w:val="both"/>
        <w:rPr>
          <w:rFonts w:ascii="Corbel" w:hAnsi="Corbel"/>
          <w:b/>
          <w:bCs/>
          <w:lang w:val="en-US"/>
        </w:rPr>
      </w:pPr>
      <w:r w:rsidRPr="00542980">
        <w:rPr>
          <w:rFonts w:ascii="Corbel" w:hAnsi="Corbel"/>
          <w:b/>
          <w:bCs/>
          <w:lang w:val="en-US"/>
        </w:rPr>
        <w:t xml:space="preserve">Table </w:t>
      </w:r>
      <w:r w:rsidR="00542980" w:rsidRPr="00542980">
        <w:rPr>
          <w:rFonts w:ascii="Corbel" w:hAnsi="Corbel"/>
          <w:b/>
          <w:bCs/>
          <w:lang w:val="en-US"/>
        </w:rPr>
        <w:t>2</w:t>
      </w:r>
      <w:r w:rsidRPr="00542980">
        <w:rPr>
          <w:rFonts w:ascii="Corbel" w:hAnsi="Corbel"/>
          <w:b/>
          <w:bCs/>
          <w:lang w:val="en-US"/>
        </w:rPr>
        <w:t xml:space="preserve"> - Strategic Agenda of the European Council</w:t>
      </w:r>
    </w:p>
    <w:tbl>
      <w:tblPr>
        <w:tblW w:w="8784" w:type="dxa"/>
        <w:tblCellMar>
          <w:left w:w="70" w:type="dxa"/>
          <w:right w:w="70" w:type="dxa"/>
        </w:tblCellMar>
        <w:tblLook w:val="04A0" w:firstRow="1" w:lastRow="0" w:firstColumn="1" w:lastColumn="0" w:noHBand="0" w:noVBand="1"/>
      </w:tblPr>
      <w:tblGrid>
        <w:gridCol w:w="8784"/>
      </w:tblGrid>
      <w:tr w:rsidR="00365C21" w:rsidRPr="009722B3" w14:paraId="3F73CF47" w14:textId="77777777" w:rsidTr="00365C21">
        <w:trPr>
          <w:trHeight w:val="267"/>
        </w:trPr>
        <w:tc>
          <w:tcPr>
            <w:tcW w:w="87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1DDB89" w14:textId="0F6E963D" w:rsidR="00365C21" w:rsidRPr="009722B3" w:rsidRDefault="00365C21" w:rsidP="002F71BC">
            <w:pPr>
              <w:jc w:val="center"/>
              <w:rPr>
                <w:rFonts w:ascii="Corbel" w:hAnsi="Corbel"/>
                <w:b/>
                <w:bCs/>
                <w:color w:val="000000"/>
                <w:sz w:val="20"/>
                <w:szCs w:val="20"/>
                <w:lang w:val="en-GB"/>
              </w:rPr>
            </w:pPr>
            <w:r w:rsidRPr="009722B3">
              <w:rPr>
                <w:rFonts w:ascii="Corbel" w:hAnsi="Corbel"/>
                <w:b/>
                <w:bCs/>
                <w:color w:val="000000"/>
                <w:sz w:val="20"/>
                <w:szCs w:val="20"/>
                <w:lang w:val="en-GB"/>
              </w:rPr>
              <w:t>Main priorities (2019-2024)</w:t>
            </w:r>
          </w:p>
        </w:tc>
      </w:tr>
      <w:tr w:rsidR="00365C21" w:rsidRPr="009722B3" w14:paraId="0D1B54E0" w14:textId="77777777" w:rsidTr="00365C21">
        <w:trPr>
          <w:trHeight w:val="223"/>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58E3BB0C" w14:textId="7DC2FACA" w:rsidR="00365C21" w:rsidRPr="009722B3" w:rsidRDefault="00365C21" w:rsidP="002F71BC">
            <w:pPr>
              <w:autoSpaceDE w:val="0"/>
              <w:autoSpaceDN w:val="0"/>
              <w:adjustRightInd w:val="0"/>
              <w:rPr>
                <w:rFonts w:ascii="Corbel" w:hAnsi="Corbel"/>
                <w:color w:val="000000"/>
                <w:sz w:val="20"/>
                <w:szCs w:val="20"/>
                <w:lang w:val="en-GB"/>
              </w:rPr>
            </w:pPr>
            <w:r w:rsidRPr="009722B3">
              <w:rPr>
                <w:rFonts w:ascii="Corbel" w:hAnsi="Corbel"/>
                <w:color w:val="000000"/>
                <w:sz w:val="20"/>
                <w:szCs w:val="20"/>
                <w:lang w:val="en-GB"/>
              </w:rPr>
              <w:t>1. Protecting citizens and freedoms</w:t>
            </w:r>
          </w:p>
        </w:tc>
      </w:tr>
      <w:tr w:rsidR="00365C21" w:rsidRPr="009722B3" w14:paraId="5D7FC720" w14:textId="77777777" w:rsidTr="00365C21">
        <w:trPr>
          <w:trHeight w:val="267"/>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1FDBDFF9" w14:textId="512C26ED" w:rsidR="00365C21" w:rsidRPr="009722B3" w:rsidRDefault="00365C21" w:rsidP="002F71BC">
            <w:pPr>
              <w:rPr>
                <w:rFonts w:ascii="Corbel" w:hAnsi="Corbel"/>
                <w:color w:val="000000"/>
                <w:sz w:val="20"/>
                <w:szCs w:val="20"/>
                <w:lang w:val="en-GB"/>
              </w:rPr>
            </w:pPr>
            <w:r w:rsidRPr="009722B3">
              <w:rPr>
                <w:rFonts w:ascii="Corbel" w:hAnsi="Corbel"/>
                <w:color w:val="000000"/>
                <w:sz w:val="20"/>
                <w:szCs w:val="20"/>
                <w:lang w:val="en-GB"/>
              </w:rPr>
              <w:t>2. Developing our economic base: the European model for the future</w:t>
            </w:r>
          </w:p>
          <w:p w14:paraId="6C93CAF2" w14:textId="512C26ED" w:rsidR="00365C21" w:rsidRPr="009722B3" w:rsidRDefault="00365C21" w:rsidP="002F71BC">
            <w:pPr>
              <w:rPr>
                <w:rFonts w:ascii="Corbel" w:hAnsi="Corbel"/>
                <w:color w:val="000000"/>
                <w:sz w:val="20"/>
                <w:szCs w:val="20"/>
                <w:lang w:val="en-GB"/>
              </w:rPr>
            </w:pPr>
          </w:p>
        </w:tc>
      </w:tr>
      <w:tr w:rsidR="00365C21" w:rsidRPr="009722B3" w14:paraId="0AF6EB29" w14:textId="77777777" w:rsidTr="00365C21">
        <w:trPr>
          <w:trHeight w:val="279"/>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7187C8CC" w14:textId="0A55EE2E" w:rsidR="00365C21" w:rsidRPr="009722B3" w:rsidRDefault="00365C21" w:rsidP="002F71BC">
            <w:pPr>
              <w:rPr>
                <w:rFonts w:ascii="Corbel" w:hAnsi="Corbel"/>
                <w:color w:val="000000"/>
                <w:sz w:val="20"/>
                <w:szCs w:val="20"/>
                <w:lang w:val="en-GB"/>
              </w:rPr>
            </w:pPr>
            <w:r w:rsidRPr="009722B3">
              <w:rPr>
                <w:rFonts w:ascii="Corbel" w:hAnsi="Corbel"/>
                <w:color w:val="000000"/>
                <w:sz w:val="20"/>
                <w:szCs w:val="20"/>
                <w:lang w:val="en-GB"/>
              </w:rPr>
              <w:t xml:space="preserve">3. Building a climate neutral, green, </w:t>
            </w:r>
            <w:proofErr w:type="gramStart"/>
            <w:r w:rsidRPr="009722B3">
              <w:rPr>
                <w:rFonts w:ascii="Corbel" w:hAnsi="Corbel"/>
                <w:color w:val="000000"/>
                <w:sz w:val="20"/>
                <w:szCs w:val="20"/>
                <w:lang w:val="en-GB"/>
              </w:rPr>
              <w:t>fair</w:t>
            </w:r>
            <w:proofErr w:type="gramEnd"/>
            <w:r w:rsidRPr="009722B3">
              <w:rPr>
                <w:rFonts w:ascii="Corbel" w:hAnsi="Corbel"/>
                <w:color w:val="000000"/>
                <w:sz w:val="20"/>
                <w:szCs w:val="20"/>
                <w:lang w:val="en-GB"/>
              </w:rPr>
              <w:t xml:space="preserve"> and social Europe</w:t>
            </w:r>
          </w:p>
        </w:tc>
      </w:tr>
      <w:tr w:rsidR="00365C21" w:rsidRPr="009722B3" w14:paraId="7D1B58E0" w14:textId="77777777" w:rsidTr="00365C21">
        <w:trPr>
          <w:trHeight w:val="267"/>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3DA82E4E" w14:textId="7D06958B" w:rsidR="00365C21" w:rsidRPr="009722B3" w:rsidRDefault="00365C21" w:rsidP="002F71BC">
            <w:pPr>
              <w:rPr>
                <w:rFonts w:ascii="Corbel" w:hAnsi="Corbel"/>
                <w:color w:val="000000"/>
                <w:sz w:val="20"/>
                <w:szCs w:val="20"/>
                <w:lang w:val="en-GB"/>
              </w:rPr>
            </w:pPr>
            <w:r w:rsidRPr="009722B3">
              <w:rPr>
                <w:rFonts w:ascii="Corbel" w:hAnsi="Corbel"/>
                <w:color w:val="000000"/>
                <w:sz w:val="20"/>
                <w:szCs w:val="20"/>
                <w:lang w:val="en-GB"/>
              </w:rPr>
              <w:t>4. Promoting Europe’s interests and values in the world</w:t>
            </w:r>
          </w:p>
        </w:tc>
      </w:tr>
    </w:tbl>
    <w:p w14:paraId="3E324BDB" w14:textId="77777777" w:rsidR="00E104F6" w:rsidRPr="009722B3" w:rsidRDefault="00E104F6" w:rsidP="002F71BC">
      <w:pPr>
        <w:rPr>
          <w:rFonts w:ascii="Corbel" w:hAnsi="Corbel"/>
          <w:i/>
          <w:lang w:val="en-US"/>
        </w:rPr>
      </w:pPr>
    </w:p>
    <w:p w14:paraId="2BE6AE88" w14:textId="77777777" w:rsidR="00F63E83" w:rsidRPr="009722B3" w:rsidRDefault="00F63E83" w:rsidP="002F71BC">
      <w:pPr>
        <w:pStyle w:val="Paragrafoelenco"/>
        <w:numPr>
          <w:ilvl w:val="0"/>
          <w:numId w:val="1"/>
        </w:numPr>
        <w:spacing w:line="240" w:lineRule="auto"/>
        <w:jc w:val="both"/>
        <w:rPr>
          <w:rFonts w:ascii="Corbel" w:hAnsi="Corbel"/>
          <w:i/>
          <w:sz w:val="24"/>
          <w:szCs w:val="24"/>
          <w:lang w:val="en-US"/>
        </w:rPr>
      </w:pPr>
      <w:r w:rsidRPr="009722B3">
        <w:rPr>
          <w:rFonts w:ascii="Corbel" w:hAnsi="Corbel"/>
          <w:i/>
          <w:sz w:val="24"/>
          <w:szCs w:val="24"/>
          <w:lang w:val="en-US"/>
        </w:rPr>
        <w:t xml:space="preserve">EU sectorial policy strategies and objectives. </w:t>
      </w:r>
    </w:p>
    <w:p w14:paraId="4BC25F56" w14:textId="2D716722" w:rsidR="00F63E83" w:rsidRPr="00542980" w:rsidRDefault="00F63E83" w:rsidP="002F71BC">
      <w:pPr>
        <w:jc w:val="both"/>
        <w:rPr>
          <w:rFonts w:ascii="Corbel" w:hAnsi="Corbel"/>
          <w:sz w:val="22"/>
          <w:szCs w:val="22"/>
          <w:lang w:val="en-US"/>
        </w:rPr>
      </w:pPr>
      <w:r w:rsidRPr="00542980">
        <w:rPr>
          <w:rFonts w:ascii="Corbel" w:hAnsi="Corbel"/>
          <w:sz w:val="22"/>
          <w:szCs w:val="22"/>
          <w:lang w:val="en-US"/>
        </w:rPr>
        <w:t>The EU also sets strategies and objectives at the level of the sectorial policies according to the main areas of competence of the EU (see art. 6 TFUE). They include, among others, the EU Energy strategy</w:t>
      </w:r>
      <w:r w:rsidRPr="00542980">
        <w:rPr>
          <w:rStyle w:val="Rimandonotadichiusura"/>
          <w:rFonts w:ascii="Corbel" w:hAnsi="Corbel"/>
          <w:sz w:val="22"/>
          <w:szCs w:val="22"/>
          <w:lang w:val="en-US"/>
        </w:rPr>
        <w:endnoteReference w:id="8"/>
      </w:r>
      <w:r w:rsidRPr="00542980">
        <w:rPr>
          <w:rFonts w:ascii="Corbel" w:hAnsi="Corbel"/>
          <w:sz w:val="22"/>
          <w:szCs w:val="22"/>
          <w:lang w:val="en-US"/>
        </w:rPr>
        <w:t>, the EU Health strategy</w:t>
      </w:r>
      <w:r w:rsidRPr="00542980">
        <w:rPr>
          <w:rStyle w:val="Rimandonotadichiusura"/>
          <w:rFonts w:ascii="Corbel" w:hAnsi="Corbel"/>
          <w:sz w:val="22"/>
          <w:szCs w:val="22"/>
          <w:lang w:val="en-US"/>
        </w:rPr>
        <w:endnoteReference w:id="9"/>
      </w:r>
      <w:r w:rsidRPr="00542980">
        <w:rPr>
          <w:rFonts w:ascii="Corbel" w:hAnsi="Corbel"/>
          <w:sz w:val="22"/>
          <w:szCs w:val="22"/>
          <w:lang w:val="en-US"/>
        </w:rPr>
        <w:t>, the Consumer Policy Strategy</w:t>
      </w:r>
      <w:r w:rsidRPr="00542980">
        <w:rPr>
          <w:rStyle w:val="Rimandonotadichiusura"/>
          <w:rFonts w:ascii="Corbel" w:hAnsi="Corbel"/>
          <w:sz w:val="22"/>
          <w:szCs w:val="22"/>
          <w:lang w:val="en-US"/>
        </w:rPr>
        <w:endnoteReference w:id="10"/>
      </w:r>
      <w:r w:rsidRPr="00542980">
        <w:rPr>
          <w:rFonts w:ascii="Corbel" w:hAnsi="Corbel"/>
          <w:sz w:val="22"/>
          <w:szCs w:val="22"/>
          <w:lang w:val="en-US"/>
        </w:rPr>
        <w:t>, the Strategic Framework for Education and Training 2020</w:t>
      </w:r>
      <w:r w:rsidRPr="00542980">
        <w:rPr>
          <w:rStyle w:val="Rimandonotadichiusura"/>
          <w:rFonts w:ascii="Corbel" w:hAnsi="Corbel"/>
          <w:sz w:val="22"/>
          <w:szCs w:val="22"/>
          <w:lang w:val="en-US"/>
        </w:rPr>
        <w:endnoteReference w:id="11"/>
      </w:r>
      <w:r w:rsidRPr="00542980">
        <w:rPr>
          <w:rFonts w:ascii="Corbel" w:hAnsi="Corbel"/>
          <w:sz w:val="22"/>
          <w:szCs w:val="22"/>
          <w:lang w:val="en-US"/>
        </w:rPr>
        <w:t>, the EU Cohesion policy, the EU Climate action, the Global Strategy for the European Union’s Foreign and Security Policy (EUGS)</w:t>
      </w:r>
      <w:r w:rsidR="0059264C" w:rsidRPr="00542980">
        <w:rPr>
          <w:rFonts w:ascii="Corbel" w:hAnsi="Corbel"/>
          <w:sz w:val="22"/>
          <w:szCs w:val="22"/>
          <w:lang w:val="en-US"/>
        </w:rPr>
        <w:t>,</w:t>
      </w:r>
      <w:r w:rsidRPr="00542980">
        <w:rPr>
          <w:rFonts w:ascii="Corbel" w:hAnsi="Corbel"/>
          <w:sz w:val="22"/>
          <w:szCs w:val="22"/>
          <w:lang w:val="en-US"/>
        </w:rPr>
        <w:t xml:space="preserve"> etc. Generally, for each policy strategy, the EU sets medium and long-term objectives, linked to higher strategic documents as</w:t>
      </w:r>
      <w:r w:rsidR="00365C21" w:rsidRPr="00542980">
        <w:rPr>
          <w:rFonts w:ascii="Corbel" w:hAnsi="Corbel"/>
          <w:sz w:val="22"/>
          <w:szCs w:val="22"/>
          <w:lang w:val="en-US"/>
        </w:rPr>
        <w:t xml:space="preserve"> was the case when the</w:t>
      </w:r>
      <w:r w:rsidRPr="00542980">
        <w:rPr>
          <w:rFonts w:ascii="Corbel" w:hAnsi="Corbel"/>
          <w:sz w:val="22"/>
          <w:szCs w:val="22"/>
          <w:lang w:val="en-US"/>
        </w:rPr>
        <w:t xml:space="preserve"> Europe 2020 strategy</w:t>
      </w:r>
      <w:r w:rsidR="00365C21" w:rsidRPr="00542980">
        <w:rPr>
          <w:rFonts w:ascii="Corbel" w:hAnsi="Corbel"/>
          <w:sz w:val="22"/>
          <w:szCs w:val="22"/>
          <w:lang w:val="en-US"/>
        </w:rPr>
        <w:t xml:space="preserve"> was in place</w:t>
      </w:r>
      <w:r w:rsidRPr="00542980">
        <w:rPr>
          <w:rFonts w:ascii="Corbel" w:hAnsi="Corbel"/>
          <w:sz w:val="22"/>
          <w:szCs w:val="22"/>
          <w:lang w:val="en-US"/>
        </w:rPr>
        <w:t xml:space="preserve">. For example, the Cohesion policy thematic objectives set for the period 2014-2020 and guiding the implementation of the European Structural and Investment Funds </w:t>
      </w:r>
      <w:r w:rsidR="00365C21" w:rsidRPr="00542980">
        <w:rPr>
          <w:rFonts w:ascii="Corbel" w:hAnsi="Corbel"/>
          <w:sz w:val="22"/>
          <w:szCs w:val="22"/>
          <w:lang w:val="en-US"/>
        </w:rPr>
        <w:t>were</w:t>
      </w:r>
      <w:r w:rsidRPr="00542980">
        <w:rPr>
          <w:rFonts w:ascii="Corbel" w:hAnsi="Corbel"/>
          <w:sz w:val="22"/>
          <w:szCs w:val="22"/>
          <w:lang w:val="en-US"/>
        </w:rPr>
        <w:t xml:space="preserve"> aligned to the Europe 2020 strategy as shown </w:t>
      </w:r>
      <w:r w:rsidR="00542980">
        <w:rPr>
          <w:rFonts w:ascii="Corbel" w:hAnsi="Corbel"/>
          <w:sz w:val="22"/>
          <w:szCs w:val="22"/>
          <w:lang w:val="en-US"/>
        </w:rPr>
        <w:t>in table 3</w:t>
      </w:r>
      <w:r w:rsidRPr="00542980">
        <w:rPr>
          <w:rFonts w:ascii="Corbel" w:hAnsi="Corbel"/>
          <w:sz w:val="22"/>
          <w:szCs w:val="22"/>
          <w:lang w:val="en-US"/>
        </w:rPr>
        <w:t xml:space="preserve">.   </w:t>
      </w:r>
    </w:p>
    <w:p w14:paraId="47441D55" w14:textId="1B262B7C" w:rsidR="00EB155C" w:rsidRPr="009722B3" w:rsidRDefault="00EB155C" w:rsidP="002F71BC">
      <w:pPr>
        <w:jc w:val="both"/>
        <w:rPr>
          <w:rFonts w:ascii="Corbel" w:hAnsi="Corbel"/>
          <w:lang w:val="en-US"/>
        </w:rPr>
      </w:pPr>
    </w:p>
    <w:p w14:paraId="771A1FA0" w14:textId="763DAAC5" w:rsidR="00365C21" w:rsidRPr="00542980" w:rsidRDefault="00EB155C" w:rsidP="00542980">
      <w:pPr>
        <w:pStyle w:val="Didascalia"/>
        <w:jc w:val="both"/>
        <w:rPr>
          <w:rFonts w:ascii="Corbel" w:hAnsi="Corbel"/>
          <w:b/>
          <w:bCs/>
          <w:lang w:val="en-US"/>
        </w:rPr>
      </w:pPr>
      <w:r w:rsidRPr="00542980">
        <w:rPr>
          <w:rFonts w:ascii="Corbel" w:hAnsi="Corbel"/>
          <w:b/>
          <w:bCs/>
          <w:lang w:val="en-US"/>
        </w:rPr>
        <w:t xml:space="preserve">Table </w:t>
      </w:r>
      <w:r w:rsidR="00542980" w:rsidRPr="00542980">
        <w:rPr>
          <w:rFonts w:ascii="Corbel" w:hAnsi="Corbel"/>
          <w:b/>
          <w:bCs/>
          <w:lang w:val="en-US"/>
        </w:rPr>
        <w:t>3</w:t>
      </w:r>
      <w:r w:rsidRPr="00542980">
        <w:rPr>
          <w:rFonts w:ascii="Corbel" w:hAnsi="Corbel"/>
          <w:b/>
          <w:bCs/>
          <w:lang w:val="en-US"/>
        </w:rPr>
        <w:t xml:space="preserve"> – Comparison </w:t>
      </w:r>
      <w:r w:rsidR="00573D64" w:rsidRPr="00542980">
        <w:rPr>
          <w:rFonts w:ascii="Corbel" w:hAnsi="Corbel"/>
          <w:b/>
          <w:bCs/>
          <w:lang w:val="en-US"/>
        </w:rPr>
        <w:t>between Europe 2020 strategy and the EU Cohesion Policy objectives (2014-2020)</w:t>
      </w:r>
    </w:p>
    <w:tbl>
      <w:tblPr>
        <w:tblW w:w="9722" w:type="dxa"/>
        <w:tblCellMar>
          <w:left w:w="70" w:type="dxa"/>
          <w:right w:w="70" w:type="dxa"/>
        </w:tblCellMar>
        <w:tblLook w:val="04A0" w:firstRow="1" w:lastRow="0" w:firstColumn="1" w:lastColumn="0" w:noHBand="0" w:noVBand="1"/>
      </w:tblPr>
      <w:tblGrid>
        <w:gridCol w:w="1105"/>
        <w:gridCol w:w="1336"/>
        <w:gridCol w:w="2722"/>
        <w:gridCol w:w="3600"/>
        <w:gridCol w:w="959"/>
      </w:tblGrid>
      <w:tr w:rsidR="00DE7516" w:rsidRPr="009722B3" w14:paraId="33BBE5FB" w14:textId="77777777" w:rsidTr="004E0046">
        <w:trPr>
          <w:trHeight w:val="276"/>
        </w:trPr>
        <w:tc>
          <w:tcPr>
            <w:tcW w:w="50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E72C2B" w14:textId="77777777" w:rsidR="00DE7516" w:rsidRPr="009722B3" w:rsidRDefault="00DE7516" w:rsidP="002F71BC">
            <w:pPr>
              <w:jc w:val="center"/>
              <w:rPr>
                <w:rFonts w:ascii="Corbel" w:hAnsi="Corbel" w:cs="Calibri"/>
                <w:b/>
                <w:bCs/>
                <w:color w:val="000000"/>
                <w:sz w:val="20"/>
                <w:szCs w:val="20"/>
                <w:lang w:val="en-GB"/>
              </w:rPr>
            </w:pPr>
            <w:r w:rsidRPr="009722B3">
              <w:rPr>
                <w:rFonts w:ascii="Corbel" w:hAnsi="Corbel" w:cs="Calibri"/>
                <w:b/>
                <w:bCs/>
                <w:color w:val="000000"/>
                <w:sz w:val="20"/>
                <w:szCs w:val="20"/>
                <w:lang w:val="en-GB"/>
              </w:rPr>
              <w:t>Europe 2020 strategy (2010 - 2020)</w:t>
            </w:r>
          </w:p>
        </w:tc>
        <w:tc>
          <w:tcPr>
            <w:tcW w:w="4631" w:type="dxa"/>
            <w:gridSpan w:val="2"/>
            <w:tcBorders>
              <w:top w:val="single" w:sz="4" w:space="0" w:color="auto"/>
              <w:left w:val="nil"/>
              <w:bottom w:val="single" w:sz="4" w:space="0" w:color="auto"/>
              <w:right w:val="single" w:sz="4" w:space="0" w:color="auto"/>
            </w:tcBorders>
            <w:shd w:val="clear" w:color="auto" w:fill="auto"/>
            <w:vAlign w:val="bottom"/>
            <w:hideMark/>
          </w:tcPr>
          <w:p w14:paraId="2F964AAF" w14:textId="77777777" w:rsidR="00DE7516" w:rsidRPr="009722B3" w:rsidRDefault="00DE7516" w:rsidP="002F71BC">
            <w:pPr>
              <w:jc w:val="center"/>
              <w:rPr>
                <w:rFonts w:ascii="Corbel" w:hAnsi="Corbel" w:cs="Calibri"/>
                <w:b/>
                <w:bCs/>
                <w:color w:val="000000"/>
                <w:sz w:val="20"/>
                <w:szCs w:val="20"/>
                <w:lang w:val="en-GB"/>
              </w:rPr>
            </w:pPr>
            <w:r w:rsidRPr="009722B3">
              <w:rPr>
                <w:rFonts w:ascii="Corbel" w:hAnsi="Corbel" w:cs="Calibri"/>
                <w:b/>
                <w:bCs/>
                <w:color w:val="000000"/>
                <w:sz w:val="20"/>
                <w:szCs w:val="20"/>
                <w:lang w:val="en-GB"/>
              </w:rPr>
              <w:t>EU Cohesion Policy (2014 - 2020)</w:t>
            </w:r>
          </w:p>
        </w:tc>
      </w:tr>
      <w:tr w:rsidR="00DE7516" w:rsidRPr="009722B3" w14:paraId="5DF37FC7" w14:textId="77777777" w:rsidTr="004E0046">
        <w:trPr>
          <w:trHeight w:val="276"/>
        </w:trPr>
        <w:tc>
          <w:tcPr>
            <w:tcW w:w="977" w:type="dxa"/>
            <w:tcBorders>
              <w:top w:val="nil"/>
              <w:left w:val="single" w:sz="4" w:space="0" w:color="auto"/>
              <w:bottom w:val="nil"/>
              <w:right w:val="single" w:sz="4" w:space="0" w:color="auto"/>
            </w:tcBorders>
            <w:shd w:val="clear" w:color="auto" w:fill="auto"/>
            <w:vAlign w:val="center"/>
            <w:hideMark/>
          </w:tcPr>
          <w:p w14:paraId="4A728FD2" w14:textId="77777777" w:rsidR="00DE7516" w:rsidRPr="009722B3" w:rsidRDefault="00DE7516" w:rsidP="002F71BC">
            <w:pPr>
              <w:jc w:val="center"/>
              <w:rPr>
                <w:rFonts w:ascii="Corbel" w:hAnsi="Corbel" w:cs="Calibri"/>
                <w:color w:val="000000"/>
                <w:sz w:val="20"/>
                <w:szCs w:val="20"/>
                <w:lang w:val="en-GB"/>
              </w:rPr>
            </w:pPr>
            <w:r w:rsidRPr="009722B3">
              <w:rPr>
                <w:rFonts w:ascii="Corbel" w:hAnsi="Corbel" w:cs="Calibri"/>
                <w:color w:val="000000"/>
                <w:sz w:val="20"/>
                <w:szCs w:val="20"/>
                <w:lang w:val="en-GB"/>
              </w:rPr>
              <w:t>Priority</w:t>
            </w:r>
          </w:p>
        </w:tc>
        <w:tc>
          <w:tcPr>
            <w:tcW w:w="1339" w:type="dxa"/>
            <w:tcBorders>
              <w:top w:val="nil"/>
              <w:left w:val="nil"/>
              <w:bottom w:val="nil"/>
              <w:right w:val="single" w:sz="4" w:space="0" w:color="auto"/>
            </w:tcBorders>
            <w:shd w:val="clear" w:color="auto" w:fill="auto"/>
            <w:vAlign w:val="center"/>
            <w:hideMark/>
          </w:tcPr>
          <w:p w14:paraId="280449A0" w14:textId="77777777" w:rsidR="00DE7516" w:rsidRPr="009722B3" w:rsidRDefault="00DE7516" w:rsidP="002F71BC">
            <w:pPr>
              <w:jc w:val="center"/>
              <w:rPr>
                <w:rFonts w:ascii="Corbel" w:hAnsi="Corbel" w:cs="Calibri"/>
                <w:color w:val="000000"/>
                <w:sz w:val="20"/>
                <w:szCs w:val="20"/>
                <w:lang w:val="en-GB"/>
              </w:rPr>
            </w:pPr>
            <w:r w:rsidRPr="009722B3">
              <w:rPr>
                <w:rFonts w:ascii="Corbel" w:hAnsi="Corbel" w:cs="Calibri"/>
                <w:color w:val="000000"/>
                <w:sz w:val="20"/>
                <w:szCs w:val="20"/>
                <w:lang w:val="en-GB"/>
              </w:rPr>
              <w:t>objective</w:t>
            </w:r>
          </w:p>
        </w:tc>
        <w:tc>
          <w:tcPr>
            <w:tcW w:w="2774" w:type="dxa"/>
            <w:tcBorders>
              <w:top w:val="nil"/>
              <w:left w:val="nil"/>
              <w:bottom w:val="nil"/>
              <w:right w:val="single" w:sz="4" w:space="0" w:color="auto"/>
            </w:tcBorders>
            <w:shd w:val="clear" w:color="auto" w:fill="auto"/>
            <w:vAlign w:val="center"/>
            <w:hideMark/>
          </w:tcPr>
          <w:p w14:paraId="47894CE7"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target</w:t>
            </w:r>
          </w:p>
        </w:tc>
        <w:tc>
          <w:tcPr>
            <w:tcW w:w="3670" w:type="dxa"/>
            <w:tcBorders>
              <w:top w:val="nil"/>
              <w:left w:val="nil"/>
              <w:bottom w:val="nil"/>
              <w:right w:val="single" w:sz="4" w:space="0" w:color="auto"/>
            </w:tcBorders>
            <w:shd w:val="clear" w:color="auto" w:fill="auto"/>
            <w:vAlign w:val="center"/>
            <w:hideMark/>
          </w:tcPr>
          <w:p w14:paraId="79580238" w14:textId="77777777" w:rsidR="00DE7516" w:rsidRPr="009722B3" w:rsidRDefault="00DE7516" w:rsidP="002F71BC">
            <w:pPr>
              <w:jc w:val="center"/>
              <w:rPr>
                <w:rFonts w:ascii="Corbel" w:hAnsi="Corbel" w:cs="Calibri"/>
                <w:color w:val="000000"/>
                <w:sz w:val="20"/>
                <w:szCs w:val="20"/>
                <w:lang w:val="en-GB"/>
              </w:rPr>
            </w:pPr>
            <w:r w:rsidRPr="009722B3">
              <w:rPr>
                <w:rFonts w:ascii="Corbel" w:hAnsi="Corbel" w:cs="Calibri"/>
                <w:color w:val="000000"/>
                <w:sz w:val="20"/>
                <w:szCs w:val="20"/>
                <w:lang w:val="en-GB"/>
              </w:rPr>
              <w:t>Thematic Objectives (TOs)</w:t>
            </w:r>
          </w:p>
        </w:tc>
        <w:tc>
          <w:tcPr>
            <w:tcW w:w="961" w:type="dxa"/>
            <w:tcBorders>
              <w:top w:val="nil"/>
              <w:left w:val="nil"/>
              <w:bottom w:val="single" w:sz="4" w:space="0" w:color="auto"/>
              <w:right w:val="single" w:sz="4" w:space="0" w:color="auto"/>
            </w:tcBorders>
            <w:shd w:val="clear" w:color="auto" w:fill="auto"/>
            <w:vAlign w:val="center"/>
            <w:hideMark/>
          </w:tcPr>
          <w:p w14:paraId="405A2969" w14:textId="77777777" w:rsidR="00DE7516" w:rsidRPr="009722B3" w:rsidRDefault="00DE7516" w:rsidP="002F71BC">
            <w:pPr>
              <w:jc w:val="center"/>
              <w:rPr>
                <w:rFonts w:ascii="Corbel" w:hAnsi="Corbel" w:cs="Calibri"/>
                <w:b/>
                <w:bCs/>
                <w:color w:val="000000"/>
                <w:sz w:val="20"/>
                <w:szCs w:val="20"/>
                <w:lang w:val="en-GB"/>
              </w:rPr>
            </w:pPr>
            <w:r w:rsidRPr="009722B3">
              <w:rPr>
                <w:rFonts w:ascii="Corbel" w:hAnsi="Corbel" w:cs="Calibri"/>
                <w:b/>
                <w:bCs/>
                <w:color w:val="000000"/>
                <w:sz w:val="20"/>
                <w:szCs w:val="20"/>
                <w:lang w:val="en-GB"/>
              </w:rPr>
              <w:t>ESI Funds</w:t>
            </w:r>
          </w:p>
        </w:tc>
      </w:tr>
      <w:tr w:rsidR="00DE7516" w:rsidRPr="009722B3" w14:paraId="26A2D4E4" w14:textId="77777777" w:rsidTr="004E0046">
        <w:trPr>
          <w:trHeight w:val="583"/>
        </w:trPr>
        <w:tc>
          <w:tcPr>
            <w:tcW w:w="977" w:type="dxa"/>
            <w:vMerge w:val="restart"/>
            <w:tcBorders>
              <w:top w:val="single" w:sz="8" w:space="0" w:color="auto"/>
              <w:left w:val="single" w:sz="8" w:space="0" w:color="auto"/>
              <w:bottom w:val="nil"/>
              <w:right w:val="single" w:sz="4" w:space="0" w:color="auto"/>
            </w:tcBorders>
            <w:shd w:val="clear" w:color="auto" w:fill="auto"/>
            <w:vAlign w:val="center"/>
            <w:hideMark/>
          </w:tcPr>
          <w:p w14:paraId="6179DEF1" w14:textId="77777777" w:rsidR="00DE7516" w:rsidRPr="009722B3" w:rsidRDefault="00DE7516" w:rsidP="002F71BC">
            <w:pPr>
              <w:jc w:val="center"/>
              <w:rPr>
                <w:rFonts w:ascii="Corbel" w:hAnsi="Corbel" w:cs="Calibri"/>
                <w:color w:val="000000"/>
                <w:sz w:val="20"/>
                <w:szCs w:val="20"/>
                <w:lang w:val="en-GB"/>
              </w:rPr>
            </w:pPr>
            <w:r w:rsidRPr="009722B3">
              <w:rPr>
                <w:rFonts w:ascii="Corbel" w:hAnsi="Corbel" w:cs="Calibri"/>
                <w:color w:val="000000"/>
                <w:sz w:val="20"/>
                <w:szCs w:val="20"/>
                <w:lang w:val="en-GB"/>
              </w:rPr>
              <w:t>1. Smart Growth</w:t>
            </w:r>
          </w:p>
        </w:tc>
        <w:tc>
          <w:tcPr>
            <w:tcW w:w="1339" w:type="dxa"/>
            <w:tcBorders>
              <w:top w:val="single" w:sz="8" w:space="0" w:color="auto"/>
              <w:left w:val="nil"/>
              <w:bottom w:val="single" w:sz="4" w:space="0" w:color="auto"/>
              <w:right w:val="single" w:sz="4" w:space="0" w:color="auto"/>
            </w:tcBorders>
            <w:shd w:val="clear" w:color="auto" w:fill="auto"/>
            <w:vAlign w:val="center"/>
            <w:hideMark/>
          </w:tcPr>
          <w:p w14:paraId="1B6AA1BD"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Increase employment</w:t>
            </w:r>
          </w:p>
        </w:tc>
        <w:tc>
          <w:tcPr>
            <w:tcW w:w="2774" w:type="dxa"/>
            <w:tcBorders>
              <w:top w:val="single" w:sz="8" w:space="0" w:color="auto"/>
              <w:left w:val="nil"/>
              <w:bottom w:val="single" w:sz="4" w:space="0" w:color="auto"/>
              <w:right w:val="single" w:sz="4" w:space="0" w:color="auto"/>
            </w:tcBorders>
            <w:shd w:val="clear" w:color="auto" w:fill="auto"/>
            <w:vAlign w:val="center"/>
            <w:hideMark/>
          </w:tcPr>
          <w:p w14:paraId="64CB8F7F" w14:textId="4379FF60"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75% of the 20–64-year-olds to be employed</w:t>
            </w:r>
          </w:p>
        </w:tc>
        <w:tc>
          <w:tcPr>
            <w:tcW w:w="3670" w:type="dxa"/>
            <w:tcBorders>
              <w:top w:val="single" w:sz="8" w:space="0" w:color="auto"/>
              <w:left w:val="nil"/>
              <w:bottom w:val="single" w:sz="4" w:space="0" w:color="auto"/>
              <w:right w:val="single" w:sz="8" w:space="0" w:color="auto"/>
            </w:tcBorders>
            <w:shd w:val="clear" w:color="auto" w:fill="auto"/>
            <w:vAlign w:val="center"/>
            <w:hideMark/>
          </w:tcPr>
          <w:p w14:paraId="704CF20C"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 xml:space="preserve">1. Strengthening research, technological </w:t>
            </w:r>
            <w:proofErr w:type="gramStart"/>
            <w:r w:rsidRPr="009722B3">
              <w:rPr>
                <w:rFonts w:ascii="Corbel" w:hAnsi="Corbel" w:cs="Calibri"/>
                <w:color w:val="000000"/>
                <w:sz w:val="20"/>
                <w:szCs w:val="20"/>
                <w:lang w:val="en-GB"/>
              </w:rPr>
              <w:t>development</w:t>
            </w:r>
            <w:proofErr w:type="gramEnd"/>
            <w:r w:rsidRPr="009722B3">
              <w:rPr>
                <w:rFonts w:ascii="Corbel" w:hAnsi="Corbel" w:cs="Calibri"/>
                <w:color w:val="000000"/>
                <w:sz w:val="20"/>
                <w:szCs w:val="20"/>
                <w:lang w:val="en-GB"/>
              </w:rPr>
              <w:t xml:space="preserve"> and innovation</w:t>
            </w:r>
          </w:p>
        </w:tc>
        <w:tc>
          <w:tcPr>
            <w:tcW w:w="961" w:type="dxa"/>
            <w:vMerge w:val="restart"/>
            <w:tcBorders>
              <w:top w:val="nil"/>
              <w:left w:val="nil"/>
              <w:bottom w:val="single" w:sz="4" w:space="0" w:color="auto"/>
              <w:right w:val="single" w:sz="4" w:space="0" w:color="auto"/>
            </w:tcBorders>
            <w:shd w:val="clear" w:color="auto" w:fill="auto"/>
            <w:vAlign w:val="center"/>
            <w:hideMark/>
          </w:tcPr>
          <w:p w14:paraId="52EE9A50" w14:textId="37B5ED0F" w:rsidR="00DE7516" w:rsidRPr="009722B3" w:rsidRDefault="00DE7516" w:rsidP="002F71BC">
            <w:pPr>
              <w:jc w:val="center"/>
              <w:rPr>
                <w:rFonts w:ascii="Corbel" w:hAnsi="Corbel" w:cs="Calibri"/>
                <w:color w:val="000000"/>
                <w:sz w:val="20"/>
                <w:szCs w:val="20"/>
                <w:lang w:val="en-GB"/>
              </w:rPr>
            </w:pPr>
            <w:r w:rsidRPr="009722B3">
              <w:rPr>
                <w:rFonts w:ascii="Corbel" w:hAnsi="Corbel" w:cs="Calibri"/>
                <w:color w:val="000000"/>
                <w:sz w:val="20"/>
                <w:szCs w:val="20"/>
                <w:lang w:val="en-GB"/>
              </w:rPr>
              <w:t xml:space="preserve"> ERDF, ESF, EAFRD, EMFF, Cohesion fund</w:t>
            </w:r>
          </w:p>
        </w:tc>
      </w:tr>
      <w:tr w:rsidR="00DE7516" w:rsidRPr="009722B3" w14:paraId="15EF6F85" w14:textId="77777777" w:rsidTr="004E0046">
        <w:trPr>
          <w:trHeight w:val="521"/>
        </w:trPr>
        <w:tc>
          <w:tcPr>
            <w:tcW w:w="977" w:type="dxa"/>
            <w:vMerge/>
            <w:tcBorders>
              <w:top w:val="single" w:sz="8" w:space="0" w:color="auto"/>
              <w:left w:val="single" w:sz="8" w:space="0" w:color="auto"/>
              <w:bottom w:val="nil"/>
              <w:right w:val="single" w:sz="4" w:space="0" w:color="auto"/>
            </w:tcBorders>
            <w:vAlign w:val="center"/>
            <w:hideMark/>
          </w:tcPr>
          <w:p w14:paraId="4FCE02E6" w14:textId="77777777" w:rsidR="00DE7516" w:rsidRPr="009722B3" w:rsidRDefault="00DE7516" w:rsidP="002F71BC">
            <w:pPr>
              <w:rPr>
                <w:rFonts w:ascii="Corbel" w:hAnsi="Corbel" w:cs="Calibri"/>
                <w:color w:val="000000"/>
                <w:sz w:val="20"/>
                <w:szCs w:val="20"/>
                <w:lang w:val="en-GB"/>
              </w:rPr>
            </w:pPr>
          </w:p>
        </w:tc>
        <w:tc>
          <w:tcPr>
            <w:tcW w:w="1339" w:type="dxa"/>
            <w:vMerge w:val="restart"/>
            <w:tcBorders>
              <w:top w:val="nil"/>
              <w:left w:val="single" w:sz="4" w:space="0" w:color="auto"/>
              <w:bottom w:val="nil"/>
              <w:right w:val="single" w:sz="4" w:space="0" w:color="auto"/>
            </w:tcBorders>
            <w:shd w:val="clear" w:color="auto" w:fill="auto"/>
            <w:vAlign w:val="center"/>
            <w:hideMark/>
          </w:tcPr>
          <w:p w14:paraId="2D5203C1"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Increase in R&amp;D expenditure</w:t>
            </w:r>
          </w:p>
        </w:tc>
        <w:tc>
          <w:tcPr>
            <w:tcW w:w="2774" w:type="dxa"/>
            <w:vMerge w:val="restart"/>
            <w:tcBorders>
              <w:top w:val="nil"/>
              <w:left w:val="single" w:sz="4" w:space="0" w:color="auto"/>
              <w:bottom w:val="nil"/>
              <w:right w:val="single" w:sz="4" w:space="0" w:color="auto"/>
            </w:tcBorders>
            <w:shd w:val="clear" w:color="auto" w:fill="auto"/>
            <w:vAlign w:val="center"/>
            <w:hideMark/>
          </w:tcPr>
          <w:p w14:paraId="3E66C08E"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3% of the EU's GDP to be invested in R&amp;D</w:t>
            </w:r>
          </w:p>
        </w:tc>
        <w:tc>
          <w:tcPr>
            <w:tcW w:w="3670" w:type="dxa"/>
            <w:tcBorders>
              <w:top w:val="nil"/>
              <w:left w:val="nil"/>
              <w:bottom w:val="single" w:sz="4" w:space="0" w:color="auto"/>
              <w:right w:val="single" w:sz="8" w:space="0" w:color="auto"/>
            </w:tcBorders>
            <w:shd w:val="clear" w:color="auto" w:fill="auto"/>
            <w:vAlign w:val="center"/>
            <w:hideMark/>
          </w:tcPr>
          <w:p w14:paraId="06F5DF55"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 xml:space="preserve">2. Enhancing access to, and use and quality of information and communication technologies                                                    </w:t>
            </w:r>
          </w:p>
        </w:tc>
        <w:tc>
          <w:tcPr>
            <w:tcW w:w="961" w:type="dxa"/>
            <w:vMerge/>
            <w:tcBorders>
              <w:top w:val="nil"/>
              <w:left w:val="nil"/>
              <w:bottom w:val="single" w:sz="4" w:space="0" w:color="auto"/>
              <w:right w:val="single" w:sz="4" w:space="0" w:color="auto"/>
            </w:tcBorders>
            <w:vAlign w:val="center"/>
            <w:hideMark/>
          </w:tcPr>
          <w:p w14:paraId="218567E5" w14:textId="77777777" w:rsidR="00DE7516" w:rsidRPr="009722B3" w:rsidRDefault="00DE7516" w:rsidP="002F71BC">
            <w:pPr>
              <w:rPr>
                <w:rFonts w:ascii="Corbel" w:hAnsi="Corbel" w:cs="Calibri"/>
                <w:color w:val="000000"/>
                <w:sz w:val="20"/>
                <w:szCs w:val="20"/>
                <w:lang w:val="en-GB"/>
              </w:rPr>
            </w:pPr>
          </w:p>
        </w:tc>
      </w:tr>
      <w:tr w:rsidR="00DE7516" w:rsidRPr="009722B3" w14:paraId="2C9D5FA3" w14:textId="77777777" w:rsidTr="004E0046">
        <w:trPr>
          <w:trHeight w:val="521"/>
        </w:trPr>
        <w:tc>
          <w:tcPr>
            <w:tcW w:w="977" w:type="dxa"/>
            <w:vMerge/>
            <w:tcBorders>
              <w:top w:val="single" w:sz="8" w:space="0" w:color="auto"/>
              <w:left w:val="single" w:sz="8" w:space="0" w:color="auto"/>
              <w:bottom w:val="nil"/>
              <w:right w:val="single" w:sz="4" w:space="0" w:color="auto"/>
            </w:tcBorders>
            <w:vAlign w:val="center"/>
            <w:hideMark/>
          </w:tcPr>
          <w:p w14:paraId="1D96050E" w14:textId="77777777" w:rsidR="00DE7516" w:rsidRPr="009722B3" w:rsidRDefault="00DE7516" w:rsidP="002F71BC">
            <w:pPr>
              <w:rPr>
                <w:rFonts w:ascii="Corbel" w:hAnsi="Corbel" w:cs="Calibri"/>
                <w:color w:val="000000"/>
                <w:sz w:val="20"/>
                <w:szCs w:val="20"/>
                <w:lang w:val="en-GB"/>
              </w:rPr>
            </w:pPr>
          </w:p>
        </w:tc>
        <w:tc>
          <w:tcPr>
            <w:tcW w:w="1339" w:type="dxa"/>
            <w:vMerge/>
            <w:tcBorders>
              <w:top w:val="nil"/>
              <w:left w:val="single" w:sz="4" w:space="0" w:color="auto"/>
              <w:bottom w:val="nil"/>
              <w:right w:val="single" w:sz="4" w:space="0" w:color="auto"/>
            </w:tcBorders>
            <w:vAlign w:val="center"/>
            <w:hideMark/>
          </w:tcPr>
          <w:p w14:paraId="1F4CA55B" w14:textId="77777777" w:rsidR="00DE7516" w:rsidRPr="009722B3" w:rsidRDefault="00DE7516" w:rsidP="002F71BC">
            <w:pPr>
              <w:rPr>
                <w:rFonts w:ascii="Corbel" w:hAnsi="Corbel" w:cs="Calibri"/>
                <w:color w:val="000000"/>
                <w:sz w:val="20"/>
                <w:szCs w:val="20"/>
                <w:lang w:val="en-GB"/>
              </w:rPr>
            </w:pPr>
          </w:p>
        </w:tc>
        <w:tc>
          <w:tcPr>
            <w:tcW w:w="2774" w:type="dxa"/>
            <w:vMerge/>
            <w:tcBorders>
              <w:top w:val="nil"/>
              <w:left w:val="single" w:sz="4" w:space="0" w:color="auto"/>
              <w:bottom w:val="nil"/>
              <w:right w:val="single" w:sz="4" w:space="0" w:color="auto"/>
            </w:tcBorders>
            <w:vAlign w:val="center"/>
            <w:hideMark/>
          </w:tcPr>
          <w:p w14:paraId="5A706188" w14:textId="77777777" w:rsidR="00DE7516" w:rsidRPr="009722B3" w:rsidRDefault="00DE7516" w:rsidP="002F71BC">
            <w:pPr>
              <w:rPr>
                <w:rFonts w:ascii="Corbel" w:hAnsi="Corbel" w:cs="Calibri"/>
                <w:color w:val="000000"/>
                <w:sz w:val="20"/>
                <w:szCs w:val="20"/>
                <w:lang w:val="en-GB"/>
              </w:rPr>
            </w:pPr>
          </w:p>
        </w:tc>
        <w:tc>
          <w:tcPr>
            <w:tcW w:w="3670" w:type="dxa"/>
            <w:tcBorders>
              <w:top w:val="nil"/>
              <w:left w:val="nil"/>
              <w:bottom w:val="nil"/>
              <w:right w:val="single" w:sz="8" w:space="0" w:color="auto"/>
            </w:tcBorders>
            <w:shd w:val="clear" w:color="auto" w:fill="auto"/>
            <w:vAlign w:val="center"/>
            <w:hideMark/>
          </w:tcPr>
          <w:p w14:paraId="245A9791"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3. Enhancing the competitiveness of small and medium-sized enterprises (SMEs)</w:t>
            </w:r>
          </w:p>
        </w:tc>
        <w:tc>
          <w:tcPr>
            <w:tcW w:w="961" w:type="dxa"/>
            <w:vMerge/>
            <w:tcBorders>
              <w:top w:val="nil"/>
              <w:left w:val="nil"/>
              <w:bottom w:val="single" w:sz="4" w:space="0" w:color="auto"/>
              <w:right w:val="single" w:sz="4" w:space="0" w:color="auto"/>
            </w:tcBorders>
            <w:vAlign w:val="center"/>
            <w:hideMark/>
          </w:tcPr>
          <w:p w14:paraId="42756480" w14:textId="77777777" w:rsidR="00DE7516" w:rsidRPr="009722B3" w:rsidRDefault="00DE7516" w:rsidP="002F71BC">
            <w:pPr>
              <w:rPr>
                <w:rFonts w:ascii="Corbel" w:hAnsi="Corbel" w:cs="Calibri"/>
                <w:color w:val="000000"/>
                <w:sz w:val="20"/>
                <w:szCs w:val="20"/>
                <w:lang w:val="en-GB"/>
              </w:rPr>
            </w:pPr>
          </w:p>
        </w:tc>
      </w:tr>
      <w:tr w:rsidR="00DE7516" w:rsidRPr="009722B3" w14:paraId="56FBC389" w14:textId="77777777" w:rsidTr="004E0046">
        <w:trPr>
          <w:trHeight w:val="491"/>
        </w:trPr>
        <w:tc>
          <w:tcPr>
            <w:tcW w:w="97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C6AC197" w14:textId="77777777" w:rsidR="00DE7516" w:rsidRPr="009722B3" w:rsidRDefault="00DE7516" w:rsidP="002F71BC">
            <w:pPr>
              <w:jc w:val="center"/>
              <w:rPr>
                <w:rFonts w:ascii="Corbel" w:hAnsi="Corbel" w:cs="Calibri"/>
                <w:color w:val="000000"/>
                <w:sz w:val="20"/>
                <w:szCs w:val="20"/>
                <w:lang w:val="en-GB"/>
              </w:rPr>
            </w:pPr>
            <w:r w:rsidRPr="009722B3">
              <w:rPr>
                <w:rFonts w:ascii="Corbel" w:hAnsi="Corbel" w:cs="Calibri"/>
                <w:color w:val="000000"/>
                <w:sz w:val="20"/>
                <w:szCs w:val="20"/>
                <w:lang w:val="en-GB"/>
              </w:rPr>
              <w:t>2. Sustainable Growth</w:t>
            </w:r>
          </w:p>
        </w:tc>
        <w:tc>
          <w:tcPr>
            <w:tcW w:w="133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6917B60"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Climate change and energy sustainability</w:t>
            </w:r>
          </w:p>
        </w:tc>
        <w:tc>
          <w:tcPr>
            <w:tcW w:w="277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636CA38"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 xml:space="preserve">greenhouse gas emissions 20% (or even 30%, if the conditions are right) lower than 1990 </w:t>
            </w:r>
          </w:p>
        </w:tc>
        <w:tc>
          <w:tcPr>
            <w:tcW w:w="3670" w:type="dxa"/>
            <w:tcBorders>
              <w:top w:val="single" w:sz="8" w:space="0" w:color="auto"/>
              <w:left w:val="nil"/>
              <w:bottom w:val="single" w:sz="4" w:space="0" w:color="auto"/>
              <w:right w:val="single" w:sz="8" w:space="0" w:color="auto"/>
            </w:tcBorders>
            <w:shd w:val="clear" w:color="auto" w:fill="auto"/>
            <w:vAlign w:val="center"/>
            <w:hideMark/>
          </w:tcPr>
          <w:p w14:paraId="5EF8B6F6"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4. Supporting the shift towards a low-carbon economy in all sectors</w:t>
            </w:r>
          </w:p>
        </w:tc>
        <w:tc>
          <w:tcPr>
            <w:tcW w:w="961" w:type="dxa"/>
            <w:vMerge/>
            <w:tcBorders>
              <w:top w:val="nil"/>
              <w:left w:val="nil"/>
              <w:bottom w:val="single" w:sz="4" w:space="0" w:color="auto"/>
              <w:right w:val="single" w:sz="4" w:space="0" w:color="auto"/>
            </w:tcBorders>
            <w:vAlign w:val="center"/>
            <w:hideMark/>
          </w:tcPr>
          <w:p w14:paraId="068FD56F" w14:textId="77777777" w:rsidR="00DE7516" w:rsidRPr="009722B3" w:rsidRDefault="00DE7516" w:rsidP="002F71BC">
            <w:pPr>
              <w:rPr>
                <w:rFonts w:ascii="Corbel" w:hAnsi="Corbel" w:cs="Calibri"/>
                <w:color w:val="000000"/>
                <w:sz w:val="20"/>
                <w:szCs w:val="20"/>
                <w:lang w:val="en-GB"/>
              </w:rPr>
            </w:pPr>
          </w:p>
        </w:tc>
      </w:tr>
      <w:tr w:rsidR="00DE7516" w:rsidRPr="009722B3" w14:paraId="3F370C86" w14:textId="77777777" w:rsidTr="004E0046">
        <w:trPr>
          <w:trHeight w:val="491"/>
        </w:trPr>
        <w:tc>
          <w:tcPr>
            <w:tcW w:w="977" w:type="dxa"/>
            <w:vMerge/>
            <w:tcBorders>
              <w:top w:val="single" w:sz="8" w:space="0" w:color="auto"/>
              <w:left w:val="single" w:sz="8" w:space="0" w:color="auto"/>
              <w:bottom w:val="single" w:sz="4" w:space="0" w:color="auto"/>
              <w:right w:val="single" w:sz="4" w:space="0" w:color="auto"/>
            </w:tcBorders>
            <w:vAlign w:val="center"/>
            <w:hideMark/>
          </w:tcPr>
          <w:p w14:paraId="1389522A" w14:textId="77777777" w:rsidR="00DE7516" w:rsidRPr="009722B3" w:rsidRDefault="00DE7516" w:rsidP="002F71BC">
            <w:pPr>
              <w:rPr>
                <w:rFonts w:ascii="Corbel" w:hAnsi="Corbel" w:cs="Calibri"/>
                <w:color w:val="000000"/>
                <w:sz w:val="20"/>
                <w:szCs w:val="20"/>
                <w:lang w:val="en-GB"/>
              </w:rPr>
            </w:pPr>
          </w:p>
        </w:tc>
        <w:tc>
          <w:tcPr>
            <w:tcW w:w="1339" w:type="dxa"/>
            <w:vMerge/>
            <w:tcBorders>
              <w:top w:val="single" w:sz="8" w:space="0" w:color="auto"/>
              <w:left w:val="single" w:sz="4" w:space="0" w:color="auto"/>
              <w:bottom w:val="single" w:sz="4" w:space="0" w:color="auto"/>
              <w:right w:val="single" w:sz="4" w:space="0" w:color="auto"/>
            </w:tcBorders>
            <w:vAlign w:val="center"/>
            <w:hideMark/>
          </w:tcPr>
          <w:p w14:paraId="1621BE3F" w14:textId="77777777" w:rsidR="00DE7516" w:rsidRPr="009722B3" w:rsidRDefault="00DE7516" w:rsidP="002F71BC">
            <w:pPr>
              <w:rPr>
                <w:rFonts w:ascii="Corbel" w:hAnsi="Corbel" w:cs="Calibri"/>
                <w:color w:val="000000"/>
                <w:sz w:val="20"/>
                <w:szCs w:val="20"/>
                <w:lang w:val="en-GB"/>
              </w:rPr>
            </w:pPr>
          </w:p>
        </w:tc>
        <w:tc>
          <w:tcPr>
            <w:tcW w:w="2774" w:type="dxa"/>
            <w:vMerge/>
            <w:tcBorders>
              <w:top w:val="single" w:sz="8" w:space="0" w:color="auto"/>
              <w:left w:val="single" w:sz="4" w:space="0" w:color="auto"/>
              <w:bottom w:val="single" w:sz="4" w:space="0" w:color="auto"/>
              <w:right w:val="single" w:sz="4" w:space="0" w:color="auto"/>
            </w:tcBorders>
            <w:vAlign w:val="center"/>
            <w:hideMark/>
          </w:tcPr>
          <w:p w14:paraId="278C3813" w14:textId="77777777" w:rsidR="00DE7516" w:rsidRPr="009722B3" w:rsidRDefault="00DE7516" w:rsidP="002F71BC">
            <w:pPr>
              <w:rPr>
                <w:rFonts w:ascii="Corbel" w:hAnsi="Corbel" w:cs="Calibri"/>
                <w:color w:val="000000"/>
                <w:sz w:val="20"/>
                <w:szCs w:val="20"/>
                <w:lang w:val="en-GB"/>
              </w:rPr>
            </w:pPr>
          </w:p>
        </w:tc>
        <w:tc>
          <w:tcPr>
            <w:tcW w:w="3670" w:type="dxa"/>
            <w:tcBorders>
              <w:top w:val="nil"/>
              <w:left w:val="nil"/>
              <w:bottom w:val="single" w:sz="4" w:space="0" w:color="auto"/>
              <w:right w:val="single" w:sz="8" w:space="0" w:color="auto"/>
            </w:tcBorders>
            <w:shd w:val="clear" w:color="auto" w:fill="auto"/>
            <w:vAlign w:val="center"/>
            <w:hideMark/>
          </w:tcPr>
          <w:p w14:paraId="49500BCA"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5. Promoting climate change adaptation, risk prevention and management</w:t>
            </w:r>
          </w:p>
        </w:tc>
        <w:tc>
          <w:tcPr>
            <w:tcW w:w="961" w:type="dxa"/>
            <w:vMerge/>
            <w:tcBorders>
              <w:top w:val="nil"/>
              <w:left w:val="nil"/>
              <w:bottom w:val="single" w:sz="4" w:space="0" w:color="auto"/>
              <w:right w:val="single" w:sz="4" w:space="0" w:color="auto"/>
            </w:tcBorders>
            <w:vAlign w:val="center"/>
            <w:hideMark/>
          </w:tcPr>
          <w:p w14:paraId="1EE12AE3" w14:textId="77777777" w:rsidR="00DE7516" w:rsidRPr="009722B3" w:rsidRDefault="00DE7516" w:rsidP="002F71BC">
            <w:pPr>
              <w:rPr>
                <w:rFonts w:ascii="Corbel" w:hAnsi="Corbel" w:cs="Calibri"/>
                <w:color w:val="000000"/>
                <w:sz w:val="20"/>
                <w:szCs w:val="20"/>
                <w:lang w:val="en-GB"/>
              </w:rPr>
            </w:pPr>
          </w:p>
        </w:tc>
      </w:tr>
      <w:tr w:rsidR="00DE7516" w:rsidRPr="009722B3" w14:paraId="25946717" w14:textId="77777777" w:rsidTr="004E0046">
        <w:trPr>
          <w:trHeight w:val="429"/>
        </w:trPr>
        <w:tc>
          <w:tcPr>
            <w:tcW w:w="977" w:type="dxa"/>
            <w:vMerge/>
            <w:tcBorders>
              <w:top w:val="single" w:sz="8" w:space="0" w:color="auto"/>
              <w:left w:val="single" w:sz="8" w:space="0" w:color="auto"/>
              <w:bottom w:val="single" w:sz="4" w:space="0" w:color="auto"/>
              <w:right w:val="single" w:sz="4" w:space="0" w:color="auto"/>
            </w:tcBorders>
            <w:vAlign w:val="center"/>
            <w:hideMark/>
          </w:tcPr>
          <w:p w14:paraId="3DE84426" w14:textId="77777777" w:rsidR="00DE7516" w:rsidRPr="009722B3" w:rsidRDefault="00DE7516" w:rsidP="002F71BC">
            <w:pPr>
              <w:rPr>
                <w:rFonts w:ascii="Corbel" w:hAnsi="Corbel" w:cs="Calibri"/>
                <w:color w:val="000000"/>
                <w:sz w:val="20"/>
                <w:szCs w:val="20"/>
                <w:lang w:val="en-GB"/>
              </w:rPr>
            </w:pPr>
          </w:p>
        </w:tc>
        <w:tc>
          <w:tcPr>
            <w:tcW w:w="1339" w:type="dxa"/>
            <w:vMerge/>
            <w:tcBorders>
              <w:top w:val="single" w:sz="8" w:space="0" w:color="auto"/>
              <w:left w:val="single" w:sz="4" w:space="0" w:color="auto"/>
              <w:bottom w:val="single" w:sz="4" w:space="0" w:color="auto"/>
              <w:right w:val="single" w:sz="4" w:space="0" w:color="auto"/>
            </w:tcBorders>
            <w:vAlign w:val="center"/>
            <w:hideMark/>
          </w:tcPr>
          <w:p w14:paraId="128B4CFC" w14:textId="77777777" w:rsidR="00DE7516" w:rsidRPr="009722B3" w:rsidRDefault="00DE7516" w:rsidP="002F71BC">
            <w:pPr>
              <w:rPr>
                <w:rFonts w:ascii="Corbel" w:hAnsi="Corbel" w:cs="Calibri"/>
                <w:color w:val="000000"/>
                <w:sz w:val="20"/>
                <w:szCs w:val="20"/>
                <w:lang w:val="en-GB"/>
              </w:rPr>
            </w:pPr>
          </w:p>
        </w:tc>
        <w:tc>
          <w:tcPr>
            <w:tcW w:w="2774" w:type="dxa"/>
            <w:tcBorders>
              <w:top w:val="nil"/>
              <w:left w:val="nil"/>
              <w:bottom w:val="single" w:sz="4" w:space="0" w:color="auto"/>
              <w:right w:val="single" w:sz="4" w:space="0" w:color="auto"/>
            </w:tcBorders>
            <w:shd w:val="clear" w:color="auto" w:fill="auto"/>
            <w:vAlign w:val="center"/>
            <w:hideMark/>
          </w:tcPr>
          <w:p w14:paraId="05151799"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20% of energy from renewables</w:t>
            </w:r>
          </w:p>
        </w:tc>
        <w:tc>
          <w:tcPr>
            <w:tcW w:w="3670" w:type="dxa"/>
            <w:vMerge w:val="restart"/>
            <w:tcBorders>
              <w:top w:val="nil"/>
              <w:left w:val="single" w:sz="4" w:space="0" w:color="auto"/>
              <w:bottom w:val="single" w:sz="4" w:space="0" w:color="auto"/>
              <w:right w:val="single" w:sz="8" w:space="0" w:color="auto"/>
            </w:tcBorders>
            <w:shd w:val="clear" w:color="auto" w:fill="auto"/>
            <w:vAlign w:val="center"/>
            <w:hideMark/>
          </w:tcPr>
          <w:p w14:paraId="1536F6F7" w14:textId="49AB5C0D"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 xml:space="preserve">6. Preserving and protecting the environment and promoting resource efficiency.  </w:t>
            </w:r>
          </w:p>
        </w:tc>
        <w:tc>
          <w:tcPr>
            <w:tcW w:w="961" w:type="dxa"/>
            <w:vMerge/>
            <w:tcBorders>
              <w:top w:val="nil"/>
              <w:left w:val="nil"/>
              <w:bottom w:val="single" w:sz="4" w:space="0" w:color="auto"/>
              <w:right w:val="single" w:sz="4" w:space="0" w:color="auto"/>
            </w:tcBorders>
            <w:vAlign w:val="center"/>
            <w:hideMark/>
          </w:tcPr>
          <w:p w14:paraId="78AD25E9" w14:textId="77777777" w:rsidR="00DE7516" w:rsidRPr="009722B3" w:rsidRDefault="00DE7516" w:rsidP="002F71BC">
            <w:pPr>
              <w:rPr>
                <w:rFonts w:ascii="Corbel" w:hAnsi="Corbel" w:cs="Calibri"/>
                <w:color w:val="000000"/>
                <w:sz w:val="20"/>
                <w:szCs w:val="20"/>
                <w:lang w:val="en-GB"/>
              </w:rPr>
            </w:pPr>
          </w:p>
        </w:tc>
      </w:tr>
      <w:tr w:rsidR="00DE7516" w:rsidRPr="009722B3" w14:paraId="6C3C2A82" w14:textId="77777777" w:rsidTr="004E0046">
        <w:trPr>
          <w:trHeight w:val="293"/>
        </w:trPr>
        <w:tc>
          <w:tcPr>
            <w:tcW w:w="977" w:type="dxa"/>
            <w:vMerge/>
            <w:tcBorders>
              <w:top w:val="single" w:sz="8" w:space="0" w:color="auto"/>
              <w:left w:val="single" w:sz="8" w:space="0" w:color="auto"/>
              <w:bottom w:val="single" w:sz="4" w:space="0" w:color="auto"/>
              <w:right w:val="single" w:sz="4" w:space="0" w:color="auto"/>
            </w:tcBorders>
            <w:vAlign w:val="center"/>
            <w:hideMark/>
          </w:tcPr>
          <w:p w14:paraId="4943922E" w14:textId="77777777" w:rsidR="00DE7516" w:rsidRPr="009722B3" w:rsidRDefault="00DE7516" w:rsidP="002F71BC">
            <w:pPr>
              <w:rPr>
                <w:rFonts w:ascii="Corbel" w:hAnsi="Corbel" w:cs="Calibri"/>
                <w:color w:val="000000"/>
                <w:sz w:val="20"/>
                <w:szCs w:val="20"/>
                <w:lang w:val="en-GB"/>
              </w:rPr>
            </w:pPr>
          </w:p>
        </w:tc>
        <w:tc>
          <w:tcPr>
            <w:tcW w:w="1339" w:type="dxa"/>
            <w:vMerge/>
            <w:tcBorders>
              <w:top w:val="single" w:sz="8" w:space="0" w:color="auto"/>
              <w:left w:val="single" w:sz="4" w:space="0" w:color="auto"/>
              <w:bottom w:val="single" w:sz="4" w:space="0" w:color="auto"/>
              <w:right w:val="single" w:sz="4" w:space="0" w:color="auto"/>
            </w:tcBorders>
            <w:vAlign w:val="center"/>
            <w:hideMark/>
          </w:tcPr>
          <w:p w14:paraId="404BCAB9" w14:textId="77777777" w:rsidR="00DE7516" w:rsidRPr="009722B3" w:rsidRDefault="00DE7516" w:rsidP="002F71BC">
            <w:pPr>
              <w:rPr>
                <w:rFonts w:ascii="Corbel" w:hAnsi="Corbel" w:cs="Calibri"/>
                <w:color w:val="000000"/>
                <w:sz w:val="20"/>
                <w:szCs w:val="20"/>
                <w:lang w:val="en-GB"/>
              </w:rPr>
            </w:pPr>
          </w:p>
        </w:tc>
        <w:tc>
          <w:tcPr>
            <w:tcW w:w="2774" w:type="dxa"/>
            <w:vMerge w:val="restart"/>
            <w:tcBorders>
              <w:top w:val="nil"/>
              <w:left w:val="single" w:sz="4" w:space="0" w:color="auto"/>
              <w:bottom w:val="single" w:sz="8" w:space="0" w:color="000000"/>
              <w:right w:val="single" w:sz="4" w:space="0" w:color="auto"/>
            </w:tcBorders>
            <w:shd w:val="clear" w:color="auto" w:fill="auto"/>
            <w:vAlign w:val="center"/>
            <w:hideMark/>
          </w:tcPr>
          <w:p w14:paraId="36ACF725"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20% increase in energy efficiency</w:t>
            </w:r>
          </w:p>
        </w:tc>
        <w:tc>
          <w:tcPr>
            <w:tcW w:w="3670" w:type="dxa"/>
            <w:vMerge/>
            <w:tcBorders>
              <w:top w:val="nil"/>
              <w:left w:val="single" w:sz="4" w:space="0" w:color="auto"/>
              <w:bottom w:val="single" w:sz="4" w:space="0" w:color="auto"/>
              <w:right w:val="single" w:sz="8" w:space="0" w:color="auto"/>
            </w:tcBorders>
            <w:vAlign w:val="center"/>
            <w:hideMark/>
          </w:tcPr>
          <w:p w14:paraId="24921B69" w14:textId="77777777" w:rsidR="00DE7516" w:rsidRPr="009722B3" w:rsidRDefault="00DE7516" w:rsidP="002F71BC">
            <w:pPr>
              <w:rPr>
                <w:rFonts w:ascii="Corbel" w:hAnsi="Corbel" w:cs="Calibri"/>
                <w:color w:val="000000"/>
                <w:sz w:val="20"/>
                <w:szCs w:val="20"/>
                <w:lang w:val="en-GB"/>
              </w:rPr>
            </w:pPr>
          </w:p>
        </w:tc>
        <w:tc>
          <w:tcPr>
            <w:tcW w:w="961" w:type="dxa"/>
            <w:vMerge/>
            <w:tcBorders>
              <w:top w:val="nil"/>
              <w:left w:val="nil"/>
              <w:bottom w:val="single" w:sz="4" w:space="0" w:color="auto"/>
              <w:right w:val="single" w:sz="4" w:space="0" w:color="auto"/>
            </w:tcBorders>
            <w:vAlign w:val="center"/>
            <w:hideMark/>
          </w:tcPr>
          <w:p w14:paraId="1432643D" w14:textId="77777777" w:rsidR="00DE7516" w:rsidRPr="009722B3" w:rsidRDefault="00DE7516" w:rsidP="002F71BC">
            <w:pPr>
              <w:rPr>
                <w:rFonts w:ascii="Corbel" w:hAnsi="Corbel" w:cs="Calibri"/>
                <w:color w:val="000000"/>
                <w:sz w:val="20"/>
                <w:szCs w:val="20"/>
                <w:lang w:val="en-GB"/>
              </w:rPr>
            </w:pPr>
          </w:p>
        </w:tc>
      </w:tr>
      <w:tr w:rsidR="00DE7516" w:rsidRPr="009722B3" w14:paraId="01405038" w14:textId="77777777" w:rsidTr="004E0046">
        <w:trPr>
          <w:trHeight w:val="752"/>
        </w:trPr>
        <w:tc>
          <w:tcPr>
            <w:tcW w:w="977" w:type="dxa"/>
            <w:vMerge/>
            <w:tcBorders>
              <w:top w:val="single" w:sz="8" w:space="0" w:color="auto"/>
              <w:left w:val="single" w:sz="8" w:space="0" w:color="auto"/>
              <w:bottom w:val="single" w:sz="4" w:space="0" w:color="auto"/>
              <w:right w:val="single" w:sz="4" w:space="0" w:color="auto"/>
            </w:tcBorders>
            <w:vAlign w:val="center"/>
            <w:hideMark/>
          </w:tcPr>
          <w:p w14:paraId="5B37BFD3" w14:textId="77777777" w:rsidR="00DE7516" w:rsidRPr="009722B3" w:rsidRDefault="00DE7516" w:rsidP="002F71BC">
            <w:pPr>
              <w:rPr>
                <w:rFonts w:ascii="Corbel" w:hAnsi="Corbel" w:cs="Calibri"/>
                <w:color w:val="000000"/>
                <w:sz w:val="20"/>
                <w:szCs w:val="20"/>
                <w:lang w:val="en-GB"/>
              </w:rPr>
            </w:pPr>
          </w:p>
        </w:tc>
        <w:tc>
          <w:tcPr>
            <w:tcW w:w="1339" w:type="dxa"/>
            <w:vMerge/>
            <w:tcBorders>
              <w:top w:val="single" w:sz="8" w:space="0" w:color="auto"/>
              <w:left w:val="single" w:sz="4" w:space="0" w:color="auto"/>
              <w:bottom w:val="single" w:sz="4" w:space="0" w:color="auto"/>
              <w:right w:val="single" w:sz="4" w:space="0" w:color="auto"/>
            </w:tcBorders>
            <w:vAlign w:val="center"/>
            <w:hideMark/>
          </w:tcPr>
          <w:p w14:paraId="04C6F293" w14:textId="77777777" w:rsidR="00DE7516" w:rsidRPr="009722B3" w:rsidRDefault="00DE7516" w:rsidP="002F71BC">
            <w:pPr>
              <w:rPr>
                <w:rFonts w:ascii="Corbel" w:hAnsi="Corbel" w:cs="Calibri"/>
                <w:color w:val="000000"/>
                <w:sz w:val="20"/>
                <w:szCs w:val="20"/>
                <w:lang w:val="en-GB"/>
              </w:rPr>
            </w:pPr>
          </w:p>
        </w:tc>
        <w:tc>
          <w:tcPr>
            <w:tcW w:w="2774" w:type="dxa"/>
            <w:vMerge/>
            <w:tcBorders>
              <w:top w:val="nil"/>
              <w:left w:val="single" w:sz="4" w:space="0" w:color="auto"/>
              <w:bottom w:val="single" w:sz="8" w:space="0" w:color="000000"/>
              <w:right w:val="single" w:sz="4" w:space="0" w:color="auto"/>
            </w:tcBorders>
            <w:vAlign w:val="center"/>
            <w:hideMark/>
          </w:tcPr>
          <w:p w14:paraId="5F549A9C" w14:textId="77777777" w:rsidR="00DE7516" w:rsidRPr="009722B3" w:rsidRDefault="00DE7516" w:rsidP="002F71BC">
            <w:pPr>
              <w:rPr>
                <w:rFonts w:ascii="Corbel" w:hAnsi="Corbel" w:cs="Calibri"/>
                <w:color w:val="000000"/>
                <w:sz w:val="20"/>
                <w:szCs w:val="20"/>
                <w:lang w:val="en-GB"/>
              </w:rPr>
            </w:pPr>
          </w:p>
        </w:tc>
        <w:tc>
          <w:tcPr>
            <w:tcW w:w="3670" w:type="dxa"/>
            <w:tcBorders>
              <w:top w:val="nil"/>
              <w:left w:val="nil"/>
              <w:bottom w:val="single" w:sz="8" w:space="0" w:color="auto"/>
              <w:right w:val="single" w:sz="8" w:space="0" w:color="auto"/>
            </w:tcBorders>
            <w:shd w:val="clear" w:color="auto" w:fill="auto"/>
            <w:vAlign w:val="center"/>
            <w:hideMark/>
          </w:tcPr>
          <w:p w14:paraId="4BBC4F21"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 xml:space="preserve"> 7. Promoting sustainable transport and removing bottlenecks in key network infrastructures</w:t>
            </w:r>
          </w:p>
        </w:tc>
        <w:tc>
          <w:tcPr>
            <w:tcW w:w="961" w:type="dxa"/>
            <w:vMerge/>
            <w:tcBorders>
              <w:top w:val="nil"/>
              <w:left w:val="nil"/>
              <w:bottom w:val="single" w:sz="4" w:space="0" w:color="auto"/>
              <w:right w:val="single" w:sz="4" w:space="0" w:color="auto"/>
            </w:tcBorders>
            <w:vAlign w:val="center"/>
            <w:hideMark/>
          </w:tcPr>
          <w:p w14:paraId="12347384" w14:textId="77777777" w:rsidR="00DE7516" w:rsidRPr="009722B3" w:rsidRDefault="00DE7516" w:rsidP="002F71BC">
            <w:pPr>
              <w:rPr>
                <w:rFonts w:ascii="Corbel" w:hAnsi="Corbel" w:cs="Calibri"/>
                <w:color w:val="000000"/>
                <w:sz w:val="20"/>
                <w:szCs w:val="20"/>
                <w:lang w:val="en-GB"/>
              </w:rPr>
            </w:pPr>
          </w:p>
        </w:tc>
      </w:tr>
      <w:tr w:rsidR="00DE7516" w:rsidRPr="009722B3" w14:paraId="2641E397" w14:textId="77777777" w:rsidTr="004E0046">
        <w:trPr>
          <w:trHeight w:val="521"/>
        </w:trPr>
        <w:tc>
          <w:tcPr>
            <w:tcW w:w="977" w:type="dxa"/>
            <w:vMerge w:val="restart"/>
            <w:tcBorders>
              <w:top w:val="nil"/>
              <w:left w:val="single" w:sz="8" w:space="0" w:color="auto"/>
              <w:bottom w:val="single" w:sz="8" w:space="0" w:color="000000"/>
              <w:right w:val="single" w:sz="4" w:space="0" w:color="auto"/>
            </w:tcBorders>
            <w:shd w:val="clear" w:color="auto" w:fill="auto"/>
            <w:vAlign w:val="center"/>
            <w:hideMark/>
          </w:tcPr>
          <w:p w14:paraId="1B522FD7" w14:textId="77777777" w:rsidR="00DE7516" w:rsidRPr="009722B3" w:rsidRDefault="00DE7516" w:rsidP="002F71BC">
            <w:pPr>
              <w:jc w:val="center"/>
              <w:rPr>
                <w:rFonts w:ascii="Corbel" w:hAnsi="Corbel" w:cs="Calibri"/>
                <w:color w:val="000000"/>
                <w:sz w:val="20"/>
                <w:szCs w:val="20"/>
                <w:lang w:val="en-GB"/>
              </w:rPr>
            </w:pPr>
            <w:r w:rsidRPr="009722B3">
              <w:rPr>
                <w:rFonts w:ascii="Corbel" w:hAnsi="Corbel" w:cs="Calibri"/>
                <w:color w:val="000000"/>
                <w:sz w:val="20"/>
                <w:szCs w:val="20"/>
                <w:lang w:val="en-GB"/>
              </w:rPr>
              <w:lastRenderedPageBreak/>
              <w:t>3. Inclusive Growth</w:t>
            </w:r>
          </w:p>
        </w:tc>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14:paraId="3B020720"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Education</w:t>
            </w:r>
          </w:p>
        </w:tc>
        <w:tc>
          <w:tcPr>
            <w:tcW w:w="2774" w:type="dxa"/>
            <w:tcBorders>
              <w:top w:val="nil"/>
              <w:left w:val="nil"/>
              <w:bottom w:val="single" w:sz="4" w:space="0" w:color="auto"/>
              <w:right w:val="single" w:sz="4" w:space="0" w:color="auto"/>
            </w:tcBorders>
            <w:shd w:val="clear" w:color="auto" w:fill="auto"/>
            <w:vAlign w:val="center"/>
            <w:hideMark/>
          </w:tcPr>
          <w:p w14:paraId="57D8288F"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Reducing the rates of early school leaving below 10%</w:t>
            </w:r>
          </w:p>
        </w:tc>
        <w:tc>
          <w:tcPr>
            <w:tcW w:w="3670" w:type="dxa"/>
            <w:tcBorders>
              <w:top w:val="nil"/>
              <w:left w:val="nil"/>
              <w:bottom w:val="single" w:sz="4" w:space="0" w:color="auto"/>
              <w:right w:val="single" w:sz="8" w:space="0" w:color="auto"/>
            </w:tcBorders>
            <w:shd w:val="clear" w:color="auto" w:fill="auto"/>
            <w:vAlign w:val="center"/>
            <w:hideMark/>
          </w:tcPr>
          <w:p w14:paraId="1A98D483"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8. Promoting Sustainable and quality employment and supporting labour mobility</w:t>
            </w:r>
          </w:p>
        </w:tc>
        <w:tc>
          <w:tcPr>
            <w:tcW w:w="961" w:type="dxa"/>
            <w:vMerge/>
            <w:tcBorders>
              <w:top w:val="nil"/>
              <w:left w:val="nil"/>
              <w:bottom w:val="single" w:sz="4" w:space="0" w:color="auto"/>
              <w:right w:val="single" w:sz="4" w:space="0" w:color="auto"/>
            </w:tcBorders>
            <w:vAlign w:val="center"/>
            <w:hideMark/>
          </w:tcPr>
          <w:p w14:paraId="741D61E7" w14:textId="77777777" w:rsidR="00DE7516" w:rsidRPr="009722B3" w:rsidRDefault="00DE7516" w:rsidP="002F71BC">
            <w:pPr>
              <w:rPr>
                <w:rFonts w:ascii="Corbel" w:hAnsi="Corbel" w:cs="Calibri"/>
                <w:color w:val="000000"/>
                <w:sz w:val="20"/>
                <w:szCs w:val="20"/>
                <w:lang w:val="en-GB"/>
              </w:rPr>
            </w:pPr>
          </w:p>
        </w:tc>
      </w:tr>
      <w:tr w:rsidR="00DE7516" w:rsidRPr="009722B3" w14:paraId="498E6FBA" w14:textId="77777777" w:rsidTr="004E0046">
        <w:trPr>
          <w:trHeight w:val="583"/>
        </w:trPr>
        <w:tc>
          <w:tcPr>
            <w:tcW w:w="977" w:type="dxa"/>
            <w:vMerge/>
            <w:tcBorders>
              <w:top w:val="nil"/>
              <w:left w:val="single" w:sz="8" w:space="0" w:color="auto"/>
              <w:bottom w:val="single" w:sz="8" w:space="0" w:color="000000"/>
              <w:right w:val="single" w:sz="4" w:space="0" w:color="auto"/>
            </w:tcBorders>
            <w:vAlign w:val="center"/>
            <w:hideMark/>
          </w:tcPr>
          <w:p w14:paraId="48C4D752" w14:textId="77777777" w:rsidR="00DE7516" w:rsidRPr="009722B3" w:rsidRDefault="00DE7516" w:rsidP="002F71BC">
            <w:pPr>
              <w:rPr>
                <w:rFonts w:ascii="Corbel" w:hAnsi="Corbel" w:cs="Calibri"/>
                <w:color w:val="000000"/>
                <w:sz w:val="20"/>
                <w:szCs w:val="20"/>
                <w:lang w:val="en-GB"/>
              </w:rPr>
            </w:pPr>
          </w:p>
        </w:tc>
        <w:tc>
          <w:tcPr>
            <w:tcW w:w="1339" w:type="dxa"/>
            <w:vMerge/>
            <w:tcBorders>
              <w:top w:val="nil"/>
              <w:left w:val="single" w:sz="4" w:space="0" w:color="auto"/>
              <w:bottom w:val="single" w:sz="4" w:space="0" w:color="auto"/>
              <w:right w:val="single" w:sz="4" w:space="0" w:color="auto"/>
            </w:tcBorders>
            <w:vAlign w:val="center"/>
            <w:hideMark/>
          </w:tcPr>
          <w:p w14:paraId="428538DC" w14:textId="77777777" w:rsidR="00DE7516" w:rsidRPr="009722B3" w:rsidRDefault="00DE7516" w:rsidP="002F71BC">
            <w:pPr>
              <w:rPr>
                <w:rFonts w:ascii="Corbel" w:hAnsi="Corbel" w:cs="Calibri"/>
                <w:color w:val="000000"/>
                <w:sz w:val="20"/>
                <w:szCs w:val="20"/>
                <w:lang w:val="en-GB"/>
              </w:rPr>
            </w:pPr>
          </w:p>
        </w:tc>
        <w:tc>
          <w:tcPr>
            <w:tcW w:w="2774" w:type="dxa"/>
            <w:tcBorders>
              <w:top w:val="nil"/>
              <w:left w:val="nil"/>
              <w:bottom w:val="single" w:sz="4" w:space="0" w:color="auto"/>
              <w:right w:val="single" w:sz="4" w:space="0" w:color="auto"/>
            </w:tcBorders>
            <w:shd w:val="clear" w:color="auto" w:fill="auto"/>
            <w:vAlign w:val="center"/>
            <w:hideMark/>
          </w:tcPr>
          <w:p w14:paraId="0BE3221F"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at least 40% of 30-34–year-olds completing third level education</w:t>
            </w:r>
          </w:p>
        </w:tc>
        <w:tc>
          <w:tcPr>
            <w:tcW w:w="3670" w:type="dxa"/>
            <w:tcBorders>
              <w:top w:val="nil"/>
              <w:left w:val="nil"/>
              <w:bottom w:val="single" w:sz="4" w:space="0" w:color="auto"/>
              <w:right w:val="single" w:sz="8" w:space="0" w:color="auto"/>
            </w:tcBorders>
            <w:shd w:val="clear" w:color="auto" w:fill="auto"/>
            <w:vAlign w:val="center"/>
            <w:hideMark/>
          </w:tcPr>
          <w:p w14:paraId="23A0BCB4"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9. Promoting social inclusion, combating poverty and any discrimination</w:t>
            </w:r>
          </w:p>
        </w:tc>
        <w:tc>
          <w:tcPr>
            <w:tcW w:w="961" w:type="dxa"/>
            <w:vMerge/>
            <w:tcBorders>
              <w:top w:val="nil"/>
              <w:left w:val="nil"/>
              <w:bottom w:val="single" w:sz="4" w:space="0" w:color="auto"/>
              <w:right w:val="single" w:sz="4" w:space="0" w:color="auto"/>
            </w:tcBorders>
            <w:vAlign w:val="center"/>
            <w:hideMark/>
          </w:tcPr>
          <w:p w14:paraId="68741D21" w14:textId="77777777" w:rsidR="00DE7516" w:rsidRPr="009722B3" w:rsidRDefault="00DE7516" w:rsidP="002F71BC">
            <w:pPr>
              <w:rPr>
                <w:rFonts w:ascii="Corbel" w:hAnsi="Corbel" w:cs="Calibri"/>
                <w:color w:val="000000"/>
                <w:sz w:val="20"/>
                <w:szCs w:val="20"/>
                <w:lang w:val="en-GB"/>
              </w:rPr>
            </w:pPr>
          </w:p>
        </w:tc>
      </w:tr>
      <w:tr w:rsidR="00DE7516" w:rsidRPr="009722B3" w14:paraId="1BE8C825" w14:textId="77777777" w:rsidTr="004E0046">
        <w:trPr>
          <w:trHeight w:val="752"/>
        </w:trPr>
        <w:tc>
          <w:tcPr>
            <w:tcW w:w="977" w:type="dxa"/>
            <w:vMerge/>
            <w:tcBorders>
              <w:top w:val="nil"/>
              <w:left w:val="single" w:sz="8" w:space="0" w:color="auto"/>
              <w:bottom w:val="single" w:sz="8" w:space="0" w:color="000000"/>
              <w:right w:val="single" w:sz="4" w:space="0" w:color="auto"/>
            </w:tcBorders>
            <w:vAlign w:val="center"/>
            <w:hideMark/>
          </w:tcPr>
          <w:p w14:paraId="78610C42" w14:textId="77777777" w:rsidR="00DE7516" w:rsidRPr="009722B3" w:rsidRDefault="00DE7516" w:rsidP="002F71BC">
            <w:pPr>
              <w:rPr>
                <w:rFonts w:ascii="Corbel" w:hAnsi="Corbel" w:cs="Calibri"/>
                <w:color w:val="000000"/>
                <w:sz w:val="20"/>
                <w:szCs w:val="20"/>
                <w:lang w:val="en-GB"/>
              </w:rPr>
            </w:pPr>
          </w:p>
        </w:tc>
        <w:tc>
          <w:tcPr>
            <w:tcW w:w="1339" w:type="dxa"/>
            <w:tcBorders>
              <w:top w:val="nil"/>
              <w:left w:val="nil"/>
              <w:bottom w:val="single" w:sz="8" w:space="0" w:color="auto"/>
              <w:right w:val="single" w:sz="4" w:space="0" w:color="auto"/>
            </w:tcBorders>
            <w:shd w:val="clear" w:color="auto" w:fill="auto"/>
            <w:vAlign w:val="center"/>
            <w:hideMark/>
          </w:tcPr>
          <w:p w14:paraId="3E202A13"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Fighting poverty and social exclusion</w:t>
            </w:r>
          </w:p>
        </w:tc>
        <w:tc>
          <w:tcPr>
            <w:tcW w:w="2774" w:type="dxa"/>
            <w:tcBorders>
              <w:top w:val="nil"/>
              <w:left w:val="nil"/>
              <w:bottom w:val="single" w:sz="8" w:space="0" w:color="auto"/>
              <w:right w:val="single" w:sz="4" w:space="0" w:color="auto"/>
            </w:tcBorders>
            <w:shd w:val="clear" w:color="auto" w:fill="auto"/>
            <w:vAlign w:val="center"/>
            <w:hideMark/>
          </w:tcPr>
          <w:p w14:paraId="72FAFC88"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at least 20 million fewer people in or at risk of poverty and social exclusion</w:t>
            </w:r>
          </w:p>
        </w:tc>
        <w:tc>
          <w:tcPr>
            <w:tcW w:w="3670" w:type="dxa"/>
            <w:tcBorders>
              <w:top w:val="nil"/>
              <w:left w:val="nil"/>
              <w:bottom w:val="single" w:sz="8" w:space="0" w:color="auto"/>
              <w:right w:val="single" w:sz="8" w:space="0" w:color="auto"/>
            </w:tcBorders>
            <w:shd w:val="clear" w:color="auto" w:fill="auto"/>
            <w:vAlign w:val="center"/>
            <w:hideMark/>
          </w:tcPr>
          <w:p w14:paraId="21B6E13F" w14:textId="77777777" w:rsidR="00DE7516" w:rsidRPr="009722B3" w:rsidRDefault="00DE7516" w:rsidP="002F71BC">
            <w:pPr>
              <w:rPr>
                <w:rFonts w:ascii="Corbel" w:hAnsi="Corbel" w:cs="Calibri"/>
                <w:color w:val="000000"/>
                <w:sz w:val="20"/>
                <w:szCs w:val="20"/>
                <w:lang w:val="en-GB"/>
              </w:rPr>
            </w:pPr>
            <w:r w:rsidRPr="009722B3">
              <w:rPr>
                <w:rFonts w:ascii="Corbel" w:hAnsi="Corbel" w:cs="Calibri"/>
                <w:color w:val="000000"/>
                <w:sz w:val="20"/>
                <w:szCs w:val="20"/>
                <w:lang w:val="en-GB"/>
              </w:rPr>
              <w:t xml:space="preserve"> 10. Investing in education, training and vocational training for skills and lifelong learning</w:t>
            </w:r>
          </w:p>
        </w:tc>
        <w:tc>
          <w:tcPr>
            <w:tcW w:w="961" w:type="dxa"/>
            <w:vMerge/>
            <w:tcBorders>
              <w:top w:val="nil"/>
              <w:left w:val="nil"/>
              <w:bottom w:val="single" w:sz="4" w:space="0" w:color="auto"/>
              <w:right w:val="single" w:sz="4" w:space="0" w:color="auto"/>
            </w:tcBorders>
            <w:vAlign w:val="center"/>
            <w:hideMark/>
          </w:tcPr>
          <w:p w14:paraId="7FEC00D4" w14:textId="77777777" w:rsidR="00DE7516" w:rsidRPr="009722B3" w:rsidRDefault="00DE7516" w:rsidP="002F71BC">
            <w:pPr>
              <w:rPr>
                <w:rFonts w:ascii="Corbel" w:hAnsi="Corbel" w:cs="Calibri"/>
                <w:color w:val="000000"/>
                <w:sz w:val="20"/>
                <w:szCs w:val="20"/>
                <w:lang w:val="en-GB"/>
              </w:rPr>
            </w:pPr>
          </w:p>
        </w:tc>
      </w:tr>
    </w:tbl>
    <w:p w14:paraId="62A4CA47" w14:textId="66F0EDCB" w:rsidR="00365C21" w:rsidRPr="009722B3" w:rsidRDefault="00365C21" w:rsidP="002F71BC">
      <w:pPr>
        <w:jc w:val="both"/>
        <w:rPr>
          <w:rFonts w:ascii="Corbel" w:hAnsi="Corbel"/>
          <w:lang w:val="en-US"/>
        </w:rPr>
      </w:pPr>
    </w:p>
    <w:p w14:paraId="757F9A05" w14:textId="09D32352" w:rsidR="00DE7516" w:rsidRPr="00542980" w:rsidRDefault="00365C21" w:rsidP="002F71BC">
      <w:pPr>
        <w:jc w:val="both"/>
        <w:rPr>
          <w:rFonts w:ascii="Corbel" w:hAnsi="Corbel"/>
          <w:iCs/>
          <w:sz w:val="22"/>
          <w:szCs w:val="22"/>
          <w:lang w:val="en-US"/>
        </w:rPr>
      </w:pPr>
      <w:r w:rsidRPr="00542980">
        <w:rPr>
          <w:rFonts w:ascii="Corbel" w:hAnsi="Corbel"/>
          <w:iCs/>
          <w:sz w:val="22"/>
          <w:szCs w:val="22"/>
          <w:lang w:val="en-US"/>
        </w:rPr>
        <w:t xml:space="preserve">The missing </w:t>
      </w:r>
      <w:r w:rsidR="00DE7516" w:rsidRPr="00542980">
        <w:rPr>
          <w:rFonts w:ascii="Corbel" w:hAnsi="Corbel"/>
          <w:iCs/>
          <w:sz w:val="22"/>
          <w:szCs w:val="22"/>
          <w:lang w:val="en-US"/>
        </w:rPr>
        <w:t>adoption of a long-term EU strategy for the current period 2020-2030 prevent</w:t>
      </w:r>
      <w:r w:rsidR="008D4B03" w:rsidRPr="00542980">
        <w:rPr>
          <w:rFonts w:ascii="Corbel" w:hAnsi="Corbel"/>
          <w:iCs/>
          <w:sz w:val="22"/>
          <w:szCs w:val="22"/>
          <w:lang w:val="en-US"/>
        </w:rPr>
        <w:t>s</w:t>
      </w:r>
      <w:r w:rsidR="00DE7516" w:rsidRPr="00542980">
        <w:rPr>
          <w:rFonts w:ascii="Corbel" w:hAnsi="Corbel"/>
          <w:iCs/>
          <w:sz w:val="22"/>
          <w:szCs w:val="22"/>
          <w:lang w:val="en-US"/>
        </w:rPr>
        <w:t xml:space="preserve"> the possibility to link the EU sectorial policies objectives to a higher and shared performance framework. </w:t>
      </w:r>
    </w:p>
    <w:p w14:paraId="350CC6C0" w14:textId="77777777" w:rsidR="00365C21" w:rsidRPr="009722B3" w:rsidRDefault="00365C21" w:rsidP="002F71BC">
      <w:pPr>
        <w:jc w:val="both"/>
        <w:rPr>
          <w:rFonts w:ascii="Corbel" w:hAnsi="Corbel"/>
          <w:iCs/>
          <w:lang w:val="en-US"/>
        </w:rPr>
      </w:pPr>
    </w:p>
    <w:p w14:paraId="35CD42A1" w14:textId="77777777" w:rsidR="00F63E83" w:rsidRPr="009722B3" w:rsidRDefault="00F63E83" w:rsidP="002F71BC">
      <w:pPr>
        <w:pStyle w:val="Paragrafoelenco"/>
        <w:numPr>
          <w:ilvl w:val="0"/>
          <w:numId w:val="1"/>
        </w:numPr>
        <w:spacing w:line="240" w:lineRule="auto"/>
        <w:jc w:val="both"/>
        <w:rPr>
          <w:rFonts w:ascii="Corbel" w:hAnsi="Corbel"/>
          <w:i/>
          <w:sz w:val="24"/>
          <w:szCs w:val="24"/>
          <w:lang w:val="en-US"/>
        </w:rPr>
      </w:pPr>
      <w:r w:rsidRPr="009722B3">
        <w:rPr>
          <w:rFonts w:ascii="Corbel" w:hAnsi="Corbel"/>
          <w:i/>
          <w:sz w:val="24"/>
          <w:szCs w:val="24"/>
          <w:lang w:val="en-US"/>
        </w:rPr>
        <w:t xml:space="preserve">The EU multiannual financial framework </w:t>
      </w:r>
    </w:p>
    <w:p w14:paraId="595A06CE" w14:textId="45C553FD" w:rsidR="00F52DDF" w:rsidRPr="00542980" w:rsidRDefault="00F63E83" w:rsidP="002F71BC">
      <w:pPr>
        <w:jc w:val="both"/>
        <w:rPr>
          <w:rFonts w:ascii="Corbel" w:hAnsi="Corbel"/>
          <w:sz w:val="22"/>
          <w:szCs w:val="22"/>
          <w:lang w:val="en-US"/>
        </w:rPr>
      </w:pPr>
      <w:r w:rsidRPr="00542980">
        <w:rPr>
          <w:rFonts w:ascii="Corbel" w:hAnsi="Corbel"/>
          <w:sz w:val="22"/>
          <w:szCs w:val="22"/>
          <w:lang w:val="en-US"/>
        </w:rPr>
        <w:t>The above-mentioned documents set the multiple performance framework at the EU level setting the goals to achieve through all possible means. These latter can take different forms, legislative or non-legislative acts, policy coordination activities, or spending programs</w:t>
      </w:r>
      <w:r w:rsidRPr="00542980">
        <w:rPr>
          <w:rFonts w:ascii="Corbel" w:hAnsi="Corbel"/>
          <w:b/>
          <w:sz w:val="22"/>
          <w:szCs w:val="22"/>
          <w:lang w:val="en-US"/>
        </w:rPr>
        <w:t xml:space="preserve"> </w:t>
      </w:r>
      <w:r w:rsidRPr="00542980">
        <w:rPr>
          <w:rFonts w:ascii="Corbel" w:hAnsi="Corbel"/>
          <w:sz w:val="22"/>
          <w:szCs w:val="22"/>
          <w:lang w:val="en-US"/>
        </w:rPr>
        <w:t xml:space="preserve">framed within the </w:t>
      </w:r>
      <w:r w:rsidRPr="00542980">
        <w:rPr>
          <w:rFonts w:ascii="Corbel" w:hAnsi="Corbel"/>
          <w:bCs/>
          <w:sz w:val="22"/>
          <w:szCs w:val="22"/>
          <w:lang w:val="en-US"/>
        </w:rPr>
        <w:t>Multiannual Financial Framework</w:t>
      </w:r>
      <w:r w:rsidRPr="00542980">
        <w:rPr>
          <w:rFonts w:ascii="Corbel" w:hAnsi="Corbel"/>
          <w:sz w:val="22"/>
          <w:szCs w:val="22"/>
          <w:lang w:val="en-US"/>
        </w:rPr>
        <w:t xml:space="preserve">. This latter lays down the maximum annual amount which the EU can spend in the different policy fields </w:t>
      </w:r>
      <w:r w:rsidR="0059264C" w:rsidRPr="00542980">
        <w:rPr>
          <w:rFonts w:ascii="Corbel" w:hAnsi="Corbel"/>
          <w:sz w:val="22"/>
          <w:szCs w:val="22"/>
          <w:lang w:val="en-US"/>
        </w:rPr>
        <w:t>for</w:t>
      </w:r>
      <w:r w:rsidRPr="00542980">
        <w:rPr>
          <w:rFonts w:ascii="Corbel" w:hAnsi="Corbel"/>
          <w:sz w:val="22"/>
          <w:szCs w:val="22"/>
          <w:lang w:val="en-US"/>
        </w:rPr>
        <w:t xml:space="preserve"> seven years. The MFF thus defines the maximum annual ceiling for EU expenditure as a whole and per budgetary headings. The current MFF (20</w:t>
      </w:r>
      <w:r w:rsidR="008C3519" w:rsidRPr="00542980">
        <w:rPr>
          <w:rFonts w:ascii="Corbel" w:hAnsi="Corbel"/>
          <w:sz w:val="22"/>
          <w:szCs w:val="22"/>
          <w:lang w:val="en-US"/>
        </w:rPr>
        <w:t>21</w:t>
      </w:r>
      <w:r w:rsidRPr="00542980">
        <w:rPr>
          <w:rFonts w:ascii="Corbel" w:hAnsi="Corbel"/>
          <w:sz w:val="22"/>
          <w:szCs w:val="22"/>
          <w:lang w:val="en-US"/>
        </w:rPr>
        <w:t xml:space="preserve"> – 202</w:t>
      </w:r>
      <w:r w:rsidR="008C3519" w:rsidRPr="00542980">
        <w:rPr>
          <w:rFonts w:ascii="Corbel" w:hAnsi="Corbel"/>
          <w:sz w:val="22"/>
          <w:szCs w:val="22"/>
          <w:lang w:val="en-US"/>
        </w:rPr>
        <w:t>7</w:t>
      </w:r>
      <w:r w:rsidRPr="00542980">
        <w:rPr>
          <w:rFonts w:ascii="Corbel" w:hAnsi="Corbel"/>
          <w:sz w:val="22"/>
          <w:szCs w:val="22"/>
          <w:lang w:val="en-US"/>
        </w:rPr>
        <w:t xml:space="preserve">) groups the EU expenditures under </w:t>
      </w:r>
      <w:r w:rsidR="00F52DDF" w:rsidRPr="00542980">
        <w:rPr>
          <w:rFonts w:ascii="Corbel" w:hAnsi="Corbel"/>
          <w:sz w:val="22"/>
          <w:szCs w:val="22"/>
          <w:lang w:val="en-US"/>
        </w:rPr>
        <w:t>seven</w:t>
      </w:r>
      <w:r w:rsidRPr="00542980">
        <w:rPr>
          <w:rFonts w:ascii="Corbel" w:hAnsi="Corbel"/>
          <w:sz w:val="22"/>
          <w:szCs w:val="22"/>
          <w:lang w:val="en-US"/>
        </w:rPr>
        <w:t xml:space="preserve"> main headings, which form the basis for the elaboration of the EU annual budget. The current MFF (20</w:t>
      </w:r>
      <w:r w:rsidR="008C3519" w:rsidRPr="00542980">
        <w:rPr>
          <w:rFonts w:ascii="Corbel" w:hAnsi="Corbel"/>
          <w:sz w:val="22"/>
          <w:szCs w:val="22"/>
          <w:lang w:val="en-US"/>
        </w:rPr>
        <w:t>21</w:t>
      </w:r>
      <w:r w:rsidRPr="00542980">
        <w:rPr>
          <w:rFonts w:ascii="Corbel" w:hAnsi="Corbel"/>
          <w:sz w:val="22"/>
          <w:szCs w:val="22"/>
          <w:lang w:val="en-US"/>
        </w:rPr>
        <w:t xml:space="preserve"> – 202</w:t>
      </w:r>
      <w:r w:rsidR="008C3519" w:rsidRPr="00542980">
        <w:rPr>
          <w:rFonts w:ascii="Corbel" w:hAnsi="Corbel"/>
          <w:sz w:val="22"/>
          <w:szCs w:val="22"/>
          <w:lang w:val="en-US"/>
        </w:rPr>
        <w:t>7</w:t>
      </w:r>
      <w:r w:rsidRPr="00542980">
        <w:rPr>
          <w:rFonts w:ascii="Corbel" w:hAnsi="Corbel"/>
          <w:sz w:val="22"/>
          <w:szCs w:val="22"/>
          <w:lang w:val="en-US"/>
        </w:rPr>
        <w:t>) is structured as follows:</w:t>
      </w:r>
    </w:p>
    <w:p w14:paraId="236FD37E" w14:textId="005861F1" w:rsidR="00F52DDF" w:rsidRPr="00542980" w:rsidRDefault="00F52DDF" w:rsidP="00542980">
      <w:pPr>
        <w:pStyle w:val="Paragrafoelenco"/>
        <w:numPr>
          <w:ilvl w:val="1"/>
          <w:numId w:val="15"/>
        </w:numPr>
        <w:spacing w:line="240" w:lineRule="auto"/>
        <w:ind w:left="851"/>
        <w:jc w:val="both"/>
        <w:rPr>
          <w:rFonts w:ascii="Corbel" w:hAnsi="Corbel"/>
          <w:lang w:val="en-GB"/>
        </w:rPr>
      </w:pPr>
      <w:r w:rsidRPr="00542980">
        <w:rPr>
          <w:rFonts w:ascii="Corbel" w:hAnsi="Corbel"/>
          <w:lang w:val="en-GB"/>
        </w:rPr>
        <w:t>Single Market, Innovation and Digital</w:t>
      </w:r>
    </w:p>
    <w:p w14:paraId="0C99D2D3" w14:textId="77777777" w:rsidR="00F52DDF" w:rsidRPr="00542980" w:rsidRDefault="00F52DDF" w:rsidP="00542980">
      <w:pPr>
        <w:pStyle w:val="Paragrafoelenco"/>
        <w:numPr>
          <w:ilvl w:val="1"/>
          <w:numId w:val="15"/>
        </w:numPr>
        <w:spacing w:line="240" w:lineRule="auto"/>
        <w:ind w:left="851"/>
        <w:jc w:val="both"/>
        <w:rPr>
          <w:rFonts w:ascii="Corbel" w:hAnsi="Corbel"/>
          <w:lang w:val="en-GB"/>
        </w:rPr>
      </w:pPr>
      <w:r w:rsidRPr="00542980">
        <w:rPr>
          <w:rFonts w:ascii="Corbel" w:hAnsi="Corbel"/>
          <w:lang w:val="en-GB"/>
        </w:rPr>
        <w:t>Cohesion, Resilience and Values</w:t>
      </w:r>
    </w:p>
    <w:p w14:paraId="002EDA07" w14:textId="77777777" w:rsidR="00F52DDF" w:rsidRPr="00542980" w:rsidRDefault="00F52DDF" w:rsidP="00542980">
      <w:pPr>
        <w:pStyle w:val="Paragrafoelenco"/>
        <w:numPr>
          <w:ilvl w:val="1"/>
          <w:numId w:val="15"/>
        </w:numPr>
        <w:spacing w:line="240" w:lineRule="auto"/>
        <w:ind w:left="851"/>
        <w:jc w:val="both"/>
        <w:rPr>
          <w:rFonts w:ascii="Corbel" w:hAnsi="Corbel"/>
          <w:lang w:val="en-GB"/>
        </w:rPr>
      </w:pPr>
      <w:r w:rsidRPr="00542980">
        <w:rPr>
          <w:rFonts w:ascii="Corbel" w:hAnsi="Corbel"/>
          <w:lang w:val="en-GB"/>
        </w:rPr>
        <w:t>Natural Resources and Environment</w:t>
      </w:r>
    </w:p>
    <w:p w14:paraId="77A4A60F" w14:textId="77777777" w:rsidR="00F52DDF" w:rsidRPr="00542980" w:rsidRDefault="00F52DDF" w:rsidP="00542980">
      <w:pPr>
        <w:pStyle w:val="Paragrafoelenco"/>
        <w:numPr>
          <w:ilvl w:val="1"/>
          <w:numId w:val="15"/>
        </w:numPr>
        <w:spacing w:line="240" w:lineRule="auto"/>
        <w:ind w:left="851"/>
        <w:jc w:val="both"/>
        <w:rPr>
          <w:rFonts w:ascii="Corbel" w:hAnsi="Corbel"/>
          <w:lang w:val="en-GB"/>
        </w:rPr>
      </w:pPr>
      <w:r w:rsidRPr="00542980">
        <w:rPr>
          <w:rFonts w:ascii="Corbel" w:hAnsi="Corbel"/>
          <w:lang w:val="en-GB"/>
        </w:rPr>
        <w:t>Migration and Border Management</w:t>
      </w:r>
    </w:p>
    <w:p w14:paraId="202CC8C8" w14:textId="77777777" w:rsidR="00F52DDF" w:rsidRPr="00542980" w:rsidRDefault="00F52DDF" w:rsidP="00542980">
      <w:pPr>
        <w:pStyle w:val="Paragrafoelenco"/>
        <w:numPr>
          <w:ilvl w:val="1"/>
          <w:numId w:val="15"/>
        </w:numPr>
        <w:spacing w:line="240" w:lineRule="auto"/>
        <w:ind w:left="851"/>
        <w:jc w:val="both"/>
        <w:rPr>
          <w:rFonts w:ascii="Corbel" w:hAnsi="Corbel"/>
          <w:lang w:val="en-GB"/>
        </w:rPr>
      </w:pPr>
      <w:r w:rsidRPr="00542980">
        <w:rPr>
          <w:rFonts w:ascii="Corbel" w:hAnsi="Corbel"/>
          <w:lang w:val="en-GB"/>
        </w:rPr>
        <w:t>Security and Defence</w:t>
      </w:r>
    </w:p>
    <w:p w14:paraId="73CCFB81" w14:textId="77777777" w:rsidR="00F52DDF" w:rsidRPr="00542980" w:rsidRDefault="00F52DDF" w:rsidP="00542980">
      <w:pPr>
        <w:pStyle w:val="Paragrafoelenco"/>
        <w:numPr>
          <w:ilvl w:val="1"/>
          <w:numId w:val="15"/>
        </w:numPr>
        <w:spacing w:line="240" w:lineRule="auto"/>
        <w:ind w:left="851"/>
        <w:jc w:val="both"/>
        <w:rPr>
          <w:rFonts w:ascii="Corbel" w:hAnsi="Corbel"/>
          <w:lang w:val="en-GB"/>
        </w:rPr>
      </w:pPr>
      <w:r w:rsidRPr="00542980">
        <w:rPr>
          <w:rFonts w:ascii="Corbel" w:hAnsi="Corbel"/>
          <w:lang w:val="en-GB"/>
        </w:rPr>
        <w:t>Neighbourhood and the World</w:t>
      </w:r>
    </w:p>
    <w:p w14:paraId="5BD5DFBC" w14:textId="551A3625" w:rsidR="00F52DDF" w:rsidRPr="00542980" w:rsidRDefault="00F52DDF" w:rsidP="00542980">
      <w:pPr>
        <w:pStyle w:val="Paragrafoelenco"/>
        <w:numPr>
          <w:ilvl w:val="1"/>
          <w:numId w:val="15"/>
        </w:numPr>
        <w:spacing w:line="240" w:lineRule="auto"/>
        <w:ind w:left="851"/>
        <w:jc w:val="both"/>
        <w:rPr>
          <w:rFonts w:ascii="Corbel" w:hAnsi="Corbel"/>
          <w:lang w:val="en-GB"/>
        </w:rPr>
      </w:pPr>
      <w:r w:rsidRPr="00542980">
        <w:rPr>
          <w:rFonts w:ascii="Corbel" w:hAnsi="Corbel"/>
          <w:lang w:val="en-GB"/>
        </w:rPr>
        <w:t>European Public Administration</w:t>
      </w:r>
    </w:p>
    <w:p w14:paraId="55886511" w14:textId="753ED46B" w:rsidR="008C3519" w:rsidRPr="00542980" w:rsidRDefault="00F63E83" w:rsidP="002F71BC">
      <w:pPr>
        <w:jc w:val="both"/>
        <w:rPr>
          <w:rFonts w:ascii="Corbel" w:hAnsi="Corbel"/>
          <w:sz w:val="22"/>
          <w:szCs w:val="22"/>
          <w:lang w:val="en-US"/>
        </w:rPr>
      </w:pPr>
      <w:r w:rsidRPr="00542980">
        <w:rPr>
          <w:rFonts w:ascii="Corbel" w:hAnsi="Corbel"/>
          <w:sz w:val="22"/>
          <w:szCs w:val="22"/>
          <w:lang w:val="en-US"/>
        </w:rPr>
        <w:t xml:space="preserve">The maximum funding committed for these areas is set at EUR </w:t>
      </w:r>
      <w:r w:rsidR="007563DC" w:rsidRPr="00542980">
        <w:rPr>
          <w:rFonts w:ascii="Corbel" w:hAnsi="Corbel"/>
          <w:sz w:val="22"/>
          <w:szCs w:val="22"/>
          <w:lang w:val="en-US"/>
        </w:rPr>
        <w:t>1.074</w:t>
      </w:r>
      <w:r w:rsidRPr="00542980">
        <w:rPr>
          <w:rFonts w:ascii="Corbel" w:hAnsi="Corbel"/>
          <w:sz w:val="22"/>
          <w:szCs w:val="22"/>
          <w:lang w:val="en-US"/>
        </w:rPr>
        <w:t xml:space="preserve"> billion for the 7</w:t>
      </w:r>
      <w:r w:rsidR="0059264C" w:rsidRPr="00542980">
        <w:rPr>
          <w:rFonts w:ascii="Corbel" w:hAnsi="Corbel"/>
          <w:sz w:val="22"/>
          <w:szCs w:val="22"/>
          <w:lang w:val="en-US"/>
        </w:rPr>
        <w:t xml:space="preserve"> </w:t>
      </w:r>
      <w:r w:rsidRPr="00542980">
        <w:rPr>
          <w:rFonts w:ascii="Corbel" w:hAnsi="Corbel"/>
          <w:sz w:val="22"/>
          <w:szCs w:val="22"/>
          <w:lang w:val="en-US"/>
        </w:rPr>
        <w:t>year</w:t>
      </w:r>
      <w:r w:rsidR="0059264C" w:rsidRPr="00542980">
        <w:rPr>
          <w:rFonts w:ascii="Corbel" w:hAnsi="Corbel"/>
          <w:sz w:val="22"/>
          <w:szCs w:val="22"/>
          <w:lang w:val="en-US"/>
        </w:rPr>
        <w:t>s</w:t>
      </w:r>
      <w:r w:rsidR="00C45132" w:rsidRPr="00542980">
        <w:rPr>
          <w:rFonts w:ascii="Corbel" w:hAnsi="Corbel"/>
          <w:sz w:val="22"/>
          <w:szCs w:val="22"/>
          <w:lang w:val="en-US"/>
        </w:rPr>
        <w:t xml:space="preserve"> to which has been added the </w:t>
      </w:r>
      <w:proofErr w:type="spellStart"/>
      <w:r w:rsidR="00C45132" w:rsidRPr="00542980">
        <w:rPr>
          <w:rFonts w:ascii="Corbel" w:hAnsi="Corbel"/>
          <w:sz w:val="22"/>
          <w:szCs w:val="22"/>
          <w:lang w:val="en-US"/>
        </w:rPr>
        <w:t>NextGenerationEU</w:t>
      </w:r>
      <w:proofErr w:type="spellEnd"/>
      <w:r w:rsidR="00C45132" w:rsidRPr="00542980">
        <w:rPr>
          <w:rFonts w:ascii="Corbel" w:hAnsi="Corbel"/>
          <w:sz w:val="22"/>
          <w:szCs w:val="22"/>
          <w:lang w:val="en-US"/>
        </w:rPr>
        <w:t xml:space="preserve"> instrument, the temporary recovery instrument created to fuel Europe's recovery from the coronavirus crisis. </w:t>
      </w:r>
      <w:r w:rsidR="00C318F6" w:rsidRPr="00542980">
        <w:rPr>
          <w:rFonts w:ascii="Corbel" w:hAnsi="Corbel"/>
          <w:sz w:val="22"/>
          <w:szCs w:val="22"/>
          <w:lang w:val="en-US"/>
        </w:rPr>
        <w:t>Consequently,</w:t>
      </w:r>
      <w:r w:rsidR="006A396B" w:rsidRPr="00542980">
        <w:rPr>
          <w:rFonts w:ascii="Corbel" w:hAnsi="Corbel"/>
          <w:sz w:val="22"/>
          <w:szCs w:val="22"/>
          <w:lang w:val="en-US"/>
        </w:rPr>
        <w:t xml:space="preserve"> the total amount of the EU resources available reached the unprecedent amount of 1.824 </w:t>
      </w:r>
      <w:proofErr w:type="gramStart"/>
      <w:r w:rsidR="00C318F6" w:rsidRPr="00542980">
        <w:rPr>
          <w:rFonts w:ascii="Corbel" w:hAnsi="Corbel"/>
          <w:sz w:val="22"/>
          <w:szCs w:val="22"/>
          <w:lang w:val="en-US"/>
        </w:rPr>
        <w:t>billions</w:t>
      </w:r>
      <w:proofErr w:type="gramEnd"/>
      <w:r w:rsidR="006A396B" w:rsidRPr="00542980">
        <w:rPr>
          <w:rFonts w:ascii="Corbel" w:hAnsi="Corbel"/>
          <w:sz w:val="22"/>
          <w:szCs w:val="22"/>
          <w:lang w:val="en-US"/>
        </w:rPr>
        <w:t xml:space="preserve"> of Euros for the period 2021-2027.</w:t>
      </w:r>
      <w:r w:rsidR="00C318F6" w:rsidRPr="00542980">
        <w:rPr>
          <w:rFonts w:ascii="Corbel" w:hAnsi="Corbel"/>
          <w:sz w:val="22"/>
          <w:szCs w:val="22"/>
          <w:lang w:val="en-US"/>
        </w:rPr>
        <w:t xml:space="preserve"> The previous MFF (2014-2020) </w:t>
      </w:r>
      <w:r w:rsidRPr="00542980">
        <w:rPr>
          <w:rFonts w:ascii="Corbel" w:hAnsi="Corbel"/>
          <w:sz w:val="22"/>
          <w:szCs w:val="22"/>
          <w:lang w:val="en-US"/>
        </w:rPr>
        <w:t>budget headings reflect</w:t>
      </w:r>
      <w:r w:rsidR="00C318F6" w:rsidRPr="00542980">
        <w:rPr>
          <w:rFonts w:ascii="Corbel" w:hAnsi="Corbel"/>
          <w:sz w:val="22"/>
          <w:szCs w:val="22"/>
          <w:lang w:val="en-US"/>
        </w:rPr>
        <w:t>ed</w:t>
      </w:r>
      <w:r w:rsidRPr="00542980">
        <w:rPr>
          <w:rFonts w:ascii="Corbel" w:hAnsi="Corbel"/>
          <w:sz w:val="22"/>
          <w:szCs w:val="22"/>
          <w:lang w:val="en-US"/>
        </w:rPr>
        <w:t xml:space="preserve"> the Europe 2020 objectives, although there </w:t>
      </w:r>
      <w:r w:rsidR="00C318F6" w:rsidRPr="00542980">
        <w:rPr>
          <w:rFonts w:ascii="Corbel" w:hAnsi="Corbel"/>
          <w:sz w:val="22"/>
          <w:szCs w:val="22"/>
          <w:lang w:val="en-US"/>
        </w:rPr>
        <w:t>was</w:t>
      </w:r>
      <w:r w:rsidRPr="00542980">
        <w:rPr>
          <w:rFonts w:ascii="Corbel" w:hAnsi="Corbel"/>
          <w:sz w:val="22"/>
          <w:szCs w:val="22"/>
          <w:lang w:val="en-US"/>
        </w:rPr>
        <w:t xml:space="preserve"> no clear linkage. This is partially </w:t>
      </w:r>
      <w:r w:rsidR="0059264C" w:rsidRPr="00542980">
        <w:rPr>
          <w:rFonts w:ascii="Corbel" w:hAnsi="Corbel"/>
          <w:sz w:val="22"/>
          <w:szCs w:val="22"/>
          <w:lang w:val="en-US"/>
        </w:rPr>
        <w:t>because</w:t>
      </w:r>
      <w:r w:rsidRPr="00542980">
        <w:rPr>
          <w:rFonts w:ascii="Corbel" w:hAnsi="Corbel"/>
          <w:sz w:val="22"/>
          <w:szCs w:val="22"/>
          <w:lang w:val="en-US"/>
        </w:rPr>
        <w:t xml:space="preserve"> the MFF comprises the EU’s wider policy competences which goes beyond the priorities set by the Europe 2020 strategy.</w:t>
      </w:r>
      <w:r w:rsidR="00C318F6" w:rsidRPr="00542980">
        <w:rPr>
          <w:rFonts w:ascii="Corbel" w:hAnsi="Corbel"/>
          <w:sz w:val="22"/>
          <w:szCs w:val="22"/>
          <w:lang w:val="en-US"/>
        </w:rPr>
        <w:t xml:space="preserve"> In the current period the missing adoption of the ten-year strategy prevent linking the MFF 2021-2027 budget headings to higher strategic objectives. </w:t>
      </w:r>
      <w:r w:rsidRPr="00542980">
        <w:rPr>
          <w:rFonts w:ascii="Corbel" w:hAnsi="Corbel"/>
          <w:sz w:val="22"/>
          <w:szCs w:val="22"/>
          <w:lang w:val="en-US"/>
        </w:rPr>
        <w:t xml:space="preserve"> </w:t>
      </w:r>
    </w:p>
    <w:p w14:paraId="57E0936C" w14:textId="77777777" w:rsidR="00F63E83" w:rsidRPr="009722B3" w:rsidRDefault="00F63E83" w:rsidP="002F71BC">
      <w:pPr>
        <w:jc w:val="both"/>
        <w:rPr>
          <w:rFonts w:ascii="Corbel" w:hAnsi="Corbel"/>
          <w:lang w:val="en-US"/>
        </w:rPr>
      </w:pPr>
    </w:p>
    <w:p w14:paraId="5D8479BD" w14:textId="688217BF" w:rsidR="00F63E83" w:rsidRPr="009722B3" w:rsidRDefault="00F63E83" w:rsidP="002F71BC">
      <w:pPr>
        <w:pStyle w:val="Paragrafoelenco"/>
        <w:numPr>
          <w:ilvl w:val="0"/>
          <w:numId w:val="1"/>
        </w:numPr>
        <w:spacing w:line="240" w:lineRule="auto"/>
        <w:jc w:val="both"/>
        <w:rPr>
          <w:rFonts w:ascii="Corbel" w:hAnsi="Corbel"/>
          <w:sz w:val="24"/>
          <w:szCs w:val="24"/>
          <w:lang w:val="en-US"/>
        </w:rPr>
      </w:pPr>
      <w:r w:rsidRPr="009722B3">
        <w:rPr>
          <w:rFonts w:ascii="Corbel" w:hAnsi="Corbel"/>
          <w:i/>
          <w:sz w:val="24"/>
          <w:szCs w:val="24"/>
          <w:lang w:val="en-US"/>
        </w:rPr>
        <w:t>The EU Spending programs</w:t>
      </w:r>
      <w:r w:rsidR="001375A1" w:rsidRPr="009722B3">
        <w:rPr>
          <w:rFonts w:ascii="Corbel" w:hAnsi="Corbel"/>
          <w:i/>
          <w:sz w:val="24"/>
          <w:szCs w:val="24"/>
          <w:lang w:val="en-US"/>
        </w:rPr>
        <w:t xml:space="preserve"> </w:t>
      </w:r>
    </w:p>
    <w:p w14:paraId="1206BCD4" w14:textId="12AA8759" w:rsidR="00F168C3" w:rsidRDefault="00F63E83" w:rsidP="002F71BC">
      <w:pPr>
        <w:jc w:val="both"/>
        <w:rPr>
          <w:rFonts w:ascii="Corbel" w:hAnsi="Corbel"/>
          <w:sz w:val="22"/>
          <w:szCs w:val="22"/>
          <w:lang w:val="en-US"/>
        </w:rPr>
      </w:pPr>
      <w:r w:rsidRPr="00542980">
        <w:rPr>
          <w:rFonts w:ascii="Corbel" w:hAnsi="Corbel"/>
          <w:sz w:val="22"/>
          <w:szCs w:val="22"/>
          <w:lang w:val="en-US"/>
        </w:rPr>
        <w:t xml:space="preserve">The EU budget is a key instrument for achieving the priorities set at different EU levels and it is implemented by the </w:t>
      </w:r>
      <w:r w:rsidRPr="00542980">
        <w:rPr>
          <w:rFonts w:ascii="Corbel" w:hAnsi="Corbel"/>
          <w:bCs/>
          <w:sz w:val="22"/>
          <w:szCs w:val="22"/>
          <w:lang w:val="en-US"/>
        </w:rPr>
        <w:t>EU Spending programs,</w:t>
      </w:r>
      <w:r w:rsidRPr="00542980">
        <w:rPr>
          <w:rFonts w:ascii="Corbel" w:hAnsi="Corbel"/>
          <w:sz w:val="22"/>
          <w:szCs w:val="22"/>
          <w:lang w:val="en-US"/>
        </w:rPr>
        <w:t xml:space="preserve"> linked to the </w:t>
      </w:r>
      <w:r w:rsidR="00F168C3" w:rsidRPr="00542980">
        <w:rPr>
          <w:rFonts w:ascii="Corbel" w:hAnsi="Corbel"/>
          <w:sz w:val="22"/>
          <w:szCs w:val="22"/>
          <w:lang w:val="en-US"/>
        </w:rPr>
        <w:t>seven</w:t>
      </w:r>
      <w:r w:rsidRPr="00542980">
        <w:rPr>
          <w:rFonts w:ascii="Corbel" w:hAnsi="Corbel"/>
          <w:sz w:val="22"/>
          <w:szCs w:val="22"/>
          <w:lang w:val="en-US"/>
        </w:rPr>
        <w:t xml:space="preserve"> MFF headings as they run for the same period. </w:t>
      </w:r>
    </w:p>
    <w:p w14:paraId="331725D1" w14:textId="77777777" w:rsidR="007C1D14" w:rsidRPr="00542980" w:rsidRDefault="007C1D14" w:rsidP="002F71BC">
      <w:pPr>
        <w:jc w:val="both"/>
        <w:rPr>
          <w:rFonts w:ascii="Corbel" w:hAnsi="Corbel"/>
          <w:sz w:val="22"/>
          <w:szCs w:val="22"/>
          <w:lang w:val="en-US"/>
        </w:rPr>
      </w:pPr>
    </w:p>
    <w:p w14:paraId="1DF85C48" w14:textId="33D0DCB7" w:rsidR="007C1D14" w:rsidRPr="007C1D14" w:rsidRDefault="007C1D14" w:rsidP="007C1D14">
      <w:pPr>
        <w:pStyle w:val="Didascalia"/>
        <w:jc w:val="both"/>
        <w:rPr>
          <w:rFonts w:ascii="Corbel" w:hAnsi="Corbel"/>
          <w:b/>
          <w:bCs/>
          <w:lang w:val="en-US"/>
        </w:rPr>
      </w:pPr>
      <w:r w:rsidRPr="007C1D14">
        <w:rPr>
          <w:rFonts w:ascii="Corbel" w:hAnsi="Corbel"/>
          <w:b/>
          <w:bCs/>
          <w:lang w:val="en-US"/>
        </w:rPr>
        <w:t>Table 4 – headings and programs 2021-2027</w:t>
      </w:r>
    </w:p>
    <w:tbl>
      <w:tblPr>
        <w:tblStyle w:val="Grigliatabella"/>
        <w:tblW w:w="0" w:type="auto"/>
        <w:tblLook w:val="04A0" w:firstRow="1" w:lastRow="0" w:firstColumn="1" w:lastColumn="0" w:noHBand="0" w:noVBand="1"/>
      </w:tblPr>
      <w:tblGrid>
        <w:gridCol w:w="4811"/>
        <w:gridCol w:w="4811"/>
      </w:tblGrid>
      <w:tr w:rsidR="00587EED" w:rsidRPr="007C1D14" w14:paraId="040BB850" w14:textId="77777777" w:rsidTr="00587EED">
        <w:tc>
          <w:tcPr>
            <w:tcW w:w="4811" w:type="dxa"/>
          </w:tcPr>
          <w:p w14:paraId="261BB5A8" w14:textId="5CEC1CDD" w:rsidR="00587EED" w:rsidRPr="007C1D14" w:rsidRDefault="00587EED" w:rsidP="002F71BC">
            <w:pPr>
              <w:jc w:val="center"/>
              <w:rPr>
                <w:rFonts w:ascii="Corbel" w:hAnsi="Corbel"/>
                <w:b/>
                <w:bCs/>
                <w:sz w:val="20"/>
                <w:szCs w:val="20"/>
                <w:lang w:val="en-US"/>
              </w:rPr>
            </w:pPr>
            <w:r w:rsidRPr="007C1D14">
              <w:rPr>
                <w:rFonts w:ascii="Corbel" w:hAnsi="Corbel"/>
                <w:b/>
                <w:bCs/>
                <w:sz w:val="20"/>
                <w:szCs w:val="20"/>
                <w:lang w:val="en-US"/>
              </w:rPr>
              <w:t>MFF Headings (2021-2027)</w:t>
            </w:r>
          </w:p>
        </w:tc>
        <w:tc>
          <w:tcPr>
            <w:tcW w:w="4811" w:type="dxa"/>
          </w:tcPr>
          <w:p w14:paraId="1014ABB3" w14:textId="5903E0D5" w:rsidR="00587EED" w:rsidRPr="007C1D14" w:rsidRDefault="00587EED" w:rsidP="002F71BC">
            <w:pPr>
              <w:jc w:val="center"/>
              <w:rPr>
                <w:rFonts w:ascii="Corbel" w:hAnsi="Corbel"/>
                <w:b/>
                <w:bCs/>
                <w:sz w:val="20"/>
                <w:szCs w:val="20"/>
                <w:lang w:val="en-US"/>
              </w:rPr>
            </w:pPr>
            <w:r w:rsidRPr="007C1D14">
              <w:rPr>
                <w:rFonts w:ascii="Corbel" w:hAnsi="Corbel"/>
                <w:b/>
                <w:bCs/>
                <w:sz w:val="20"/>
                <w:szCs w:val="20"/>
                <w:lang w:val="en-US"/>
              </w:rPr>
              <w:t>Main EU Spending Programs (2021-2027)</w:t>
            </w:r>
          </w:p>
        </w:tc>
      </w:tr>
      <w:tr w:rsidR="00587EED" w:rsidRPr="009722B3" w14:paraId="7821B6A1" w14:textId="77777777" w:rsidTr="00C27C50">
        <w:trPr>
          <w:trHeight w:val="474"/>
        </w:trPr>
        <w:tc>
          <w:tcPr>
            <w:tcW w:w="4811" w:type="dxa"/>
          </w:tcPr>
          <w:p w14:paraId="79D66BAA" w14:textId="145F2E03" w:rsidR="00587EED" w:rsidRPr="009722B3" w:rsidRDefault="00587EED" w:rsidP="002F71BC">
            <w:pPr>
              <w:pStyle w:val="Paragrafoelenco"/>
              <w:numPr>
                <w:ilvl w:val="1"/>
                <w:numId w:val="30"/>
              </w:numPr>
              <w:spacing w:line="240" w:lineRule="auto"/>
              <w:ind w:left="454"/>
              <w:jc w:val="both"/>
              <w:rPr>
                <w:rFonts w:ascii="Corbel" w:hAnsi="Corbel"/>
                <w:sz w:val="20"/>
                <w:szCs w:val="20"/>
                <w:lang w:val="en-GB"/>
              </w:rPr>
            </w:pPr>
            <w:r w:rsidRPr="009722B3">
              <w:rPr>
                <w:rFonts w:ascii="Corbel" w:hAnsi="Corbel"/>
                <w:sz w:val="20"/>
                <w:szCs w:val="20"/>
                <w:lang w:val="en-GB"/>
              </w:rPr>
              <w:t>Single Market, Innovation and Digital</w:t>
            </w:r>
          </w:p>
        </w:tc>
        <w:tc>
          <w:tcPr>
            <w:tcW w:w="4811" w:type="dxa"/>
          </w:tcPr>
          <w:p w14:paraId="31ED4FF8" w14:textId="22A554BD" w:rsidR="00587EED" w:rsidRPr="009722B3" w:rsidRDefault="00B67AC1" w:rsidP="002F71BC">
            <w:pPr>
              <w:jc w:val="both"/>
              <w:rPr>
                <w:rFonts w:ascii="Corbel" w:hAnsi="Corbel"/>
                <w:sz w:val="20"/>
                <w:szCs w:val="20"/>
                <w:lang w:val="en-US"/>
              </w:rPr>
            </w:pPr>
            <w:r w:rsidRPr="009722B3">
              <w:rPr>
                <w:rFonts w:ascii="Corbel" w:hAnsi="Corbel"/>
                <w:sz w:val="20"/>
                <w:szCs w:val="20"/>
                <w:lang w:val="en-US"/>
              </w:rPr>
              <w:t>Horizon Europe, Connecting Europe Facility, Single Market Program, Digital Europe Program, Invest EU</w:t>
            </w:r>
          </w:p>
        </w:tc>
      </w:tr>
      <w:tr w:rsidR="00587EED" w:rsidRPr="009722B3" w14:paraId="1A303BFC" w14:textId="77777777" w:rsidTr="00C27C50">
        <w:trPr>
          <w:trHeight w:val="250"/>
        </w:trPr>
        <w:tc>
          <w:tcPr>
            <w:tcW w:w="4811" w:type="dxa"/>
          </w:tcPr>
          <w:p w14:paraId="53FFAA8F" w14:textId="7B1704B2" w:rsidR="00587EED" w:rsidRPr="009722B3" w:rsidRDefault="00587EED" w:rsidP="002F71BC">
            <w:pPr>
              <w:pStyle w:val="Paragrafoelenco"/>
              <w:numPr>
                <w:ilvl w:val="1"/>
                <w:numId w:val="30"/>
              </w:numPr>
              <w:spacing w:line="240" w:lineRule="auto"/>
              <w:ind w:left="454"/>
              <w:jc w:val="both"/>
              <w:rPr>
                <w:rFonts w:ascii="Corbel" w:hAnsi="Corbel"/>
                <w:sz w:val="20"/>
                <w:szCs w:val="20"/>
                <w:lang w:val="en-GB"/>
              </w:rPr>
            </w:pPr>
            <w:r w:rsidRPr="009722B3">
              <w:rPr>
                <w:rFonts w:ascii="Corbel" w:hAnsi="Corbel"/>
                <w:sz w:val="20"/>
                <w:szCs w:val="20"/>
                <w:lang w:val="en-GB"/>
              </w:rPr>
              <w:t>Cohesion, Resilience and Values</w:t>
            </w:r>
          </w:p>
        </w:tc>
        <w:tc>
          <w:tcPr>
            <w:tcW w:w="4811" w:type="dxa"/>
          </w:tcPr>
          <w:p w14:paraId="123F1C60" w14:textId="494EBD2E" w:rsidR="00587EED" w:rsidRPr="009722B3" w:rsidRDefault="009668E9" w:rsidP="002F71BC">
            <w:pPr>
              <w:jc w:val="both"/>
              <w:rPr>
                <w:rFonts w:ascii="Corbel" w:hAnsi="Corbel"/>
                <w:sz w:val="20"/>
                <w:szCs w:val="20"/>
                <w:lang w:val="en-US"/>
              </w:rPr>
            </w:pPr>
            <w:r w:rsidRPr="009722B3">
              <w:rPr>
                <w:rFonts w:ascii="Corbel" w:hAnsi="Corbel"/>
                <w:sz w:val="20"/>
                <w:szCs w:val="20"/>
                <w:lang w:val="en-US"/>
              </w:rPr>
              <w:t>ERDF and Cohesion Fund, European Social Fund+, Erasmus+,</w:t>
            </w:r>
            <w:r w:rsidR="00B67AC1" w:rsidRPr="009722B3">
              <w:rPr>
                <w:rFonts w:ascii="Corbel" w:hAnsi="Corbel"/>
                <w:sz w:val="20"/>
                <w:szCs w:val="20"/>
                <w:lang w:val="en-US"/>
              </w:rPr>
              <w:t xml:space="preserve"> </w:t>
            </w:r>
            <w:r w:rsidRPr="009722B3">
              <w:rPr>
                <w:rFonts w:ascii="Corbel" w:hAnsi="Corbel"/>
                <w:sz w:val="20"/>
                <w:szCs w:val="20"/>
                <w:lang w:val="en-US"/>
              </w:rPr>
              <w:t>European Solidarity Corps, Creative Europe, Justice, Rights and Values</w:t>
            </w:r>
          </w:p>
        </w:tc>
      </w:tr>
      <w:tr w:rsidR="00587EED" w:rsidRPr="009722B3" w14:paraId="70DD50CA" w14:textId="77777777" w:rsidTr="00587EED">
        <w:tc>
          <w:tcPr>
            <w:tcW w:w="4811" w:type="dxa"/>
          </w:tcPr>
          <w:p w14:paraId="261F007C" w14:textId="45AAC18B" w:rsidR="00587EED" w:rsidRPr="009722B3" w:rsidRDefault="00587EED" w:rsidP="002F71BC">
            <w:pPr>
              <w:pStyle w:val="Paragrafoelenco"/>
              <w:numPr>
                <w:ilvl w:val="1"/>
                <w:numId w:val="30"/>
              </w:numPr>
              <w:spacing w:line="240" w:lineRule="auto"/>
              <w:ind w:left="454"/>
              <w:jc w:val="both"/>
              <w:rPr>
                <w:rFonts w:ascii="Corbel" w:hAnsi="Corbel"/>
                <w:sz w:val="20"/>
                <w:szCs w:val="20"/>
                <w:lang w:val="en-GB"/>
              </w:rPr>
            </w:pPr>
            <w:r w:rsidRPr="009722B3">
              <w:rPr>
                <w:rFonts w:ascii="Corbel" w:hAnsi="Corbel"/>
                <w:sz w:val="20"/>
                <w:szCs w:val="20"/>
                <w:lang w:val="en-GB"/>
              </w:rPr>
              <w:lastRenderedPageBreak/>
              <w:t>Natural Resources and Environment</w:t>
            </w:r>
          </w:p>
        </w:tc>
        <w:tc>
          <w:tcPr>
            <w:tcW w:w="4811" w:type="dxa"/>
          </w:tcPr>
          <w:p w14:paraId="0E626C31" w14:textId="7D0583D5" w:rsidR="00587EED" w:rsidRPr="009722B3" w:rsidRDefault="009668E9" w:rsidP="002F71BC">
            <w:pPr>
              <w:jc w:val="both"/>
              <w:rPr>
                <w:rFonts w:ascii="Corbel" w:hAnsi="Corbel"/>
                <w:sz w:val="20"/>
                <w:szCs w:val="20"/>
                <w:lang w:val="en-US"/>
              </w:rPr>
            </w:pPr>
            <w:r w:rsidRPr="009722B3">
              <w:rPr>
                <w:rFonts w:ascii="Corbel" w:hAnsi="Corbel"/>
                <w:sz w:val="20"/>
                <w:szCs w:val="20"/>
                <w:lang w:val="en-US"/>
              </w:rPr>
              <w:t>Energy Transition, European Agricultural Guarantee Fund (EAGF), European Agricultural Fund for Rural Development (EAFRD), European Maritime and Fisheries Fund, LIFE</w:t>
            </w:r>
          </w:p>
        </w:tc>
      </w:tr>
      <w:tr w:rsidR="00587EED" w:rsidRPr="009722B3" w14:paraId="69BB4422" w14:textId="77777777" w:rsidTr="00587EED">
        <w:tc>
          <w:tcPr>
            <w:tcW w:w="4811" w:type="dxa"/>
          </w:tcPr>
          <w:p w14:paraId="69936237" w14:textId="0B86F784" w:rsidR="00587EED" w:rsidRPr="009722B3" w:rsidRDefault="00587EED" w:rsidP="002F71BC">
            <w:pPr>
              <w:pStyle w:val="Paragrafoelenco"/>
              <w:numPr>
                <w:ilvl w:val="1"/>
                <w:numId w:val="30"/>
              </w:numPr>
              <w:spacing w:line="240" w:lineRule="auto"/>
              <w:ind w:left="454"/>
              <w:jc w:val="both"/>
              <w:rPr>
                <w:rFonts w:ascii="Corbel" w:hAnsi="Corbel"/>
                <w:sz w:val="20"/>
                <w:szCs w:val="20"/>
                <w:lang w:val="en-GB"/>
              </w:rPr>
            </w:pPr>
            <w:r w:rsidRPr="009722B3">
              <w:rPr>
                <w:rFonts w:ascii="Corbel" w:hAnsi="Corbel"/>
                <w:sz w:val="20"/>
                <w:szCs w:val="20"/>
                <w:lang w:val="en-GB"/>
              </w:rPr>
              <w:t>Migration and Border Management</w:t>
            </w:r>
          </w:p>
        </w:tc>
        <w:tc>
          <w:tcPr>
            <w:tcW w:w="4811" w:type="dxa"/>
          </w:tcPr>
          <w:p w14:paraId="562BCF44" w14:textId="460C88F3" w:rsidR="00587EED" w:rsidRPr="009722B3" w:rsidRDefault="009668E9" w:rsidP="002F71BC">
            <w:pPr>
              <w:jc w:val="both"/>
              <w:rPr>
                <w:rFonts w:ascii="Corbel" w:hAnsi="Corbel"/>
                <w:sz w:val="20"/>
                <w:szCs w:val="20"/>
                <w:lang w:val="en-US"/>
              </w:rPr>
            </w:pPr>
            <w:r w:rsidRPr="009722B3">
              <w:rPr>
                <w:rFonts w:ascii="Corbel" w:hAnsi="Corbel"/>
                <w:sz w:val="20"/>
                <w:szCs w:val="20"/>
                <w:lang w:val="en-US"/>
              </w:rPr>
              <w:t>Asylum and Migration Fund, Integrated Border Management Fund</w:t>
            </w:r>
          </w:p>
        </w:tc>
      </w:tr>
      <w:tr w:rsidR="00587EED" w:rsidRPr="009722B3" w14:paraId="787E08AC" w14:textId="77777777" w:rsidTr="00587EED">
        <w:tc>
          <w:tcPr>
            <w:tcW w:w="4811" w:type="dxa"/>
          </w:tcPr>
          <w:p w14:paraId="32E3BC23" w14:textId="008FA05B" w:rsidR="00587EED" w:rsidRPr="009722B3" w:rsidRDefault="00587EED" w:rsidP="002F71BC">
            <w:pPr>
              <w:pStyle w:val="Paragrafoelenco"/>
              <w:numPr>
                <w:ilvl w:val="1"/>
                <w:numId w:val="30"/>
              </w:numPr>
              <w:spacing w:line="240" w:lineRule="auto"/>
              <w:ind w:left="454"/>
              <w:jc w:val="both"/>
              <w:rPr>
                <w:rFonts w:ascii="Corbel" w:hAnsi="Corbel"/>
                <w:sz w:val="20"/>
                <w:szCs w:val="20"/>
                <w:lang w:val="en-GB"/>
              </w:rPr>
            </w:pPr>
            <w:r w:rsidRPr="009722B3">
              <w:rPr>
                <w:rFonts w:ascii="Corbel" w:hAnsi="Corbel"/>
                <w:sz w:val="20"/>
                <w:szCs w:val="20"/>
                <w:lang w:val="en-GB"/>
              </w:rPr>
              <w:t>Security and Defence</w:t>
            </w:r>
          </w:p>
        </w:tc>
        <w:tc>
          <w:tcPr>
            <w:tcW w:w="4811" w:type="dxa"/>
          </w:tcPr>
          <w:p w14:paraId="65B554AB" w14:textId="04C0B9AC" w:rsidR="00587EED" w:rsidRPr="009722B3" w:rsidRDefault="009668E9" w:rsidP="002F71BC">
            <w:pPr>
              <w:jc w:val="both"/>
              <w:rPr>
                <w:rFonts w:ascii="Corbel" w:hAnsi="Corbel"/>
                <w:sz w:val="20"/>
                <w:szCs w:val="20"/>
                <w:lang w:val="en-US"/>
              </w:rPr>
            </w:pPr>
            <w:r w:rsidRPr="009722B3">
              <w:rPr>
                <w:rFonts w:ascii="Corbel" w:hAnsi="Corbel"/>
                <w:sz w:val="20"/>
                <w:szCs w:val="20"/>
                <w:lang w:val="en-US"/>
              </w:rPr>
              <w:t xml:space="preserve">Internal Security Fund, Nuclear Decommissioning, European </w:t>
            </w:r>
            <w:proofErr w:type="spellStart"/>
            <w:r w:rsidRPr="009722B3">
              <w:rPr>
                <w:rFonts w:ascii="Corbel" w:hAnsi="Corbel"/>
                <w:sz w:val="20"/>
                <w:szCs w:val="20"/>
                <w:lang w:val="en-US"/>
              </w:rPr>
              <w:t>Defende</w:t>
            </w:r>
            <w:proofErr w:type="spellEnd"/>
            <w:r w:rsidRPr="009722B3">
              <w:rPr>
                <w:rFonts w:ascii="Corbel" w:hAnsi="Corbel"/>
                <w:sz w:val="20"/>
                <w:szCs w:val="20"/>
                <w:lang w:val="en-US"/>
              </w:rPr>
              <w:t xml:space="preserve"> Fund, Military Mobility, </w:t>
            </w:r>
            <w:proofErr w:type="spellStart"/>
            <w:r w:rsidRPr="009722B3">
              <w:rPr>
                <w:rFonts w:ascii="Corbel" w:hAnsi="Corbel"/>
                <w:sz w:val="20"/>
                <w:szCs w:val="20"/>
                <w:lang w:val="en-US"/>
              </w:rPr>
              <w:t>RescEU</w:t>
            </w:r>
            <w:proofErr w:type="spellEnd"/>
          </w:p>
        </w:tc>
      </w:tr>
      <w:tr w:rsidR="00587EED" w:rsidRPr="009722B3" w14:paraId="03D00CFC" w14:textId="77777777" w:rsidTr="00587EED">
        <w:tc>
          <w:tcPr>
            <w:tcW w:w="4811" w:type="dxa"/>
          </w:tcPr>
          <w:p w14:paraId="3D0ABD7D" w14:textId="2B18B0A7" w:rsidR="00587EED" w:rsidRPr="009722B3" w:rsidRDefault="00587EED" w:rsidP="002F71BC">
            <w:pPr>
              <w:pStyle w:val="Paragrafoelenco"/>
              <w:numPr>
                <w:ilvl w:val="1"/>
                <w:numId w:val="30"/>
              </w:numPr>
              <w:spacing w:line="240" w:lineRule="auto"/>
              <w:ind w:left="454"/>
              <w:jc w:val="both"/>
              <w:rPr>
                <w:rFonts w:ascii="Corbel" w:hAnsi="Corbel"/>
                <w:sz w:val="20"/>
                <w:szCs w:val="20"/>
                <w:lang w:val="en-GB"/>
              </w:rPr>
            </w:pPr>
            <w:r w:rsidRPr="009722B3">
              <w:rPr>
                <w:rFonts w:ascii="Corbel" w:hAnsi="Corbel"/>
                <w:sz w:val="20"/>
                <w:szCs w:val="20"/>
                <w:lang w:val="en-GB"/>
              </w:rPr>
              <w:t>Neighbourhood and the World</w:t>
            </w:r>
          </w:p>
        </w:tc>
        <w:tc>
          <w:tcPr>
            <w:tcW w:w="4811" w:type="dxa"/>
          </w:tcPr>
          <w:p w14:paraId="60143F5F" w14:textId="1E27D2AD" w:rsidR="00587EED" w:rsidRPr="009722B3" w:rsidRDefault="009668E9" w:rsidP="002F71BC">
            <w:pPr>
              <w:jc w:val="both"/>
              <w:rPr>
                <w:rFonts w:ascii="Corbel" w:hAnsi="Corbel"/>
                <w:sz w:val="20"/>
                <w:szCs w:val="20"/>
                <w:lang w:val="en-US"/>
              </w:rPr>
            </w:pPr>
            <w:proofErr w:type="spellStart"/>
            <w:r w:rsidRPr="009722B3">
              <w:rPr>
                <w:rFonts w:ascii="Corbel" w:hAnsi="Corbel"/>
                <w:sz w:val="20"/>
                <w:szCs w:val="20"/>
                <w:lang w:val="en-US"/>
              </w:rPr>
              <w:t>Neighbourhood</w:t>
            </w:r>
            <w:proofErr w:type="spellEnd"/>
            <w:r w:rsidRPr="009722B3">
              <w:rPr>
                <w:rFonts w:ascii="Corbel" w:hAnsi="Corbel"/>
                <w:sz w:val="20"/>
                <w:szCs w:val="20"/>
                <w:lang w:val="en-US"/>
              </w:rPr>
              <w:t xml:space="preserve">, </w:t>
            </w:r>
            <w:proofErr w:type="gramStart"/>
            <w:r w:rsidRPr="009722B3">
              <w:rPr>
                <w:rFonts w:ascii="Corbel" w:hAnsi="Corbel"/>
                <w:sz w:val="20"/>
                <w:szCs w:val="20"/>
                <w:lang w:val="en-US"/>
              </w:rPr>
              <w:t>Development</w:t>
            </w:r>
            <w:proofErr w:type="gramEnd"/>
            <w:r w:rsidRPr="009722B3">
              <w:rPr>
                <w:rFonts w:ascii="Corbel" w:hAnsi="Corbel"/>
                <w:sz w:val="20"/>
                <w:szCs w:val="20"/>
                <w:lang w:val="en-US"/>
              </w:rPr>
              <w:t xml:space="preserve"> and International Cooperation Instrument (NDICI), Humanitarian Aid, Common Foreign and Security Policy (CFSP), Overseas Countries and Territories, Pre-Accession Assistance</w:t>
            </w:r>
          </w:p>
        </w:tc>
      </w:tr>
    </w:tbl>
    <w:p w14:paraId="7A0CA293" w14:textId="77777777" w:rsidR="00F168C3" w:rsidRPr="009722B3" w:rsidRDefault="00F168C3" w:rsidP="002F71BC">
      <w:pPr>
        <w:jc w:val="both"/>
        <w:rPr>
          <w:rFonts w:ascii="Corbel" w:hAnsi="Corbel"/>
          <w:lang w:val="en-US"/>
        </w:rPr>
      </w:pPr>
    </w:p>
    <w:p w14:paraId="781D3B25" w14:textId="5C651999" w:rsidR="00C27C50" w:rsidRPr="006177D3" w:rsidRDefault="00B67AC1" w:rsidP="002F71BC">
      <w:pPr>
        <w:jc w:val="both"/>
        <w:rPr>
          <w:rFonts w:ascii="Corbel" w:hAnsi="Corbel"/>
          <w:sz w:val="22"/>
          <w:szCs w:val="22"/>
          <w:lang w:val="en-US"/>
        </w:rPr>
      </w:pPr>
      <w:r w:rsidRPr="006177D3">
        <w:rPr>
          <w:rFonts w:ascii="Corbel" w:hAnsi="Corbel"/>
          <w:sz w:val="22"/>
          <w:szCs w:val="22"/>
          <w:lang w:val="en-US"/>
        </w:rPr>
        <w:t>The</w:t>
      </w:r>
      <w:r w:rsidR="00F63E83" w:rsidRPr="006177D3">
        <w:rPr>
          <w:rFonts w:ascii="Corbel" w:hAnsi="Corbel"/>
          <w:sz w:val="22"/>
          <w:szCs w:val="22"/>
          <w:lang w:val="en-US"/>
        </w:rPr>
        <w:t xml:space="preserve"> EU spending programs are adopted by the Council and the European Parliament through a legal act in the form of a Regulation, which set</w:t>
      </w:r>
      <w:r w:rsidR="0059264C" w:rsidRPr="006177D3">
        <w:rPr>
          <w:rFonts w:ascii="Corbel" w:hAnsi="Corbel"/>
          <w:sz w:val="22"/>
          <w:szCs w:val="22"/>
          <w:lang w:val="en-US"/>
        </w:rPr>
        <w:t>s</w:t>
      </w:r>
      <w:r w:rsidR="00F63E83" w:rsidRPr="006177D3">
        <w:rPr>
          <w:rFonts w:ascii="Corbel" w:hAnsi="Corbel"/>
          <w:sz w:val="22"/>
          <w:szCs w:val="22"/>
          <w:lang w:val="en-US"/>
        </w:rPr>
        <w:t xml:space="preserve"> the objectives, </w:t>
      </w:r>
      <w:r w:rsidR="00346823" w:rsidRPr="006177D3">
        <w:rPr>
          <w:rFonts w:ascii="Corbel" w:hAnsi="Corbel"/>
          <w:sz w:val="22"/>
          <w:szCs w:val="22"/>
          <w:lang w:val="en-US"/>
        </w:rPr>
        <w:t>contents,</w:t>
      </w:r>
      <w:r w:rsidR="00F63E83" w:rsidRPr="006177D3">
        <w:rPr>
          <w:rFonts w:ascii="Corbel" w:hAnsi="Corbel"/>
          <w:sz w:val="22"/>
          <w:szCs w:val="22"/>
          <w:lang w:val="en-US"/>
        </w:rPr>
        <w:t xml:space="preserve"> and financial allocations as well as their performance framework. The performance framework includes objectives and indicators to monitor the achievement of the EU spending programs results and demonstrate how these latter are being used to achieve policy goals (European Commission 2018</w:t>
      </w:r>
      <w:r w:rsidR="00C64965" w:rsidRPr="006177D3">
        <w:rPr>
          <w:rFonts w:ascii="Corbel" w:hAnsi="Corbel"/>
          <w:sz w:val="22"/>
          <w:szCs w:val="22"/>
          <w:lang w:val="en-US"/>
        </w:rPr>
        <w:t>c</w:t>
      </w:r>
      <w:r w:rsidR="00F63E83" w:rsidRPr="006177D3">
        <w:rPr>
          <w:rFonts w:ascii="Corbel" w:hAnsi="Corbel"/>
          <w:sz w:val="22"/>
          <w:szCs w:val="22"/>
          <w:lang w:val="en-US"/>
        </w:rPr>
        <w:t xml:space="preserve">). </w:t>
      </w:r>
      <w:r w:rsidR="000E3BD2" w:rsidRPr="006177D3">
        <w:rPr>
          <w:rFonts w:ascii="Corbel" w:hAnsi="Corbel"/>
          <w:sz w:val="22"/>
          <w:szCs w:val="22"/>
          <w:lang w:val="en-US"/>
        </w:rPr>
        <w:t>In the previous programming cycle 20i4-2020, all EU spending programs have been conceived to contribute to the achievement of the Europe 2020 strategy goals, the UN Sustainable Development Goals, and the Commission Political Priorities. To make clear such contribution, for the Europe 2020 strategy goals, the European Commission estimated the financial contribution of the single EU spending programs to the three priorities of the Europe 2020 strategy (smart, sustainable, and inclusive), based on ex-ante estimation of commitments appropriations</w:t>
      </w:r>
      <w:r w:rsidR="000E3BD2" w:rsidRPr="006177D3">
        <w:rPr>
          <w:rStyle w:val="Rimandonotadichiusura"/>
          <w:rFonts w:ascii="Corbel" w:hAnsi="Corbel"/>
          <w:sz w:val="22"/>
          <w:szCs w:val="22"/>
          <w:lang w:val="en-US"/>
        </w:rPr>
        <w:endnoteReference w:id="12"/>
      </w:r>
      <w:r w:rsidR="000E3BD2" w:rsidRPr="006177D3">
        <w:rPr>
          <w:rFonts w:ascii="Corbel" w:hAnsi="Corbel"/>
          <w:sz w:val="22"/>
          <w:szCs w:val="22"/>
          <w:lang w:val="en-US"/>
        </w:rPr>
        <w:t xml:space="preserve">. </w:t>
      </w:r>
      <w:r w:rsidR="00E56744">
        <w:rPr>
          <w:rFonts w:ascii="Corbel" w:hAnsi="Corbel"/>
          <w:sz w:val="22"/>
          <w:szCs w:val="22"/>
          <w:lang w:val="en-US"/>
        </w:rPr>
        <w:t>Table 5</w:t>
      </w:r>
      <w:r w:rsidR="00C27C50" w:rsidRPr="006177D3">
        <w:rPr>
          <w:rFonts w:ascii="Corbel" w:hAnsi="Corbel"/>
          <w:sz w:val="22"/>
          <w:szCs w:val="22"/>
          <w:lang w:val="en-US"/>
        </w:rPr>
        <w:t xml:space="preserve"> show</w:t>
      </w:r>
      <w:r w:rsidR="00E56744">
        <w:rPr>
          <w:rFonts w:ascii="Corbel" w:hAnsi="Corbel"/>
          <w:sz w:val="22"/>
          <w:szCs w:val="22"/>
          <w:lang w:val="en-US"/>
        </w:rPr>
        <w:t>s</w:t>
      </w:r>
      <w:r w:rsidR="00C27C50" w:rsidRPr="006177D3">
        <w:rPr>
          <w:rFonts w:ascii="Corbel" w:hAnsi="Corbel"/>
          <w:sz w:val="22"/>
          <w:szCs w:val="22"/>
          <w:lang w:val="en-US"/>
        </w:rPr>
        <w:t xml:space="preserve"> the financial resources included in the draft budget 2019 linked to Europe 2020 priorities and representing 66% of the total of the EU budget for the same year.</w:t>
      </w:r>
    </w:p>
    <w:p w14:paraId="606B666D" w14:textId="59B50A8F" w:rsidR="00C27C50" w:rsidRPr="009722B3" w:rsidRDefault="00C27C50" w:rsidP="002F71BC">
      <w:pPr>
        <w:jc w:val="both"/>
        <w:rPr>
          <w:rFonts w:ascii="Corbel" w:hAnsi="Corbel"/>
          <w:lang w:val="en-US"/>
        </w:rPr>
      </w:pPr>
    </w:p>
    <w:p w14:paraId="1162EC90" w14:textId="4F25CAD9" w:rsidR="00C27C50" w:rsidRPr="006177D3" w:rsidRDefault="00C27C50" w:rsidP="006177D3">
      <w:pPr>
        <w:pStyle w:val="Didascalia"/>
        <w:jc w:val="both"/>
        <w:rPr>
          <w:rFonts w:ascii="Corbel" w:hAnsi="Corbel"/>
          <w:b/>
          <w:bCs/>
          <w:lang w:val="en-US"/>
        </w:rPr>
      </w:pPr>
      <w:r w:rsidRPr="006177D3">
        <w:rPr>
          <w:rFonts w:ascii="Corbel" w:hAnsi="Corbel"/>
          <w:b/>
          <w:bCs/>
          <w:lang w:val="en-US"/>
        </w:rPr>
        <w:t xml:space="preserve">Table </w:t>
      </w:r>
      <w:r w:rsidR="006177D3" w:rsidRPr="006177D3">
        <w:rPr>
          <w:rFonts w:ascii="Corbel" w:hAnsi="Corbel"/>
          <w:b/>
          <w:bCs/>
          <w:lang w:val="en-US"/>
        </w:rPr>
        <w:t>5</w:t>
      </w:r>
      <w:r w:rsidRPr="006177D3">
        <w:rPr>
          <w:rFonts w:ascii="Corbel" w:hAnsi="Corbel"/>
          <w:b/>
          <w:bCs/>
          <w:lang w:val="en-US"/>
        </w:rPr>
        <w:t xml:space="preserve"> – Financial contribution of the EU programs to the Europe 2020 priorities (mil EUR)</w:t>
      </w:r>
    </w:p>
    <w:tbl>
      <w:tblPr>
        <w:tblW w:w="9776" w:type="dxa"/>
        <w:tblCellMar>
          <w:left w:w="70" w:type="dxa"/>
          <w:right w:w="70" w:type="dxa"/>
        </w:tblCellMar>
        <w:tblLook w:val="04A0" w:firstRow="1" w:lastRow="0" w:firstColumn="1" w:lastColumn="0" w:noHBand="0" w:noVBand="1"/>
      </w:tblPr>
      <w:tblGrid>
        <w:gridCol w:w="3455"/>
        <w:gridCol w:w="1927"/>
        <w:gridCol w:w="2268"/>
        <w:gridCol w:w="2126"/>
      </w:tblGrid>
      <w:tr w:rsidR="00C27C50" w:rsidRPr="009722B3" w14:paraId="48FF685C" w14:textId="77777777" w:rsidTr="004E0046">
        <w:trPr>
          <w:trHeight w:val="317"/>
        </w:trPr>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6014D" w14:textId="77777777" w:rsidR="00C27C50" w:rsidRPr="009722B3" w:rsidRDefault="00C27C50" w:rsidP="002F71BC">
            <w:pPr>
              <w:rPr>
                <w:rFonts w:ascii="Corbel" w:hAnsi="Corbel"/>
                <w:color w:val="000000"/>
                <w:sz w:val="20"/>
                <w:szCs w:val="20"/>
                <w:lang w:val="en-GB"/>
              </w:rPr>
            </w:pPr>
            <w:r w:rsidRPr="009722B3">
              <w:rPr>
                <w:rFonts w:ascii="Corbel" w:hAnsi="Corbel"/>
                <w:color w:val="000000"/>
                <w:sz w:val="20"/>
                <w:szCs w:val="20"/>
                <w:lang w:val="en-GB"/>
              </w:rPr>
              <w:t> </w:t>
            </w:r>
          </w:p>
        </w:tc>
        <w:tc>
          <w:tcPr>
            <w:tcW w:w="6321" w:type="dxa"/>
            <w:gridSpan w:val="3"/>
            <w:tcBorders>
              <w:top w:val="single" w:sz="4" w:space="0" w:color="auto"/>
              <w:left w:val="nil"/>
              <w:bottom w:val="single" w:sz="4" w:space="0" w:color="auto"/>
              <w:right w:val="single" w:sz="4" w:space="0" w:color="auto"/>
            </w:tcBorders>
            <w:shd w:val="clear" w:color="auto" w:fill="auto"/>
            <w:noWrap/>
            <w:vAlign w:val="bottom"/>
            <w:hideMark/>
          </w:tcPr>
          <w:p w14:paraId="606CCCF3" w14:textId="77777777" w:rsidR="00C27C50" w:rsidRPr="009722B3" w:rsidRDefault="00C27C50" w:rsidP="002F71BC">
            <w:pPr>
              <w:jc w:val="center"/>
              <w:rPr>
                <w:rFonts w:ascii="Corbel" w:hAnsi="Corbel"/>
                <w:b/>
                <w:color w:val="000000"/>
                <w:sz w:val="20"/>
                <w:szCs w:val="20"/>
                <w:lang w:val="en-GB"/>
              </w:rPr>
            </w:pPr>
            <w:r w:rsidRPr="009722B3">
              <w:rPr>
                <w:rFonts w:ascii="Corbel" w:hAnsi="Corbel"/>
                <w:b/>
                <w:color w:val="000000"/>
                <w:sz w:val="20"/>
                <w:szCs w:val="20"/>
                <w:lang w:val="en-GB"/>
              </w:rPr>
              <w:t>Draft Budget 2019</w:t>
            </w:r>
          </w:p>
        </w:tc>
      </w:tr>
      <w:tr w:rsidR="00C27C50" w:rsidRPr="009722B3" w14:paraId="0AB2B87D" w14:textId="77777777" w:rsidTr="004E0046">
        <w:trPr>
          <w:trHeight w:val="317"/>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09536259" w14:textId="77777777" w:rsidR="00C27C50" w:rsidRPr="009722B3" w:rsidRDefault="00C27C50" w:rsidP="002F71BC">
            <w:pPr>
              <w:rPr>
                <w:rFonts w:ascii="Corbel" w:hAnsi="Corbel"/>
                <w:color w:val="000000"/>
                <w:sz w:val="20"/>
                <w:szCs w:val="20"/>
                <w:lang w:val="en-GB"/>
              </w:rPr>
            </w:pPr>
            <w:r w:rsidRPr="009722B3">
              <w:rPr>
                <w:rFonts w:ascii="Corbel" w:hAnsi="Corbel"/>
                <w:color w:val="000000"/>
                <w:sz w:val="20"/>
                <w:szCs w:val="20"/>
                <w:lang w:val="en-GB"/>
              </w:rPr>
              <w:t>Europe 2020 Strategy</w:t>
            </w:r>
          </w:p>
        </w:tc>
        <w:tc>
          <w:tcPr>
            <w:tcW w:w="1927" w:type="dxa"/>
            <w:tcBorders>
              <w:top w:val="nil"/>
              <w:left w:val="nil"/>
              <w:bottom w:val="single" w:sz="4" w:space="0" w:color="auto"/>
              <w:right w:val="single" w:sz="4" w:space="0" w:color="auto"/>
            </w:tcBorders>
            <w:shd w:val="clear" w:color="auto" w:fill="auto"/>
            <w:noWrap/>
            <w:vAlign w:val="bottom"/>
            <w:hideMark/>
          </w:tcPr>
          <w:p w14:paraId="5EF0AA66" w14:textId="77777777" w:rsidR="00C27C50" w:rsidRPr="009722B3" w:rsidRDefault="00C27C50" w:rsidP="002F71BC">
            <w:pPr>
              <w:rPr>
                <w:rFonts w:ascii="Corbel" w:hAnsi="Corbel"/>
                <w:b/>
                <w:bCs/>
                <w:color w:val="000000"/>
                <w:sz w:val="20"/>
                <w:szCs w:val="20"/>
                <w:lang w:val="en-GB"/>
              </w:rPr>
            </w:pPr>
            <w:r w:rsidRPr="009722B3">
              <w:rPr>
                <w:rFonts w:ascii="Corbel" w:hAnsi="Corbel"/>
                <w:b/>
                <w:bCs/>
                <w:color w:val="000000"/>
                <w:sz w:val="20"/>
                <w:szCs w:val="20"/>
                <w:lang w:val="en-GB"/>
              </w:rPr>
              <w:t xml:space="preserve">Smart Growth </w:t>
            </w:r>
          </w:p>
        </w:tc>
        <w:tc>
          <w:tcPr>
            <w:tcW w:w="2268" w:type="dxa"/>
            <w:tcBorders>
              <w:top w:val="nil"/>
              <w:left w:val="nil"/>
              <w:bottom w:val="single" w:sz="4" w:space="0" w:color="auto"/>
              <w:right w:val="single" w:sz="4" w:space="0" w:color="auto"/>
            </w:tcBorders>
            <w:shd w:val="clear" w:color="auto" w:fill="auto"/>
            <w:noWrap/>
            <w:vAlign w:val="bottom"/>
            <w:hideMark/>
          </w:tcPr>
          <w:p w14:paraId="51C6027D" w14:textId="77777777" w:rsidR="00C27C50" w:rsidRPr="009722B3" w:rsidRDefault="00C27C50" w:rsidP="002F71BC">
            <w:pPr>
              <w:rPr>
                <w:rFonts w:ascii="Corbel" w:hAnsi="Corbel"/>
                <w:b/>
                <w:bCs/>
                <w:color w:val="000000"/>
                <w:sz w:val="20"/>
                <w:szCs w:val="20"/>
                <w:lang w:val="en-GB"/>
              </w:rPr>
            </w:pPr>
            <w:r w:rsidRPr="009722B3">
              <w:rPr>
                <w:rFonts w:ascii="Corbel" w:hAnsi="Corbel"/>
                <w:b/>
                <w:bCs/>
                <w:color w:val="000000"/>
                <w:sz w:val="20"/>
                <w:szCs w:val="20"/>
                <w:lang w:val="en-GB"/>
              </w:rPr>
              <w:t>Sustainable Growth</w:t>
            </w:r>
          </w:p>
        </w:tc>
        <w:tc>
          <w:tcPr>
            <w:tcW w:w="2126" w:type="dxa"/>
            <w:tcBorders>
              <w:top w:val="nil"/>
              <w:left w:val="nil"/>
              <w:bottom w:val="single" w:sz="4" w:space="0" w:color="auto"/>
              <w:right w:val="single" w:sz="4" w:space="0" w:color="auto"/>
            </w:tcBorders>
            <w:shd w:val="clear" w:color="auto" w:fill="auto"/>
            <w:noWrap/>
            <w:vAlign w:val="bottom"/>
            <w:hideMark/>
          </w:tcPr>
          <w:p w14:paraId="345A63C8" w14:textId="77777777" w:rsidR="00C27C50" w:rsidRPr="009722B3" w:rsidRDefault="00C27C50" w:rsidP="002F71BC">
            <w:pPr>
              <w:rPr>
                <w:rFonts w:ascii="Corbel" w:hAnsi="Corbel"/>
                <w:b/>
                <w:bCs/>
                <w:color w:val="000000"/>
                <w:sz w:val="20"/>
                <w:szCs w:val="20"/>
                <w:lang w:val="en-GB"/>
              </w:rPr>
            </w:pPr>
            <w:r w:rsidRPr="009722B3">
              <w:rPr>
                <w:rFonts w:ascii="Corbel" w:hAnsi="Corbel"/>
                <w:b/>
                <w:bCs/>
                <w:color w:val="000000"/>
                <w:sz w:val="20"/>
                <w:szCs w:val="20"/>
                <w:lang w:val="en-GB"/>
              </w:rPr>
              <w:t xml:space="preserve">Inclusive Growth </w:t>
            </w:r>
          </w:p>
        </w:tc>
      </w:tr>
      <w:tr w:rsidR="00C27C50" w:rsidRPr="009722B3" w14:paraId="117E6FD2" w14:textId="77777777" w:rsidTr="004E0046">
        <w:trPr>
          <w:trHeight w:val="360"/>
        </w:trPr>
        <w:tc>
          <w:tcPr>
            <w:tcW w:w="3455" w:type="dxa"/>
            <w:tcBorders>
              <w:top w:val="nil"/>
              <w:left w:val="single" w:sz="4" w:space="0" w:color="auto"/>
              <w:bottom w:val="single" w:sz="4" w:space="0" w:color="auto"/>
              <w:right w:val="single" w:sz="4" w:space="0" w:color="auto"/>
            </w:tcBorders>
            <w:shd w:val="clear" w:color="auto" w:fill="auto"/>
            <w:noWrap/>
            <w:vAlign w:val="center"/>
            <w:hideMark/>
          </w:tcPr>
          <w:p w14:paraId="055C5C2B" w14:textId="77777777" w:rsidR="00C27C50" w:rsidRPr="009722B3" w:rsidRDefault="00C27C50" w:rsidP="002F71BC">
            <w:pPr>
              <w:rPr>
                <w:rFonts w:ascii="Corbel" w:hAnsi="Corbel"/>
                <w:color w:val="000000"/>
                <w:sz w:val="20"/>
                <w:szCs w:val="20"/>
                <w:lang w:val="en-GB"/>
              </w:rPr>
            </w:pPr>
            <w:r w:rsidRPr="009722B3">
              <w:rPr>
                <w:rFonts w:ascii="Corbel" w:hAnsi="Corbel"/>
                <w:color w:val="000000"/>
                <w:sz w:val="20"/>
                <w:szCs w:val="20"/>
                <w:lang w:val="en-GB"/>
              </w:rPr>
              <w:t>Topics</w:t>
            </w:r>
          </w:p>
        </w:tc>
        <w:tc>
          <w:tcPr>
            <w:tcW w:w="1927" w:type="dxa"/>
            <w:tcBorders>
              <w:top w:val="nil"/>
              <w:left w:val="nil"/>
              <w:bottom w:val="single" w:sz="4" w:space="0" w:color="auto"/>
              <w:right w:val="single" w:sz="4" w:space="0" w:color="auto"/>
            </w:tcBorders>
            <w:shd w:val="clear" w:color="auto" w:fill="auto"/>
            <w:vAlign w:val="bottom"/>
            <w:hideMark/>
          </w:tcPr>
          <w:p w14:paraId="43489F69" w14:textId="77777777" w:rsidR="00C27C50" w:rsidRPr="009722B3" w:rsidRDefault="00C27C50" w:rsidP="002F71BC">
            <w:pPr>
              <w:rPr>
                <w:rFonts w:ascii="Corbel" w:hAnsi="Corbel"/>
                <w:color w:val="000000"/>
                <w:sz w:val="20"/>
                <w:szCs w:val="20"/>
                <w:lang w:val="en-GB"/>
              </w:rPr>
            </w:pPr>
            <w:r w:rsidRPr="009722B3">
              <w:rPr>
                <w:rFonts w:ascii="Corbel" w:hAnsi="Corbel"/>
                <w:color w:val="000000"/>
                <w:sz w:val="20"/>
                <w:szCs w:val="20"/>
                <w:lang w:val="en-GB"/>
              </w:rPr>
              <w:t>innovation, education, digital society</w:t>
            </w:r>
          </w:p>
        </w:tc>
        <w:tc>
          <w:tcPr>
            <w:tcW w:w="2268" w:type="dxa"/>
            <w:tcBorders>
              <w:top w:val="nil"/>
              <w:left w:val="nil"/>
              <w:bottom w:val="single" w:sz="4" w:space="0" w:color="auto"/>
              <w:right w:val="single" w:sz="4" w:space="0" w:color="auto"/>
            </w:tcBorders>
            <w:shd w:val="clear" w:color="auto" w:fill="auto"/>
            <w:vAlign w:val="bottom"/>
            <w:hideMark/>
          </w:tcPr>
          <w:p w14:paraId="5418450D" w14:textId="77777777" w:rsidR="00C27C50" w:rsidRPr="009722B3" w:rsidRDefault="00C27C50" w:rsidP="002F71BC">
            <w:pPr>
              <w:rPr>
                <w:rFonts w:ascii="Corbel" w:hAnsi="Corbel"/>
                <w:color w:val="000000"/>
                <w:sz w:val="20"/>
                <w:szCs w:val="20"/>
                <w:lang w:val="en-GB"/>
              </w:rPr>
            </w:pPr>
            <w:r w:rsidRPr="009722B3">
              <w:rPr>
                <w:rFonts w:ascii="Corbel" w:hAnsi="Corbel"/>
                <w:color w:val="000000"/>
                <w:sz w:val="20"/>
                <w:szCs w:val="20"/>
                <w:lang w:val="en-GB"/>
              </w:rPr>
              <w:t xml:space="preserve">competitiveness, climate, </w:t>
            </w:r>
            <w:proofErr w:type="gramStart"/>
            <w:r w:rsidRPr="009722B3">
              <w:rPr>
                <w:rFonts w:ascii="Corbel" w:hAnsi="Corbel"/>
                <w:color w:val="000000"/>
                <w:sz w:val="20"/>
                <w:szCs w:val="20"/>
                <w:lang w:val="en-GB"/>
              </w:rPr>
              <w:t>energy</w:t>
            </w:r>
            <w:proofErr w:type="gramEnd"/>
            <w:r w:rsidRPr="009722B3">
              <w:rPr>
                <w:rFonts w:ascii="Corbel" w:hAnsi="Corbel"/>
                <w:color w:val="000000"/>
                <w:sz w:val="20"/>
                <w:szCs w:val="20"/>
                <w:lang w:val="en-GB"/>
              </w:rPr>
              <w:t xml:space="preserve"> and mobility</w:t>
            </w:r>
          </w:p>
        </w:tc>
        <w:tc>
          <w:tcPr>
            <w:tcW w:w="2126" w:type="dxa"/>
            <w:tcBorders>
              <w:top w:val="nil"/>
              <w:left w:val="nil"/>
              <w:bottom w:val="single" w:sz="4" w:space="0" w:color="auto"/>
              <w:right w:val="single" w:sz="4" w:space="0" w:color="auto"/>
            </w:tcBorders>
            <w:shd w:val="clear" w:color="auto" w:fill="auto"/>
            <w:vAlign w:val="bottom"/>
            <w:hideMark/>
          </w:tcPr>
          <w:p w14:paraId="421DEF9F" w14:textId="77777777" w:rsidR="00C27C50" w:rsidRPr="009722B3" w:rsidRDefault="00C27C50" w:rsidP="002F71BC">
            <w:pPr>
              <w:rPr>
                <w:rFonts w:ascii="Corbel" w:hAnsi="Corbel"/>
                <w:color w:val="000000"/>
                <w:sz w:val="20"/>
                <w:szCs w:val="20"/>
                <w:lang w:val="en-GB"/>
              </w:rPr>
            </w:pPr>
            <w:r w:rsidRPr="009722B3">
              <w:rPr>
                <w:rFonts w:ascii="Corbel" w:hAnsi="Corbel"/>
                <w:color w:val="000000"/>
                <w:sz w:val="20"/>
                <w:szCs w:val="20"/>
                <w:lang w:val="en-GB"/>
              </w:rPr>
              <w:t>employment and skills, fighting poverty</w:t>
            </w:r>
          </w:p>
        </w:tc>
      </w:tr>
      <w:tr w:rsidR="00C27C50" w:rsidRPr="009722B3" w14:paraId="1F1B9089" w14:textId="77777777" w:rsidTr="004E0046">
        <w:trPr>
          <w:trHeight w:val="317"/>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3A948296" w14:textId="77777777" w:rsidR="00C27C50" w:rsidRPr="009722B3" w:rsidRDefault="00C27C50" w:rsidP="002F71BC">
            <w:pPr>
              <w:rPr>
                <w:rFonts w:ascii="Corbel" w:hAnsi="Corbel"/>
                <w:b/>
                <w:bCs/>
                <w:color w:val="000000"/>
                <w:sz w:val="20"/>
                <w:szCs w:val="20"/>
                <w:lang w:val="en-GB"/>
              </w:rPr>
            </w:pPr>
            <w:r w:rsidRPr="009722B3">
              <w:rPr>
                <w:rFonts w:ascii="Corbel" w:hAnsi="Corbel"/>
                <w:b/>
                <w:bCs/>
                <w:color w:val="000000"/>
                <w:sz w:val="20"/>
                <w:szCs w:val="20"/>
                <w:lang w:val="en-GB"/>
              </w:rPr>
              <w:t>EU Spending programs (2014-2020)</w:t>
            </w:r>
          </w:p>
        </w:tc>
        <w:tc>
          <w:tcPr>
            <w:tcW w:w="1927" w:type="dxa"/>
            <w:tcBorders>
              <w:top w:val="nil"/>
              <w:left w:val="nil"/>
              <w:bottom w:val="single" w:sz="4" w:space="0" w:color="auto"/>
              <w:right w:val="single" w:sz="4" w:space="0" w:color="auto"/>
            </w:tcBorders>
            <w:shd w:val="clear" w:color="auto" w:fill="auto"/>
            <w:noWrap/>
            <w:vAlign w:val="center"/>
            <w:hideMark/>
          </w:tcPr>
          <w:p w14:paraId="6E629047" w14:textId="77777777" w:rsidR="00C27C50" w:rsidRPr="009722B3" w:rsidRDefault="00C27C50" w:rsidP="002F71BC">
            <w:pPr>
              <w:jc w:val="center"/>
              <w:rPr>
                <w:rFonts w:ascii="Corbel" w:hAnsi="Corbel"/>
                <w:b/>
                <w:bCs/>
                <w:color w:val="000000"/>
                <w:sz w:val="20"/>
                <w:szCs w:val="20"/>
                <w:lang w:val="en-GB"/>
              </w:rPr>
            </w:pPr>
            <w:r w:rsidRPr="009722B3">
              <w:rPr>
                <w:rFonts w:ascii="Corbel" w:hAnsi="Corbel"/>
                <w:b/>
                <w:bCs/>
                <w:color w:val="000000"/>
                <w:sz w:val="20"/>
                <w:szCs w:val="20"/>
                <w:lang w:val="en-GB"/>
              </w:rPr>
              <w:t>21.215,60</w:t>
            </w:r>
          </w:p>
        </w:tc>
        <w:tc>
          <w:tcPr>
            <w:tcW w:w="2268" w:type="dxa"/>
            <w:tcBorders>
              <w:top w:val="nil"/>
              <w:left w:val="nil"/>
              <w:bottom w:val="single" w:sz="4" w:space="0" w:color="auto"/>
              <w:right w:val="single" w:sz="4" w:space="0" w:color="auto"/>
            </w:tcBorders>
            <w:shd w:val="clear" w:color="auto" w:fill="auto"/>
            <w:noWrap/>
            <w:vAlign w:val="center"/>
            <w:hideMark/>
          </w:tcPr>
          <w:p w14:paraId="5645E130" w14:textId="77777777" w:rsidR="00C27C50" w:rsidRPr="009722B3" w:rsidRDefault="00C27C50" w:rsidP="002F71BC">
            <w:pPr>
              <w:jc w:val="center"/>
              <w:rPr>
                <w:rFonts w:ascii="Corbel" w:hAnsi="Corbel"/>
                <w:b/>
                <w:bCs/>
                <w:color w:val="000000"/>
                <w:sz w:val="20"/>
                <w:szCs w:val="20"/>
                <w:lang w:val="en-GB"/>
              </w:rPr>
            </w:pPr>
            <w:r w:rsidRPr="009722B3">
              <w:rPr>
                <w:rFonts w:ascii="Corbel" w:hAnsi="Corbel"/>
                <w:b/>
                <w:bCs/>
                <w:color w:val="000000"/>
                <w:sz w:val="20"/>
                <w:szCs w:val="20"/>
                <w:lang w:val="en-GB"/>
              </w:rPr>
              <w:t>65.626,70</w:t>
            </w:r>
          </w:p>
        </w:tc>
        <w:tc>
          <w:tcPr>
            <w:tcW w:w="2126" w:type="dxa"/>
            <w:tcBorders>
              <w:top w:val="nil"/>
              <w:left w:val="nil"/>
              <w:bottom w:val="single" w:sz="4" w:space="0" w:color="auto"/>
              <w:right w:val="single" w:sz="4" w:space="0" w:color="auto"/>
            </w:tcBorders>
            <w:shd w:val="clear" w:color="auto" w:fill="auto"/>
            <w:noWrap/>
            <w:vAlign w:val="center"/>
            <w:hideMark/>
          </w:tcPr>
          <w:p w14:paraId="51DCCFC5" w14:textId="77777777" w:rsidR="00C27C50" w:rsidRPr="009722B3" w:rsidRDefault="00C27C50" w:rsidP="002F71BC">
            <w:pPr>
              <w:jc w:val="center"/>
              <w:rPr>
                <w:rFonts w:ascii="Corbel" w:hAnsi="Corbel"/>
                <w:b/>
                <w:bCs/>
                <w:color w:val="000000"/>
                <w:sz w:val="20"/>
                <w:szCs w:val="20"/>
                <w:lang w:val="en-GB"/>
              </w:rPr>
            </w:pPr>
            <w:r w:rsidRPr="009722B3">
              <w:rPr>
                <w:rFonts w:ascii="Corbel" w:hAnsi="Corbel"/>
                <w:b/>
                <w:bCs/>
                <w:color w:val="000000"/>
                <w:sz w:val="20"/>
                <w:szCs w:val="20"/>
                <w:lang w:val="en-GB"/>
              </w:rPr>
              <w:t>19.213,80</w:t>
            </w:r>
          </w:p>
        </w:tc>
      </w:tr>
      <w:tr w:rsidR="00C27C50" w:rsidRPr="009722B3" w14:paraId="421A56A0" w14:textId="77777777" w:rsidTr="004E0046">
        <w:trPr>
          <w:trHeight w:val="317"/>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7F8494AF" w14:textId="77777777" w:rsidR="00C27C50" w:rsidRPr="009722B3" w:rsidRDefault="00C27C50" w:rsidP="002F71BC">
            <w:pPr>
              <w:rPr>
                <w:rFonts w:ascii="Corbel" w:hAnsi="Corbel"/>
                <w:color w:val="000000"/>
                <w:sz w:val="20"/>
                <w:szCs w:val="20"/>
                <w:lang w:val="en-GB"/>
              </w:rPr>
            </w:pPr>
            <w:r w:rsidRPr="009722B3">
              <w:rPr>
                <w:rFonts w:ascii="Corbel" w:hAnsi="Corbel"/>
                <w:color w:val="000000"/>
                <w:sz w:val="20"/>
                <w:szCs w:val="20"/>
                <w:lang w:val="en-GB"/>
              </w:rPr>
              <w:t>Total Europe 2020 strategy</w:t>
            </w:r>
          </w:p>
        </w:tc>
        <w:tc>
          <w:tcPr>
            <w:tcW w:w="1927" w:type="dxa"/>
            <w:tcBorders>
              <w:top w:val="nil"/>
              <w:left w:val="nil"/>
              <w:bottom w:val="single" w:sz="4" w:space="0" w:color="auto"/>
              <w:right w:val="single" w:sz="4" w:space="0" w:color="auto"/>
            </w:tcBorders>
            <w:shd w:val="clear" w:color="auto" w:fill="auto"/>
            <w:noWrap/>
            <w:vAlign w:val="center"/>
            <w:hideMark/>
          </w:tcPr>
          <w:p w14:paraId="1C48F144" w14:textId="77777777" w:rsidR="00C27C50" w:rsidRPr="009722B3" w:rsidRDefault="00C27C50" w:rsidP="002F71BC">
            <w:pPr>
              <w:jc w:val="center"/>
              <w:rPr>
                <w:rFonts w:ascii="Corbel" w:hAnsi="Corbel"/>
                <w:color w:val="000000"/>
                <w:sz w:val="20"/>
                <w:szCs w:val="20"/>
                <w:lang w:val="en-GB"/>
              </w:rPr>
            </w:pPr>
            <w:r w:rsidRPr="009722B3">
              <w:rPr>
                <w:rFonts w:ascii="Corbel" w:hAnsi="Corbel"/>
                <w:color w:val="000000"/>
                <w:sz w:val="20"/>
                <w:szCs w:val="20"/>
                <w:lang w:val="en-GB"/>
              </w:rPr>
              <w:t> </w:t>
            </w:r>
          </w:p>
        </w:tc>
        <w:tc>
          <w:tcPr>
            <w:tcW w:w="2268" w:type="dxa"/>
            <w:tcBorders>
              <w:top w:val="nil"/>
              <w:left w:val="nil"/>
              <w:bottom w:val="single" w:sz="4" w:space="0" w:color="auto"/>
              <w:right w:val="single" w:sz="4" w:space="0" w:color="auto"/>
            </w:tcBorders>
            <w:shd w:val="clear" w:color="auto" w:fill="auto"/>
            <w:noWrap/>
            <w:vAlign w:val="center"/>
            <w:hideMark/>
          </w:tcPr>
          <w:p w14:paraId="355C8290" w14:textId="77777777" w:rsidR="00C27C50" w:rsidRPr="009722B3" w:rsidRDefault="00C27C50" w:rsidP="002F71BC">
            <w:pPr>
              <w:jc w:val="center"/>
              <w:rPr>
                <w:rFonts w:ascii="Corbel" w:hAnsi="Corbel"/>
                <w:color w:val="000000"/>
                <w:sz w:val="20"/>
                <w:szCs w:val="20"/>
                <w:lang w:val="en-GB"/>
              </w:rPr>
            </w:pPr>
            <w:r w:rsidRPr="009722B3">
              <w:rPr>
                <w:rFonts w:ascii="Corbel" w:hAnsi="Corbel"/>
                <w:color w:val="000000"/>
                <w:sz w:val="20"/>
                <w:szCs w:val="20"/>
                <w:lang w:val="en-GB"/>
              </w:rPr>
              <w:t> </w:t>
            </w:r>
          </w:p>
        </w:tc>
        <w:tc>
          <w:tcPr>
            <w:tcW w:w="2126" w:type="dxa"/>
            <w:tcBorders>
              <w:top w:val="nil"/>
              <w:left w:val="nil"/>
              <w:bottom w:val="single" w:sz="4" w:space="0" w:color="auto"/>
              <w:right w:val="single" w:sz="4" w:space="0" w:color="auto"/>
            </w:tcBorders>
            <w:shd w:val="clear" w:color="auto" w:fill="auto"/>
            <w:noWrap/>
            <w:vAlign w:val="center"/>
            <w:hideMark/>
          </w:tcPr>
          <w:p w14:paraId="3909A561" w14:textId="77777777" w:rsidR="00C27C50" w:rsidRPr="009722B3" w:rsidRDefault="00C27C50" w:rsidP="002F71BC">
            <w:pPr>
              <w:jc w:val="center"/>
              <w:rPr>
                <w:rFonts w:ascii="Corbel" w:hAnsi="Corbel"/>
                <w:color w:val="000000"/>
                <w:sz w:val="20"/>
                <w:szCs w:val="20"/>
                <w:lang w:val="en-GB"/>
              </w:rPr>
            </w:pPr>
            <w:r w:rsidRPr="009722B3">
              <w:rPr>
                <w:rFonts w:ascii="Corbel" w:hAnsi="Corbel"/>
                <w:color w:val="000000"/>
                <w:sz w:val="20"/>
                <w:szCs w:val="20"/>
                <w:lang w:val="en-GB"/>
              </w:rPr>
              <w:t>106.056,10</w:t>
            </w:r>
          </w:p>
        </w:tc>
      </w:tr>
      <w:tr w:rsidR="00C27C50" w:rsidRPr="009722B3" w14:paraId="3CAD1E15" w14:textId="77777777" w:rsidTr="004E0046">
        <w:trPr>
          <w:trHeight w:val="317"/>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077A108B" w14:textId="77777777" w:rsidR="00C27C50" w:rsidRPr="009722B3" w:rsidRDefault="00C27C50" w:rsidP="002F71BC">
            <w:pPr>
              <w:rPr>
                <w:rFonts w:ascii="Corbel" w:hAnsi="Corbel"/>
                <w:color w:val="000000"/>
                <w:sz w:val="20"/>
                <w:szCs w:val="20"/>
                <w:lang w:val="en-GB"/>
              </w:rPr>
            </w:pPr>
            <w:r w:rsidRPr="009722B3">
              <w:rPr>
                <w:rFonts w:ascii="Corbel" w:hAnsi="Corbel"/>
                <w:color w:val="000000"/>
                <w:sz w:val="20"/>
                <w:szCs w:val="20"/>
                <w:lang w:val="en-GB"/>
              </w:rPr>
              <w:t>Total Budget (Commission - Sect III)</w:t>
            </w:r>
          </w:p>
        </w:tc>
        <w:tc>
          <w:tcPr>
            <w:tcW w:w="1927" w:type="dxa"/>
            <w:tcBorders>
              <w:top w:val="nil"/>
              <w:left w:val="nil"/>
              <w:bottom w:val="single" w:sz="4" w:space="0" w:color="auto"/>
              <w:right w:val="single" w:sz="4" w:space="0" w:color="auto"/>
            </w:tcBorders>
            <w:shd w:val="clear" w:color="auto" w:fill="auto"/>
            <w:noWrap/>
            <w:vAlign w:val="center"/>
            <w:hideMark/>
          </w:tcPr>
          <w:p w14:paraId="70D964DB" w14:textId="77777777" w:rsidR="00C27C50" w:rsidRPr="009722B3" w:rsidRDefault="00C27C50" w:rsidP="002F71BC">
            <w:pPr>
              <w:jc w:val="center"/>
              <w:rPr>
                <w:rFonts w:ascii="Corbel" w:hAnsi="Corbel"/>
                <w:color w:val="000000"/>
                <w:sz w:val="20"/>
                <w:szCs w:val="20"/>
                <w:lang w:val="en-GB"/>
              </w:rPr>
            </w:pPr>
            <w:r w:rsidRPr="009722B3">
              <w:rPr>
                <w:rFonts w:ascii="Corbel" w:hAnsi="Corbel"/>
                <w:color w:val="000000"/>
                <w:sz w:val="20"/>
                <w:szCs w:val="20"/>
                <w:lang w:val="en-GB"/>
              </w:rPr>
              <w:t> </w:t>
            </w:r>
          </w:p>
        </w:tc>
        <w:tc>
          <w:tcPr>
            <w:tcW w:w="2268" w:type="dxa"/>
            <w:tcBorders>
              <w:top w:val="nil"/>
              <w:left w:val="nil"/>
              <w:bottom w:val="single" w:sz="4" w:space="0" w:color="auto"/>
              <w:right w:val="single" w:sz="4" w:space="0" w:color="auto"/>
            </w:tcBorders>
            <w:shd w:val="clear" w:color="auto" w:fill="auto"/>
            <w:noWrap/>
            <w:vAlign w:val="center"/>
            <w:hideMark/>
          </w:tcPr>
          <w:p w14:paraId="5EFF26E2" w14:textId="77777777" w:rsidR="00C27C50" w:rsidRPr="009722B3" w:rsidRDefault="00C27C50" w:rsidP="002F71BC">
            <w:pPr>
              <w:jc w:val="center"/>
              <w:rPr>
                <w:rFonts w:ascii="Corbel" w:hAnsi="Corbel"/>
                <w:color w:val="000000"/>
                <w:sz w:val="20"/>
                <w:szCs w:val="20"/>
                <w:lang w:val="en-GB"/>
              </w:rPr>
            </w:pPr>
            <w:r w:rsidRPr="009722B3">
              <w:rPr>
                <w:rFonts w:ascii="Corbel" w:hAnsi="Corbel"/>
                <w:color w:val="000000"/>
                <w:sz w:val="20"/>
                <w:szCs w:val="20"/>
                <w:lang w:val="en-GB"/>
              </w:rPr>
              <w:t> </w:t>
            </w:r>
          </w:p>
        </w:tc>
        <w:tc>
          <w:tcPr>
            <w:tcW w:w="2126" w:type="dxa"/>
            <w:tcBorders>
              <w:top w:val="nil"/>
              <w:left w:val="nil"/>
              <w:bottom w:val="single" w:sz="4" w:space="0" w:color="auto"/>
              <w:right w:val="single" w:sz="4" w:space="0" w:color="auto"/>
            </w:tcBorders>
            <w:shd w:val="clear" w:color="auto" w:fill="auto"/>
            <w:noWrap/>
            <w:vAlign w:val="center"/>
            <w:hideMark/>
          </w:tcPr>
          <w:p w14:paraId="7D8399B8" w14:textId="77777777" w:rsidR="00C27C50" w:rsidRPr="009722B3" w:rsidRDefault="00C27C50" w:rsidP="002F71BC">
            <w:pPr>
              <w:jc w:val="center"/>
              <w:rPr>
                <w:rFonts w:ascii="Corbel" w:hAnsi="Corbel"/>
                <w:color w:val="000000"/>
                <w:sz w:val="20"/>
                <w:szCs w:val="20"/>
                <w:lang w:val="en-GB"/>
              </w:rPr>
            </w:pPr>
            <w:r w:rsidRPr="009722B3">
              <w:rPr>
                <w:rFonts w:ascii="Corbel" w:hAnsi="Corbel"/>
                <w:color w:val="000000"/>
                <w:sz w:val="20"/>
                <w:szCs w:val="20"/>
                <w:lang w:val="en-GB"/>
              </w:rPr>
              <w:t>161.500,30</w:t>
            </w:r>
          </w:p>
        </w:tc>
      </w:tr>
      <w:tr w:rsidR="00C27C50" w:rsidRPr="009722B3" w14:paraId="675BC44B" w14:textId="77777777" w:rsidTr="004E0046">
        <w:trPr>
          <w:trHeight w:val="317"/>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5867D761" w14:textId="77777777" w:rsidR="00C27C50" w:rsidRPr="009722B3" w:rsidRDefault="00C27C50" w:rsidP="002F71BC">
            <w:pPr>
              <w:rPr>
                <w:rFonts w:ascii="Corbel" w:hAnsi="Corbel"/>
                <w:b/>
                <w:bCs/>
                <w:color w:val="000000"/>
                <w:sz w:val="20"/>
                <w:szCs w:val="20"/>
                <w:lang w:val="en-GB"/>
              </w:rPr>
            </w:pPr>
            <w:r w:rsidRPr="009722B3">
              <w:rPr>
                <w:rFonts w:ascii="Corbel" w:hAnsi="Corbel"/>
                <w:b/>
                <w:bCs/>
                <w:color w:val="000000"/>
                <w:sz w:val="20"/>
                <w:szCs w:val="20"/>
                <w:lang w:val="en-GB"/>
              </w:rPr>
              <w:t>Europe 2020 / EU budget</w:t>
            </w:r>
          </w:p>
        </w:tc>
        <w:tc>
          <w:tcPr>
            <w:tcW w:w="1927" w:type="dxa"/>
            <w:tcBorders>
              <w:top w:val="nil"/>
              <w:left w:val="nil"/>
              <w:bottom w:val="single" w:sz="4" w:space="0" w:color="auto"/>
              <w:right w:val="single" w:sz="4" w:space="0" w:color="auto"/>
            </w:tcBorders>
            <w:shd w:val="clear" w:color="auto" w:fill="auto"/>
            <w:noWrap/>
            <w:vAlign w:val="center"/>
            <w:hideMark/>
          </w:tcPr>
          <w:p w14:paraId="22BE9695" w14:textId="77777777" w:rsidR="00C27C50" w:rsidRPr="009722B3" w:rsidRDefault="00C27C50" w:rsidP="002F71BC">
            <w:pPr>
              <w:jc w:val="center"/>
              <w:rPr>
                <w:rFonts w:ascii="Corbel" w:hAnsi="Corbel"/>
                <w:color w:val="000000"/>
                <w:sz w:val="20"/>
                <w:szCs w:val="20"/>
                <w:lang w:val="en-GB"/>
              </w:rPr>
            </w:pPr>
            <w:r w:rsidRPr="009722B3">
              <w:rPr>
                <w:rFonts w:ascii="Corbel" w:hAnsi="Corbel"/>
                <w:color w:val="000000"/>
                <w:sz w:val="20"/>
                <w:szCs w:val="20"/>
                <w:lang w:val="en-GB"/>
              </w:rPr>
              <w:t> </w:t>
            </w:r>
          </w:p>
        </w:tc>
        <w:tc>
          <w:tcPr>
            <w:tcW w:w="2268" w:type="dxa"/>
            <w:tcBorders>
              <w:top w:val="nil"/>
              <w:left w:val="nil"/>
              <w:bottom w:val="single" w:sz="4" w:space="0" w:color="auto"/>
              <w:right w:val="single" w:sz="4" w:space="0" w:color="auto"/>
            </w:tcBorders>
            <w:shd w:val="clear" w:color="auto" w:fill="auto"/>
            <w:noWrap/>
            <w:vAlign w:val="center"/>
            <w:hideMark/>
          </w:tcPr>
          <w:p w14:paraId="04A38CA7" w14:textId="77777777" w:rsidR="00C27C50" w:rsidRPr="009722B3" w:rsidRDefault="00C27C50" w:rsidP="002F71BC">
            <w:pPr>
              <w:jc w:val="center"/>
              <w:rPr>
                <w:rFonts w:ascii="Corbel" w:hAnsi="Corbel"/>
                <w:color w:val="000000"/>
                <w:sz w:val="20"/>
                <w:szCs w:val="20"/>
                <w:lang w:val="en-GB"/>
              </w:rPr>
            </w:pPr>
            <w:r w:rsidRPr="009722B3">
              <w:rPr>
                <w:rFonts w:ascii="Corbel" w:hAnsi="Corbel"/>
                <w:color w:val="000000"/>
                <w:sz w:val="20"/>
                <w:szCs w:val="20"/>
                <w:lang w:val="en-GB"/>
              </w:rPr>
              <w:t> </w:t>
            </w:r>
          </w:p>
        </w:tc>
        <w:tc>
          <w:tcPr>
            <w:tcW w:w="2126" w:type="dxa"/>
            <w:tcBorders>
              <w:top w:val="nil"/>
              <w:left w:val="nil"/>
              <w:bottom w:val="single" w:sz="4" w:space="0" w:color="auto"/>
              <w:right w:val="single" w:sz="4" w:space="0" w:color="auto"/>
            </w:tcBorders>
            <w:shd w:val="clear" w:color="auto" w:fill="auto"/>
            <w:noWrap/>
            <w:vAlign w:val="center"/>
            <w:hideMark/>
          </w:tcPr>
          <w:p w14:paraId="115790D4" w14:textId="77777777" w:rsidR="00C27C50" w:rsidRPr="009722B3" w:rsidRDefault="00C27C50" w:rsidP="002F71BC">
            <w:pPr>
              <w:jc w:val="center"/>
              <w:rPr>
                <w:rFonts w:ascii="Corbel" w:hAnsi="Corbel"/>
                <w:b/>
                <w:bCs/>
                <w:color w:val="000000"/>
                <w:sz w:val="20"/>
                <w:szCs w:val="20"/>
                <w:lang w:val="en-GB"/>
              </w:rPr>
            </w:pPr>
            <w:r w:rsidRPr="009722B3">
              <w:rPr>
                <w:rFonts w:ascii="Corbel" w:hAnsi="Corbel"/>
                <w:b/>
                <w:bCs/>
                <w:color w:val="000000"/>
                <w:sz w:val="20"/>
                <w:szCs w:val="20"/>
                <w:lang w:val="en-GB"/>
              </w:rPr>
              <w:t>66%</w:t>
            </w:r>
          </w:p>
        </w:tc>
      </w:tr>
    </w:tbl>
    <w:p w14:paraId="2EE70FB1" w14:textId="77777777" w:rsidR="00B67AC1" w:rsidRPr="009722B3" w:rsidRDefault="00B67AC1" w:rsidP="002F71BC">
      <w:pPr>
        <w:jc w:val="both"/>
        <w:rPr>
          <w:rFonts w:ascii="Corbel" w:hAnsi="Corbel"/>
          <w:lang w:val="en-US"/>
        </w:rPr>
      </w:pPr>
    </w:p>
    <w:p w14:paraId="4BCC3EEA" w14:textId="0773C3E4" w:rsidR="00F63E83" w:rsidRPr="00405934" w:rsidRDefault="00F63E83" w:rsidP="002F71BC">
      <w:pPr>
        <w:jc w:val="both"/>
        <w:rPr>
          <w:rFonts w:ascii="Corbel" w:hAnsi="Corbel"/>
          <w:sz w:val="22"/>
          <w:szCs w:val="22"/>
          <w:lang w:val="en-US"/>
        </w:rPr>
      </w:pPr>
      <w:r w:rsidRPr="00405934">
        <w:rPr>
          <w:rFonts w:ascii="Corbel" w:hAnsi="Corbel"/>
          <w:sz w:val="22"/>
          <w:szCs w:val="22"/>
          <w:lang w:val="en-US"/>
        </w:rPr>
        <w:t>Whereas for the UN Sustainable Development Goals and the Commission Political Priorities the link with the EU spending programs is less organic, although the Commission recently presented the most relevant spending programs linked to the two strategic frameworks</w:t>
      </w:r>
      <w:r w:rsidR="00405934">
        <w:rPr>
          <w:rFonts w:ascii="Corbel" w:hAnsi="Corbel"/>
          <w:sz w:val="22"/>
          <w:szCs w:val="22"/>
          <w:lang w:val="en-US"/>
        </w:rPr>
        <w:t>.</w:t>
      </w:r>
    </w:p>
    <w:p w14:paraId="05D07F9A" w14:textId="7FC15302" w:rsidR="00405934" w:rsidRDefault="00405934" w:rsidP="002F71BC">
      <w:pPr>
        <w:jc w:val="both"/>
        <w:rPr>
          <w:rFonts w:ascii="Corbel" w:hAnsi="Corbel"/>
          <w:lang w:val="en-US"/>
        </w:rPr>
      </w:pPr>
    </w:p>
    <w:p w14:paraId="369A7EF2" w14:textId="6BDED43B" w:rsidR="00646464" w:rsidRPr="00297C42" w:rsidRDefault="00646464" w:rsidP="00646464">
      <w:pPr>
        <w:pStyle w:val="Paragrafoelenco"/>
        <w:numPr>
          <w:ilvl w:val="0"/>
          <w:numId w:val="1"/>
        </w:numPr>
        <w:jc w:val="both"/>
        <w:rPr>
          <w:rFonts w:ascii="Corbel" w:hAnsi="Corbel"/>
          <w:i/>
          <w:iCs/>
          <w:sz w:val="24"/>
          <w:szCs w:val="24"/>
          <w:lang w:val="en-US"/>
        </w:rPr>
      </w:pPr>
      <w:r w:rsidRPr="00297C42">
        <w:rPr>
          <w:rFonts w:ascii="Corbel" w:hAnsi="Corbel"/>
          <w:i/>
          <w:iCs/>
          <w:sz w:val="24"/>
          <w:szCs w:val="24"/>
          <w:lang w:val="en-US"/>
        </w:rPr>
        <w:t>The Recovery and Resilience Facility and the National Recovery and Resilience Plans</w:t>
      </w:r>
    </w:p>
    <w:p w14:paraId="28455C27" w14:textId="388AB489" w:rsidR="00646464" w:rsidRDefault="00646464" w:rsidP="002F71BC">
      <w:pPr>
        <w:jc w:val="both"/>
        <w:rPr>
          <w:rFonts w:ascii="Corbel" w:hAnsi="Corbel"/>
          <w:lang w:val="en-US"/>
        </w:rPr>
      </w:pPr>
      <w:r>
        <w:rPr>
          <w:rFonts w:ascii="Corbel" w:hAnsi="Corbel"/>
          <w:lang w:val="en-US"/>
        </w:rPr>
        <w:t>T</w:t>
      </w:r>
      <w:r w:rsidRPr="00646464">
        <w:rPr>
          <w:rFonts w:ascii="Corbel" w:hAnsi="Corbel"/>
          <w:lang w:val="en-US"/>
        </w:rPr>
        <w:t>he aim of the Recovery and Resilience Facility</w:t>
      </w:r>
      <w:r>
        <w:rPr>
          <w:rFonts w:ascii="Corbel" w:hAnsi="Corbel"/>
          <w:lang w:val="en-US"/>
        </w:rPr>
        <w:t xml:space="preserve"> (RRF)</w:t>
      </w:r>
      <w:r w:rsidRPr="00646464">
        <w:rPr>
          <w:rFonts w:ascii="Corbel" w:hAnsi="Corbel"/>
          <w:lang w:val="en-US"/>
        </w:rPr>
        <w:t xml:space="preserve"> is to mitigate the economic and social impact of the coronavirus pandemic and make European economies and societies more sustainable, </w:t>
      </w:r>
      <w:proofErr w:type="gramStart"/>
      <w:r w:rsidRPr="00646464">
        <w:rPr>
          <w:rFonts w:ascii="Corbel" w:hAnsi="Corbel"/>
          <w:lang w:val="en-US"/>
        </w:rPr>
        <w:t>resilient</w:t>
      </w:r>
      <w:proofErr w:type="gramEnd"/>
      <w:r w:rsidRPr="00646464">
        <w:rPr>
          <w:rFonts w:ascii="Corbel" w:hAnsi="Corbel"/>
          <w:lang w:val="en-US"/>
        </w:rPr>
        <w:t xml:space="preserve"> and better prepared for the challenges and opportunities of the green and digital transitions.</w:t>
      </w:r>
      <w:r>
        <w:rPr>
          <w:rFonts w:ascii="Corbel" w:hAnsi="Corbel"/>
          <w:lang w:val="en-US"/>
        </w:rPr>
        <w:t xml:space="preserve"> </w:t>
      </w:r>
      <w:r w:rsidRPr="00646464">
        <w:rPr>
          <w:rFonts w:ascii="Corbel" w:hAnsi="Corbel"/>
          <w:lang w:val="en-US"/>
        </w:rPr>
        <w:t>The Facility is a temporary recovery instrument. It allows the Commission to raise funds to help Member States implement reforms and investments that are in line with the EU’s priorities and that address the challenges identified in country-specific recommendations under the European Semester framework of economic and social policy coordination. It makes available €723.8 billion (in current prices) in loans (€385.8 billion) and grants (€338 billion) for that purpose.</w:t>
      </w:r>
    </w:p>
    <w:p w14:paraId="1AA41921" w14:textId="5F9F3847" w:rsidR="00646464" w:rsidRPr="00646464" w:rsidRDefault="00646464" w:rsidP="00646464">
      <w:pPr>
        <w:jc w:val="both"/>
        <w:rPr>
          <w:rFonts w:ascii="Corbel" w:hAnsi="Corbel"/>
          <w:lang w:val="en-US"/>
        </w:rPr>
      </w:pPr>
      <w:r w:rsidRPr="00646464">
        <w:rPr>
          <w:rFonts w:ascii="Corbel" w:hAnsi="Corbel"/>
          <w:lang w:val="en-US"/>
        </w:rPr>
        <w:lastRenderedPageBreak/>
        <w:t xml:space="preserve">The Facility is structured around six pillars: green transition; digital transformation; economic cohesion, </w:t>
      </w:r>
      <w:proofErr w:type="gramStart"/>
      <w:r w:rsidRPr="00646464">
        <w:rPr>
          <w:rFonts w:ascii="Corbel" w:hAnsi="Corbel"/>
          <w:lang w:val="en-US"/>
        </w:rPr>
        <w:t>productivity</w:t>
      </w:r>
      <w:proofErr w:type="gramEnd"/>
      <w:r w:rsidRPr="00646464">
        <w:rPr>
          <w:rFonts w:ascii="Corbel" w:hAnsi="Corbel"/>
          <w:lang w:val="en-US"/>
        </w:rPr>
        <w:t xml:space="preserve"> and competitiveness; social and territorial cohesion; health, economic, social and institutional resilience; policies for the next generation</w:t>
      </w:r>
      <w:r>
        <w:rPr>
          <w:rFonts w:ascii="Corbel" w:hAnsi="Corbel"/>
          <w:lang w:val="en-US"/>
        </w:rPr>
        <w:t>. It</w:t>
      </w:r>
      <w:r w:rsidRPr="00646464">
        <w:rPr>
          <w:rFonts w:ascii="Corbel" w:hAnsi="Corbel"/>
          <w:lang w:val="en-US"/>
        </w:rPr>
        <w:t xml:space="preserve"> entered into force on 19 February 2021. It finances reforms and investments in Member States from the start of the pandemic in February 2020 until 31 December 2026.</w:t>
      </w:r>
    </w:p>
    <w:p w14:paraId="05358B82" w14:textId="530BB0DA" w:rsidR="00646464" w:rsidRPr="00646464" w:rsidRDefault="00646464" w:rsidP="00646464">
      <w:pPr>
        <w:jc w:val="both"/>
        <w:rPr>
          <w:rFonts w:ascii="Corbel" w:hAnsi="Corbel"/>
          <w:lang w:val="en-US"/>
        </w:rPr>
      </w:pPr>
      <w:r w:rsidRPr="00646464">
        <w:rPr>
          <w:rFonts w:ascii="Corbel" w:hAnsi="Corbel"/>
          <w:lang w:val="en-US"/>
        </w:rPr>
        <w:t xml:space="preserve">To benefit from the support of the Facility, Member States submit their </w:t>
      </w:r>
      <w:r w:rsidRPr="00646464">
        <w:rPr>
          <w:rFonts w:ascii="Corbel" w:hAnsi="Corbel"/>
          <w:i/>
          <w:iCs/>
          <w:lang w:val="en-US"/>
        </w:rPr>
        <w:t>Recovery and Resilience Plans</w:t>
      </w:r>
      <w:r w:rsidRPr="00646464">
        <w:rPr>
          <w:rFonts w:ascii="Corbel" w:hAnsi="Corbel"/>
          <w:lang w:val="en-US"/>
        </w:rPr>
        <w:t xml:space="preserve"> to the European Commission. Each plan sets out the reforms and investments to be implemented by end-2026 and Member States can receive financing up to a previously agreed allocation.</w:t>
      </w:r>
      <w:r>
        <w:rPr>
          <w:rFonts w:ascii="Corbel" w:hAnsi="Corbel"/>
          <w:lang w:val="en-US"/>
        </w:rPr>
        <w:t xml:space="preserve"> </w:t>
      </w:r>
    </w:p>
    <w:p w14:paraId="66FE7002" w14:textId="7EF08603" w:rsidR="00542462" w:rsidRDefault="00646464" w:rsidP="00542462">
      <w:pPr>
        <w:jc w:val="both"/>
        <w:rPr>
          <w:rFonts w:ascii="Corbel" w:hAnsi="Corbel"/>
          <w:lang w:val="en-US"/>
        </w:rPr>
      </w:pPr>
      <w:r w:rsidRPr="00646464">
        <w:rPr>
          <w:rFonts w:ascii="Corbel" w:hAnsi="Corbel"/>
          <w:lang w:val="en-US"/>
        </w:rPr>
        <w:t xml:space="preserve">The Recovery and Resilience Facility is performance based. </w:t>
      </w:r>
      <w:r w:rsidR="00542462" w:rsidRPr="00542462">
        <w:rPr>
          <w:rFonts w:ascii="Corbel" w:hAnsi="Corbel"/>
          <w:lang w:val="en-US"/>
        </w:rPr>
        <w:t xml:space="preserve">RRF funds are disbursed when Member States have fulfilled key steps in the implementation of the reforms and investments included in the recovery and resilience plans. These key implementation steps are referred to as milestones and targets. Milestones represent a qualitative implementation step, targets a quantitative implementation step. The milestones and targets each Member State </w:t>
      </w:r>
      <w:proofErr w:type="gramStart"/>
      <w:r w:rsidR="00542462" w:rsidRPr="00542462">
        <w:rPr>
          <w:rFonts w:ascii="Corbel" w:hAnsi="Corbel"/>
          <w:lang w:val="en-US"/>
        </w:rPr>
        <w:t>has to</w:t>
      </w:r>
      <w:proofErr w:type="gramEnd"/>
      <w:r w:rsidR="00542462" w:rsidRPr="00542462">
        <w:rPr>
          <w:rFonts w:ascii="Corbel" w:hAnsi="Corbel"/>
          <w:lang w:val="en-US"/>
        </w:rPr>
        <w:t xml:space="preserve"> achieve are set in a Council Implementing Decision</w:t>
      </w:r>
      <w:r w:rsidR="00542462">
        <w:rPr>
          <w:rFonts w:ascii="Corbel" w:hAnsi="Corbel"/>
          <w:lang w:val="en-US"/>
        </w:rPr>
        <w:t>.</w:t>
      </w:r>
    </w:p>
    <w:p w14:paraId="5A37A922" w14:textId="6FC801EA" w:rsidR="00542462" w:rsidRPr="00542462" w:rsidRDefault="00646464" w:rsidP="00542462">
      <w:pPr>
        <w:jc w:val="both"/>
        <w:rPr>
          <w:rFonts w:ascii="Corbel" w:hAnsi="Corbel"/>
          <w:lang w:val="en-US"/>
        </w:rPr>
      </w:pPr>
      <w:r w:rsidRPr="00646464">
        <w:rPr>
          <w:rFonts w:ascii="Corbel" w:hAnsi="Corbel"/>
          <w:lang w:val="en-US"/>
        </w:rPr>
        <w:t>Fulfilment of agreed milestones and targets towards achieving the reforms and investments in the plans will unlock regular payment.</w:t>
      </w:r>
      <w:r w:rsidR="00542462">
        <w:rPr>
          <w:rFonts w:ascii="Corbel" w:hAnsi="Corbel"/>
          <w:lang w:val="en-US"/>
        </w:rPr>
        <w:t xml:space="preserve"> </w:t>
      </w:r>
      <w:r w:rsidR="00542462" w:rsidRPr="00542462">
        <w:rPr>
          <w:rFonts w:ascii="Corbel" w:hAnsi="Corbel"/>
          <w:lang w:val="en-US"/>
        </w:rPr>
        <w:t>The R</w:t>
      </w:r>
      <w:r w:rsidR="00542462">
        <w:rPr>
          <w:rFonts w:ascii="Corbel" w:hAnsi="Corbel"/>
          <w:lang w:val="en-US"/>
        </w:rPr>
        <w:t xml:space="preserve">RF </w:t>
      </w:r>
      <w:r w:rsidR="00542462" w:rsidRPr="00542462">
        <w:rPr>
          <w:rFonts w:ascii="Corbel" w:hAnsi="Corbel"/>
          <w:lang w:val="en-US"/>
        </w:rPr>
        <w:t xml:space="preserve">includes </w:t>
      </w:r>
      <w:r w:rsidR="00542462">
        <w:rPr>
          <w:rFonts w:ascii="Corbel" w:hAnsi="Corbel"/>
          <w:lang w:val="en-US"/>
        </w:rPr>
        <w:t>14</w:t>
      </w:r>
      <w:r w:rsidR="00542462" w:rsidRPr="00542462">
        <w:rPr>
          <w:rFonts w:ascii="Corbel" w:hAnsi="Corbel"/>
          <w:lang w:val="en-US"/>
        </w:rPr>
        <w:t xml:space="preserve"> common indicators related to </w:t>
      </w:r>
      <w:r w:rsidR="00542462">
        <w:rPr>
          <w:rFonts w:ascii="Corbel" w:hAnsi="Corbel"/>
          <w:lang w:val="en-US"/>
        </w:rPr>
        <w:t>each pillar (</w:t>
      </w:r>
      <w:r w:rsidR="00542462" w:rsidRPr="00542462">
        <w:rPr>
          <w:rFonts w:ascii="Corbel" w:hAnsi="Corbel"/>
          <w:lang w:val="en-US"/>
        </w:rPr>
        <w:t>Delegated Regulation EU 2021/2106</w:t>
      </w:r>
      <w:r w:rsidR="00542462">
        <w:rPr>
          <w:rFonts w:ascii="Corbel" w:hAnsi="Corbel"/>
          <w:lang w:val="en-US"/>
        </w:rPr>
        <w:t>)</w:t>
      </w:r>
      <w:r w:rsidR="00542462" w:rsidRPr="00542462">
        <w:rPr>
          <w:rFonts w:ascii="Corbel" w:hAnsi="Corbel"/>
          <w:lang w:val="en-US"/>
        </w:rPr>
        <w:t xml:space="preserve">. The common indicators show the progress of the implementation of the recovery and resilience plans towards common objectives and the overall performance of the RRF. Member States report on the common indicators twice a year, by the end of February and the end of August. The first reporting </w:t>
      </w:r>
      <w:proofErr w:type="gramStart"/>
      <w:r w:rsidR="00542462">
        <w:rPr>
          <w:rFonts w:ascii="Corbel" w:hAnsi="Corbel"/>
          <w:lang w:val="en-US"/>
        </w:rPr>
        <w:t>have</w:t>
      </w:r>
      <w:proofErr w:type="gramEnd"/>
      <w:r w:rsidR="00542462">
        <w:rPr>
          <w:rFonts w:ascii="Corbel" w:hAnsi="Corbel"/>
          <w:lang w:val="en-US"/>
        </w:rPr>
        <w:t xml:space="preserve"> taken</w:t>
      </w:r>
      <w:r w:rsidR="00542462" w:rsidRPr="00542462">
        <w:rPr>
          <w:rFonts w:ascii="Corbel" w:hAnsi="Corbel"/>
          <w:lang w:val="en-US"/>
        </w:rPr>
        <w:t xml:space="preserve"> place in February 2022.</w:t>
      </w:r>
    </w:p>
    <w:p w14:paraId="5E50B7FE" w14:textId="77777777" w:rsidR="0039324F" w:rsidRPr="009722B3" w:rsidRDefault="0039324F" w:rsidP="002F71BC">
      <w:pPr>
        <w:jc w:val="both"/>
        <w:rPr>
          <w:rFonts w:ascii="Corbel" w:hAnsi="Corbel"/>
        </w:rPr>
      </w:pPr>
    </w:p>
    <w:p w14:paraId="67B310F1" w14:textId="3E09AB3E" w:rsidR="001375A1" w:rsidRPr="00405934" w:rsidRDefault="008D4B03" w:rsidP="002F71BC">
      <w:pPr>
        <w:jc w:val="both"/>
        <w:rPr>
          <w:rFonts w:ascii="Corbel" w:hAnsi="Corbel"/>
          <w:b/>
          <w:bCs/>
          <w:i/>
          <w:iCs/>
          <w:lang w:val="en-GB"/>
        </w:rPr>
      </w:pPr>
      <w:r w:rsidRPr="00405934">
        <w:rPr>
          <w:rFonts w:ascii="Corbel" w:hAnsi="Corbel"/>
          <w:b/>
          <w:bCs/>
          <w:i/>
          <w:iCs/>
          <w:lang w:val="en-GB"/>
        </w:rPr>
        <w:t xml:space="preserve">6.2 </w:t>
      </w:r>
      <w:r w:rsidR="004F4C1D" w:rsidRPr="00405934">
        <w:rPr>
          <w:rFonts w:ascii="Corbel" w:hAnsi="Corbel"/>
          <w:b/>
          <w:bCs/>
          <w:i/>
          <w:iCs/>
          <w:lang w:val="en-GB"/>
        </w:rPr>
        <w:t>The role of the European Commission in the EU strategic framework</w:t>
      </w:r>
    </w:p>
    <w:p w14:paraId="3EDBFBFD" w14:textId="2ABBEA6C" w:rsidR="00416BD2" w:rsidRDefault="00F85210" w:rsidP="002F71BC">
      <w:pPr>
        <w:jc w:val="both"/>
        <w:rPr>
          <w:rFonts w:ascii="Corbel" w:hAnsi="Corbel"/>
          <w:bCs/>
          <w:iCs/>
          <w:sz w:val="22"/>
          <w:szCs w:val="22"/>
          <w:lang w:val="en-US"/>
        </w:rPr>
      </w:pPr>
      <w:r w:rsidRPr="00405934">
        <w:rPr>
          <w:rFonts w:ascii="Corbel" w:hAnsi="Corbel"/>
          <w:sz w:val="22"/>
          <w:szCs w:val="22"/>
          <w:lang w:val="en-US"/>
        </w:rPr>
        <w:t>Among the EU different institutions, the European Commission is the most strategic actor in the EU decision-making system. According to the article 17 of the TEU the main objective of the European Commission is to “promote the general interest of the Union and take appropriate initiatives to that end” to achieve the goals laid down in the treaties</w:t>
      </w:r>
      <w:r w:rsidRPr="00405934">
        <w:rPr>
          <w:rStyle w:val="Rimandonotadichiusura"/>
          <w:rFonts w:ascii="Corbel" w:hAnsi="Corbel"/>
          <w:sz w:val="22"/>
          <w:szCs w:val="22"/>
          <w:lang w:val="en-US"/>
        </w:rPr>
        <w:endnoteReference w:id="13"/>
      </w:r>
      <w:r w:rsidRPr="00405934">
        <w:rPr>
          <w:rFonts w:ascii="Corbel" w:hAnsi="Corbel"/>
          <w:sz w:val="22"/>
          <w:szCs w:val="22"/>
          <w:lang w:val="en-US"/>
        </w:rPr>
        <w:t xml:space="preserve">. In this respect, it is often labeled as the engine of the European integration process </w:t>
      </w:r>
      <w:r w:rsidR="00F92EB1" w:rsidRPr="00405934">
        <w:rPr>
          <w:rFonts w:ascii="Corbel" w:hAnsi="Corbel"/>
          <w:sz w:val="22"/>
          <w:szCs w:val="22"/>
          <w:lang w:val="en-US"/>
        </w:rPr>
        <w:t>and the Commission can be seen as the supporting administration focusing on the management and implementation of the European policies.</w:t>
      </w:r>
      <w:r w:rsidR="00BD1BBC" w:rsidRPr="00405934">
        <w:rPr>
          <w:rFonts w:ascii="Corbel" w:hAnsi="Corbel"/>
          <w:sz w:val="22"/>
          <w:szCs w:val="22"/>
          <w:lang w:val="en-US"/>
        </w:rPr>
        <w:t xml:space="preserve"> </w:t>
      </w:r>
      <w:r w:rsidR="00F92EB1" w:rsidRPr="00405934">
        <w:rPr>
          <w:rFonts w:ascii="Corbel" w:hAnsi="Corbel"/>
          <w:bCs/>
          <w:iCs/>
          <w:sz w:val="22"/>
          <w:szCs w:val="22"/>
          <w:lang w:val="en-US"/>
        </w:rPr>
        <w:t>Within the EU strategic framework, the European Commission</w:t>
      </w:r>
      <w:r w:rsidR="00F92EB1" w:rsidRPr="00405934">
        <w:rPr>
          <w:rFonts w:ascii="Corbel" w:hAnsi="Corbel"/>
          <w:b/>
          <w:bCs/>
          <w:iCs/>
          <w:sz w:val="22"/>
          <w:szCs w:val="22"/>
          <w:lang w:val="en-US"/>
        </w:rPr>
        <w:t xml:space="preserve"> </w:t>
      </w:r>
      <w:r w:rsidR="00F92EB1" w:rsidRPr="00405934">
        <w:rPr>
          <w:rFonts w:ascii="Corbel" w:hAnsi="Corbel"/>
          <w:bCs/>
          <w:iCs/>
          <w:sz w:val="22"/>
          <w:szCs w:val="22"/>
          <w:lang w:val="en-US"/>
        </w:rPr>
        <w:t xml:space="preserve">is the most relevant institution contributing to the achievement of the EU objectives (European Commission, 2018). The performance framework of the European Commission is thus an integral part of its work and is implemented through a strategic framework composed </w:t>
      </w:r>
      <w:r w:rsidR="00247C0A" w:rsidRPr="00405934">
        <w:rPr>
          <w:rFonts w:ascii="Corbel" w:hAnsi="Corbel"/>
          <w:bCs/>
          <w:iCs/>
          <w:sz w:val="22"/>
          <w:szCs w:val="22"/>
          <w:lang w:val="en-US"/>
        </w:rPr>
        <w:t>of the following different elements:</w:t>
      </w:r>
    </w:p>
    <w:p w14:paraId="061D02E9" w14:textId="77777777" w:rsidR="00405934" w:rsidRPr="00405934" w:rsidRDefault="00405934" w:rsidP="002F71BC">
      <w:pPr>
        <w:jc w:val="both"/>
        <w:rPr>
          <w:rFonts w:ascii="Corbel" w:hAnsi="Corbel"/>
          <w:bCs/>
          <w:iCs/>
          <w:sz w:val="22"/>
          <w:szCs w:val="22"/>
          <w:lang w:val="en-US"/>
        </w:rPr>
      </w:pPr>
    </w:p>
    <w:p w14:paraId="5B25B8FB" w14:textId="269291C0" w:rsidR="00F63E83" w:rsidRPr="009722B3" w:rsidRDefault="001F0825" w:rsidP="002F71BC">
      <w:pPr>
        <w:pStyle w:val="Paragrafoelenco"/>
        <w:numPr>
          <w:ilvl w:val="0"/>
          <w:numId w:val="1"/>
        </w:numPr>
        <w:spacing w:after="0" w:line="240" w:lineRule="auto"/>
        <w:rPr>
          <w:rFonts w:ascii="Corbel" w:hAnsi="Corbel"/>
          <w:i/>
          <w:sz w:val="24"/>
          <w:szCs w:val="24"/>
          <w:lang w:val="en-US"/>
        </w:rPr>
      </w:pPr>
      <w:r w:rsidRPr="009722B3">
        <w:rPr>
          <w:rFonts w:ascii="Corbel" w:hAnsi="Corbel"/>
          <w:i/>
          <w:sz w:val="24"/>
          <w:szCs w:val="24"/>
          <w:lang w:val="en-US"/>
        </w:rPr>
        <w:t xml:space="preserve">(planning) </w:t>
      </w:r>
      <w:r w:rsidR="00F63E83" w:rsidRPr="009722B3">
        <w:rPr>
          <w:rFonts w:ascii="Corbel" w:hAnsi="Corbel"/>
          <w:i/>
          <w:sz w:val="24"/>
          <w:szCs w:val="24"/>
          <w:lang w:val="en-US"/>
        </w:rPr>
        <w:t xml:space="preserve">The </w:t>
      </w:r>
      <w:r w:rsidR="00757145" w:rsidRPr="009722B3">
        <w:rPr>
          <w:rFonts w:ascii="Corbel" w:hAnsi="Corbel"/>
          <w:i/>
          <w:sz w:val="24"/>
          <w:szCs w:val="24"/>
          <w:lang w:val="en-US"/>
        </w:rPr>
        <w:t xml:space="preserve">European </w:t>
      </w:r>
      <w:r w:rsidR="00F63E83" w:rsidRPr="009722B3">
        <w:rPr>
          <w:rFonts w:ascii="Corbel" w:hAnsi="Corbel"/>
          <w:i/>
          <w:sz w:val="24"/>
          <w:szCs w:val="24"/>
          <w:lang w:val="en-US"/>
        </w:rPr>
        <w:t xml:space="preserve">Commission Political Guidelines </w:t>
      </w:r>
    </w:p>
    <w:p w14:paraId="42012FB6" w14:textId="77777777" w:rsidR="00405934" w:rsidRDefault="00405934" w:rsidP="002F71BC">
      <w:pPr>
        <w:jc w:val="both"/>
        <w:rPr>
          <w:rFonts w:ascii="Corbel" w:hAnsi="Corbel"/>
          <w:bCs/>
          <w:iCs/>
          <w:lang w:val="en-US"/>
        </w:rPr>
      </w:pPr>
    </w:p>
    <w:p w14:paraId="0C1BE31F" w14:textId="5AE40F53" w:rsidR="00BC385E" w:rsidRPr="00405934" w:rsidRDefault="00F63E83" w:rsidP="002F71BC">
      <w:pPr>
        <w:jc w:val="both"/>
        <w:rPr>
          <w:rFonts w:ascii="Corbel" w:hAnsi="Corbel"/>
          <w:bCs/>
          <w:iCs/>
          <w:sz w:val="22"/>
          <w:szCs w:val="22"/>
          <w:lang w:val="en-US"/>
        </w:rPr>
      </w:pPr>
      <w:r w:rsidRPr="00405934">
        <w:rPr>
          <w:rFonts w:ascii="Corbel" w:hAnsi="Corbel"/>
          <w:bCs/>
          <w:iCs/>
          <w:sz w:val="22"/>
          <w:szCs w:val="22"/>
          <w:lang w:val="en-US"/>
        </w:rPr>
        <w:t>The planning phase starts with the adoption of the Political Guidelines also known as Commission’s priorities, covering the five-year</w:t>
      </w:r>
      <w:r w:rsidR="0059264C" w:rsidRPr="00405934">
        <w:rPr>
          <w:rFonts w:ascii="Corbel" w:hAnsi="Corbel"/>
          <w:bCs/>
          <w:iCs/>
          <w:sz w:val="22"/>
          <w:szCs w:val="22"/>
          <w:lang w:val="en-US"/>
        </w:rPr>
        <w:t>s</w:t>
      </w:r>
      <w:r w:rsidRPr="00405934">
        <w:rPr>
          <w:rFonts w:ascii="Corbel" w:hAnsi="Corbel"/>
          <w:bCs/>
          <w:iCs/>
          <w:sz w:val="22"/>
          <w:szCs w:val="22"/>
          <w:lang w:val="en-US"/>
        </w:rPr>
        <w:t xml:space="preserve"> of President of the European Commission’ s mandate. The Political Guidelines describe the main priorities and policy areas the European Commission commits to focus for the next five years period. The Political Guidelines are essentially a political document, generally divided into broad objectives or policy areas aiming at providing a comprehensive picture of the President’s view on the most important political issues of the next five years. Consequently, no specific objectives or performance indicators have been set at this level</w:t>
      </w:r>
      <w:r w:rsidRPr="00405934">
        <w:rPr>
          <w:rStyle w:val="Rimandonotadichiusura"/>
          <w:rFonts w:ascii="Corbel" w:hAnsi="Corbel"/>
          <w:bCs/>
          <w:iCs/>
          <w:sz w:val="22"/>
          <w:szCs w:val="22"/>
          <w:lang w:val="en-US"/>
        </w:rPr>
        <w:endnoteReference w:id="14"/>
      </w:r>
      <w:r w:rsidRPr="00405934">
        <w:rPr>
          <w:rFonts w:ascii="Corbel" w:hAnsi="Corbel"/>
          <w:bCs/>
          <w:iCs/>
          <w:sz w:val="22"/>
          <w:szCs w:val="22"/>
          <w:lang w:val="en-US"/>
        </w:rPr>
        <w:t>. The</w:t>
      </w:r>
      <w:r w:rsidR="00247C0A" w:rsidRPr="00405934">
        <w:rPr>
          <w:rFonts w:ascii="Corbel" w:hAnsi="Corbel"/>
          <w:bCs/>
          <w:iCs/>
          <w:sz w:val="22"/>
          <w:szCs w:val="22"/>
          <w:lang w:val="en-US"/>
        </w:rPr>
        <w:t xml:space="preserve"> previous Junker’s Commission Political Guidelines</w:t>
      </w:r>
      <w:r w:rsidRPr="00405934">
        <w:rPr>
          <w:rFonts w:ascii="Corbel" w:hAnsi="Corbel"/>
          <w:bCs/>
          <w:iCs/>
          <w:sz w:val="22"/>
          <w:szCs w:val="22"/>
          <w:lang w:val="en-US"/>
        </w:rPr>
        <w:t xml:space="preserve"> </w:t>
      </w:r>
      <w:r w:rsidR="00247C0A" w:rsidRPr="00405934">
        <w:rPr>
          <w:rFonts w:ascii="Corbel" w:hAnsi="Corbel"/>
          <w:bCs/>
          <w:iCs/>
          <w:sz w:val="22"/>
          <w:szCs w:val="22"/>
          <w:lang w:val="en-US"/>
        </w:rPr>
        <w:t>were</w:t>
      </w:r>
      <w:r w:rsidRPr="00405934">
        <w:rPr>
          <w:rFonts w:ascii="Corbel" w:hAnsi="Corbel"/>
          <w:bCs/>
          <w:iCs/>
          <w:sz w:val="22"/>
          <w:szCs w:val="22"/>
          <w:lang w:val="en-US"/>
        </w:rPr>
        <w:t xml:space="preserve"> in line with the Europe 2020 strategy, especially the first four priorities, whereas the others reflect the EU’s broader international role. To achieve its political priorities the European Commission rel</w:t>
      </w:r>
      <w:r w:rsidR="0059264C" w:rsidRPr="00405934">
        <w:rPr>
          <w:rFonts w:ascii="Corbel" w:hAnsi="Corbel"/>
          <w:bCs/>
          <w:iCs/>
          <w:sz w:val="22"/>
          <w:szCs w:val="22"/>
          <w:lang w:val="en-US"/>
        </w:rPr>
        <w:t>ies</w:t>
      </w:r>
      <w:r w:rsidRPr="00405934">
        <w:rPr>
          <w:rFonts w:ascii="Corbel" w:hAnsi="Corbel"/>
          <w:bCs/>
          <w:iCs/>
          <w:sz w:val="22"/>
          <w:szCs w:val="22"/>
          <w:lang w:val="en-US"/>
        </w:rPr>
        <w:t xml:space="preserve"> on a variety of methods, including the EU budget and the EU spending programs, the legislation, policies</w:t>
      </w:r>
      <w:r w:rsidR="0059264C" w:rsidRPr="00405934">
        <w:rPr>
          <w:rFonts w:ascii="Corbel" w:hAnsi="Corbel"/>
          <w:bCs/>
          <w:iCs/>
          <w:sz w:val="22"/>
          <w:szCs w:val="22"/>
          <w:lang w:val="en-US"/>
        </w:rPr>
        <w:t>,</w:t>
      </w:r>
      <w:r w:rsidRPr="00405934">
        <w:rPr>
          <w:rFonts w:ascii="Corbel" w:hAnsi="Corbel"/>
          <w:bCs/>
          <w:iCs/>
          <w:sz w:val="22"/>
          <w:szCs w:val="22"/>
          <w:lang w:val="en-US"/>
        </w:rPr>
        <w:t xml:space="preserve"> and coordination. Internally, the President of the European Commission assigns to each Commissioner a specific thematic portfolio and in the</w:t>
      </w:r>
      <w:r w:rsidR="00341E6C" w:rsidRPr="00405934">
        <w:rPr>
          <w:rFonts w:ascii="Corbel" w:hAnsi="Corbel"/>
          <w:bCs/>
          <w:iCs/>
          <w:sz w:val="22"/>
          <w:szCs w:val="22"/>
          <w:lang w:val="en-US"/>
        </w:rPr>
        <w:t xml:space="preserve"> </w:t>
      </w:r>
      <w:r w:rsidRPr="00405934">
        <w:rPr>
          <w:rFonts w:ascii="Corbel" w:hAnsi="Corbel"/>
          <w:bCs/>
          <w:iCs/>
          <w:sz w:val="22"/>
          <w:szCs w:val="22"/>
          <w:lang w:val="en-US"/>
        </w:rPr>
        <w:t>Commissioner’s mission letter</w:t>
      </w:r>
      <w:r w:rsidRPr="00405934">
        <w:rPr>
          <w:rFonts w:ascii="Corbel" w:hAnsi="Corbel"/>
          <w:b/>
          <w:bCs/>
          <w:iCs/>
          <w:sz w:val="22"/>
          <w:szCs w:val="22"/>
          <w:lang w:val="en-US"/>
        </w:rPr>
        <w:t xml:space="preserve"> </w:t>
      </w:r>
      <w:r w:rsidRPr="00405934">
        <w:rPr>
          <w:rFonts w:ascii="Corbel" w:hAnsi="Corbel"/>
          <w:bCs/>
          <w:iCs/>
          <w:sz w:val="22"/>
          <w:szCs w:val="22"/>
          <w:lang w:val="en-US"/>
        </w:rPr>
        <w:t xml:space="preserve">spells out the specific goals he/she will be responsible to contribute to the achievement of the political guidelines. </w:t>
      </w:r>
      <w:r w:rsidR="00405934">
        <w:rPr>
          <w:rFonts w:ascii="Corbel" w:hAnsi="Corbel"/>
          <w:bCs/>
          <w:iCs/>
          <w:sz w:val="22"/>
          <w:szCs w:val="22"/>
          <w:lang w:val="en-US"/>
        </w:rPr>
        <w:t>Table 6</w:t>
      </w:r>
      <w:r w:rsidRPr="00405934">
        <w:rPr>
          <w:rFonts w:ascii="Corbel" w:hAnsi="Corbel"/>
          <w:bCs/>
          <w:iCs/>
          <w:sz w:val="22"/>
          <w:szCs w:val="22"/>
          <w:lang w:val="en-US"/>
        </w:rPr>
        <w:t xml:space="preserve"> </w:t>
      </w:r>
      <w:r w:rsidR="00405934" w:rsidRPr="00405934">
        <w:rPr>
          <w:rFonts w:ascii="Corbel" w:hAnsi="Corbel"/>
          <w:bCs/>
          <w:iCs/>
          <w:sz w:val="22"/>
          <w:szCs w:val="22"/>
          <w:lang w:val="en-US"/>
        </w:rPr>
        <w:t>compar</w:t>
      </w:r>
      <w:r w:rsidR="00405934">
        <w:rPr>
          <w:rFonts w:ascii="Corbel" w:hAnsi="Corbel"/>
          <w:bCs/>
          <w:iCs/>
          <w:sz w:val="22"/>
          <w:szCs w:val="22"/>
          <w:lang w:val="en-US"/>
        </w:rPr>
        <w:t>es</w:t>
      </w:r>
      <w:r w:rsidRPr="00405934">
        <w:rPr>
          <w:rFonts w:ascii="Corbel" w:hAnsi="Corbel"/>
          <w:bCs/>
          <w:iCs/>
          <w:sz w:val="22"/>
          <w:szCs w:val="22"/>
          <w:lang w:val="en-US"/>
        </w:rPr>
        <w:t xml:space="preserve"> the political priorities set by the Presidents of the European Commission since 2000. </w:t>
      </w:r>
    </w:p>
    <w:p w14:paraId="0518B033" w14:textId="77777777" w:rsidR="00A71A07" w:rsidRPr="009722B3" w:rsidRDefault="00A71A07" w:rsidP="002F71BC">
      <w:pPr>
        <w:jc w:val="both"/>
        <w:rPr>
          <w:rFonts w:ascii="Corbel" w:hAnsi="Corbel"/>
          <w:bCs/>
          <w:iCs/>
          <w:lang w:val="en-US"/>
        </w:rPr>
      </w:pPr>
    </w:p>
    <w:p w14:paraId="45634F5C" w14:textId="2EE34AFE" w:rsidR="00341E6C" w:rsidRPr="00405934" w:rsidRDefault="00F63E83" w:rsidP="00405934">
      <w:pPr>
        <w:pStyle w:val="Didascalia"/>
        <w:jc w:val="both"/>
        <w:rPr>
          <w:rFonts w:ascii="Corbel" w:hAnsi="Corbel"/>
          <w:b/>
          <w:bCs/>
          <w:lang w:val="en-US"/>
        </w:rPr>
      </w:pPr>
      <w:r w:rsidRPr="00405934">
        <w:rPr>
          <w:rFonts w:ascii="Corbel" w:hAnsi="Corbel"/>
          <w:b/>
          <w:bCs/>
          <w:lang w:val="en-US"/>
        </w:rPr>
        <w:lastRenderedPageBreak/>
        <w:t xml:space="preserve">Table </w:t>
      </w:r>
      <w:r w:rsidR="007A2A1F" w:rsidRPr="00405934">
        <w:rPr>
          <w:rFonts w:ascii="Corbel" w:hAnsi="Corbel"/>
          <w:b/>
          <w:bCs/>
          <w:lang w:val="en-US"/>
        </w:rPr>
        <w:t>6</w:t>
      </w:r>
      <w:r w:rsidR="00405934" w:rsidRPr="00405934">
        <w:rPr>
          <w:rFonts w:ascii="Corbel" w:hAnsi="Corbel"/>
          <w:b/>
          <w:bCs/>
          <w:lang w:val="en-US"/>
        </w:rPr>
        <w:t xml:space="preserve"> </w:t>
      </w:r>
      <w:r w:rsidRPr="00405934">
        <w:rPr>
          <w:rFonts w:ascii="Corbel" w:hAnsi="Corbel"/>
          <w:b/>
          <w:bCs/>
          <w:lang w:val="en-US"/>
        </w:rPr>
        <w:t xml:space="preserve">– the </w:t>
      </w:r>
      <w:r w:rsidR="007A2A1F" w:rsidRPr="00405934">
        <w:rPr>
          <w:rFonts w:ascii="Corbel" w:hAnsi="Corbel"/>
          <w:b/>
          <w:bCs/>
          <w:lang w:val="en-US"/>
        </w:rPr>
        <w:t xml:space="preserve">European </w:t>
      </w:r>
      <w:r w:rsidRPr="00405934">
        <w:rPr>
          <w:rFonts w:ascii="Corbel" w:hAnsi="Corbel"/>
          <w:b/>
          <w:bCs/>
          <w:lang w:val="en-US"/>
        </w:rPr>
        <w:t>Commission priorities</w:t>
      </w:r>
      <w:r w:rsidR="007A2A1F" w:rsidRPr="00405934">
        <w:rPr>
          <w:rFonts w:ascii="Corbel" w:hAnsi="Corbel"/>
          <w:b/>
          <w:bCs/>
          <w:lang w:val="en-US"/>
        </w:rPr>
        <w:t>: an overview</w:t>
      </w:r>
    </w:p>
    <w:tbl>
      <w:tblPr>
        <w:tblStyle w:val="Grigliatabella"/>
        <w:tblW w:w="0" w:type="auto"/>
        <w:jc w:val="center"/>
        <w:tblLook w:val="01E0" w:firstRow="1" w:lastRow="1" w:firstColumn="1" w:lastColumn="1" w:noHBand="0" w:noVBand="0"/>
      </w:tblPr>
      <w:tblGrid>
        <w:gridCol w:w="1762"/>
        <w:gridCol w:w="1645"/>
        <w:gridCol w:w="2027"/>
        <w:gridCol w:w="1922"/>
        <w:gridCol w:w="2266"/>
      </w:tblGrid>
      <w:tr w:rsidR="00BC385E" w:rsidRPr="009722B3" w14:paraId="118C386C" w14:textId="77777777" w:rsidTr="004E0046">
        <w:trPr>
          <w:trHeight w:val="221"/>
          <w:jc w:val="center"/>
        </w:trPr>
        <w:tc>
          <w:tcPr>
            <w:tcW w:w="3407" w:type="dxa"/>
            <w:gridSpan w:val="2"/>
          </w:tcPr>
          <w:p w14:paraId="41BA344B" w14:textId="77777777" w:rsidR="00BC385E" w:rsidRPr="009722B3" w:rsidRDefault="00BC385E" w:rsidP="002F71BC">
            <w:pPr>
              <w:jc w:val="center"/>
              <w:rPr>
                <w:rFonts w:ascii="Corbel" w:hAnsi="Corbel"/>
                <w:b/>
                <w:bCs/>
                <w:i/>
                <w:iCs/>
                <w:sz w:val="18"/>
                <w:szCs w:val="18"/>
                <w:lang w:val="en-US"/>
              </w:rPr>
            </w:pPr>
            <w:r w:rsidRPr="009722B3">
              <w:rPr>
                <w:rFonts w:ascii="Corbel" w:hAnsi="Corbel"/>
                <w:bCs/>
                <w:i/>
                <w:iCs/>
                <w:sz w:val="18"/>
                <w:szCs w:val="18"/>
                <w:lang w:val="en-US"/>
              </w:rPr>
              <w:t>Lisbon Strategy (2000 – 2010)</w:t>
            </w:r>
          </w:p>
        </w:tc>
        <w:tc>
          <w:tcPr>
            <w:tcW w:w="3949" w:type="dxa"/>
            <w:gridSpan w:val="2"/>
          </w:tcPr>
          <w:p w14:paraId="1F75068D" w14:textId="77777777" w:rsidR="00BC385E" w:rsidRPr="009722B3" w:rsidRDefault="00BC385E" w:rsidP="002F71BC">
            <w:pPr>
              <w:jc w:val="center"/>
              <w:rPr>
                <w:rFonts w:ascii="Corbel" w:hAnsi="Corbel"/>
                <w:b/>
                <w:bCs/>
                <w:i/>
                <w:iCs/>
                <w:sz w:val="18"/>
                <w:szCs w:val="18"/>
                <w:lang w:val="en-US"/>
              </w:rPr>
            </w:pPr>
            <w:r w:rsidRPr="009722B3">
              <w:rPr>
                <w:rFonts w:ascii="Corbel" w:hAnsi="Corbel"/>
                <w:bCs/>
                <w:i/>
                <w:iCs/>
                <w:sz w:val="18"/>
                <w:szCs w:val="18"/>
                <w:lang w:val="en-US"/>
              </w:rPr>
              <w:t>Europe 2020 Strategy (2010 – 2020)</w:t>
            </w:r>
          </w:p>
        </w:tc>
        <w:tc>
          <w:tcPr>
            <w:tcW w:w="2266" w:type="dxa"/>
          </w:tcPr>
          <w:p w14:paraId="678918E0" w14:textId="77777777" w:rsidR="00BC385E" w:rsidRPr="009722B3" w:rsidRDefault="00BC385E" w:rsidP="002F71BC">
            <w:pPr>
              <w:jc w:val="center"/>
              <w:rPr>
                <w:rFonts w:ascii="Corbel" w:hAnsi="Corbel"/>
                <w:bCs/>
                <w:i/>
                <w:iCs/>
                <w:sz w:val="18"/>
                <w:szCs w:val="18"/>
                <w:lang w:val="en-US"/>
              </w:rPr>
            </w:pPr>
            <w:r w:rsidRPr="009722B3">
              <w:rPr>
                <w:rFonts w:ascii="Corbel" w:hAnsi="Corbel"/>
                <w:bCs/>
                <w:i/>
                <w:iCs/>
                <w:sz w:val="18"/>
                <w:szCs w:val="18"/>
                <w:lang w:val="en-US"/>
              </w:rPr>
              <w:t>(</w:t>
            </w:r>
            <w:proofErr w:type="gramStart"/>
            <w:r w:rsidRPr="009722B3">
              <w:rPr>
                <w:rFonts w:ascii="Corbel" w:hAnsi="Corbel"/>
                <w:bCs/>
                <w:i/>
                <w:iCs/>
                <w:sz w:val="18"/>
                <w:szCs w:val="18"/>
                <w:lang w:val="en-US"/>
              </w:rPr>
              <w:t>no</w:t>
            </w:r>
            <w:proofErr w:type="gramEnd"/>
            <w:r w:rsidRPr="009722B3">
              <w:rPr>
                <w:rFonts w:ascii="Corbel" w:hAnsi="Corbel"/>
                <w:bCs/>
                <w:i/>
                <w:iCs/>
                <w:sz w:val="18"/>
                <w:szCs w:val="18"/>
                <w:lang w:val="en-US"/>
              </w:rPr>
              <w:t xml:space="preserve"> strategy)</w:t>
            </w:r>
          </w:p>
        </w:tc>
      </w:tr>
      <w:tr w:rsidR="00BC385E" w:rsidRPr="009722B3" w14:paraId="2ED2EEE3" w14:textId="77777777" w:rsidTr="004E0046">
        <w:trPr>
          <w:trHeight w:val="765"/>
          <w:jc w:val="center"/>
        </w:trPr>
        <w:tc>
          <w:tcPr>
            <w:tcW w:w="1762" w:type="dxa"/>
          </w:tcPr>
          <w:p w14:paraId="4B5D420D" w14:textId="77777777" w:rsidR="00BC385E" w:rsidRPr="009722B3" w:rsidRDefault="00BC385E" w:rsidP="002F71BC">
            <w:pPr>
              <w:jc w:val="center"/>
              <w:rPr>
                <w:rFonts w:ascii="Corbel" w:hAnsi="Corbel"/>
                <w:b/>
                <w:bCs/>
                <w:i/>
                <w:iCs/>
                <w:sz w:val="18"/>
                <w:szCs w:val="18"/>
                <w:lang w:val="en-US"/>
              </w:rPr>
            </w:pPr>
            <w:r w:rsidRPr="009722B3">
              <w:rPr>
                <w:rFonts w:ascii="Corbel" w:hAnsi="Corbel"/>
                <w:b/>
                <w:bCs/>
                <w:i/>
                <w:iCs/>
                <w:sz w:val="18"/>
                <w:szCs w:val="18"/>
                <w:lang w:val="en-US"/>
              </w:rPr>
              <w:t>2000-2004</w:t>
            </w:r>
          </w:p>
          <w:p w14:paraId="53BBDD1D" w14:textId="77777777" w:rsidR="00BC385E" w:rsidRPr="009722B3" w:rsidRDefault="00BC385E" w:rsidP="002F71BC">
            <w:pPr>
              <w:jc w:val="center"/>
              <w:rPr>
                <w:rFonts w:ascii="Corbel" w:hAnsi="Corbel"/>
                <w:b/>
                <w:bCs/>
                <w:i/>
                <w:iCs/>
                <w:sz w:val="18"/>
                <w:szCs w:val="18"/>
                <w:lang w:val="en-US"/>
              </w:rPr>
            </w:pPr>
            <w:r w:rsidRPr="009722B3">
              <w:rPr>
                <w:rFonts w:ascii="Corbel" w:hAnsi="Corbel"/>
                <w:b/>
                <w:bCs/>
                <w:i/>
                <w:iCs/>
                <w:sz w:val="18"/>
                <w:szCs w:val="18"/>
                <w:lang w:val="en-US"/>
              </w:rPr>
              <w:t>Shaping a new Europe</w:t>
            </w:r>
          </w:p>
          <w:p w14:paraId="691E8D0E" w14:textId="77777777" w:rsidR="00BC385E" w:rsidRPr="009722B3" w:rsidRDefault="00BC385E" w:rsidP="002F71BC">
            <w:pPr>
              <w:jc w:val="center"/>
              <w:rPr>
                <w:rFonts w:ascii="Corbel" w:hAnsi="Corbel"/>
                <w:b/>
                <w:bCs/>
                <w:i/>
                <w:iCs/>
                <w:sz w:val="18"/>
                <w:szCs w:val="18"/>
                <w:lang w:val="en-US"/>
              </w:rPr>
            </w:pPr>
            <w:r w:rsidRPr="009722B3">
              <w:rPr>
                <w:rFonts w:ascii="Corbel" w:hAnsi="Corbel"/>
                <w:b/>
                <w:bCs/>
                <w:i/>
                <w:iCs/>
                <w:sz w:val="18"/>
                <w:szCs w:val="18"/>
                <w:lang w:val="en-US"/>
              </w:rPr>
              <w:t>(Prodi Commission)</w:t>
            </w:r>
            <w:r w:rsidRPr="009722B3">
              <w:rPr>
                <w:rFonts w:ascii="Corbel" w:hAnsi="Corbel"/>
                <w:bCs/>
                <w:iCs/>
                <w:sz w:val="18"/>
                <w:szCs w:val="18"/>
                <w:lang w:val="en-US"/>
              </w:rPr>
              <w:t>.</w:t>
            </w:r>
          </w:p>
          <w:p w14:paraId="54164506" w14:textId="77777777" w:rsidR="00BC385E" w:rsidRPr="009722B3" w:rsidRDefault="00BC385E" w:rsidP="002F71BC">
            <w:pPr>
              <w:jc w:val="both"/>
              <w:rPr>
                <w:rFonts w:ascii="Corbel" w:hAnsi="Corbel"/>
                <w:bCs/>
                <w:i/>
                <w:iCs/>
                <w:sz w:val="18"/>
                <w:szCs w:val="18"/>
                <w:lang w:val="en-US"/>
              </w:rPr>
            </w:pPr>
          </w:p>
          <w:p w14:paraId="7562E971" w14:textId="77777777" w:rsidR="00BC385E" w:rsidRPr="009722B3" w:rsidRDefault="00BC385E" w:rsidP="002F71BC">
            <w:pPr>
              <w:jc w:val="both"/>
              <w:rPr>
                <w:rFonts w:ascii="Corbel" w:hAnsi="Corbel"/>
                <w:bCs/>
                <w:i/>
                <w:iCs/>
                <w:sz w:val="18"/>
                <w:szCs w:val="18"/>
                <w:lang w:val="en-US"/>
              </w:rPr>
            </w:pPr>
          </w:p>
          <w:p w14:paraId="6EA29453" w14:textId="1E1DA11E" w:rsidR="00BC385E" w:rsidRPr="009722B3" w:rsidRDefault="00BC385E" w:rsidP="002F71BC">
            <w:pPr>
              <w:jc w:val="both"/>
              <w:rPr>
                <w:rFonts w:ascii="Corbel" w:hAnsi="Corbel"/>
                <w:bCs/>
                <w:i/>
                <w:iCs/>
                <w:sz w:val="18"/>
                <w:szCs w:val="18"/>
                <w:lang w:val="en-US"/>
              </w:rPr>
            </w:pPr>
            <w:r w:rsidRPr="009722B3">
              <w:rPr>
                <w:rFonts w:ascii="Corbel" w:hAnsi="Corbel"/>
                <w:bCs/>
                <w:i/>
                <w:iCs/>
                <w:sz w:val="18"/>
                <w:szCs w:val="18"/>
                <w:lang w:val="en-US"/>
              </w:rPr>
              <w:t>Five years objectives:</w:t>
            </w:r>
          </w:p>
          <w:p w14:paraId="6E213327" w14:textId="77777777" w:rsidR="00BC385E" w:rsidRPr="009722B3" w:rsidRDefault="00BC385E" w:rsidP="002F71BC">
            <w:pPr>
              <w:numPr>
                <w:ilvl w:val="0"/>
                <w:numId w:val="3"/>
              </w:numPr>
              <w:tabs>
                <w:tab w:val="clear" w:pos="720"/>
                <w:tab w:val="num" w:pos="313"/>
              </w:tabs>
              <w:ind w:left="313" w:hanging="284"/>
              <w:jc w:val="both"/>
              <w:rPr>
                <w:rFonts w:ascii="Corbel" w:hAnsi="Corbel"/>
                <w:bCs/>
                <w:iCs/>
                <w:sz w:val="18"/>
                <w:szCs w:val="18"/>
                <w:lang w:val="en-US"/>
              </w:rPr>
            </w:pPr>
            <w:r w:rsidRPr="009722B3">
              <w:rPr>
                <w:rFonts w:ascii="Corbel" w:hAnsi="Corbel"/>
                <w:bCs/>
                <w:iCs/>
                <w:sz w:val="18"/>
                <w:szCs w:val="18"/>
                <w:lang w:val="en-US"/>
              </w:rPr>
              <w:t>Promoting new forms of governance</w:t>
            </w:r>
          </w:p>
          <w:p w14:paraId="0AB45AE1" w14:textId="77777777" w:rsidR="00BC385E" w:rsidRPr="009722B3" w:rsidRDefault="00BC385E" w:rsidP="002F71BC">
            <w:pPr>
              <w:numPr>
                <w:ilvl w:val="0"/>
                <w:numId w:val="3"/>
              </w:numPr>
              <w:tabs>
                <w:tab w:val="clear" w:pos="720"/>
                <w:tab w:val="num" w:pos="313"/>
              </w:tabs>
              <w:ind w:left="313" w:hanging="284"/>
              <w:jc w:val="both"/>
              <w:rPr>
                <w:rFonts w:ascii="Corbel" w:hAnsi="Corbel"/>
                <w:bCs/>
                <w:iCs/>
                <w:sz w:val="18"/>
                <w:szCs w:val="18"/>
                <w:lang w:val="en-US"/>
              </w:rPr>
            </w:pPr>
            <w:r w:rsidRPr="009722B3">
              <w:rPr>
                <w:rFonts w:ascii="Corbel" w:hAnsi="Corbel"/>
                <w:bCs/>
                <w:iCs/>
                <w:sz w:val="18"/>
                <w:szCs w:val="18"/>
                <w:lang w:val="en-US"/>
              </w:rPr>
              <w:t>A stable Europe with a stronger voice in the world</w:t>
            </w:r>
          </w:p>
          <w:p w14:paraId="440F1905" w14:textId="77777777" w:rsidR="00BC385E" w:rsidRPr="009722B3" w:rsidRDefault="00BC385E" w:rsidP="002F71BC">
            <w:pPr>
              <w:numPr>
                <w:ilvl w:val="0"/>
                <w:numId w:val="3"/>
              </w:numPr>
              <w:tabs>
                <w:tab w:val="clear" w:pos="720"/>
                <w:tab w:val="num" w:pos="313"/>
              </w:tabs>
              <w:ind w:left="313" w:hanging="284"/>
              <w:jc w:val="both"/>
              <w:rPr>
                <w:rFonts w:ascii="Corbel" w:hAnsi="Corbel"/>
                <w:bCs/>
                <w:iCs/>
                <w:sz w:val="18"/>
                <w:szCs w:val="18"/>
                <w:lang w:val="en-US"/>
              </w:rPr>
            </w:pPr>
            <w:r w:rsidRPr="009722B3">
              <w:rPr>
                <w:rFonts w:ascii="Corbel" w:hAnsi="Corbel"/>
                <w:bCs/>
                <w:iCs/>
                <w:sz w:val="18"/>
                <w:szCs w:val="18"/>
                <w:lang w:val="en-US"/>
              </w:rPr>
              <w:t>A new economic and social agenda</w:t>
            </w:r>
          </w:p>
          <w:p w14:paraId="123F9FE6" w14:textId="77777777" w:rsidR="00BC385E" w:rsidRPr="009722B3" w:rsidRDefault="00BC385E" w:rsidP="002F71BC">
            <w:pPr>
              <w:numPr>
                <w:ilvl w:val="0"/>
                <w:numId w:val="3"/>
              </w:numPr>
              <w:tabs>
                <w:tab w:val="clear" w:pos="720"/>
                <w:tab w:val="num" w:pos="313"/>
              </w:tabs>
              <w:ind w:left="454" w:hanging="425"/>
              <w:jc w:val="both"/>
              <w:rPr>
                <w:rFonts w:ascii="Corbel" w:hAnsi="Corbel"/>
                <w:bCs/>
                <w:iCs/>
                <w:sz w:val="18"/>
                <w:szCs w:val="18"/>
                <w:lang w:val="en-US"/>
              </w:rPr>
            </w:pPr>
            <w:r w:rsidRPr="009722B3">
              <w:rPr>
                <w:rFonts w:ascii="Corbel" w:hAnsi="Corbel"/>
                <w:bCs/>
                <w:iCs/>
                <w:sz w:val="18"/>
                <w:szCs w:val="18"/>
                <w:lang w:val="en-US"/>
              </w:rPr>
              <w:t>A better quality of life</w:t>
            </w:r>
          </w:p>
        </w:tc>
        <w:tc>
          <w:tcPr>
            <w:tcW w:w="1645" w:type="dxa"/>
          </w:tcPr>
          <w:p w14:paraId="2DE5EE2F" w14:textId="77777777" w:rsidR="00BC385E" w:rsidRPr="009722B3" w:rsidRDefault="00BC385E" w:rsidP="002F71BC">
            <w:pPr>
              <w:jc w:val="center"/>
              <w:rPr>
                <w:rFonts w:ascii="Corbel" w:hAnsi="Corbel"/>
                <w:b/>
                <w:bCs/>
                <w:i/>
                <w:iCs/>
                <w:sz w:val="18"/>
                <w:szCs w:val="18"/>
                <w:lang w:val="en-US"/>
              </w:rPr>
            </w:pPr>
            <w:r w:rsidRPr="009722B3">
              <w:rPr>
                <w:rFonts w:ascii="Corbel" w:hAnsi="Corbel"/>
                <w:b/>
                <w:bCs/>
                <w:i/>
                <w:iCs/>
                <w:sz w:val="18"/>
                <w:szCs w:val="18"/>
                <w:lang w:val="en-US"/>
              </w:rPr>
              <w:t>2005-2009</w:t>
            </w:r>
          </w:p>
          <w:p w14:paraId="68EF3A51" w14:textId="77777777" w:rsidR="00BC385E" w:rsidRPr="009722B3" w:rsidRDefault="00BC385E" w:rsidP="002F71BC">
            <w:pPr>
              <w:jc w:val="center"/>
              <w:rPr>
                <w:rFonts w:ascii="Corbel" w:hAnsi="Corbel"/>
                <w:b/>
                <w:bCs/>
                <w:i/>
                <w:iCs/>
                <w:sz w:val="18"/>
                <w:szCs w:val="18"/>
                <w:lang w:val="en-US"/>
              </w:rPr>
            </w:pPr>
            <w:r w:rsidRPr="009722B3">
              <w:rPr>
                <w:rFonts w:ascii="Corbel" w:hAnsi="Corbel"/>
                <w:b/>
                <w:bCs/>
                <w:i/>
                <w:iCs/>
                <w:sz w:val="18"/>
                <w:szCs w:val="18"/>
                <w:lang w:val="en-US"/>
              </w:rPr>
              <w:t>A Partnership for</w:t>
            </w:r>
          </w:p>
          <w:p w14:paraId="3C9D2CF0" w14:textId="77777777" w:rsidR="00BC385E" w:rsidRPr="009722B3" w:rsidRDefault="00BC385E" w:rsidP="002F71BC">
            <w:pPr>
              <w:jc w:val="center"/>
              <w:rPr>
                <w:rFonts w:ascii="Corbel" w:hAnsi="Corbel"/>
                <w:b/>
                <w:bCs/>
                <w:i/>
                <w:iCs/>
                <w:sz w:val="18"/>
                <w:szCs w:val="18"/>
                <w:lang w:val="en-US"/>
              </w:rPr>
            </w:pPr>
            <w:r w:rsidRPr="009722B3">
              <w:rPr>
                <w:rFonts w:ascii="Corbel" w:hAnsi="Corbel"/>
                <w:b/>
                <w:bCs/>
                <w:i/>
                <w:iCs/>
                <w:sz w:val="18"/>
                <w:szCs w:val="18"/>
                <w:lang w:val="en-US"/>
              </w:rPr>
              <w:t>European Renewal</w:t>
            </w:r>
          </w:p>
          <w:p w14:paraId="74D1C229" w14:textId="77777777" w:rsidR="00BC385E" w:rsidRPr="009722B3" w:rsidRDefault="00BC385E" w:rsidP="002F71BC">
            <w:pPr>
              <w:jc w:val="center"/>
              <w:rPr>
                <w:rFonts w:ascii="Corbel" w:hAnsi="Corbel"/>
                <w:b/>
                <w:bCs/>
                <w:i/>
                <w:iCs/>
                <w:sz w:val="18"/>
                <w:szCs w:val="18"/>
                <w:lang w:val="en-US"/>
              </w:rPr>
            </w:pPr>
            <w:r w:rsidRPr="009722B3">
              <w:rPr>
                <w:rFonts w:ascii="Corbel" w:hAnsi="Corbel"/>
                <w:b/>
                <w:bCs/>
                <w:i/>
                <w:iCs/>
                <w:sz w:val="18"/>
                <w:szCs w:val="18"/>
                <w:lang w:val="en-US"/>
              </w:rPr>
              <w:t>(Barroso I Commission)</w:t>
            </w:r>
          </w:p>
          <w:p w14:paraId="2E1289F8" w14:textId="77777777" w:rsidR="00BC385E" w:rsidRPr="009722B3" w:rsidRDefault="00BC385E" w:rsidP="002F71BC">
            <w:pPr>
              <w:jc w:val="both"/>
              <w:rPr>
                <w:rFonts w:ascii="Corbel" w:hAnsi="Corbel"/>
                <w:bCs/>
                <w:i/>
                <w:iCs/>
                <w:sz w:val="18"/>
                <w:szCs w:val="18"/>
                <w:lang w:val="en-US"/>
              </w:rPr>
            </w:pPr>
          </w:p>
          <w:p w14:paraId="1843B84D" w14:textId="71BACE8B" w:rsidR="00BC385E" w:rsidRPr="009722B3" w:rsidRDefault="00BC385E" w:rsidP="002F71BC">
            <w:pPr>
              <w:jc w:val="both"/>
              <w:rPr>
                <w:rFonts w:ascii="Corbel" w:hAnsi="Corbel"/>
                <w:bCs/>
                <w:i/>
                <w:iCs/>
                <w:sz w:val="18"/>
                <w:szCs w:val="18"/>
                <w:lang w:val="en-US"/>
              </w:rPr>
            </w:pPr>
            <w:r w:rsidRPr="009722B3">
              <w:rPr>
                <w:rFonts w:ascii="Corbel" w:hAnsi="Corbel"/>
                <w:bCs/>
                <w:i/>
                <w:iCs/>
                <w:sz w:val="18"/>
                <w:szCs w:val="18"/>
                <w:lang w:val="en-US"/>
              </w:rPr>
              <w:t>Five years objectives:</w:t>
            </w:r>
          </w:p>
          <w:p w14:paraId="79022734" w14:textId="77777777" w:rsidR="00BC385E" w:rsidRPr="009722B3" w:rsidRDefault="00BC385E" w:rsidP="002F71BC">
            <w:pPr>
              <w:numPr>
                <w:ilvl w:val="0"/>
                <w:numId w:val="4"/>
              </w:numPr>
              <w:tabs>
                <w:tab w:val="clear" w:pos="720"/>
                <w:tab w:val="num" w:pos="260"/>
              </w:tabs>
              <w:ind w:hanging="720"/>
              <w:jc w:val="both"/>
              <w:rPr>
                <w:rFonts w:ascii="Corbel" w:hAnsi="Corbel"/>
                <w:bCs/>
                <w:iCs/>
                <w:sz w:val="18"/>
                <w:szCs w:val="18"/>
                <w:lang w:val="en-US"/>
              </w:rPr>
            </w:pPr>
            <w:r w:rsidRPr="009722B3">
              <w:rPr>
                <w:rFonts w:ascii="Corbel" w:hAnsi="Corbel"/>
                <w:bCs/>
                <w:iCs/>
                <w:sz w:val="18"/>
                <w:szCs w:val="18"/>
                <w:lang w:val="en-US"/>
              </w:rPr>
              <w:t>Prosperity</w:t>
            </w:r>
          </w:p>
          <w:p w14:paraId="62A6EFCC" w14:textId="77777777" w:rsidR="00BC385E" w:rsidRPr="009722B3" w:rsidRDefault="00BC385E" w:rsidP="002F71BC">
            <w:pPr>
              <w:numPr>
                <w:ilvl w:val="0"/>
                <w:numId w:val="4"/>
              </w:numPr>
              <w:tabs>
                <w:tab w:val="clear" w:pos="720"/>
                <w:tab w:val="num" w:pos="260"/>
              </w:tabs>
              <w:ind w:hanging="720"/>
              <w:jc w:val="both"/>
              <w:rPr>
                <w:rFonts w:ascii="Corbel" w:hAnsi="Corbel"/>
                <w:bCs/>
                <w:iCs/>
                <w:sz w:val="18"/>
                <w:szCs w:val="18"/>
                <w:lang w:val="en-US"/>
              </w:rPr>
            </w:pPr>
            <w:r w:rsidRPr="009722B3">
              <w:rPr>
                <w:rFonts w:ascii="Corbel" w:hAnsi="Corbel"/>
                <w:bCs/>
                <w:iCs/>
                <w:sz w:val="18"/>
                <w:szCs w:val="18"/>
                <w:lang w:val="en-US"/>
              </w:rPr>
              <w:t>Solidarity</w:t>
            </w:r>
          </w:p>
          <w:p w14:paraId="394A5354" w14:textId="77777777" w:rsidR="00BC385E" w:rsidRPr="009722B3" w:rsidRDefault="00BC385E" w:rsidP="002F71BC">
            <w:pPr>
              <w:numPr>
                <w:ilvl w:val="0"/>
                <w:numId w:val="4"/>
              </w:numPr>
              <w:tabs>
                <w:tab w:val="clear" w:pos="720"/>
                <w:tab w:val="num" w:pos="260"/>
              </w:tabs>
              <w:ind w:hanging="720"/>
              <w:jc w:val="both"/>
              <w:rPr>
                <w:rFonts w:ascii="Corbel" w:hAnsi="Corbel"/>
                <w:bCs/>
                <w:iCs/>
                <w:sz w:val="18"/>
                <w:szCs w:val="18"/>
                <w:lang w:val="fr-BE"/>
              </w:rPr>
            </w:pPr>
            <w:r w:rsidRPr="009722B3">
              <w:rPr>
                <w:rFonts w:ascii="Corbel" w:hAnsi="Corbel"/>
                <w:bCs/>
                <w:iCs/>
                <w:sz w:val="18"/>
                <w:szCs w:val="18"/>
                <w:lang w:val="fr-BE"/>
              </w:rPr>
              <w:t>Security</w:t>
            </w:r>
          </w:p>
          <w:p w14:paraId="736B9EC5" w14:textId="77777777" w:rsidR="00BC385E" w:rsidRPr="009722B3" w:rsidRDefault="00BC385E" w:rsidP="002F71BC">
            <w:pPr>
              <w:numPr>
                <w:ilvl w:val="0"/>
                <w:numId w:val="4"/>
              </w:numPr>
              <w:tabs>
                <w:tab w:val="clear" w:pos="720"/>
                <w:tab w:val="num" w:pos="260"/>
              </w:tabs>
              <w:ind w:left="260" w:hanging="260"/>
              <w:jc w:val="both"/>
              <w:rPr>
                <w:rFonts w:ascii="Corbel" w:hAnsi="Corbel"/>
                <w:bCs/>
                <w:iCs/>
                <w:sz w:val="18"/>
                <w:szCs w:val="18"/>
                <w:lang w:val="en-US"/>
              </w:rPr>
            </w:pPr>
            <w:r w:rsidRPr="009722B3">
              <w:rPr>
                <w:rFonts w:ascii="Corbel" w:hAnsi="Corbel"/>
                <w:bCs/>
                <w:iCs/>
                <w:sz w:val="18"/>
                <w:szCs w:val="18"/>
                <w:lang w:val="en-US"/>
              </w:rPr>
              <w:t>Promoting European values in the world</w:t>
            </w:r>
          </w:p>
          <w:p w14:paraId="02B6E2EE" w14:textId="77777777" w:rsidR="00BC385E" w:rsidRPr="009722B3" w:rsidRDefault="00BC385E" w:rsidP="002F71BC">
            <w:pPr>
              <w:numPr>
                <w:ilvl w:val="0"/>
                <w:numId w:val="4"/>
              </w:numPr>
              <w:tabs>
                <w:tab w:val="clear" w:pos="720"/>
                <w:tab w:val="num" w:pos="260"/>
              </w:tabs>
              <w:ind w:left="260" w:hanging="260"/>
              <w:jc w:val="both"/>
              <w:rPr>
                <w:rFonts w:ascii="Corbel" w:hAnsi="Corbel"/>
                <w:bCs/>
                <w:iCs/>
                <w:sz w:val="18"/>
                <w:szCs w:val="18"/>
                <w:lang w:val="en-US"/>
              </w:rPr>
            </w:pPr>
            <w:r w:rsidRPr="009722B3">
              <w:rPr>
                <w:rFonts w:ascii="Corbel" w:hAnsi="Corbel"/>
                <w:bCs/>
                <w:iCs/>
                <w:sz w:val="18"/>
                <w:szCs w:val="18"/>
                <w:lang w:val="en-US"/>
              </w:rPr>
              <w:t>Top priority: growth and jobs</w:t>
            </w:r>
          </w:p>
        </w:tc>
        <w:tc>
          <w:tcPr>
            <w:tcW w:w="2027" w:type="dxa"/>
          </w:tcPr>
          <w:p w14:paraId="3D2C8593" w14:textId="77777777" w:rsidR="00BC385E" w:rsidRPr="009722B3" w:rsidRDefault="00BC385E" w:rsidP="002F71BC">
            <w:pPr>
              <w:jc w:val="center"/>
              <w:rPr>
                <w:rFonts w:ascii="Corbel" w:hAnsi="Corbel"/>
                <w:b/>
                <w:bCs/>
                <w:i/>
                <w:iCs/>
                <w:sz w:val="18"/>
                <w:szCs w:val="18"/>
                <w:lang w:val="en-US"/>
              </w:rPr>
            </w:pPr>
            <w:r w:rsidRPr="009722B3">
              <w:rPr>
                <w:rFonts w:ascii="Corbel" w:hAnsi="Corbel"/>
                <w:b/>
                <w:bCs/>
                <w:i/>
                <w:iCs/>
                <w:sz w:val="18"/>
                <w:szCs w:val="18"/>
                <w:lang w:val="en-US"/>
              </w:rPr>
              <w:t>2010-2014</w:t>
            </w:r>
          </w:p>
          <w:p w14:paraId="700D2C52" w14:textId="77777777" w:rsidR="00BC385E" w:rsidRPr="009722B3" w:rsidRDefault="00BC385E" w:rsidP="002F71BC">
            <w:pPr>
              <w:jc w:val="center"/>
              <w:rPr>
                <w:rFonts w:ascii="Corbel" w:hAnsi="Corbel"/>
                <w:b/>
                <w:bCs/>
                <w:i/>
                <w:iCs/>
                <w:sz w:val="18"/>
                <w:szCs w:val="18"/>
                <w:lang w:val="en-US"/>
              </w:rPr>
            </w:pPr>
            <w:r w:rsidRPr="009722B3">
              <w:rPr>
                <w:rFonts w:ascii="Corbel" w:hAnsi="Corbel"/>
                <w:b/>
                <w:bCs/>
                <w:i/>
                <w:iCs/>
                <w:sz w:val="18"/>
                <w:szCs w:val="18"/>
                <w:lang w:val="en-US"/>
              </w:rPr>
              <w:t>Political Guidelines</w:t>
            </w:r>
          </w:p>
          <w:p w14:paraId="446A476A" w14:textId="77777777" w:rsidR="00BC385E" w:rsidRPr="009722B3" w:rsidRDefault="00BC385E" w:rsidP="002F71BC">
            <w:pPr>
              <w:jc w:val="center"/>
              <w:rPr>
                <w:rFonts w:ascii="Corbel" w:hAnsi="Corbel"/>
                <w:b/>
                <w:bCs/>
                <w:i/>
                <w:iCs/>
                <w:sz w:val="18"/>
                <w:szCs w:val="18"/>
                <w:lang w:val="en-US"/>
              </w:rPr>
            </w:pPr>
            <w:r w:rsidRPr="009722B3">
              <w:rPr>
                <w:rFonts w:ascii="Corbel" w:hAnsi="Corbel"/>
                <w:b/>
                <w:bCs/>
                <w:i/>
                <w:iCs/>
                <w:sz w:val="18"/>
                <w:szCs w:val="18"/>
                <w:lang w:val="en-US"/>
              </w:rPr>
              <w:t>(Barroso II Commission)</w:t>
            </w:r>
          </w:p>
          <w:p w14:paraId="3C4290A3" w14:textId="77777777" w:rsidR="00BC385E" w:rsidRPr="009722B3" w:rsidRDefault="00BC385E" w:rsidP="002F71BC">
            <w:pPr>
              <w:jc w:val="both"/>
              <w:rPr>
                <w:rFonts w:ascii="Corbel" w:hAnsi="Corbel"/>
                <w:bCs/>
                <w:i/>
                <w:iCs/>
                <w:sz w:val="18"/>
                <w:szCs w:val="18"/>
                <w:lang w:val="en-US"/>
              </w:rPr>
            </w:pPr>
          </w:p>
          <w:p w14:paraId="60B3A2F7" w14:textId="77777777" w:rsidR="00BC385E" w:rsidRPr="009722B3" w:rsidRDefault="00BC385E" w:rsidP="002F71BC">
            <w:pPr>
              <w:jc w:val="both"/>
              <w:rPr>
                <w:rFonts w:ascii="Corbel" w:hAnsi="Corbel"/>
                <w:bCs/>
                <w:i/>
                <w:iCs/>
                <w:sz w:val="18"/>
                <w:szCs w:val="18"/>
                <w:lang w:val="en-US"/>
              </w:rPr>
            </w:pPr>
          </w:p>
          <w:p w14:paraId="667FD131" w14:textId="77777777" w:rsidR="00BC385E" w:rsidRPr="009722B3" w:rsidRDefault="00BC385E" w:rsidP="002F71BC">
            <w:pPr>
              <w:jc w:val="both"/>
              <w:rPr>
                <w:rFonts w:ascii="Corbel" w:hAnsi="Corbel"/>
                <w:bCs/>
                <w:i/>
                <w:iCs/>
                <w:sz w:val="18"/>
                <w:szCs w:val="18"/>
                <w:lang w:val="en-US"/>
              </w:rPr>
            </w:pPr>
            <w:r w:rsidRPr="009722B3">
              <w:rPr>
                <w:rFonts w:ascii="Corbel" w:hAnsi="Corbel"/>
                <w:bCs/>
                <w:i/>
                <w:iCs/>
                <w:sz w:val="18"/>
                <w:szCs w:val="18"/>
                <w:lang w:val="en-US"/>
              </w:rPr>
              <w:t xml:space="preserve">Five key challenges </w:t>
            </w:r>
          </w:p>
          <w:p w14:paraId="5089417B" w14:textId="77777777" w:rsidR="00BC385E" w:rsidRPr="009722B3" w:rsidRDefault="00BC385E" w:rsidP="002F71BC">
            <w:pPr>
              <w:pStyle w:val="Paragrafoelenco"/>
              <w:numPr>
                <w:ilvl w:val="0"/>
                <w:numId w:val="5"/>
              </w:numPr>
              <w:spacing w:after="0" w:line="240" w:lineRule="auto"/>
              <w:ind w:left="273" w:hanging="283"/>
              <w:jc w:val="both"/>
              <w:rPr>
                <w:rFonts w:ascii="Corbel" w:hAnsi="Corbel"/>
                <w:bCs/>
                <w:iCs/>
                <w:sz w:val="18"/>
                <w:szCs w:val="18"/>
                <w:lang w:val="en-US"/>
              </w:rPr>
            </w:pPr>
            <w:r w:rsidRPr="009722B3">
              <w:rPr>
                <w:rFonts w:ascii="Corbel" w:hAnsi="Corbel"/>
                <w:bCs/>
                <w:iCs/>
                <w:sz w:val="18"/>
                <w:szCs w:val="18"/>
                <w:lang w:val="en-US"/>
              </w:rPr>
              <w:t>Restarting economic growth today and ensuring long-term sustainability and competitiveness for the future</w:t>
            </w:r>
          </w:p>
          <w:p w14:paraId="3CA1EF1D" w14:textId="77777777" w:rsidR="00BC385E" w:rsidRPr="009722B3" w:rsidRDefault="00BC385E" w:rsidP="002F71BC">
            <w:pPr>
              <w:pStyle w:val="Paragrafoelenco"/>
              <w:numPr>
                <w:ilvl w:val="0"/>
                <w:numId w:val="5"/>
              </w:numPr>
              <w:spacing w:after="0" w:line="240" w:lineRule="auto"/>
              <w:ind w:left="273" w:hanging="283"/>
              <w:jc w:val="both"/>
              <w:rPr>
                <w:rFonts w:ascii="Corbel" w:hAnsi="Corbel"/>
                <w:bCs/>
                <w:iCs/>
                <w:sz w:val="18"/>
                <w:szCs w:val="18"/>
                <w:lang w:val="en-US"/>
              </w:rPr>
            </w:pPr>
            <w:r w:rsidRPr="009722B3">
              <w:rPr>
                <w:rFonts w:ascii="Corbel" w:hAnsi="Corbel"/>
                <w:bCs/>
                <w:iCs/>
                <w:sz w:val="18"/>
                <w:szCs w:val="18"/>
                <w:lang w:val="en-US"/>
              </w:rPr>
              <w:t xml:space="preserve"> Fighting unemployment and reinforcing our social cohesion</w:t>
            </w:r>
          </w:p>
          <w:p w14:paraId="2B5F06CD" w14:textId="77777777" w:rsidR="00BC385E" w:rsidRPr="009722B3" w:rsidRDefault="00BC385E" w:rsidP="002F71BC">
            <w:pPr>
              <w:pStyle w:val="Paragrafoelenco"/>
              <w:numPr>
                <w:ilvl w:val="0"/>
                <w:numId w:val="5"/>
              </w:numPr>
              <w:spacing w:after="0" w:line="240" w:lineRule="auto"/>
              <w:ind w:left="273" w:hanging="283"/>
              <w:jc w:val="both"/>
              <w:rPr>
                <w:rFonts w:ascii="Corbel" w:hAnsi="Corbel"/>
                <w:bCs/>
                <w:iCs/>
                <w:sz w:val="18"/>
                <w:szCs w:val="18"/>
                <w:lang w:val="en-US"/>
              </w:rPr>
            </w:pPr>
            <w:r w:rsidRPr="009722B3">
              <w:rPr>
                <w:rFonts w:ascii="Corbel" w:hAnsi="Corbel"/>
                <w:bCs/>
                <w:iCs/>
                <w:sz w:val="18"/>
                <w:szCs w:val="18"/>
                <w:lang w:val="en-US"/>
              </w:rPr>
              <w:t>Turning the challenge of a sustainable Europe to our competitive advantage.</w:t>
            </w:r>
          </w:p>
          <w:p w14:paraId="7794A316" w14:textId="77777777" w:rsidR="00BC385E" w:rsidRPr="009722B3" w:rsidRDefault="00BC385E" w:rsidP="002F71BC">
            <w:pPr>
              <w:pStyle w:val="Paragrafoelenco"/>
              <w:numPr>
                <w:ilvl w:val="0"/>
                <w:numId w:val="5"/>
              </w:numPr>
              <w:spacing w:after="0" w:line="240" w:lineRule="auto"/>
              <w:ind w:left="273" w:hanging="283"/>
              <w:jc w:val="both"/>
              <w:rPr>
                <w:rFonts w:ascii="Corbel" w:hAnsi="Corbel"/>
                <w:bCs/>
                <w:iCs/>
                <w:sz w:val="18"/>
                <w:szCs w:val="18"/>
                <w:lang w:val="en-US"/>
              </w:rPr>
            </w:pPr>
            <w:r w:rsidRPr="009722B3">
              <w:rPr>
                <w:rFonts w:ascii="Corbel" w:hAnsi="Corbel"/>
                <w:bCs/>
                <w:iCs/>
                <w:sz w:val="18"/>
                <w:szCs w:val="18"/>
                <w:lang w:val="en-US"/>
              </w:rPr>
              <w:t>Ensuring the security of Europeans.</w:t>
            </w:r>
          </w:p>
          <w:p w14:paraId="1C41812D" w14:textId="77777777" w:rsidR="00BC385E" w:rsidRPr="009722B3" w:rsidRDefault="00BC385E" w:rsidP="002F71BC">
            <w:pPr>
              <w:pStyle w:val="Paragrafoelenco"/>
              <w:numPr>
                <w:ilvl w:val="0"/>
                <w:numId w:val="5"/>
              </w:numPr>
              <w:spacing w:after="0" w:line="240" w:lineRule="auto"/>
              <w:ind w:left="273" w:hanging="283"/>
              <w:jc w:val="both"/>
              <w:rPr>
                <w:rFonts w:ascii="Corbel" w:hAnsi="Corbel"/>
                <w:bCs/>
                <w:iCs/>
                <w:sz w:val="18"/>
                <w:szCs w:val="18"/>
                <w:lang w:val="en-US"/>
              </w:rPr>
            </w:pPr>
            <w:r w:rsidRPr="009722B3">
              <w:rPr>
                <w:rFonts w:ascii="Corbel" w:hAnsi="Corbel"/>
                <w:bCs/>
                <w:iCs/>
                <w:sz w:val="18"/>
                <w:szCs w:val="18"/>
                <w:lang w:val="en-US"/>
              </w:rPr>
              <w:t>Reinforcing EU citizenship and participation.</w:t>
            </w:r>
          </w:p>
        </w:tc>
        <w:tc>
          <w:tcPr>
            <w:tcW w:w="1922" w:type="dxa"/>
          </w:tcPr>
          <w:p w14:paraId="18054A55" w14:textId="77777777" w:rsidR="00BC385E" w:rsidRPr="009722B3" w:rsidRDefault="00BC385E" w:rsidP="002F71BC">
            <w:pPr>
              <w:jc w:val="center"/>
              <w:rPr>
                <w:rFonts w:ascii="Corbel" w:hAnsi="Corbel"/>
                <w:b/>
                <w:bCs/>
                <w:i/>
                <w:iCs/>
                <w:sz w:val="18"/>
                <w:szCs w:val="18"/>
                <w:lang w:val="en-US"/>
              </w:rPr>
            </w:pPr>
            <w:r w:rsidRPr="009722B3">
              <w:rPr>
                <w:rFonts w:ascii="Corbel" w:hAnsi="Corbel"/>
                <w:b/>
                <w:bCs/>
                <w:i/>
                <w:iCs/>
                <w:sz w:val="18"/>
                <w:szCs w:val="18"/>
                <w:lang w:val="en-US"/>
              </w:rPr>
              <w:t>2014-2019</w:t>
            </w:r>
          </w:p>
          <w:p w14:paraId="1E014E16" w14:textId="77777777" w:rsidR="00BC385E" w:rsidRPr="009722B3" w:rsidRDefault="00BC385E" w:rsidP="002F71BC">
            <w:pPr>
              <w:jc w:val="center"/>
              <w:rPr>
                <w:rFonts w:ascii="Corbel" w:hAnsi="Corbel"/>
                <w:b/>
                <w:bCs/>
                <w:i/>
                <w:iCs/>
                <w:sz w:val="18"/>
                <w:szCs w:val="18"/>
                <w:lang w:val="en-US"/>
              </w:rPr>
            </w:pPr>
            <w:r w:rsidRPr="009722B3">
              <w:rPr>
                <w:rFonts w:ascii="Corbel" w:hAnsi="Corbel"/>
                <w:b/>
                <w:bCs/>
                <w:i/>
                <w:iCs/>
                <w:sz w:val="18"/>
                <w:szCs w:val="18"/>
                <w:lang w:val="en-US"/>
              </w:rPr>
              <w:t>Political Guidelines</w:t>
            </w:r>
          </w:p>
          <w:p w14:paraId="331D661A" w14:textId="77777777" w:rsidR="00BC385E" w:rsidRPr="009722B3" w:rsidRDefault="00BC385E" w:rsidP="002F71BC">
            <w:pPr>
              <w:jc w:val="center"/>
              <w:rPr>
                <w:rFonts w:ascii="Corbel" w:hAnsi="Corbel"/>
                <w:b/>
                <w:bCs/>
                <w:i/>
                <w:iCs/>
                <w:sz w:val="18"/>
                <w:szCs w:val="18"/>
                <w:lang w:val="en-US"/>
              </w:rPr>
            </w:pPr>
            <w:r w:rsidRPr="009722B3">
              <w:rPr>
                <w:rFonts w:ascii="Corbel" w:hAnsi="Corbel"/>
                <w:b/>
                <w:bCs/>
                <w:i/>
                <w:iCs/>
                <w:sz w:val="18"/>
                <w:szCs w:val="18"/>
                <w:lang w:val="en-US"/>
              </w:rPr>
              <w:t>(Junker Commission</w:t>
            </w:r>
            <w:r w:rsidRPr="009722B3">
              <w:rPr>
                <w:rFonts w:ascii="Corbel" w:hAnsi="Corbel"/>
                <w:i/>
                <w:lang w:val="en-US"/>
              </w:rPr>
              <w:t>)</w:t>
            </w:r>
          </w:p>
          <w:p w14:paraId="09E2D18F" w14:textId="77777777" w:rsidR="00BC385E" w:rsidRPr="009722B3" w:rsidRDefault="00BC385E" w:rsidP="002F71BC">
            <w:pPr>
              <w:jc w:val="both"/>
              <w:rPr>
                <w:rFonts w:ascii="Corbel" w:hAnsi="Corbel"/>
                <w:bCs/>
                <w:i/>
                <w:iCs/>
                <w:sz w:val="18"/>
                <w:szCs w:val="18"/>
                <w:lang w:val="en-US"/>
              </w:rPr>
            </w:pPr>
          </w:p>
          <w:p w14:paraId="5D8E13D1" w14:textId="77777777" w:rsidR="00BC385E" w:rsidRPr="009722B3" w:rsidRDefault="00BC385E" w:rsidP="002F71BC">
            <w:pPr>
              <w:jc w:val="both"/>
              <w:rPr>
                <w:rFonts w:ascii="Corbel" w:hAnsi="Corbel"/>
                <w:bCs/>
                <w:i/>
                <w:iCs/>
                <w:sz w:val="18"/>
                <w:szCs w:val="18"/>
                <w:lang w:val="en-US"/>
              </w:rPr>
            </w:pPr>
          </w:p>
          <w:p w14:paraId="2E9B33F6" w14:textId="77777777" w:rsidR="00BC385E" w:rsidRPr="009722B3" w:rsidRDefault="00BC385E" w:rsidP="002F71BC">
            <w:pPr>
              <w:jc w:val="both"/>
              <w:rPr>
                <w:rFonts w:ascii="Corbel" w:hAnsi="Corbel"/>
                <w:bCs/>
                <w:i/>
                <w:iCs/>
                <w:sz w:val="18"/>
                <w:szCs w:val="18"/>
                <w:lang w:val="en-US"/>
              </w:rPr>
            </w:pPr>
            <w:r w:rsidRPr="009722B3">
              <w:rPr>
                <w:rFonts w:ascii="Corbel" w:hAnsi="Corbel"/>
                <w:bCs/>
                <w:i/>
                <w:iCs/>
                <w:sz w:val="18"/>
                <w:szCs w:val="18"/>
                <w:lang w:val="en-US"/>
              </w:rPr>
              <w:t xml:space="preserve">Ten policy areas </w:t>
            </w:r>
          </w:p>
          <w:p w14:paraId="13252196" w14:textId="77777777" w:rsidR="00BC385E" w:rsidRPr="009722B3" w:rsidRDefault="00BC385E" w:rsidP="002F71BC">
            <w:pPr>
              <w:pStyle w:val="Paragrafoelenco"/>
              <w:numPr>
                <w:ilvl w:val="0"/>
                <w:numId w:val="6"/>
              </w:numPr>
              <w:spacing w:after="0" w:line="240" w:lineRule="auto"/>
              <w:ind w:left="317" w:hanging="283"/>
              <w:rPr>
                <w:rFonts w:ascii="Corbel" w:hAnsi="Corbel"/>
                <w:bCs/>
                <w:iCs/>
                <w:sz w:val="18"/>
                <w:szCs w:val="18"/>
                <w:lang w:val="en-US"/>
              </w:rPr>
            </w:pPr>
            <w:r w:rsidRPr="009722B3">
              <w:rPr>
                <w:rFonts w:ascii="Corbel" w:hAnsi="Corbel"/>
                <w:bCs/>
                <w:iCs/>
                <w:sz w:val="18"/>
                <w:szCs w:val="18"/>
                <w:lang w:val="en-US"/>
              </w:rPr>
              <w:t xml:space="preserve">A New Boost for Jobs, </w:t>
            </w:r>
            <w:proofErr w:type="gramStart"/>
            <w:r w:rsidRPr="009722B3">
              <w:rPr>
                <w:rFonts w:ascii="Corbel" w:hAnsi="Corbel"/>
                <w:bCs/>
                <w:iCs/>
                <w:sz w:val="18"/>
                <w:szCs w:val="18"/>
                <w:lang w:val="en-US"/>
              </w:rPr>
              <w:t>Growth</w:t>
            </w:r>
            <w:proofErr w:type="gramEnd"/>
            <w:r w:rsidRPr="009722B3">
              <w:rPr>
                <w:rFonts w:ascii="Corbel" w:hAnsi="Corbel"/>
                <w:bCs/>
                <w:iCs/>
                <w:sz w:val="18"/>
                <w:szCs w:val="18"/>
                <w:lang w:val="en-US"/>
              </w:rPr>
              <w:t xml:space="preserve"> and Investment</w:t>
            </w:r>
          </w:p>
          <w:p w14:paraId="12863A55" w14:textId="77777777" w:rsidR="00BC385E" w:rsidRPr="009722B3" w:rsidRDefault="00BC385E" w:rsidP="002F71BC">
            <w:pPr>
              <w:pStyle w:val="Paragrafoelenco"/>
              <w:numPr>
                <w:ilvl w:val="0"/>
                <w:numId w:val="6"/>
              </w:numPr>
              <w:spacing w:after="0" w:line="240" w:lineRule="auto"/>
              <w:ind w:left="317" w:hanging="283"/>
              <w:rPr>
                <w:rFonts w:ascii="Corbel" w:hAnsi="Corbel"/>
                <w:bCs/>
                <w:iCs/>
                <w:sz w:val="18"/>
                <w:szCs w:val="18"/>
                <w:lang w:val="en-US"/>
              </w:rPr>
            </w:pPr>
            <w:r w:rsidRPr="009722B3">
              <w:rPr>
                <w:rFonts w:ascii="Corbel" w:hAnsi="Corbel"/>
                <w:bCs/>
                <w:iCs/>
                <w:sz w:val="18"/>
                <w:szCs w:val="18"/>
                <w:lang w:val="en-US"/>
              </w:rPr>
              <w:t>A Connected Digital Single Market</w:t>
            </w:r>
          </w:p>
          <w:p w14:paraId="42788341" w14:textId="77777777" w:rsidR="00BC385E" w:rsidRPr="009722B3" w:rsidRDefault="00BC385E" w:rsidP="002F71BC">
            <w:pPr>
              <w:pStyle w:val="Paragrafoelenco"/>
              <w:numPr>
                <w:ilvl w:val="0"/>
                <w:numId w:val="6"/>
              </w:numPr>
              <w:spacing w:after="0" w:line="240" w:lineRule="auto"/>
              <w:ind w:left="317" w:hanging="283"/>
              <w:rPr>
                <w:rFonts w:ascii="Corbel" w:hAnsi="Corbel"/>
                <w:bCs/>
                <w:iCs/>
                <w:sz w:val="18"/>
                <w:szCs w:val="18"/>
                <w:lang w:val="en-US"/>
              </w:rPr>
            </w:pPr>
            <w:r w:rsidRPr="009722B3">
              <w:rPr>
                <w:rFonts w:ascii="Corbel" w:hAnsi="Corbel"/>
                <w:bCs/>
                <w:iCs/>
                <w:sz w:val="18"/>
                <w:szCs w:val="18"/>
                <w:lang w:val="en-US"/>
              </w:rPr>
              <w:t>A Resilient Energy Union</w:t>
            </w:r>
          </w:p>
          <w:p w14:paraId="24502D2E" w14:textId="77777777" w:rsidR="00BC385E" w:rsidRPr="009722B3" w:rsidRDefault="00BC385E" w:rsidP="002F71BC">
            <w:pPr>
              <w:pStyle w:val="Paragrafoelenco"/>
              <w:numPr>
                <w:ilvl w:val="0"/>
                <w:numId w:val="6"/>
              </w:numPr>
              <w:spacing w:after="0" w:line="240" w:lineRule="auto"/>
              <w:ind w:left="317" w:hanging="283"/>
              <w:rPr>
                <w:rFonts w:ascii="Corbel" w:hAnsi="Corbel"/>
                <w:bCs/>
                <w:iCs/>
                <w:sz w:val="18"/>
                <w:szCs w:val="18"/>
                <w:lang w:val="en-US"/>
              </w:rPr>
            </w:pPr>
            <w:r w:rsidRPr="009722B3">
              <w:rPr>
                <w:rFonts w:ascii="Corbel" w:hAnsi="Corbel"/>
                <w:bCs/>
                <w:iCs/>
                <w:sz w:val="18"/>
                <w:szCs w:val="18"/>
                <w:lang w:val="en-US"/>
              </w:rPr>
              <w:t>A Deeper and Fairer Internal Market</w:t>
            </w:r>
          </w:p>
          <w:p w14:paraId="32E20C03" w14:textId="77777777" w:rsidR="00BC385E" w:rsidRPr="009722B3" w:rsidRDefault="00BC385E" w:rsidP="002F71BC">
            <w:pPr>
              <w:pStyle w:val="Paragrafoelenco"/>
              <w:numPr>
                <w:ilvl w:val="0"/>
                <w:numId w:val="6"/>
              </w:numPr>
              <w:spacing w:after="0" w:line="240" w:lineRule="auto"/>
              <w:ind w:left="317" w:hanging="283"/>
              <w:rPr>
                <w:rFonts w:ascii="Corbel" w:hAnsi="Corbel"/>
                <w:bCs/>
                <w:iCs/>
                <w:sz w:val="18"/>
                <w:szCs w:val="18"/>
                <w:lang w:val="en-US"/>
              </w:rPr>
            </w:pPr>
            <w:r w:rsidRPr="009722B3">
              <w:rPr>
                <w:rFonts w:ascii="Corbel" w:hAnsi="Corbel"/>
                <w:bCs/>
                <w:iCs/>
                <w:sz w:val="18"/>
                <w:szCs w:val="18"/>
                <w:lang w:val="en-US"/>
              </w:rPr>
              <w:t>A Deeper and Fairer Monetary Union</w:t>
            </w:r>
          </w:p>
          <w:p w14:paraId="24F3A1D0" w14:textId="77777777" w:rsidR="00BC385E" w:rsidRPr="009722B3" w:rsidRDefault="00BC385E" w:rsidP="002F71BC">
            <w:pPr>
              <w:pStyle w:val="Paragrafoelenco"/>
              <w:numPr>
                <w:ilvl w:val="0"/>
                <w:numId w:val="6"/>
              </w:numPr>
              <w:spacing w:after="0" w:line="240" w:lineRule="auto"/>
              <w:ind w:left="317" w:hanging="283"/>
              <w:rPr>
                <w:rFonts w:ascii="Corbel" w:hAnsi="Corbel"/>
                <w:bCs/>
                <w:iCs/>
                <w:sz w:val="18"/>
                <w:szCs w:val="18"/>
                <w:lang w:val="en-US"/>
              </w:rPr>
            </w:pPr>
            <w:r w:rsidRPr="009722B3">
              <w:rPr>
                <w:rFonts w:ascii="Corbel" w:hAnsi="Corbel"/>
                <w:bCs/>
                <w:iCs/>
                <w:sz w:val="18"/>
                <w:szCs w:val="18"/>
                <w:lang w:val="en-US"/>
              </w:rPr>
              <w:t>A Reasonable and Balanced FTA with US</w:t>
            </w:r>
          </w:p>
          <w:p w14:paraId="3193706C" w14:textId="77777777" w:rsidR="00BC385E" w:rsidRPr="009722B3" w:rsidRDefault="00BC385E" w:rsidP="002F71BC">
            <w:pPr>
              <w:pStyle w:val="Paragrafoelenco"/>
              <w:numPr>
                <w:ilvl w:val="0"/>
                <w:numId w:val="6"/>
              </w:numPr>
              <w:spacing w:after="0" w:line="240" w:lineRule="auto"/>
              <w:ind w:left="317" w:hanging="283"/>
              <w:rPr>
                <w:rFonts w:ascii="Corbel" w:hAnsi="Corbel"/>
                <w:bCs/>
                <w:iCs/>
                <w:sz w:val="18"/>
                <w:szCs w:val="18"/>
                <w:lang w:val="en-US"/>
              </w:rPr>
            </w:pPr>
            <w:r w:rsidRPr="009722B3">
              <w:rPr>
                <w:rFonts w:ascii="Corbel" w:hAnsi="Corbel"/>
                <w:bCs/>
                <w:iCs/>
                <w:sz w:val="18"/>
                <w:szCs w:val="18"/>
                <w:lang w:val="en-US"/>
              </w:rPr>
              <w:t>An Area of Justice and Fundamental Rights</w:t>
            </w:r>
          </w:p>
          <w:p w14:paraId="004C9A22" w14:textId="77777777" w:rsidR="00BC385E" w:rsidRPr="009722B3" w:rsidRDefault="00BC385E" w:rsidP="002F71BC">
            <w:pPr>
              <w:pStyle w:val="Paragrafoelenco"/>
              <w:numPr>
                <w:ilvl w:val="0"/>
                <w:numId w:val="6"/>
              </w:numPr>
              <w:spacing w:after="0" w:line="240" w:lineRule="auto"/>
              <w:ind w:left="317" w:hanging="283"/>
              <w:rPr>
                <w:rFonts w:ascii="Corbel" w:hAnsi="Corbel"/>
                <w:bCs/>
                <w:iCs/>
                <w:sz w:val="18"/>
                <w:szCs w:val="18"/>
                <w:lang w:val="en-US"/>
              </w:rPr>
            </w:pPr>
            <w:r w:rsidRPr="009722B3">
              <w:rPr>
                <w:rFonts w:ascii="Corbel" w:hAnsi="Corbel"/>
                <w:bCs/>
                <w:iCs/>
                <w:sz w:val="18"/>
                <w:szCs w:val="18"/>
                <w:lang w:val="en-US"/>
              </w:rPr>
              <w:t>Towards a New Policy on Migration</w:t>
            </w:r>
          </w:p>
          <w:p w14:paraId="15C1B4FD" w14:textId="77777777" w:rsidR="00BC385E" w:rsidRPr="009722B3" w:rsidRDefault="00BC385E" w:rsidP="002F71BC">
            <w:pPr>
              <w:pStyle w:val="Paragrafoelenco"/>
              <w:numPr>
                <w:ilvl w:val="0"/>
                <w:numId w:val="6"/>
              </w:numPr>
              <w:spacing w:after="0" w:line="240" w:lineRule="auto"/>
              <w:ind w:left="317" w:hanging="283"/>
              <w:rPr>
                <w:rFonts w:ascii="Corbel" w:hAnsi="Corbel"/>
                <w:bCs/>
                <w:iCs/>
                <w:sz w:val="18"/>
                <w:szCs w:val="18"/>
                <w:lang w:val="en-US"/>
              </w:rPr>
            </w:pPr>
            <w:r w:rsidRPr="009722B3">
              <w:rPr>
                <w:rFonts w:ascii="Corbel" w:hAnsi="Corbel"/>
                <w:bCs/>
                <w:iCs/>
                <w:sz w:val="18"/>
                <w:szCs w:val="18"/>
                <w:lang w:val="en-US"/>
              </w:rPr>
              <w:t>A Stronger Global Actor</w:t>
            </w:r>
          </w:p>
          <w:p w14:paraId="43490EF3" w14:textId="77777777" w:rsidR="00BC385E" w:rsidRPr="009722B3" w:rsidRDefault="00BC385E" w:rsidP="002F71BC">
            <w:pPr>
              <w:pStyle w:val="Paragrafoelenco"/>
              <w:numPr>
                <w:ilvl w:val="0"/>
                <w:numId w:val="6"/>
              </w:numPr>
              <w:spacing w:after="0" w:line="240" w:lineRule="auto"/>
              <w:ind w:left="317" w:hanging="283"/>
              <w:rPr>
                <w:rFonts w:ascii="Corbel" w:hAnsi="Corbel"/>
                <w:bCs/>
                <w:iCs/>
                <w:sz w:val="18"/>
                <w:szCs w:val="18"/>
                <w:lang w:val="en-US"/>
              </w:rPr>
            </w:pPr>
            <w:r w:rsidRPr="009722B3">
              <w:rPr>
                <w:rFonts w:ascii="Corbel" w:hAnsi="Corbel"/>
                <w:bCs/>
                <w:iCs/>
                <w:sz w:val="18"/>
                <w:szCs w:val="18"/>
                <w:lang w:val="en-US"/>
              </w:rPr>
              <w:t xml:space="preserve"> A Union of Democratic Change.</w:t>
            </w:r>
          </w:p>
        </w:tc>
        <w:tc>
          <w:tcPr>
            <w:tcW w:w="2266" w:type="dxa"/>
          </w:tcPr>
          <w:p w14:paraId="64CF5B98" w14:textId="77777777" w:rsidR="00BC385E" w:rsidRPr="009722B3" w:rsidRDefault="00BC385E" w:rsidP="002F71BC">
            <w:pPr>
              <w:jc w:val="center"/>
              <w:rPr>
                <w:rFonts w:ascii="Corbel" w:hAnsi="Corbel"/>
                <w:b/>
                <w:bCs/>
                <w:i/>
                <w:iCs/>
                <w:sz w:val="18"/>
                <w:szCs w:val="18"/>
                <w:lang w:val="en-US"/>
              </w:rPr>
            </w:pPr>
            <w:r w:rsidRPr="009722B3">
              <w:rPr>
                <w:rFonts w:ascii="Corbel" w:hAnsi="Corbel"/>
                <w:b/>
                <w:bCs/>
                <w:i/>
                <w:iCs/>
                <w:sz w:val="18"/>
                <w:szCs w:val="18"/>
                <w:lang w:val="en-US"/>
              </w:rPr>
              <w:t>2019-2024</w:t>
            </w:r>
          </w:p>
          <w:p w14:paraId="01F9C80A" w14:textId="77777777" w:rsidR="00BC385E" w:rsidRPr="009722B3" w:rsidRDefault="00BC385E" w:rsidP="002F71BC">
            <w:pPr>
              <w:jc w:val="center"/>
              <w:rPr>
                <w:rFonts w:ascii="Corbel" w:hAnsi="Corbel"/>
                <w:b/>
                <w:bCs/>
                <w:i/>
                <w:iCs/>
                <w:sz w:val="18"/>
                <w:szCs w:val="18"/>
                <w:lang w:val="en-US"/>
              </w:rPr>
            </w:pPr>
            <w:r w:rsidRPr="009722B3">
              <w:rPr>
                <w:rFonts w:ascii="Corbel" w:hAnsi="Corbel"/>
                <w:b/>
                <w:bCs/>
                <w:i/>
                <w:iCs/>
                <w:sz w:val="18"/>
                <w:szCs w:val="18"/>
                <w:lang w:val="en-US"/>
              </w:rPr>
              <w:t>Political Guidelines</w:t>
            </w:r>
          </w:p>
          <w:p w14:paraId="667BD7BC" w14:textId="77777777" w:rsidR="00BC385E" w:rsidRPr="009722B3" w:rsidRDefault="00BC385E" w:rsidP="002F71BC">
            <w:pPr>
              <w:jc w:val="center"/>
              <w:rPr>
                <w:rFonts w:ascii="Corbel" w:hAnsi="Corbel"/>
                <w:b/>
                <w:bCs/>
                <w:i/>
                <w:iCs/>
                <w:sz w:val="18"/>
                <w:szCs w:val="18"/>
                <w:lang w:val="en-US"/>
              </w:rPr>
            </w:pPr>
            <w:r w:rsidRPr="009722B3">
              <w:rPr>
                <w:rFonts w:ascii="Corbel" w:hAnsi="Corbel"/>
                <w:b/>
                <w:bCs/>
                <w:i/>
                <w:iCs/>
                <w:sz w:val="18"/>
                <w:szCs w:val="18"/>
                <w:lang w:val="en-US"/>
              </w:rPr>
              <w:t>(Van der Layer Commission</w:t>
            </w:r>
            <w:r w:rsidRPr="009722B3">
              <w:rPr>
                <w:rFonts w:ascii="Corbel" w:hAnsi="Corbel"/>
                <w:i/>
                <w:lang w:val="en-US"/>
              </w:rPr>
              <w:t>)</w:t>
            </w:r>
          </w:p>
          <w:p w14:paraId="381038AB" w14:textId="77777777" w:rsidR="00BC385E" w:rsidRPr="009722B3" w:rsidRDefault="00BC385E" w:rsidP="002F71BC">
            <w:pPr>
              <w:jc w:val="both"/>
              <w:rPr>
                <w:rFonts w:ascii="Corbel" w:hAnsi="Corbel"/>
                <w:bCs/>
                <w:i/>
                <w:iCs/>
                <w:sz w:val="18"/>
                <w:szCs w:val="18"/>
                <w:lang w:val="en-US"/>
              </w:rPr>
            </w:pPr>
          </w:p>
          <w:p w14:paraId="615ABBC8" w14:textId="77777777" w:rsidR="00BC385E" w:rsidRPr="009722B3" w:rsidRDefault="00BC385E" w:rsidP="002F71BC">
            <w:pPr>
              <w:jc w:val="both"/>
              <w:rPr>
                <w:rFonts w:ascii="Corbel" w:hAnsi="Corbel"/>
                <w:bCs/>
                <w:i/>
                <w:iCs/>
                <w:sz w:val="18"/>
                <w:szCs w:val="18"/>
                <w:lang w:val="en-US"/>
              </w:rPr>
            </w:pPr>
            <w:r w:rsidRPr="009722B3">
              <w:rPr>
                <w:rFonts w:ascii="Corbel" w:hAnsi="Corbel"/>
                <w:bCs/>
                <w:i/>
                <w:iCs/>
                <w:sz w:val="18"/>
                <w:szCs w:val="18"/>
                <w:lang w:val="en-US"/>
              </w:rPr>
              <w:t xml:space="preserve">Six priorities </w:t>
            </w:r>
          </w:p>
          <w:p w14:paraId="70E2C251" w14:textId="77777777" w:rsidR="00BC385E" w:rsidRPr="009722B3" w:rsidRDefault="00BC385E" w:rsidP="002F71BC">
            <w:pPr>
              <w:pStyle w:val="Paragrafoelenco"/>
              <w:numPr>
                <w:ilvl w:val="0"/>
                <w:numId w:val="31"/>
              </w:numPr>
              <w:spacing w:after="0" w:line="240" w:lineRule="auto"/>
              <w:rPr>
                <w:rFonts w:ascii="Corbel" w:hAnsi="Corbel"/>
                <w:bCs/>
                <w:iCs/>
                <w:sz w:val="18"/>
                <w:szCs w:val="18"/>
                <w:lang w:val="en-US"/>
              </w:rPr>
            </w:pPr>
            <w:r w:rsidRPr="009722B3">
              <w:rPr>
                <w:rFonts w:ascii="Corbel" w:hAnsi="Corbel"/>
                <w:bCs/>
                <w:iCs/>
                <w:sz w:val="18"/>
                <w:szCs w:val="18"/>
                <w:lang w:val="en-US"/>
              </w:rPr>
              <w:t>A European Green Deal</w:t>
            </w:r>
          </w:p>
          <w:p w14:paraId="46459563" w14:textId="77777777" w:rsidR="00BC385E" w:rsidRPr="009722B3" w:rsidRDefault="00BC385E" w:rsidP="002F71BC">
            <w:pPr>
              <w:pStyle w:val="Paragrafoelenco"/>
              <w:numPr>
                <w:ilvl w:val="0"/>
                <w:numId w:val="31"/>
              </w:numPr>
              <w:spacing w:after="0" w:line="240" w:lineRule="auto"/>
              <w:rPr>
                <w:rFonts w:ascii="Corbel" w:hAnsi="Corbel"/>
                <w:bCs/>
                <w:iCs/>
                <w:sz w:val="18"/>
                <w:szCs w:val="18"/>
                <w:lang w:val="en-US"/>
              </w:rPr>
            </w:pPr>
            <w:r w:rsidRPr="009722B3">
              <w:rPr>
                <w:rFonts w:ascii="Corbel" w:hAnsi="Corbel"/>
                <w:bCs/>
                <w:iCs/>
                <w:sz w:val="18"/>
                <w:szCs w:val="18"/>
                <w:lang w:val="en-US"/>
              </w:rPr>
              <w:t>A Europe fit for the Digital Era</w:t>
            </w:r>
          </w:p>
          <w:p w14:paraId="7680C975" w14:textId="77777777" w:rsidR="00BC385E" w:rsidRPr="009722B3" w:rsidRDefault="00BC385E" w:rsidP="002F71BC">
            <w:pPr>
              <w:pStyle w:val="Paragrafoelenco"/>
              <w:numPr>
                <w:ilvl w:val="0"/>
                <w:numId w:val="31"/>
              </w:numPr>
              <w:spacing w:after="0" w:line="240" w:lineRule="auto"/>
              <w:rPr>
                <w:rFonts w:ascii="Corbel" w:hAnsi="Corbel"/>
                <w:bCs/>
                <w:iCs/>
                <w:sz w:val="18"/>
                <w:szCs w:val="18"/>
                <w:lang w:val="en-US"/>
              </w:rPr>
            </w:pPr>
            <w:r w:rsidRPr="009722B3">
              <w:rPr>
                <w:rFonts w:ascii="Corbel" w:hAnsi="Corbel"/>
                <w:bCs/>
                <w:iCs/>
                <w:sz w:val="18"/>
                <w:szCs w:val="18"/>
                <w:lang w:val="en-US"/>
              </w:rPr>
              <w:t>An economy that works for people</w:t>
            </w:r>
          </w:p>
          <w:p w14:paraId="45BD8D2F" w14:textId="77777777" w:rsidR="00BC385E" w:rsidRPr="009722B3" w:rsidRDefault="00BC385E" w:rsidP="002F71BC">
            <w:pPr>
              <w:pStyle w:val="Paragrafoelenco"/>
              <w:numPr>
                <w:ilvl w:val="0"/>
                <w:numId w:val="31"/>
              </w:numPr>
              <w:spacing w:after="0" w:line="240" w:lineRule="auto"/>
              <w:rPr>
                <w:rFonts w:ascii="Corbel" w:hAnsi="Corbel"/>
                <w:bCs/>
                <w:iCs/>
                <w:sz w:val="18"/>
                <w:szCs w:val="18"/>
                <w:lang w:val="en-US"/>
              </w:rPr>
            </w:pPr>
            <w:r w:rsidRPr="009722B3">
              <w:rPr>
                <w:rFonts w:ascii="Corbel" w:hAnsi="Corbel"/>
                <w:bCs/>
                <w:iCs/>
                <w:sz w:val="18"/>
                <w:szCs w:val="18"/>
                <w:lang w:val="en-US"/>
              </w:rPr>
              <w:t>A Stronger Europe in the World</w:t>
            </w:r>
          </w:p>
          <w:p w14:paraId="13DE0B56" w14:textId="77777777" w:rsidR="00BC385E" w:rsidRPr="009722B3" w:rsidRDefault="00BC385E" w:rsidP="002F71BC">
            <w:pPr>
              <w:pStyle w:val="Paragrafoelenco"/>
              <w:numPr>
                <w:ilvl w:val="0"/>
                <w:numId w:val="31"/>
              </w:numPr>
              <w:spacing w:after="0" w:line="240" w:lineRule="auto"/>
              <w:rPr>
                <w:rFonts w:ascii="Corbel" w:hAnsi="Corbel"/>
                <w:bCs/>
                <w:iCs/>
                <w:sz w:val="18"/>
                <w:szCs w:val="18"/>
                <w:lang w:val="en-US"/>
              </w:rPr>
            </w:pPr>
            <w:r w:rsidRPr="009722B3">
              <w:rPr>
                <w:rFonts w:ascii="Corbel" w:hAnsi="Corbel"/>
                <w:bCs/>
                <w:iCs/>
                <w:sz w:val="18"/>
                <w:szCs w:val="18"/>
                <w:lang w:val="en-US"/>
              </w:rPr>
              <w:t>Promoting of our European way of life</w:t>
            </w:r>
          </w:p>
          <w:p w14:paraId="48658BC1" w14:textId="77777777" w:rsidR="00BC385E" w:rsidRPr="009722B3" w:rsidRDefault="00BC385E" w:rsidP="002F71BC">
            <w:pPr>
              <w:ind w:left="360"/>
              <w:rPr>
                <w:rFonts w:ascii="Corbel" w:hAnsi="Corbel"/>
                <w:bCs/>
                <w:iCs/>
                <w:sz w:val="18"/>
                <w:szCs w:val="18"/>
                <w:lang w:val="en-US"/>
              </w:rPr>
            </w:pPr>
          </w:p>
          <w:p w14:paraId="7AAF36B6" w14:textId="77777777" w:rsidR="00BC385E" w:rsidRPr="009722B3" w:rsidRDefault="00BC385E" w:rsidP="002F71BC">
            <w:pPr>
              <w:jc w:val="center"/>
              <w:rPr>
                <w:rFonts w:ascii="Corbel" w:hAnsi="Corbel"/>
                <w:b/>
                <w:bCs/>
                <w:i/>
                <w:iCs/>
                <w:sz w:val="18"/>
                <w:szCs w:val="18"/>
                <w:lang w:val="en-US"/>
              </w:rPr>
            </w:pPr>
          </w:p>
        </w:tc>
      </w:tr>
    </w:tbl>
    <w:p w14:paraId="78488707" w14:textId="77777777" w:rsidR="00757145" w:rsidRPr="009722B3" w:rsidRDefault="00757145" w:rsidP="002F71BC">
      <w:pPr>
        <w:jc w:val="both"/>
        <w:rPr>
          <w:rFonts w:ascii="Corbel" w:hAnsi="Corbel"/>
          <w:bCs/>
          <w:iCs/>
          <w:vertAlign w:val="subscript"/>
          <w:lang w:val="en-US"/>
        </w:rPr>
      </w:pPr>
    </w:p>
    <w:p w14:paraId="49C744C1" w14:textId="780562B6" w:rsidR="00F63E83" w:rsidRPr="009722B3" w:rsidRDefault="001F0825" w:rsidP="002F71BC">
      <w:pPr>
        <w:pStyle w:val="Paragrafoelenco"/>
        <w:numPr>
          <w:ilvl w:val="0"/>
          <w:numId w:val="1"/>
        </w:numPr>
        <w:spacing w:line="240" w:lineRule="auto"/>
        <w:jc w:val="both"/>
        <w:rPr>
          <w:rFonts w:ascii="Corbel" w:hAnsi="Corbel"/>
          <w:i/>
          <w:sz w:val="24"/>
          <w:szCs w:val="24"/>
          <w:lang w:val="en-US"/>
        </w:rPr>
      </w:pPr>
      <w:r w:rsidRPr="009722B3">
        <w:rPr>
          <w:rFonts w:ascii="Corbel" w:hAnsi="Corbel"/>
          <w:i/>
          <w:sz w:val="24"/>
          <w:szCs w:val="24"/>
          <w:lang w:val="en-US"/>
        </w:rPr>
        <w:t xml:space="preserve">(planning) </w:t>
      </w:r>
      <w:r w:rsidR="00F63E83" w:rsidRPr="009722B3">
        <w:rPr>
          <w:rFonts w:ascii="Corbel" w:hAnsi="Corbel"/>
          <w:i/>
          <w:sz w:val="24"/>
          <w:szCs w:val="24"/>
          <w:lang w:val="en-US"/>
        </w:rPr>
        <w:t xml:space="preserve">The State of the Union speech </w:t>
      </w:r>
    </w:p>
    <w:p w14:paraId="4A73C337" w14:textId="75A05F22" w:rsidR="00BC385E" w:rsidRDefault="001E5A91" w:rsidP="002F71BC">
      <w:pPr>
        <w:jc w:val="both"/>
        <w:rPr>
          <w:rFonts w:ascii="Corbel" w:hAnsi="Corbel"/>
          <w:bCs/>
          <w:iCs/>
          <w:sz w:val="22"/>
          <w:szCs w:val="22"/>
          <w:lang w:val="en-US"/>
        </w:rPr>
      </w:pPr>
      <w:r w:rsidRPr="00405934">
        <w:rPr>
          <w:rFonts w:ascii="Corbel" w:hAnsi="Corbel"/>
          <w:bCs/>
          <w:iCs/>
          <w:sz w:val="22"/>
          <w:szCs w:val="22"/>
          <w:lang w:val="en-US"/>
        </w:rPr>
        <w:t xml:space="preserve">The second component is the State of the Union speech held in September (n-1), where the President of the European Commission spells out the political priorities for the year to come in the </w:t>
      </w:r>
      <w:hyperlink r:id="rId12" w:tooltip="European Parliament" w:history="1">
        <w:r w:rsidRPr="00405934">
          <w:rPr>
            <w:rFonts w:ascii="Corbel" w:hAnsi="Corbel"/>
            <w:bCs/>
            <w:iCs/>
            <w:sz w:val="22"/>
            <w:szCs w:val="22"/>
            <w:lang w:val="en-US"/>
          </w:rPr>
          <w:t>European Parliament</w:t>
        </w:r>
      </w:hyperlink>
      <w:r w:rsidRPr="00405934">
        <w:rPr>
          <w:rFonts w:ascii="Corbel" w:hAnsi="Corbel"/>
          <w:bCs/>
          <w:iCs/>
          <w:sz w:val="22"/>
          <w:szCs w:val="22"/>
          <w:lang w:val="en-US"/>
        </w:rPr>
        <w:t xml:space="preserve"> plenary session. The State of the Union speech has been recently introduced by the last Treaty reform in 2009 on the image of the </w:t>
      </w:r>
      <w:hyperlink r:id="rId13" w:tooltip="State of the Union address" w:history="1">
        <w:r w:rsidRPr="00405934">
          <w:rPr>
            <w:rFonts w:ascii="Corbel" w:hAnsi="Corbel"/>
            <w:bCs/>
            <w:iCs/>
            <w:sz w:val="22"/>
            <w:szCs w:val="22"/>
            <w:lang w:val="en-US"/>
          </w:rPr>
          <w:t>USA's State of the Union</w:t>
        </w:r>
      </w:hyperlink>
      <w:r w:rsidRPr="00405934">
        <w:rPr>
          <w:rFonts w:ascii="Corbel" w:hAnsi="Corbel"/>
          <w:bCs/>
          <w:iCs/>
          <w:sz w:val="22"/>
          <w:szCs w:val="22"/>
          <w:lang w:val="en-US"/>
        </w:rPr>
        <w:t xml:space="preserve"> speech, to make political life of the Union more democratic and transparent. In the Union’s speech, the President of the European Commission translates the multiannual political guidelines in annual priorities. These latter are then included in Commission Work Program (CWP), whose adoption is preceded by discussions and negotiations between the European Commission, the European </w:t>
      </w:r>
      <w:proofErr w:type="gramStart"/>
      <w:r w:rsidRPr="00405934">
        <w:rPr>
          <w:rFonts w:ascii="Corbel" w:hAnsi="Corbel"/>
          <w:bCs/>
          <w:iCs/>
          <w:sz w:val="22"/>
          <w:szCs w:val="22"/>
          <w:lang w:val="en-US"/>
        </w:rPr>
        <w:t>Parliament</w:t>
      </w:r>
      <w:proofErr w:type="gramEnd"/>
      <w:r w:rsidRPr="00405934">
        <w:rPr>
          <w:rFonts w:ascii="Corbel" w:hAnsi="Corbel"/>
          <w:bCs/>
          <w:iCs/>
          <w:sz w:val="22"/>
          <w:szCs w:val="22"/>
          <w:lang w:val="en-US"/>
        </w:rPr>
        <w:t xml:space="preserve"> and the EU Council of Ministers. </w:t>
      </w:r>
    </w:p>
    <w:p w14:paraId="246E945D" w14:textId="77777777" w:rsidR="00405934" w:rsidRPr="00405934" w:rsidRDefault="00405934" w:rsidP="002F71BC">
      <w:pPr>
        <w:jc w:val="both"/>
        <w:rPr>
          <w:rFonts w:ascii="Corbel" w:hAnsi="Corbel"/>
          <w:bCs/>
          <w:iCs/>
          <w:sz w:val="22"/>
          <w:szCs w:val="22"/>
          <w:lang w:val="en-US"/>
        </w:rPr>
      </w:pPr>
    </w:p>
    <w:p w14:paraId="6CDBE34D" w14:textId="5E9F3E15" w:rsidR="001E5A91" w:rsidRPr="009722B3" w:rsidRDefault="001F0825" w:rsidP="002F71BC">
      <w:pPr>
        <w:pStyle w:val="Paragrafoelenco"/>
        <w:numPr>
          <w:ilvl w:val="0"/>
          <w:numId w:val="1"/>
        </w:numPr>
        <w:spacing w:line="240" w:lineRule="auto"/>
        <w:jc w:val="both"/>
        <w:rPr>
          <w:rFonts w:ascii="Corbel" w:hAnsi="Corbel"/>
          <w:bCs/>
          <w:i/>
          <w:iCs/>
          <w:sz w:val="24"/>
          <w:szCs w:val="24"/>
          <w:lang w:val="en-US"/>
        </w:rPr>
      </w:pPr>
      <w:r w:rsidRPr="009722B3">
        <w:rPr>
          <w:rFonts w:ascii="Corbel" w:hAnsi="Corbel"/>
          <w:i/>
          <w:sz w:val="24"/>
          <w:szCs w:val="24"/>
          <w:lang w:val="en-US"/>
        </w:rPr>
        <w:t xml:space="preserve">(planning) </w:t>
      </w:r>
      <w:r w:rsidR="001E5A91" w:rsidRPr="009722B3">
        <w:rPr>
          <w:rFonts w:ascii="Corbel" w:hAnsi="Corbel"/>
          <w:bCs/>
          <w:i/>
          <w:iCs/>
          <w:sz w:val="24"/>
          <w:szCs w:val="24"/>
          <w:lang w:val="en-US"/>
        </w:rPr>
        <w:t xml:space="preserve">The </w:t>
      </w:r>
      <w:r w:rsidR="00757145" w:rsidRPr="009722B3">
        <w:rPr>
          <w:rFonts w:ascii="Corbel" w:hAnsi="Corbel"/>
          <w:bCs/>
          <w:i/>
          <w:iCs/>
          <w:sz w:val="24"/>
          <w:szCs w:val="24"/>
          <w:lang w:val="en-US"/>
        </w:rPr>
        <w:t xml:space="preserve">European </w:t>
      </w:r>
      <w:r w:rsidR="001E5A91" w:rsidRPr="009722B3">
        <w:rPr>
          <w:rFonts w:ascii="Corbel" w:hAnsi="Corbel"/>
          <w:bCs/>
          <w:i/>
          <w:iCs/>
          <w:sz w:val="24"/>
          <w:szCs w:val="24"/>
          <w:lang w:val="en-US"/>
        </w:rPr>
        <w:t>Commission Work Program (CWP)</w:t>
      </w:r>
    </w:p>
    <w:p w14:paraId="710CF4FC" w14:textId="485D17CB" w:rsidR="001E5A91" w:rsidRPr="00405934" w:rsidRDefault="001E5A91" w:rsidP="002F71BC">
      <w:pPr>
        <w:jc w:val="both"/>
        <w:rPr>
          <w:rFonts w:ascii="Corbel" w:hAnsi="Corbel"/>
          <w:bCs/>
          <w:iCs/>
          <w:sz w:val="22"/>
          <w:szCs w:val="22"/>
          <w:lang w:val="en-US"/>
        </w:rPr>
      </w:pPr>
      <w:r w:rsidRPr="00405934">
        <w:rPr>
          <w:rFonts w:ascii="Corbel" w:hAnsi="Corbel"/>
          <w:bCs/>
          <w:iCs/>
          <w:sz w:val="22"/>
          <w:szCs w:val="22"/>
          <w:lang w:val="en-US"/>
        </w:rPr>
        <w:t xml:space="preserve">The discussions and negotiations among the EU institutions over the State of the Union speech </w:t>
      </w:r>
      <w:proofErr w:type="gramStart"/>
      <w:r w:rsidRPr="00405934">
        <w:rPr>
          <w:rFonts w:ascii="Corbel" w:hAnsi="Corbel"/>
          <w:bCs/>
          <w:iCs/>
          <w:sz w:val="22"/>
          <w:szCs w:val="22"/>
          <w:lang w:val="en-US"/>
        </w:rPr>
        <w:t>lead</w:t>
      </w:r>
      <w:proofErr w:type="gramEnd"/>
      <w:r w:rsidRPr="00405934">
        <w:rPr>
          <w:rFonts w:ascii="Corbel" w:hAnsi="Corbel"/>
          <w:bCs/>
          <w:iCs/>
          <w:sz w:val="22"/>
          <w:szCs w:val="22"/>
          <w:lang w:val="en-US"/>
        </w:rPr>
        <w:t xml:space="preserve"> to the adoption of the annual </w:t>
      </w:r>
      <w:r w:rsidR="004B3054" w:rsidRPr="00405934">
        <w:rPr>
          <w:rFonts w:ascii="Corbel" w:hAnsi="Corbel"/>
          <w:bCs/>
          <w:iCs/>
          <w:sz w:val="22"/>
          <w:szCs w:val="22"/>
          <w:lang w:val="en-US"/>
        </w:rPr>
        <w:t xml:space="preserve">European </w:t>
      </w:r>
      <w:r w:rsidRPr="00405934">
        <w:rPr>
          <w:rFonts w:ascii="Corbel" w:hAnsi="Corbel"/>
          <w:bCs/>
          <w:iCs/>
          <w:sz w:val="22"/>
          <w:szCs w:val="22"/>
          <w:lang w:val="en-US"/>
        </w:rPr>
        <w:t xml:space="preserve">Commission Work Program (CWP). This latter is a key element of the planning cycle translating the political priorities into the concrete actions the </w:t>
      </w:r>
      <w:r w:rsidR="004B3054" w:rsidRPr="00405934">
        <w:rPr>
          <w:rFonts w:ascii="Corbel" w:hAnsi="Corbel"/>
          <w:bCs/>
          <w:iCs/>
          <w:sz w:val="22"/>
          <w:szCs w:val="22"/>
          <w:lang w:val="en-US"/>
        </w:rPr>
        <w:t xml:space="preserve">European </w:t>
      </w:r>
      <w:r w:rsidRPr="00405934">
        <w:rPr>
          <w:rFonts w:ascii="Corbel" w:hAnsi="Corbel"/>
          <w:bCs/>
          <w:iCs/>
          <w:sz w:val="22"/>
          <w:szCs w:val="22"/>
          <w:lang w:val="en-US"/>
        </w:rPr>
        <w:t xml:space="preserve">Commission commits to carry out in the year to follow. </w:t>
      </w:r>
      <w:r w:rsidR="00BC385E" w:rsidRPr="00405934">
        <w:rPr>
          <w:rFonts w:ascii="Corbel" w:hAnsi="Corbel"/>
          <w:bCs/>
          <w:iCs/>
          <w:sz w:val="22"/>
          <w:szCs w:val="22"/>
          <w:lang w:val="en-US"/>
        </w:rPr>
        <w:t>T</w:t>
      </w:r>
      <w:r w:rsidRPr="00405934">
        <w:rPr>
          <w:rFonts w:ascii="Corbel" w:hAnsi="Corbel"/>
          <w:bCs/>
          <w:iCs/>
          <w:sz w:val="22"/>
          <w:szCs w:val="22"/>
          <w:lang w:val="en-US"/>
        </w:rPr>
        <w:t xml:space="preserve">he CWP contains a list of all legislative and non-legislative acts the European Commission commits to adopt in the implementation year, divided into two parts. </w:t>
      </w:r>
    </w:p>
    <w:p w14:paraId="191F4895" w14:textId="7A410F29" w:rsidR="001E5A91" w:rsidRPr="00405934" w:rsidRDefault="001E5A91" w:rsidP="002F71BC">
      <w:pPr>
        <w:pStyle w:val="Paragrafoelenco"/>
        <w:numPr>
          <w:ilvl w:val="0"/>
          <w:numId w:val="7"/>
        </w:numPr>
        <w:spacing w:line="240" w:lineRule="auto"/>
        <w:jc w:val="both"/>
        <w:rPr>
          <w:rFonts w:ascii="Corbel" w:hAnsi="Corbel"/>
          <w:bCs/>
          <w:iCs/>
          <w:lang w:val="en-US"/>
        </w:rPr>
      </w:pPr>
      <w:r w:rsidRPr="00405934">
        <w:rPr>
          <w:rFonts w:ascii="Corbel" w:hAnsi="Corbel"/>
          <w:bCs/>
          <w:iCs/>
          <w:lang w:val="en-US"/>
        </w:rPr>
        <w:t xml:space="preserve">the first part includes a general description of the main areas and priorities the </w:t>
      </w:r>
      <w:r w:rsidR="004B3054" w:rsidRPr="00405934">
        <w:rPr>
          <w:rFonts w:ascii="Corbel" w:hAnsi="Corbel"/>
          <w:bCs/>
          <w:iCs/>
          <w:lang w:val="en-US"/>
        </w:rPr>
        <w:t xml:space="preserve">European </w:t>
      </w:r>
      <w:r w:rsidRPr="00405934">
        <w:rPr>
          <w:rFonts w:ascii="Corbel" w:hAnsi="Corbel"/>
          <w:bCs/>
          <w:iCs/>
          <w:lang w:val="en-US"/>
        </w:rPr>
        <w:t xml:space="preserve">Commission will take </w:t>
      </w:r>
      <w:proofErr w:type="gramStart"/>
      <w:r w:rsidRPr="00405934">
        <w:rPr>
          <w:rFonts w:ascii="Corbel" w:hAnsi="Corbel"/>
          <w:bCs/>
          <w:iCs/>
          <w:lang w:val="en-US"/>
        </w:rPr>
        <w:t>action;</w:t>
      </w:r>
      <w:proofErr w:type="gramEnd"/>
    </w:p>
    <w:p w14:paraId="6030384B" w14:textId="77777777" w:rsidR="001E5A91" w:rsidRPr="00405934" w:rsidRDefault="001E5A91" w:rsidP="002F71BC">
      <w:pPr>
        <w:pStyle w:val="Paragrafoelenco"/>
        <w:numPr>
          <w:ilvl w:val="0"/>
          <w:numId w:val="7"/>
        </w:numPr>
        <w:spacing w:line="240" w:lineRule="auto"/>
        <w:jc w:val="both"/>
        <w:rPr>
          <w:rFonts w:ascii="Corbel" w:hAnsi="Corbel"/>
          <w:bCs/>
          <w:iCs/>
          <w:lang w:val="en-US"/>
        </w:rPr>
      </w:pPr>
      <w:r w:rsidRPr="00405934">
        <w:rPr>
          <w:rFonts w:ascii="Corbel" w:hAnsi="Corbel"/>
          <w:bCs/>
          <w:iCs/>
          <w:lang w:val="en-US"/>
        </w:rPr>
        <w:t>the second part (annexes) contains:</w:t>
      </w:r>
    </w:p>
    <w:p w14:paraId="34EC8FFB" w14:textId="77777777" w:rsidR="001E5A91" w:rsidRPr="00405934" w:rsidRDefault="001E5A91" w:rsidP="002F71BC">
      <w:pPr>
        <w:pStyle w:val="Paragrafoelenco"/>
        <w:numPr>
          <w:ilvl w:val="1"/>
          <w:numId w:val="7"/>
        </w:numPr>
        <w:spacing w:line="240" w:lineRule="auto"/>
        <w:jc w:val="both"/>
        <w:rPr>
          <w:rFonts w:ascii="Corbel" w:hAnsi="Corbel"/>
          <w:bCs/>
          <w:iCs/>
          <w:lang w:val="en-US"/>
        </w:rPr>
      </w:pPr>
      <w:r w:rsidRPr="00405934">
        <w:rPr>
          <w:rFonts w:ascii="Corbel" w:hAnsi="Corbel"/>
          <w:bCs/>
          <w:iCs/>
          <w:lang w:val="en-US"/>
        </w:rPr>
        <w:lastRenderedPageBreak/>
        <w:t xml:space="preserve"> a list of the “new initiatives” grouped around the main political priorities, and for each a description of the scope and objectives </w:t>
      </w:r>
      <w:proofErr w:type="gramStart"/>
      <w:r w:rsidRPr="00405934">
        <w:rPr>
          <w:rFonts w:ascii="Corbel" w:hAnsi="Corbel"/>
          <w:bCs/>
          <w:iCs/>
          <w:lang w:val="en-US"/>
        </w:rPr>
        <w:t>foreseen;</w:t>
      </w:r>
      <w:proofErr w:type="gramEnd"/>
    </w:p>
    <w:p w14:paraId="725C57E3" w14:textId="77777777" w:rsidR="001E5A91" w:rsidRPr="00405934" w:rsidRDefault="001E5A91" w:rsidP="002F71BC">
      <w:pPr>
        <w:pStyle w:val="Paragrafoelenco"/>
        <w:numPr>
          <w:ilvl w:val="1"/>
          <w:numId w:val="7"/>
        </w:numPr>
        <w:spacing w:line="240" w:lineRule="auto"/>
        <w:jc w:val="both"/>
        <w:rPr>
          <w:rFonts w:ascii="Corbel" w:hAnsi="Corbel"/>
          <w:bCs/>
          <w:iCs/>
          <w:lang w:val="en-US"/>
        </w:rPr>
      </w:pPr>
      <w:r w:rsidRPr="00405934">
        <w:rPr>
          <w:rFonts w:ascii="Corbel" w:hAnsi="Corbel"/>
          <w:bCs/>
          <w:iCs/>
          <w:lang w:val="en-US"/>
        </w:rPr>
        <w:t>a list of “simplification initiatives (REFIT)</w:t>
      </w:r>
      <w:r w:rsidRPr="00405934">
        <w:rPr>
          <w:rStyle w:val="Rimandonotadichiusura"/>
          <w:rFonts w:ascii="Corbel" w:hAnsi="Corbel"/>
          <w:bCs/>
          <w:iCs/>
          <w:lang w:val="en-US"/>
        </w:rPr>
        <w:endnoteReference w:id="15"/>
      </w:r>
      <w:r w:rsidRPr="00405934">
        <w:rPr>
          <w:rFonts w:ascii="Corbel" w:hAnsi="Corbel"/>
          <w:bCs/>
          <w:iCs/>
          <w:lang w:val="en-US"/>
        </w:rPr>
        <w:t xml:space="preserve">” aiming to decrease the complexity of EU law system and reducing the administrative burdens and </w:t>
      </w:r>
      <w:proofErr w:type="gramStart"/>
      <w:r w:rsidRPr="00405934">
        <w:rPr>
          <w:rFonts w:ascii="Corbel" w:hAnsi="Corbel"/>
          <w:bCs/>
          <w:iCs/>
          <w:lang w:val="en-US"/>
        </w:rPr>
        <w:t>costs;</w:t>
      </w:r>
      <w:proofErr w:type="gramEnd"/>
    </w:p>
    <w:p w14:paraId="5BA49926" w14:textId="23523859" w:rsidR="001E5A91" w:rsidRPr="00405934" w:rsidRDefault="001E5A91" w:rsidP="002F71BC">
      <w:pPr>
        <w:pStyle w:val="Paragrafoelenco"/>
        <w:numPr>
          <w:ilvl w:val="1"/>
          <w:numId w:val="7"/>
        </w:numPr>
        <w:spacing w:line="240" w:lineRule="auto"/>
        <w:jc w:val="both"/>
        <w:rPr>
          <w:rFonts w:ascii="Corbel" w:hAnsi="Corbel"/>
          <w:bCs/>
          <w:iCs/>
          <w:lang w:val="en-US"/>
        </w:rPr>
      </w:pPr>
      <w:r w:rsidRPr="00405934">
        <w:rPr>
          <w:rFonts w:ascii="Corbel" w:hAnsi="Corbel"/>
          <w:bCs/>
          <w:iCs/>
          <w:lang w:val="en-US"/>
        </w:rPr>
        <w:t xml:space="preserve">a list of the priority pending proposals still to be adopted included in the </w:t>
      </w:r>
      <w:r w:rsidR="004B3054" w:rsidRPr="00405934">
        <w:rPr>
          <w:rFonts w:ascii="Corbel" w:hAnsi="Corbel"/>
          <w:bCs/>
          <w:iCs/>
          <w:lang w:val="en-US"/>
        </w:rPr>
        <w:t xml:space="preserve">European </w:t>
      </w:r>
      <w:r w:rsidRPr="00405934">
        <w:rPr>
          <w:rFonts w:ascii="Corbel" w:hAnsi="Corbel"/>
          <w:bCs/>
          <w:iCs/>
          <w:lang w:val="en-US"/>
        </w:rPr>
        <w:t>Commission Work Program of the previous years</w:t>
      </w:r>
      <w:r w:rsidRPr="00405934">
        <w:rPr>
          <w:rStyle w:val="Rimandonotadichiusura"/>
          <w:rFonts w:ascii="Corbel" w:hAnsi="Corbel"/>
          <w:bCs/>
          <w:iCs/>
          <w:lang w:val="en-US"/>
        </w:rPr>
        <w:endnoteReference w:id="16"/>
      </w:r>
      <w:r w:rsidRPr="00405934">
        <w:rPr>
          <w:rFonts w:ascii="Corbel" w:hAnsi="Corbel"/>
          <w:bCs/>
          <w:iCs/>
          <w:lang w:val="en-US"/>
        </w:rPr>
        <w:t xml:space="preserve">; </w:t>
      </w:r>
    </w:p>
    <w:p w14:paraId="5494200B" w14:textId="77777777" w:rsidR="001E5A91" w:rsidRPr="00405934" w:rsidRDefault="001E5A91" w:rsidP="002F71BC">
      <w:pPr>
        <w:pStyle w:val="Paragrafoelenco"/>
        <w:numPr>
          <w:ilvl w:val="1"/>
          <w:numId w:val="7"/>
        </w:numPr>
        <w:spacing w:line="240" w:lineRule="auto"/>
        <w:jc w:val="both"/>
        <w:rPr>
          <w:rFonts w:ascii="Corbel" w:hAnsi="Corbel"/>
          <w:bCs/>
          <w:iCs/>
          <w:lang w:val="en-US"/>
        </w:rPr>
      </w:pPr>
      <w:r w:rsidRPr="00405934">
        <w:rPr>
          <w:rFonts w:ascii="Corbel" w:hAnsi="Corbel"/>
          <w:bCs/>
          <w:iCs/>
          <w:lang w:val="en-US"/>
        </w:rPr>
        <w:t xml:space="preserve"> a list of withdrawals or modifications of pending proposals</w:t>
      </w:r>
      <w:r w:rsidRPr="00405934">
        <w:rPr>
          <w:rStyle w:val="Rimandonotadichiusura"/>
          <w:rFonts w:ascii="Corbel" w:hAnsi="Corbel"/>
          <w:bCs/>
          <w:iCs/>
          <w:lang w:val="en-US"/>
        </w:rPr>
        <w:endnoteReference w:id="17"/>
      </w:r>
      <w:r w:rsidRPr="00405934">
        <w:rPr>
          <w:rFonts w:ascii="Corbel" w:hAnsi="Corbel"/>
          <w:bCs/>
          <w:iCs/>
          <w:lang w:val="en-US"/>
        </w:rPr>
        <w:t xml:space="preserve">. </w:t>
      </w:r>
    </w:p>
    <w:p w14:paraId="71402FC1" w14:textId="000FA8D5" w:rsidR="00A31036" w:rsidRPr="009722B3" w:rsidRDefault="001E5A91" w:rsidP="002F71BC">
      <w:pPr>
        <w:jc w:val="both"/>
        <w:rPr>
          <w:rFonts w:ascii="Corbel" w:hAnsi="Corbel"/>
          <w:bCs/>
          <w:iCs/>
          <w:lang w:val="en-US"/>
        </w:rPr>
      </w:pPr>
      <w:r w:rsidRPr="00405934">
        <w:rPr>
          <w:rFonts w:ascii="Corbel" w:hAnsi="Corbel"/>
          <w:bCs/>
          <w:iCs/>
          <w:sz w:val="22"/>
          <w:szCs w:val="22"/>
          <w:lang w:val="en-US"/>
        </w:rPr>
        <w:t>The structure of the CWP is oriented to highlight the core initiatives the European Commission committed to achieve in the short term and their link to the long-term priorities</w:t>
      </w:r>
      <w:r w:rsidRPr="00405934">
        <w:rPr>
          <w:rStyle w:val="Rimandonotadichiusura"/>
          <w:rFonts w:ascii="Corbel" w:hAnsi="Corbel"/>
          <w:bCs/>
          <w:iCs/>
          <w:sz w:val="22"/>
          <w:szCs w:val="22"/>
          <w:lang w:val="en-US"/>
        </w:rPr>
        <w:endnoteReference w:id="18"/>
      </w:r>
      <w:r w:rsidRPr="00405934">
        <w:rPr>
          <w:rFonts w:ascii="Corbel" w:hAnsi="Corbel"/>
          <w:bCs/>
          <w:iCs/>
          <w:sz w:val="22"/>
          <w:szCs w:val="22"/>
          <w:lang w:val="en-US"/>
        </w:rPr>
        <w:t xml:space="preserve">. </w:t>
      </w:r>
      <w:r w:rsidR="00BC385E" w:rsidRPr="00405934">
        <w:rPr>
          <w:rFonts w:ascii="Corbel" w:hAnsi="Corbel"/>
          <w:bCs/>
          <w:iCs/>
          <w:sz w:val="22"/>
          <w:szCs w:val="22"/>
          <w:lang w:val="en-US"/>
        </w:rPr>
        <w:t>At</w:t>
      </w:r>
      <w:r w:rsidRPr="00405934">
        <w:rPr>
          <w:rFonts w:ascii="Corbel" w:hAnsi="Corbel"/>
          <w:bCs/>
          <w:iCs/>
          <w:sz w:val="22"/>
          <w:szCs w:val="22"/>
          <w:lang w:val="en-US"/>
        </w:rPr>
        <w:t xml:space="preserve"> the same time, it is also an important political, </w:t>
      </w:r>
      <w:r w:rsidR="00BC385E" w:rsidRPr="00405934">
        <w:rPr>
          <w:rFonts w:ascii="Corbel" w:hAnsi="Corbel"/>
          <w:bCs/>
          <w:iCs/>
          <w:sz w:val="22"/>
          <w:szCs w:val="22"/>
          <w:lang w:val="en-US"/>
        </w:rPr>
        <w:t>technical,</w:t>
      </w:r>
      <w:r w:rsidRPr="00405934">
        <w:rPr>
          <w:rFonts w:ascii="Corbel" w:hAnsi="Corbel"/>
          <w:bCs/>
          <w:iCs/>
          <w:sz w:val="22"/>
          <w:szCs w:val="22"/>
          <w:lang w:val="en-US"/>
        </w:rPr>
        <w:t xml:space="preserve"> and practical document, providing a very transparent representation of the main actions the European Commission is intended to deliver in the next years, allowing all the stakeholders to better monitor the </w:t>
      </w:r>
      <w:r w:rsidR="004B3054" w:rsidRPr="00405934">
        <w:rPr>
          <w:rFonts w:ascii="Corbel" w:hAnsi="Corbel"/>
          <w:bCs/>
          <w:iCs/>
          <w:sz w:val="22"/>
          <w:szCs w:val="22"/>
          <w:lang w:val="en-US"/>
        </w:rPr>
        <w:t xml:space="preserve">European </w:t>
      </w:r>
      <w:r w:rsidRPr="00405934">
        <w:rPr>
          <w:rFonts w:ascii="Corbel" w:hAnsi="Corbel"/>
          <w:bCs/>
          <w:iCs/>
          <w:sz w:val="22"/>
          <w:szCs w:val="22"/>
          <w:lang w:val="en-US"/>
        </w:rPr>
        <w:t>Commission’s activities and to increase their engagement (</w:t>
      </w:r>
      <w:proofErr w:type="spellStart"/>
      <w:r w:rsidRPr="00405934">
        <w:rPr>
          <w:rFonts w:ascii="Corbel" w:hAnsi="Corbel"/>
          <w:bCs/>
          <w:iCs/>
          <w:sz w:val="22"/>
          <w:szCs w:val="22"/>
          <w:lang w:val="en-US"/>
        </w:rPr>
        <w:t>Hardacre</w:t>
      </w:r>
      <w:proofErr w:type="spellEnd"/>
      <w:r w:rsidRPr="00405934">
        <w:rPr>
          <w:rFonts w:ascii="Corbel" w:hAnsi="Corbel"/>
          <w:bCs/>
          <w:iCs/>
          <w:sz w:val="22"/>
          <w:szCs w:val="22"/>
          <w:lang w:val="en-US"/>
        </w:rPr>
        <w:t xml:space="preserve"> 2010). </w:t>
      </w:r>
    </w:p>
    <w:p w14:paraId="73CCB217" w14:textId="77777777" w:rsidR="00A71A07" w:rsidRPr="009722B3" w:rsidRDefault="00A71A07" w:rsidP="002F71BC">
      <w:pPr>
        <w:jc w:val="both"/>
        <w:rPr>
          <w:rFonts w:ascii="Corbel" w:hAnsi="Corbel"/>
          <w:bCs/>
          <w:iCs/>
          <w:lang w:val="en-US"/>
        </w:rPr>
      </w:pPr>
    </w:p>
    <w:p w14:paraId="446B4282" w14:textId="19E5711D" w:rsidR="001E5A91" w:rsidRPr="009722B3" w:rsidRDefault="001F0825" w:rsidP="002F71BC">
      <w:pPr>
        <w:pStyle w:val="Paragrafoelenco"/>
        <w:numPr>
          <w:ilvl w:val="0"/>
          <w:numId w:val="1"/>
        </w:numPr>
        <w:spacing w:line="240" w:lineRule="auto"/>
        <w:jc w:val="both"/>
        <w:rPr>
          <w:rFonts w:ascii="Corbel" w:hAnsi="Corbel"/>
          <w:bCs/>
          <w:i/>
          <w:iCs/>
          <w:sz w:val="24"/>
          <w:szCs w:val="24"/>
          <w:lang w:val="en-US"/>
        </w:rPr>
      </w:pPr>
      <w:r w:rsidRPr="009722B3">
        <w:rPr>
          <w:rFonts w:ascii="Corbel" w:hAnsi="Corbel"/>
          <w:i/>
          <w:sz w:val="24"/>
          <w:szCs w:val="24"/>
          <w:lang w:val="en-US"/>
        </w:rPr>
        <w:t>(planning)</w:t>
      </w:r>
      <w:r w:rsidR="001E5A91" w:rsidRPr="009722B3">
        <w:rPr>
          <w:rFonts w:ascii="Corbel" w:hAnsi="Corbel"/>
          <w:i/>
          <w:sz w:val="24"/>
          <w:szCs w:val="24"/>
          <w:lang w:val="en-US"/>
        </w:rPr>
        <w:t xml:space="preserve"> </w:t>
      </w:r>
      <w:r w:rsidR="001E5A91" w:rsidRPr="009722B3">
        <w:rPr>
          <w:rFonts w:ascii="Corbel" w:hAnsi="Corbel"/>
          <w:bCs/>
          <w:i/>
          <w:iCs/>
          <w:sz w:val="24"/>
          <w:szCs w:val="24"/>
          <w:lang w:val="en-US"/>
        </w:rPr>
        <w:t xml:space="preserve">Strategic Plans and Annual Management Plans </w:t>
      </w:r>
    </w:p>
    <w:p w14:paraId="294DFF86" w14:textId="4DC9FAC5" w:rsidR="001E5A91" w:rsidRPr="00405934" w:rsidRDefault="001E5A91" w:rsidP="002F71BC">
      <w:pPr>
        <w:jc w:val="both"/>
        <w:rPr>
          <w:rFonts w:ascii="Corbel" w:hAnsi="Corbel"/>
          <w:bCs/>
          <w:iCs/>
          <w:sz w:val="22"/>
          <w:szCs w:val="22"/>
          <w:lang w:val="en-US"/>
        </w:rPr>
      </w:pPr>
      <w:r w:rsidRPr="00405934">
        <w:rPr>
          <w:rFonts w:ascii="Corbel" w:hAnsi="Corbel"/>
          <w:bCs/>
          <w:iCs/>
          <w:sz w:val="22"/>
          <w:szCs w:val="22"/>
          <w:lang w:val="en-US"/>
        </w:rPr>
        <w:t xml:space="preserve">The next documents </w:t>
      </w:r>
      <w:r w:rsidR="00A31036" w:rsidRPr="00405934">
        <w:rPr>
          <w:rFonts w:ascii="Corbel" w:hAnsi="Corbel"/>
          <w:bCs/>
          <w:iCs/>
          <w:sz w:val="22"/>
          <w:szCs w:val="22"/>
          <w:lang w:val="en-US"/>
        </w:rPr>
        <w:t>are</w:t>
      </w:r>
      <w:r w:rsidRPr="00405934">
        <w:rPr>
          <w:rFonts w:ascii="Corbel" w:hAnsi="Corbel"/>
          <w:bCs/>
          <w:iCs/>
          <w:sz w:val="22"/>
          <w:szCs w:val="22"/>
          <w:lang w:val="en-US"/>
        </w:rPr>
        <w:t xml:space="preserve"> elaborated on an annual basis by each DGs</w:t>
      </w:r>
      <w:r w:rsidR="00A31036" w:rsidRPr="00405934">
        <w:rPr>
          <w:rFonts w:ascii="Corbel" w:hAnsi="Corbel"/>
          <w:bCs/>
          <w:iCs/>
          <w:sz w:val="22"/>
          <w:szCs w:val="22"/>
          <w:lang w:val="en-US"/>
        </w:rPr>
        <w:t xml:space="preserve"> and Services</w:t>
      </w:r>
      <w:r w:rsidRPr="00405934">
        <w:rPr>
          <w:rFonts w:ascii="Corbel" w:hAnsi="Corbel"/>
          <w:bCs/>
          <w:iCs/>
          <w:sz w:val="22"/>
          <w:szCs w:val="22"/>
          <w:lang w:val="en-US"/>
        </w:rPr>
        <w:t xml:space="preserve"> and aiming to translate the Commission’s political priorities into sectorial operational actions. </w:t>
      </w:r>
    </w:p>
    <w:p w14:paraId="3050890E" w14:textId="6DD53CF7" w:rsidR="001E5A91" w:rsidRPr="00405934" w:rsidRDefault="001E5A91" w:rsidP="002F71BC">
      <w:pPr>
        <w:pStyle w:val="Paragrafoelenco"/>
        <w:numPr>
          <w:ilvl w:val="0"/>
          <w:numId w:val="11"/>
        </w:numPr>
        <w:spacing w:line="240" w:lineRule="auto"/>
        <w:jc w:val="both"/>
        <w:rPr>
          <w:rFonts w:ascii="Corbel" w:hAnsi="Corbel"/>
          <w:bCs/>
          <w:iCs/>
          <w:lang w:val="en-US"/>
        </w:rPr>
      </w:pPr>
      <w:r w:rsidRPr="00405934">
        <w:rPr>
          <w:rFonts w:ascii="Corbel" w:hAnsi="Corbel"/>
          <w:bCs/>
          <w:iCs/>
          <w:lang w:val="en-US"/>
        </w:rPr>
        <w:t xml:space="preserve">The first is a five-year Strategic Plan (SP) translating the </w:t>
      </w:r>
      <w:r w:rsidR="00F93595" w:rsidRPr="00405934">
        <w:rPr>
          <w:rFonts w:ascii="Corbel" w:hAnsi="Corbel"/>
          <w:bCs/>
          <w:iCs/>
          <w:lang w:val="en-US"/>
        </w:rPr>
        <w:t xml:space="preserve">European </w:t>
      </w:r>
      <w:r w:rsidRPr="00405934">
        <w:rPr>
          <w:rFonts w:ascii="Corbel" w:hAnsi="Corbel"/>
          <w:bCs/>
          <w:iCs/>
          <w:lang w:val="en-US"/>
        </w:rPr>
        <w:t>Commission Political Guidelines in the long</w:t>
      </w:r>
      <w:r w:rsidR="00A31036" w:rsidRPr="00405934">
        <w:rPr>
          <w:rFonts w:ascii="Corbel" w:hAnsi="Corbel"/>
          <w:bCs/>
          <w:iCs/>
          <w:lang w:val="en-US"/>
        </w:rPr>
        <w:t>-</w:t>
      </w:r>
      <w:r w:rsidRPr="00405934">
        <w:rPr>
          <w:rFonts w:ascii="Corbel" w:hAnsi="Corbel"/>
          <w:bCs/>
          <w:iCs/>
          <w:lang w:val="en-US"/>
        </w:rPr>
        <w:t xml:space="preserve">term objectives, impact and results indicators associated with long term </w:t>
      </w:r>
      <w:proofErr w:type="gramStart"/>
      <w:r w:rsidRPr="00405934">
        <w:rPr>
          <w:rFonts w:ascii="Corbel" w:hAnsi="Corbel"/>
          <w:bCs/>
          <w:iCs/>
          <w:lang w:val="en-US"/>
        </w:rPr>
        <w:t>targets;</w:t>
      </w:r>
      <w:proofErr w:type="gramEnd"/>
      <w:r w:rsidRPr="00405934">
        <w:rPr>
          <w:rFonts w:ascii="Corbel" w:hAnsi="Corbel"/>
          <w:bCs/>
          <w:iCs/>
          <w:lang w:val="en-US"/>
        </w:rPr>
        <w:t xml:space="preserve"> </w:t>
      </w:r>
    </w:p>
    <w:p w14:paraId="1CA69B9B" w14:textId="19B1D844" w:rsidR="001E5A91" w:rsidRPr="00405934" w:rsidRDefault="001E5A91" w:rsidP="002F71BC">
      <w:pPr>
        <w:pStyle w:val="Paragrafoelenco"/>
        <w:numPr>
          <w:ilvl w:val="0"/>
          <w:numId w:val="11"/>
        </w:numPr>
        <w:spacing w:line="240" w:lineRule="auto"/>
        <w:jc w:val="both"/>
        <w:rPr>
          <w:rFonts w:ascii="Corbel" w:hAnsi="Corbel"/>
          <w:bCs/>
          <w:iCs/>
          <w:lang w:val="en-US"/>
        </w:rPr>
      </w:pPr>
      <w:r w:rsidRPr="00405934">
        <w:rPr>
          <w:rFonts w:ascii="Corbel" w:hAnsi="Corbel"/>
          <w:bCs/>
          <w:iCs/>
          <w:lang w:val="en-US"/>
        </w:rPr>
        <w:t xml:space="preserve">The second is the </w:t>
      </w:r>
      <w:r w:rsidR="00A31036" w:rsidRPr="00405934">
        <w:rPr>
          <w:rFonts w:ascii="Corbel" w:hAnsi="Corbel"/>
          <w:bCs/>
          <w:iCs/>
          <w:lang w:val="en-US"/>
        </w:rPr>
        <w:t>A</w:t>
      </w:r>
      <w:r w:rsidRPr="00405934">
        <w:rPr>
          <w:rFonts w:ascii="Corbel" w:hAnsi="Corbel"/>
          <w:bCs/>
          <w:iCs/>
          <w:lang w:val="en-US"/>
        </w:rPr>
        <w:t>nnual Management Plan (</w:t>
      </w:r>
      <w:r w:rsidR="00A31036" w:rsidRPr="00405934">
        <w:rPr>
          <w:rFonts w:ascii="Corbel" w:hAnsi="Corbel"/>
          <w:bCs/>
          <w:iCs/>
          <w:lang w:val="en-US"/>
        </w:rPr>
        <w:t>A</w:t>
      </w:r>
      <w:r w:rsidRPr="00405934">
        <w:rPr>
          <w:rFonts w:ascii="Corbel" w:hAnsi="Corbel"/>
          <w:bCs/>
          <w:iCs/>
          <w:lang w:val="en-US"/>
        </w:rPr>
        <w:t>MP) focused on the same</w:t>
      </w:r>
      <w:r w:rsidR="00F93595" w:rsidRPr="00405934">
        <w:rPr>
          <w:rFonts w:ascii="Corbel" w:hAnsi="Corbel"/>
          <w:bCs/>
          <w:iCs/>
          <w:lang w:val="en-US"/>
        </w:rPr>
        <w:t xml:space="preserve"> European</w:t>
      </w:r>
      <w:r w:rsidRPr="00405934">
        <w:rPr>
          <w:rFonts w:ascii="Corbel" w:hAnsi="Corbel"/>
          <w:bCs/>
          <w:iCs/>
          <w:lang w:val="en-US"/>
        </w:rPr>
        <w:t xml:space="preserve"> Commission Political Guidelines but including only output indicators associated with short-term targets to achieve within the year. </w:t>
      </w:r>
    </w:p>
    <w:p w14:paraId="715F9448" w14:textId="77777777" w:rsidR="001E5A91" w:rsidRPr="00405934" w:rsidRDefault="001E5A91" w:rsidP="002F71BC">
      <w:pPr>
        <w:jc w:val="both"/>
        <w:rPr>
          <w:rFonts w:ascii="Corbel" w:hAnsi="Corbel"/>
          <w:bCs/>
          <w:iCs/>
          <w:sz w:val="22"/>
          <w:szCs w:val="22"/>
          <w:lang w:val="en-US"/>
        </w:rPr>
      </w:pPr>
      <w:r w:rsidRPr="00405934">
        <w:rPr>
          <w:rFonts w:ascii="Corbel" w:hAnsi="Corbel"/>
          <w:bCs/>
          <w:iCs/>
          <w:sz w:val="22"/>
          <w:szCs w:val="22"/>
          <w:lang w:val="en-US"/>
        </w:rPr>
        <w:t>The common structure of the Strategic Plan</w:t>
      </w:r>
      <w:r w:rsidRPr="00405934">
        <w:rPr>
          <w:rStyle w:val="Rimandonotadichiusura"/>
          <w:rFonts w:ascii="Corbel" w:hAnsi="Corbel"/>
          <w:bCs/>
          <w:iCs/>
          <w:sz w:val="22"/>
          <w:szCs w:val="22"/>
          <w:lang w:val="en-US"/>
        </w:rPr>
        <w:endnoteReference w:id="19"/>
      </w:r>
      <w:r w:rsidRPr="00405934">
        <w:rPr>
          <w:rFonts w:ascii="Corbel" w:hAnsi="Corbel"/>
          <w:bCs/>
          <w:iCs/>
          <w:sz w:val="22"/>
          <w:szCs w:val="22"/>
          <w:lang w:val="en-US"/>
        </w:rPr>
        <w:t xml:space="preserve"> includes the following elements: </w:t>
      </w:r>
    </w:p>
    <w:p w14:paraId="0A01E836" w14:textId="77777777" w:rsidR="00C22F1F" w:rsidRPr="00405934" w:rsidRDefault="001E5A91" w:rsidP="002F71BC">
      <w:pPr>
        <w:jc w:val="both"/>
        <w:rPr>
          <w:rFonts w:ascii="Corbel" w:hAnsi="Corbel"/>
          <w:bCs/>
          <w:iCs/>
          <w:sz w:val="22"/>
          <w:szCs w:val="22"/>
          <w:lang w:val="en-US"/>
        </w:rPr>
      </w:pPr>
      <w:r w:rsidRPr="00405934">
        <w:rPr>
          <w:rFonts w:ascii="Corbel" w:hAnsi="Corbel"/>
          <w:bCs/>
          <w:iCs/>
          <w:sz w:val="22"/>
          <w:szCs w:val="22"/>
          <w:lang w:val="en-US"/>
        </w:rPr>
        <w:t>The first part</w:t>
      </w:r>
      <w:r w:rsidR="00C22F1F" w:rsidRPr="00405934">
        <w:rPr>
          <w:rFonts w:ascii="Corbel" w:hAnsi="Corbel"/>
          <w:bCs/>
          <w:iCs/>
          <w:sz w:val="22"/>
          <w:szCs w:val="22"/>
          <w:lang w:val="en-US"/>
        </w:rPr>
        <w:t xml:space="preserve"> is focused on “Delivering on the Commission priorities” and </w:t>
      </w:r>
      <w:r w:rsidRPr="00405934">
        <w:rPr>
          <w:rFonts w:ascii="Corbel" w:hAnsi="Corbel"/>
          <w:bCs/>
          <w:iCs/>
          <w:sz w:val="22"/>
          <w:szCs w:val="22"/>
          <w:lang w:val="en-US"/>
        </w:rPr>
        <w:t>includes</w:t>
      </w:r>
      <w:r w:rsidR="00C22F1F" w:rsidRPr="00405934">
        <w:rPr>
          <w:rFonts w:ascii="Corbel" w:hAnsi="Corbel"/>
          <w:bCs/>
          <w:iCs/>
          <w:sz w:val="22"/>
          <w:szCs w:val="22"/>
          <w:lang w:val="en-US"/>
        </w:rPr>
        <w:t>:</w:t>
      </w:r>
    </w:p>
    <w:p w14:paraId="5A30D164" w14:textId="0BFAD48C" w:rsidR="00C22F1F" w:rsidRPr="00405934" w:rsidRDefault="001E5A91" w:rsidP="002F71BC">
      <w:pPr>
        <w:pStyle w:val="Paragrafoelenco"/>
        <w:numPr>
          <w:ilvl w:val="0"/>
          <w:numId w:val="1"/>
        </w:numPr>
        <w:spacing w:line="240" w:lineRule="auto"/>
        <w:jc w:val="both"/>
        <w:rPr>
          <w:rFonts w:ascii="Corbel" w:hAnsi="Corbel"/>
          <w:bCs/>
          <w:iCs/>
          <w:lang w:val="en-US"/>
        </w:rPr>
      </w:pPr>
      <w:r w:rsidRPr="00405934">
        <w:rPr>
          <w:rFonts w:ascii="Corbel" w:hAnsi="Corbel"/>
          <w:bCs/>
          <w:iCs/>
          <w:lang w:val="en-US"/>
        </w:rPr>
        <w:t xml:space="preserve">the DG mission statement, </w:t>
      </w:r>
    </w:p>
    <w:p w14:paraId="608F2F0A" w14:textId="77777777" w:rsidR="00C22F1F" w:rsidRPr="00405934" w:rsidRDefault="001E5A91" w:rsidP="002F71BC">
      <w:pPr>
        <w:pStyle w:val="Paragrafoelenco"/>
        <w:numPr>
          <w:ilvl w:val="0"/>
          <w:numId w:val="1"/>
        </w:numPr>
        <w:spacing w:line="240" w:lineRule="auto"/>
        <w:jc w:val="both"/>
        <w:rPr>
          <w:rFonts w:ascii="Corbel" w:hAnsi="Corbel"/>
          <w:bCs/>
          <w:iCs/>
          <w:lang w:val="en-US"/>
        </w:rPr>
      </w:pPr>
      <w:r w:rsidRPr="00405934">
        <w:rPr>
          <w:rFonts w:ascii="Corbel" w:hAnsi="Corbel"/>
          <w:bCs/>
          <w:iCs/>
          <w:lang w:val="en-US"/>
        </w:rPr>
        <w:t>the operating context</w:t>
      </w:r>
      <w:r w:rsidR="00C22F1F" w:rsidRPr="00405934">
        <w:rPr>
          <w:rFonts w:ascii="Corbel" w:hAnsi="Corbel"/>
          <w:bCs/>
          <w:iCs/>
          <w:lang w:val="en-US"/>
        </w:rPr>
        <w:t xml:space="preserve">, </w:t>
      </w:r>
    </w:p>
    <w:p w14:paraId="7F7022FA" w14:textId="77777777" w:rsidR="00C22F1F" w:rsidRPr="00405934" w:rsidRDefault="00C22F1F" w:rsidP="002F71BC">
      <w:pPr>
        <w:pStyle w:val="Paragrafoelenco"/>
        <w:numPr>
          <w:ilvl w:val="0"/>
          <w:numId w:val="1"/>
        </w:numPr>
        <w:spacing w:line="240" w:lineRule="auto"/>
        <w:jc w:val="both"/>
        <w:rPr>
          <w:rFonts w:ascii="Corbel" w:hAnsi="Corbel"/>
          <w:bCs/>
          <w:iCs/>
          <w:lang w:val="en-US"/>
        </w:rPr>
      </w:pPr>
      <w:r w:rsidRPr="00405934">
        <w:rPr>
          <w:rFonts w:ascii="Corbel" w:hAnsi="Corbel"/>
          <w:bCs/>
          <w:iCs/>
          <w:lang w:val="en-US"/>
        </w:rPr>
        <w:t xml:space="preserve">the strategy </w:t>
      </w:r>
    </w:p>
    <w:p w14:paraId="61E94C26" w14:textId="2B5BE515" w:rsidR="00C22F1F" w:rsidRPr="00405934" w:rsidRDefault="00C22F1F" w:rsidP="002F71BC">
      <w:pPr>
        <w:pStyle w:val="Paragrafoelenco"/>
        <w:numPr>
          <w:ilvl w:val="0"/>
          <w:numId w:val="1"/>
        </w:numPr>
        <w:spacing w:line="240" w:lineRule="auto"/>
        <w:jc w:val="both"/>
        <w:rPr>
          <w:rFonts w:ascii="Corbel" w:hAnsi="Corbel"/>
          <w:bCs/>
          <w:iCs/>
          <w:lang w:val="en-US"/>
        </w:rPr>
      </w:pPr>
      <w:r w:rsidRPr="00405934">
        <w:rPr>
          <w:rFonts w:ascii="Corbel" w:hAnsi="Corbel"/>
          <w:bCs/>
          <w:iCs/>
          <w:lang w:val="en-US"/>
        </w:rPr>
        <w:t>the key performance indicators.</w:t>
      </w:r>
      <w:r w:rsidR="001E5A91" w:rsidRPr="00405934">
        <w:rPr>
          <w:rFonts w:ascii="Corbel" w:hAnsi="Corbel"/>
          <w:bCs/>
          <w:iCs/>
          <w:lang w:val="en-US"/>
        </w:rPr>
        <w:t xml:space="preserve"> </w:t>
      </w:r>
    </w:p>
    <w:p w14:paraId="1BE33C99" w14:textId="73077336" w:rsidR="001E5A91" w:rsidRPr="00405934" w:rsidRDefault="00C22F1F" w:rsidP="002F71BC">
      <w:pPr>
        <w:jc w:val="both"/>
        <w:rPr>
          <w:rFonts w:ascii="Corbel" w:hAnsi="Corbel"/>
          <w:bCs/>
          <w:iCs/>
          <w:sz w:val="22"/>
          <w:szCs w:val="22"/>
          <w:lang w:val="en-US"/>
        </w:rPr>
      </w:pPr>
      <w:r w:rsidRPr="00405934">
        <w:rPr>
          <w:rFonts w:ascii="Corbel" w:hAnsi="Corbel"/>
          <w:bCs/>
          <w:iCs/>
          <w:sz w:val="22"/>
          <w:szCs w:val="22"/>
          <w:lang w:val="en-US"/>
        </w:rPr>
        <w:t>The DG mission</w:t>
      </w:r>
      <w:r w:rsidR="001E5A91" w:rsidRPr="00405934">
        <w:rPr>
          <w:rFonts w:ascii="Corbel" w:hAnsi="Corbel"/>
          <w:bCs/>
          <w:iCs/>
          <w:sz w:val="22"/>
          <w:szCs w:val="22"/>
          <w:lang w:val="en-US"/>
        </w:rPr>
        <w:t xml:space="preserve"> includes the treaty obligations,</w:t>
      </w:r>
      <w:r w:rsidRPr="00405934">
        <w:rPr>
          <w:rFonts w:ascii="Corbel" w:hAnsi="Corbel"/>
          <w:bCs/>
          <w:iCs/>
          <w:sz w:val="22"/>
          <w:szCs w:val="22"/>
          <w:lang w:val="en-US"/>
        </w:rPr>
        <w:t xml:space="preserve"> while</w:t>
      </w:r>
      <w:r w:rsidR="001E5A91" w:rsidRPr="00405934">
        <w:rPr>
          <w:rFonts w:ascii="Corbel" w:hAnsi="Corbel"/>
          <w:bCs/>
          <w:iCs/>
          <w:sz w:val="22"/>
          <w:szCs w:val="22"/>
          <w:lang w:val="en-US"/>
        </w:rPr>
        <w:t xml:space="preserve"> the </w:t>
      </w:r>
      <w:r w:rsidRPr="00405934">
        <w:rPr>
          <w:rFonts w:ascii="Corbel" w:hAnsi="Corbel"/>
          <w:bCs/>
          <w:iCs/>
          <w:sz w:val="22"/>
          <w:szCs w:val="22"/>
          <w:lang w:val="en-US"/>
        </w:rPr>
        <w:t xml:space="preserve">in the operating context the </w:t>
      </w:r>
      <w:r w:rsidR="001E5A91" w:rsidRPr="00405934">
        <w:rPr>
          <w:rFonts w:ascii="Corbel" w:hAnsi="Corbel"/>
          <w:bCs/>
          <w:iCs/>
          <w:sz w:val="22"/>
          <w:szCs w:val="22"/>
          <w:lang w:val="en-US"/>
        </w:rPr>
        <w:t>DG</w:t>
      </w:r>
      <w:r w:rsidRPr="00405934">
        <w:rPr>
          <w:rFonts w:ascii="Corbel" w:hAnsi="Corbel"/>
          <w:bCs/>
          <w:iCs/>
          <w:sz w:val="22"/>
          <w:szCs w:val="22"/>
          <w:lang w:val="en-US"/>
        </w:rPr>
        <w:t xml:space="preserve"> describes the </w:t>
      </w:r>
      <w:r w:rsidR="001E5A91" w:rsidRPr="00405934">
        <w:rPr>
          <w:rFonts w:ascii="Corbel" w:hAnsi="Corbel"/>
          <w:bCs/>
          <w:iCs/>
          <w:sz w:val="22"/>
          <w:szCs w:val="22"/>
          <w:lang w:val="en-US"/>
        </w:rPr>
        <w:t>competences</w:t>
      </w:r>
      <w:r w:rsidRPr="00405934">
        <w:rPr>
          <w:rFonts w:ascii="Corbel" w:hAnsi="Corbel"/>
          <w:bCs/>
          <w:iCs/>
          <w:sz w:val="22"/>
          <w:szCs w:val="22"/>
          <w:lang w:val="en-US"/>
        </w:rPr>
        <w:t xml:space="preserve">, </w:t>
      </w:r>
      <w:r w:rsidR="001E5A91" w:rsidRPr="00405934">
        <w:rPr>
          <w:rFonts w:ascii="Corbel" w:hAnsi="Corbel"/>
          <w:bCs/>
          <w:iCs/>
          <w:sz w:val="22"/>
          <w:szCs w:val="22"/>
          <w:lang w:val="en-US"/>
        </w:rPr>
        <w:t xml:space="preserve">the financial </w:t>
      </w:r>
      <w:proofErr w:type="gramStart"/>
      <w:r w:rsidR="001E5A91" w:rsidRPr="00405934">
        <w:rPr>
          <w:rFonts w:ascii="Corbel" w:hAnsi="Corbel"/>
          <w:bCs/>
          <w:iCs/>
          <w:sz w:val="22"/>
          <w:szCs w:val="22"/>
          <w:lang w:val="en-US"/>
        </w:rPr>
        <w:t>instruments</w:t>
      </w:r>
      <w:proofErr w:type="gramEnd"/>
      <w:r w:rsidR="001E5A91" w:rsidRPr="00405934">
        <w:rPr>
          <w:rFonts w:ascii="Corbel" w:hAnsi="Corbel"/>
          <w:bCs/>
          <w:iCs/>
          <w:sz w:val="22"/>
          <w:szCs w:val="22"/>
          <w:lang w:val="en-US"/>
        </w:rPr>
        <w:t xml:space="preserve"> and programs they are responsible for. This latter is a relevant aspect for many DGs in charge of managing a relevant number of financial programs with different management modes.</w:t>
      </w:r>
      <w:r w:rsidR="00A9287A" w:rsidRPr="00405934">
        <w:rPr>
          <w:rFonts w:ascii="Corbel" w:hAnsi="Corbel"/>
          <w:bCs/>
          <w:iCs/>
          <w:sz w:val="22"/>
          <w:szCs w:val="22"/>
          <w:lang w:val="en-US"/>
        </w:rPr>
        <w:t xml:space="preserve"> </w:t>
      </w:r>
      <w:r w:rsidR="001E5A91" w:rsidRPr="00405934">
        <w:rPr>
          <w:rFonts w:ascii="Corbel" w:hAnsi="Corbel"/>
          <w:bCs/>
          <w:iCs/>
          <w:sz w:val="22"/>
          <w:szCs w:val="22"/>
          <w:lang w:val="en-US"/>
        </w:rPr>
        <w:t xml:space="preserve">The third </w:t>
      </w:r>
      <w:r w:rsidRPr="00405934">
        <w:rPr>
          <w:rFonts w:ascii="Corbel" w:hAnsi="Corbel"/>
          <w:bCs/>
          <w:iCs/>
          <w:sz w:val="22"/>
          <w:szCs w:val="22"/>
          <w:lang w:val="en-US"/>
        </w:rPr>
        <w:t>section</w:t>
      </w:r>
      <w:r w:rsidR="001E5A91" w:rsidRPr="00405934">
        <w:rPr>
          <w:rFonts w:ascii="Corbel" w:hAnsi="Corbel"/>
          <w:bCs/>
          <w:iCs/>
          <w:sz w:val="22"/>
          <w:szCs w:val="22"/>
          <w:lang w:val="en-US"/>
        </w:rPr>
        <w:t xml:space="preserve"> concerns with the elaboration of the </w:t>
      </w:r>
      <w:r w:rsidR="00657179" w:rsidRPr="00405934">
        <w:rPr>
          <w:rFonts w:ascii="Corbel" w:hAnsi="Corbel"/>
          <w:bCs/>
          <w:iCs/>
          <w:sz w:val="22"/>
          <w:szCs w:val="22"/>
          <w:lang w:val="en-US"/>
        </w:rPr>
        <w:t>five-year</w:t>
      </w:r>
      <w:r w:rsidR="001E5A91" w:rsidRPr="00405934">
        <w:rPr>
          <w:rFonts w:ascii="Corbel" w:hAnsi="Corbel"/>
          <w:bCs/>
          <w:iCs/>
          <w:sz w:val="22"/>
          <w:szCs w:val="22"/>
          <w:lang w:val="en-US"/>
        </w:rPr>
        <w:t xml:space="preserve"> DG strategy to support the delivering of the Commission political priorities as specified in the Commissioner’s mission letter, in which the President of the Commission spells out the role and the responsibilities of each DG in delivering the goals of the President agenda. The strategy includes:</w:t>
      </w:r>
    </w:p>
    <w:p w14:paraId="779887BB" w14:textId="77777777" w:rsidR="001E5A91" w:rsidRPr="00405934" w:rsidRDefault="001E5A91" w:rsidP="002F71BC">
      <w:pPr>
        <w:pStyle w:val="Paragrafoelenco"/>
        <w:numPr>
          <w:ilvl w:val="0"/>
          <w:numId w:val="1"/>
        </w:numPr>
        <w:spacing w:line="240" w:lineRule="auto"/>
        <w:jc w:val="both"/>
        <w:rPr>
          <w:rFonts w:ascii="Corbel" w:hAnsi="Corbel"/>
          <w:bCs/>
          <w:iCs/>
          <w:lang w:val="en-US"/>
        </w:rPr>
      </w:pPr>
      <w:r w:rsidRPr="00405934">
        <w:rPr>
          <w:rFonts w:ascii="Corbel" w:hAnsi="Corbel"/>
          <w:bCs/>
          <w:iCs/>
          <w:lang w:val="en-US"/>
        </w:rPr>
        <w:t>The General objectives</w:t>
      </w:r>
      <w:r w:rsidRPr="00405934">
        <w:rPr>
          <w:rFonts w:ascii="Corbel" w:hAnsi="Corbel"/>
          <w:bCs/>
          <w:i/>
          <w:iCs/>
          <w:lang w:val="en-US"/>
        </w:rPr>
        <w:t xml:space="preserve">, </w:t>
      </w:r>
      <w:r w:rsidRPr="00405934">
        <w:rPr>
          <w:rFonts w:ascii="Corbel" w:hAnsi="Corbel"/>
          <w:bCs/>
          <w:iCs/>
          <w:lang w:val="en-US"/>
        </w:rPr>
        <w:t>that are the Commission priorities relevant for the DG, and the associated impact indicators</w:t>
      </w:r>
    </w:p>
    <w:p w14:paraId="319BFC15" w14:textId="77777777" w:rsidR="001E5A91" w:rsidRPr="00405934" w:rsidRDefault="001E5A91" w:rsidP="002F71BC">
      <w:pPr>
        <w:pStyle w:val="Paragrafoelenco"/>
        <w:numPr>
          <w:ilvl w:val="0"/>
          <w:numId w:val="1"/>
        </w:numPr>
        <w:spacing w:line="240" w:lineRule="auto"/>
        <w:jc w:val="both"/>
        <w:rPr>
          <w:rFonts w:ascii="Corbel" w:hAnsi="Corbel"/>
          <w:bCs/>
          <w:iCs/>
          <w:lang w:val="en-US"/>
        </w:rPr>
      </w:pPr>
      <w:r w:rsidRPr="00405934">
        <w:rPr>
          <w:rFonts w:ascii="Corbel" w:hAnsi="Corbel"/>
          <w:bCs/>
          <w:iCs/>
          <w:lang w:val="en-US"/>
        </w:rPr>
        <w:t xml:space="preserve">The Specific objectives, that are the DG policy-related objectives linked to the general objectives and the associated output/results indicator. </w:t>
      </w:r>
    </w:p>
    <w:p w14:paraId="47D28451" w14:textId="6D388AF4" w:rsidR="00C1136D" w:rsidRPr="00405934" w:rsidRDefault="001E5A91" w:rsidP="002F71BC">
      <w:pPr>
        <w:jc w:val="both"/>
        <w:rPr>
          <w:rFonts w:ascii="Corbel" w:hAnsi="Corbel"/>
          <w:bCs/>
          <w:iCs/>
          <w:sz w:val="22"/>
          <w:szCs w:val="22"/>
          <w:lang w:val="en-US"/>
        </w:rPr>
      </w:pPr>
      <w:r w:rsidRPr="00405934">
        <w:rPr>
          <w:rFonts w:ascii="Corbel" w:hAnsi="Corbel"/>
          <w:bCs/>
          <w:iCs/>
          <w:sz w:val="22"/>
          <w:szCs w:val="22"/>
          <w:lang w:val="en-US"/>
        </w:rPr>
        <w:t>In this section, each DG needs to develop its integrated performance framework matching the relevant Commission priorities (general objectives) from one side and specific objectives the DG is responsible for that contribute to the achievement of the general objectives from the other. This need also to be linked to the related priorities of the</w:t>
      </w:r>
      <w:r w:rsidR="00A71A07" w:rsidRPr="00405934">
        <w:rPr>
          <w:rFonts w:ascii="Corbel" w:hAnsi="Corbel"/>
          <w:bCs/>
          <w:iCs/>
          <w:sz w:val="22"/>
          <w:szCs w:val="22"/>
          <w:lang w:val="en-US"/>
        </w:rPr>
        <w:t xml:space="preserve"> ten-year strategy (when adopted)</w:t>
      </w:r>
      <w:r w:rsidRPr="00405934">
        <w:rPr>
          <w:rFonts w:ascii="Corbel" w:hAnsi="Corbel"/>
          <w:bCs/>
          <w:iCs/>
          <w:sz w:val="22"/>
          <w:szCs w:val="22"/>
          <w:lang w:val="en-US"/>
        </w:rPr>
        <w:t xml:space="preserve"> as well as the relevant thematic policy strategies and program performance frameworks. The analysis of the strategic plans across the DGs reveals that, although sharing a common structure, each DG elaborated its performance framework with different levels of detail. </w:t>
      </w:r>
      <w:r w:rsidR="008A1D07">
        <w:rPr>
          <w:rFonts w:ascii="Corbel" w:hAnsi="Corbel"/>
          <w:bCs/>
          <w:iCs/>
          <w:sz w:val="22"/>
          <w:szCs w:val="22"/>
          <w:lang w:val="en-US"/>
        </w:rPr>
        <w:t>In figure 5</w:t>
      </w:r>
      <w:r w:rsidR="00C1136D" w:rsidRPr="00405934">
        <w:rPr>
          <w:rFonts w:ascii="Corbel" w:hAnsi="Corbel"/>
          <w:bCs/>
          <w:iCs/>
          <w:sz w:val="22"/>
          <w:szCs w:val="22"/>
          <w:lang w:val="en-US"/>
        </w:rPr>
        <w:t xml:space="preserve"> the strategy map of the Directorate General for Employment and Social Affairs (DG EMPL) for 2019-2024 representing the link between the Commission general objectives, the different specific DG objectives as well as with the different typologies of instruments available to achieve the specific objectives which in turn contribute to the achievement of the general ones.</w:t>
      </w:r>
    </w:p>
    <w:p w14:paraId="39402A87" w14:textId="77777777" w:rsidR="00DE3162" w:rsidRDefault="00DE3162" w:rsidP="00405934">
      <w:pPr>
        <w:pStyle w:val="Didascalia"/>
        <w:jc w:val="both"/>
        <w:rPr>
          <w:rFonts w:ascii="Corbel" w:hAnsi="Corbel"/>
          <w:b/>
          <w:bCs/>
          <w:lang w:val="en-US"/>
        </w:rPr>
      </w:pPr>
    </w:p>
    <w:p w14:paraId="453D5541" w14:textId="2BBE2939" w:rsidR="00C1136D" w:rsidRPr="00405934" w:rsidRDefault="00C1136D" w:rsidP="00405934">
      <w:pPr>
        <w:pStyle w:val="Didascalia"/>
        <w:jc w:val="both"/>
        <w:rPr>
          <w:rFonts w:ascii="Corbel" w:hAnsi="Corbel"/>
          <w:b/>
          <w:bCs/>
          <w:lang w:val="en-US"/>
        </w:rPr>
      </w:pPr>
      <w:r w:rsidRPr="00405934">
        <w:rPr>
          <w:rFonts w:ascii="Corbel" w:hAnsi="Corbel"/>
          <w:b/>
          <w:bCs/>
          <w:lang w:val="en-US"/>
        </w:rPr>
        <w:lastRenderedPageBreak/>
        <w:t xml:space="preserve">Figure </w:t>
      </w:r>
      <w:r w:rsidR="00405934">
        <w:rPr>
          <w:rFonts w:ascii="Corbel" w:hAnsi="Corbel"/>
          <w:b/>
          <w:bCs/>
          <w:lang w:val="en-US"/>
        </w:rPr>
        <w:t>5</w:t>
      </w:r>
      <w:r w:rsidRPr="00405934">
        <w:rPr>
          <w:rFonts w:ascii="Corbel" w:hAnsi="Corbel"/>
          <w:b/>
          <w:bCs/>
          <w:lang w:val="en-US"/>
        </w:rPr>
        <w:t xml:space="preserve"> - DG Employment and Social Affairs objectives</w:t>
      </w:r>
      <w:r w:rsidR="00405934" w:rsidRPr="00405934">
        <w:rPr>
          <w:rFonts w:ascii="Corbel" w:hAnsi="Corbel"/>
          <w:b/>
          <w:bCs/>
          <w:lang w:val="en-US"/>
        </w:rPr>
        <w:t>. Source (European Commission, 2021 – SP DG EMPL)</w:t>
      </w:r>
    </w:p>
    <w:p w14:paraId="2FE35CC4" w14:textId="089B3498" w:rsidR="00C22F1F" w:rsidRPr="009722B3" w:rsidRDefault="00C1136D" w:rsidP="002F71BC">
      <w:pPr>
        <w:jc w:val="center"/>
        <w:rPr>
          <w:rFonts w:ascii="Corbel" w:hAnsi="Corbel"/>
          <w:bCs/>
          <w:iCs/>
          <w:lang w:val="en-US"/>
        </w:rPr>
      </w:pPr>
      <w:r w:rsidRPr="009722B3">
        <w:rPr>
          <w:rFonts w:ascii="Corbel" w:hAnsi="Corbel"/>
          <w:bCs/>
          <w:iCs/>
          <w:noProof/>
          <w:lang w:val="en-US"/>
        </w:rPr>
        <w:drawing>
          <wp:inline distT="0" distB="0" distL="0" distR="0" wp14:anchorId="74EAE2EF" wp14:editId="1573BB8C">
            <wp:extent cx="4743672" cy="4424045"/>
            <wp:effectExtent l="12700" t="12700" r="1905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4"/>
                    <a:stretch>
                      <a:fillRect/>
                    </a:stretch>
                  </pic:blipFill>
                  <pic:spPr>
                    <a:xfrm>
                      <a:off x="0" y="0"/>
                      <a:ext cx="4766104" cy="4444966"/>
                    </a:xfrm>
                    <a:prstGeom prst="rect">
                      <a:avLst/>
                    </a:prstGeom>
                    <a:ln>
                      <a:solidFill>
                        <a:schemeClr val="accent1"/>
                      </a:solidFill>
                    </a:ln>
                  </pic:spPr>
                </pic:pic>
              </a:graphicData>
            </a:graphic>
          </wp:inline>
        </w:drawing>
      </w:r>
    </w:p>
    <w:p w14:paraId="0165F298" w14:textId="77777777" w:rsidR="00C1136D" w:rsidRPr="009722B3" w:rsidRDefault="00C1136D" w:rsidP="002F71BC">
      <w:pPr>
        <w:jc w:val="both"/>
        <w:rPr>
          <w:rFonts w:ascii="Corbel" w:hAnsi="Corbel"/>
          <w:bCs/>
          <w:iCs/>
          <w:lang w:val="en-US"/>
        </w:rPr>
      </w:pPr>
    </w:p>
    <w:p w14:paraId="027828F8" w14:textId="005D9ACD" w:rsidR="001E5A91" w:rsidRPr="008A1D07" w:rsidRDefault="001E5A91" w:rsidP="002F71BC">
      <w:pPr>
        <w:jc w:val="both"/>
        <w:rPr>
          <w:rFonts w:ascii="Corbel" w:hAnsi="Corbel"/>
          <w:bCs/>
          <w:iCs/>
          <w:sz w:val="22"/>
          <w:szCs w:val="22"/>
          <w:lang w:val="en-US"/>
        </w:rPr>
      </w:pPr>
      <w:r w:rsidRPr="008A1D07">
        <w:rPr>
          <w:rFonts w:ascii="Corbel" w:hAnsi="Corbel"/>
          <w:bCs/>
          <w:iCs/>
          <w:sz w:val="22"/>
          <w:szCs w:val="22"/>
          <w:lang w:val="en-US"/>
        </w:rPr>
        <w:t>Also</w:t>
      </w:r>
      <w:r w:rsidR="008A1D07">
        <w:rPr>
          <w:rFonts w:ascii="Corbel" w:hAnsi="Corbel"/>
          <w:bCs/>
          <w:iCs/>
          <w:sz w:val="22"/>
          <w:szCs w:val="22"/>
          <w:lang w:val="en-US"/>
        </w:rPr>
        <w:t xml:space="preserve"> (figure 6)</w:t>
      </w:r>
      <w:r w:rsidRPr="008A1D07">
        <w:rPr>
          <w:rFonts w:ascii="Corbel" w:hAnsi="Corbel"/>
          <w:bCs/>
          <w:iCs/>
          <w:sz w:val="22"/>
          <w:szCs w:val="22"/>
          <w:lang w:val="en-US"/>
        </w:rPr>
        <w:t>, for each Commission general objective, the DG draws:</w:t>
      </w:r>
    </w:p>
    <w:p w14:paraId="56C86365" w14:textId="0C2FE84B" w:rsidR="001E5A91" w:rsidRPr="008A1D07" w:rsidRDefault="001E5A91" w:rsidP="002F71BC">
      <w:pPr>
        <w:pStyle w:val="Paragrafoelenco"/>
        <w:numPr>
          <w:ilvl w:val="0"/>
          <w:numId w:val="1"/>
        </w:numPr>
        <w:spacing w:line="240" w:lineRule="auto"/>
        <w:jc w:val="both"/>
        <w:rPr>
          <w:rFonts w:ascii="Corbel" w:hAnsi="Corbel"/>
          <w:bCs/>
          <w:iCs/>
          <w:lang w:val="en-US"/>
        </w:rPr>
      </w:pPr>
      <w:r w:rsidRPr="008A1D07">
        <w:rPr>
          <w:rFonts w:ascii="Corbel" w:hAnsi="Corbel"/>
          <w:bCs/>
          <w:iCs/>
          <w:lang w:val="en-US"/>
        </w:rPr>
        <w:t xml:space="preserve">an intervention logic map explaining </w:t>
      </w:r>
      <w:r w:rsidRPr="008A1D07">
        <w:rPr>
          <w:rFonts w:ascii="Corbel" w:hAnsi="Corbel"/>
          <w:bCs/>
          <w:iCs/>
          <w:lang w:val="en-GB"/>
        </w:rPr>
        <w:t>“how the planned actions carried out by the DG EMPL, or together with the Member States in case of shared management programs, contribute to the delivery of the Commission priorities</w:t>
      </w:r>
      <w:r w:rsidR="00525655" w:rsidRPr="008A1D07">
        <w:rPr>
          <w:rFonts w:ascii="Corbel" w:hAnsi="Corbel"/>
          <w:bCs/>
          <w:iCs/>
          <w:lang w:val="en-GB"/>
        </w:rPr>
        <w:t>.</w:t>
      </w:r>
      <w:r w:rsidRPr="008A1D07">
        <w:rPr>
          <w:rFonts w:ascii="Corbel" w:hAnsi="Corbel"/>
          <w:bCs/>
          <w:iCs/>
          <w:lang w:val="en-GB"/>
        </w:rPr>
        <w:t>”</w:t>
      </w:r>
      <w:r w:rsidRPr="008A1D07">
        <w:rPr>
          <w:rFonts w:ascii="Corbel" w:hAnsi="Corbel" w:cs="Calibri"/>
          <w:i/>
          <w:iCs/>
          <w:color w:val="000000"/>
          <w:lang w:val="en-US"/>
        </w:rPr>
        <w:t xml:space="preserve">  </w:t>
      </w:r>
      <w:r w:rsidRPr="008A1D07">
        <w:rPr>
          <w:rFonts w:ascii="Corbel" w:hAnsi="Corbel"/>
          <w:bCs/>
          <w:iCs/>
          <w:lang w:val="en-US"/>
        </w:rPr>
        <w:t>(European Commission 2016</w:t>
      </w:r>
      <w:r w:rsidR="00525655" w:rsidRPr="008A1D07">
        <w:rPr>
          <w:rFonts w:ascii="Corbel" w:hAnsi="Corbel"/>
          <w:bCs/>
          <w:iCs/>
          <w:lang w:val="en-US"/>
        </w:rPr>
        <w:t>c</w:t>
      </w:r>
      <w:r w:rsidRPr="008A1D07">
        <w:rPr>
          <w:rFonts w:ascii="Corbel" w:hAnsi="Corbel"/>
          <w:bCs/>
          <w:iCs/>
          <w:lang w:val="en-US"/>
        </w:rPr>
        <w:t>:</w:t>
      </w:r>
      <w:r w:rsidR="00DA58A5" w:rsidRPr="008A1D07">
        <w:rPr>
          <w:rFonts w:ascii="Corbel" w:hAnsi="Corbel"/>
          <w:bCs/>
          <w:iCs/>
          <w:lang w:val="en-US"/>
        </w:rPr>
        <w:t xml:space="preserve"> </w:t>
      </w:r>
      <w:r w:rsidRPr="008A1D07">
        <w:rPr>
          <w:rFonts w:ascii="Corbel" w:hAnsi="Corbel"/>
          <w:bCs/>
          <w:iCs/>
          <w:lang w:val="en-US"/>
        </w:rPr>
        <w:t>8)</w:t>
      </w:r>
    </w:p>
    <w:p w14:paraId="0629F845" w14:textId="77777777" w:rsidR="008A1D07" w:rsidRDefault="008A1D07" w:rsidP="008A1D07">
      <w:pPr>
        <w:pStyle w:val="Didascalia"/>
        <w:jc w:val="both"/>
        <w:rPr>
          <w:rFonts w:ascii="Corbel" w:hAnsi="Corbel"/>
          <w:b/>
          <w:bCs/>
          <w:lang w:val="en-US"/>
        </w:rPr>
      </w:pPr>
    </w:p>
    <w:p w14:paraId="3A3E7234" w14:textId="77777777" w:rsidR="008A1D07" w:rsidRDefault="008A1D07" w:rsidP="008A1D07">
      <w:pPr>
        <w:pStyle w:val="Didascalia"/>
        <w:jc w:val="both"/>
        <w:rPr>
          <w:rFonts w:ascii="Corbel" w:hAnsi="Corbel"/>
          <w:b/>
          <w:bCs/>
          <w:lang w:val="en-US"/>
        </w:rPr>
      </w:pPr>
    </w:p>
    <w:p w14:paraId="61AB5636" w14:textId="77777777" w:rsidR="008A1D07" w:rsidRDefault="008A1D07" w:rsidP="008A1D07">
      <w:pPr>
        <w:pStyle w:val="Didascalia"/>
        <w:jc w:val="both"/>
        <w:rPr>
          <w:rFonts w:ascii="Corbel" w:hAnsi="Corbel"/>
          <w:b/>
          <w:bCs/>
          <w:lang w:val="en-US"/>
        </w:rPr>
      </w:pPr>
    </w:p>
    <w:p w14:paraId="69A63D95" w14:textId="77777777" w:rsidR="008A1D07" w:rsidRDefault="008A1D07" w:rsidP="008A1D07">
      <w:pPr>
        <w:pStyle w:val="Didascalia"/>
        <w:jc w:val="both"/>
        <w:rPr>
          <w:rFonts w:ascii="Corbel" w:hAnsi="Corbel"/>
          <w:b/>
          <w:bCs/>
          <w:lang w:val="en-US"/>
        </w:rPr>
      </w:pPr>
    </w:p>
    <w:p w14:paraId="63D6DB80" w14:textId="77777777" w:rsidR="008A1D07" w:rsidRDefault="008A1D07" w:rsidP="008A1D07">
      <w:pPr>
        <w:pStyle w:val="Didascalia"/>
        <w:jc w:val="both"/>
        <w:rPr>
          <w:rFonts w:ascii="Corbel" w:hAnsi="Corbel"/>
          <w:b/>
          <w:bCs/>
          <w:lang w:val="en-US"/>
        </w:rPr>
      </w:pPr>
    </w:p>
    <w:p w14:paraId="2432FDE5" w14:textId="77777777" w:rsidR="008A1D07" w:rsidRDefault="008A1D07" w:rsidP="008A1D07">
      <w:pPr>
        <w:pStyle w:val="Didascalia"/>
        <w:jc w:val="both"/>
        <w:rPr>
          <w:rFonts w:ascii="Corbel" w:hAnsi="Corbel"/>
          <w:b/>
          <w:bCs/>
          <w:lang w:val="en-US"/>
        </w:rPr>
      </w:pPr>
    </w:p>
    <w:p w14:paraId="4A84C0B5" w14:textId="77777777" w:rsidR="008A1D07" w:rsidRDefault="008A1D07" w:rsidP="008A1D07">
      <w:pPr>
        <w:pStyle w:val="Didascalia"/>
        <w:jc w:val="both"/>
        <w:rPr>
          <w:rFonts w:ascii="Corbel" w:hAnsi="Corbel"/>
          <w:b/>
          <w:bCs/>
          <w:lang w:val="en-US"/>
        </w:rPr>
      </w:pPr>
    </w:p>
    <w:p w14:paraId="295AE7C2" w14:textId="77777777" w:rsidR="008A1D07" w:rsidRDefault="008A1D07" w:rsidP="008A1D07">
      <w:pPr>
        <w:pStyle w:val="Didascalia"/>
        <w:jc w:val="both"/>
        <w:rPr>
          <w:rFonts w:ascii="Corbel" w:hAnsi="Corbel"/>
          <w:b/>
          <w:bCs/>
          <w:lang w:val="en-US"/>
        </w:rPr>
      </w:pPr>
    </w:p>
    <w:p w14:paraId="1D3DF305" w14:textId="77777777" w:rsidR="008A1D07" w:rsidRDefault="008A1D07" w:rsidP="008A1D07">
      <w:pPr>
        <w:pStyle w:val="Didascalia"/>
        <w:jc w:val="both"/>
        <w:rPr>
          <w:rFonts w:ascii="Corbel" w:hAnsi="Corbel"/>
          <w:b/>
          <w:bCs/>
          <w:lang w:val="en-US"/>
        </w:rPr>
      </w:pPr>
    </w:p>
    <w:p w14:paraId="6D0C216F" w14:textId="77777777" w:rsidR="008A1D07" w:rsidRDefault="008A1D07" w:rsidP="008A1D07">
      <w:pPr>
        <w:pStyle w:val="Didascalia"/>
        <w:jc w:val="both"/>
        <w:rPr>
          <w:rFonts w:ascii="Corbel" w:hAnsi="Corbel"/>
          <w:b/>
          <w:bCs/>
          <w:lang w:val="en-US"/>
        </w:rPr>
      </w:pPr>
    </w:p>
    <w:p w14:paraId="0980F613" w14:textId="77777777" w:rsidR="008A1D07" w:rsidRDefault="008A1D07" w:rsidP="008A1D07">
      <w:pPr>
        <w:pStyle w:val="Didascalia"/>
        <w:jc w:val="both"/>
        <w:rPr>
          <w:rFonts w:ascii="Corbel" w:hAnsi="Corbel"/>
          <w:b/>
          <w:bCs/>
          <w:lang w:val="en-US"/>
        </w:rPr>
      </w:pPr>
    </w:p>
    <w:p w14:paraId="74377F1B" w14:textId="77777777" w:rsidR="008A1D07" w:rsidRDefault="008A1D07" w:rsidP="008A1D07">
      <w:pPr>
        <w:pStyle w:val="Didascalia"/>
        <w:jc w:val="both"/>
        <w:rPr>
          <w:rFonts w:ascii="Corbel" w:hAnsi="Corbel"/>
          <w:b/>
          <w:bCs/>
          <w:lang w:val="en-US"/>
        </w:rPr>
      </w:pPr>
    </w:p>
    <w:p w14:paraId="704B440C" w14:textId="77777777" w:rsidR="008A1D07" w:rsidRDefault="008A1D07" w:rsidP="008A1D07">
      <w:pPr>
        <w:pStyle w:val="Didascalia"/>
        <w:jc w:val="both"/>
        <w:rPr>
          <w:rFonts w:ascii="Corbel" w:hAnsi="Corbel"/>
          <w:b/>
          <w:bCs/>
          <w:lang w:val="en-US"/>
        </w:rPr>
      </w:pPr>
    </w:p>
    <w:p w14:paraId="69C65D6E" w14:textId="17262990" w:rsidR="00D11997" w:rsidRPr="008A1D07" w:rsidRDefault="00DA58A5" w:rsidP="008A1D07">
      <w:pPr>
        <w:pStyle w:val="Didascalia"/>
        <w:jc w:val="both"/>
        <w:rPr>
          <w:rFonts w:ascii="Corbel" w:hAnsi="Corbel"/>
          <w:b/>
          <w:bCs/>
          <w:lang w:val="en-US"/>
        </w:rPr>
      </w:pPr>
      <w:r w:rsidRPr="008A1D07">
        <w:rPr>
          <w:rFonts w:ascii="Corbel" w:hAnsi="Corbel"/>
          <w:b/>
          <w:bCs/>
          <w:lang w:val="en-US"/>
        </w:rPr>
        <w:lastRenderedPageBreak/>
        <w:t xml:space="preserve">Figure </w:t>
      </w:r>
      <w:r w:rsidR="00D11997" w:rsidRPr="008A1D07">
        <w:rPr>
          <w:rFonts w:ascii="Corbel" w:hAnsi="Corbel"/>
          <w:b/>
          <w:bCs/>
          <w:lang w:val="en-US"/>
        </w:rPr>
        <w:t>6</w:t>
      </w:r>
      <w:r w:rsidR="008A1D07" w:rsidRPr="008A1D07">
        <w:rPr>
          <w:rFonts w:ascii="Corbel" w:hAnsi="Corbel"/>
          <w:b/>
          <w:bCs/>
          <w:lang w:val="en-US"/>
        </w:rPr>
        <w:t xml:space="preserve"> </w:t>
      </w:r>
      <w:r w:rsidR="00E474E8" w:rsidRPr="008A1D07">
        <w:rPr>
          <w:rFonts w:ascii="Corbel" w:hAnsi="Corbel"/>
          <w:b/>
          <w:bCs/>
          <w:lang w:val="en-US"/>
        </w:rPr>
        <w:t>–</w:t>
      </w:r>
      <w:r w:rsidRPr="008A1D07">
        <w:rPr>
          <w:rFonts w:ascii="Corbel" w:hAnsi="Corbel"/>
          <w:b/>
          <w:bCs/>
          <w:lang w:val="en-US"/>
        </w:rPr>
        <w:t xml:space="preserve"> </w:t>
      </w:r>
      <w:r w:rsidR="00E474E8" w:rsidRPr="008A1D07">
        <w:rPr>
          <w:rFonts w:ascii="Corbel" w:hAnsi="Corbel"/>
          <w:b/>
          <w:bCs/>
          <w:lang w:val="en-US"/>
        </w:rPr>
        <w:t>Intervention logic map of DG Employment and Social Affairs</w:t>
      </w:r>
      <w:r w:rsidR="008A1D07">
        <w:rPr>
          <w:rFonts w:ascii="Corbel" w:hAnsi="Corbel"/>
          <w:b/>
          <w:bCs/>
          <w:lang w:val="en-US"/>
        </w:rPr>
        <w:t xml:space="preserve">. </w:t>
      </w:r>
      <w:r w:rsidR="008A1D07" w:rsidRPr="008A1D07">
        <w:rPr>
          <w:rFonts w:ascii="Corbel" w:hAnsi="Corbel"/>
          <w:b/>
          <w:bCs/>
          <w:lang w:val="en-US"/>
        </w:rPr>
        <w:t>Source (European Commission, 2021 – SP DG EMPL)</w:t>
      </w:r>
    </w:p>
    <w:p w14:paraId="6B2EF7C7" w14:textId="6DED82BB" w:rsidR="00620E0F" w:rsidRPr="009722B3" w:rsidRDefault="00C1136D" w:rsidP="002F71BC">
      <w:pPr>
        <w:jc w:val="center"/>
        <w:rPr>
          <w:rFonts w:ascii="Corbel" w:hAnsi="Corbel"/>
          <w:bCs/>
          <w:iCs/>
          <w:lang w:val="en-US"/>
        </w:rPr>
      </w:pPr>
      <w:r w:rsidRPr="009722B3">
        <w:rPr>
          <w:rFonts w:ascii="Corbel" w:hAnsi="Corbel"/>
          <w:bCs/>
          <w:iCs/>
          <w:noProof/>
          <w:lang w:val="en-US"/>
        </w:rPr>
        <w:drawing>
          <wp:inline distT="0" distB="0" distL="0" distR="0" wp14:anchorId="370BD3FE" wp14:editId="4835AE74">
            <wp:extent cx="4268501" cy="3655170"/>
            <wp:effectExtent l="12700" t="12700" r="11430" b="152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5"/>
                    <a:stretch>
                      <a:fillRect/>
                    </a:stretch>
                  </pic:blipFill>
                  <pic:spPr>
                    <a:xfrm>
                      <a:off x="0" y="0"/>
                      <a:ext cx="4279256" cy="3664379"/>
                    </a:xfrm>
                    <a:prstGeom prst="rect">
                      <a:avLst/>
                    </a:prstGeom>
                    <a:ln>
                      <a:solidFill>
                        <a:schemeClr val="accent1"/>
                      </a:solidFill>
                    </a:ln>
                  </pic:spPr>
                </pic:pic>
              </a:graphicData>
            </a:graphic>
          </wp:inline>
        </w:drawing>
      </w:r>
    </w:p>
    <w:p w14:paraId="1E025B91" w14:textId="77777777" w:rsidR="00620E0F" w:rsidRPr="009722B3" w:rsidRDefault="00620E0F" w:rsidP="002F71BC">
      <w:pPr>
        <w:rPr>
          <w:rFonts w:ascii="Corbel" w:hAnsi="Corbel"/>
          <w:bCs/>
          <w:iCs/>
          <w:lang w:val="en-US"/>
        </w:rPr>
      </w:pPr>
    </w:p>
    <w:p w14:paraId="3BA3CF22" w14:textId="76EDB21B" w:rsidR="001E5A91" w:rsidRPr="00A001E0" w:rsidRDefault="001E5A91" w:rsidP="002F71BC">
      <w:pPr>
        <w:pStyle w:val="Paragrafoelenco"/>
        <w:numPr>
          <w:ilvl w:val="0"/>
          <w:numId w:val="1"/>
        </w:numPr>
        <w:spacing w:line="240" w:lineRule="auto"/>
        <w:jc w:val="both"/>
        <w:rPr>
          <w:rFonts w:ascii="Corbel" w:hAnsi="Corbel"/>
          <w:bCs/>
          <w:iCs/>
          <w:lang w:val="en-US"/>
        </w:rPr>
      </w:pPr>
      <w:r w:rsidRPr="00A001E0">
        <w:rPr>
          <w:rFonts w:ascii="Corbel" w:hAnsi="Corbel"/>
          <w:bCs/>
          <w:iCs/>
          <w:lang w:val="en-US"/>
        </w:rPr>
        <w:t>a performance framework</w:t>
      </w:r>
      <w:r w:rsidR="00A001E0">
        <w:rPr>
          <w:rFonts w:ascii="Corbel" w:hAnsi="Corbel"/>
          <w:bCs/>
          <w:iCs/>
          <w:lang w:val="en-US"/>
        </w:rPr>
        <w:t xml:space="preserve"> (figure 7)</w:t>
      </w:r>
      <w:r w:rsidRPr="00A001E0">
        <w:rPr>
          <w:rFonts w:ascii="Corbel" w:hAnsi="Corbel"/>
          <w:bCs/>
          <w:iCs/>
          <w:lang w:val="en-US"/>
        </w:rPr>
        <w:t xml:space="preserve"> defining </w:t>
      </w:r>
      <w:r w:rsidRPr="00A001E0">
        <w:rPr>
          <w:rFonts w:ascii="Corbel" w:hAnsi="Corbel"/>
          <w:bCs/>
          <w:iCs/>
          <w:lang w:val="en-GB"/>
        </w:rPr>
        <w:t xml:space="preserve">“the specific objectives under the first general objective and the corresponding indicators. Their full formulation, definition, </w:t>
      </w:r>
      <w:proofErr w:type="gramStart"/>
      <w:r w:rsidRPr="00A001E0">
        <w:rPr>
          <w:rFonts w:ascii="Corbel" w:hAnsi="Corbel"/>
          <w:bCs/>
          <w:iCs/>
          <w:lang w:val="en-GB"/>
        </w:rPr>
        <w:t>milestones</w:t>
      </w:r>
      <w:proofErr w:type="gramEnd"/>
      <w:r w:rsidRPr="00A001E0">
        <w:rPr>
          <w:rFonts w:ascii="Corbel" w:hAnsi="Corbel"/>
          <w:bCs/>
          <w:iCs/>
          <w:lang w:val="en-GB"/>
        </w:rPr>
        <w:t xml:space="preserve"> and targets are presented in annex 1</w:t>
      </w:r>
      <w:r w:rsidR="00525655" w:rsidRPr="00A001E0">
        <w:rPr>
          <w:rFonts w:ascii="Corbel" w:hAnsi="Corbel"/>
          <w:bCs/>
          <w:iCs/>
          <w:lang w:val="en-GB"/>
        </w:rPr>
        <w:t>.</w:t>
      </w:r>
      <w:r w:rsidRPr="00A001E0">
        <w:rPr>
          <w:rFonts w:ascii="Corbel" w:hAnsi="Corbel"/>
          <w:bCs/>
          <w:iCs/>
          <w:lang w:val="en-GB"/>
        </w:rPr>
        <w:t xml:space="preserve">” </w:t>
      </w:r>
      <w:r w:rsidRPr="00A001E0">
        <w:rPr>
          <w:rFonts w:ascii="Corbel" w:hAnsi="Corbel"/>
          <w:bCs/>
          <w:iCs/>
          <w:lang w:val="en-US"/>
        </w:rPr>
        <w:t>(European Commission 2016</w:t>
      </w:r>
      <w:r w:rsidR="00525655" w:rsidRPr="00A001E0">
        <w:rPr>
          <w:rFonts w:ascii="Corbel" w:hAnsi="Corbel"/>
          <w:bCs/>
          <w:iCs/>
          <w:lang w:val="en-US"/>
        </w:rPr>
        <w:t>c</w:t>
      </w:r>
      <w:r w:rsidRPr="00A001E0">
        <w:rPr>
          <w:rFonts w:ascii="Corbel" w:hAnsi="Corbel"/>
          <w:bCs/>
          <w:iCs/>
          <w:lang w:val="en-US"/>
        </w:rPr>
        <w:t>)</w:t>
      </w:r>
      <w:r w:rsidRPr="00A001E0">
        <w:rPr>
          <w:rFonts w:ascii="Corbel" w:hAnsi="Corbel"/>
          <w:bCs/>
          <w:iCs/>
          <w:lang w:val="en-GB"/>
        </w:rPr>
        <w:t xml:space="preserve"> </w:t>
      </w:r>
    </w:p>
    <w:p w14:paraId="72471214" w14:textId="0D2FCF5D" w:rsidR="00827707" w:rsidRPr="00A001E0" w:rsidRDefault="00827707" w:rsidP="00A001E0">
      <w:pPr>
        <w:pStyle w:val="Didascalia"/>
        <w:jc w:val="both"/>
        <w:rPr>
          <w:rFonts w:ascii="Corbel" w:hAnsi="Corbel"/>
          <w:b/>
          <w:bCs/>
          <w:lang w:val="en-US"/>
        </w:rPr>
      </w:pPr>
      <w:r w:rsidRPr="00A001E0">
        <w:rPr>
          <w:rFonts w:ascii="Corbel" w:hAnsi="Corbel"/>
          <w:b/>
          <w:bCs/>
          <w:lang w:val="en-US"/>
        </w:rPr>
        <w:t xml:space="preserve">Figure </w:t>
      </w:r>
      <w:r w:rsidR="00A001E0" w:rsidRPr="00A001E0">
        <w:rPr>
          <w:rFonts w:ascii="Corbel" w:hAnsi="Corbel"/>
          <w:b/>
          <w:bCs/>
          <w:lang w:val="en-US"/>
        </w:rPr>
        <w:t>7</w:t>
      </w:r>
      <w:r w:rsidRPr="00A001E0">
        <w:rPr>
          <w:rFonts w:ascii="Corbel" w:hAnsi="Corbel"/>
          <w:b/>
          <w:bCs/>
          <w:lang w:val="en-US"/>
        </w:rPr>
        <w:t xml:space="preserve"> – Performance framework of the DG Employment and Social Affairs</w:t>
      </w:r>
      <w:r w:rsidR="00A001E0">
        <w:rPr>
          <w:rFonts w:ascii="Corbel" w:hAnsi="Corbel"/>
          <w:b/>
          <w:bCs/>
          <w:lang w:val="en-US"/>
        </w:rPr>
        <w:t xml:space="preserve">. </w:t>
      </w:r>
      <w:r w:rsidR="00A001E0" w:rsidRPr="00A001E0">
        <w:rPr>
          <w:rFonts w:ascii="Corbel" w:hAnsi="Corbel"/>
          <w:b/>
          <w:bCs/>
          <w:lang w:val="en-US"/>
        </w:rPr>
        <w:t>Source (European Commission, 2021 – SP DG EMPL)</w:t>
      </w:r>
    </w:p>
    <w:p w14:paraId="64AF2C38" w14:textId="081F3196" w:rsidR="00D11997" w:rsidRPr="009722B3" w:rsidRDefault="00620E0F" w:rsidP="002F71BC">
      <w:pPr>
        <w:jc w:val="center"/>
        <w:rPr>
          <w:rFonts w:ascii="Corbel" w:hAnsi="Corbel"/>
          <w:bCs/>
          <w:iCs/>
          <w:lang w:val="en-US"/>
        </w:rPr>
      </w:pPr>
      <w:r w:rsidRPr="009722B3">
        <w:rPr>
          <w:rFonts w:ascii="Corbel" w:hAnsi="Corbel"/>
          <w:bCs/>
          <w:iCs/>
          <w:noProof/>
          <w:lang w:val="en-US"/>
        </w:rPr>
        <w:drawing>
          <wp:inline distT="0" distB="0" distL="0" distR="0" wp14:anchorId="2FBE0921" wp14:editId="44CE53C3">
            <wp:extent cx="4338691" cy="3473836"/>
            <wp:effectExtent l="0" t="0" r="508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6"/>
                    <a:stretch>
                      <a:fillRect/>
                    </a:stretch>
                  </pic:blipFill>
                  <pic:spPr>
                    <a:xfrm>
                      <a:off x="0" y="0"/>
                      <a:ext cx="4349989" cy="3482882"/>
                    </a:xfrm>
                    <a:prstGeom prst="rect">
                      <a:avLst/>
                    </a:prstGeom>
                  </pic:spPr>
                </pic:pic>
              </a:graphicData>
            </a:graphic>
          </wp:inline>
        </w:drawing>
      </w:r>
    </w:p>
    <w:p w14:paraId="70D4BDB7" w14:textId="77777777" w:rsidR="00620E0F" w:rsidRPr="009722B3" w:rsidRDefault="00620E0F" w:rsidP="002F71BC">
      <w:pPr>
        <w:rPr>
          <w:rFonts w:ascii="Corbel" w:hAnsi="Corbel"/>
          <w:bCs/>
          <w:iCs/>
          <w:lang w:val="en-US"/>
        </w:rPr>
      </w:pPr>
    </w:p>
    <w:p w14:paraId="7C098654" w14:textId="61BFE74D" w:rsidR="001E5A91" w:rsidRPr="00A001E0" w:rsidRDefault="001E5A91" w:rsidP="002F71BC">
      <w:pPr>
        <w:jc w:val="both"/>
        <w:rPr>
          <w:rFonts w:ascii="Corbel" w:hAnsi="Corbel"/>
          <w:bCs/>
          <w:iCs/>
          <w:sz w:val="22"/>
          <w:szCs w:val="22"/>
          <w:lang w:val="en-US"/>
        </w:rPr>
      </w:pPr>
      <w:r w:rsidRPr="00A001E0">
        <w:rPr>
          <w:rFonts w:ascii="Corbel" w:hAnsi="Corbel"/>
          <w:sz w:val="22"/>
          <w:szCs w:val="22"/>
          <w:lang w:val="en-US"/>
        </w:rPr>
        <w:t>T</w:t>
      </w:r>
      <w:r w:rsidRPr="00A001E0">
        <w:rPr>
          <w:rFonts w:ascii="Corbel" w:hAnsi="Corbel"/>
          <w:bCs/>
          <w:iCs/>
          <w:sz w:val="22"/>
          <w:szCs w:val="22"/>
          <w:lang w:val="en-US"/>
        </w:rPr>
        <w:t>he impact indicators</w:t>
      </w:r>
      <w:r w:rsidR="00620E0F" w:rsidRPr="00A001E0">
        <w:rPr>
          <w:rFonts w:ascii="Corbel" w:hAnsi="Corbel"/>
          <w:bCs/>
          <w:iCs/>
          <w:sz w:val="22"/>
          <w:szCs w:val="22"/>
          <w:lang w:val="en-US"/>
        </w:rPr>
        <w:t xml:space="preserve"> associated to the Commission priorities</w:t>
      </w:r>
      <w:r w:rsidRPr="00A001E0">
        <w:rPr>
          <w:rFonts w:ascii="Corbel" w:hAnsi="Corbel"/>
          <w:bCs/>
          <w:iCs/>
          <w:sz w:val="22"/>
          <w:szCs w:val="22"/>
          <w:lang w:val="en-US"/>
        </w:rPr>
        <w:t xml:space="preserve"> should provide a measure of the outcome of the DG action, beyond the immediate effect. Consequently, outcomes are evaluated at the end of the five-</w:t>
      </w:r>
      <w:r w:rsidRPr="00A001E0">
        <w:rPr>
          <w:rFonts w:ascii="Corbel" w:hAnsi="Corbel"/>
          <w:bCs/>
          <w:iCs/>
          <w:sz w:val="22"/>
          <w:szCs w:val="22"/>
          <w:lang w:val="en-US"/>
        </w:rPr>
        <w:lastRenderedPageBreak/>
        <w:t>year strategic cycle</w:t>
      </w:r>
      <w:r w:rsidRPr="00A001E0">
        <w:rPr>
          <w:rStyle w:val="Rimandonotadichiusura"/>
          <w:rFonts w:ascii="Corbel" w:hAnsi="Corbel"/>
          <w:bCs/>
          <w:iCs/>
          <w:sz w:val="22"/>
          <w:szCs w:val="22"/>
          <w:lang w:val="en-US"/>
        </w:rPr>
        <w:endnoteReference w:id="20"/>
      </w:r>
      <w:r w:rsidRPr="00A001E0">
        <w:rPr>
          <w:rFonts w:ascii="Corbel" w:hAnsi="Corbel"/>
          <w:bCs/>
          <w:iCs/>
          <w:sz w:val="22"/>
          <w:szCs w:val="22"/>
          <w:lang w:val="en-US"/>
        </w:rPr>
        <w:t xml:space="preserve">. As outlined above, the delivery of the results and impacts are subject to several exogenous factors, which complicate the identification of the specific contribution of the </w:t>
      </w:r>
      <w:r w:rsidRPr="00A001E0">
        <w:rPr>
          <w:rFonts w:ascii="Corbel" w:hAnsi="Corbel"/>
          <w:bCs/>
          <w:iCs/>
          <w:sz w:val="22"/>
          <w:szCs w:val="22"/>
          <w:lang w:val="en-GB"/>
        </w:rPr>
        <w:t xml:space="preserve">EU policy actions in the wider macro-economic context. </w:t>
      </w:r>
      <w:r w:rsidR="00015BC6" w:rsidRPr="00A001E0">
        <w:rPr>
          <w:rFonts w:ascii="Corbel" w:hAnsi="Corbel"/>
          <w:bCs/>
          <w:iCs/>
          <w:sz w:val="22"/>
          <w:szCs w:val="22"/>
          <w:lang w:val="en-GB"/>
        </w:rPr>
        <w:t xml:space="preserve">In </w:t>
      </w:r>
      <w:r w:rsidR="00A116D2" w:rsidRPr="00A001E0">
        <w:rPr>
          <w:rFonts w:ascii="Corbel" w:hAnsi="Corbel"/>
          <w:bCs/>
          <w:iCs/>
          <w:sz w:val="22"/>
          <w:szCs w:val="22"/>
          <w:lang w:val="en-GB"/>
        </w:rPr>
        <w:t>addition,</w:t>
      </w:r>
      <w:r w:rsidR="00213BDB" w:rsidRPr="00A001E0">
        <w:rPr>
          <w:rFonts w:ascii="Corbel" w:hAnsi="Corbel"/>
          <w:bCs/>
          <w:iCs/>
          <w:sz w:val="22"/>
          <w:szCs w:val="22"/>
          <w:lang w:val="en-GB"/>
        </w:rPr>
        <w:t xml:space="preserve"> some of the objectives and indicators are linked to the implementation of the EU spending programs </w:t>
      </w:r>
      <w:r w:rsidR="00213BDB" w:rsidRPr="00A001E0">
        <w:rPr>
          <w:rFonts w:ascii="Corbel" w:hAnsi="Corbel"/>
          <w:sz w:val="22"/>
          <w:szCs w:val="22"/>
          <w:lang w:val="en-GB"/>
        </w:rPr>
        <w:t xml:space="preserve">implemented through shared management with the Member States on which the DG has limited control </w:t>
      </w:r>
      <w:r w:rsidR="00213BDB" w:rsidRPr="00A001E0">
        <w:rPr>
          <w:rFonts w:ascii="Corbel" w:hAnsi="Corbel"/>
          <w:bCs/>
          <w:iCs/>
          <w:sz w:val="22"/>
          <w:szCs w:val="22"/>
          <w:lang w:val="en-GB"/>
        </w:rPr>
        <w:t>(European Commission, 2021 – SP DG EMPL).</w:t>
      </w:r>
      <w:r w:rsidR="00A116D2" w:rsidRPr="00A001E0">
        <w:rPr>
          <w:rFonts w:ascii="Corbel" w:hAnsi="Corbel"/>
          <w:bCs/>
          <w:iCs/>
          <w:sz w:val="22"/>
          <w:szCs w:val="22"/>
          <w:lang w:val="en-GB"/>
        </w:rPr>
        <w:t xml:space="preserve"> </w:t>
      </w:r>
      <w:r w:rsidRPr="00A001E0">
        <w:rPr>
          <w:rFonts w:ascii="Corbel" w:hAnsi="Corbel"/>
          <w:bCs/>
          <w:iCs/>
          <w:sz w:val="22"/>
          <w:szCs w:val="22"/>
          <w:lang w:val="en-US"/>
        </w:rPr>
        <w:t>Among the external factors influencing the impact of their actions, several DGs identified the capacities of the member state administrations to effectively managing the EU spending programs (European Commission 2015</w:t>
      </w:r>
      <w:r w:rsidR="003A5218" w:rsidRPr="00A001E0">
        <w:rPr>
          <w:rFonts w:ascii="Corbel" w:hAnsi="Corbel"/>
          <w:bCs/>
          <w:iCs/>
          <w:sz w:val="22"/>
          <w:szCs w:val="22"/>
          <w:lang w:val="en-US"/>
        </w:rPr>
        <w:t>d</w:t>
      </w:r>
      <w:r w:rsidRPr="00A001E0">
        <w:rPr>
          <w:rFonts w:ascii="Corbel" w:hAnsi="Corbel"/>
          <w:bCs/>
          <w:iCs/>
          <w:sz w:val="22"/>
          <w:szCs w:val="22"/>
          <w:lang w:val="en-US"/>
        </w:rPr>
        <w:t xml:space="preserve">). </w:t>
      </w:r>
    </w:p>
    <w:p w14:paraId="14733450" w14:textId="30F6A186" w:rsidR="001E5A91" w:rsidRPr="00A001E0" w:rsidRDefault="001E5A91" w:rsidP="002F71BC">
      <w:pPr>
        <w:jc w:val="both"/>
        <w:rPr>
          <w:rFonts w:ascii="Corbel" w:hAnsi="Corbel"/>
          <w:bCs/>
          <w:iCs/>
          <w:sz w:val="22"/>
          <w:szCs w:val="22"/>
          <w:lang w:val="en-US"/>
        </w:rPr>
      </w:pPr>
      <w:r w:rsidRPr="00A001E0">
        <w:rPr>
          <w:rFonts w:ascii="Corbel" w:hAnsi="Corbel"/>
          <w:bCs/>
          <w:iCs/>
          <w:sz w:val="22"/>
          <w:szCs w:val="22"/>
          <w:lang w:val="en-US"/>
        </w:rPr>
        <w:t xml:space="preserve">The fourth </w:t>
      </w:r>
      <w:r w:rsidR="00E07808" w:rsidRPr="00A001E0">
        <w:rPr>
          <w:rFonts w:ascii="Corbel" w:hAnsi="Corbel"/>
          <w:bCs/>
          <w:iCs/>
          <w:sz w:val="22"/>
          <w:szCs w:val="22"/>
          <w:lang w:val="en-US"/>
        </w:rPr>
        <w:t>section</w:t>
      </w:r>
      <w:r w:rsidRPr="00A001E0">
        <w:rPr>
          <w:rFonts w:ascii="Corbel" w:hAnsi="Corbel"/>
          <w:bCs/>
          <w:iCs/>
          <w:sz w:val="22"/>
          <w:szCs w:val="22"/>
          <w:lang w:val="en-US"/>
        </w:rPr>
        <w:t xml:space="preserve"> of the strategic plan consists of a selection of Key Performance Indicators (KPI) monitoring the core aspects of the DGs’ policies. They are selected to better represent the ability of the DG to deliver the identified challenges. The KPIs are directly linked to the ten </w:t>
      </w:r>
      <w:r w:rsidR="002623D4" w:rsidRPr="00A001E0">
        <w:rPr>
          <w:rFonts w:ascii="Corbel" w:hAnsi="Corbel"/>
          <w:bCs/>
          <w:iCs/>
          <w:sz w:val="22"/>
          <w:szCs w:val="22"/>
          <w:lang w:val="en-US"/>
        </w:rPr>
        <w:t xml:space="preserve">European </w:t>
      </w:r>
      <w:r w:rsidRPr="00A001E0">
        <w:rPr>
          <w:rFonts w:ascii="Corbel" w:hAnsi="Corbel"/>
          <w:bCs/>
          <w:iCs/>
          <w:sz w:val="22"/>
          <w:szCs w:val="22"/>
          <w:lang w:val="en-US"/>
        </w:rPr>
        <w:t xml:space="preserve">Commission political objectives and indirectly to the five objectives and targets of the Europe 2020 strategy or relevant objectives set by other EU Regulations or EU spending programs. </w:t>
      </w:r>
      <w:r w:rsidR="000E51D0">
        <w:rPr>
          <w:rFonts w:ascii="Corbel" w:hAnsi="Corbel"/>
          <w:bCs/>
          <w:iCs/>
          <w:sz w:val="22"/>
          <w:szCs w:val="22"/>
          <w:lang w:val="en-US"/>
        </w:rPr>
        <w:t xml:space="preserve">Figure 8 </w:t>
      </w:r>
      <w:r w:rsidRPr="00A001E0">
        <w:rPr>
          <w:rFonts w:ascii="Corbel" w:hAnsi="Corbel"/>
          <w:bCs/>
          <w:iCs/>
          <w:sz w:val="22"/>
          <w:szCs w:val="22"/>
          <w:lang w:val="en-US"/>
        </w:rPr>
        <w:t xml:space="preserve">shows an example of KPIs included in the Strategic Plan (SP) of the DG Regional and Urban Policies. </w:t>
      </w:r>
    </w:p>
    <w:p w14:paraId="5B5ED15A" w14:textId="77777777" w:rsidR="00D11997" w:rsidRPr="009722B3" w:rsidRDefault="00D11997" w:rsidP="002F71BC">
      <w:pPr>
        <w:rPr>
          <w:rFonts w:ascii="Corbel" w:hAnsi="Corbel"/>
          <w:bCs/>
          <w:iCs/>
          <w:lang w:val="en-US"/>
        </w:rPr>
      </w:pPr>
    </w:p>
    <w:p w14:paraId="59D43D82" w14:textId="4FD22E94" w:rsidR="00E07808" w:rsidRPr="000E51D0" w:rsidRDefault="000E51D0" w:rsidP="000E51D0">
      <w:pPr>
        <w:pStyle w:val="Didascalia"/>
        <w:jc w:val="both"/>
        <w:rPr>
          <w:rFonts w:ascii="Corbel" w:hAnsi="Corbel"/>
          <w:b/>
          <w:bCs/>
          <w:lang w:val="en-US"/>
        </w:rPr>
      </w:pPr>
      <w:r w:rsidRPr="000E51D0">
        <w:rPr>
          <w:rFonts w:ascii="Corbel" w:hAnsi="Corbel"/>
          <w:b/>
          <w:bCs/>
          <w:lang w:val="en-US"/>
        </w:rPr>
        <w:t>Figure 8</w:t>
      </w:r>
      <w:r w:rsidR="00A31A75" w:rsidRPr="000E51D0">
        <w:rPr>
          <w:rFonts w:ascii="Corbel" w:hAnsi="Corbel"/>
          <w:b/>
          <w:bCs/>
          <w:lang w:val="en-US"/>
        </w:rPr>
        <w:t xml:space="preserve"> – The Key Performance Indicators (KPI) of the DG Regional and Urban Policy </w:t>
      </w:r>
      <w:r w:rsidR="001E5A91" w:rsidRPr="000E51D0">
        <w:rPr>
          <w:b/>
          <w:vertAlign w:val="superscript"/>
        </w:rPr>
        <w:endnoteReference w:id="21"/>
      </w:r>
    </w:p>
    <w:p w14:paraId="7DC2E7B9" w14:textId="35E5B971" w:rsidR="00E07808" w:rsidRPr="009722B3" w:rsidRDefault="00E07808" w:rsidP="002F71BC">
      <w:pPr>
        <w:jc w:val="center"/>
        <w:rPr>
          <w:rFonts w:ascii="Corbel" w:hAnsi="Corbel"/>
          <w:lang w:val="en-US"/>
        </w:rPr>
      </w:pPr>
      <w:r w:rsidRPr="009722B3">
        <w:rPr>
          <w:rFonts w:ascii="Corbel" w:hAnsi="Corbel"/>
          <w:noProof/>
          <w:lang w:val="en-US"/>
        </w:rPr>
        <w:drawing>
          <wp:inline distT="0" distB="0" distL="0" distR="0" wp14:anchorId="4907FEF0" wp14:editId="4ECBA280">
            <wp:extent cx="3476487" cy="2377452"/>
            <wp:effectExtent l="12700" t="12700" r="16510" b="10160"/>
            <wp:docPr id="4" name="Immagine 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avolo&#10;&#10;Descrizione generata automaticamente"/>
                    <pic:cNvPicPr/>
                  </pic:nvPicPr>
                  <pic:blipFill>
                    <a:blip r:embed="rId17"/>
                    <a:stretch>
                      <a:fillRect/>
                    </a:stretch>
                  </pic:blipFill>
                  <pic:spPr>
                    <a:xfrm>
                      <a:off x="0" y="0"/>
                      <a:ext cx="3484926" cy="2383223"/>
                    </a:xfrm>
                    <a:prstGeom prst="rect">
                      <a:avLst/>
                    </a:prstGeom>
                    <a:ln>
                      <a:solidFill>
                        <a:schemeClr val="accent1"/>
                      </a:solidFill>
                    </a:ln>
                  </pic:spPr>
                </pic:pic>
              </a:graphicData>
            </a:graphic>
          </wp:inline>
        </w:drawing>
      </w:r>
    </w:p>
    <w:p w14:paraId="3A7D331B" w14:textId="77777777" w:rsidR="001E5A91" w:rsidRPr="009722B3" w:rsidRDefault="001E5A91" w:rsidP="002F71BC">
      <w:pPr>
        <w:jc w:val="both"/>
        <w:rPr>
          <w:rFonts w:ascii="Corbel" w:hAnsi="Corbel"/>
          <w:bCs/>
          <w:iCs/>
          <w:lang w:val="en-US"/>
        </w:rPr>
      </w:pPr>
    </w:p>
    <w:p w14:paraId="701E76D6" w14:textId="0CABAC92" w:rsidR="001E5A91" w:rsidRPr="000E51D0" w:rsidRDefault="001E5A91" w:rsidP="002F71BC">
      <w:pPr>
        <w:jc w:val="both"/>
        <w:rPr>
          <w:rFonts w:ascii="Corbel" w:hAnsi="Corbel"/>
          <w:bCs/>
          <w:iCs/>
          <w:sz w:val="22"/>
          <w:szCs w:val="22"/>
          <w:lang w:val="en-US"/>
        </w:rPr>
      </w:pPr>
      <w:r w:rsidRPr="000E51D0">
        <w:rPr>
          <w:rFonts w:ascii="Corbel" w:hAnsi="Corbel"/>
          <w:bCs/>
          <w:iCs/>
          <w:sz w:val="22"/>
          <w:szCs w:val="22"/>
          <w:lang w:val="en-US"/>
        </w:rPr>
        <w:t xml:space="preserve">The </w:t>
      </w:r>
      <w:r w:rsidR="00E07808" w:rsidRPr="000E51D0">
        <w:rPr>
          <w:rFonts w:ascii="Corbel" w:hAnsi="Corbel"/>
          <w:bCs/>
          <w:iCs/>
          <w:sz w:val="22"/>
          <w:szCs w:val="22"/>
          <w:lang w:val="en-US"/>
        </w:rPr>
        <w:t>second</w:t>
      </w:r>
      <w:r w:rsidRPr="000E51D0">
        <w:rPr>
          <w:rFonts w:ascii="Corbel" w:hAnsi="Corbel"/>
          <w:bCs/>
          <w:iCs/>
          <w:sz w:val="22"/>
          <w:szCs w:val="22"/>
          <w:lang w:val="en-US"/>
        </w:rPr>
        <w:t xml:space="preserve"> </w:t>
      </w:r>
      <w:r w:rsidR="00E07808" w:rsidRPr="000E51D0">
        <w:rPr>
          <w:rFonts w:ascii="Corbel" w:hAnsi="Corbel"/>
          <w:bCs/>
          <w:iCs/>
          <w:sz w:val="22"/>
          <w:szCs w:val="22"/>
          <w:lang w:val="en-US"/>
        </w:rPr>
        <w:t>part</w:t>
      </w:r>
      <w:r w:rsidRPr="000E51D0">
        <w:rPr>
          <w:rFonts w:ascii="Corbel" w:hAnsi="Corbel"/>
          <w:bCs/>
          <w:iCs/>
          <w:sz w:val="22"/>
          <w:szCs w:val="22"/>
          <w:lang w:val="en-US"/>
        </w:rPr>
        <w:t xml:space="preserve"> of the Management Plans is related to organizational management. This includes the identification of the organizational components necessary for the execution of the DGs strategy plan. For all DGs the main components include (European Commission 2016</w:t>
      </w:r>
      <w:r w:rsidR="00525655" w:rsidRPr="000E51D0">
        <w:rPr>
          <w:rFonts w:ascii="Corbel" w:hAnsi="Corbel"/>
          <w:bCs/>
          <w:iCs/>
          <w:sz w:val="22"/>
          <w:szCs w:val="22"/>
          <w:lang w:val="en-US"/>
        </w:rPr>
        <w:t>a</w:t>
      </w:r>
      <w:r w:rsidRPr="000E51D0">
        <w:rPr>
          <w:rFonts w:ascii="Corbel" w:hAnsi="Corbel"/>
          <w:bCs/>
          <w:iCs/>
          <w:sz w:val="22"/>
          <w:szCs w:val="22"/>
          <w:lang w:val="en-US"/>
        </w:rPr>
        <w:t>):</w:t>
      </w:r>
    </w:p>
    <w:p w14:paraId="5BC1DC63" w14:textId="77777777" w:rsidR="001E5A91" w:rsidRPr="000E51D0" w:rsidRDefault="001E5A91" w:rsidP="000E51D0">
      <w:pPr>
        <w:pStyle w:val="Paragrafoelenco"/>
        <w:numPr>
          <w:ilvl w:val="1"/>
          <w:numId w:val="10"/>
        </w:numPr>
        <w:spacing w:line="240" w:lineRule="auto"/>
        <w:ind w:left="709"/>
        <w:jc w:val="both"/>
        <w:rPr>
          <w:rFonts w:ascii="Corbel" w:hAnsi="Corbel"/>
          <w:bCs/>
          <w:iCs/>
          <w:lang w:val="en-US"/>
        </w:rPr>
      </w:pPr>
      <w:r w:rsidRPr="000E51D0">
        <w:rPr>
          <w:rFonts w:ascii="Corbel" w:hAnsi="Corbel"/>
          <w:bCs/>
          <w:iCs/>
          <w:lang w:val="en-US"/>
        </w:rPr>
        <w:t>Human Resource Management</w:t>
      </w:r>
    </w:p>
    <w:p w14:paraId="3730AA7E" w14:textId="460E5CA0" w:rsidR="001E5A91" w:rsidRPr="000E51D0" w:rsidRDefault="00E07808" w:rsidP="000E51D0">
      <w:pPr>
        <w:pStyle w:val="Paragrafoelenco"/>
        <w:numPr>
          <w:ilvl w:val="1"/>
          <w:numId w:val="10"/>
        </w:numPr>
        <w:spacing w:line="240" w:lineRule="auto"/>
        <w:ind w:left="709"/>
        <w:jc w:val="both"/>
        <w:rPr>
          <w:rFonts w:ascii="Corbel" w:hAnsi="Corbel"/>
          <w:bCs/>
          <w:iCs/>
          <w:lang w:val="en-US"/>
        </w:rPr>
      </w:pPr>
      <w:r w:rsidRPr="000E51D0">
        <w:rPr>
          <w:rFonts w:ascii="Corbel" w:hAnsi="Corbel"/>
          <w:bCs/>
          <w:iCs/>
          <w:lang w:val="en-US"/>
        </w:rPr>
        <w:t>Sound and Financial Management</w:t>
      </w:r>
    </w:p>
    <w:p w14:paraId="61096629" w14:textId="0B52AF85" w:rsidR="001E5A91" w:rsidRPr="000E51D0" w:rsidRDefault="00E07808" w:rsidP="000E51D0">
      <w:pPr>
        <w:pStyle w:val="Paragrafoelenco"/>
        <w:numPr>
          <w:ilvl w:val="1"/>
          <w:numId w:val="10"/>
        </w:numPr>
        <w:spacing w:line="240" w:lineRule="auto"/>
        <w:ind w:left="709"/>
        <w:jc w:val="both"/>
        <w:rPr>
          <w:rFonts w:ascii="Corbel" w:hAnsi="Corbel"/>
          <w:bCs/>
          <w:iCs/>
          <w:lang w:val="en-US"/>
        </w:rPr>
      </w:pPr>
      <w:r w:rsidRPr="000E51D0">
        <w:rPr>
          <w:rFonts w:ascii="Corbel" w:hAnsi="Corbel"/>
          <w:bCs/>
          <w:iCs/>
          <w:lang w:val="en-US"/>
        </w:rPr>
        <w:t>Fraud and Risk Management</w:t>
      </w:r>
    </w:p>
    <w:p w14:paraId="40A10A30" w14:textId="0E563784" w:rsidR="001E5A91" w:rsidRPr="000E51D0" w:rsidRDefault="001E5A91" w:rsidP="000E51D0">
      <w:pPr>
        <w:pStyle w:val="Paragrafoelenco"/>
        <w:numPr>
          <w:ilvl w:val="1"/>
          <w:numId w:val="10"/>
        </w:numPr>
        <w:spacing w:line="240" w:lineRule="auto"/>
        <w:ind w:left="709"/>
        <w:jc w:val="both"/>
        <w:rPr>
          <w:rFonts w:ascii="Corbel" w:hAnsi="Corbel"/>
          <w:bCs/>
          <w:iCs/>
          <w:lang w:val="en-US"/>
        </w:rPr>
      </w:pPr>
      <w:r w:rsidRPr="000E51D0">
        <w:rPr>
          <w:rFonts w:ascii="Corbel" w:hAnsi="Corbel"/>
          <w:bCs/>
          <w:iCs/>
          <w:lang w:val="en-US"/>
        </w:rPr>
        <w:t xml:space="preserve"> </w:t>
      </w:r>
      <w:r w:rsidR="00E07808" w:rsidRPr="000E51D0">
        <w:rPr>
          <w:rFonts w:ascii="Corbel" w:hAnsi="Corbel"/>
          <w:bCs/>
          <w:iCs/>
          <w:lang w:val="en-US"/>
        </w:rPr>
        <w:t xml:space="preserve">Digital Transformation and </w:t>
      </w:r>
      <w:r w:rsidRPr="000E51D0">
        <w:rPr>
          <w:rFonts w:ascii="Corbel" w:hAnsi="Corbel"/>
          <w:bCs/>
          <w:iCs/>
          <w:lang w:val="en-US"/>
        </w:rPr>
        <w:t xml:space="preserve">Information management </w:t>
      </w:r>
    </w:p>
    <w:p w14:paraId="7D109E5D" w14:textId="55BEAB1B" w:rsidR="001E5A91" w:rsidRPr="000E51D0" w:rsidRDefault="00E07808" w:rsidP="000E51D0">
      <w:pPr>
        <w:pStyle w:val="Paragrafoelenco"/>
        <w:numPr>
          <w:ilvl w:val="1"/>
          <w:numId w:val="10"/>
        </w:numPr>
        <w:spacing w:line="240" w:lineRule="auto"/>
        <w:ind w:left="709"/>
        <w:jc w:val="both"/>
        <w:rPr>
          <w:rFonts w:ascii="Corbel" w:hAnsi="Corbel"/>
          <w:bCs/>
          <w:iCs/>
          <w:lang w:val="en-US"/>
        </w:rPr>
      </w:pPr>
      <w:r w:rsidRPr="000E51D0">
        <w:rPr>
          <w:rFonts w:ascii="Corbel" w:hAnsi="Corbel"/>
          <w:bCs/>
          <w:iCs/>
          <w:lang w:val="en-US"/>
        </w:rPr>
        <w:t>Sound environmental ma</w:t>
      </w:r>
      <w:r w:rsidR="002C1448" w:rsidRPr="000E51D0">
        <w:rPr>
          <w:rFonts w:ascii="Corbel" w:hAnsi="Corbel"/>
          <w:bCs/>
          <w:iCs/>
          <w:lang w:val="en-US"/>
        </w:rPr>
        <w:t>n</w:t>
      </w:r>
      <w:r w:rsidRPr="000E51D0">
        <w:rPr>
          <w:rFonts w:ascii="Corbel" w:hAnsi="Corbel"/>
          <w:bCs/>
          <w:iCs/>
          <w:lang w:val="en-US"/>
        </w:rPr>
        <w:t>agement</w:t>
      </w:r>
    </w:p>
    <w:p w14:paraId="4A16B474" w14:textId="63BD8DFF" w:rsidR="001E5A91" w:rsidRPr="000E51D0" w:rsidRDefault="001E5A91" w:rsidP="002F71BC">
      <w:pPr>
        <w:jc w:val="both"/>
        <w:rPr>
          <w:rFonts w:ascii="Corbel" w:hAnsi="Corbel"/>
          <w:bCs/>
          <w:iCs/>
          <w:sz w:val="22"/>
          <w:szCs w:val="22"/>
          <w:lang w:val="en-US"/>
        </w:rPr>
      </w:pPr>
      <w:r w:rsidRPr="000E51D0">
        <w:rPr>
          <w:rFonts w:ascii="Corbel" w:hAnsi="Corbel"/>
          <w:bCs/>
          <w:iCs/>
          <w:sz w:val="22"/>
          <w:szCs w:val="22"/>
          <w:lang w:val="en-US"/>
        </w:rPr>
        <w:t xml:space="preserve">For each component, several objectives and output indicators are identified, including the verification source, the baseline, and a long-time perspective target. The objectives set in this section mainly aim at increasing the efficiency of DG’s internal processes in the key strategic areas as well to contribute to the policy achievements. </w:t>
      </w:r>
    </w:p>
    <w:p w14:paraId="64159D82" w14:textId="490C8B4F" w:rsidR="001E5A91" w:rsidRPr="000E51D0" w:rsidRDefault="001E5A91" w:rsidP="002F71BC">
      <w:pPr>
        <w:jc w:val="both"/>
        <w:rPr>
          <w:rFonts w:ascii="Corbel" w:hAnsi="Corbel"/>
          <w:sz w:val="22"/>
          <w:szCs w:val="22"/>
          <w:lang w:val="en-US"/>
        </w:rPr>
      </w:pPr>
      <w:r w:rsidRPr="000E51D0">
        <w:rPr>
          <w:rFonts w:ascii="Corbel" w:hAnsi="Corbel"/>
          <w:bCs/>
          <w:iCs/>
          <w:sz w:val="22"/>
          <w:szCs w:val="22"/>
          <w:lang w:val="en-US"/>
        </w:rPr>
        <w:t xml:space="preserve">The second document elaborated at the DG level is the </w:t>
      </w:r>
      <w:r w:rsidR="00E35483" w:rsidRPr="000E51D0">
        <w:rPr>
          <w:rFonts w:ascii="Corbel" w:hAnsi="Corbel"/>
          <w:bCs/>
          <w:iCs/>
          <w:sz w:val="22"/>
          <w:szCs w:val="22"/>
          <w:lang w:val="en-US"/>
        </w:rPr>
        <w:t>A</w:t>
      </w:r>
      <w:r w:rsidRPr="000E51D0">
        <w:rPr>
          <w:rFonts w:ascii="Corbel" w:hAnsi="Corbel"/>
          <w:bCs/>
          <w:iCs/>
          <w:sz w:val="22"/>
          <w:szCs w:val="22"/>
          <w:lang w:val="en-US"/>
        </w:rPr>
        <w:t xml:space="preserve">nnual Management Plan. This latter </w:t>
      </w:r>
      <w:r w:rsidRPr="000E51D0">
        <w:rPr>
          <w:rFonts w:ascii="Corbel" w:hAnsi="Corbel"/>
          <w:sz w:val="22"/>
          <w:szCs w:val="22"/>
          <w:lang w:val="en-US"/>
        </w:rPr>
        <w:t xml:space="preserve">describes the actions of the DG for the year, and how these latter contribute to the achievement of the DG's multiannual specific objectives set in the Strategic Plans. The </w:t>
      </w:r>
      <w:r w:rsidR="00E35483" w:rsidRPr="000E51D0">
        <w:rPr>
          <w:rFonts w:ascii="Corbel" w:hAnsi="Corbel"/>
          <w:sz w:val="22"/>
          <w:szCs w:val="22"/>
          <w:lang w:val="en-US"/>
        </w:rPr>
        <w:t>Annual</w:t>
      </w:r>
      <w:r w:rsidRPr="000E51D0">
        <w:rPr>
          <w:rFonts w:ascii="Corbel" w:hAnsi="Corbel"/>
          <w:sz w:val="22"/>
          <w:szCs w:val="22"/>
          <w:lang w:val="en-US"/>
        </w:rPr>
        <w:t xml:space="preserve"> Management Plans identify the focus areas as well as the main outputs that should be delivered and aim at monitoring the performance expectations (European Commission 2016</w:t>
      </w:r>
      <w:r w:rsidR="00525655" w:rsidRPr="000E51D0">
        <w:rPr>
          <w:rFonts w:ascii="Corbel" w:hAnsi="Corbel"/>
          <w:sz w:val="22"/>
          <w:szCs w:val="22"/>
          <w:lang w:val="en-US"/>
        </w:rPr>
        <w:t>a</w:t>
      </w:r>
      <w:r w:rsidRPr="000E51D0">
        <w:rPr>
          <w:rFonts w:ascii="Corbel" w:hAnsi="Corbel"/>
          <w:sz w:val="22"/>
          <w:szCs w:val="22"/>
          <w:lang w:val="en-US"/>
        </w:rPr>
        <w:t xml:space="preserve">). Coherently with the shorter time perspective, the </w:t>
      </w:r>
      <w:r w:rsidR="00E35483" w:rsidRPr="000E51D0">
        <w:rPr>
          <w:rFonts w:ascii="Corbel" w:hAnsi="Corbel"/>
          <w:sz w:val="22"/>
          <w:szCs w:val="22"/>
          <w:lang w:val="en-US"/>
        </w:rPr>
        <w:t>A</w:t>
      </w:r>
      <w:r w:rsidRPr="000E51D0">
        <w:rPr>
          <w:rFonts w:ascii="Corbel" w:hAnsi="Corbel"/>
          <w:sz w:val="22"/>
          <w:szCs w:val="22"/>
          <w:lang w:val="en-US"/>
        </w:rPr>
        <w:t>MPs include the identification of outputs to be delivered associated with outputs indicators linked to results and impact indicators set in the strategic plans. The common structure of the new Management Plans include:</w:t>
      </w:r>
    </w:p>
    <w:p w14:paraId="6FD49DC4" w14:textId="1A8C1B81" w:rsidR="001E5A91" w:rsidRPr="000E51D0" w:rsidRDefault="001E5A91" w:rsidP="002F71BC">
      <w:pPr>
        <w:pStyle w:val="Paragrafoelenco"/>
        <w:numPr>
          <w:ilvl w:val="0"/>
          <w:numId w:val="1"/>
        </w:numPr>
        <w:spacing w:line="240" w:lineRule="auto"/>
        <w:jc w:val="both"/>
        <w:rPr>
          <w:rFonts w:ascii="Corbel" w:hAnsi="Corbel"/>
          <w:bCs/>
          <w:iCs/>
          <w:sz w:val="21"/>
          <w:szCs w:val="21"/>
          <w:lang w:val="en-US"/>
        </w:rPr>
      </w:pPr>
      <w:r w:rsidRPr="000E51D0">
        <w:rPr>
          <w:rFonts w:ascii="Corbel" w:hAnsi="Corbel"/>
          <w:bCs/>
          <w:iCs/>
          <w:lang w:val="en-US"/>
        </w:rPr>
        <w:t xml:space="preserve">the description of the main outputs to be achieved for the year. In this section, each DG classifies the main actions leading to the outputs to achieve the general and specific objectives set in the strategic plan, as represented in the </w:t>
      </w:r>
      <w:r w:rsidR="00A31A75" w:rsidRPr="000E51D0">
        <w:rPr>
          <w:rFonts w:ascii="Corbel" w:hAnsi="Corbel"/>
          <w:bCs/>
          <w:iCs/>
          <w:lang w:val="en-US"/>
        </w:rPr>
        <w:t xml:space="preserve">figure </w:t>
      </w:r>
      <w:r w:rsidR="000E51D0">
        <w:rPr>
          <w:rFonts w:ascii="Corbel" w:hAnsi="Corbel"/>
          <w:bCs/>
          <w:iCs/>
          <w:lang w:val="en-US"/>
        </w:rPr>
        <w:t>9</w:t>
      </w:r>
      <w:r w:rsidR="003610F9" w:rsidRPr="000E51D0">
        <w:rPr>
          <w:rFonts w:ascii="Corbel" w:hAnsi="Corbel"/>
          <w:bCs/>
          <w:iCs/>
          <w:lang w:val="en-US"/>
        </w:rPr>
        <w:t>.</w:t>
      </w:r>
    </w:p>
    <w:p w14:paraId="4E93FCD5" w14:textId="17E1E039" w:rsidR="00A31A75" w:rsidRPr="000E51D0" w:rsidRDefault="00A31A75" w:rsidP="000E51D0">
      <w:pPr>
        <w:pStyle w:val="Didascalia"/>
        <w:jc w:val="both"/>
        <w:rPr>
          <w:rFonts w:ascii="Corbel" w:hAnsi="Corbel"/>
          <w:b/>
          <w:bCs/>
          <w:lang w:val="en-US"/>
        </w:rPr>
      </w:pPr>
      <w:r w:rsidRPr="000E51D0">
        <w:rPr>
          <w:rFonts w:ascii="Corbel" w:hAnsi="Corbel"/>
          <w:b/>
          <w:bCs/>
          <w:lang w:val="en-US"/>
        </w:rPr>
        <w:lastRenderedPageBreak/>
        <w:t xml:space="preserve">Figure </w:t>
      </w:r>
      <w:r w:rsidR="000E51D0" w:rsidRPr="000E51D0">
        <w:rPr>
          <w:rFonts w:ascii="Corbel" w:hAnsi="Corbel"/>
          <w:b/>
          <w:bCs/>
          <w:lang w:val="en-US"/>
        </w:rPr>
        <w:t>9</w:t>
      </w:r>
      <w:r w:rsidRPr="000E51D0">
        <w:rPr>
          <w:rFonts w:ascii="Corbel" w:hAnsi="Corbel"/>
          <w:b/>
          <w:bCs/>
          <w:lang w:val="en-US"/>
        </w:rPr>
        <w:t xml:space="preserve"> - Description of the main outputs, DG </w:t>
      </w:r>
      <w:r w:rsidR="002C1448" w:rsidRPr="000E51D0">
        <w:rPr>
          <w:rFonts w:ascii="Corbel" w:hAnsi="Corbel"/>
          <w:b/>
          <w:bCs/>
          <w:lang w:val="en-US"/>
        </w:rPr>
        <w:t>Regio</w:t>
      </w:r>
      <w:r w:rsidR="000E51D0">
        <w:rPr>
          <w:rFonts w:ascii="Corbel" w:hAnsi="Corbel"/>
          <w:b/>
          <w:bCs/>
          <w:lang w:val="en-US"/>
        </w:rPr>
        <w:t xml:space="preserve">. </w:t>
      </w:r>
      <w:r w:rsidR="000E51D0" w:rsidRPr="000E51D0">
        <w:rPr>
          <w:rFonts w:ascii="Corbel" w:hAnsi="Corbel"/>
          <w:b/>
          <w:bCs/>
          <w:lang w:val="en-US"/>
        </w:rPr>
        <w:t>Source (European Commission, 2021 – SP DG EMPL)</w:t>
      </w:r>
    </w:p>
    <w:p w14:paraId="740EEBC6" w14:textId="355D8583" w:rsidR="00D64270" w:rsidRPr="009722B3" w:rsidRDefault="002C1448" w:rsidP="002F71BC">
      <w:pPr>
        <w:jc w:val="center"/>
        <w:rPr>
          <w:rFonts w:ascii="Corbel" w:hAnsi="Corbel"/>
          <w:bCs/>
          <w:iCs/>
          <w:lang w:val="en-US"/>
        </w:rPr>
      </w:pPr>
      <w:r w:rsidRPr="009722B3">
        <w:rPr>
          <w:rFonts w:ascii="Corbel" w:hAnsi="Corbel"/>
          <w:bCs/>
          <w:iCs/>
          <w:noProof/>
          <w:lang w:val="en-US"/>
        </w:rPr>
        <w:drawing>
          <wp:inline distT="0" distB="0" distL="0" distR="0" wp14:anchorId="5FD7CA67" wp14:editId="2B9E9B1B">
            <wp:extent cx="4088273" cy="2862470"/>
            <wp:effectExtent l="0" t="0" r="1270" b="0"/>
            <wp:docPr id="5" name="Immagine 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avolo&#10;&#10;Descrizione generata automaticamente"/>
                    <pic:cNvPicPr/>
                  </pic:nvPicPr>
                  <pic:blipFill>
                    <a:blip r:embed="rId18"/>
                    <a:stretch>
                      <a:fillRect/>
                    </a:stretch>
                  </pic:blipFill>
                  <pic:spPr>
                    <a:xfrm>
                      <a:off x="0" y="0"/>
                      <a:ext cx="4123227" cy="2886943"/>
                    </a:xfrm>
                    <a:prstGeom prst="rect">
                      <a:avLst/>
                    </a:prstGeom>
                  </pic:spPr>
                </pic:pic>
              </a:graphicData>
            </a:graphic>
          </wp:inline>
        </w:drawing>
      </w:r>
    </w:p>
    <w:p w14:paraId="4640FF12" w14:textId="77777777" w:rsidR="00E75C9B" w:rsidRPr="00E75C9B" w:rsidRDefault="00E75C9B" w:rsidP="00E75C9B">
      <w:pPr>
        <w:jc w:val="both"/>
        <w:rPr>
          <w:rFonts w:ascii="Corbel" w:hAnsi="Corbel"/>
          <w:bCs/>
          <w:i/>
          <w:iCs/>
          <w:lang w:val="en-US"/>
        </w:rPr>
      </w:pPr>
    </w:p>
    <w:p w14:paraId="42624F34" w14:textId="44D21A5A" w:rsidR="001E5A91" w:rsidRPr="00E75C9B" w:rsidRDefault="001F0825" w:rsidP="00E75C9B">
      <w:pPr>
        <w:pStyle w:val="Paragrafoelenco"/>
        <w:numPr>
          <w:ilvl w:val="0"/>
          <w:numId w:val="1"/>
        </w:numPr>
        <w:jc w:val="both"/>
        <w:rPr>
          <w:rFonts w:ascii="Corbel" w:hAnsi="Corbel"/>
          <w:bCs/>
          <w:i/>
          <w:iCs/>
          <w:lang w:val="en-US"/>
        </w:rPr>
      </w:pPr>
      <w:r w:rsidRPr="00E75C9B">
        <w:rPr>
          <w:rFonts w:ascii="Corbel" w:hAnsi="Corbel"/>
          <w:bCs/>
          <w:i/>
          <w:iCs/>
          <w:lang w:val="en-US"/>
        </w:rPr>
        <w:t xml:space="preserve">(reporting) </w:t>
      </w:r>
      <w:r w:rsidR="001E5A91" w:rsidRPr="00E75C9B">
        <w:rPr>
          <w:rFonts w:ascii="Corbel" w:hAnsi="Corbel"/>
          <w:bCs/>
          <w:i/>
          <w:iCs/>
          <w:lang w:val="en-US"/>
        </w:rPr>
        <w:t>General Report on the activities of the European Union</w:t>
      </w:r>
    </w:p>
    <w:p w14:paraId="508548F8" w14:textId="02D02EEE" w:rsidR="001E5A91" w:rsidRPr="00E75C9B" w:rsidRDefault="001E5A91" w:rsidP="002F71BC">
      <w:pPr>
        <w:jc w:val="both"/>
        <w:rPr>
          <w:rFonts w:ascii="Corbel" w:hAnsi="Corbel"/>
          <w:bCs/>
          <w:iCs/>
          <w:sz w:val="22"/>
          <w:szCs w:val="22"/>
          <w:lang w:val="en-US"/>
        </w:rPr>
      </w:pPr>
      <w:r w:rsidRPr="00E75C9B">
        <w:rPr>
          <w:rFonts w:ascii="Corbel" w:hAnsi="Corbel"/>
          <w:bCs/>
          <w:iCs/>
          <w:sz w:val="22"/>
          <w:szCs w:val="22"/>
          <w:lang w:val="en-US"/>
        </w:rPr>
        <w:t xml:space="preserve">The general report on the activities of the European Union is published in February (n+1) and gives evidence to the main progress towards the </w:t>
      </w:r>
      <w:r w:rsidR="002623D4" w:rsidRPr="00E75C9B">
        <w:rPr>
          <w:rFonts w:ascii="Corbel" w:hAnsi="Corbel"/>
          <w:bCs/>
          <w:iCs/>
          <w:sz w:val="22"/>
          <w:szCs w:val="22"/>
          <w:lang w:val="en-US"/>
        </w:rPr>
        <w:t xml:space="preserve">European </w:t>
      </w:r>
      <w:r w:rsidRPr="00E75C9B">
        <w:rPr>
          <w:rFonts w:ascii="Corbel" w:hAnsi="Corbel"/>
          <w:bCs/>
          <w:iCs/>
          <w:sz w:val="22"/>
          <w:szCs w:val="22"/>
          <w:lang w:val="en-US"/>
        </w:rPr>
        <w:t>Commission political guidelines</w:t>
      </w:r>
      <w:r w:rsidRPr="00E75C9B">
        <w:rPr>
          <w:rStyle w:val="Rimandonotadichiusura"/>
          <w:rFonts w:ascii="Corbel" w:hAnsi="Corbel"/>
          <w:bCs/>
          <w:iCs/>
          <w:sz w:val="22"/>
          <w:szCs w:val="22"/>
          <w:lang w:val="en-US"/>
        </w:rPr>
        <w:endnoteReference w:id="22"/>
      </w:r>
      <w:r w:rsidRPr="00E75C9B">
        <w:rPr>
          <w:rFonts w:ascii="Corbel" w:hAnsi="Corbel"/>
          <w:bCs/>
          <w:iCs/>
          <w:sz w:val="22"/>
          <w:szCs w:val="22"/>
          <w:lang w:val="en-US"/>
        </w:rPr>
        <w:t xml:space="preserve">. The document is structured around the ten political guidelines and describes the main activities carried out by the Commission in that domain as well as the main achievements. It is an accessible and readable document for the </w:t>
      </w:r>
      <w:proofErr w:type="gramStart"/>
      <w:r w:rsidRPr="00E75C9B">
        <w:rPr>
          <w:rFonts w:ascii="Corbel" w:hAnsi="Corbel"/>
          <w:bCs/>
          <w:iCs/>
          <w:sz w:val="22"/>
          <w:szCs w:val="22"/>
          <w:lang w:val="en-US"/>
        </w:rPr>
        <w:t>general public</w:t>
      </w:r>
      <w:proofErr w:type="gramEnd"/>
      <w:r w:rsidRPr="00E75C9B">
        <w:rPr>
          <w:rFonts w:ascii="Corbel" w:hAnsi="Corbel"/>
          <w:bCs/>
          <w:iCs/>
          <w:sz w:val="22"/>
          <w:szCs w:val="22"/>
          <w:lang w:val="en-US"/>
        </w:rPr>
        <w:t xml:space="preserve"> and stakeholders.      </w:t>
      </w:r>
    </w:p>
    <w:p w14:paraId="46976FAC" w14:textId="77777777" w:rsidR="001E5A91" w:rsidRPr="009722B3" w:rsidRDefault="001E5A91" w:rsidP="002F71BC">
      <w:pPr>
        <w:jc w:val="both"/>
        <w:rPr>
          <w:rFonts w:ascii="Corbel" w:hAnsi="Corbel"/>
          <w:lang w:val="en-US"/>
        </w:rPr>
      </w:pPr>
    </w:p>
    <w:p w14:paraId="414FAB14" w14:textId="5A2B88C1" w:rsidR="001E5A91" w:rsidRPr="00E75C9B" w:rsidRDefault="001F0825" w:rsidP="00E75C9B">
      <w:pPr>
        <w:pStyle w:val="Paragrafoelenco"/>
        <w:numPr>
          <w:ilvl w:val="0"/>
          <w:numId w:val="1"/>
        </w:numPr>
        <w:jc w:val="both"/>
        <w:rPr>
          <w:rFonts w:ascii="Corbel" w:hAnsi="Corbel"/>
          <w:i/>
          <w:lang w:val="en-US"/>
        </w:rPr>
      </w:pPr>
      <w:r w:rsidRPr="00E75C9B">
        <w:rPr>
          <w:rFonts w:ascii="Corbel" w:hAnsi="Corbel"/>
          <w:i/>
          <w:lang w:val="en-US"/>
        </w:rPr>
        <w:t xml:space="preserve">(reporting) </w:t>
      </w:r>
      <w:r w:rsidR="001E5A91" w:rsidRPr="00E75C9B">
        <w:rPr>
          <w:rFonts w:ascii="Corbel" w:hAnsi="Corbel"/>
          <w:i/>
          <w:lang w:val="en-US"/>
        </w:rPr>
        <w:t xml:space="preserve">The Annual Activity Report (AAR) </w:t>
      </w:r>
    </w:p>
    <w:p w14:paraId="286302E5" w14:textId="44AAD86D" w:rsidR="001E5A91" w:rsidRPr="00E75C9B" w:rsidRDefault="001E5A91" w:rsidP="002F71BC">
      <w:pPr>
        <w:jc w:val="both"/>
        <w:rPr>
          <w:rFonts w:ascii="Corbel" w:hAnsi="Corbel"/>
          <w:sz w:val="22"/>
          <w:szCs w:val="22"/>
          <w:lang w:val="en-US"/>
        </w:rPr>
      </w:pPr>
      <w:r w:rsidRPr="00E75C9B">
        <w:rPr>
          <w:rFonts w:ascii="Corbel" w:hAnsi="Corbel"/>
          <w:sz w:val="22"/>
          <w:szCs w:val="22"/>
          <w:lang w:val="en-US"/>
        </w:rPr>
        <w:t xml:space="preserve">The </w:t>
      </w:r>
      <w:r w:rsidRPr="00E75C9B">
        <w:rPr>
          <w:rFonts w:ascii="Corbel" w:hAnsi="Corbel"/>
          <w:i/>
          <w:sz w:val="22"/>
          <w:szCs w:val="22"/>
          <w:lang w:val="en-US"/>
        </w:rPr>
        <w:t>Annual Activity Report (AAR)</w:t>
      </w:r>
      <w:r w:rsidRPr="00E75C9B">
        <w:rPr>
          <w:rFonts w:ascii="Corbel" w:hAnsi="Corbel"/>
          <w:sz w:val="22"/>
          <w:szCs w:val="22"/>
          <w:lang w:val="en-US"/>
        </w:rPr>
        <w:t xml:space="preserve"> is the main document monitoring the performance achievement at the level of</w:t>
      </w:r>
      <w:r w:rsidR="001F0825" w:rsidRPr="00E75C9B">
        <w:rPr>
          <w:rFonts w:ascii="Corbel" w:hAnsi="Corbel"/>
          <w:sz w:val="22"/>
          <w:szCs w:val="22"/>
          <w:lang w:val="en-US"/>
        </w:rPr>
        <w:t xml:space="preserve"> the Directorate Generals and Services</w:t>
      </w:r>
      <w:r w:rsidRPr="00E75C9B">
        <w:rPr>
          <w:rFonts w:ascii="Corbel" w:hAnsi="Corbel"/>
          <w:sz w:val="22"/>
          <w:szCs w:val="22"/>
          <w:lang w:val="en-US"/>
        </w:rPr>
        <w:t xml:space="preserve"> and is published within June (n+1). The AAR reports the activities carried out by the DGs as well as the value of the different sets of indicators included in the strategic and in the annual management plans. The current structure of the AAR is the following:</w:t>
      </w:r>
    </w:p>
    <w:p w14:paraId="7972E2DB" w14:textId="77777777" w:rsidR="001E5A91" w:rsidRPr="00E75C9B" w:rsidRDefault="001E5A91" w:rsidP="002F71BC">
      <w:pPr>
        <w:pStyle w:val="Paragrafoelenco"/>
        <w:numPr>
          <w:ilvl w:val="0"/>
          <w:numId w:val="1"/>
        </w:numPr>
        <w:spacing w:line="240" w:lineRule="auto"/>
        <w:jc w:val="both"/>
        <w:rPr>
          <w:rFonts w:ascii="Corbel" w:hAnsi="Corbel"/>
          <w:bCs/>
          <w:iCs/>
          <w:lang w:val="en-US"/>
        </w:rPr>
      </w:pPr>
      <w:r w:rsidRPr="00E75C9B">
        <w:rPr>
          <w:rFonts w:ascii="Corbel" w:hAnsi="Corbel"/>
          <w:bCs/>
          <w:iCs/>
          <w:lang w:val="en-US"/>
        </w:rPr>
        <w:t xml:space="preserve">the first part of the AAR describes the key results and progress towards the achievement of the general and specific objectives of the DG as outlined in their Strategic </w:t>
      </w:r>
      <w:proofErr w:type="gramStart"/>
      <w:r w:rsidRPr="00E75C9B">
        <w:rPr>
          <w:rFonts w:ascii="Corbel" w:hAnsi="Corbel"/>
          <w:bCs/>
          <w:iCs/>
          <w:lang w:val="en-US"/>
        </w:rPr>
        <w:t>Plans;</w:t>
      </w:r>
      <w:proofErr w:type="gramEnd"/>
      <w:r w:rsidRPr="00E75C9B">
        <w:rPr>
          <w:rFonts w:ascii="Corbel" w:hAnsi="Corbel"/>
          <w:bCs/>
          <w:iCs/>
          <w:lang w:val="en-US"/>
        </w:rPr>
        <w:t xml:space="preserve"> </w:t>
      </w:r>
    </w:p>
    <w:p w14:paraId="4775D954" w14:textId="77777777" w:rsidR="001E5A91" w:rsidRPr="00E75C9B" w:rsidRDefault="001E5A91" w:rsidP="002F71BC">
      <w:pPr>
        <w:pStyle w:val="Paragrafoelenco"/>
        <w:numPr>
          <w:ilvl w:val="0"/>
          <w:numId w:val="1"/>
        </w:numPr>
        <w:spacing w:line="240" w:lineRule="auto"/>
        <w:jc w:val="both"/>
        <w:rPr>
          <w:rFonts w:ascii="Corbel" w:hAnsi="Corbel"/>
          <w:bCs/>
          <w:iCs/>
          <w:lang w:val="en-US"/>
        </w:rPr>
      </w:pPr>
      <w:r w:rsidRPr="00E75C9B">
        <w:rPr>
          <w:rFonts w:ascii="Corbel" w:hAnsi="Corbel"/>
          <w:bCs/>
          <w:iCs/>
          <w:lang w:val="en-US"/>
        </w:rPr>
        <w:t xml:space="preserve">the second part acknowledges how the achievements described in the previous section were delivered by the DG. It includes the description of the organizational management and internal controls that support management's assurance on the achievement of the financial management and internal control objectives. The last part deals with other components of organizational management: human resources, better regulation principles, information management, and external communication. </w:t>
      </w:r>
    </w:p>
    <w:p w14:paraId="0F1F4967" w14:textId="3C190999" w:rsidR="001E5A91" w:rsidRPr="00E75C9B" w:rsidRDefault="001E5A91" w:rsidP="002F71BC">
      <w:pPr>
        <w:pStyle w:val="Paragrafoelenco"/>
        <w:numPr>
          <w:ilvl w:val="0"/>
          <w:numId w:val="1"/>
        </w:numPr>
        <w:spacing w:line="240" w:lineRule="auto"/>
        <w:jc w:val="both"/>
        <w:rPr>
          <w:rFonts w:ascii="Corbel" w:hAnsi="Corbel"/>
          <w:bCs/>
          <w:iCs/>
          <w:lang w:val="en-US"/>
        </w:rPr>
      </w:pPr>
      <w:r w:rsidRPr="00E75C9B">
        <w:rPr>
          <w:rFonts w:ascii="Corbel" w:hAnsi="Corbel"/>
          <w:bCs/>
          <w:iCs/>
          <w:lang w:val="en-US"/>
        </w:rPr>
        <w:t>the annexes contain several additional information concerning different management aspects of DGs competence, including the EU programs, the EU decentralized agencies, etc. The last section reports the performance tables showing:</w:t>
      </w:r>
    </w:p>
    <w:p w14:paraId="3E4FBEBF" w14:textId="77777777" w:rsidR="001E5A91" w:rsidRPr="00E75C9B" w:rsidRDefault="001E5A91" w:rsidP="002F71BC">
      <w:pPr>
        <w:pStyle w:val="Paragrafoelenco"/>
        <w:numPr>
          <w:ilvl w:val="1"/>
          <w:numId w:val="1"/>
        </w:numPr>
        <w:spacing w:line="240" w:lineRule="auto"/>
        <w:jc w:val="both"/>
        <w:rPr>
          <w:rFonts w:ascii="Corbel" w:hAnsi="Corbel"/>
          <w:bCs/>
          <w:iCs/>
          <w:lang w:val="en-US"/>
        </w:rPr>
      </w:pPr>
      <w:r w:rsidRPr="00E75C9B">
        <w:rPr>
          <w:rFonts w:ascii="Corbel" w:hAnsi="Corbel"/>
          <w:bCs/>
          <w:iCs/>
          <w:lang w:val="en-US"/>
        </w:rPr>
        <w:t>the value of the outcome/impact indicators associated with the general and specific objectives of the DGs (included in the strategic plans</w:t>
      </w:r>
      <w:proofErr w:type="gramStart"/>
      <w:r w:rsidRPr="00E75C9B">
        <w:rPr>
          <w:rFonts w:ascii="Corbel" w:hAnsi="Corbel"/>
          <w:bCs/>
          <w:iCs/>
          <w:lang w:val="en-US"/>
        </w:rPr>
        <w:t>);</w:t>
      </w:r>
      <w:proofErr w:type="gramEnd"/>
    </w:p>
    <w:p w14:paraId="39B44DFA" w14:textId="4A1ADE0C" w:rsidR="00606ADB" w:rsidRPr="00E75C9B" w:rsidRDefault="001E5A91" w:rsidP="002F71BC">
      <w:pPr>
        <w:pStyle w:val="Paragrafoelenco"/>
        <w:numPr>
          <w:ilvl w:val="1"/>
          <w:numId w:val="1"/>
        </w:numPr>
        <w:spacing w:line="240" w:lineRule="auto"/>
        <w:jc w:val="both"/>
        <w:rPr>
          <w:rFonts w:ascii="Corbel" w:hAnsi="Corbel"/>
          <w:bCs/>
          <w:iCs/>
          <w:sz w:val="21"/>
          <w:szCs w:val="21"/>
          <w:lang w:val="en-US"/>
        </w:rPr>
      </w:pPr>
      <w:r w:rsidRPr="00E75C9B">
        <w:rPr>
          <w:rFonts w:ascii="Corbel" w:hAnsi="Corbel"/>
          <w:bCs/>
          <w:iCs/>
          <w:lang w:val="en-US"/>
        </w:rPr>
        <w:t>the outputs delivered included in the Management plans and related either to general and specific objectives or to organizational management</w:t>
      </w:r>
      <w:r w:rsidR="001F0825" w:rsidRPr="00E75C9B">
        <w:rPr>
          <w:rFonts w:ascii="Corbel" w:hAnsi="Corbel"/>
          <w:bCs/>
          <w:iCs/>
          <w:lang w:val="en-US"/>
        </w:rPr>
        <w:t xml:space="preserve"> objectives</w:t>
      </w:r>
      <w:r w:rsidRPr="00E75C9B">
        <w:rPr>
          <w:rFonts w:ascii="Corbel" w:hAnsi="Corbel"/>
          <w:bCs/>
          <w:iCs/>
          <w:lang w:val="en-US"/>
        </w:rPr>
        <w:t xml:space="preserve">. </w:t>
      </w:r>
    </w:p>
    <w:p w14:paraId="15D657EE" w14:textId="41F7D03F" w:rsidR="00FD1C58" w:rsidRPr="00E75C9B" w:rsidRDefault="001E5A91" w:rsidP="002F71BC">
      <w:pPr>
        <w:jc w:val="both"/>
        <w:rPr>
          <w:rFonts w:ascii="Corbel" w:hAnsi="Corbel"/>
          <w:bCs/>
          <w:iCs/>
          <w:sz w:val="22"/>
          <w:szCs w:val="22"/>
          <w:lang w:val="en-US"/>
        </w:rPr>
      </w:pPr>
      <w:r w:rsidRPr="00E75C9B">
        <w:rPr>
          <w:rFonts w:ascii="Corbel" w:hAnsi="Corbel"/>
          <w:bCs/>
          <w:iCs/>
          <w:sz w:val="22"/>
          <w:szCs w:val="22"/>
          <w:lang w:val="en-US"/>
        </w:rPr>
        <w:t xml:space="preserve">The third strategic layer is at the level of the EU Member States </w:t>
      </w:r>
      <w:r w:rsidR="007B175E" w:rsidRPr="00E75C9B">
        <w:rPr>
          <w:rFonts w:ascii="Corbel" w:hAnsi="Corbel"/>
          <w:bCs/>
          <w:iCs/>
          <w:sz w:val="22"/>
          <w:szCs w:val="22"/>
          <w:lang w:val="en-US"/>
        </w:rPr>
        <w:t xml:space="preserve">and </w:t>
      </w:r>
      <w:r w:rsidRPr="00E75C9B">
        <w:rPr>
          <w:rFonts w:ascii="Corbel" w:hAnsi="Corbel"/>
          <w:bCs/>
          <w:iCs/>
          <w:sz w:val="22"/>
          <w:szCs w:val="22"/>
          <w:lang w:val="en-US"/>
        </w:rPr>
        <w:t>includes the national strategies and the related performance frameworks.</w:t>
      </w:r>
      <w:r w:rsidR="00FD1C58" w:rsidRPr="00E75C9B">
        <w:rPr>
          <w:rFonts w:ascii="Corbel" w:hAnsi="Corbel"/>
          <w:bCs/>
          <w:iCs/>
          <w:sz w:val="22"/>
          <w:szCs w:val="22"/>
          <w:lang w:val="en-US"/>
        </w:rPr>
        <w:t xml:space="preserve"> In the previous decade (2010-2020)</w:t>
      </w:r>
      <w:r w:rsidRPr="00E75C9B">
        <w:rPr>
          <w:rFonts w:ascii="Corbel" w:hAnsi="Corbel"/>
          <w:bCs/>
          <w:iCs/>
          <w:sz w:val="22"/>
          <w:szCs w:val="22"/>
          <w:lang w:val="en-US"/>
        </w:rPr>
        <w:t xml:space="preserve">, </w:t>
      </w:r>
      <w:r w:rsidR="00FD1C58" w:rsidRPr="00E75C9B">
        <w:rPr>
          <w:rFonts w:ascii="Corbel" w:hAnsi="Corbel"/>
          <w:bCs/>
          <w:iCs/>
          <w:sz w:val="22"/>
          <w:szCs w:val="22"/>
          <w:lang w:val="en-US"/>
        </w:rPr>
        <w:t xml:space="preserve">EU and member states </w:t>
      </w:r>
      <w:r w:rsidRPr="00E75C9B">
        <w:rPr>
          <w:rFonts w:ascii="Corbel" w:hAnsi="Corbel"/>
          <w:bCs/>
          <w:iCs/>
          <w:sz w:val="22"/>
          <w:szCs w:val="22"/>
          <w:lang w:val="en-US"/>
        </w:rPr>
        <w:t xml:space="preserve">shared </w:t>
      </w:r>
      <w:r w:rsidR="00FD1C58" w:rsidRPr="00E75C9B">
        <w:rPr>
          <w:rFonts w:ascii="Corbel" w:hAnsi="Corbel"/>
          <w:bCs/>
          <w:iCs/>
          <w:sz w:val="22"/>
          <w:szCs w:val="22"/>
          <w:lang w:val="en-US"/>
        </w:rPr>
        <w:t xml:space="preserve">two different but linked </w:t>
      </w:r>
      <w:r w:rsidRPr="00E75C9B">
        <w:rPr>
          <w:rFonts w:ascii="Corbel" w:hAnsi="Corbel"/>
          <w:bCs/>
          <w:iCs/>
          <w:sz w:val="22"/>
          <w:szCs w:val="22"/>
          <w:lang w:val="en-US"/>
        </w:rPr>
        <w:t xml:space="preserve">performance frameworks. The first </w:t>
      </w:r>
      <w:r w:rsidR="00FD1C58" w:rsidRPr="00E75C9B">
        <w:rPr>
          <w:rFonts w:ascii="Corbel" w:hAnsi="Corbel"/>
          <w:bCs/>
          <w:iCs/>
          <w:sz w:val="22"/>
          <w:szCs w:val="22"/>
          <w:lang w:val="en-US"/>
        </w:rPr>
        <w:t>was</w:t>
      </w:r>
      <w:r w:rsidRPr="00E75C9B">
        <w:rPr>
          <w:rFonts w:ascii="Corbel" w:hAnsi="Corbel"/>
          <w:bCs/>
          <w:iCs/>
          <w:sz w:val="22"/>
          <w:szCs w:val="22"/>
          <w:lang w:val="en-US"/>
        </w:rPr>
        <w:t xml:space="preserve"> the Europe 2020 strategy strategic framework and the second </w:t>
      </w:r>
      <w:r w:rsidR="00FD1C58" w:rsidRPr="00E75C9B">
        <w:rPr>
          <w:rFonts w:ascii="Corbel" w:hAnsi="Corbel"/>
          <w:bCs/>
          <w:iCs/>
          <w:sz w:val="22"/>
          <w:szCs w:val="22"/>
          <w:lang w:val="en-US"/>
        </w:rPr>
        <w:t>was</w:t>
      </w:r>
      <w:r w:rsidRPr="00E75C9B">
        <w:rPr>
          <w:rFonts w:ascii="Corbel" w:hAnsi="Corbel"/>
          <w:bCs/>
          <w:iCs/>
          <w:sz w:val="22"/>
          <w:szCs w:val="22"/>
          <w:lang w:val="en-US"/>
        </w:rPr>
        <w:t xml:space="preserve"> EU structural funds</w:t>
      </w:r>
      <w:r w:rsidR="00FD1C58" w:rsidRPr="00E75C9B">
        <w:rPr>
          <w:rFonts w:ascii="Corbel" w:hAnsi="Corbel"/>
          <w:bCs/>
          <w:iCs/>
          <w:sz w:val="22"/>
          <w:szCs w:val="22"/>
          <w:lang w:val="en-US"/>
        </w:rPr>
        <w:t xml:space="preserve"> performance framework</w:t>
      </w:r>
      <w:r w:rsidR="00ED510F">
        <w:rPr>
          <w:rFonts w:ascii="Corbel" w:hAnsi="Corbel"/>
          <w:bCs/>
          <w:iCs/>
          <w:sz w:val="22"/>
          <w:szCs w:val="22"/>
          <w:lang w:val="en-US"/>
        </w:rPr>
        <w:t xml:space="preserve"> (figure 10)</w:t>
      </w:r>
      <w:r w:rsidRPr="00E75C9B">
        <w:rPr>
          <w:rFonts w:ascii="Corbel" w:hAnsi="Corbel"/>
          <w:bCs/>
          <w:iCs/>
          <w:sz w:val="22"/>
          <w:szCs w:val="22"/>
          <w:lang w:val="en-US"/>
        </w:rPr>
        <w:t xml:space="preserve">. </w:t>
      </w:r>
    </w:p>
    <w:p w14:paraId="6CA786BB" w14:textId="755ACB0D" w:rsidR="001E5A91" w:rsidRPr="009722B3" w:rsidRDefault="00FD1C58" w:rsidP="002F71BC">
      <w:pPr>
        <w:pStyle w:val="Paragrafoelenco"/>
        <w:numPr>
          <w:ilvl w:val="0"/>
          <w:numId w:val="1"/>
        </w:numPr>
        <w:spacing w:line="240" w:lineRule="auto"/>
        <w:jc w:val="both"/>
        <w:rPr>
          <w:rFonts w:ascii="Corbel" w:hAnsi="Corbel"/>
          <w:bCs/>
          <w:iCs/>
          <w:sz w:val="24"/>
          <w:szCs w:val="24"/>
          <w:lang w:val="en-US"/>
        </w:rPr>
      </w:pPr>
      <w:r w:rsidRPr="00E75C9B">
        <w:rPr>
          <w:rFonts w:ascii="Corbel" w:hAnsi="Corbel"/>
          <w:bCs/>
          <w:iCs/>
          <w:lang w:val="en-US"/>
        </w:rPr>
        <w:lastRenderedPageBreak/>
        <w:t>The</w:t>
      </w:r>
      <w:r w:rsidR="001E5A91" w:rsidRPr="00E75C9B">
        <w:rPr>
          <w:rFonts w:ascii="Corbel" w:hAnsi="Corbel"/>
          <w:bCs/>
          <w:iCs/>
          <w:lang w:val="en-US"/>
        </w:rPr>
        <w:t xml:space="preserve"> </w:t>
      </w:r>
      <w:r w:rsidRPr="00E75C9B">
        <w:rPr>
          <w:rFonts w:ascii="Corbel" w:hAnsi="Corbel"/>
          <w:bCs/>
          <w:iCs/>
          <w:lang w:val="en-US"/>
        </w:rPr>
        <w:t xml:space="preserve">achievement of the </w:t>
      </w:r>
      <w:r w:rsidR="001E5A91" w:rsidRPr="00E75C9B">
        <w:rPr>
          <w:rFonts w:ascii="Corbel" w:hAnsi="Corbel"/>
          <w:bCs/>
          <w:iCs/>
          <w:lang w:val="en-US"/>
        </w:rPr>
        <w:t xml:space="preserve">Europe 2020 </w:t>
      </w:r>
      <w:r w:rsidRPr="00E75C9B">
        <w:rPr>
          <w:rFonts w:ascii="Corbel" w:hAnsi="Corbel"/>
          <w:bCs/>
          <w:iCs/>
          <w:lang w:val="en-US"/>
        </w:rPr>
        <w:t xml:space="preserve">targets </w:t>
      </w:r>
      <w:r w:rsidR="001E5A91" w:rsidRPr="00E75C9B">
        <w:rPr>
          <w:rFonts w:ascii="Corbel" w:hAnsi="Corbel"/>
          <w:bCs/>
          <w:iCs/>
          <w:lang w:val="en-US"/>
        </w:rPr>
        <w:t>heavily depend</w:t>
      </w:r>
      <w:r w:rsidRPr="00E75C9B">
        <w:rPr>
          <w:rFonts w:ascii="Corbel" w:hAnsi="Corbel"/>
          <w:bCs/>
          <w:iCs/>
          <w:lang w:val="en-US"/>
        </w:rPr>
        <w:t>ed</w:t>
      </w:r>
      <w:r w:rsidR="001E5A91" w:rsidRPr="00E75C9B">
        <w:rPr>
          <w:rFonts w:ascii="Corbel" w:hAnsi="Corbel"/>
          <w:bCs/>
          <w:iCs/>
          <w:lang w:val="en-US"/>
        </w:rPr>
        <w:t xml:space="preserve"> on member states coordinating their efforts with </w:t>
      </w:r>
      <w:r w:rsidR="00405B7D" w:rsidRPr="00E75C9B">
        <w:rPr>
          <w:rFonts w:ascii="Corbel" w:hAnsi="Corbel"/>
          <w:bCs/>
          <w:iCs/>
          <w:lang w:val="en-US"/>
        </w:rPr>
        <w:t xml:space="preserve">the </w:t>
      </w:r>
      <w:r w:rsidR="001E5A91" w:rsidRPr="00E75C9B">
        <w:rPr>
          <w:rFonts w:ascii="Corbel" w:hAnsi="Corbel"/>
          <w:bCs/>
          <w:iCs/>
          <w:lang w:val="en-US"/>
        </w:rPr>
        <w:t xml:space="preserve">EU. To facilitate such coordination, the targets of the Europe 2020 </w:t>
      </w:r>
      <w:r w:rsidRPr="00E75C9B">
        <w:rPr>
          <w:rFonts w:ascii="Corbel" w:hAnsi="Corbel"/>
          <w:bCs/>
          <w:iCs/>
          <w:lang w:val="en-US"/>
        </w:rPr>
        <w:t>were</w:t>
      </w:r>
      <w:r w:rsidR="001E5A91" w:rsidRPr="00E75C9B">
        <w:rPr>
          <w:rFonts w:ascii="Corbel" w:hAnsi="Corbel"/>
          <w:bCs/>
          <w:iCs/>
          <w:lang w:val="en-US"/>
        </w:rPr>
        <w:t xml:space="preserve"> translated at national level in a way that EU-level goals will be achieved only if all member states will reach their national targets</w:t>
      </w:r>
      <w:r w:rsidR="001E5A91" w:rsidRPr="00E75C9B">
        <w:rPr>
          <w:rStyle w:val="Rimandonotadichiusura"/>
          <w:rFonts w:ascii="Corbel" w:hAnsi="Corbel"/>
          <w:bCs/>
          <w:iCs/>
          <w:lang w:val="en-US"/>
        </w:rPr>
        <w:endnoteReference w:id="23"/>
      </w:r>
      <w:r w:rsidR="001E5A91" w:rsidRPr="00E75C9B">
        <w:rPr>
          <w:rFonts w:ascii="Corbel" w:hAnsi="Corbel"/>
          <w:bCs/>
          <w:iCs/>
          <w:lang w:val="en-US"/>
        </w:rPr>
        <w:t>. This allow</w:t>
      </w:r>
      <w:r w:rsidRPr="00E75C9B">
        <w:rPr>
          <w:rFonts w:ascii="Corbel" w:hAnsi="Corbel"/>
          <w:bCs/>
          <w:iCs/>
          <w:lang w:val="en-US"/>
        </w:rPr>
        <w:t>ed</w:t>
      </w:r>
      <w:r w:rsidR="001E5A91" w:rsidRPr="00E75C9B">
        <w:rPr>
          <w:rFonts w:ascii="Corbel" w:hAnsi="Corbel"/>
          <w:bCs/>
          <w:iCs/>
          <w:lang w:val="en-US"/>
        </w:rPr>
        <w:t xml:space="preserve"> to consider the initial situation of each member states to better define the</w:t>
      </w:r>
      <w:r w:rsidR="00405B7D" w:rsidRPr="00E75C9B">
        <w:rPr>
          <w:rFonts w:ascii="Corbel" w:hAnsi="Corbel"/>
          <w:bCs/>
          <w:iCs/>
          <w:lang w:val="en-US"/>
        </w:rPr>
        <w:t>ir</w:t>
      </w:r>
      <w:r w:rsidR="001E5A91" w:rsidRPr="00E75C9B">
        <w:rPr>
          <w:rFonts w:ascii="Corbel" w:hAnsi="Corbel"/>
          <w:bCs/>
          <w:iCs/>
          <w:lang w:val="en-US"/>
        </w:rPr>
        <w:t xml:space="preserve"> level of ambition. </w:t>
      </w:r>
      <w:r w:rsidR="001E5A91" w:rsidRPr="009722B3">
        <w:rPr>
          <w:rFonts w:ascii="Corbel" w:hAnsi="Corbel"/>
          <w:bCs/>
          <w:iCs/>
          <w:sz w:val="24"/>
          <w:szCs w:val="24"/>
          <w:lang w:val="en-US"/>
        </w:rPr>
        <w:t xml:space="preserve">  </w:t>
      </w:r>
    </w:p>
    <w:p w14:paraId="44AAB133" w14:textId="0D071D6F" w:rsidR="00FD1C58" w:rsidRPr="00ED510F" w:rsidRDefault="00ED510F" w:rsidP="00ED510F">
      <w:pPr>
        <w:pStyle w:val="Didascalia"/>
        <w:jc w:val="both"/>
        <w:rPr>
          <w:rFonts w:ascii="Corbel" w:hAnsi="Corbel"/>
          <w:b/>
          <w:bCs/>
          <w:lang w:val="en-US"/>
        </w:rPr>
      </w:pPr>
      <w:r w:rsidRPr="00ED510F">
        <w:rPr>
          <w:rFonts w:ascii="Corbel" w:hAnsi="Corbel"/>
          <w:b/>
          <w:bCs/>
          <w:lang w:val="en-US"/>
        </w:rPr>
        <w:t>Figure</w:t>
      </w:r>
      <w:r w:rsidR="00405B7D" w:rsidRPr="00ED510F">
        <w:rPr>
          <w:rFonts w:ascii="Corbel" w:hAnsi="Corbel"/>
          <w:b/>
          <w:bCs/>
          <w:lang w:val="en-US"/>
        </w:rPr>
        <w:t xml:space="preserve"> </w:t>
      </w:r>
      <w:r w:rsidRPr="00ED510F">
        <w:rPr>
          <w:rFonts w:ascii="Corbel" w:hAnsi="Corbel"/>
          <w:b/>
          <w:bCs/>
          <w:lang w:val="en-US"/>
        </w:rPr>
        <w:t>10</w:t>
      </w:r>
      <w:r w:rsidR="00405B7D" w:rsidRPr="00ED510F">
        <w:rPr>
          <w:rFonts w:ascii="Corbel" w:hAnsi="Corbel"/>
          <w:b/>
          <w:bCs/>
          <w:lang w:val="en-US"/>
        </w:rPr>
        <w:t xml:space="preserve"> – National targets of the Europe 2020 strategy</w:t>
      </w:r>
    </w:p>
    <w:p w14:paraId="189B15AF" w14:textId="2043FA87" w:rsidR="005119BE" w:rsidRPr="009722B3" w:rsidRDefault="00260877" w:rsidP="002F71BC">
      <w:pPr>
        <w:jc w:val="both"/>
        <w:rPr>
          <w:rFonts w:ascii="Corbel" w:hAnsi="Corbel"/>
          <w:bCs/>
          <w:iCs/>
          <w:lang w:val="en-US"/>
        </w:rPr>
      </w:pPr>
      <w:r w:rsidRPr="009722B3">
        <w:rPr>
          <w:rFonts w:ascii="Corbel" w:hAnsi="Corbel"/>
          <w:bCs/>
          <w:iCs/>
          <w:noProof/>
        </w:rPr>
        <w:drawing>
          <wp:inline distT="0" distB="0" distL="0" distR="0" wp14:anchorId="6AEEE216" wp14:editId="34DFC905">
            <wp:extent cx="6116320" cy="2461260"/>
            <wp:effectExtent l="0" t="0" r="5080" b="254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320" cy="2461260"/>
                    </a:xfrm>
                    <a:prstGeom prst="rect">
                      <a:avLst/>
                    </a:prstGeom>
                  </pic:spPr>
                </pic:pic>
              </a:graphicData>
            </a:graphic>
          </wp:inline>
        </w:drawing>
      </w:r>
    </w:p>
    <w:p w14:paraId="7768BA06" w14:textId="77777777" w:rsidR="005119BE" w:rsidRPr="009722B3" w:rsidRDefault="005119BE" w:rsidP="002F71BC">
      <w:pPr>
        <w:jc w:val="both"/>
        <w:rPr>
          <w:rFonts w:ascii="Corbel" w:hAnsi="Corbel"/>
          <w:bCs/>
          <w:iCs/>
          <w:lang w:val="en-US"/>
        </w:rPr>
      </w:pPr>
    </w:p>
    <w:p w14:paraId="7A31D329" w14:textId="1D172B9D" w:rsidR="00D64270" w:rsidRPr="00ED510F" w:rsidRDefault="001E5A91" w:rsidP="00ED510F">
      <w:pPr>
        <w:jc w:val="both"/>
        <w:rPr>
          <w:rFonts w:ascii="Corbel" w:hAnsi="Corbel"/>
          <w:sz w:val="22"/>
          <w:szCs w:val="22"/>
          <w:lang w:val="en-US"/>
        </w:rPr>
      </w:pPr>
      <w:r w:rsidRPr="00ED510F">
        <w:rPr>
          <w:rFonts w:ascii="Corbel" w:hAnsi="Corbel"/>
          <w:bCs/>
          <w:iCs/>
          <w:sz w:val="22"/>
          <w:szCs w:val="22"/>
          <w:lang w:val="en-US"/>
        </w:rPr>
        <w:t>A second shared performance framework is linked to the management of the EU structural funds. The EU Member states manage a large part of the EU budget through the shared management model of the EU spending programs, which account for approximately 80% of the EU budget. The bulk of these programs corresponds to the European Structural Investments funds (ESIF)</w:t>
      </w:r>
      <w:r w:rsidRPr="00ED510F">
        <w:rPr>
          <w:rStyle w:val="Rimandonotadichiusura"/>
          <w:rFonts w:ascii="Corbel" w:hAnsi="Corbel"/>
          <w:bCs/>
          <w:iCs/>
          <w:sz w:val="22"/>
          <w:szCs w:val="22"/>
          <w:lang w:val="en-US"/>
        </w:rPr>
        <w:endnoteReference w:id="24"/>
      </w:r>
      <w:r w:rsidRPr="00ED510F">
        <w:rPr>
          <w:rFonts w:ascii="Corbel" w:hAnsi="Corbel"/>
          <w:bCs/>
          <w:iCs/>
          <w:sz w:val="22"/>
          <w:szCs w:val="22"/>
          <w:lang w:val="en-US"/>
        </w:rPr>
        <w:t xml:space="preserve">, for which the Commission and the member states are jointly responsible for their implementation. Also, the use of structural funds is based on the principle of complementarity and requires the co-financing of the operative programs from the member states. As described above, to increase the results orientation of the ESI funds the Commission together with the member states adopted a shared performance framework for monitoring, reporting and evaluate the use of the ESI funds. Consequently, all managing authorities share the same common objectives set for all ESI funds and need to define their indicators and targets to account for how the resources managed are directed towards the common objectives. </w:t>
      </w:r>
    </w:p>
    <w:p w14:paraId="055D6125" w14:textId="3CE3EF72" w:rsidR="00657179" w:rsidRPr="009722B3" w:rsidRDefault="00260877" w:rsidP="002F71BC">
      <w:pPr>
        <w:jc w:val="both"/>
        <w:rPr>
          <w:rFonts w:ascii="Corbel" w:hAnsi="Corbel"/>
          <w:lang w:val="en-US"/>
        </w:rPr>
      </w:pPr>
      <w:r w:rsidRPr="00ED510F">
        <w:rPr>
          <w:rFonts w:ascii="Corbel" w:hAnsi="Corbel"/>
          <w:sz w:val="22"/>
          <w:szCs w:val="22"/>
          <w:lang w:val="en-US"/>
        </w:rPr>
        <w:t>Considering the missing adoption of a new shared ten-year strategy at the EU level, in the current decade</w:t>
      </w:r>
      <w:r w:rsidR="0004151E" w:rsidRPr="00ED510F">
        <w:rPr>
          <w:rFonts w:ascii="Corbel" w:hAnsi="Corbel"/>
          <w:sz w:val="22"/>
          <w:szCs w:val="22"/>
          <w:lang w:val="en-US"/>
        </w:rPr>
        <w:t xml:space="preserve"> (2020-2030), </w:t>
      </w:r>
      <w:r w:rsidRPr="00ED510F">
        <w:rPr>
          <w:rFonts w:ascii="Corbel" w:hAnsi="Corbel"/>
          <w:sz w:val="22"/>
          <w:szCs w:val="22"/>
          <w:lang w:val="en-US"/>
        </w:rPr>
        <w:t xml:space="preserve">EU and member states only share the new ESI </w:t>
      </w:r>
      <w:proofErr w:type="spellStart"/>
      <w:r w:rsidRPr="00ED510F">
        <w:rPr>
          <w:rFonts w:ascii="Corbel" w:hAnsi="Corbel"/>
          <w:sz w:val="22"/>
          <w:szCs w:val="22"/>
          <w:lang w:val="en-US"/>
        </w:rPr>
        <w:t>funds</w:t>
      </w:r>
      <w:proofErr w:type="spellEnd"/>
      <w:r w:rsidRPr="00ED510F">
        <w:rPr>
          <w:rFonts w:ascii="Corbel" w:hAnsi="Corbel"/>
          <w:sz w:val="22"/>
          <w:szCs w:val="22"/>
          <w:lang w:val="en-US"/>
        </w:rPr>
        <w:t xml:space="preserve"> performance frame</w:t>
      </w:r>
      <w:r w:rsidR="0004151E" w:rsidRPr="00ED510F">
        <w:rPr>
          <w:rFonts w:ascii="Corbel" w:hAnsi="Corbel"/>
          <w:sz w:val="22"/>
          <w:szCs w:val="22"/>
          <w:lang w:val="en-US"/>
        </w:rPr>
        <w:t xml:space="preserve">work. </w:t>
      </w:r>
      <w:r w:rsidRPr="00ED510F">
        <w:rPr>
          <w:rFonts w:ascii="Corbel" w:hAnsi="Corbel"/>
          <w:sz w:val="22"/>
          <w:szCs w:val="22"/>
          <w:lang w:val="en-US"/>
        </w:rPr>
        <w:t xml:space="preserve">  </w:t>
      </w:r>
    </w:p>
    <w:p w14:paraId="2A82C899" w14:textId="77777777" w:rsidR="00657179" w:rsidRPr="009722B3" w:rsidRDefault="00657179" w:rsidP="002F71BC">
      <w:pPr>
        <w:jc w:val="both"/>
        <w:rPr>
          <w:rFonts w:ascii="Corbel" w:hAnsi="Corbel"/>
          <w:lang w:val="en-US"/>
        </w:rPr>
      </w:pPr>
    </w:p>
    <w:p w14:paraId="35444073" w14:textId="77777777" w:rsidR="00547808" w:rsidRPr="009722B3" w:rsidRDefault="00547808" w:rsidP="002F71BC">
      <w:pPr>
        <w:jc w:val="both"/>
        <w:rPr>
          <w:rFonts w:ascii="Corbel" w:hAnsi="Corbel"/>
          <w:b/>
          <w:iCs/>
          <w:highlight w:val="yellow"/>
          <w:lang w:val="en-US"/>
        </w:rPr>
      </w:pPr>
    </w:p>
    <w:p w14:paraId="11302E01" w14:textId="5BBE4643" w:rsidR="00B447D2" w:rsidRPr="009722B3" w:rsidRDefault="00547808" w:rsidP="002F71BC">
      <w:pPr>
        <w:jc w:val="both"/>
        <w:rPr>
          <w:rFonts w:ascii="Corbel" w:hAnsi="Corbel"/>
          <w:b/>
          <w:iCs/>
          <w:lang w:val="en-US"/>
        </w:rPr>
      </w:pPr>
      <w:r w:rsidRPr="009722B3">
        <w:rPr>
          <w:rFonts w:ascii="Corbel" w:hAnsi="Corbel"/>
          <w:b/>
          <w:iCs/>
          <w:lang w:val="en-US"/>
        </w:rPr>
        <w:t xml:space="preserve">7. </w:t>
      </w:r>
      <w:r w:rsidR="00B91E5D" w:rsidRPr="009722B3">
        <w:rPr>
          <w:rFonts w:ascii="Corbel" w:hAnsi="Corbel"/>
          <w:b/>
          <w:iCs/>
          <w:lang w:val="en-US"/>
        </w:rPr>
        <w:t>Conclusion</w:t>
      </w:r>
      <w:r w:rsidRPr="009722B3">
        <w:rPr>
          <w:rFonts w:ascii="Corbel" w:hAnsi="Corbel"/>
          <w:b/>
          <w:iCs/>
          <w:lang w:val="en-US"/>
        </w:rPr>
        <w:t>s</w:t>
      </w:r>
    </w:p>
    <w:p w14:paraId="4D00F5C8" w14:textId="43C347C4" w:rsidR="001E5A91" w:rsidRPr="00ED510F" w:rsidRDefault="001E5A91" w:rsidP="002F71BC">
      <w:pPr>
        <w:jc w:val="both"/>
        <w:rPr>
          <w:rFonts w:ascii="Corbel" w:hAnsi="Corbel"/>
          <w:bCs/>
          <w:iCs/>
          <w:sz w:val="22"/>
          <w:szCs w:val="22"/>
          <w:lang w:val="en-US"/>
        </w:rPr>
      </w:pPr>
      <w:r w:rsidRPr="00ED510F">
        <w:rPr>
          <w:rFonts w:ascii="Corbel" w:hAnsi="Corbel"/>
          <w:bCs/>
          <w:iCs/>
          <w:sz w:val="22"/>
          <w:szCs w:val="22"/>
          <w:lang w:val="en-US"/>
        </w:rPr>
        <w:t>The strategic framework of the EU appears as a rather complex performance system with multiple strategic frameworks in place at different levels of the organization and outside.</w:t>
      </w:r>
      <w:r w:rsidR="007E5E6E" w:rsidRPr="00ED510F">
        <w:rPr>
          <w:rFonts w:ascii="Corbel" w:hAnsi="Corbel"/>
          <w:bCs/>
          <w:iCs/>
          <w:sz w:val="22"/>
          <w:szCs w:val="22"/>
          <w:lang w:val="en-US"/>
        </w:rPr>
        <w:t xml:space="preserve"> D</w:t>
      </w:r>
      <w:r w:rsidR="00D412EF" w:rsidRPr="00ED510F">
        <w:rPr>
          <w:rFonts w:ascii="Corbel" w:hAnsi="Corbel"/>
          <w:bCs/>
          <w:iCs/>
          <w:sz w:val="22"/>
          <w:szCs w:val="22"/>
          <w:lang w:val="en-US"/>
        </w:rPr>
        <w:t xml:space="preserve">espite the progress towards a more coherent and effective performance chain, </w:t>
      </w:r>
      <w:r w:rsidRPr="00ED510F">
        <w:rPr>
          <w:rFonts w:ascii="Corbel" w:hAnsi="Corbel"/>
          <w:bCs/>
          <w:iCs/>
          <w:sz w:val="22"/>
          <w:szCs w:val="22"/>
          <w:lang w:val="en-US"/>
        </w:rPr>
        <w:t xml:space="preserve">several disconnections between </w:t>
      </w:r>
      <w:r w:rsidR="00221DF2" w:rsidRPr="00ED510F">
        <w:rPr>
          <w:rFonts w:ascii="Corbel" w:hAnsi="Corbel"/>
          <w:bCs/>
          <w:iCs/>
          <w:sz w:val="22"/>
          <w:szCs w:val="22"/>
          <w:lang w:val="en-US"/>
        </w:rPr>
        <w:t>documents</w:t>
      </w:r>
      <w:r w:rsidRPr="00ED510F">
        <w:rPr>
          <w:rFonts w:ascii="Corbel" w:hAnsi="Corbel"/>
          <w:bCs/>
          <w:iCs/>
          <w:sz w:val="22"/>
          <w:szCs w:val="22"/>
          <w:lang w:val="en-US"/>
        </w:rPr>
        <w:t xml:space="preserve"> set at different levels and </w:t>
      </w:r>
      <w:r w:rsidR="00221DF2" w:rsidRPr="00ED510F">
        <w:rPr>
          <w:rFonts w:ascii="Corbel" w:hAnsi="Corbel"/>
          <w:bCs/>
          <w:iCs/>
          <w:sz w:val="22"/>
          <w:szCs w:val="22"/>
          <w:lang w:val="en-US"/>
        </w:rPr>
        <w:t>with</w:t>
      </w:r>
      <w:r w:rsidRPr="00ED510F">
        <w:rPr>
          <w:rFonts w:ascii="Corbel" w:hAnsi="Corbel"/>
          <w:bCs/>
          <w:iCs/>
          <w:sz w:val="22"/>
          <w:szCs w:val="22"/>
          <w:lang w:val="en-US"/>
        </w:rPr>
        <w:t xml:space="preserve"> different</w:t>
      </w:r>
      <w:r w:rsidR="00221DF2" w:rsidRPr="00ED510F">
        <w:rPr>
          <w:rFonts w:ascii="Corbel" w:hAnsi="Corbel"/>
          <w:bCs/>
          <w:iCs/>
          <w:sz w:val="22"/>
          <w:szCs w:val="22"/>
          <w:lang w:val="en-US"/>
        </w:rPr>
        <w:t xml:space="preserve"> perspectives</w:t>
      </w:r>
      <w:r w:rsidRPr="00ED510F">
        <w:rPr>
          <w:rFonts w:ascii="Corbel" w:hAnsi="Corbel"/>
          <w:bCs/>
          <w:iCs/>
          <w:sz w:val="22"/>
          <w:szCs w:val="22"/>
          <w:lang w:val="en-US"/>
        </w:rPr>
        <w:t xml:space="preserve"> time </w:t>
      </w:r>
      <w:r w:rsidR="00221DF2" w:rsidRPr="00ED510F">
        <w:rPr>
          <w:rFonts w:ascii="Corbel" w:hAnsi="Corbel"/>
          <w:bCs/>
          <w:iCs/>
          <w:sz w:val="22"/>
          <w:szCs w:val="22"/>
          <w:lang w:val="en-US"/>
        </w:rPr>
        <w:t xml:space="preserve">still </w:t>
      </w:r>
      <w:r w:rsidR="00D412EF" w:rsidRPr="00ED510F">
        <w:rPr>
          <w:rFonts w:ascii="Corbel" w:hAnsi="Corbel"/>
          <w:bCs/>
          <w:iCs/>
          <w:sz w:val="22"/>
          <w:szCs w:val="22"/>
          <w:lang w:val="en-US"/>
        </w:rPr>
        <w:t xml:space="preserve">affect the EU performance management system. </w:t>
      </w:r>
      <w:r w:rsidRPr="00ED510F">
        <w:rPr>
          <w:rFonts w:ascii="Corbel" w:hAnsi="Corbel"/>
          <w:bCs/>
          <w:iCs/>
          <w:sz w:val="22"/>
          <w:szCs w:val="22"/>
          <w:lang w:val="en-US"/>
        </w:rPr>
        <w:t xml:space="preserve"> </w:t>
      </w:r>
    </w:p>
    <w:p w14:paraId="2DE6FF31" w14:textId="193A11DA" w:rsidR="002537ED" w:rsidRPr="00ED510F" w:rsidRDefault="002537ED" w:rsidP="002F71BC">
      <w:pPr>
        <w:jc w:val="both"/>
        <w:rPr>
          <w:rFonts w:ascii="Corbel" w:hAnsi="Corbel"/>
          <w:bCs/>
          <w:iCs/>
          <w:sz w:val="22"/>
          <w:szCs w:val="22"/>
          <w:lang w:val="en-US"/>
        </w:rPr>
      </w:pPr>
      <w:r w:rsidRPr="00ED510F">
        <w:rPr>
          <w:rFonts w:ascii="Corbel" w:hAnsi="Corbel"/>
          <w:bCs/>
          <w:iCs/>
          <w:sz w:val="22"/>
          <w:szCs w:val="22"/>
          <w:lang w:val="en-US"/>
        </w:rPr>
        <w:t xml:space="preserve">The first disconnection is the missing of a shared and medium-term strategy for the decade 2020-2030 between EU institutions and the member states. The lack of a common strategic framework at high level including targets and indicators </w:t>
      </w:r>
      <w:r w:rsidR="00A84D01" w:rsidRPr="00ED510F">
        <w:rPr>
          <w:rFonts w:ascii="Corbel" w:hAnsi="Corbel"/>
          <w:bCs/>
          <w:iCs/>
          <w:sz w:val="22"/>
          <w:szCs w:val="22"/>
          <w:lang w:val="en-US"/>
        </w:rPr>
        <w:t>obstacle</w:t>
      </w:r>
      <w:r w:rsidRPr="00ED510F">
        <w:rPr>
          <w:rFonts w:ascii="Corbel" w:hAnsi="Corbel"/>
          <w:bCs/>
          <w:iCs/>
          <w:sz w:val="22"/>
          <w:szCs w:val="22"/>
          <w:lang w:val="en-US"/>
        </w:rPr>
        <w:t xml:space="preserve"> the possibility </w:t>
      </w:r>
      <w:r w:rsidR="00FD7CB0" w:rsidRPr="00ED510F">
        <w:rPr>
          <w:rFonts w:ascii="Corbel" w:hAnsi="Corbel"/>
          <w:bCs/>
          <w:iCs/>
          <w:sz w:val="22"/>
          <w:szCs w:val="22"/>
          <w:lang w:val="en-US"/>
        </w:rPr>
        <w:t>to link performance objectives set at the different levels with the EU institutions and member states.</w:t>
      </w:r>
      <w:r w:rsidR="00B106D2" w:rsidRPr="00ED510F">
        <w:rPr>
          <w:rFonts w:ascii="Corbel" w:hAnsi="Corbel"/>
          <w:bCs/>
          <w:iCs/>
          <w:sz w:val="22"/>
          <w:szCs w:val="22"/>
          <w:lang w:val="en-US"/>
        </w:rPr>
        <w:t xml:space="preserve"> </w:t>
      </w:r>
    </w:p>
    <w:p w14:paraId="148AE356" w14:textId="3516271B" w:rsidR="007E5E6E" w:rsidRPr="00ED510F" w:rsidRDefault="00D412EF" w:rsidP="002F71BC">
      <w:pPr>
        <w:jc w:val="both"/>
        <w:rPr>
          <w:rFonts w:ascii="Corbel" w:hAnsi="Corbel"/>
          <w:bCs/>
          <w:iCs/>
          <w:sz w:val="22"/>
          <w:szCs w:val="22"/>
          <w:lang w:val="en-US"/>
        </w:rPr>
      </w:pPr>
      <w:r w:rsidRPr="00ED510F">
        <w:rPr>
          <w:rFonts w:ascii="Corbel" w:hAnsi="Corbel"/>
          <w:bCs/>
          <w:iCs/>
          <w:sz w:val="22"/>
          <w:szCs w:val="22"/>
          <w:lang w:val="en-US"/>
        </w:rPr>
        <w:t>T</w:t>
      </w:r>
      <w:r w:rsidR="001E5A91" w:rsidRPr="00ED510F">
        <w:rPr>
          <w:rFonts w:ascii="Corbel" w:hAnsi="Corbel"/>
          <w:bCs/>
          <w:iCs/>
          <w:sz w:val="22"/>
          <w:szCs w:val="22"/>
          <w:lang w:val="en-US"/>
        </w:rPr>
        <w:t xml:space="preserve">he </w:t>
      </w:r>
      <w:r w:rsidR="002537ED" w:rsidRPr="00ED510F">
        <w:rPr>
          <w:rFonts w:ascii="Corbel" w:hAnsi="Corbel"/>
          <w:bCs/>
          <w:iCs/>
          <w:sz w:val="22"/>
          <w:szCs w:val="22"/>
          <w:lang w:val="en-US"/>
        </w:rPr>
        <w:t>second</w:t>
      </w:r>
      <w:r w:rsidR="001E5A91" w:rsidRPr="00ED510F">
        <w:rPr>
          <w:rFonts w:ascii="Corbel" w:hAnsi="Corbel"/>
          <w:bCs/>
          <w:iCs/>
          <w:sz w:val="22"/>
          <w:szCs w:val="22"/>
          <w:lang w:val="en-US"/>
        </w:rPr>
        <w:t xml:space="preserve"> disconnection is that the time-perspective of the different EU strategic documents is not aligned</w:t>
      </w:r>
      <w:r w:rsidR="00221DF2" w:rsidRPr="00ED510F">
        <w:rPr>
          <w:rFonts w:ascii="Corbel" w:hAnsi="Corbel"/>
          <w:bCs/>
          <w:iCs/>
          <w:sz w:val="22"/>
          <w:szCs w:val="22"/>
          <w:lang w:val="en-US"/>
        </w:rPr>
        <w:t>.</w:t>
      </w:r>
      <w:r w:rsidR="001E5A91" w:rsidRPr="00ED510F">
        <w:rPr>
          <w:rFonts w:ascii="Corbel" w:hAnsi="Corbel"/>
          <w:bCs/>
          <w:iCs/>
          <w:sz w:val="22"/>
          <w:szCs w:val="22"/>
          <w:lang w:val="en-US"/>
        </w:rPr>
        <w:t xml:space="preserve"> In fact: </w:t>
      </w:r>
    </w:p>
    <w:p w14:paraId="0DFACE05" w14:textId="0CEA8A70" w:rsidR="00221DF2" w:rsidRPr="00ED510F" w:rsidRDefault="001E5A91" w:rsidP="002F71BC">
      <w:pPr>
        <w:pStyle w:val="Paragrafoelenco"/>
        <w:numPr>
          <w:ilvl w:val="0"/>
          <w:numId w:val="29"/>
        </w:numPr>
        <w:spacing w:line="240" w:lineRule="auto"/>
        <w:jc w:val="both"/>
        <w:rPr>
          <w:rFonts w:ascii="Corbel" w:hAnsi="Corbel"/>
          <w:bCs/>
          <w:lang w:val="en-US"/>
        </w:rPr>
      </w:pPr>
      <w:r w:rsidRPr="00ED510F">
        <w:rPr>
          <w:rFonts w:ascii="Corbel" w:hAnsi="Corbel"/>
          <w:bCs/>
          <w:iCs/>
          <w:lang w:val="en-US"/>
        </w:rPr>
        <w:t>the long</w:t>
      </w:r>
      <w:r w:rsidR="002537ED" w:rsidRPr="00ED510F">
        <w:rPr>
          <w:rFonts w:ascii="Corbel" w:hAnsi="Corbel"/>
          <w:bCs/>
          <w:iCs/>
          <w:lang w:val="en-US"/>
        </w:rPr>
        <w:t>-</w:t>
      </w:r>
      <w:r w:rsidRPr="00ED510F">
        <w:rPr>
          <w:rFonts w:ascii="Corbel" w:hAnsi="Corbel"/>
          <w:bCs/>
          <w:iCs/>
          <w:lang w:val="en-US"/>
        </w:rPr>
        <w:t>term EU strategies, as the</w:t>
      </w:r>
      <w:r w:rsidR="006342B4" w:rsidRPr="00ED510F">
        <w:rPr>
          <w:rFonts w:ascii="Corbel" w:hAnsi="Corbel"/>
          <w:bCs/>
          <w:iCs/>
          <w:lang w:val="en-US"/>
        </w:rPr>
        <w:t xml:space="preserve"> Lisbon strategy and the</w:t>
      </w:r>
      <w:r w:rsidRPr="00ED510F">
        <w:rPr>
          <w:rFonts w:ascii="Corbel" w:hAnsi="Corbel"/>
          <w:bCs/>
          <w:iCs/>
          <w:lang w:val="en-US"/>
        </w:rPr>
        <w:t xml:space="preserve"> Europe 2020 strategy, ha</w:t>
      </w:r>
      <w:r w:rsidR="00FD7CB0" w:rsidRPr="00ED510F">
        <w:rPr>
          <w:rFonts w:ascii="Corbel" w:hAnsi="Corbel"/>
          <w:bCs/>
          <w:iCs/>
          <w:lang w:val="en-US"/>
        </w:rPr>
        <w:t>ve</w:t>
      </w:r>
      <w:r w:rsidRPr="00ED510F">
        <w:rPr>
          <w:rFonts w:ascii="Corbel" w:hAnsi="Corbel"/>
          <w:bCs/>
          <w:iCs/>
          <w:lang w:val="en-US"/>
        </w:rPr>
        <w:t xml:space="preserve"> a time</w:t>
      </w:r>
      <w:r w:rsidR="006342B4" w:rsidRPr="00ED510F">
        <w:rPr>
          <w:rFonts w:ascii="Corbel" w:hAnsi="Corbel"/>
          <w:bCs/>
          <w:iCs/>
          <w:lang w:val="en-US"/>
        </w:rPr>
        <w:t xml:space="preserve"> span</w:t>
      </w:r>
      <w:r w:rsidRPr="00ED510F">
        <w:rPr>
          <w:rFonts w:ascii="Corbel" w:hAnsi="Corbel"/>
          <w:bCs/>
          <w:iCs/>
          <w:lang w:val="en-US"/>
        </w:rPr>
        <w:t xml:space="preserve"> of ten years (from</w:t>
      </w:r>
      <w:r w:rsidR="00FD7CB0" w:rsidRPr="00ED510F">
        <w:rPr>
          <w:rFonts w:ascii="Corbel" w:hAnsi="Corbel"/>
          <w:bCs/>
          <w:iCs/>
          <w:lang w:val="en-US"/>
        </w:rPr>
        <w:t xml:space="preserve"> 2000-20201,</w:t>
      </w:r>
      <w:r w:rsidRPr="00ED510F">
        <w:rPr>
          <w:rFonts w:ascii="Corbel" w:hAnsi="Corbel"/>
          <w:bCs/>
          <w:iCs/>
          <w:lang w:val="en-US"/>
        </w:rPr>
        <w:t xml:space="preserve"> 2010 to 2020</w:t>
      </w:r>
      <w:r w:rsidR="00FD7CB0" w:rsidRPr="00ED510F">
        <w:rPr>
          <w:rFonts w:ascii="Corbel" w:hAnsi="Corbel"/>
          <w:bCs/>
          <w:iCs/>
          <w:lang w:val="en-US"/>
        </w:rPr>
        <w:t xml:space="preserve"> etc.</w:t>
      </w:r>
      <w:proofErr w:type="gramStart"/>
      <w:r w:rsidRPr="00ED510F">
        <w:rPr>
          <w:rFonts w:ascii="Corbel" w:hAnsi="Corbel"/>
          <w:bCs/>
          <w:iCs/>
          <w:lang w:val="en-US"/>
        </w:rPr>
        <w:t>);</w:t>
      </w:r>
      <w:proofErr w:type="gramEnd"/>
      <w:r w:rsidRPr="00ED510F">
        <w:rPr>
          <w:rFonts w:ascii="Corbel" w:hAnsi="Corbel"/>
          <w:bCs/>
          <w:iCs/>
          <w:lang w:val="en-US"/>
        </w:rPr>
        <w:t xml:space="preserve"> </w:t>
      </w:r>
    </w:p>
    <w:p w14:paraId="0FE5F510" w14:textId="44DE44EA" w:rsidR="00221DF2" w:rsidRPr="00ED510F" w:rsidRDefault="001E5A91" w:rsidP="002F71BC">
      <w:pPr>
        <w:pStyle w:val="Paragrafoelenco"/>
        <w:numPr>
          <w:ilvl w:val="0"/>
          <w:numId w:val="29"/>
        </w:numPr>
        <w:spacing w:line="240" w:lineRule="auto"/>
        <w:jc w:val="both"/>
        <w:rPr>
          <w:rFonts w:ascii="Corbel" w:hAnsi="Corbel"/>
          <w:bCs/>
          <w:lang w:val="en-US"/>
        </w:rPr>
      </w:pPr>
      <w:r w:rsidRPr="00ED510F">
        <w:rPr>
          <w:rFonts w:ascii="Corbel" w:hAnsi="Corbel"/>
          <w:bCs/>
          <w:lang w:val="en-US"/>
        </w:rPr>
        <w:t xml:space="preserve">the </w:t>
      </w:r>
      <w:r w:rsidRPr="00ED510F">
        <w:rPr>
          <w:rFonts w:ascii="Corbel" w:hAnsi="Corbel"/>
          <w:bCs/>
          <w:iCs/>
          <w:lang w:val="en-US"/>
        </w:rPr>
        <w:t>Multiannual Financial Framework (MFF) and the EU spending programs have formally a time of seven years (currently from 20</w:t>
      </w:r>
      <w:r w:rsidR="00433B24" w:rsidRPr="00ED510F">
        <w:rPr>
          <w:rFonts w:ascii="Corbel" w:hAnsi="Corbel"/>
          <w:bCs/>
          <w:iCs/>
          <w:lang w:val="en-US"/>
        </w:rPr>
        <w:t>21</w:t>
      </w:r>
      <w:r w:rsidRPr="00ED510F">
        <w:rPr>
          <w:rFonts w:ascii="Corbel" w:hAnsi="Corbel"/>
          <w:bCs/>
          <w:iCs/>
          <w:lang w:val="en-US"/>
        </w:rPr>
        <w:t xml:space="preserve"> to 202</w:t>
      </w:r>
      <w:r w:rsidR="00433B24" w:rsidRPr="00ED510F">
        <w:rPr>
          <w:rFonts w:ascii="Corbel" w:hAnsi="Corbel"/>
          <w:bCs/>
          <w:iCs/>
          <w:lang w:val="en-US"/>
        </w:rPr>
        <w:t>7</w:t>
      </w:r>
      <w:r w:rsidRPr="00ED510F">
        <w:rPr>
          <w:rFonts w:ascii="Corbel" w:hAnsi="Corbel"/>
          <w:bCs/>
          <w:iCs/>
          <w:lang w:val="en-US"/>
        </w:rPr>
        <w:t xml:space="preserve">). Although the actual length is over 13 years, considering </w:t>
      </w:r>
      <w:r w:rsidRPr="00ED510F">
        <w:rPr>
          <w:rFonts w:ascii="Corbel" w:hAnsi="Corbel"/>
          <w:bCs/>
          <w:iCs/>
          <w:lang w:val="en-US"/>
        </w:rPr>
        <w:lastRenderedPageBreak/>
        <w:t xml:space="preserve">that the proposals are first made two years before (n-2) and the spending programs have an eligibility period three years after (n+3) the end of the programming </w:t>
      </w:r>
      <w:proofErr w:type="gramStart"/>
      <w:r w:rsidRPr="00ED510F">
        <w:rPr>
          <w:rFonts w:ascii="Corbel" w:hAnsi="Corbel"/>
          <w:bCs/>
          <w:iCs/>
          <w:lang w:val="en-US"/>
        </w:rPr>
        <w:t>period;</w:t>
      </w:r>
      <w:proofErr w:type="gramEnd"/>
    </w:p>
    <w:p w14:paraId="43022E3E" w14:textId="2365ED23" w:rsidR="001E5A91" w:rsidRPr="00ED510F" w:rsidRDefault="001E5A91" w:rsidP="002F71BC">
      <w:pPr>
        <w:pStyle w:val="Paragrafoelenco"/>
        <w:numPr>
          <w:ilvl w:val="0"/>
          <w:numId w:val="29"/>
        </w:numPr>
        <w:spacing w:line="240" w:lineRule="auto"/>
        <w:jc w:val="both"/>
        <w:rPr>
          <w:rFonts w:ascii="Corbel" w:hAnsi="Corbel"/>
          <w:bCs/>
          <w:lang w:val="en-US"/>
        </w:rPr>
      </w:pPr>
      <w:r w:rsidRPr="00ED510F">
        <w:rPr>
          <w:rFonts w:ascii="Corbel" w:hAnsi="Corbel"/>
          <w:bCs/>
          <w:lang w:val="en-US"/>
        </w:rPr>
        <w:t>the strategic agenda of the European Council has a time of five years (currently 201</w:t>
      </w:r>
      <w:r w:rsidR="00433B24" w:rsidRPr="00ED510F">
        <w:rPr>
          <w:rFonts w:ascii="Corbel" w:hAnsi="Corbel"/>
          <w:bCs/>
          <w:lang w:val="en-US"/>
        </w:rPr>
        <w:t>9</w:t>
      </w:r>
      <w:r w:rsidRPr="00ED510F">
        <w:rPr>
          <w:rFonts w:ascii="Corbel" w:hAnsi="Corbel"/>
          <w:bCs/>
          <w:lang w:val="en-US"/>
        </w:rPr>
        <w:t>-20</w:t>
      </w:r>
      <w:r w:rsidR="00433B24" w:rsidRPr="00ED510F">
        <w:rPr>
          <w:rFonts w:ascii="Corbel" w:hAnsi="Corbel"/>
          <w:bCs/>
          <w:lang w:val="en-US"/>
        </w:rPr>
        <w:t>24</w:t>
      </w:r>
      <w:proofErr w:type="gramStart"/>
      <w:r w:rsidRPr="00ED510F">
        <w:rPr>
          <w:rFonts w:ascii="Corbel" w:hAnsi="Corbel"/>
          <w:bCs/>
          <w:lang w:val="en-US"/>
        </w:rPr>
        <w:t>)</w:t>
      </w:r>
      <w:r w:rsidR="005B6D75" w:rsidRPr="00ED510F">
        <w:rPr>
          <w:rFonts w:ascii="Corbel" w:hAnsi="Corbel"/>
          <w:bCs/>
          <w:lang w:val="en-US"/>
        </w:rPr>
        <w:t>;</w:t>
      </w:r>
      <w:proofErr w:type="gramEnd"/>
    </w:p>
    <w:p w14:paraId="45B4DA5D" w14:textId="1B2C0894" w:rsidR="001E5A91" w:rsidRPr="00ED510F" w:rsidRDefault="001E5A91" w:rsidP="002F71BC">
      <w:pPr>
        <w:pStyle w:val="Paragrafoelenco"/>
        <w:numPr>
          <w:ilvl w:val="0"/>
          <w:numId w:val="29"/>
        </w:numPr>
        <w:spacing w:line="240" w:lineRule="auto"/>
        <w:jc w:val="both"/>
        <w:rPr>
          <w:rFonts w:ascii="Corbel" w:hAnsi="Corbel"/>
          <w:bCs/>
          <w:lang w:val="en-US"/>
        </w:rPr>
      </w:pPr>
      <w:r w:rsidRPr="00ED510F">
        <w:rPr>
          <w:rFonts w:ascii="Corbel" w:hAnsi="Corbel"/>
          <w:bCs/>
          <w:lang w:val="en-US"/>
        </w:rPr>
        <w:t xml:space="preserve">the Commission mandate linked to </w:t>
      </w:r>
      <w:r w:rsidRPr="00ED510F">
        <w:rPr>
          <w:rFonts w:ascii="Corbel" w:hAnsi="Corbel"/>
          <w:bCs/>
          <w:iCs/>
          <w:lang w:val="en-US"/>
        </w:rPr>
        <w:t>the Commission’s political guidelines is set for five years following the electoral cycle of the European Parliament (currently from 20</w:t>
      </w:r>
      <w:r w:rsidR="00433B24" w:rsidRPr="00ED510F">
        <w:rPr>
          <w:rFonts w:ascii="Corbel" w:hAnsi="Corbel"/>
          <w:bCs/>
          <w:iCs/>
          <w:lang w:val="en-US"/>
        </w:rPr>
        <w:t>19</w:t>
      </w:r>
      <w:r w:rsidRPr="00ED510F">
        <w:rPr>
          <w:rFonts w:ascii="Corbel" w:hAnsi="Corbel"/>
          <w:bCs/>
          <w:iCs/>
          <w:lang w:val="en-US"/>
        </w:rPr>
        <w:t>-20</w:t>
      </w:r>
      <w:r w:rsidR="00433B24" w:rsidRPr="00ED510F">
        <w:rPr>
          <w:rFonts w:ascii="Corbel" w:hAnsi="Corbel"/>
          <w:bCs/>
          <w:iCs/>
          <w:lang w:val="en-US"/>
        </w:rPr>
        <w:t>24</w:t>
      </w:r>
      <w:r w:rsidRPr="00ED510F">
        <w:rPr>
          <w:rFonts w:ascii="Corbel" w:hAnsi="Corbel"/>
          <w:bCs/>
          <w:iCs/>
          <w:lang w:val="en-US"/>
        </w:rPr>
        <w:t>).</w:t>
      </w:r>
    </w:p>
    <w:p w14:paraId="3112CDE1" w14:textId="7D3BA1CE" w:rsidR="00221DF2" w:rsidRPr="00ED510F" w:rsidRDefault="001E5A91" w:rsidP="002F71BC">
      <w:pPr>
        <w:jc w:val="both"/>
        <w:rPr>
          <w:rFonts w:ascii="Corbel" w:hAnsi="Corbel"/>
          <w:bCs/>
          <w:iCs/>
          <w:sz w:val="22"/>
          <w:szCs w:val="22"/>
          <w:lang w:val="en-US"/>
        </w:rPr>
      </w:pPr>
      <w:r w:rsidRPr="00ED510F">
        <w:rPr>
          <w:rFonts w:ascii="Corbel" w:hAnsi="Corbel"/>
          <w:bCs/>
          <w:iCs/>
          <w:sz w:val="22"/>
          <w:szCs w:val="22"/>
          <w:lang w:val="en-US"/>
        </w:rPr>
        <w:t xml:space="preserve">The time of the </w:t>
      </w:r>
      <w:r w:rsidR="006342B4" w:rsidRPr="00ED510F">
        <w:rPr>
          <w:rFonts w:ascii="Corbel" w:hAnsi="Corbel"/>
          <w:bCs/>
          <w:iCs/>
          <w:sz w:val="22"/>
          <w:szCs w:val="22"/>
          <w:lang w:val="en-US"/>
        </w:rPr>
        <w:t>ten-year strategy (currently missing)</w:t>
      </w:r>
      <w:r w:rsidRPr="00ED510F">
        <w:rPr>
          <w:rFonts w:ascii="Corbel" w:hAnsi="Corbel"/>
          <w:bCs/>
          <w:iCs/>
          <w:sz w:val="22"/>
          <w:szCs w:val="22"/>
          <w:lang w:val="en-US"/>
        </w:rPr>
        <w:t xml:space="preserve"> </w:t>
      </w:r>
      <w:r w:rsidR="00026327" w:rsidRPr="00ED510F">
        <w:rPr>
          <w:rFonts w:ascii="Corbel" w:hAnsi="Corbel"/>
          <w:bCs/>
          <w:iCs/>
          <w:sz w:val="22"/>
          <w:szCs w:val="22"/>
          <w:lang w:val="en-US"/>
        </w:rPr>
        <w:t>is thus not</w:t>
      </w:r>
      <w:r w:rsidRPr="00ED510F">
        <w:rPr>
          <w:rFonts w:ascii="Corbel" w:hAnsi="Corbel"/>
          <w:bCs/>
          <w:iCs/>
          <w:sz w:val="22"/>
          <w:szCs w:val="22"/>
          <w:lang w:val="en-US"/>
        </w:rPr>
        <w:t xml:space="preserve"> aligned with the Multiannual Financial </w:t>
      </w:r>
      <w:r w:rsidRPr="00ED510F">
        <w:rPr>
          <w:rFonts w:ascii="Corbel" w:hAnsi="Corbel"/>
          <w:bCs/>
          <w:iCs/>
          <w:sz w:val="22"/>
          <w:szCs w:val="22"/>
          <w:lang w:val="en-GB"/>
        </w:rPr>
        <w:t>Framework</w:t>
      </w:r>
      <w:r w:rsidRPr="00ED510F">
        <w:rPr>
          <w:rFonts w:ascii="Corbel" w:hAnsi="Corbel"/>
          <w:bCs/>
          <w:iCs/>
          <w:sz w:val="22"/>
          <w:szCs w:val="22"/>
          <w:lang w:val="en-US"/>
        </w:rPr>
        <w:t xml:space="preserve"> and the EU spending programs in turns are not synchronized with the Commission political guidelines which are set for five years following the electoral cycle of the European Parliament. Also, the previous EU spending programs (n+3) overlap with the current programming period.</w:t>
      </w:r>
      <w:r w:rsidR="00026327" w:rsidRPr="00ED510F">
        <w:rPr>
          <w:rFonts w:ascii="Corbel" w:hAnsi="Corbel"/>
          <w:bCs/>
          <w:iCs/>
          <w:sz w:val="22"/>
          <w:szCs w:val="22"/>
          <w:lang w:val="en-US"/>
        </w:rPr>
        <w:t xml:space="preserve"> </w:t>
      </w:r>
      <w:r w:rsidRPr="00ED510F">
        <w:rPr>
          <w:rFonts w:ascii="Corbel" w:hAnsi="Corbel"/>
          <w:bCs/>
          <w:iCs/>
          <w:sz w:val="22"/>
          <w:szCs w:val="22"/>
          <w:lang w:val="en-US"/>
        </w:rPr>
        <w:t xml:space="preserve">The consequence is that the actual period of the strategic documents prevents the achievement of the strategic goals through implementing policy more effectively and efficiently (European Parliament 2017). </w:t>
      </w:r>
    </w:p>
    <w:p w14:paraId="5DD0CA97" w14:textId="77777777" w:rsidR="00B447D2" w:rsidRPr="00ED510F" w:rsidRDefault="00B447D2" w:rsidP="002F71BC">
      <w:pPr>
        <w:jc w:val="both"/>
        <w:rPr>
          <w:rFonts w:ascii="Corbel" w:hAnsi="Corbel"/>
          <w:bCs/>
          <w:sz w:val="22"/>
          <w:szCs w:val="22"/>
          <w:lang w:val="en-GB"/>
        </w:rPr>
      </w:pPr>
    </w:p>
    <w:p w14:paraId="256692AB" w14:textId="356CA4FE" w:rsidR="001E5A91" w:rsidRPr="00ED510F" w:rsidRDefault="001E5A91" w:rsidP="002F71BC">
      <w:pPr>
        <w:jc w:val="both"/>
        <w:rPr>
          <w:rFonts w:ascii="Corbel" w:hAnsi="Corbel"/>
          <w:bCs/>
          <w:iCs/>
          <w:sz w:val="22"/>
          <w:szCs w:val="22"/>
          <w:lang w:val="en-US"/>
        </w:rPr>
      </w:pPr>
      <w:r w:rsidRPr="00ED510F">
        <w:rPr>
          <w:rFonts w:ascii="Corbel" w:hAnsi="Corbel"/>
          <w:bCs/>
          <w:sz w:val="22"/>
          <w:szCs w:val="22"/>
          <w:lang w:val="en-GB"/>
        </w:rPr>
        <w:t>The</w:t>
      </w:r>
      <w:r w:rsidRPr="00ED510F">
        <w:rPr>
          <w:rFonts w:ascii="Corbel" w:hAnsi="Corbel"/>
          <w:bCs/>
          <w:iCs/>
          <w:sz w:val="22"/>
          <w:szCs w:val="22"/>
          <w:lang w:val="en-US"/>
        </w:rPr>
        <w:t xml:space="preserve"> </w:t>
      </w:r>
      <w:r w:rsidR="002537ED" w:rsidRPr="00ED510F">
        <w:rPr>
          <w:rFonts w:ascii="Corbel" w:hAnsi="Corbel"/>
          <w:bCs/>
          <w:iCs/>
          <w:sz w:val="22"/>
          <w:szCs w:val="22"/>
          <w:lang w:val="en-US"/>
        </w:rPr>
        <w:t>third</w:t>
      </w:r>
      <w:r w:rsidRPr="00ED510F">
        <w:rPr>
          <w:rFonts w:ascii="Corbel" w:hAnsi="Corbel"/>
          <w:bCs/>
          <w:iCs/>
          <w:sz w:val="22"/>
          <w:szCs w:val="22"/>
          <w:lang w:val="en-US"/>
        </w:rPr>
        <w:t xml:space="preserve"> shortcoming is linked to the presence of multiple and overlapping strategic frameworks within the same organization. This can impede clarity and transparency in the performance chain, affecting the coherence between the higher-level strategic goals and more intermediate and operational objectives as well as the accountability framework (OECD 2017). The clarity of the EU strategic framework will depend on the level of complementarity of such documents as the different frameworks cover different kinds of areas. For exampl</w:t>
      </w:r>
      <w:r w:rsidR="00673BE4" w:rsidRPr="00ED510F">
        <w:rPr>
          <w:rFonts w:ascii="Corbel" w:hAnsi="Corbel"/>
          <w:bCs/>
          <w:iCs/>
          <w:sz w:val="22"/>
          <w:szCs w:val="22"/>
          <w:lang w:val="en-US"/>
        </w:rPr>
        <w:t>e, t</w:t>
      </w:r>
      <w:r w:rsidRPr="00ED510F">
        <w:rPr>
          <w:rFonts w:ascii="Corbel" w:hAnsi="Corbel"/>
          <w:bCs/>
          <w:iCs/>
          <w:sz w:val="22"/>
          <w:szCs w:val="22"/>
          <w:lang w:val="en-US"/>
        </w:rPr>
        <w:t>he main documents setting the EU strategic frameworks,</w:t>
      </w:r>
      <w:r w:rsidR="00433B24" w:rsidRPr="00ED510F">
        <w:rPr>
          <w:rFonts w:ascii="Corbel" w:hAnsi="Corbel"/>
          <w:bCs/>
          <w:iCs/>
          <w:sz w:val="22"/>
          <w:szCs w:val="22"/>
          <w:lang w:val="en-US"/>
        </w:rPr>
        <w:t xml:space="preserve"> the UN Agenda,</w:t>
      </w:r>
      <w:r w:rsidRPr="00ED510F">
        <w:rPr>
          <w:rFonts w:ascii="Corbel" w:hAnsi="Corbel"/>
          <w:bCs/>
          <w:iCs/>
          <w:sz w:val="22"/>
          <w:szCs w:val="22"/>
          <w:lang w:val="en-US"/>
        </w:rPr>
        <w:t xml:space="preserve"> the </w:t>
      </w:r>
      <w:r w:rsidR="00433B24" w:rsidRPr="00ED510F">
        <w:rPr>
          <w:rFonts w:ascii="Corbel" w:hAnsi="Corbel"/>
          <w:bCs/>
          <w:iCs/>
          <w:sz w:val="22"/>
          <w:szCs w:val="22"/>
          <w:lang w:val="en-US"/>
        </w:rPr>
        <w:t>ten-year strategy</w:t>
      </w:r>
      <w:r w:rsidRPr="00ED510F">
        <w:rPr>
          <w:rFonts w:ascii="Corbel" w:hAnsi="Corbel"/>
          <w:bCs/>
          <w:iCs/>
          <w:sz w:val="22"/>
          <w:szCs w:val="22"/>
          <w:lang w:val="en-US"/>
        </w:rPr>
        <w:t>,</w:t>
      </w:r>
      <w:r w:rsidR="00433B24" w:rsidRPr="00ED510F">
        <w:rPr>
          <w:rFonts w:ascii="Corbel" w:hAnsi="Corbel"/>
          <w:bCs/>
          <w:iCs/>
          <w:sz w:val="22"/>
          <w:szCs w:val="22"/>
          <w:lang w:val="en-US"/>
        </w:rPr>
        <w:t xml:space="preserve"> </w:t>
      </w:r>
      <w:r w:rsidRPr="00ED510F">
        <w:rPr>
          <w:rFonts w:ascii="Corbel" w:hAnsi="Corbel"/>
          <w:bCs/>
          <w:iCs/>
          <w:sz w:val="22"/>
          <w:szCs w:val="22"/>
          <w:lang w:val="en-US"/>
        </w:rPr>
        <w:t xml:space="preserve">and the Council Agenda have different time perspectives, include different objectives or sometimes the objectives are similar but measured with different indicators or as in the case of the Council agenda, the indicators are missing. Also, the monitoring and reporting mechanisms are diverse, while the Europe 2020 strategy </w:t>
      </w:r>
      <w:r w:rsidR="00433B24" w:rsidRPr="00ED510F">
        <w:rPr>
          <w:rFonts w:ascii="Corbel" w:hAnsi="Corbel"/>
          <w:bCs/>
          <w:iCs/>
          <w:sz w:val="22"/>
          <w:szCs w:val="22"/>
          <w:lang w:val="en-US"/>
        </w:rPr>
        <w:t>was</w:t>
      </w:r>
      <w:r w:rsidRPr="00ED510F">
        <w:rPr>
          <w:rFonts w:ascii="Corbel" w:hAnsi="Corbel"/>
          <w:bCs/>
          <w:iCs/>
          <w:sz w:val="22"/>
          <w:szCs w:val="22"/>
          <w:lang w:val="en-US"/>
        </w:rPr>
        <w:t xml:space="preserve"> fully integrated in the EU semester for policy coordination with the EU member states, the Commission deals with monitoring, </w:t>
      </w:r>
      <w:proofErr w:type="gramStart"/>
      <w:r w:rsidRPr="00ED510F">
        <w:rPr>
          <w:rFonts w:ascii="Corbel" w:hAnsi="Corbel"/>
          <w:bCs/>
          <w:iCs/>
          <w:sz w:val="22"/>
          <w:szCs w:val="22"/>
          <w:lang w:val="en-US"/>
        </w:rPr>
        <w:t>reporting</w:t>
      </w:r>
      <w:proofErr w:type="gramEnd"/>
      <w:r w:rsidRPr="00ED510F">
        <w:rPr>
          <w:rFonts w:ascii="Corbel" w:hAnsi="Corbel"/>
          <w:bCs/>
          <w:iCs/>
          <w:sz w:val="22"/>
          <w:szCs w:val="22"/>
          <w:lang w:val="en-US"/>
        </w:rPr>
        <w:t xml:space="preserve"> and reviewing progress towards the Sustainable Development Goals in the EU context (European Commission 2016</w:t>
      </w:r>
      <w:r w:rsidR="00525655" w:rsidRPr="00ED510F">
        <w:rPr>
          <w:rFonts w:ascii="Corbel" w:hAnsi="Corbel"/>
          <w:bCs/>
          <w:iCs/>
          <w:sz w:val="22"/>
          <w:szCs w:val="22"/>
          <w:lang w:val="en-US"/>
        </w:rPr>
        <w:t>a</w:t>
      </w:r>
      <w:r w:rsidRPr="00ED510F">
        <w:rPr>
          <w:rFonts w:ascii="Corbel" w:hAnsi="Corbel"/>
          <w:bCs/>
          <w:iCs/>
          <w:sz w:val="22"/>
          <w:szCs w:val="22"/>
          <w:lang w:val="en-US"/>
        </w:rPr>
        <w:t xml:space="preserve">). </w:t>
      </w:r>
    </w:p>
    <w:p w14:paraId="6B157845" w14:textId="27E47716" w:rsidR="001E5A91" w:rsidRPr="00ED510F" w:rsidRDefault="00433B24" w:rsidP="002F71BC">
      <w:pPr>
        <w:jc w:val="both"/>
        <w:rPr>
          <w:rFonts w:ascii="Corbel" w:hAnsi="Corbel"/>
          <w:bCs/>
          <w:iCs/>
          <w:sz w:val="22"/>
          <w:szCs w:val="22"/>
          <w:lang w:val="en-US"/>
        </w:rPr>
      </w:pPr>
      <w:r w:rsidRPr="00ED510F">
        <w:rPr>
          <w:rFonts w:ascii="Corbel" w:hAnsi="Corbel"/>
          <w:bCs/>
          <w:sz w:val="22"/>
          <w:szCs w:val="22"/>
          <w:lang w:val="en-US"/>
        </w:rPr>
        <w:t>In the previous decade, the ten-year strategy</w:t>
      </w:r>
      <w:r w:rsidR="001E5A91" w:rsidRPr="00ED510F">
        <w:rPr>
          <w:rFonts w:ascii="Corbel" w:hAnsi="Corbel"/>
          <w:bCs/>
          <w:iCs/>
          <w:sz w:val="22"/>
          <w:szCs w:val="22"/>
          <w:lang w:val="en-US"/>
        </w:rPr>
        <w:t xml:space="preserve"> </w:t>
      </w:r>
      <w:r w:rsidRPr="00ED510F">
        <w:rPr>
          <w:rFonts w:ascii="Corbel" w:hAnsi="Corbel"/>
          <w:bCs/>
          <w:iCs/>
          <w:sz w:val="22"/>
          <w:szCs w:val="22"/>
          <w:lang w:val="en-US"/>
        </w:rPr>
        <w:t xml:space="preserve">Europe 2020 </w:t>
      </w:r>
      <w:r w:rsidR="001E5A91" w:rsidRPr="00ED510F">
        <w:rPr>
          <w:rFonts w:ascii="Corbel" w:hAnsi="Corbel"/>
          <w:bCs/>
          <w:iCs/>
          <w:sz w:val="22"/>
          <w:szCs w:val="22"/>
          <w:lang w:val="en-US"/>
        </w:rPr>
        <w:t>and the MFF cover</w:t>
      </w:r>
      <w:r w:rsidRPr="00ED510F">
        <w:rPr>
          <w:rFonts w:ascii="Corbel" w:hAnsi="Corbel"/>
          <w:bCs/>
          <w:iCs/>
          <w:sz w:val="22"/>
          <w:szCs w:val="22"/>
          <w:lang w:val="en-US"/>
        </w:rPr>
        <w:t>ed</w:t>
      </w:r>
      <w:r w:rsidR="001E5A91" w:rsidRPr="00ED510F">
        <w:rPr>
          <w:rFonts w:ascii="Corbel" w:hAnsi="Corbel"/>
          <w:bCs/>
          <w:iCs/>
          <w:sz w:val="22"/>
          <w:szCs w:val="22"/>
          <w:lang w:val="en-US"/>
        </w:rPr>
        <w:t xml:space="preserve"> different areas of competence. Although some relevant shifts </w:t>
      </w:r>
      <w:r w:rsidRPr="00ED510F">
        <w:rPr>
          <w:rFonts w:ascii="Corbel" w:hAnsi="Corbel"/>
          <w:bCs/>
          <w:iCs/>
          <w:sz w:val="22"/>
          <w:szCs w:val="22"/>
          <w:lang w:val="en-US"/>
        </w:rPr>
        <w:t>were</w:t>
      </w:r>
      <w:r w:rsidR="001E5A91" w:rsidRPr="00ED510F">
        <w:rPr>
          <w:rFonts w:ascii="Corbel" w:hAnsi="Corbel"/>
          <w:bCs/>
          <w:iCs/>
          <w:sz w:val="22"/>
          <w:szCs w:val="22"/>
          <w:lang w:val="en-US"/>
        </w:rPr>
        <w:t xml:space="preserve"> made in the MFF (20</w:t>
      </w:r>
      <w:r w:rsidRPr="00ED510F">
        <w:rPr>
          <w:rFonts w:ascii="Corbel" w:hAnsi="Corbel"/>
          <w:bCs/>
          <w:iCs/>
          <w:sz w:val="22"/>
          <w:szCs w:val="22"/>
          <w:lang w:val="en-US"/>
        </w:rPr>
        <w:t>14</w:t>
      </w:r>
      <w:r w:rsidR="001E5A91" w:rsidRPr="00ED510F">
        <w:rPr>
          <w:rFonts w:ascii="Corbel" w:hAnsi="Corbel"/>
          <w:bCs/>
          <w:iCs/>
          <w:sz w:val="22"/>
          <w:szCs w:val="22"/>
          <w:lang w:val="en-US"/>
        </w:rPr>
        <w:t>-202</w:t>
      </w:r>
      <w:r w:rsidRPr="00ED510F">
        <w:rPr>
          <w:rFonts w:ascii="Corbel" w:hAnsi="Corbel"/>
          <w:bCs/>
          <w:iCs/>
          <w:sz w:val="22"/>
          <w:szCs w:val="22"/>
          <w:lang w:val="en-US"/>
        </w:rPr>
        <w:t>0</w:t>
      </w:r>
      <w:r w:rsidR="001E5A91" w:rsidRPr="00ED510F">
        <w:rPr>
          <w:rFonts w:ascii="Corbel" w:hAnsi="Corbel"/>
          <w:bCs/>
          <w:iCs/>
          <w:sz w:val="22"/>
          <w:szCs w:val="22"/>
          <w:lang w:val="en-US"/>
        </w:rPr>
        <w:t xml:space="preserve">) to better align it with the EU strategic objectives, the </w:t>
      </w:r>
      <w:r w:rsidRPr="00ED510F">
        <w:rPr>
          <w:rFonts w:ascii="Corbel" w:hAnsi="Corbel"/>
          <w:bCs/>
          <w:iCs/>
          <w:sz w:val="22"/>
          <w:szCs w:val="22"/>
          <w:lang w:val="en-US"/>
        </w:rPr>
        <w:t>expenditures’</w:t>
      </w:r>
      <w:r w:rsidR="001E5A91" w:rsidRPr="00ED510F">
        <w:rPr>
          <w:rFonts w:ascii="Corbel" w:hAnsi="Corbel"/>
          <w:bCs/>
          <w:iCs/>
          <w:sz w:val="22"/>
          <w:szCs w:val="22"/>
          <w:lang w:val="en-US"/>
        </w:rPr>
        <w:t xml:space="preserve"> structure still reflect</w:t>
      </w:r>
      <w:r w:rsidRPr="00ED510F">
        <w:rPr>
          <w:rFonts w:ascii="Corbel" w:hAnsi="Corbel"/>
          <w:bCs/>
          <w:iCs/>
          <w:sz w:val="22"/>
          <w:szCs w:val="22"/>
          <w:lang w:val="en-US"/>
        </w:rPr>
        <w:t>ed</w:t>
      </w:r>
      <w:r w:rsidR="001E5A91" w:rsidRPr="00ED510F">
        <w:rPr>
          <w:rFonts w:ascii="Corbel" w:hAnsi="Corbel"/>
          <w:bCs/>
          <w:iCs/>
          <w:sz w:val="22"/>
          <w:szCs w:val="22"/>
          <w:lang w:val="en-US"/>
        </w:rPr>
        <w:t xml:space="preserve"> the traditional division, with almost 70% of expenditures related to agriculture and cohesion policy </w:t>
      </w:r>
      <w:r w:rsidR="001E5A91" w:rsidRPr="00ED510F">
        <w:rPr>
          <w:rFonts w:ascii="Corbel" w:hAnsi="Corbel"/>
          <w:bCs/>
          <w:iCs/>
          <w:sz w:val="22"/>
          <w:szCs w:val="22"/>
          <w:lang w:val="en-GB"/>
        </w:rPr>
        <w:t>(European Parliament 2017). Whereas in the Europe 2020 strategy little space is dedicated to both areas.</w:t>
      </w:r>
      <w:r w:rsidR="001E5A91" w:rsidRPr="00ED510F">
        <w:rPr>
          <w:rFonts w:ascii="Corbel" w:hAnsi="Corbel"/>
          <w:bCs/>
          <w:iCs/>
          <w:sz w:val="22"/>
          <w:szCs w:val="22"/>
          <w:lang w:val="en-US"/>
        </w:rPr>
        <w:t xml:space="preserve"> </w:t>
      </w:r>
      <w:r w:rsidRPr="00ED510F">
        <w:rPr>
          <w:rFonts w:ascii="Corbel" w:hAnsi="Corbel"/>
          <w:bCs/>
          <w:iCs/>
          <w:sz w:val="22"/>
          <w:szCs w:val="22"/>
          <w:lang w:val="en-US"/>
        </w:rPr>
        <w:t xml:space="preserve">In the current decade the absence of the ten-year strategy prevents any kind of analysis. </w:t>
      </w:r>
      <w:r w:rsidR="001E5A91" w:rsidRPr="00ED510F">
        <w:rPr>
          <w:rFonts w:ascii="Corbel" w:hAnsi="Corbel"/>
          <w:bCs/>
          <w:iCs/>
          <w:sz w:val="22"/>
          <w:szCs w:val="22"/>
          <w:lang w:val="en-US"/>
        </w:rPr>
        <w:t xml:space="preserve">The relation between the MFF and the EU spending programs is more linear, as all EU spending programs are split into the different budget chapters grouped within the budget headings which corresponds to a policy area. Nevertheless, each spending program has its performance framework and no single performance frameworks exist at the level of the MFF headings or policy area. This can make difficult for stakeholders to understand, for example, what the </w:t>
      </w:r>
      <w:proofErr w:type="gramStart"/>
      <w:r w:rsidR="001E5A91" w:rsidRPr="00ED510F">
        <w:rPr>
          <w:rFonts w:ascii="Corbel" w:hAnsi="Corbel"/>
          <w:bCs/>
          <w:iCs/>
          <w:sz w:val="22"/>
          <w:szCs w:val="22"/>
          <w:lang w:val="en-US"/>
        </w:rPr>
        <w:t>budget as a whole, or</w:t>
      </w:r>
      <w:proofErr w:type="gramEnd"/>
      <w:r w:rsidR="001E5A91" w:rsidRPr="00ED510F">
        <w:rPr>
          <w:rFonts w:ascii="Corbel" w:hAnsi="Corbel"/>
          <w:bCs/>
          <w:iCs/>
          <w:sz w:val="22"/>
          <w:szCs w:val="22"/>
          <w:lang w:val="en-US"/>
        </w:rPr>
        <w:t xml:space="preserve"> the single budget headings, are trying to accomplish (OECD 2017). The new reporting mechanism elaborated by the Commission which integrates information on financial expenditures and program performance in a single document (the AMPR) is definitively more accurate and informative than in the past. </w:t>
      </w:r>
      <w:r w:rsidR="00B91E5D" w:rsidRPr="00ED510F">
        <w:rPr>
          <w:rFonts w:ascii="Corbel" w:hAnsi="Corbel"/>
          <w:bCs/>
          <w:iCs/>
          <w:sz w:val="22"/>
          <w:szCs w:val="22"/>
          <w:lang w:val="en-US"/>
        </w:rPr>
        <w:t>Nevertheless,</w:t>
      </w:r>
      <w:r w:rsidR="001E5A91" w:rsidRPr="00ED510F">
        <w:rPr>
          <w:rFonts w:ascii="Corbel" w:hAnsi="Corbel"/>
          <w:bCs/>
          <w:iCs/>
          <w:sz w:val="22"/>
          <w:szCs w:val="22"/>
          <w:lang w:val="en-US"/>
        </w:rPr>
        <w:t xml:space="preserve"> for the </w:t>
      </w:r>
      <w:proofErr w:type="gramStart"/>
      <w:r w:rsidR="001E5A91" w:rsidRPr="00ED510F">
        <w:rPr>
          <w:rFonts w:ascii="Corbel" w:hAnsi="Corbel"/>
          <w:bCs/>
          <w:iCs/>
          <w:sz w:val="22"/>
          <w:szCs w:val="22"/>
          <w:lang w:val="en-US"/>
        </w:rPr>
        <w:t>general public</w:t>
      </w:r>
      <w:proofErr w:type="gramEnd"/>
      <w:r w:rsidR="001E5A91" w:rsidRPr="00ED510F">
        <w:rPr>
          <w:rFonts w:ascii="Corbel" w:hAnsi="Corbel"/>
          <w:bCs/>
          <w:iCs/>
          <w:sz w:val="22"/>
          <w:szCs w:val="22"/>
          <w:lang w:val="en-US"/>
        </w:rPr>
        <w:t xml:space="preserve"> is still very complex to come to terms with it. For this reason, the communication on performance should be further improved. To this regard, the OECD in a recent assessment report on Budgeting and Performance in the European Union suggests the EU to adopt a single document including the goals and objectives that the EU Budget intends to achieve “to be structured by reference to the existing EU budget headings, drawing together the various goals and objectives that are already articulated in various other policy domains </w:t>
      </w:r>
      <w:r w:rsidR="00FD740C" w:rsidRPr="00ED510F">
        <w:rPr>
          <w:rFonts w:ascii="Corbel" w:hAnsi="Corbel"/>
          <w:bCs/>
          <w:iCs/>
          <w:sz w:val="22"/>
          <w:szCs w:val="22"/>
          <w:lang w:val="en-US"/>
        </w:rPr>
        <w:t>[…]</w:t>
      </w:r>
      <w:r w:rsidR="001E5A91" w:rsidRPr="00ED510F">
        <w:rPr>
          <w:rFonts w:ascii="Corbel" w:hAnsi="Corbel"/>
          <w:bCs/>
          <w:iCs/>
          <w:sz w:val="22"/>
          <w:szCs w:val="22"/>
          <w:lang w:val="en-US"/>
        </w:rPr>
        <w:t xml:space="preserve"> and specifying, in each policy area, a limited number of headline targets to be pursued during the course of the budget year” (OECD 2017).</w:t>
      </w:r>
    </w:p>
    <w:p w14:paraId="64610904" w14:textId="1D85CF7F" w:rsidR="005221DE" w:rsidRPr="00ED510F" w:rsidRDefault="00FD740C" w:rsidP="002F71BC">
      <w:pPr>
        <w:jc w:val="both"/>
        <w:rPr>
          <w:rFonts w:ascii="Corbel" w:hAnsi="Corbel"/>
          <w:bCs/>
          <w:sz w:val="22"/>
          <w:szCs w:val="22"/>
          <w:lang w:val="en-US"/>
        </w:rPr>
      </w:pPr>
      <w:r w:rsidRPr="00ED510F">
        <w:rPr>
          <w:rFonts w:ascii="Corbel" w:hAnsi="Corbel"/>
          <w:bCs/>
          <w:sz w:val="22"/>
          <w:szCs w:val="22"/>
          <w:lang w:val="en-US"/>
        </w:rPr>
        <w:t xml:space="preserve">The fourth aspect concerns whether the EU performance framework is network oriented. In fact, </w:t>
      </w:r>
      <w:r w:rsidR="001E5A91" w:rsidRPr="00ED510F">
        <w:rPr>
          <w:rFonts w:ascii="Corbel" w:hAnsi="Corbel"/>
          <w:bCs/>
          <w:iCs/>
          <w:sz w:val="22"/>
          <w:szCs w:val="22"/>
          <w:lang w:val="en-US"/>
        </w:rPr>
        <w:t xml:space="preserve">measuring impact and results of the EU’s actions should be connected to a deeper performance management system, as the outcome are generally realized by the contribution of a range of organizations. In the case of the EU, the performance management is deeper as much as the performance levels (International, </w:t>
      </w:r>
      <w:proofErr w:type="gramStart"/>
      <w:r w:rsidR="001E5A91" w:rsidRPr="00ED510F">
        <w:rPr>
          <w:rFonts w:ascii="Corbel" w:hAnsi="Corbel"/>
          <w:bCs/>
          <w:iCs/>
          <w:sz w:val="22"/>
          <w:szCs w:val="22"/>
          <w:lang w:val="en-US"/>
        </w:rPr>
        <w:t>European</w:t>
      </w:r>
      <w:proofErr w:type="gramEnd"/>
      <w:r w:rsidR="001E5A91" w:rsidRPr="00ED510F">
        <w:rPr>
          <w:rFonts w:ascii="Corbel" w:hAnsi="Corbel"/>
          <w:bCs/>
          <w:iCs/>
          <w:sz w:val="22"/>
          <w:szCs w:val="22"/>
          <w:lang w:val="en-US"/>
        </w:rPr>
        <w:t xml:space="preserve"> and national) are linked and integrated. In other words, as much as the objectives and targets are shared and commonly used across the different strategic levels</w:t>
      </w:r>
      <w:r w:rsidRPr="00ED510F">
        <w:rPr>
          <w:rFonts w:ascii="Corbel" w:hAnsi="Corbel"/>
          <w:bCs/>
          <w:iCs/>
          <w:sz w:val="22"/>
          <w:szCs w:val="22"/>
          <w:lang w:val="en-US"/>
        </w:rPr>
        <w:t xml:space="preserve"> by different actors</w:t>
      </w:r>
      <w:r w:rsidR="001E5A91" w:rsidRPr="00ED510F">
        <w:rPr>
          <w:rFonts w:ascii="Corbel" w:hAnsi="Corbel"/>
          <w:bCs/>
          <w:iCs/>
          <w:sz w:val="22"/>
          <w:szCs w:val="22"/>
          <w:lang w:val="en-US"/>
        </w:rPr>
        <w:t>, as much as deep is the performance management system.</w:t>
      </w:r>
      <w:r w:rsidRPr="00ED510F">
        <w:rPr>
          <w:rFonts w:ascii="Corbel" w:hAnsi="Corbel"/>
          <w:bCs/>
          <w:iCs/>
          <w:sz w:val="22"/>
          <w:szCs w:val="22"/>
          <w:lang w:val="en-US"/>
        </w:rPr>
        <w:t xml:space="preserve"> </w:t>
      </w:r>
      <w:r w:rsidR="001E5A91" w:rsidRPr="00ED510F">
        <w:rPr>
          <w:rFonts w:ascii="Corbel" w:hAnsi="Corbel"/>
          <w:bCs/>
          <w:iCs/>
          <w:sz w:val="22"/>
          <w:szCs w:val="22"/>
          <w:lang w:val="en-US"/>
        </w:rPr>
        <w:t xml:space="preserve">The outcome planned at the EU level can be achieved only in collaboration with member states’ contribution, as these latter hold relevant responsibilities either in managing EU spending programs (indirect and shared management model) as well as in adopting legislative and non-legislative </w:t>
      </w:r>
      <w:r w:rsidR="001E5A91" w:rsidRPr="00ED510F">
        <w:rPr>
          <w:rFonts w:ascii="Corbel" w:hAnsi="Corbel"/>
          <w:bCs/>
          <w:iCs/>
          <w:sz w:val="22"/>
          <w:szCs w:val="22"/>
          <w:lang w:val="en-US"/>
        </w:rPr>
        <w:lastRenderedPageBreak/>
        <w:t xml:space="preserve">initiatives in their areas of competence. Their action is thus crucial for the achievement of the objectives set by the EU level; consequently, the depth of the performance management system adopted will depend on the degree of integration with the performance management system of the member states. In other words, as much as the objectives and indicators set at the European level will be integrated into the national performance management systems, as much as deeper will be the whole EU performance system. The Commission is deeply aware of the crucial role of the member states in achieving the objectives set and vice versa, member states believe to achieve the objectives more effectively at the European level. Said that performance accountability requires mutual trust and effective cooperation, indispensable for setting up a rational, </w:t>
      </w:r>
      <w:proofErr w:type="gramStart"/>
      <w:r w:rsidR="001E5A91" w:rsidRPr="00ED510F">
        <w:rPr>
          <w:rFonts w:ascii="Corbel" w:hAnsi="Corbel"/>
          <w:bCs/>
          <w:iCs/>
          <w:sz w:val="22"/>
          <w:szCs w:val="22"/>
          <w:lang w:val="en-US"/>
        </w:rPr>
        <w:t>shared</w:t>
      </w:r>
      <w:proofErr w:type="gramEnd"/>
      <w:r w:rsidR="001E5A91" w:rsidRPr="00ED510F">
        <w:rPr>
          <w:rFonts w:ascii="Corbel" w:hAnsi="Corbel"/>
          <w:bCs/>
          <w:iCs/>
          <w:sz w:val="22"/>
          <w:szCs w:val="22"/>
          <w:lang w:val="en-US"/>
        </w:rPr>
        <w:t xml:space="preserve"> and deeper performance system (Stiglitz</w:t>
      </w:r>
      <w:r w:rsidR="00ED510F">
        <w:rPr>
          <w:rFonts w:ascii="Corbel" w:hAnsi="Corbel"/>
          <w:bCs/>
          <w:iCs/>
          <w:sz w:val="22"/>
          <w:szCs w:val="22"/>
          <w:lang w:val="en-US"/>
        </w:rPr>
        <w:t>,</w:t>
      </w:r>
      <w:r w:rsidR="001E5A91" w:rsidRPr="00ED510F">
        <w:rPr>
          <w:rFonts w:ascii="Corbel" w:hAnsi="Corbel"/>
          <w:bCs/>
          <w:iCs/>
          <w:sz w:val="22"/>
          <w:szCs w:val="22"/>
          <w:lang w:val="en-US"/>
        </w:rPr>
        <w:t xml:space="preserve"> 2003). In this respect, some initiatives have been carried out to increase the coordination of performance systems</w:t>
      </w:r>
      <w:r w:rsidR="005221DE" w:rsidRPr="00ED510F">
        <w:rPr>
          <w:rFonts w:ascii="Corbel" w:hAnsi="Corbel"/>
          <w:bCs/>
          <w:iCs/>
          <w:sz w:val="22"/>
          <w:szCs w:val="22"/>
          <w:lang w:val="en-US"/>
        </w:rPr>
        <w:t xml:space="preserve">. </w:t>
      </w:r>
    </w:p>
    <w:p w14:paraId="3F8F61E9" w14:textId="4F96286D" w:rsidR="001E5A91" w:rsidRPr="00ED510F" w:rsidRDefault="001E5A91" w:rsidP="002F71BC">
      <w:pPr>
        <w:jc w:val="both"/>
        <w:rPr>
          <w:rFonts w:ascii="Corbel" w:hAnsi="Corbel"/>
          <w:bCs/>
          <w:iCs/>
          <w:sz w:val="22"/>
          <w:szCs w:val="22"/>
          <w:lang w:val="en-US"/>
        </w:rPr>
      </w:pPr>
      <w:r w:rsidRPr="00ED510F">
        <w:rPr>
          <w:rFonts w:ascii="Corbel" w:hAnsi="Corbel"/>
          <w:bCs/>
          <w:iCs/>
          <w:sz w:val="22"/>
          <w:szCs w:val="22"/>
          <w:lang w:val="en-US"/>
        </w:rPr>
        <w:t xml:space="preserve">As described above, the EU and the member states </w:t>
      </w:r>
      <w:r w:rsidR="005221DE" w:rsidRPr="00ED510F">
        <w:rPr>
          <w:rFonts w:ascii="Corbel" w:hAnsi="Corbel"/>
          <w:bCs/>
          <w:iCs/>
          <w:sz w:val="22"/>
          <w:szCs w:val="22"/>
          <w:lang w:val="en-US"/>
        </w:rPr>
        <w:t xml:space="preserve">currently </w:t>
      </w:r>
      <w:r w:rsidRPr="00ED510F">
        <w:rPr>
          <w:rFonts w:ascii="Corbel" w:hAnsi="Corbel"/>
          <w:bCs/>
          <w:iCs/>
          <w:sz w:val="22"/>
          <w:szCs w:val="22"/>
          <w:lang w:val="en-US"/>
        </w:rPr>
        <w:t>share two performance framework</w:t>
      </w:r>
      <w:r w:rsidR="005221DE" w:rsidRPr="00ED510F">
        <w:rPr>
          <w:rFonts w:ascii="Corbel" w:hAnsi="Corbel"/>
          <w:bCs/>
          <w:iCs/>
          <w:sz w:val="22"/>
          <w:szCs w:val="22"/>
          <w:lang w:val="en-US"/>
        </w:rPr>
        <w:t>s</w:t>
      </w:r>
      <w:r w:rsidRPr="00ED510F">
        <w:rPr>
          <w:rFonts w:ascii="Corbel" w:hAnsi="Corbel"/>
          <w:bCs/>
          <w:iCs/>
          <w:sz w:val="22"/>
          <w:szCs w:val="22"/>
          <w:lang w:val="en-US"/>
        </w:rPr>
        <w:t xml:space="preserve">, the Europe 2020 </w:t>
      </w:r>
      <w:proofErr w:type="gramStart"/>
      <w:r w:rsidRPr="00ED510F">
        <w:rPr>
          <w:rFonts w:ascii="Corbel" w:hAnsi="Corbel"/>
          <w:bCs/>
          <w:iCs/>
          <w:sz w:val="22"/>
          <w:szCs w:val="22"/>
          <w:lang w:val="en-US"/>
        </w:rPr>
        <w:t>strategy</w:t>
      </w:r>
      <w:proofErr w:type="gramEnd"/>
      <w:r w:rsidRPr="00ED510F">
        <w:rPr>
          <w:rFonts w:ascii="Corbel" w:hAnsi="Corbel"/>
          <w:bCs/>
          <w:iCs/>
          <w:sz w:val="22"/>
          <w:szCs w:val="22"/>
          <w:lang w:val="en-US"/>
        </w:rPr>
        <w:t xml:space="preserve"> and the performance framework for the ESI funds. As for the Europe 2020 strategy, the European Commission and member states set together the main important priorities and targets as well as those of the main EU policy areas</w:t>
      </w:r>
      <w:r w:rsidRPr="00ED510F">
        <w:rPr>
          <w:rStyle w:val="Rimandonotadichiusura"/>
          <w:rFonts w:ascii="Corbel" w:hAnsi="Corbel"/>
          <w:bCs/>
          <w:iCs/>
          <w:sz w:val="22"/>
          <w:szCs w:val="22"/>
          <w:lang w:val="en-US"/>
        </w:rPr>
        <w:endnoteReference w:id="25"/>
      </w:r>
      <w:r w:rsidRPr="00ED510F">
        <w:rPr>
          <w:rFonts w:ascii="Corbel" w:hAnsi="Corbel"/>
          <w:bCs/>
          <w:iCs/>
          <w:sz w:val="22"/>
          <w:szCs w:val="22"/>
          <w:lang w:val="en-US"/>
        </w:rPr>
        <w:t>. Consequently, common objectives and indicators are set at different levels, including the policy areas (meso-level) as well as at the level of the single organization (micro-level). All member states formally committed to achieve the objectives set at the European level and different monitoring and evaluation mechanisms have been introduced to this purpose, as described above. Nevertheless, the mechanisms for monitoring member states’ compliance are rather weak, as the whole performance mechanism is still prevalently based on mutual collaboration and policy coordination, especially in the policy areas of member states’ competence, typical of the network approach. As stressed by Metcalfe (199</w:t>
      </w:r>
      <w:r w:rsidR="009F2EAA">
        <w:rPr>
          <w:rFonts w:ascii="Corbel" w:hAnsi="Corbel"/>
          <w:bCs/>
          <w:iCs/>
          <w:sz w:val="22"/>
          <w:szCs w:val="22"/>
          <w:lang w:val="en-US"/>
        </w:rPr>
        <w:t>2</w:t>
      </w:r>
      <w:r w:rsidR="00ED510F">
        <w:rPr>
          <w:rFonts w:ascii="Corbel" w:hAnsi="Corbel"/>
          <w:bCs/>
          <w:iCs/>
          <w:sz w:val="22"/>
          <w:szCs w:val="22"/>
          <w:lang w:val="en-US"/>
        </w:rPr>
        <w:t>;</w:t>
      </w:r>
      <w:r w:rsidRPr="00ED510F">
        <w:rPr>
          <w:rFonts w:ascii="Corbel" w:hAnsi="Corbel"/>
          <w:bCs/>
          <w:iCs/>
          <w:sz w:val="22"/>
          <w:szCs w:val="22"/>
          <w:lang w:val="en-US"/>
        </w:rPr>
        <w:t xml:space="preserve"> 2000), all different configuration of policy governance at the EU level are all network-based and managed through organizational networks</w:t>
      </w:r>
      <w:r w:rsidRPr="00ED510F">
        <w:rPr>
          <w:rStyle w:val="Rimandonotadichiusura"/>
          <w:rFonts w:ascii="Corbel" w:hAnsi="Corbel"/>
          <w:bCs/>
          <w:iCs/>
          <w:sz w:val="22"/>
          <w:szCs w:val="22"/>
          <w:lang w:val="en-US"/>
        </w:rPr>
        <w:endnoteReference w:id="26"/>
      </w:r>
      <w:r w:rsidRPr="00ED510F">
        <w:rPr>
          <w:rFonts w:ascii="Corbel" w:hAnsi="Corbel"/>
          <w:bCs/>
          <w:iCs/>
          <w:sz w:val="22"/>
          <w:szCs w:val="22"/>
          <w:lang w:val="en-US"/>
        </w:rPr>
        <w:t xml:space="preserve">. Such networks need to be managed effectively by the European Commission to achieve the desired and planned objectives. Despite this, the Commission </w:t>
      </w:r>
      <w:r w:rsidRPr="00ED510F">
        <w:rPr>
          <w:rFonts w:ascii="Corbel" w:hAnsi="Corbel"/>
          <w:bCs/>
          <w:sz w:val="22"/>
          <w:szCs w:val="22"/>
          <w:lang w:val="en-US"/>
        </w:rPr>
        <w:t>“has never been comfortable with the task of building and strengthening networks of close working relationships with national administrations, […] maintaining an arms-length relationship and an attitude of watchfulness, if not mistrust towards them “(Metcalfe</w:t>
      </w:r>
      <w:r w:rsidR="00ED510F">
        <w:rPr>
          <w:rFonts w:ascii="Corbel" w:hAnsi="Corbel"/>
          <w:bCs/>
          <w:sz w:val="22"/>
          <w:szCs w:val="22"/>
          <w:lang w:val="en-US"/>
        </w:rPr>
        <w:t>,</w:t>
      </w:r>
      <w:r w:rsidRPr="00ED510F">
        <w:rPr>
          <w:rFonts w:ascii="Corbel" w:hAnsi="Corbel"/>
          <w:bCs/>
          <w:sz w:val="22"/>
          <w:szCs w:val="22"/>
          <w:lang w:val="en-US"/>
        </w:rPr>
        <w:t xml:space="preserve"> 199</w:t>
      </w:r>
      <w:r w:rsidR="009F2EAA">
        <w:rPr>
          <w:rFonts w:ascii="Corbel" w:hAnsi="Corbel"/>
          <w:bCs/>
          <w:sz w:val="22"/>
          <w:szCs w:val="22"/>
          <w:lang w:val="en-US"/>
        </w:rPr>
        <w:t>2</w:t>
      </w:r>
      <w:r w:rsidRPr="00ED510F">
        <w:rPr>
          <w:rFonts w:ascii="Corbel" w:hAnsi="Corbel"/>
          <w:bCs/>
          <w:sz w:val="22"/>
          <w:szCs w:val="22"/>
          <w:lang w:val="en-US"/>
        </w:rPr>
        <w:t>). This attitude also influences the coordination of performance. Often, instead of strengthening the collaboration with member states towards a common performance objective, the Commission perceives the national administration as an external factor threatening the achievement of performance objectives. For example, in the EU program management field, the role of member states administration is often included in the Strategic Plans, in the section dedicated to the “main external factors influencing the achievement of the intended results”, together with economic and financial crises</w:t>
      </w:r>
      <w:r w:rsidRPr="00ED510F">
        <w:rPr>
          <w:rStyle w:val="Rimandonotadichiusura"/>
          <w:rFonts w:ascii="Corbel" w:hAnsi="Corbel"/>
          <w:bCs/>
          <w:sz w:val="22"/>
          <w:szCs w:val="22"/>
          <w:lang w:val="en-US"/>
        </w:rPr>
        <w:endnoteReference w:id="27"/>
      </w:r>
      <w:r w:rsidRPr="00ED510F">
        <w:rPr>
          <w:rFonts w:ascii="Corbel" w:hAnsi="Corbel"/>
          <w:bCs/>
          <w:sz w:val="22"/>
          <w:szCs w:val="22"/>
          <w:lang w:val="en-US"/>
        </w:rPr>
        <w:t xml:space="preserve">. Consequently, also the performance of the network is not adequately assessed, despite its relevance in the EU policy cycle. As outlined above, the performance measurement systems should support the collaborative relations among the network members and evaluate their performance, including specific indicators for measuring the performance of networks. From the case-study analysis, there is no evidence of specific indicators assessing the way the different EU policy networks are performing. </w:t>
      </w:r>
    </w:p>
    <w:p w14:paraId="7AAC1064" w14:textId="77777777" w:rsidR="001E5A91" w:rsidRPr="009722B3" w:rsidRDefault="001E5A91" w:rsidP="002F71BC">
      <w:pPr>
        <w:jc w:val="both"/>
        <w:rPr>
          <w:rFonts w:ascii="Corbel" w:hAnsi="Corbel"/>
          <w:lang w:val="en-US"/>
        </w:rPr>
      </w:pPr>
      <w:r w:rsidRPr="00ED510F">
        <w:rPr>
          <w:rFonts w:ascii="Corbel" w:hAnsi="Corbel"/>
          <w:bCs/>
          <w:sz w:val="22"/>
          <w:szCs w:val="22"/>
          <w:lang w:val="en-US"/>
        </w:rPr>
        <w:t xml:space="preserve">Finally, although further investigation is needed, the depth of the European Commission management system seems still very much dependent by the willingness of member states to incorporate priorities, targets, and indicators in their national performance system, although different mechanisms have been set up to agree on common objectives, </w:t>
      </w:r>
      <w:proofErr w:type="gramStart"/>
      <w:r w:rsidRPr="00ED510F">
        <w:rPr>
          <w:rFonts w:ascii="Corbel" w:hAnsi="Corbel"/>
          <w:bCs/>
          <w:sz w:val="22"/>
          <w:szCs w:val="22"/>
          <w:lang w:val="en-US"/>
        </w:rPr>
        <w:t>priorities</w:t>
      </w:r>
      <w:proofErr w:type="gramEnd"/>
      <w:r w:rsidRPr="00ED510F">
        <w:rPr>
          <w:rFonts w:ascii="Corbel" w:hAnsi="Corbel"/>
          <w:bCs/>
          <w:sz w:val="22"/>
          <w:szCs w:val="22"/>
          <w:lang w:val="en-US"/>
        </w:rPr>
        <w:t xml:space="preserve"> and targets. The poor attitude of the European Commission towards the network approach and the weak coordination mechanism could hamper this process. At the same time, the current structure of the Commission performance system is more coherent with a deeper level of performance measurement system and with a higher level of integration of their components.</w:t>
      </w:r>
      <w:r w:rsidRPr="009722B3">
        <w:rPr>
          <w:rFonts w:ascii="Corbel" w:hAnsi="Corbel"/>
          <w:lang w:val="en-US"/>
        </w:rPr>
        <w:t xml:space="preserve">  </w:t>
      </w:r>
    </w:p>
    <w:p w14:paraId="14939EDF" w14:textId="214236A0" w:rsidR="00B825E7" w:rsidRDefault="00B825E7" w:rsidP="002F71BC">
      <w:pPr>
        <w:rPr>
          <w:rFonts w:ascii="Corbel" w:hAnsi="Corbel"/>
          <w:lang w:val="en-US"/>
        </w:rPr>
      </w:pPr>
    </w:p>
    <w:p w14:paraId="4ABB0BD4" w14:textId="77777777" w:rsidR="004A222E" w:rsidRDefault="004A222E" w:rsidP="002F71BC">
      <w:pPr>
        <w:rPr>
          <w:rFonts w:ascii="Corbel" w:hAnsi="Corbel"/>
          <w:lang w:val="en-US"/>
        </w:rPr>
      </w:pPr>
      <w:r>
        <w:rPr>
          <w:rFonts w:ascii="Corbel" w:hAnsi="Corbel"/>
          <w:lang w:val="en-US"/>
        </w:rPr>
        <w:br w:type="page"/>
      </w:r>
    </w:p>
    <w:p w14:paraId="04366408" w14:textId="2FD2F2D8" w:rsidR="004A222E" w:rsidRPr="004A222E" w:rsidRDefault="004A222E" w:rsidP="002F71BC">
      <w:pPr>
        <w:rPr>
          <w:rFonts w:ascii="Corbel" w:hAnsi="Corbel"/>
          <w:b/>
          <w:bCs/>
          <w:lang w:val="en-US"/>
        </w:rPr>
      </w:pPr>
      <w:r w:rsidRPr="004A222E">
        <w:rPr>
          <w:rFonts w:ascii="Corbel" w:hAnsi="Corbel"/>
          <w:b/>
          <w:bCs/>
          <w:lang w:val="en-US"/>
        </w:rPr>
        <w:lastRenderedPageBreak/>
        <w:t>References</w:t>
      </w:r>
    </w:p>
    <w:p w14:paraId="5E784CBF" w14:textId="3E947A92"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Agranoff</w:t>
      </w:r>
      <w:proofErr w:type="spellEnd"/>
      <w:r w:rsidRPr="00801374">
        <w:rPr>
          <w:rFonts w:ascii="Corbel" w:hAnsi="Corbel"/>
          <w:sz w:val="21"/>
          <w:szCs w:val="21"/>
          <w:lang w:val="en-US"/>
        </w:rPr>
        <w:t>, R. and McGuire, M. 1999. Managing in network settings, Review of Policy Research, 16(1):18-41.</w:t>
      </w:r>
    </w:p>
    <w:p w14:paraId="482532BF"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Agranoff</w:t>
      </w:r>
      <w:proofErr w:type="spellEnd"/>
      <w:r w:rsidRPr="00801374">
        <w:rPr>
          <w:rFonts w:ascii="Corbel" w:hAnsi="Corbel"/>
          <w:sz w:val="21"/>
          <w:szCs w:val="21"/>
          <w:lang w:val="en-US"/>
        </w:rPr>
        <w:t xml:space="preserve"> R. and M. McGuire. 2001. Big Questions in Public Network Management Research, Journal of Public Administration Research and Theory, 11(3):295-326.</w:t>
      </w:r>
    </w:p>
    <w:p w14:paraId="5618B0C9" w14:textId="612EFA85"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Agranoff</w:t>
      </w:r>
      <w:proofErr w:type="spellEnd"/>
      <w:r w:rsidRPr="00801374">
        <w:rPr>
          <w:rFonts w:ascii="Corbel" w:hAnsi="Corbel"/>
          <w:sz w:val="21"/>
          <w:szCs w:val="21"/>
          <w:lang w:val="en-US"/>
        </w:rPr>
        <w:t xml:space="preserve"> R. and M. McGuire. 2003. Collaborative Public Management: New Strategies for Local Governments, Georgetown University Press.</w:t>
      </w:r>
    </w:p>
    <w:p w14:paraId="0C430256" w14:textId="57C36F52"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Allison G.T. 1971. Essence of Decision Making: Explaining the Cuban Missile Crisis, New York, HarperCollins Publishers.</w:t>
      </w:r>
    </w:p>
    <w:p w14:paraId="01BD65A1"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 xml:space="preserve">Balint T. and C. </w:t>
      </w:r>
      <w:proofErr w:type="spellStart"/>
      <w:r w:rsidRPr="00801374">
        <w:rPr>
          <w:rFonts w:ascii="Corbel" w:hAnsi="Corbel"/>
          <w:sz w:val="21"/>
          <w:szCs w:val="21"/>
          <w:lang w:val="en-US"/>
        </w:rPr>
        <w:t>Knill</w:t>
      </w:r>
      <w:proofErr w:type="spellEnd"/>
      <w:r w:rsidRPr="00801374">
        <w:rPr>
          <w:rFonts w:ascii="Corbel" w:hAnsi="Corbel"/>
          <w:sz w:val="21"/>
          <w:szCs w:val="21"/>
          <w:lang w:val="en-US"/>
        </w:rPr>
        <w:t xml:space="preserve">. 2007. The Limits of Legitimacy Pressure as a Source of Organizational Change: The Reform of Human Resource Management in the OECD, in “Management Reforms in International Organizations”, eds. Bauer M., </w:t>
      </w:r>
      <w:proofErr w:type="spellStart"/>
      <w:r w:rsidRPr="00801374">
        <w:rPr>
          <w:rFonts w:ascii="Corbel" w:hAnsi="Corbel"/>
          <w:sz w:val="21"/>
          <w:szCs w:val="21"/>
          <w:lang w:val="en-US"/>
        </w:rPr>
        <w:t>Knill</w:t>
      </w:r>
      <w:proofErr w:type="spellEnd"/>
      <w:r w:rsidRPr="00801374">
        <w:rPr>
          <w:rFonts w:ascii="Corbel" w:hAnsi="Corbel"/>
          <w:sz w:val="21"/>
          <w:szCs w:val="21"/>
          <w:lang w:val="en-US"/>
        </w:rPr>
        <w:t xml:space="preserve"> C., Nomos.</w:t>
      </w:r>
    </w:p>
    <w:p w14:paraId="59F0706F"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 xml:space="preserve">Bauer M.W. 2007. Introduction: Management Reform in International Organizations, in “Management Reforms in International Organizations”, eds. Bauer M., </w:t>
      </w:r>
      <w:proofErr w:type="spellStart"/>
      <w:r w:rsidRPr="00801374">
        <w:rPr>
          <w:rFonts w:ascii="Corbel" w:hAnsi="Corbel"/>
          <w:sz w:val="21"/>
          <w:szCs w:val="21"/>
          <w:lang w:val="en-US"/>
        </w:rPr>
        <w:t>Knill</w:t>
      </w:r>
      <w:proofErr w:type="spellEnd"/>
      <w:r w:rsidRPr="00801374">
        <w:rPr>
          <w:rFonts w:ascii="Corbel" w:hAnsi="Corbel"/>
          <w:sz w:val="21"/>
          <w:szCs w:val="21"/>
          <w:lang w:val="en-US"/>
        </w:rPr>
        <w:t xml:space="preserve"> C., Nomos.</w:t>
      </w:r>
    </w:p>
    <w:p w14:paraId="78162CD6"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Beetham D. 1991. The legitimacy of power. London, Macmillan Education Ltd.</w:t>
      </w:r>
    </w:p>
    <w:p w14:paraId="05C30EC6"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Bouckaert G. and J. Halligan. 2008. Managing performance: International comparisons, Routledge.</w:t>
      </w:r>
    </w:p>
    <w:p w14:paraId="271A6D51"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Bovaird T. 1996. Performance Assessment of Service Quality: Lessons from UK National Initiatives to Influence Local Government. Quality, Innovation and Measurement in the Public Sector, Peter Lang, Frankfurt.</w:t>
      </w:r>
    </w:p>
    <w:p w14:paraId="3BE0766C" w14:textId="7F928250"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Bingham L. B., and R. O’Leary. 2007. Conclusion: Parallel Play, Not Collaboration: Missing Questions, Missing Connections, Public Administration Review, 66:161-167.</w:t>
      </w:r>
    </w:p>
    <w:p w14:paraId="289ECC64"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Buchanan A. and R.O. Keohane. 2006. The legitimacy of global governance institutions, Ethics &amp; International Affairs, 20(4):405-437.</w:t>
      </w:r>
    </w:p>
    <w:p w14:paraId="6F13EEB8"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Cepiku</w:t>
      </w:r>
      <w:proofErr w:type="spellEnd"/>
      <w:r w:rsidRPr="00801374">
        <w:rPr>
          <w:rFonts w:ascii="Corbel" w:hAnsi="Corbel"/>
          <w:sz w:val="21"/>
          <w:szCs w:val="21"/>
          <w:lang w:val="en-US"/>
        </w:rPr>
        <w:t xml:space="preserve">, D. 2013. Network performance: toward a dynamic multidimensional model, in </w:t>
      </w:r>
      <w:proofErr w:type="spellStart"/>
      <w:r w:rsidRPr="00801374">
        <w:rPr>
          <w:rFonts w:ascii="Corbel" w:hAnsi="Corbel"/>
          <w:sz w:val="21"/>
          <w:szCs w:val="21"/>
          <w:lang w:val="en-US"/>
        </w:rPr>
        <w:t>Keast</w:t>
      </w:r>
      <w:proofErr w:type="spellEnd"/>
      <w:r w:rsidRPr="00801374">
        <w:rPr>
          <w:rFonts w:ascii="Corbel" w:hAnsi="Corbel"/>
          <w:sz w:val="21"/>
          <w:szCs w:val="21"/>
          <w:lang w:val="en-US"/>
        </w:rPr>
        <w:t xml:space="preserve">, R., Mandell, M. and </w:t>
      </w:r>
      <w:proofErr w:type="spellStart"/>
      <w:r w:rsidRPr="00801374">
        <w:rPr>
          <w:rFonts w:ascii="Corbel" w:hAnsi="Corbel"/>
          <w:sz w:val="21"/>
          <w:szCs w:val="21"/>
          <w:lang w:val="en-US"/>
        </w:rPr>
        <w:t>Agranoff</w:t>
      </w:r>
      <w:proofErr w:type="spellEnd"/>
      <w:r w:rsidRPr="00801374">
        <w:rPr>
          <w:rFonts w:ascii="Corbel" w:hAnsi="Corbel"/>
          <w:sz w:val="21"/>
          <w:szCs w:val="21"/>
          <w:lang w:val="en-US"/>
        </w:rPr>
        <w:t>, R. (Eds), Network Theory in the Public Sector, Routledge, New York.</w:t>
      </w:r>
    </w:p>
    <w:p w14:paraId="6AB9F33D"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Costumato</w:t>
      </w:r>
      <w:proofErr w:type="spellEnd"/>
      <w:r w:rsidRPr="00801374">
        <w:rPr>
          <w:rFonts w:ascii="Corbel" w:hAnsi="Corbel"/>
          <w:sz w:val="21"/>
          <w:szCs w:val="21"/>
          <w:lang w:val="en-US"/>
        </w:rPr>
        <w:t>, L. 2021. Collaboration among public organizations: a systematic literature review on determinants of interinstitutional performance, International Journal of Public Sector Management, 34(3):247-273.</w:t>
      </w:r>
    </w:p>
    <w:p w14:paraId="7AB568A9"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Cox R. W. and H. J. Jacobson. 1973. The Anatomy of Influence: Decision Making in International Organization, New Heaven, Yale University Press.</w:t>
      </w:r>
    </w:p>
    <w:p w14:paraId="1C7D251E"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Cristofoli</w:t>
      </w:r>
      <w:proofErr w:type="spellEnd"/>
      <w:r w:rsidRPr="00801374">
        <w:rPr>
          <w:rFonts w:ascii="Corbel" w:hAnsi="Corbel"/>
          <w:sz w:val="21"/>
          <w:szCs w:val="21"/>
          <w:lang w:val="en-US"/>
        </w:rPr>
        <w:t xml:space="preserve">, D., </w:t>
      </w:r>
      <w:proofErr w:type="spellStart"/>
      <w:r w:rsidRPr="00801374">
        <w:rPr>
          <w:rFonts w:ascii="Corbel" w:hAnsi="Corbel"/>
          <w:sz w:val="21"/>
          <w:szCs w:val="21"/>
          <w:lang w:val="en-US"/>
        </w:rPr>
        <w:t>Maccio</w:t>
      </w:r>
      <w:proofErr w:type="spellEnd"/>
      <w:r w:rsidRPr="00801374">
        <w:rPr>
          <w:rFonts w:ascii="Corbel" w:hAnsi="Corbel"/>
          <w:sz w:val="21"/>
          <w:szCs w:val="21"/>
          <w:lang w:val="en-US"/>
        </w:rPr>
        <w:t xml:space="preserve">, L. and </w:t>
      </w:r>
      <w:proofErr w:type="spellStart"/>
      <w:r w:rsidRPr="00801374">
        <w:rPr>
          <w:rFonts w:ascii="Corbel" w:hAnsi="Corbel"/>
          <w:sz w:val="21"/>
          <w:szCs w:val="21"/>
          <w:lang w:val="en-US"/>
        </w:rPr>
        <w:t>Pedrazzi</w:t>
      </w:r>
      <w:proofErr w:type="spellEnd"/>
      <w:r w:rsidRPr="00801374">
        <w:rPr>
          <w:rFonts w:ascii="Corbel" w:hAnsi="Corbel"/>
          <w:sz w:val="21"/>
          <w:szCs w:val="21"/>
          <w:lang w:val="en-US"/>
        </w:rPr>
        <w:t>, L. 2015. Structure, mechanisms, and managers in successful networks, Public Management Review, 17(4):489-516.</w:t>
      </w:r>
    </w:p>
    <w:p w14:paraId="08059DFC"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Cristofoli</w:t>
      </w:r>
      <w:proofErr w:type="spellEnd"/>
      <w:r w:rsidRPr="00801374">
        <w:rPr>
          <w:rFonts w:ascii="Corbel" w:hAnsi="Corbel"/>
          <w:sz w:val="21"/>
          <w:szCs w:val="21"/>
          <w:lang w:val="en-US"/>
        </w:rPr>
        <w:t>, D. and Markovic, J. 2016. How to make public networks really work: a qualitative comparative analysis, Public Administration, 94(1):89-110.</w:t>
      </w:r>
    </w:p>
    <w:p w14:paraId="5A8A74DB"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 xml:space="preserve">Crosby, </w:t>
      </w:r>
      <w:proofErr w:type="gramStart"/>
      <w:r w:rsidRPr="00801374">
        <w:rPr>
          <w:rFonts w:ascii="Corbel" w:hAnsi="Corbel"/>
          <w:sz w:val="21"/>
          <w:szCs w:val="21"/>
          <w:lang w:val="en-US"/>
        </w:rPr>
        <w:t>B.C.</w:t>
      </w:r>
      <w:proofErr w:type="gramEnd"/>
      <w:r w:rsidRPr="00801374">
        <w:rPr>
          <w:rFonts w:ascii="Corbel" w:hAnsi="Corbel"/>
          <w:sz w:val="21"/>
          <w:szCs w:val="21"/>
          <w:lang w:val="en-US"/>
        </w:rPr>
        <w:t xml:space="preserve"> and Bryson, J.M. 2005. A leadership framework for cross-sector collaboration, Public Management Review, 7(2):177-201.</w:t>
      </w:r>
    </w:p>
    <w:p w14:paraId="0CB1EB20"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Dahl R.A. 1989. Democracy and its Critics, Yale University Press.</w:t>
      </w:r>
    </w:p>
    <w:p w14:paraId="2095DDE1"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Dahl R.A., E. R. Tufte. 1973. Size and Democracy (Vol. 2), Stanford University Press.</w:t>
      </w:r>
    </w:p>
    <w:p w14:paraId="306DBD82"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Dijkzeul</w:t>
      </w:r>
      <w:proofErr w:type="spellEnd"/>
      <w:r w:rsidRPr="00801374">
        <w:rPr>
          <w:rFonts w:ascii="Corbel" w:hAnsi="Corbel"/>
          <w:sz w:val="21"/>
          <w:szCs w:val="21"/>
          <w:lang w:val="en-US"/>
        </w:rPr>
        <w:t xml:space="preserve"> D. and Y. </w:t>
      </w:r>
      <w:proofErr w:type="spellStart"/>
      <w:r w:rsidRPr="00801374">
        <w:rPr>
          <w:rFonts w:ascii="Corbel" w:hAnsi="Corbel"/>
          <w:sz w:val="21"/>
          <w:szCs w:val="21"/>
          <w:lang w:val="en-US"/>
        </w:rPr>
        <w:t>Beigbeder</w:t>
      </w:r>
      <w:proofErr w:type="spellEnd"/>
      <w:r w:rsidRPr="00801374">
        <w:rPr>
          <w:rFonts w:ascii="Corbel" w:hAnsi="Corbel"/>
          <w:sz w:val="21"/>
          <w:szCs w:val="21"/>
          <w:lang w:val="en-US"/>
        </w:rPr>
        <w:t xml:space="preserve">. 2003. Introduction in Rethinking International Organizations: Pathologies &amp; Promise, New York, </w:t>
      </w:r>
      <w:proofErr w:type="spellStart"/>
      <w:r w:rsidRPr="00801374">
        <w:rPr>
          <w:rFonts w:ascii="Corbel" w:hAnsi="Corbel"/>
          <w:sz w:val="21"/>
          <w:szCs w:val="21"/>
          <w:lang w:val="en-US"/>
        </w:rPr>
        <w:t>Berghahn</w:t>
      </w:r>
      <w:proofErr w:type="spellEnd"/>
      <w:r w:rsidRPr="00801374">
        <w:rPr>
          <w:rFonts w:ascii="Corbel" w:hAnsi="Corbel"/>
          <w:sz w:val="21"/>
          <w:szCs w:val="21"/>
          <w:lang w:val="en-US"/>
        </w:rPr>
        <w:t xml:space="preserve"> Books.</w:t>
      </w:r>
    </w:p>
    <w:p w14:paraId="336891E5"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 xml:space="preserve">Eurostat. 2016. Smarter, greener, more inclusive? Indicators to support the Europe 2020 Strategy. </w:t>
      </w:r>
    </w:p>
    <w:p w14:paraId="37750236"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 xml:space="preserve">Giacomini, D., </w:t>
      </w:r>
      <w:proofErr w:type="spellStart"/>
      <w:r w:rsidRPr="00801374">
        <w:rPr>
          <w:rFonts w:ascii="Corbel" w:hAnsi="Corbel"/>
          <w:sz w:val="21"/>
          <w:szCs w:val="21"/>
          <w:lang w:val="en-US"/>
        </w:rPr>
        <w:t>Sancino</w:t>
      </w:r>
      <w:proofErr w:type="spellEnd"/>
      <w:r w:rsidRPr="00801374">
        <w:rPr>
          <w:rFonts w:ascii="Corbel" w:hAnsi="Corbel"/>
          <w:sz w:val="21"/>
          <w:szCs w:val="21"/>
          <w:lang w:val="en-US"/>
        </w:rPr>
        <w:t xml:space="preserve">, A. and </w:t>
      </w:r>
      <w:proofErr w:type="spellStart"/>
      <w:r w:rsidRPr="00801374">
        <w:rPr>
          <w:rFonts w:ascii="Corbel" w:hAnsi="Corbel"/>
          <w:sz w:val="21"/>
          <w:szCs w:val="21"/>
          <w:lang w:val="en-US"/>
        </w:rPr>
        <w:t>Simonetto</w:t>
      </w:r>
      <w:proofErr w:type="spellEnd"/>
      <w:r w:rsidRPr="00801374">
        <w:rPr>
          <w:rFonts w:ascii="Corbel" w:hAnsi="Corbel"/>
          <w:sz w:val="21"/>
          <w:szCs w:val="21"/>
          <w:lang w:val="en-US"/>
        </w:rPr>
        <w:t>, A. 2018. The introduction of mandatory inter-municipal cooperation in small municipalities: preliminary lessons from Italy, International Journal of Public Sector Management, 31(3):331-346.</w:t>
      </w:r>
    </w:p>
    <w:p w14:paraId="1EE2B4F9"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Gordenker</w:t>
      </w:r>
      <w:proofErr w:type="spellEnd"/>
      <w:r w:rsidRPr="00801374">
        <w:rPr>
          <w:rFonts w:ascii="Corbel" w:hAnsi="Corbel"/>
          <w:sz w:val="21"/>
          <w:szCs w:val="21"/>
          <w:lang w:val="en-US"/>
        </w:rPr>
        <w:t xml:space="preserve"> L. and P. </w:t>
      </w:r>
      <w:proofErr w:type="spellStart"/>
      <w:proofErr w:type="gramStart"/>
      <w:r w:rsidRPr="00801374">
        <w:rPr>
          <w:rFonts w:ascii="Corbel" w:hAnsi="Corbel"/>
          <w:sz w:val="21"/>
          <w:szCs w:val="21"/>
          <w:lang w:val="en-US"/>
        </w:rPr>
        <w:t>R.Sanders</w:t>
      </w:r>
      <w:proofErr w:type="spellEnd"/>
      <w:proofErr w:type="gramEnd"/>
      <w:r w:rsidRPr="00801374">
        <w:rPr>
          <w:rFonts w:ascii="Corbel" w:hAnsi="Corbel"/>
          <w:sz w:val="21"/>
          <w:szCs w:val="21"/>
          <w:lang w:val="en-US"/>
        </w:rPr>
        <w:t>. 1978. Organization Theory and International Organization, Paul Taylor and A.J.R. Groom, eds., International Organization: A Conceptual Approach, New York, Nichols Publishing Co.</w:t>
      </w:r>
    </w:p>
    <w:p w14:paraId="589C14DA"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 xml:space="preserve">Haas E. B. 1958. The Uniting of Europe, Stanford: Stanford Univ. Press </w:t>
      </w:r>
    </w:p>
    <w:p w14:paraId="75493414"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lastRenderedPageBreak/>
        <w:t>Herranz</w:t>
      </w:r>
      <w:proofErr w:type="spellEnd"/>
      <w:r w:rsidRPr="00801374">
        <w:rPr>
          <w:rFonts w:ascii="Corbel" w:hAnsi="Corbel"/>
          <w:sz w:val="21"/>
          <w:szCs w:val="21"/>
          <w:lang w:val="en-US"/>
        </w:rPr>
        <w:t xml:space="preserve"> Jr, J. 2010. Network Performance and Coordination: A Theoretical Review and Framework, Public Performance &amp; Management Review, 33(3):311-341.</w:t>
      </w:r>
    </w:p>
    <w:p w14:paraId="145FCD98"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Hood C. 1995. The New Public Management in the 1980s: Variations on a Theme, Accounting, Organizations and Society, 20(2):93-109.</w:t>
      </w:r>
    </w:p>
    <w:p w14:paraId="3A5EEA1B"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 xml:space="preserve">Hood, C., G. Peters. 2004. The Middle Aging of New Public Management: into the Age of </w:t>
      </w:r>
      <w:proofErr w:type="gramStart"/>
      <w:r w:rsidRPr="00801374">
        <w:rPr>
          <w:rFonts w:ascii="Corbel" w:hAnsi="Corbel"/>
          <w:sz w:val="21"/>
          <w:szCs w:val="21"/>
          <w:lang w:val="en-US"/>
        </w:rPr>
        <w:t>Paradox?,</w:t>
      </w:r>
      <w:proofErr w:type="gramEnd"/>
      <w:r w:rsidRPr="00801374">
        <w:rPr>
          <w:rFonts w:ascii="Corbel" w:hAnsi="Corbel"/>
          <w:sz w:val="21"/>
          <w:szCs w:val="21"/>
          <w:lang w:val="en-US"/>
        </w:rPr>
        <w:t xml:space="preserve"> Journal of Public Administration Research and Theory, 14(3):267-282.</w:t>
      </w:r>
    </w:p>
    <w:p w14:paraId="6647D5E3"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 xml:space="preserve">Jervis R. 1976. Perception and Misperception in International Politics, Princeton, Princeton University Press </w:t>
      </w:r>
    </w:p>
    <w:p w14:paraId="6CE55BA0"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Jonsson C. 1986. Inter-organization Theory and International Organization, International Studies Quarterly, 30(1):39–57</w:t>
      </w:r>
    </w:p>
    <w:p w14:paraId="35F8F420"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 xml:space="preserve">Kaul I., I. </w:t>
      </w:r>
      <w:proofErr w:type="gramStart"/>
      <w:r w:rsidRPr="00801374">
        <w:rPr>
          <w:rFonts w:ascii="Corbel" w:hAnsi="Corbel"/>
          <w:sz w:val="21"/>
          <w:szCs w:val="21"/>
          <w:lang w:val="en-US"/>
        </w:rPr>
        <w:t>Grunberg</w:t>
      </w:r>
      <w:proofErr w:type="gramEnd"/>
      <w:r w:rsidRPr="00801374">
        <w:rPr>
          <w:rFonts w:ascii="Corbel" w:hAnsi="Corbel"/>
          <w:sz w:val="21"/>
          <w:szCs w:val="21"/>
          <w:lang w:val="en-US"/>
        </w:rPr>
        <w:t xml:space="preserve"> and M.A. Stern. 1999. Global public goods, Oxford University Press.</w:t>
      </w:r>
    </w:p>
    <w:p w14:paraId="2ABA31CA"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Keast</w:t>
      </w:r>
      <w:proofErr w:type="spellEnd"/>
      <w:r w:rsidRPr="00801374">
        <w:rPr>
          <w:rFonts w:ascii="Corbel" w:hAnsi="Corbel"/>
          <w:sz w:val="21"/>
          <w:szCs w:val="21"/>
          <w:lang w:val="en-US"/>
        </w:rPr>
        <w:t xml:space="preserve">, R., Mandell, M.P. and Brown, K. 2004. Network structures: working differently and changing expectations, Public Administration Review, 64(3):363-371 </w:t>
      </w:r>
    </w:p>
    <w:p w14:paraId="6E3360DB"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Kenis</w:t>
      </w:r>
      <w:proofErr w:type="spellEnd"/>
      <w:r w:rsidRPr="00801374">
        <w:rPr>
          <w:rFonts w:ascii="Corbel" w:hAnsi="Corbel"/>
          <w:sz w:val="21"/>
          <w:szCs w:val="21"/>
          <w:lang w:val="en-US"/>
        </w:rPr>
        <w:t xml:space="preserve">, </w:t>
      </w:r>
      <w:proofErr w:type="gramStart"/>
      <w:r w:rsidRPr="00801374">
        <w:rPr>
          <w:rFonts w:ascii="Corbel" w:hAnsi="Corbel"/>
          <w:sz w:val="21"/>
          <w:szCs w:val="21"/>
          <w:lang w:val="en-US"/>
        </w:rPr>
        <w:t>P.</w:t>
      </w:r>
      <w:proofErr w:type="gramEnd"/>
      <w:r w:rsidRPr="00801374">
        <w:rPr>
          <w:rFonts w:ascii="Corbel" w:hAnsi="Corbel"/>
          <w:sz w:val="21"/>
          <w:szCs w:val="21"/>
          <w:lang w:val="en-US"/>
        </w:rPr>
        <w:t xml:space="preserve"> and K. G. </w:t>
      </w:r>
      <w:proofErr w:type="spellStart"/>
      <w:r w:rsidRPr="00801374">
        <w:rPr>
          <w:rFonts w:ascii="Corbel" w:hAnsi="Corbel"/>
          <w:sz w:val="21"/>
          <w:szCs w:val="21"/>
          <w:lang w:val="en-US"/>
        </w:rPr>
        <w:t>Provan</w:t>
      </w:r>
      <w:proofErr w:type="spellEnd"/>
      <w:r w:rsidRPr="00801374">
        <w:rPr>
          <w:rFonts w:ascii="Corbel" w:hAnsi="Corbel"/>
          <w:sz w:val="21"/>
          <w:szCs w:val="21"/>
          <w:lang w:val="en-US"/>
        </w:rPr>
        <w:t xml:space="preserve">. 2009. Towards an Exogenous Theory of Public Network Performance, Public Administration, 87:440–456. </w:t>
      </w:r>
    </w:p>
    <w:p w14:paraId="4417A2DA"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Kickert</w:t>
      </w:r>
      <w:proofErr w:type="spellEnd"/>
      <w:r w:rsidRPr="00801374">
        <w:rPr>
          <w:rFonts w:ascii="Corbel" w:hAnsi="Corbel"/>
          <w:sz w:val="21"/>
          <w:szCs w:val="21"/>
          <w:lang w:val="en-US"/>
        </w:rPr>
        <w:t xml:space="preserve">, W.J.M., </w:t>
      </w:r>
      <w:proofErr w:type="spellStart"/>
      <w:r w:rsidRPr="00801374">
        <w:rPr>
          <w:rFonts w:ascii="Corbel" w:hAnsi="Corbel"/>
          <w:sz w:val="21"/>
          <w:szCs w:val="21"/>
          <w:lang w:val="en-US"/>
        </w:rPr>
        <w:t>Klijn</w:t>
      </w:r>
      <w:proofErr w:type="spellEnd"/>
      <w:r w:rsidRPr="00801374">
        <w:rPr>
          <w:rFonts w:ascii="Corbel" w:hAnsi="Corbel"/>
          <w:sz w:val="21"/>
          <w:szCs w:val="21"/>
          <w:lang w:val="en-US"/>
        </w:rPr>
        <w:t xml:space="preserve">, E.H. and </w:t>
      </w:r>
      <w:proofErr w:type="spellStart"/>
      <w:r w:rsidRPr="00801374">
        <w:rPr>
          <w:rFonts w:ascii="Corbel" w:hAnsi="Corbel"/>
          <w:sz w:val="21"/>
          <w:szCs w:val="21"/>
          <w:lang w:val="en-US"/>
        </w:rPr>
        <w:t>Koppenjan</w:t>
      </w:r>
      <w:proofErr w:type="spellEnd"/>
      <w:r w:rsidRPr="00801374">
        <w:rPr>
          <w:rFonts w:ascii="Corbel" w:hAnsi="Corbel"/>
          <w:sz w:val="21"/>
          <w:szCs w:val="21"/>
          <w:lang w:val="en-US"/>
        </w:rPr>
        <w:t>, J.F.M. 1997. Managing Complex Networks: Strategies for the Public Sector, SAGE Publications, London.</w:t>
      </w:r>
    </w:p>
    <w:p w14:paraId="59CF513F"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 xml:space="preserve">Kiefer, J.J. and </w:t>
      </w:r>
      <w:proofErr w:type="spellStart"/>
      <w:r w:rsidRPr="00801374">
        <w:rPr>
          <w:rFonts w:ascii="Corbel" w:hAnsi="Corbel"/>
          <w:sz w:val="21"/>
          <w:szCs w:val="21"/>
          <w:lang w:val="en-US"/>
        </w:rPr>
        <w:t>Monjoy</w:t>
      </w:r>
      <w:proofErr w:type="spellEnd"/>
      <w:r w:rsidRPr="00801374">
        <w:rPr>
          <w:rFonts w:ascii="Corbel" w:hAnsi="Corbel"/>
          <w:sz w:val="21"/>
          <w:szCs w:val="21"/>
          <w:lang w:val="en-US"/>
        </w:rPr>
        <w:t xml:space="preserve">, R.S. 2006. Incrementalism before the storm: network performance for the evacuation of New </w:t>
      </w:r>
      <w:proofErr w:type="spellStart"/>
      <w:r w:rsidRPr="00801374">
        <w:rPr>
          <w:rFonts w:ascii="Corbel" w:hAnsi="Corbel"/>
          <w:sz w:val="21"/>
          <w:szCs w:val="21"/>
          <w:lang w:val="en-US"/>
        </w:rPr>
        <w:t>orleans</w:t>
      </w:r>
      <w:proofErr w:type="spellEnd"/>
      <w:r w:rsidRPr="00801374">
        <w:rPr>
          <w:rFonts w:ascii="Corbel" w:hAnsi="Corbel"/>
          <w:sz w:val="21"/>
          <w:szCs w:val="21"/>
          <w:lang w:val="en-US"/>
        </w:rPr>
        <w:t>”, Public Administration Review, 66(s1):122-130</w:t>
      </w:r>
    </w:p>
    <w:p w14:paraId="7B0A7977"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Klijn</w:t>
      </w:r>
      <w:proofErr w:type="spellEnd"/>
      <w:r w:rsidRPr="00801374">
        <w:rPr>
          <w:rFonts w:ascii="Corbel" w:hAnsi="Corbel"/>
          <w:sz w:val="21"/>
          <w:szCs w:val="21"/>
          <w:lang w:val="en-US"/>
        </w:rPr>
        <w:t xml:space="preserve">, E.H., </w:t>
      </w:r>
      <w:proofErr w:type="spellStart"/>
      <w:r w:rsidRPr="00801374">
        <w:rPr>
          <w:rFonts w:ascii="Corbel" w:hAnsi="Corbel"/>
          <w:sz w:val="21"/>
          <w:szCs w:val="21"/>
          <w:lang w:val="en-US"/>
        </w:rPr>
        <w:t>Steijn</w:t>
      </w:r>
      <w:proofErr w:type="spellEnd"/>
      <w:r w:rsidRPr="00801374">
        <w:rPr>
          <w:rFonts w:ascii="Corbel" w:hAnsi="Corbel"/>
          <w:sz w:val="21"/>
          <w:szCs w:val="21"/>
          <w:lang w:val="en-US"/>
        </w:rPr>
        <w:t xml:space="preserve">, B. and </w:t>
      </w:r>
      <w:proofErr w:type="spellStart"/>
      <w:r w:rsidRPr="00801374">
        <w:rPr>
          <w:rFonts w:ascii="Corbel" w:hAnsi="Corbel"/>
          <w:sz w:val="21"/>
          <w:szCs w:val="21"/>
          <w:lang w:val="en-US"/>
        </w:rPr>
        <w:t>Edelenbos</w:t>
      </w:r>
      <w:proofErr w:type="spellEnd"/>
      <w:r w:rsidRPr="00801374">
        <w:rPr>
          <w:rFonts w:ascii="Corbel" w:hAnsi="Corbel"/>
          <w:sz w:val="21"/>
          <w:szCs w:val="21"/>
          <w:lang w:val="en-US"/>
        </w:rPr>
        <w:t>, J. 2010. The impact of network management on outcomes in governance networks, Public Administration, 88(4)1063-1082.</w:t>
      </w:r>
    </w:p>
    <w:p w14:paraId="5BE2C39D"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Koppenjan</w:t>
      </w:r>
      <w:proofErr w:type="spellEnd"/>
      <w:r w:rsidRPr="00801374">
        <w:rPr>
          <w:rFonts w:ascii="Corbel" w:hAnsi="Corbel"/>
          <w:sz w:val="21"/>
          <w:szCs w:val="21"/>
          <w:lang w:val="en-US"/>
        </w:rPr>
        <w:t xml:space="preserve"> &amp; </w:t>
      </w:r>
      <w:proofErr w:type="spellStart"/>
      <w:r w:rsidRPr="00801374">
        <w:rPr>
          <w:rFonts w:ascii="Corbel" w:hAnsi="Corbel"/>
          <w:sz w:val="21"/>
          <w:szCs w:val="21"/>
          <w:lang w:val="en-US"/>
        </w:rPr>
        <w:t>Klijn</w:t>
      </w:r>
      <w:proofErr w:type="spellEnd"/>
      <w:r w:rsidRPr="00801374">
        <w:rPr>
          <w:rFonts w:ascii="Corbel" w:hAnsi="Corbel"/>
          <w:sz w:val="21"/>
          <w:szCs w:val="21"/>
          <w:lang w:val="en-US"/>
        </w:rPr>
        <w:t xml:space="preserve">, </w:t>
      </w:r>
      <w:proofErr w:type="gramStart"/>
      <w:r w:rsidRPr="00801374">
        <w:rPr>
          <w:rFonts w:ascii="Corbel" w:hAnsi="Corbel"/>
          <w:sz w:val="21"/>
          <w:szCs w:val="21"/>
          <w:lang w:val="en-US"/>
        </w:rPr>
        <w:t>2004;</w:t>
      </w:r>
      <w:proofErr w:type="gramEnd"/>
      <w:r w:rsidRPr="00801374">
        <w:rPr>
          <w:rFonts w:ascii="Corbel" w:hAnsi="Corbel"/>
          <w:sz w:val="21"/>
          <w:szCs w:val="21"/>
          <w:lang w:val="en-US"/>
        </w:rPr>
        <w:t xml:space="preserve"> </w:t>
      </w:r>
    </w:p>
    <w:p w14:paraId="6B22CCF9"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LeRoux</w:t>
      </w:r>
      <w:proofErr w:type="spellEnd"/>
      <w:r w:rsidRPr="00801374">
        <w:rPr>
          <w:rFonts w:ascii="Corbel" w:hAnsi="Corbel"/>
          <w:sz w:val="21"/>
          <w:szCs w:val="21"/>
          <w:lang w:val="en-US"/>
        </w:rPr>
        <w:t xml:space="preserve">, K., </w:t>
      </w:r>
      <w:proofErr w:type="spellStart"/>
      <w:r w:rsidRPr="00801374">
        <w:rPr>
          <w:rFonts w:ascii="Corbel" w:hAnsi="Corbel"/>
          <w:sz w:val="21"/>
          <w:szCs w:val="21"/>
          <w:lang w:val="en-US"/>
        </w:rPr>
        <w:t>Brandenburger</w:t>
      </w:r>
      <w:proofErr w:type="spellEnd"/>
      <w:r w:rsidRPr="00801374">
        <w:rPr>
          <w:rFonts w:ascii="Corbel" w:hAnsi="Corbel"/>
          <w:sz w:val="21"/>
          <w:szCs w:val="21"/>
          <w:lang w:val="en-US"/>
        </w:rPr>
        <w:t>, P.W. and Pandey, S.K. 2010. Interlocal service cooperation in US cities: a social network explanation, Public Administration Review, 70(2):268-278.</w:t>
      </w:r>
    </w:p>
    <w:p w14:paraId="311E6551"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Lindencrona</w:t>
      </w:r>
      <w:proofErr w:type="spellEnd"/>
      <w:r w:rsidRPr="00801374">
        <w:rPr>
          <w:rFonts w:ascii="Corbel" w:hAnsi="Corbel"/>
          <w:sz w:val="21"/>
          <w:szCs w:val="21"/>
          <w:lang w:val="en-US"/>
        </w:rPr>
        <w:t xml:space="preserve">, F., Ekblad, S. and </w:t>
      </w:r>
      <w:proofErr w:type="spellStart"/>
      <w:r w:rsidRPr="00801374">
        <w:rPr>
          <w:rFonts w:ascii="Corbel" w:hAnsi="Corbel"/>
          <w:sz w:val="21"/>
          <w:szCs w:val="21"/>
          <w:lang w:val="en-US"/>
        </w:rPr>
        <w:t>Axelsson</w:t>
      </w:r>
      <w:proofErr w:type="spellEnd"/>
      <w:r w:rsidRPr="00801374">
        <w:rPr>
          <w:rFonts w:ascii="Corbel" w:hAnsi="Corbel"/>
          <w:sz w:val="21"/>
          <w:szCs w:val="21"/>
          <w:lang w:val="en-US"/>
        </w:rPr>
        <w:t>, R. 2009. Modes of interaction and performance of human service networks A study of refugee resettlement support in Sweden, Public Management Review, 11(2):191-215</w:t>
      </w:r>
    </w:p>
    <w:p w14:paraId="370418EC" w14:textId="5158C78A" w:rsidR="00801374" w:rsidRPr="00142AA1" w:rsidRDefault="00801374" w:rsidP="00142AA1">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Mandell, M. 1994. Managing interdependencies through program structures: a revised paradigm, The American Review of Public Administration, 24(1):99-121</w:t>
      </w:r>
    </w:p>
    <w:p w14:paraId="333CE1B6"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May, P.J. and Winter, S.C. 2007. Politicians, managers, and street-level bureaucrats: influences on policy implementation, Journal of Public Administration Research and Theory, 19(3):453-476.</w:t>
      </w:r>
    </w:p>
    <w:p w14:paraId="41ABE400"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Mayntz</w:t>
      </w:r>
      <w:proofErr w:type="spellEnd"/>
      <w:r w:rsidRPr="00801374">
        <w:rPr>
          <w:rFonts w:ascii="Corbel" w:hAnsi="Corbel"/>
          <w:sz w:val="21"/>
          <w:szCs w:val="21"/>
          <w:lang w:val="en-US"/>
        </w:rPr>
        <w:t xml:space="preserve">, R. 1998. Socialist Academies of Sciences: </w:t>
      </w:r>
      <w:proofErr w:type="gramStart"/>
      <w:r w:rsidRPr="00801374">
        <w:rPr>
          <w:rFonts w:ascii="Corbel" w:hAnsi="Corbel"/>
          <w:sz w:val="21"/>
          <w:szCs w:val="21"/>
          <w:lang w:val="en-US"/>
        </w:rPr>
        <w:t>the</w:t>
      </w:r>
      <w:proofErr w:type="gramEnd"/>
      <w:r w:rsidRPr="00801374">
        <w:rPr>
          <w:rFonts w:ascii="Corbel" w:hAnsi="Corbel"/>
          <w:sz w:val="21"/>
          <w:szCs w:val="21"/>
          <w:lang w:val="en-US"/>
        </w:rPr>
        <w:t xml:space="preserve"> Enforced Orientation of Basic Research at User Needs, Research Policy, 27(8):781-791</w:t>
      </w:r>
    </w:p>
    <w:p w14:paraId="7A56A884"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 xml:space="preserve">McGuire, </w:t>
      </w:r>
      <w:proofErr w:type="gramStart"/>
      <w:r w:rsidRPr="00801374">
        <w:rPr>
          <w:rFonts w:ascii="Corbel" w:hAnsi="Corbel"/>
          <w:sz w:val="21"/>
          <w:szCs w:val="21"/>
          <w:lang w:val="en-US"/>
        </w:rPr>
        <w:t>M.</w:t>
      </w:r>
      <w:proofErr w:type="gramEnd"/>
      <w:r w:rsidRPr="00801374">
        <w:rPr>
          <w:rFonts w:ascii="Corbel" w:hAnsi="Corbel"/>
          <w:sz w:val="21"/>
          <w:szCs w:val="21"/>
          <w:lang w:val="en-US"/>
        </w:rPr>
        <w:t xml:space="preserve"> and R. </w:t>
      </w:r>
      <w:proofErr w:type="spellStart"/>
      <w:r w:rsidRPr="00801374">
        <w:rPr>
          <w:rFonts w:ascii="Corbel" w:hAnsi="Corbel"/>
          <w:sz w:val="21"/>
          <w:szCs w:val="21"/>
          <w:lang w:val="en-US"/>
        </w:rPr>
        <w:t>Agranoff</w:t>
      </w:r>
      <w:proofErr w:type="spellEnd"/>
      <w:r w:rsidRPr="00801374">
        <w:rPr>
          <w:rFonts w:ascii="Corbel" w:hAnsi="Corbel"/>
          <w:sz w:val="21"/>
          <w:szCs w:val="21"/>
          <w:lang w:val="en-US"/>
        </w:rPr>
        <w:t>. 2007. Answering the Big Questions, Asking the Bigger Questions:</w:t>
      </w:r>
    </w:p>
    <w:p w14:paraId="698BCBF5"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Expanding the Public Network Management Empirical Research Agenda, Public Management Research Conference</w:t>
      </w:r>
    </w:p>
    <w:p w14:paraId="331C6785"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 xml:space="preserve">McGuire, </w:t>
      </w:r>
      <w:proofErr w:type="gramStart"/>
      <w:r w:rsidRPr="00801374">
        <w:rPr>
          <w:rFonts w:ascii="Corbel" w:hAnsi="Corbel"/>
          <w:sz w:val="21"/>
          <w:szCs w:val="21"/>
          <w:lang w:val="en-US"/>
        </w:rPr>
        <w:t>M.</w:t>
      </w:r>
      <w:proofErr w:type="gramEnd"/>
      <w:r w:rsidRPr="00801374">
        <w:rPr>
          <w:rFonts w:ascii="Corbel" w:hAnsi="Corbel"/>
          <w:sz w:val="21"/>
          <w:szCs w:val="21"/>
          <w:lang w:val="en-US"/>
        </w:rPr>
        <w:t xml:space="preserve"> and R. </w:t>
      </w:r>
      <w:proofErr w:type="spellStart"/>
      <w:r w:rsidRPr="00801374">
        <w:rPr>
          <w:rFonts w:ascii="Corbel" w:hAnsi="Corbel"/>
          <w:sz w:val="21"/>
          <w:szCs w:val="21"/>
          <w:lang w:val="en-US"/>
        </w:rPr>
        <w:t>Agranoff</w:t>
      </w:r>
      <w:proofErr w:type="spellEnd"/>
      <w:r w:rsidRPr="00801374">
        <w:rPr>
          <w:rFonts w:ascii="Corbel" w:hAnsi="Corbel"/>
          <w:sz w:val="21"/>
          <w:szCs w:val="21"/>
          <w:lang w:val="en-US"/>
        </w:rPr>
        <w:t>. 2011. The limitation of public management network, Public Administration, 89(2):265-284</w:t>
      </w:r>
    </w:p>
    <w:p w14:paraId="63BC3A46"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Mehde</w:t>
      </w:r>
      <w:proofErr w:type="spellEnd"/>
      <w:r w:rsidRPr="00801374">
        <w:rPr>
          <w:rFonts w:ascii="Corbel" w:hAnsi="Corbel"/>
          <w:sz w:val="21"/>
          <w:szCs w:val="21"/>
          <w:lang w:val="en-US"/>
        </w:rPr>
        <w:t xml:space="preserve">, V. 2007. Creating a Missing Link? Administrative Reforms as a Means of Improving the Legitimacy of International Organizations, in “Management Reforms in International Organizations”, (eds.) Bauer M., </w:t>
      </w:r>
      <w:proofErr w:type="spellStart"/>
      <w:r w:rsidRPr="00801374">
        <w:rPr>
          <w:rFonts w:ascii="Corbel" w:hAnsi="Corbel"/>
          <w:sz w:val="21"/>
          <w:szCs w:val="21"/>
          <w:lang w:val="en-US"/>
        </w:rPr>
        <w:t>Knill</w:t>
      </w:r>
      <w:proofErr w:type="spellEnd"/>
      <w:r w:rsidRPr="00801374">
        <w:rPr>
          <w:rFonts w:ascii="Corbel" w:hAnsi="Corbel"/>
          <w:sz w:val="21"/>
          <w:szCs w:val="21"/>
          <w:lang w:val="en-US"/>
        </w:rPr>
        <w:t xml:space="preserve"> C., Nomos.</w:t>
      </w:r>
    </w:p>
    <w:p w14:paraId="75568AE4"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 xml:space="preserve">Metcalfe, L. 1992. After 1992: Can the Commission Manage </w:t>
      </w:r>
      <w:proofErr w:type="gramStart"/>
      <w:r w:rsidRPr="00801374">
        <w:rPr>
          <w:rFonts w:ascii="Corbel" w:hAnsi="Corbel"/>
          <w:sz w:val="21"/>
          <w:szCs w:val="21"/>
          <w:lang w:val="en-US"/>
        </w:rPr>
        <w:t>Europe?,</w:t>
      </w:r>
      <w:proofErr w:type="gramEnd"/>
      <w:r w:rsidRPr="00801374">
        <w:rPr>
          <w:rFonts w:ascii="Corbel" w:hAnsi="Corbel"/>
          <w:sz w:val="21"/>
          <w:szCs w:val="21"/>
          <w:lang w:val="en-US"/>
        </w:rPr>
        <w:t xml:space="preserve"> Australian Journal of Public Administration, 51(1):117-130.</w:t>
      </w:r>
    </w:p>
    <w:p w14:paraId="141B3EA6"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 xml:space="preserve">Metcalfe, L. 2000. Reforming the Commission: will Organizational Efficiency Produce Effective </w:t>
      </w:r>
      <w:proofErr w:type="gramStart"/>
      <w:r w:rsidRPr="00801374">
        <w:rPr>
          <w:rFonts w:ascii="Corbel" w:hAnsi="Corbel"/>
          <w:sz w:val="21"/>
          <w:szCs w:val="21"/>
          <w:lang w:val="en-US"/>
        </w:rPr>
        <w:t>Governance?,</w:t>
      </w:r>
      <w:proofErr w:type="gramEnd"/>
      <w:r w:rsidRPr="00801374">
        <w:rPr>
          <w:rFonts w:ascii="Corbel" w:hAnsi="Corbel"/>
          <w:sz w:val="21"/>
          <w:szCs w:val="21"/>
          <w:lang w:val="en-US"/>
        </w:rPr>
        <w:t xml:space="preserve"> Journal of Common Market Studies, 38(5):817-841</w:t>
      </w:r>
    </w:p>
    <w:p w14:paraId="743F167B"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 xml:space="preserve">Milward H.B. and K.G. </w:t>
      </w:r>
      <w:proofErr w:type="spellStart"/>
      <w:r w:rsidRPr="00801374">
        <w:rPr>
          <w:rFonts w:ascii="Corbel" w:hAnsi="Corbel"/>
          <w:sz w:val="21"/>
          <w:szCs w:val="21"/>
          <w:lang w:val="en-US"/>
        </w:rPr>
        <w:t>Provan</w:t>
      </w:r>
      <w:proofErr w:type="spellEnd"/>
      <w:r w:rsidRPr="00801374">
        <w:rPr>
          <w:rFonts w:ascii="Corbel" w:hAnsi="Corbel"/>
          <w:sz w:val="21"/>
          <w:szCs w:val="21"/>
          <w:lang w:val="en-US"/>
        </w:rPr>
        <w:t>. 2003. Managing networks effectively, in “National Public Management Research Conference”, Georgetown University, Washington, DC October</w:t>
      </w:r>
    </w:p>
    <w:p w14:paraId="334E6505"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Moe, R.C. 1994. The Reinventing Government Exercise: Misinterpreting the Problem, Misjudging the Consequences, Public Administration Review, 54(2):111-122.</w:t>
      </w:r>
    </w:p>
    <w:p w14:paraId="61863FDD"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lastRenderedPageBreak/>
        <w:t>Moravcsik</w:t>
      </w:r>
      <w:proofErr w:type="spellEnd"/>
      <w:r w:rsidRPr="00801374">
        <w:rPr>
          <w:rFonts w:ascii="Corbel" w:hAnsi="Corbel"/>
          <w:sz w:val="21"/>
          <w:szCs w:val="21"/>
          <w:lang w:val="en-US"/>
        </w:rPr>
        <w:t xml:space="preserve">, A. 2004. Is there a ‘Democratic Deficit’ in World Politics? A Framework for Analysis, </w:t>
      </w:r>
      <w:proofErr w:type="gramStart"/>
      <w:r w:rsidRPr="00801374">
        <w:rPr>
          <w:rFonts w:ascii="Corbel" w:hAnsi="Corbel"/>
          <w:sz w:val="21"/>
          <w:szCs w:val="21"/>
          <w:lang w:val="en-US"/>
        </w:rPr>
        <w:t>Government</w:t>
      </w:r>
      <w:proofErr w:type="gramEnd"/>
      <w:r w:rsidRPr="00801374">
        <w:rPr>
          <w:rFonts w:ascii="Corbel" w:hAnsi="Corbel"/>
          <w:sz w:val="21"/>
          <w:szCs w:val="21"/>
          <w:lang w:val="en-US"/>
        </w:rPr>
        <w:t xml:space="preserve"> and opposition, 39(2):336-363.</w:t>
      </w:r>
    </w:p>
    <w:p w14:paraId="764CF353"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 xml:space="preserve">Moretti, A. 2017. The network organization – a governance perspective on structure, dynamics and performance, Palgrave Macmillan. </w:t>
      </w:r>
    </w:p>
    <w:p w14:paraId="011FA287"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O’Toole, L.J. 1997. Treating networks seriously: practical and research-based agendas in public administration, Public Administration Review, 57(1):45-52.</w:t>
      </w:r>
    </w:p>
    <w:p w14:paraId="35AAD3C2"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Perrow</w:t>
      </w:r>
      <w:proofErr w:type="spellEnd"/>
      <w:r w:rsidRPr="00801374">
        <w:rPr>
          <w:rFonts w:ascii="Corbel" w:hAnsi="Corbel"/>
          <w:sz w:val="21"/>
          <w:szCs w:val="21"/>
          <w:lang w:val="en-US"/>
        </w:rPr>
        <w:t xml:space="preserve">, C. 1986. Economic theories of organization, </w:t>
      </w:r>
      <w:proofErr w:type="gramStart"/>
      <w:r w:rsidRPr="00801374">
        <w:rPr>
          <w:rFonts w:ascii="Corbel" w:hAnsi="Corbel"/>
          <w:sz w:val="21"/>
          <w:szCs w:val="21"/>
          <w:lang w:val="en-US"/>
        </w:rPr>
        <w:t>Theory</w:t>
      </w:r>
      <w:proofErr w:type="gramEnd"/>
      <w:r w:rsidRPr="00801374">
        <w:rPr>
          <w:rFonts w:ascii="Corbel" w:hAnsi="Corbel"/>
          <w:sz w:val="21"/>
          <w:szCs w:val="21"/>
          <w:lang w:val="en-US"/>
        </w:rPr>
        <w:t xml:space="preserve"> and society, 15(1):11-45.</w:t>
      </w:r>
    </w:p>
    <w:p w14:paraId="6073455D"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 xml:space="preserve">Pollitt, </w:t>
      </w:r>
      <w:proofErr w:type="gramStart"/>
      <w:r w:rsidRPr="00801374">
        <w:rPr>
          <w:rFonts w:ascii="Corbel" w:hAnsi="Corbel"/>
          <w:sz w:val="21"/>
          <w:szCs w:val="21"/>
          <w:lang w:val="en-US"/>
        </w:rPr>
        <w:t>C.</w:t>
      </w:r>
      <w:proofErr w:type="gramEnd"/>
      <w:r w:rsidRPr="00801374">
        <w:rPr>
          <w:rFonts w:ascii="Corbel" w:hAnsi="Corbel"/>
          <w:sz w:val="21"/>
          <w:szCs w:val="21"/>
          <w:lang w:val="en-US"/>
        </w:rPr>
        <w:t xml:space="preserve"> and G. Bouckaert. 2017. Public Management Reform: A Comparative Analysis - Into </w:t>
      </w:r>
      <w:proofErr w:type="gramStart"/>
      <w:r w:rsidRPr="00801374">
        <w:rPr>
          <w:rFonts w:ascii="Corbel" w:hAnsi="Corbel"/>
          <w:sz w:val="21"/>
          <w:szCs w:val="21"/>
          <w:lang w:val="en-US"/>
        </w:rPr>
        <w:t>The</w:t>
      </w:r>
      <w:proofErr w:type="gramEnd"/>
      <w:r w:rsidRPr="00801374">
        <w:rPr>
          <w:rFonts w:ascii="Corbel" w:hAnsi="Corbel"/>
          <w:sz w:val="21"/>
          <w:szCs w:val="21"/>
          <w:lang w:val="en-US"/>
        </w:rPr>
        <w:t xml:space="preserve"> Age of Austerity, Oxford University Press</w:t>
      </w:r>
    </w:p>
    <w:p w14:paraId="4138D8D3"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Provan</w:t>
      </w:r>
      <w:proofErr w:type="spellEnd"/>
      <w:r w:rsidRPr="00801374">
        <w:rPr>
          <w:rFonts w:ascii="Corbel" w:hAnsi="Corbel"/>
          <w:sz w:val="21"/>
          <w:szCs w:val="21"/>
          <w:lang w:val="en-US"/>
        </w:rPr>
        <w:t xml:space="preserve">, K.G. and </w:t>
      </w:r>
      <w:proofErr w:type="spellStart"/>
      <w:r w:rsidRPr="00801374">
        <w:rPr>
          <w:rFonts w:ascii="Corbel" w:hAnsi="Corbel"/>
          <w:sz w:val="21"/>
          <w:szCs w:val="21"/>
          <w:lang w:val="en-US"/>
        </w:rPr>
        <w:t>Kenis</w:t>
      </w:r>
      <w:proofErr w:type="spellEnd"/>
      <w:r w:rsidRPr="00801374">
        <w:rPr>
          <w:rFonts w:ascii="Corbel" w:hAnsi="Corbel"/>
          <w:sz w:val="21"/>
          <w:szCs w:val="21"/>
          <w:lang w:val="en-US"/>
        </w:rPr>
        <w:t>, P. 2008. Modes of network governance: structure, management, and effectiveness, Journal of Public Administration Research and Theory, 18(2):229-252.</w:t>
      </w:r>
    </w:p>
    <w:p w14:paraId="3CE300E7"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Provan</w:t>
      </w:r>
      <w:proofErr w:type="spellEnd"/>
      <w:r w:rsidRPr="00801374">
        <w:rPr>
          <w:rFonts w:ascii="Corbel" w:hAnsi="Corbel"/>
          <w:sz w:val="21"/>
          <w:szCs w:val="21"/>
          <w:lang w:val="en-US"/>
        </w:rPr>
        <w:t>, K.G. and Milward, H.B. 1995. A preliminary theory of interorganizational network effectiveness: a comparative study of four community mental health systems, Administrative Science Quarterly, 40(1):1-133.</w:t>
      </w:r>
    </w:p>
    <w:p w14:paraId="6BA6671F"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Provan</w:t>
      </w:r>
      <w:proofErr w:type="spellEnd"/>
      <w:r w:rsidRPr="00801374">
        <w:rPr>
          <w:rFonts w:ascii="Corbel" w:hAnsi="Corbel"/>
          <w:sz w:val="21"/>
          <w:szCs w:val="21"/>
          <w:lang w:val="en-US"/>
        </w:rPr>
        <w:t>, K.G. and Milward, H.B. 2001. Do networks really work? A framework for evaluating public sector organizational networks, Public Administration Review, 61(4):414-423.</w:t>
      </w:r>
    </w:p>
    <w:p w14:paraId="69CEFBDB"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Provan</w:t>
      </w:r>
      <w:proofErr w:type="spellEnd"/>
      <w:r w:rsidRPr="00801374">
        <w:rPr>
          <w:rFonts w:ascii="Corbel" w:hAnsi="Corbel"/>
          <w:sz w:val="21"/>
          <w:szCs w:val="21"/>
          <w:lang w:val="en-US"/>
        </w:rPr>
        <w:t>, K.G. and Sebastian, J.G. 1998. Networks within networks: service link overlap, organizational cliques, and network effectiveness, Academy of Management Journal, 41(4):553-563.</w:t>
      </w:r>
    </w:p>
    <w:p w14:paraId="44A0FA78"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Provan</w:t>
      </w:r>
      <w:proofErr w:type="spellEnd"/>
      <w:r w:rsidRPr="00801374">
        <w:rPr>
          <w:rFonts w:ascii="Corbel" w:hAnsi="Corbel"/>
          <w:sz w:val="21"/>
          <w:szCs w:val="21"/>
          <w:lang w:val="en-US"/>
        </w:rPr>
        <w:t xml:space="preserve">, K.G., </w:t>
      </w:r>
      <w:proofErr w:type="spellStart"/>
      <w:r w:rsidRPr="00801374">
        <w:rPr>
          <w:rFonts w:ascii="Corbel" w:hAnsi="Corbel"/>
          <w:sz w:val="21"/>
          <w:szCs w:val="21"/>
          <w:lang w:val="en-US"/>
        </w:rPr>
        <w:t>Veazie</w:t>
      </w:r>
      <w:proofErr w:type="spellEnd"/>
      <w:r w:rsidRPr="00801374">
        <w:rPr>
          <w:rFonts w:ascii="Corbel" w:hAnsi="Corbel"/>
          <w:sz w:val="21"/>
          <w:szCs w:val="21"/>
          <w:lang w:val="en-US"/>
        </w:rPr>
        <w:t>, M.A., Staten, L.K. and Teufel-Shone, N.I. 2005. The use of network analysis to strengthen community partnerships, Public Administration Review, 65(5):603-613.</w:t>
      </w:r>
    </w:p>
    <w:p w14:paraId="6EB5955F"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Provan</w:t>
      </w:r>
      <w:proofErr w:type="spellEnd"/>
      <w:r w:rsidRPr="00801374">
        <w:rPr>
          <w:rFonts w:ascii="Corbel" w:hAnsi="Corbel"/>
          <w:sz w:val="21"/>
          <w:szCs w:val="21"/>
          <w:lang w:val="en-US"/>
        </w:rPr>
        <w:t xml:space="preserve">, K.G., Fish, A. and </w:t>
      </w:r>
      <w:proofErr w:type="spellStart"/>
      <w:r w:rsidRPr="00801374">
        <w:rPr>
          <w:rFonts w:ascii="Corbel" w:hAnsi="Corbel"/>
          <w:sz w:val="21"/>
          <w:szCs w:val="21"/>
          <w:lang w:val="en-US"/>
        </w:rPr>
        <w:t>Sydow</w:t>
      </w:r>
      <w:proofErr w:type="spellEnd"/>
      <w:r w:rsidRPr="00801374">
        <w:rPr>
          <w:rFonts w:ascii="Corbel" w:hAnsi="Corbel"/>
          <w:sz w:val="21"/>
          <w:szCs w:val="21"/>
          <w:lang w:val="en-US"/>
        </w:rPr>
        <w:t>, J. 2007. Interorganizational networks at the network level: a review of the empirical literature on whole networks, Journal of Management, 33(3):479-516.</w:t>
      </w:r>
    </w:p>
    <w:p w14:paraId="47305E2A"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Provan</w:t>
      </w:r>
      <w:proofErr w:type="spellEnd"/>
      <w:r w:rsidRPr="00801374">
        <w:rPr>
          <w:rFonts w:ascii="Corbel" w:hAnsi="Corbel"/>
          <w:sz w:val="21"/>
          <w:szCs w:val="21"/>
          <w:lang w:val="en-US"/>
        </w:rPr>
        <w:t>, K.G., Huang, K. and Milward, H.B. 2009. The evolution of structural embeddedness and organizational social outcomes in a centrally governed health and human services network, Journal of Public Administration Research and Theory, 19(4):873-893.</w:t>
      </w:r>
    </w:p>
    <w:p w14:paraId="573B5348" w14:textId="3EDE6345"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Raab</w:t>
      </w:r>
      <w:proofErr w:type="spellEnd"/>
      <w:r w:rsidRPr="00801374">
        <w:rPr>
          <w:rFonts w:ascii="Corbel" w:hAnsi="Corbel"/>
          <w:sz w:val="21"/>
          <w:szCs w:val="21"/>
          <w:lang w:val="en-US"/>
        </w:rPr>
        <w:t xml:space="preserve">, J., </w:t>
      </w:r>
      <w:proofErr w:type="spellStart"/>
      <w:r w:rsidRPr="00801374">
        <w:rPr>
          <w:rFonts w:ascii="Corbel" w:hAnsi="Corbel"/>
          <w:sz w:val="21"/>
          <w:szCs w:val="21"/>
          <w:lang w:val="en-US"/>
        </w:rPr>
        <w:t>Mannak</w:t>
      </w:r>
      <w:proofErr w:type="spellEnd"/>
      <w:r w:rsidRPr="00801374">
        <w:rPr>
          <w:rFonts w:ascii="Corbel" w:hAnsi="Corbel"/>
          <w:sz w:val="21"/>
          <w:szCs w:val="21"/>
          <w:lang w:val="en-US"/>
        </w:rPr>
        <w:t xml:space="preserve">, R.S. and </w:t>
      </w:r>
      <w:proofErr w:type="spellStart"/>
      <w:r w:rsidRPr="00801374">
        <w:rPr>
          <w:rFonts w:ascii="Corbel" w:hAnsi="Corbel"/>
          <w:sz w:val="21"/>
          <w:szCs w:val="21"/>
          <w:lang w:val="en-US"/>
        </w:rPr>
        <w:t>Cambr</w:t>
      </w:r>
      <w:proofErr w:type="spellEnd"/>
      <w:r w:rsidRPr="00801374">
        <w:rPr>
          <w:rFonts w:ascii="Arial" w:hAnsi="Arial" w:cs="Arial"/>
          <w:sz w:val="21"/>
          <w:szCs w:val="21"/>
          <w:lang w:val="en-US"/>
        </w:rPr>
        <w:t> </w:t>
      </w:r>
      <w:r w:rsidRPr="00801374">
        <w:rPr>
          <w:rFonts w:ascii="Corbel" w:hAnsi="Corbel"/>
          <w:sz w:val="21"/>
          <w:szCs w:val="21"/>
          <w:lang w:val="en-US"/>
        </w:rPr>
        <w:t>e, B. 2013. Combining structure, governance, and context: a</w:t>
      </w:r>
      <w:r>
        <w:rPr>
          <w:rFonts w:ascii="Corbel" w:hAnsi="Corbel"/>
          <w:sz w:val="21"/>
          <w:szCs w:val="21"/>
          <w:lang w:val="en-US"/>
        </w:rPr>
        <w:t xml:space="preserve"> </w:t>
      </w:r>
      <w:r w:rsidRPr="00801374">
        <w:rPr>
          <w:rFonts w:ascii="Corbel" w:hAnsi="Corbel"/>
          <w:sz w:val="21"/>
          <w:szCs w:val="21"/>
          <w:lang w:val="en-US"/>
        </w:rPr>
        <w:t>configurational approach to network effectiveness, Journal of Public Administration Research and Theory, 25(2):479-511.</w:t>
      </w:r>
    </w:p>
    <w:p w14:paraId="2C5D843B"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Rhodes, R. A. W. 1996. The New Governance: Governing without Government, Political studies, 44(4):652 – 667</w:t>
      </w:r>
    </w:p>
    <w:p w14:paraId="05C6241D"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Scharpf</w:t>
      </w:r>
      <w:proofErr w:type="spellEnd"/>
      <w:r w:rsidRPr="00801374">
        <w:rPr>
          <w:rFonts w:ascii="Corbel" w:hAnsi="Corbel"/>
          <w:sz w:val="21"/>
          <w:szCs w:val="21"/>
          <w:lang w:val="en-US"/>
        </w:rPr>
        <w:t xml:space="preserve">, F. W. 2004. </w:t>
      </w:r>
      <w:proofErr w:type="spellStart"/>
      <w:r w:rsidRPr="00801374">
        <w:rPr>
          <w:rFonts w:ascii="Corbel" w:hAnsi="Corbel"/>
          <w:sz w:val="21"/>
          <w:szCs w:val="21"/>
          <w:lang w:val="en-US"/>
        </w:rPr>
        <w:t>Legitimationskonzepte</w:t>
      </w:r>
      <w:proofErr w:type="spellEnd"/>
      <w:r w:rsidRPr="00801374">
        <w:rPr>
          <w:rFonts w:ascii="Corbel" w:hAnsi="Corbel"/>
          <w:sz w:val="21"/>
          <w:szCs w:val="21"/>
          <w:lang w:val="en-US"/>
        </w:rPr>
        <w:t xml:space="preserve"> </w:t>
      </w:r>
      <w:proofErr w:type="spellStart"/>
      <w:r w:rsidRPr="00801374">
        <w:rPr>
          <w:rFonts w:ascii="Corbel" w:hAnsi="Corbel"/>
          <w:sz w:val="21"/>
          <w:szCs w:val="21"/>
          <w:lang w:val="en-US"/>
        </w:rPr>
        <w:t>jenseits</w:t>
      </w:r>
      <w:proofErr w:type="spellEnd"/>
      <w:r w:rsidRPr="00801374">
        <w:rPr>
          <w:rFonts w:ascii="Corbel" w:hAnsi="Corbel"/>
          <w:sz w:val="21"/>
          <w:szCs w:val="21"/>
          <w:lang w:val="en-US"/>
        </w:rPr>
        <w:t xml:space="preserve"> de </w:t>
      </w:r>
      <w:proofErr w:type="spellStart"/>
      <w:r w:rsidRPr="00801374">
        <w:rPr>
          <w:rFonts w:ascii="Corbel" w:hAnsi="Corbel"/>
          <w:sz w:val="21"/>
          <w:szCs w:val="21"/>
          <w:lang w:val="en-US"/>
        </w:rPr>
        <w:t>Nationalstaats</w:t>
      </w:r>
      <w:proofErr w:type="spellEnd"/>
      <w:r w:rsidRPr="00801374">
        <w:rPr>
          <w:rFonts w:ascii="Corbel" w:hAnsi="Corbel"/>
          <w:sz w:val="21"/>
          <w:szCs w:val="21"/>
          <w:lang w:val="en-US"/>
        </w:rPr>
        <w:t xml:space="preserve">, Discussion Paper 04/6, Koln, Max Planck Institute for Study of Societies </w:t>
      </w:r>
    </w:p>
    <w:p w14:paraId="1D642C3A"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Schimmelfennig</w:t>
      </w:r>
      <w:proofErr w:type="spellEnd"/>
      <w:r w:rsidRPr="00801374">
        <w:rPr>
          <w:rFonts w:ascii="Corbel" w:hAnsi="Corbel"/>
          <w:sz w:val="21"/>
          <w:szCs w:val="21"/>
          <w:lang w:val="en-US"/>
        </w:rPr>
        <w:t xml:space="preserve"> F. 1996. Legitimate Rule in the European Union, Center for German and European Studies, University of California at Berkeley </w:t>
      </w:r>
    </w:p>
    <w:p w14:paraId="27016FAF"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Schneller, L. 2010. Conceptions of Democratic Legitimate Governance in the Multilateral Realm: The Case of the WTO, Living Reviews in Democracy, Volume 2 – 2010</w:t>
      </w:r>
    </w:p>
    <w:p w14:paraId="7D265267"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Stiglitz, J. 2003. Democratizing the International Monetary Fund and the World Bank: Governance and Accountability, International Journal of Policy, Administration, and Institutions, 16(1):111–139</w:t>
      </w:r>
    </w:p>
    <w:p w14:paraId="423444B6"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Talbot, C. 2005. Performance management, The Oxford Handbook of Public Management.</w:t>
      </w:r>
    </w:p>
    <w:p w14:paraId="73CF2551"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Vallotti</w:t>
      </w:r>
      <w:proofErr w:type="spellEnd"/>
      <w:r w:rsidRPr="00801374">
        <w:rPr>
          <w:rFonts w:ascii="Corbel" w:hAnsi="Corbel"/>
          <w:sz w:val="21"/>
          <w:szCs w:val="21"/>
          <w:lang w:val="en-US"/>
        </w:rPr>
        <w:t xml:space="preserve"> G., R. D. Galli, A. </w:t>
      </w:r>
      <w:proofErr w:type="spellStart"/>
      <w:r w:rsidRPr="00801374">
        <w:rPr>
          <w:rFonts w:ascii="Corbel" w:hAnsi="Corbel"/>
          <w:sz w:val="21"/>
          <w:szCs w:val="21"/>
          <w:lang w:val="en-US"/>
        </w:rPr>
        <w:t>Orlandi</w:t>
      </w:r>
      <w:proofErr w:type="spellEnd"/>
      <w:r w:rsidRPr="00801374">
        <w:rPr>
          <w:rFonts w:ascii="Corbel" w:hAnsi="Corbel"/>
          <w:sz w:val="21"/>
          <w:szCs w:val="21"/>
          <w:lang w:val="en-US"/>
        </w:rPr>
        <w:t xml:space="preserve">, S. </w:t>
      </w:r>
      <w:proofErr w:type="gramStart"/>
      <w:r w:rsidRPr="00801374">
        <w:rPr>
          <w:rFonts w:ascii="Corbel" w:hAnsi="Corbel"/>
          <w:sz w:val="21"/>
          <w:szCs w:val="21"/>
          <w:lang w:val="en-US"/>
        </w:rPr>
        <w:t>Rota</w:t>
      </w:r>
      <w:proofErr w:type="gramEnd"/>
      <w:r w:rsidRPr="00801374">
        <w:rPr>
          <w:rFonts w:ascii="Corbel" w:hAnsi="Corbel"/>
          <w:sz w:val="21"/>
          <w:szCs w:val="21"/>
          <w:lang w:val="en-US"/>
        </w:rPr>
        <w:t xml:space="preserve"> and M. Sicilia. 2010. Research Project “La </w:t>
      </w:r>
      <w:proofErr w:type="spellStart"/>
      <w:r w:rsidRPr="00801374">
        <w:rPr>
          <w:rFonts w:ascii="Corbel" w:hAnsi="Corbel"/>
          <w:sz w:val="21"/>
          <w:szCs w:val="21"/>
          <w:lang w:val="en-US"/>
        </w:rPr>
        <w:t>misurazione</w:t>
      </w:r>
      <w:proofErr w:type="spellEnd"/>
      <w:r w:rsidRPr="00801374">
        <w:rPr>
          <w:rFonts w:ascii="Corbel" w:hAnsi="Corbel"/>
          <w:sz w:val="21"/>
          <w:szCs w:val="21"/>
          <w:lang w:val="en-US"/>
        </w:rPr>
        <w:t xml:space="preserve"> e la </w:t>
      </w:r>
      <w:proofErr w:type="spellStart"/>
      <w:r w:rsidRPr="00801374">
        <w:rPr>
          <w:rFonts w:ascii="Corbel" w:hAnsi="Corbel"/>
          <w:sz w:val="21"/>
          <w:szCs w:val="21"/>
          <w:lang w:val="en-US"/>
        </w:rPr>
        <w:t>valutazione</w:t>
      </w:r>
      <w:proofErr w:type="spellEnd"/>
      <w:r w:rsidRPr="00801374">
        <w:rPr>
          <w:rFonts w:ascii="Corbel" w:hAnsi="Corbel"/>
          <w:sz w:val="21"/>
          <w:szCs w:val="21"/>
          <w:lang w:val="en-US"/>
        </w:rPr>
        <w:t xml:space="preserve"> </w:t>
      </w:r>
      <w:proofErr w:type="spellStart"/>
      <w:r w:rsidRPr="00801374">
        <w:rPr>
          <w:rFonts w:ascii="Corbel" w:hAnsi="Corbel"/>
          <w:sz w:val="21"/>
          <w:szCs w:val="21"/>
          <w:lang w:val="en-US"/>
        </w:rPr>
        <w:t>della</w:t>
      </w:r>
      <w:proofErr w:type="spellEnd"/>
      <w:r w:rsidRPr="00801374">
        <w:rPr>
          <w:rFonts w:ascii="Corbel" w:hAnsi="Corbel"/>
          <w:sz w:val="21"/>
          <w:szCs w:val="21"/>
          <w:lang w:val="en-US"/>
        </w:rPr>
        <w:t xml:space="preserve"> performance </w:t>
      </w:r>
      <w:proofErr w:type="spellStart"/>
      <w:r w:rsidRPr="00801374">
        <w:rPr>
          <w:rFonts w:ascii="Corbel" w:hAnsi="Corbel"/>
          <w:sz w:val="21"/>
          <w:szCs w:val="21"/>
          <w:lang w:val="en-US"/>
        </w:rPr>
        <w:t>nella</w:t>
      </w:r>
      <w:proofErr w:type="spellEnd"/>
      <w:r w:rsidRPr="00801374">
        <w:rPr>
          <w:rFonts w:ascii="Corbel" w:hAnsi="Corbel"/>
          <w:sz w:val="21"/>
          <w:szCs w:val="21"/>
          <w:lang w:val="en-US"/>
        </w:rPr>
        <w:t xml:space="preserve"> PA Centrale”, </w:t>
      </w:r>
      <w:proofErr w:type="spellStart"/>
      <w:r w:rsidRPr="00801374">
        <w:rPr>
          <w:rFonts w:ascii="Corbel" w:hAnsi="Corbel"/>
          <w:sz w:val="21"/>
          <w:szCs w:val="21"/>
          <w:lang w:val="en-US"/>
        </w:rPr>
        <w:t>Scuola</w:t>
      </w:r>
      <w:proofErr w:type="spellEnd"/>
      <w:r w:rsidRPr="00801374">
        <w:rPr>
          <w:rFonts w:ascii="Corbel" w:hAnsi="Corbel"/>
          <w:sz w:val="21"/>
          <w:szCs w:val="21"/>
          <w:lang w:val="en-US"/>
        </w:rPr>
        <w:t xml:space="preserve"> Nazionale </w:t>
      </w:r>
      <w:proofErr w:type="spellStart"/>
      <w:r w:rsidRPr="00801374">
        <w:rPr>
          <w:rFonts w:ascii="Corbel" w:hAnsi="Corbel"/>
          <w:sz w:val="21"/>
          <w:szCs w:val="21"/>
          <w:lang w:val="en-US"/>
        </w:rPr>
        <w:t>Amministrazione</w:t>
      </w:r>
      <w:proofErr w:type="spellEnd"/>
      <w:r w:rsidRPr="00801374">
        <w:rPr>
          <w:rFonts w:ascii="Corbel" w:hAnsi="Corbel"/>
          <w:sz w:val="21"/>
          <w:szCs w:val="21"/>
          <w:lang w:val="en-US"/>
        </w:rPr>
        <w:t xml:space="preserve">, Roma </w:t>
      </w:r>
    </w:p>
    <w:p w14:paraId="6CD796B9" w14:textId="77777777" w:rsidR="00801374" w:rsidRPr="00801374" w:rsidRDefault="00801374" w:rsidP="00801374">
      <w:pPr>
        <w:pStyle w:val="Paragrafoelenco"/>
        <w:numPr>
          <w:ilvl w:val="0"/>
          <w:numId w:val="41"/>
        </w:numPr>
        <w:jc w:val="both"/>
        <w:rPr>
          <w:rFonts w:ascii="Corbel" w:hAnsi="Corbel"/>
          <w:sz w:val="21"/>
          <w:szCs w:val="21"/>
          <w:lang w:val="en-US"/>
        </w:rPr>
      </w:pPr>
      <w:r w:rsidRPr="00801374">
        <w:rPr>
          <w:rFonts w:ascii="Corbel" w:hAnsi="Corbel"/>
          <w:sz w:val="21"/>
          <w:szCs w:val="21"/>
          <w:lang w:val="en-US"/>
        </w:rPr>
        <w:t xml:space="preserve">Van </w:t>
      </w:r>
      <w:proofErr w:type="spellStart"/>
      <w:r w:rsidRPr="00801374">
        <w:rPr>
          <w:rFonts w:ascii="Corbel" w:hAnsi="Corbel"/>
          <w:sz w:val="21"/>
          <w:szCs w:val="21"/>
          <w:lang w:val="en-US"/>
        </w:rPr>
        <w:t>Raaij</w:t>
      </w:r>
      <w:proofErr w:type="spellEnd"/>
      <w:r w:rsidRPr="00801374">
        <w:rPr>
          <w:rFonts w:ascii="Corbel" w:hAnsi="Corbel"/>
          <w:sz w:val="21"/>
          <w:szCs w:val="21"/>
          <w:lang w:val="en-US"/>
        </w:rPr>
        <w:t>, D.P.A.M. 2006. Norms network members use: an alternative perspective for indicating network success or failure, International Public Management Journal, 9(3):249-270.</w:t>
      </w:r>
    </w:p>
    <w:p w14:paraId="25BE329E"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Voets</w:t>
      </w:r>
      <w:proofErr w:type="spellEnd"/>
      <w:r w:rsidRPr="00801374">
        <w:rPr>
          <w:rFonts w:ascii="Corbel" w:hAnsi="Corbel"/>
          <w:sz w:val="21"/>
          <w:szCs w:val="21"/>
          <w:lang w:val="en-US"/>
        </w:rPr>
        <w:t xml:space="preserve">, J., W. Van </w:t>
      </w:r>
      <w:proofErr w:type="spellStart"/>
      <w:r w:rsidRPr="00801374">
        <w:rPr>
          <w:rFonts w:ascii="Corbel" w:hAnsi="Corbel"/>
          <w:sz w:val="21"/>
          <w:szCs w:val="21"/>
          <w:lang w:val="en-US"/>
        </w:rPr>
        <w:t>Dooren</w:t>
      </w:r>
      <w:proofErr w:type="spellEnd"/>
      <w:r w:rsidRPr="00801374">
        <w:rPr>
          <w:rFonts w:ascii="Corbel" w:hAnsi="Corbel"/>
          <w:sz w:val="21"/>
          <w:szCs w:val="21"/>
          <w:lang w:val="en-US"/>
        </w:rPr>
        <w:t xml:space="preserve"> and F. De </w:t>
      </w:r>
      <w:proofErr w:type="spellStart"/>
      <w:r w:rsidRPr="00801374">
        <w:rPr>
          <w:rFonts w:ascii="Corbel" w:hAnsi="Corbel"/>
          <w:sz w:val="21"/>
          <w:szCs w:val="21"/>
          <w:lang w:val="en-US"/>
        </w:rPr>
        <w:t>Rynck</w:t>
      </w:r>
      <w:proofErr w:type="spellEnd"/>
      <w:r w:rsidRPr="00801374">
        <w:rPr>
          <w:rFonts w:ascii="Corbel" w:hAnsi="Corbel"/>
          <w:sz w:val="21"/>
          <w:szCs w:val="21"/>
          <w:lang w:val="en-US"/>
        </w:rPr>
        <w:t>. 2008. A Framework for Assessing the Performance of Policy Networks, Public Management Review, 10(6):773-790</w:t>
      </w:r>
      <w:r w:rsidRPr="00801374">
        <w:rPr>
          <w:rFonts w:ascii="Corbel" w:hAnsi="Corbel"/>
          <w:sz w:val="21"/>
          <w:szCs w:val="21"/>
          <w:lang w:val="en-US"/>
        </w:rPr>
        <w:tab/>
      </w:r>
    </w:p>
    <w:p w14:paraId="0CA8912C" w14:textId="77777777" w:rsidR="00801374" w:rsidRPr="00801374" w:rsidRDefault="00801374" w:rsidP="00801374">
      <w:pPr>
        <w:pStyle w:val="Paragrafoelenco"/>
        <w:numPr>
          <w:ilvl w:val="0"/>
          <w:numId w:val="41"/>
        </w:numPr>
        <w:jc w:val="both"/>
        <w:rPr>
          <w:rFonts w:ascii="Corbel" w:hAnsi="Corbel"/>
          <w:sz w:val="21"/>
          <w:szCs w:val="21"/>
          <w:lang w:val="en-US"/>
        </w:rPr>
      </w:pPr>
      <w:proofErr w:type="spellStart"/>
      <w:r w:rsidRPr="00801374">
        <w:rPr>
          <w:rFonts w:ascii="Corbel" w:hAnsi="Corbel"/>
          <w:sz w:val="21"/>
          <w:szCs w:val="21"/>
          <w:lang w:val="en-US"/>
        </w:rPr>
        <w:t>Weiler</w:t>
      </w:r>
      <w:proofErr w:type="spellEnd"/>
      <w:r w:rsidRPr="00801374">
        <w:rPr>
          <w:rFonts w:ascii="Corbel" w:hAnsi="Corbel"/>
          <w:sz w:val="21"/>
          <w:szCs w:val="21"/>
          <w:lang w:val="en-US"/>
        </w:rPr>
        <w:t xml:space="preserve">, J.H. 1991. Problems of Legitimacy in Post 1992 Europe, </w:t>
      </w:r>
      <w:proofErr w:type="spellStart"/>
      <w:r w:rsidRPr="00801374">
        <w:rPr>
          <w:rFonts w:ascii="Corbel" w:hAnsi="Corbel"/>
          <w:sz w:val="21"/>
          <w:szCs w:val="21"/>
          <w:lang w:val="en-US"/>
        </w:rPr>
        <w:t>Aussenwirtschaft</w:t>
      </w:r>
      <w:proofErr w:type="spellEnd"/>
      <w:r w:rsidRPr="00801374">
        <w:rPr>
          <w:rFonts w:ascii="Corbel" w:hAnsi="Corbel"/>
          <w:sz w:val="21"/>
          <w:szCs w:val="21"/>
          <w:lang w:val="en-US"/>
        </w:rPr>
        <w:t>, 46(3):4</w:t>
      </w:r>
    </w:p>
    <w:p w14:paraId="2636D97C" w14:textId="60EBB590" w:rsidR="004A222E" w:rsidRPr="00801374" w:rsidRDefault="00801374" w:rsidP="00801374">
      <w:pPr>
        <w:pStyle w:val="Paragrafoelenco"/>
        <w:numPr>
          <w:ilvl w:val="0"/>
          <w:numId w:val="41"/>
        </w:numPr>
        <w:jc w:val="both"/>
        <w:rPr>
          <w:rFonts w:ascii="Corbel" w:hAnsi="Corbel"/>
          <w:b/>
          <w:bCs/>
          <w:lang w:val="en-US"/>
        </w:rPr>
      </w:pPr>
      <w:r w:rsidRPr="00801374">
        <w:rPr>
          <w:rFonts w:ascii="Corbel" w:hAnsi="Corbel"/>
          <w:sz w:val="21"/>
          <w:szCs w:val="21"/>
          <w:lang w:val="en-US"/>
        </w:rPr>
        <w:t>Zurn, M. 2004. Global Governance and Legitimacy Problems, Government and Opposition, 39(2):260–287</w:t>
      </w:r>
      <w:r w:rsidR="004A222E" w:rsidRPr="00801374">
        <w:rPr>
          <w:rFonts w:ascii="Corbel" w:hAnsi="Corbel"/>
          <w:b/>
          <w:bCs/>
          <w:lang w:val="en-US"/>
        </w:rPr>
        <w:br w:type="page"/>
      </w:r>
    </w:p>
    <w:p w14:paraId="268B27B4" w14:textId="48C41A6E" w:rsidR="004A222E" w:rsidRPr="004A222E" w:rsidRDefault="004A222E" w:rsidP="002F71BC">
      <w:pPr>
        <w:rPr>
          <w:rFonts w:ascii="Corbel" w:hAnsi="Corbel"/>
          <w:b/>
          <w:bCs/>
          <w:lang w:val="en-US"/>
        </w:rPr>
      </w:pPr>
      <w:r w:rsidRPr="004A222E">
        <w:rPr>
          <w:rFonts w:ascii="Corbel" w:hAnsi="Corbel"/>
          <w:b/>
          <w:bCs/>
          <w:lang w:val="en-US"/>
        </w:rPr>
        <w:lastRenderedPageBreak/>
        <w:t>N0tes</w:t>
      </w:r>
    </w:p>
    <w:sectPr w:rsidR="004A222E" w:rsidRPr="004A222E" w:rsidSect="00F97B2C">
      <w:endnotePr>
        <w:numFmt w:val="decimal"/>
      </w:endnotePr>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64FDC" w14:textId="77777777" w:rsidR="00F9419C" w:rsidRDefault="00F9419C" w:rsidP="00F63E83">
      <w:r>
        <w:separator/>
      </w:r>
    </w:p>
  </w:endnote>
  <w:endnote w:type="continuationSeparator" w:id="0">
    <w:p w14:paraId="3FE0DA60" w14:textId="77777777" w:rsidR="00F9419C" w:rsidRDefault="00F9419C" w:rsidP="00F63E83">
      <w:r>
        <w:continuationSeparator/>
      </w:r>
    </w:p>
  </w:endnote>
  <w:endnote w:id="1">
    <w:p w14:paraId="3DF6E3AA" w14:textId="0D7871B4" w:rsidR="00F67ADD" w:rsidRPr="00527A99" w:rsidRDefault="00F67ADD" w:rsidP="00ED510F">
      <w:pPr>
        <w:pStyle w:val="Testonotadichiusura"/>
        <w:ind w:left="142" w:hanging="142"/>
        <w:jc w:val="both"/>
        <w:rPr>
          <w:sz w:val="18"/>
          <w:szCs w:val="18"/>
          <w:lang w:val="en-US"/>
        </w:rPr>
      </w:pPr>
      <w:r w:rsidRPr="002D367E">
        <w:rPr>
          <w:rStyle w:val="Rimandonotadichiusura"/>
          <w:sz w:val="18"/>
          <w:szCs w:val="18"/>
        </w:rPr>
        <w:endnoteRef/>
      </w:r>
      <w:r w:rsidRPr="00527A99">
        <w:rPr>
          <w:sz w:val="18"/>
          <w:szCs w:val="18"/>
          <w:lang w:val="en-US"/>
        </w:rPr>
        <w:t xml:space="preserve"> </w:t>
      </w:r>
      <w:r w:rsidRPr="002D367E">
        <w:rPr>
          <w:sz w:val="18"/>
          <w:szCs w:val="18"/>
          <w:lang w:val="en-US"/>
        </w:rPr>
        <w:t>The Yearbook contains a directory of names and addresses, as well as profiles of organizations (historical and structural information, specifics on activities, events</w:t>
      </w:r>
      <w:r>
        <w:rPr>
          <w:sz w:val="18"/>
          <w:szCs w:val="18"/>
          <w:lang w:val="en-US"/>
        </w:rPr>
        <w:t>,</w:t>
      </w:r>
      <w:r w:rsidRPr="002D367E">
        <w:rPr>
          <w:sz w:val="18"/>
          <w:szCs w:val="18"/>
          <w:lang w:val="en-US"/>
        </w:rPr>
        <w:t xml:space="preserve"> and publications as well as biographies of important members), </w:t>
      </w:r>
      <w:hyperlink r:id="rId1" w:history="1">
        <w:r w:rsidRPr="002D367E">
          <w:rPr>
            <w:rStyle w:val="Collegamentoipertestuale"/>
            <w:sz w:val="18"/>
            <w:szCs w:val="18"/>
            <w:lang w:val="en-US"/>
          </w:rPr>
          <w:t>www.uia.org</w:t>
        </w:r>
      </w:hyperlink>
      <w:r w:rsidR="00ED510F">
        <w:t>.</w:t>
      </w:r>
    </w:p>
  </w:endnote>
  <w:endnote w:id="2">
    <w:p w14:paraId="4388BCE3" w14:textId="60AED07E" w:rsidR="00F67ADD" w:rsidRPr="00527A99" w:rsidRDefault="00F67ADD" w:rsidP="00ED510F">
      <w:pPr>
        <w:pStyle w:val="Testonotadichiusura"/>
        <w:jc w:val="both"/>
        <w:rPr>
          <w:sz w:val="18"/>
          <w:szCs w:val="18"/>
          <w:lang w:val="en-US"/>
        </w:rPr>
      </w:pPr>
      <w:r w:rsidRPr="002D367E">
        <w:rPr>
          <w:rStyle w:val="Rimandonotadichiusura"/>
          <w:sz w:val="18"/>
          <w:szCs w:val="18"/>
        </w:rPr>
        <w:endnoteRef/>
      </w:r>
      <w:r w:rsidRPr="00527A99">
        <w:rPr>
          <w:sz w:val="18"/>
          <w:szCs w:val="18"/>
          <w:lang w:val="en-US"/>
        </w:rPr>
        <w:t xml:space="preserve"> </w:t>
      </w:r>
      <w:r w:rsidRPr="002D367E">
        <w:rPr>
          <w:sz w:val="18"/>
          <w:szCs w:val="18"/>
          <w:lang w:val="en-US"/>
        </w:rPr>
        <w:t>Criteria include Type A, B, C</w:t>
      </w:r>
      <w:r w:rsidR="00ED510F">
        <w:rPr>
          <w:sz w:val="18"/>
          <w:szCs w:val="18"/>
          <w:lang w:val="en-US"/>
        </w:rPr>
        <w:t>.</w:t>
      </w:r>
    </w:p>
  </w:endnote>
  <w:endnote w:id="3">
    <w:p w14:paraId="0038E08E" w14:textId="2D816444" w:rsidR="00F67ADD" w:rsidRPr="00527A99" w:rsidRDefault="00F67ADD" w:rsidP="00ED510F">
      <w:pPr>
        <w:pStyle w:val="Testonotadichiusura"/>
        <w:jc w:val="both"/>
        <w:rPr>
          <w:lang w:val="en-US"/>
        </w:rPr>
      </w:pPr>
      <w:r>
        <w:rPr>
          <w:rStyle w:val="Rimandonotadichiusura"/>
        </w:rPr>
        <w:endnoteRef/>
      </w:r>
      <w:r w:rsidRPr="00527A99">
        <w:rPr>
          <w:lang w:val="en-US"/>
        </w:rPr>
        <w:t xml:space="preserve"> </w:t>
      </w:r>
      <w:r w:rsidRPr="00B221A5">
        <w:rPr>
          <w:sz w:val="18"/>
          <w:szCs w:val="18"/>
          <w:lang w:val="en-GB"/>
        </w:rPr>
        <w:t xml:space="preserve">See Barnett, </w:t>
      </w:r>
      <w:proofErr w:type="spellStart"/>
      <w:r w:rsidRPr="00B221A5">
        <w:rPr>
          <w:sz w:val="18"/>
          <w:szCs w:val="18"/>
          <w:lang w:val="en-GB"/>
        </w:rPr>
        <w:t>Finnmore</w:t>
      </w:r>
      <w:proofErr w:type="spellEnd"/>
      <w:r w:rsidRPr="00B221A5">
        <w:rPr>
          <w:sz w:val="18"/>
          <w:szCs w:val="18"/>
          <w:lang w:val="en-GB"/>
        </w:rPr>
        <w:t xml:space="preserve"> (1999, 2004), Rochester (1989), Brenchin (1988), Dijkzeul and Beigbeder (2003)</w:t>
      </w:r>
      <w:r w:rsidR="00ED510F">
        <w:rPr>
          <w:sz w:val="18"/>
          <w:szCs w:val="18"/>
          <w:lang w:val="en-GB"/>
        </w:rPr>
        <w:t>.</w:t>
      </w:r>
    </w:p>
  </w:endnote>
  <w:endnote w:id="4">
    <w:p w14:paraId="210B6554" w14:textId="77777777" w:rsidR="00F67ADD" w:rsidRPr="00527A99" w:rsidRDefault="00F67ADD" w:rsidP="00ED510F">
      <w:pPr>
        <w:pStyle w:val="Testonotadichiusura"/>
        <w:jc w:val="both"/>
        <w:rPr>
          <w:lang w:val="en-US"/>
        </w:rPr>
      </w:pPr>
      <w:r>
        <w:rPr>
          <w:rStyle w:val="Rimandonotadichiusura"/>
        </w:rPr>
        <w:endnoteRef/>
      </w:r>
      <w:r w:rsidRPr="00527A99">
        <w:rPr>
          <w:lang w:val="en-US"/>
        </w:rPr>
        <w:t xml:space="preserve"> </w:t>
      </w:r>
      <w:r w:rsidRPr="00863EF9">
        <w:rPr>
          <w:sz w:val="18"/>
          <w:szCs w:val="18"/>
          <w:lang w:val="en-US"/>
        </w:rPr>
        <w:t>Except in the case of the European Union. Since 1979, the citizens of the member states directly elect their representatives to the European Parliament.</w:t>
      </w:r>
    </w:p>
  </w:endnote>
  <w:endnote w:id="5">
    <w:p w14:paraId="50EF583F" w14:textId="77777777" w:rsidR="005C52EB" w:rsidRPr="0059264C" w:rsidRDefault="005C52EB" w:rsidP="00ED510F">
      <w:pPr>
        <w:pStyle w:val="Testonotadichiusura"/>
        <w:jc w:val="both"/>
        <w:rPr>
          <w:sz w:val="18"/>
          <w:szCs w:val="18"/>
          <w:lang w:val="en-US"/>
        </w:rPr>
      </w:pPr>
      <w:r>
        <w:rPr>
          <w:rStyle w:val="Rimandonotadichiusura"/>
        </w:rPr>
        <w:endnoteRef/>
      </w:r>
      <w:r w:rsidRPr="00DA39F7">
        <w:rPr>
          <w:lang w:val="en-US"/>
        </w:rPr>
        <w:t xml:space="preserve"> </w:t>
      </w:r>
      <w:r w:rsidRPr="00DA3029">
        <w:rPr>
          <w:sz w:val="18"/>
          <w:szCs w:val="18"/>
          <w:lang w:val="en-US"/>
        </w:rPr>
        <w:t>According to the division of competences agreed between the EU and the Member States, “the Union shall have exclusive competence in the following areas: (a) customs union; (b) the establish</w:t>
      </w:r>
      <w:r>
        <w:rPr>
          <w:sz w:val="18"/>
          <w:szCs w:val="18"/>
          <w:lang w:val="en-US"/>
        </w:rPr>
        <w:t>ment</w:t>
      </w:r>
      <w:r w:rsidRPr="00DA3029">
        <w:rPr>
          <w:sz w:val="18"/>
          <w:szCs w:val="18"/>
          <w:lang w:val="en-US"/>
        </w:rPr>
        <w:t xml:space="preserve"> of the competition rules necessary for the functioning of the internal market; (c) monetary policy for the Member States whose currency is the euro; (d) the conservation of marine biological resources under the common fisheries policy; (e) common commercial policy.” (Art. 3 of TFUE). “Shared competence between the Union and the Member States applies in the following principal areas: (a) internal market; (b) social policy, for the aspects defined in this Treaty; (c) economic, social and territorial cohesion; (d) agriculture and fisheries, excluding the conservation of marine biological resources; (e) environment; (f) consumer protection; (g) transport; (h) trans-European networks; (i) energy; (j) area of freedom, security and justice; (k) common safety concerns in public health matters, for the aspects defined in this Treaty. (Art. 4.2 TFUE). “The Union shall have </w:t>
      </w:r>
      <w:r>
        <w:rPr>
          <w:sz w:val="18"/>
          <w:szCs w:val="18"/>
          <w:lang w:val="en-US"/>
        </w:rPr>
        <w:t xml:space="preserve">the </w:t>
      </w:r>
      <w:r w:rsidRPr="00DA3029">
        <w:rPr>
          <w:sz w:val="18"/>
          <w:szCs w:val="18"/>
          <w:lang w:val="en-US"/>
        </w:rPr>
        <w:t>competence to carry out actions to support, coordinate or supplement the actions of the Member States. The areas of such action shall, at European level, be: (a) protection and improvement of human health; (b) industry; (c) culture; (d) tourism; (e) education, vocational training, youth and sport; (f) civil protection; (g) administrative cooperation.” (Art. 6 TFUE).</w:t>
      </w:r>
    </w:p>
  </w:endnote>
  <w:endnote w:id="6">
    <w:p w14:paraId="5F498B56" w14:textId="4B23FD46" w:rsidR="005C52EB" w:rsidRPr="00DA39F7" w:rsidRDefault="005C52EB" w:rsidP="00ED510F">
      <w:pPr>
        <w:pStyle w:val="Testonotadichiusura"/>
        <w:jc w:val="both"/>
        <w:rPr>
          <w:lang w:val="en-US"/>
        </w:rPr>
      </w:pPr>
      <w:r>
        <w:rPr>
          <w:rStyle w:val="Rimandonotadichiusura"/>
        </w:rPr>
        <w:endnoteRef/>
      </w:r>
      <w:r w:rsidRPr="00DA39F7">
        <w:rPr>
          <w:lang w:val="en-US"/>
        </w:rPr>
        <w:t xml:space="preserve"> </w:t>
      </w:r>
      <w:r w:rsidRPr="005166F2">
        <w:rPr>
          <w:sz w:val="18"/>
          <w:szCs w:val="18"/>
          <w:lang w:val="en-US"/>
        </w:rPr>
        <w:t>See</w:t>
      </w:r>
      <w:r>
        <w:rPr>
          <w:sz w:val="18"/>
          <w:szCs w:val="18"/>
          <w:lang w:val="en-US"/>
        </w:rPr>
        <w:t xml:space="preserve"> </w:t>
      </w:r>
      <w:hyperlink r:id="rId2" w:history="1">
        <w:r w:rsidRPr="000D09D9">
          <w:rPr>
            <w:rStyle w:val="Collegamentoipertestuale"/>
            <w:sz w:val="18"/>
            <w:szCs w:val="18"/>
            <w:lang w:val="en-US"/>
          </w:rPr>
          <w:t>https://ec.europa.eu/eurostat/web/europe-2020-indicators</w:t>
        </w:r>
      </w:hyperlink>
      <w:r w:rsidR="00ED510F">
        <w:rPr>
          <w:sz w:val="18"/>
          <w:szCs w:val="18"/>
          <w:lang w:val="en-US"/>
        </w:rPr>
        <w:t>.</w:t>
      </w:r>
    </w:p>
  </w:endnote>
  <w:endnote w:id="7">
    <w:p w14:paraId="1F0F9B43" w14:textId="3EB83D92" w:rsidR="005C52EB" w:rsidRPr="00DA39F7" w:rsidRDefault="005C52EB" w:rsidP="00ED510F">
      <w:pPr>
        <w:pStyle w:val="Testonotadichiusura"/>
        <w:jc w:val="both"/>
        <w:rPr>
          <w:sz w:val="18"/>
          <w:szCs w:val="18"/>
          <w:lang w:val="en-US"/>
        </w:rPr>
      </w:pPr>
      <w:r w:rsidRPr="00DA3029">
        <w:rPr>
          <w:rStyle w:val="Rimandonotadichiusura"/>
          <w:sz w:val="18"/>
          <w:szCs w:val="18"/>
        </w:rPr>
        <w:endnoteRef/>
      </w:r>
      <w:r w:rsidRPr="00DA39F7">
        <w:rPr>
          <w:sz w:val="18"/>
          <w:szCs w:val="18"/>
          <w:lang w:val="en-US"/>
        </w:rPr>
        <w:t xml:space="preserve"> </w:t>
      </w:r>
      <w:r w:rsidRPr="00DA3029">
        <w:rPr>
          <w:sz w:val="18"/>
          <w:szCs w:val="18"/>
          <w:lang w:val="en-US"/>
        </w:rPr>
        <w:t>The five priorities are 1. Jobs, growth and competitiveness, 2. Empowering and protecting citizens, 3. Energy and climate policies, 4. Freedom, security and justice, 5. The EU as a strong global actor</w:t>
      </w:r>
      <w:r w:rsidR="00ED510F">
        <w:rPr>
          <w:sz w:val="18"/>
          <w:szCs w:val="18"/>
          <w:lang w:val="en-US"/>
        </w:rPr>
        <w:t>.</w:t>
      </w:r>
    </w:p>
  </w:endnote>
  <w:endnote w:id="8">
    <w:p w14:paraId="34C42505" w14:textId="2B1E40BF" w:rsidR="005C52EB" w:rsidRPr="00DA39F7" w:rsidRDefault="005C52EB" w:rsidP="00ED510F">
      <w:pPr>
        <w:pStyle w:val="Testonotadichiusura"/>
        <w:jc w:val="both"/>
        <w:rPr>
          <w:sz w:val="18"/>
          <w:szCs w:val="18"/>
          <w:lang w:val="en-US"/>
        </w:rPr>
      </w:pPr>
      <w:r w:rsidRPr="00DA3029">
        <w:rPr>
          <w:rStyle w:val="Rimandonotadichiusura"/>
          <w:sz w:val="18"/>
          <w:szCs w:val="18"/>
        </w:rPr>
        <w:endnoteRef/>
      </w:r>
      <w:r w:rsidRPr="00DA39F7">
        <w:rPr>
          <w:sz w:val="18"/>
          <w:szCs w:val="18"/>
          <w:lang w:val="en-US"/>
        </w:rPr>
        <w:t xml:space="preserve"> </w:t>
      </w:r>
      <w:r w:rsidRPr="00DA3029">
        <w:rPr>
          <w:sz w:val="18"/>
          <w:szCs w:val="18"/>
          <w:lang w:val="en-US"/>
        </w:rPr>
        <w:t xml:space="preserve">See  </w:t>
      </w:r>
      <w:hyperlink r:id="rId3" w:history="1">
        <w:r w:rsidRPr="00DA39F7">
          <w:rPr>
            <w:rStyle w:val="Collegamentoipertestuale"/>
            <w:sz w:val="18"/>
            <w:szCs w:val="18"/>
            <w:lang w:val="en-US"/>
          </w:rPr>
          <w:t>https://ec.europa.eu/energy/en/topics/energy-strategy</w:t>
        </w:r>
      </w:hyperlink>
      <w:r w:rsidR="00ED510F">
        <w:rPr>
          <w:rStyle w:val="Collegamentoipertestuale"/>
          <w:sz w:val="18"/>
          <w:szCs w:val="18"/>
          <w:lang w:val="en-US"/>
        </w:rPr>
        <w:t>.</w:t>
      </w:r>
    </w:p>
  </w:endnote>
  <w:endnote w:id="9">
    <w:p w14:paraId="63CCF5D3" w14:textId="1C121719" w:rsidR="005C52EB" w:rsidRPr="00DA39F7" w:rsidRDefault="005C52EB" w:rsidP="00ED510F">
      <w:pPr>
        <w:pStyle w:val="Testonotadichiusura"/>
        <w:jc w:val="both"/>
        <w:rPr>
          <w:sz w:val="18"/>
          <w:szCs w:val="18"/>
          <w:lang w:val="en-US"/>
        </w:rPr>
      </w:pPr>
      <w:r w:rsidRPr="00DA3029">
        <w:rPr>
          <w:rStyle w:val="Rimandonotadichiusura"/>
          <w:sz w:val="18"/>
          <w:szCs w:val="18"/>
        </w:rPr>
        <w:endnoteRef/>
      </w:r>
      <w:r w:rsidRPr="00DA39F7">
        <w:rPr>
          <w:sz w:val="18"/>
          <w:szCs w:val="18"/>
          <w:lang w:val="en-US"/>
        </w:rPr>
        <w:t xml:space="preserve"> </w:t>
      </w:r>
      <w:r w:rsidRPr="00DA3029">
        <w:rPr>
          <w:sz w:val="18"/>
          <w:szCs w:val="18"/>
          <w:lang w:val="en-US"/>
        </w:rPr>
        <w:t xml:space="preserve">See </w:t>
      </w:r>
      <w:hyperlink r:id="rId4" w:history="1">
        <w:r w:rsidRPr="00DA39F7">
          <w:rPr>
            <w:sz w:val="18"/>
            <w:szCs w:val="18"/>
            <w:lang w:val="en-US"/>
          </w:rPr>
          <w:t>http://ec.europa.eu/health/strategy/objectives/index_en.htm</w:t>
        </w:r>
      </w:hyperlink>
      <w:r w:rsidR="00ED510F">
        <w:rPr>
          <w:sz w:val="18"/>
          <w:szCs w:val="18"/>
          <w:lang w:val="en-US"/>
        </w:rPr>
        <w:t>.</w:t>
      </w:r>
      <w:r w:rsidRPr="00DA3029">
        <w:rPr>
          <w:sz w:val="18"/>
          <w:szCs w:val="18"/>
          <w:lang w:val="en-US"/>
        </w:rPr>
        <w:t xml:space="preserve">  </w:t>
      </w:r>
    </w:p>
  </w:endnote>
  <w:endnote w:id="10">
    <w:p w14:paraId="48FF84A8" w14:textId="7D0CED53" w:rsidR="005C52EB" w:rsidRPr="00DA39F7" w:rsidRDefault="005C52EB" w:rsidP="00ED510F">
      <w:pPr>
        <w:pStyle w:val="Testonotadichiusura"/>
        <w:jc w:val="both"/>
        <w:rPr>
          <w:sz w:val="18"/>
          <w:szCs w:val="18"/>
          <w:lang w:val="en-US"/>
        </w:rPr>
      </w:pPr>
      <w:r w:rsidRPr="00DA3029">
        <w:rPr>
          <w:rStyle w:val="Rimandonotadichiusura"/>
          <w:sz w:val="18"/>
          <w:szCs w:val="18"/>
        </w:rPr>
        <w:endnoteRef/>
      </w:r>
      <w:r w:rsidRPr="00DA39F7">
        <w:rPr>
          <w:sz w:val="18"/>
          <w:szCs w:val="18"/>
          <w:lang w:val="en-US"/>
        </w:rPr>
        <w:t xml:space="preserve"> </w:t>
      </w:r>
      <w:r w:rsidRPr="00DA3029">
        <w:rPr>
          <w:sz w:val="18"/>
          <w:szCs w:val="18"/>
          <w:lang w:val="en-US"/>
        </w:rPr>
        <w:t xml:space="preserve">See </w:t>
      </w:r>
      <w:hyperlink r:id="rId5" w:history="1">
        <w:r w:rsidRPr="00DA3029">
          <w:rPr>
            <w:rStyle w:val="Collegamentoipertestuale"/>
            <w:sz w:val="18"/>
            <w:szCs w:val="18"/>
            <w:lang w:val="en-US"/>
          </w:rPr>
          <w:t>http://ec.europa.eu/consumers/eu_consumer_policy/our-strategy/index_en.htm</w:t>
        </w:r>
      </w:hyperlink>
      <w:r w:rsidR="00ED510F">
        <w:t>.</w:t>
      </w:r>
    </w:p>
  </w:endnote>
  <w:endnote w:id="11">
    <w:p w14:paraId="0D90F52E" w14:textId="16D1118E" w:rsidR="005C52EB" w:rsidRPr="00DA39F7" w:rsidRDefault="005C52EB" w:rsidP="00ED510F">
      <w:pPr>
        <w:pStyle w:val="Testonotadichiusura"/>
        <w:jc w:val="both"/>
        <w:rPr>
          <w:sz w:val="18"/>
          <w:szCs w:val="18"/>
          <w:lang w:val="en-US"/>
        </w:rPr>
      </w:pPr>
      <w:r w:rsidRPr="00DA3029">
        <w:rPr>
          <w:rStyle w:val="Rimandonotadichiusura"/>
          <w:sz w:val="18"/>
          <w:szCs w:val="18"/>
        </w:rPr>
        <w:endnoteRef/>
      </w:r>
      <w:r w:rsidRPr="00DA39F7">
        <w:rPr>
          <w:sz w:val="18"/>
          <w:szCs w:val="18"/>
          <w:lang w:val="en-US"/>
        </w:rPr>
        <w:t xml:space="preserve"> </w:t>
      </w:r>
      <w:r w:rsidRPr="00DA3029">
        <w:rPr>
          <w:sz w:val="18"/>
          <w:szCs w:val="18"/>
          <w:lang w:val="en-US"/>
        </w:rPr>
        <w:t xml:space="preserve">See </w:t>
      </w:r>
      <w:hyperlink r:id="rId6" w:history="1">
        <w:r w:rsidRPr="00DA3029">
          <w:rPr>
            <w:rStyle w:val="Collegamentoipertestuale"/>
            <w:sz w:val="18"/>
            <w:szCs w:val="18"/>
            <w:lang w:val="en-US"/>
          </w:rPr>
          <w:t>http://ec.europa.eu/education/policy/strategic-framework/index_en.htm</w:t>
        </w:r>
      </w:hyperlink>
      <w:r w:rsidR="00ED510F">
        <w:rPr>
          <w:rStyle w:val="Collegamentoipertestuale"/>
          <w:sz w:val="18"/>
          <w:szCs w:val="18"/>
          <w:lang w:val="en-US"/>
        </w:rPr>
        <w:t>.</w:t>
      </w:r>
    </w:p>
  </w:endnote>
  <w:endnote w:id="12">
    <w:p w14:paraId="362F29AC" w14:textId="77777777" w:rsidR="000E3BD2" w:rsidRPr="00DA39F7" w:rsidRDefault="000E3BD2" w:rsidP="00ED510F">
      <w:pPr>
        <w:pStyle w:val="Testonotadichiusura"/>
        <w:jc w:val="both"/>
        <w:rPr>
          <w:lang w:val="en-US"/>
        </w:rPr>
      </w:pPr>
      <w:r>
        <w:rPr>
          <w:rStyle w:val="Rimandonotadichiusura"/>
        </w:rPr>
        <w:endnoteRef/>
      </w:r>
      <w:r w:rsidRPr="00DA39F7">
        <w:rPr>
          <w:lang w:val="en-US"/>
        </w:rPr>
        <w:t xml:space="preserve"> </w:t>
      </w:r>
      <w:r>
        <w:rPr>
          <w:sz w:val="18"/>
          <w:szCs w:val="18"/>
          <w:lang w:val="en-GB"/>
        </w:rPr>
        <w:t xml:space="preserve">The estimation is made considering </w:t>
      </w:r>
      <w:r w:rsidRPr="00AB1107">
        <w:rPr>
          <w:sz w:val="18"/>
          <w:szCs w:val="18"/>
          <w:lang w:val="en-GB"/>
        </w:rPr>
        <w:t>the complexities of such calculation, due to the multi-dimensional character of the initiatives funded within the single programs as well as the multi-level governance</w:t>
      </w:r>
      <w:r>
        <w:rPr>
          <w:sz w:val="18"/>
          <w:szCs w:val="18"/>
          <w:lang w:val="en-GB"/>
        </w:rPr>
        <w:t>-</w:t>
      </w:r>
      <w:r w:rsidRPr="00AB1107">
        <w:rPr>
          <w:sz w:val="18"/>
          <w:szCs w:val="18"/>
          <w:lang w:val="en-GB"/>
        </w:rPr>
        <w:t xml:space="preserve">based approach of such initiatives involving diverse stakeholders (EU member states, local authorities </w:t>
      </w:r>
      <w:r w:rsidRPr="00C64965">
        <w:rPr>
          <w:sz w:val="18"/>
          <w:szCs w:val="18"/>
          <w:lang w:val="en-GB"/>
        </w:rPr>
        <w:t>etc.)(European Commission 2018b).</w:t>
      </w:r>
      <w:r w:rsidRPr="00AB1107">
        <w:rPr>
          <w:sz w:val="18"/>
          <w:szCs w:val="18"/>
          <w:lang w:val="en-GB"/>
        </w:rPr>
        <w:t xml:space="preserve"> </w:t>
      </w:r>
    </w:p>
  </w:endnote>
  <w:endnote w:id="13">
    <w:p w14:paraId="4E441122" w14:textId="6D9B2104" w:rsidR="00F85210" w:rsidRPr="00DA39F7" w:rsidRDefault="00F85210" w:rsidP="00ED510F">
      <w:pPr>
        <w:pStyle w:val="Testonotadichiusura"/>
        <w:jc w:val="both"/>
        <w:rPr>
          <w:lang w:val="en-US"/>
        </w:rPr>
      </w:pPr>
      <w:r>
        <w:rPr>
          <w:rStyle w:val="Rimandonotadichiusura"/>
        </w:rPr>
        <w:endnoteRef/>
      </w:r>
      <w:r w:rsidRPr="00DA39F7">
        <w:rPr>
          <w:lang w:val="en-US"/>
        </w:rPr>
        <w:t xml:space="preserve"> </w:t>
      </w:r>
      <w:r w:rsidRPr="00CC3793">
        <w:rPr>
          <w:sz w:val="18"/>
          <w:szCs w:val="18"/>
          <w:lang w:val="en-US"/>
        </w:rPr>
        <w:t>See art. 3 TUE</w:t>
      </w:r>
      <w:r w:rsidR="00ED510F">
        <w:rPr>
          <w:sz w:val="18"/>
          <w:szCs w:val="18"/>
          <w:lang w:val="en-US"/>
        </w:rPr>
        <w:t>.</w:t>
      </w:r>
    </w:p>
  </w:endnote>
  <w:endnote w:id="14">
    <w:p w14:paraId="0B8A5300" w14:textId="77777777" w:rsidR="005C52EB" w:rsidRPr="00DA39F7" w:rsidRDefault="005C52EB" w:rsidP="00ED510F">
      <w:pPr>
        <w:pStyle w:val="Testonotadichiusura"/>
        <w:jc w:val="both"/>
        <w:rPr>
          <w:sz w:val="18"/>
          <w:szCs w:val="18"/>
          <w:lang w:val="en-US"/>
        </w:rPr>
      </w:pPr>
      <w:r w:rsidRPr="00DA3029">
        <w:rPr>
          <w:rStyle w:val="Rimandonotadichiusura"/>
          <w:sz w:val="18"/>
          <w:szCs w:val="18"/>
        </w:rPr>
        <w:endnoteRef/>
      </w:r>
      <w:r w:rsidRPr="00DA39F7">
        <w:rPr>
          <w:sz w:val="18"/>
          <w:szCs w:val="18"/>
          <w:lang w:val="en-US"/>
        </w:rPr>
        <w:t xml:space="preserve"> </w:t>
      </w:r>
      <w:r w:rsidRPr="00DA3029">
        <w:rPr>
          <w:sz w:val="18"/>
          <w:szCs w:val="18"/>
          <w:lang w:val="en-GB"/>
        </w:rPr>
        <w:t>Although the Political Guidelines do not include indicators, these latter are identified in the Strategic Plans of the DGs and Services for each Commission priority. These statistical indicators are high-level context indicators designed to track the longer-term and indirect impacts of EU action.</w:t>
      </w:r>
    </w:p>
  </w:endnote>
  <w:endnote w:id="15">
    <w:p w14:paraId="746995F4" w14:textId="734E8BA3" w:rsidR="005C52EB" w:rsidRPr="00DA39F7" w:rsidRDefault="005C52EB" w:rsidP="00ED510F">
      <w:pPr>
        <w:pStyle w:val="Testonotadichiusura"/>
        <w:jc w:val="both"/>
        <w:rPr>
          <w:sz w:val="18"/>
          <w:szCs w:val="18"/>
          <w:lang w:val="en-US"/>
        </w:rPr>
      </w:pPr>
      <w:r w:rsidRPr="00DA3029">
        <w:rPr>
          <w:rStyle w:val="Rimandonotadichiusura"/>
          <w:sz w:val="18"/>
          <w:szCs w:val="18"/>
        </w:rPr>
        <w:endnoteRef/>
      </w:r>
      <w:r w:rsidRPr="00DA39F7">
        <w:rPr>
          <w:sz w:val="18"/>
          <w:szCs w:val="18"/>
          <w:lang w:val="en-US"/>
        </w:rPr>
        <w:t xml:space="preserve"> </w:t>
      </w:r>
      <w:r w:rsidRPr="00DA3029">
        <w:rPr>
          <w:sz w:val="18"/>
          <w:szCs w:val="18"/>
          <w:lang w:val="en-GB"/>
        </w:rPr>
        <w:t>REFIT is the European Commission's Regulatory Fitness and Performance program to make EU law simpler and to reduce regulatory costs without compromising policy objectives. REFIT thus contributes to a clear, stable and predictable regulatory framework supporting growth and jobs. (European Commission, 2015e)</w:t>
      </w:r>
      <w:r w:rsidR="00ED510F">
        <w:rPr>
          <w:sz w:val="18"/>
          <w:szCs w:val="18"/>
          <w:lang w:val="en-GB"/>
        </w:rPr>
        <w:t>.</w:t>
      </w:r>
    </w:p>
  </w:endnote>
  <w:endnote w:id="16">
    <w:p w14:paraId="11AAA868" w14:textId="77777777" w:rsidR="005C52EB" w:rsidRPr="00DA39F7" w:rsidRDefault="005C52EB" w:rsidP="00ED510F">
      <w:pPr>
        <w:pStyle w:val="Testonotadichiusura"/>
        <w:jc w:val="both"/>
        <w:rPr>
          <w:sz w:val="18"/>
          <w:szCs w:val="18"/>
          <w:lang w:val="en-US"/>
        </w:rPr>
      </w:pPr>
      <w:r w:rsidRPr="00DA3029">
        <w:rPr>
          <w:rStyle w:val="Rimandonotadichiusura"/>
          <w:sz w:val="18"/>
          <w:szCs w:val="18"/>
        </w:rPr>
        <w:endnoteRef/>
      </w:r>
      <w:r w:rsidRPr="00DA39F7">
        <w:rPr>
          <w:sz w:val="18"/>
          <w:szCs w:val="18"/>
          <w:lang w:val="en-US"/>
        </w:rPr>
        <w:t xml:space="preserve"> </w:t>
      </w:r>
      <w:r w:rsidRPr="00DA3029">
        <w:rPr>
          <w:sz w:val="18"/>
          <w:szCs w:val="18"/>
          <w:lang w:val="en-GB"/>
        </w:rPr>
        <w:t>The Annex III of the CWP 2019 includes 84 pending proposals still to be adopted in 2019.</w:t>
      </w:r>
      <w:r w:rsidRPr="00DA3029">
        <w:rPr>
          <w:sz w:val="18"/>
          <w:szCs w:val="18"/>
          <w:lang w:val="en-US"/>
        </w:rPr>
        <w:t xml:space="preserve"> </w:t>
      </w:r>
    </w:p>
  </w:endnote>
  <w:endnote w:id="17">
    <w:p w14:paraId="5B0B4D82" w14:textId="77777777" w:rsidR="005C52EB" w:rsidRPr="00DA39F7" w:rsidRDefault="005C52EB" w:rsidP="00ED510F">
      <w:pPr>
        <w:pStyle w:val="Testonotadichiusura"/>
        <w:jc w:val="both"/>
        <w:rPr>
          <w:sz w:val="18"/>
          <w:szCs w:val="18"/>
          <w:lang w:val="en-US"/>
        </w:rPr>
      </w:pPr>
      <w:r w:rsidRPr="00DA3029">
        <w:rPr>
          <w:rStyle w:val="Rimandonotadichiusura"/>
          <w:sz w:val="18"/>
          <w:szCs w:val="18"/>
        </w:rPr>
        <w:endnoteRef/>
      </w:r>
      <w:r w:rsidRPr="00DA39F7">
        <w:rPr>
          <w:sz w:val="18"/>
          <w:szCs w:val="18"/>
          <w:lang w:val="en-US"/>
        </w:rPr>
        <w:t xml:space="preserve"> </w:t>
      </w:r>
      <w:r w:rsidRPr="00DA3029">
        <w:rPr>
          <w:sz w:val="18"/>
          <w:szCs w:val="18"/>
          <w:lang w:val="en-GB"/>
        </w:rPr>
        <w:t>The Annex IV of the CWP 2019 includes 10 proposals subject to modifications or withdrawals.</w:t>
      </w:r>
    </w:p>
  </w:endnote>
  <w:endnote w:id="18">
    <w:p w14:paraId="5BA9691D" w14:textId="77777777" w:rsidR="005C52EB" w:rsidRPr="00DA39F7" w:rsidRDefault="005C52EB" w:rsidP="00ED510F">
      <w:pPr>
        <w:pStyle w:val="Testonotadichiusura"/>
        <w:jc w:val="both"/>
        <w:rPr>
          <w:sz w:val="18"/>
          <w:szCs w:val="18"/>
          <w:lang w:val="en-US"/>
        </w:rPr>
      </w:pPr>
      <w:r w:rsidRPr="00DA3029">
        <w:rPr>
          <w:rStyle w:val="Rimandonotadichiusura"/>
          <w:sz w:val="18"/>
          <w:szCs w:val="18"/>
        </w:rPr>
        <w:endnoteRef/>
      </w:r>
      <w:r w:rsidRPr="00DA39F7">
        <w:rPr>
          <w:sz w:val="18"/>
          <w:szCs w:val="18"/>
          <w:lang w:val="en-US"/>
        </w:rPr>
        <w:t xml:space="preserve"> </w:t>
      </w:r>
      <w:r w:rsidRPr="00DA3029">
        <w:rPr>
          <w:sz w:val="18"/>
          <w:szCs w:val="18"/>
          <w:lang w:val="en-GB"/>
        </w:rPr>
        <w:t>Together with the Work Program (CWP), the Commission also publishes the “list of planned Commission Initiatives”, listing the CWP initiatives that are yet to be adopted as well as the foreseen initiatives that derive from the various agendas, including Communications, International Agreements, delegated and implemented acts, and other legislative and non-legislative initiatives that are not foreseen in the CWP.</w:t>
      </w:r>
    </w:p>
  </w:endnote>
  <w:endnote w:id="19">
    <w:p w14:paraId="59E16FAA" w14:textId="77777777" w:rsidR="005C52EB" w:rsidRPr="00DA39F7" w:rsidRDefault="005C52EB" w:rsidP="00ED510F">
      <w:pPr>
        <w:pStyle w:val="Testonotadichiusura"/>
        <w:jc w:val="both"/>
        <w:rPr>
          <w:sz w:val="18"/>
          <w:szCs w:val="18"/>
          <w:lang w:val="en-US"/>
        </w:rPr>
      </w:pPr>
      <w:r w:rsidRPr="00DA3029">
        <w:rPr>
          <w:rStyle w:val="Rimandonotadichiusura"/>
          <w:sz w:val="18"/>
          <w:szCs w:val="18"/>
        </w:rPr>
        <w:endnoteRef/>
      </w:r>
      <w:r w:rsidRPr="00DA39F7">
        <w:rPr>
          <w:sz w:val="18"/>
          <w:szCs w:val="18"/>
          <w:lang w:val="en-US"/>
        </w:rPr>
        <w:t xml:space="preserve"> </w:t>
      </w:r>
      <w:r w:rsidRPr="00DA3029">
        <w:rPr>
          <w:sz w:val="18"/>
          <w:szCs w:val="18"/>
          <w:lang w:val="en-GB"/>
        </w:rPr>
        <w:t xml:space="preserve">Considering that the Junker Commission term of office ends on 2019, there is </w:t>
      </w:r>
      <w:r>
        <w:rPr>
          <w:sz w:val="18"/>
          <w:szCs w:val="18"/>
          <w:lang w:val="en-GB"/>
        </w:rPr>
        <w:t xml:space="preserve">a </w:t>
      </w:r>
      <w:r w:rsidRPr="00DA3029">
        <w:rPr>
          <w:sz w:val="18"/>
          <w:szCs w:val="18"/>
          <w:lang w:val="en-GB"/>
        </w:rPr>
        <w:t>disclaimer on the documenting saying that “the current Commission's term of office runs until 31 October 2019. New political orientations provided by the incoming Commission for the subsequent period will be appropriately reflected in the strategic planning process”.</w:t>
      </w:r>
    </w:p>
  </w:endnote>
  <w:endnote w:id="20">
    <w:p w14:paraId="3791E29A" w14:textId="274FEFB7" w:rsidR="005C52EB" w:rsidRPr="00DA39F7" w:rsidRDefault="005C52EB" w:rsidP="00ED510F">
      <w:pPr>
        <w:pStyle w:val="Testonotadichiusura"/>
        <w:jc w:val="both"/>
        <w:rPr>
          <w:lang w:val="en-US"/>
        </w:rPr>
      </w:pPr>
      <w:r>
        <w:rPr>
          <w:rStyle w:val="Rimandonotadichiusura"/>
        </w:rPr>
        <w:endnoteRef/>
      </w:r>
      <w:r w:rsidRPr="00DA39F7">
        <w:rPr>
          <w:lang w:val="en-US"/>
        </w:rPr>
        <w:t xml:space="preserve"> </w:t>
      </w:r>
      <w:r w:rsidRPr="0028225F">
        <w:rPr>
          <w:sz w:val="18"/>
          <w:szCs w:val="18"/>
          <w:lang w:val="en-GB"/>
        </w:rPr>
        <w:t>The targets are generally set to 2020. For impact indicators linked to 2014-2020 spending programs the target has been set to 2023 (end of the implementation of the 2014-2020 program</w:t>
      </w:r>
      <w:r>
        <w:rPr>
          <w:sz w:val="18"/>
          <w:szCs w:val="18"/>
          <w:lang w:val="en-GB"/>
        </w:rPr>
        <w:t>s</w:t>
      </w:r>
      <w:r w:rsidRPr="0028225F">
        <w:rPr>
          <w:sz w:val="18"/>
          <w:szCs w:val="18"/>
          <w:lang w:val="en-GB"/>
        </w:rPr>
        <w:t>)</w:t>
      </w:r>
      <w:r w:rsidR="00ED510F">
        <w:rPr>
          <w:sz w:val="18"/>
          <w:szCs w:val="18"/>
          <w:lang w:val="en-GB"/>
        </w:rPr>
        <w:t>.</w:t>
      </w:r>
    </w:p>
  </w:endnote>
  <w:endnote w:id="21">
    <w:p w14:paraId="3D241A36" w14:textId="40AC10EE" w:rsidR="005C52EB" w:rsidRPr="00DA39F7" w:rsidRDefault="005C52EB" w:rsidP="00ED510F">
      <w:pPr>
        <w:pStyle w:val="Testonotadichiusura"/>
        <w:jc w:val="both"/>
        <w:rPr>
          <w:lang w:val="en-US"/>
        </w:rPr>
      </w:pPr>
      <w:r>
        <w:rPr>
          <w:rStyle w:val="Rimandonotadichiusura"/>
        </w:rPr>
        <w:endnoteRef/>
      </w:r>
      <w:r w:rsidRPr="00DA39F7">
        <w:rPr>
          <w:lang w:val="en-US"/>
        </w:rPr>
        <w:t xml:space="preserve"> </w:t>
      </w:r>
      <w:r w:rsidRPr="00AF6780">
        <w:rPr>
          <w:sz w:val="18"/>
          <w:szCs w:val="18"/>
          <w:lang w:val="en-GB"/>
        </w:rPr>
        <w:t xml:space="preserve">The key performance indicators </w:t>
      </w:r>
      <w:r>
        <w:rPr>
          <w:sz w:val="18"/>
          <w:szCs w:val="18"/>
          <w:lang w:val="en-GB"/>
        </w:rPr>
        <w:t xml:space="preserve">are </w:t>
      </w:r>
      <w:r w:rsidRPr="00AF6780">
        <w:rPr>
          <w:sz w:val="18"/>
          <w:szCs w:val="18"/>
          <w:lang w:val="en-GB"/>
        </w:rPr>
        <w:t>included in the Strategic Plan of the DG Regional and Urban Policy (2016-2020), page 27</w:t>
      </w:r>
      <w:r w:rsidR="00ED510F">
        <w:rPr>
          <w:sz w:val="18"/>
          <w:szCs w:val="18"/>
          <w:lang w:val="en-GB"/>
        </w:rPr>
        <w:t>.</w:t>
      </w:r>
    </w:p>
  </w:endnote>
  <w:endnote w:id="22">
    <w:p w14:paraId="2D0E70A5" w14:textId="24123EF3" w:rsidR="005C52EB" w:rsidRPr="00DA39F7" w:rsidRDefault="005C52EB" w:rsidP="00ED510F">
      <w:pPr>
        <w:pStyle w:val="Testonotadichiusura"/>
        <w:jc w:val="both"/>
        <w:rPr>
          <w:lang w:val="en-US"/>
        </w:rPr>
      </w:pPr>
      <w:r>
        <w:rPr>
          <w:rStyle w:val="Rimandonotadichiusura"/>
        </w:rPr>
        <w:endnoteRef/>
      </w:r>
      <w:r w:rsidRPr="00DA39F7">
        <w:rPr>
          <w:lang w:val="en-US"/>
        </w:rPr>
        <w:t xml:space="preserve"> </w:t>
      </w:r>
      <w:r w:rsidRPr="009719C9">
        <w:rPr>
          <w:sz w:val="18"/>
          <w:szCs w:val="18"/>
          <w:lang w:val="en-GB"/>
        </w:rPr>
        <w:t xml:space="preserve">The report is published </w:t>
      </w:r>
      <w:r>
        <w:rPr>
          <w:sz w:val="18"/>
          <w:szCs w:val="18"/>
          <w:lang w:val="en-GB"/>
        </w:rPr>
        <w:t>following</w:t>
      </w:r>
      <w:r w:rsidRPr="009719C9">
        <w:rPr>
          <w:sz w:val="18"/>
          <w:szCs w:val="18"/>
          <w:lang w:val="en-GB"/>
        </w:rPr>
        <w:t xml:space="preserve"> art. 249(2) of the Treaty on the Functioning of the European Union</w:t>
      </w:r>
      <w:r w:rsidR="00ED510F">
        <w:rPr>
          <w:sz w:val="18"/>
          <w:szCs w:val="18"/>
          <w:lang w:val="en-GB"/>
        </w:rPr>
        <w:t>.</w:t>
      </w:r>
    </w:p>
  </w:endnote>
  <w:endnote w:id="23">
    <w:p w14:paraId="1E043A6B" w14:textId="6B05A480" w:rsidR="005C52EB" w:rsidRPr="00DA39F7" w:rsidRDefault="005C52EB" w:rsidP="00ED510F">
      <w:pPr>
        <w:pStyle w:val="Testonotadichiusura"/>
        <w:jc w:val="both"/>
        <w:rPr>
          <w:lang w:val="en-US"/>
        </w:rPr>
      </w:pPr>
      <w:r>
        <w:rPr>
          <w:rStyle w:val="Rimandonotadichiusura"/>
        </w:rPr>
        <w:endnoteRef/>
      </w:r>
      <w:r w:rsidRPr="00DA39F7">
        <w:rPr>
          <w:lang w:val="en-US"/>
        </w:rPr>
        <w:t xml:space="preserve"> </w:t>
      </w:r>
      <w:r w:rsidRPr="00AB3A8C">
        <w:rPr>
          <w:sz w:val="18"/>
          <w:szCs w:val="18"/>
          <w:lang w:val="en-GB"/>
        </w:rPr>
        <w:t>In a few cases Member States have not set up national targets or cumulatively the national targets are not ambitious enough to reach the EU-level goal. For example, the fulfi</w:t>
      </w:r>
      <w:r>
        <w:rPr>
          <w:sz w:val="18"/>
          <w:szCs w:val="18"/>
          <w:lang w:val="en-GB"/>
        </w:rPr>
        <w:t>l</w:t>
      </w:r>
      <w:r w:rsidRPr="00AB3A8C">
        <w:rPr>
          <w:sz w:val="18"/>
          <w:szCs w:val="18"/>
          <w:lang w:val="en-GB"/>
        </w:rPr>
        <w:t>lment of all national targets in the area of employment would bring the overall EU-28 employment rate up to 74 %, which would still be one percentage point below the Europe 2020 target of 75 %. (</w:t>
      </w:r>
      <w:r w:rsidRPr="00E15CC9">
        <w:rPr>
          <w:sz w:val="18"/>
          <w:szCs w:val="18"/>
          <w:lang w:val="en-GB"/>
        </w:rPr>
        <w:t>Eurostat 2016)</w:t>
      </w:r>
      <w:r w:rsidR="00ED510F">
        <w:rPr>
          <w:sz w:val="18"/>
          <w:szCs w:val="18"/>
          <w:lang w:val="en-GB"/>
        </w:rPr>
        <w:t>.</w:t>
      </w:r>
    </w:p>
  </w:endnote>
  <w:endnote w:id="24">
    <w:p w14:paraId="2341D17F" w14:textId="77777777" w:rsidR="005C52EB" w:rsidRPr="00DA39F7" w:rsidRDefault="005C52EB" w:rsidP="00ED510F">
      <w:pPr>
        <w:pStyle w:val="Testonotadichiusura"/>
        <w:jc w:val="both"/>
        <w:rPr>
          <w:lang w:val="en-US"/>
        </w:rPr>
      </w:pPr>
      <w:r>
        <w:rPr>
          <w:rStyle w:val="Rimandonotadichiusura"/>
        </w:rPr>
        <w:endnoteRef/>
      </w:r>
      <w:r w:rsidRPr="00DA39F7">
        <w:rPr>
          <w:lang w:val="en-US"/>
        </w:rPr>
        <w:t xml:space="preserve"> </w:t>
      </w:r>
      <w:r w:rsidRPr="004F4DC9">
        <w:rPr>
          <w:sz w:val="18"/>
          <w:szCs w:val="18"/>
          <w:lang w:val="en-GB"/>
        </w:rPr>
        <w:t>The European Structural and Investments funds inc</w:t>
      </w:r>
      <w:r>
        <w:rPr>
          <w:sz w:val="18"/>
          <w:szCs w:val="18"/>
          <w:lang w:val="en-GB"/>
        </w:rPr>
        <w:t>l</w:t>
      </w:r>
      <w:r w:rsidRPr="004F4DC9">
        <w:rPr>
          <w:sz w:val="18"/>
          <w:szCs w:val="18"/>
          <w:lang w:val="en-GB"/>
        </w:rPr>
        <w:t>ude the following funds: the European Regional Development Fund (ERDF), the European Social Fund (ESF), the Cohesion Fund (CF), the European Agricultural Fund for Rural Development (EAFRD), the European Maritime and Fisheries Fund (EMFF).</w:t>
      </w:r>
    </w:p>
  </w:endnote>
  <w:endnote w:id="25">
    <w:p w14:paraId="0F165379" w14:textId="5284B37E" w:rsidR="005C52EB" w:rsidRPr="00DA39F7" w:rsidRDefault="005C52EB" w:rsidP="00ED510F">
      <w:pPr>
        <w:pStyle w:val="Testonotadichiusura"/>
        <w:jc w:val="both"/>
        <w:rPr>
          <w:lang w:val="en-US"/>
        </w:rPr>
      </w:pPr>
      <w:r>
        <w:rPr>
          <w:rStyle w:val="Rimandonotadichiusura"/>
        </w:rPr>
        <w:endnoteRef/>
      </w:r>
      <w:r w:rsidRPr="00DA39F7">
        <w:rPr>
          <w:lang w:val="en-US"/>
        </w:rPr>
        <w:t xml:space="preserve"> </w:t>
      </w:r>
      <w:r w:rsidRPr="00ED042D">
        <w:rPr>
          <w:sz w:val="18"/>
          <w:szCs w:val="18"/>
          <w:lang w:val="en-US"/>
        </w:rPr>
        <w:t xml:space="preserve">See for example the Strategic Framework on Education and Training (ET 2020) </w:t>
      </w:r>
      <w:hyperlink r:id="rId7" w:history="1">
        <w:r w:rsidRPr="00ED042D">
          <w:rPr>
            <w:rStyle w:val="Collegamentoipertestuale"/>
            <w:sz w:val="18"/>
            <w:szCs w:val="18"/>
            <w:lang w:val="en-US"/>
          </w:rPr>
          <w:t>http://ec.europa.eu/education/policy/strategic-framework/index_en.htm</w:t>
        </w:r>
      </w:hyperlink>
      <w:r w:rsidR="00ED510F">
        <w:t>.</w:t>
      </w:r>
    </w:p>
  </w:endnote>
  <w:endnote w:id="26">
    <w:p w14:paraId="668D056C" w14:textId="47E6BF51" w:rsidR="005C52EB" w:rsidRPr="00DA39F7" w:rsidRDefault="005C52EB" w:rsidP="00ED510F">
      <w:pPr>
        <w:pStyle w:val="Testonotadichiusura"/>
        <w:jc w:val="both"/>
        <w:rPr>
          <w:lang w:val="en-US"/>
        </w:rPr>
      </w:pPr>
      <w:r>
        <w:rPr>
          <w:rStyle w:val="Rimandonotadichiusura"/>
        </w:rPr>
        <w:endnoteRef/>
      </w:r>
      <w:r w:rsidRPr="00DA39F7">
        <w:rPr>
          <w:lang w:val="en-US"/>
        </w:rPr>
        <w:t xml:space="preserve"> </w:t>
      </w:r>
      <w:r w:rsidRPr="002953F4">
        <w:rPr>
          <w:sz w:val="18"/>
          <w:szCs w:val="18"/>
          <w:lang w:val="en-US"/>
        </w:rPr>
        <w:t>Metcalfe (2000) identifies the following governance models in the EU decision-making system, the Community method (ex. Agricultural Policy), the EU Regulatory Model (ex. Internal Market and Competition Policy), the Multilevel Governance (ex. Cohesion policy Policy), the Coordination and Benchmarking ( ex. Research and Development, Environment, Employment) and Intensive Inter-governmentalism (ex. Foreign Policy Justice)</w:t>
      </w:r>
      <w:r w:rsidR="00ED510F">
        <w:rPr>
          <w:sz w:val="18"/>
          <w:szCs w:val="18"/>
          <w:lang w:val="en-US"/>
        </w:rPr>
        <w:t>.</w:t>
      </w:r>
    </w:p>
  </w:endnote>
  <w:endnote w:id="27">
    <w:p w14:paraId="4B15F07A" w14:textId="7A465865" w:rsidR="005C52EB" w:rsidRPr="00DA39F7" w:rsidRDefault="005C52EB" w:rsidP="00ED510F">
      <w:pPr>
        <w:pStyle w:val="Testonotadichiusura"/>
        <w:jc w:val="both"/>
        <w:rPr>
          <w:lang w:val="en-US"/>
        </w:rPr>
      </w:pPr>
      <w:r>
        <w:rPr>
          <w:rStyle w:val="Rimandonotadichiusura"/>
        </w:rPr>
        <w:endnoteRef/>
      </w:r>
      <w:r w:rsidRPr="00DA39F7">
        <w:rPr>
          <w:lang w:val="en-US"/>
        </w:rPr>
        <w:t xml:space="preserve"> </w:t>
      </w:r>
      <w:r w:rsidRPr="002953F4">
        <w:rPr>
          <w:sz w:val="18"/>
          <w:szCs w:val="18"/>
          <w:lang w:val="en-US"/>
        </w:rPr>
        <w:t>See for example the Strategic Plan</w:t>
      </w:r>
      <w:r>
        <w:rPr>
          <w:sz w:val="18"/>
          <w:szCs w:val="18"/>
          <w:lang w:val="en-US"/>
        </w:rPr>
        <w:t xml:space="preserve"> 2016-2020</w:t>
      </w:r>
      <w:r w:rsidRPr="002D3776">
        <w:rPr>
          <w:sz w:val="18"/>
          <w:szCs w:val="18"/>
          <w:lang w:val="en-US"/>
        </w:rPr>
        <w:t xml:space="preserve"> </w:t>
      </w:r>
      <w:r>
        <w:rPr>
          <w:sz w:val="18"/>
          <w:szCs w:val="18"/>
          <w:lang w:val="en-US"/>
        </w:rPr>
        <w:t>of the Directorate General for Regional and Urban Policy (</w:t>
      </w:r>
      <w:r w:rsidRPr="002953F4">
        <w:rPr>
          <w:sz w:val="18"/>
          <w:szCs w:val="18"/>
          <w:lang w:val="en-US"/>
        </w:rPr>
        <w:t>DG REGIO</w:t>
      </w:r>
      <w:r>
        <w:rPr>
          <w:sz w:val="18"/>
          <w:szCs w:val="18"/>
          <w:lang w:val="en-US"/>
        </w:rPr>
        <w:t>)</w:t>
      </w:r>
      <w:r w:rsidRPr="002953F4">
        <w:rPr>
          <w:sz w:val="18"/>
          <w:szCs w:val="18"/>
          <w:lang w:val="en-US"/>
        </w:rPr>
        <w:t>, page 26</w:t>
      </w:r>
      <w:r w:rsidR="00ED510F">
        <w:rPr>
          <w:sz w:val="18"/>
          <w:szCs w:val="18"/>
          <w:lang w:val="en-US"/>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20B0604020202020204"/>
    <w:charset w:val="00"/>
    <w:family w:val="roman"/>
    <w:notTrueType/>
    <w:pitch w:val="default"/>
    <w:sig w:usb0="00000003" w:usb1="00000000" w:usb2="00000000" w:usb3="00000000" w:csb0="00000001" w:csb1="00000000"/>
  </w:font>
  <w:font w:name="EC Square Sans Cond Pro">
    <w:altName w:val="Calibri"/>
    <w:panose1 w:val="020B0604020202020204"/>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6B516" w14:textId="77777777" w:rsidR="00F9419C" w:rsidRDefault="00F9419C" w:rsidP="00F63E83">
      <w:r>
        <w:separator/>
      </w:r>
    </w:p>
  </w:footnote>
  <w:footnote w:type="continuationSeparator" w:id="0">
    <w:p w14:paraId="28A6D905" w14:textId="77777777" w:rsidR="00F9419C" w:rsidRDefault="00F9419C" w:rsidP="00F63E83">
      <w:r>
        <w:continuationSeparator/>
      </w:r>
    </w:p>
  </w:footnote>
  <w:footnote w:id="1">
    <w:p w14:paraId="754A0F4C" w14:textId="6BE2FC27" w:rsidR="00BA0E1D" w:rsidRPr="00DA39F7" w:rsidRDefault="00BA0E1D">
      <w:pPr>
        <w:pStyle w:val="Testonotaapidipagina"/>
        <w:rPr>
          <w:lang w:val="en-US"/>
        </w:rPr>
      </w:pPr>
      <w:r>
        <w:rPr>
          <w:rStyle w:val="Rimandonotaapidipagina"/>
        </w:rPr>
        <w:footnoteRef/>
      </w:r>
      <w:r w:rsidRPr="00DA39F7">
        <w:rPr>
          <w:lang w:val="en-US"/>
        </w:rPr>
        <w:t xml:space="preserve"> </w:t>
      </w:r>
      <w:r>
        <w:rPr>
          <w:lang w:val="en-US"/>
        </w:rPr>
        <w:t>T</w:t>
      </w:r>
      <w:r w:rsidRPr="002953F4">
        <w:rPr>
          <w:lang w:val="en-US"/>
        </w:rPr>
        <w:t xml:space="preserve">he </w:t>
      </w:r>
      <w:r>
        <w:rPr>
          <w:lang w:val="en-US"/>
        </w:rPr>
        <w:t>EU</w:t>
      </w:r>
      <w:r w:rsidRPr="002953F4">
        <w:rPr>
          <w:lang w:val="en-US"/>
        </w:rPr>
        <w:t xml:space="preserve"> institutional framework </w:t>
      </w:r>
      <w:r>
        <w:rPr>
          <w:lang w:val="en-US"/>
        </w:rPr>
        <w:t>includes also the</w:t>
      </w:r>
      <w:r w:rsidRPr="002953F4">
        <w:rPr>
          <w:lang w:val="en-US"/>
        </w:rPr>
        <w:t xml:space="preserve"> Court of Justice, the European Central Bank and European Court of Auditors</w:t>
      </w:r>
      <w:r>
        <w:rPr>
          <w:lang w:val="en-US"/>
        </w:rPr>
        <w:t xml:space="preserve"> as well as other consultative bodies as the European Committee of the Regions and Economic and Social Committee.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2501"/>
    <w:multiLevelType w:val="hybridMultilevel"/>
    <w:tmpl w:val="85BAB9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D957EA"/>
    <w:multiLevelType w:val="hybridMultilevel"/>
    <w:tmpl w:val="EF54F5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4D758C"/>
    <w:multiLevelType w:val="multilevel"/>
    <w:tmpl w:val="4C40948A"/>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03597"/>
    <w:multiLevelType w:val="multilevel"/>
    <w:tmpl w:val="4C40948A"/>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1A3679"/>
    <w:multiLevelType w:val="hybridMultilevel"/>
    <w:tmpl w:val="F74E2CA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BA4546C"/>
    <w:multiLevelType w:val="hybridMultilevel"/>
    <w:tmpl w:val="F29AC9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E35310E"/>
    <w:multiLevelType w:val="hybridMultilevel"/>
    <w:tmpl w:val="2D928E5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21D1541"/>
    <w:multiLevelType w:val="multilevel"/>
    <w:tmpl w:val="165C2EF0"/>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6D01EE"/>
    <w:multiLevelType w:val="hybridMultilevel"/>
    <w:tmpl w:val="12D4C21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2BB53EE"/>
    <w:multiLevelType w:val="hybridMultilevel"/>
    <w:tmpl w:val="3F3894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2F20D69"/>
    <w:multiLevelType w:val="hybridMultilevel"/>
    <w:tmpl w:val="DDC08972"/>
    <w:lvl w:ilvl="0" w:tplc="582E54A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B4B4E9D"/>
    <w:multiLevelType w:val="hybridMultilevel"/>
    <w:tmpl w:val="D16477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C540A66"/>
    <w:multiLevelType w:val="multilevel"/>
    <w:tmpl w:val="2104D7C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D5150B7"/>
    <w:multiLevelType w:val="hybridMultilevel"/>
    <w:tmpl w:val="DE54C822"/>
    <w:lvl w:ilvl="0" w:tplc="66403AB8">
      <w:start w:val="2"/>
      <w:numFmt w:val="bullet"/>
      <w:lvlText w:val="-"/>
      <w:lvlJc w:val="left"/>
      <w:pPr>
        <w:ind w:left="720" w:hanging="360"/>
      </w:pPr>
      <w:rPr>
        <w:rFonts w:ascii="Calibri" w:eastAsiaTheme="minorHAnsi" w:hAnsi="Calibri" w:cs="Calibri" w:hint="default"/>
        <w:lang w:val="en-US"/>
      </w:rPr>
    </w:lvl>
    <w:lvl w:ilvl="1" w:tplc="04100003">
      <w:start w:val="1"/>
      <w:numFmt w:val="bullet"/>
      <w:lvlText w:val="o"/>
      <w:lvlJc w:val="left"/>
      <w:pPr>
        <w:ind w:left="1440" w:hanging="360"/>
      </w:pPr>
      <w:rPr>
        <w:rFonts w:ascii="Courier New" w:hAnsi="Courier New" w:cs="Courier New" w:hint="default"/>
      </w:rPr>
    </w:lvl>
    <w:lvl w:ilvl="2" w:tplc="20FCDD66">
      <w:start w:val="1"/>
      <w:numFmt w:val="bullet"/>
      <w:lvlText w:val=""/>
      <w:lvlJc w:val="left"/>
      <w:pPr>
        <w:ind w:left="2160" w:hanging="360"/>
      </w:pPr>
      <w:rPr>
        <w:rFonts w:ascii="Wingdings" w:hAnsi="Wingdings" w:hint="default"/>
        <w:lang w:val="en-US"/>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DF6263A"/>
    <w:multiLevelType w:val="hybridMultilevel"/>
    <w:tmpl w:val="5170972E"/>
    <w:lvl w:ilvl="0" w:tplc="1CE28156">
      <w:start w:val="1"/>
      <w:numFmt w:val="bullet"/>
      <w:lvlText w:val="-"/>
      <w:lvlJc w:val="left"/>
      <w:pPr>
        <w:ind w:left="1428" w:hanging="360"/>
      </w:pPr>
      <w:rPr>
        <w:rFonts w:ascii="Times New Roman" w:eastAsiaTheme="minorHAnsi" w:hAnsi="Times New Roman" w:cs="Times New Roman"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5" w15:restartNumberingAfterBreak="0">
    <w:nsid w:val="21A60F85"/>
    <w:multiLevelType w:val="hybridMultilevel"/>
    <w:tmpl w:val="B48CF884"/>
    <w:lvl w:ilvl="0" w:tplc="EACAE03A">
      <w:numFmt w:val="bullet"/>
      <w:lvlText w:val="-"/>
      <w:lvlJc w:val="left"/>
      <w:pPr>
        <w:ind w:left="720" w:hanging="360"/>
      </w:pPr>
      <w:rPr>
        <w:rFonts w:ascii="Times New Roman" w:eastAsia="Times New Roman" w:hAnsi="Times New Roman" w:cs="Times New Roman" w:hint="default"/>
        <w:b w:val="0"/>
        <w:sz w:val="24"/>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7970C1C"/>
    <w:multiLevelType w:val="multilevel"/>
    <w:tmpl w:val="9D16BF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FC00CD4"/>
    <w:multiLevelType w:val="multilevel"/>
    <w:tmpl w:val="8A02DF06"/>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BC2F24"/>
    <w:multiLevelType w:val="hybridMultilevel"/>
    <w:tmpl w:val="E5162FF6"/>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87AAE630">
      <w:start w:val="1"/>
      <w:numFmt w:val="decimal"/>
      <w:lvlText w:val="%4)"/>
      <w:lvlJc w:val="left"/>
      <w:pPr>
        <w:ind w:left="2880" w:hanging="360"/>
      </w:pPr>
      <w:rPr>
        <w:rFonts w:hint="default"/>
      </w:rPr>
    </w:lvl>
    <w:lvl w:ilvl="4" w:tplc="6FC448A4">
      <w:start w:val="2"/>
      <w:numFmt w:val="decimal"/>
      <w:lvlText w:val="%5"/>
      <w:lvlJc w:val="left"/>
      <w:pPr>
        <w:ind w:left="3600" w:hanging="360"/>
      </w:pPr>
      <w:rPr>
        <w:rFonts w:hint="default"/>
      </w:r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5BD401D"/>
    <w:multiLevelType w:val="hybridMultilevel"/>
    <w:tmpl w:val="B5B2101C"/>
    <w:lvl w:ilvl="0" w:tplc="66403AB8">
      <w:start w:val="2"/>
      <w:numFmt w:val="bullet"/>
      <w:lvlText w:val="-"/>
      <w:lvlJc w:val="left"/>
      <w:pPr>
        <w:ind w:left="720" w:hanging="360"/>
      </w:pPr>
      <w:rPr>
        <w:rFonts w:ascii="Calibri" w:eastAsiaTheme="minorHAnsi" w:hAnsi="Calibri" w:cs="Calibri" w:hint="default"/>
        <w:lang w:val="en-U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8374B6C"/>
    <w:multiLevelType w:val="hybridMultilevel"/>
    <w:tmpl w:val="F792441C"/>
    <w:lvl w:ilvl="0" w:tplc="0CB01828">
      <w:start w:val="7"/>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C4E336C"/>
    <w:multiLevelType w:val="hybridMultilevel"/>
    <w:tmpl w:val="E126FA2E"/>
    <w:lvl w:ilvl="0" w:tplc="04100001">
      <w:start w:val="1"/>
      <w:numFmt w:val="bullet"/>
      <w:lvlText w:val=""/>
      <w:lvlJc w:val="left"/>
      <w:pPr>
        <w:ind w:left="766" w:hanging="360"/>
      </w:pPr>
      <w:rPr>
        <w:rFonts w:ascii="Symbol" w:hAnsi="Symbol" w:hint="default"/>
      </w:rPr>
    </w:lvl>
    <w:lvl w:ilvl="1" w:tplc="04100003" w:tentative="1">
      <w:start w:val="1"/>
      <w:numFmt w:val="bullet"/>
      <w:lvlText w:val="o"/>
      <w:lvlJc w:val="left"/>
      <w:pPr>
        <w:ind w:left="1486" w:hanging="360"/>
      </w:pPr>
      <w:rPr>
        <w:rFonts w:ascii="Courier New" w:hAnsi="Courier New" w:cs="Courier New" w:hint="default"/>
      </w:rPr>
    </w:lvl>
    <w:lvl w:ilvl="2" w:tplc="04100005" w:tentative="1">
      <w:start w:val="1"/>
      <w:numFmt w:val="bullet"/>
      <w:lvlText w:val=""/>
      <w:lvlJc w:val="left"/>
      <w:pPr>
        <w:ind w:left="2206" w:hanging="360"/>
      </w:pPr>
      <w:rPr>
        <w:rFonts w:ascii="Wingdings" w:hAnsi="Wingdings" w:hint="default"/>
      </w:rPr>
    </w:lvl>
    <w:lvl w:ilvl="3" w:tplc="04100001" w:tentative="1">
      <w:start w:val="1"/>
      <w:numFmt w:val="bullet"/>
      <w:lvlText w:val=""/>
      <w:lvlJc w:val="left"/>
      <w:pPr>
        <w:ind w:left="2926" w:hanging="360"/>
      </w:pPr>
      <w:rPr>
        <w:rFonts w:ascii="Symbol" w:hAnsi="Symbol" w:hint="default"/>
      </w:rPr>
    </w:lvl>
    <w:lvl w:ilvl="4" w:tplc="04100003" w:tentative="1">
      <w:start w:val="1"/>
      <w:numFmt w:val="bullet"/>
      <w:lvlText w:val="o"/>
      <w:lvlJc w:val="left"/>
      <w:pPr>
        <w:ind w:left="3646" w:hanging="360"/>
      </w:pPr>
      <w:rPr>
        <w:rFonts w:ascii="Courier New" w:hAnsi="Courier New" w:cs="Courier New" w:hint="default"/>
      </w:rPr>
    </w:lvl>
    <w:lvl w:ilvl="5" w:tplc="04100005" w:tentative="1">
      <w:start w:val="1"/>
      <w:numFmt w:val="bullet"/>
      <w:lvlText w:val=""/>
      <w:lvlJc w:val="left"/>
      <w:pPr>
        <w:ind w:left="4366" w:hanging="360"/>
      </w:pPr>
      <w:rPr>
        <w:rFonts w:ascii="Wingdings" w:hAnsi="Wingdings" w:hint="default"/>
      </w:rPr>
    </w:lvl>
    <w:lvl w:ilvl="6" w:tplc="04100001" w:tentative="1">
      <w:start w:val="1"/>
      <w:numFmt w:val="bullet"/>
      <w:lvlText w:val=""/>
      <w:lvlJc w:val="left"/>
      <w:pPr>
        <w:ind w:left="5086" w:hanging="360"/>
      </w:pPr>
      <w:rPr>
        <w:rFonts w:ascii="Symbol" w:hAnsi="Symbol" w:hint="default"/>
      </w:rPr>
    </w:lvl>
    <w:lvl w:ilvl="7" w:tplc="04100003" w:tentative="1">
      <w:start w:val="1"/>
      <w:numFmt w:val="bullet"/>
      <w:lvlText w:val="o"/>
      <w:lvlJc w:val="left"/>
      <w:pPr>
        <w:ind w:left="5806" w:hanging="360"/>
      </w:pPr>
      <w:rPr>
        <w:rFonts w:ascii="Courier New" w:hAnsi="Courier New" w:cs="Courier New" w:hint="default"/>
      </w:rPr>
    </w:lvl>
    <w:lvl w:ilvl="8" w:tplc="04100005" w:tentative="1">
      <w:start w:val="1"/>
      <w:numFmt w:val="bullet"/>
      <w:lvlText w:val=""/>
      <w:lvlJc w:val="left"/>
      <w:pPr>
        <w:ind w:left="6526" w:hanging="360"/>
      </w:pPr>
      <w:rPr>
        <w:rFonts w:ascii="Wingdings" w:hAnsi="Wingdings" w:hint="default"/>
      </w:rPr>
    </w:lvl>
  </w:abstractNum>
  <w:abstractNum w:abstractNumId="22" w15:restartNumberingAfterBreak="0">
    <w:nsid w:val="3C70594B"/>
    <w:multiLevelType w:val="hybridMultilevel"/>
    <w:tmpl w:val="D5D4E59C"/>
    <w:lvl w:ilvl="0" w:tplc="66403AB8">
      <w:start w:val="2"/>
      <w:numFmt w:val="bullet"/>
      <w:lvlText w:val="-"/>
      <w:lvlJc w:val="left"/>
      <w:pPr>
        <w:ind w:left="720" w:hanging="360"/>
      </w:pPr>
      <w:rPr>
        <w:rFonts w:ascii="Calibri" w:eastAsiaTheme="minorHAnsi" w:hAnsi="Calibri" w:cs="Calibri" w:hint="default"/>
        <w:lang w:val="en-U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086073E"/>
    <w:multiLevelType w:val="hybridMultilevel"/>
    <w:tmpl w:val="3DB0FE68"/>
    <w:lvl w:ilvl="0" w:tplc="04100001">
      <w:start w:val="1"/>
      <w:numFmt w:val="bullet"/>
      <w:lvlText w:val=""/>
      <w:lvlJc w:val="left"/>
      <w:pPr>
        <w:ind w:left="720" w:hanging="360"/>
      </w:pPr>
      <w:rPr>
        <w:rFonts w:ascii="Symbol" w:hAnsi="Symbol" w:hint="default"/>
        <w:lang w:val="en-U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4483017"/>
    <w:multiLevelType w:val="hybridMultilevel"/>
    <w:tmpl w:val="5F5EF352"/>
    <w:lvl w:ilvl="0" w:tplc="04100001">
      <w:start w:val="1"/>
      <w:numFmt w:val="bullet"/>
      <w:lvlText w:val=""/>
      <w:lvlJc w:val="left"/>
      <w:pPr>
        <w:ind w:left="766" w:hanging="360"/>
      </w:pPr>
      <w:rPr>
        <w:rFonts w:ascii="Symbol" w:hAnsi="Symbol" w:hint="default"/>
      </w:rPr>
    </w:lvl>
    <w:lvl w:ilvl="1" w:tplc="04100003" w:tentative="1">
      <w:start w:val="1"/>
      <w:numFmt w:val="bullet"/>
      <w:lvlText w:val="o"/>
      <w:lvlJc w:val="left"/>
      <w:pPr>
        <w:ind w:left="1486" w:hanging="360"/>
      </w:pPr>
      <w:rPr>
        <w:rFonts w:ascii="Courier New" w:hAnsi="Courier New" w:cs="Courier New" w:hint="default"/>
      </w:rPr>
    </w:lvl>
    <w:lvl w:ilvl="2" w:tplc="04100005" w:tentative="1">
      <w:start w:val="1"/>
      <w:numFmt w:val="bullet"/>
      <w:lvlText w:val=""/>
      <w:lvlJc w:val="left"/>
      <w:pPr>
        <w:ind w:left="2206" w:hanging="360"/>
      </w:pPr>
      <w:rPr>
        <w:rFonts w:ascii="Wingdings" w:hAnsi="Wingdings" w:hint="default"/>
      </w:rPr>
    </w:lvl>
    <w:lvl w:ilvl="3" w:tplc="04100001" w:tentative="1">
      <w:start w:val="1"/>
      <w:numFmt w:val="bullet"/>
      <w:lvlText w:val=""/>
      <w:lvlJc w:val="left"/>
      <w:pPr>
        <w:ind w:left="2926" w:hanging="360"/>
      </w:pPr>
      <w:rPr>
        <w:rFonts w:ascii="Symbol" w:hAnsi="Symbol" w:hint="default"/>
      </w:rPr>
    </w:lvl>
    <w:lvl w:ilvl="4" w:tplc="04100003" w:tentative="1">
      <w:start w:val="1"/>
      <w:numFmt w:val="bullet"/>
      <w:lvlText w:val="o"/>
      <w:lvlJc w:val="left"/>
      <w:pPr>
        <w:ind w:left="3646" w:hanging="360"/>
      </w:pPr>
      <w:rPr>
        <w:rFonts w:ascii="Courier New" w:hAnsi="Courier New" w:cs="Courier New" w:hint="default"/>
      </w:rPr>
    </w:lvl>
    <w:lvl w:ilvl="5" w:tplc="04100005" w:tentative="1">
      <w:start w:val="1"/>
      <w:numFmt w:val="bullet"/>
      <w:lvlText w:val=""/>
      <w:lvlJc w:val="left"/>
      <w:pPr>
        <w:ind w:left="4366" w:hanging="360"/>
      </w:pPr>
      <w:rPr>
        <w:rFonts w:ascii="Wingdings" w:hAnsi="Wingdings" w:hint="default"/>
      </w:rPr>
    </w:lvl>
    <w:lvl w:ilvl="6" w:tplc="04100001" w:tentative="1">
      <w:start w:val="1"/>
      <w:numFmt w:val="bullet"/>
      <w:lvlText w:val=""/>
      <w:lvlJc w:val="left"/>
      <w:pPr>
        <w:ind w:left="5086" w:hanging="360"/>
      </w:pPr>
      <w:rPr>
        <w:rFonts w:ascii="Symbol" w:hAnsi="Symbol" w:hint="default"/>
      </w:rPr>
    </w:lvl>
    <w:lvl w:ilvl="7" w:tplc="04100003" w:tentative="1">
      <w:start w:val="1"/>
      <w:numFmt w:val="bullet"/>
      <w:lvlText w:val="o"/>
      <w:lvlJc w:val="left"/>
      <w:pPr>
        <w:ind w:left="5806" w:hanging="360"/>
      </w:pPr>
      <w:rPr>
        <w:rFonts w:ascii="Courier New" w:hAnsi="Courier New" w:cs="Courier New" w:hint="default"/>
      </w:rPr>
    </w:lvl>
    <w:lvl w:ilvl="8" w:tplc="04100005" w:tentative="1">
      <w:start w:val="1"/>
      <w:numFmt w:val="bullet"/>
      <w:lvlText w:val=""/>
      <w:lvlJc w:val="left"/>
      <w:pPr>
        <w:ind w:left="6526" w:hanging="360"/>
      </w:pPr>
      <w:rPr>
        <w:rFonts w:ascii="Wingdings" w:hAnsi="Wingdings" w:hint="default"/>
      </w:rPr>
    </w:lvl>
  </w:abstractNum>
  <w:abstractNum w:abstractNumId="25" w15:restartNumberingAfterBreak="0">
    <w:nsid w:val="46015BFE"/>
    <w:multiLevelType w:val="hybridMultilevel"/>
    <w:tmpl w:val="BB0A1A60"/>
    <w:lvl w:ilvl="0" w:tplc="14766B18">
      <w:start w:val="1"/>
      <w:numFmt w:val="decimal"/>
      <w:lvlText w:val="%1."/>
      <w:lvlJc w:val="left"/>
      <w:pPr>
        <w:tabs>
          <w:tab w:val="num" w:pos="720"/>
        </w:tabs>
        <w:ind w:left="720" w:hanging="360"/>
      </w:pPr>
    </w:lvl>
    <w:lvl w:ilvl="1" w:tplc="F23EDDA2" w:tentative="1">
      <w:start w:val="1"/>
      <w:numFmt w:val="decimal"/>
      <w:lvlText w:val="%2."/>
      <w:lvlJc w:val="left"/>
      <w:pPr>
        <w:tabs>
          <w:tab w:val="num" w:pos="1440"/>
        </w:tabs>
        <w:ind w:left="1440" w:hanging="360"/>
      </w:pPr>
    </w:lvl>
    <w:lvl w:ilvl="2" w:tplc="4348773A" w:tentative="1">
      <w:start w:val="1"/>
      <w:numFmt w:val="decimal"/>
      <w:lvlText w:val="%3."/>
      <w:lvlJc w:val="left"/>
      <w:pPr>
        <w:tabs>
          <w:tab w:val="num" w:pos="2160"/>
        </w:tabs>
        <w:ind w:left="2160" w:hanging="360"/>
      </w:pPr>
    </w:lvl>
    <w:lvl w:ilvl="3" w:tplc="6D20F33E" w:tentative="1">
      <w:start w:val="1"/>
      <w:numFmt w:val="decimal"/>
      <w:lvlText w:val="%4."/>
      <w:lvlJc w:val="left"/>
      <w:pPr>
        <w:tabs>
          <w:tab w:val="num" w:pos="2880"/>
        </w:tabs>
        <w:ind w:left="2880" w:hanging="360"/>
      </w:pPr>
    </w:lvl>
    <w:lvl w:ilvl="4" w:tplc="17FCA384" w:tentative="1">
      <w:start w:val="1"/>
      <w:numFmt w:val="decimal"/>
      <w:lvlText w:val="%5."/>
      <w:lvlJc w:val="left"/>
      <w:pPr>
        <w:tabs>
          <w:tab w:val="num" w:pos="3600"/>
        </w:tabs>
        <w:ind w:left="3600" w:hanging="360"/>
      </w:pPr>
    </w:lvl>
    <w:lvl w:ilvl="5" w:tplc="B1C6993C" w:tentative="1">
      <w:start w:val="1"/>
      <w:numFmt w:val="decimal"/>
      <w:lvlText w:val="%6."/>
      <w:lvlJc w:val="left"/>
      <w:pPr>
        <w:tabs>
          <w:tab w:val="num" w:pos="4320"/>
        </w:tabs>
        <w:ind w:left="4320" w:hanging="360"/>
      </w:pPr>
    </w:lvl>
    <w:lvl w:ilvl="6" w:tplc="4088238E" w:tentative="1">
      <w:start w:val="1"/>
      <w:numFmt w:val="decimal"/>
      <w:lvlText w:val="%7."/>
      <w:lvlJc w:val="left"/>
      <w:pPr>
        <w:tabs>
          <w:tab w:val="num" w:pos="5040"/>
        </w:tabs>
        <w:ind w:left="5040" w:hanging="360"/>
      </w:pPr>
    </w:lvl>
    <w:lvl w:ilvl="7" w:tplc="638C5F38" w:tentative="1">
      <w:start w:val="1"/>
      <w:numFmt w:val="decimal"/>
      <w:lvlText w:val="%8."/>
      <w:lvlJc w:val="left"/>
      <w:pPr>
        <w:tabs>
          <w:tab w:val="num" w:pos="5760"/>
        </w:tabs>
        <w:ind w:left="5760" w:hanging="360"/>
      </w:pPr>
    </w:lvl>
    <w:lvl w:ilvl="8" w:tplc="41E090DA" w:tentative="1">
      <w:start w:val="1"/>
      <w:numFmt w:val="decimal"/>
      <w:lvlText w:val="%9."/>
      <w:lvlJc w:val="left"/>
      <w:pPr>
        <w:tabs>
          <w:tab w:val="num" w:pos="6480"/>
        </w:tabs>
        <w:ind w:left="6480" w:hanging="360"/>
      </w:pPr>
    </w:lvl>
  </w:abstractNum>
  <w:abstractNum w:abstractNumId="26" w15:restartNumberingAfterBreak="0">
    <w:nsid w:val="49003B45"/>
    <w:multiLevelType w:val="hybridMultilevel"/>
    <w:tmpl w:val="47EC815E"/>
    <w:lvl w:ilvl="0" w:tplc="66403AB8">
      <w:start w:val="2"/>
      <w:numFmt w:val="bullet"/>
      <w:lvlText w:val="-"/>
      <w:lvlJc w:val="left"/>
      <w:pPr>
        <w:ind w:left="720" w:hanging="360"/>
      </w:pPr>
      <w:rPr>
        <w:rFonts w:ascii="Calibri" w:eastAsiaTheme="minorHAnsi" w:hAnsi="Calibri" w:cs="Calibri" w:hint="default"/>
        <w:lang w:val="en-US"/>
      </w:rPr>
    </w:lvl>
    <w:lvl w:ilvl="1" w:tplc="FFFFFFFF" w:tentative="1">
      <w:start w:val="1"/>
      <w:numFmt w:val="bullet"/>
      <w:lvlText w:val="o"/>
      <w:lvlJc w:val="left"/>
      <w:pPr>
        <w:ind w:left="1486" w:hanging="360"/>
      </w:pPr>
      <w:rPr>
        <w:rFonts w:ascii="Courier New" w:hAnsi="Courier New" w:cs="Courier New" w:hint="default"/>
      </w:rPr>
    </w:lvl>
    <w:lvl w:ilvl="2" w:tplc="FFFFFFFF" w:tentative="1">
      <w:start w:val="1"/>
      <w:numFmt w:val="bullet"/>
      <w:lvlText w:val=""/>
      <w:lvlJc w:val="left"/>
      <w:pPr>
        <w:ind w:left="2206" w:hanging="360"/>
      </w:pPr>
      <w:rPr>
        <w:rFonts w:ascii="Wingdings" w:hAnsi="Wingdings" w:hint="default"/>
      </w:rPr>
    </w:lvl>
    <w:lvl w:ilvl="3" w:tplc="FFFFFFFF" w:tentative="1">
      <w:start w:val="1"/>
      <w:numFmt w:val="bullet"/>
      <w:lvlText w:val=""/>
      <w:lvlJc w:val="left"/>
      <w:pPr>
        <w:ind w:left="2926" w:hanging="360"/>
      </w:pPr>
      <w:rPr>
        <w:rFonts w:ascii="Symbol" w:hAnsi="Symbol" w:hint="default"/>
      </w:rPr>
    </w:lvl>
    <w:lvl w:ilvl="4" w:tplc="FFFFFFFF" w:tentative="1">
      <w:start w:val="1"/>
      <w:numFmt w:val="bullet"/>
      <w:lvlText w:val="o"/>
      <w:lvlJc w:val="left"/>
      <w:pPr>
        <w:ind w:left="3646" w:hanging="360"/>
      </w:pPr>
      <w:rPr>
        <w:rFonts w:ascii="Courier New" w:hAnsi="Courier New" w:cs="Courier New" w:hint="default"/>
      </w:rPr>
    </w:lvl>
    <w:lvl w:ilvl="5" w:tplc="FFFFFFFF" w:tentative="1">
      <w:start w:val="1"/>
      <w:numFmt w:val="bullet"/>
      <w:lvlText w:val=""/>
      <w:lvlJc w:val="left"/>
      <w:pPr>
        <w:ind w:left="4366" w:hanging="360"/>
      </w:pPr>
      <w:rPr>
        <w:rFonts w:ascii="Wingdings" w:hAnsi="Wingdings" w:hint="default"/>
      </w:rPr>
    </w:lvl>
    <w:lvl w:ilvl="6" w:tplc="FFFFFFFF" w:tentative="1">
      <w:start w:val="1"/>
      <w:numFmt w:val="bullet"/>
      <w:lvlText w:val=""/>
      <w:lvlJc w:val="left"/>
      <w:pPr>
        <w:ind w:left="5086" w:hanging="360"/>
      </w:pPr>
      <w:rPr>
        <w:rFonts w:ascii="Symbol" w:hAnsi="Symbol" w:hint="default"/>
      </w:rPr>
    </w:lvl>
    <w:lvl w:ilvl="7" w:tplc="FFFFFFFF" w:tentative="1">
      <w:start w:val="1"/>
      <w:numFmt w:val="bullet"/>
      <w:lvlText w:val="o"/>
      <w:lvlJc w:val="left"/>
      <w:pPr>
        <w:ind w:left="5806" w:hanging="360"/>
      </w:pPr>
      <w:rPr>
        <w:rFonts w:ascii="Courier New" w:hAnsi="Courier New" w:cs="Courier New" w:hint="default"/>
      </w:rPr>
    </w:lvl>
    <w:lvl w:ilvl="8" w:tplc="FFFFFFFF" w:tentative="1">
      <w:start w:val="1"/>
      <w:numFmt w:val="bullet"/>
      <w:lvlText w:val=""/>
      <w:lvlJc w:val="left"/>
      <w:pPr>
        <w:ind w:left="6526" w:hanging="360"/>
      </w:pPr>
      <w:rPr>
        <w:rFonts w:ascii="Wingdings" w:hAnsi="Wingdings" w:hint="default"/>
      </w:rPr>
    </w:lvl>
  </w:abstractNum>
  <w:abstractNum w:abstractNumId="27" w15:restartNumberingAfterBreak="0">
    <w:nsid w:val="495E5512"/>
    <w:multiLevelType w:val="hybridMultilevel"/>
    <w:tmpl w:val="2DC8B512"/>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99069C9"/>
    <w:multiLevelType w:val="hybridMultilevel"/>
    <w:tmpl w:val="61543D5C"/>
    <w:lvl w:ilvl="0" w:tplc="0410000F">
      <w:start w:val="1"/>
      <w:numFmt w:val="decimal"/>
      <w:lvlText w:val="%1."/>
      <w:lvlJc w:val="left"/>
      <w:pPr>
        <w:ind w:left="1440" w:hanging="360"/>
      </w:pPr>
    </w:lvl>
    <w:lvl w:ilvl="1" w:tplc="04100019">
      <w:start w:val="1"/>
      <w:numFmt w:val="lowerLetter"/>
      <w:lvlText w:val="%2."/>
      <w:lvlJc w:val="left"/>
      <w:pPr>
        <w:ind w:left="2160" w:hanging="360"/>
      </w:pPr>
    </w:lvl>
    <w:lvl w:ilvl="2" w:tplc="0410001B">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9" w15:restartNumberingAfterBreak="0">
    <w:nsid w:val="51487468"/>
    <w:multiLevelType w:val="hybridMultilevel"/>
    <w:tmpl w:val="B10EEF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1F45439"/>
    <w:multiLevelType w:val="hybridMultilevel"/>
    <w:tmpl w:val="68E8FAD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25A152D"/>
    <w:multiLevelType w:val="hybridMultilevel"/>
    <w:tmpl w:val="B10EEF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8853701"/>
    <w:multiLevelType w:val="multilevel"/>
    <w:tmpl w:val="7248931A"/>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i w:val="0"/>
        <w:sz w:val="24"/>
      </w:rPr>
    </w:lvl>
    <w:lvl w:ilvl="2">
      <w:start w:val="1"/>
      <w:numFmt w:val="decimal"/>
      <w:isLgl/>
      <w:lvlText w:val="%1.%2.%3."/>
      <w:lvlJc w:val="left"/>
      <w:pPr>
        <w:tabs>
          <w:tab w:val="num" w:pos="1080"/>
        </w:tabs>
        <w:ind w:left="1080" w:hanging="720"/>
      </w:pPr>
      <w:rPr>
        <w:rFonts w:hint="default"/>
        <w:i w:val="0"/>
        <w:sz w:val="24"/>
      </w:rPr>
    </w:lvl>
    <w:lvl w:ilvl="3">
      <w:start w:val="1"/>
      <w:numFmt w:val="decimal"/>
      <w:isLgl/>
      <w:lvlText w:val="%1.%2.%3.%4."/>
      <w:lvlJc w:val="left"/>
      <w:pPr>
        <w:tabs>
          <w:tab w:val="num" w:pos="1440"/>
        </w:tabs>
        <w:ind w:left="1440" w:hanging="1080"/>
      </w:pPr>
      <w:rPr>
        <w:rFonts w:hint="default"/>
        <w:i w:val="0"/>
        <w:sz w:val="24"/>
      </w:rPr>
    </w:lvl>
    <w:lvl w:ilvl="4">
      <w:start w:val="1"/>
      <w:numFmt w:val="decimal"/>
      <w:isLgl/>
      <w:lvlText w:val="%1.%2.%3.%4.%5."/>
      <w:lvlJc w:val="left"/>
      <w:pPr>
        <w:tabs>
          <w:tab w:val="num" w:pos="1440"/>
        </w:tabs>
        <w:ind w:left="1440" w:hanging="1080"/>
      </w:pPr>
      <w:rPr>
        <w:rFonts w:hint="default"/>
        <w:i w:val="0"/>
        <w:sz w:val="24"/>
      </w:rPr>
    </w:lvl>
    <w:lvl w:ilvl="5">
      <w:start w:val="1"/>
      <w:numFmt w:val="decimal"/>
      <w:isLgl/>
      <w:lvlText w:val="%1.%2.%3.%4.%5.%6."/>
      <w:lvlJc w:val="left"/>
      <w:pPr>
        <w:tabs>
          <w:tab w:val="num" w:pos="1800"/>
        </w:tabs>
        <w:ind w:left="1800" w:hanging="1440"/>
      </w:pPr>
      <w:rPr>
        <w:rFonts w:hint="default"/>
        <w:i w:val="0"/>
        <w:sz w:val="24"/>
      </w:rPr>
    </w:lvl>
    <w:lvl w:ilvl="6">
      <w:start w:val="1"/>
      <w:numFmt w:val="decimal"/>
      <w:isLgl/>
      <w:lvlText w:val="%1.%2.%3.%4.%5.%6.%7."/>
      <w:lvlJc w:val="left"/>
      <w:pPr>
        <w:tabs>
          <w:tab w:val="num" w:pos="2160"/>
        </w:tabs>
        <w:ind w:left="2160" w:hanging="1800"/>
      </w:pPr>
      <w:rPr>
        <w:rFonts w:hint="default"/>
        <w:i w:val="0"/>
        <w:sz w:val="24"/>
      </w:rPr>
    </w:lvl>
    <w:lvl w:ilvl="7">
      <w:start w:val="1"/>
      <w:numFmt w:val="decimal"/>
      <w:isLgl/>
      <w:lvlText w:val="%1.%2.%3.%4.%5.%6.%7.%8."/>
      <w:lvlJc w:val="left"/>
      <w:pPr>
        <w:tabs>
          <w:tab w:val="num" w:pos="2160"/>
        </w:tabs>
        <w:ind w:left="2160" w:hanging="1800"/>
      </w:pPr>
      <w:rPr>
        <w:rFonts w:hint="default"/>
        <w:i w:val="0"/>
        <w:sz w:val="24"/>
      </w:rPr>
    </w:lvl>
    <w:lvl w:ilvl="8">
      <w:start w:val="1"/>
      <w:numFmt w:val="decimal"/>
      <w:isLgl/>
      <w:lvlText w:val="%1.%2.%3.%4.%5.%6.%7.%8.%9."/>
      <w:lvlJc w:val="left"/>
      <w:pPr>
        <w:tabs>
          <w:tab w:val="num" w:pos="2520"/>
        </w:tabs>
        <w:ind w:left="2520" w:hanging="2160"/>
      </w:pPr>
      <w:rPr>
        <w:rFonts w:hint="default"/>
        <w:i w:val="0"/>
        <w:sz w:val="24"/>
      </w:rPr>
    </w:lvl>
  </w:abstractNum>
  <w:abstractNum w:abstractNumId="33" w15:restartNumberingAfterBreak="0">
    <w:nsid w:val="5DAC5044"/>
    <w:multiLevelType w:val="hybridMultilevel"/>
    <w:tmpl w:val="E5162FF6"/>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87AAE630">
      <w:start w:val="1"/>
      <w:numFmt w:val="decimal"/>
      <w:lvlText w:val="%4)"/>
      <w:lvlJc w:val="left"/>
      <w:pPr>
        <w:ind w:left="2880" w:hanging="360"/>
      </w:pPr>
      <w:rPr>
        <w:rFonts w:hint="default"/>
      </w:rPr>
    </w:lvl>
    <w:lvl w:ilvl="4" w:tplc="6FC448A4">
      <w:start w:val="2"/>
      <w:numFmt w:val="decimal"/>
      <w:lvlText w:val="%5"/>
      <w:lvlJc w:val="left"/>
      <w:pPr>
        <w:ind w:left="3600" w:hanging="360"/>
      </w:pPr>
      <w:rPr>
        <w:rFonts w:hint="default"/>
      </w:r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DB3566B"/>
    <w:multiLevelType w:val="hybridMultilevel"/>
    <w:tmpl w:val="1A300A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FC97795"/>
    <w:multiLevelType w:val="hybridMultilevel"/>
    <w:tmpl w:val="CBE6D5AA"/>
    <w:lvl w:ilvl="0" w:tplc="04100011">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1B">
      <w:start w:val="1"/>
      <w:numFmt w:val="lowerRoman"/>
      <w:lvlText w:val="%3."/>
      <w:lvlJc w:val="right"/>
      <w:pPr>
        <w:ind w:left="2160" w:hanging="180"/>
      </w:pPr>
    </w:lvl>
    <w:lvl w:ilvl="3" w:tplc="87AAE630">
      <w:start w:val="1"/>
      <w:numFmt w:val="decimal"/>
      <w:lvlText w:val="%4)"/>
      <w:lvlJc w:val="left"/>
      <w:pPr>
        <w:ind w:left="2880" w:hanging="360"/>
      </w:pPr>
      <w:rPr>
        <w:rFonts w:hint="default"/>
      </w:rPr>
    </w:lvl>
    <w:lvl w:ilvl="4" w:tplc="6FC448A4">
      <w:start w:val="2"/>
      <w:numFmt w:val="decimal"/>
      <w:lvlText w:val="%5"/>
      <w:lvlJc w:val="left"/>
      <w:pPr>
        <w:ind w:left="3600" w:hanging="360"/>
      </w:pPr>
      <w:rPr>
        <w:rFonts w:hint="default"/>
      </w:r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0FF6157"/>
    <w:multiLevelType w:val="hybridMultilevel"/>
    <w:tmpl w:val="EE98D18C"/>
    <w:lvl w:ilvl="0" w:tplc="B5A86DF0">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18C72EB"/>
    <w:multiLevelType w:val="hybridMultilevel"/>
    <w:tmpl w:val="F8B02F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D2D20EF"/>
    <w:multiLevelType w:val="hybridMultilevel"/>
    <w:tmpl w:val="76925108"/>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39" w15:restartNumberingAfterBreak="0">
    <w:nsid w:val="6DAD5334"/>
    <w:multiLevelType w:val="hybridMultilevel"/>
    <w:tmpl w:val="5F3028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8AB0208"/>
    <w:multiLevelType w:val="hybridMultilevel"/>
    <w:tmpl w:val="89AAB51A"/>
    <w:lvl w:ilvl="0" w:tplc="04100001">
      <w:start w:val="1"/>
      <w:numFmt w:val="bullet"/>
      <w:lvlText w:val=""/>
      <w:lvlJc w:val="left"/>
      <w:pPr>
        <w:ind w:left="720" w:hanging="360"/>
      </w:pPr>
      <w:rPr>
        <w:rFonts w:ascii="Symbol" w:hAnsi="Symbol" w:hint="default"/>
        <w:lang w:val="en-U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66443471">
    <w:abstractNumId w:val="13"/>
  </w:num>
  <w:num w:numId="2" w16cid:durableId="1876193142">
    <w:abstractNumId w:val="23"/>
  </w:num>
  <w:num w:numId="3" w16cid:durableId="2071690711">
    <w:abstractNumId w:val="25"/>
  </w:num>
  <w:num w:numId="4" w16cid:durableId="105277665">
    <w:abstractNumId w:val="32"/>
  </w:num>
  <w:num w:numId="5" w16cid:durableId="1053312111">
    <w:abstractNumId w:val="11"/>
  </w:num>
  <w:num w:numId="6" w16cid:durableId="838545334">
    <w:abstractNumId w:val="31"/>
  </w:num>
  <w:num w:numId="7" w16cid:durableId="47994214">
    <w:abstractNumId w:val="30"/>
  </w:num>
  <w:num w:numId="8" w16cid:durableId="1140728530">
    <w:abstractNumId w:val="4"/>
  </w:num>
  <w:num w:numId="9" w16cid:durableId="602998594">
    <w:abstractNumId w:val="0"/>
  </w:num>
  <w:num w:numId="10" w16cid:durableId="1497768107">
    <w:abstractNumId w:val="27"/>
  </w:num>
  <w:num w:numId="11" w16cid:durableId="659428836">
    <w:abstractNumId w:val="5"/>
  </w:num>
  <w:num w:numId="12" w16cid:durableId="2060744977">
    <w:abstractNumId w:val="40"/>
  </w:num>
  <w:num w:numId="13" w16cid:durableId="581450127">
    <w:abstractNumId w:val="1"/>
  </w:num>
  <w:num w:numId="14" w16cid:durableId="1890267928">
    <w:abstractNumId w:val="33"/>
  </w:num>
  <w:num w:numId="15" w16cid:durableId="247152777">
    <w:abstractNumId w:val="2"/>
  </w:num>
  <w:num w:numId="16" w16cid:durableId="2012877676">
    <w:abstractNumId w:val="28"/>
  </w:num>
  <w:num w:numId="17" w16cid:durableId="719672828">
    <w:abstractNumId w:val="18"/>
  </w:num>
  <w:num w:numId="18" w16cid:durableId="557743639">
    <w:abstractNumId w:val="35"/>
  </w:num>
  <w:num w:numId="19" w16cid:durableId="2019577428">
    <w:abstractNumId w:val="20"/>
  </w:num>
  <w:num w:numId="20" w16cid:durableId="445733461">
    <w:abstractNumId w:val="9"/>
  </w:num>
  <w:num w:numId="21" w16cid:durableId="1385907755">
    <w:abstractNumId w:val="10"/>
  </w:num>
  <w:num w:numId="22" w16cid:durableId="1417438144">
    <w:abstractNumId w:val="12"/>
  </w:num>
  <w:num w:numId="23" w16cid:durableId="554435031">
    <w:abstractNumId w:val="8"/>
  </w:num>
  <w:num w:numId="24" w16cid:durableId="1264261518">
    <w:abstractNumId w:val="17"/>
  </w:num>
  <w:num w:numId="25" w16cid:durableId="1580746794">
    <w:abstractNumId w:val="37"/>
  </w:num>
  <w:num w:numId="26" w16cid:durableId="1840582097">
    <w:abstractNumId w:val="38"/>
  </w:num>
  <w:num w:numId="27" w16cid:durableId="1177305247">
    <w:abstractNumId w:val="34"/>
  </w:num>
  <w:num w:numId="28" w16cid:durableId="53092980">
    <w:abstractNumId w:val="7"/>
  </w:num>
  <w:num w:numId="29" w16cid:durableId="968902197">
    <w:abstractNumId w:val="22"/>
  </w:num>
  <w:num w:numId="30" w16cid:durableId="1797990123">
    <w:abstractNumId w:val="3"/>
  </w:num>
  <w:num w:numId="31" w16cid:durableId="41558729">
    <w:abstractNumId w:val="29"/>
  </w:num>
  <w:num w:numId="32" w16cid:durableId="1650936812">
    <w:abstractNumId w:val="15"/>
  </w:num>
  <w:num w:numId="33" w16cid:durableId="251743579">
    <w:abstractNumId w:val="6"/>
  </w:num>
  <w:num w:numId="34" w16cid:durableId="374353743">
    <w:abstractNumId w:val="16"/>
  </w:num>
  <w:num w:numId="35" w16cid:durableId="530268318">
    <w:abstractNumId w:val="36"/>
  </w:num>
  <w:num w:numId="36" w16cid:durableId="809176061">
    <w:abstractNumId w:val="39"/>
  </w:num>
  <w:num w:numId="37" w16cid:durableId="1855875660">
    <w:abstractNumId w:val="24"/>
  </w:num>
  <w:num w:numId="38" w16cid:durableId="2121876326">
    <w:abstractNumId w:val="21"/>
  </w:num>
  <w:num w:numId="39" w16cid:durableId="725687879">
    <w:abstractNumId w:val="14"/>
  </w:num>
  <w:num w:numId="40" w16cid:durableId="2065064239">
    <w:abstractNumId w:val="26"/>
  </w:num>
  <w:num w:numId="41" w16cid:durableId="179313597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08"/>
  <w:hyphenationZone w:val="283"/>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E83"/>
    <w:rsid w:val="0000395B"/>
    <w:rsid w:val="000054F2"/>
    <w:rsid w:val="00015BC6"/>
    <w:rsid w:val="00017A15"/>
    <w:rsid w:val="000202D5"/>
    <w:rsid w:val="00026327"/>
    <w:rsid w:val="0004151E"/>
    <w:rsid w:val="00042169"/>
    <w:rsid w:val="00044821"/>
    <w:rsid w:val="00053CA7"/>
    <w:rsid w:val="00065FB4"/>
    <w:rsid w:val="00093FE4"/>
    <w:rsid w:val="000B61D6"/>
    <w:rsid w:val="000C37AB"/>
    <w:rsid w:val="000D709F"/>
    <w:rsid w:val="000E235F"/>
    <w:rsid w:val="000E3BD2"/>
    <w:rsid w:val="000E51D0"/>
    <w:rsid w:val="000F7603"/>
    <w:rsid w:val="00102DC6"/>
    <w:rsid w:val="00124F6B"/>
    <w:rsid w:val="001347A7"/>
    <w:rsid w:val="00135607"/>
    <w:rsid w:val="001375A1"/>
    <w:rsid w:val="00142AA1"/>
    <w:rsid w:val="001774EF"/>
    <w:rsid w:val="001838C4"/>
    <w:rsid w:val="001849A9"/>
    <w:rsid w:val="001A2CB8"/>
    <w:rsid w:val="001A6C76"/>
    <w:rsid w:val="001B2DF7"/>
    <w:rsid w:val="001C07F5"/>
    <w:rsid w:val="001C79D0"/>
    <w:rsid w:val="001D0A66"/>
    <w:rsid w:val="001D6E52"/>
    <w:rsid w:val="001E00C7"/>
    <w:rsid w:val="001E11A8"/>
    <w:rsid w:val="001E5A91"/>
    <w:rsid w:val="001F0825"/>
    <w:rsid w:val="001F3040"/>
    <w:rsid w:val="002040B4"/>
    <w:rsid w:val="002048D3"/>
    <w:rsid w:val="00213BDB"/>
    <w:rsid w:val="00221DF2"/>
    <w:rsid w:val="0023436E"/>
    <w:rsid w:val="00247C0A"/>
    <w:rsid w:val="002537ED"/>
    <w:rsid w:val="00260877"/>
    <w:rsid w:val="002623D4"/>
    <w:rsid w:val="002639EA"/>
    <w:rsid w:val="00287D3E"/>
    <w:rsid w:val="00297C42"/>
    <w:rsid w:val="002B177A"/>
    <w:rsid w:val="002C1448"/>
    <w:rsid w:val="002C32BE"/>
    <w:rsid w:val="002C57E5"/>
    <w:rsid w:val="002D3776"/>
    <w:rsid w:val="002F422B"/>
    <w:rsid w:val="002F71BC"/>
    <w:rsid w:val="00330F17"/>
    <w:rsid w:val="00341E6C"/>
    <w:rsid w:val="00346823"/>
    <w:rsid w:val="003610F9"/>
    <w:rsid w:val="00365C21"/>
    <w:rsid w:val="00371B76"/>
    <w:rsid w:val="0039324F"/>
    <w:rsid w:val="003A5218"/>
    <w:rsid w:val="003B3FCE"/>
    <w:rsid w:val="003F00D5"/>
    <w:rsid w:val="00403EA7"/>
    <w:rsid w:val="00405934"/>
    <w:rsid w:val="00405B7D"/>
    <w:rsid w:val="00416BD2"/>
    <w:rsid w:val="00421664"/>
    <w:rsid w:val="004279DC"/>
    <w:rsid w:val="004303E3"/>
    <w:rsid w:val="00431BAA"/>
    <w:rsid w:val="00433B24"/>
    <w:rsid w:val="004341E0"/>
    <w:rsid w:val="00450BAD"/>
    <w:rsid w:val="00470A99"/>
    <w:rsid w:val="00490A96"/>
    <w:rsid w:val="004924A1"/>
    <w:rsid w:val="004A222E"/>
    <w:rsid w:val="004B3054"/>
    <w:rsid w:val="004B5089"/>
    <w:rsid w:val="004F4C1D"/>
    <w:rsid w:val="0050149D"/>
    <w:rsid w:val="005119BE"/>
    <w:rsid w:val="005166B6"/>
    <w:rsid w:val="005166F2"/>
    <w:rsid w:val="005221DE"/>
    <w:rsid w:val="00525655"/>
    <w:rsid w:val="0054029A"/>
    <w:rsid w:val="00542462"/>
    <w:rsid w:val="00542980"/>
    <w:rsid w:val="00547808"/>
    <w:rsid w:val="00554278"/>
    <w:rsid w:val="005660F4"/>
    <w:rsid w:val="00571664"/>
    <w:rsid w:val="00573D64"/>
    <w:rsid w:val="00577F1F"/>
    <w:rsid w:val="00583B52"/>
    <w:rsid w:val="00587EED"/>
    <w:rsid w:val="0059264C"/>
    <w:rsid w:val="005A725C"/>
    <w:rsid w:val="005A769E"/>
    <w:rsid w:val="005B6D75"/>
    <w:rsid w:val="005C52EB"/>
    <w:rsid w:val="005D14B9"/>
    <w:rsid w:val="005F4008"/>
    <w:rsid w:val="005F4866"/>
    <w:rsid w:val="00606ADB"/>
    <w:rsid w:val="006177D3"/>
    <w:rsid w:val="00620E0F"/>
    <w:rsid w:val="006342B4"/>
    <w:rsid w:val="00646464"/>
    <w:rsid w:val="00657179"/>
    <w:rsid w:val="00657CE3"/>
    <w:rsid w:val="00673BE4"/>
    <w:rsid w:val="00683DDD"/>
    <w:rsid w:val="006A2E2C"/>
    <w:rsid w:val="006A396B"/>
    <w:rsid w:val="006C2BD6"/>
    <w:rsid w:val="006C4BD1"/>
    <w:rsid w:val="006E7AA2"/>
    <w:rsid w:val="00701AD0"/>
    <w:rsid w:val="00706CB7"/>
    <w:rsid w:val="00745AFF"/>
    <w:rsid w:val="00745EB7"/>
    <w:rsid w:val="00754026"/>
    <w:rsid w:val="0075495A"/>
    <w:rsid w:val="007563DC"/>
    <w:rsid w:val="00757145"/>
    <w:rsid w:val="007834DE"/>
    <w:rsid w:val="007A2A1F"/>
    <w:rsid w:val="007B175E"/>
    <w:rsid w:val="007B2109"/>
    <w:rsid w:val="007B443B"/>
    <w:rsid w:val="007C1D14"/>
    <w:rsid w:val="007D26A4"/>
    <w:rsid w:val="007E5E6E"/>
    <w:rsid w:val="00801374"/>
    <w:rsid w:val="0081571B"/>
    <w:rsid w:val="00827707"/>
    <w:rsid w:val="00867889"/>
    <w:rsid w:val="00871FD6"/>
    <w:rsid w:val="008758E2"/>
    <w:rsid w:val="00881AA8"/>
    <w:rsid w:val="008A1D07"/>
    <w:rsid w:val="008C3519"/>
    <w:rsid w:val="008C68F7"/>
    <w:rsid w:val="008D36CE"/>
    <w:rsid w:val="008D4B03"/>
    <w:rsid w:val="008E36ED"/>
    <w:rsid w:val="008E6EAB"/>
    <w:rsid w:val="008F4D23"/>
    <w:rsid w:val="00900035"/>
    <w:rsid w:val="00903555"/>
    <w:rsid w:val="0093499F"/>
    <w:rsid w:val="00936564"/>
    <w:rsid w:val="00946D2A"/>
    <w:rsid w:val="009565FB"/>
    <w:rsid w:val="009668E9"/>
    <w:rsid w:val="009722B3"/>
    <w:rsid w:val="00995B92"/>
    <w:rsid w:val="009A7917"/>
    <w:rsid w:val="009B5C13"/>
    <w:rsid w:val="009E2CD2"/>
    <w:rsid w:val="009F2EAA"/>
    <w:rsid w:val="00A001E0"/>
    <w:rsid w:val="00A00CF1"/>
    <w:rsid w:val="00A03543"/>
    <w:rsid w:val="00A046ED"/>
    <w:rsid w:val="00A116D2"/>
    <w:rsid w:val="00A11F10"/>
    <w:rsid w:val="00A16214"/>
    <w:rsid w:val="00A252FB"/>
    <w:rsid w:val="00A31036"/>
    <w:rsid w:val="00A31A75"/>
    <w:rsid w:val="00A42CC6"/>
    <w:rsid w:val="00A71A07"/>
    <w:rsid w:val="00A84D01"/>
    <w:rsid w:val="00A9287A"/>
    <w:rsid w:val="00A9429B"/>
    <w:rsid w:val="00AA17C4"/>
    <w:rsid w:val="00AA700D"/>
    <w:rsid w:val="00AB23A1"/>
    <w:rsid w:val="00AC0040"/>
    <w:rsid w:val="00AE137E"/>
    <w:rsid w:val="00AE35AE"/>
    <w:rsid w:val="00AE3AF0"/>
    <w:rsid w:val="00AE6516"/>
    <w:rsid w:val="00AF5FD6"/>
    <w:rsid w:val="00B04D80"/>
    <w:rsid w:val="00B106D2"/>
    <w:rsid w:val="00B20095"/>
    <w:rsid w:val="00B21B7F"/>
    <w:rsid w:val="00B447D2"/>
    <w:rsid w:val="00B472C5"/>
    <w:rsid w:val="00B557A6"/>
    <w:rsid w:val="00B67AC1"/>
    <w:rsid w:val="00B760E4"/>
    <w:rsid w:val="00B825E7"/>
    <w:rsid w:val="00B91E5D"/>
    <w:rsid w:val="00BA0E1D"/>
    <w:rsid w:val="00BA34F6"/>
    <w:rsid w:val="00BC385E"/>
    <w:rsid w:val="00BC3C70"/>
    <w:rsid w:val="00BD1BBC"/>
    <w:rsid w:val="00C079AF"/>
    <w:rsid w:val="00C1136D"/>
    <w:rsid w:val="00C22F1F"/>
    <w:rsid w:val="00C27C50"/>
    <w:rsid w:val="00C318F6"/>
    <w:rsid w:val="00C45132"/>
    <w:rsid w:val="00C52142"/>
    <w:rsid w:val="00C61EE6"/>
    <w:rsid w:val="00C64965"/>
    <w:rsid w:val="00C7323E"/>
    <w:rsid w:val="00C83FB2"/>
    <w:rsid w:val="00C87483"/>
    <w:rsid w:val="00C97818"/>
    <w:rsid w:val="00CB4380"/>
    <w:rsid w:val="00CD3E2C"/>
    <w:rsid w:val="00CE4000"/>
    <w:rsid w:val="00CF15BB"/>
    <w:rsid w:val="00CF592F"/>
    <w:rsid w:val="00D06E49"/>
    <w:rsid w:val="00D11997"/>
    <w:rsid w:val="00D31FEB"/>
    <w:rsid w:val="00D36619"/>
    <w:rsid w:val="00D40313"/>
    <w:rsid w:val="00D412EF"/>
    <w:rsid w:val="00D5002E"/>
    <w:rsid w:val="00D64270"/>
    <w:rsid w:val="00D70124"/>
    <w:rsid w:val="00D71EC3"/>
    <w:rsid w:val="00D75ADD"/>
    <w:rsid w:val="00D91FF1"/>
    <w:rsid w:val="00DA2F51"/>
    <w:rsid w:val="00DA39F7"/>
    <w:rsid w:val="00DA58A5"/>
    <w:rsid w:val="00DC38B6"/>
    <w:rsid w:val="00DD0380"/>
    <w:rsid w:val="00DD12BA"/>
    <w:rsid w:val="00DD2A81"/>
    <w:rsid w:val="00DE3162"/>
    <w:rsid w:val="00DE38D9"/>
    <w:rsid w:val="00DE7516"/>
    <w:rsid w:val="00E03718"/>
    <w:rsid w:val="00E07808"/>
    <w:rsid w:val="00E104F6"/>
    <w:rsid w:val="00E15CC9"/>
    <w:rsid w:val="00E16A8B"/>
    <w:rsid w:val="00E35483"/>
    <w:rsid w:val="00E474E8"/>
    <w:rsid w:val="00E562BB"/>
    <w:rsid w:val="00E56744"/>
    <w:rsid w:val="00E57BA8"/>
    <w:rsid w:val="00E617AB"/>
    <w:rsid w:val="00E65597"/>
    <w:rsid w:val="00E74D60"/>
    <w:rsid w:val="00E75C9B"/>
    <w:rsid w:val="00E7737C"/>
    <w:rsid w:val="00E81214"/>
    <w:rsid w:val="00E847E1"/>
    <w:rsid w:val="00E90228"/>
    <w:rsid w:val="00E97990"/>
    <w:rsid w:val="00EB155C"/>
    <w:rsid w:val="00EC5CE3"/>
    <w:rsid w:val="00ED510F"/>
    <w:rsid w:val="00EF5FC2"/>
    <w:rsid w:val="00EF76C9"/>
    <w:rsid w:val="00F03D84"/>
    <w:rsid w:val="00F168C3"/>
    <w:rsid w:val="00F50F48"/>
    <w:rsid w:val="00F52DDF"/>
    <w:rsid w:val="00F63E83"/>
    <w:rsid w:val="00F67ADD"/>
    <w:rsid w:val="00F766BA"/>
    <w:rsid w:val="00F85210"/>
    <w:rsid w:val="00F85F85"/>
    <w:rsid w:val="00F92EB1"/>
    <w:rsid w:val="00F93595"/>
    <w:rsid w:val="00F93B41"/>
    <w:rsid w:val="00F9419C"/>
    <w:rsid w:val="00F97B2C"/>
    <w:rsid w:val="00FA39CC"/>
    <w:rsid w:val="00FC14A5"/>
    <w:rsid w:val="00FC3CEB"/>
    <w:rsid w:val="00FD1C58"/>
    <w:rsid w:val="00FD740C"/>
    <w:rsid w:val="00FD7CB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C40299"/>
  <w15:docId w15:val="{022E5602-C4D2-7648-8325-69AE1EAEF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52DDF"/>
    <w:rPr>
      <w:rFonts w:ascii="Times New Roman" w:eastAsia="Times New Roman" w:hAnsi="Times New Roman" w:cs="Times New Roman"/>
      <w:lang w:eastAsia="it-IT"/>
    </w:rPr>
  </w:style>
  <w:style w:type="paragraph" w:styleId="Titolo1">
    <w:name w:val="heading 1"/>
    <w:basedOn w:val="Normale"/>
    <w:next w:val="Normale"/>
    <w:link w:val="Titolo1Carattere"/>
    <w:uiPriority w:val="9"/>
    <w:qFormat/>
    <w:rsid w:val="00F63E83"/>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link w:val="Titolo3Carattere"/>
    <w:uiPriority w:val="9"/>
    <w:qFormat/>
    <w:rsid w:val="00F63E83"/>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
    <w:semiHidden/>
    <w:unhideWhenUsed/>
    <w:qFormat/>
    <w:rsid w:val="00F67A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63E83"/>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F63E83"/>
    <w:rPr>
      <w:rFonts w:ascii="Times New Roman" w:eastAsia="Times New Roman" w:hAnsi="Times New Roman" w:cs="Times New Roman"/>
      <w:b/>
      <w:bCs/>
      <w:sz w:val="27"/>
      <w:szCs w:val="27"/>
      <w:lang w:eastAsia="it-IT"/>
    </w:rPr>
  </w:style>
  <w:style w:type="paragraph" w:styleId="Paragrafoelenco">
    <w:name w:val="List Paragraph"/>
    <w:basedOn w:val="Normale"/>
    <w:uiPriority w:val="34"/>
    <w:qFormat/>
    <w:rsid w:val="00F63E83"/>
    <w:pPr>
      <w:spacing w:after="200" w:line="276" w:lineRule="auto"/>
      <w:ind w:left="720"/>
      <w:contextualSpacing/>
    </w:pPr>
    <w:rPr>
      <w:sz w:val="22"/>
      <w:szCs w:val="22"/>
    </w:rPr>
  </w:style>
  <w:style w:type="paragraph" w:styleId="Testonotaapidipagina">
    <w:name w:val="footnote text"/>
    <w:basedOn w:val="Normale"/>
    <w:link w:val="TestonotaapidipaginaCarattere"/>
    <w:unhideWhenUsed/>
    <w:rsid w:val="00F63E83"/>
    <w:rPr>
      <w:sz w:val="20"/>
      <w:szCs w:val="20"/>
    </w:rPr>
  </w:style>
  <w:style w:type="character" w:customStyle="1" w:styleId="TestonotaapidipaginaCarattere">
    <w:name w:val="Testo nota a piè di pagina Carattere"/>
    <w:basedOn w:val="Carpredefinitoparagrafo"/>
    <w:link w:val="Testonotaapidipagina"/>
    <w:rsid w:val="00F63E83"/>
    <w:rPr>
      <w:sz w:val="20"/>
      <w:szCs w:val="20"/>
    </w:rPr>
  </w:style>
  <w:style w:type="character" w:styleId="Rimandonotaapidipagina">
    <w:name w:val="footnote reference"/>
    <w:basedOn w:val="Carpredefinitoparagrafo"/>
    <w:semiHidden/>
    <w:unhideWhenUsed/>
    <w:rsid w:val="00F63E83"/>
    <w:rPr>
      <w:vertAlign w:val="superscript"/>
    </w:rPr>
  </w:style>
  <w:style w:type="character" w:styleId="Collegamentoipertestuale">
    <w:name w:val="Hyperlink"/>
    <w:basedOn w:val="Carpredefinitoparagrafo"/>
    <w:uiPriority w:val="99"/>
    <w:unhideWhenUsed/>
    <w:rsid w:val="00F63E83"/>
    <w:rPr>
      <w:color w:val="0563C1" w:themeColor="hyperlink"/>
      <w:u w:val="single"/>
    </w:rPr>
  </w:style>
  <w:style w:type="paragraph" w:styleId="Sottotitolo">
    <w:name w:val="Subtitle"/>
    <w:basedOn w:val="Normale"/>
    <w:next w:val="Normale"/>
    <w:link w:val="SottotitoloCarattere"/>
    <w:uiPriority w:val="11"/>
    <w:qFormat/>
    <w:rsid w:val="00F63E83"/>
    <w:pPr>
      <w:numPr>
        <w:ilvl w:val="1"/>
      </w:numPr>
      <w:spacing w:after="160" w:line="259" w:lineRule="auto"/>
    </w:pPr>
    <w:rPr>
      <w:rFonts w:eastAsiaTheme="minorEastAsia"/>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F63E83"/>
    <w:rPr>
      <w:rFonts w:eastAsiaTheme="minorEastAsia"/>
      <w:color w:val="5A5A5A" w:themeColor="text1" w:themeTint="A5"/>
      <w:spacing w:val="15"/>
      <w:sz w:val="22"/>
      <w:szCs w:val="22"/>
    </w:rPr>
  </w:style>
  <w:style w:type="character" w:customStyle="1" w:styleId="reference-text">
    <w:name w:val="reference-text"/>
    <w:rsid w:val="00F63E83"/>
  </w:style>
  <w:style w:type="paragraph" w:styleId="Testofumetto">
    <w:name w:val="Balloon Text"/>
    <w:basedOn w:val="Normale"/>
    <w:link w:val="TestofumettoCarattere"/>
    <w:uiPriority w:val="99"/>
    <w:semiHidden/>
    <w:unhideWhenUsed/>
    <w:rsid w:val="00F63E8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63E83"/>
    <w:rPr>
      <w:rFonts w:ascii="Tahoma" w:hAnsi="Tahoma" w:cs="Tahoma"/>
      <w:sz w:val="16"/>
      <w:szCs w:val="16"/>
    </w:rPr>
  </w:style>
  <w:style w:type="paragraph" w:styleId="NormaleWeb">
    <w:name w:val="Normal (Web)"/>
    <w:basedOn w:val="Normale"/>
    <w:uiPriority w:val="99"/>
    <w:unhideWhenUsed/>
    <w:rsid w:val="00F63E83"/>
    <w:pPr>
      <w:spacing w:before="100" w:beforeAutospacing="1" w:after="100" w:afterAutospacing="1"/>
    </w:pPr>
  </w:style>
  <w:style w:type="character" w:customStyle="1" w:styleId="mw-headline">
    <w:name w:val="mw-headline"/>
    <w:basedOn w:val="Carpredefinitoparagrafo"/>
    <w:rsid w:val="00F63E83"/>
  </w:style>
  <w:style w:type="character" w:customStyle="1" w:styleId="citation">
    <w:name w:val="citation"/>
    <w:basedOn w:val="Carpredefinitoparagrafo"/>
    <w:rsid w:val="00F63E83"/>
  </w:style>
  <w:style w:type="character" w:styleId="Rimandocommento">
    <w:name w:val="annotation reference"/>
    <w:basedOn w:val="Carpredefinitoparagrafo"/>
    <w:uiPriority w:val="99"/>
    <w:semiHidden/>
    <w:unhideWhenUsed/>
    <w:rsid w:val="00F63E83"/>
    <w:rPr>
      <w:sz w:val="16"/>
      <w:szCs w:val="16"/>
    </w:rPr>
  </w:style>
  <w:style w:type="paragraph" w:styleId="Testocommento">
    <w:name w:val="annotation text"/>
    <w:basedOn w:val="Normale"/>
    <w:link w:val="TestocommentoCarattere"/>
    <w:uiPriority w:val="99"/>
    <w:semiHidden/>
    <w:unhideWhenUsed/>
    <w:rsid w:val="00F63E83"/>
    <w:pPr>
      <w:spacing w:after="160"/>
    </w:pPr>
    <w:rPr>
      <w:sz w:val="20"/>
      <w:szCs w:val="20"/>
    </w:rPr>
  </w:style>
  <w:style w:type="character" w:customStyle="1" w:styleId="TestocommentoCarattere">
    <w:name w:val="Testo commento Carattere"/>
    <w:basedOn w:val="Carpredefinitoparagrafo"/>
    <w:link w:val="Testocommento"/>
    <w:uiPriority w:val="99"/>
    <w:semiHidden/>
    <w:rsid w:val="00F63E83"/>
    <w:rPr>
      <w:sz w:val="20"/>
      <w:szCs w:val="20"/>
    </w:rPr>
  </w:style>
  <w:style w:type="paragraph" w:styleId="Soggettocommento">
    <w:name w:val="annotation subject"/>
    <w:basedOn w:val="Testocommento"/>
    <w:next w:val="Testocommento"/>
    <w:link w:val="SoggettocommentoCarattere"/>
    <w:uiPriority w:val="99"/>
    <w:semiHidden/>
    <w:unhideWhenUsed/>
    <w:rsid w:val="00F63E83"/>
    <w:rPr>
      <w:b/>
      <w:bCs/>
    </w:rPr>
  </w:style>
  <w:style w:type="character" w:customStyle="1" w:styleId="SoggettocommentoCarattere">
    <w:name w:val="Soggetto commento Carattere"/>
    <w:basedOn w:val="TestocommentoCarattere"/>
    <w:link w:val="Soggettocommento"/>
    <w:uiPriority w:val="99"/>
    <w:semiHidden/>
    <w:rsid w:val="00F63E83"/>
    <w:rPr>
      <w:b/>
      <w:bCs/>
      <w:sz w:val="20"/>
      <w:szCs w:val="20"/>
    </w:rPr>
  </w:style>
  <w:style w:type="table" w:styleId="Grigliatabella">
    <w:name w:val="Table Grid"/>
    <w:basedOn w:val="Tabellanormale"/>
    <w:uiPriority w:val="59"/>
    <w:rsid w:val="00F63E8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F63E83"/>
    <w:rPr>
      <w:b/>
      <w:bCs/>
    </w:rPr>
  </w:style>
  <w:style w:type="character" w:customStyle="1" w:styleId="st">
    <w:name w:val="st"/>
    <w:basedOn w:val="Carpredefinitoparagrafo"/>
    <w:rsid w:val="00F63E83"/>
  </w:style>
  <w:style w:type="character" w:styleId="Enfasicorsivo">
    <w:name w:val="Emphasis"/>
    <w:basedOn w:val="Carpredefinitoparagrafo"/>
    <w:uiPriority w:val="20"/>
    <w:qFormat/>
    <w:rsid w:val="00F63E83"/>
    <w:rPr>
      <w:i/>
      <w:iCs/>
    </w:rPr>
  </w:style>
  <w:style w:type="paragraph" w:customStyle="1" w:styleId="Default">
    <w:name w:val="Default"/>
    <w:rsid w:val="00F63E83"/>
    <w:pPr>
      <w:autoSpaceDE w:val="0"/>
      <w:autoSpaceDN w:val="0"/>
      <w:adjustRightInd w:val="0"/>
    </w:pPr>
    <w:rPr>
      <w:rFonts w:ascii="Times New Roman" w:hAnsi="Times New Roman" w:cs="Times New Roman"/>
      <w:color w:val="000000"/>
    </w:rPr>
  </w:style>
  <w:style w:type="paragraph" w:customStyle="1" w:styleId="CM1">
    <w:name w:val="CM1"/>
    <w:basedOn w:val="Default"/>
    <w:next w:val="Default"/>
    <w:uiPriority w:val="99"/>
    <w:rsid w:val="00F63E83"/>
    <w:rPr>
      <w:rFonts w:ascii="EUAlbertina" w:hAnsi="EUAlbertina" w:cstheme="minorBidi"/>
      <w:color w:val="auto"/>
    </w:rPr>
  </w:style>
  <w:style w:type="paragraph" w:customStyle="1" w:styleId="CM3">
    <w:name w:val="CM3"/>
    <w:basedOn w:val="Default"/>
    <w:next w:val="Default"/>
    <w:uiPriority w:val="99"/>
    <w:rsid w:val="00F63E83"/>
    <w:rPr>
      <w:rFonts w:ascii="EUAlbertina" w:hAnsi="EUAlbertina" w:cstheme="minorBidi"/>
      <w:color w:val="auto"/>
    </w:rPr>
  </w:style>
  <w:style w:type="paragraph" w:styleId="Intestazione">
    <w:name w:val="header"/>
    <w:basedOn w:val="Normale"/>
    <w:link w:val="IntestazioneCarattere"/>
    <w:uiPriority w:val="99"/>
    <w:unhideWhenUsed/>
    <w:rsid w:val="00F63E83"/>
    <w:pPr>
      <w:tabs>
        <w:tab w:val="center" w:pos="4819"/>
        <w:tab w:val="right" w:pos="9638"/>
      </w:tabs>
    </w:pPr>
    <w:rPr>
      <w:sz w:val="22"/>
      <w:szCs w:val="22"/>
    </w:rPr>
  </w:style>
  <w:style w:type="character" w:customStyle="1" w:styleId="IntestazioneCarattere">
    <w:name w:val="Intestazione Carattere"/>
    <w:basedOn w:val="Carpredefinitoparagrafo"/>
    <w:link w:val="Intestazione"/>
    <w:uiPriority w:val="99"/>
    <w:rsid w:val="00F63E83"/>
    <w:rPr>
      <w:sz w:val="22"/>
      <w:szCs w:val="22"/>
    </w:rPr>
  </w:style>
  <w:style w:type="paragraph" w:styleId="Pidipagina">
    <w:name w:val="footer"/>
    <w:basedOn w:val="Normale"/>
    <w:link w:val="PidipaginaCarattere"/>
    <w:uiPriority w:val="99"/>
    <w:unhideWhenUsed/>
    <w:rsid w:val="00F63E83"/>
    <w:pPr>
      <w:tabs>
        <w:tab w:val="center" w:pos="4819"/>
        <w:tab w:val="right" w:pos="9638"/>
      </w:tabs>
    </w:pPr>
    <w:rPr>
      <w:sz w:val="22"/>
      <w:szCs w:val="22"/>
    </w:rPr>
  </w:style>
  <w:style w:type="character" w:customStyle="1" w:styleId="PidipaginaCarattere">
    <w:name w:val="Piè di pagina Carattere"/>
    <w:basedOn w:val="Carpredefinitoparagrafo"/>
    <w:link w:val="Pidipagina"/>
    <w:uiPriority w:val="99"/>
    <w:rsid w:val="00F63E83"/>
    <w:rPr>
      <w:sz w:val="22"/>
      <w:szCs w:val="22"/>
    </w:rPr>
  </w:style>
  <w:style w:type="character" w:customStyle="1" w:styleId="apple-converted-space">
    <w:name w:val="apple-converted-space"/>
    <w:basedOn w:val="Carpredefinitoparagrafo"/>
    <w:rsid w:val="00F63E83"/>
  </w:style>
  <w:style w:type="paragraph" w:customStyle="1" w:styleId="CM4">
    <w:name w:val="CM4"/>
    <w:basedOn w:val="Default"/>
    <w:next w:val="Default"/>
    <w:uiPriority w:val="99"/>
    <w:rsid w:val="00F63E83"/>
    <w:rPr>
      <w:rFonts w:ascii="EUAlbertina" w:hAnsi="EUAlbertina" w:cstheme="minorBidi"/>
      <w:color w:val="auto"/>
    </w:rPr>
  </w:style>
  <w:style w:type="paragraph" w:customStyle="1" w:styleId="articledetails">
    <w:name w:val="articledetails"/>
    <w:basedOn w:val="Normale"/>
    <w:rsid w:val="00F63E83"/>
    <w:pPr>
      <w:spacing w:before="100" w:beforeAutospacing="1" w:after="100" w:afterAutospacing="1"/>
    </w:pPr>
  </w:style>
  <w:style w:type="paragraph" w:styleId="Testonotadichiusura">
    <w:name w:val="endnote text"/>
    <w:basedOn w:val="Normale"/>
    <w:link w:val="TestonotadichiusuraCarattere"/>
    <w:uiPriority w:val="99"/>
    <w:semiHidden/>
    <w:unhideWhenUsed/>
    <w:rsid w:val="00F63E83"/>
    <w:rPr>
      <w:sz w:val="20"/>
      <w:szCs w:val="20"/>
    </w:rPr>
  </w:style>
  <w:style w:type="character" w:customStyle="1" w:styleId="TestonotadichiusuraCarattere">
    <w:name w:val="Testo nota di chiusura Carattere"/>
    <w:basedOn w:val="Carpredefinitoparagrafo"/>
    <w:link w:val="Testonotadichiusura"/>
    <w:uiPriority w:val="99"/>
    <w:semiHidden/>
    <w:rsid w:val="00F63E83"/>
    <w:rPr>
      <w:sz w:val="20"/>
      <w:szCs w:val="20"/>
    </w:rPr>
  </w:style>
  <w:style w:type="character" w:styleId="Rimandonotadichiusura">
    <w:name w:val="endnote reference"/>
    <w:basedOn w:val="Carpredefinitoparagrafo"/>
    <w:uiPriority w:val="99"/>
    <w:semiHidden/>
    <w:unhideWhenUsed/>
    <w:rsid w:val="00F63E83"/>
    <w:rPr>
      <w:vertAlign w:val="superscript"/>
    </w:rPr>
  </w:style>
  <w:style w:type="character" w:customStyle="1" w:styleId="Menzionenonrisolta1">
    <w:name w:val="Menzione non risolta1"/>
    <w:basedOn w:val="Carpredefinitoparagrafo"/>
    <w:uiPriority w:val="99"/>
    <w:semiHidden/>
    <w:unhideWhenUsed/>
    <w:rsid w:val="00F63E83"/>
    <w:rPr>
      <w:color w:val="605E5C"/>
      <w:shd w:val="clear" w:color="auto" w:fill="E1DFDD"/>
    </w:rPr>
  </w:style>
  <w:style w:type="character" w:customStyle="1" w:styleId="A2">
    <w:name w:val="A2"/>
    <w:uiPriority w:val="99"/>
    <w:rsid w:val="00F63E83"/>
    <w:rPr>
      <w:rFonts w:cs="EC Square Sans Cond Pro"/>
      <w:color w:val="000000"/>
      <w:sz w:val="22"/>
      <w:szCs w:val="22"/>
    </w:rPr>
  </w:style>
  <w:style w:type="paragraph" w:customStyle="1" w:styleId="follows-h3">
    <w:name w:val="follows-h3"/>
    <w:basedOn w:val="Normale"/>
    <w:rsid w:val="00F63E83"/>
    <w:pPr>
      <w:spacing w:before="100" w:beforeAutospacing="1" w:after="100" w:afterAutospacing="1"/>
    </w:pPr>
  </w:style>
  <w:style w:type="paragraph" w:styleId="Revisione">
    <w:name w:val="Revision"/>
    <w:hidden/>
    <w:uiPriority w:val="99"/>
    <w:semiHidden/>
    <w:rsid w:val="007A2A1F"/>
  </w:style>
  <w:style w:type="character" w:styleId="Menzionenonrisolta">
    <w:name w:val="Unresolved Mention"/>
    <w:basedOn w:val="Carpredefinitoparagrafo"/>
    <w:uiPriority w:val="99"/>
    <w:semiHidden/>
    <w:unhideWhenUsed/>
    <w:rsid w:val="005166F2"/>
    <w:rPr>
      <w:color w:val="605E5C"/>
      <w:shd w:val="clear" w:color="auto" w:fill="E1DFDD"/>
    </w:rPr>
  </w:style>
  <w:style w:type="character" w:customStyle="1" w:styleId="Titolo4Carattere">
    <w:name w:val="Titolo 4 Carattere"/>
    <w:basedOn w:val="Carpredefinitoparagrafo"/>
    <w:link w:val="Titolo4"/>
    <w:uiPriority w:val="9"/>
    <w:semiHidden/>
    <w:rsid w:val="00F67ADD"/>
    <w:rPr>
      <w:rFonts w:asciiTheme="majorHAnsi" w:eastAsiaTheme="majorEastAsia" w:hAnsiTheme="majorHAnsi" w:cstheme="majorBidi"/>
      <w:i/>
      <w:iCs/>
      <w:color w:val="2F5496" w:themeColor="accent1" w:themeShade="BF"/>
      <w:lang w:eastAsia="it-IT"/>
    </w:rPr>
  </w:style>
  <w:style w:type="paragraph" w:styleId="Didascalia">
    <w:name w:val="caption"/>
    <w:basedOn w:val="Normale"/>
    <w:next w:val="Normale"/>
    <w:uiPriority w:val="35"/>
    <w:unhideWhenUsed/>
    <w:qFormat/>
    <w:rsid w:val="00F67ADD"/>
    <w:pPr>
      <w:spacing w:after="200"/>
    </w:pPr>
    <w:rPr>
      <w:rFonts w:asciiTheme="minorHAnsi" w:eastAsiaTheme="minorHAnsi" w:hAnsiTheme="minorHAnsi" w:cstheme="minorBidi"/>
      <w:i/>
      <w:iCs/>
      <w:color w:val="44546A" w:themeColor="text2"/>
      <w:sz w:val="18"/>
      <w:szCs w:val="18"/>
      <w:lang w:eastAsia="en-US"/>
    </w:rPr>
  </w:style>
  <w:style w:type="paragraph" w:styleId="Titolo">
    <w:name w:val="Title"/>
    <w:basedOn w:val="Normale"/>
    <w:next w:val="Normale"/>
    <w:link w:val="TitoloCarattere"/>
    <w:uiPriority w:val="10"/>
    <w:qFormat/>
    <w:rsid w:val="009722B3"/>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722B3"/>
    <w:rPr>
      <w:rFonts w:asciiTheme="majorHAnsi" w:eastAsiaTheme="majorEastAsia" w:hAnsiTheme="majorHAnsi" w:cstheme="majorBidi"/>
      <w:spacing w:val="-10"/>
      <w:kern w:val="28"/>
      <w:sz w:val="56"/>
      <w:szCs w:val="5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462430">
      <w:bodyDiv w:val="1"/>
      <w:marLeft w:val="0"/>
      <w:marRight w:val="0"/>
      <w:marTop w:val="0"/>
      <w:marBottom w:val="0"/>
      <w:divBdr>
        <w:top w:val="none" w:sz="0" w:space="0" w:color="auto"/>
        <w:left w:val="none" w:sz="0" w:space="0" w:color="auto"/>
        <w:bottom w:val="none" w:sz="0" w:space="0" w:color="auto"/>
        <w:right w:val="none" w:sz="0" w:space="0" w:color="auto"/>
      </w:divBdr>
    </w:div>
    <w:div w:id="443965250">
      <w:bodyDiv w:val="1"/>
      <w:marLeft w:val="0"/>
      <w:marRight w:val="0"/>
      <w:marTop w:val="0"/>
      <w:marBottom w:val="0"/>
      <w:divBdr>
        <w:top w:val="none" w:sz="0" w:space="0" w:color="auto"/>
        <w:left w:val="none" w:sz="0" w:space="0" w:color="auto"/>
        <w:bottom w:val="none" w:sz="0" w:space="0" w:color="auto"/>
        <w:right w:val="none" w:sz="0" w:space="0" w:color="auto"/>
      </w:divBdr>
    </w:div>
    <w:div w:id="598105511">
      <w:bodyDiv w:val="1"/>
      <w:marLeft w:val="0"/>
      <w:marRight w:val="0"/>
      <w:marTop w:val="0"/>
      <w:marBottom w:val="0"/>
      <w:divBdr>
        <w:top w:val="none" w:sz="0" w:space="0" w:color="auto"/>
        <w:left w:val="none" w:sz="0" w:space="0" w:color="auto"/>
        <w:bottom w:val="none" w:sz="0" w:space="0" w:color="auto"/>
        <w:right w:val="none" w:sz="0" w:space="0" w:color="auto"/>
      </w:divBdr>
    </w:div>
    <w:div w:id="685669583">
      <w:bodyDiv w:val="1"/>
      <w:marLeft w:val="0"/>
      <w:marRight w:val="0"/>
      <w:marTop w:val="0"/>
      <w:marBottom w:val="0"/>
      <w:divBdr>
        <w:top w:val="none" w:sz="0" w:space="0" w:color="auto"/>
        <w:left w:val="none" w:sz="0" w:space="0" w:color="auto"/>
        <w:bottom w:val="none" w:sz="0" w:space="0" w:color="auto"/>
        <w:right w:val="none" w:sz="0" w:space="0" w:color="auto"/>
      </w:divBdr>
    </w:div>
    <w:div w:id="759788342">
      <w:bodyDiv w:val="1"/>
      <w:marLeft w:val="0"/>
      <w:marRight w:val="0"/>
      <w:marTop w:val="0"/>
      <w:marBottom w:val="0"/>
      <w:divBdr>
        <w:top w:val="none" w:sz="0" w:space="0" w:color="auto"/>
        <w:left w:val="none" w:sz="0" w:space="0" w:color="auto"/>
        <w:bottom w:val="none" w:sz="0" w:space="0" w:color="auto"/>
        <w:right w:val="none" w:sz="0" w:space="0" w:color="auto"/>
      </w:divBdr>
    </w:div>
    <w:div w:id="848372200">
      <w:bodyDiv w:val="1"/>
      <w:marLeft w:val="0"/>
      <w:marRight w:val="0"/>
      <w:marTop w:val="0"/>
      <w:marBottom w:val="0"/>
      <w:divBdr>
        <w:top w:val="none" w:sz="0" w:space="0" w:color="auto"/>
        <w:left w:val="none" w:sz="0" w:space="0" w:color="auto"/>
        <w:bottom w:val="none" w:sz="0" w:space="0" w:color="auto"/>
        <w:right w:val="none" w:sz="0" w:space="0" w:color="auto"/>
      </w:divBdr>
    </w:div>
    <w:div w:id="1096752426">
      <w:bodyDiv w:val="1"/>
      <w:marLeft w:val="0"/>
      <w:marRight w:val="0"/>
      <w:marTop w:val="0"/>
      <w:marBottom w:val="0"/>
      <w:divBdr>
        <w:top w:val="none" w:sz="0" w:space="0" w:color="auto"/>
        <w:left w:val="none" w:sz="0" w:space="0" w:color="auto"/>
        <w:bottom w:val="none" w:sz="0" w:space="0" w:color="auto"/>
        <w:right w:val="none" w:sz="0" w:space="0" w:color="auto"/>
      </w:divBdr>
    </w:div>
    <w:div w:id="1218318222">
      <w:bodyDiv w:val="1"/>
      <w:marLeft w:val="0"/>
      <w:marRight w:val="0"/>
      <w:marTop w:val="0"/>
      <w:marBottom w:val="0"/>
      <w:divBdr>
        <w:top w:val="none" w:sz="0" w:space="0" w:color="auto"/>
        <w:left w:val="none" w:sz="0" w:space="0" w:color="auto"/>
        <w:bottom w:val="none" w:sz="0" w:space="0" w:color="auto"/>
        <w:right w:val="none" w:sz="0" w:space="0" w:color="auto"/>
      </w:divBdr>
    </w:div>
    <w:div w:id="1334604813">
      <w:bodyDiv w:val="1"/>
      <w:marLeft w:val="0"/>
      <w:marRight w:val="0"/>
      <w:marTop w:val="0"/>
      <w:marBottom w:val="0"/>
      <w:divBdr>
        <w:top w:val="none" w:sz="0" w:space="0" w:color="auto"/>
        <w:left w:val="none" w:sz="0" w:space="0" w:color="auto"/>
        <w:bottom w:val="none" w:sz="0" w:space="0" w:color="auto"/>
        <w:right w:val="none" w:sz="0" w:space="0" w:color="auto"/>
      </w:divBdr>
    </w:div>
    <w:div w:id="1356007470">
      <w:bodyDiv w:val="1"/>
      <w:marLeft w:val="0"/>
      <w:marRight w:val="0"/>
      <w:marTop w:val="0"/>
      <w:marBottom w:val="0"/>
      <w:divBdr>
        <w:top w:val="none" w:sz="0" w:space="0" w:color="auto"/>
        <w:left w:val="none" w:sz="0" w:space="0" w:color="auto"/>
        <w:bottom w:val="none" w:sz="0" w:space="0" w:color="auto"/>
        <w:right w:val="none" w:sz="0" w:space="0" w:color="auto"/>
      </w:divBdr>
    </w:div>
    <w:div w:id="1740785610">
      <w:bodyDiv w:val="1"/>
      <w:marLeft w:val="0"/>
      <w:marRight w:val="0"/>
      <w:marTop w:val="0"/>
      <w:marBottom w:val="0"/>
      <w:divBdr>
        <w:top w:val="none" w:sz="0" w:space="0" w:color="auto"/>
        <w:left w:val="none" w:sz="0" w:space="0" w:color="auto"/>
        <w:bottom w:val="none" w:sz="0" w:space="0" w:color="auto"/>
        <w:right w:val="none" w:sz="0" w:space="0" w:color="auto"/>
      </w:divBdr>
    </w:div>
    <w:div w:id="2076320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n.wikipedia.org/wiki/State_of_the_Union_address"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n.wikipedia.org/wiki/European_Parliament"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endnotes.xml.rels><?xml version="1.0" encoding="UTF-8" standalone="yes"?>
<Relationships xmlns="http://schemas.openxmlformats.org/package/2006/relationships"><Relationship Id="rId3" Type="http://schemas.openxmlformats.org/officeDocument/2006/relationships/hyperlink" Target="https://ec.europa.eu/energy/en/topics/energy-strategy" TargetMode="External"/><Relationship Id="rId7" Type="http://schemas.openxmlformats.org/officeDocument/2006/relationships/hyperlink" Target="http://ec.europa.eu/education/policy/strategic-framework/index_en.htm" TargetMode="External"/><Relationship Id="rId2" Type="http://schemas.openxmlformats.org/officeDocument/2006/relationships/hyperlink" Target="https://ec.europa.eu/eurostat/web/europe-2020-indicators" TargetMode="External"/><Relationship Id="rId1" Type="http://schemas.openxmlformats.org/officeDocument/2006/relationships/hyperlink" Target="http://www.uia.org" TargetMode="External"/><Relationship Id="rId6" Type="http://schemas.openxmlformats.org/officeDocument/2006/relationships/hyperlink" Target="http://ec.europa.eu/education/policy/strategic-framework/index_en.htm" TargetMode="External"/><Relationship Id="rId5" Type="http://schemas.openxmlformats.org/officeDocument/2006/relationships/hyperlink" Target="http://ec.europa.eu/consumers/eu_consumer_policy/our-strategy/index_en.htm" TargetMode="External"/><Relationship Id="rId4" Type="http://schemas.openxmlformats.org/officeDocument/2006/relationships/hyperlink" Target="http://ec.europa.eu/health/strategy/objectives/index_en.h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6760D-82B4-0949-B0C0-D9B8E1CE5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33</Pages>
  <Words>16798</Words>
  <Characters>95752</Characters>
  <Application>Microsoft Office Word</Application>
  <DocSecurity>0</DocSecurity>
  <Lines>797</Lines>
  <Paragraphs>224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Amici</dc:creator>
  <cp:keywords/>
  <dc:description/>
  <cp:lastModifiedBy>lorenzo costumato</cp:lastModifiedBy>
  <cp:revision>44</cp:revision>
  <dcterms:created xsi:type="dcterms:W3CDTF">2022-05-11T14:50:00Z</dcterms:created>
  <dcterms:modified xsi:type="dcterms:W3CDTF">2022-05-16T14:18:00Z</dcterms:modified>
</cp:coreProperties>
</file>