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76650" w14:textId="77777777" w:rsidR="0040681B" w:rsidRDefault="0040681B" w:rsidP="000845F4">
      <w:pPr>
        <w:spacing w:after="0" w:line="360" w:lineRule="auto"/>
        <w:jc w:val="center"/>
        <w:outlineLvl w:val="0"/>
        <w:rPr>
          <w:rFonts w:ascii="Times New Roman" w:hAnsi="Times New Roman" w:cs="Times New Roman"/>
          <w:b/>
          <w:bCs/>
        </w:rPr>
      </w:pPr>
    </w:p>
    <w:p w14:paraId="4FED0472" w14:textId="77777777" w:rsidR="0040681B" w:rsidRDefault="0040681B" w:rsidP="000845F4">
      <w:pPr>
        <w:spacing w:after="0" w:line="360" w:lineRule="auto"/>
        <w:jc w:val="center"/>
        <w:outlineLvl w:val="0"/>
        <w:rPr>
          <w:rFonts w:ascii="Times New Roman" w:hAnsi="Times New Roman" w:cs="Times New Roman"/>
          <w:b/>
          <w:bCs/>
        </w:rPr>
      </w:pPr>
    </w:p>
    <w:p w14:paraId="52D06D25" w14:textId="77777777" w:rsidR="0040681B" w:rsidRDefault="0040681B" w:rsidP="000845F4">
      <w:pPr>
        <w:spacing w:after="0" w:line="360" w:lineRule="auto"/>
        <w:jc w:val="center"/>
        <w:outlineLvl w:val="0"/>
        <w:rPr>
          <w:rFonts w:ascii="Times New Roman" w:hAnsi="Times New Roman" w:cs="Times New Roman"/>
          <w:b/>
          <w:bCs/>
        </w:rPr>
      </w:pPr>
    </w:p>
    <w:p w14:paraId="00C21782" w14:textId="77777777" w:rsidR="0040681B" w:rsidRDefault="0040681B" w:rsidP="0040681B">
      <w:pPr>
        <w:spacing w:after="0" w:line="360" w:lineRule="auto"/>
        <w:outlineLvl w:val="0"/>
        <w:rPr>
          <w:rFonts w:ascii="Times New Roman" w:hAnsi="Times New Roman" w:cs="Times New Roman"/>
          <w:b/>
          <w:bCs/>
        </w:rPr>
      </w:pPr>
    </w:p>
    <w:p w14:paraId="5684CEC7" w14:textId="5057DEE5" w:rsidR="000845F4" w:rsidRPr="0040681B" w:rsidRDefault="000845F4" w:rsidP="000845F4">
      <w:pPr>
        <w:spacing w:after="0" w:line="360" w:lineRule="auto"/>
        <w:jc w:val="center"/>
        <w:outlineLvl w:val="0"/>
        <w:rPr>
          <w:rFonts w:ascii="Times New Roman" w:hAnsi="Times New Roman" w:cs="Times New Roman"/>
          <w:b/>
          <w:bCs/>
          <w:sz w:val="32"/>
          <w:szCs w:val="32"/>
        </w:rPr>
      </w:pPr>
      <w:r w:rsidRPr="0040681B">
        <w:rPr>
          <w:rFonts w:ascii="Times New Roman" w:hAnsi="Times New Roman" w:cs="Times New Roman"/>
          <w:b/>
          <w:bCs/>
          <w:sz w:val="32"/>
          <w:szCs w:val="32"/>
        </w:rPr>
        <w:t>International Judicial Dissent:  Causes and Consequences</w:t>
      </w:r>
    </w:p>
    <w:p w14:paraId="3FFD819C" w14:textId="77777777" w:rsidR="000845F4" w:rsidRPr="0040681B" w:rsidRDefault="000845F4" w:rsidP="000845F4">
      <w:pPr>
        <w:spacing w:after="0" w:line="360" w:lineRule="auto"/>
        <w:jc w:val="center"/>
        <w:outlineLvl w:val="0"/>
        <w:rPr>
          <w:rFonts w:ascii="Times New Roman" w:hAnsi="Times New Roman" w:cs="Times New Roman"/>
          <w:b/>
          <w:bCs/>
          <w:sz w:val="32"/>
          <w:szCs w:val="32"/>
        </w:rPr>
      </w:pPr>
      <w:r w:rsidRPr="0040681B">
        <w:rPr>
          <w:rFonts w:ascii="Times New Roman" w:hAnsi="Times New Roman" w:cs="Times New Roman"/>
          <w:b/>
          <w:bCs/>
          <w:sz w:val="32"/>
          <w:szCs w:val="32"/>
        </w:rPr>
        <w:t>Jeffrey L. Dunoff and Mark A. Pollack</w:t>
      </w:r>
    </w:p>
    <w:p w14:paraId="498CA59F" w14:textId="77777777" w:rsidR="0040681B" w:rsidRDefault="0040681B" w:rsidP="0040681B">
      <w:pPr>
        <w:spacing w:after="0" w:line="360" w:lineRule="auto"/>
        <w:jc w:val="both"/>
        <w:outlineLvl w:val="0"/>
        <w:rPr>
          <w:rFonts w:ascii="Times New Roman" w:hAnsi="Times New Roman" w:cs="Times New Roman"/>
        </w:rPr>
      </w:pPr>
    </w:p>
    <w:p w14:paraId="719C8FC1" w14:textId="77777777" w:rsidR="00425102" w:rsidRDefault="00425102" w:rsidP="0040681B">
      <w:pPr>
        <w:spacing w:after="0" w:line="360" w:lineRule="auto"/>
        <w:jc w:val="both"/>
        <w:outlineLvl w:val="0"/>
        <w:rPr>
          <w:rFonts w:ascii="Times New Roman" w:hAnsi="Times New Roman" w:cs="Times New Roman"/>
        </w:rPr>
      </w:pPr>
    </w:p>
    <w:p w14:paraId="1E43C59E" w14:textId="77777777" w:rsidR="00425102" w:rsidRDefault="00425102" w:rsidP="0040681B">
      <w:pPr>
        <w:spacing w:after="0" w:line="360" w:lineRule="auto"/>
        <w:jc w:val="both"/>
        <w:outlineLvl w:val="0"/>
        <w:rPr>
          <w:rFonts w:ascii="Times New Roman" w:hAnsi="Times New Roman" w:cs="Times New Roman"/>
        </w:rPr>
      </w:pPr>
    </w:p>
    <w:p w14:paraId="4EB05222" w14:textId="77777777" w:rsidR="0040681B" w:rsidRDefault="0040681B" w:rsidP="0040681B">
      <w:pPr>
        <w:spacing w:after="0" w:line="360" w:lineRule="auto"/>
        <w:jc w:val="both"/>
        <w:outlineLvl w:val="0"/>
        <w:rPr>
          <w:rFonts w:ascii="Times New Roman" w:hAnsi="Times New Roman" w:cs="Times New Roman"/>
        </w:rPr>
      </w:pPr>
    </w:p>
    <w:p w14:paraId="0D0B18B6" w14:textId="77777777" w:rsidR="0040681B" w:rsidRPr="000A0331" w:rsidRDefault="0040681B" w:rsidP="0040681B">
      <w:pPr>
        <w:spacing w:after="0"/>
        <w:rPr>
          <w:rFonts w:ascii="Times New Roman" w:hAnsi="Times New Roman"/>
        </w:rPr>
      </w:pPr>
    </w:p>
    <w:p w14:paraId="7DBFC752" w14:textId="77777777" w:rsidR="0040681B" w:rsidRPr="000A0331" w:rsidRDefault="0040681B" w:rsidP="0040681B">
      <w:pPr>
        <w:spacing w:after="0"/>
        <w:ind w:left="720"/>
        <w:jc w:val="center"/>
        <w:rPr>
          <w:rFonts w:ascii="Times New Roman" w:hAnsi="Times New Roman"/>
          <w:b/>
          <w:szCs w:val="22"/>
        </w:rPr>
      </w:pPr>
      <w:r w:rsidRPr="000A0331">
        <w:rPr>
          <w:rFonts w:ascii="Times New Roman" w:hAnsi="Times New Roman"/>
          <w:b/>
          <w:szCs w:val="22"/>
        </w:rPr>
        <w:t xml:space="preserve">Jeffrey L. Dunoff  </w:t>
      </w:r>
    </w:p>
    <w:p w14:paraId="414E8063" w14:textId="77777777" w:rsidR="0040681B" w:rsidRPr="000A0331" w:rsidRDefault="0040681B" w:rsidP="0040681B">
      <w:pPr>
        <w:spacing w:after="0"/>
        <w:ind w:left="720"/>
        <w:jc w:val="center"/>
        <w:rPr>
          <w:rFonts w:ascii="Times New Roman" w:hAnsi="Times New Roman"/>
          <w:szCs w:val="22"/>
        </w:rPr>
      </w:pPr>
      <w:r w:rsidRPr="000A0331">
        <w:rPr>
          <w:rFonts w:ascii="Times New Roman" w:hAnsi="Times New Roman"/>
          <w:szCs w:val="22"/>
        </w:rPr>
        <w:t>Laura H. Carnell Professor of Law</w:t>
      </w:r>
    </w:p>
    <w:p w14:paraId="7BA02982" w14:textId="77777777" w:rsidR="0040681B" w:rsidRPr="000A0331" w:rsidRDefault="0040681B" w:rsidP="0040681B">
      <w:pPr>
        <w:spacing w:after="0"/>
        <w:ind w:left="720"/>
        <w:jc w:val="center"/>
        <w:rPr>
          <w:rFonts w:ascii="Times New Roman" w:hAnsi="Times New Roman"/>
          <w:szCs w:val="22"/>
        </w:rPr>
      </w:pPr>
      <w:r w:rsidRPr="000A0331">
        <w:rPr>
          <w:rFonts w:ascii="Times New Roman" w:hAnsi="Times New Roman"/>
          <w:szCs w:val="22"/>
        </w:rPr>
        <w:t xml:space="preserve">Director, Institute for </w:t>
      </w:r>
      <w:proofErr w:type="gramStart"/>
      <w:r w:rsidRPr="000A0331">
        <w:rPr>
          <w:rFonts w:ascii="Times New Roman" w:hAnsi="Times New Roman"/>
          <w:szCs w:val="22"/>
        </w:rPr>
        <w:t>International Law</w:t>
      </w:r>
      <w:proofErr w:type="gramEnd"/>
      <w:r w:rsidRPr="000A0331">
        <w:rPr>
          <w:rFonts w:ascii="Times New Roman" w:hAnsi="Times New Roman"/>
          <w:szCs w:val="22"/>
        </w:rPr>
        <w:t xml:space="preserve"> &amp; Public Policy</w:t>
      </w:r>
    </w:p>
    <w:p w14:paraId="4A654E5F" w14:textId="77777777" w:rsidR="0040681B" w:rsidRPr="000A0331" w:rsidRDefault="0040681B" w:rsidP="0040681B">
      <w:pPr>
        <w:spacing w:after="0"/>
        <w:ind w:left="720"/>
        <w:jc w:val="center"/>
        <w:rPr>
          <w:rFonts w:ascii="Times New Roman" w:hAnsi="Times New Roman"/>
          <w:szCs w:val="22"/>
        </w:rPr>
      </w:pPr>
      <w:r w:rsidRPr="000A0331">
        <w:rPr>
          <w:rFonts w:ascii="Times New Roman" w:hAnsi="Times New Roman"/>
          <w:szCs w:val="22"/>
        </w:rPr>
        <w:t>Temple University Beasley School of Law</w:t>
      </w:r>
    </w:p>
    <w:p w14:paraId="2B7C6CF4" w14:textId="77777777" w:rsidR="0040681B" w:rsidRPr="000A0331" w:rsidRDefault="0040681B" w:rsidP="0040681B">
      <w:pPr>
        <w:spacing w:after="0"/>
        <w:ind w:left="720"/>
        <w:jc w:val="center"/>
        <w:rPr>
          <w:rFonts w:ascii="Times New Roman" w:hAnsi="Times New Roman"/>
          <w:szCs w:val="22"/>
        </w:rPr>
      </w:pPr>
      <w:r w:rsidRPr="000A0331">
        <w:rPr>
          <w:rFonts w:ascii="Times New Roman" w:hAnsi="Times New Roman"/>
          <w:szCs w:val="22"/>
        </w:rPr>
        <w:t>1719 N. Broad Street</w:t>
      </w:r>
    </w:p>
    <w:p w14:paraId="5F6C8955" w14:textId="77777777" w:rsidR="0040681B" w:rsidRPr="000A0331" w:rsidRDefault="0040681B" w:rsidP="0040681B">
      <w:pPr>
        <w:spacing w:after="0"/>
        <w:ind w:left="720"/>
        <w:jc w:val="center"/>
        <w:rPr>
          <w:rFonts w:ascii="Times New Roman" w:hAnsi="Times New Roman"/>
          <w:szCs w:val="22"/>
        </w:rPr>
      </w:pPr>
      <w:r w:rsidRPr="000A0331">
        <w:rPr>
          <w:rFonts w:ascii="Times New Roman" w:hAnsi="Times New Roman"/>
          <w:szCs w:val="22"/>
        </w:rPr>
        <w:t>Philadelphia, PA 19122</w:t>
      </w:r>
    </w:p>
    <w:p w14:paraId="61DD60A9" w14:textId="77777777" w:rsidR="0040681B" w:rsidRPr="000A0331" w:rsidRDefault="0040681B" w:rsidP="0040681B">
      <w:pPr>
        <w:spacing w:after="0"/>
        <w:ind w:left="720"/>
        <w:jc w:val="center"/>
        <w:rPr>
          <w:rFonts w:ascii="Times New Roman" w:hAnsi="Times New Roman"/>
          <w:szCs w:val="22"/>
        </w:rPr>
      </w:pPr>
      <w:r w:rsidRPr="000A0331">
        <w:rPr>
          <w:rFonts w:ascii="Times New Roman" w:hAnsi="Times New Roman"/>
          <w:szCs w:val="22"/>
        </w:rPr>
        <w:t xml:space="preserve">E-mail: </w:t>
      </w:r>
      <w:hyperlink r:id="rId9" w:history="1">
        <w:r w:rsidRPr="000A0331">
          <w:rPr>
            <w:rStyle w:val="Hyperlink"/>
            <w:rFonts w:ascii="Times New Roman" w:hAnsi="Times New Roman"/>
            <w:szCs w:val="22"/>
          </w:rPr>
          <w:t>jeffrey.dunoff@temple.edu</w:t>
        </w:r>
      </w:hyperlink>
      <w:r w:rsidRPr="000A0331">
        <w:rPr>
          <w:rFonts w:ascii="Times New Roman" w:hAnsi="Times New Roman"/>
          <w:szCs w:val="22"/>
        </w:rPr>
        <w:t xml:space="preserve"> </w:t>
      </w:r>
    </w:p>
    <w:p w14:paraId="04D22AFC" w14:textId="77777777" w:rsidR="0040681B" w:rsidRPr="000A0331" w:rsidRDefault="0040681B" w:rsidP="0040681B">
      <w:pPr>
        <w:spacing w:after="0"/>
        <w:ind w:left="720" w:firstLine="720"/>
        <w:jc w:val="center"/>
        <w:rPr>
          <w:rFonts w:ascii="Times New Roman" w:hAnsi="Times New Roman"/>
          <w:b/>
          <w:szCs w:val="22"/>
        </w:rPr>
      </w:pPr>
    </w:p>
    <w:p w14:paraId="0DC7B521" w14:textId="77777777" w:rsidR="0040681B" w:rsidRPr="000A0331" w:rsidRDefault="0040681B" w:rsidP="0040681B">
      <w:pPr>
        <w:spacing w:after="0"/>
        <w:ind w:left="720"/>
        <w:jc w:val="center"/>
        <w:rPr>
          <w:rFonts w:ascii="Times New Roman" w:hAnsi="Times New Roman"/>
          <w:b/>
          <w:szCs w:val="22"/>
        </w:rPr>
      </w:pPr>
    </w:p>
    <w:p w14:paraId="417C7394" w14:textId="77777777" w:rsidR="0040681B" w:rsidRPr="000A0331" w:rsidRDefault="0040681B" w:rsidP="0040681B">
      <w:pPr>
        <w:spacing w:after="0"/>
        <w:ind w:left="720"/>
        <w:jc w:val="center"/>
        <w:rPr>
          <w:rFonts w:ascii="Times New Roman" w:hAnsi="Times New Roman"/>
          <w:szCs w:val="22"/>
        </w:rPr>
      </w:pPr>
      <w:r w:rsidRPr="000A0331">
        <w:rPr>
          <w:rFonts w:ascii="Times New Roman" w:hAnsi="Times New Roman"/>
          <w:b/>
          <w:szCs w:val="22"/>
        </w:rPr>
        <w:t>Mark A. Pollack</w:t>
      </w:r>
    </w:p>
    <w:p w14:paraId="5E6ABE45" w14:textId="77777777" w:rsidR="0040681B" w:rsidRPr="000A0331" w:rsidRDefault="0040681B" w:rsidP="0040681B">
      <w:pPr>
        <w:spacing w:after="0"/>
        <w:ind w:left="720"/>
        <w:jc w:val="center"/>
        <w:rPr>
          <w:rFonts w:ascii="Times New Roman" w:hAnsi="Times New Roman"/>
          <w:szCs w:val="22"/>
        </w:rPr>
      </w:pPr>
      <w:r w:rsidRPr="000A0331">
        <w:rPr>
          <w:rFonts w:ascii="Times New Roman" w:hAnsi="Times New Roman"/>
          <w:szCs w:val="22"/>
        </w:rPr>
        <w:t>Professor of Political Science and Jean Monnet Chair</w:t>
      </w:r>
    </w:p>
    <w:p w14:paraId="40123E2C" w14:textId="77777777" w:rsidR="0040681B" w:rsidRPr="000A0331" w:rsidRDefault="0040681B" w:rsidP="0040681B">
      <w:pPr>
        <w:spacing w:after="0"/>
        <w:ind w:left="720"/>
        <w:jc w:val="center"/>
        <w:rPr>
          <w:rFonts w:ascii="Times New Roman" w:hAnsi="Times New Roman"/>
          <w:szCs w:val="22"/>
        </w:rPr>
      </w:pPr>
      <w:r w:rsidRPr="000A0331">
        <w:rPr>
          <w:rFonts w:ascii="Times New Roman" w:hAnsi="Times New Roman"/>
          <w:szCs w:val="22"/>
        </w:rPr>
        <w:t>Temple University</w:t>
      </w:r>
    </w:p>
    <w:p w14:paraId="16E80769" w14:textId="77777777" w:rsidR="0040681B" w:rsidRPr="000A0331" w:rsidRDefault="0040681B" w:rsidP="0040681B">
      <w:pPr>
        <w:spacing w:after="0"/>
        <w:ind w:left="720"/>
        <w:jc w:val="center"/>
        <w:rPr>
          <w:rFonts w:ascii="Times New Roman" w:hAnsi="Times New Roman"/>
          <w:szCs w:val="22"/>
        </w:rPr>
      </w:pPr>
      <w:r w:rsidRPr="000A0331">
        <w:rPr>
          <w:rFonts w:ascii="Times New Roman" w:hAnsi="Times New Roman"/>
          <w:szCs w:val="22"/>
        </w:rPr>
        <w:t xml:space="preserve">Department of </w:t>
      </w:r>
      <w:proofErr w:type="gramStart"/>
      <w:r w:rsidRPr="000A0331">
        <w:rPr>
          <w:rFonts w:ascii="Times New Roman" w:hAnsi="Times New Roman"/>
          <w:szCs w:val="22"/>
        </w:rPr>
        <w:t>Political Science</w:t>
      </w:r>
      <w:proofErr w:type="gramEnd"/>
    </w:p>
    <w:p w14:paraId="5E71106C" w14:textId="77777777" w:rsidR="0040681B" w:rsidRPr="000A0331" w:rsidRDefault="0040681B" w:rsidP="0040681B">
      <w:pPr>
        <w:spacing w:after="0"/>
        <w:ind w:left="720"/>
        <w:jc w:val="center"/>
        <w:rPr>
          <w:rFonts w:ascii="Times New Roman" w:hAnsi="Times New Roman"/>
          <w:szCs w:val="22"/>
        </w:rPr>
      </w:pPr>
      <w:r w:rsidRPr="000A0331">
        <w:rPr>
          <w:rFonts w:ascii="Times New Roman" w:hAnsi="Times New Roman"/>
          <w:szCs w:val="22"/>
        </w:rPr>
        <w:t>461 Gladfelter Hall</w:t>
      </w:r>
    </w:p>
    <w:p w14:paraId="328FF1CD" w14:textId="77777777" w:rsidR="0040681B" w:rsidRPr="000A0331" w:rsidRDefault="0040681B" w:rsidP="0040681B">
      <w:pPr>
        <w:spacing w:after="0"/>
        <w:ind w:left="720"/>
        <w:jc w:val="center"/>
        <w:rPr>
          <w:rFonts w:ascii="Times New Roman" w:hAnsi="Times New Roman"/>
          <w:szCs w:val="22"/>
        </w:rPr>
      </w:pPr>
      <w:r w:rsidRPr="000A0331">
        <w:rPr>
          <w:rFonts w:ascii="Times New Roman" w:hAnsi="Times New Roman"/>
          <w:szCs w:val="22"/>
        </w:rPr>
        <w:t xml:space="preserve">Philadelphia, PA 19122 </w:t>
      </w:r>
    </w:p>
    <w:p w14:paraId="573C14E5" w14:textId="77777777" w:rsidR="0040681B" w:rsidRPr="000A0331" w:rsidRDefault="0040681B" w:rsidP="0040681B">
      <w:pPr>
        <w:spacing w:after="0"/>
        <w:ind w:left="720"/>
        <w:jc w:val="center"/>
        <w:rPr>
          <w:rFonts w:ascii="Times New Roman" w:hAnsi="Times New Roman"/>
          <w:szCs w:val="22"/>
          <w:lang w:val="it-IT"/>
        </w:rPr>
      </w:pPr>
      <w:r w:rsidRPr="000A0331">
        <w:rPr>
          <w:rFonts w:ascii="Times New Roman" w:hAnsi="Times New Roman"/>
          <w:szCs w:val="22"/>
        </w:rPr>
        <w:t>United States of America</w:t>
      </w:r>
    </w:p>
    <w:p w14:paraId="36FA83B6" w14:textId="77777777" w:rsidR="0040681B" w:rsidRPr="000A0331" w:rsidRDefault="0040681B" w:rsidP="0040681B">
      <w:pPr>
        <w:spacing w:after="0"/>
        <w:ind w:left="720"/>
        <w:jc w:val="center"/>
        <w:rPr>
          <w:rFonts w:ascii="Times New Roman" w:hAnsi="Times New Roman"/>
          <w:szCs w:val="22"/>
          <w:lang w:val="it-IT"/>
        </w:rPr>
      </w:pPr>
      <w:r w:rsidRPr="000A0331">
        <w:rPr>
          <w:rFonts w:ascii="Times New Roman" w:hAnsi="Times New Roman"/>
          <w:szCs w:val="22"/>
          <w:lang w:val="it-IT"/>
        </w:rPr>
        <w:t xml:space="preserve">E-mail: </w:t>
      </w:r>
      <w:hyperlink r:id="rId10" w:history="1">
        <w:r w:rsidRPr="000A0331">
          <w:rPr>
            <w:rStyle w:val="Hyperlink"/>
            <w:rFonts w:ascii="Times New Roman" w:hAnsi="Times New Roman"/>
            <w:szCs w:val="22"/>
            <w:lang w:val="it-IT"/>
          </w:rPr>
          <w:t>mark.pollack@temple.edu</w:t>
        </w:r>
      </w:hyperlink>
      <w:r w:rsidRPr="000A0331">
        <w:rPr>
          <w:rFonts w:ascii="Times New Roman" w:hAnsi="Times New Roman"/>
          <w:szCs w:val="22"/>
          <w:lang w:val="it-IT"/>
        </w:rPr>
        <w:t xml:space="preserve"> </w:t>
      </w:r>
    </w:p>
    <w:p w14:paraId="236819DF" w14:textId="77777777" w:rsidR="0040681B" w:rsidRDefault="0040681B" w:rsidP="00DC1450">
      <w:pPr>
        <w:spacing w:after="0" w:line="360" w:lineRule="auto"/>
        <w:ind w:firstLine="720"/>
        <w:jc w:val="both"/>
        <w:outlineLvl w:val="0"/>
        <w:rPr>
          <w:rFonts w:ascii="Times New Roman" w:hAnsi="Times New Roman" w:cs="Times New Roman"/>
        </w:rPr>
      </w:pPr>
    </w:p>
    <w:p w14:paraId="553CAE36" w14:textId="77777777" w:rsidR="00DE5E14" w:rsidRDefault="00DE5E14" w:rsidP="001A0CA6">
      <w:pPr>
        <w:spacing w:after="0" w:line="360" w:lineRule="auto"/>
        <w:jc w:val="both"/>
        <w:outlineLvl w:val="0"/>
        <w:rPr>
          <w:rFonts w:ascii="Times New Roman" w:hAnsi="Times New Roman" w:cs="Times New Roman"/>
        </w:rPr>
      </w:pPr>
    </w:p>
    <w:p w14:paraId="0D635961" w14:textId="77777777" w:rsidR="00DE5E14" w:rsidRDefault="00DE5E14" w:rsidP="001A0CA6">
      <w:pPr>
        <w:spacing w:after="0" w:line="360" w:lineRule="auto"/>
        <w:jc w:val="both"/>
        <w:outlineLvl w:val="0"/>
        <w:rPr>
          <w:rFonts w:ascii="Times New Roman" w:hAnsi="Times New Roman" w:cs="Times New Roman"/>
        </w:rPr>
      </w:pPr>
    </w:p>
    <w:p w14:paraId="40BF4D6F" w14:textId="77777777" w:rsidR="00425102" w:rsidRDefault="00425102" w:rsidP="004117E6">
      <w:pPr>
        <w:spacing w:after="0" w:line="360" w:lineRule="auto"/>
        <w:jc w:val="both"/>
        <w:outlineLvl w:val="0"/>
        <w:rPr>
          <w:rFonts w:ascii="Times New Roman" w:hAnsi="Times New Roman" w:cs="Times New Roman"/>
        </w:rPr>
      </w:pPr>
    </w:p>
    <w:p w14:paraId="29FBF3EB" w14:textId="77777777" w:rsidR="008D2993" w:rsidRDefault="008D2993" w:rsidP="001A0CA6">
      <w:pPr>
        <w:spacing w:after="0"/>
        <w:jc w:val="both"/>
        <w:outlineLvl w:val="0"/>
        <w:rPr>
          <w:rFonts w:ascii="Times New Roman" w:hAnsi="Times New Roman" w:cs="Times New Roman"/>
        </w:rPr>
      </w:pPr>
    </w:p>
    <w:p w14:paraId="12BF879C" w14:textId="15A17BA7" w:rsidR="00DE5E14" w:rsidRDefault="00425102" w:rsidP="001A0CA6">
      <w:pPr>
        <w:spacing w:after="0"/>
        <w:jc w:val="both"/>
        <w:outlineLvl w:val="0"/>
        <w:rPr>
          <w:rFonts w:ascii="Times New Roman" w:hAnsi="Times New Roman" w:cs="Times New Roman"/>
        </w:rPr>
      </w:pPr>
      <w:r>
        <w:rPr>
          <w:rFonts w:ascii="Times New Roman" w:hAnsi="Times New Roman" w:cs="Times New Roman"/>
        </w:rPr>
        <w:t xml:space="preserve">Paper prepared for presentation at the </w:t>
      </w:r>
      <w:r w:rsidR="00B67830">
        <w:rPr>
          <w:rFonts w:ascii="Times New Roman" w:hAnsi="Times New Roman" w:cs="Times New Roman"/>
        </w:rPr>
        <w:t>European Union Studies Association Biennial Conference, 5-7 March 2015, Boston, MA</w:t>
      </w:r>
      <w:bookmarkStart w:id="0" w:name="_GoBack"/>
      <w:bookmarkEnd w:id="0"/>
      <w:r w:rsidR="004117E6">
        <w:rPr>
          <w:rFonts w:ascii="Times New Roman" w:hAnsi="Times New Roman" w:cs="Times New Roman"/>
          <w:iCs/>
        </w:rPr>
        <w:t xml:space="preserve">.  This is an unfinished </w:t>
      </w:r>
      <w:r>
        <w:rPr>
          <w:rFonts w:ascii="Times New Roman" w:hAnsi="Times New Roman" w:cs="Times New Roman"/>
          <w:iCs/>
        </w:rPr>
        <w:t>draft. Comments are most welcome but please do not quote or cite without permission.</w:t>
      </w:r>
    </w:p>
    <w:p w14:paraId="5A90F749" w14:textId="77777777" w:rsidR="00DE5E14" w:rsidRDefault="00DE5E14" w:rsidP="00DC1450">
      <w:pPr>
        <w:spacing w:after="0" w:line="360" w:lineRule="auto"/>
        <w:ind w:firstLine="720"/>
        <w:jc w:val="both"/>
        <w:outlineLvl w:val="0"/>
        <w:rPr>
          <w:rFonts w:ascii="Times New Roman" w:hAnsi="Times New Roman" w:cs="Times New Roman"/>
        </w:rPr>
      </w:pPr>
    </w:p>
    <w:p w14:paraId="1E226361" w14:textId="77777777" w:rsidR="00DE5E14" w:rsidRDefault="00DE5E14" w:rsidP="001A0CA6">
      <w:pPr>
        <w:spacing w:after="0" w:line="360" w:lineRule="auto"/>
        <w:jc w:val="both"/>
        <w:outlineLvl w:val="0"/>
        <w:rPr>
          <w:rFonts w:ascii="Times New Roman" w:hAnsi="Times New Roman" w:cs="Times New Roman"/>
        </w:rPr>
        <w:sectPr w:rsidR="00DE5E14" w:rsidSect="0040681B">
          <w:footerReference w:type="even" r:id="rId11"/>
          <w:footerReference w:type="default" r:id="rId12"/>
          <w:pgSz w:w="12240" w:h="15840"/>
          <w:pgMar w:top="1440" w:right="1440" w:bottom="1440" w:left="1440" w:header="720" w:footer="720" w:gutter="0"/>
          <w:cols w:space="720"/>
          <w:titlePg/>
          <w:docGrid w:linePitch="360"/>
        </w:sectPr>
      </w:pPr>
    </w:p>
    <w:p w14:paraId="5EDCF3FE" w14:textId="5D8938FA" w:rsidR="0042361F" w:rsidRPr="0042361F" w:rsidRDefault="0042361F" w:rsidP="00A042B0">
      <w:pPr>
        <w:spacing w:after="0" w:line="360" w:lineRule="auto"/>
        <w:jc w:val="both"/>
        <w:outlineLvl w:val="0"/>
        <w:rPr>
          <w:rFonts w:ascii="Times New Roman" w:hAnsi="Times New Roman" w:cs="Times New Roman"/>
          <w:b/>
        </w:rPr>
      </w:pPr>
      <w:r w:rsidRPr="0042361F">
        <w:rPr>
          <w:rFonts w:ascii="Times New Roman" w:hAnsi="Times New Roman" w:cs="Times New Roman"/>
          <w:b/>
        </w:rPr>
        <w:lastRenderedPageBreak/>
        <w:t>Introduction</w:t>
      </w:r>
    </w:p>
    <w:p w14:paraId="5C0DEA2A" w14:textId="6150238F" w:rsidR="00DC1450" w:rsidRPr="00DC1450" w:rsidRDefault="00DC1450" w:rsidP="00DE5E14">
      <w:pPr>
        <w:spacing w:after="0" w:line="360" w:lineRule="auto"/>
        <w:ind w:firstLine="720"/>
        <w:jc w:val="both"/>
        <w:outlineLvl w:val="0"/>
        <w:rPr>
          <w:rFonts w:ascii="Times New Roman" w:hAnsi="Times New Roman" w:cs="Times New Roman"/>
        </w:rPr>
      </w:pPr>
      <w:r w:rsidRPr="000845F4">
        <w:rPr>
          <w:rFonts w:ascii="Times New Roman" w:hAnsi="Times New Roman" w:cs="Times New Roman"/>
        </w:rPr>
        <w:t xml:space="preserve">The </w:t>
      </w:r>
      <w:r w:rsidR="008A045A">
        <w:rPr>
          <w:rFonts w:ascii="Times New Roman" w:hAnsi="Times New Roman" w:cs="Times New Roman"/>
        </w:rPr>
        <w:t xml:space="preserve">past two decades have witnessed an unprecedented increase in international adjudication.  The </w:t>
      </w:r>
      <w:r w:rsidRPr="000845F4">
        <w:rPr>
          <w:rFonts w:ascii="Times New Roman" w:hAnsi="Times New Roman" w:cs="Times New Roman"/>
        </w:rPr>
        <w:t>increas</w:t>
      </w:r>
      <w:r w:rsidR="008A045A">
        <w:rPr>
          <w:rFonts w:ascii="Times New Roman" w:hAnsi="Times New Roman" w:cs="Times New Roman"/>
        </w:rPr>
        <w:t>ed</w:t>
      </w:r>
      <w:r w:rsidRPr="000845F4">
        <w:rPr>
          <w:rFonts w:ascii="Times New Roman" w:hAnsi="Times New Roman" w:cs="Times New Roman"/>
        </w:rPr>
        <w:t xml:space="preserve"> judicialization of global politics</w:t>
      </w:r>
      <w:r w:rsidR="008A045A">
        <w:rPr>
          <w:rFonts w:ascii="Times New Roman" w:hAnsi="Times New Roman" w:cs="Times New Roman"/>
        </w:rPr>
        <w:t>, in turn,</w:t>
      </w:r>
      <w:r w:rsidRPr="000845F4">
        <w:rPr>
          <w:rFonts w:ascii="Times New Roman" w:hAnsi="Times New Roman" w:cs="Times New Roman"/>
        </w:rPr>
        <w:t xml:space="preserve"> has sparked a flurry of </w:t>
      </w:r>
      <w:r w:rsidRPr="000845F4">
        <w:rPr>
          <w:rFonts w:ascii="Times New Roman" w:hAnsi="Times New Roman" w:cs="Times New Roman"/>
          <w:bCs/>
        </w:rPr>
        <w:t>research into the politics of judicial appointments</w:t>
      </w:r>
      <w:r w:rsidR="008A045A">
        <w:rPr>
          <w:rFonts w:ascii="Times New Roman" w:hAnsi="Times New Roman" w:cs="Times New Roman"/>
          <w:bCs/>
        </w:rPr>
        <w:t xml:space="preserve">, </w:t>
      </w:r>
      <w:r w:rsidRPr="000845F4">
        <w:rPr>
          <w:rFonts w:ascii="Times New Roman" w:hAnsi="Times New Roman" w:cs="Times New Roman"/>
          <w:bCs/>
        </w:rPr>
        <w:t>the independence of international tribunals</w:t>
      </w:r>
      <w:r w:rsidR="008A045A">
        <w:rPr>
          <w:rFonts w:ascii="Times New Roman" w:hAnsi="Times New Roman" w:cs="Times New Roman"/>
          <w:bCs/>
        </w:rPr>
        <w:t>, and the effectiveness and legitimacy of international courts</w:t>
      </w:r>
      <w:r w:rsidRPr="000845F4">
        <w:rPr>
          <w:rFonts w:ascii="Times New Roman" w:hAnsi="Times New Roman" w:cs="Times New Roman"/>
          <w:bCs/>
        </w:rPr>
        <w:t xml:space="preserve">. While this </w:t>
      </w:r>
      <w:r w:rsidRPr="00DC1450">
        <w:rPr>
          <w:rFonts w:ascii="Times New Roman" w:hAnsi="Times New Roman" w:cs="Times New Roman"/>
          <w:bCs/>
        </w:rPr>
        <w:t xml:space="preserve">literature has made great strides, it has almost entirely ignored a feature critical to understanding the role and purpose of any court, namely </w:t>
      </w:r>
      <w:r w:rsidRPr="00DC1450">
        <w:rPr>
          <w:rFonts w:ascii="Times New Roman" w:hAnsi="Times New Roman" w:cs="Times New Roman"/>
        </w:rPr>
        <w:t xml:space="preserve">the use, or non-use, of </w:t>
      </w:r>
      <w:r w:rsidR="008D2993">
        <w:rPr>
          <w:rFonts w:ascii="Times New Roman" w:hAnsi="Times New Roman" w:cs="Times New Roman"/>
        </w:rPr>
        <w:t xml:space="preserve">separate </w:t>
      </w:r>
      <w:r w:rsidRPr="00DC1450">
        <w:rPr>
          <w:rFonts w:ascii="Times New Roman" w:hAnsi="Times New Roman" w:cs="Times New Roman"/>
        </w:rPr>
        <w:t xml:space="preserve">dissenting or concurring opinions by individual judges.  It is a striking feature of international courts that some </w:t>
      </w:r>
      <w:r w:rsidR="008D2993">
        <w:rPr>
          <w:rFonts w:ascii="Times New Roman" w:hAnsi="Times New Roman" w:cs="Times New Roman"/>
        </w:rPr>
        <w:t xml:space="preserve">allow and </w:t>
      </w:r>
      <w:r w:rsidRPr="00DC1450">
        <w:rPr>
          <w:rFonts w:ascii="Times New Roman" w:hAnsi="Times New Roman" w:cs="Times New Roman"/>
        </w:rPr>
        <w:t>make extensive use of dissents (e.g., the International Court of Justice (ICJ), the International Tribunal of the Law of the Sea (ITLOS), and the European Court of Human Rights (ECtHR)), while others issue rulings as a court with no, or very few, concurring or dissenting opinions (e.g., the European Court of Justice (ECJ) and the Appellate Body of the World Trade Organization (WTO)).  Yet we know very little about why courts adopt different approaches to this central question, or about the effects of dissent on the independence</w:t>
      </w:r>
      <w:r w:rsidR="0040681B">
        <w:rPr>
          <w:rFonts w:ascii="Times New Roman" w:hAnsi="Times New Roman" w:cs="Times New Roman"/>
        </w:rPr>
        <w:t xml:space="preserve"> of international judges</w:t>
      </w:r>
      <w:r w:rsidRPr="00DC1450">
        <w:rPr>
          <w:rFonts w:ascii="Times New Roman" w:hAnsi="Times New Roman" w:cs="Times New Roman"/>
        </w:rPr>
        <w:t xml:space="preserve"> and </w:t>
      </w:r>
      <w:r w:rsidR="0040681B">
        <w:rPr>
          <w:rFonts w:ascii="Times New Roman" w:hAnsi="Times New Roman" w:cs="Times New Roman"/>
        </w:rPr>
        <w:t xml:space="preserve">the </w:t>
      </w:r>
      <w:r w:rsidRPr="00DC1450">
        <w:rPr>
          <w:rFonts w:ascii="Times New Roman" w:hAnsi="Times New Roman" w:cs="Times New Roman"/>
        </w:rPr>
        <w:t xml:space="preserve">legitimacy of </w:t>
      </w:r>
      <w:r w:rsidR="0040681B">
        <w:rPr>
          <w:rFonts w:ascii="Times New Roman" w:hAnsi="Times New Roman" w:cs="Times New Roman"/>
        </w:rPr>
        <w:t>their courts</w:t>
      </w:r>
      <w:r w:rsidRPr="00DC1450">
        <w:rPr>
          <w:rFonts w:ascii="Times New Roman" w:hAnsi="Times New Roman" w:cs="Times New Roman"/>
        </w:rPr>
        <w:t>.  Thus far, political scientists have largely ignored th</w:t>
      </w:r>
      <w:r w:rsidR="0040681B">
        <w:rPr>
          <w:rFonts w:ascii="Times New Roman" w:hAnsi="Times New Roman" w:cs="Times New Roman"/>
        </w:rPr>
        <w:t>e</w:t>
      </w:r>
      <w:r w:rsidRPr="00DC1450">
        <w:rPr>
          <w:rFonts w:ascii="Times New Roman" w:hAnsi="Times New Roman" w:cs="Times New Roman"/>
        </w:rPr>
        <w:t>s</w:t>
      </w:r>
      <w:r w:rsidR="0040681B">
        <w:rPr>
          <w:rFonts w:ascii="Times New Roman" w:hAnsi="Times New Roman" w:cs="Times New Roman"/>
        </w:rPr>
        <w:t>e</w:t>
      </w:r>
      <w:r w:rsidRPr="00DC1450">
        <w:rPr>
          <w:rFonts w:ascii="Times New Roman" w:hAnsi="Times New Roman" w:cs="Times New Roman"/>
        </w:rPr>
        <w:t xml:space="preserve"> question</w:t>
      </w:r>
      <w:r w:rsidR="0040681B">
        <w:rPr>
          <w:rFonts w:ascii="Times New Roman" w:hAnsi="Times New Roman" w:cs="Times New Roman"/>
        </w:rPr>
        <w:t>s</w:t>
      </w:r>
      <w:r w:rsidRPr="00DC1450">
        <w:rPr>
          <w:rFonts w:ascii="Times New Roman" w:hAnsi="Times New Roman" w:cs="Times New Roman"/>
        </w:rPr>
        <w:t>, while legal scholars have pursued primarily normative analyses of individual courts and tribunals.</w:t>
      </w:r>
    </w:p>
    <w:p w14:paraId="6748CCE2" w14:textId="62B77AD3" w:rsidR="00DC1450" w:rsidRPr="00DC1450" w:rsidRDefault="00DC1450" w:rsidP="00DC14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hAnsi="Times New Roman" w:cs="Times New Roman"/>
        </w:rPr>
      </w:pPr>
      <w:r w:rsidRPr="00DC1450">
        <w:rPr>
          <w:rFonts w:ascii="Times New Roman" w:hAnsi="Times New Roman" w:cs="Times New Roman"/>
        </w:rPr>
        <w:tab/>
        <w:t xml:space="preserve">If one begins with the most extensive body of literature, on the ECJ, one encounters a court that has, from the beginning, opted to deliberate and vote in strict secrecy, issue collective decisions on behalf of the court, and suppress individual dissenting or concurring opinions. Scholars of the ECJ have been nearly unanimous in their interpretation of this behavior, attributing it to the judges’ desire to protect their independence vis-à-vis nominating states that might otherwise pressure judges to toe the national line to secure renomination at the end of their renewable six-year terms.  In addition, the issuing of collective decisions is often seen </w:t>
      </w:r>
      <w:r w:rsidR="005B11A0">
        <w:rPr>
          <w:rFonts w:ascii="Times New Roman" w:hAnsi="Times New Roman" w:cs="Times New Roman"/>
        </w:rPr>
        <w:t xml:space="preserve">as a strategy designed </w:t>
      </w:r>
      <w:r w:rsidRPr="00DC1450">
        <w:rPr>
          <w:rFonts w:ascii="Times New Roman" w:hAnsi="Times New Roman" w:cs="Times New Roman"/>
        </w:rPr>
        <w:t>to increase the legitimacy of the judgments of a court whose initial position was quite precarious.</w:t>
      </w:r>
      <w:r w:rsidRPr="00DC1450">
        <w:rPr>
          <w:rStyle w:val="FootnoteReference"/>
          <w:rFonts w:ascii="Times New Roman" w:hAnsi="Times New Roman" w:cs="Times New Roman"/>
        </w:rPr>
        <w:footnoteReference w:id="1"/>
      </w:r>
    </w:p>
    <w:p w14:paraId="6EE8D7E9" w14:textId="77777777" w:rsidR="00DC1450" w:rsidRPr="00DC1450" w:rsidRDefault="00DC1450" w:rsidP="00DC14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hAnsi="Times New Roman" w:cs="Times New Roman"/>
        </w:rPr>
      </w:pPr>
      <w:r w:rsidRPr="00DC1450">
        <w:rPr>
          <w:rFonts w:ascii="Times New Roman" w:hAnsi="Times New Roman" w:cs="Times New Roman"/>
        </w:rPr>
        <w:tab/>
        <w:t xml:space="preserve">We should, however, beware of overgeneralizing from a single case.  For, at the other end of the spectrum, we find the ICJ, whose members have for over half a century engaged in the practice of issuing frequent, lengthy and signed dissents and concurring opinions.  We find this </w:t>
      </w:r>
      <w:r w:rsidRPr="00DC1450">
        <w:rPr>
          <w:rFonts w:ascii="Times New Roman" w:hAnsi="Times New Roman" w:cs="Times New Roman"/>
        </w:rPr>
        <w:lastRenderedPageBreak/>
        <w:t>practice widely defended on principled grounds, moreover, by UN member governments, by legal commentators, and by the judges themselves, who often argue that dissenting and concurring opinions can serve to limit nationally biased behavior on the part of judges (who must provide public reasoning for their dissenting votes), to improve the quality of majority decisions (which are forced to engage publicly with the reasoning of dissenters), and to make the law and legal questions more intelligible to present and future analysts of the Court.</w:t>
      </w:r>
      <w:r w:rsidRPr="00DC1450">
        <w:rPr>
          <w:rStyle w:val="FootnoteReference"/>
          <w:rFonts w:ascii="Times New Roman" w:hAnsi="Times New Roman" w:cs="Times New Roman"/>
        </w:rPr>
        <w:footnoteReference w:id="2"/>
      </w:r>
      <w:r w:rsidRPr="00DC1450">
        <w:rPr>
          <w:rFonts w:ascii="Times New Roman" w:hAnsi="Times New Roman" w:cs="Times New Roman"/>
        </w:rPr>
        <w:t xml:space="preserve"> </w:t>
      </w:r>
    </w:p>
    <w:p w14:paraId="75AFEF5E" w14:textId="1AFDEA1E" w:rsidR="00DC1450" w:rsidRPr="00DC1450" w:rsidRDefault="00DC1450" w:rsidP="00DC14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hAnsi="Times New Roman" w:cs="Times New Roman"/>
        </w:rPr>
      </w:pPr>
      <w:r w:rsidRPr="00DC1450">
        <w:rPr>
          <w:rFonts w:ascii="Times New Roman" w:hAnsi="Times New Roman" w:cs="Times New Roman"/>
        </w:rPr>
        <w:tab/>
        <w:t xml:space="preserve">The case for dissents is further strengthened by the practice of another European court, the ECtHR, whose </w:t>
      </w:r>
      <w:r w:rsidR="008D2993">
        <w:rPr>
          <w:rFonts w:ascii="Times New Roman" w:hAnsi="Times New Roman" w:cs="Times New Roman"/>
        </w:rPr>
        <w:t>extensive</w:t>
      </w:r>
      <w:r w:rsidR="008D2993" w:rsidRPr="00DC1450">
        <w:rPr>
          <w:rFonts w:ascii="Times New Roman" w:hAnsi="Times New Roman" w:cs="Times New Roman"/>
        </w:rPr>
        <w:t xml:space="preserve"> </w:t>
      </w:r>
      <w:r w:rsidRPr="00DC1450">
        <w:rPr>
          <w:rFonts w:ascii="Times New Roman" w:hAnsi="Times New Roman" w:cs="Times New Roman"/>
        </w:rPr>
        <w:t>use of concurring and dissenting opinions is widely seen as consistent with both judicial independence and a high level of legitimacy – although here it is striking that the member</w:t>
      </w:r>
      <w:r w:rsidR="0040681B">
        <w:rPr>
          <w:rFonts w:ascii="Times New Roman" w:hAnsi="Times New Roman" w:cs="Times New Roman"/>
        </w:rPr>
        <w:t xml:space="preserve"> states</w:t>
      </w:r>
      <w:r w:rsidR="001A07F5">
        <w:rPr>
          <w:rFonts w:ascii="Times New Roman" w:hAnsi="Times New Roman" w:cs="Times New Roman"/>
        </w:rPr>
        <w:t xml:space="preserve"> of the ECtHR</w:t>
      </w:r>
      <w:r w:rsidRPr="00DC1450">
        <w:rPr>
          <w:rFonts w:ascii="Times New Roman" w:hAnsi="Times New Roman" w:cs="Times New Roman"/>
        </w:rPr>
        <w:t xml:space="preserve"> reformed the court </w:t>
      </w:r>
      <w:r w:rsidR="001A07F5">
        <w:rPr>
          <w:rFonts w:ascii="Times New Roman" w:hAnsi="Times New Roman" w:cs="Times New Roman"/>
        </w:rPr>
        <w:t xml:space="preserve">in 2004 </w:t>
      </w:r>
      <w:r w:rsidRPr="00DC1450">
        <w:rPr>
          <w:rFonts w:ascii="Times New Roman" w:hAnsi="Times New Roman" w:cs="Times New Roman"/>
        </w:rPr>
        <w:t>to provide for a nine-year, non-renewable terms of office for ECtHR judges, who had previously served renewable six-year terms like their ECJ counterparts.</w:t>
      </w:r>
      <w:r w:rsidRPr="00DC1450">
        <w:rPr>
          <w:rStyle w:val="FootnoteReference"/>
          <w:rFonts w:ascii="Times New Roman" w:hAnsi="Times New Roman" w:cs="Times New Roman"/>
        </w:rPr>
        <w:footnoteReference w:id="3"/>
      </w:r>
      <w:r w:rsidRPr="00DC1450">
        <w:rPr>
          <w:rFonts w:ascii="Times New Roman" w:hAnsi="Times New Roman" w:cs="Times New Roman"/>
        </w:rPr>
        <w:t xml:space="preserve">  </w:t>
      </w:r>
    </w:p>
    <w:p w14:paraId="11DDA718" w14:textId="278A9DE0" w:rsidR="00DC1450" w:rsidRPr="00DC1450" w:rsidRDefault="00DC1450" w:rsidP="00DC14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hAnsi="Times New Roman" w:cs="Times New Roman"/>
        </w:rPr>
      </w:pPr>
      <w:r w:rsidRPr="00DC1450">
        <w:rPr>
          <w:rFonts w:ascii="Times New Roman" w:hAnsi="Times New Roman" w:cs="Times New Roman"/>
        </w:rPr>
        <w:tab/>
        <w:t>An intermediate case is the WTO, where the Dispute Settlement Understanding neither expressly prohibits nor authorizes dissents, but where both panelists and Appellate Body (AB) judges have in almost all cases resisted issuing dissenting or concurring opinions, which are also discouraged under the AB’s rules of procedure.  Available evidence suggests that WTO jurists have been guided by a logic similar to ECJ judges, believing that consensus decision-making increases both the independence of judges and the legitimacy of the fledgling AB.</w:t>
      </w:r>
      <w:r w:rsidRPr="00DC1450">
        <w:rPr>
          <w:rStyle w:val="FootnoteReference"/>
          <w:rFonts w:ascii="Times New Roman" w:hAnsi="Times New Roman" w:cs="Times New Roman"/>
        </w:rPr>
        <w:footnoteReference w:id="4"/>
      </w:r>
      <w:r w:rsidRPr="00DC1450">
        <w:rPr>
          <w:rFonts w:ascii="Times New Roman" w:hAnsi="Times New Roman" w:cs="Times New Roman"/>
        </w:rPr>
        <w:t xml:space="preserve"> This view is increasingly contested, however, by scholars who claim that increased use of dissenting views would improve WTO jurisprudence without compromising judicial independence.</w:t>
      </w:r>
      <w:r w:rsidRPr="00DC1450">
        <w:rPr>
          <w:rStyle w:val="FootnoteReference"/>
          <w:rFonts w:ascii="Times New Roman" w:hAnsi="Times New Roman" w:cs="Times New Roman"/>
        </w:rPr>
        <w:footnoteReference w:id="5"/>
      </w:r>
    </w:p>
    <w:p w14:paraId="49B994C2" w14:textId="0F1BD57D" w:rsidR="00AC7F41" w:rsidRPr="00AC7F41" w:rsidRDefault="00DC1450" w:rsidP="00DC1450">
      <w:pPr>
        <w:spacing w:after="0" w:line="360" w:lineRule="auto"/>
        <w:ind w:firstLine="720"/>
        <w:jc w:val="both"/>
        <w:outlineLvl w:val="0"/>
        <w:rPr>
          <w:rFonts w:ascii="Times New Roman" w:hAnsi="Times New Roman" w:cs="Times New Roman"/>
          <w:bCs/>
        </w:rPr>
      </w:pPr>
      <w:r w:rsidRPr="00DC1450">
        <w:rPr>
          <w:rFonts w:ascii="Times New Roman" w:hAnsi="Times New Roman" w:cs="Times New Roman"/>
          <w:bCs/>
        </w:rPr>
        <w:t>Our central point here should be clear:  The question of judicial dissent is an unavoidable</w:t>
      </w:r>
      <w:r>
        <w:rPr>
          <w:rFonts w:ascii="Times New Roman" w:hAnsi="Times New Roman" w:cs="Times New Roman"/>
          <w:bCs/>
        </w:rPr>
        <w:t xml:space="preserve"> one that has arisen with respect to these four, and indeed</w:t>
      </w:r>
      <w:r w:rsidR="008D2993">
        <w:rPr>
          <w:rFonts w:ascii="Times New Roman" w:hAnsi="Times New Roman" w:cs="Times New Roman"/>
          <w:bCs/>
        </w:rPr>
        <w:t xml:space="preserve"> all</w:t>
      </w:r>
      <w:r>
        <w:rPr>
          <w:rFonts w:ascii="Times New Roman" w:hAnsi="Times New Roman" w:cs="Times New Roman"/>
          <w:bCs/>
        </w:rPr>
        <w:t>, international court</w:t>
      </w:r>
      <w:r w:rsidR="008D2993">
        <w:rPr>
          <w:rFonts w:ascii="Times New Roman" w:hAnsi="Times New Roman" w:cs="Times New Roman"/>
          <w:bCs/>
        </w:rPr>
        <w:t>s</w:t>
      </w:r>
      <w:r>
        <w:rPr>
          <w:rFonts w:ascii="Times New Roman" w:hAnsi="Times New Roman" w:cs="Times New Roman"/>
          <w:bCs/>
        </w:rPr>
        <w:t xml:space="preserve">, and yet, </w:t>
      </w:r>
      <w:r w:rsidRPr="00AC7F41">
        <w:rPr>
          <w:rFonts w:ascii="Times New Roman" w:hAnsi="Times New Roman" w:cs="Times New Roman"/>
          <w:bCs/>
        </w:rPr>
        <w:t xml:space="preserve">because of the lack of comparative analysis, we have at best a partial understanding of why some </w:t>
      </w:r>
      <w:r w:rsidRPr="00AC7F41">
        <w:rPr>
          <w:rFonts w:ascii="Times New Roman" w:hAnsi="Times New Roman" w:cs="Times New Roman"/>
          <w:bCs/>
        </w:rPr>
        <w:lastRenderedPageBreak/>
        <w:t>courts engage in vigorous and regular dissent, while in other cases the jurists themselves choose to refrain from dissent.</w:t>
      </w:r>
      <w:r w:rsidRPr="00AC7F41">
        <w:rPr>
          <w:rFonts w:ascii="Times New Roman" w:hAnsi="Times New Roman" w:cs="Times New Roman"/>
          <w:bCs/>
          <w:vertAlign w:val="superscript"/>
        </w:rPr>
        <w:footnoteReference w:id="6"/>
      </w:r>
      <w:r w:rsidRPr="00AC7F41">
        <w:rPr>
          <w:rFonts w:ascii="Times New Roman" w:hAnsi="Times New Roman" w:cs="Times New Roman"/>
          <w:bCs/>
        </w:rPr>
        <w:t xml:space="preserve">  </w:t>
      </w:r>
      <w:r w:rsidR="000B3EDB">
        <w:rPr>
          <w:rFonts w:ascii="Times New Roman" w:hAnsi="Times New Roman" w:cs="Times New Roman"/>
          <w:bCs/>
        </w:rPr>
        <w:t>More precisely, w</w:t>
      </w:r>
      <w:r>
        <w:rPr>
          <w:rFonts w:ascii="Times New Roman" w:hAnsi="Times New Roman" w:cs="Times New Roman"/>
          <w:bCs/>
        </w:rPr>
        <w:t>hen and why have states, in creating international courts, established rules governing the use</w:t>
      </w:r>
      <w:r w:rsidR="008D2993">
        <w:rPr>
          <w:rFonts w:ascii="Times New Roman" w:hAnsi="Times New Roman" w:cs="Times New Roman"/>
          <w:bCs/>
        </w:rPr>
        <w:t>,</w:t>
      </w:r>
      <w:r>
        <w:rPr>
          <w:rFonts w:ascii="Times New Roman" w:hAnsi="Times New Roman" w:cs="Times New Roman"/>
          <w:bCs/>
        </w:rPr>
        <w:t xml:space="preserve"> or prohibition</w:t>
      </w:r>
      <w:r w:rsidR="008D2993">
        <w:rPr>
          <w:rFonts w:ascii="Times New Roman" w:hAnsi="Times New Roman" w:cs="Times New Roman"/>
          <w:bCs/>
        </w:rPr>
        <w:t>,</w:t>
      </w:r>
      <w:r>
        <w:rPr>
          <w:rFonts w:ascii="Times New Roman" w:hAnsi="Times New Roman" w:cs="Times New Roman"/>
          <w:bCs/>
        </w:rPr>
        <w:t xml:space="preserve"> of judicial dissent as a design choice?  Why</w:t>
      </w:r>
      <w:r w:rsidRPr="00AC7F41">
        <w:rPr>
          <w:rFonts w:ascii="Times New Roman" w:hAnsi="Times New Roman" w:cs="Times New Roman"/>
          <w:bCs/>
        </w:rPr>
        <w:t xml:space="preserve"> have judges from different courts, </w:t>
      </w:r>
      <w:r>
        <w:rPr>
          <w:rFonts w:ascii="Times New Roman" w:hAnsi="Times New Roman" w:cs="Times New Roman"/>
          <w:bCs/>
        </w:rPr>
        <w:t>all of whom have enjoyed at least some degree of leeway on the question of dissent within the broad confines of their respective statutes</w:t>
      </w:r>
      <w:r w:rsidRPr="00AC7F41">
        <w:rPr>
          <w:rFonts w:ascii="Times New Roman" w:hAnsi="Times New Roman" w:cs="Times New Roman"/>
          <w:bCs/>
        </w:rPr>
        <w:t>, made such different choices and engaged in such different practices?  And what difference has that choice, to dissent o</w:t>
      </w:r>
      <w:r>
        <w:rPr>
          <w:rFonts w:ascii="Times New Roman" w:hAnsi="Times New Roman" w:cs="Times New Roman"/>
          <w:bCs/>
        </w:rPr>
        <w:t>r not to dissent, made to the development of international law and legal doctrine,</w:t>
      </w:r>
      <w:r w:rsidRPr="00AC7F41">
        <w:rPr>
          <w:rFonts w:ascii="Times New Roman" w:hAnsi="Times New Roman" w:cs="Times New Roman"/>
          <w:bCs/>
        </w:rPr>
        <w:t xml:space="preserve"> the independence of individual judges</w:t>
      </w:r>
      <w:r w:rsidR="008D2993">
        <w:rPr>
          <w:rFonts w:ascii="Times New Roman" w:hAnsi="Times New Roman" w:cs="Times New Roman"/>
          <w:bCs/>
        </w:rPr>
        <w:t>,</w:t>
      </w:r>
      <w:r w:rsidRPr="00AC7F41">
        <w:rPr>
          <w:rFonts w:ascii="Times New Roman" w:hAnsi="Times New Roman" w:cs="Times New Roman"/>
          <w:bCs/>
        </w:rPr>
        <w:t xml:space="preserve"> or the </w:t>
      </w:r>
      <w:r>
        <w:rPr>
          <w:rFonts w:ascii="Times New Roman" w:hAnsi="Times New Roman" w:cs="Times New Roman"/>
          <w:bCs/>
        </w:rPr>
        <w:t xml:space="preserve">collegiality, </w:t>
      </w:r>
      <w:r w:rsidRPr="00AC7F41">
        <w:rPr>
          <w:rFonts w:ascii="Times New Roman" w:hAnsi="Times New Roman" w:cs="Times New Roman"/>
          <w:bCs/>
        </w:rPr>
        <w:t xml:space="preserve">effectiveness and legitimacy of international courts and tribunals?  </w:t>
      </w:r>
    </w:p>
    <w:p w14:paraId="69C805AA" w14:textId="75567A22" w:rsidR="00D86118" w:rsidRDefault="00AA5A44" w:rsidP="00E528D8">
      <w:pPr>
        <w:spacing w:after="0" w:line="360" w:lineRule="auto"/>
        <w:ind w:firstLine="720"/>
        <w:jc w:val="both"/>
        <w:outlineLvl w:val="0"/>
        <w:rPr>
          <w:rFonts w:ascii="Times New Roman" w:hAnsi="Times New Roman" w:cs="Times New Roman"/>
        </w:rPr>
      </w:pPr>
      <w:r w:rsidRPr="00AC7F41">
        <w:rPr>
          <w:rFonts w:ascii="Times New Roman" w:hAnsi="Times New Roman" w:cs="Times New Roman"/>
        </w:rPr>
        <w:t>T</w:t>
      </w:r>
      <w:r>
        <w:rPr>
          <w:rFonts w:ascii="Times New Roman" w:hAnsi="Times New Roman" w:cs="Times New Roman"/>
        </w:rPr>
        <w:t xml:space="preserve">o date, </w:t>
      </w:r>
      <w:r w:rsidR="001D45CF">
        <w:rPr>
          <w:rFonts w:ascii="Times New Roman" w:hAnsi="Times New Roman" w:cs="Times New Roman"/>
        </w:rPr>
        <w:t>the academy has contributed little to o</w:t>
      </w:r>
      <w:r w:rsidR="000B3EDB">
        <w:rPr>
          <w:rFonts w:ascii="Times New Roman" w:hAnsi="Times New Roman" w:cs="Times New Roman"/>
        </w:rPr>
        <w:t>ur understanding of these questions</w:t>
      </w:r>
      <w:r w:rsidR="001D45CF">
        <w:rPr>
          <w:rFonts w:ascii="Times New Roman" w:hAnsi="Times New Roman" w:cs="Times New Roman"/>
        </w:rPr>
        <w:t xml:space="preserve">.  </w:t>
      </w:r>
      <w:r w:rsidR="00D86118">
        <w:rPr>
          <w:rFonts w:ascii="Times New Roman" w:hAnsi="Times New Roman" w:cs="Times New Roman"/>
        </w:rPr>
        <w:t>International law</w:t>
      </w:r>
      <w:r w:rsidRPr="00AC7F41">
        <w:rPr>
          <w:rFonts w:ascii="Times New Roman" w:hAnsi="Times New Roman" w:cs="Times New Roman"/>
        </w:rPr>
        <w:t xml:space="preserve"> </w:t>
      </w:r>
      <w:r w:rsidR="00D86118">
        <w:rPr>
          <w:rFonts w:ascii="Times New Roman" w:hAnsi="Times New Roman" w:cs="Times New Roman"/>
        </w:rPr>
        <w:t xml:space="preserve">(IL) </w:t>
      </w:r>
      <w:r w:rsidRPr="00AC7F41">
        <w:rPr>
          <w:rFonts w:ascii="Times New Roman" w:hAnsi="Times New Roman" w:cs="Times New Roman"/>
        </w:rPr>
        <w:t xml:space="preserve">scholars </w:t>
      </w:r>
      <w:r>
        <w:rPr>
          <w:rFonts w:ascii="Times New Roman" w:hAnsi="Times New Roman" w:cs="Times New Roman"/>
        </w:rPr>
        <w:t xml:space="preserve">interested in dissent </w:t>
      </w:r>
      <w:r w:rsidRPr="00AC7F41">
        <w:rPr>
          <w:rFonts w:ascii="Times New Roman" w:hAnsi="Times New Roman" w:cs="Times New Roman"/>
        </w:rPr>
        <w:t xml:space="preserve">have pursued primarily normative analyses of individual </w:t>
      </w:r>
      <w:r w:rsidR="00DC1450">
        <w:rPr>
          <w:rFonts w:ascii="Times New Roman" w:hAnsi="Times New Roman" w:cs="Times New Roman"/>
        </w:rPr>
        <w:t xml:space="preserve">international </w:t>
      </w:r>
      <w:r w:rsidRPr="00AC7F41">
        <w:rPr>
          <w:rFonts w:ascii="Times New Roman" w:hAnsi="Times New Roman" w:cs="Times New Roman"/>
        </w:rPr>
        <w:t>courts and tribunals</w:t>
      </w:r>
      <w:r w:rsidR="005B11A0">
        <w:rPr>
          <w:rFonts w:ascii="Times New Roman" w:hAnsi="Times New Roman" w:cs="Times New Roman"/>
        </w:rPr>
        <w:t xml:space="preserve"> or particular doctrinal areas</w:t>
      </w:r>
      <w:r w:rsidR="00DC1450">
        <w:rPr>
          <w:rFonts w:ascii="Times New Roman" w:hAnsi="Times New Roman" w:cs="Times New Roman"/>
        </w:rPr>
        <w:t xml:space="preserve">, but have not sought to explain the puzzling pattern of use and non-use of dissent across </w:t>
      </w:r>
      <w:r w:rsidR="005B11A0">
        <w:rPr>
          <w:rFonts w:ascii="Times New Roman" w:hAnsi="Times New Roman" w:cs="Times New Roman"/>
        </w:rPr>
        <w:t>tribunals</w:t>
      </w:r>
      <w:r w:rsidRPr="00AC7F41">
        <w:rPr>
          <w:rFonts w:ascii="Times New Roman" w:hAnsi="Times New Roman" w:cs="Times New Roman"/>
        </w:rPr>
        <w:t>.</w:t>
      </w:r>
      <w:r>
        <w:rPr>
          <w:rFonts w:ascii="Times New Roman" w:hAnsi="Times New Roman" w:cs="Times New Roman"/>
        </w:rPr>
        <w:t xml:space="preserve">  </w:t>
      </w:r>
      <w:r w:rsidR="00DC1450">
        <w:rPr>
          <w:rFonts w:ascii="Times New Roman" w:hAnsi="Times New Roman" w:cs="Times New Roman"/>
        </w:rPr>
        <w:t xml:space="preserve">Among political scientists, international relations </w:t>
      </w:r>
      <w:r w:rsidR="00D86118">
        <w:rPr>
          <w:rFonts w:ascii="Times New Roman" w:hAnsi="Times New Roman" w:cs="Times New Roman"/>
        </w:rPr>
        <w:t xml:space="preserve">(IR) </w:t>
      </w:r>
      <w:r w:rsidR="00DC1450">
        <w:rPr>
          <w:rFonts w:ascii="Times New Roman" w:hAnsi="Times New Roman" w:cs="Times New Roman"/>
        </w:rPr>
        <w:t xml:space="preserve">scholars have increasingly turned their attention to the design and behavior of international courts, but </w:t>
      </w:r>
      <w:r w:rsidR="002828D5">
        <w:rPr>
          <w:rFonts w:ascii="Times New Roman" w:hAnsi="Times New Roman" w:cs="Times New Roman"/>
        </w:rPr>
        <w:t>none h</w:t>
      </w:r>
      <w:r w:rsidR="00CD62D4">
        <w:rPr>
          <w:rFonts w:ascii="Times New Roman" w:hAnsi="Times New Roman" w:cs="Times New Roman"/>
        </w:rPr>
        <w:t>as sought systematically to address</w:t>
      </w:r>
      <w:r w:rsidR="002828D5">
        <w:rPr>
          <w:rFonts w:ascii="Times New Roman" w:hAnsi="Times New Roman" w:cs="Times New Roman"/>
        </w:rPr>
        <w:t xml:space="preserve"> the </w:t>
      </w:r>
      <w:r w:rsidR="00D86118">
        <w:rPr>
          <w:rFonts w:ascii="Times New Roman" w:hAnsi="Times New Roman" w:cs="Times New Roman"/>
        </w:rPr>
        <w:t xml:space="preserve">specific </w:t>
      </w:r>
      <w:r w:rsidR="002828D5">
        <w:rPr>
          <w:rFonts w:ascii="Times New Roman" w:hAnsi="Times New Roman" w:cs="Times New Roman"/>
        </w:rPr>
        <w:t>question of international judicial dissent</w:t>
      </w:r>
      <w:r w:rsidR="00CD62D4">
        <w:rPr>
          <w:rFonts w:ascii="Times New Roman" w:hAnsi="Times New Roman" w:cs="Times New Roman"/>
        </w:rPr>
        <w:t xml:space="preserve"> and its use and non-use across international courts</w:t>
      </w:r>
      <w:r w:rsidR="002828D5">
        <w:rPr>
          <w:rFonts w:ascii="Times New Roman" w:hAnsi="Times New Roman" w:cs="Times New Roman"/>
        </w:rPr>
        <w:t xml:space="preserve">.  </w:t>
      </w:r>
    </w:p>
    <w:p w14:paraId="7A63EE55" w14:textId="348FD2B2" w:rsidR="000845F4" w:rsidRDefault="00AA5A44" w:rsidP="00E528D8">
      <w:pPr>
        <w:spacing w:after="0" w:line="360" w:lineRule="auto"/>
        <w:ind w:firstLine="720"/>
        <w:jc w:val="both"/>
        <w:outlineLvl w:val="0"/>
        <w:rPr>
          <w:rFonts w:ascii="Times New Roman" w:hAnsi="Times New Roman" w:cs="Times New Roman"/>
        </w:rPr>
      </w:pPr>
      <w:r>
        <w:rPr>
          <w:rFonts w:ascii="Times New Roman" w:hAnsi="Times New Roman" w:cs="Times New Roman"/>
        </w:rPr>
        <w:t>This paper seeks to</w:t>
      </w:r>
      <w:r w:rsidR="00F7425D">
        <w:rPr>
          <w:rFonts w:ascii="Times New Roman" w:hAnsi="Times New Roman" w:cs="Times New Roman"/>
        </w:rPr>
        <w:t xml:space="preserve"> fill this gap in the literature </w:t>
      </w:r>
      <w:r>
        <w:rPr>
          <w:rFonts w:ascii="Times New Roman" w:hAnsi="Times New Roman" w:cs="Times New Roman"/>
        </w:rPr>
        <w:t xml:space="preserve">by offering </w:t>
      </w:r>
      <w:r w:rsidR="000845F4" w:rsidRPr="000845F4">
        <w:rPr>
          <w:rFonts w:ascii="Times New Roman" w:hAnsi="Times New Roman" w:cs="Times New Roman"/>
        </w:rPr>
        <w:t xml:space="preserve">a framework for </w:t>
      </w:r>
      <w:r w:rsidR="005B11A0">
        <w:rPr>
          <w:rFonts w:ascii="Times New Roman" w:hAnsi="Times New Roman" w:cs="Times New Roman"/>
        </w:rPr>
        <w:t xml:space="preserve">a more robust, theoretically informed empirical research program into </w:t>
      </w:r>
      <w:r w:rsidR="000845F4" w:rsidRPr="000845F4">
        <w:rPr>
          <w:rFonts w:ascii="Times New Roman" w:hAnsi="Times New Roman" w:cs="Times New Roman"/>
        </w:rPr>
        <w:t>the causes and consequences of international judicial dissent</w:t>
      </w:r>
      <w:r w:rsidR="00F7425D">
        <w:rPr>
          <w:rFonts w:ascii="Times New Roman" w:hAnsi="Times New Roman" w:cs="Times New Roman"/>
        </w:rPr>
        <w:t xml:space="preserve">.  To do so, </w:t>
      </w:r>
      <w:r w:rsidR="005B11A0">
        <w:rPr>
          <w:rFonts w:ascii="Times New Roman" w:hAnsi="Times New Roman" w:cs="Times New Roman"/>
        </w:rPr>
        <w:t>th</w:t>
      </w:r>
      <w:r w:rsidR="000F0E11">
        <w:rPr>
          <w:rFonts w:ascii="Times New Roman" w:hAnsi="Times New Roman" w:cs="Times New Roman"/>
        </w:rPr>
        <w:t>e</w:t>
      </w:r>
      <w:r w:rsidR="005B11A0">
        <w:rPr>
          <w:rFonts w:ascii="Times New Roman" w:hAnsi="Times New Roman" w:cs="Times New Roman"/>
        </w:rPr>
        <w:t xml:space="preserve"> paper</w:t>
      </w:r>
      <w:r w:rsidR="00F7425D">
        <w:rPr>
          <w:rFonts w:ascii="Times New Roman" w:hAnsi="Times New Roman" w:cs="Times New Roman"/>
        </w:rPr>
        <w:t xml:space="preserve"> proceeds</w:t>
      </w:r>
      <w:r w:rsidR="000845F4" w:rsidRPr="000845F4">
        <w:rPr>
          <w:rFonts w:ascii="Times New Roman" w:hAnsi="Times New Roman" w:cs="Times New Roman"/>
        </w:rPr>
        <w:t xml:space="preserve"> in three parts.  First, we </w:t>
      </w:r>
      <w:r w:rsidR="002828D5">
        <w:rPr>
          <w:rFonts w:ascii="Times New Roman" w:hAnsi="Times New Roman" w:cs="Times New Roman"/>
        </w:rPr>
        <w:t xml:space="preserve">argue that, in the absence of clear </w:t>
      </w:r>
      <w:r w:rsidR="00D86118">
        <w:rPr>
          <w:rFonts w:ascii="Times New Roman" w:hAnsi="Times New Roman" w:cs="Times New Roman"/>
        </w:rPr>
        <w:t>IL and IR</w:t>
      </w:r>
      <w:r w:rsidR="002828D5">
        <w:rPr>
          <w:rFonts w:ascii="Times New Roman" w:hAnsi="Times New Roman" w:cs="Times New Roman"/>
        </w:rPr>
        <w:t xml:space="preserve"> scholarship</w:t>
      </w:r>
      <w:r w:rsidR="005B11A0">
        <w:rPr>
          <w:rFonts w:ascii="Times New Roman" w:hAnsi="Times New Roman" w:cs="Times New Roman"/>
        </w:rPr>
        <w:t xml:space="preserve"> on this topic</w:t>
      </w:r>
      <w:r w:rsidR="002828D5">
        <w:rPr>
          <w:rFonts w:ascii="Times New Roman" w:hAnsi="Times New Roman" w:cs="Times New Roman"/>
        </w:rPr>
        <w:t xml:space="preserve">, the most promising starting point for our analysis is the sizable and increasingly sophisticated literature </w:t>
      </w:r>
      <w:r w:rsidR="000845F4" w:rsidRPr="000845F4">
        <w:rPr>
          <w:rFonts w:ascii="Times New Roman" w:hAnsi="Times New Roman" w:cs="Times New Roman"/>
        </w:rPr>
        <w:t xml:space="preserve">on dissent in American </w:t>
      </w:r>
      <w:r w:rsidR="002828D5">
        <w:rPr>
          <w:rFonts w:ascii="Times New Roman" w:hAnsi="Times New Roman" w:cs="Times New Roman"/>
        </w:rPr>
        <w:t xml:space="preserve">and other domestic </w:t>
      </w:r>
      <w:r w:rsidR="000845F4" w:rsidRPr="000845F4">
        <w:rPr>
          <w:rFonts w:ascii="Times New Roman" w:hAnsi="Times New Roman" w:cs="Times New Roman"/>
        </w:rPr>
        <w:t>courts</w:t>
      </w:r>
      <w:r w:rsidR="005B11A0">
        <w:rPr>
          <w:rFonts w:ascii="Times New Roman" w:hAnsi="Times New Roman" w:cs="Times New Roman"/>
        </w:rPr>
        <w:t>.</w:t>
      </w:r>
      <w:r w:rsidR="00CD62D4">
        <w:rPr>
          <w:rStyle w:val="FootnoteReference"/>
          <w:rFonts w:ascii="Times New Roman" w:hAnsi="Times New Roman" w:cs="Times New Roman"/>
        </w:rPr>
        <w:footnoteReference w:id="7"/>
      </w:r>
      <w:r w:rsidR="002828D5">
        <w:rPr>
          <w:rFonts w:ascii="Times New Roman" w:hAnsi="Times New Roman" w:cs="Times New Roman"/>
        </w:rPr>
        <w:t xml:space="preserve"> </w:t>
      </w:r>
      <w:r w:rsidR="005B11A0">
        <w:rPr>
          <w:rFonts w:ascii="Times New Roman" w:hAnsi="Times New Roman" w:cs="Times New Roman"/>
        </w:rPr>
        <w:t>W</w:t>
      </w:r>
      <w:r w:rsidR="002828D5">
        <w:rPr>
          <w:rFonts w:ascii="Times New Roman" w:hAnsi="Times New Roman" w:cs="Times New Roman"/>
        </w:rPr>
        <w:t xml:space="preserve">e review this literature for the insights and hypotheses it generates, while </w:t>
      </w:r>
      <w:r w:rsidR="002828D5">
        <w:rPr>
          <w:rFonts w:ascii="Times New Roman" w:hAnsi="Times New Roman" w:cs="Times New Roman"/>
        </w:rPr>
        <w:lastRenderedPageBreak/>
        <w:t>also</w:t>
      </w:r>
      <w:r w:rsidR="000845F4" w:rsidRPr="000845F4">
        <w:rPr>
          <w:rFonts w:ascii="Times New Roman" w:hAnsi="Times New Roman" w:cs="Times New Roman"/>
        </w:rPr>
        <w:t xml:space="preserve"> noting the limitations of </w:t>
      </w:r>
      <w:r w:rsidR="002828D5">
        <w:rPr>
          <w:rFonts w:ascii="Times New Roman" w:hAnsi="Times New Roman" w:cs="Times New Roman"/>
        </w:rPr>
        <w:t xml:space="preserve">the domestic </w:t>
      </w:r>
      <w:r w:rsidR="00CD62D4">
        <w:rPr>
          <w:rFonts w:ascii="Times New Roman" w:hAnsi="Times New Roman" w:cs="Times New Roman"/>
        </w:rPr>
        <w:t>analogy</w:t>
      </w:r>
      <w:r w:rsidR="002828D5">
        <w:rPr>
          <w:rFonts w:ascii="Times New Roman" w:hAnsi="Times New Roman" w:cs="Times New Roman"/>
        </w:rPr>
        <w:t xml:space="preserve"> and the need to </w:t>
      </w:r>
      <w:proofErr w:type="gramStart"/>
      <w:r w:rsidR="002828D5">
        <w:rPr>
          <w:rFonts w:ascii="Times New Roman" w:hAnsi="Times New Roman" w:cs="Times New Roman"/>
        </w:rPr>
        <w:t>adapt</w:t>
      </w:r>
      <w:proofErr w:type="gramEnd"/>
      <w:r w:rsidR="002828D5">
        <w:rPr>
          <w:rFonts w:ascii="Times New Roman" w:hAnsi="Times New Roman" w:cs="Times New Roman"/>
        </w:rPr>
        <w:t xml:space="preserve"> its insights to the specific features of </w:t>
      </w:r>
      <w:r w:rsidR="00D86118">
        <w:rPr>
          <w:rFonts w:ascii="Times New Roman" w:hAnsi="Times New Roman" w:cs="Times New Roman"/>
        </w:rPr>
        <w:t xml:space="preserve">the </w:t>
      </w:r>
      <w:r w:rsidR="002828D5">
        <w:rPr>
          <w:rFonts w:ascii="Times New Roman" w:hAnsi="Times New Roman" w:cs="Times New Roman"/>
        </w:rPr>
        <w:t xml:space="preserve">international </w:t>
      </w:r>
      <w:r w:rsidR="00D86118">
        <w:rPr>
          <w:rFonts w:ascii="Times New Roman" w:hAnsi="Times New Roman" w:cs="Times New Roman"/>
        </w:rPr>
        <w:t>arena</w:t>
      </w:r>
      <w:r w:rsidR="000845F4" w:rsidRPr="000845F4">
        <w:rPr>
          <w:rFonts w:ascii="Times New Roman" w:hAnsi="Times New Roman" w:cs="Times New Roman"/>
        </w:rPr>
        <w:t xml:space="preserve">.  Second, </w:t>
      </w:r>
      <w:r w:rsidR="00D86118">
        <w:rPr>
          <w:rFonts w:ascii="Times New Roman" w:hAnsi="Times New Roman" w:cs="Times New Roman"/>
        </w:rPr>
        <w:t>we offer a</w:t>
      </w:r>
      <w:r w:rsidR="002828D5">
        <w:rPr>
          <w:rFonts w:ascii="Times New Roman" w:hAnsi="Times New Roman" w:cs="Times New Roman"/>
        </w:rPr>
        <w:t xml:space="preserve"> tentative </w:t>
      </w:r>
      <w:r w:rsidR="000845F4" w:rsidRPr="000845F4">
        <w:rPr>
          <w:rFonts w:ascii="Times New Roman" w:hAnsi="Times New Roman" w:cs="Times New Roman"/>
        </w:rPr>
        <w:t xml:space="preserve">theoretical framework for understanding </w:t>
      </w:r>
      <w:r w:rsidR="002828D5">
        <w:rPr>
          <w:rFonts w:ascii="Times New Roman" w:hAnsi="Times New Roman" w:cs="Times New Roman"/>
        </w:rPr>
        <w:t xml:space="preserve">both </w:t>
      </w:r>
      <w:r w:rsidR="000845F4" w:rsidRPr="000845F4">
        <w:rPr>
          <w:rFonts w:ascii="Times New Roman" w:hAnsi="Times New Roman" w:cs="Times New Roman"/>
        </w:rPr>
        <w:t xml:space="preserve">the </w:t>
      </w:r>
      <w:r w:rsidR="000845F4" w:rsidRPr="000845F4">
        <w:rPr>
          <w:rFonts w:ascii="Times New Roman" w:hAnsi="Times New Roman" w:cs="Times New Roman"/>
          <w:i/>
        </w:rPr>
        <w:t>causes</w:t>
      </w:r>
      <w:r w:rsidR="000845F4" w:rsidRPr="000845F4">
        <w:rPr>
          <w:rFonts w:ascii="Times New Roman" w:hAnsi="Times New Roman" w:cs="Times New Roman"/>
        </w:rPr>
        <w:t xml:space="preserve"> of international judicial dissent – why member states </w:t>
      </w:r>
      <w:r w:rsidR="005B11A0">
        <w:rPr>
          <w:rFonts w:ascii="Times New Roman" w:hAnsi="Times New Roman" w:cs="Times New Roman"/>
        </w:rPr>
        <w:t>when establishing</w:t>
      </w:r>
      <w:r w:rsidR="000845F4" w:rsidRPr="000845F4">
        <w:rPr>
          <w:rFonts w:ascii="Times New Roman" w:hAnsi="Times New Roman" w:cs="Times New Roman"/>
        </w:rPr>
        <w:t xml:space="preserve"> a court, or the judges they appoint, might opt either to </w:t>
      </w:r>
      <w:r w:rsidR="00CD62D4">
        <w:rPr>
          <w:rFonts w:ascii="Times New Roman" w:hAnsi="Times New Roman" w:cs="Times New Roman"/>
        </w:rPr>
        <w:t>promote</w:t>
      </w:r>
      <w:r w:rsidR="000B3EDB">
        <w:rPr>
          <w:rFonts w:ascii="Times New Roman" w:hAnsi="Times New Roman" w:cs="Times New Roman"/>
        </w:rPr>
        <w:t xml:space="preserve"> or suppress </w:t>
      </w:r>
      <w:r w:rsidR="000845F4" w:rsidRPr="000845F4">
        <w:rPr>
          <w:rFonts w:ascii="Times New Roman" w:hAnsi="Times New Roman" w:cs="Times New Roman"/>
        </w:rPr>
        <w:t>dissent</w:t>
      </w:r>
      <w:r w:rsidR="00AC7F41">
        <w:rPr>
          <w:rFonts w:ascii="Times New Roman" w:hAnsi="Times New Roman" w:cs="Times New Roman"/>
        </w:rPr>
        <w:t xml:space="preserve"> – and the </w:t>
      </w:r>
      <w:r w:rsidR="00AC7F41" w:rsidRPr="000173AB">
        <w:rPr>
          <w:rFonts w:ascii="Times New Roman" w:hAnsi="Times New Roman" w:cs="Times New Roman"/>
          <w:i/>
        </w:rPr>
        <w:t>consequences</w:t>
      </w:r>
      <w:r w:rsidR="00AC7F41">
        <w:rPr>
          <w:rFonts w:ascii="Times New Roman" w:hAnsi="Times New Roman" w:cs="Times New Roman"/>
        </w:rPr>
        <w:t xml:space="preserve"> of such dissent for the development of law, the independence of judges, and the collegiality, effectiveness and sociological legitimacy of international courts</w:t>
      </w:r>
      <w:r w:rsidR="000845F4" w:rsidRPr="000845F4">
        <w:rPr>
          <w:rFonts w:ascii="Times New Roman" w:hAnsi="Times New Roman" w:cs="Times New Roman"/>
        </w:rPr>
        <w:t xml:space="preserve">. </w:t>
      </w:r>
      <w:r w:rsidR="00AC7F41">
        <w:rPr>
          <w:rFonts w:ascii="Times New Roman" w:hAnsi="Times New Roman" w:cs="Times New Roman"/>
        </w:rPr>
        <w:t xml:space="preserve"> In the third section, we </w:t>
      </w:r>
      <w:r w:rsidR="002828D5">
        <w:rPr>
          <w:rFonts w:ascii="Times New Roman" w:hAnsi="Times New Roman" w:cs="Times New Roman"/>
        </w:rPr>
        <w:t xml:space="preserve">offer a brief overview of the phenomenon of judicial dissent across a </w:t>
      </w:r>
      <w:r w:rsidR="000F0E11">
        <w:rPr>
          <w:rFonts w:ascii="Times New Roman" w:hAnsi="Times New Roman" w:cs="Times New Roman"/>
        </w:rPr>
        <w:t xml:space="preserve">preliminary </w:t>
      </w:r>
      <w:r w:rsidR="002828D5">
        <w:rPr>
          <w:rFonts w:ascii="Times New Roman" w:hAnsi="Times New Roman" w:cs="Times New Roman"/>
        </w:rPr>
        <w:t xml:space="preserve">sample of </w:t>
      </w:r>
      <w:r w:rsidR="008E55BA">
        <w:rPr>
          <w:rFonts w:ascii="Times New Roman" w:hAnsi="Times New Roman" w:cs="Times New Roman"/>
        </w:rPr>
        <w:t>six</w:t>
      </w:r>
      <w:r w:rsidR="002828D5">
        <w:rPr>
          <w:rFonts w:ascii="Times New Roman" w:hAnsi="Times New Roman" w:cs="Times New Roman"/>
        </w:rPr>
        <w:t xml:space="preserve"> international courts and tribunals, </w:t>
      </w:r>
      <w:r w:rsidR="00442EA2">
        <w:rPr>
          <w:rFonts w:ascii="Times New Roman" w:hAnsi="Times New Roman" w:cs="Times New Roman"/>
        </w:rPr>
        <w:t xml:space="preserve">as a prelude to a planned, in-depth comparative study of dissent in four international tribunals (in progress). </w:t>
      </w:r>
    </w:p>
    <w:p w14:paraId="7765BEDE" w14:textId="4C51893E" w:rsidR="002828D5" w:rsidRDefault="002828D5" w:rsidP="00E528D8">
      <w:pPr>
        <w:spacing w:after="0" w:line="360" w:lineRule="auto"/>
        <w:ind w:firstLine="720"/>
        <w:jc w:val="both"/>
        <w:outlineLvl w:val="0"/>
        <w:rPr>
          <w:rFonts w:ascii="Times New Roman" w:hAnsi="Times New Roman" w:cs="Times New Roman"/>
        </w:rPr>
      </w:pPr>
      <w:r>
        <w:rPr>
          <w:rFonts w:ascii="Times New Roman" w:hAnsi="Times New Roman" w:cs="Times New Roman"/>
        </w:rPr>
        <w:t>As will become clear, our efforts at this stage are tentative at best, and we cannot and do not claim to conduct any systematic test of the hypotheses we put forward here.  Instead, this paper should be understood as a first step into largely uncharted waters</w:t>
      </w:r>
      <w:r w:rsidR="00CD62D4">
        <w:rPr>
          <w:rFonts w:ascii="Times New Roman" w:hAnsi="Times New Roman" w:cs="Times New Roman"/>
        </w:rPr>
        <w:t>, featuring some extremely preliminary ideas about how best to navigate their currents.  Criticisms of these preliminary ideas, and further (and better) ideas</w:t>
      </w:r>
      <w:r w:rsidR="00D86118">
        <w:rPr>
          <w:rFonts w:ascii="Times New Roman" w:hAnsi="Times New Roman" w:cs="Times New Roman"/>
        </w:rPr>
        <w:t>,</w:t>
      </w:r>
      <w:r w:rsidR="00CD62D4">
        <w:rPr>
          <w:rFonts w:ascii="Times New Roman" w:hAnsi="Times New Roman" w:cs="Times New Roman"/>
        </w:rPr>
        <w:t xml:space="preserve"> are most welcome.</w:t>
      </w:r>
    </w:p>
    <w:p w14:paraId="66BB24FE" w14:textId="77777777" w:rsidR="000845F4" w:rsidRPr="000845F4" w:rsidRDefault="000845F4" w:rsidP="00E52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bCs/>
        </w:rPr>
      </w:pPr>
    </w:p>
    <w:p w14:paraId="13E6A02A" w14:textId="28CCFF2B" w:rsidR="00CC1C9A" w:rsidRPr="00137CC0" w:rsidRDefault="000845F4" w:rsidP="00E528D8">
      <w:pPr>
        <w:spacing w:after="0" w:line="360" w:lineRule="auto"/>
        <w:jc w:val="both"/>
        <w:rPr>
          <w:rFonts w:ascii="Times New Roman" w:hAnsi="Times New Roman" w:cs="Times New Roman"/>
          <w:b/>
        </w:rPr>
      </w:pPr>
      <w:r>
        <w:rPr>
          <w:rFonts w:ascii="Times New Roman" w:hAnsi="Times New Roman" w:cs="Times New Roman"/>
          <w:b/>
        </w:rPr>
        <w:t>I.  Dissent in Domestic Courts</w:t>
      </w:r>
      <w:r w:rsidR="00442EA2">
        <w:rPr>
          <w:rFonts w:ascii="Times New Roman" w:hAnsi="Times New Roman" w:cs="Times New Roman"/>
          <w:b/>
        </w:rPr>
        <w:t>:  Lessons and Limits of the Domestic Literature</w:t>
      </w:r>
    </w:p>
    <w:p w14:paraId="6491647D" w14:textId="4B7E48AD" w:rsidR="000845F4" w:rsidRDefault="00EF689D" w:rsidP="00E528D8">
      <w:pPr>
        <w:spacing w:after="0" w:line="360" w:lineRule="auto"/>
        <w:jc w:val="both"/>
        <w:rPr>
          <w:rFonts w:ascii="Times New Roman" w:hAnsi="Times New Roman" w:cs="Times New Roman"/>
        </w:rPr>
      </w:pPr>
      <w:r>
        <w:rPr>
          <w:rFonts w:ascii="Times New Roman" w:hAnsi="Times New Roman" w:cs="Times New Roman"/>
        </w:rPr>
        <w:tab/>
        <w:t xml:space="preserve">If international law </w:t>
      </w:r>
      <w:r w:rsidR="006B0432">
        <w:rPr>
          <w:rFonts w:ascii="Times New Roman" w:hAnsi="Times New Roman" w:cs="Times New Roman"/>
        </w:rPr>
        <w:t xml:space="preserve">and IR </w:t>
      </w:r>
      <w:r>
        <w:rPr>
          <w:rFonts w:ascii="Times New Roman" w:hAnsi="Times New Roman" w:cs="Times New Roman"/>
        </w:rPr>
        <w:t>scholarship has been largely silent on the question of dissent</w:t>
      </w:r>
      <w:r w:rsidR="006B0432">
        <w:rPr>
          <w:rFonts w:ascii="Times New Roman" w:hAnsi="Times New Roman" w:cs="Times New Roman"/>
        </w:rPr>
        <w:t xml:space="preserve"> at international tribunals</w:t>
      </w:r>
      <w:r>
        <w:rPr>
          <w:rFonts w:ascii="Times New Roman" w:hAnsi="Times New Roman" w:cs="Times New Roman"/>
        </w:rPr>
        <w:t xml:space="preserve">, the opposite is true of scholarship on American law and courts, which has witnessed a centuries-long debate on the pros and cons of judicial dissent and </w:t>
      </w:r>
      <w:r w:rsidR="005B11A0">
        <w:rPr>
          <w:rFonts w:ascii="Times New Roman" w:hAnsi="Times New Roman" w:cs="Times New Roman"/>
        </w:rPr>
        <w:t xml:space="preserve">competing analyses of </w:t>
      </w:r>
      <w:r>
        <w:rPr>
          <w:rFonts w:ascii="Times New Roman" w:hAnsi="Times New Roman" w:cs="Times New Roman"/>
        </w:rPr>
        <w:t xml:space="preserve">the crooked trajectory of </w:t>
      </w:r>
      <w:r w:rsidR="005B11A0">
        <w:rPr>
          <w:rFonts w:ascii="Times New Roman" w:hAnsi="Times New Roman" w:cs="Times New Roman"/>
        </w:rPr>
        <w:t xml:space="preserve">dissent practices </w:t>
      </w:r>
      <w:r>
        <w:rPr>
          <w:rFonts w:ascii="Times New Roman" w:hAnsi="Times New Roman" w:cs="Times New Roman"/>
        </w:rPr>
        <w:t xml:space="preserve">in federal courts since the beginning of the Republic.  Although this legal literature typically does not specify dependent and independent variables or attempt to offer a causal explanation of the origins or the consequences of dissent, it does offer </w:t>
      </w:r>
      <w:r w:rsidR="007B5B9B">
        <w:rPr>
          <w:rFonts w:ascii="Times New Roman" w:hAnsi="Times New Roman" w:cs="Times New Roman"/>
        </w:rPr>
        <w:t>some fundamental insights and arguments that will inform our study of international judicial dissent.</w:t>
      </w:r>
    </w:p>
    <w:p w14:paraId="00017738" w14:textId="4233CB62" w:rsidR="007B5B9B" w:rsidRDefault="007B5B9B" w:rsidP="00E528D8">
      <w:pPr>
        <w:spacing w:after="0" w:line="360" w:lineRule="auto"/>
        <w:jc w:val="both"/>
        <w:rPr>
          <w:rFonts w:ascii="Times New Roman" w:hAnsi="Times New Roman" w:cs="Times New Roman"/>
        </w:rPr>
      </w:pPr>
      <w:r>
        <w:rPr>
          <w:rFonts w:ascii="Times New Roman" w:hAnsi="Times New Roman" w:cs="Times New Roman"/>
        </w:rPr>
        <w:tab/>
        <w:t>In terms of the specification of our dependent variable, for example, Kevin Stack</w:t>
      </w:r>
      <w:r w:rsidR="003B1E00">
        <w:rPr>
          <w:rFonts w:ascii="Times New Roman" w:hAnsi="Times New Roman" w:cs="Times New Roman"/>
        </w:rPr>
        <w:t xml:space="preserve"> </w:t>
      </w:r>
      <w:r>
        <w:rPr>
          <w:rFonts w:ascii="Times New Roman" w:hAnsi="Times New Roman" w:cs="Times New Roman"/>
        </w:rPr>
        <w:t xml:space="preserve">makes an important distinction between what </w:t>
      </w:r>
      <w:r w:rsidR="006B0432">
        <w:rPr>
          <w:rFonts w:ascii="Times New Roman" w:hAnsi="Times New Roman" w:cs="Times New Roman"/>
        </w:rPr>
        <w:t>he</w:t>
      </w:r>
      <w:r>
        <w:rPr>
          <w:rFonts w:ascii="Times New Roman" w:hAnsi="Times New Roman" w:cs="Times New Roman"/>
        </w:rPr>
        <w:t xml:space="preserve"> calls “second-order” and “first-order” decisions about dissent.</w:t>
      </w:r>
      <w:r w:rsidR="00D35263">
        <w:rPr>
          <w:rStyle w:val="FootnoteReference"/>
          <w:rFonts w:ascii="Times New Roman" w:hAnsi="Times New Roman" w:cs="Times New Roman"/>
        </w:rPr>
        <w:footnoteReference w:id="8"/>
      </w:r>
      <w:r>
        <w:rPr>
          <w:rFonts w:ascii="Times New Roman" w:hAnsi="Times New Roman" w:cs="Times New Roman"/>
        </w:rPr>
        <w:t xml:space="preserve">  </w:t>
      </w:r>
      <w:r w:rsidR="008E53F4">
        <w:rPr>
          <w:rFonts w:ascii="Times New Roman" w:hAnsi="Times New Roman" w:cs="Times New Roman"/>
        </w:rPr>
        <w:t xml:space="preserve">In this view, a second-order decision refers to the arguments for and against the practice of dissent as a whole, and the decision to prohibit, allow, or encourage dissent.  </w:t>
      </w:r>
      <w:proofErr w:type="gramStart"/>
      <w:r w:rsidR="008E53F4">
        <w:rPr>
          <w:rFonts w:ascii="Times New Roman" w:hAnsi="Times New Roman" w:cs="Times New Roman"/>
        </w:rPr>
        <w:t xml:space="preserve">This </w:t>
      </w:r>
      <w:r w:rsidR="0050232A">
        <w:rPr>
          <w:rFonts w:ascii="Times New Roman" w:hAnsi="Times New Roman" w:cs="Times New Roman"/>
        </w:rPr>
        <w:t xml:space="preserve">second-order </w:t>
      </w:r>
      <w:r w:rsidR="008E53F4">
        <w:rPr>
          <w:rFonts w:ascii="Times New Roman" w:hAnsi="Times New Roman" w:cs="Times New Roman"/>
        </w:rPr>
        <w:t>decision</w:t>
      </w:r>
      <w:r w:rsidR="0050232A">
        <w:rPr>
          <w:rFonts w:ascii="Times New Roman" w:hAnsi="Times New Roman" w:cs="Times New Roman"/>
        </w:rPr>
        <w:t xml:space="preserve"> </w:t>
      </w:r>
      <w:r w:rsidR="008E53F4">
        <w:rPr>
          <w:rFonts w:ascii="Times New Roman" w:hAnsi="Times New Roman" w:cs="Times New Roman"/>
        </w:rPr>
        <w:t xml:space="preserve">may be taken by the political actors who draw up the </w:t>
      </w:r>
      <w:r w:rsidR="0050232A">
        <w:rPr>
          <w:rFonts w:ascii="Times New Roman" w:hAnsi="Times New Roman" w:cs="Times New Roman"/>
        </w:rPr>
        <w:t xml:space="preserve">court’s </w:t>
      </w:r>
      <w:r w:rsidR="008E53F4">
        <w:rPr>
          <w:rFonts w:ascii="Times New Roman" w:hAnsi="Times New Roman" w:cs="Times New Roman"/>
        </w:rPr>
        <w:t>statute</w:t>
      </w:r>
      <w:proofErr w:type="gramEnd"/>
      <w:r w:rsidR="008E53F4">
        <w:rPr>
          <w:rFonts w:ascii="Times New Roman" w:hAnsi="Times New Roman" w:cs="Times New Roman"/>
        </w:rPr>
        <w:t xml:space="preserve">, or </w:t>
      </w:r>
      <w:r w:rsidR="0050232A">
        <w:rPr>
          <w:rFonts w:ascii="Times New Roman" w:hAnsi="Times New Roman" w:cs="Times New Roman"/>
        </w:rPr>
        <w:t>it</w:t>
      </w:r>
      <w:r w:rsidR="008E53F4">
        <w:rPr>
          <w:rFonts w:ascii="Times New Roman" w:hAnsi="Times New Roman" w:cs="Times New Roman"/>
        </w:rPr>
        <w:t xml:space="preserve"> may, as in the US federal system, be left to the judges themselves, who may draw up formal </w:t>
      </w:r>
      <w:r w:rsidR="008E53F4">
        <w:rPr>
          <w:rFonts w:ascii="Times New Roman" w:hAnsi="Times New Roman" w:cs="Times New Roman"/>
        </w:rPr>
        <w:lastRenderedPageBreak/>
        <w:t xml:space="preserve">rules on dissent or alternatively adopt more or less stable informal norms to govern the practice.  By contrast, Stack uses the term “first-order” to refer to the reasons that inform an individual judge’s decision to dissent or not to dissent in a given case, presumably within the constraints of the formal or informal second-order rules governing the conduct of the court as a whole.  </w:t>
      </w:r>
    </w:p>
    <w:p w14:paraId="7EF03093" w14:textId="4329C98C" w:rsidR="008E53F4" w:rsidRDefault="008E53F4" w:rsidP="00E528D8">
      <w:pPr>
        <w:spacing w:after="0" w:line="360" w:lineRule="auto"/>
        <w:jc w:val="both"/>
        <w:rPr>
          <w:rFonts w:ascii="Times New Roman" w:hAnsi="Times New Roman" w:cs="Times New Roman"/>
        </w:rPr>
      </w:pPr>
      <w:r>
        <w:rPr>
          <w:rFonts w:ascii="Times New Roman" w:hAnsi="Times New Roman" w:cs="Times New Roman"/>
        </w:rPr>
        <w:tab/>
        <w:t>In practice, the American legal literature is concerned with both</w:t>
      </w:r>
      <w:r w:rsidR="00137CC0">
        <w:rPr>
          <w:rFonts w:ascii="Times New Roman" w:hAnsi="Times New Roman" w:cs="Times New Roman"/>
        </w:rPr>
        <w:t xml:space="preserve"> types of</w:t>
      </w:r>
      <w:r>
        <w:rPr>
          <w:rFonts w:ascii="Times New Roman" w:hAnsi="Times New Roman" w:cs="Times New Roman"/>
        </w:rPr>
        <w:t xml:space="preserve"> decisions.  In terms of second-order decisions, much of the literature is given over to debates over the advantages and disadvantages of dissent as a general practice, and much historical analysis has focused on the rise and fall of various norms of dissent within the Supreme Court over time.  </w:t>
      </w:r>
      <w:r w:rsidR="009817A7">
        <w:rPr>
          <w:rFonts w:ascii="Times New Roman" w:hAnsi="Times New Roman" w:cs="Times New Roman"/>
        </w:rPr>
        <w:t>In the US system, however, such second-order questions cannot be completely divorced from the first-order questions facing individual judges, whose actions can serve to buttress or undermine what are, in the federal court system, only informal norms on dissent</w:t>
      </w:r>
      <w:r w:rsidR="0050232A">
        <w:rPr>
          <w:rFonts w:ascii="Times New Roman" w:hAnsi="Times New Roman" w:cs="Times New Roman"/>
        </w:rPr>
        <w:t>.  I</w:t>
      </w:r>
      <w:r w:rsidR="009817A7">
        <w:rPr>
          <w:rFonts w:ascii="Times New Roman" w:hAnsi="Times New Roman" w:cs="Times New Roman"/>
        </w:rPr>
        <w:t>ndeed</w:t>
      </w:r>
      <w:r w:rsidR="0050232A">
        <w:rPr>
          <w:rFonts w:ascii="Times New Roman" w:hAnsi="Times New Roman" w:cs="Times New Roman"/>
        </w:rPr>
        <w:t>,</w:t>
      </w:r>
      <w:r w:rsidR="009817A7">
        <w:rPr>
          <w:rFonts w:ascii="Times New Roman" w:hAnsi="Times New Roman" w:cs="Times New Roman"/>
        </w:rPr>
        <w:t xml:space="preserve"> the most detailed social-scientific study of dissent in federal courts identifies as its dependent variable the first-order decisions by </w:t>
      </w:r>
      <w:r w:rsidR="0050232A">
        <w:rPr>
          <w:rFonts w:ascii="Times New Roman" w:hAnsi="Times New Roman" w:cs="Times New Roman"/>
        </w:rPr>
        <w:t xml:space="preserve">individual </w:t>
      </w:r>
      <w:r w:rsidR="009817A7">
        <w:rPr>
          <w:rFonts w:ascii="Times New Roman" w:hAnsi="Times New Roman" w:cs="Times New Roman"/>
        </w:rPr>
        <w:t xml:space="preserve">judges to dissent </w:t>
      </w:r>
      <w:proofErr w:type="gramStart"/>
      <w:r w:rsidR="009817A7">
        <w:rPr>
          <w:rFonts w:ascii="Times New Roman" w:hAnsi="Times New Roman" w:cs="Times New Roman"/>
        </w:rPr>
        <w:t>within a more or less stable set of late 20</w:t>
      </w:r>
      <w:r w:rsidR="009817A7" w:rsidRPr="009817A7">
        <w:rPr>
          <w:rFonts w:ascii="Times New Roman" w:hAnsi="Times New Roman" w:cs="Times New Roman"/>
          <w:vertAlign w:val="superscript"/>
        </w:rPr>
        <w:t>th</w:t>
      </w:r>
      <w:r w:rsidR="009817A7">
        <w:rPr>
          <w:rFonts w:ascii="Times New Roman" w:hAnsi="Times New Roman" w:cs="Times New Roman"/>
        </w:rPr>
        <w:t>-century norms</w:t>
      </w:r>
      <w:proofErr w:type="gramEnd"/>
      <w:r w:rsidR="009817A7">
        <w:rPr>
          <w:rFonts w:ascii="Times New Roman" w:hAnsi="Times New Roman" w:cs="Times New Roman"/>
        </w:rPr>
        <w:t>.</w:t>
      </w:r>
      <w:r w:rsidR="001D45CF">
        <w:rPr>
          <w:rStyle w:val="FootnoteReference"/>
          <w:rFonts w:ascii="Times New Roman" w:hAnsi="Times New Roman" w:cs="Times New Roman"/>
        </w:rPr>
        <w:footnoteReference w:id="9"/>
      </w:r>
      <w:r w:rsidR="009817A7">
        <w:rPr>
          <w:rFonts w:ascii="Times New Roman" w:hAnsi="Times New Roman" w:cs="Times New Roman"/>
        </w:rPr>
        <w:t xml:space="preserve">  For the purposes of exposition, we will focus here first on the second-order questions of the advantages of disadvantages of dissent as a practice, then on the changing second-order norms that have governed the behavior of the Supreme Court over two centuries, before finally coming back to the first-order question of how individual judges decide whether to dissent or join the majority in a given judicial decision.  </w:t>
      </w:r>
    </w:p>
    <w:p w14:paraId="425C5294" w14:textId="77777777" w:rsidR="009817A7" w:rsidRDefault="009817A7" w:rsidP="00E528D8">
      <w:pPr>
        <w:spacing w:after="0" w:line="360" w:lineRule="auto"/>
        <w:jc w:val="both"/>
        <w:rPr>
          <w:rFonts w:ascii="Times New Roman" w:hAnsi="Times New Roman" w:cs="Times New Roman"/>
        </w:rPr>
      </w:pPr>
    </w:p>
    <w:p w14:paraId="1CAE64CF" w14:textId="3525DC2C" w:rsidR="009817A7" w:rsidRPr="009817A7" w:rsidRDefault="008173F3" w:rsidP="00E528D8">
      <w:pPr>
        <w:spacing w:after="0" w:line="360" w:lineRule="auto"/>
        <w:jc w:val="both"/>
        <w:rPr>
          <w:rFonts w:ascii="Times New Roman" w:hAnsi="Times New Roman" w:cs="Times New Roman"/>
          <w:b/>
        </w:rPr>
      </w:pPr>
      <w:r>
        <w:rPr>
          <w:rFonts w:ascii="Times New Roman" w:hAnsi="Times New Roman" w:cs="Times New Roman"/>
          <w:b/>
        </w:rPr>
        <w:t xml:space="preserve">A.  </w:t>
      </w:r>
      <w:r w:rsidR="009817A7">
        <w:rPr>
          <w:rFonts w:ascii="Times New Roman" w:hAnsi="Times New Roman" w:cs="Times New Roman"/>
          <w:b/>
        </w:rPr>
        <w:t>The Advantages and Disadvantages of Dissent</w:t>
      </w:r>
      <w:r w:rsidR="00425102">
        <w:rPr>
          <w:rFonts w:ascii="Times New Roman" w:hAnsi="Times New Roman" w:cs="Times New Roman"/>
          <w:b/>
        </w:rPr>
        <w:t xml:space="preserve"> [To be completed]</w:t>
      </w:r>
    </w:p>
    <w:p w14:paraId="38C8F371" w14:textId="315DAACA" w:rsidR="000845F4" w:rsidRDefault="00630309" w:rsidP="00E528D8">
      <w:pPr>
        <w:spacing w:after="0" w:line="360" w:lineRule="auto"/>
        <w:jc w:val="both"/>
        <w:rPr>
          <w:rFonts w:ascii="Times New Roman" w:hAnsi="Times New Roman" w:cs="Times New Roman"/>
        </w:rPr>
      </w:pPr>
      <w:r>
        <w:rPr>
          <w:rFonts w:ascii="Times New Roman" w:hAnsi="Times New Roman" w:cs="Times New Roman"/>
        </w:rPr>
        <w:tab/>
      </w:r>
      <w:r w:rsidR="00A461E7">
        <w:rPr>
          <w:rFonts w:ascii="Times New Roman" w:hAnsi="Times New Roman" w:cs="Times New Roman"/>
        </w:rPr>
        <w:t>For over two centuries, participants in and observers of</w:t>
      </w:r>
      <w:r>
        <w:rPr>
          <w:rFonts w:ascii="Times New Roman" w:hAnsi="Times New Roman" w:cs="Times New Roman"/>
        </w:rPr>
        <w:t xml:space="preserve"> American federal court</w:t>
      </w:r>
      <w:r w:rsidR="0050232A">
        <w:rPr>
          <w:rFonts w:ascii="Times New Roman" w:hAnsi="Times New Roman" w:cs="Times New Roman"/>
        </w:rPr>
        <w:t>s</w:t>
      </w:r>
      <w:r>
        <w:rPr>
          <w:rFonts w:ascii="Times New Roman" w:hAnsi="Times New Roman" w:cs="Times New Roman"/>
        </w:rPr>
        <w:t xml:space="preserve"> </w:t>
      </w:r>
      <w:r w:rsidR="00A461E7">
        <w:rPr>
          <w:rFonts w:ascii="Times New Roman" w:hAnsi="Times New Roman" w:cs="Times New Roman"/>
        </w:rPr>
        <w:t xml:space="preserve">have engaged in an ongoing </w:t>
      </w:r>
      <w:r>
        <w:rPr>
          <w:rFonts w:ascii="Times New Roman" w:hAnsi="Times New Roman" w:cs="Times New Roman"/>
        </w:rPr>
        <w:t xml:space="preserve">and as-yet unresolved debate about the advantages and disadvantages of judicial dissent.  Champions of </w:t>
      </w:r>
      <w:r w:rsidR="0050232A">
        <w:rPr>
          <w:rFonts w:ascii="Times New Roman" w:hAnsi="Times New Roman" w:cs="Times New Roman"/>
        </w:rPr>
        <w:t>dissent</w:t>
      </w:r>
      <w:r>
        <w:rPr>
          <w:rFonts w:ascii="Times New Roman" w:hAnsi="Times New Roman" w:cs="Times New Roman"/>
        </w:rPr>
        <w:t xml:space="preserve">, </w:t>
      </w:r>
      <w:r w:rsidR="00D86118">
        <w:rPr>
          <w:rFonts w:ascii="Times New Roman" w:hAnsi="Times New Roman" w:cs="Times New Roman"/>
        </w:rPr>
        <w:t>such</w:t>
      </w:r>
      <w:r>
        <w:rPr>
          <w:rFonts w:ascii="Times New Roman" w:hAnsi="Times New Roman" w:cs="Times New Roman"/>
        </w:rPr>
        <w:t xml:space="preserve"> as Justice William Brennan, have identified a number of distinct advantages that allegedly arise from the practice</w:t>
      </w:r>
      <w:r w:rsidR="00D7679E">
        <w:rPr>
          <w:rFonts w:ascii="Times New Roman" w:hAnsi="Times New Roman" w:cs="Times New Roman"/>
        </w:rPr>
        <w:t>, and drawing from Brennan and other scholars we can catalogue at least a few of these</w:t>
      </w:r>
      <w:r>
        <w:rPr>
          <w:rFonts w:ascii="Times New Roman" w:hAnsi="Times New Roman" w:cs="Times New Roman"/>
        </w:rPr>
        <w:t>:</w:t>
      </w:r>
    </w:p>
    <w:p w14:paraId="64C9AD5F" w14:textId="77777777" w:rsidR="00630309" w:rsidRDefault="00630309" w:rsidP="00E528D8">
      <w:pPr>
        <w:spacing w:after="0" w:line="360" w:lineRule="auto"/>
        <w:jc w:val="both"/>
        <w:rPr>
          <w:rFonts w:ascii="Times New Roman" w:hAnsi="Times New Roman" w:cs="Times New Roman"/>
        </w:rPr>
      </w:pPr>
    </w:p>
    <w:p w14:paraId="46411FD5" w14:textId="396E968F" w:rsidR="00D7679E" w:rsidRDefault="00D7679E" w:rsidP="00637E05">
      <w:pPr>
        <w:numPr>
          <w:ilvl w:val="0"/>
          <w:numId w:val="1"/>
        </w:numPr>
        <w:spacing w:after="0" w:line="360" w:lineRule="auto"/>
        <w:jc w:val="both"/>
        <w:rPr>
          <w:rFonts w:ascii="Times New Roman" w:hAnsi="Times New Roman" w:cs="Times New Roman"/>
        </w:rPr>
      </w:pPr>
      <w:r>
        <w:rPr>
          <w:rFonts w:ascii="Times New Roman" w:hAnsi="Times New Roman" w:cs="Times New Roman"/>
          <w:b/>
        </w:rPr>
        <w:t>Correcting a perceived e</w:t>
      </w:r>
      <w:r w:rsidRPr="00D7679E">
        <w:rPr>
          <w:rFonts w:ascii="Times New Roman" w:hAnsi="Times New Roman" w:cs="Times New Roman"/>
          <w:b/>
        </w:rPr>
        <w:t>rror</w:t>
      </w:r>
      <w:r>
        <w:rPr>
          <w:rFonts w:ascii="Times New Roman" w:hAnsi="Times New Roman" w:cs="Times New Roman"/>
          <w:b/>
        </w:rPr>
        <w:t xml:space="preserve"> in the majority decision</w:t>
      </w:r>
      <w:r w:rsidRPr="00D7679E">
        <w:rPr>
          <w:rFonts w:ascii="Times New Roman" w:hAnsi="Times New Roman" w:cs="Times New Roman"/>
        </w:rPr>
        <w:t xml:space="preserve">:  “In its most straightforward incarnation, the dissent demonstrates flaws the author perceives in the majority’s legal </w:t>
      </w:r>
      <w:r w:rsidRPr="00D7679E">
        <w:rPr>
          <w:rFonts w:ascii="Times New Roman" w:hAnsi="Times New Roman" w:cs="Times New Roman"/>
        </w:rPr>
        <w:lastRenderedPageBreak/>
        <w:t>analysis.  It is offered as a corrective – in the hope that the Court will mend the error of its ways in a later case….”</w:t>
      </w:r>
      <w:r>
        <w:rPr>
          <w:rFonts w:ascii="Times New Roman" w:hAnsi="Times New Roman" w:cs="Times New Roman"/>
        </w:rPr>
        <w:t>.</w:t>
      </w:r>
      <w:r w:rsidR="00D86118">
        <w:rPr>
          <w:rStyle w:val="FootnoteReference"/>
          <w:rFonts w:ascii="Times New Roman" w:hAnsi="Times New Roman" w:cs="Times New Roman"/>
        </w:rPr>
        <w:footnoteReference w:id="10"/>
      </w:r>
      <w:r>
        <w:rPr>
          <w:rFonts w:ascii="Times New Roman" w:hAnsi="Times New Roman" w:cs="Times New Roman"/>
        </w:rPr>
        <w:t xml:space="preserve">  </w:t>
      </w:r>
    </w:p>
    <w:p w14:paraId="003E248E" w14:textId="77777777" w:rsidR="00D7679E" w:rsidRPr="00D7679E" w:rsidRDefault="00D7679E" w:rsidP="00E528D8">
      <w:pPr>
        <w:spacing w:after="0" w:line="360" w:lineRule="auto"/>
        <w:ind w:left="720"/>
        <w:jc w:val="both"/>
        <w:rPr>
          <w:rFonts w:ascii="Times New Roman" w:hAnsi="Times New Roman" w:cs="Times New Roman"/>
        </w:rPr>
      </w:pPr>
    </w:p>
    <w:p w14:paraId="4B6F0AEA" w14:textId="135A2F91" w:rsidR="00D7679E" w:rsidRDefault="00D7679E" w:rsidP="00637E05">
      <w:pPr>
        <w:numPr>
          <w:ilvl w:val="0"/>
          <w:numId w:val="1"/>
        </w:numPr>
        <w:spacing w:after="0" w:line="360" w:lineRule="auto"/>
        <w:jc w:val="both"/>
        <w:rPr>
          <w:rFonts w:ascii="Times New Roman" w:hAnsi="Times New Roman" w:cs="Times New Roman"/>
        </w:rPr>
      </w:pPr>
      <w:r>
        <w:rPr>
          <w:rFonts w:ascii="Times New Roman" w:hAnsi="Times New Roman" w:cs="Times New Roman"/>
          <w:b/>
        </w:rPr>
        <w:t>“Riding h</w:t>
      </w:r>
      <w:r w:rsidRPr="00D7679E">
        <w:rPr>
          <w:rFonts w:ascii="Times New Roman" w:hAnsi="Times New Roman" w:cs="Times New Roman"/>
          <w:b/>
        </w:rPr>
        <w:t>erd</w:t>
      </w:r>
      <w:r>
        <w:rPr>
          <w:rFonts w:ascii="Times New Roman" w:hAnsi="Times New Roman" w:cs="Times New Roman"/>
          <w:b/>
        </w:rPr>
        <w:t>”</w:t>
      </w:r>
      <w:r w:rsidRPr="00D7679E">
        <w:rPr>
          <w:rFonts w:ascii="Times New Roman" w:hAnsi="Times New Roman" w:cs="Times New Roman"/>
          <w:b/>
        </w:rPr>
        <w:t xml:space="preserve"> on the majority</w:t>
      </w:r>
      <w:r w:rsidR="0018517F">
        <w:rPr>
          <w:rFonts w:ascii="Times New Roman" w:hAnsi="Times New Roman" w:cs="Times New Roman"/>
          <w:b/>
        </w:rPr>
        <w:t>, and improving the quality of the court’s jurisprudence</w:t>
      </w:r>
      <w:r w:rsidRPr="00D7679E">
        <w:rPr>
          <w:rFonts w:ascii="Times New Roman" w:hAnsi="Times New Roman" w:cs="Times New Roman"/>
        </w:rPr>
        <w:t>: “But the dissent is more than just a plea; it safeguards the integrity of the judicial decision-making process by keeping the majority accountable for the rationale and consequences of its decision.  Karl</w:t>
      </w:r>
      <w:r>
        <w:rPr>
          <w:rFonts w:ascii="Times New Roman" w:hAnsi="Times New Roman" w:cs="Times New Roman"/>
        </w:rPr>
        <w:t xml:space="preserve"> Llewellyn [referred to it as] ‘rid[</w:t>
      </w:r>
      <w:proofErr w:type="spellStart"/>
      <w:r>
        <w:rPr>
          <w:rFonts w:ascii="Times New Roman" w:hAnsi="Times New Roman" w:cs="Times New Roman"/>
        </w:rPr>
        <w:t>ing</w:t>
      </w:r>
      <w:proofErr w:type="spellEnd"/>
      <w:r>
        <w:rPr>
          <w:rFonts w:ascii="Times New Roman" w:hAnsi="Times New Roman" w:cs="Times New Roman"/>
        </w:rPr>
        <w:t>] herd on the majority.’</w:t>
      </w:r>
      <w:r w:rsidRPr="00D7679E">
        <w:rPr>
          <w:rFonts w:ascii="Times New Roman" w:hAnsi="Times New Roman" w:cs="Times New Roman"/>
        </w:rPr>
        <w:t xml:space="preserve">  At the heart of that function is the critical recognition that vigorous debate improves the final product by forcing the prevailing side to deal with the hardest questions urged by the losing side.</w:t>
      </w:r>
      <w:r>
        <w:rPr>
          <w:rFonts w:ascii="Times New Roman" w:hAnsi="Times New Roman" w:cs="Times New Roman"/>
        </w:rPr>
        <w:t>”</w:t>
      </w:r>
      <w:r w:rsidR="006D62D3">
        <w:rPr>
          <w:rStyle w:val="FootnoteReference"/>
          <w:rFonts w:ascii="Times New Roman" w:hAnsi="Times New Roman" w:cs="Times New Roman"/>
        </w:rPr>
        <w:footnoteReference w:id="11"/>
      </w:r>
      <w:r w:rsidRPr="00D7679E">
        <w:rPr>
          <w:rFonts w:ascii="Times New Roman" w:hAnsi="Times New Roman" w:cs="Times New Roman"/>
        </w:rPr>
        <w:t xml:space="preserve">  </w:t>
      </w:r>
    </w:p>
    <w:p w14:paraId="7072B2EF" w14:textId="77777777" w:rsidR="00D7679E" w:rsidRDefault="00D7679E" w:rsidP="00E528D8">
      <w:pPr>
        <w:spacing w:after="0" w:line="360" w:lineRule="auto"/>
        <w:jc w:val="both"/>
        <w:rPr>
          <w:rFonts w:ascii="Times New Roman" w:hAnsi="Times New Roman" w:cs="Times New Roman"/>
        </w:rPr>
      </w:pPr>
    </w:p>
    <w:p w14:paraId="7E02995B" w14:textId="716DD202" w:rsidR="00D7679E" w:rsidRPr="00D7679E" w:rsidRDefault="00D7679E" w:rsidP="00637E05">
      <w:pPr>
        <w:numPr>
          <w:ilvl w:val="0"/>
          <w:numId w:val="1"/>
        </w:numPr>
        <w:spacing w:after="0" w:line="360" w:lineRule="auto"/>
        <w:jc w:val="both"/>
        <w:rPr>
          <w:rFonts w:ascii="Times New Roman" w:hAnsi="Times New Roman" w:cs="Times New Roman"/>
        </w:rPr>
      </w:pPr>
      <w:r w:rsidRPr="00D7679E">
        <w:rPr>
          <w:rFonts w:ascii="Times New Roman" w:hAnsi="Times New Roman" w:cs="Times New Roman"/>
          <w:b/>
        </w:rPr>
        <w:t xml:space="preserve">Limiting </w:t>
      </w:r>
      <w:r w:rsidR="00A461E7">
        <w:rPr>
          <w:rFonts w:ascii="Times New Roman" w:hAnsi="Times New Roman" w:cs="Times New Roman"/>
          <w:b/>
        </w:rPr>
        <w:t xml:space="preserve">the </w:t>
      </w:r>
      <w:r w:rsidRPr="00D7679E">
        <w:rPr>
          <w:rFonts w:ascii="Times New Roman" w:hAnsi="Times New Roman" w:cs="Times New Roman"/>
          <w:b/>
        </w:rPr>
        <w:t xml:space="preserve">scope of </w:t>
      </w:r>
      <w:r w:rsidR="00A461E7">
        <w:rPr>
          <w:rFonts w:ascii="Times New Roman" w:hAnsi="Times New Roman" w:cs="Times New Roman"/>
          <w:b/>
        </w:rPr>
        <w:t>the court’s</w:t>
      </w:r>
      <w:r w:rsidRPr="00D7679E">
        <w:rPr>
          <w:rFonts w:ascii="Times New Roman" w:hAnsi="Times New Roman" w:cs="Times New Roman"/>
          <w:b/>
        </w:rPr>
        <w:t xml:space="preserve"> decision</w:t>
      </w:r>
      <w:r w:rsidRPr="00D7679E">
        <w:rPr>
          <w:rFonts w:ascii="Times New Roman" w:hAnsi="Times New Roman" w:cs="Times New Roman"/>
        </w:rPr>
        <w:t>:  “The dissent is also commonly used to emphasize the limits of a majority decision that sweeps, so far as the dissenters are concerned, unn</w:t>
      </w:r>
      <w:r w:rsidR="0018517F">
        <w:rPr>
          <w:rFonts w:ascii="Times New Roman" w:hAnsi="Times New Roman" w:cs="Times New Roman"/>
        </w:rPr>
        <w:t>ecessarily broadly – a sort of ‘damage control’</w:t>
      </w:r>
      <w:r w:rsidRPr="00D7679E">
        <w:rPr>
          <w:rFonts w:ascii="Times New Roman" w:hAnsi="Times New Roman" w:cs="Times New Roman"/>
        </w:rPr>
        <w:t xml:space="preserve"> mechanism.</w:t>
      </w:r>
      <w:r w:rsidR="0018517F">
        <w:rPr>
          <w:rFonts w:ascii="Times New Roman" w:hAnsi="Times New Roman" w:cs="Times New Roman"/>
        </w:rPr>
        <w:t>”</w:t>
      </w:r>
      <w:r w:rsidR="006D62D3">
        <w:rPr>
          <w:rStyle w:val="FootnoteReference"/>
          <w:rFonts w:ascii="Times New Roman" w:hAnsi="Times New Roman" w:cs="Times New Roman"/>
        </w:rPr>
        <w:footnoteReference w:id="12"/>
      </w:r>
    </w:p>
    <w:p w14:paraId="2AE0D38F" w14:textId="77777777" w:rsidR="00D7679E" w:rsidRPr="00D7679E" w:rsidRDefault="00D7679E" w:rsidP="00E528D8">
      <w:pPr>
        <w:spacing w:after="0" w:line="360" w:lineRule="auto"/>
        <w:ind w:left="720"/>
        <w:jc w:val="both"/>
        <w:rPr>
          <w:rFonts w:ascii="Times New Roman" w:hAnsi="Times New Roman" w:cs="Times New Roman"/>
        </w:rPr>
      </w:pPr>
    </w:p>
    <w:p w14:paraId="00459B51" w14:textId="1D1E93A2" w:rsidR="00D7679E" w:rsidRPr="00D7679E" w:rsidRDefault="00D7679E" w:rsidP="00637E05">
      <w:pPr>
        <w:numPr>
          <w:ilvl w:val="0"/>
          <w:numId w:val="1"/>
        </w:numPr>
        <w:spacing w:after="0" w:line="360" w:lineRule="auto"/>
        <w:jc w:val="both"/>
        <w:rPr>
          <w:rFonts w:ascii="Times New Roman" w:hAnsi="Times New Roman" w:cs="Times New Roman"/>
        </w:rPr>
      </w:pPr>
      <w:r>
        <w:rPr>
          <w:rFonts w:ascii="Times New Roman" w:hAnsi="Times New Roman" w:cs="Times New Roman"/>
          <w:b/>
        </w:rPr>
        <w:t xml:space="preserve">Promoting deliberation:  </w:t>
      </w:r>
      <w:r>
        <w:rPr>
          <w:rFonts w:ascii="Times New Roman" w:hAnsi="Times New Roman" w:cs="Times New Roman"/>
        </w:rPr>
        <w:t>“</w:t>
      </w:r>
      <w:r w:rsidRPr="00D7679E">
        <w:rPr>
          <w:rFonts w:ascii="Times New Roman" w:hAnsi="Times New Roman" w:cs="Times New Roman"/>
        </w:rPr>
        <w:t>In this sense, this function reflects the conviction that the best way to find the truth is to go looking for it in the marketplace of ideas.  It is as if the opinions of the Court – both the majority and dissent – were the product of a judic</w:t>
      </w:r>
      <w:r>
        <w:rPr>
          <w:rFonts w:ascii="Times New Roman" w:hAnsi="Times New Roman" w:cs="Times New Roman"/>
        </w:rPr>
        <w:t>ial town meeting.</w:t>
      </w:r>
      <w:r w:rsidRPr="00D7679E">
        <w:rPr>
          <w:rFonts w:ascii="Times New Roman" w:hAnsi="Times New Roman" w:cs="Times New Roman"/>
        </w:rPr>
        <w:t>”</w:t>
      </w:r>
      <w:r w:rsidR="006D62D3">
        <w:rPr>
          <w:rStyle w:val="FootnoteReference"/>
          <w:rFonts w:ascii="Times New Roman" w:hAnsi="Times New Roman" w:cs="Times New Roman"/>
        </w:rPr>
        <w:footnoteReference w:id="13"/>
      </w:r>
      <w:r w:rsidR="003A30D2">
        <w:rPr>
          <w:rFonts w:ascii="Times New Roman" w:hAnsi="Times New Roman" w:cs="Times New Roman"/>
        </w:rPr>
        <w:t xml:space="preserve">  This argument suggests that one way that collegial courts in democratic societies gain legitimacy is by operating in a way that is consistent with fundamental democratic values.  Published dissents vividly demonstrate that the judges have openly deliberated with each other to reach a considered opinion, and hence enhance a court’s authority.</w:t>
      </w:r>
      <w:r w:rsidR="003A30D2">
        <w:rPr>
          <w:rStyle w:val="FootnoteReference"/>
          <w:rFonts w:ascii="Times New Roman" w:hAnsi="Times New Roman" w:cs="Times New Roman"/>
        </w:rPr>
        <w:footnoteReference w:id="14"/>
      </w:r>
    </w:p>
    <w:p w14:paraId="5F31E191" w14:textId="77777777" w:rsidR="00D7679E" w:rsidRDefault="00D7679E" w:rsidP="00E528D8">
      <w:pPr>
        <w:spacing w:after="0" w:line="360" w:lineRule="auto"/>
        <w:jc w:val="both"/>
        <w:rPr>
          <w:rFonts w:ascii="Times New Roman" w:hAnsi="Times New Roman" w:cs="Times New Roman"/>
          <w:b/>
        </w:rPr>
      </w:pPr>
    </w:p>
    <w:p w14:paraId="44C23CE8" w14:textId="39127FE6" w:rsidR="00D7679E" w:rsidRPr="00D7679E" w:rsidRDefault="00D7679E" w:rsidP="00637E05">
      <w:pPr>
        <w:numPr>
          <w:ilvl w:val="0"/>
          <w:numId w:val="1"/>
        </w:numPr>
        <w:spacing w:after="0" w:line="360" w:lineRule="auto"/>
        <w:jc w:val="both"/>
        <w:rPr>
          <w:rFonts w:ascii="Times New Roman" w:hAnsi="Times New Roman" w:cs="Times New Roman"/>
        </w:rPr>
      </w:pPr>
      <w:r w:rsidRPr="00D7679E">
        <w:rPr>
          <w:rFonts w:ascii="Times New Roman" w:hAnsi="Times New Roman" w:cs="Times New Roman"/>
          <w:b/>
        </w:rPr>
        <w:t>Guidance to lower courts and litigants</w:t>
      </w:r>
      <w:r w:rsidRPr="00D7679E">
        <w:rPr>
          <w:rFonts w:ascii="Times New Roman" w:hAnsi="Times New Roman" w:cs="Times New Roman"/>
        </w:rPr>
        <w:t xml:space="preserve">:  “Along the same lines, a dissent sometimes is designed to furnish litigants and lower courts with practical guidance—such as ways of </w:t>
      </w:r>
      <w:r w:rsidRPr="00D7679E">
        <w:rPr>
          <w:rFonts w:ascii="Times New Roman" w:hAnsi="Times New Roman" w:cs="Times New Roman"/>
        </w:rPr>
        <w:lastRenderedPageBreak/>
        <w:t>distinguishing subsequent cases.  It may also hint that the litigant might more fruitfully seek relief in a different forum – such as the state courts.”</w:t>
      </w:r>
      <w:r w:rsidR="006D62D3">
        <w:rPr>
          <w:rStyle w:val="FootnoteReference"/>
          <w:rFonts w:ascii="Times New Roman" w:hAnsi="Times New Roman" w:cs="Times New Roman"/>
        </w:rPr>
        <w:footnoteReference w:id="15"/>
      </w:r>
    </w:p>
    <w:p w14:paraId="0E20E2F4" w14:textId="77777777" w:rsidR="00D7679E" w:rsidRPr="00D7679E" w:rsidRDefault="00D7679E" w:rsidP="00E528D8">
      <w:pPr>
        <w:spacing w:after="0" w:line="360" w:lineRule="auto"/>
        <w:ind w:left="720"/>
        <w:jc w:val="both"/>
        <w:rPr>
          <w:rFonts w:ascii="Times New Roman" w:hAnsi="Times New Roman" w:cs="Times New Roman"/>
        </w:rPr>
      </w:pPr>
    </w:p>
    <w:p w14:paraId="6AA76C11" w14:textId="3902BF38" w:rsidR="00D7679E" w:rsidRPr="00D7679E" w:rsidRDefault="00D7679E" w:rsidP="00637E05">
      <w:pPr>
        <w:numPr>
          <w:ilvl w:val="0"/>
          <w:numId w:val="1"/>
        </w:numPr>
        <w:spacing w:after="0" w:line="360" w:lineRule="auto"/>
        <w:jc w:val="both"/>
        <w:rPr>
          <w:rFonts w:ascii="Times New Roman" w:hAnsi="Times New Roman" w:cs="Times New Roman"/>
        </w:rPr>
      </w:pPr>
      <w:r w:rsidRPr="00D7679E">
        <w:rPr>
          <w:rFonts w:ascii="Times New Roman" w:hAnsi="Times New Roman" w:cs="Times New Roman"/>
          <w:b/>
        </w:rPr>
        <w:t xml:space="preserve">Appeal to future generations:  </w:t>
      </w:r>
      <w:r w:rsidRPr="00D7679E">
        <w:rPr>
          <w:rFonts w:ascii="Times New Roman" w:hAnsi="Times New Roman" w:cs="Times New Roman"/>
        </w:rPr>
        <w:t xml:space="preserve">“The most enduring dissents, however, are the ones in which the authors speak, as the writer Alan Barth expressed it, as </w:t>
      </w:r>
      <w:r w:rsidR="006D62D3">
        <w:rPr>
          <w:rFonts w:ascii="Times New Roman" w:hAnsi="Times New Roman" w:cs="Times New Roman"/>
        </w:rPr>
        <w:t>‘</w:t>
      </w:r>
      <w:r w:rsidRPr="00D7679E">
        <w:rPr>
          <w:rFonts w:ascii="Times New Roman" w:hAnsi="Times New Roman" w:cs="Times New Roman"/>
        </w:rPr>
        <w:t>Prophets with Honor.</w:t>
      </w:r>
      <w:r w:rsidR="006D62D3">
        <w:rPr>
          <w:rFonts w:ascii="Times New Roman" w:hAnsi="Times New Roman" w:cs="Times New Roman"/>
        </w:rPr>
        <w:t>’</w:t>
      </w:r>
      <w:r w:rsidRPr="00D7679E">
        <w:rPr>
          <w:rFonts w:ascii="Times New Roman" w:hAnsi="Times New Roman" w:cs="Times New Roman"/>
        </w:rPr>
        <w:t xml:space="preserve">  These are the dissents that often reveal the perceived congruence between the Constitution and the ‘evolving standards of decency that mark the progress of a maturing society,’ and that seek to sow seeds for future harvest.”</w:t>
      </w:r>
      <w:r w:rsidR="006D62D3">
        <w:rPr>
          <w:rStyle w:val="FootnoteReference"/>
          <w:rFonts w:ascii="Times New Roman" w:hAnsi="Times New Roman" w:cs="Times New Roman"/>
        </w:rPr>
        <w:footnoteReference w:id="16"/>
      </w:r>
      <w:r w:rsidR="00F048B2">
        <w:rPr>
          <w:rFonts w:ascii="Times New Roman" w:hAnsi="Times New Roman" w:cs="Times New Roman"/>
        </w:rPr>
        <w:t xml:space="preserve">  Echoing this idea, Chief Justice Charles Evans Hughes famously characterized dissents as “appeal[s] to the brooding spirit of the law,</w:t>
      </w:r>
      <w:r w:rsidR="006D62D3">
        <w:rPr>
          <w:rFonts w:ascii="Times New Roman" w:hAnsi="Times New Roman" w:cs="Times New Roman"/>
        </w:rPr>
        <w:t xml:space="preserve"> </w:t>
      </w:r>
      <w:r w:rsidR="00F048B2">
        <w:rPr>
          <w:rFonts w:ascii="Times New Roman" w:hAnsi="Times New Roman" w:cs="Times New Roman"/>
        </w:rPr>
        <w:t>to the intelligence of a future day, when a later decision may possibly correct the error into which the dissenting judge believes the court to have been betrayed.”</w:t>
      </w:r>
      <w:r w:rsidR="00F048B2">
        <w:rPr>
          <w:rStyle w:val="FootnoteReference"/>
          <w:rFonts w:ascii="Times New Roman" w:hAnsi="Times New Roman" w:cs="Times New Roman"/>
        </w:rPr>
        <w:footnoteReference w:id="17"/>
      </w:r>
    </w:p>
    <w:p w14:paraId="16C23947" w14:textId="77777777" w:rsidR="00630309" w:rsidRDefault="00630309" w:rsidP="00193C53">
      <w:pPr>
        <w:spacing w:after="0" w:line="360" w:lineRule="auto"/>
        <w:jc w:val="both"/>
        <w:rPr>
          <w:rFonts w:ascii="Times New Roman" w:hAnsi="Times New Roman" w:cs="Times New Roman"/>
        </w:rPr>
      </w:pPr>
    </w:p>
    <w:p w14:paraId="56267393" w14:textId="15F4CE59" w:rsidR="00D7679E" w:rsidRPr="00984902" w:rsidRDefault="0018517F" w:rsidP="001A0CA6">
      <w:pPr>
        <w:spacing w:after="0" w:line="360" w:lineRule="auto"/>
        <w:ind w:firstLine="720"/>
        <w:jc w:val="both"/>
        <w:rPr>
          <w:rFonts w:ascii="Times New Roman" w:hAnsi="Times New Roman" w:cs="Times New Roman"/>
        </w:rPr>
      </w:pPr>
      <w:r>
        <w:rPr>
          <w:rFonts w:ascii="Times New Roman" w:hAnsi="Times New Roman" w:cs="Times New Roman"/>
        </w:rPr>
        <w:t>Against this catalogue of advantages</w:t>
      </w:r>
      <w:r w:rsidR="00910A12">
        <w:rPr>
          <w:rFonts w:ascii="Times New Roman" w:hAnsi="Times New Roman" w:cs="Times New Roman"/>
        </w:rPr>
        <w:t>, various authors offer a list of disadvantages of di</w:t>
      </w:r>
      <w:r w:rsidR="00984902">
        <w:rPr>
          <w:rFonts w:ascii="Times New Roman" w:hAnsi="Times New Roman" w:cs="Times New Roman"/>
        </w:rPr>
        <w:t>ssent</w:t>
      </w:r>
      <w:r w:rsidR="00D86118">
        <w:rPr>
          <w:rFonts w:ascii="Times New Roman" w:hAnsi="Times New Roman" w:cs="Times New Roman"/>
        </w:rPr>
        <w:t xml:space="preserve">, or conversely of the advantages of judicial unity and </w:t>
      </w:r>
      <w:r w:rsidR="00D86118">
        <w:rPr>
          <w:rFonts w:ascii="Times New Roman" w:hAnsi="Times New Roman" w:cs="Times New Roman"/>
          <w:i/>
        </w:rPr>
        <w:t>per curiam</w:t>
      </w:r>
      <w:r w:rsidR="00D86118">
        <w:rPr>
          <w:rFonts w:ascii="Times New Roman" w:hAnsi="Times New Roman" w:cs="Times New Roman"/>
        </w:rPr>
        <w:t xml:space="preserve"> rulings</w:t>
      </w:r>
      <w:r w:rsidR="00984902">
        <w:rPr>
          <w:rFonts w:ascii="Times New Roman" w:hAnsi="Times New Roman" w:cs="Times New Roman"/>
        </w:rPr>
        <w:t xml:space="preserve">.  In this view, the practice of dissent, as opposed to issuing a single, unanimous judgment of the court </w:t>
      </w:r>
      <w:r w:rsidR="00984902">
        <w:rPr>
          <w:rFonts w:ascii="Times New Roman" w:hAnsi="Times New Roman" w:cs="Times New Roman"/>
          <w:i/>
        </w:rPr>
        <w:t>en banc</w:t>
      </w:r>
      <w:r w:rsidR="00984902">
        <w:rPr>
          <w:rFonts w:ascii="Times New Roman" w:hAnsi="Times New Roman" w:cs="Times New Roman"/>
        </w:rPr>
        <w:t>, brings with it an impressive list of disadvantages:</w:t>
      </w:r>
    </w:p>
    <w:p w14:paraId="18D9FD40" w14:textId="77777777" w:rsidR="00910A12" w:rsidRDefault="00910A12" w:rsidP="00193C53">
      <w:pPr>
        <w:spacing w:after="0" w:line="360" w:lineRule="auto"/>
        <w:jc w:val="both"/>
        <w:rPr>
          <w:rFonts w:ascii="Times New Roman" w:hAnsi="Times New Roman" w:cs="Times New Roman"/>
        </w:rPr>
      </w:pPr>
    </w:p>
    <w:p w14:paraId="2C68CE9B" w14:textId="77777777" w:rsidR="003B1E00" w:rsidRDefault="00910A12" w:rsidP="00637E05">
      <w:pPr>
        <w:pStyle w:val="ListParagraph"/>
        <w:numPr>
          <w:ilvl w:val="0"/>
          <w:numId w:val="1"/>
        </w:numPr>
        <w:spacing w:after="0" w:line="360" w:lineRule="auto"/>
        <w:jc w:val="both"/>
        <w:rPr>
          <w:rFonts w:ascii="Times New Roman" w:hAnsi="Times New Roman" w:cs="Times New Roman"/>
        </w:rPr>
      </w:pPr>
      <w:r w:rsidRPr="00910A12">
        <w:rPr>
          <w:rFonts w:ascii="Times New Roman" w:hAnsi="Times New Roman" w:cs="Times New Roman"/>
        </w:rPr>
        <w:t>Damage to unity and legitimacy</w:t>
      </w:r>
      <w:r>
        <w:rPr>
          <w:rFonts w:ascii="Times New Roman" w:hAnsi="Times New Roman" w:cs="Times New Roman"/>
        </w:rPr>
        <w:t xml:space="preserve"> of the court and its decisions</w:t>
      </w:r>
      <w:r w:rsidR="00A461E7">
        <w:rPr>
          <w:rFonts w:ascii="Times New Roman" w:hAnsi="Times New Roman" w:cs="Times New Roman"/>
        </w:rPr>
        <w:t>, particularly early in a court’s history, before it has created a legacy</w:t>
      </w:r>
      <w:r>
        <w:rPr>
          <w:rFonts w:ascii="Times New Roman" w:hAnsi="Times New Roman" w:cs="Times New Roman"/>
        </w:rPr>
        <w:t>.</w:t>
      </w:r>
    </w:p>
    <w:p w14:paraId="4FEC4772" w14:textId="4BCADA6A" w:rsidR="00910A12" w:rsidRDefault="00910A12" w:rsidP="00637E05">
      <w:pPr>
        <w:pStyle w:val="ListParagraph"/>
        <w:numPr>
          <w:ilvl w:val="0"/>
          <w:numId w:val="1"/>
        </w:numPr>
        <w:spacing w:after="0" w:line="360" w:lineRule="auto"/>
        <w:jc w:val="both"/>
        <w:rPr>
          <w:rFonts w:ascii="Times New Roman" w:hAnsi="Times New Roman" w:cs="Times New Roman"/>
        </w:rPr>
      </w:pPr>
      <w:r>
        <w:rPr>
          <w:rFonts w:ascii="Times New Roman" w:hAnsi="Times New Roman" w:cs="Times New Roman"/>
        </w:rPr>
        <w:t>Damage to collegiality</w:t>
      </w:r>
    </w:p>
    <w:p w14:paraId="60A0DF04" w14:textId="16988368" w:rsidR="008173F3" w:rsidRDefault="008173F3" w:rsidP="00637E05">
      <w:pPr>
        <w:pStyle w:val="ListParagraph"/>
        <w:numPr>
          <w:ilvl w:val="0"/>
          <w:numId w:val="1"/>
        </w:numPr>
        <w:spacing w:after="0" w:line="360" w:lineRule="auto"/>
        <w:jc w:val="both"/>
        <w:rPr>
          <w:rFonts w:ascii="Times New Roman" w:hAnsi="Times New Roman" w:cs="Times New Roman"/>
        </w:rPr>
      </w:pPr>
      <w:r>
        <w:rPr>
          <w:rFonts w:ascii="Times New Roman" w:hAnsi="Times New Roman" w:cs="Times New Roman"/>
        </w:rPr>
        <w:t>Damage to quality of court jurisprudence</w:t>
      </w:r>
    </w:p>
    <w:p w14:paraId="3DF62FA1" w14:textId="69384880" w:rsidR="008173F3" w:rsidRDefault="008173F3" w:rsidP="00637E05">
      <w:pPr>
        <w:pStyle w:val="ListParagraph"/>
        <w:numPr>
          <w:ilvl w:val="0"/>
          <w:numId w:val="1"/>
        </w:numPr>
        <w:spacing w:after="0" w:line="360" w:lineRule="auto"/>
        <w:jc w:val="both"/>
        <w:rPr>
          <w:rFonts w:ascii="Times New Roman" w:hAnsi="Times New Roman" w:cs="Times New Roman"/>
        </w:rPr>
      </w:pPr>
      <w:r>
        <w:rPr>
          <w:rFonts w:ascii="Times New Roman" w:hAnsi="Times New Roman" w:cs="Times New Roman"/>
        </w:rPr>
        <w:t>Lack of transparency</w:t>
      </w:r>
    </w:p>
    <w:p w14:paraId="288DF68D" w14:textId="2F424911" w:rsidR="008173F3" w:rsidRDefault="008173F3" w:rsidP="00637E05">
      <w:pPr>
        <w:pStyle w:val="ListParagraph"/>
        <w:numPr>
          <w:ilvl w:val="0"/>
          <w:numId w:val="1"/>
        </w:numPr>
        <w:spacing w:after="0" w:line="360" w:lineRule="auto"/>
        <w:jc w:val="both"/>
        <w:rPr>
          <w:rFonts w:ascii="Times New Roman" w:hAnsi="Times New Roman" w:cs="Times New Roman"/>
        </w:rPr>
      </w:pPr>
      <w:r>
        <w:rPr>
          <w:rFonts w:ascii="Times New Roman" w:hAnsi="Times New Roman" w:cs="Times New Roman"/>
        </w:rPr>
        <w:t>Lack of accountability of judges</w:t>
      </w:r>
    </w:p>
    <w:p w14:paraId="13B1FB02" w14:textId="7FF462E3" w:rsidR="00910A12" w:rsidRDefault="00910A12" w:rsidP="00637E05">
      <w:pPr>
        <w:pStyle w:val="ListParagraph"/>
        <w:numPr>
          <w:ilvl w:val="0"/>
          <w:numId w:val="1"/>
        </w:numPr>
        <w:spacing w:after="0" w:line="360" w:lineRule="auto"/>
        <w:jc w:val="both"/>
        <w:rPr>
          <w:rFonts w:ascii="Times New Roman" w:hAnsi="Times New Roman" w:cs="Times New Roman"/>
        </w:rPr>
      </w:pPr>
      <w:r>
        <w:rPr>
          <w:rFonts w:ascii="Times New Roman" w:hAnsi="Times New Roman" w:cs="Times New Roman"/>
        </w:rPr>
        <w:t>Costs to individual judges</w:t>
      </w:r>
    </w:p>
    <w:p w14:paraId="5A4A4E45" w14:textId="77777777" w:rsidR="00CC1C9A" w:rsidRPr="00193C53" w:rsidRDefault="00CC1C9A" w:rsidP="00193C53">
      <w:pPr>
        <w:spacing w:after="0" w:line="360" w:lineRule="auto"/>
        <w:jc w:val="both"/>
        <w:rPr>
          <w:rFonts w:ascii="Times New Roman" w:hAnsi="Times New Roman" w:cs="Times New Roman"/>
        </w:rPr>
      </w:pPr>
    </w:p>
    <w:p w14:paraId="1D58FEFF" w14:textId="51233EAF" w:rsidR="008173F3" w:rsidRPr="008173F3" w:rsidRDefault="008173F3" w:rsidP="00193C53">
      <w:pPr>
        <w:spacing w:after="0" w:line="360" w:lineRule="auto"/>
        <w:jc w:val="both"/>
        <w:rPr>
          <w:rFonts w:ascii="Times New Roman" w:hAnsi="Times New Roman" w:cs="Times New Roman"/>
          <w:b/>
        </w:rPr>
      </w:pPr>
      <w:r>
        <w:rPr>
          <w:rFonts w:ascii="Times New Roman" w:hAnsi="Times New Roman" w:cs="Times New Roman"/>
          <w:b/>
        </w:rPr>
        <w:lastRenderedPageBreak/>
        <w:t xml:space="preserve">B.  </w:t>
      </w:r>
      <w:r w:rsidR="00984902">
        <w:rPr>
          <w:rFonts w:ascii="Times New Roman" w:hAnsi="Times New Roman" w:cs="Times New Roman"/>
          <w:b/>
        </w:rPr>
        <w:t xml:space="preserve"> Historical Accounts:  The Practice of Dissent in the US Supreme Court</w:t>
      </w:r>
      <w:r w:rsidR="00425102">
        <w:rPr>
          <w:rFonts w:ascii="Times New Roman" w:hAnsi="Times New Roman" w:cs="Times New Roman"/>
          <w:b/>
        </w:rPr>
        <w:t xml:space="preserve"> [To be completed]</w:t>
      </w:r>
    </w:p>
    <w:p w14:paraId="7A3B32BC" w14:textId="594BA55A" w:rsidR="008173F3" w:rsidRDefault="00984902" w:rsidP="00193C53">
      <w:pPr>
        <w:spacing w:after="0" w:line="360" w:lineRule="auto"/>
        <w:jc w:val="both"/>
        <w:rPr>
          <w:rFonts w:ascii="Times New Roman" w:hAnsi="Times New Roman" w:cs="Times New Roman"/>
        </w:rPr>
      </w:pPr>
      <w:r>
        <w:rPr>
          <w:rFonts w:ascii="Times New Roman" w:hAnsi="Times New Roman" w:cs="Times New Roman"/>
        </w:rPr>
        <w:tab/>
        <w:t xml:space="preserve">Much of the literature </w:t>
      </w:r>
      <w:r w:rsidR="006D62D3">
        <w:rPr>
          <w:rFonts w:ascii="Times New Roman" w:hAnsi="Times New Roman" w:cs="Times New Roman"/>
        </w:rPr>
        <w:t xml:space="preserve">on dissent in American federal courts </w:t>
      </w:r>
      <w:r>
        <w:rPr>
          <w:rFonts w:ascii="Times New Roman" w:hAnsi="Times New Roman" w:cs="Times New Roman"/>
        </w:rPr>
        <w:t xml:space="preserve">consists of historical accounts of changing </w:t>
      </w:r>
      <w:r w:rsidR="00082631">
        <w:rPr>
          <w:rFonts w:ascii="Times New Roman" w:hAnsi="Times New Roman" w:cs="Times New Roman"/>
        </w:rPr>
        <w:t xml:space="preserve">norms, and changing practice, of dissent among Supreme Court Justices.  As is now well established, the early Court followed the British tradition of seriatim judgments, in which each judge wrote a separate opinion, and a majority position emerged from these many distinct positions.  A major change in both the norms and the practice of dissent, however, took place with the appointment of John Marshall as Chief Justice.  </w:t>
      </w:r>
    </w:p>
    <w:p w14:paraId="15C47B84" w14:textId="77777777" w:rsidR="00984902" w:rsidRDefault="00984902" w:rsidP="00193C53">
      <w:pPr>
        <w:spacing w:after="0" w:line="360" w:lineRule="auto"/>
        <w:jc w:val="both"/>
        <w:rPr>
          <w:rFonts w:ascii="Times New Roman" w:hAnsi="Times New Roman" w:cs="Times New Roman"/>
        </w:rPr>
      </w:pPr>
    </w:p>
    <w:p w14:paraId="79ADED30" w14:textId="77E09169" w:rsidR="00BE3633" w:rsidRDefault="00BE3633" w:rsidP="00637E05">
      <w:pPr>
        <w:pStyle w:val="ListParagraph"/>
        <w:numPr>
          <w:ilvl w:val="0"/>
          <w:numId w:val="1"/>
        </w:numPr>
        <w:spacing w:after="0" w:line="360" w:lineRule="auto"/>
        <w:jc w:val="both"/>
        <w:rPr>
          <w:rFonts w:ascii="Times New Roman" w:hAnsi="Times New Roman" w:cs="Times New Roman"/>
        </w:rPr>
      </w:pPr>
      <w:r w:rsidRPr="00BE3633">
        <w:rPr>
          <w:rFonts w:ascii="Times New Roman" w:hAnsi="Times New Roman" w:cs="Times New Roman"/>
        </w:rPr>
        <w:t>Marshall and the debate with Jefferson.</w:t>
      </w:r>
    </w:p>
    <w:p w14:paraId="7D376513" w14:textId="57DC24CD" w:rsidR="00BE3633" w:rsidRDefault="00BE3633" w:rsidP="00637E05">
      <w:pPr>
        <w:pStyle w:val="ListParagraph"/>
        <w:numPr>
          <w:ilvl w:val="0"/>
          <w:numId w:val="1"/>
        </w:numPr>
        <w:spacing w:after="0" w:line="360" w:lineRule="auto"/>
        <w:jc w:val="both"/>
        <w:rPr>
          <w:rFonts w:ascii="Times New Roman" w:hAnsi="Times New Roman" w:cs="Times New Roman"/>
        </w:rPr>
      </w:pPr>
      <w:r>
        <w:rPr>
          <w:rFonts w:ascii="Times New Roman" w:hAnsi="Times New Roman" w:cs="Times New Roman"/>
        </w:rPr>
        <w:t xml:space="preserve">Various </w:t>
      </w:r>
      <w:proofErr w:type="spellStart"/>
      <w:r>
        <w:rPr>
          <w:rFonts w:ascii="Times New Roman" w:hAnsi="Times New Roman" w:cs="Times New Roman"/>
        </w:rPr>
        <w:t>periodizations</w:t>
      </w:r>
      <w:proofErr w:type="spellEnd"/>
      <w:r>
        <w:rPr>
          <w:rFonts w:ascii="Times New Roman" w:hAnsi="Times New Roman" w:cs="Times New Roman"/>
        </w:rPr>
        <w:t xml:space="preserve"> of Supreme Court history, characterized by shifting informal norms about dissent.</w:t>
      </w:r>
    </w:p>
    <w:p w14:paraId="512D7486" w14:textId="7A3D0CEB" w:rsidR="00BE3633" w:rsidRPr="00BE3633" w:rsidRDefault="00BE3633" w:rsidP="00637E05">
      <w:pPr>
        <w:pStyle w:val="ListParagraph"/>
        <w:numPr>
          <w:ilvl w:val="0"/>
          <w:numId w:val="1"/>
        </w:numPr>
        <w:spacing w:after="0" w:line="360" w:lineRule="auto"/>
        <w:jc w:val="both"/>
        <w:rPr>
          <w:rFonts w:ascii="Times New Roman" w:hAnsi="Times New Roman" w:cs="Times New Roman"/>
        </w:rPr>
      </w:pPr>
      <w:r>
        <w:rPr>
          <w:rFonts w:ascii="Times New Roman" w:hAnsi="Times New Roman" w:cs="Times New Roman"/>
        </w:rPr>
        <w:t>The current period, in which dissent has emerged as the norm, as bridge to Epstein et al. study.</w:t>
      </w:r>
    </w:p>
    <w:p w14:paraId="0E88AF1E" w14:textId="77777777" w:rsidR="008173F3" w:rsidRDefault="008173F3" w:rsidP="00193C53">
      <w:pPr>
        <w:spacing w:after="0" w:line="360" w:lineRule="auto"/>
        <w:jc w:val="both"/>
        <w:rPr>
          <w:rFonts w:ascii="Times New Roman" w:hAnsi="Times New Roman" w:cs="Times New Roman"/>
        </w:rPr>
      </w:pPr>
    </w:p>
    <w:p w14:paraId="2CB2C7B3" w14:textId="0D3BB349" w:rsidR="008173F3" w:rsidRPr="008173F3" w:rsidRDefault="008173F3" w:rsidP="00193C53">
      <w:pPr>
        <w:spacing w:after="0" w:line="360" w:lineRule="auto"/>
        <w:jc w:val="both"/>
        <w:rPr>
          <w:rFonts w:ascii="Times New Roman" w:hAnsi="Times New Roman" w:cs="Times New Roman"/>
          <w:b/>
        </w:rPr>
      </w:pPr>
      <w:r>
        <w:rPr>
          <w:rFonts w:ascii="Times New Roman" w:hAnsi="Times New Roman" w:cs="Times New Roman"/>
          <w:b/>
        </w:rPr>
        <w:t>C.  First-Order Decisions to Dissent:  The Positive Political Science Approach</w:t>
      </w:r>
      <w:r w:rsidR="00425102">
        <w:rPr>
          <w:rFonts w:ascii="Times New Roman" w:hAnsi="Times New Roman" w:cs="Times New Roman"/>
          <w:b/>
        </w:rPr>
        <w:t xml:space="preserve"> [To be completed]</w:t>
      </w:r>
    </w:p>
    <w:p w14:paraId="5A0BC16A" w14:textId="77777777" w:rsidR="00CC1C9A" w:rsidRDefault="00CC1C9A" w:rsidP="00193C53">
      <w:pPr>
        <w:pStyle w:val="ListParagraph"/>
        <w:spacing w:after="0" w:line="360" w:lineRule="auto"/>
        <w:jc w:val="both"/>
        <w:rPr>
          <w:rFonts w:ascii="Times New Roman" w:hAnsi="Times New Roman" w:cs="Times New Roman"/>
        </w:rPr>
      </w:pPr>
    </w:p>
    <w:p w14:paraId="1007D78D" w14:textId="5F98E5B0" w:rsidR="00CC1C9A" w:rsidRPr="00D86118" w:rsidRDefault="00CC1C9A" w:rsidP="00637E05">
      <w:pPr>
        <w:pStyle w:val="ListParagraph"/>
        <w:numPr>
          <w:ilvl w:val="0"/>
          <w:numId w:val="14"/>
        </w:numPr>
        <w:spacing w:after="0" w:line="360" w:lineRule="auto"/>
        <w:jc w:val="both"/>
        <w:rPr>
          <w:rFonts w:ascii="Times New Roman" w:hAnsi="Times New Roman" w:cs="Times New Roman"/>
        </w:rPr>
      </w:pPr>
      <w:r w:rsidRPr="00D86118">
        <w:rPr>
          <w:rFonts w:ascii="Times New Roman" w:hAnsi="Times New Roman" w:cs="Times New Roman"/>
        </w:rPr>
        <w:t>The Epstein et al. pi</w:t>
      </w:r>
      <w:r w:rsidR="000B3EDB">
        <w:rPr>
          <w:rFonts w:ascii="Times New Roman" w:hAnsi="Times New Roman" w:cs="Times New Roman"/>
        </w:rPr>
        <w:t>ece is a</w:t>
      </w:r>
      <w:r w:rsidRPr="00D86118">
        <w:rPr>
          <w:rFonts w:ascii="Times New Roman" w:hAnsi="Times New Roman" w:cs="Times New Roman"/>
        </w:rPr>
        <w:t xml:space="preserve"> </w:t>
      </w:r>
      <w:r w:rsidRPr="00D86118">
        <w:rPr>
          <w:rFonts w:ascii="Times New Roman" w:hAnsi="Times New Roman" w:cs="Times New Roman"/>
          <w:b/>
        </w:rPr>
        <w:t>positive political science complement</w:t>
      </w:r>
      <w:r w:rsidR="000B3EDB">
        <w:rPr>
          <w:rFonts w:ascii="Times New Roman" w:hAnsi="Times New Roman" w:cs="Times New Roman"/>
        </w:rPr>
        <w:t xml:space="preserve"> to the legal-normative literature,</w:t>
      </w:r>
      <w:r w:rsidRPr="00D86118">
        <w:rPr>
          <w:rFonts w:ascii="Times New Roman" w:hAnsi="Times New Roman" w:cs="Times New Roman"/>
        </w:rPr>
        <w:t xml:space="preserve"> focusing on how ideological diversity, </w:t>
      </w:r>
      <w:proofErr w:type="gramStart"/>
      <w:r w:rsidRPr="00D86118">
        <w:rPr>
          <w:rFonts w:ascii="Times New Roman" w:hAnsi="Times New Roman" w:cs="Times New Roman"/>
        </w:rPr>
        <w:t>case load</w:t>
      </w:r>
      <w:proofErr w:type="gramEnd"/>
      <w:r w:rsidRPr="00D86118">
        <w:rPr>
          <w:rFonts w:ascii="Times New Roman" w:hAnsi="Times New Roman" w:cs="Times New Roman"/>
        </w:rPr>
        <w:t xml:space="preserve">, and other factors influence judicial decisions to dissent.  </w:t>
      </w:r>
      <w:r w:rsidR="000B3EDB">
        <w:rPr>
          <w:rFonts w:ascii="Times New Roman" w:hAnsi="Times New Roman" w:cs="Times New Roman"/>
        </w:rPr>
        <w:t>See below.</w:t>
      </w:r>
    </w:p>
    <w:p w14:paraId="5E6E544D" w14:textId="77777777" w:rsidR="008173F3" w:rsidRDefault="008173F3" w:rsidP="00193C53">
      <w:pPr>
        <w:pStyle w:val="ListParagraph"/>
        <w:spacing w:after="0" w:line="360" w:lineRule="auto"/>
        <w:jc w:val="both"/>
        <w:rPr>
          <w:rFonts w:ascii="Times New Roman" w:hAnsi="Times New Roman" w:cs="Times New Roman"/>
        </w:rPr>
      </w:pPr>
    </w:p>
    <w:p w14:paraId="022542A6" w14:textId="25911998" w:rsidR="00CC1C9A" w:rsidRDefault="008173F3" w:rsidP="00193C53">
      <w:pPr>
        <w:spacing w:after="0" w:line="360" w:lineRule="auto"/>
        <w:jc w:val="both"/>
        <w:rPr>
          <w:rFonts w:ascii="Times New Roman" w:hAnsi="Times New Roman" w:cs="Times New Roman"/>
          <w:b/>
        </w:rPr>
      </w:pPr>
      <w:r w:rsidRPr="008173F3">
        <w:rPr>
          <w:rFonts w:ascii="Times New Roman" w:hAnsi="Times New Roman" w:cs="Times New Roman"/>
          <w:b/>
        </w:rPr>
        <w:t>D</w:t>
      </w:r>
      <w:r w:rsidR="00CC1C9A" w:rsidRPr="008173F3">
        <w:rPr>
          <w:rFonts w:ascii="Times New Roman" w:hAnsi="Times New Roman" w:cs="Times New Roman"/>
          <w:b/>
        </w:rPr>
        <w:t xml:space="preserve">.  </w:t>
      </w:r>
      <w:r w:rsidRPr="008173F3">
        <w:rPr>
          <w:rFonts w:ascii="Times New Roman" w:hAnsi="Times New Roman" w:cs="Times New Roman"/>
          <w:b/>
        </w:rPr>
        <w:t>Comparative Judicial Dissent</w:t>
      </w:r>
      <w:r w:rsidR="006B787A">
        <w:rPr>
          <w:rFonts w:ascii="Times New Roman" w:hAnsi="Times New Roman" w:cs="Times New Roman"/>
          <w:b/>
        </w:rPr>
        <w:t>:  Legal Systems and Judicial Appointment</w:t>
      </w:r>
    </w:p>
    <w:p w14:paraId="5295FF31" w14:textId="396E94F8" w:rsidR="008173F3" w:rsidRDefault="008173F3" w:rsidP="00193C53">
      <w:pPr>
        <w:spacing w:after="0" w:line="360" w:lineRule="auto"/>
        <w:ind w:firstLine="720"/>
        <w:jc w:val="both"/>
        <w:rPr>
          <w:rFonts w:ascii="Times New Roman" w:hAnsi="Times New Roman" w:cs="Times New Roman"/>
        </w:rPr>
      </w:pPr>
      <w:r>
        <w:rPr>
          <w:rFonts w:ascii="Times New Roman" w:hAnsi="Times New Roman" w:cs="Times New Roman"/>
        </w:rPr>
        <w:t>The American literature on dissent in US federal courts, then, offers us a broad set of insights into the advantages and disadvantages of dissent, and the second- and first-order choices of courts and individual judges to encourage, allow, discourage or forbid the practice.  Despite these strengths, this American literature, because it is limited to US federal courts, holds constant and effectively ignores several variables that are almost certain to be relevant to the question of dissent</w:t>
      </w:r>
      <w:r w:rsidR="006B0432">
        <w:rPr>
          <w:rFonts w:ascii="Times New Roman" w:hAnsi="Times New Roman" w:cs="Times New Roman"/>
        </w:rPr>
        <w:t xml:space="preserve"> at international tribunals</w:t>
      </w:r>
      <w:r>
        <w:rPr>
          <w:rFonts w:ascii="Times New Roman" w:hAnsi="Times New Roman" w:cs="Times New Roman"/>
        </w:rPr>
        <w:t xml:space="preserve">.  First, the American literature holds constant the broad outlines of the US common-law tradition, without considering </w:t>
      </w:r>
      <w:r w:rsidR="005B11A0">
        <w:rPr>
          <w:rFonts w:ascii="Times New Roman" w:hAnsi="Times New Roman" w:cs="Times New Roman"/>
        </w:rPr>
        <w:t xml:space="preserve">the practice of dissent in </w:t>
      </w:r>
      <w:r>
        <w:rPr>
          <w:rFonts w:ascii="Times New Roman" w:hAnsi="Times New Roman" w:cs="Times New Roman"/>
        </w:rPr>
        <w:t xml:space="preserve">other legal traditions, in particular the civil law tradition common to most of Europe and Latin America.  </w:t>
      </w:r>
      <w:r>
        <w:rPr>
          <w:rFonts w:ascii="Times New Roman" w:hAnsi="Times New Roman" w:cs="Times New Roman"/>
        </w:rPr>
        <w:lastRenderedPageBreak/>
        <w:t xml:space="preserve">Second, the literature on US federal courts is based on the assumption that judges serve lifetime appointments, and are therefore not subject to the threat of removal or the prospect of reappointment, as are judges in </w:t>
      </w:r>
      <w:r w:rsidR="005B11A0">
        <w:rPr>
          <w:rFonts w:ascii="Times New Roman" w:hAnsi="Times New Roman" w:cs="Times New Roman"/>
        </w:rPr>
        <w:t xml:space="preserve">most </w:t>
      </w:r>
      <w:r>
        <w:rPr>
          <w:rFonts w:ascii="Times New Roman" w:hAnsi="Times New Roman" w:cs="Times New Roman"/>
        </w:rPr>
        <w:t xml:space="preserve">other legal systems.  </w:t>
      </w:r>
      <w:r w:rsidR="003B536C">
        <w:rPr>
          <w:rFonts w:ascii="Times New Roman" w:hAnsi="Times New Roman" w:cs="Times New Roman"/>
        </w:rPr>
        <w:t xml:space="preserve">Third, the literature on the US federal courts takes as a given the silence of the Constitution </w:t>
      </w:r>
      <w:r w:rsidR="009C46CE">
        <w:rPr>
          <w:rFonts w:ascii="Times New Roman" w:hAnsi="Times New Roman" w:cs="Times New Roman"/>
        </w:rPr>
        <w:t xml:space="preserve">and federal statutes </w:t>
      </w:r>
      <w:r w:rsidR="003B536C">
        <w:rPr>
          <w:rFonts w:ascii="Times New Roman" w:hAnsi="Times New Roman" w:cs="Times New Roman"/>
        </w:rPr>
        <w:t xml:space="preserve">on the question of dissent, and therefore attributes variation in the norms and practice of dissent </w:t>
      </w:r>
      <w:r w:rsidR="00BD423E">
        <w:rPr>
          <w:rFonts w:ascii="Times New Roman" w:hAnsi="Times New Roman" w:cs="Times New Roman"/>
        </w:rPr>
        <w:t xml:space="preserve">entirely </w:t>
      </w:r>
      <w:r w:rsidR="003B536C">
        <w:rPr>
          <w:rFonts w:ascii="Times New Roman" w:hAnsi="Times New Roman" w:cs="Times New Roman"/>
        </w:rPr>
        <w:t xml:space="preserve">to judicial choices; in other political systems, however, judicial choices are often constrained by constitutional rules or statutes formulated by the political branches of government, which specify rules on dissent and </w:t>
      </w:r>
      <w:r w:rsidR="00BD423E">
        <w:rPr>
          <w:rFonts w:ascii="Times New Roman" w:hAnsi="Times New Roman" w:cs="Times New Roman"/>
        </w:rPr>
        <w:t>therefore limit and structure judicial incentives</w:t>
      </w:r>
      <w:r w:rsidR="003B536C">
        <w:rPr>
          <w:rFonts w:ascii="Times New Roman" w:hAnsi="Times New Roman" w:cs="Times New Roman"/>
        </w:rPr>
        <w:t xml:space="preserve">.  </w:t>
      </w:r>
      <w:r w:rsidR="0008102D">
        <w:rPr>
          <w:rFonts w:ascii="Times New Roman" w:hAnsi="Times New Roman" w:cs="Times New Roman"/>
        </w:rPr>
        <w:t>Let us consider each of these briefly in turn.</w:t>
      </w:r>
    </w:p>
    <w:p w14:paraId="2ACAD7F7" w14:textId="07B07379" w:rsidR="00CD1E70" w:rsidRDefault="00984902" w:rsidP="00193C53">
      <w:pPr>
        <w:spacing w:after="0" w:line="360" w:lineRule="auto"/>
        <w:jc w:val="both"/>
        <w:rPr>
          <w:rFonts w:ascii="Times New Roman" w:hAnsi="Times New Roman" w:cs="Times New Roman"/>
        </w:rPr>
      </w:pPr>
      <w:r>
        <w:rPr>
          <w:rFonts w:ascii="Times New Roman" w:hAnsi="Times New Roman" w:cs="Times New Roman"/>
        </w:rPr>
        <w:tab/>
      </w:r>
      <w:r w:rsidR="0008102D">
        <w:rPr>
          <w:rFonts w:ascii="Times New Roman" w:hAnsi="Times New Roman" w:cs="Times New Roman"/>
        </w:rPr>
        <w:t>With respect to comparative judicial practice of dissent</w:t>
      </w:r>
      <w:r>
        <w:rPr>
          <w:rFonts w:ascii="Times New Roman" w:hAnsi="Times New Roman" w:cs="Times New Roman"/>
        </w:rPr>
        <w:t xml:space="preserve">, </w:t>
      </w:r>
      <w:r w:rsidR="00A515CB">
        <w:rPr>
          <w:rFonts w:ascii="Times New Roman" w:hAnsi="Times New Roman" w:cs="Times New Roman"/>
        </w:rPr>
        <w:t xml:space="preserve">Ruth Bader </w:t>
      </w:r>
      <w:r>
        <w:rPr>
          <w:rFonts w:ascii="Times New Roman" w:hAnsi="Times New Roman" w:cs="Times New Roman"/>
        </w:rPr>
        <w:t>Ginsberg identifies three ideal types</w:t>
      </w:r>
      <w:r w:rsidR="000B3EDB">
        <w:rPr>
          <w:rFonts w:ascii="Times New Roman" w:hAnsi="Times New Roman" w:cs="Times New Roman"/>
        </w:rPr>
        <w:t>, each linked to a broader legal tradition</w:t>
      </w:r>
      <w:r>
        <w:rPr>
          <w:rFonts w:ascii="Times New Roman" w:hAnsi="Times New Roman" w:cs="Times New Roman"/>
        </w:rPr>
        <w:t xml:space="preserve">:  </w:t>
      </w:r>
      <w:r w:rsidR="00CC1C9A" w:rsidRPr="00984902">
        <w:rPr>
          <w:rFonts w:ascii="Times New Roman" w:hAnsi="Times New Roman" w:cs="Times New Roman"/>
        </w:rPr>
        <w:t xml:space="preserve">the British tradition of </w:t>
      </w:r>
      <w:r w:rsidR="00A515CB">
        <w:rPr>
          <w:rFonts w:ascii="Times New Roman" w:hAnsi="Times New Roman" w:cs="Times New Roman"/>
        </w:rPr>
        <w:t>seriatim opinions by each member of the bench, the civil-law</w:t>
      </w:r>
      <w:r w:rsidR="00CC1C9A" w:rsidRPr="00984902">
        <w:rPr>
          <w:rFonts w:ascii="Times New Roman" w:hAnsi="Times New Roman" w:cs="Times New Roman"/>
        </w:rPr>
        <w:t xml:space="preserve"> tradition of </w:t>
      </w:r>
      <w:r w:rsidR="00A515CB">
        <w:rPr>
          <w:rFonts w:ascii="Times New Roman" w:hAnsi="Times New Roman" w:cs="Times New Roman"/>
        </w:rPr>
        <w:t>a single anonymous judg</w:t>
      </w:r>
      <w:r w:rsidR="00BD423E">
        <w:rPr>
          <w:rFonts w:ascii="Times New Roman" w:hAnsi="Times New Roman" w:cs="Times New Roman"/>
        </w:rPr>
        <w:t>ment</w:t>
      </w:r>
      <w:r w:rsidR="00A515CB">
        <w:rPr>
          <w:rFonts w:ascii="Times New Roman" w:hAnsi="Times New Roman" w:cs="Times New Roman"/>
        </w:rPr>
        <w:t xml:space="preserve"> of the court with no public dissent</w:t>
      </w:r>
      <w:r w:rsidR="00CC1C9A" w:rsidRPr="00984902">
        <w:rPr>
          <w:rFonts w:ascii="Times New Roman" w:hAnsi="Times New Roman" w:cs="Times New Roman"/>
        </w:rPr>
        <w:t xml:space="preserve">, and the US system as a middle way featuring an opinion of the court </w:t>
      </w:r>
      <w:r w:rsidR="00A515CB">
        <w:rPr>
          <w:rFonts w:ascii="Times New Roman" w:hAnsi="Times New Roman" w:cs="Times New Roman"/>
        </w:rPr>
        <w:t>from which individual judges may dissociate themselves through</w:t>
      </w:r>
      <w:r w:rsidR="00CC1C9A" w:rsidRPr="00984902">
        <w:rPr>
          <w:rFonts w:ascii="Times New Roman" w:hAnsi="Times New Roman" w:cs="Times New Roman"/>
        </w:rPr>
        <w:t xml:space="preserve"> concurring and dissenting opinions.</w:t>
      </w:r>
      <w:r w:rsidR="00CD1E70">
        <w:rPr>
          <w:rStyle w:val="FootnoteReference"/>
          <w:rFonts w:ascii="Times New Roman" w:hAnsi="Times New Roman" w:cs="Times New Roman"/>
        </w:rPr>
        <w:footnoteReference w:id="18"/>
      </w:r>
      <w:r w:rsidR="00CC1C9A" w:rsidRPr="00984902">
        <w:rPr>
          <w:rFonts w:ascii="Times New Roman" w:hAnsi="Times New Roman" w:cs="Times New Roman"/>
        </w:rPr>
        <w:t xml:space="preserve">  </w:t>
      </w:r>
      <w:r w:rsidR="00A515CB">
        <w:rPr>
          <w:rFonts w:ascii="Times New Roman" w:hAnsi="Times New Roman" w:cs="Times New Roman"/>
        </w:rPr>
        <w:t xml:space="preserve">Although the British tradition of seriatim opinions was influential in the early history of the US Supreme Court, </w:t>
      </w:r>
      <w:r w:rsidR="0014560A">
        <w:rPr>
          <w:rFonts w:ascii="Times New Roman" w:hAnsi="Times New Roman" w:cs="Times New Roman"/>
        </w:rPr>
        <w:t>the Court soon abandoned this practice,</w:t>
      </w:r>
      <w:r w:rsidR="0014560A">
        <w:rPr>
          <w:rStyle w:val="FootnoteReference"/>
          <w:rFonts w:ascii="Times New Roman" w:hAnsi="Times New Roman" w:cs="Times New Roman"/>
        </w:rPr>
        <w:footnoteReference w:id="19"/>
      </w:r>
      <w:r w:rsidR="0014560A">
        <w:rPr>
          <w:rFonts w:ascii="Times New Roman" w:hAnsi="Times New Roman" w:cs="Times New Roman"/>
        </w:rPr>
        <w:t xml:space="preserve"> and </w:t>
      </w:r>
      <w:r w:rsidR="00A515CB">
        <w:rPr>
          <w:rFonts w:ascii="Times New Roman" w:hAnsi="Times New Roman" w:cs="Times New Roman"/>
        </w:rPr>
        <w:t xml:space="preserve">most </w:t>
      </w:r>
      <w:r w:rsidR="006D62D3">
        <w:rPr>
          <w:rFonts w:ascii="Times New Roman" w:hAnsi="Times New Roman" w:cs="Times New Roman"/>
        </w:rPr>
        <w:t xml:space="preserve">comparative law scholars therefore </w:t>
      </w:r>
      <w:r w:rsidR="00A515CB">
        <w:rPr>
          <w:rFonts w:ascii="Times New Roman" w:hAnsi="Times New Roman" w:cs="Times New Roman"/>
        </w:rPr>
        <w:t>focus on the stark contrast between the common</w:t>
      </w:r>
      <w:r w:rsidR="005D3AA1">
        <w:rPr>
          <w:rFonts w:ascii="Times New Roman" w:hAnsi="Times New Roman" w:cs="Times New Roman"/>
        </w:rPr>
        <w:t xml:space="preserve"> </w:t>
      </w:r>
      <w:r w:rsidR="00A515CB">
        <w:rPr>
          <w:rFonts w:ascii="Times New Roman" w:hAnsi="Times New Roman" w:cs="Times New Roman"/>
        </w:rPr>
        <w:t xml:space="preserve">law American model described above, and a very different civil law tradition of issuing single, anonymous, </w:t>
      </w:r>
      <w:r w:rsidR="00A515CB">
        <w:rPr>
          <w:rFonts w:ascii="Times New Roman" w:hAnsi="Times New Roman" w:cs="Times New Roman"/>
          <w:i/>
        </w:rPr>
        <w:t xml:space="preserve">per curiam </w:t>
      </w:r>
      <w:r w:rsidR="00A515CB">
        <w:rPr>
          <w:rFonts w:ascii="Times New Roman" w:hAnsi="Times New Roman" w:cs="Times New Roman"/>
        </w:rPr>
        <w:t xml:space="preserve">decisions in which public dissent is stifled.  </w:t>
      </w:r>
      <w:r w:rsidR="00CD1E70">
        <w:rPr>
          <w:rFonts w:ascii="Times New Roman" w:hAnsi="Times New Roman" w:cs="Times New Roman"/>
        </w:rPr>
        <w:t xml:space="preserve">Ginsburg, for example, summarizes the civil law approach </w:t>
      </w:r>
      <w:r w:rsidR="006D62D3">
        <w:rPr>
          <w:rFonts w:ascii="Times New Roman" w:hAnsi="Times New Roman" w:cs="Times New Roman"/>
        </w:rPr>
        <w:t xml:space="preserve">– typified by French judicial practice – </w:t>
      </w:r>
      <w:r w:rsidR="00CD1E70">
        <w:rPr>
          <w:rFonts w:ascii="Times New Roman" w:hAnsi="Times New Roman" w:cs="Times New Roman"/>
        </w:rPr>
        <w:t>as follows:</w:t>
      </w:r>
    </w:p>
    <w:p w14:paraId="42CBF99E" w14:textId="77777777" w:rsidR="00CD1E70" w:rsidRPr="005F0ED1" w:rsidRDefault="00CD1E70" w:rsidP="00E528D8">
      <w:pPr>
        <w:spacing w:after="0" w:line="360" w:lineRule="auto"/>
        <w:jc w:val="both"/>
        <w:rPr>
          <w:rFonts w:ascii="Times New Roman" w:hAnsi="Times New Roman" w:cs="Times New Roman"/>
        </w:rPr>
      </w:pPr>
    </w:p>
    <w:p w14:paraId="64DD894A" w14:textId="564E9A95" w:rsidR="00CD1E70" w:rsidRPr="00CD1E70" w:rsidRDefault="00CD1E70" w:rsidP="0042361F">
      <w:pPr>
        <w:spacing w:after="0"/>
        <w:ind w:left="720" w:right="720"/>
        <w:jc w:val="both"/>
        <w:rPr>
          <w:rFonts w:ascii="Times New Roman" w:hAnsi="Times New Roman" w:cs="Times New Roman"/>
        </w:rPr>
      </w:pPr>
      <w:r w:rsidRPr="00CD1E70">
        <w:rPr>
          <w:rFonts w:ascii="Times New Roman" w:hAnsi="Times New Roman" w:cs="Times New Roman"/>
        </w:rPr>
        <w:t>Under the French practice, still followed in large measure in most civil law systems, judicial decisions typically portray the result demanded by the law as inexorable. There is a right answer. It is expressed in a unanimous judgment, written up in a formal, impersonal, concise, stylized manner. The author of the judgment is neither named nor otherwise identifiable.</w:t>
      </w:r>
      <w:r w:rsidRPr="00CD1E70">
        <w:rPr>
          <w:rStyle w:val="FootnoteReference"/>
          <w:rFonts w:ascii="Times New Roman" w:hAnsi="Times New Roman" w:cs="Times New Roman"/>
        </w:rPr>
        <w:footnoteReference w:id="20"/>
      </w:r>
    </w:p>
    <w:p w14:paraId="3CE011C4" w14:textId="347C9773" w:rsidR="00A515CB" w:rsidRDefault="00A515CB" w:rsidP="00E528D8">
      <w:pPr>
        <w:spacing w:after="0" w:line="360" w:lineRule="auto"/>
        <w:jc w:val="both"/>
        <w:rPr>
          <w:rFonts w:ascii="Times New Roman" w:hAnsi="Times New Roman" w:cs="Times New Roman"/>
        </w:rPr>
      </w:pPr>
    </w:p>
    <w:p w14:paraId="1228F824" w14:textId="63C7046C" w:rsidR="00CD1E70" w:rsidRDefault="00CD1E70" w:rsidP="00E528D8">
      <w:pPr>
        <w:spacing w:after="0" w:line="360" w:lineRule="auto"/>
        <w:jc w:val="both"/>
        <w:rPr>
          <w:rFonts w:ascii="Times New Roman" w:hAnsi="Times New Roman" w:cs="Times New Roman"/>
        </w:rPr>
      </w:pPr>
      <w:r>
        <w:rPr>
          <w:rFonts w:ascii="Times New Roman" w:hAnsi="Times New Roman" w:cs="Times New Roman"/>
        </w:rPr>
        <w:t xml:space="preserve">Although written from a different perspective, </w:t>
      </w:r>
      <w:proofErr w:type="spellStart"/>
      <w:r>
        <w:rPr>
          <w:rFonts w:ascii="Times New Roman" w:hAnsi="Times New Roman" w:cs="Times New Roman"/>
        </w:rPr>
        <w:t>Merryman’s</w:t>
      </w:r>
      <w:proofErr w:type="spellEnd"/>
      <w:r>
        <w:rPr>
          <w:rFonts w:ascii="Times New Roman" w:hAnsi="Times New Roman" w:cs="Times New Roman"/>
        </w:rPr>
        <w:t xml:space="preserve"> survey of the civil law tradition provides a nearly identical account: </w:t>
      </w:r>
    </w:p>
    <w:p w14:paraId="1ACDC9E5" w14:textId="77777777" w:rsidR="00CD1E70" w:rsidRDefault="00CD1E70" w:rsidP="00E528D8">
      <w:pPr>
        <w:spacing w:after="0" w:line="360" w:lineRule="auto"/>
        <w:jc w:val="both"/>
        <w:rPr>
          <w:rFonts w:ascii="Times New Roman" w:hAnsi="Times New Roman" w:cs="Times New Roman"/>
        </w:rPr>
      </w:pPr>
    </w:p>
    <w:p w14:paraId="65017FD8" w14:textId="1EF4A106" w:rsidR="00CD1E70" w:rsidRPr="00CD1E70" w:rsidRDefault="00B06D9B" w:rsidP="0042361F">
      <w:pPr>
        <w:spacing w:after="0"/>
        <w:ind w:left="720" w:right="720"/>
        <w:jc w:val="both"/>
        <w:rPr>
          <w:rFonts w:ascii="Times New Roman" w:hAnsi="Times New Roman" w:cs="Times New Roman"/>
        </w:rPr>
      </w:pPr>
      <w:r>
        <w:rPr>
          <w:rFonts w:ascii="Times New Roman" w:hAnsi="Times New Roman" w:cs="Times New Roman"/>
        </w:rPr>
        <w:t>In general, there are no separate concurring or dissenting opinions, even at the appellate level, in civil law jurisdictions.  Although exceptions do exist, the general rule is one of unanimity and anonymity.  Even dissenting votes are not noted, and it is considered unethical for judges to indicate that they have taken a position at variance with that announced in the decision of the court.  A recent tendency toward noting dissents and separate concurrences, and even toward the publication of separate opinions, has developed in the constitutional courts of some civil law jurisdictions.  But the standard attitude is that the law is certain and should appear so, and that this certainty would be impaired by noting dissents and by publishing separate opinions.</w:t>
      </w:r>
      <w:r>
        <w:rPr>
          <w:rStyle w:val="FootnoteReference"/>
          <w:rFonts w:ascii="Times New Roman" w:hAnsi="Times New Roman" w:cs="Times New Roman"/>
        </w:rPr>
        <w:footnoteReference w:id="21"/>
      </w:r>
      <w:r>
        <w:rPr>
          <w:rFonts w:ascii="Times New Roman" w:hAnsi="Times New Roman" w:cs="Times New Roman"/>
        </w:rPr>
        <w:t xml:space="preserve">  </w:t>
      </w:r>
    </w:p>
    <w:p w14:paraId="23169F89" w14:textId="77777777" w:rsidR="00A515CB" w:rsidRPr="00A515CB" w:rsidRDefault="00A515CB" w:rsidP="00E528D8">
      <w:pPr>
        <w:spacing w:after="0" w:line="360" w:lineRule="auto"/>
        <w:jc w:val="both"/>
        <w:rPr>
          <w:rFonts w:ascii="Times New Roman" w:hAnsi="Times New Roman" w:cs="Times New Roman"/>
        </w:rPr>
      </w:pPr>
    </w:p>
    <w:p w14:paraId="45F24FFA" w14:textId="694A4F44" w:rsidR="005222EE" w:rsidRDefault="00B06D9B" w:rsidP="00E528D8">
      <w:pPr>
        <w:spacing w:after="0" w:line="360" w:lineRule="auto"/>
        <w:jc w:val="both"/>
        <w:rPr>
          <w:rFonts w:ascii="Times New Roman" w:hAnsi="Times New Roman" w:cs="Times New Roman"/>
        </w:rPr>
      </w:pPr>
      <w:r>
        <w:rPr>
          <w:rFonts w:ascii="Times New Roman" w:hAnsi="Times New Roman" w:cs="Times New Roman"/>
        </w:rPr>
        <w:t xml:space="preserve">As Merryman notes, the practice of dissent has made some inroads into some civil law systems, most notably in the constitutional courts of </w:t>
      </w:r>
      <w:r w:rsidR="005222EE">
        <w:rPr>
          <w:rFonts w:ascii="Times New Roman" w:hAnsi="Times New Roman" w:cs="Times New Roman"/>
        </w:rPr>
        <w:t>Germany and Italy, but the</w:t>
      </w:r>
      <w:r w:rsidR="0029219B">
        <w:rPr>
          <w:rFonts w:ascii="Times New Roman" w:hAnsi="Times New Roman" w:cs="Times New Roman"/>
        </w:rPr>
        <w:t xml:space="preserve"> traditional</w:t>
      </w:r>
      <w:r w:rsidR="005222EE">
        <w:rPr>
          <w:rFonts w:ascii="Times New Roman" w:hAnsi="Times New Roman" w:cs="Times New Roman"/>
        </w:rPr>
        <w:t xml:space="preserve"> civil law insistence on stifling dissent in order to promote legal certainty as well as judicial legitimacy</w:t>
      </w:r>
      <w:r w:rsidR="009106B7">
        <w:rPr>
          <w:rFonts w:ascii="Times New Roman" w:hAnsi="Times New Roman" w:cs="Times New Roman"/>
        </w:rPr>
        <w:t xml:space="preserve"> remains a general rule,</w:t>
      </w:r>
      <w:r w:rsidR="005222EE">
        <w:rPr>
          <w:rFonts w:ascii="Times New Roman" w:hAnsi="Times New Roman" w:cs="Times New Roman"/>
        </w:rPr>
        <w:t xml:space="preserve"> reminiscent of Marshall’s aims</w:t>
      </w:r>
      <w:r w:rsidR="009106B7">
        <w:rPr>
          <w:rFonts w:ascii="Times New Roman" w:hAnsi="Times New Roman" w:cs="Times New Roman"/>
        </w:rPr>
        <w:t>,</w:t>
      </w:r>
      <w:r w:rsidR="005222EE">
        <w:rPr>
          <w:rFonts w:ascii="Times New Roman" w:hAnsi="Times New Roman" w:cs="Times New Roman"/>
        </w:rPr>
        <w:t xml:space="preserve"> </w:t>
      </w:r>
      <w:r w:rsidR="009106B7">
        <w:rPr>
          <w:rFonts w:ascii="Times New Roman" w:hAnsi="Times New Roman" w:cs="Times New Roman"/>
        </w:rPr>
        <w:t>but</w:t>
      </w:r>
      <w:r w:rsidR="005222EE">
        <w:rPr>
          <w:rFonts w:ascii="Times New Roman" w:hAnsi="Times New Roman" w:cs="Times New Roman"/>
        </w:rPr>
        <w:t xml:space="preserve"> in stark contrast to contemporary US practice.</w:t>
      </w:r>
      <w:r w:rsidR="00B05003">
        <w:rPr>
          <w:rStyle w:val="FootnoteReference"/>
          <w:rFonts w:ascii="Times New Roman" w:hAnsi="Times New Roman" w:cs="Times New Roman"/>
        </w:rPr>
        <w:footnoteReference w:id="22"/>
      </w:r>
      <w:r w:rsidR="005222EE">
        <w:rPr>
          <w:rFonts w:ascii="Times New Roman" w:hAnsi="Times New Roman" w:cs="Times New Roman"/>
        </w:rPr>
        <w:t xml:space="preserve">  </w:t>
      </w:r>
    </w:p>
    <w:p w14:paraId="3689A8ED" w14:textId="124A6545" w:rsidR="005222EE" w:rsidRDefault="005222EE" w:rsidP="00E528D8">
      <w:pPr>
        <w:spacing w:after="0" w:line="360" w:lineRule="auto"/>
        <w:jc w:val="both"/>
        <w:rPr>
          <w:rFonts w:ascii="Times New Roman" w:hAnsi="Times New Roman" w:cs="Times New Roman"/>
        </w:rPr>
      </w:pPr>
      <w:r>
        <w:rPr>
          <w:rFonts w:ascii="Times New Roman" w:hAnsi="Times New Roman" w:cs="Times New Roman"/>
        </w:rPr>
        <w:tab/>
        <w:t xml:space="preserve">Ginsburg speculates on some of the reasons for this contrast between civil law and common law systems.  </w:t>
      </w:r>
      <w:r w:rsidR="00A52728">
        <w:rPr>
          <w:rFonts w:ascii="Times New Roman" w:hAnsi="Times New Roman" w:cs="Times New Roman"/>
        </w:rPr>
        <w:t xml:space="preserve">In addition to the different conceptions of law, she suggests, the embrace of anonymous, </w:t>
      </w:r>
      <w:r w:rsidR="00A52728">
        <w:rPr>
          <w:rFonts w:ascii="Times New Roman" w:hAnsi="Times New Roman" w:cs="Times New Roman"/>
          <w:i/>
        </w:rPr>
        <w:t>per curiam</w:t>
      </w:r>
      <w:r w:rsidR="00A52728">
        <w:rPr>
          <w:rFonts w:ascii="Times New Roman" w:hAnsi="Times New Roman" w:cs="Times New Roman"/>
        </w:rPr>
        <w:t xml:space="preserve"> decisions and the suppression of dissent also fits in with the very different career and recruitment patterns of civil law judges.  By contrast with US appellate judges, who are typically recruited “from among practicing advocates at the height of their reputation,”</w:t>
      </w:r>
      <w:r w:rsidR="00A52728">
        <w:rPr>
          <w:rStyle w:val="FootnoteReference"/>
          <w:rFonts w:ascii="Times New Roman" w:hAnsi="Times New Roman" w:cs="Times New Roman"/>
        </w:rPr>
        <w:footnoteReference w:id="23"/>
      </w:r>
      <w:r w:rsidR="00A52728">
        <w:rPr>
          <w:rFonts w:ascii="Times New Roman" w:hAnsi="Times New Roman" w:cs="Times New Roman"/>
        </w:rPr>
        <w:t xml:space="preserve"> and used to speaking in a distinctive legal voice, the career path of a judge is through the civil service, serving among large numbers of other career civil-service judges.  Furthermore, the absence of any formal system of precedent removes part of the incentive that common law judges have to ensure that their views become part of the legal record, recoverable by a future majority.  </w:t>
      </w:r>
      <w:r w:rsidR="00077925">
        <w:rPr>
          <w:rFonts w:ascii="Times New Roman" w:hAnsi="Times New Roman" w:cs="Times New Roman"/>
        </w:rPr>
        <w:t>Whatever the reasons for the correlation, it is clear that the tradition of vigorous and open judicial dissent in the Unit</w:t>
      </w:r>
      <w:r w:rsidR="006B787A">
        <w:rPr>
          <w:rFonts w:ascii="Times New Roman" w:hAnsi="Times New Roman" w:cs="Times New Roman"/>
        </w:rPr>
        <w:t>ed States is indeed</w:t>
      </w:r>
      <w:r w:rsidR="00077925">
        <w:rPr>
          <w:rFonts w:ascii="Times New Roman" w:hAnsi="Times New Roman" w:cs="Times New Roman"/>
        </w:rPr>
        <w:t xml:space="preserve"> foreign to most civil law </w:t>
      </w:r>
      <w:r w:rsidR="00077925">
        <w:rPr>
          <w:rFonts w:ascii="Times New Roman" w:hAnsi="Times New Roman" w:cs="Times New Roman"/>
        </w:rPr>
        <w:lastRenderedPageBreak/>
        <w:t>systems</w:t>
      </w:r>
      <w:r w:rsidR="006B787A">
        <w:rPr>
          <w:rFonts w:ascii="Times New Roman" w:hAnsi="Times New Roman" w:cs="Times New Roman"/>
        </w:rPr>
        <w:t>, and that the question of dissenting votes and opinions may be institutionally nested within broader legal traditions that are resistant to change</w:t>
      </w:r>
      <w:r w:rsidR="00077925">
        <w:rPr>
          <w:rFonts w:ascii="Times New Roman" w:hAnsi="Times New Roman" w:cs="Times New Roman"/>
        </w:rPr>
        <w:t>.</w:t>
      </w:r>
    </w:p>
    <w:p w14:paraId="709DCD34" w14:textId="5F57971E" w:rsidR="00077925" w:rsidRDefault="00077925" w:rsidP="00E528D8">
      <w:pPr>
        <w:spacing w:after="0" w:line="360" w:lineRule="auto"/>
        <w:jc w:val="both"/>
        <w:rPr>
          <w:rFonts w:ascii="Times New Roman" w:hAnsi="Times New Roman" w:cs="Times New Roman"/>
        </w:rPr>
      </w:pPr>
      <w:r>
        <w:rPr>
          <w:rFonts w:ascii="Times New Roman" w:hAnsi="Times New Roman" w:cs="Times New Roman"/>
        </w:rPr>
        <w:tab/>
        <w:t xml:space="preserve">In addition to the issue of broad legal tradition, the US literature also holds constant, and hence largely ignores, the </w:t>
      </w:r>
      <w:r w:rsidR="00CA4C07">
        <w:rPr>
          <w:rFonts w:ascii="Times New Roman" w:hAnsi="Times New Roman" w:cs="Times New Roman"/>
        </w:rPr>
        <w:t xml:space="preserve">interrelated </w:t>
      </w:r>
      <w:r>
        <w:rPr>
          <w:rFonts w:ascii="Times New Roman" w:hAnsi="Times New Roman" w:cs="Times New Roman"/>
        </w:rPr>
        <w:t>question</w:t>
      </w:r>
      <w:r w:rsidR="00CA4C07">
        <w:rPr>
          <w:rFonts w:ascii="Times New Roman" w:hAnsi="Times New Roman" w:cs="Times New Roman"/>
        </w:rPr>
        <w:t>s</w:t>
      </w:r>
      <w:r>
        <w:rPr>
          <w:rFonts w:ascii="Times New Roman" w:hAnsi="Times New Roman" w:cs="Times New Roman"/>
        </w:rPr>
        <w:t xml:space="preserve"> of judicial </w:t>
      </w:r>
      <w:r w:rsidR="00CA4C07">
        <w:rPr>
          <w:rFonts w:ascii="Times New Roman" w:hAnsi="Times New Roman" w:cs="Times New Roman"/>
        </w:rPr>
        <w:t xml:space="preserve">terms, </w:t>
      </w:r>
      <w:r>
        <w:rPr>
          <w:rFonts w:ascii="Times New Roman" w:hAnsi="Times New Roman" w:cs="Times New Roman"/>
        </w:rPr>
        <w:t>appointment</w:t>
      </w:r>
      <w:r w:rsidR="009106B7">
        <w:rPr>
          <w:rFonts w:ascii="Times New Roman" w:hAnsi="Times New Roman" w:cs="Times New Roman"/>
        </w:rPr>
        <w:t>,</w:t>
      </w:r>
      <w:r>
        <w:rPr>
          <w:rFonts w:ascii="Times New Roman" w:hAnsi="Times New Roman" w:cs="Times New Roman"/>
        </w:rPr>
        <w:t xml:space="preserve"> and (in some cases) reappointment, on the assumption that the US federal judges at the heart of the literature enjoy lifetime appointments contingent only upon good behavior.  For such judges, issuing individually signed, public and sometimes unpopular decisions – whether majority, concurring, or dissenting – is unlikely to pose any significant threat to judicial independence, since the judge is safe from retaliation or reward by the political branches.  By contrast, Ginsburg notes, individually signed public opinions, including but not limited to dissents, “may sweep away judges who lack the cushion of life tenure.”</w:t>
      </w:r>
      <w:r w:rsidR="00C72704">
        <w:rPr>
          <w:rStyle w:val="FootnoteReference"/>
          <w:rFonts w:ascii="Times New Roman" w:hAnsi="Times New Roman" w:cs="Times New Roman"/>
        </w:rPr>
        <w:footnoteReference w:id="24"/>
      </w:r>
      <w:r>
        <w:rPr>
          <w:rFonts w:ascii="Times New Roman" w:hAnsi="Times New Roman" w:cs="Times New Roman"/>
        </w:rPr>
        <w:t xml:space="preserve">  She gives t</w:t>
      </w:r>
      <w:r w:rsidR="00C72704">
        <w:rPr>
          <w:rFonts w:ascii="Times New Roman" w:hAnsi="Times New Roman" w:cs="Times New Roman"/>
        </w:rPr>
        <w:t>he example of California Supreme C</w:t>
      </w:r>
      <w:r>
        <w:rPr>
          <w:rFonts w:ascii="Times New Roman" w:hAnsi="Times New Roman" w:cs="Times New Roman"/>
        </w:rPr>
        <w:t>ourt judges who were voted out of office in 1986</w:t>
      </w:r>
      <w:r w:rsidR="00C72704">
        <w:rPr>
          <w:rFonts w:ascii="Times New Roman" w:hAnsi="Times New Roman" w:cs="Times New Roman"/>
        </w:rPr>
        <w:t xml:space="preserve"> following an unpopular opinion</w:t>
      </w:r>
      <w:r>
        <w:rPr>
          <w:rFonts w:ascii="Times New Roman" w:hAnsi="Times New Roman" w:cs="Times New Roman"/>
        </w:rPr>
        <w:t>, and quotes a commentator in that case:</w:t>
      </w:r>
    </w:p>
    <w:p w14:paraId="70D6424B" w14:textId="77777777" w:rsidR="00077925" w:rsidRDefault="00077925" w:rsidP="00E528D8">
      <w:pPr>
        <w:spacing w:after="0" w:line="360" w:lineRule="auto"/>
        <w:jc w:val="both"/>
        <w:rPr>
          <w:rFonts w:ascii="Times New Roman" w:hAnsi="Times New Roman" w:cs="Times New Roman"/>
        </w:rPr>
      </w:pPr>
    </w:p>
    <w:p w14:paraId="66BA2191" w14:textId="39BE0FB5" w:rsidR="00077925" w:rsidRDefault="00077925" w:rsidP="0042361F">
      <w:pPr>
        <w:spacing w:after="0"/>
        <w:ind w:left="720" w:right="720"/>
        <w:jc w:val="both"/>
        <w:rPr>
          <w:rFonts w:ascii="Times New Roman" w:hAnsi="Times New Roman" w:cs="Times New Roman"/>
        </w:rPr>
      </w:pPr>
      <w:r w:rsidRPr="00323B71">
        <w:rPr>
          <w:rFonts w:ascii="Times New Roman" w:hAnsi="Times New Roman" w:cs="Times New Roman"/>
        </w:rPr>
        <w:t xml:space="preserve">Good judges reaching well-reasoned and even </w:t>
      </w:r>
      <w:proofErr w:type="spellStart"/>
      <w:r w:rsidRPr="00323B71">
        <w:rPr>
          <w:rFonts w:ascii="Times New Roman" w:hAnsi="Times New Roman" w:cs="Times New Roman"/>
        </w:rPr>
        <w:t>precedentially</w:t>
      </w:r>
      <w:proofErr w:type="spellEnd"/>
      <w:r w:rsidRPr="00323B71">
        <w:rPr>
          <w:rFonts w:ascii="Times New Roman" w:hAnsi="Times New Roman" w:cs="Times New Roman"/>
        </w:rPr>
        <w:t>-restrained</w:t>
      </w:r>
      <w:r>
        <w:rPr>
          <w:rFonts w:ascii="Times New Roman" w:hAnsi="Times New Roman" w:cs="Times New Roman"/>
        </w:rPr>
        <w:t xml:space="preserve"> </w:t>
      </w:r>
      <w:r w:rsidRPr="00323B71">
        <w:rPr>
          <w:rFonts w:ascii="Times New Roman" w:hAnsi="Times New Roman" w:cs="Times New Roman"/>
        </w:rPr>
        <w:t>results in one particularly controversial case are seriously at risk if a</w:t>
      </w:r>
      <w:r>
        <w:rPr>
          <w:rFonts w:ascii="Times New Roman" w:hAnsi="Times New Roman" w:cs="Times New Roman"/>
        </w:rPr>
        <w:t xml:space="preserve"> </w:t>
      </w:r>
      <w:r w:rsidRPr="00323B71">
        <w:rPr>
          <w:rFonts w:ascii="Times New Roman" w:hAnsi="Times New Roman" w:cs="Times New Roman"/>
        </w:rPr>
        <w:t>majority of the electorate feels strongly enough about the one issue. Justices</w:t>
      </w:r>
      <w:r>
        <w:rPr>
          <w:rFonts w:ascii="Times New Roman" w:hAnsi="Times New Roman" w:cs="Times New Roman"/>
        </w:rPr>
        <w:t xml:space="preserve"> </w:t>
      </w:r>
      <w:r w:rsidRPr="00323B71">
        <w:rPr>
          <w:rFonts w:ascii="Times New Roman" w:hAnsi="Times New Roman" w:cs="Times New Roman"/>
        </w:rPr>
        <w:t>who lack principle so that they bend to the pressure of popular</w:t>
      </w:r>
      <w:r>
        <w:rPr>
          <w:rFonts w:ascii="Times New Roman" w:hAnsi="Times New Roman" w:cs="Times New Roman"/>
        </w:rPr>
        <w:t xml:space="preserve"> </w:t>
      </w:r>
      <w:r w:rsidRPr="00323B71">
        <w:rPr>
          <w:rFonts w:ascii="Times New Roman" w:hAnsi="Times New Roman" w:cs="Times New Roman"/>
        </w:rPr>
        <w:t>opinion will be retained. This places too much external pressure upon</w:t>
      </w:r>
      <w:r>
        <w:rPr>
          <w:rFonts w:ascii="Times New Roman" w:hAnsi="Times New Roman" w:cs="Times New Roman"/>
        </w:rPr>
        <w:t xml:space="preserve"> </w:t>
      </w:r>
      <w:r w:rsidRPr="00323B71">
        <w:rPr>
          <w:rFonts w:ascii="Times New Roman" w:hAnsi="Times New Roman" w:cs="Times New Roman"/>
        </w:rPr>
        <w:t>the justices.</w:t>
      </w:r>
      <w:r w:rsidR="00C72704">
        <w:rPr>
          <w:rStyle w:val="FootnoteReference"/>
          <w:rFonts w:ascii="Times New Roman" w:hAnsi="Times New Roman" w:cs="Times New Roman"/>
        </w:rPr>
        <w:footnoteReference w:id="25"/>
      </w:r>
      <w:r>
        <w:rPr>
          <w:rFonts w:ascii="Times New Roman" w:hAnsi="Times New Roman" w:cs="Times New Roman"/>
        </w:rPr>
        <w:t xml:space="preserve"> </w:t>
      </w:r>
    </w:p>
    <w:p w14:paraId="0DA6AE4A" w14:textId="77777777" w:rsidR="00077925" w:rsidRDefault="00077925" w:rsidP="00E528D8">
      <w:pPr>
        <w:spacing w:after="0" w:line="360" w:lineRule="auto"/>
        <w:jc w:val="both"/>
        <w:rPr>
          <w:rFonts w:ascii="Times New Roman" w:hAnsi="Times New Roman" w:cs="Times New Roman"/>
        </w:rPr>
      </w:pPr>
    </w:p>
    <w:p w14:paraId="4A71DB42" w14:textId="77777777" w:rsidR="006B787A" w:rsidRDefault="00C72704" w:rsidP="00E528D8">
      <w:pPr>
        <w:spacing w:after="0" w:line="360" w:lineRule="auto"/>
        <w:jc w:val="both"/>
        <w:rPr>
          <w:rFonts w:ascii="Times New Roman" w:hAnsi="Times New Roman" w:cs="Times New Roman"/>
        </w:rPr>
      </w:pPr>
      <w:r>
        <w:rPr>
          <w:rFonts w:ascii="Times New Roman" w:hAnsi="Times New Roman" w:cs="Times New Roman"/>
        </w:rPr>
        <w:t>“</w:t>
      </w:r>
      <w:r w:rsidR="00077925" w:rsidRPr="00323B71">
        <w:rPr>
          <w:rFonts w:ascii="Times New Roman" w:hAnsi="Times New Roman" w:cs="Times New Roman"/>
        </w:rPr>
        <w:t>There is security in anonymity</w:t>
      </w:r>
      <w:r>
        <w:rPr>
          <w:rFonts w:ascii="Times New Roman" w:hAnsi="Times New Roman" w:cs="Times New Roman"/>
        </w:rPr>
        <w:t>,” Ginsburg concludes,</w:t>
      </w:r>
      <w:r w:rsidR="00077925" w:rsidRPr="00323B71">
        <w:rPr>
          <w:rFonts w:ascii="Times New Roman" w:hAnsi="Times New Roman" w:cs="Times New Roman"/>
        </w:rPr>
        <w:t xml:space="preserve"> </w:t>
      </w:r>
      <w:r>
        <w:rPr>
          <w:rFonts w:ascii="Times New Roman" w:hAnsi="Times New Roman" w:cs="Times New Roman"/>
        </w:rPr>
        <w:t>“</w:t>
      </w:r>
      <w:r w:rsidR="00077925" w:rsidRPr="00323B71">
        <w:rPr>
          <w:rFonts w:ascii="Times New Roman" w:hAnsi="Times New Roman" w:cs="Times New Roman"/>
        </w:rPr>
        <w:t>as these illustrations attest.</w:t>
      </w:r>
      <w:r>
        <w:rPr>
          <w:rFonts w:ascii="Times New Roman" w:hAnsi="Times New Roman" w:cs="Times New Roman"/>
        </w:rPr>
        <w:t>”</w:t>
      </w:r>
      <w:r>
        <w:rPr>
          <w:rStyle w:val="FootnoteReference"/>
          <w:rFonts w:ascii="Times New Roman" w:hAnsi="Times New Roman" w:cs="Times New Roman"/>
        </w:rPr>
        <w:footnoteReference w:id="26"/>
      </w:r>
      <w:r>
        <w:rPr>
          <w:rFonts w:ascii="Times New Roman" w:hAnsi="Times New Roman" w:cs="Times New Roman"/>
        </w:rPr>
        <w:t xml:space="preserve">  </w:t>
      </w:r>
    </w:p>
    <w:p w14:paraId="2772E6A1" w14:textId="6106BA12" w:rsidR="0014560A" w:rsidRDefault="006B787A" w:rsidP="006B787A">
      <w:pPr>
        <w:spacing w:after="0" w:line="360" w:lineRule="auto"/>
        <w:ind w:firstLine="720"/>
        <w:jc w:val="both"/>
        <w:rPr>
          <w:rFonts w:ascii="Times New Roman" w:hAnsi="Times New Roman" w:cs="Times New Roman"/>
        </w:rPr>
      </w:pPr>
      <w:r>
        <w:rPr>
          <w:rFonts w:ascii="Times New Roman" w:hAnsi="Times New Roman" w:cs="Times New Roman"/>
        </w:rPr>
        <w:t xml:space="preserve">The relationship between </w:t>
      </w:r>
      <w:r w:rsidR="009C46CE">
        <w:rPr>
          <w:rFonts w:ascii="Times New Roman" w:hAnsi="Times New Roman" w:cs="Times New Roman"/>
        </w:rPr>
        <w:t xml:space="preserve">issuing separate </w:t>
      </w:r>
      <w:r>
        <w:rPr>
          <w:rFonts w:ascii="Times New Roman" w:hAnsi="Times New Roman" w:cs="Times New Roman"/>
        </w:rPr>
        <w:t>opinions</w:t>
      </w:r>
      <w:r w:rsidR="009C46CE">
        <w:rPr>
          <w:rFonts w:ascii="Times New Roman" w:hAnsi="Times New Roman" w:cs="Times New Roman"/>
        </w:rPr>
        <w:t>, on the one hand,</w:t>
      </w:r>
      <w:r>
        <w:rPr>
          <w:rFonts w:ascii="Times New Roman" w:hAnsi="Times New Roman" w:cs="Times New Roman"/>
        </w:rPr>
        <w:t xml:space="preserve"> and </w:t>
      </w:r>
      <w:r w:rsidR="009C46CE">
        <w:rPr>
          <w:rFonts w:ascii="Times New Roman" w:hAnsi="Times New Roman" w:cs="Times New Roman"/>
        </w:rPr>
        <w:t xml:space="preserve">the nature and structure of </w:t>
      </w:r>
      <w:r>
        <w:rPr>
          <w:rFonts w:ascii="Times New Roman" w:hAnsi="Times New Roman" w:cs="Times New Roman"/>
        </w:rPr>
        <w:t>judicial terms and appointment procedures</w:t>
      </w:r>
      <w:r w:rsidR="009C46CE">
        <w:rPr>
          <w:rFonts w:ascii="Times New Roman" w:hAnsi="Times New Roman" w:cs="Times New Roman"/>
        </w:rPr>
        <w:t>, on the other,</w:t>
      </w:r>
      <w:r>
        <w:rPr>
          <w:rFonts w:ascii="Times New Roman" w:hAnsi="Times New Roman" w:cs="Times New Roman"/>
        </w:rPr>
        <w:t xml:space="preserve"> may arise in similarly stark terms in other legal systems.  For example, a</w:t>
      </w:r>
      <w:r w:rsidR="00CA4C07">
        <w:rPr>
          <w:rFonts w:ascii="Times New Roman" w:hAnsi="Times New Roman" w:cs="Times New Roman"/>
        </w:rPr>
        <w:t xml:space="preserve"> similar</w:t>
      </w:r>
      <w:r w:rsidR="00966AF3">
        <w:rPr>
          <w:rFonts w:ascii="Times New Roman" w:hAnsi="Times New Roman" w:cs="Times New Roman"/>
        </w:rPr>
        <w:t xml:space="preserve"> fear of retribution against judges casting individual opinions also informed the decision by the political branches in Germany to alter the judicial appointment of judges to the German Constitutional Court.  In 1970, as part of a reform </w:t>
      </w:r>
      <w:r w:rsidR="00966AF3">
        <w:rPr>
          <w:rFonts w:ascii="Times New Roman" w:hAnsi="Times New Roman" w:cs="Times New Roman"/>
        </w:rPr>
        <w:lastRenderedPageBreak/>
        <w:t xml:space="preserve">that allowed </w:t>
      </w:r>
      <w:r w:rsidR="00CA4C07">
        <w:rPr>
          <w:rFonts w:ascii="Times New Roman" w:hAnsi="Times New Roman" w:cs="Times New Roman"/>
        </w:rPr>
        <w:t>the Court to publish concurring and dissenting opinions, the political branches in Germany, “[</w:t>
      </w:r>
      <w:proofErr w:type="gramStart"/>
      <w:r w:rsidR="00CA4C07">
        <w:rPr>
          <w:rFonts w:ascii="Times New Roman" w:hAnsi="Times New Roman" w:cs="Times New Roman"/>
        </w:rPr>
        <w:t>r]</w:t>
      </w:r>
      <w:proofErr w:type="spellStart"/>
      <w:r w:rsidR="00CA4C07">
        <w:rPr>
          <w:rFonts w:ascii="Times New Roman" w:hAnsi="Times New Roman" w:cs="Times New Roman"/>
        </w:rPr>
        <w:t>esponding</w:t>
      </w:r>
      <w:proofErr w:type="spellEnd"/>
      <w:proofErr w:type="gramEnd"/>
      <w:r w:rsidR="00CA4C07">
        <w:rPr>
          <w:rFonts w:ascii="Times New Roman" w:hAnsi="Times New Roman" w:cs="Times New Roman"/>
        </w:rPr>
        <w:t xml:space="preserve"> to the concern that reappointment considerations might influence a judge’s votes,”</w:t>
      </w:r>
      <w:r w:rsidR="00CA4C07">
        <w:rPr>
          <w:rStyle w:val="FootnoteReference"/>
          <w:rFonts w:ascii="Times New Roman" w:hAnsi="Times New Roman" w:cs="Times New Roman"/>
        </w:rPr>
        <w:footnoteReference w:id="27"/>
      </w:r>
      <w:r w:rsidR="00CA4C07">
        <w:rPr>
          <w:rFonts w:ascii="Times New Roman" w:hAnsi="Times New Roman" w:cs="Times New Roman"/>
        </w:rPr>
        <w:t xml:space="preserve"> altered the appointment process for those judges, moving from a system of short, renewable terms to a new system of non-renewable, 12-year terms.</w:t>
      </w:r>
      <w:r w:rsidR="005222EE">
        <w:rPr>
          <w:rStyle w:val="FootnoteReference"/>
          <w:rFonts w:ascii="Times New Roman" w:hAnsi="Times New Roman" w:cs="Times New Roman"/>
        </w:rPr>
        <w:footnoteReference w:id="28"/>
      </w:r>
      <w:r w:rsidR="005222EE">
        <w:rPr>
          <w:rFonts w:ascii="Times New Roman" w:hAnsi="Times New Roman" w:cs="Times New Roman"/>
        </w:rPr>
        <w:t xml:space="preserve">  </w:t>
      </w:r>
      <w:r>
        <w:rPr>
          <w:rFonts w:ascii="Times New Roman" w:hAnsi="Times New Roman" w:cs="Times New Roman"/>
        </w:rPr>
        <w:t xml:space="preserve">Extrapolating from these cases, </w:t>
      </w:r>
      <w:r w:rsidR="00492BDF">
        <w:rPr>
          <w:rFonts w:ascii="Times New Roman" w:hAnsi="Times New Roman" w:cs="Times New Roman"/>
        </w:rPr>
        <w:t>we may theorize more generally about the interrelationship between judicial appointment, judicial independence, and dissent.  More specifically, we may hypothesize</w:t>
      </w:r>
      <w:r w:rsidRPr="006B787A">
        <w:rPr>
          <w:rFonts w:ascii="Times New Roman" w:hAnsi="Times New Roman" w:cs="Times New Roman"/>
        </w:rPr>
        <w:t xml:space="preserve"> that with respect to three</w:t>
      </w:r>
      <w:r w:rsidR="005E0DF6">
        <w:rPr>
          <w:rFonts w:ascii="Times New Roman" w:hAnsi="Times New Roman" w:cs="Times New Roman"/>
        </w:rPr>
        <w:t xml:space="preserve"> design features</w:t>
      </w:r>
      <w:r w:rsidRPr="006B787A">
        <w:rPr>
          <w:rFonts w:ascii="Times New Roman" w:hAnsi="Times New Roman" w:cs="Times New Roman"/>
        </w:rPr>
        <w:t xml:space="preserve"> – renewable terms, open voting and dissent,</w:t>
      </w:r>
      <w:r w:rsidR="00492BDF">
        <w:rPr>
          <w:rFonts w:ascii="Times New Roman" w:hAnsi="Times New Roman" w:cs="Times New Roman"/>
        </w:rPr>
        <w:t xml:space="preserve"> and judicial independence – judicial systems face </w:t>
      </w:r>
      <w:r w:rsidR="009C46CE">
        <w:rPr>
          <w:rFonts w:ascii="Times New Roman" w:hAnsi="Times New Roman" w:cs="Times New Roman"/>
        </w:rPr>
        <w:t>potential</w:t>
      </w:r>
      <w:r w:rsidR="00492BDF">
        <w:rPr>
          <w:rFonts w:ascii="Times New Roman" w:hAnsi="Times New Roman" w:cs="Times New Roman"/>
        </w:rPr>
        <w:t xml:space="preserve"> trade-off</w:t>
      </w:r>
      <w:r w:rsidR="009C46CE">
        <w:rPr>
          <w:rFonts w:ascii="Times New Roman" w:hAnsi="Times New Roman" w:cs="Times New Roman"/>
        </w:rPr>
        <w:t>s</w:t>
      </w:r>
      <w:r w:rsidR="00492BDF">
        <w:rPr>
          <w:rFonts w:ascii="Times New Roman" w:hAnsi="Times New Roman" w:cs="Times New Roman"/>
        </w:rPr>
        <w:t>, such that a</w:t>
      </w:r>
      <w:r w:rsidR="009C46CE">
        <w:rPr>
          <w:rFonts w:ascii="Times New Roman" w:hAnsi="Times New Roman" w:cs="Times New Roman"/>
        </w:rPr>
        <w:t>ny</w:t>
      </w:r>
      <w:r w:rsidR="00492BDF">
        <w:rPr>
          <w:rFonts w:ascii="Times New Roman" w:hAnsi="Times New Roman" w:cs="Times New Roman"/>
        </w:rPr>
        <w:t xml:space="preserve"> given court can</w:t>
      </w:r>
      <w:r w:rsidRPr="006B787A">
        <w:rPr>
          <w:rFonts w:ascii="Times New Roman" w:hAnsi="Times New Roman" w:cs="Times New Roman"/>
        </w:rPr>
        <w:t xml:space="preserve"> </w:t>
      </w:r>
      <w:r w:rsidR="008B7400">
        <w:rPr>
          <w:rFonts w:ascii="Times New Roman" w:hAnsi="Times New Roman" w:cs="Times New Roman"/>
        </w:rPr>
        <w:t xml:space="preserve">maximize </w:t>
      </w:r>
      <w:r w:rsidRPr="006B787A">
        <w:rPr>
          <w:rFonts w:ascii="Times New Roman" w:hAnsi="Times New Roman" w:cs="Times New Roman"/>
        </w:rPr>
        <w:t>two, but not all three</w:t>
      </w:r>
      <w:r w:rsidR="00492BDF">
        <w:rPr>
          <w:rFonts w:ascii="Times New Roman" w:hAnsi="Times New Roman" w:cs="Times New Roman"/>
        </w:rPr>
        <w:t>, of these features</w:t>
      </w:r>
      <w:r w:rsidR="00CC585D">
        <w:rPr>
          <w:rStyle w:val="FootnoteReference"/>
          <w:rFonts w:ascii="Times New Roman" w:hAnsi="Times New Roman" w:cs="Times New Roman"/>
        </w:rPr>
        <w:footnoteReference w:id="29"/>
      </w:r>
      <w:r w:rsidR="00492BDF">
        <w:rPr>
          <w:rFonts w:ascii="Times New Roman" w:hAnsi="Times New Roman" w:cs="Times New Roman"/>
        </w:rPr>
        <w:t xml:space="preserve"> (see Figure 1)</w:t>
      </w:r>
      <w:r w:rsidRPr="006B787A">
        <w:rPr>
          <w:rFonts w:ascii="Times New Roman" w:hAnsi="Times New Roman" w:cs="Times New Roman"/>
        </w:rPr>
        <w:t xml:space="preserve">.  </w:t>
      </w:r>
    </w:p>
    <w:p w14:paraId="56450E43" w14:textId="77777777" w:rsidR="0014560A" w:rsidRDefault="0014560A" w:rsidP="006B787A">
      <w:pPr>
        <w:spacing w:after="0" w:line="360" w:lineRule="auto"/>
        <w:ind w:firstLine="720"/>
        <w:jc w:val="both"/>
        <w:rPr>
          <w:rFonts w:ascii="Times New Roman" w:hAnsi="Times New Roman" w:cs="Times New Roman"/>
        </w:rPr>
      </w:pPr>
    </w:p>
    <w:p w14:paraId="32410F76" w14:textId="77777777" w:rsidR="0014560A" w:rsidRDefault="0014560A" w:rsidP="006B787A">
      <w:pPr>
        <w:spacing w:after="0" w:line="360" w:lineRule="auto"/>
        <w:ind w:firstLine="720"/>
        <w:jc w:val="both"/>
        <w:rPr>
          <w:rFonts w:ascii="Times New Roman" w:hAnsi="Times New Roman" w:cs="Times New Roman"/>
        </w:rPr>
      </w:pPr>
    </w:p>
    <w:p w14:paraId="04FAE3A8" w14:textId="77777777" w:rsidR="0014560A" w:rsidRDefault="0014560A" w:rsidP="006B787A">
      <w:pPr>
        <w:spacing w:after="0" w:line="360" w:lineRule="auto"/>
        <w:ind w:firstLine="720"/>
        <w:jc w:val="both"/>
        <w:rPr>
          <w:rFonts w:ascii="Times New Roman" w:hAnsi="Times New Roman" w:cs="Times New Roman"/>
        </w:rPr>
      </w:pPr>
    </w:p>
    <w:p w14:paraId="27FC69F1" w14:textId="77777777" w:rsidR="0014560A" w:rsidRDefault="0014560A" w:rsidP="006B787A">
      <w:pPr>
        <w:spacing w:after="0" w:line="360" w:lineRule="auto"/>
        <w:ind w:firstLine="720"/>
        <w:jc w:val="both"/>
        <w:rPr>
          <w:rFonts w:ascii="Times New Roman" w:hAnsi="Times New Roman" w:cs="Times New Roman"/>
        </w:rPr>
      </w:pPr>
    </w:p>
    <w:p w14:paraId="753951C0" w14:textId="77777777" w:rsidR="0072275D" w:rsidRDefault="0072275D">
      <w:pPr>
        <w:rPr>
          <w:rFonts w:ascii="Times New Roman" w:hAnsi="Times New Roman" w:cs="Times New Roman"/>
          <w:noProof/>
          <w:sz w:val="22"/>
          <w:szCs w:val="22"/>
          <w:lang w:eastAsia="en-US"/>
        </w:rPr>
      </w:pPr>
      <w:r>
        <w:rPr>
          <w:rFonts w:ascii="Times New Roman" w:hAnsi="Times New Roman" w:cs="Times New Roman"/>
          <w:noProof/>
          <w:sz w:val="22"/>
          <w:szCs w:val="22"/>
          <w:lang w:eastAsia="en-US"/>
        </w:rPr>
        <w:br w:type="page"/>
      </w:r>
    </w:p>
    <w:p w14:paraId="73C2BB3E" w14:textId="679FB6EB" w:rsidR="0014560A" w:rsidRDefault="0014560A" w:rsidP="000173AB">
      <w:pPr>
        <w:spacing w:after="0" w:line="360" w:lineRule="auto"/>
        <w:ind w:firstLine="720"/>
        <w:jc w:val="center"/>
        <w:rPr>
          <w:rFonts w:ascii="Times New Roman" w:hAnsi="Times New Roman" w:cs="Times New Roman"/>
          <w:noProof/>
          <w:sz w:val="22"/>
          <w:szCs w:val="22"/>
          <w:lang w:eastAsia="en-US"/>
        </w:rPr>
      </w:pPr>
      <w:r>
        <w:rPr>
          <w:rFonts w:ascii="Times New Roman" w:hAnsi="Times New Roman" w:cs="Times New Roman"/>
          <w:noProof/>
          <w:sz w:val="22"/>
          <w:szCs w:val="22"/>
          <w:lang w:eastAsia="en-US"/>
        </w:rPr>
        <w:lastRenderedPageBreak/>
        <w:t>Judicial Independence</w:t>
      </w:r>
    </w:p>
    <w:p w14:paraId="19790816" w14:textId="0C5C029B" w:rsidR="0014560A" w:rsidRDefault="0014560A" w:rsidP="000173AB">
      <w:pPr>
        <w:spacing w:after="0" w:line="360" w:lineRule="auto"/>
        <w:ind w:firstLine="720"/>
        <w:jc w:val="center"/>
        <w:rPr>
          <w:rFonts w:ascii="Times New Roman" w:hAnsi="Times New Roman" w:cs="Times New Roman"/>
        </w:rPr>
      </w:pPr>
      <w:r w:rsidRPr="000173AB">
        <w:rPr>
          <w:rFonts w:ascii="Times New Roman" w:hAnsi="Times New Roman" w:cs="Times New Roman"/>
          <w:noProof/>
          <w:sz w:val="22"/>
          <w:szCs w:val="22"/>
          <w:lang w:eastAsia="en-US"/>
        </w:rPr>
        <w:drawing>
          <wp:inline distT="0" distB="0" distL="0" distR="0" wp14:anchorId="40DCBB57" wp14:editId="301F925D">
            <wp:extent cx="1968500" cy="18796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le.png"/>
                    <pic:cNvPicPr/>
                  </pic:nvPicPr>
                  <pic:blipFill>
                    <a:blip r:embed="rId13">
                      <a:extLst>
                        <a:ext uri="{28A0092B-C50C-407E-A947-70E740481C1C}">
                          <a14:useLocalDpi xmlns:a14="http://schemas.microsoft.com/office/drawing/2010/main" val="0"/>
                        </a:ext>
                      </a:extLst>
                    </a:blip>
                    <a:stretch>
                      <a:fillRect/>
                    </a:stretch>
                  </pic:blipFill>
                  <pic:spPr>
                    <a:xfrm>
                      <a:off x="0" y="0"/>
                      <a:ext cx="1968580" cy="1879676"/>
                    </a:xfrm>
                    <a:prstGeom prst="rect">
                      <a:avLst/>
                    </a:prstGeom>
                  </pic:spPr>
                </pic:pic>
              </a:graphicData>
            </a:graphic>
          </wp:inline>
        </w:drawing>
      </w:r>
    </w:p>
    <w:p w14:paraId="6A8B306C" w14:textId="6700C786" w:rsidR="0014560A" w:rsidRDefault="0014560A" w:rsidP="000173AB">
      <w:pPr>
        <w:spacing w:after="0" w:line="360" w:lineRule="auto"/>
        <w:ind w:left="720" w:firstLine="720"/>
        <w:jc w:val="both"/>
        <w:rPr>
          <w:rFonts w:ascii="Times New Roman" w:hAnsi="Times New Roman" w:cs="Times New Roman"/>
        </w:rPr>
      </w:pPr>
      <w:r>
        <w:rPr>
          <w:rFonts w:ascii="Times New Roman" w:hAnsi="Times New Roman" w:cs="Times New Roman"/>
        </w:rPr>
        <w:t>Renewable Terms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Open Voting and Dissent</w:t>
      </w:r>
    </w:p>
    <w:p w14:paraId="60A25D48" w14:textId="77777777" w:rsidR="0014560A" w:rsidRPr="00492BDF" w:rsidRDefault="0014560A" w:rsidP="0014560A">
      <w:pPr>
        <w:spacing w:after="0"/>
        <w:jc w:val="center"/>
        <w:rPr>
          <w:rFonts w:ascii="Times New Roman" w:hAnsi="Times New Roman" w:cs="Times New Roman"/>
          <w:b/>
          <w:sz w:val="22"/>
          <w:szCs w:val="22"/>
        </w:rPr>
      </w:pPr>
      <w:r w:rsidRPr="00492BDF">
        <w:rPr>
          <w:rFonts w:ascii="Times New Roman" w:hAnsi="Times New Roman" w:cs="Times New Roman"/>
          <w:b/>
          <w:sz w:val="22"/>
          <w:szCs w:val="22"/>
        </w:rPr>
        <w:t>Figure 1:  The Judicial Trilemma: “Pick two, any two”</w:t>
      </w:r>
    </w:p>
    <w:p w14:paraId="78CD8330" w14:textId="77777777" w:rsidR="0014560A" w:rsidRDefault="0014560A" w:rsidP="006B787A">
      <w:pPr>
        <w:spacing w:after="0" w:line="360" w:lineRule="auto"/>
        <w:ind w:firstLine="720"/>
        <w:jc w:val="both"/>
        <w:rPr>
          <w:rFonts w:ascii="Times New Roman" w:hAnsi="Times New Roman" w:cs="Times New Roman"/>
        </w:rPr>
      </w:pPr>
    </w:p>
    <w:p w14:paraId="4FE17B4E" w14:textId="77777777" w:rsidR="0014560A" w:rsidRDefault="0014560A" w:rsidP="006B787A">
      <w:pPr>
        <w:spacing w:after="0" w:line="360" w:lineRule="auto"/>
        <w:ind w:firstLine="720"/>
        <w:jc w:val="both"/>
        <w:rPr>
          <w:rFonts w:ascii="Times New Roman" w:hAnsi="Times New Roman" w:cs="Times New Roman"/>
        </w:rPr>
      </w:pPr>
    </w:p>
    <w:p w14:paraId="19A99909" w14:textId="580933A8" w:rsidR="00492BDF" w:rsidRDefault="00492BDF" w:rsidP="006B787A">
      <w:pPr>
        <w:spacing w:after="0" w:line="360" w:lineRule="auto"/>
        <w:ind w:firstLine="720"/>
        <w:jc w:val="both"/>
        <w:rPr>
          <w:rFonts w:ascii="Times New Roman" w:hAnsi="Times New Roman" w:cs="Times New Roman"/>
        </w:rPr>
      </w:pPr>
      <w:r>
        <w:rPr>
          <w:rFonts w:ascii="Times New Roman" w:hAnsi="Times New Roman" w:cs="Times New Roman"/>
        </w:rPr>
        <w:t>If th</w:t>
      </w:r>
      <w:r w:rsidR="0014560A">
        <w:rPr>
          <w:rFonts w:ascii="Times New Roman" w:hAnsi="Times New Roman" w:cs="Times New Roman"/>
        </w:rPr>
        <w:t xml:space="preserve">e judicial trilemma accurately captures the strategic choices states face, then </w:t>
      </w:r>
      <w:r>
        <w:rPr>
          <w:rFonts w:ascii="Times New Roman" w:hAnsi="Times New Roman" w:cs="Times New Roman"/>
        </w:rPr>
        <w:t>we are left with</w:t>
      </w:r>
      <w:r w:rsidR="006B787A" w:rsidRPr="006B787A">
        <w:rPr>
          <w:rFonts w:ascii="Times New Roman" w:hAnsi="Times New Roman" w:cs="Times New Roman"/>
        </w:rPr>
        <w:t xml:space="preserve"> three</w:t>
      </w:r>
      <w:r>
        <w:rPr>
          <w:rFonts w:ascii="Times New Roman" w:hAnsi="Times New Roman" w:cs="Times New Roman"/>
        </w:rPr>
        <w:t xml:space="preserve"> possible combinations:  </w:t>
      </w:r>
    </w:p>
    <w:p w14:paraId="7DE77084" w14:textId="77777777" w:rsidR="00492BDF" w:rsidRDefault="00492BDF" w:rsidP="006B787A">
      <w:pPr>
        <w:spacing w:after="0" w:line="360" w:lineRule="auto"/>
        <w:ind w:firstLine="720"/>
        <w:jc w:val="both"/>
        <w:rPr>
          <w:rFonts w:ascii="Times New Roman" w:hAnsi="Times New Roman" w:cs="Times New Roman"/>
        </w:rPr>
      </w:pPr>
    </w:p>
    <w:p w14:paraId="0BF5825A" w14:textId="7D6EF52A" w:rsidR="00492BDF" w:rsidRDefault="00492BDF" w:rsidP="00492BDF">
      <w:pPr>
        <w:spacing w:after="0" w:line="360" w:lineRule="auto"/>
        <w:ind w:left="720" w:right="720"/>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xml:space="preserve">) </w:t>
      </w:r>
      <w:proofErr w:type="gramStart"/>
      <w:r>
        <w:rPr>
          <w:rFonts w:ascii="Times New Roman" w:hAnsi="Times New Roman" w:cs="Times New Roman"/>
        </w:rPr>
        <w:t>a</w:t>
      </w:r>
      <w:proofErr w:type="gramEnd"/>
      <w:r>
        <w:rPr>
          <w:rFonts w:ascii="Times New Roman" w:hAnsi="Times New Roman" w:cs="Times New Roman"/>
        </w:rPr>
        <w:t xml:space="preserve"> court</w:t>
      </w:r>
      <w:r w:rsidR="006B787A" w:rsidRPr="006B787A">
        <w:rPr>
          <w:rFonts w:ascii="Times New Roman" w:hAnsi="Times New Roman" w:cs="Times New Roman"/>
        </w:rPr>
        <w:t xml:space="preserve"> can have open voting and </w:t>
      </w:r>
      <w:r w:rsidR="00837E4B">
        <w:rPr>
          <w:rFonts w:ascii="Times New Roman" w:hAnsi="Times New Roman" w:cs="Times New Roman"/>
        </w:rPr>
        <w:t xml:space="preserve">frequent </w:t>
      </w:r>
      <w:r w:rsidR="006B787A" w:rsidRPr="006B787A">
        <w:rPr>
          <w:rFonts w:ascii="Times New Roman" w:hAnsi="Times New Roman" w:cs="Times New Roman"/>
        </w:rPr>
        <w:t xml:space="preserve">dissent and keep </w:t>
      </w:r>
      <w:r w:rsidR="00837E4B">
        <w:rPr>
          <w:rFonts w:ascii="Times New Roman" w:hAnsi="Times New Roman" w:cs="Times New Roman"/>
        </w:rPr>
        <w:t xml:space="preserve">high levels of </w:t>
      </w:r>
      <w:r w:rsidR="006B787A" w:rsidRPr="006B787A">
        <w:rPr>
          <w:rFonts w:ascii="Times New Roman" w:hAnsi="Times New Roman" w:cs="Times New Roman"/>
        </w:rPr>
        <w:t xml:space="preserve">judicial independence, as in the US, the German Constitutional Court </w:t>
      </w:r>
      <w:r>
        <w:rPr>
          <w:rFonts w:ascii="Times New Roman" w:hAnsi="Times New Roman" w:cs="Times New Roman"/>
        </w:rPr>
        <w:t>(</w:t>
      </w:r>
      <w:r w:rsidR="006B787A" w:rsidRPr="006B787A">
        <w:rPr>
          <w:rFonts w:ascii="Times New Roman" w:hAnsi="Times New Roman" w:cs="Times New Roman"/>
        </w:rPr>
        <w:t>and</w:t>
      </w:r>
      <w:r>
        <w:rPr>
          <w:rFonts w:ascii="Times New Roman" w:hAnsi="Times New Roman" w:cs="Times New Roman"/>
        </w:rPr>
        <w:t>, as we shall see,</w:t>
      </w:r>
      <w:r w:rsidR="006B787A" w:rsidRPr="006B787A">
        <w:rPr>
          <w:rFonts w:ascii="Times New Roman" w:hAnsi="Times New Roman" w:cs="Times New Roman"/>
        </w:rPr>
        <w:t xml:space="preserve"> the </w:t>
      </w:r>
      <w:r w:rsidR="00F66D4A">
        <w:rPr>
          <w:rFonts w:ascii="Times New Roman" w:hAnsi="Times New Roman" w:cs="Times New Roman"/>
        </w:rPr>
        <w:t xml:space="preserve">post-2010 </w:t>
      </w:r>
      <w:r w:rsidR="006B787A" w:rsidRPr="006B787A">
        <w:rPr>
          <w:rFonts w:ascii="Times New Roman" w:hAnsi="Times New Roman" w:cs="Times New Roman"/>
        </w:rPr>
        <w:t>ECtHR</w:t>
      </w:r>
      <w:r>
        <w:rPr>
          <w:rFonts w:ascii="Times New Roman" w:hAnsi="Times New Roman" w:cs="Times New Roman"/>
        </w:rPr>
        <w:t>)</w:t>
      </w:r>
      <w:r w:rsidR="006B787A" w:rsidRPr="006B787A">
        <w:rPr>
          <w:rFonts w:ascii="Times New Roman" w:hAnsi="Times New Roman" w:cs="Times New Roman"/>
        </w:rPr>
        <w:t>, but only if terms are not renewab</w:t>
      </w:r>
      <w:r>
        <w:rPr>
          <w:rFonts w:ascii="Times New Roman" w:hAnsi="Times New Roman" w:cs="Times New Roman"/>
        </w:rPr>
        <w:t xml:space="preserve">le; </w:t>
      </w:r>
    </w:p>
    <w:p w14:paraId="32D476BC" w14:textId="77777777" w:rsidR="00492BDF" w:rsidRDefault="00492BDF" w:rsidP="00492BDF">
      <w:pPr>
        <w:spacing w:after="0" w:line="360" w:lineRule="auto"/>
        <w:ind w:left="720" w:right="720"/>
        <w:jc w:val="both"/>
        <w:rPr>
          <w:rFonts w:ascii="Times New Roman" w:hAnsi="Times New Roman" w:cs="Times New Roman"/>
        </w:rPr>
      </w:pPr>
    </w:p>
    <w:p w14:paraId="20C91A1D" w14:textId="479322F7" w:rsidR="00492BDF" w:rsidRDefault="00492BDF" w:rsidP="00492BDF">
      <w:pPr>
        <w:spacing w:after="0" w:line="360" w:lineRule="auto"/>
        <w:ind w:left="720" w:right="720"/>
        <w:jc w:val="both"/>
        <w:rPr>
          <w:rFonts w:ascii="Times New Roman" w:hAnsi="Times New Roman" w:cs="Times New Roman"/>
        </w:rPr>
      </w:pPr>
      <w:r>
        <w:rPr>
          <w:rFonts w:ascii="Times New Roman" w:hAnsi="Times New Roman" w:cs="Times New Roman"/>
        </w:rPr>
        <w:t xml:space="preserve">(ii) </w:t>
      </w:r>
      <w:proofErr w:type="gramStart"/>
      <w:r>
        <w:rPr>
          <w:rFonts w:ascii="Times New Roman" w:hAnsi="Times New Roman" w:cs="Times New Roman"/>
        </w:rPr>
        <w:t>a</w:t>
      </w:r>
      <w:proofErr w:type="gramEnd"/>
      <w:r>
        <w:rPr>
          <w:rFonts w:ascii="Times New Roman" w:hAnsi="Times New Roman" w:cs="Times New Roman"/>
        </w:rPr>
        <w:t xml:space="preserve"> court</w:t>
      </w:r>
      <w:r w:rsidR="006B787A" w:rsidRPr="006B787A">
        <w:rPr>
          <w:rFonts w:ascii="Times New Roman" w:hAnsi="Times New Roman" w:cs="Times New Roman"/>
        </w:rPr>
        <w:t xml:space="preserve"> can have renewable terms and </w:t>
      </w:r>
      <w:r w:rsidR="00837E4B">
        <w:rPr>
          <w:rFonts w:ascii="Times New Roman" w:hAnsi="Times New Roman" w:cs="Times New Roman"/>
        </w:rPr>
        <w:t xml:space="preserve">high levels of </w:t>
      </w:r>
      <w:r w:rsidR="006B787A" w:rsidRPr="006B787A">
        <w:rPr>
          <w:rFonts w:ascii="Times New Roman" w:hAnsi="Times New Roman" w:cs="Times New Roman"/>
        </w:rPr>
        <w:t>judicial independence, as in</w:t>
      </w:r>
      <w:r w:rsidR="004A238E">
        <w:rPr>
          <w:rFonts w:ascii="Times New Roman" w:hAnsi="Times New Roman" w:cs="Times New Roman"/>
        </w:rPr>
        <w:t xml:space="preserve"> many</w:t>
      </w:r>
      <w:r w:rsidR="0029219B">
        <w:rPr>
          <w:rFonts w:ascii="Times New Roman" w:hAnsi="Times New Roman" w:cs="Times New Roman"/>
        </w:rPr>
        <w:t xml:space="preserve"> civil law systems,</w:t>
      </w:r>
      <w:r w:rsidR="006B787A" w:rsidRPr="006B787A">
        <w:rPr>
          <w:rFonts w:ascii="Times New Roman" w:hAnsi="Times New Roman" w:cs="Times New Roman"/>
        </w:rPr>
        <w:t xml:space="preserve"> the</w:t>
      </w:r>
      <w:r>
        <w:rPr>
          <w:rFonts w:ascii="Times New Roman" w:hAnsi="Times New Roman" w:cs="Times New Roman"/>
        </w:rPr>
        <w:t xml:space="preserve"> ECJ and WTO AB, but only </w:t>
      </w:r>
      <w:r w:rsidR="009C46CE">
        <w:rPr>
          <w:rFonts w:ascii="Times New Roman" w:hAnsi="Times New Roman" w:cs="Times New Roman"/>
        </w:rPr>
        <w:t xml:space="preserve">by </w:t>
      </w:r>
      <w:r w:rsidR="00F66D4A">
        <w:rPr>
          <w:rFonts w:ascii="Times New Roman" w:hAnsi="Times New Roman" w:cs="Times New Roman"/>
        </w:rPr>
        <w:t>suppressing dissent</w:t>
      </w:r>
      <w:r>
        <w:rPr>
          <w:rFonts w:ascii="Times New Roman" w:hAnsi="Times New Roman" w:cs="Times New Roman"/>
        </w:rPr>
        <w:t xml:space="preserve">; or </w:t>
      </w:r>
    </w:p>
    <w:p w14:paraId="1BDBCAAA" w14:textId="77777777" w:rsidR="00492BDF" w:rsidRDefault="00492BDF" w:rsidP="00492BDF">
      <w:pPr>
        <w:spacing w:after="0" w:line="360" w:lineRule="auto"/>
        <w:ind w:left="720" w:right="720"/>
        <w:jc w:val="both"/>
        <w:rPr>
          <w:rFonts w:ascii="Times New Roman" w:hAnsi="Times New Roman" w:cs="Times New Roman"/>
        </w:rPr>
      </w:pPr>
    </w:p>
    <w:p w14:paraId="142E0F6F" w14:textId="049C19F2" w:rsidR="00492BDF" w:rsidRDefault="00492BDF" w:rsidP="00492BDF">
      <w:pPr>
        <w:spacing w:after="0" w:line="360" w:lineRule="auto"/>
        <w:ind w:left="720" w:right="720"/>
        <w:jc w:val="both"/>
        <w:rPr>
          <w:rFonts w:ascii="Times New Roman" w:hAnsi="Times New Roman" w:cs="Times New Roman"/>
        </w:rPr>
      </w:pPr>
      <w:r>
        <w:rPr>
          <w:rFonts w:ascii="Times New Roman" w:hAnsi="Times New Roman" w:cs="Times New Roman"/>
        </w:rPr>
        <w:t xml:space="preserve">(iii) </w:t>
      </w:r>
      <w:proofErr w:type="gramStart"/>
      <w:r>
        <w:rPr>
          <w:rFonts w:ascii="Times New Roman" w:hAnsi="Times New Roman" w:cs="Times New Roman"/>
        </w:rPr>
        <w:t>a</w:t>
      </w:r>
      <w:proofErr w:type="gramEnd"/>
      <w:r>
        <w:rPr>
          <w:rFonts w:ascii="Times New Roman" w:hAnsi="Times New Roman" w:cs="Times New Roman"/>
        </w:rPr>
        <w:t xml:space="preserve"> court may</w:t>
      </w:r>
      <w:r w:rsidR="006B787A" w:rsidRPr="006B787A">
        <w:rPr>
          <w:rFonts w:ascii="Times New Roman" w:hAnsi="Times New Roman" w:cs="Times New Roman"/>
        </w:rPr>
        <w:t xml:space="preserve"> combine renewable appointments and open voting and dissent, </w:t>
      </w:r>
      <w:r w:rsidR="004A238E">
        <w:rPr>
          <w:rFonts w:ascii="Times New Roman" w:hAnsi="Times New Roman" w:cs="Times New Roman"/>
        </w:rPr>
        <w:t>as in many US state courts and international courts, but only at the risk of</w:t>
      </w:r>
      <w:r w:rsidR="00837E4B">
        <w:rPr>
          <w:rFonts w:ascii="Times New Roman" w:hAnsi="Times New Roman" w:cs="Times New Roman"/>
        </w:rPr>
        <w:t xml:space="preserve"> </w:t>
      </w:r>
      <w:r w:rsidR="009C46CE">
        <w:rPr>
          <w:rFonts w:ascii="Times New Roman" w:hAnsi="Times New Roman" w:cs="Times New Roman"/>
        </w:rPr>
        <w:t xml:space="preserve">compromising </w:t>
      </w:r>
      <w:r w:rsidR="006B787A" w:rsidRPr="006B787A">
        <w:rPr>
          <w:rFonts w:ascii="Times New Roman" w:hAnsi="Times New Roman" w:cs="Times New Roman"/>
        </w:rPr>
        <w:t>judicial independence</w:t>
      </w:r>
      <w:r w:rsidR="004A238E">
        <w:rPr>
          <w:rFonts w:ascii="Times New Roman" w:hAnsi="Times New Roman" w:cs="Times New Roman"/>
        </w:rPr>
        <w:t xml:space="preserve">.  </w:t>
      </w:r>
      <w:r w:rsidR="006B787A" w:rsidRPr="006B787A">
        <w:rPr>
          <w:rFonts w:ascii="Times New Roman" w:hAnsi="Times New Roman" w:cs="Times New Roman"/>
        </w:rPr>
        <w:t xml:space="preserve"> </w:t>
      </w:r>
    </w:p>
    <w:p w14:paraId="533C74A6" w14:textId="77777777" w:rsidR="0029219B" w:rsidRDefault="0029219B" w:rsidP="00492BDF">
      <w:pPr>
        <w:spacing w:after="0" w:line="360" w:lineRule="auto"/>
        <w:ind w:left="720" w:right="720"/>
        <w:jc w:val="both"/>
        <w:rPr>
          <w:rFonts w:ascii="Times New Roman" w:hAnsi="Times New Roman" w:cs="Times New Roman"/>
        </w:rPr>
      </w:pPr>
    </w:p>
    <w:p w14:paraId="1511DCCB" w14:textId="14956FF4" w:rsidR="006B787A" w:rsidRDefault="009C46CE" w:rsidP="00206BD4">
      <w:pPr>
        <w:spacing w:after="0" w:line="360" w:lineRule="auto"/>
        <w:ind w:firstLine="720"/>
        <w:jc w:val="both"/>
        <w:rPr>
          <w:rFonts w:ascii="Times New Roman" w:hAnsi="Times New Roman" w:cs="Times New Roman"/>
        </w:rPr>
      </w:pPr>
      <w:r>
        <w:rPr>
          <w:rFonts w:ascii="Times New Roman" w:hAnsi="Times New Roman" w:cs="Times New Roman"/>
        </w:rPr>
        <w:t xml:space="preserve">To be sure, there may be strategies that can solve, or at least mitigate, the judicial trilemma.  </w:t>
      </w:r>
      <w:r w:rsidR="006B787A" w:rsidRPr="006B787A">
        <w:rPr>
          <w:rFonts w:ascii="Times New Roman" w:hAnsi="Times New Roman" w:cs="Times New Roman"/>
        </w:rPr>
        <w:t>Interesting</w:t>
      </w:r>
      <w:r w:rsidR="00BE3633">
        <w:rPr>
          <w:rFonts w:ascii="Times New Roman" w:hAnsi="Times New Roman" w:cs="Times New Roman"/>
        </w:rPr>
        <w:t>ly</w:t>
      </w:r>
      <w:r w:rsidR="006B787A" w:rsidRPr="006B787A">
        <w:rPr>
          <w:rFonts w:ascii="Times New Roman" w:hAnsi="Times New Roman" w:cs="Times New Roman"/>
        </w:rPr>
        <w:t>, Dumbauld</w:t>
      </w:r>
      <w:r w:rsidR="00BE3633">
        <w:rPr>
          <w:rFonts w:ascii="Times New Roman" w:hAnsi="Times New Roman" w:cs="Times New Roman"/>
        </w:rPr>
        <w:t xml:space="preserve">, writing in 1942, suggested that, “It might be possible… </w:t>
      </w:r>
      <w:r w:rsidR="00BE3633" w:rsidRPr="00BE3633">
        <w:rPr>
          <w:rFonts w:ascii="Times New Roman" w:hAnsi="Times New Roman" w:cs="Times New Roman"/>
        </w:rPr>
        <w:t xml:space="preserve">to obtain most of the advantages of dissenting opinions by publishing them without indicating the </w:t>
      </w:r>
      <w:r w:rsidR="00BE3633" w:rsidRPr="00BE3633">
        <w:rPr>
          <w:rFonts w:ascii="Times New Roman" w:hAnsi="Times New Roman" w:cs="Times New Roman"/>
        </w:rPr>
        <w:lastRenderedPageBreak/>
        <w:t>names of their authors</w:t>
      </w:r>
      <w:r w:rsidR="00BE3633">
        <w:rPr>
          <w:rFonts w:ascii="Times New Roman" w:hAnsi="Times New Roman" w:cs="Times New Roman"/>
        </w:rPr>
        <w:t>.”</w:t>
      </w:r>
      <w:r w:rsidR="00BE3633">
        <w:rPr>
          <w:rStyle w:val="FootnoteReference"/>
          <w:rFonts w:ascii="Times New Roman" w:hAnsi="Times New Roman" w:cs="Times New Roman"/>
        </w:rPr>
        <w:footnoteReference w:id="30"/>
      </w:r>
      <w:r w:rsidR="00BE3633" w:rsidRPr="00BE3633">
        <w:rPr>
          <w:rFonts w:ascii="Times New Roman" w:hAnsi="Times New Roman" w:cs="Times New Roman"/>
        </w:rPr>
        <w:t xml:space="preserve"> </w:t>
      </w:r>
      <w:r w:rsidR="006B787A" w:rsidRPr="006B787A">
        <w:rPr>
          <w:rFonts w:ascii="Times New Roman" w:hAnsi="Times New Roman" w:cs="Times New Roman"/>
        </w:rPr>
        <w:t xml:space="preserve"> </w:t>
      </w:r>
      <w:r w:rsidR="00193C53">
        <w:rPr>
          <w:rFonts w:ascii="Times New Roman" w:hAnsi="Times New Roman" w:cs="Times New Roman"/>
        </w:rPr>
        <w:t xml:space="preserve">While Dumbauld appears to have been referring to the internal circulation of dissenting opinions among the judges in a given case, it might in principle be possible for courts to overcome the judicial trilemma by allowing for the public circulation of </w:t>
      </w:r>
      <w:r w:rsidR="00193C53" w:rsidRPr="00193C53">
        <w:rPr>
          <w:rFonts w:ascii="Times New Roman" w:hAnsi="Times New Roman" w:cs="Times New Roman"/>
          <w:i/>
        </w:rPr>
        <w:t>unsigned</w:t>
      </w:r>
      <w:r w:rsidR="00193C53">
        <w:rPr>
          <w:rFonts w:ascii="Times New Roman" w:hAnsi="Times New Roman" w:cs="Times New Roman"/>
        </w:rPr>
        <w:t xml:space="preserve"> or </w:t>
      </w:r>
      <w:r w:rsidR="00193C53" w:rsidRPr="00193C53">
        <w:rPr>
          <w:rFonts w:ascii="Times New Roman" w:hAnsi="Times New Roman" w:cs="Times New Roman"/>
          <w:i/>
        </w:rPr>
        <w:t>anonymous</w:t>
      </w:r>
      <w:r w:rsidR="00193C53">
        <w:rPr>
          <w:rFonts w:ascii="Times New Roman" w:hAnsi="Times New Roman" w:cs="Times New Roman"/>
        </w:rPr>
        <w:t xml:space="preserve"> dissents, mitigating the trade-off between renewable terms and judicial independence by making individual judges’ votes and opinions more difficult (but not impossible) to identify</w:t>
      </w:r>
      <w:r w:rsidR="0029219B">
        <w:rPr>
          <w:rFonts w:ascii="Times New Roman" w:hAnsi="Times New Roman" w:cs="Times New Roman"/>
        </w:rPr>
        <w:t xml:space="preserve"> and sanction</w:t>
      </w:r>
      <w:r w:rsidR="00193C53">
        <w:rPr>
          <w:rFonts w:ascii="Times New Roman" w:hAnsi="Times New Roman" w:cs="Times New Roman"/>
        </w:rPr>
        <w:t>.</w:t>
      </w:r>
      <w:r w:rsidR="00787E93">
        <w:rPr>
          <w:rStyle w:val="FootnoteReference"/>
          <w:rFonts w:ascii="Times New Roman" w:hAnsi="Times New Roman" w:cs="Times New Roman"/>
        </w:rPr>
        <w:footnoteReference w:id="31"/>
      </w:r>
      <w:r w:rsidR="00193C53">
        <w:rPr>
          <w:rFonts w:ascii="Times New Roman" w:hAnsi="Times New Roman" w:cs="Times New Roman"/>
        </w:rPr>
        <w:t xml:space="preserve">  </w:t>
      </w:r>
      <w:r w:rsidR="004A238E">
        <w:rPr>
          <w:rFonts w:ascii="Times New Roman" w:hAnsi="Times New Roman" w:cs="Times New Roman"/>
        </w:rPr>
        <w:t>This is, indeed, the model that has been chosen for the World Trade Organization’s Appellate Body, discussed below</w:t>
      </w:r>
      <w:r w:rsidR="0029219B">
        <w:rPr>
          <w:rFonts w:ascii="Times New Roman" w:hAnsi="Times New Roman" w:cs="Times New Roman"/>
        </w:rPr>
        <w:t>.</w:t>
      </w:r>
    </w:p>
    <w:p w14:paraId="206F1C91" w14:textId="1D249FBB" w:rsidR="003B536C" w:rsidRDefault="003B536C" w:rsidP="00E528D8">
      <w:pPr>
        <w:spacing w:after="0" w:line="360" w:lineRule="auto"/>
        <w:jc w:val="both"/>
        <w:rPr>
          <w:rFonts w:ascii="Times New Roman" w:hAnsi="Times New Roman" w:cs="Times New Roman"/>
        </w:rPr>
      </w:pPr>
      <w:r>
        <w:rPr>
          <w:rFonts w:ascii="Times New Roman" w:hAnsi="Times New Roman" w:cs="Times New Roman"/>
        </w:rPr>
        <w:tab/>
        <w:t xml:space="preserve">A third and final dimension that serves as an omitted variable in the US literature is the possibility that, rather than leave the question of dissent entirely to the discretion of judges, some legal systems specify rules on dissenting votes and/or separate opinions in constitutional law or in the statutes of the courts in question.  In the German and Italian cases, for example, it was not judges but the political branches of government that opted to change the rules governing judicial dissent (and, in the German case, appointments), leaving judges to respond to a changing set of constitutional or statutory constraints.  </w:t>
      </w:r>
      <w:r w:rsidR="009C46CE">
        <w:rPr>
          <w:rFonts w:ascii="Times New Roman" w:hAnsi="Times New Roman" w:cs="Times New Roman"/>
        </w:rPr>
        <w:t xml:space="preserve">Similar conditions obtain on all international courts, as </w:t>
      </w:r>
      <w:r w:rsidR="00837E4B">
        <w:rPr>
          <w:rFonts w:ascii="Times New Roman" w:hAnsi="Times New Roman" w:cs="Times New Roman"/>
        </w:rPr>
        <w:t xml:space="preserve">all of </w:t>
      </w:r>
      <w:r w:rsidR="009C46CE">
        <w:rPr>
          <w:rFonts w:ascii="Times New Roman" w:hAnsi="Times New Roman" w:cs="Times New Roman"/>
        </w:rPr>
        <w:t xml:space="preserve">the relevant treaties </w:t>
      </w:r>
      <w:r w:rsidR="00837E4B">
        <w:rPr>
          <w:rFonts w:ascii="Times New Roman" w:hAnsi="Times New Roman" w:cs="Times New Roman"/>
        </w:rPr>
        <w:t xml:space="preserve">we have reviewed address </w:t>
      </w:r>
      <w:r w:rsidR="009C46CE">
        <w:rPr>
          <w:rFonts w:ascii="Times New Roman" w:hAnsi="Times New Roman" w:cs="Times New Roman"/>
        </w:rPr>
        <w:t xml:space="preserve">the form and content of judicial opinions.  In these circumstances, </w:t>
      </w:r>
      <w:r>
        <w:rPr>
          <w:rFonts w:ascii="Times New Roman" w:hAnsi="Times New Roman" w:cs="Times New Roman"/>
        </w:rPr>
        <w:t xml:space="preserve">the choice “to dissent or not to dissent” </w:t>
      </w:r>
      <w:r w:rsidR="00837E4B">
        <w:rPr>
          <w:rFonts w:ascii="Times New Roman" w:hAnsi="Times New Roman" w:cs="Times New Roman"/>
        </w:rPr>
        <w:t>belong</w:t>
      </w:r>
      <w:r>
        <w:rPr>
          <w:rFonts w:ascii="Times New Roman" w:hAnsi="Times New Roman" w:cs="Times New Roman"/>
        </w:rPr>
        <w:t xml:space="preserve">s not solely </w:t>
      </w:r>
      <w:r w:rsidR="00837E4B">
        <w:rPr>
          <w:rFonts w:ascii="Times New Roman" w:hAnsi="Times New Roman" w:cs="Times New Roman"/>
        </w:rPr>
        <w:t xml:space="preserve">to </w:t>
      </w:r>
      <w:r>
        <w:rPr>
          <w:rFonts w:ascii="Times New Roman" w:hAnsi="Times New Roman" w:cs="Times New Roman"/>
        </w:rPr>
        <w:t>the judges</w:t>
      </w:r>
      <w:r w:rsidR="00837E4B">
        <w:rPr>
          <w:rFonts w:ascii="Times New Roman" w:hAnsi="Times New Roman" w:cs="Times New Roman"/>
        </w:rPr>
        <w:t>,</w:t>
      </w:r>
      <w:r>
        <w:rPr>
          <w:rFonts w:ascii="Times New Roman" w:hAnsi="Times New Roman" w:cs="Times New Roman"/>
        </w:rPr>
        <w:t xml:space="preserve"> acting singly or collectively, but </w:t>
      </w:r>
      <w:r w:rsidR="00837E4B">
        <w:rPr>
          <w:rFonts w:ascii="Times New Roman" w:hAnsi="Times New Roman" w:cs="Times New Roman"/>
        </w:rPr>
        <w:t xml:space="preserve">is </w:t>
      </w:r>
      <w:r w:rsidR="004A238E">
        <w:rPr>
          <w:rFonts w:ascii="Times New Roman" w:hAnsi="Times New Roman" w:cs="Times New Roman"/>
        </w:rPr>
        <w:t>typically</w:t>
      </w:r>
      <w:r>
        <w:rPr>
          <w:rFonts w:ascii="Times New Roman" w:hAnsi="Times New Roman" w:cs="Times New Roman"/>
        </w:rPr>
        <w:t xml:space="preserve"> a “design element” of the court and its mandate, designed by the political branches to produce certain outcomes in terms of judicial independence, the progressive development of law, or some other such desiderata.  It is to this question of </w:t>
      </w:r>
      <w:r w:rsidRPr="0029219B">
        <w:rPr>
          <w:rFonts w:ascii="Times New Roman" w:hAnsi="Times New Roman" w:cs="Times New Roman"/>
          <w:i/>
        </w:rPr>
        <w:t xml:space="preserve">international </w:t>
      </w:r>
      <w:r>
        <w:rPr>
          <w:rFonts w:ascii="Times New Roman" w:hAnsi="Times New Roman" w:cs="Times New Roman"/>
        </w:rPr>
        <w:t>judicial dissent that we now turn.</w:t>
      </w:r>
    </w:p>
    <w:p w14:paraId="0454A4A2" w14:textId="77777777" w:rsidR="00CC1C9A" w:rsidRDefault="00CC1C9A" w:rsidP="00CC1C9A">
      <w:pPr>
        <w:spacing w:after="0"/>
        <w:rPr>
          <w:rFonts w:ascii="Times New Roman" w:hAnsi="Times New Roman" w:cs="Times New Roman"/>
        </w:rPr>
      </w:pPr>
    </w:p>
    <w:p w14:paraId="71872EB2" w14:textId="1B5BB14D" w:rsidR="00193C53" w:rsidRPr="00193C53" w:rsidRDefault="00193C53" w:rsidP="00CC1C9A">
      <w:pPr>
        <w:spacing w:after="0"/>
        <w:rPr>
          <w:rFonts w:ascii="Times New Roman" w:hAnsi="Times New Roman" w:cs="Times New Roman"/>
          <w:b/>
        </w:rPr>
      </w:pPr>
      <w:r>
        <w:rPr>
          <w:rFonts w:ascii="Times New Roman" w:hAnsi="Times New Roman" w:cs="Times New Roman"/>
          <w:b/>
        </w:rPr>
        <w:t>II.  Theorizing International Judicial Dissent:  Causes and Consequences</w:t>
      </w:r>
    </w:p>
    <w:p w14:paraId="27AD9910" w14:textId="77777777" w:rsidR="00193C53" w:rsidRDefault="00193C53" w:rsidP="00CC1C9A">
      <w:pPr>
        <w:spacing w:after="0"/>
        <w:rPr>
          <w:rFonts w:ascii="Times New Roman" w:hAnsi="Times New Roman" w:cs="Times New Roman"/>
        </w:rPr>
      </w:pPr>
    </w:p>
    <w:p w14:paraId="26BCD0D9" w14:textId="0A688B52" w:rsidR="00193C53" w:rsidRPr="00556CBD" w:rsidRDefault="00193C53" w:rsidP="0029219B">
      <w:pPr>
        <w:spacing w:after="0" w:line="360" w:lineRule="auto"/>
        <w:jc w:val="both"/>
        <w:rPr>
          <w:rFonts w:ascii="Times New Roman" w:hAnsi="Times New Roman" w:cs="Times New Roman"/>
        </w:rPr>
      </w:pPr>
      <w:r>
        <w:rPr>
          <w:rFonts w:ascii="Times New Roman" w:hAnsi="Times New Roman" w:cs="Times New Roman"/>
        </w:rPr>
        <w:tab/>
        <w:t xml:space="preserve">Although the specific features of international courts and tribunals are in many ways distinct from those of the national courts </w:t>
      </w:r>
      <w:r w:rsidR="00556CBD">
        <w:rPr>
          <w:rFonts w:ascii="Times New Roman" w:hAnsi="Times New Roman" w:cs="Times New Roman"/>
        </w:rPr>
        <w:t xml:space="preserve">that are the focus of the literature reviewed so far in this </w:t>
      </w:r>
      <w:r w:rsidR="009F002F">
        <w:rPr>
          <w:rFonts w:ascii="Times New Roman" w:hAnsi="Times New Roman" w:cs="Times New Roman"/>
        </w:rPr>
        <w:t>paper</w:t>
      </w:r>
      <w:r w:rsidR="00556CBD">
        <w:rPr>
          <w:rFonts w:ascii="Times New Roman" w:hAnsi="Times New Roman" w:cs="Times New Roman"/>
        </w:rPr>
        <w:t xml:space="preserve">, we believe that a research agenda on international judicial independence can and should benefit from the core insights of the domestic literature regarding the advantages and disadvantages of dissent, the factors and considerations that might influence the choices of either political branches fashioning the statutes of courts or judges themselves in making decisions to </w:t>
      </w:r>
      <w:r w:rsidR="00556CBD">
        <w:rPr>
          <w:rFonts w:ascii="Times New Roman" w:hAnsi="Times New Roman" w:cs="Times New Roman"/>
        </w:rPr>
        <w:lastRenderedPageBreak/>
        <w:t>dissent or not to dissent, and the likely consequences of dissent for the quality of law, the independence of judges, and the collegiality, effectiveness and legitimacy of courts.  In this section</w:t>
      </w:r>
      <w:r w:rsidR="007762F5">
        <w:rPr>
          <w:rFonts w:ascii="Times New Roman" w:hAnsi="Times New Roman" w:cs="Times New Roman"/>
        </w:rPr>
        <w:t xml:space="preserve"> of the paper</w:t>
      </w:r>
      <w:r w:rsidR="00556CBD">
        <w:rPr>
          <w:rFonts w:ascii="Times New Roman" w:hAnsi="Times New Roman" w:cs="Times New Roman"/>
        </w:rPr>
        <w:t xml:space="preserve">, we move tentatively towards a research agenda and a theoretical framework for the study of international judicial dissent, in two stages.  </w:t>
      </w:r>
      <w:r w:rsidR="007762F5">
        <w:rPr>
          <w:rFonts w:ascii="Times New Roman" w:hAnsi="Times New Roman" w:cs="Times New Roman"/>
        </w:rPr>
        <w:t xml:space="preserve">We start with a </w:t>
      </w:r>
      <w:r w:rsidR="00556CBD">
        <w:rPr>
          <w:rFonts w:ascii="Times New Roman" w:hAnsi="Times New Roman" w:cs="Times New Roman"/>
        </w:rPr>
        <w:t xml:space="preserve">focus on judicial dissent as a dependent variable, seeking to understand the causes of dissent, whether set down by states in courts’ governing statutes or by international judges themselves in their internal rules of procedure and their judicial practice.  </w:t>
      </w:r>
      <w:r w:rsidR="007762F5">
        <w:rPr>
          <w:rFonts w:ascii="Times New Roman" w:hAnsi="Times New Roman" w:cs="Times New Roman"/>
        </w:rPr>
        <w:t>W</w:t>
      </w:r>
      <w:r w:rsidR="00556CBD">
        <w:rPr>
          <w:rFonts w:ascii="Times New Roman" w:hAnsi="Times New Roman" w:cs="Times New Roman"/>
        </w:rPr>
        <w:t xml:space="preserve">e </w:t>
      </w:r>
      <w:r w:rsidR="007762F5">
        <w:rPr>
          <w:rFonts w:ascii="Times New Roman" w:hAnsi="Times New Roman" w:cs="Times New Roman"/>
        </w:rPr>
        <w:t xml:space="preserve">then </w:t>
      </w:r>
      <w:r w:rsidR="00556CBD">
        <w:rPr>
          <w:rFonts w:ascii="Times New Roman" w:hAnsi="Times New Roman" w:cs="Times New Roman"/>
        </w:rPr>
        <w:t xml:space="preserve">reconsider international judicial dissent as an independent variable, asking about the consequences of </w:t>
      </w:r>
      <w:proofErr w:type="gramStart"/>
      <w:r w:rsidR="00556CBD">
        <w:rPr>
          <w:rFonts w:ascii="Times New Roman" w:hAnsi="Times New Roman" w:cs="Times New Roman"/>
        </w:rPr>
        <w:t xml:space="preserve">either unified, </w:t>
      </w:r>
      <w:r w:rsidR="00556CBD">
        <w:rPr>
          <w:rFonts w:ascii="Times New Roman" w:hAnsi="Times New Roman" w:cs="Times New Roman"/>
          <w:i/>
        </w:rPr>
        <w:t xml:space="preserve">per curiam </w:t>
      </w:r>
      <w:r w:rsidR="00556CBD">
        <w:rPr>
          <w:rFonts w:ascii="Times New Roman" w:hAnsi="Times New Roman" w:cs="Times New Roman"/>
        </w:rPr>
        <w:t>rulings or dissenting opinions for a variety of other outcomes of interest to lawyers and</w:t>
      </w:r>
      <w:proofErr w:type="gramEnd"/>
      <w:r w:rsidR="00556CBD">
        <w:rPr>
          <w:rFonts w:ascii="Times New Roman" w:hAnsi="Times New Roman" w:cs="Times New Roman"/>
        </w:rPr>
        <w:t xml:space="preserve"> political scientists.  </w:t>
      </w:r>
      <w:r w:rsidR="00640B24">
        <w:rPr>
          <w:rFonts w:ascii="Times New Roman" w:hAnsi="Times New Roman" w:cs="Times New Roman"/>
        </w:rPr>
        <w:t>We emphasize that o</w:t>
      </w:r>
      <w:r w:rsidR="005616CC">
        <w:rPr>
          <w:rFonts w:ascii="Times New Roman" w:hAnsi="Times New Roman" w:cs="Times New Roman"/>
        </w:rPr>
        <w:t xml:space="preserve">ur hypotheses here are tentative, </w:t>
      </w:r>
      <w:r w:rsidR="003B536C">
        <w:rPr>
          <w:rFonts w:ascii="Times New Roman" w:hAnsi="Times New Roman" w:cs="Times New Roman"/>
        </w:rPr>
        <w:t>and we welcome comments and suggestions for sharpening or further development.</w:t>
      </w:r>
    </w:p>
    <w:p w14:paraId="49D5B63B" w14:textId="77777777" w:rsidR="00193C53" w:rsidRPr="003B28D9" w:rsidRDefault="00193C53" w:rsidP="003B28D9">
      <w:pPr>
        <w:spacing w:after="0" w:line="360" w:lineRule="auto"/>
        <w:jc w:val="both"/>
        <w:rPr>
          <w:rFonts w:ascii="Times New Roman" w:hAnsi="Times New Roman" w:cs="Times New Roman"/>
        </w:rPr>
      </w:pPr>
    </w:p>
    <w:p w14:paraId="31C8B9BC" w14:textId="6986314F" w:rsidR="00CC1C9A" w:rsidRPr="003B28D9" w:rsidRDefault="00A45058" w:rsidP="003B28D9">
      <w:pPr>
        <w:spacing w:after="0" w:line="360" w:lineRule="auto"/>
        <w:jc w:val="both"/>
        <w:rPr>
          <w:rFonts w:ascii="Times New Roman" w:hAnsi="Times New Roman" w:cs="Times New Roman"/>
          <w:b/>
        </w:rPr>
      </w:pPr>
      <w:r>
        <w:rPr>
          <w:rFonts w:ascii="Times New Roman" w:hAnsi="Times New Roman" w:cs="Times New Roman"/>
          <w:b/>
        </w:rPr>
        <w:t>A</w:t>
      </w:r>
      <w:r w:rsidR="00CC1C9A" w:rsidRPr="004A1B5F">
        <w:rPr>
          <w:rFonts w:ascii="Times New Roman" w:hAnsi="Times New Roman" w:cs="Times New Roman"/>
          <w:b/>
        </w:rPr>
        <w:t>.  Causes</w:t>
      </w:r>
      <w:r w:rsidR="00CC1C9A" w:rsidRPr="003B28D9">
        <w:rPr>
          <w:rFonts w:ascii="Times New Roman" w:hAnsi="Times New Roman" w:cs="Times New Roman"/>
          <w:b/>
        </w:rPr>
        <w:t xml:space="preserve"> of Dissent</w:t>
      </w:r>
    </w:p>
    <w:p w14:paraId="42327907" w14:textId="1C05F5F2" w:rsidR="00712E23" w:rsidRDefault="003B536C">
      <w:pPr>
        <w:spacing w:after="0" w:line="360" w:lineRule="auto"/>
        <w:jc w:val="both"/>
        <w:rPr>
          <w:rFonts w:ascii="Times New Roman" w:hAnsi="Times New Roman" w:cs="Times New Roman"/>
        </w:rPr>
      </w:pPr>
      <w:r w:rsidRPr="003B28D9">
        <w:rPr>
          <w:rFonts w:ascii="Times New Roman" w:hAnsi="Times New Roman" w:cs="Times New Roman"/>
          <w:b/>
        </w:rPr>
        <w:tab/>
      </w:r>
      <w:r w:rsidRPr="003B28D9">
        <w:rPr>
          <w:rFonts w:ascii="Times New Roman" w:hAnsi="Times New Roman" w:cs="Times New Roman"/>
        </w:rPr>
        <w:t>The existing literature on domestic judicial dissent reviewed briefly above identifies a number of different dimensions of the dependent variable that might potentia</w:t>
      </w:r>
      <w:r w:rsidRPr="004A1B5F">
        <w:rPr>
          <w:rFonts w:ascii="Times New Roman" w:hAnsi="Times New Roman" w:cs="Times New Roman"/>
        </w:rPr>
        <w:t xml:space="preserve">lly be the focus of our analysis of international judicial dissent. </w:t>
      </w:r>
      <w:r w:rsidR="00892A60">
        <w:rPr>
          <w:rFonts w:ascii="Times New Roman" w:hAnsi="Times New Roman" w:cs="Times New Roman"/>
        </w:rPr>
        <w:t xml:space="preserve"> First, and most obviously, we might focus</w:t>
      </w:r>
      <w:r w:rsidR="00641E9F" w:rsidRPr="004A1B5F">
        <w:rPr>
          <w:rFonts w:ascii="Times New Roman" w:hAnsi="Times New Roman" w:cs="Times New Roman"/>
        </w:rPr>
        <w:t xml:space="preserve"> on </w:t>
      </w:r>
      <w:r w:rsidR="00641E9F" w:rsidRPr="00F9703D">
        <w:rPr>
          <w:rFonts w:ascii="Times New Roman" w:hAnsi="Times New Roman" w:cs="Times New Roman"/>
          <w:i/>
        </w:rPr>
        <w:t>the state-mandated statutes</w:t>
      </w:r>
      <w:r w:rsidR="00641E9F" w:rsidRPr="004A1B5F">
        <w:rPr>
          <w:rFonts w:ascii="Times New Roman" w:hAnsi="Times New Roman" w:cs="Times New Roman"/>
        </w:rPr>
        <w:t xml:space="preserve"> of a given court as a design choice, wh</w:t>
      </w:r>
      <w:r w:rsidR="009C46CE">
        <w:rPr>
          <w:rFonts w:ascii="Times New Roman" w:hAnsi="Times New Roman" w:cs="Times New Roman"/>
        </w:rPr>
        <w:t xml:space="preserve">ich might require or prohibit members of the court from publicly voting, or from issuing </w:t>
      </w:r>
      <w:r w:rsidR="00641E9F" w:rsidRPr="004A1B5F">
        <w:rPr>
          <w:rFonts w:ascii="Times New Roman" w:hAnsi="Times New Roman" w:cs="Times New Roman"/>
        </w:rPr>
        <w:t xml:space="preserve">separate </w:t>
      </w:r>
      <w:r w:rsidR="00641E9F" w:rsidRPr="003B28D9">
        <w:rPr>
          <w:rFonts w:ascii="Times New Roman" w:hAnsi="Times New Roman" w:cs="Times New Roman"/>
        </w:rPr>
        <w:t xml:space="preserve">dissenting or concurring opinions.  </w:t>
      </w:r>
      <w:r w:rsidR="00892A60">
        <w:rPr>
          <w:rFonts w:ascii="Times New Roman" w:hAnsi="Times New Roman" w:cs="Times New Roman"/>
        </w:rPr>
        <w:t xml:space="preserve">Indeed, as we shall see, most international court statutes do indeed set out at least general rules on the form of judicial rulings, including the secrecy of deliberations and the possibility of separate concurring or dissenting opinions.  Second, within the broad rules established by international court statutes, we can ask about the development and evolution of </w:t>
      </w:r>
      <w:r w:rsidR="00892A60">
        <w:rPr>
          <w:rFonts w:ascii="Times New Roman" w:hAnsi="Times New Roman" w:cs="Times New Roman"/>
          <w:i/>
        </w:rPr>
        <w:t>second-order rules or norms on judicial dissent, established by judges themselves.</w:t>
      </w:r>
      <w:r w:rsidR="00892A60">
        <w:rPr>
          <w:rFonts w:ascii="Times New Roman" w:hAnsi="Times New Roman" w:cs="Times New Roman"/>
        </w:rPr>
        <w:t xml:space="preserve">  Third and finally, </w:t>
      </w:r>
      <w:r w:rsidR="00892A60" w:rsidRPr="00892A60">
        <w:rPr>
          <w:rFonts w:ascii="Times New Roman" w:hAnsi="Times New Roman" w:cs="Times New Roman"/>
        </w:rPr>
        <w:t xml:space="preserve">we could follow Epstein et al. and others by identifying our dependent variable as the </w:t>
      </w:r>
      <w:r w:rsidR="00892A60">
        <w:rPr>
          <w:rFonts w:ascii="Times New Roman" w:hAnsi="Times New Roman" w:cs="Times New Roman"/>
          <w:i/>
        </w:rPr>
        <w:t xml:space="preserve">first-order decision by individual judges </w:t>
      </w:r>
      <w:r w:rsidR="00892A60" w:rsidRPr="00A042B0">
        <w:rPr>
          <w:rFonts w:ascii="Times New Roman" w:hAnsi="Times New Roman" w:cs="Times New Roman"/>
        </w:rPr>
        <w:t xml:space="preserve">to </w:t>
      </w:r>
      <w:r w:rsidR="00892A60" w:rsidRPr="00892A60">
        <w:rPr>
          <w:rFonts w:ascii="Times New Roman" w:hAnsi="Times New Roman" w:cs="Times New Roman"/>
        </w:rPr>
        <w:t>issuing publicly dissenting votes or separate dissenting or concurrent opinions.</w:t>
      </w:r>
      <w:r w:rsidR="00892A60" w:rsidRPr="00892A60">
        <w:rPr>
          <w:rFonts w:ascii="Times New Roman" w:hAnsi="Times New Roman" w:cs="Times New Roman"/>
          <w:vertAlign w:val="superscript"/>
        </w:rPr>
        <w:footnoteReference w:id="32"/>
      </w:r>
      <w:r w:rsidR="00892A60" w:rsidRPr="00892A60">
        <w:rPr>
          <w:rFonts w:ascii="Times New Roman" w:hAnsi="Times New Roman" w:cs="Times New Roman"/>
        </w:rPr>
        <w:t xml:space="preserve">  One could, for example, examine the absolute frequency of dissenting opinions, or more tellingly the ratio of opinions of the court to dissenting </w:t>
      </w:r>
      <w:r w:rsidR="00892A60" w:rsidRPr="00892A60">
        <w:rPr>
          <w:rFonts w:ascii="Times New Roman" w:hAnsi="Times New Roman" w:cs="Times New Roman"/>
          <w:i/>
        </w:rPr>
        <w:t>votes</w:t>
      </w:r>
      <w:r w:rsidR="00892A60" w:rsidRPr="00892A60">
        <w:rPr>
          <w:rFonts w:ascii="Times New Roman" w:hAnsi="Times New Roman" w:cs="Times New Roman"/>
        </w:rPr>
        <w:t xml:space="preserve"> or to separate dissenting and concurring </w:t>
      </w:r>
      <w:r w:rsidR="00892A60" w:rsidRPr="00892A60">
        <w:rPr>
          <w:rFonts w:ascii="Times New Roman" w:hAnsi="Times New Roman" w:cs="Times New Roman"/>
          <w:i/>
        </w:rPr>
        <w:t>opinions</w:t>
      </w:r>
      <w:r w:rsidR="00892A60" w:rsidRPr="00892A60">
        <w:rPr>
          <w:rFonts w:ascii="Times New Roman" w:hAnsi="Times New Roman" w:cs="Times New Roman"/>
        </w:rPr>
        <w:t xml:space="preserve">.  We might, </w:t>
      </w:r>
      <w:r w:rsidR="00A042B0">
        <w:rPr>
          <w:rFonts w:ascii="Times New Roman" w:hAnsi="Times New Roman" w:cs="Times New Roman"/>
        </w:rPr>
        <w:t>moreover</w:t>
      </w:r>
      <w:r w:rsidR="00892A60" w:rsidRPr="00892A60">
        <w:rPr>
          <w:rFonts w:ascii="Times New Roman" w:hAnsi="Times New Roman" w:cs="Times New Roman"/>
        </w:rPr>
        <w:t>, ask what types of judges within a given court are most likely to act as “team players” or</w:t>
      </w:r>
      <w:r w:rsidR="00A042B0">
        <w:rPr>
          <w:rFonts w:ascii="Times New Roman" w:hAnsi="Times New Roman" w:cs="Times New Roman"/>
        </w:rPr>
        <w:t xml:space="preserve"> as</w:t>
      </w:r>
      <w:r w:rsidR="00892A60" w:rsidRPr="00892A60">
        <w:rPr>
          <w:rFonts w:ascii="Times New Roman" w:hAnsi="Times New Roman" w:cs="Times New Roman"/>
        </w:rPr>
        <w:t xml:space="preserve"> “Great Dissenters,” and whether such behavior correlates with other variables such career backgrounds, nationality, and </w:t>
      </w:r>
      <w:r w:rsidR="00892A60" w:rsidRPr="00892A60">
        <w:rPr>
          <w:rFonts w:ascii="Times New Roman" w:hAnsi="Times New Roman" w:cs="Times New Roman"/>
        </w:rPr>
        <w:lastRenderedPageBreak/>
        <w:t>so on</w:t>
      </w:r>
      <w:r w:rsidR="00641E9F" w:rsidRPr="003B28D9">
        <w:rPr>
          <w:rFonts w:ascii="Times New Roman" w:hAnsi="Times New Roman" w:cs="Times New Roman"/>
        </w:rPr>
        <w:t>.</w:t>
      </w:r>
      <w:r w:rsidR="00712E23">
        <w:rPr>
          <w:rStyle w:val="FootnoteReference"/>
          <w:rFonts w:ascii="Times New Roman" w:hAnsi="Times New Roman" w:cs="Times New Roman"/>
        </w:rPr>
        <w:footnoteReference w:id="33"/>
      </w:r>
      <w:r w:rsidR="00712E23">
        <w:rPr>
          <w:rFonts w:ascii="Times New Roman" w:hAnsi="Times New Roman" w:cs="Times New Roman"/>
        </w:rPr>
        <w:t xml:space="preserve"> </w:t>
      </w:r>
      <w:r w:rsidR="00641E9F" w:rsidRPr="003B28D9">
        <w:rPr>
          <w:rFonts w:ascii="Times New Roman" w:hAnsi="Times New Roman" w:cs="Times New Roman"/>
        </w:rPr>
        <w:t xml:space="preserve"> </w:t>
      </w:r>
      <w:r w:rsidR="00892A60">
        <w:rPr>
          <w:rFonts w:ascii="Times New Roman" w:hAnsi="Times New Roman" w:cs="Times New Roman"/>
        </w:rPr>
        <w:t xml:space="preserve">For our purposes in this preliminary study, which seeks to explain broad patterns of dissent across international courts, we focus primarily on understanding broad second-order decisions about dissent, including both state design of international court statutes and judicial decisions to promote or discourage dissenting and concurring opinions in courts’ internal rules of procedure and informal norms.  We leave first-order decisions about dissent largely as a subject for future research, although as we shall see a handful of scholars have begun to undertake systematic studies of such decisions for individual courts.    </w:t>
      </w:r>
    </w:p>
    <w:p w14:paraId="36CA6544" w14:textId="3D892FA4" w:rsidR="003B28D9" w:rsidRDefault="003B28D9" w:rsidP="00712E23">
      <w:pPr>
        <w:spacing w:after="0" w:line="360" w:lineRule="auto"/>
        <w:ind w:firstLine="720"/>
        <w:jc w:val="both"/>
        <w:rPr>
          <w:rFonts w:ascii="Times New Roman" w:hAnsi="Times New Roman" w:cs="Times New Roman"/>
        </w:rPr>
      </w:pPr>
      <w:r w:rsidRPr="003B28D9">
        <w:rPr>
          <w:rFonts w:ascii="Times New Roman" w:hAnsi="Times New Roman" w:cs="Times New Roman"/>
        </w:rPr>
        <w:t>At the international level, the</w:t>
      </w:r>
      <w:r>
        <w:rPr>
          <w:rFonts w:ascii="Times New Roman" w:hAnsi="Times New Roman" w:cs="Times New Roman"/>
        </w:rPr>
        <w:t xml:space="preserve"> primary rules and</w:t>
      </w:r>
      <w:r w:rsidRPr="003B28D9">
        <w:rPr>
          <w:rFonts w:ascii="Times New Roman" w:hAnsi="Times New Roman" w:cs="Times New Roman"/>
        </w:rPr>
        <w:t xml:space="preserve"> norms </w:t>
      </w:r>
      <w:r>
        <w:rPr>
          <w:rFonts w:ascii="Times New Roman" w:hAnsi="Times New Roman" w:cs="Times New Roman"/>
        </w:rPr>
        <w:t xml:space="preserve">governing dissent </w:t>
      </w:r>
      <w:r w:rsidRPr="003B28D9">
        <w:rPr>
          <w:rFonts w:ascii="Times New Roman" w:hAnsi="Times New Roman" w:cs="Times New Roman"/>
        </w:rPr>
        <w:t>are typically found in the trea</w:t>
      </w:r>
      <w:r>
        <w:rPr>
          <w:rFonts w:ascii="Times New Roman" w:hAnsi="Times New Roman" w:cs="Times New Roman"/>
        </w:rPr>
        <w:t>ties or statutes that create a</w:t>
      </w:r>
      <w:r w:rsidRPr="003B28D9">
        <w:rPr>
          <w:rFonts w:ascii="Times New Roman" w:hAnsi="Times New Roman" w:cs="Times New Roman"/>
        </w:rPr>
        <w:t xml:space="preserve"> tribunal.  These </w:t>
      </w:r>
      <w:r w:rsidR="00C73375">
        <w:rPr>
          <w:rFonts w:ascii="Times New Roman" w:hAnsi="Times New Roman" w:cs="Times New Roman"/>
        </w:rPr>
        <w:t xml:space="preserve">general </w:t>
      </w:r>
      <w:r w:rsidRPr="003B28D9">
        <w:rPr>
          <w:rFonts w:ascii="Times New Roman" w:hAnsi="Times New Roman" w:cs="Times New Roman"/>
        </w:rPr>
        <w:t xml:space="preserve">norms are </w:t>
      </w:r>
      <w:r w:rsidR="009827ED">
        <w:rPr>
          <w:rFonts w:ascii="Times New Roman" w:hAnsi="Times New Roman" w:cs="Times New Roman"/>
        </w:rPr>
        <w:t xml:space="preserve">then </w:t>
      </w:r>
      <w:r w:rsidRPr="003B28D9">
        <w:rPr>
          <w:rFonts w:ascii="Times New Roman" w:hAnsi="Times New Roman" w:cs="Times New Roman"/>
        </w:rPr>
        <w:t>frequently elaborated in</w:t>
      </w:r>
      <w:r w:rsidR="00C73375">
        <w:rPr>
          <w:rFonts w:ascii="Times New Roman" w:hAnsi="Times New Roman" w:cs="Times New Roman"/>
        </w:rPr>
        <w:t xml:space="preserve"> the more detailed</w:t>
      </w:r>
      <w:r w:rsidRPr="003B28D9">
        <w:rPr>
          <w:rFonts w:ascii="Times New Roman" w:hAnsi="Times New Roman" w:cs="Times New Roman"/>
        </w:rPr>
        <w:t xml:space="preserve"> rules</w:t>
      </w:r>
      <w:r w:rsidR="00C73375">
        <w:rPr>
          <w:rFonts w:ascii="Times New Roman" w:hAnsi="Times New Roman" w:cs="Times New Roman"/>
        </w:rPr>
        <w:t xml:space="preserve"> of procedure</w:t>
      </w:r>
      <w:r w:rsidRPr="003B28D9">
        <w:rPr>
          <w:rFonts w:ascii="Times New Roman" w:hAnsi="Times New Roman" w:cs="Times New Roman"/>
        </w:rPr>
        <w:t xml:space="preserve"> that the judges themselves craft, sometime</w:t>
      </w:r>
      <w:r w:rsidR="009F002F">
        <w:rPr>
          <w:rFonts w:ascii="Times New Roman" w:hAnsi="Times New Roman" w:cs="Times New Roman"/>
        </w:rPr>
        <w:t>s</w:t>
      </w:r>
      <w:r w:rsidRPr="003B28D9">
        <w:rPr>
          <w:rFonts w:ascii="Times New Roman" w:hAnsi="Times New Roman" w:cs="Times New Roman"/>
        </w:rPr>
        <w:t xml:space="preserve"> with input or approval of states, but </w:t>
      </w:r>
      <w:r>
        <w:rPr>
          <w:rFonts w:ascii="Times New Roman" w:hAnsi="Times New Roman" w:cs="Times New Roman"/>
        </w:rPr>
        <w:t>often on their own authority.  And t</w:t>
      </w:r>
      <w:r w:rsidRPr="003B28D9">
        <w:rPr>
          <w:rFonts w:ascii="Times New Roman" w:hAnsi="Times New Roman" w:cs="Times New Roman"/>
        </w:rPr>
        <w:t xml:space="preserve">hese formal norms are often supplemented by informal norms, </w:t>
      </w:r>
      <w:r w:rsidR="009827ED">
        <w:rPr>
          <w:rFonts w:ascii="Times New Roman" w:hAnsi="Times New Roman" w:cs="Times New Roman"/>
        </w:rPr>
        <w:t xml:space="preserve">to </w:t>
      </w:r>
      <w:r w:rsidRPr="003B28D9">
        <w:rPr>
          <w:rFonts w:ascii="Times New Roman" w:hAnsi="Times New Roman" w:cs="Times New Roman"/>
        </w:rPr>
        <w:t>which we have access via statements of judges, other court officials such as registrars, and through secondary literature.</w:t>
      </w:r>
      <w:r w:rsidR="00712E23">
        <w:rPr>
          <w:rStyle w:val="FootnoteReference"/>
          <w:rFonts w:ascii="Times New Roman" w:hAnsi="Times New Roman" w:cs="Times New Roman"/>
        </w:rPr>
        <w:footnoteReference w:id="34"/>
      </w:r>
      <w:r w:rsidRPr="003B28D9">
        <w:rPr>
          <w:rFonts w:ascii="Times New Roman" w:hAnsi="Times New Roman" w:cs="Times New Roman"/>
        </w:rPr>
        <w:t xml:space="preserve"> </w:t>
      </w:r>
      <w:r w:rsidR="00712E23">
        <w:rPr>
          <w:rFonts w:ascii="Times New Roman" w:hAnsi="Times New Roman" w:cs="Times New Roman"/>
        </w:rPr>
        <w:t xml:space="preserve">Finally, these norms both guide, and are shaped in part by, the actual practice of judges in dissenting, or failing to dissent, in individual judgments.  </w:t>
      </w:r>
      <w:r w:rsidR="005707F9">
        <w:rPr>
          <w:rFonts w:ascii="Times New Roman" w:hAnsi="Times New Roman" w:cs="Times New Roman"/>
        </w:rPr>
        <w:t>In the paragraphs that follow, we theorize and develop some plausible hypotheses about the causes of dissent, in two stages.  First, we consider treaty-and statute-based rules about dissent as a design choice by states, after which we turn to judicial choices about dissent, including formal judge-made rules, informal norms, and judicial behavior</w:t>
      </w:r>
      <w:r w:rsidR="00A042B0">
        <w:rPr>
          <w:rFonts w:ascii="Times New Roman" w:hAnsi="Times New Roman" w:cs="Times New Roman"/>
        </w:rPr>
        <w:t>.</w:t>
      </w:r>
    </w:p>
    <w:p w14:paraId="456A2962" w14:textId="77777777" w:rsidR="00A042B0" w:rsidRDefault="00A042B0" w:rsidP="00A042B0">
      <w:pPr>
        <w:spacing w:after="0" w:line="360" w:lineRule="auto"/>
        <w:jc w:val="both"/>
        <w:rPr>
          <w:rFonts w:ascii="Times New Roman" w:hAnsi="Times New Roman" w:cs="Times New Roman"/>
        </w:rPr>
      </w:pPr>
    </w:p>
    <w:p w14:paraId="14C25D6F" w14:textId="77777777" w:rsidR="00A042B0" w:rsidRPr="00DE5E14" w:rsidRDefault="00A042B0" w:rsidP="00A042B0">
      <w:pPr>
        <w:spacing w:after="0" w:line="360" w:lineRule="auto"/>
        <w:jc w:val="both"/>
        <w:rPr>
          <w:rFonts w:ascii="Times New Roman" w:hAnsi="Times New Roman" w:cs="Times New Roman"/>
        </w:rPr>
      </w:pPr>
      <w:r w:rsidRPr="001A0CA6">
        <w:rPr>
          <w:rFonts w:ascii="Times New Roman" w:hAnsi="Times New Roman" w:cs="Times New Roman"/>
          <w:b/>
        </w:rPr>
        <w:t>1.  Rules of Dissent as a Member-State Design Choice</w:t>
      </w:r>
    </w:p>
    <w:p w14:paraId="7F873413" w14:textId="77777777" w:rsidR="00A042B0" w:rsidRDefault="00A042B0" w:rsidP="00A042B0">
      <w:pPr>
        <w:spacing w:after="0" w:line="360" w:lineRule="auto"/>
        <w:jc w:val="both"/>
        <w:rPr>
          <w:rFonts w:ascii="Times New Roman" w:hAnsi="Times New Roman" w:cs="Times New Roman"/>
        </w:rPr>
      </w:pPr>
      <w:r>
        <w:rPr>
          <w:rFonts w:ascii="Times New Roman" w:hAnsi="Times New Roman" w:cs="Times New Roman"/>
        </w:rPr>
        <w:tab/>
        <w:t>On the international plane, as domestically, courts are established via constitutional provisions or legislative enactments.  At both levels, the political “principals” that create courts often include in the constitutive instruments at least some rules regarding the form and content of judicial opinions, as well as other related issues such as appointment, terms of office, reappointment, and so on.</w:t>
      </w:r>
      <w:r>
        <w:rPr>
          <w:rStyle w:val="FootnoteReference"/>
          <w:rFonts w:ascii="Times New Roman" w:hAnsi="Times New Roman" w:cs="Times New Roman"/>
        </w:rPr>
        <w:footnoteReference w:id="35"/>
      </w:r>
      <w:r>
        <w:rPr>
          <w:rFonts w:ascii="Times New Roman" w:hAnsi="Times New Roman" w:cs="Times New Roman"/>
        </w:rPr>
        <w:t xml:space="preserve">  In this sense, the American federal judiciary is a partial exception, </w:t>
      </w:r>
      <w:r>
        <w:rPr>
          <w:rFonts w:ascii="Times New Roman" w:hAnsi="Times New Roman" w:cs="Times New Roman"/>
        </w:rPr>
        <w:lastRenderedPageBreak/>
        <w:t xml:space="preserve">as neither the U.S. Constitution nor federal statute govern the form of judicial opinions in general, or the practice of dissent in particular, by federal judges, leaving that choice entirely to the discretion of the judges themselves.  When we move from the American system to comparative analysis, by contrast, the literature foregrounds the influence of legal tradition on dissent practices in domestic courts, with common-law countries generally opting for open dissent and civil law countries suppressing dissent in favor of unanimous, anonymous, </w:t>
      </w:r>
      <w:r>
        <w:rPr>
          <w:rFonts w:ascii="Times New Roman" w:hAnsi="Times New Roman" w:cs="Times New Roman"/>
          <w:i/>
        </w:rPr>
        <w:t>per curiam</w:t>
      </w:r>
      <w:r>
        <w:rPr>
          <w:rFonts w:ascii="Times New Roman" w:hAnsi="Times New Roman" w:cs="Times New Roman"/>
        </w:rPr>
        <w:t xml:space="preserve"> decisions.  </w:t>
      </w:r>
    </w:p>
    <w:p w14:paraId="00E5CB6C" w14:textId="77777777" w:rsidR="00A042B0" w:rsidRDefault="00A042B0" w:rsidP="00A042B0">
      <w:pPr>
        <w:spacing w:after="0" w:line="360" w:lineRule="auto"/>
        <w:ind w:firstLine="720"/>
        <w:jc w:val="both"/>
        <w:rPr>
          <w:rFonts w:ascii="Times New Roman" w:hAnsi="Times New Roman"/>
        </w:rPr>
      </w:pPr>
      <w:r>
        <w:rPr>
          <w:rFonts w:ascii="Times New Roman" w:hAnsi="Times New Roman" w:cs="Times New Roman"/>
        </w:rPr>
        <w:t xml:space="preserve">Moving in turn from the domestic to the international level, the primary theoretical framework used to address such questions is the rational design research program, which seeks </w:t>
      </w:r>
      <w:r>
        <w:rPr>
          <w:rFonts w:ascii="Times New Roman" w:hAnsi="Times New Roman"/>
        </w:rPr>
        <w:t>to explain a multitude of institutional design choices (in the original formulation, membership, scope, centralization, control and flexibility) with reference to a set of environmental variables (distribution problems, enforcement problems, number, and various types of uncertainty).</w:t>
      </w:r>
      <w:r>
        <w:rPr>
          <w:rStyle w:val="FootnoteReference"/>
          <w:rFonts w:ascii="Times New Roman" w:hAnsi="Times New Roman"/>
        </w:rPr>
        <w:footnoteReference w:id="36"/>
      </w:r>
      <w:r>
        <w:rPr>
          <w:rFonts w:ascii="Times New Roman" w:hAnsi="Times New Roman"/>
        </w:rPr>
        <w:t xml:space="preserve">  Recently, Barbara Koremenos has extended the rational design agenda to make and test predictions about the conditions under which states might design international agreements with or without dispute settlement mechanisms, with particular attention to decisions to use formal and/or informal dispute settlement mechanisms.</w:t>
      </w:r>
      <w:r>
        <w:rPr>
          <w:rStyle w:val="FootnoteReference"/>
          <w:rFonts w:ascii="Times New Roman" w:hAnsi="Times New Roman"/>
        </w:rPr>
        <w:footnoteReference w:id="37"/>
      </w:r>
      <w:r>
        <w:rPr>
          <w:rFonts w:ascii="Times New Roman" w:hAnsi="Times New Roman"/>
        </w:rPr>
        <w:t xml:space="preserve">  It is less clear, however, whether the rational choice approach generates specific predictions about a precise feature of international court design such as the choice to require, encourage, allow, discourage or forbid dissenting opinions – at least without a series of supplementary assumptions that go beyond identification of the broad environmental features, such as uncertainty, that usually inform rational design inquiries.</w:t>
      </w:r>
      <w:r>
        <w:rPr>
          <w:rStyle w:val="FootnoteReference"/>
          <w:rFonts w:ascii="Times New Roman" w:hAnsi="Times New Roman"/>
        </w:rPr>
        <w:footnoteReference w:id="38"/>
      </w:r>
    </w:p>
    <w:p w14:paraId="0AB98DEF" w14:textId="77777777" w:rsidR="00A042B0" w:rsidRPr="00A45058" w:rsidRDefault="00A042B0" w:rsidP="00A042B0">
      <w:pPr>
        <w:spacing w:after="0" w:line="360" w:lineRule="auto"/>
        <w:ind w:firstLine="720"/>
        <w:jc w:val="both"/>
        <w:rPr>
          <w:rFonts w:ascii="Times New Roman" w:hAnsi="Times New Roman"/>
        </w:rPr>
      </w:pPr>
      <w:r>
        <w:rPr>
          <w:rFonts w:ascii="Times New Roman" w:hAnsi="Times New Roman"/>
        </w:rPr>
        <w:t>An alternative IR approach would be to draw from liberal IR theory</w:t>
      </w:r>
      <w:r w:rsidRPr="00A45058">
        <w:rPr>
          <w:rFonts w:ascii="Times New Roman" w:hAnsi="Times New Roman"/>
        </w:rPr>
        <w:t xml:space="preserve">, </w:t>
      </w:r>
      <w:r>
        <w:rPr>
          <w:rFonts w:ascii="Times New Roman" w:hAnsi="Times New Roman"/>
        </w:rPr>
        <w:t>hypothesizing</w:t>
      </w:r>
      <w:r w:rsidRPr="00A45058">
        <w:rPr>
          <w:rFonts w:ascii="Times New Roman" w:hAnsi="Times New Roman"/>
        </w:rPr>
        <w:t xml:space="preserve"> that states’ preferences about judicial dissent, as about other features of international courts and tribunals, are likely to vary state-by-state as a function of domestic state-society relations with </w:t>
      </w:r>
      <w:r w:rsidRPr="00A45058">
        <w:rPr>
          <w:rFonts w:ascii="Times New Roman" w:hAnsi="Times New Roman"/>
        </w:rPr>
        <w:lastRenderedPageBreak/>
        <w:t xml:space="preserve">respect to the issue-area governed by the court’s jurisdiction.  Some states, for example, might be characterized by a strong societal preference for free trade, and these groups might, </w:t>
      </w:r>
      <w:r w:rsidRPr="00A45058">
        <w:rPr>
          <w:rFonts w:ascii="Times New Roman" w:hAnsi="Times New Roman"/>
          <w:i/>
        </w:rPr>
        <w:t>ceteris paribus</w:t>
      </w:r>
      <w:r w:rsidRPr="00A45058">
        <w:rPr>
          <w:rFonts w:ascii="Times New Roman" w:hAnsi="Times New Roman"/>
        </w:rPr>
        <w:t xml:space="preserve">, favor </w:t>
      </w:r>
      <w:r>
        <w:rPr>
          <w:rFonts w:ascii="Times New Roman" w:hAnsi="Times New Roman"/>
        </w:rPr>
        <w:t xml:space="preserve">robust multilateral </w:t>
      </w:r>
      <w:r w:rsidRPr="00A45058">
        <w:rPr>
          <w:rFonts w:ascii="Times New Roman" w:hAnsi="Times New Roman"/>
        </w:rPr>
        <w:t>enforcement of international trade law, and hence a strong, independent court within the international trade regime.  There are limits, however, to this approach</w:t>
      </w:r>
      <w:r>
        <w:rPr>
          <w:rFonts w:ascii="Times New Roman" w:hAnsi="Times New Roman"/>
        </w:rPr>
        <w:t xml:space="preserve"> as well</w:t>
      </w:r>
      <w:r w:rsidRPr="00A45058">
        <w:rPr>
          <w:rFonts w:ascii="Times New Roman" w:hAnsi="Times New Roman"/>
        </w:rPr>
        <w:t xml:space="preserve">, in that it remains indeterminate </w:t>
      </w:r>
      <w:r>
        <w:rPr>
          <w:rFonts w:ascii="Times New Roman" w:hAnsi="Times New Roman"/>
        </w:rPr>
        <w:t xml:space="preserve">regarding a preference for dissent </w:t>
      </w:r>
      <w:r w:rsidRPr="00A45058">
        <w:rPr>
          <w:rFonts w:ascii="Times New Roman" w:hAnsi="Times New Roman"/>
        </w:rPr>
        <w:t xml:space="preserve">without intermediating assumptions about the influence of dissent on the independence or effectiveness of international courts and tribunals, and the preferences of domestic actors toward these characteristics.  As in the case of rational design, therefore, one could in principle derive specific hypotheses linking domestic state-society relations to national preferences over judicial dissent, but to do so would require a set of assumptions about the </w:t>
      </w:r>
      <w:r w:rsidRPr="002D165D">
        <w:rPr>
          <w:rFonts w:ascii="Times New Roman" w:hAnsi="Times New Roman"/>
          <w:i/>
        </w:rPr>
        <w:t xml:space="preserve">consequences </w:t>
      </w:r>
      <w:r w:rsidRPr="00A45058">
        <w:rPr>
          <w:rFonts w:ascii="Times New Roman" w:hAnsi="Times New Roman"/>
        </w:rPr>
        <w:t>of dissent for domestic actors which we would not, at this stage, want to prejudge.</w:t>
      </w:r>
    </w:p>
    <w:p w14:paraId="53AA0E83" w14:textId="52B34253" w:rsidR="00F97F4C" w:rsidRPr="00F97F4C" w:rsidRDefault="00A042B0" w:rsidP="00A042B0">
      <w:pPr>
        <w:spacing w:after="0" w:line="360" w:lineRule="auto"/>
        <w:ind w:firstLine="720"/>
        <w:jc w:val="both"/>
        <w:rPr>
          <w:rFonts w:ascii="Times New Roman" w:hAnsi="Times New Roman" w:cs="Times New Roman"/>
        </w:rPr>
      </w:pPr>
      <w:r>
        <w:rPr>
          <w:rFonts w:ascii="Times New Roman" w:hAnsi="Times New Roman" w:cs="Times New Roman"/>
        </w:rPr>
        <w:t>Barring clear predictions from the existing IR theories, we might nevertheless derive from the domestic and i</w:t>
      </w:r>
      <w:r w:rsidR="002D165D">
        <w:rPr>
          <w:rFonts w:ascii="Times New Roman" w:hAnsi="Times New Roman" w:cs="Times New Roman"/>
        </w:rPr>
        <w:t>nternational law literatures three</w:t>
      </w:r>
      <w:r>
        <w:rPr>
          <w:rFonts w:ascii="Times New Roman" w:hAnsi="Times New Roman" w:cs="Times New Roman"/>
        </w:rPr>
        <w:t xml:space="preserve"> other hypotheses about the determinants of states’ choice to impose rules on dissent on the courts they create.  </w:t>
      </w:r>
    </w:p>
    <w:p w14:paraId="0B86B6F0" w14:textId="3DFB8CA2" w:rsidR="00A042B0" w:rsidRPr="00BB418F" w:rsidRDefault="00A042B0" w:rsidP="00A042B0">
      <w:pPr>
        <w:spacing w:after="0" w:line="360" w:lineRule="auto"/>
        <w:ind w:firstLine="720"/>
        <w:jc w:val="both"/>
        <w:rPr>
          <w:rFonts w:ascii="Times New Roman" w:hAnsi="Times New Roman" w:cs="Times New Roman"/>
        </w:rPr>
      </w:pPr>
      <w:r>
        <w:rPr>
          <w:rFonts w:ascii="Times New Roman" w:hAnsi="Times New Roman" w:cs="Times New Roman"/>
        </w:rPr>
        <w:t xml:space="preserve">The first, </w:t>
      </w:r>
      <w:r w:rsidRPr="00206BD4">
        <w:rPr>
          <w:rFonts w:ascii="Times New Roman" w:hAnsi="Times New Roman" w:cs="Times New Roman"/>
          <w:b/>
        </w:rPr>
        <w:t>functionalist</w:t>
      </w:r>
      <w:r>
        <w:rPr>
          <w:rFonts w:ascii="Times New Roman" w:hAnsi="Times New Roman" w:cs="Times New Roman"/>
        </w:rPr>
        <w:t xml:space="preserve"> hypothesis derives in large part from the existing legal literature, noting that different international courts serve different functions for their members.</w:t>
      </w:r>
      <w:r>
        <w:rPr>
          <w:rStyle w:val="FootnoteReference"/>
          <w:rFonts w:ascii="Times New Roman" w:hAnsi="Times New Roman" w:cs="Times New Roman"/>
        </w:rPr>
        <w:footnoteReference w:id="39"/>
      </w:r>
      <w:r>
        <w:rPr>
          <w:rFonts w:ascii="Times New Roman" w:hAnsi="Times New Roman" w:cs="Times New Roman"/>
        </w:rPr>
        <w:t xml:space="preserve">  In this view, we might expect that, to the extent that states design courts whose primary purpose is dispute resolution </w:t>
      </w:r>
      <w:r w:rsidRPr="00D95D64">
        <w:rPr>
          <w:rFonts w:ascii="Times New Roman" w:hAnsi="Times New Roman" w:cs="Times New Roman"/>
          <w:i/>
        </w:rPr>
        <w:t>simpliciter</w:t>
      </w:r>
      <w:r>
        <w:rPr>
          <w:rFonts w:ascii="Times New Roman" w:hAnsi="Times New Roman" w:cs="Times New Roman"/>
        </w:rPr>
        <w:t xml:space="preserve"> among contending parties, they would be less likely to authorize or encourage dissenting opinions, both because dissents could potentially undermine the authoritativeness and finality of the court’s decision, and because such a system places little or no significance on the law-making power of international court.  By contrast, courts that are understood to serve other functions, such as the elaboration and progressive development of legal doctrine over time, might encourage or even require a system of judicial dissent.  A related functionalist hypothesis might focus on the issue-area of a court’s jurisdiction, on the grounds that dissents can be more or less valuable depending on the particular characteristics of the issue-area within the court’s jurisdiction.  </w:t>
      </w:r>
      <w:r w:rsidRPr="003B22D0">
        <w:rPr>
          <w:rFonts w:ascii="Times New Roman" w:hAnsi="Times New Roman" w:cs="Times New Roman"/>
        </w:rPr>
        <w:t>Ginsburg</w:t>
      </w:r>
      <w:r>
        <w:rPr>
          <w:rFonts w:ascii="Times New Roman" w:hAnsi="Times New Roman" w:cs="Times New Roman"/>
        </w:rPr>
        <w:t>, for example,</w:t>
      </w:r>
      <w:r w:rsidRPr="003B22D0">
        <w:rPr>
          <w:rFonts w:ascii="Times New Roman" w:hAnsi="Times New Roman" w:cs="Times New Roman"/>
        </w:rPr>
        <w:t xml:space="preserve"> notes that British courts forbid </w:t>
      </w:r>
      <w:r w:rsidRPr="003B22D0">
        <w:rPr>
          <w:rFonts w:ascii="Times New Roman" w:hAnsi="Times New Roman" w:cs="Times New Roman"/>
        </w:rPr>
        <w:lastRenderedPageBreak/>
        <w:t xml:space="preserve">dissents and publish </w:t>
      </w:r>
      <w:r w:rsidRPr="005E0DF6">
        <w:rPr>
          <w:rFonts w:ascii="Times New Roman" w:hAnsi="Times New Roman" w:cs="Times New Roman"/>
          <w:i/>
        </w:rPr>
        <w:t>per curiam</w:t>
      </w:r>
      <w:r w:rsidRPr="003B22D0">
        <w:rPr>
          <w:rFonts w:ascii="Times New Roman" w:hAnsi="Times New Roman" w:cs="Times New Roman"/>
        </w:rPr>
        <w:t xml:space="preserve"> decisions </w:t>
      </w:r>
      <w:r>
        <w:rPr>
          <w:rFonts w:ascii="Times New Roman" w:hAnsi="Times New Roman" w:cs="Times New Roman"/>
        </w:rPr>
        <w:t xml:space="preserve">in </w:t>
      </w:r>
      <w:r w:rsidRPr="003B22D0">
        <w:rPr>
          <w:rFonts w:ascii="Times New Roman" w:hAnsi="Times New Roman" w:cs="Times New Roman"/>
        </w:rPr>
        <w:t>criminal proceedings</w:t>
      </w:r>
      <w:proofErr w:type="gramStart"/>
      <w:r w:rsidRPr="003B22D0">
        <w:rPr>
          <w:rFonts w:ascii="Times New Roman" w:hAnsi="Times New Roman" w:cs="Times New Roman"/>
        </w:rPr>
        <w:t>, raising</w:t>
      </w:r>
      <w:proofErr w:type="gramEnd"/>
      <w:r w:rsidRPr="003B22D0">
        <w:rPr>
          <w:rFonts w:ascii="Times New Roman" w:hAnsi="Times New Roman" w:cs="Times New Roman"/>
        </w:rPr>
        <w:t xml:space="preserve"> the prospect that criminal or other types of jurisdiction may be more or less compatible with the practice of dissent. </w:t>
      </w:r>
      <w:r>
        <w:rPr>
          <w:rFonts w:ascii="Times New Roman" w:hAnsi="Times New Roman" w:cs="Times New Roman"/>
        </w:rPr>
        <w:t xml:space="preserve">Generalizing this hypothesis would lead us to expect states to adopt different rules about dissent for courts with jurisdiction over different types of disputes.  In the legal literature on international tribunals, Flett offers an example of this type of argument, </w:t>
      </w:r>
      <w:r w:rsidRPr="003B22D0">
        <w:rPr>
          <w:rFonts w:ascii="Times New Roman" w:hAnsi="Times New Roman" w:cs="Times New Roman"/>
        </w:rPr>
        <w:t xml:space="preserve">suggesting that </w:t>
      </w:r>
      <w:r>
        <w:rPr>
          <w:rFonts w:ascii="Times New Roman" w:hAnsi="Times New Roman" w:cs="Times New Roman"/>
        </w:rPr>
        <w:t xml:space="preserve">international </w:t>
      </w:r>
      <w:r w:rsidRPr="00BB418F">
        <w:rPr>
          <w:rFonts w:ascii="Times New Roman" w:hAnsi="Times New Roman" w:cs="Times New Roman"/>
        </w:rPr>
        <w:t xml:space="preserve">economic law is “more susceptible to objective assessment” than </w:t>
      </w:r>
      <w:r>
        <w:rPr>
          <w:rFonts w:ascii="Times New Roman" w:hAnsi="Times New Roman" w:cs="Times New Roman"/>
        </w:rPr>
        <w:t xml:space="preserve">the issue-areas that come before </w:t>
      </w:r>
      <w:r w:rsidRPr="00BB418F">
        <w:rPr>
          <w:rFonts w:ascii="Times New Roman" w:hAnsi="Times New Roman" w:cs="Times New Roman"/>
        </w:rPr>
        <w:t xml:space="preserve">a </w:t>
      </w:r>
      <w:r>
        <w:rPr>
          <w:rFonts w:ascii="Times New Roman" w:hAnsi="Times New Roman" w:cs="Times New Roman"/>
        </w:rPr>
        <w:t xml:space="preserve">court of </w:t>
      </w:r>
      <w:r w:rsidRPr="00BB418F">
        <w:rPr>
          <w:rFonts w:ascii="Times New Roman" w:hAnsi="Times New Roman" w:cs="Times New Roman"/>
        </w:rPr>
        <w:t xml:space="preserve">general jurisdiction like the ICJ, and hence </w:t>
      </w:r>
      <w:r>
        <w:rPr>
          <w:rFonts w:ascii="Times New Roman" w:hAnsi="Times New Roman" w:cs="Times New Roman"/>
        </w:rPr>
        <w:t>that the utility of dissent in trade tribunals is extremely limited</w:t>
      </w:r>
      <w:r w:rsidRPr="00BB418F">
        <w:rPr>
          <w:rFonts w:ascii="Times New Roman" w:hAnsi="Times New Roman" w:cs="Times New Roman"/>
        </w:rPr>
        <w:t>.</w:t>
      </w:r>
      <w:r w:rsidRPr="00BB418F">
        <w:rPr>
          <w:rStyle w:val="FootnoteReference"/>
          <w:rFonts w:ascii="Times New Roman" w:hAnsi="Times New Roman" w:cs="Times New Roman"/>
        </w:rPr>
        <w:footnoteReference w:id="40"/>
      </w:r>
      <w:r>
        <w:rPr>
          <w:rFonts w:ascii="Times New Roman" w:hAnsi="Times New Roman" w:cs="Times New Roman"/>
        </w:rPr>
        <w:t xml:space="preserve">  </w:t>
      </w:r>
    </w:p>
    <w:p w14:paraId="01C35833" w14:textId="01146C97" w:rsidR="003A4F55" w:rsidRDefault="003A4F55" w:rsidP="003A4F55">
      <w:pPr>
        <w:spacing w:after="0" w:line="360" w:lineRule="auto"/>
        <w:ind w:firstLine="720"/>
        <w:jc w:val="both"/>
        <w:rPr>
          <w:rFonts w:ascii="Times New Roman" w:hAnsi="Times New Roman" w:cs="Times New Roman"/>
        </w:rPr>
      </w:pPr>
      <w:r>
        <w:rPr>
          <w:rFonts w:ascii="Times New Roman" w:hAnsi="Times New Roman" w:cs="Times New Roman"/>
        </w:rPr>
        <w:t xml:space="preserve">A second, </w:t>
      </w:r>
      <w:r>
        <w:rPr>
          <w:rFonts w:ascii="Times New Roman" w:hAnsi="Times New Roman" w:cs="Times New Roman"/>
          <w:b/>
        </w:rPr>
        <w:t xml:space="preserve">sociological institutionalist </w:t>
      </w:r>
      <w:r>
        <w:rPr>
          <w:rFonts w:ascii="Times New Roman" w:hAnsi="Times New Roman" w:cs="Times New Roman"/>
        </w:rPr>
        <w:t>hypothesis emphasizes the tendency for actors – both states and judges – to fall back on legitimate templates when designing international courts and their rules of procedure.  Sociological institutionalists like Powell and DiMaggio note that actors, when designing institutions, typically do not start from scratch, but engage in “institutional isomorphism,” following existing templates that may possess normative legitimacy (hence, normative institutional isomorphism) or simply limit the transaction costs of design by providing an easily copied model (hence, mimetic institutional isomorphism).</w:t>
      </w:r>
      <w:r>
        <w:rPr>
          <w:rStyle w:val="FootnoteReference"/>
          <w:rFonts w:ascii="Times New Roman" w:hAnsi="Times New Roman" w:cs="Times New Roman"/>
        </w:rPr>
        <w:footnoteReference w:id="41"/>
      </w:r>
      <w:r>
        <w:rPr>
          <w:rFonts w:ascii="Times New Roman" w:hAnsi="Times New Roman" w:cs="Times New Roman"/>
        </w:rPr>
        <w:t xml:space="preserve">  Applied to international courts and tribunals, this hypothesis suggests that states and judges, when designing international courts and their rules of procedure, may draw on existing templates, either from existing international courts, or from their own domestic political traditions.  This, in turn</w:t>
      </w:r>
      <w:r w:rsidR="00A43684">
        <w:rPr>
          <w:rFonts w:ascii="Times New Roman" w:hAnsi="Times New Roman" w:cs="Times New Roman"/>
        </w:rPr>
        <w:t>, generates two variants of sociological institutionalist hypotheses.</w:t>
      </w:r>
    </w:p>
    <w:p w14:paraId="0796834C" w14:textId="68B65D1D" w:rsidR="00A43684" w:rsidRPr="00047F20" w:rsidRDefault="00A43684" w:rsidP="003A4F55">
      <w:pPr>
        <w:spacing w:after="0" w:line="360" w:lineRule="auto"/>
        <w:ind w:firstLine="720"/>
        <w:jc w:val="both"/>
        <w:rPr>
          <w:rFonts w:ascii="Times New Roman" w:hAnsi="Times New Roman" w:cs="Times New Roman"/>
        </w:rPr>
      </w:pPr>
      <w:r>
        <w:rPr>
          <w:rFonts w:ascii="Times New Roman" w:hAnsi="Times New Roman" w:cs="Times New Roman"/>
        </w:rPr>
        <w:t xml:space="preserve">The </w:t>
      </w:r>
      <w:r w:rsidRPr="00CD3ACD">
        <w:rPr>
          <w:rFonts w:ascii="Times New Roman" w:hAnsi="Times New Roman" w:cs="Times New Roman"/>
          <w:b/>
        </w:rPr>
        <w:t>international variant</w:t>
      </w:r>
      <w:r>
        <w:rPr>
          <w:rFonts w:ascii="Times New Roman" w:hAnsi="Times New Roman" w:cs="Times New Roman"/>
        </w:rPr>
        <w:t xml:space="preserve"> of the </w:t>
      </w:r>
      <w:r w:rsidR="00CD3ACD">
        <w:rPr>
          <w:rFonts w:ascii="Times New Roman" w:hAnsi="Times New Roman" w:cs="Times New Roman"/>
        </w:rPr>
        <w:t>hypothesis suggests that states (and judges)</w:t>
      </w:r>
      <w:r>
        <w:rPr>
          <w:rFonts w:ascii="Times New Roman" w:hAnsi="Times New Roman" w:cs="Times New Roman"/>
        </w:rPr>
        <w:t xml:space="preserve"> when designing international courts and their rules, will tend to copy provisions from other, existing international courts, particularly where these enjoy a high degree of normative legitimacy.  By contrast with the rationalist, functionalist hypothesis, which predicts that states will tailor institutional rules carefully to the functions of specific courts, the sociological institutionalist approach predicts copying and hence uniformity across international courts regardless of function.  As we shall see, there is at least </w:t>
      </w:r>
      <w:r>
        <w:rPr>
          <w:rFonts w:ascii="Times New Roman" w:hAnsi="Times New Roman" w:cs="Times New Roman"/>
          <w:i/>
        </w:rPr>
        <w:t xml:space="preserve">prima facie </w:t>
      </w:r>
      <w:r>
        <w:rPr>
          <w:rFonts w:ascii="Times New Roman" w:hAnsi="Times New Roman" w:cs="Times New Roman"/>
        </w:rPr>
        <w:t xml:space="preserve">support for this view across a cross-section of courts, with the International Court of Justice copying almost verbatim the statute and </w:t>
      </w:r>
      <w:r>
        <w:rPr>
          <w:rFonts w:ascii="Times New Roman" w:hAnsi="Times New Roman" w:cs="Times New Roman"/>
        </w:rPr>
        <w:lastRenderedPageBreak/>
        <w:t xml:space="preserve">the rules of court from the previous Permanent Court of International Justice, and with subsequent courts frequently drawing inspiration from the design features of the ICJ.  </w:t>
      </w:r>
      <w:r w:rsidR="00290DE2">
        <w:rPr>
          <w:rFonts w:ascii="Times New Roman" w:hAnsi="Times New Roman" w:cs="Times New Roman"/>
        </w:rPr>
        <w:t xml:space="preserve">As we shall also see, however, a simple version of this hypothesis overpredicts institutional copying and isomorphism, insofar as both states and judges </w:t>
      </w:r>
      <w:r w:rsidR="00047F20">
        <w:rPr>
          <w:rFonts w:ascii="Times New Roman" w:hAnsi="Times New Roman" w:cs="Times New Roman"/>
        </w:rPr>
        <w:t xml:space="preserve">frequently depart – sometimes modestly, at other times dramatically – from the templates provided by the PCIJ and ICJ, and hence we shall, in our planned case studies, look for evidence both of institutional copying </w:t>
      </w:r>
      <w:r w:rsidR="00047F20">
        <w:rPr>
          <w:rFonts w:ascii="Times New Roman" w:hAnsi="Times New Roman" w:cs="Times New Roman"/>
          <w:i/>
        </w:rPr>
        <w:t xml:space="preserve">and </w:t>
      </w:r>
      <w:r w:rsidR="00047F20">
        <w:rPr>
          <w:rFonts w:ascii="Times New Roman" w:hAnsi="Times New Roman" w:cs="Times New Roman"/>
        </w:rPr>
        <w:t xml:space="preserve">for deliberate departures from existing templates.  </w:t>
      </w:r>
    </w:p>
    <w:p w14:paraId="4A24BB23" w14:textId="3CF448A6" w:rsidR="00A042B0" w:rsidRDefault="00047F20" w:rsidP="00A042B0">
      <w:pPr>
        <w:spacing w:after="0" w:line="360" w:lineRule="auto"/>
        <w:ind w:firstLine="720"/>
        <w:jc w:val="both"/>
        <w:rPr>
          <w:rFonts w:ascii="Times New Roman" w:hAnsi="Times New Roman" w:cs="Times New Roman"/>
        </w:rPr>
      </w:pPr>
      <w:r>
        <w:rPr>
          <w:rFonts w:ascii="Times New Roman" w:hAnsi="Times New Roman" w:cs="Times New Roman"/>
        </w:rPr>
        <w:t xml:space="preserve">A second, </w:t>
      </w:r>
      <w:r w:rsidRPr="00CD3ACD">
        <w:rPr>
          <w:rFonts w:ascii="Times New Roman" w:hAnsi="Times New Roman" w:cs="Times New Roman"/>
          <w:b/>
        </w:rPr>
        <w:t>domestic variant</w:t>
      </w:r>
      <w:r>
        <w:rPr>
          <w:rFonts w:ascii="Times New Roman" w:hAnsi="Times New Roman" w:cs="Times New Roman"/>
        </w:rPr>
        <w:t xml:space="preserve"> of the sociological institutionalist hypothesis might emphasize the tendency of states </w:t>
      </w:r>
      <w:r w:rsidR="00CD3ACD">
        <w:rPr>
          <w:rFonts w:ascii="Times New Roman" w:hAnsi="Times New Roman" w:cs="Times New Roman"/>
        </w:rPr>
        <w:t>(</w:t>
      </w:r>
      <w:r>
        <w:rPr>
          <w:rFonts w:ascii="Times New Roman" w:hAnsi="Times New Roman" w:cs="Times New Roman"/>
        </w:rPr>
        <w:t>and judges</w:t>
      </w:r>
      <w:r w:rsidR="00CD3ACD">
        <w:rPr>
          <w:rFonts w:ascii="Times New Roman" w:hAnsi="Times New Roman" w:cs="Times New Roman"/>
        </w:rPr>
        <w:t>)</w:t>
      </w:r>
      <w:r>
        <w:rPr>
          <w:rFonts w:ascii="Times New Roman" w:hAnsi="Times New Roman" w:cs="Times New Roman"/>
        </w:rPr>
        <w:t xml:space="preserve"> to copy existing and legitimate templates, not from international courts but from their own domestic courts, and more broadly from their respective countries’ broad legal traditions</w:t>
      </w:r>
      <w:r w:rsidR="00A042B0" w:rsidRPr="005E0DF6">
        <w:rPr>
          <w:rFonts w:ascii="Times New Roman" w:hAnsi="Times New Roman" w:cs="Times New Roman"/>
        </w:rPr>
        <w:t>.</w:t>
      </w:r>
      <w:r w:rsidR="00A042B0" w:rsidRPr="00BB418F">
        <w:rPr>
          <w:rFonts w:ascii="Times New Roman" w:hAnsi="Times New Roman" w:cs="Times New Roman"/>
          <w:b/>
        </w:rPr>
        <w:t xml:space="preserve">  </w:t>
      </w:r>
      <w:r w:rsidR="00A042B0" w:rsidRPr="0044311F">
        <w:rPr>
          <w:rFonts w:ascii="Times New Roman" w:hAnsi="Times New Roman" w:cs="Times New Roman"/>
        </w:rPr>
        <w:t>We have already noted that dissent is most commonly associated with common</w:t>
      </w:r>
      <w:r w:rsidR="00A042B0">
        <w:rPr>
          <w:rFonts w:ascii="Times New Roman" w:hAnsi="Times New Roman" w:cs="Times New Roman"/>
        </w:rPr>
        <w:t xml:space="preserve"> </w:t>
      </w:r>
      <w:r w:rsidR="00A042B0" w:rsidRPr="0044311F">
        <w:rPr>
          <w:rFonts w:ascii="Times New Roman" w:hAnsi="Times New Roman" w:cs="Times New Roman"/>
        </w:rPr>
        <w:t xml:space="preserve">law states, whereas </w:t>
      </w:r>
      <w:r w:rsidR="00A042B0">
        <w:rPr>
          <w:rFonts w:ascii="Times New Roman" w:hAnsi="Times New Roman" w:cs="Times New Roman"/>
        </w:rPr>
        <w:t xml:space="preserve">practice of judicial dissent is typically not found in states with </w:t>
      </w:r>
      <w:r w:rsidR="00A042B0" w:rsidRPr="0044311F">
        <w:rPr>
          <w:rFonts w:ascii="Times New Roman" w:hAnsi="Times New Roman" w:cs="Times New Roman"/>
        </w:rPr>
        <w:t>civil</w:t>
      </w:r>
      <w:r w:rsidR="00A042B0">
        <w:rPr>
          <w:rFonts w:ascii="Times New Roman" w:hAnsi="Times New Roman" w:cs="Times New Roman"/>
        </w:rPr>
        <w:t xml:space="preserve"> </w:t>
      </w:r>
      <w:r w:rsidR="00A042B0" w:rsidRPr="0044311F">
        <w:rPr>
          <w:rFonts w:ascii="Times New Roman" w:hAnsi="Times New Roman" w:cs="Times New Roman"/>
        </w:rPr>
        <w:t>law tradition</w:t>
      </w:r>
      <w:r w:rsidR="00A042B0">
        <w:rPr>
          <w:rFonts w:ascii="Times New Roman" w:hAnsi="Times New Roman" w:cs="Times New Roman"/>
        </w:rPr>
        <w:t>s</w:t>
      </w:r>
      <w:r w:rsidR="00A042B0" w:rsidRPr="00BB418F">
        <w:rPr>
          <w:rFonts w:ascii="Times New Roman" w:hAnsi="Times New Roman" w:cs="Times New Roman"/>
        </w:rPr>
        <w:t xml:space="preserve">, and we might hypothesize that states might simply </w:t>
      </w:r>
      <w:r w:rsidR="00A042B0">
        <w:rPr>
          <w:rFonts w:ascii="Times New Roman" w:hAnsi="Times New Roman" w:cs="Times New Roman"/>
        </w:rPr>
        <w:t>“upload” their own domestic legal tradition on the question of judicial dissent to the international courts they create.</w:t>
      </w:r>
      <w:r w:rsidR="00A042B0">
        <w:rPr>
          <w:rStyle w:val="FootnoteReference"/>
          <w:rFonts w:ascii="Times New Roman" w:hAnsi="Times New Roman" w:cs="Times New Roman"/>
        </w:rPr>
        <w:footnoteReference w:id="42"/>
      </w:r>
      <w:r w:rsidR="00A042B0">
        <w:rPr>
          <w:rFonts w:ascii="Times New Roman" w:hAnsi="Times New Roman" w:cs="Times New Roman"/>
        </w:rPr>
        <w:t xml:space="preserve">  This would yield a straightforward expectation that common-law states will favor creating courts that allow dissent, while civil law states will prefer international courts that issue unanimous and anonymous </w:t>
      </w:r>
      <w:r w:rsidR="00A042B0">
        <w:rPr>
          <w:rFonts w:ascii="Times New Roman" w:hAnsi="Times New Roman" w:cs="Times New Roman"/>
          <w:i/>
        </w:rPr>
        <w:t>per curiam</w:t>
      </w:r>
      <w:r w:rsidR="00A042B0">
        <w:rPr>
          <w:rFonts w:ascii="Times New Roman" w:hAnsi="Times New Roman" w:cs="Times New Roman"/>
        </w:rPr>
        <w:t xml:space="preserve"> decisions.  Ginsburg offers </w:t>
      </w:r>
      <w:r w:rsidR="00A042B0" w:rsidRPr="0044311F">
        <w:rPr>
          <w:rFonts w:ascii="Times New Roman" w:hAnsi="Times New Roman" w:cs="Times New Roman"/>
        </w:rPr>
        <w:t xml:space="preserve">a variant on this hypothesis, suggesting that where civil-law countries cooperate entirely among themselves, as in the </w:t>
      </w:r>
      <w:r w:rsidR="00A042B0">
        <w:rPr>
          <w:rFonts w:ascii="Times New Roman" w:hAnsi="Times New Roman" w:cs="Times New Roman"/>
        </w:rPr>
        <w:t xml:space="preserve">original </w:t>
      </w:r>
      <w:r w:rsidR="00A042B0" w:rsidRPr="0044311F">
        <w:rPr>
          <w:rFonts w:ascii="Times New Roman" w:hAnsi="Times New Roman" w:cs="Times New Roman"/>
        </w:rPr>
        <w:t xml:space="preserve">ECJ, the resulting international courts adopt </w:t>
      </w:r>
      <w:r w:rsidR="00A042B0" w:rsidRPr="00206BD4">
        <w:rPr>
          <w:rFonts w:ascii="Times New Roman" w:hAnsi="Times New Roman" w:cs="Times New Roman"/>
          <w:i/>
        </w:rPr>
        <w:t>per curiam</w:t>
      </w:r>
      <w:r w:rsidR="00A042B0" w:rsidRPr="0044311F">
        <w:rPr>
          <w:rFonts w:ascii="Times New Roman" w:hAnsi="Times New Roman" w:cs="Times New Roman"/>
        </w:rPr>
        <w:t xml:space="preserve"> decisions, vote in secret, and rule out dissents; but where common</w:t>
      </w:r>
      <w:r w:rsidR="00A042B0">
        <w:rPr>
          <w:rFonts w:ascii="Times New Roman" w:hAnsi="Times New Roman" w:cs="Times New Roman"/>
        </w:rPr>
        <w:t xml:space="preserve"> </w:t>
      </w:r>
      <w:r w:rsidR="00A042B0" w:rsidRPr="0044311F">
        <w:rPr>
          <w:rFonts w:ascii="Times New Roman" w:hAnsi="Times New Roman" w:cs="Times New Roman"/>
        </w:rPr>
        <w:t>law countries cooperate among themselves or with civil</w:t>
      </w:r>
      <w:r w:rsidR="00A042B0">
        <w:rPr>
          <w:rFonts w:ascii="Times New Roman" w:hAnsi="Times New Roman" w:cs="Times New Roman"/>
        </w:rPr>
        <w:t xml:space="preserve"> </w:t>
      </w:r>
      <w:r w:rsidR="00A042B0" w:rsidRPr="0044311F">
        <w:rPr>
          <w:rFonts w:ascii="Times New Roman" w:hAnsi="Times New Roman" w:cs="Times New Roman"/>
        </w:rPr>
        <w:t>law countries, as in the PCIJ, ICJ</w:t>
      </w:r>
      <w:r w:rsidR="00A042B0">
        <w:rPr>
          <w:rFonts w:ascii="Times New Roman" w:hAnsi="Times New Roman" w:cs="Times New Roman"/>
        </w:rPr>
        <w:t>,</w:t>
      </w:r>
      <w:r w:rsidR="00A042B0" w:rsidRPr="0044311F">
        <w:rPr>
          <w:rFonts w:ascii="Times New Roman" w:hAnsi="Times New Roman" w:cs="Times New Roman"/>
        </w:rPr>
        <w:t xml:space="preserve"> ECtHR, </w:t>
      </w:r>
      <w:r w:rsidR="00A042B0">
        <w:rPr>
          <w:rFonts w:ascii="Times New Roman" w:hAnsi="Times New Roman" w:cs="Times New Roman"/>
        </w:rPr>
        <w:t xml:space="preserve">and ITLOS, </w:t>
      </w:r>
      <w:r w:rsidR="00A042B0" w:rsidRPr="0044311F">
        <w:rPr>
          <w:rFonts w:ascii="Times New Roman" w:hAnsi="Times New Roman" w:cs="Times New Roman"/>
        </w:rPr>
        <w:t xml:space="preserve">the resulting courts tend to adopt the </w:t>
      </w:r>
      <w:r w:rsidR="00A042B0">
        <w:rPr>
          <w:rFonts w:ascii="Times New Roman" w:hAnsi="Times New Roman" w:cs="Times New Roman"/>
        </w:rPr>
        <w:t>common law</w:t>
      </w:r>
      <w:r w:rsidR="00A042B0" w:rsidRPr="0044311F">
        <w:rPr>
          <w:rFonts w:ascii="Times New Roman" w:hAnsi="Times New Roman" w:cs="Times New Roman"/>
        </w:rPr>
        <w:t xml:space="preserve"> approach, with decisions of the court adopted according to an open vote and with the possibility of dissent.</w:t>
      </w:r>
      <w:r w:rsidR="00A042B0" w:rsidRPr="0044311F">
        <w:rPr>
          <w:rStyle w:val="FootnoteReference"/>
          <w:rFonts w:ascii="Times New Roman" w:hAnsi="Times New Roman" w:cs="Times New Roman"/>
        </w:rPr>
        <w:footnoteReference w:id="43"/>
      </w:r>
      <w:r w:rsidR="00A042B0" w:rsidRPr="0044311F">
        <w:rPr>
          <w:rFonts w:ascii="Times New Roman" w:hAnsi="Times New Roman" w:cs="Times New Roman"/>
        </w:rPr>
        <w:t xml:space="preserve">  </w:t>
      </w:r>
    </w:p>
    <w:p w14:paraId="7E2C1AC5" w14:textId="56B20E3F" w:rsidR="00A042B0" w:rsidRDefault="00047F20" w:rsidP="00A042B0">
      <w:pPr>
        <w:spacing w:after="0" w:line="360" w:lineRule="auto"/>
        <w:ind w:firstLine="720"/>
        <w:jc w:val="both"/>
        <w:rPr>
          <w:rFonts w:ascii="Times New Roman" w:hAnsi="Times New Roman" w:cs="Times New Roman"/>
        </w:rPr>
      </w:pPr>
      <w:r>
        <w:rPr>
          <w:rFonts w:ascii="Times New Roman" w:hAnsi="Times New Roman" w:cs="Times New Roman"/>
        </w:rPr>
        <w:lastRenderedPageBreak/>
        <w:t xml:space="preserve">Testing these competing hypotheses about the determinants of </w:t>
      </w:r>
      <w:r w:rsidR="00CD3ACD">
        <w:rPr>
          <w:rFonts w:ascii="Times New Roman" w:hAnsi="Times New Roman" w:cs="Times New Roman"/>
        </w:rPr>
        <w:t xml:space="preserve">institutional choice will require both broad comparative analysis of multiple courts, to look for patterns across cases, as well as qualitative historical research to recreate the motives and intentions of both state designers of international courts and their statutes.  </w:t>
      </w:r>
    </w:p>
    <w:p w14:paraId="7D0BF30B" w14:textId="77777777" w:rsidR="00A042B0" w:rsidRPr="005E0DF6" w:rsidRDefault="00A042B0" w:rsidP="00A042B0">
      <w:pPr>
        <w:spacing w:after="0"/>
        <w:rPr>
          <w:rFonts w:ascii="Times New Roman" w:hAnsi="Times New Roman" w:cs="Times New Roman"/>
        </w:rPr>
      </w:pPr>
    </w:p>
    <w:p w14:paraId="4E77FA63" w14:textId="77777777" w:rsidR="00A042B0" w:rsidRPr="00DE5E14" w:rsidRDefault="00A042B0" w:rsidP="00A042B0">
      <w:pPr>
        <w:spacing w:after="0" w:line="360" w:lineRule="auto"/>
        <w:jc w:val="both"/>
        <w:rPr>
          <w:rFonts w:ascii="Times New Roman" w:hAnsi="Times New Roman" w:cs="Times New Roman"/>
        </w:rPr>
      </w:pPr>
      <w:r w:rsidRPr="00DE5E14">
        <w:rPr>
          <w:rFonts w:ascii="Times New Roman" w:hAnsi="Times New Roman" w:cs="Times New Roman"/>
          <w:b/>
        </w:rPr>
        <w:t>2. Rules, Norms and Practice of Dissent as a Judicial Choice</w:t>
      </w:r>
    </w:p>
    <w:p w14:paraId="6BCD7883" w14:textId="77777777" w:rsidR="00A042B0" w:rsidRDefault="00A042B0" w:rsidP="00A042B0">
      <w:pPr>
        <w:spacing w:after="0" w:line="360" w:lineRule="auto"/>
        <w:jc w:val="both"/>
        <w:rPr>
          <w:rFonts w:ascii="Times New Roman" w:hAnsi="Times New Roman" w:cs="Times New Roman"/>
        </w:rPr>
      </w:pPr>
      <w:r>
        <w:rPr>
          <w:rFonts w:ascii="Times New Roman" w:hAnsi="Times New Roman" w:cs="Times New Roman"/>
        </w:rPr>
        <w:tab/>
        <w:t xml:space="preserve">In the previous section, we focused on rules about dissent as a deliberate design choice for </w:t>
      </w:r>
      <w:r w:rsidRPr="00D95D64">
        <w:rPr>
          <w:rFonts w:ascii="Times New Roman" w:hAnsi="Times New Roman" w:cs="Times New Roman"/>
          <w:i/>
        </w:rPr>
        <w:t>states</w:t>
      </w:r>
      <w:r>
        <w:rPr>
          <w:rFonts w:ascii="Times New Roman" w:hAnsi="Times New Roman" w:cs="Times New Roman"/>
        </w:rPr>
        <w:t xml:space="preserve"> writing the treaties or statutes governing the courts they create, and indeed as we shall see most such treaties and statutes do lay out at least broad rules about dissent and related issues for judges.  In most cases, however, these rules are quite broad and often quite vague, leaving considerable leeway for the judges themselves to draw up additional formal rules or informal norms to supplement or possibly even to undermine treaty rules about dissent.  How do such judges decide whether, like Marshall, to encourage unity and discourage dissent, or, like Brennan, to encourage judges to publicly dissent from the decision of the majority and to spell out their reasons for doing so? As the examples of Marshall and Brennan suggest, the debate over the advantages of disadvantages of judicial dissent is centuries old, with no clear answer as to what practices of dissent are normatively preferable.  Nevertheless, our survey of the existing literature does offer four plausible hypotheses about the conditions under which judges might reject or embrace dissent, and several of these hypotheses travel to the international level.  The first three of these predict broad second-order differences across international courts, while the fourth predicts variation in first-order decisions about dissent among judges within a given court.</w:t>
      </w:r>
    </w:p>
    <w:p w14:paraId="44951D8B" w14:textId="77777777" w:rsidR="00A042B0" w:rsidRDefault="00A042B0" w:rsidP="00A042B0">
      <w:pPr>
        <w:spacing w:after="0" w:line="360" w:lineRule="auto"/>
        <w:ind w:firstLine="720"/>
        <w:jc w:val="both"/>
        <w:rPr>
          <w:rFonts w:ascii="Times New Roman" w:hAnsi="Times New Roman" w:cs="Times New Roman"/>
        </w:rPr>
      </w:pPr>
      <w:r>
        <w:rPr>
          <w:rFonts w:ascii="Times New Roman" w:hAnsi="Times New Roman" w:cs="Times New Roman"/>
        </w:rPr>
        <w:t xml:space="preserve">First, the historical trajectory of the US Supreme Court suggests one plausible, testable hypothesis, which we label the </w:t>
      </w:r>
      <w:r w:rsidRPr="005707F9">
        <w:rPr>
          <w:rFonts w:ascii="Times New Roman" w:hAnsi="Times New Roman" w:cs="Times New Roman"/>
          <w:i/>
        </w:rPr>
        <w:t>life-cycle hypothesis</w:t>
      </w:r>
      <w:r>
        <w:rPr>
          <w:rFonts w:ascii="Times New Roman" w:hAnsi="Times New Roman" w:cs="Times New Roman"/>
        </w:rPr>
        <w:t>, namely that the imperative and the benefits of judicial unity, and its purported benefits in terms of legitimacy vis-à-vis the political branches and the general public, are greatest early in the life of any court, when the new institution is struggling to establish its place in the constitutional order and its legitimacy.  By contrast, a more mature court, having established such a place and such legitimacy, might be more able to afford the public display of disunity occasioned by the use of dissent, and hence we might expect to see judges moving towards greater acceptance of dissent over the life of a given court.</w:t>
      </w:r>
    </w:p>
    <w:p w14:paraId="279B4353" w14:textId="77777777" w:rsidR="00A042B0" w:rsidRDefault="00A042B0" w:rsidP="00A042B0">
      <w:pPr>
        <w:spacing w:after="0" w:line="360" w:lineRule="auto"/>
        <w:ind w:firstLine="720"/>
        <w:jc w:val="both"/>
        <w:rPr>
          <w:rFonts w:ascii="Times New Roman" w:hAnsi="Times New Roman" w:cs="Times New Roman"/>
        </w:rPr>
      </w:pPr>
      <w:r w:rsidRPr="000173AB">
        <w:rPr>
          <w:rFonts w:ascii="Times New Roman" w:hAnsi="Times New Roman" w:cs="Times New Roman"/>
        </w:rPr>
        <w:t xml:space="preserve">Preliminary evidence on this question </w:t>
      </w:r>
      <w:r>
        <w:rPr>
          <w:rFonts w:ascii="Times New Roman" w:hAnsi="Times New Roman" w:cs="Times New Roman"/>
        </w:rPr>
        <w:t xml:space="preserve">with respect to international courts </w:t>
      </w:r>
      <w:r w:rsidRPr="000173AB">
        <w:rPr>
          <w:rFonts w:ascii="Times New Roman" w:hAnsi="Times New Roman" w:cs="Times New Roman"/>
        </w:rPr>
        <w:t xml:space="preserve">is suggestive but hardly conclusive.  There is some soft support </w:t>
      </w:r>
      <w:r>
        <w:rPr>
          <w:rFonts w:ascii="Times New Roman" w:hAnsi="Times New Roman" w:cs="Times New Roman"/>
        </w:rPr>
        <w:t xml:space="preserve">for the life-cycle hypothesis </w:t>
      </w:r>
      <w:r w:rsidRPr="000173AB">
        <w:rPr>
          <w:rFonts w:ascii="Times New Roman" w:hAnsi="Times New Roman" w:cs="Times New Roman"/>
        </w:rPr>
        <w:t xml:space="preserve">in PCIJ Advisory </w:t>
      </w:r>
      <w:r w:rsidRPr="000173AB">
        <w:rPr>
          <w:rFonts w:ascii="Times New Roman" w:hAnsi="Times New Roman" w:cs="Times New Roman"/>
        </w:rPr>
        <w:lastRenderedPageBreak/>
        <w:t>Opinion practice.  Between 1922</w:t>
      </w:r>
      <w:r>
        <w:rPr>
          <w:rFonts w:ascii="Times New Roman" w:hAnsi="Times New Roman" w:cs="Times New Roman"/>
        </w:rPr>
        <w:t xml:space="preserve"> and 19</w:t>
      </w:r>
      <w:r w:rsidRPr="000173AB">
        <w:rPr>
          <w:rFonts w:ascii="Times New Roman" w:hAnsi="Times New Roman" w:cs="Times New Roman"/>
        </w:rPr>
        <w:t xml:space="preserve">28, dissents </w:t>
      </w:r>
      <w:r>
        <w:rPr>
          <w:rFonts w:ascii="Times New Roman" w:hAnsi="Times New Roman" w:cs="Times New Roman"/>
        </w:rPr>
        <w:t xml:space="preserve">from Advisory Opinions </w:t>
      </w:r>
      <w:r w:rsidRPr="000173AB">
        <w:rPr>
          <w:rFonts w:ascii="Times New Roman" w:hAnsi="Times New Roman" w:cs="Times New Roman"/>
        </w:rPr>
        <w:t xml:space="preserve">were </w:t>
      </w:r>
      <w:r>
        <w:rPr>
          <w:rFonts w:ascii="Times New Roman" w:hAnsi="Times New Roman" w:cs="Times New Roman"/>
        </w:rPr>
        <w:t xml:space="preserve">relatively </w:t>
      </w:r>
      <w:r w:rsidRPr="000173AB">
        <w:rPr>
          <w:rFonts w:ascii="Times New Roman" w:hAnsi="Times New Roman" w:cs="Times New Roman"/>
        </w:rPr>
        <w:t xml:space="preserve">rare: 12 of 15 advisory opinions did not contain separate opinions.  </w:t>
      </w:r>
      <w:r>
        <w:rPr>
          <w:rFonts w:ascii="Times New Roman" w:hAnsi="Times New Roman" w:cs="Times New Roman"/>
        </w:rPr>
        <w:t xml:space="preserve">In contrast, </w:t>
      </w:r>
      <w:r w:rsidRPr="000173AB">
        <w:rPr>
          <w:rFonts w:ascii="Times New Roman" w:hAnsi="Times New Roman" w:cs="Times New Roman"/>
        </w:rPr>
        <w:t xml:space="preserve">between 1930-35, </w:t>
      </w:r>
      <w:r>
        <w:rPr>
          <w:rFonts w:ascii="Times New Roman" w:hAnsi="Times New Roman" w:cs="Times New Roman"/>
        </w:rPr>
        <w:t xml:space="preserve">dissents were much more common; </w:t>
      </w:r>
      <w:r w:rsidRPr="000173AB">
        <w:rPr>
          <w:rFonts w:ascii="Times New Roman" w:hAnsi="Times New Roman" w:cs="Times New Roman"/>
        </w:rPr>
        <w:t xml:space="preserve">only 2 of 11 advisory opinions did not have separate opinions. However, this evidence is </w:t>
      </w:r>
      <w:r>
        <w:rPr>
          <w:rFonts w:ascii="Times New Roman" w:hAnsi="Times New Roman" w:cs="Times New Roman"/>
        </w:rPr>
        <w:t xml:space="preserve">of limited utility.  First, the Court had occasion to issue only a limited number of Advisory Opinions during its short existence.  Second, when exercising jurisdiction over </w:t>
      </w:r>
      <w:r w:rsidRPr="000173AB">
        <w:rPr>
          <w:rFonts w:ascii="Times New Roman" w:hAnsi="Times New Roman" w:cs="Times New Roman"/>
        </w:rPr>
        <w:t xml:space="preserve">contentious cases, </w:t>
      </w:r>
      <w:r>
        <w:rPr>
          <w:rFonts w:ascii="Times New Roman" w:hAnsi="Times New Roman" w:cs="Times New Roman"/>
        </w:rPr>
        <w:t xml:space="preserve">the court’s work product shows no sharp difference </w:t>
      </w:r>
      <w:r w:rsidRPr="000173AB">
        <w:rPr>
          <w:rFonts w:ascii="Times New Roman" w:hAnsi="Times New Roman" w:cs="Times New Roman"/>
        </w:rPr>
        <w:t xml:space="preserve">between early and later cases </w:t>
      </w:r>
      <w:r>
        <w:rPr>
          <w:rFonts w:ascii="Times New Roman" w:hAnsi="Times New Roman" w:cs="Times New Roman"/>
        </w:rPr>
        <w:t>with respect to</w:t>
      </w:r>
      <w:r w:rsidRPr="000173AB">
        <w:rPr>
          <w:rFonts w:ascii="Times New Roman" w:hAnsi="Times New Roman" w:cs="Times New Roman"/>
        </w:rPr>
        <w:t xml:space="preserve"> the number of opinions accompanied by dissents.  Similarly, the empirical discussion of the GATT/WTO case </w:t>
      </w:r>
      <w:r>
        <w:rPr>
          <w:rFonts w:ascii="Times New Roman" w:hAnsi="Times New Roman" w:cs="Times New Roman"/>
        </w:rPr>
        <w:t xml:space="preserve">set forth </w:t>
      </w:r>
      <w:r w:rsidRPr="000173AB">
        <w:rPr>
          <w:rFonts w:ascii="Times New Roman" w:hAnsi="Times New Roman" w:cs="Times New Roman"/>
        </w:rPr>
        <w:t>below suggests that the early post-1995 norm against dissent in AB reports appears to have weakened over time, with some observers</w:t>
      </w:r>
      <w:r>
        <w:rPr>
          <w:rStyle w:val="FootnoteReference"/>
          <w:rFonts w:ascii="Times New Roman" w:hAnsi="Times New Roman" w:cs="Times New Roman"/>
        </w:rPr>
        <w:footnoteReference w:id="44"/>
      </w:r>
      <w:r w:rsidRPr="000173AB">
        <w:rPr>
          <w:rFonts w:ascii="Times New Roman" w:hAnsi="Times New Roman" w:cs="Times New Roman"/>
        </w:rPr>
        <w:t xml:space="preserve"> suggesting that the WTO Appellate Body is now sufficiently “mature” to allow for dissent.  By contrast, there has been no movement at all in the ECJ’s rejection of dissenting opinions, although some scholars and judges have suggested that dissent might become a viable option for the court over time.  We have not yet compiled data</w:t>
      </w:r>
      <w:r>
        <w:rPr>
          <w:rFonts w:ascii="Times New Roman" w:hAnsi="Times New Roman" w:cs="Times New Roman"/>
        </w:rPr>
        <w:t xml:space="preserve"> </w:t>
      </w:r>
      <w:r w:rsidRPr="000173AB">
        <w:rPr>
          <w:rFonts w:ascii="Times New Roman" w:hAnsi="Times New Roman" w:cs="Times New Roman"/>
        </w:rPr>
        <w:t xml:space="preserve">on potential shifts in the frequency of dissent in the ICJ or the ECtHR over time.   </w:t>
      </w:r>
    </w:p>
    <w:p w14:paraId="0A729B3A" w14:textId="77777777" w:rsidR="00A042B0" w:rsidRDefault="00A042B0" w:rsidP="00A042B0">
      <w:pPr>
        <w:spacing w:after="0" w:line="360" w:lineRule="auto"/>
        <w:jc w:val="both"/>
        <w:rPr>
          <w:rFonts w:ascii="Times New Roman" w:hAnsi="Times New Roman" w:cs="Times New Roman"/>
        </w:rPr>
      </w:pPr>
      <w:r>
        <w:rPr>
          <w:rFonts w:ascii="Times New Roman" w:hAnsi="Times New Roman" w:cs="Times New Roman"/>
        </w:rPr>
        <w:tab/>
        <w:t>A second, judicial appointments hypothesis arises from our hypothesized judicial trilemma, which posits an interrelationship between public judicial dissent, renewable terms, and judicial independence.  If we accept this logic – as both scholars and practitioners of the EU legal system appear to have done – then the combination of renewable terms (particularly short terms) and open judicial dissent threatens to undermine judicial independence, on the grounds that revealing individual judges’ votes (whether in the majority or the minority) would expose those judges to retaliation from member states that might refuse to renominate them at the end of their term in office.  If this logic holds, and if we assume that judges value their independence, we would hypothesize that judges with renewable terms will choose not to issue frequent dissents, and indeed adopt formal rules or informal norms to discourage or prohibit dissenting votes or opinions, particularly where those judges’ terms were relatively short.  By contrast, judges with longer renewable terms, or non-renewable terms, will be more likely to engage in, and adopt internal norms facilitating, judicial dissent.</w:t>
      </w:r>
    </w:p>
    <w:p w14:paraId="69B9ABE7" w14:textId="672D5CC6" w:rsidR="00A042B0" w:rsidRPr="00ED6233" w:rsidRDefault="00A042B0" w:rsidP="00A042B0">
      <w:pPr>
        <w:spacing w:after="0" w:line="360" w:lineRule="auto"/>
        <w:ind w:firstLine="720"/>
        <w:jc w:val="both"/>
        <w:rPr>
          <w:rFonts w:ascii="Times New Roman" w:hAnsi="Times New Roman" w:cs="Times New Roman"/>
        </w:rPr>
      </w:pPr>
      <w:r>
        <w:rPr>
          <w:rFonts w:ascii="Times New Roman" w:hAnsi="Times New Roman" w:cs="Times New Roman"/>
        </w:rPr>
        <w:t xml:space="preserve">This judicial choice, however, is not made in a vacuum, and is likely to be affected in systematic ways by the member states’ design choices in creating a court and its statute.  Hence, if a Court’s statute </w:t>
      </w:r>
      <w:r w:rsidR="00CD3ACD">
        <w:rPr>
          <w:rFonts w:ascii="Times New Roman" w:hAnsi="Times New Roman" w:cs="Times New Roman"/>
        </w:rPr>
        <w:t xml:space="preserve">and rules of procedure </w:t>
      </w:r>
      <w:r>
        <w:rPr>
          <w:rFonts w:ascii="Times New Roman" w:hAnsi="Times New Roman" w:cs="Times New Roman"/>
        </w:rPr>
        <w:t xml:space="preserve">allows judges </w:t>
      </w:r>
      <w:r w:rsidRPr="00BE16D4">
        <w:rPr>
          <w:rFonts w:ascii="Times New Roman" w:hAnsi="Times New Roman" w:cs="Times New Roman"/>
          <w:i/>
        </w:rPr>
        <w:t>to both deliberate and vote in secret</w:t>
      </w:r>
      <w:r>
        <w:rPr>
          <w:rFonts w:ascii="Times New Roman" w:hAnsi="Times New Roman" w:cs="Times New Roman"/>
        </w:rPr>
        <w:t xml:space="preserve"> (as </w:t>
      </w:r>
      <w:r>
        <w:rPr>
          <w:rFonts w:ascii="Times New Roman" w:hAnsi="Times New Roman" w:cs="Times New Roman"/>
        </w:rPr>
        <w:lastRenderedPageBreak/>
        <w:t>in the Treaties of Paris and Rome creating the ECJ), then judges with concerns about renomination have little incentive to reveal their individual voting patterns through an open dissent or concurrence.  To do so would, by the logic spelled out above, endanger their renomination and reappointment, and hence their independence.  However, if an international court statute</w:t>
      </w:r>
      <w:r w:rsidR="00FB5745">
        <w:rPr>
          <w:rFonts w:ascii="Times New Roman" w:hAnsi="Times New Roman" w:cs="Times New Roman"/>
        </w:rPr>
        <w:t xml:space="preserve"> or rules of procedure</w:t>
      </w:r>
      <w:r>
        <w:rPr>
          <w:rFonts w:ascii="Times New Roman" w:hAnsi="Times New Roman" w:cs="Times New Roman"/>
        </w:rPr>
        <w:t xml:space="preserve"> requires the revelation of the judges participating in a given ruling </w:t>
      </w:r>
      <w:r w:rsidRPr="0065398A">
        <w:rPr>
          <w:rFonts w:ascii="Times New Roman" w:hAnsi="Times New Roman" w:cs="Times New Roman"/>
          <w:i/>
        </w:rPr>
        <w:t>and their votes on that ruling</w:t>
      </w:r>
      <w:r>
        <w:rPr>
          <w:rFonts w:ascii="Times New Roman" w:hAnsi="Times New Roman" w:cs="Times New Roman"/>
        </w:rPr>
        <w:t xml:space="preserve"> (as in the 1950 ECHR), the calculus for the judges changes:  in effect, judges have already been “outed” as having voted in favor of, or in opposition to, their national government’s position.  Under those circumstances, judges may have a rational incentive to write a separate co</w:t>
      </w:r>
      <w:r w:rsidR="00FB5745">
        <w:rPr>
          <w:rFonts w:ascii="Times New Roman" w:hAnsi="Times New Roman" w:cs="Times New Roman"/>
        </w:rPr>
        <w:t>ncurring or dissenting opinion,</w:t>
      </w:r>
      <w:r>
        <w:rPr>
          <w:rFonts w:ascii="Times New Roman" w:hAnsi="Times New Roman" w:cs="Times New Roman"/>
        </w:rPr>
        <w:t xml:space="preserve"> explaining the </w:t>
      </w:r>
      <w:r>
        <w:rPr>
          <w:rFonts w:ascii="Times New Roman" w:hAnsi="Times New Roman" w:cs="Times New Roman"/>
          <w:i/>
        </w:rPr>
        <w:t xml:space="preserve">reasons </w:t>
      </w:r>
      <w:r>
        <w:rPr>
          <w:rFonts w:ascii="Times New Roman" w:hAnsi="Times New Roman" w:cs="Times New Roman"/>
        </w:rPr>
        <w:t xml:space="preserve">for their vote:  in the case of a vote against their home state, they </w:t>
      </w:r>
      <w:r w:rsidR="00FB5745">
        <w:rPr>
          <w:rFonts w:ascii="Times New Roman" w:hAnsi="Times New Roman" w:cs="Times New Roman"/>
        </w:rPr>
        <w:t>can at least</w:t>
      </w:r>
      <w:r>
        <w:rPr>
          <w:rFonts w:ascii="Times New Roman" w:hAnsi="Times New Roman" w:cs="Times New Roman"/>
        </w:rPr>
        <w:t xml:space="preserve"> explain </w:t>
      </w:r>
      <w:r w:rsidR="00FB5745">
        <w:rPr>
          <w:rFonts w:ascii="Times New Roman" w:hAnsi="Times New Roman" w:cs="Times New Roman"/>
        </w:rPr>
        <w:t xml:space="preserve">the reasons for their </w:t>
      </w:r>
      <w:r>
        <w:rPr>
          <w:rFonts w:ascii="Times New Roman" w:hAnsi="Times New Roman" w:cs="Times New Roman"/>
        </w:rPr>
        <w:t xml:space="preserve">vote to the government that controls their renomination, while in the case of a vote for their home state, they </w:t>
      </w:r>
      <w:r w:rsidR="00FB5745">
        <w:rPr>
          <w:rFonts w:ascii="Times New Roman" w:hAnsi="Times New Roman" w:cs="Times New Roman"/>
        </w:rPr>
        <w:t>can</w:t>
      </w:r>
      <w:r>
        <w:rPr>
          <w:rFonts w:ascii="Times New Roman" w:hAnsi="Times New Roman" w:cs="Times New Roman"/>
        </w:rPr>
        <w:t xml:space="preserve"> explain their reasons to their fellow judges and to the broader “interpretive community,” in order to avoid charges of partisanship or bias.  In either case, we would predict that judges of courts with mandatory open voting will accompany dissenting votes with separate opinions, even where (as in Article 51 of the original ECHR) the court’s governing statue allows a “bare statement of dissent.”  If this hypothesis is correct, it suggests that the fundamental</w:t>
      </w:r>
      <w:r w:rsidR="00FB5745">
        <w:rPr>
          <w:rFonts w:ascii="Times New Roman" w:hAnsi="Times New Roman" w:cs="Times New Roman"/>
        </w:rPr>
        <w:t>ly important design choice for both s</w:t>
      </w:r>
      <w:r>
        <w:rPr>
          <w:rFonts w:ascii="Times New Roman" w:hAnsi="Times New Roman" w:cs="Times New Roman"/>
        </w:rPr>
        <w:t>tates</w:t>
      </w:r>
      <w:r w:rsidR="00FB5745">
        <w:rPr>
          <w:rFonts w:ascii="Times New Roman" w:hAnsi="Times New Roman" w:cs="Times New Roman"/>
        </w:rPr>
        <w:t xml:space="preserve"> and judges</w:t>
      </w:r>
      <w:r>
        <w:rPr>
          <w:rFonts w:ascii="Times New Roman" w:hAnsi="Times New Roman" w:cs="Times New Roman"/>
        </w:rPr>
        <w:t xml:space="preserve"> is whether to require the publication of judicial </w:t>
      </w:r>
      <w:r>
        <w:rPr>
          <w:rFonts w:ascii="Times New Roman" w:hAnsi="Times New Roman" w:cs="Times New Roman"/>
          <w:i/>
        </w:rPr>
        <w:t>votes</w:t>
      </w:r>
      <w:r>
        <w:rPr>
          <w:rFonts w:ascii="Times New Roman" w:hAnsi="Times New Roman" w:cs="Times New Roman"/>
        </w:rPr>
        <w:t xml:space="preserve">, rather than separate </w:t>
      </w:r>
      <w:r>
        <w:rPr>
          <w:rFonts w:ascii="Times New Roman" w:hAnsi="Times New Roman" w:cs="Times New Roman"/>
          <w:i/>
        </w:rPr>
        <w:t>opinions</w:t>
      </w:r>
      <w:r>
        <w:rPr>
          <w:rFonts w:ascii="Times New Roman" w:hAnsi="Times New Roman" w:cs="Times New Roman"/>
        </w:rPr>
        <w:t>:  once the Rubicon of open voting has been crossed, judges who might otherwise have kept their concerns private have a rational incentive to write separately to justify their votes to their home states and to the invisible college of international lawyers.</w:t>
      </w:r>
    </w:p>
    <w:p w14:paraId="1304A0BA" w14:textId="77777777" w:rsidR="00A042B0" w:rsidRDefault="00A042B0" w:rsidP="00A042B0">
      <w:pPr>
        <w:spacing w:after="0" w:line="360" w:lineRule="auto"/>
        <w:ind w:firstLine="720"/>
        <w:jc w:val="both"/>
        <w:rPr>
          <w:rFonts w:ascii="Times New Roman" w:hAnsi="Times New Roman" w:cs="Times New Roman"/>
        </w:rPr>
      </w:pPr>
      <w:r w:rsidRPr="00882729">
        <w:rPr>
          <w:rFonts w:ascii="Times New Roman" w:hAnsi="Times New Roman" w:cs="Times New Roman"/>
        </w:rPr>
        <w:t xml:space="preserve">A </w:t>
      </w:r>
      <w:r>
        <w:rPr>
          <w:rFonts w:ascii="Times New Roman" w:hAnsi="Times New Roman" w:cs="Times New Roman"/>
        </w:rPr>
        <w:t xml:space="preserve">third set of hypotheses </w:t>
      </w:r>
      <w:r w:rsidRPr="00882729">
        <w:rPr>
          <w:rFonts w:ascii="Times New Roman" w:hAnsi="Times New Roman" w:cs="Times New Roman"/>
        </w:rPr>
        <w:t>arise</w:t>
      </w:r>
      <w:r>
        <w:rPr>
          <w:rFonts w:ascii="Times New Roman" w:hAnsi="Times New Roman" w:cs="Times New Roman"/>
        </w:rPr>
        <w:t>s</w:t>
      </w:r>
      <w:r w:rsidRPr="00882729">
        <w:rPr>
          <w:rFonts w:ascii="Times New Roman" w:hAnsi="Times New Roman" w:cs="Times New Roman"/>
        </w:rPr>
        <w:t xml:space="preserve"> from the American literature</w:t>
      </w:r>
      <w:r>
        <w:rPr>
          <w:rFonts w:ascii="Times New Roman" w:hAnsi="Times New Roman" w:cs="Times New Roman"/>
        </w:rPr>
        <w:t>, and in particular from Epstein et al.’s empirical analysis of dissent among US appellate court judges</w:t>
      </w:r>
      <w:r w:rsidRPr="00882729">
        <w:rPr>
          <w:rFonts w:ascii="Times New Roman" w:hAnsi="Times New Roman" w:cs="Times New Roman"/>
        </w:rPr>
        <w:t xml:space="preserve">.   </w:t>
      </w:r>
      <w:r>
        <w:rPr>
          <w:rFonts w:ascii="Times New Roman" w:hAnsi="Times New Roman" w:cs="Times New Roman"/>
        </w:rPr>
        <w:t xml:space="preserve">Specifically, </w:t>
      </w:r>
      <w:proofErr w:type="spellStart"/>
      <w:r>
        <w:rPr>
          <w:rFonts w:ascii="Times New Roman" w:hAnsi="Times New Roman" w:cs="Times New Roman"/>
        </w:rPr>
        <w:t>Esptein</w:t>
      </w:r>
      <w:proofErr w:type="spellEnd"/>
      <w:r>
        <w:rPr>
          <w:rFonts w:ascii="Times New Roman" w:hAnsi="Times New Roman" w:cs="Times New Roman"/>
        </w:rPr>
        <w:t xml:space="preserve"> at al find evidence</w:t>
      </w:r>
      <w:r w:rsidRPr="00882729">
        <w:rPr>
          <w:rFonts w:ascii="Times New Roman" w:hAnsi="Times New Roman" w:cs="Times New Roman"/>
        </w:rPr>
        <w:t xml:space="preserve"> that individual judges’ choices to dissent are a function of several variables, including </w:t>
      </w:r>
      <w:r>
        <w:rPr>
          <w:rFonts w:ascii="Times New Roman" w:hAnsi="Times New Roman" w:cs="Times New Roman"/>
        </w:rPr>
        <w:t xml:space="preserve">(a) </w:t>
      </w:r>
      <w:r w:rsidRPr="00882729">
        <w:rPr>
          <w:rFonts w:ascii="Times New Roman" w:hAnsi="Times New Roman" w:cs="Times New Roman"/>
        </w:rPr>
        <w:t xml:space="preserve">caseload, </w:t>
      </w:r>
      <w:r>
        <w:rPr>
          <w:rFonts w:ascii="Times New Roman" w:hAnsi="Times New Roman" w:cs="Times New Roman"/>
        </w:rPr>
        <w:t xml:space="preserve">(b) </w:t>
      </w:r>
      <w:r w:rsidRPr="00882729">
        <w:rPr>
          <w:rFonts w:ascii="Times New Roman" w:hAnsi="Times New Roman" w:cs="Times New Roman"/>
        </w:rPr>
        <w:t xml:space="preserve">ideological diversity, and </w:t>
      </w:r>
      <w:r>
        <w:rPr>
          <w:rFonts w:ascii="Times New Roman" w:hAnsi="Times New Roman" w:cs="Times New Roman"/>
        </w:rPr>
        <w:t xml:space="preserve">(c) </w:t>
      </w:r>
      <w:r w:rsidRPr="00882729">
        <w:rPr>
          <w:rFonts w:ascii="Times New Roman" w:hAnsi="Times New Roman" w:cs="Times New Roman"/>
        </w:rPr>
        <w:t>circuit size.</w:t>
      </w:r>
      <w:r w:rsidRPr="00882729">
        <w:rPr>
          <w:rFonts w:ascii="Times New Roman" w:hAnsi="Times New Roman" w:cs="Times New Roman"/>
          <w:vertAlign w:val="superscript"/>
        </w:rPr>
        <w:footnoteReference w:id="45"/>
      </w:r>
      <w:r w:rsidRPr="00882729">
        <w:rPr>
          <w:rFonts w:ascii="Times New Roman" w:hAnsi="Times New Roman" w:cs="Times New Roman"/>
        </w:rPr>
        <w:t xml:space="preserve">  Generalizing from their analysis, we can hypothesize about the effects of these variables on the likelihood or frequency of dissent in international courts and tribunals.  With respect to the first, we might suggest that</w:t>
      </w:r>
      <w:r>
        <w:rPr>
          <w:rFonts w:ascii="Times New Roman" w:hAnsi="Times New Roman" w:cs="Times New Roman"/>
        </w:rPr>
        <w:t xml:space="preserve"> (a) </w:t>
      </w:r>
      <w:r w:rsidRPr="00882729">
        <w:rPr>
          <w:rFonts w:ascii="Times New Roman" w:hAnsi="Times New Roman" w:cs="Times New Roman"/>
        </w:rPr>
        <w:t xml:space="preserve">judges are more likely to embrace dissenting and concurring opinions where their caseloads are relatively small (on the assumption that a large caseload increases the </w:t>
      </w:r>
      <w:r>
        <w:rPr>
          <w:rFonts w:ascii="Times New Roman" w:hAnsi="Times New Roman" w:cs="Times New Roman"/>
        </w:rPr>
        <w:t xml:space="preserve">opportunity </w:t>
      </w:r>
      <w:r w:rsidRPr="00882729">
        <w:rPr>
          <w:rFonts w:ascii="Times New Roman" w:hAnsi="Times New Roman" w:cs="Times New Roman"/>
        </w:rPr>
        <w:t xml:space="preserve">cost of producing multiple opinions), which would predict greater dissent in courts, such as the </w:t>
      </w:r>
      <w:r w:rsidRPr="00882729">
        <w:rPr>
          <w:rFonts w:ascii="Times New Roman" w:hAnsi="Times New Roman" w:cs="Times New Roman"/>
        </w:rPr>
        <w:lastRenderedPageBreak/>
        <w:t xml:space="preserve">ICJ, ITLOS, and the WTO Appellate Body, with light case loads, and </w:t>
      </w:r>
      <w:r>
        <w:rPr>
          <w:rFonts w:ascii="Times New Roman" w:hAnsi="Times New Roman" w:cs="Times New Roman"/>
        </w:rPr>
        <w:t xml:space="preserve">fewer instances of </w:t>
      </w:r>
      <w:r w:rsidRPr="00882729">
        <w:rPr>
          <w:rFonts w:ascii="Times New Roman" w:hAnsi="Times New Roman" w:cs="Times New Roman"/>
        </w:rPr>
        <w:t>dissent in the European courts with their much higher case-loads. With respect to the second variable of ideological diversity, this hypothesis might translate into the prediction</w:t>
      </w:r>
      <w:r>
        <w:rPr>
          <w:rFonts w:ascii="Times New Roman" w:hAnsi="Times New Roman" w:cs="Times New Roman"/>
        </w:rPr>
        <w:t xml:space="preserve"> (b)</w:t>
      </w:r>
      <w:r w:rsidRPr="00882729">
        <w:rPr>
          <w:rFonts w:ascii="Times New Roman" w:hAnsi="Times New Roman" w:cs="Times New Roman"/>
        </w:rPr>
        <w:t xml:space="preserve"> that, </w:t>
      </w:r>
      <w:r w:rsidRPr="00882729">
        <w:rPr>
          <w:rFonts w:ascii="Times New Roman" w:hAnsi="Times New Roman" w:cs="Times New Roman"/>
          <w:i/>
        </w:rPr>
        <w:t>ceteris paribus</w:t>
      </w:r>
      <w:r w:rsidRPr="00882729">
        <w:rPr>
          <w:rFonts w:ascii="Times New Roman" w:hAnsi="Times New Roman" w:cs="Times New Roman"/>
        </w:rPr>
        <w:t xml:space="preserve">, global courts, and possibly courts of general jurisdiction, such as the ICJ, are more likely to engage in dissents, reflecting the multiple </w:t>
      </w:r>
      <w:r>
        <w:rPr>
          <w:rFonts w:ascii="Times New Roman" w:hAnsi="Times New Roman" w:cs="Times New Roman"/>
        </w:rPr>
        <w:t xml:space="preserve">and diverse </w:t>
      </w:r>
      <w:r w:rsidRPr="00882729">
        <w:rPr>
          <w:rFonts w:ascii="Times New Roman" w:hAnsi="Times New Roman" w:cs="Times New Roman"/>
        </w:rPr>
        <w:t xml:space="preserve">legal traditions and interests of its members, while regional or other courts with limited membership (e.g., ECJ, ECtHR) and/or specialized, issue-specific courts (e.g., the </w:t>
      </w:r>
      <w:r>
        <w:rPr>
          <w:rFonts w:ascii="Times New Roman" w:hAnsi="Times New Roman" w:cs="Times New Roman"/>
        </w:rPr>
        <w:t>early GATT, ITLOS</w:t>
      </w:r>
      <w:r w:rsidRPr="00882729">
        <w:rPr>
          <w:rFonts w:ascii="Times New Roman" w:hAnsi="Times New Roman" w:cs="Times New Roman"/>
        </w:rPr>
        <w:t xml:space="preserve">) are likely to have less ideological diversity and hence less need for dissent.  Third, following from the logic of the Epstein et al. argument, which hypothesizes greater collegiality costs of dissent in smaller circuits, we might predict </w:t>
      </w:r>
      <w:r>
        <w:rPr>
          <w:rFonts w:ascii="Times New Roman" w:hAnsi="Times New Roman" w:cs="Times New Roman"/>
        </w:rPr>
        <w:t>higher rates of</w:t>
      </w:r>
      <w:r w:rsidRPr="00882729">
        <w:rPr>
          <w:rFonts w:ascii="Times New Roman" w:hAnsi="Times New Roman" w:cs="Times New Roman"/>
        </w:rPr>
        <w:t xml:space="preserve"> dissent in </w:t>
      </w:r>
      <w:r>
        <w:rPr>
          <w:rFonts w:ascii="Times New Roman" w:hAnsi="Times New Roman" w:cs="Times New Roman"/>
        </w:rPr>
        <w:t>courts with larger numbers of judges</w:t>
      </w:r>
      <w:r w:rsidRPr="00882729">
        <w:rPr>
          <w:rFonts w:ascii="Times New Roman" w:hAnsi="Times New Roman" w:cs="Times New Roman"/>
        </w:rPr>
        <w:t xml:space="preserve">, and/or in courts </w:t>
      </w:r>
      <w:proofErr w:type="gramStart"/>
      <w:r w:rsidRPr="00882729">
        <w:rPr>
          <w:rFonts w:ascii="Times New Roman" w:hAnsi="Times New Roman" w:cs="Times New Roman"/>
        </w:rPr>
        <w:t>that  rule</w:t>
      </w:r>
      <w:proofErr w:type="gramEnd"/>
      <w:r w:rsidRPr="00882729">
        <w:rPr>
          <w:rFonts w:ascii="Times New Roman" w:hAnsi="Times New Roman" w:cs="Times New Roman"/>
        </w:rPr>
        <w:t xml:space="preserve"> en banc rather than in chambers.  In this case, the collegiality costs of dissent would be lower, and the frequency of dissent higher, in larger </w:t>
      </w:r>
      <w:r>
        <w:rPr>
          <w:rFonts w:ascii="Times New Roman" w:hAnsi="Times New Roman" w:cs="Times New Roman"/>
        </w:rPr>
        <w:t xml:space="preserve">chambers, all else being equal.  Note that this </w:t>
      </w:r>
      <w:proofErr w:type="gramStart"/>
      <w:r>
        <w:rPr>
          <w:rFonts w:ascii="Times New Roman" w:hAnsi="Times New Roman" w:cs="Times New Roman"/>
        </w:rPr>
        <w:t>hypotheses</w:t>
      </w:r>
      <w:proofErr w:type="gramEnd"/>
      <w:r>
        <w:rPr>
          <w:rFonts w:ascii="Times New Roman" w:hAnsi="Times New Roman" w:cs="Times New Roman"/>
        </w:rPr>
        <w:t xml:space="preserve"> predicts variation both across courts, as a function of total size, and within courts, as a function of the size of chambers.  </w:t>
      </w:r>
      <w:r w:rsidRPr="00882729">
        <w:rPr>
          <w:rFonts w:ascii="Times New Roman" w:hAnsi="Times New Roman" w:cs="Times New Roman"/>
        </w:rPr>
        <w:t xml:space="preserve"> </w:t>
      </w:r>
    </w:p>
    <w:p w14:paraId="3396B0F3" w14:textId="162BAA6D" w:rsidR="00A042B0" w:rsidRDefault="00FB5745" w:rsidP="00A042B0">
      <w:pPr>
        <w:spacing w:after="0" w:line="360" w:lineRule="auto"/>
        <w:jc w:val="both"/>
        <w:rPr>
          <w:rFonts w:ascii="Times New Roman" w:hAnsi="Times New Roman" w:cs="Times New Roman"/>
        </w:rPr>
      </w:pPr>
      <w:r>
        <w:rPr>
          <w:rFonts w:ascii="Times New Roman" w:hAnsi="Times New Roman" w:cs="Times New Roman"/>
        </w:rPr>
        <w:tab/>
        <w:t xml:space="preserve">Fourth and finally, we can again draw on a sociological institutionalist hypothesis, in both its international and domestic variants.  The international variant suggests that international judges, when designing both formal rules of court and informal norms about dissent, may draw on legitimate templates from existing courts, such as the PCIJ and the ICJ, and here again we can look for both judicial decisions to follow such templates, as well as deliberate decisions to depart from them.  The domestic variant, finally, </w:t>
      </w:r>
      <w:r w:rsidR="00A042B0">
        <w:rPr>
          <w:rFonts w:ascii="Times New Roman" w:hAnsi="Times New Roman" w:cs="Times New Roman"/>
        </w:rPr>
        <w:t xml:space="preserve">variations in the first-order dissent decisions of individual judges, as a function of </w:t>
      </w:r>
      <w:r>
        <w:rPr>
          <w:rFonts w:ascii="Times New Roman" w:hAnsi="Times New Roman" w:cs="Times New Roman"/>
        </w:rPr>
        <w:t xml:space="preserve">those </w:t>
      </w:r>
      <w:r w:rsidR="00A042B0">
        <w:rPr>
          <w:rFonts w:ascii="Times New Roman" w:hAnsi="Times New Roman" w:cs="Times New Roman"/>
        </w:rPr>
        <w:t xml:space="preserve">judges’ domestic legal tradition, with common law judges likely to embrace the use of dissent, and civil law judges spurning dissent in favor of court unity and </w:t>
      </w:r>
      <w:r w:rsidR="00A042B0">
        <w:rPr>
          <w:rFonts w:ascii="Times New Roman" w:hAnsi="Times New Roman" w:cs="Times New Roman"/>
          <w:i/>
        </w:rPr>
        <w:t xml:space="preserve">per curiam </w:t>
      </w:r>
      <w:r w:rsidR="00A042B0">
        <w:rPr>
          <w:rFonts w:ascii="Times New Roman" w:hAnsi="Times New Roman" w:cs="Times New Roman"/>
        </w:rPr>
        <w:t>decisions.</w:t>
      </w:r>
      <w:r w:rsidR="00A042B0">
        <w:rPr>
          <w:rStyle w:val="FootnoteReference"/>
          <w:rFonts w:ascii="Times New Roman" w:hAnsi="Times New Roman" w:cs="Times New Roman"/>
        </w:rPr>
        <w:footnoteReference w:id="46"/>
      </w:r>
      <w:r w:rsidR="00A042B0">
        <w:rPr>
          <w:rFonts w:ascii="Times New Roman" w:hAnsi="Times New Roman" w:cs="Times New Roman"/>
        </w:rPr>
        <w:t xml:space="preserve">  </w:t>
      </w:r>
    </w:p>
    <w:p w14:paraId="370F28A7" w14:textId="77777777" w:rsidR="00A042B0" w:rsidRDefault="00A042B0" w:rsidP="00A042B0">
      <w:pPr>
        <w:spacing w:after="0" w:line="360" w:lineRule="auto"/>
        <w:jc w:val="both"/>
        <w:rPr>
          <w:rFonts w:ascii="Times New Roman" w:hAnsi="Times New Roman" w:cs="Times New Roman"/>
        </w:rPr>
      </w:pPr>
    </w:p>
    <w:p w14:paraId="5B97685B" w14:textId="13CBD3ED" w:rsidR="00A042B0" w:rsidRPr="00591194" w:rsidRDefault="00A042B0" w:rsidP="00A042B0">
      <w:pPr>
        <w:spacing w:after="0" w:line="360" w:lineRule="auto"/>
        <w:jc w:val="both"/>
        <w:rPr>
          <w:rFonts w:ascii="Times New Roman" w:hAnsi="Times New Roman" w:cs="Times New Roman"/>
          <w:b/>
        </w:rPr>
      </w:pPr>
      <w:r>
        <w:rPr>
          <w:rFonts w:ascii="Times New Roman" w:hAnsi="Times New Roman" w:cs="Times New Roman"/>
        </w:rPr>
        <w:t xml:space="preserve">  </w:t>
      </w:r>
      <w:r w:rsidR="004A238E">
        <w:rPr>
          <w:rFonts w:ascii="Times New Roman" w:hAnsi="Times New Roman" w:cs="Times New Roman"/>
          <w:b/>
        </w:rPr>
        <w:t>B.</w:t>
      </w:r>
      <w:r>
        <w:rPr>
          <w:rFonts w:ascii="Times New Roman" w:hAnsi="Times New Roman" w:cs="Times New Roman"/>
          <w:b/>
        </w:rPr>
        <w:t xml:space="preserve">  The Consequences of Dissent</w:t>
      </w:r>
    </w:p>
    <w:p w14:paraId="5A8B5528" w14:textId="77777777" w:rsidR="00A042B0" w:rsidRPr="001D53C0" w:rsidRDefault="00A042B0" w:rsidP="00A042B0">
      <w:pPr>
        <w:spacing w:after="0" w:line="360" w:lineRule="auto"/>
        <w:jc w:val="both"/>
        <w:rPr>
          <w:rFonts w:ascii="Times New Roman" w:hAnsi="Times New Roman" w:cs="Times New Roman"/>
        </w:rPr>
      </w:pPr>
      <w:r>
        <w:rPr>
          <w:rFonts w:ascii="Times New Roman" w:hAnsi="Times New Roman" w:cs="Times New Roman"/>
        </w:rPr>
        <w:tab/>
        <w:t xml:space="preserve">We shall return to these various hypotheses about judicial choices about dissent below, but first we offer a few, very tentative hypotheses about the potential </w:t>
      </w:r>
      <w:r>
        <w:rPr>
          <w:rFonts w:ascii="Times New Roman" w:hAnsi="Times New Roman" w:cs="Times New Roman"/>
          <w:i/>
        </w:rPr>
        <w:t xml:space="preserve">consequences </w:t>
      </w:r>
      <w:r>
        <w:rPr>
          <w:rFonts w:ascii="Times New Roman" w:hAnsi="Times New Roman" w:cs="Times New Roman"/>
        </w:rPr>
        <w:t xml:space="preserve">of dissent for other variables of interest to students of international courts.  Put differently, our focus here is on dissent as an </w:t>
      </w:r>
      <w:r w:rsidRPr="001A0CA6">
        <w:rPr>
          <w:rFonts w:ascii="Times New Roman" w:hAnsi="Times New Roman" w:cs="Times New Roman"/>
          <w:i/>
        </w:rPr>
        <w:t>independent</w:t>
      </w:r>
      <w:r>
        <w:rPr>
          <w:rFonts w:ascii="Times New Roman" w:hAnsi="Times New Roman" w:cs="Times New Roman"/>
        </w:rPr>
        <w:t xml:space="preserve"> variable, and we are able to mine the domestic </w:t>
      </w:r>
      <w:r w:rsidRPr="001D53C0">
        <w:rPr>
          <w:rFonts w:ascii="Times New Roman" w:hAnsi="Times New Roman" w:cs="Times New Roman"/>
        </w:rPr>
        <w:t xml:space="preserve">literature on the </w:t>
      </w:r>
      <w:r w:rsidRPr="001D53C0">
        <w:rPr>
          <w:rFonts w:ascii="Times New Roman" w:hAnsi="Times New Roman" w:cs="Times New Roman"/>
        </w:rPr>
        <w:lastRenderedPageBreak/>
        <w:t>purported advantages and disadvantages of dissent for hypotheses about its effects.  Briefly, we might hypothesize that the use, non-use, or relative frequency of judicial dissent in international courts might pro</w:t>
      </w:r>
      <w:r w:rsidRPr="001C48CA">
        <w:rPr>
          <w:rFonts w:ascii="Times New Roman" w:hAnsi="Times New Roman" w:cs="Times New Roman"/>
        </w:rPr>
        <w:t>duce impacts on the following variables.</w:t>
      </w:r>
    </w:p>
    <w:p w14:paraId="2E4EC12A" w14:textId="77777777" w:rsidR="00A042B0" w:rsidRPr="00550C40" w:rsidRDefault="00A042B0" w:rsidP="00A042B0">
      <w:pPr>
        <w:spacing w:after="0" w:line="360" w:lineRule="auto"/>
        <w:jc w:val="both"/>
        <w:rPr>
          <w:rFonts w:ascii="Times New Roman" w:hAnsi="Times New Roman" w:cs="Times New Roman"/>
        </w:rPr>
      </w:pPr>
    </w:p>
    <w:p w14:paraId="1E5535BC" w14:textId="77777777" w:rsidR="00A042B0" w:rsidRPr="00D95D64" w:rsidRDefault="00A042B0" w:rsidP="00A042B0">
      <w:pPr>
        <w:spacing w:after="0" w:line="360" w:lineRule="auto"/>
        <w:ind w:left="360"/>
        <w:jc w:val="both"/>
        <w:rPr>
          <w:rFonts w:ascii="Times New Roman" w:hAnsi="Times New Roman" w:cs="Times New Roman"/>
        </w:rPr>
      </w:pPr>
      <w:r>
        <w:rPr>
          <w:rFonts w:ascii="Times New Roman" w:hAnsi="Times New Roman" w:cs="Times New Roman"/>
          <w:b/>
        </w:rPr>
        <w:t xml:space="preserve">1. </w:t>
      </w:r>
      <w:r w:rsidRPr="00D95D64">
        <w:rPr>
          <w:rFonts w:ascii="Times New Roman" w:hAnsi="Times New Roman" w:cs="Times New Roman"/>
          <w:b/>
        </w:rPr>
        <w:t>Judicial collegiality</w:t>
      </w:r>
      <w:r w:rsidRPr="00D95D64">
        <w:rPr>
          <w:rFonts w:ascii="Times New Roman" w:hAnsi="Times New Roman" w:cs="Times New Roman"/>
        </w:rPr>
        <w:t xml:space="preserve">.  One common concern </w:t>
      </w:r>
      <w:r>
        <w:rPr>
          <w:rFonts w:ascii="Times New Roman" w:hAnsi="Times New Roman" w:cs="Times New Roman"/>
        </w:rPr>
        <w:t xml:space="preserve">about </w:t>
      </w:r>
      <w:r w:rsidRPr="00D95D64">
        <w:rPr>
          <w:rFonts w:ascii="Times New Roman" w:hAnsi="Times New Roman" w:cs="Times New Roman"/>
        </w:rPr>
        <w:t xml:space="preserve">and purported disadvantage of dissent is that the publication of dissenting opinions, which inherently question and often undermine the decision of the majority in a given case, constitutes a blow to collegiality among the judges.  As Justice Brandeis </w:t>
      </w:r>
      <w:r>
        <w:rPr>
          <w:rFonts w:ascii="Times New Roman" w:hAnsi="Times New Roman" w:cs="Times New Roman"/>
        </w:rPr>
        <w:t xml:space="preserve">– celebrated for his dissents in </w:t>
      </w:r>
      <w:r w:rsidRPr="001A0CA6">
        <w:rPr>
          <w:rFonts w:ascii="Times New Roman" w:hAnsi="Times New Roman" w:cs="Times New Roman"/>
          <w:i/>
        </w:rPr>
        <w:t>Olmstead</w:t>
      </w:r>
      <w:r>
        <w:rPr>
          <w:rFonts w:ascii="Times New Roman" w:hAnsi="Times New Roman" w:cs="Times New Roman"/>
        </w:rPr>
        <w:t xml:space="preserve"> and other cases – </w:t>
      </w:r>
      <w:r w:rsidRPr="00D95D64">
        <w:rPr>
          <w:rFonts w:ascii="Times New Roman" w:hAnsi="Times New Roman" w:cs="Times New Roman"/>
        </w:rPr>
        <w:t>once observed, “there is a limit to the frequency with which you can [dissent], without exasperating men.”</w:t>
      </w:r>
      <w:r>
        <w:rPr>
          <w:rStyle w:val="FootnoteReference"/>
          <w:rFonts w:ascii="Times New Roman" w:hAnsi="Times New Roman" w:cs="Times New Roman"/>
        </w:rPr>
        <w:footnoteReference w:id="47"/>
      </w:r>
      <w:r w:rsidRPr="00D95D64">
        <w:rPr>
          <w:rFonts w:ascii="Times New Roman" w:hAnsi="Times New Roman" w:cs="Times New Roman"/>
        </w:rPr>
        <w:t xml:space="preserve"> If these claims are correct, we should expect that, </w:t>
      </w:r>
      <w:r w:rsidRPr="00D95D64">
        <w:rPr>
          <w:rFonts w:ascii="Times New Roman" w:hAnsi="Times New Roman" w:cs="Times New Roman"/>
          <w:i/>
        </w:rPr>
        <w:t xml:space="preserve">ceteris paribus, </w:t>
      </w:r>
      <w:r w:rsidRPr="00D95D64">
        <w:rPr>
          <w:rFonts w:ascii="Times New Roman" w:hAnsi="Times New Roman" w:cs="Times New Roman"/>
        </w:rPr>
        <w:t xml:space="preserve">collegiality among judges to be higher in courts, like the ECJ, the EFTA Court, and to a lesser extent the WTO, where judicial decisions are issued </w:t>
      </w:r>
      <w:r w:rsidRPr="00D95D64">
        <w:rPr>
          <w:rFonts w:ascii="Times New Roman" w:hAnsi="Times New Roman" w:cs="Times New Roman"/>
          <w:i/>
        </w:rPr>
        <w:t>per curiam</w:t>
      </w:r>
      <w:r>
        <w:rPr>
          <w:rFonts w:ascii="Times New Roman" w:hAnsi="Times New Roman" w:cs="Times New Roman"/>
        </w:rPr>
        <w:t xml:space="preserve"> with infrequent, anonymous dissents</w:t>
      </w:r>
      <w:r w:rsidRPr="00D95D64">
        <w:rPr>
          <w:rFonts w:ascii="Times New Roman" w:hAnsi="Times New Roman" w:cs="Times New Roman"/>
        </w:rPr>
        <w:t>, and lower among the majority of courts that allow and practice dissent</w:t>
      </w:r>
      <w:r>
        <w:rPr>
          <w:rFonts w:ascii="Times New Roman" w:hAnsi="Times New Roman" w:cs="Times New Roman"/>
        </w:rPr>
        <w:t xml:space="preserve"> regularly</w:t>
      </w:r>
      <w:r w:rsidRPr="00D95D64">
        <w:rPr>
          <w:rFonts w:ascii="Times New Roman" w:hAnsi="Times New Roman" w:cs="Times New Roman"/>
        </w:rPr>
        <w:t xml:space="preserve">.  </w:t>
      </w:r>
    </w:p>
    <w:p w14:paraId="45FB4018" w14:textId="77777777" w:rsidR="00A042B0" w:rsidRPr="001C48CA" w:rsidRDefault="00A042B0" w:rsidP="00A042B0">
      <w:pPr>
        <w:pStyle w:val="ListParagraph"/>
        <w:spacing w:after="0" w:line="360" w:lineRule="auto"/>
        <w:jc w:val="both"/>
        <w:rPr>
          <w:rFonts w:ascii="Times New Roman" w:hAnsi="Times New Roman" w:cs="Times New Roman"/>
        </w:rPr>
      </w:pPr>
    </w:p>
    <w:p w14:paraId="52D6A78B" w14:textId="77777777" w:rsidR="00A042B0" w:rsidRPr="00D95D64" w:rsidRDefault="00A042B0" w:rsidP="00A042B0">
      <w:pPr>
        <w:spacing w:after="0" w:line="360" w:lineRule="auto"/>
        <w:ind w:left="360"/>
        <w:jc w:val="both"/>
        <w:rPr>
          <w:rFonts w:ascii="Times New Roman" w:hAnsi="Times New Roman" w:cs="Times New Roman"/>
        </w:rPr>
      </w:pPr>
      <w:r>
        <w:rPr>
          <w:rFonts w:ascii="Times New Roman" w:hAnsi="Times New Roman" w:cs="Times New Roman"/>
          <w:b/>
        </w:rPr>
        <w:t xml:space="preserve">2. </w:t>
      </w:r>
      <w:r w:rsidRPr="00D95D64">
        <w:rPr>
          <w:rFonts w:ascii="Times New Roman" w:hAnsi="Times New Roman" w:cs="Times New Roman"/>
          <w:b/>
        </w:rPr>
        <w:t>Nature and quality of jurisprudence</w:t>
      </w:r>
      <w:r w:rsidRPr="00D95D64">
        <w:rPr>
          <w:rFonts w:ascii="Times New Roman" w:hAnsi="Times New Roman" w:cs="Times New Roman"/>
        </w:rPr>
        <w:t xml:space="preserve">.  As we have seen, it is a widespread belief in the American literature that the adoption and publication of dissenting and concurring opinions is likely to improve the quality of a court’s jurisprudence.  Not only does the dissenting or concurring minority introduce new legal arguments that might in the fullness of time be accepted by future majorities, </w:t>
      </w:r>
      <w:r>
        <w:rPr>
          <w:rFonts w:ascii="Times New Roman" w:hAnsi="Times New Roman" w:cs="Times New Roman"/>
        </w:rPr>
        <w:t xml:space="preserve">but </w:t>
      </w:r>
      <w:r w:rsidRPr="00D95D64">
        <w:rPr>
          <w:rFonts w:ascii="Times New Roman" w:hAnsi="Times New Roman" w:cs="Times New Roman"/>
        </w:rPr>
        <w:t>even within a single case the presence of a dissenter has been shown to “ride herd” on the majority, whose decision may be longer and more nuanced as a result of being forced to engage with the publicly expressed arguments of the minority.</w:t>
      </w:r>
      <w:r>
        <w:rPr>
          <w:rStyle w:val="FootnoteReference"/>
          <w:rFonts w:ascii="Times New Roman" w:hAnsi="Times New Roman" w:cs="Times New Roman"/>
        </w:rPr>
        <w:footnoteReference w:id="48"/>
      </w:r>
      <w:r w:rsidRPr="00D95D64">
        <w:rPr>
          <w:rFonts w:ascii="Times New Roman" w:hAnsi="Times New Roman" w:cs="Times New Roman"/>
        </w:rPr>
        <w:t xml:space="preserve">  As Justice Ginsburg has noted, “My experience teaches that there is nothing better than an impressive dissent to lead the author of the majority opinion to refine and clarify her initial [opinion.]”</w:t>
      </w:r>
      <w:r>
        <w:rPr>
          <w:rStyle w:val="FootnoteReference"/>
          <w:rFonts w:ascii="Times New Roman" w:hAnsi="Times New Roman" w:cs="Times New Roman"/>
        </w:rPr>
        <w:footnoteReference w:id="49"/>
      </w:r>
      <w:r w:rsidRPr="00D95D64">
        <w:rPr>
          <w:rFonts w:ascii="Times New Roman" w:hAnsi="Times New Roman" w:cs="Times New Roman"/>
        </w:rPr>
        <w:t xml:space="preserve"> By contrast, it is often argued that civil law courts, by virtue of their practice of adopting a single, </w:t>
      </w:r>
      <w:r w:rsidRPr="00D95D64">
        <w:rPr>
          <w:rFonts w:ascii="Times New Roman" w:hAnsi="Times New Roman" w:cs="Times New Roman"/>
          <w:i/>
        </w:rPr>
        <w:t>per curiam</w:t>
      </w:r>
      <w:r w:rsidRPr="00D95D64">
        <w:rPr>
          <w:rFonts w:ascii="Times New Roman" w:hAnsi="Times New Roman" w:cs="Times New Roman"/>
        </w:rPr>
        <w:t xml:space="preserve"> decision, tend to produce judicial decisions that paper over substantial differences among the judges, resulting in rulings tare more terse, less clearly or </w:t>
      </w:r>
      <w:r w:rsidRPr="00D95D64">
        <w:rPr>
          <w:rFonts w:ascii="Times New Roman" w:hAnsi="Times New Roman" w:cs="Times New Roman"/>
        </w:rPr>
        <w:lastRenderedPageBreak/>
        <w:t xml:space="preserve">richly argued, and hence less clear and helpful to the parties to present and future disputes.  If this is the case, then international courts that practice dissent should, </w:t>
      </w:r>
      <w:r w:rsidRPr="00D95D64">
        <w:rPr>
          <w:rFonts w:ascii="Times New Roman" w:hAnsi="Times New Roman" w:cs="Times New Roman"/>
          <w:i/>
        </w:rPr>
        <w:t>ceteris paribus</w:t>
      </w:r>
      <w:r w:rsidRPr="00D95D64">
        <w:rPr>
          <w:rFonts w:ascii="Times New Roman" w:hAnsi="Times New Roman" w:cs="Times New Roman"/>
        </w:rPr>
        <w:t>, feature longer and more detailed majority opinions than international courts without dissent; and, for any given court, cases marked by one or more concurring or dissenting opinions may be longer and more carefully argued than cases adopted unanimously.</w:t>
      </w:r>
      <w:r>
        <w:rPr>
          <w:rStyle w:val="FootnoteReference"/>
          <w:rFonts w:ascii="Times New Roman" w:hAnsi="Times New Roman" w:cs="Times New Roman"/>
        </w:rPr>
        <w:footnoteReference w:id="50"/>
      </w:r>
      <w:r w:rsidRPr="00D95D64">
        <w:rPr>
          <w:rFonts w:ascii="Times New Roman" w:hAnsi="Times New Roman" w:cs="Times New Roman"/>
        </w:rPr>
        <w:t xml:space="preserve">  </w:t>
      </w:r>
    </w:p>
    <w:p w14:paraId="0FE65CA3" w14:textId="77777777" w:rsidR="00A042B0" w:rsidRPr="001D53C0" w:rsidRDefault="00A042B0" w:rsidP="00A042B0">
      <w:pPr>
        <w:spacing w:after="0" w:line="360" w:lineRule="auto"/>
        <w:jc w:val="both"/>
        <w:rPr>
          <w:rFonts w:ascii="Times New Roman" w:hAnsi="Times New Roman" w:cs="Times New Roman"/>
        </w:rPr>
      </w:pPr>
    </w:p>
    <w:p w14:paraId="137C843A" w14:textId="77777777" w:rsidR="00A042B0" w:rsidRPr="00D95D64" w:rsidRDefault="00A042B0" w:rsidP="00A042B0">
      <w:pPr>
        <w:spacing w:after="0" w:line="360" w:lineRule="auto"/>
        <w:ind w:left="360"/>
        <w:jc w:val="both"/>
        <w:rPr>
          <w:rFonts w:ascii="Times New Roman" w:hAnsi="Times New Roman" w:cs="Times New Roman"/>
        </w:rPr>
      </w:pPr>
      <w:r>
        <w:rPr>
          <w:rFonts w:ascii="Times New Roman" w:hAnsi="Times New Roman" w:cs="Times New Roman"/>
          <w:b/>
        </w:rPr>
        <w:t xml:space="preserve">3. </w:t>
      </w:r>
      <w:r w:rsidRPr="00D95D64">
        <w:rPr>
          <w:rFonts w:ascii="Times New Roman" w:hAnsi="Times New Roman" w:cs="Times New Roman"/>
          <w:b/>
        </w:rPr>
        <w:t>Judicial legitimacy</w:t>
      </w:r>
      <w:r w:rsidRPr="00D95D64">
        <w:rPr>
          <w:rFonts w:ascii="Times New Roman" w:hAnsi="Times New Roman" w:cs="Times New Roman"/>
        </w:rPr>
        <w:t>:  Chief Justice Marshall, in common with the founders of the European Court of Justice, believed fervently that the social legitimacy of a court among the political branches as well as among public opinion is likely to be strongly influenced by the presence or absence of judicial dissent.</w:t>
      </w:r>
      <w:r>
        <w:rPr>
          <w:rStyle w:val="FootnoteReference"/>
          <w:rFonts w:ascii="Times New Roman" w:hAnsi="Times New Roman" w:cs="Times New Roman"/>
        </w:rPr>
        <w:footnoteReference w:id="51"/>
      </w:r>
      <w:r w:rsidRPr="00D95D64">
        <w:rPr>
          <w:rFonts w:ascii="Times New Roman" w:hAnsi="Times New Roman" w:cs="Times New Roman"/>
        </w:rPr>
        <w:t xml:space="preserve">  Many argue that the </w:t>
      </w:r>
      <w:r>
        <w:rPr>
          <w:rFonts w:ascii="Times New Roman" w:hAnsi="Times New Roman" w:cs="Times New Roman"/>
        </w:rPr>
        <w:t xml:space="preserve">landmark </w:t>
      </w:r>
      <w:r w:rsidRPr="00D95D64">
        <w:rPr>
          <w:rFonts w:ascii="Times New Roman" w:hAnsi="Times New Roman" w:cs="Times New Roman"/>
        </w:rPr>
        <w:t xml:space="preserve">Supreme Court opinions that helped </w:t>
      </w:r>
      <w:r>
        <w:rPr>
          <w:rFonts w:ascii="Times New Roman" w:hAnsi="Times New Roman" w:cs="Times New Roman"/>
        </w:rPr>
        <w:t xml:space="preserve">define </w:t>
      </w:r>
      <w:r w:rsidRPr="00D95D64">
        <w:rPr>
          <w:rFonts w:ascii="Times New Roman" w:hAnsi="Times New Roman" w:cs="Times New Roman"/>
        </w:rPr>
        <w:t xml:space="preserve">the US constitutional order, such as </w:t>
      </w:r>
      <w:r w:rsidRPr="00D95D64">
        <w:rPr>
          <w:rFonts w:ascii="Times New Roman" w:hAnsi="Times New Roman" w:cs="Times New Roman"/>
          <w:i/>
        </w:rPr>
        <w:t>Marbury</w:t>
      </w:r>
      <w:r w:rsidRPr="00D95D64">
        <w:rPr>
          <w:rFonts w:ascii="Times New Roman" w:hAnsi="Times New Roman" w:cs="Times New Roman"/>
        </w:rPr>
        <w:t xml:space="preserve"> and </w:t>
      </w:r>
      <w:r w:rsidRPr="00D95D64">
        <w:rPr>
          <w:rFonts w:ascii="Times New Roman" w:hAnsi="Times New Roman" w:cs="Times New Roman"/>
          <w:i/>
        </w:rPr>
        <w:t>McCulloch</w:t>
      </w:r>
      <w:r w:rsidRPr="00D95D64">
        <w:rPr>
          <w:rFonts w:ascii="Times New Roman" w:hAnsi="Times New Roman" w:cs="Times New Roman"/>
        </w:rPr>
        <w:t xml:space="preserve">, are all the more powerful because they came from a united Court, and Chief Justice Warren’s efforts in fashioning a unanimous opinion in </w:t>
      </w:r>
      <w:r w:rsidRPr="00D95D64">
        <w:rPr>
          <w:rFonts w:ascii="Times New Roman" w:hAnsi="Times New Roman" w:cs="Times New Roman"/>
          <w:i/>
        </w:rPr>
        <w:t>Brown</w:t>
      </w:r>
      <w:r w:rsidRPr="00D95D64">
        <w:rPr>
          <w:rFonts w:ascii="Times New Roman" w:hAnsi="Times New Roman" w:cs="Times New Roman"/>
        </w:rPr>
        <w:t>, on the theory that anything less than unanimity would undermine the moral force of the decision, particularly in segregated areas of the country, are well known and widely celebrated.</w:t>
      </w:r>
      <w:r>
        <w:rPr>
          <w:rStyle w:val="FootnoteReference"/>
          <w:rFonts w:ascii="Times New Roman" w:hAnsi="Times New Roman" w:cs="Times New Roman"/>
        </w:rPr>
        <w:footnoteReference w:id="52"/>
      </w:r>
      <w:r w:rsidRPr="00D95D64">
        <w:rPr>
          <w:rFonts w:ascii="Times New Roman" w:hAnsi="Times New Roman" w:cs="Times New Roman"/>
        </w:rPr>
        <w:t xml:space="preserve"> Are international courts and their rulings seen to be more legitimate when they offer a unanimous, </w:t>
      </w:r>
      <w:r w:rsidRPr="00D95D64">
        <w:rPr>
          <w:rFonts w:ascii="Times New Roman" w:hAnsi="Times New Roman" w:cs="Times New Roman"/>
          <w:i/>
        </w:rPr>
        <w:t>per curiam</w:t>
      </w:r>
      <w:r w:rsidRPr="00D95D64">
        <w:rPr>
          <w:rFonts w:ascii="Times New Roman" w:hAnsi="Times New Roman" w:cs="Times New Roman"/>
        </w:rPr>
        <w:t xml:space="preserve"> opinion, or when they offer an opinion of the court with dissents demonstrating a full and deliberative consideration of all the arguments?</w:t>
      </w:r>
    </w:p>
    <w:p w14:paraId="2AE96297" w14:textId="77777777" w:rsidR="00A042B0" w:rsidRPr="00950610" w:rsidRDefault="00A042B0" w:rsidP="00A042B0">
      <w:pPr>
        <w:pStyle w:val="ListParagraph"/>
        <w:spacing w:after="0" w:line="360" w:lineRule="auto"/>
        <w:jc w:val="both"/>
        <w:rPr>
          <w:rFonts w:ascii="Times New Roman" w:hAnsi="Times New Roman" w:cs="Times New Roman"/>
        </w:rPr>
      </w:pPr>
    </w:p>
    <w:p w14:paraId="5677F333" w14:textId="77777777" w:rsidR="00A042B0" w:rsidRPr="00D95D64" w:rsidRDefault="00A042B0" w:rsidP="00A042B0">
      <w:pPr>
        <w:spacing w:after="0" w:line="360" w:lineRule="auto"/>
        <w:ind w:left="360"/>
        <w:jc w:val="both"/>
        <w:rPr>
          <w:rFonts w:ascii="Times New Roman" w:hAnsi="Times New Roman" w:cs="Times New Roman"/>
        </w:rPr>
      </w:pPr>
      <w:r>
        <w:rPr>
          <w:rFonts w:ascii="Times New Roman" w:hAnsi="Times New Roman" w:cs="Times New Roman"/>
          <w:b/>
        </w:rPr>
        <w:t xml:space="preserve">4. </w:t>
      </w:r>
      <w:r w:rsidRPr="00D95D64">
        <w:rPr>
          <w:rFonts w:ascii="Times New Roman" w:hAnsi="Times New Roman" w:cs="Times New Roman"/>
          <w:b/>
        </w:rPr>
        <w:t>Judicial independence</w:t>
      </w:r>
      <w:r w:rsidRPr="00D95D64">
        <w:rPr>
          <w:rFonts w:ascii="Times New Roman" w:hAnsi="Times New Roman" w:cs="Times New Roman"/>
        </w:rPr>
        <w:t xml:space="preserve">.  In the literature on US domestic courts, open voting and public dissent is often seen as increasing judicial accountability without, however, endangering judicial independence, which is protected by judges’ life tenure.  In other systems with renewable appointments or even elections (as in </w:t>
      </w:r>
      <w:r>
        <w:rPr>
          <w:rFonts w:ascii="Times New Roman" w:hAnsi="Times New Roman" w:cs="Times New Roman"/>
        </w:rPr>
        <w:t>some</w:t>
      </w:r>
      <w:r w:rsidRPr="00D95D64">
        <w:rPr>
          <w:rFonts w:ascii="Times New Roman" w:hAnsi="Times New Roman" w:cs="Times New Roman"/>
        </w:rPr>
        <w:t xml:space="preserve"> US states), however, recorded votes and dissents may pose a fundamental threat to judicial independence, leading judges to rule in favor of the preferences of their political masters in the hopes of securing reappointment and reelection.  If this analysis is correct, then the use of dissent by international judges </w:t>
      </w:r>
      <w:r w:rsidRPr="00D95D64">
        <w:rPr>
          <w:rFonts w:ascii="Times New Roman" w:hAnsi="Times New Roman" w:cs="Times New Roman"/>
        </w:rPr>
        <w:lastRenderedPageBreak/>
        <w:t>should serve in practice to reduce the independence of those judges, at least in the majority of international courts whose judges are subject to reappointment; relatively short terms should magnify this effect.</w:t>
      </w:r>
      <w:r>
        <w:rPr>
          <w:rStyle w:val="FootnoteReference"/>
          <w:rFonts w:ascii="Times New Roman" w:hAnsi="Times New Roman" w:cs="Times New Roman"/>
        </w:rPr>
        <w:footnoteReference w:id="53"/>
      </w:r>
      <w:r w:rsidRPr="00D95D64">
        <w:rPr>
          <w:rFonts w:ascii="Times New Roman" w:hAnsi="Times New Roman" w:cs="Times New Roman"/>
        </w:rPr>
        <w:t xml:space="preserve"> </w:t>
      </w:r>
    </w:p>
    <w:p w14:paraId="52B9DC25" w14:textId="77777777" w:rsidR="00A042B0" w:rsidRDefault="00A042B0" w:rsidP="00A042B0">
      <w:pPr>
        <w:pStyle w:val="ListParagraph"/>
        <w:spacing w:after="0" w:line="360" w:lineRule="auto"/>
        <w:jc w:val="both"/>
        <w:rPr>
          <w:rFonts w:ascii="Times New Roman" w:hAnsi="Times New Roman" w:cs="Times New Roman"/>
        </w:rPr>
      </w:pPr>
    </w:p>
    <w:p w14:paraId="71806E9C" w14:textId="0D8DF248" w:rsidR="0061793D" w:rsidRDefault="00A042B0" w:rsidP="00540CFA">
      <w:pPr>
        <w:spacing w:after="0" w:line="360" w:lineRule="auto"/>
        <w:jc w:val="both"/>
        <w:rPr>
          <w:rFonts w:ascii="Times New Roman" w:hAnsi="Times New Roman" w:cs="Times New Roman"/>
        </w:rPr>
      </w:pPr>
      <w:r>
        <w:rPr>
          <w:rFonts w:ascii="Times New Roman" w:hAnsi="Times New Roman" w:cs="Times New Roman"/>
        </w:rPr>
        <w:t>We have laid out a series of hypotheses here about the consequences of dissent, and in the previous sections about the causes of dissent both with respect to member-state treaty and statute provisions as well as judicial rules, norms, and behavior.  Most of these hypotheses are tentative, and none have yet been operationalized for empirical testing.  In the next section, we take an equally tentative step in that direction, by collecting some descriptive statistics for a small number of important courts, and by probing more deeply into a single international legal system, that of the GATT/WTO.</w:t>
      </w:r>
    </w:p>
    <w:p w14:paraId="4D320BE8" w14:textId="77777777" w:rsidR="00206BD4" w:rsidRDefault="00206BD4" w:rsidP="00540CFA">
      <w:pPr>
        <w:spacing w:after="0" w:line="360" w:lineRule="auto"/>
        <w:jc w:val="both"/>
        <w:rPr>
          <w:rFonts w:ascii="Times New Roman" w:hAnsi="Times New Roman" w:cs="Times New Roman"/>
        </w:rPr>
      </w:pPr>
    </w:p>
    <w:p w14:paraId="4E6F94A0" w14:textId="0BB62262" w:rsidR="00206BD4" w:rsidRPr="001A0CA6" w:rsidRDefault="00206BD4" w:rsidP="001A0CA6">
      <w:pPr>
        <w:spacing w:after="0" w:line="360" w:lineRule="auto"/>
        <w:jc w:val="both"/>
        <w:rPr>
          <w:rFonts w:ascii="Times New Roman" w:hAnsi="Times New Roman" w:cs="Times New Roman"/>
          <w:b/>
        </w:rPr>
      </w:pPr>
      <w:r w:rsidRPr="001A0CA6">
        <w:rPr>
          <w:rFonts w:ascii="Times New Roman" w:hAnsi="Times New Roman" w:cs="Times New Roman"/>
          <w:b/>
        </w:rPr>
        <w:t xml:space="preserve">III. </w:t>
      </w:r>
      <w:r w:rsidR="004F2084">
        <w:rPr>
          <w:rFonts w:ascii="Times New Roman" w:hAnsi="Times New Roman" w:cs="Times New Roman"/>
          <w:b/>
        </w:rPr>
        <w:t>From Theory to Empirics:</w:t>
      </w:r>
      <w:r w:rsidR="00D224C5" w:rsidRPr="001A0CA6">
        <w:rPr>
          <w:rFonts w:ascii="Times New Roman" w:hAnsi="Times New Roman" w:cs="Times New Roman"/>
          <w:b/>
        </w:rPr>
        <w:t xml:space="preserve"> </w:t>
      </w:r>
      <w:r w:rsidR="004F2084">
        <w:rPr>
          <w:rFonts w:ascii="Times New Roman" w:hAnsi="Times New Roman" w:cs="Times New Roman"/>
          <w:b/>
        </w:rPr>
        <w:t xml:space="preserve">A First Look at </w:t>
      </w:r>
      <w:r w:rsidRPr="001A0CA6">
        <w:rPr>
          <w:rFonts w:ascii="Times New Roman" w:hAnsi="Times New Roman" w:cs="Times New Roman"/>
          <w:b/>
        </w:rPr>
        <w:t xml:space="preserve">Dissent Practices in International </w:t>
      </w:r>
      <w:r w:rsidR="004F2084">
        <w:rPr>
          <w:rFonts w:ascii="Times New Roman" w:hAnsi="Times New Roman" w:cs="Times New Roman"/>
          <w:b/>
        </w:rPr>
        <w:t>Courts</w:t>
      </w:r>
    </w:p>
    <w:p w14:paraId="51C664C3" w14:textId="5CAF41E5" w:rsidR="00206BD4" w:rsidRPr="001A0CA6" w:rsidRDefault="00206BD4" w:rsidP="001A0CA6">
      <w:pPr>
        <w:spacing w:after="0" w:line="360" w:lineRule="auto"/>
        <w:ind w:firstLine="720"/>
        <w:jc w:val="both"/>
        <w:rPr>
          <w:rFonts w:ascii="Times New Roman" w:hAnsi="Times New Roman" w:cs="Times New Roman"/>
        </w:rPr>
      </w:pPr>
      <w:r w:rsidRPr="001A0CA6">
        <w:rPr>
          <w:rFonts w:ascii="Times New Roman" w:hAnsi="Times New Roman" w:cs="Times New Roman"/>
        </w:rPr>
        <w:t xml:space="preserve">To test </w:t>
      </w:r>
      <w:r w:rsidR="007473D4" w:rsidRPr="001A0CA6">
        <w:rPr>
          <w:rFonts w:ascii="Times New Roman" w:hAnsi="Times New Roman" w:cs="Times New Roman"/>
        </w:rPr>
        <w:t xml:space="preserve">and further refine </w:t>
      </w:r>
      <w:r w:rsidRPr="001A0CA6">
        <w:rPr>
          <w:rFonts w:ascii="Times New Roman" w:hAnsi="Times New Roman" w:cs="Times New Roman"/>
        </w:rPr>
        <w:t xml:space="preserve">the hypotheses set out above, we have begun to undertake a detailed analysis of dissent practices at six of the most prominent and important international courts: the Permanent Court of International Justice (PCIJ); the International Court of Justice (ICJ); the European Court of Justice (ECJ); the European Court of Human Rights (ECtHR); the (first level) panels and Appellate Body (AB) of the World Trade Organization (WTO); and the International Tribunal of the Law of the Sea (ITLOS).  This constellation of </w:t>
      </w:r>
      <w:r w:rsidR="007473D4" w:rsidRPr="001A0CA6">
        <w:rPr>
          <w:rFonts w:ascii="Times New Roman" w:hAnsi="Times New Roman" w:cs="Times New Roman"/>
        </w:rPr>
        <w:t>tribunal</w:t>
      </w:r>
      <w:r w:rsidRPr="001A0CA6">
        <w:rPr>
          <w:rFonts w:ascii="Times New Roman" w:hAnsi="Times New Roman" w:cs="Times New Roman"/>
        </w:rPr>
        <w:t>s provides a rich cross-section of the international judiciary, including two global courts with general jurisdiction (PCIJ and ICJ) that operated during different time frames; two global courts with specialized jurisdiction (ITLOS and WTO) that were created roughly contemporaneously but that have very different caseloads, number of judges, and dissent practices; and two regional courts that were created roughly contemporaneously, one with general jurisdiction (ECJ) and one with specialized jurisdiction (ECtHR), and with very different dissent practices.  [Possibility of adding ICC, as a global court with specialized jurisdiction in a very different area, international criminal law, and with a jurisdiction over cases with a different party structure, namely, individuals as defendants</w:t>
      </w:r>
      <w:r w:rsidR="008E55BA">
        <w:rPr>
          <w:rFonts w:ascii="Times New Roman" w:hAnsi="Times New Roman" w:cs="Times New Roman"/>
        </w:rPr>
        <w:t xml:space="preserve">.  </w:t>
      </w:r>
      <w:proofErr w:type="gramStart"/>
      <w:r w:rsidR="008E55BA">
        <w:rPr>
          <w:rFonts w:ascii="Times New Roman" w:hAnsi="Times New Roman" w:cs="Times New Roman"/>
        </w:rPr>
        <w:t>P</w:t>
      </w:r>
      <w:r w:rsidRPr="001A0CA6">
        <w:rPr>
          <w:rFonts w:ascii="Times New Roman" w:hAnsi="Times New Roman" w:cs="Times New Roman"/>
        </w:rPr>
        <w:t xml:space="preserve">ossibility of adding Andean Court of Justice, as a regional court </w:t>
      </w:r>
      <w:r w:rsidRPr="001A0CA6">
        <w:rPr>
          <w:rFonts w:ascii="Times New Roman" w:hAnsi="Times New Roman" w:cs="Times New Roman"/>
        </w:rPr>
        <w:lastRenderedPageBreak/>
        <w:t>outside of Europe and a nice comparison to ECJ.</w:t>
      </w:r>
      <w:proofErr w:type="gramEnd"/>
      <w:r w:rsidRPr="001A0CA6">
        <w:rPr>
          <w:rFonts w:ascii="Times New Roman" w:hAnsi="Times New Roman" w:cs="Times New Roman"/>
        </w:rPr>
        <w:t xml:space="preserve">  </w:t>
      </w:r>
      <w:r w:rsidR="008E55BA">
        <w:rPr>
          <w:rFonts w:ascii="Times New Roman" w:hAnsi="Times New Roman" w:cs="Times New Roman"/>
        </w:rPr>
        <w:t xml:space="preserve">Ultimately, our hope is to </w:t>
      </w:r>
      <w:r w:rsidRPr="001A0CA6">
        <w:rPr>
          <w:rFonts w:ascii="Times New Roman" w:hAnsi="Times New Roman" w:cs="Times New Roman"/>
        </w:rPr>
        <w:t xml:space="preserve">collect summary data on dissent </w:t>
      </w:r>
      <w:r w:rsidR="008E55BA">
        <w:rPr>
          <w:rFonts w:ascii="Times New Roman" w:hAnsi="Times New Roman" w:cs="Times New Roman"/>
        </w:rPr>
        <w:t xml:space="preserve">rules and </w:t>
      </w:r>
      <w:r w:rsidRPr="001A0CA6">
        <w:rPr>
          <w:rFonts w:ascii="Times New Roman" w:hAnsi="Times New Roman" w:cs="Times New Roman"/>
        </w:rPr>
        <w:t xml:space="preserve">practices </w:t>
      </w:r>
      <w:r w:rsidR="008E55BA">
        <w:rPr>
          <w:rFonts w:ascii="Times New Roman" w:hAnsi="Times New Roman" w:cs="Times New Roman"/>
        </w:rPr>
        <w:t>for the entire universe of active international courts and tribunals</w:t>
      </w:r>
      <w:r w:rsidRPr="001A0CA6">
        <w:rPr>
          <w:rFonts w:ascii="Times New Roman" w:hAnsi="Times New Roman" w:cs="Times New Roman"/>
        </w:rPr>
        <w:t>.</w:t>
      </w:r>
      <w:r w:rsidR="008E55BA">
        <w:rPr>
          <w:rFonts w:ascii="Times New Roman" w:hAnsi="Times New Roman" w:cs="Times New Roman"/>
        </w:rPr>
        <w:t>]</w:t>
      </w:r>
    </w:p>
    <w:p w14:paraId="431472F8" w14:textId="77777777" w:rsidR="00206BD4" w:rsidRPr="001A0CA6" w:rsidRDefault="00206BD4" w:rsidP="001A0CA6">
      <w:pPr>
        <w:spacing w:after="0" w:line="360" w:lineRule="auto"/>
        <w:ind w:firstLine="720"/>
        <w:jc w:val="both"/>
        <w:rPr>
          <w:rFonts w:ascii="Times New Roman" w:eastAsia="Times New Roman" w:hAnsi="Times New Roman" w:cs="Times New Roman"/>
        </w:rPr>
      </w:pPr>
      <w:r w:rsidRPr="001A0CA6">
        <w:rPr>
          <w:rFonts w:ascii="Times New Roman" w:eastAsia="Times New Roman" w:hAnsi="Times New Roman" w:cs="Times New Roman"/>
        </w:rPr>
        <w:t>For those not familiar with these tribunals, a thumbnail description might be useful.</w:t>
      </w:r>
    </w:p>
    <w:p w14:paraId="028B5DAD" w14:textId="284F2BEE" w:rsidR="00206BD4" w:rsidRPr="001A0CA6" w:rsidRDefault="00206BD4" w:rsidP="001A0CA6">
      <w:pPr>
        <w:spacing w:after="0" w:line="360" w:lineRule="auto"/>
        <w:ind w:firstLine="720"/>
        <w:jc w:val="both"/>
        <w:rPr>
          <w:rFonts w:ascii="Times New Roman" w:eastAsia="Times New Roman" w:hAnsi="Times New Roman" w:cs="Times New Roman"/>
        </w:rPr>
      </w:pPr>
      <w:r w:rsidRPr="001A0CA6">
        <w:rPr>
          <w:rFonts w:ascii="Times New Roman" w:eastAsia="Times New Roman" w:hAnsi="Times New Roman" w:cs="Times New Roman"/>
        </w:rPr>
        <w:t xml:space="preserve">The </w:t>
      </w:r>
      <w:r w:rsidRPr="001A0CA6">
        <w:rPr>
          <w:rFonts w:ascii="Times New Roman" w:eastAsia="Times New Roman" w:hAnsi="Times New Roman" w:cs="Times New Roman"/>
          <w:b/>
        </w:rPr>
        <w:t>Permanent Court of International Justice</w:t>
      </w:r>
      <w:r w:rsidRPr="001A0CA6">
        <w:rPr>
          <w:rFonts w:ascii="Times New Roman" w:eastAsia="Times New Roman" w:hAnsi="Times New Roman" w:cs="Times New Roman"/>
        </w:rPr>
        <w:t xml:space="preserve"> was created as part of the institutional framework that arose in the aftermath of World War I.  At its second session early in 1920, the Council of the League of Nations appointed an Advisory Committee of Jurists to submit a report on the establishment of the PCIJ. In December 1920, after extensive study and debate, the Assembly unanimously adopted the Statute of the PCIJ.  Although there was a close association between the Court and the League, which found expression </w:t>
      </w:r>
      <w:r w:rsidRPr="001A0CA6">
        <w:rPr>
          <w:rFonts w:ascii="Times New Roman" w:eastAsia="Times New Roman" w:hAnsi="Times New Roman" w:cs="Times New Roman"/>
          <w:i/>
          <w:iCs/>
        </w:rPr>
        <w:t>inter alia</w:t>
      </w:r>
      <w:r w:rsidRPr="001A0CA6">
        <w:rPr>
          <w:rFonts w:ascii="Times New Roman" w:eastAsia="Times New Roman" w:hAnsi="Times New Roman" w:cs="Times New Roman"/>
        </w:rPr>
        <w:t xml:space="preserve"> in the fact that the League Council and Assembly periodically elected the Members of the Court and that both Council and Assembly were entitled to seek advisory opinions from the Court, as a formal matter the Court never formed an integral part of the League, just as the Statute never formed part of the Covenant. </w:t>
      </w:r>
    </w:p>
    <w:p w14:paraId="37957790" w14:textId="49A49DFC" w:rsidR="00206BD4" w:rsidRPr="001A0CA6" w:rsidRDefault="00206BD4" w:rsidP="001A0CA6">
      <w:pPr>
        <w:spacing w:after="0" w:line="360" w:lineRule="auto"/>
        <w:ind w:firstLine="720"/>
        <w:jc w:val="both"/>
        <w:rPr>
          <w:rFonts w:ascii="Times New Roman" w:eastAsia="Times New Roman" w:hAnsi="Times New Roman" w:cs="Times New Roman"/>
        </w:rPr>
      </w:pPr>
      <w:r w:rsidRPr="001A0CA6">
        <w:rPr>
          <w:rFonts w:ascii="Times New Roman" w:eastAsia="Times New Roman" w:hAnsi="Times New Roman" w:cs="Times New Roman"/>
        </w:rPr>
        <w:t xml:space="preserve">The PCIJ was the first permanent international court with general jurisdiction.  Its inaugural sitting was in 1922, and between that date and 1940 it </w:t>
      </w:r>
      <w:r w:rsidR="007473D4" w:rsidRPr="001A0CA6">
        <w:rPr>
          <w:rFonts w:ascii="Times New Roman" w:eastAsia="Times New Roman" w:hAnsi="Times New Roman" w:cs="Times New Roman"/>
        </w:rPr>
        <w:t>considered</w:t>
      </w:r>
      <w:r w:rsidRPr="001A0CA6">
        <w:rPr>
          <w:rFonts w:ascii="Times New Roman" w:eastAsia="Times New Roman" w:hAnsi="Times New Roman" w:cs="Times New Roman"/>
        </w:rPr>
        <w:t xml:space="preserve"> 29 contentious cases between States and delivered 27 advisory opinions.  However, the outbreak of World War II inevitably had a significant impact on the Court.  After its last public sitting in December 1939, the Court conducted no further judicial business.  It met for the last time in October 1945, when it was decided to take all appropriate measures to ensure the transfer of its archives and effects to the new International Court of Justice, discussed below.  The PCIJ judges all resigned in January 1946, and in April 1946 the Court was formally dissolved. </w:t>
      </w:r>
    </w:p>
    <w:p w14:paraId="7C188E40" w14:textId="4B4DAA1D" w:rsidR="00206BD4" w:rsidRPr="001A0CA6" w:rsidRDefault="00206BD4" w:rsidP="001A0CA6">
      <w:pPr>
        <w:spacing w:after="0" w:line="360" w:lineRule="auto"/>
        <w:ind w:firstLine="720"/>
        <w:jc w:val="both"/>
        <w:rPr>
          <w:rFonts w:ascii="Times New Roman" w:eastAsia="Times New Roman" w:hAnsi="Times New Roman" w:cs="Times New Roman"/>
        </w:rPr>
      </w:pPr>
      <w:r w:rsidRPr="001A0CA6">
        <w:rPr>
          <w:rFonts w:ascii="Times New Roman" w:eastAsia="Times New Roman" w:hAnsi="Times New Roman" w:cs="Times New Roman"/>
        </w:rPr>
        <w:t xml:space="preserve">As states began to consider the shape of the post-World War II order, the U.S. and the UK declared themselves in favor of the establishment or re-establishment of an international court after the war’s conclusion.  The Dumbarton Oaks proposals calling for creation of a new organization contemplated a new international court of justice, and a draft Statute for the future Court was submitted to the San Francisco </w:t>
      </w:r>
      <w:proofErr w:type="gramStart"/>
      <w:r w:rsidRPr="001A0CA6">
        <w:rPr>
          <w:rFonts w:ascii="Times New Roman" w:eastAsia="Times New Roman" w:hAnsi="Times New Roman" w:cs="Times New Roman"/>
        </w:rPr>
        <w:t>Conference w</w:t>
      </w:r>
      <w:r w:rsidR="007473D4" w:rsidRPr="001A0CA6">
        <w:rPr>
          <w:rFonts w:ascii="Times New Roman" w:eastAsia="Times New Roman" w:hAnsi="Times New Roman" w:cs="Times New Roman"/>
        </w:rPr>
        <w:t>hich</w:t>
      </w:r>
      <w:proofErr w:type="gramEnd"/>
      <w:r w:rsidRPr="001A0CA6">
        <w:rPr>
          <w:rFonts w:ascii="Times New Roman" w:eastAsia="Times New Roman" w:hAnsi="Times New Roman" w:cs="Times New Roman"/>
        </w:rPr>
        <w:t xml:space="preserve"> drew up the UN Charter.  The Charter provided that a new </w:t>
      </w:r>
      <w:r w:rsidRPr="001A0CA6">
        <w:rPr>
          <w:rFonts w:ascii="Times New Roman" w:eastAsia="Times New Roman" w:hAnsi="Times New Roman" w:cs="Times New Roman"/>
          <w:b/>
        </w:rPr>
        <w:t>International Court of Justice</w:t>
      </w:r>
      <w:r w:rsidRPr="001A0CA6">
        <w:rPr>
          <w:rFonts w:ascii="Times New Roman" w:eastAsia="Times New Roman" w:hAnsi="Times New Roman" w:cs="Times New Roman"/>
        </w:rPr>
        <w:t xml:space="preserve"> would serve as the principal judicial organ of the United Nations, with a Statute creating the Court to be annexed to and forming part of the Charter.   The ICJ Statute is based upon the PCIJ Statute, and incorporates many articles verbatim.  In February 1946, at the first session of the United Nations General Assembly and Security Council, the first judges of the ICJ were elected.  </w:t>
      </w:r>
    </w:p>
    <w:p w14:paraId="55163445" w14:textId="77777777" w:rsidR="00206BD4" w:rsidRPr="001A0CA6" w:rsidRDefault="00206BD4" w:rsidP="001A0CA6">
      <w:pPr>
        <w:spacing w:after="0" w:line="360" w:lineRule="auto"/>
        <w:ind w:firstLine="720"/>
        <w:jc w:val="both"/>
        <w:rPr>
          <w:rFonts w:ascii="Times New Roman" w:eastAsia="Times New Roman" w:hAnsi="Times New Roman" w:cs="Times New Roman"/>
        </w:rPr>
      </w:pPr>
      <w:r w:rsidRPr="001A0CA6">
        <w:rPr>
          <w:rFonts w:ascii="Times New Roman" w:eastAsia="Times New Roman" w:hAnsi="Times New Roman" w:cs="Times New Roman"/>
        </w:rPr>
        <w:lastRenderedPageBreak/>
        <w:t>The Court exercises two primary forms of jurisdiction: it hears legal disputes submitted to it by States (contentious cases) and it is authorized to issue advisory opinions (advisory proceedings) on legal questions referred to it by duly authorized UN organs and specialized agencies.  The first case was submitted to the Court in May 1947.  As of October 12, 2012, some 152 disputes had been submitted to the Court.</w:t>
      </w:r>
    </w:p>
    <w:p w14:paraId="4FE02131" w14:textId="247F2542" w:rsidR="00206BD4" w:rsidRPr="00DC12E2" w:rsidRDefault="00206BD4" w:rsidP="001A0CA6">
      <w:pPr>
        <w:spacing w:after="0" w:line="360" w:lineRule="auto"/>
        <w:ind w:firstLine="720"/>
        <w:jc w:val="both"/>
        <w:rPr>
          <w:rFonts w:ascii="Times New Roman" w:eastAsia="Times New Roman" w:hAnsi="Times New Roman" w:cs="Times New Roman"/>
        </w:rPr>
      </w:pPr>
      <w:r w:rsidRPr="001A0CA6">
        <w:rPr>
          <w:rFonts w:ascii="Times New Roman" w:eastAsia="Times New Roman" w:hAnsi="Times New Roman" w:cs="Times New Roman"/>
        </w:rPr>
        <w:t xml:space="preserve">The </w:t>
      </w:r>
      <w:r w:rsidRPr="001A0CA6">
        <w:rPr>
          <w:rFonts w:ascii="Times New Roman" w:eastAsia="Times New Roman" w:hAnsi="Times New Roman" w:cs="Times New Roman"/>
          <w:b/>
        </w:rPr>
        <w:t>European Court of Justice</w:t>
      </w:r>
      <w:r w:rsidRPr="001A0CA6">
        <w:rPr>
          <w:rFonts w:ascii="Times New Roman" w:eastAsia="Times New Roman" w:hAnsi="Times New Roman" w:cs="Times New Roman"/>
        </w:rPr>
        <w:t xml:space="preserve"> (now, formally called the Court of Justice of the European Union) is the judicial organ of the European Union.</w:t>
      </w:r>
      <w:r w:rsidRPr="00DC12E2">
        <w:rPr>
          <w:rStyle w:val="FootnoteReference"/>
          <w:rFonts w:ascii="Times New Roman" w:eastAsia="Times New Roman" w:hAnsi="Times New Roman" w:cs="Times New Roman"/>
        </w:rPr>
        <w:footnoteReference w:id="54"/>
      </w:r>
      <w:r w:rsidRPr="00DC12E2">
        <w:rPr>
          <w:rFonts w:ascii="Times New Roman" w:eastAsia="Times New Roman" w:hAnsi="Times New Roman" w:cs="Times New Roman"/>
        </w:rPr>
        <w:t xml:space="preserve">  Its primary task is to examine the legality of European Union measures and to ensure the uniform interpretation and application of EU law.</w:t>
      </w:r>
      <w:r w:rsidR="003A48BE">
        <w:rPr>
          <w:rFonts w:ascii="Times New Roman" w:eastAsia="Times New Roman" w:hAnsi="Times New Roman" w:cs="Times New Roman"/>
        </w:rPr>
        <w:t xml:space="preserve">  The Court consists of 28</w:t>
      </w:r>
      <w:r w:rsidRPr="00DC12E2">
        <w:rPr>
          <w:rFonts w:ascii="Times New Roman" w:eastAsia="Times New Roman" w:hAnsi="Times New Roman" w:cs="Times New Roman"/>
        </w:rPr>
        <w:t xml:space="preserve"> Judges, or one from each EU Member</w:t>
      </w:r>
      <w:r w:rsidR="003A48BE">
        <w:rPr>
          <w:rFonts w:ascii="Times New Roman" w:eastAsia="Times New Roman" w:hAnsi="Times New Roman" w:cs="Times New Roman"/>
        </w:rPr>
        <w:t xml:space="preserve"> State.  It is assisted by </w:t>
      </w:r>
      <w:proofErr w:type="spellStart"/>
      <w:proofErr w:type="gramStart"/>
      <w:r w:rsidR="003A48BE">
        <w:rPr>
          <w:rFonts w:ascii="Times New Roman" w:eastAsia="Times New Roman" w:hAnsi="Times New Roman" w:cs="Times New Roman"/>
        </w:rPr>
        <w:t>hine</w:t>
      </w:r>
      <w:proofErr w:type="spellEnd"/>
      <w:proofErr w:type="gramEnd"/>
      <w:r w:rsidRPr="00DC12E2">
        <w:rPr>
          <w:rFonts w:ascii="Times New Roman" w:eastAsia="Times New Roman" w:hAnsi="Times New Roman" w:cs="Times New Roman"/>
        </w:rPr>
        <w:t xml:space="preserve"> Advocates General, who are tasked with presenting the Court an impartial and independent “opinion” in the cases assigned to them.</w:t>
      </w:r>
    </w:p>
    <w:p w14:paraId="646644BE" w14:textId="7E28E302" w:rsidR="00206BD4" w:rsidRPr="00DC12E2" w:rsidRDefault="00206BD4" w:rsidP="001A0CA6">
      <w:pPr>
        <w:spacing w:after="0" w:line="360" w:lineRule="auto"/>
        <w:ind w:firstLine="720"/>
        <w:jc w:val="both"/>
        <w:rPr>
          <w:rFonts w:ascii="Times New Roman" w:eastAsia="Times New Roman" w:hAnsi="Times New Roman" w:cs="Times New Roman"/>
        </w:rPr>
      </w:pPr>
      <w:r w:rsidRPr="00DC12E2">
        <w:rPr>
          <w:rFonts w:ascii="Times New Roman" w:eastAsia="Times New Roman" w:hAnsi="Times New Roman" w:cs="Times New Roman"/>
        </w:rPr>
        <w:t xml:space="preserve">The Court has jurisdiction over several types of proceedings.  First, domestic courts in EU Member states may, and sometimes must, refer cases to the ECJ and seek clarification of EU law (references for preliminary rulings).  In addition, the Commission or any member state may bring an action to determine whether a Member State </w:t>
      </w:r>
      <w:r w:rsidR="003A48BE">
        <w:rPr>
          <w:rFonts w:ascii="Times New Roman" w:eastAsia="Times New Roman" w:hAnsi="Times New Roman" w:cs="Times New Roman"/>
        </w:rPr>
        <w:t>is fulfilling its obligations u</w:t>
      </w:r>
      <w:r w:rsidRPr="00DC12E2">
        <w:rPr>
          <w:rFonts w:ascii="Times New Roman" w:eastAsia="Times New Roman" w:hAnsi="Times New Roman" w:cs="Times New Roman"/>
        </w:rPr>
        <w:t>n</w:t>
      </w:r>
      <w:r w:rsidR="003A48BE">
        <w:rPr>
          <w:rFonts w:ascii="Times New Roman" w:eastAsia="Times New Roman" w:hAnsi="Times New Roman" w:cs="Times New Roman"/>
        </w:rPr>
        <w:t>d</w:t>
      </w:r>
      <w:r w:rsidRPr="00DC12E2">
        <w:rPr>
          <w:rFonts w:ascii="Times New Roman" w:eastAsia="Times New Roman" w:hAnsi="Times New Roman" w:cs="Times New Roman"/>
        </w:rPr>
        <w:t xml:space="preserve">er EU law.  In addition, applicants can seek the annulment of a measure adopted by </w:t>
      </w:r>
      <w:proofErr w:type="gramStart"/>
      <w:r w:rsidRPr="00DC12E2">
        <w:rPr>
          <w:rFonts w:ascii="Times New Roman" w:eastAsia="Times New Roman" w:hAnsi="Times New Roman" w:cs="Times New Roman"/>
        </w:rPr>
        <w:t>an</w:t>
      </w:r>
      <w:proofErr w:type="gramEnd"/>
      <w:r w:rsidRPr="00DC12E2">
        <w:rPr>
          <w:rFonts w:ascii="Times New Roman" w:eastAsia="Times New Roman" w:hAnsi="Times New Roman" w:cs="Times New Roman"/>
        </w:rPr>
        <w:t xml:space="preserve"> EU body, or the lawfulness of the failure of an EU body to act.  Since 1952, the ECJ has issued approximately 16,600 judgments and orders. </w:t>
      </w:r>
    </w:p>
    <w:p w14:paraId="42681519" w14:textId="77777777" w:rsidR="00206BD4" w:rsidRPr="00DC12E2" w:rsidRDefault="00206BD4" w:rsidP="001A0CA6">
      <w:pPr>
        <w:spacing w:after="0" w:line="360" w:lineRule="auto"/>
        <w:ind w:firstLine="720"/>
        <w:jc w:val="both"/>
        <w:rPr>
          <w:rFonts w:ascii="Times New Roman" w:eastAsia="Times New Roman" w:hAnsi="Times New Roman" w:cs="Times New Roman"/>
        </w:rPr>
      </w:pPr>
      <w:r w:rsidRPr="00DC12E2">
        <w:rPr>
          <w:rFonts w:ascii="Times New Roman" w:eastAsia="Times New Roman" w:hAnsi="Times New Roman" w:cs="Times New Roman"/>
        </w:rPr>
        <w:t xml:space="preserve">The </w:t>
      </w:r>
      <w:r w:rsidRPr="00DC12E2">
        <w:rPr>
          <w:rFonts w:ascii="Times New Roman" w:eastAsia="Times New Roman" w:hAnsi="Times New Roman" w:cs="Times New Roman"/>
          <w:b/>
        </w:rPr>
        <w:t>European Court of Human Rights</w:t>
      </w:r>
      <w:r w:rsidRPr="00DC12E2">
        <w:rPr>
          <w:rFonts w:ascii="Times New Roman" w:eastAsia="Times New Roman" w:hAnsi="Times New Roman" w:cs="Times New Roman"/>
        </w:rPr>
        <w:t xml:space="preserve"> hears cases alleging violations of the European Convention on Human Rights, a treaty whereby the (now) 47 member States of the Council of Europe are obliged to uphold fundamental civil and political rights of individuals under their jurisdiction.  </w:t>
      </w:r>
      <w:proofErr w:type="gramStart"/>
      <w:r w:rsidRPr="00DC12E2">
        <w:rPr>
          <w:rFonts w:ascii="Times New Roman" w:eastAsia="Times New Roman" w:hAnsi="Times New Roman" w:cs="Times New Roman"/>
        </w:rPr>
        <w:t>Complaints may be filed by individuals or by member States</w:t>
      </w:r>
      <w:proofErr w:type="gramEnd"/>
      <w:r w:rsidRPr="00DC12E2">
        <w:rPr>
          <w:rFonts w:ascii="Times New Roman" w:eastAsia="Times New Roman" w:hAnsi="Times New Roman" w:cs="Times New Roman"/>
        </w:rPr>
        <w:t>; in addition the Court is authorized to issue advisory opinions.</w:t>
      </w:r>
    </w:p>
    <w:p w14:paraId="2DFE4563" w14:textId="77777777" w:rsidR="00206BD4" w:rsidRPr="00DC12E2" w:rsidRDefault="00206BD4" w:rsidP="001A0CA6">
      <w:pPr>
        <w:spacing w:after="0" w:line="360" w:lineRule="auto"/>
        <w:ind w:firstLine="720"/>
        <w:jc w:val="both"/>
        <w:rPr>
          <w:rFonts w:ascii="Times New Roman" w:eastAsia="Times New Roman" w:hAnsi="Times New Roman" w:cs="Times New Roman"/>
        </w:rPr>
      </w:pPr>
      <w:r w:rsidRPr="00DC12E2">
        <w:rPr>
          <w:rFonts w:ascii="Times New Roman" w:eastAsia="Times New Roman" w:hAnsi="Times New Roman" w:cs="Times New Roman"/>
        </w:rPr>
        <w:t xml:space="preserve">New accessions following the end of the Cold War and a wider appreciation of the Court’s role prompted a dramatic increase in Court’s workload.  As a result, in May 2004 the Council of Europe Committee of Ministers adopted Protocol no. 14 to the European Convention.  Its aim was to improve the Court’s efficiency, in part by strengthening the Court’s ability to quickly dispose of applications that are clearly inadmissible.  The Protocol also amended the rules governing judicial terms.  In place of six-year, renewable terms, the protocol provides for </w:t>
      </w:r>
      <w:r w:rsidRPr="00DC12E2">
        <w:rPr>
          <w:rFonts w:ascii="Times New Roman" w:eastAsia="Times New Roman" w:hAnsi="Times New Roman" w:cs="Times New Roman"/>
        </w:rPr>
        <w:lastRenderedPageBreak/>
        <w:t>one nonrenewable term of nine years.  Since its establishment in 1959, the Court has issued more than 15,000 judgments.</w:t>
      </w:r>
    </w:p>
    <w:p w14:paraId="0EB8B09F" w14:textId="77777777" w:rsidR="00206BD4" w:rsidRPr="00DC12E2" w:rsidRDefault="00206BD4" w:rsidP="001A0CA6">
      <w:pPr>
        <w:spacing w:after="0" w:line="360" w:lineRule="auto"/>
        <w:jc w:val="both"/>
        <w:rPr>
          <w:rFonts w:ascii="Times New Roman" w:eastAsia="Times New Roman" w:hAnsi="Times New Roman" w:cs="Times New Roman"/>
        </w:rPr>
      </w:pPr>
      <w:r w:rsidRPr="00DC12E2">
        <w:rPr>
          <w:rFonts w:ascii="Times New Roman" w:eastAsia="Times New Roman" w:hAnsi="Times New Roman" w:cs="Times New Roman"/>
        </w:rPr>
        <w:tab/>
        <w:t xml:space="preserve">The international trade regime started as the General Agreement on Tariffs and Trade (GATT), which was intended to be a temporary body and therefore had only the most rudimentary dispute settlement provisions.  Over time a practice of using “panels” of trade experts who issued reports on the facts and law relevant to disputes emerged.  On January 1, 1995, the </w:t>
      </w:r>
      <w:proofErr w:type="gramStart"/>
      <w:r w:rsidRPr="00DC12E2">
        <w:rPr>
          <w:rFonts w:ascii="Times New Roman" w:eastAsia="Times New Roman" w:hAnsi="Times New Roman" w:cs="Times New Roman"/>
        </w:rPr>
        <w:t xml:space="preserve">GATT was replaced by the </w:t>
      </w:r>
      <w:r w:rsidRPr="00DC12E2">
        <w:rPr>
          <w:rFonts w:ascii="Times New Roman" w:eastAsia="Times New Roman" w:hAnsi="Times New Roman" w:cs="Times New Roman"/>
          <w:b/>
        </w:rPr>
        <w:t>World Trade Organization</w:t>
      </w:r>
      <w:proofErr w:type="gramEnd"/>
      <w:r w:rsidRPr="00DC12E2">
        <w:rPr>
          <w:rFonts w:ascii="Times New Roman" w:eastAsia="Times New Roman" w:hAnsi="Times New Roman" w:cs="Times New Roman"/>
        </w:rPr>
        <w:t xml:space="preserve">.  Disputes between WTO members are considered, in the first instance, by “panels” that are similar to GATT panels.  The WTO also has a standing </w:t>
      </w:r>
      <w:r w:rsidRPr="00DC12E2">
        <w:rPr>
          <w:rFonts w:ascii="Times New Roman" w:eastAsia="Times New Roman" w:hAnsi="Times New Roman" w:cs="Times New Roman"/>
          <w:b/>
        </w:rPr>
        <w:t>Appellate Body</w:t>
      </w:r>
      <w:r w:rsidRPr="00DC12E2">
        <w:rPr>
          <w:rFonts w:ascii="Times New Roman" w:eastAsia="Times New Roman" w:hAnsi="Times New Roman" w:cs="Times New Roman"/>
        </w:rPr>
        <w:t>, which is limited to consideration of points of law.   Jurisdiction is limited to disputes where one WTO member alleges that another member has violated WTO law.  Neither panels nor the AB has jurisdiction over claims of private parties, or over claims that a WTO body or institution has failed to follow WTO law.  The WTO dispute system has been widely utilized; as of October 12, 2012, parties had brought some 450 disputes to WTO dispute settlement.</w:t>
      </w:r>
    </w:p>
    <w:p w14:paraId="5E5C8C71" w14:textId="77777777" w:rsidR="00206BD4" w:rsidRPr="00DC12E2" w:rsidRDefault="00206BD4" w:rsidP="001A0CA6">
      <w:pPr>
        <w:spacing w:after="0" w:line="360" w:lineRule="auto"/>
        <w:jc w:val="both"/>
        <w:rPr>
          <w:rFonts w:ascii="Times New Roman" w:eastAsia="Times New Roman" w:hAnsi="Times New Roman" w:cs="Times New Roman"/>
        </w:rPr>
      </w:pPr>
      <w:r w:rsidRPr="00DC12E2">
        <w:rPr>
          <w:rFonts w:ascii="Times New Roman" w:eastAsia="Times New Roman" w:hAnsi="Times New Roman" w:cs="Times New Roman"/>
        </w:rPr>
        <w:tab/>
        <w:t xml:space="preserve">The </w:t>
      </w:r>
      <w:proofErr w:type="gramStart"/>
      <w:r w:rsidRPr="00DC12E2">
        <w:rPr>
          <w:rFonts w:ascii="Times New Roman" w:eastAsia="Times New Roman" w:hAnsi="Times New Roman" w:cs="Times New Roman"/>
          <w:b/>
        </w:rPr>
        <w:t>International Tribunal for the Law of the Sea</w:t>
      </w:r>
      <w:r w:rsidRPr="00DC12E2">
        <w:rPr>
          <w:rFonts w:ascii="Times New Roman" w:eastAsia="Times New Roman" w:hAnsi="Times New Roman" w:cs="Times New Roman"/>
        </w:rPr>
        <w:t xml:space="preserve"> was established by the UN Convention on</w:t>
      </w:r>
      <w:proofErr w:type="gramEnd"/>
      <w:r w:rsidRPr="00DC12E2">
        <w:rPr>
          <w:rFonts w:ascii="Times New Roman" w:eastAsia="Times New Roman" w:hAnsi="Times New Roman" w:cs="Times New Roman"/>
        </w:rPr>
        <w:t xml:space="preserve"> the Law of the Sea.  It has jurisdiction over disputes arising out of the interpretation and application of the Convention, as well as over other matters specifically provided for in any other </w:t>
      </w:r>
      <w:proofErr w:type="gramStart"/>
      <w:r w:rsidRPr="00DC12E2">
        <w:rPr>
          <w:rFonts w:ascii="Times New Roman" w:eastAsia="Times New Roman" w:hAnsi="Times New Roman" w:cs="Times New Roman"/>
        </w:rPr>
        <w:t>agreement which</w:t>
      </w:r>
      <w:proofErr w:type="gramEnd"/>
      <w:r w:rsidRPr="00DC12E2">
        <w:rPr>
          <w:rFonts w:ascii="Times New Roman" w:eastAsia="Times New Roman" w:hAnsi="Times New Roman" w:cs="Times New Roman"/>
        </w:rPr>
        <w:t xml:space="preserve"> confers jurisdiction upon the tribunal.  It is open to states that are party to the Convention and, in some circumstances, to states not party to the Convention and private parties.  It also has jurisdiction to issue advisory opinions.  The Tribunal’s first judges were sworn in on October 18, 1996 and the first case was submitted in November 1997.  As of October 12, 2012, nineteen cases have been submitted to the Tribunal.</w:t>
      </w:r>
    </w:p>
    <w:p w14:paraId="1F84AC3C" w14:textId="0469FCB8" w:rsidR="00206BD4" w:rsidRPr="001A0CA6" w:rsidRDefault="00206BD4" w:rsidP="001A0CA6">
      <w:pPr>
        <w:spacing w:after="0" w:line="360" w:lineRule="auto"/>
        <w:ind w:firstLine="720"/>
        <w:jc w:val="both"/>
        <w:rPr>
          <w:rFonts w:ascii="Times New Roman" w:eastAsia="Times New Roman" w:hAnsi="Times New Roman" w:cs="Times New Roman"/>
        </w:rPr>
      </w:pPr>
      <w:r w:rsidRPr="00DC12E2">
        <w:rPr>
          <w:rFonts w:ascii="Times New Roman" w:eastAsia="Times New Roman" w:hAnsi="Times New Roman" w:cs="Times New Roman"/>
        </w:rPr>
        <w:t xml:space="preserve">A synoptic overview of treaty provisions governing dissent and related issues </w:t>
      </w:r>
      <w:r w:rsidR="003A48BE">
        <w:rPr>
          <w:rFonts w:ascii="Times New Roman" w:eastAsia="Times New Roman" w:hAnsi="Times New Roman" w:cs="Times New Roman"/>
        </w:rPr>
        <w:t>such as judicial appointment and terms of office</w:t>
      </w:r>
      <w:r w:rsidRPr="00DC12E2">
        <w:rPr>
          <w:rFonts w:ascii="Times New Roman" w:eastAsia="Times New Roman" w:hAnsi="Times New Roman" w:cs="Times New Roman"/>
        </w:rPr>
        <w:t xml:space="preserve">, as well as judicial rules governing dissent, for these key courts can be found in table </w:t>
      </w:r>
      <w:r w:rsidR="008E55BA">
        <w:rPr>
          <w:rFonts w:ascii="Times New Roman" w:eastAsia="Times New Roman" w:hAnsi="Times New Roman" w:cs="Times New Roman"/>
        </w:rPr>
        <w:t>1</w:t>
      </w:r>
      <w:r w:rsidRPr="001A0CA6">
        <w:rPr>
          <w:rFonts w:ascii="Times New Roman" w:eastAsia="Times New Roman" w:hAnsi="Times New Roman" w:cs="Times New Roman"/>
        </w:rPr>
        <w:t>, below:</w:t>
      </w:r>
    </w:p>
    <w:p w14:paraId="3FD043D4" w14:textId="77777777" w:rsidR="00206BD4" w:rsidRDefault="00206BD4" w:rsidP="00206BD4">
      <w:pPr>
        <w:spacing w:before="100" w:beforeAutospacing="1" w:after="100" w:afterAutospacing="1" w:line="360" w:lineRule="auto"/>
        <w:ind w:firstLine="720"/>
        <w:rPr>
          <w:rFonts w:eastAsia="Times New Roman" w:cs="Times New Roman"/>
        </w:rPr>
      </w:pPr>
    </w:p>
    <w:p w14:paraId="225DA8FE" w14:textId="77777777" w:rsidR="00206BD4" w:rsidRDefault="00206BD4" w:rsidP="00206BD4">
      <w:pPr>
        <w:spacing w:before="100" w:beforeAutospacing="1" w:after="100" w:afterAutospacing="1" w:line="360" w:lineRule="auto"/>
        <w:ind w:firstLine="720"/>
        <w:rPr>
          <w:rFonts w:eastAsia="Times New Roman" w:cs="Times New Roman"/>
        </w:rPr>
        <w:sectPr w:rsidR="00206BD4" w:rsidSect="00DE5E14">
          <w:footerReference w:type="even" r:id="rId14"/>
          <w:footerReference w:type="default" r:id="rId15"/>
          <w:pgSz w:w="12240" w:h="15840"/>
          <w:pgMar w:top="1440" w:right="1440" w:bottom="1440" w:left="1440" w:header="720" w:footer="720" w:gutter="0"/>
          <w:pgNumType w:start="1"/>
          <w:cols w:space="720"/>
          <w:docGrid w:linePitch="360"/>
        </w:sectPr>
      </w:pPr>
    </w:p>
    <w:p w14:paraId="75EAFC39" w14:textId="77777777" w:rsidR="008E55BA" w:rsidRDefault="008E55BA" w:rsidP="00206BD4">
      <w:pPr>
        <w:jc w:val="center"/>
        <w:rPr>
          <w:b/>
          <w:smallCaps/>
        </w:rPr>
        <w:sectPr w:rsidR="008E55BA" w:rsidSect="00866532">
          <w:type w:val="continuous"/>
          <w:pgSz w:w="12240" w:h="15840"/>
          <w:pgMar w:top="720" w:right="360" w:bottom="720" w:left="360" w:header="720" w:footer="720" w:gutter="0"/>
          <w:cols w:space="720"/>
          <w:docGrid w:linePitch="360"/>
        </w:sectPr>
      </w:pPr>
    </w:p>
    <w:p w14:paraId="7E28D184" w14:textId="7D2537A8" w:rsidR="00206BD4" w:rsidRPr="003912E0" w:rsidRDefault="008E55BA" w:rsidP="00206BD4">
      <w:pPr>
        <w:jc w:val="center"/>
        <w:rPr>
          <w:b/>
          <w:smallCaps/>
        </w:rPr>
      </w:pPr>
      <w:r>
        <w:rPr>
          <w:b/>
          <w:smallCaps/>
        </w:rPr>
        <w:lastRenderedPageBreak/>
        <w:t xml:space="preserve">Table 1:  </w:t>
      </w:r>
      <w:r w:rsidR="00206BD4">
        <w:rPr>
          <w:b/>
          <w:smallCaps/>
        </w:rPr>
        <w:t>Selected Design Elements of International Tribunals</w:t>
      </w:r>
    </w:p>
    <w:p w14:paraId="7EFAAC76" w14:textId="77777777" w:rsidR="00206BD4" w:rsidRDefault="00206BD4" w:rsidP="00206BD4">
      <w:pPr>
        <w:jc w:val="center"/>
      </w:pPr>
    </w:p>
    <w:tbl>
      <w:tblPr>
        <w:tblStyle w:val="TableGrid"/>
        <w:tblpPr w:leftFromText="180" w:rightFromText="180" w:vertAnchor="text" w:tblpY="1"/>
        <w:tblOverlap w:val="never"/>
        <w:tblW w:w="0" w:type="auto"/>
        <w:tblCellMar>
          <w:left w:w="29" w:type="dxa"/>
          <w:right w:w="29" w:type="dxa"/>
        </w:tblCellMar>
        <w:tblLook w:val="04A0" w:firstRow="1" w:lastRow="0" w:firstColumn="1" w:lastColumn="0" w:noHBand="0" w:noVBand="1"/>
      </w:tblPr>
      <w:tblGrid>
        <w:gridCol w:w="1358"/>
        <w:gridCol w:w="1429"/>
        <w:gridCol w:w="1436"/>
        <w:gridCol w:w="1533"/>
        <w:gridCol w:w="1452"/>
        <w:gridCol w:w="1638"/>
        <w:gridCol w:w="1303"/>
        <w:gridCol w:w="1429"/>
      </w:tblGrid>
      <w:tr w:rsidR="00206BD4" w:rsidRPr="00F448CD" w14:paraId="37B934F0" w14:textId="77777777" w:rsidTr="00866532">
        <w:trPr>
          <w:trHeight w:val="146"/>
        </w:trPr>
        <w:tc>
          <w:tcPr>
            <w:tcW w:w="1358" w:type="dxa"/>
            <w:vAlign w:val="center"/>
          </w:tcPr>
          <w:p w14:paraId="71B72047" w14:textId="77777777" w:rsidR="00206BD4" w:rsidRPr="00F448CD" w:rsidRDefault="00206BD4" w:rsidP="00866532">
            <w:pPr>
              <w:spacing w:before="120" w:after="120"/>
              <w:jc w:val="center"/>
              <w:rPr>
                <w:rFonts w:ascii="Arial Narrow" w:hAnsi="Arial Narrow" w:cs="Times New Roman"/>
                <w:b/>
                <w:sz w:val="24"/>
                <w:szCs w:val="20"/>
              </w:rPr>
            </w:pPr>
          </w:p>
        </w:tc>
        <w:tc>
          <w:tcPr>
            <w:tcW w:w="1429" w:type="dxa"/>
            <w:vAlign w:val="center"/>
          </w:tcPr>
          <w:p w14:paraId="195E35E9" w14:textId="77777777" w:rsidR="00206BD4" w:rsidRPr="00F448CD" w:rsidRDefault="00206BD4" w:rsidP="00866532">
            <w:pPr>
              <w:spacing w:before="120" w:after="120"/>
              <w:jc w:val="center"/>
              <w:rPr>
                <w:rFonts w:ascii="Arial Narrow" w:hAnsi="Arial Narrow" w:cs="Times New Roman"/>
                <w:b/>
                <w:sz w:val="24"/>
                <w:szCs w:val="20"/>
              </w:rPr>
            </w:pPr>
            <w:r w:rsidRPr="00F448CD">
              <w:rPr>
                <w:rFonts w:ascii="Arial Narrow" w:hAnsi="Arial Narrow" w:cs="Times New Roman"/>
                <w:b/>
                <w:sz w:val="24"/>
                <w:szCs w:val="20"/>
              </w:rPr>
              <w:t>PCIJ</w:t>
            </w:r>
          </w:p>
        </w:tc>
        <w:tc>
          <w:tcPr>
            <w:tcW w:w="1436" w:type="dxa"/>
            <w:vAlign w:val="center"/>
          </w:tcPr>
          <w:p w14:paraId="4E46F7B2" w14:textId="77777777" w:rsidR="00206BD4" w:rsidRPr="00F448CD" w:rsidRDefault="00206BD4" w:rsidP="00866532">
            <w:pPr>
              <w:spacing w:before="120" w:after="120"/>
              <w:jc w:val="center"/>
              <w:rPr>
                <w:rFonts w:ascii="Arial Narrow" w:hAnsi="Arial Narrow" w:cs="Times New Roman"/>
                <w:b/>
                <w:sz w:val="24"/>
                <w:szCs w:val="20"/>
              </w:rPr>
            </w:pPr>
            <w:r w:rsidRPr="00F448CD">
              <w:rPr>
                <w:rFonts w:ascii="Arial Narrow" w:hAnsi="Arial Narrow" w:cs="Times New Roman"/>
                <w:b/>
                <w:sz w:val="24"/>
                <w:szCs w:val="20"/>
              </w:rPr>
              <w:t>ICJ</w:t>
            </w:r>
          </w:p>
        </w:tc>
        <w:tc>
          <w:tcPr>
            <w:tcW w:w="1533" w:type="dxa"/>
            <w:vAlign w:val="center"/>
          </w:tcPr>
          <w:p w14:paraId="13994F85" w14:textId="77777777" w:rsidR="00206BD4" w:rsidRPr="00F448CD" w:rsidRDefault="00206BD4" w:rsidP="00866532">
            <w:pPr>
              <w:spacing w:before="120" w:after="120"/>
              <w:jc w:val="center"/>
              <w:rPr>
                <w:rFonts w:ascii="Arial Narrow" w:hAnsi="Arial Narrow" w:cs="Times New Roman"/>
                <w:b/>
                <w:sz w:val="24"/>
                <w:szCs w:val="20"/>
              </w:rPr>
            </w:pPr>
            <w:r w:rsidRPr="00F448CD">
              <w:rPr>
                <w:rFonts w:ascii="Arial Narrow" w:hAnsi="Arial Narrow" w:cs="Times New Roman"/>
                <w:b/>
                <w:sz w:val="24"/>
                <w:szCs w:val="20"/>
              </w:rPr>
              <w:t>ECJ</w:t>
            </w:r>
          </w:p>
        </w:tc>
        <w:tc>
          <w:tcPr>
            <w:tcW w:w="1452" w:type="dxa"/>
            <w:vAlign w:val="center"/>
          </w:tcPr>
          <w:p w14:paraId="7B8C4B59" w14:textId="342C4F81" w:rsidR="00206BD4" w:rsidRPr="00F448CD" w:rsidRDefault="008D1016" w:rsidP="00866532">
            <w:pPr>
              <w:spacing w:before="120" w:after="120"/>
              <w:jc w:val="center"/>
              <w:rPr>
                <w:rFonts w:ascii="Arial Narrow" w:hAnsi="Arial Narrow" w:cs="Times New Roman"/>
                <w:b/>
                <w:sz w:val="24"/>
                <w:szCs w:val="20"/>
              </w:rPr>
            </w:pPr>
            <w:r>
              <w:rPr>
                <w:rFonts w:ascii="Arial Narrow" w:hAnsi="Arial Narrow" w:cs="Times New Roman"/>
                <w:b/>
                <w:sz w:val="24"/>
                <w:szCs w:val="20"/>
              </w:rPr>
              <w:t>ECtHR</w:t>
            </w:r>
          </w:p>
        </w:tc>
        <w:tc>
          <w:tcPr>
            <w:tcW w:w="1638" w:type="dxa"/>
            <w:vAlign w:val="center"/>
          </w:tcPr>
          <w:p w14:paraId="503391B6" w14:textId="77777777" w:rsidR="00206BD4" w:rsidRPr="00F448CD" w:rsidRDefault="00206BD4" w:rsidP="00866532">
            <w:pPr>
              <w:spacing w:before="120" w:after="120"/>
              <w:jc w:val="center"/>
              <w:rPr>
                <w:rFonts w:ascii="Arial Narrow" w:hAnsi="Arial Narrow" w:cs="Times New Roman"/>
                <w:b/>
                <w:sz w:val="24"/>
                <w:szCs w:val="20"/>
              </w:rPr>
            </w:pPr>
            <w:r w:rsidRPr="00F448CD">
              <w:rPr>
                <w:rFonts w:ascii="Arial Narrow" w:hAnsi="Arial Narrow" w:cs="Times New Roman"/>
                <w:b/>
                <w:sz w:val="24"/>
                <w:szCs w:val="20"/>
              </w:rPr>
              <w:t>WTO</w:t>
            </w:r>
          </w:p>
        </w:tc>
        <w:tc>
          <w:tcPr>
            <w:tcW w:w="1303" w:type="dxa"/>
            <w:vAlign w:val="center"/>
          </w:tcPr>
          <w:p w14:paraId="6569E109" w14:textId="77777777" w:rsidR="00206BD4" w:rsidRPr="00F448CD" w:rsidRDefault="00206BD4" w:rsidP="00866532">
            <w:pPr>
              <w:spacing w:before="120" w:after="120"/>
              <w:jc w:val="center"/>
              <w:rPr>
                <w:rFonts w:ascii="Arial Narrow" w:hAnsi="Arial Narrow" w:cs="Times New Roman"/>
                <w:b/>
                <w:sz w:val="24"/>
                <w:szCs w:val="20"/>
              </w:rPr>
            </w:pPr>
            <w:r w:rsidRPr="00F448CD">
              <w:rPr>
                <w:rFonts w:ascii="Arial Narrow" w:hAnsi="Arial Narrow" w:cs="Times New Roman"/>
                <w:b/>
                <w:sz w:val="24"/>
                <w:szCs w:val="20"/>
              </w:rPr>
              <w:t>ITLOS</w:t>
            </w:r>
          </w:p>
        </w:tc>
        <w:tc>
          <w:tcPr>
            <w:tcW w:w="1429" w:type="dxa"/>
            <w:vAlign w:val="center"/>
          </w:tcPr>
          <w:p w14:paraId="29EB0205" w14:textId="77777777" w:rsidR="00206BD4" w:rsidRPr="00F448CD" w:rsidRDefault="00206BD4" w:rsidP="00866532">
            <w:pPr>
              <w:spacing w:before="120" w:after="120"/>
              <w:jc w:val="center"/>
              <w:rPr>
                <w:rFonts w:ascii="Arial Narrow" w:hAnsi="Arial Narrow" w:cs="Times New Roman"/>
                <w:b/>
                <w:sz w:val="24"/>
                <w:szCs w:val="20"/>
              </w:rPr>
            </w:pPr>
            <w:r w:rsidRPr="00F448CD">
              <w:rPr>
                <w:rFonts w:ascii="Arial Narrow" w:hAnsi="Arial Narrow" w:cs="Times New Roman"/>
                <w:b/>
                <w:sz w:val="24"/>
                <w:szCs w:val="20"/>
              </w:rPr>
              <w:t>ICC</w:t>
            </w:r>
          </w:p>
        </w:tc>
      </w:tr>
      <w:tr w:rsidR="00206BD4" w:rsidRPr="004B2306" w14:paraId="4E46F89A" w14:textId="77777777" w:rsidTr="00866532">
        <w:trPr>
          <w:trHeight w:val="146"/>
        </w:trPr>
        <w:tc>
          <w:tcPr>
            <w:tcW w:w="1358" w:type="dxa"/>
          </w:tcPr>
          <w:p w14:paraId="57309ABA" w14:textId="77777777" w:rsidR="00206BD4" w:rsidRPr="00F448CD" w:rsidRDefault="00206BD4" w:rsidP="00866532">
            <w:pPr>
              <w:rPr>
                <w:rFonts w:ascii="Arial Narrow" w:hAnsi="Arial Narrow" w:cs="Times New Roman"/>
                <w:b/>
                <w:sz w:val="18"/>
                <w:szCs w:val="20"/>
              </w:rPr>
            </w:pPr>
            <w:r w:rsidRPr="00F448CD">
              <w:rPr>
                <w:rFonts w:ascii="Arial Narrow" w:hAnsi="Arial Narrow" w:cs="Times New Roman"/>
                <w:b/>
                <w:sz w:val="18"/>
                <w:szCs w:val="20"/>
              </w:rPr>
              <w:t>Year Created:</w:t>
            </w:r>
          </w:p>
        </w:tc>
        <w:tc>
          <w:tcPr>
            <w:tcW w:w="1429" w:type="dxa"/>
          </w:tcPr>
          <w:p w14:paraId="7EACAC9B" w14:textId="77777777" w:rsidR="00206BD4" w:rsidRPr="00F448CD" w:rsidRDefault="00206BD4" w:rsidP="00866532">
            <w:pPr>
              <w:jc w:val="center"/>
              <w:rPr>
                <w:rFonts w:ascii="Arial Narrow" w:hAnsi="Arial Narrow" w:cs="Times New Roman"/>
                <w:b/>
                <w:sz w:val="18"/>
                <w:szCs w:val="20"/>
              </w:rPr>
            </w:pPr>
            <w:r w:rsidRPr="00F448CD">
              <w:rPr>
                <w:rFonts w:ascii="Arial Narrow" w:hAnsi="Arial Narrow" w:cs="Times New Roman"/>
                <w:b/>
                <w:sz w:val="18"/>
                <w:szCs w:val="20"/>
              </w:rPr>
              <w:t>1922</w:t>
            </w:r>
          </w:p>
        </w:tc>
        <w:tc>
          <w:tcPr>
            <w:tcW w:w="1436" w:type="dxa"/>
          </w:tcPr>
          <w:p w14:paraId="4166AABF" w14:textId="77777777" w:rsidR="00206BD4" w:rsidRPr="00F448CD" w:rsidRDefault="00206BD4" w:rsidP="00866532">
            <w:pPr>
              <w:jc w:val="center"/>
              <w:rPr>
                <w:rFonts w:ascii="Arial Narrow" w:hAnsi="Arial Narrow" w:cs="Times New Roman"/>
                <w:b/>
                <w:sz w:val="18"/>
                <w:szCs w:val="20"/>
              </w:rPr>
            </w:pPr>
            <w:r w:rsidRPr="00F448CD">
              <w:rPr>
                <w:rFonts w:ascii="Arial Narrow" w:hAnsi="Arial Narrow" w:cs="Times New Roman"/>
                <w:b/>
                <w:sz w:val="18"/>
                <w:szCs w:val="20"/>
              </w:rPr>
              <w:t>1945</w:t>
            </w:r>
          </w:p>
        </w:tc>
        <w:tc>
          <w:tcPr>
            <w:tcW w:w="1533" w:type="dxa"/>
          </w:tcPr>
          <w:p w14:paraId="1AB145B8" w14:textId="77777777" w:rsidR="00206BD4" w:rsidRPr="00F448CD" w:rsidRDefault="00206BD4" w:rsidP="00866532">
            <w:pPr>
              <w:jc w:val="center"/>
              <w:rPr>
                <w:rFonts w:ascii="Arial Narrow" w:hAnsi="Arial Narrow" w:cs="Times New Roman"/>
                <w:b/>
                <w:sz w:val="18"/>
                <w:szCs w:val="20"/>
              </w:rPr>
            </w:pPr>
            <w:r w:rsidRPr="00F448CD">
              <w:rPr>
                <w:rFonts w:ascii="Arial Narrow" w:hAnsi="Arial Narrow" w:cs="Times New Roman"/>
                <w:b/>
                <w:sz w:val="18"/>
                <w:szCs w:val="20"/>
              </w:rPr>
              <w:t>1952</w:t>
            </w:r>
          </w:p>
        </w:tc>
        <w:tc>
          <w:tcPr>
            <w:tcW w:w="1452" w:type="dxa"/>
          </w:tcPr>
          <w:p w14:paraId="1DCC5FA4" w14:textId="77777777" w:rsidR="00206BD4" w:rsidRPr="00F448CD" w:rsidRDefault="00206BD4" w:rsidP="00866532">
            <w:pPr>
              <w:jc w:val="center"/>
              <w:rPr>
                <w:rFonts w:ascii="Arial Narrow" w:hAnsi="Arial Narrow" w:cs="Times New Roman"/>
                <w:b/>
                <w:sz w:val="18"/>
                <w:szCs w:val="20"/>
              </w:rPr>
            </w:pPr>
            <w:r w:rsidRPr="00F448CD">
              <w:rPr>
                <w:rFonts w:ascii="Arial Narrow" w:hAnsi="Arial Narrow" w:cs="Times New Roman"/>
                <w:b/>
                <w:sz w:val="18"/>
                <w:szCs w:val="20"/>
              </w:rPr>
              <w:t>1959</w:t>
            </w:r>
          </w:p>
        </w:tc>
        <w:tc>
          <w:tcPr>
            <w:tcW w:w="1638" w:type="dxa"/>
          </w:tcPr>
          <w:p w14:paraId="447DC81B" w14:textId="77777777" w:rsidR="00206BD4" w:rsidRPr="00F448CD" w:rsidRDefault="00206BD4" w:rsidP="00866532">
            <w:pPr>
              <w:jc w:val="center"/>
              <w:rPr>
                <w:rFonts w:ascii="Arial Narrow" w:hAnsi="Arial Narrow" w:cs="Times New Roman"/>
                <w:b/>
                <w:sz w:val="18"/>
                <w:szCs w:val="20"/>
              </w:rPr>
            </w:pPr>
            <w:r w:rsidRPr="00F448CD">
              <w:rPr>
                <w:rFonts w:ascii="Arial Narrow" w:hAnsi="Arial Narrow" w:cs="Times New Roman"/>
                <w:b/>
                <w:sz w:val="18"/>
                <w:szCs w:val="20"/>
              </w:rPr>
              <w:t>1994</w:t>
            </w:r>
          </w:p>
        </w:tc>
        <w:tc>
          <w:tcPr>
            <w:tcW w:w="1303" w:type="dxa"/>
          </w:tcPr>
          <w:p w14:paraId="2872901F" w14:textId="77777777" w:rsidR="00206BD4" w:rsidRPr="00F448CD" w:rsidRDefault="00206BD4" w:rsidP="00866532">
            <w:pPr>
              <w:jc w:val="center"/>
              <w:rPr>
                <w:rFonts w:ascii="Arial Narrow" w:hAnsi="Arial Narrow" w:cs="Times New Roman"/>
                <w:b/>
                <w:sz w:val="18"/>
                <w:szCs w:val="20"/>
              </w:rPr>
            </w:pPr>
            <w:r w:rsidRPr="00F448CD">
              <w:rPr>
                <w:rFonts w:ascii="Arial Narrow" w:hAnsi="Arial Narrow" w:cs="Times New Roman"/>
                <w:b/>
                <w:sz w:val="18"/>
                <w:szCs w:val="20"/>
              </w:rPr>
              <w:t>1996</w:t>
            </w:r>
          </w:p>
        </w:tc>
        <w:tc>
          <w:tcPr>
            <w:tcW w:w="1429" w:type="dxa"/>
          </w:tcPr>
          <w:p w14:paraId="4E0FC6B5" w14:textId="77777777" w:rsidR="00206BD4" w:rsidRPr="00F448CD" w:rsidRDefault="00206BD4" w:rsidP="00866532">
            <w:pPr>
              <w:jc w:val="center"/>
              <w:rPr>
                <w:rFonts w:ascii="Arial Narrow" w:hAnsi="Arial Narrow" w:cs="Times New Roman"/>
                <w:b/>
                <w:sz w:val="18"/>
                <w:szCs w:val="20"/>
              </w:rPr>
            </w:pPr>
            <w:r w:rsidRPr="00F448CD">
              <w:rPr>
                <w:rFonts w:ascii="Arial Narrow" w:hAnsi="Arial Narrow" w:cs="Times New Roman"/>
                <w:b/>
                <w:sz w:val="18"/>
                <w:szCs w:val="20"/>
              </w:rPr>
              <w:t>2002</w:t>
            </w:r>
          </w:p>
        </w:tc>
      </w:tr>
      <w:tr w:rsidR="00206BD4" w:rsidRPr="004B2306" w14:paraId="4C93C948" w14:textId="77777777" w:rsidTr="00866532">
        <w:trPr>
          <w:trHeight w:val="146"/>
        </w:trPr>
        <w:tc>
          <w:tcPr>
            <w:tcW w:w="1358" w:type="dxa"/>
          </w:tcPr>
          <w:p w14:paraId="13BC0689"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 xml:space="preserve">Does Treaty or Statute creating the Court </w:t>
            </w:r>
            <w:r>
              <w:rPr>
                <w:rFonts w:ascii="Arial Narrow" w:hAnsi="Arial Narrow" w:cs="Times New Roman"/>
                <w:sz w:val="18"/>
                <w:szCs w:val="20"/>
              </w:rPr>
              <w:t>address</w:t>
            </w:r>
            <w:r w:rsidRPr="00F448CD">
              <w:rPr>
                <w:rFonts w:ascii="Arial Narrow" w:hAnsi="Arial Narrow" w:cs="Times New Roman"/>
                <w:sz w:val="18"/>
                <w:szCs w:val="20"/>
              </w:rPr>
              <w:t xml:space="preserve"> form of opinion and judgment (voting, dissent, </w:t>
            </w:r>
            <w:proofErr w:type="spellStart"/>
            <w:r w:rsidRPr="00F448CD">
              <w:rPr>
                <w:rFonts w:ascii="Arial Narrow" w:hAnsi="Arial Narrow" w:cs="Times New Roman"/>
                <w:sz w:val="18"/>
                <w:szCs w:val="20"/>
              </w:rPr>
              <w:t>etc</w:t>
            </w:r>
            <w:proofErr w:type="spellEnd"/>
            <w:r w:rsidRPr="00F448CD">
              <w:rPr>
                <w:rFonts w:ascii="Arial Narrow" w:hAnsi="Arial Narrow" w:cs="Times New Roman"/>
                <w:sz w:val="18"/>
                <w:szCs w:val="20"/>
              </w:rPr>
              <w:t>)?</w:t>
            </w:r>
          </w:p>
        </w:tc>
        <w:tc>
          <w:tcPr>
            <w:tcW w:w="1429" w:type="dxa"/>
          </w:tcPr>
          <w:p w14:paraId="2F538066" w14:textId="77777777" w:rsidR="00206BD4" w:rsidRPr="00F448CD" w:rsidRDefault="00206BD4" w:rsidP="00866532">
            <w:pPr>
              <w:rPr>
                <w:rFonts w:ascii="Arial Narrow" w:hAnsi="Arial Narrow" w:cs="Times New Roman"/>
                <w:bCs/>
                <w:sz w:val="18"/>
                <w:szCs w:val="20"/>
              </w:rPr>
            </w:pPr>
            <w:r w:rsidRPr="00F448CD">
              <w:rPr>
                <w:rFonts w:ascii="Arial Narrow" w:hAnsi="Arial Narrow" w:cs="Times New Roman"/>
                <w:bCs/>
                <w:sz w:val="18"/>
                <w:szCs w:val="20"/>
              </w:rPr>
              <w:t>Yes</w:t>
            </w:r>
          </w:p>
          <w:p w14:paraId="31719F99" w14:textId="77777777" w:rsidR="00206BD4" w:rsidRPr="00F448CD" w:rsidRDefault="00206BD4" w:rsidP="00866532">
            <w:pPr>
              <w:rPr>
                <w:rFonts w:ascii="Arial Narrow" w:hAnsi="Arial Narrow" w:cs="Times New Roman"/>
                <w:sz w:val="18"/>
                <w:szCs w:val="20"/>
              </w:rPr>
            </w:pPr>
          </w:p>
        </w:tc>
        <w:tc>
          <w:tcPr>
            <w:tcW w:w="1436" w:type="dxa"/>
          </w:tcPr>
          <w:p w14:paraId="6F04828D" w14:textId="77777777" w:rsidR="00206BD4" w:rsidRPr="00F448CD" w:rsidRDefault="00206BD4" w:rsidP="00866532">
            <w:pPr>
              <w:rPr>
                <w:rFonts w:ascii="Arial Narrow" w:hAnsi="Arial Narrow" w:cs="Times New Roman"/>
                <w:bCs/>
                <w:sz w:val="18"/>
                <w:szCs w:val="20"/>
              </w:rPr>
            </w:pPr>
            <w:r w:rsidRPr="00F448CD">
              <w:rPr>
                <w:rFonts w:ascii="Arial Narrow" w:hAnsi="Arial Narrow" w:cs="Times New Roman"/>
                <w:bCs/>
                <w:sz w:val="18"/>
                <w:szCs w:val="20"/>
              </w:rPr>
              <w:t xml:space="preserve">Yes </w:t>
            </w:r>
          </w:p>
          <w:p w14:paraId="1B11507D" w14:textId="77777777" w:rsidR="00206BD4" w:rsidRPr="00F448CD" w:rsidRDefault="00206BD4" w:rsidP="00866532">
            <w:pPr>
              <w:rPr>
                <w:rFonts w:ascii="Arial Narrow" w:hAnsi="Arial Narrow" w:cs="Times New Roman"/>
                <w:sz w:val="18"/>
                <w:szCs w:val="20"/>
              </w:rPr>
            </w:pPr>
          </w:p>
        </w:tc>
        <w:tc>
          <w:tcPr>
            <w:tcW w:w="1533" w:type="dxa"/>
          </w:tcPr>
          <w:p w14:paraId="0249893B"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 xml:space="preserve">Yes </w:t>
            </w:r>
          </w:p>
          <w:p w14:paraId="5A224A4A" w14:textId="77777777" w:rsidR="00206BD4" w:rsidRPr="00F448CD" w:rsidRDefault="00206BD4" w:rsidP="00866532">
            <w:pPr>
              <w:rPr>
                <w:rFonts w:ascii="Arial Narrow" w:hAnsi="Arial Narrow" w:cs="Times New Roman"/>
                <w:sz w:val="18"/>
                <w:szCs w:val="20"/>
              </w:rPr>
            </w:pPr>
          </w:p>
        </w:tc>
        <w:tc>
          <w:tcPr>
            <w:tcW w:w="1452" w:type="dxa"/>
          </w:tcPr>
          <w:p w14:paraId="7088D904"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Yes</w:t>
            </w:r>
          </w:p>
          <w:p w14:paraId="4CFA6105"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 xml:space="preserve">  </w:t>
            </w:r>
          </w:p>
        </w:tc>
        <w:tc>
          <w:tcPr>
            <w:tcW w:w="1638" w:type="dxa"/>
          </w:tcPr>
          <w:p w14:paraId="3C68CC51"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Yes</w:t>
            </w:r>
          </w:p>
          <w:p w14:paraId="1B730E8D" w14:textId="77777777" w:rsidR="00206BD4" w:rsidRPr="00F448CD" w:rsidRDefault="00206BD4" w:rsidP="00866532">
            <w:pPr>
              <w:rPr>
                <w:rFonts w:ascii="Arial Narrow" w:hAnsi="Arial Narrow" w:cs="Times New Roman"/>
                <w:sz w:val="18"/>
                <w:szCs w:val="20"/>
              </w:rPr>
            </w:pPr>
          </w:p>
        </w:tc>
        <w:tc>
          <w:tcPr>
            <w:tcW w:w="1303" w:type="dxa"/>
          </w:tcPr>
          <w:p w14:paraId="280209DF"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Yes</w:t>
            </w:r>
          </w:p>
          <w:p w14:paraId="714170E6" w14:textId="77777777" w:rsidR="00206BD4" w:rsidRPr="00F448CD" w:rsidRDefault="00206BD4" w:rsidP="00866532">
            <w:pPr>
              <w:rPr>
                <w:rFonts w:ascii="Arial Narrow" w:hAnsi="Arial Narrow" w:cs="Times New Roman"/>
                <w:sz w:val="18"/>
                <w:szCs w:val="20"/>
              </w:rPr>
            </w:pPr>
          </w:p>
        </w:tc>
        <w:tc>
          <w:tcPr>
            <w:tcW w:w="1429" w:type="dxa"/>
          </w:tcPr>
          <w:p w14:paraId="76950CEE"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Yes</w:t>
            </w:r>
          </w:p>
          <w:p w14:paraId="4F1DFD85" w14:textId="77777777" w:rsidR="00206BD4" w:rsidRPr="00F448CD" w:rsidRDefault="00206BD4" w:rsidP="00866532">
            <w:pPr>
              <w:rPr>
                <w:rFonts w:ascii="Arial Narrow" w:hAnsi="Arial Narrow" w:cs="Times New Roman"/>
                <w:sz w:val="18"/>
                <w:szCs w:val="20"/>
              </w:rPr>
            </w:pPr>
          </w:p>
        </w:tc>
      </w:tr>
      <w:tr w:rsidR="00206BD4" w:rsidRPr="004B2306" w14:paraId="34063C67" w14:textId="77777777" w:rsidTr="00866532">
        <w:trPr>
          <w:trHeight w:val="146"/>
        </w:trPr>
        <w:tc>
          <w:tcPr>
            <w:tcW w:w="1358" w:type="dxa"/>
          </w:tcPr>
          <w:p w14:paraId="5C9DB38F"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 xml:space="preserve">Does Treaty/Statute </w:t>
            </w:r>
            <w:r>
              <w:rPr>
                <w:rFonts w:ascii="Arial Narrow" w:hAnsi="Arial Narrow" w:cs="Times New Roman"/>
                <w:sz w:val="18"/>
                <w:szCs w:val="20"/>
              </w:rPr>
              <w:t xml:space="preserve">require or </w:t>
            </w:r>
            <w:r w:rsidRPr="00F448CD">
              <w:rPr>
                <w:rFonts w:ascii="Arial Narrow" w:hAnsi="Arial Narrow" w:cs="Times New Roman"/>
                <w:sz w:val="18"/>
                <w:szCs w:val="20"/>
              </w:rPr>
              <w:t>permit publication of votes?</w:t>
            </w:r>
          </w:p>
        </w:tc>
        <w:tc>
          <w:tcPr>
            <w:tcW w:w="1429" w:type="dxa"/>
          </w:tcPr>
          <w:p w14:paraId="28FE5E13" w14:textId="77777777" w:rsidR="00206BD4" w:rsidRPr="00F448CD" w:rsidRDefault="00206BD4" w:rsidP="00866532">
            <w:pPr>
              <w:rPr>
                <w:rFonts w:ascii="Arial Narrow" w:hAnsi="Arial Narrow" w:cs="Times New Roman"/>
                <w:bCs/>
                <w:sz w:val="18"/>
                <w:szCs w:val="20"/>
              </w:rPr>
            </w:pPr>
            <w:r w:rsidRPr="00F448CD">
              <w:rPr>
                <w:rFonts w:ascii="Arial Narrow" w:hAnsi="Arial Narrow" w:cs="Times New Roman"/>
                <w:bCs/>
                <w:sz w:val="18"/>
                <w:szCs w:val="20"/>
              </w:rPr>
              <w:t xml:space="preserve">Yes </w:t>
            </w:r>
          </w:p>
          <w:p w14:paraId="416BD2AC" w14:textId="77777777" w:rsidR="00206BD4" w:rsidRPr="00F448CD" w:rsidRDefault="00206BD4" w:rsidP="00866532">
            <w:pPr>
              <w:rPr>
                <w:rFonts w:ascii="Arial Narrow" w:hAnsi="Arial Narrow" w:cs="Times New Roman"/>
                <w:sz w:val="18"/>
                <w:szCs w:val="20"/>
              </w:rPr>
            </w:pPr>
          </w:p>
        </w:tc>
        <w:tc>
          <w:tcPr>
            <w:tcW w:w="1436" w:type="dxa"/>
          </w:tcPr>
          <w:p w14:paraId="607DED2B" w14:textId="77777777" w:rsidR="00206BD4" w:rsidRPr="00F448CD" w:rsidRDefault="00206BD4" w:rsidP="00866532">
            <w:pPr>
              <w:rPr>
                <w:rFonts w:ascii="Arial Narrow" w:hAnsi="Arial Narrow" w:cs="Times New Roman"/>
                <w:bCs/>
                <w:sz w:val="18"/>
                <w:szCs w:val="20"/>
              </w:rPr>
            </w:pPr>
            <w:r w:rsidRPr="00F448CD">
              <w:rPr>
                <w:rFonts w:ascii="Arial Narrow" w:hAnsi="Arial Narrow" w:cs="Times New Roman"/>
                <w:bCs/>
                <w:sz w:val="18"/>
                <w:szCs w:val="20"/>
              </w:rPr>
              <w:t>Yes</w:t>
            </w:r>
          </w:p>
          <w:p w14:paraId="5A007EE9" w14:textId="77777777" w:rsidR="00206BD4" w:rsidRPr="00F448CD" w:rsidRDefault="00206BD4" w:rsidP="00866532">
            <w:pPr>
              <w:rPr>
                <w:rFonts w:ascii="Arial Narrow" w:hAnsi="Arial Narrow" w:cs="Times New Roman"/>
                <w:sz w:val="18"/>
                <w:szCs w:val="20"/>
              </w:rPr>
            </w:pPr>
          </w:p>
        </w:tc>
        <w:tc>
          <w:tcPr>
            <w:tcW w:w="1533" w:type="dxa"/>
          </w:tcPr>
          <w:p w14:paraId="601186E3" w14:textId="63ED7DDF"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N</w:t>
            </w:r>
            <w:r w:rsidR="007034C8">
              <w:rPr>
                <w:rFonts w:ascii="Arial Narrow" w:hAnsi="Arial Narrow" w:cs="Times New Roman"/>
                <w:sz w:val="18"/>
                <w:szCs w:val="20"/>
              </w:rPr>
              <w:t>ot addressed.</w:t>
            </w:r>
          </w:p>
          <w:p w14:paraId="1B708EEE" w14:textId="77777777" w:rsidR="00206BD4" w:rsidRPr="00F448CD" w:rsidRDefault="00206BD4" w:rsidP="00866532">
            <w:pPr>
              <w:rPr>
                <w:rFonts w:ascii="Arial Narrow" w:hAnsi="Arial Narrow" w:cs="Times New Roman"/>
                <w:sz w:val="18"/>
                <w:szCs w:val="20"/>
              </w:rPr>
            </w:pPr>
          </w:p>
        </w:tc>
        <w:tc>
          <w:tcPr>
            <w:tcW w:w="1452" w:type="dxa"/>
          </w:tcPr>
          <w:p w14:paraId="4827F97B"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Not addressed</w:t>
            </w:r>
          </w:p>
        </w:tc>
        <w:tc>
          <w:tcPr>
            <w:tcW w:w="1638" w:type="dxa"/>
          </w:tcPr>
          <w:p w14:paraId="409AC64A"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Yes</w:t>
            </w:r>
          </w:p>
          <w:p w14:paraId="0CB5E039" w14:textId="77777777" w:rsidR="00206BD4" w:rsidRPr="00F448CD" w:rsidRDefault="00206BD4" w:rsidP="00866532">
            <w:pPr>
              <w:rPr>
                <w:rFonts w:ascii="Arial Narrow" w:hAnsi="Arial Narrow" w:cs="Times New Roman"/>
                <w:sz w:val="18"/>
                <w:szCs w:val="20"/>
              </w:rPr>
            </w:pPr>
          </w:p>
        </w:tc>
        <w:tc>
          <w:tcPr>
            <w:tcW w:w="1303" w:type="dxa"/>
          </w:tcPr>
          <w:p w14:paraId="3867AE4B"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Not addressed</w:t>
            </w:r>
          </w:p>
          <w:p w14:paraId="7C9646F0" w14:textId="77777777" w:rsidR="00206BD4" w:rsidRPr="00F448CD" w:rsidRDefault="00206BD4" w:rsidP="00866532">
            <w:pPr>
              <w:rPr>
                <w:rFonts w:ascii="Arial Narrow" w:hAnsi="Arial Narrow" w:cs="Times New Roman"/>
                <w:sz w:val="18"/>
                <w:szCs w:val="20"/>
              </w:rPr>
            </w:pPr>
          </w:p>
        </w:tc>
        <w:tc>
          <w:tcPr>
            <w:tcW w:w="1429" w:type="dxa"/>
          </w:tcPr>
          <w:p w14:paraId="2C2C6145"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Yes</w:t>
            </w:r>
          </w:p>
          <w:p w14:paraId="3D9C661D" w14:textId="77777777" w:rsidR="00206BD4" w:rsidRPr="00F448CD" w:rsidRDefault="00206BD4" w:rsidP="00866532">
            <w:pPr>
              <w:rPr>
                <w:rFonts w:ascii="Arial Narrow" w:hAnsi="Arial Narrow" w:cs="Times New Roman"/>
                <w:sz w:val="18"/>
                <w:szCs w:val="20"/>
              </w:rPr>
            </w:pPr>
          </w:p>
        </w:tc>
      </w:tr>
      <w:tr w:rsidR="00206BD4" w:rsidRPr="004B2306" w14:paraId="0A37411A" w14:textId="77777777" w:rsidTr="00866532">
        <w:trPr>
          <w:trHeight w:val="146"/>
        </w:trPr>
        <w:tc>
          <w:tcPr>
            <w:tcW w:w="1358" w:type="dxa"/>
          </w:tcPr>
          <w:p w14:paraId="6E481B66" w14:textId="77777777" w:rsidR="00206BD4" w:rsidRPr="00F448CD" w:rsidRDefault="00206BD4" w:rsidP="00866532">
            <w:pPr>
              <w:rPr>
                <w:rFonts w:ascii="Arial Narrow" w:hAnsi="Arial Narrow" w:cs="Times New Roman"/>
                <w:sz w:val="18"/>
                <w:szCs w:val="20"/>
                <w:u w:val="single"/>
              </w:rPr>
            </w:pPr>
            <w:r w:rsidRPr="00F448CD">
              <w:rPr>
                <w:rFonts w:ascii="Arial Narrow" w:hAnsi="Arial Narrow" w:cs="Times New Roman"/>
                <w:sz w:val="18"/>
                <w:szCs w:val="20"/>
              </w:rPr>
              <w:t>If yes, are votes anonymous</w:t>
            </w:r>
            <w:r w:rsidRPr="00F448CD">
              <w:rPr>
                <w:rFonts w:ascii="Arial Narrow" w:hAnsi="Arial Narrow" w:cs="Times New Roman"/>
                <w:sz w:val="18"/>
                <w:szCs w:val="20"/>
                <w:u w:val="single"/>
              </w:rPr>
              <w:t xml:space="preserve">? </w:t>
            </w:r>
          </w:p>
        </w:tc>
        <w:tc>
          <w:tcPr>
            <w:tcW w:w="1429" w:type="dxa"/>
          </w:tcPr>
          <w:p w14:paraId="5F500C0B" w14:textId="77777777" w:rsidR="00206BD4" w:rsidRPr="00F448CD" w:rsidRDefault="00206BD4" w:rsidP="00866532">
            <w:pPr>
              <w:rPr>
                <w:rFonts w:ascii="Arial Narrow" w:hAnsi="Arial Narrow" w:cs="Times New Roman"/>
                <w:bCs/>
                <w:sz w:val="18"/>
                <w:szCs w:val="20"/>
              </w:rPr>
            </w:pPr>
            <w:bookmarkStart w:id="1" w:name="_Toc160729756"/>
            <w:r w:rsidRPr="00F448CD">
              <w:rPr>
                <w:rFonts w:ascii="Arial Narrow" w:hAnsi="Arial Narrow" w:cs="Times New Roman"/>
                <w:bCs/>
                <w:sz w:val="18"/>
                <w:szCs w:val="20"/>
              </w:rPr>
              <w:t>Not Addressed</w:t>
            </w:r>
            <w:bookmarkEnd w:id="1"/>
          </w:p>
        </w:tc>
        <w:tc>
          <w:tcPr>
            <w:tcW w:w="1436" w:type="dxa"/>
          </w:tcPr>
          <w:p w14:paraId="1CEAE2BB" w14:textId="77777777" w:rsidR="00206BD4" w:rsidRPr="00F448CD" w:rsidRDefault="00206BD4" w:rsidP="00866532">
            <w:pPr>
              <w:rPr>
                <w:rFonts w:ascii="Arial Narrow" w:hAnsi="Arial Narrow" w:cs="Times New Roman"/>
                <w:bCs/>
                <w:sz w:val="18"/>
                <w:szCs w:val="20"/>
              </w:rPr>
            </w:pPr>
            <w:r w:rsidRPr="00F448CD">
              <w:rPr>
                <w:rFonts w:ascii="Arial Narrow" w:hAnsi="Arial Narrow" w:cs="Times New Roman"/>
                <w:bCs/>
                <w:sz w:val="18"/>
                <w:szCs w:val="20"/>
              </w:rPr>
              <w:t>Not Addressed</w:t>
            </w:r>
          </w:p>
          <w:p w14:paraId="7A08E683" w14:textId="77777777" w:rsidR="00206BD4" w:rsidRPr="00F448CD" w:rsidRDefault="00206BD4" w:rsidP="00866532">
            <w:pPr>
              <w:rPr>
                <w:rFonts w:ascii="Arial Narrow" w:hAnsi="Arial Narrow" w:cs="Times New Roman"/>
                <w:sz w:val="18"/>
                <w:szCs w:val="20"/>
              </w:rPr>
            </w:pPr>
          </w:p>
        </w:tc>
        <w:tc>
          <w:tcPr>
            <w:tcW w:w="1533" w:type="dxa"/>
          </w:tcPr>
          <w:p w14:paraId="428033D7" w14:textId="77777777" w:rsidR="00206BD4" w:rsidRPr="00F448CD" w:rsidRDefault="00206BD4" w:rsidP="00866532">
            <w:pPr>
              <w:rPr>
                <w:rFonts w:ascii="Arial Narrow" w:hAnsi="Arial Narrow" w:cs="Times New Roman"/>
                <w:sz w:val="18"/>
                <w:szCs w:val="20"/>
              </w:rPr>
            </w:pPr>
          </w:p>
        </w:tc>
        <w:tc>
          <w:tcPr>
            <w:tcW w:w="1452" w:type="dxa"/>
          </w:tcPr>
          <w:p w14:paraId="4B518982"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Not addressed</w:t>
            </w:r>
          </w:p>
        </w:tc>
        <w:tc>
          <w:tcPr>
            <w:tcW w:w="1638" w:type="dxa"/>
          </w:tcPr>
          <w:p w14:paraId="1215283B"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Anonymous</w:t>
            </w:r>
          </w:p>
          <w:p w14:paraId="50B51768"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 xml:space="preserve"> </w:t>
            </w:r>
          </w:p>
        </w:tc>
        <w:tc>
          <w:tcPr>
            <w:tcW w:w="1303" w:type="dxa"/>
          </w:tcPr>
          <w:p w14:paraId="4E4FBE8E"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Not addressed</w:t>
            </w:r>
          </w:p>
          <w:p w14:paraId="644E3C41" w14:textId="77777777" w:rsidR="00206BD4" w:rsidRPr="00F448CD" w:rsidRDefault="00206BD4" w:rsidP="00866532">
            <w:pPr>
              <w:rPr>
                <w:rFonts w:ascii="Arial Narrow" w:hAnsi="Arial Narrow" w:cs="Times New Roman"/>
                <w:sz w:val="18"/>
                <w:szCs w:val="20"/>
              </w:rPr>
            </w:pPr>
          </w:p>
        </w:tc>
        <w:tc>
          <w:tcPr>
            <w:tcW w:w="1429" w:type="dxa"/>
          </w:tcPr>
          <w:p w14:paraId="286A6E52"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Not addressed</w:t>
            </w:r>
          </w:p>
          <w:p w14:paraId="1616F810" w14:textId="77777777" w:rsidR="00206BD4" w:rsidRPr="00F448CD" w:rsidRDefault="00206BD4" w:rsidP="00866532">
            <w:pPr>
              <w:rPr>
                <w:rFonts w:ascii="Arial Narrow" w:hAnsi="Arial Narrow" w:cs="Times New Roman"/>
                <w:sz w:val="18"/>
                <w:szCs w:val="20"/>
              </w:rPr>
            </w:pPr>
          </w:p>
        </w:tc>
      </w:tr>
      <w:tr w:rsidR="00206BD4" w:rsidRPr="004B2306" w14:paraId="739B8512" w14:textId="77777777" w:rsidTr="00866532">
        <w:trPr>
          <w:trHeight w:val="146"/>
        </w:trPr>
        <w:tc>
          <w:tcPr>
            <w:tcW w:w="1358" w:type="dxa"/>
          </w:tcPr>
          <w:p w14:paraId="36CD28E8" w14:textId="61988934" w:rsidR="00206BD4" w:rsidRPr="008D1016" w:rsidRDefault="00206BD4" w:rsidP="00866532">
            <w:pPr>
              <w:rPr>
                <w:rFonts w:ascii="Arial Narrow" w:hAnsi="Arial Narrow" w:cs="Times New Roman"/>
                <w:sz w:val="18"/>
                <w:szCs w:val="20"/>
              </w:rPr>
            </w:pPr>
            <w:r w:rsidRPr="00F448CD">
              <w:rPr>
                <w:rFonts w:ascii="Arial Narrow" w:hAnsi="Arial Narrow" w:cs="Times New Roman"/>
                <w:sz w:val="18"/>
                <w:szCs w:val="20"/>
              </w:rPr>
              <w:t xml:space="preserve">Does the Treaty/Statute permit </w:t>
            </w:r>
            <w:r w:rsidR="003A48BE">
              <w:rPr>
                <w:rFonts w:ascii="Arial Narrow" w:hAnsi="Arial Narrow" w:cs="Times New Roman"/>
                <w:sz w:val="18"/>
                <w:szCs w:val="20"/>
              </w:rPr>
              <w:t>separate opinions?</w:t>
            </w:r>
            <w:r w:rsidRPr="00F448CD">
              <w:rPr>
                <w:rFonts w:ascii="Arial Narrow" w:hAnsi="Arial Narrow" w:cs="Times New Roman"/>
                <w:sz w:val="18"/>
                <w:szCs w:val="20"/>
              </w:rPr>
              <w:t xml:space="preserve"> </w:t>
            </w:r>
          </w:p>
        </w:tc>
        <w:tc>
          <w:tcPr>
            <w:tcW w:w="1429" w:type="dxa"/>
          </w:tcPr>
          <w:p w14:paraId="77A71CD3" w14:textId="77777777" w:rsidR="00206BD4" w:rsidRPr="00F448CD" w:rsidRDefault="00206BD4" w:rsidP="00866532">
            <w:pPr>
              <w:rPr>
                <w:rFonts w:ascii="Arial Narrow" w:hAnsi="Arial Narrow" w:cs="Times New Roman"/>
                <w:bCs/>
                <w:sz w:val="18"/>
                <w:szCs w:val="20"/>
              </w:rPr>
            </w:pPr>
            <w:bookmarkStart w:id="2" w:name="_Toc160729757"/>
            <w:r w:rsidRPr="00F448CD">
              <w:rPr>
                <w:rFonts w:ascii="Arial Narrow" w:hAnsi="Arial Narrow" w:cs="Times New Roman"/>
                <w:bCs/>
                <w:sz w:val="18"/>
                <w:szCs w:val="20"/>
              </w:rPr>
              <w:t>Yes</w:t>
            </w:r>
          </w:p>
          <w:bookmarkEnd w:id="2"/>
          <w:p w14:paraId="6109D4F8" w14:textId="77777777" w:rsidR="00206BD4" w:rsidRPr="00F448CD" w:rsidRDefault="00206BD4" w:rsidP="00866532">
            <w:pPr>
              <w:rPr>
                <w:rFonts w:ascii="Arial Narrow" w:hAnsi="Arial Narrow" w:cs="Times New Roman"/>
                <w:bCs/>
                <w:sz w:val="18"/>
                <w:szCs w:val="20"/>
              </w:rPr>
            </w:pPr>
          </w:p>
        </w:tc>
        <w:tc>
          <w:tcPr>
            <w:tcW w:w="1436" w:type="dxa"/>
          </w:tcPr>
          <w:p w14:paraId="513C13EC" w14:textId="77777777" w:rsidR="00206BD4" w:rsidRPr="00F448CD" w:rsidRDefault="00206BD4" w:rsidP="00866532">
            <w:pPr>
              <w:rPr>
                <w:rFonts w:ascii="Arial Narrow" w:hAnsi="Arial Narrow" w:cs="Times New Roman"/>
                <w:bCs/>
                <w:sz w:val="18"/>
                <w:szCs w:val="20"/>
              </w:rPr>
            </w:pPr>
            <w:r w:rsidRPr="00F448CD">
              <w:rPr>
                <w:rFonts w:ascii="Arial Narrow" w:hAnsi="Arial Narrow" w:cs="Times New Roman"/>
                <w:bCs/>
                <w:sz w:val="18"/>
                <w:szCs w:val="20"/>
              </w:rPr>
              <w:t>Yes</w:t>
            </w:r>
          </w:p>
          <w:p w14:paraId="08D518CF" w14:textId="77777777" w:rsidR="00206BD4" w:rsidRPr="00F448CD" w:rsidRDefault="00206BD4" w:rsidP="00866532">
            <w:pPr>
              <w:rPr>
                <w:rFonts w:ascii="Arial Narrow" w:hAnsi="Arial Narrow" w:cs="Times New Roman"/>
                <w:bCs/>
                <w:sz w:val="18"/>
                <w:szCs w:val="20"/>
              </w:rPr>
            </w:pPr>
          </w:p>
        </w:tc>
        <w:tc>
          <w:tcPr>
            <w:tcW w:w="1533" w:type="dxa"/>
          </w:tcPr>
          <w:p w14:paraId="72256908" w14:textId="0E1AD9BB" w:rsidR="00206BD4" w:rsidRPr="00F448CD" w:rsidRDefault="008D1016" w:rsidP="00866532">
            <w:pPr>
              <w:rPr>
                <w:rFonts w:ascii="Arial Narrow" w:hAnsi="Arial Narrow" w:cs="Times New Roman"/>
                <w:sz w:val="18"/>
                <w:szCs w:val="20"/>
              </w:rPr>
            </w:pPr>
            <w:r>
              <w:rPr>
                <w:rFonts w:ascii="Arial Narrow" w:hAnsi="Arial Narrow" w:cs="Times New Roman"/>
                <w:sz w:val="18"/>
                <w:szCs w:val="20"/>
              </w:rPr>
              <w:t>Not addressed</w:t>
            </w:r>
          </w:p>
          <w:p w14:paraId="203B3BB7" w14:textId="77777777" w:rsidR="00206BD4" w:rsidRPr="00F448CD" w:rsidRDefault="00206BD4" w:rsidP="00866532">
            <w:pPr>
              <w:rPr>
                <w:rFonts w:ascii="Arial Narrow" w:hAnsi="Arial Narrow" w:cs="Times New Roman"/>
                <w:sz w:val="18"/>
                <w:szCs w:val="20"/>
              </w:rPr>
            </w:pPr>
          </w:p>
        </w:tc>
        <w:tc>
          <w:tcPr>
            <w:tcW w:w="1452" w:type="dxa"/>
          </w:tcPr>
          <w:p w14:paraId="1B6E8CDC"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Yes</w:t>
            </w:r>
          </w:p>
          <w:p w14:paraId="7B1EA24B" w14:textId="77777777" w:rsidR="00206BD4" w:rsidRPr="00F448CD" w:rsidRDefault="00206BD4" w:rsidP="00866532">
            <w:pPr>
              <w:rPr>
                <w:rFonts w:ascii="Arial Narrow" w:hAnsi="Arial Narrow" w:cs="Times New Roman"/>
                <w:sz w:val="18"/>
                <w:szCs w:val="20"/>
              </w:rPr>
            </w:pPr>
          </w:p>
        </w:tc>
        <w:tc>
          <w:tcPr>
            <w:tcW w:w="1638" w:type="dxa"/>
          </w:tcPr>
          <w:p w14:paraId="6145174C"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Yes</w:t>
            </w:r>
          </w:p>
          <w:p w14:paraId="329BA8C9" w14:textId="77777777" w:rsidR="00206BD4" w:rsidRPr="00F448CD" w:rsidRDefault="00206BD4" w:rsidP="00866532">
            <w:pPr>
              <w:rPr>
                <w:rFonts w:ascii="Arial Narrow" w:hAnsi="Arial Narrow" w:cs="Times New Roman"/>
                <w:sz w:val="18"/>
                <w:szCs w:val="20"/>
              </w:rPr>
            </w:pPr>
          </w:p>
          <w:p w14:paraId="18A6E942" w14:textId="77777777" w:rsidR="00206BD4" w:rsidRPr="00F448CD" w:rsidRDefault="00206BD4" w:rsidP="00866532">
            <w:pPr>
              <w:rPr>
                <w:rFonts w:ascii="Arial Narrow" w:hAnsi="Arial Narrow" w:cs="Times New Roman"/>
                <w:sz w:val="18"/>
                <w:szCs w:val="20"/>
              </w:rPr>
            </w:pPr>
          </w:p>
        </w:tc>
        <w:tc>
          <w:tcPr>
            <w:tcW w:w="1303" w:type="dxa"/>
          </w:tcPr>
          <w:p w14:paraId="564F5255"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Yes</w:t>
            </w:r>
          </w:p>
        </w:tc>
        <w:tc>
          <w:tcPr>
            <w:tcW w:w="1429" w:type="dxa"/>
          </w:tcPr>
          <w:p w14:paraId="3C165A0D"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Yes</w:t>
            </w:r>
          </w:p>
          <w:p w14:paraId="40897007" w14:textId="77777777" w:rsidR="00206BD4" w:rsidRPr="00F448CD" w:rsidRDefault="00206BD4" w:rsidP="00866532">
            <w:pPr>
              <w:rPr>
                <w:rFonts w:ascii="Arial Narrow" w:hAnsi="Arial Narrow" w:cs="Times New Roman"/>
                <w:sz w:val="18"/>
                <w:szCs w:val="20"/>
              </w:rPr>
            </w:pPr>
          </w:p>
        </w:tc>
      </w:tr>
      <w:tr w:rsidR="00206BD4" w:rsidRPr="004B2306" w14:paraId="026D3913" w14:textId="77777777" w:rsidTr="00866532">
        <w:trPr>
          <w:trHeight w:val="146"/>
        </w:trPr>
        <w:tc>
          <w:tcPr>
            <w:tcW w:w="1358" w:type="dxa"/>
          </w:tcPr>
          <w:p w14:paraId="304CFD26" w14:textId="77777777" w:rsidR="00206BD4" w:rsidRPr="00F448CD" w:rsidRDefault="00206BD4" w:rsidP="00866532">
            <w:pPr>
              <w:rPr>
                <w:rFonts w:ascii="Arial Narrow" w:hAnsi="Arial Narrow" w:cs="Times New Roman"/>
                <w:sz w:val="18"/>
                <w:szCs w:val="20"/>
              </w:rPr>
            </w:pPr>
            <w:r>
              <w:rPr>
                <w:rFonts w:ascii="Arial Narrow" w:hAnsi="Arial Narrow" w:cs="Times New Roman"/>
                <w:sz w:val="18"/>
                <w:szCs w:val="20"/>
              </w:rPr>
              <w:t>If yes, are d</w:t>
            </w:r>
            <w:r w:rsidRPr="00F448CD">
              <w:rPr>
                <w:rFonts w:ascii="Arial Narrow" w:hAnsi="Arial Narrow" w:cs="Times New Roman"/>
                <w:sz w:val="18"/>
                <w:szCs w:val="20"/>
              </w:rPr>
              <w:t>issents anonymous?</w:t>
            </w:r>
          </w:p>
          <w:p w14:paraId="14986D27" w14:textId="77777777" w:rsidR="00206BD4" w:rsidRPr="00F448CD" w:rsidRDefault="00206BD4" w:rsidP="00866532">
            <w:pPr>
              <w:rPr>
                <w:rFonts w:ascii="Arial Narrow" w:hAnsi="Arial Narrow" w:cs="Times New Roman"/>
                <w:sz w:val="18"/>
                <w:szCs w:val="20"/>
              </w:rPr>
            </w:pPr>
          </w:p>
        </w:tc>
        <w:tc>
          <w:tcPr>
            <w:tcW w:w="1429" w:type="dxa"/>
          </w:tcPr>
          <w:p w14:paraId="36A03C8C" w14:textId="77777777" w:rsidR="00206BD4" w:rsidRPr="00F448CD" w:rsidRDefault="00206BD4" w:rsidP="00866532">
            <w:pPr>
              <w:rPr>
                <w:rFonts w:ascii="Arial Narrow" w:hAnsi="Arial Narrow" w:cs="Times New Roman"/>
                <w:bCs/>
                <w:sz w:val="18"/>
                <w:szCs w:val="20"/>
              </w:rPr>
            </w:pPr>
            <w:r w:rsidRPr="00F448CD">
              <w:rPr>
                <w:rFonts w:ascii="Arial Narrow" w:hAnsi="Arial Narrow" w:cs="Times New Roman"/>
                <w:bCs/>
                <w:sz w:val="18"/>
                <w:szCs w:val="20"/>
              </w:rPr>
              <w:t>Not addressed</w:t>
            </w:r>
          </w:p>
        </w:tc>
        <w:tc>
          <w:tcPr>
            <w:tcW w:w="1436" w:type="dxa"/>
          </w:tcPr>
          <w:p w14:paraId="3C3F965C" w14:textId="77777777" w:rsidR="00206BD4" w:rsidRPr="00F448CD" w:rsidRDefault="00206BD4" w:rsidP="00866532">
            <w:pPr>
              <w:rPr>
                <w:rFonts w:ascii="Arial Narrow" w:hAnsi="Arial Narrow" w:cs="Times New Roman"/>
                <w:bCs/>
                <w:sz w:val="18"/>
                <w:szCs w:val="20"/>
              </w:rPr>
            </w:pPr>
            <w:r w:rsidRPr="00F448CD">
              <w:rPr>
                <w:rFonts w:ascii="Arial Narrow" w:hAnsi="Arial Narrow" w:cs="Times New Roman"/>
                <w:bCs/>
                <w:sz w:val="18"/>
                <w:szCs w:val="20"/>
              </w:rPr>
              <w:t>Not addressed</w:t>
            </w:r>
          </w:p>
        </w:tc>
        <w:tc>
          <w:tcPr>
            <w:tcW w:w="1533" w:type="dxa"/>
          </w:tcPr>
          <w:p w14:paraId="6E78168B" w14:textId="3ED08FAE" w:rsidR="00206BD4" w:rsidRPr="00F448CD" w:rsidRDefault="008D1016" w:rsidP="00866532">
            <w:pPr>
              <w:rPr>
                <w:rFonts w:ascii="Arial Narrow" w:hAnsi="Arial Narrow" w:cs="Times New Roman"/>
                <w:sz w:val="18"/>
                <w:szCs w:val="20"/>
              </w:rPr>
            </w:pPr>
            <w:r>
              <w:rPr>
                <w:rFonts w:ascii="Arial Narrow" w:hAnsi="Arial Narrow" w:cs="Times New Roman"/>
                <w:sz w:val="18"/>
                <w:szCs w:val="20"/>
              </w:rPr>
              <w:t>Not addressed</w:t>
            </w:r>
          </w:p>
        </w:tc>
        <w:tc>
          <w:tcPr>
            <w:tcW w:w="1452" w:type="dxa"/>
          </w:tcPr>
          <w:p w14:paraId="1005CB82"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Not addressed</w:t>
            </w:r>
          </w:p>
        </w:tc>
        <w:tc>
          <w:tcPr>
            <w:tcW w:w="1638" w:type="dxa"/>
          </w:tcPr>
          <w:p w14:paraId="495CFB30"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Anonymous</w:t>
            </w:r>
          </w:p>
        </w:tc>
        <w:tc>
          <w:tcPr>
            <w:tcW w:w="1303" w:type="dxa"/>
          </w:tcPr>
          <w:p w14:paraId="0F1D4CCA"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Not addressed</w:t>
            </w:r>
          </w:p>
          <w:p w14:paraId="72178785" w14:textId="77777777" w:rsidR="00206BD4" w:rsidRPr="00F448CD" w:rsidRDefault="00206BD4" w:rsidP="00866532">
            <w:pPr>
              <w:rPr>
                <w:rFonts w:ascii="Arial Narrow" w:hAnsi="Arial Narrow" w:cs="Times New Roman"/>
                <w:sz w:val="18"/>
                <w:szCs w:val="20"/>
              </w:rPr>
            </w:pPr>
          </w:p>
        </w:tc>
        <w:tc>
          <w:tcPr>
            <w:tcW w:w="1429" w:type="dxa"/>
          </w:tcPr>
          <w:p w14:paraId="0BB6E49E"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Not addressed</w:t>
            </w:r>
          </w:p>
        </w:tc>
      </w:tr>
      <w:tr w:rsidR="00206BD4" w:rsidRPr="004B2306" w14:paraId="2EB3B719" w14:textId="77777777" w:rsidTr="00866532">
        <w:trPr>
          <w:trHeight w:val="288"/>
        </w:trPr>
        <w:tc>
          <w:tcPr>
            <w:tcW w:w="1358" w:type="dxa"/>
          </w:tcPr>
          <w:p w14:paraId="33333FCE" w14:textId="77777777" w:rsidR="00206BD4" w:rsidRPr="00F448CD" w:rsidRDefault="00206BD4" w:rsidP="00866532">
            <w:pPr>
              <w:rPr>
                <w:rFonts w:ascii="Arial Narrow" w:hAnsi="Arial Narrow" w:cs="Times New Roman"/>
                <w:sz w:val="18"/>
                <w:szCs w:val="20"/>
              </w:rPr>
            </w:pPr>
          </w:p>
        </w:tc>
        <w:tc>
          <w:tcPr>
            <w:tcW w:w="1429" w:type="dxa"/>
          </w:tcPr>
          <w:p w14:paraId="50239AA1" w14:textId="77777777" w:rsidR="00206BD4" w:rsidRPr="00F448CD" w:rsidRDefault="00206BD4" w:rsidP="00866532">
            <w:pPr>
              <w:rPr>
                <w:rFonts w:ascii="Arial Narrow" w:hAnsi="Arial Narrow" w:cs="Times New Roman"/>
                <w:bCs/>
                <w:sz w:val="18"/>
                <w:szCs w:val="20"/>
              </w:rPr>
            </w:pPr>
          </w:p>
        </w:tc>
        <w:tc>
          <w:tcPr>
            <w:tcW w:w="1436" w:type="dxa"/>
          </w:tcPr>
          <w:p w14:paraId="00EFE656" w14:textId="77777777" w:rsidR="00206BD4" w:rsidRPr="00F448CD" w:rsidRDefault="00206BD4" w:rsidP="00866532">
            <w:pPr>
              <w:rPr>
                <w:rFonts w:ascii="Arial Narrow" w:hAnsi="Arial Narrow" w:cs="Times New Roman"/>
                <w:bCs/>
                <w:sz w:val="18"/>
                <w:szCs w:val="20"/>
              </w:rPr>
            </w:pPr>
          </w:p>
        </w:tc>
        <w:tc>
          <w:tcPr>
            <w:tcW w:w="1533" w:type="dxa"/>
          </w:tcPr>
          <w:p w14:paraId="0E642E89" w14:textId="77777777" w:rsidR="00206BD4" w:rsidRPr="00F448CD" w:rsidRDefault="00206BD4" w:rsidP="00866532">
            <w:pPr>
              <w:rPr>
                <w:rFonts w:ascii="Arial Narrow" w:hAnsi="Arial Narrow" w:cs="Times New Roman"/>
                <w:sz w:val="18"/>
                <w:szCs w:val="20"/>
              </w:rPr>
            </w:pPr>
          </w:p>
        </w:tc>
        <w:tc>
          <w:tcPr>
            <w:tcW w:w="1452" w:type="dxa"/>
          </w:tcPr>
          <w:p w14:paraId="345A0793" w14:textId="77777777" w:rsidR="00206BD4" w:rsidRPr="00F448CD" w:rsidRDefault="00206BD4" w:rsidP="00866532">
            <w:pPr>
              <w:rPr>
                <w:rFonts w:ascii="Arial Narrow" w:hAnsi="Arial Narrow" w:cs="Times New Roman"/>
                <w:sz w:val="18"/>
                <w:szCs w:val="20"/>
              </w:rPr>
            </w:pPr>
          </w:p>
        </w:tc>
        <w:tc>
          <w:tcPr>
            <w:tcW w:w="1638" w:type="dxa"/>
          </w:tcPr>
          <w:p w14:paraId="7CE17484" w14:textId="77777777" w:rsidR="00206BD4" w:rsidRPr="00F448CD" w:rsidRDefault="00206BD4" w:rsidP="00866532">
            <w:pPr>
              <w:rPr>
                <w:rFonts w:ascii="Arial Narrow" w:hAnsi="Arial Narrow" w:cs="Times New Roman"/>
                <w:sz w:val="18"/>
                <w:szCs w:val="20"/>
              </w:rPr>
            </w:pPr>
          </w:p>
        </w:tc>
        <w:tc>
          <w:tcPr>
            <w:tcW w:w="1303" w:type="dxa"/>
          </w:tcPr>
          <w:p w14:paraId="703FF9E7" w14:textId="77777777" w:rsidR="00206BD4" w:rsidRPr="00F448CD" w:rsidRDefault="00206BD4" w:rsidP="00866532">
            <w:pPr>
              <w:rPr>
                <w:rFonts w:ascii="Arial Narrow" w:hAnsi="Arial Narrow" w:cs="Times New Roman"/>
                <w:sz w:val="18"/>
                <w:szCs w:val="20"/>
              </w:rPr>
            </w:pPr>
          </w:p>
        </w:tc>
        <w:tc>
          <w:tcPr>
            <w:tcW w:w="1429" w:type="dxa"/>
          </w:tcPr>
          <w:p w14:paraId="61630495" w14:textId="77777777" w:rsidR="00206BD4" w:rsidRPr="00F448CD" w:rsidRDefault="00206BD4" w:rsidP="00866532">
            <w:pPr>
              <w:rPr>
                <w:rFonts w:ascii="Arial Narrow" w:hAnsi="Arial Narrow" w:cs="Times New Roman"/>
                <w:sz w:val="18"/>
                <w:szCs w:val="20"/>
              </w:rPr>
            </w:pPr>
          </w:p>
        </w:tc>
      </w:tr>
      <w:tr w:rsidR="00206BD4" w:rsidRPr="004B2306" w14:paraId="0B733D34" w14:textId="77777777" w:rsidTr="00866532">
        <w:trPr>
          <w:trHeight w:val="146"/>
        </w:trPr>
        <w:tc>
          <w:tcPr>
            <w:tcW w:w="1358" w:type="dxa"/>
          </w:tcPr>
          <w:p w14:paraId="57B17E9F" w14:textId="4BCF9FF2" w:rsidR="00206BD4" w:rsidRPr="00F448CD" w:rsidRDefault="008D1016" w:rsidP="00866532">
            <w:pPr>
              <w:rPr>
                <w:rFonts w:ascii="Arial Narrow" w:hAnsi="Arial Narrow" w:cs="Times New Roman"/>
                <w:sz w:val="18"/>
                <w:szCs w:val="20"/>
              </w:rPr>
            </w:pPr>
            <w:r>
              <w:rPr>
                <w:rFonts w:ascii="Arial Narrow" w:hAnsi="Arial Narrow" w:cs="Times New Roman"/>
                <w:sz w:val="18"/>
                <w:szCs w:val="20"/>
              </w:rPr>
              <w:t>Has Court promulgated r</w:t>
            </w:r>
            <w:r w:rsidR="00206BD4" w:rsidRPr="00F448CD">
              <w:rPr>
                <w:rFonts w:ascii="Arial Narrow" w:hAnsi="Arial Narrow" w:cs="Times New Roman"/>
                <w:sz w:val="18"/>
                <w:szCs w:val="20"/>
              </w:rPr>
              <w:t>ules on form of opinion or judgment?</w:t>
            </w:r>
          </w:p>
        </w:tc>
        <w:tc>
          <w:tcPr>
            <w:tcW w:w="1429" w:type="dxa"/>
          </w:tcPr>
          <w:p w14:paraId="4F539039" w14:textId="77777777" w:rsidR="00206BD4" w:rsidRPr="00F448CD" w:rsidRDefault="00206BD4" w:rsidP="00866532">
            <w:pPr>
              <w:rPr>
                <w:rFonts w:ascii="Arial Narrow" w:hAnsi="Arial Narrow" w:cs="Times New Roman"/>
                <w:bCs/>
                <w:sz w:val="18"/>
                <w:szCs w:val="20"/>
              </w:rPr>
            </w:pPr>
            <w:r w:rsidRPr="00F448CD">
              <w:rPr>
                <w:rFonts w:ascii="Arial Narrow" w:hAnsi="Arial Narrow" w:cs="Times New Roman"/>
                <w:bCs/>
                <w:sz w:val="18"/>
                <w:szCs w:val="20"/>
              </w:rPr>
              <w:t>Yes</w:t>
            </w:r>
          </w:p>
        </w:tc>
        <w:tc>
          <w:tcPr>
            <w:tcW w:w="1436" w:type="dxa"/>
          </w:tcPr>
          <w:p w14:paraId="53D0BB37" w14:textId="77777777" w:rsidR="00206BD4" w:rsidRPr="00F448CD" w:rsidRDefault="00206BD4" w:rsidP="00866532">
            <w:pPr>
              <w:rPr>
                <w:rFonts w:ascii="Arial Narrow" w:hAnsi="Arial Narrow" w:cs="Times New Roman"/>
                <w:bCs/>
                <w:sz w:val="18"/>
                <w:szCs w:val="20"/>
              </w:rPr>
            </w:pPr>
            <w:r w:rsidRPr="00F448CD">
              <w:rPr>
                <w:rFonts w:ascii="Arial Narrow" w:hAnsi="Arial Narrow" w:cs="Times New Roman"/>
                <w:bCs/>
                <w:sz w:val="18"/>
                <w:szCs w:val="20"/>
              </w:rPr>
              <w:t>Yes</w:t>
            </w:r>
          </w:p>
        </w:tc>
        <w:tc>
          <w:tcPr>
            <w:tcW w:w="1533" w:type="dxa"/>
          </w:tcPr>
          <w:p w14:paraId="09AB0506"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Yes</w:t>
            </w:r>
          </w:p>
        </w:tc>
        <w:tc>
          <w:tcPr>
            <w:tcW w:w="1452" w:type="dxa"/>
          </w:tcPr>
          <w:p w14:paraId="00EC7B12"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Yes</w:t>
            </w:r>
          </w:p>
        </w:tc>
        <w:tc>
          <w:tcPr>
            <w:tcW w:w="1638" w:type="dxa"/>
          </w:tcPr>
          <w:p w14:paraId="0B3A0462"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Yes</w:t>
            </w:r>
          </w:p>
        </w:tc>
        <w:tc>
          <w:tcPr>
            <w:tcW w:w="1303" w:type="dxa"/>
          </w:tcPr>
          <w:p w14:paraId="4BC6E8D6"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Yes</w:t>
            </w:r>
          </w:p>
          <w:p w14:paraId="28DF38CA" w14:textId="77777777" w:rsidR="00206BD4" w:rsidRPr="00F448CD" w:rsidRDefault="00206BD4" w:rsidP="00866532">
            <w:pPr>
              <w:rPr>
                <w:rFonts w:ascii="Arial Narrow" w:hAnsi="Arial Narrow" w:cs="Times New Roman"/>
                <w:sz w:val="18"/>
                <w:szCs w:val="20"/>
              </w:rPr>
            </w:pPr>
          </w:p>
        </w:tc>
        <w:tc>
          <w:tcPr>
            <w:tcW w:w="1429" w:type="dxa"/>
          </w:tcPr>
          <w:p w14:paraId="169273DA"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Yes</w:t>
            </w:r>
          </w:p>
        </w:tc>
      </w:tr>
      <w:tr w:rsidR="00206BD4" w:rsidRPr="004B2306" w14:paraId="5934DB31" w14:textId="77777777" w:rsidTr="00866532">
        <w:trPr>
          <w:trHeight w:val="146"/>
        </w:trPr>
        <w:tc>
          <w:tcPr>
            <w:tcW w:w="1358" w:type="dxa"/>
          </w:tcPr>
          <w:p w14:paraId="5EFFA08C"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If so, what rules?</w:t>
            </w:r>
          </w:p>
          <w:p w14:paraId="0FBEFE98" w14:textId="77777777" w:rsidR="00206BD4" w:rsidRPr="00F448CD" w:rsidRDefault="00206BD4" w:rsidP="00866532">
            <w:pPr>
              <w:rPr>
                <w:rFonts w:ascii="Arial Narrow" w:hAnsi="Arial Narrow" w:cs="Times New Roman"/>
                <w:sz w:val="18"/>
                <w:szCs w:val="20"/>
              </w:rPr>
            </w:pPr>
          </w:p>
        </w:tc>
        <w:tc>
          <w:tcPr>
            <w:tcW w:w="1429" w:type="dxa"/>
          </w:tcPr>
          <w:p w14:paraId="2D39B7A1" w14:textId="77777777" w:rsidR="00206BD4" w:rsidRPr="00F448CD" w:rsidRDefault="00206BD4" w:rsidP="00866532">
            <w:pPr>
              <w:rPr>
                <w:rFonts w:ascii="Arial Narrow" w:hAnsi="Arial Narrow" w:cs="Times New Roman"/>
                <w:bCs/>
                <w:sz w:val="18"/>
                <w:szCs w:val="20"/>
              </w:rPr>
            </w:pPr>
            <w:r w:rsidRPr="00F448CD">
              <w:rPr>
                <w:rFonts w:ascii="Arial Narrow" w:hAnsi="Arial Narrow" w:cs="Times New Roman"/>
                <w:bCs/>
                <w:sz w:val="18"/>
                <w:szCs w:val="20"/>
              </w:rPr>
              <w:t>Judgments and Advisory opinions  “shall contain” “the number of judges constituting the majority”</w:t>
            </w:r>
          </w:p>
          <w:p w14:paraId="1A466DFD" w14:textId="77777777" w:rsidR="00206BD4" w:rsidRPr="00F448CD" w:rsidRDefault="00206BD4" w:rsidP="00866532">
            <w:pPr>
              <w:rPr>
                <w:rFonts w:ascii="Arial Narrow" w:hAnsi="Arial Narrow" w:cs="Times New Roman"/>
                <w:bCs/>
                <w:sz w:val="18"/>
                <w:szCs w:val="20"/>
              </w:rPr>
            </w:pPr>
          </w:p>
          <w:p w14:paraId="1AF635DD" w14:textId="63339B9A" w:rsidR="00206BD4" w:rsidRPr="00F448CD" w:rsidRDefault="008D1016" w:rsidP="00866532">
            <w:pPr>
              <w:rPr>
                <w:rFonts w:ascii="Arial Narrow" w:hAnsi="Arial Narrow" w:cs="Times New Roman"/>
                <w:bCs/>
                <w:sz w:val="18"/>
                <w:szCs w:val="20"/>
              </w:rPr>
            </w:pPr>
            <w:r>
              <w:rPr>
                <w:rFonts w:ascii="Arial Narrow" w:hAnsi="Arial Narrow" w:cs="Times New Roman"/>
                <w:bCs/>
                <w:sz w:val="18"/>
                <w:szCs w:val="20"/>
              </w:rPr>
              <w:t>Judges may issue separate (dissenting or concurring) opinions</w:t>
            </w:r>
          </w:p>
          <w:p w14:paraId="727D268A" w14:textId="77777777" w:rsidR="00206BD4" w:rsidRPr="00F448CD" w:rsidRDefault="00206BD4" w:rsidP="00866532">
            <w:pPr>
              <w:rPr>
                <w:rFonts w:ascii="Arial Narrow" w:hAnsi="Arial Narrow" w:cs="Times New Roman"/>
                <w:bCs/>
                <w:sz w:val="18"/>
                <w:szCs w:val="20"/>
              </w:rPr>
            </w:pPr>
          </w:p>
        </w:tc>
        <w:tc>
          <w:tcPr>
            <w:tcW w:w="1436" w:type="dxa"/>
          </w:tcPr>
          <w:p w14:paraId="463C725F" w14:textId="77777777" w:rsidR="00206BD4" w:rsidRPr="00F448CD" w:rsidRDefault="00206BD4" w:rsidP="00866532">
            <w:pPr>
              <w:rPr>
                <w:rFonts w:ascii="Arial Narrow" w:hAnsi="Arial Narrow" w:cs="Times New Roman"/>
                <w:bCs/>
                <w:sz w:val="18"/>
                <w:szCs w:val="20"/>
              </w:rPr>
            </w:pPr>
            <w:r w:rsidRPr="00F448CD">
              <w:rPr>
                <w:rFonts w:ascii="Arial Narrow" w:hAnsi="Arial Narrow" w:cs="Times New Roman"/>
                <w:bCs/>
                <w:sz w:val="18"/>
                <w:szCs w:val="20"/>
              </w:rPr>
              <w:t>Judgments and advisory opinions  “shall contain” “number and names of judges constituting the majority”</w:t>
            </w:r>
          </w:p>
          <w:p w14:paraId="17FC7244" w14:textId="77777777" w:rsidR="00206BD4" w:rsidRPr="00F448CD" w:rsidRDefault="00206BD4" w:rsidP="00866532">
            <w:pPr>
              <w:rPr>
                <w:rFonts w:ascii="Arial Narrow" w:hAnsi="Arial Narrow" w:cs="Times New Roman"/>
                <w:bCs/>
                <w:sz w:val="18"/>
                <w:szCs w:val="20"/>
              </w:rPr>
            </w:pPr>
          </w:p>
          <w:p w14:paraId="4AB866AE" w14:textId="6FAFCD4D" w:rsidR="00206BD4" w:rsidRPr="00F448CD" w:rsidRDefault="008D1016" w:rsidP="00866532">
            <w:pPr>
              <w:rPr>
                <w:rFonts w:ascii="Arial Narrow" w:hAnsi="Arial Narrow" w:cs="Times New Roman"/>
                <w:bCs/>
                <w:sz w:val="18"/>
                <w:szCs w:val="20"/>
              </w:rPr>
            </w:pPr>
            <w:r>
              <w:rPr>
                <w:rFonts w:ascii="Arial Narrow" w:hAnsi="Arial Narrow" w:cs="Times New Roman"/>
                <w:bCs/>
                <w:sz w:val="18"/>
                <w:szCs w:val="20"/>
              </w:rPr>
              <w:t>Judges may issue separate opinions</w:t>
            </w:r>
          </w:p>
          <w:p w14:paraId="1F480218" w14:textId="77777777" w:rsidR="00206BD4" w:rsidRPr="00F448CD" w:rsidRDefault="00206BD4" w:rsidP="00866532">
            <w:pPr>
              <w:rPr>
                <w:rFonts w:ascii="Arial Narrow" w:hAnsi="Arial Narrow" w:cs="Times New Roman"/>
                <w:bCs/>
                <w:sz w:val="18"/>
                <w:szCs w:val="20"/>
              </w:rPr>
            </w:pPr>
            <w:r w:rsidRPr="00F448CD">
              <w:rPr>
                <w:rFonts w:ascii="Arial Narrow" w:hAnsi="Arial Narrow" w:cs="Times New Roman"/>
                <w:bCs/>
                <w:sz w:val="18"/>
                <w:szCs w:val="20"/>
              </w:rPr>
              <w:t xml:space="preserve"> </w:t>
            </w:r>
          </w:p>
        </w:tc>
        <w:tc>
          <w:tcPr>
            <w:tcW w:w="1533" w:type="dxa"/>
          </w:tcPr>
          <w:p w14:paraId="5E53EAB4" w14:textId="77777777" w:rsidR="00206BD4" w:rsidRDefault="00206BD4" w:rsidP="00866532">
            <w:pPr>
              <w:rPr>
                <w:rFonts w:ascii="Arial Narrow" w:hAnsi="Arial Narrow" w:cs="Times New Roman"/>
                <w:sz w:val="18"/>
                <w:szCs w:val="20"/>
              </w:rPr>
            </w:pPr>
            <w:r w:rsidRPr="00F448CD">
              <w:rPr>
                <w:rFonts w:ascii="Arial Narrow" w:hAnsi="Arial Narrow" w:cs="Times New Roman"/>
                <w:sz w:val="18"/>
                <w:szCs w:val="20"/>
              </w:rPr>
              <w:t>Judgment shall list names of judges taking part</w:t>
            </w:r>
            <w:r w:rsidR="008D1016">
              <w:rPr>
                <w:rFonts w:ascii="Arial Narrow" w:hAnsi="Arial Narrow" w:cs="Times New Roman"/>
                <w:sz w:val="18"/>
                <w:szCs w:val="20"/>
              </w:rPr>
              <w:t xml:space="preserve">.  No mention of listing names of judges in majority.  </w:t>
            </w:r>
          </w:p>
          <w:p w14:paraId="7FABA5B7" w14:textId="77777777" w:rsidR="008D1016" w:rsidRDefault="008D1016" w:rsidP="00866532">
            <w:pPr>
              <w:rPr>
                <w:rFonts w:ascii="Arial Narrow" w:hAnsi="Arial Narrow" w:cs="Times New Roman"/>
                <w:sz w:val="18"/>
                <w:szCs w:val="20"/>
              </w:rPr>
            </w:pPr>
          </w:p>
          <w:p w14:paraId="2F4993FF" w14:textId="77015EF4" w:rsidR="008D1016" w:rsidRPr="00F448CD" w:rsidRDefault="008D1016" w:rsidP="00866532">
            <w:pPr>
              <w:rPr>
                <w:rFonts w:ascii="Arial Narrow" w:hAnsi="Arial Narrow" w:cs="Times New Roman"/>
                <w:sz w:val="18"/>
                <w:szCs w:val="20"/>
              </w:rPr>
            </w:pPr>
            <w:r>
              <w:rPr>
                <w:rFonts w:ascii="Arial Narrow" w:hAnsi="Arial Narrow" w:cs="Times New Roman"/>
                <w:sz w:val="18"/>
                <w:szCs w:val="20"/>
              </w:rPr>
              <w:t>No mention of separate opinions.</w:t>
            </w:r>
          </w:p>
        </w:tc>
        <w:tc>
          <w:tcPr>
            <w:tcW w:w="1452" w:type="dxa"/>
          </w:tcPr>
          <w:p w14:paraId="34BF7D52"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Judgments and advisory opin</w:t>
            </w:r>
            <w:r>
              <w:rPr>
                <w:rFonts w:ascii="Arial Narrow" w:hAnsi="Arial Narrow" w:cs="Times New Roman"/>
                <w:sz w:val="18"/>
                <w:szCs w:val="20"/>
              </w:rPr>
              <w:t>i</w:t>
            </w:r>
            <w:r w:rsidRPr="00F448CD">
              <w:rPr>
                <w:rFonts w:ascii="Arial Narrow" w:hAnsi="Arial Narrow" w:cs="Times New Roman"/>
                <w:sz w:val="18"/>
                <w:szCs w:val="20"/>
              </w:rPr>
              <w:t>ons “shall contain” “the number of judges constituting the majority”</w:t>
            </w:r>
          </w:p>
          <w:p w14:paraId="31378AE8" w14:textId="77777777" w:rsidR="00206BD4" w:rsidRPr="00F448CD" w:rsidRDefault="00206BD4" w:rsidP="00866532">
            <w:pPr>
              <w:rPr>
                <w:rFonts w:ascii="Arial Narrow" w:hAnsi="Arial Narrow" w:cs="Times New Roman"/>
                <w:sz w:val="18"/>
                <w:szCs w:val="20"/>
              </w:rPr>
            </w:pPr>
          </w:p>
          <w:p w14:paraId="3AD8B123" w14:textId="6B4F567D" w:rsidR="00206BD4" w:rsidRPr="00F448CD" w:rsidRDefault="008D1016" w:rsidP="00866532">
            <w:pPr>
              <w:rPr>
                <w:rFonts w:ascii="Arial Narrow" w:hAnsi="Arial Narrow" w:cs="Times New Roman"/>
                <w:sz w:val="18"/>
                <w:szCs w:val="20"/>
              </w:rPr>
            </w:pPr>
            <w:r>
              <w:rPr>
                <w:rFonts w:ascii="Arial Narrow" w:hAnsi="Arial Narrow" w:cs="Times New Roman"/>
                <w:sz w:val="18"/>
                <w:szCs w:val="20"/>
              </w:rPr>
              <w:t>Judges may issue separate opinions.</w:t>
            </w:r>
          </w:p>
        </w:tc>
        <w:tc>
          <w:tcPr>
            <w:tcW w:w="1638" w:type="dxa"/>
          </w:tcPr>
          <w:p w14:paraId="261050CD"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Article 3(2): AB “ to make every</w:t>
            </w:r>
          </w:p>
          <w:p w14:paraId="5AF88E14" w14:textId="77777777" w:rsidR="00206BD4" w:rsidRPr="00F448CD" w:rsidRDefault="00206BD4" w:rsidP="00866532">
            <w:pPr>
              <w:rPr>
                <w:rFonts w:ascii="Arial Narrow" w:hAnsi="Arial Narrow" w:cs="Times New Roman"/>
                <w:sz w:val="18"/>
                <w:szCs w:val="20"/>
              </w:rPr>
            </w:pPr>
            <w:proofErr w:type="gramStart"/>
            <w:r w:rsidRPr="00F448CD">
              <w:rPr>
                <w:rFonts w:ascii="Arial Narrow" w:hAnsi="Arial Narrow" w:cs="Times New Roman"/>
                <w:sz w:val="18"/>
                <w:szCs w:val="20"/>
              </w:rPr>
              <w:t>effort</w:t>
            </w:r>
            <w:proofErr w:type="gramEnd"/>
            <w:r w:rsidRPr="00F448CD">
              <w:rPr>
                <w:rFonts w:ascii="Arial Narrow" w:hAnsi="Arial Narrow" w:cs="Times New Roman"/>
                <w:sz w:val="18"/>
                <w:szCs w:val="20"/>
              </w:rPr>
              <w:t xml:space="preserve"> to take</w:t>
            </w:r>
          </w:p>
          <w:p w14:paraId="0C6F8BA8" w14:textId="77777777" w:rsidR="00206BD4" w:rsidRPr="00F448CD" w:rsidRDefault="00206BD4" w:rsidP="00866532">
            <w:pPr>
              <w:rPr>
                <w:rFonts w:ascii="Arial Narrow" w:hAnsi="Arial Narrow" w:cs="Times New Roman"/>
                <w:sz w:val="18"/>
                <w:szCs w:val="20"/>
              </w:rPr>
            </w:pPr>
            <w:proofErr w:type="gramStart"/>
            <w:r w:rsidRPr="00F448CD">
              <w:rPr>
                <w:rFonts w:ascii="Arial Narrow" w:hAnsi="Arial Narrow" w:cs="Times New Roman"/>
                <w:sz w:val="18"/>
                <w:szCs w:val="20"/>
              </w:rPr>
              <w:t>their</w:t>
            </w:r>
            <w:proofErr w:type="gramEnd"/>
            <w:r w:rsidRPr="00F448CD">
              <w:rPr>
                <w:rFonts w:ascii="Arial Narrow" w:hAnsi="Arial Narrow" w:cs="Times New Roman"/>
                <w:sz w:val="18"/>
                <w:szCs w:val="20"/>
              </w:rPr>
              <w:t xml:space="preserve"> decisions</w:t>
            </w:r>
          </w:p>
          <w:p w14:paraId="2E4D5F35" w14:textId="77777777" w:rsidR="00206BD4" w:rsidRPr="00F448CD" w:rsidRDefault="00206BD4" w:rsidP="00866532">
            <w:pPr>
              <w:rPr>
                <w:rFonts w:ascii="Arial Narrow" w:hAnsi="Arial Narrow" w:cs="Times New Roman"/>
                <w:sz w:val="18"/>
                <w:szCs w:val="20"/>
              </w:rPr>
            </w:pPr>
            <w:proofErr w:type="gramStart"/>
            <w:r w:rsidRPr="00F448CD">
              <w:rPr>
                <w:rFonts w:ascii="Arial Narrow" w:hAnsi="Arial Narrow" w:cs="Times New Roman"/>
                <w:sz w:val="18"/>
                <w:szCs w:val="20"/>
              </w:rPr>
              <w:t>by</w:t>
            </w:r>
            <w:proofErr w:type="gramEnd"/>
            <w:r w:rsidRPr="00F448CD">
              <w:rPr>
                <w:rFonts w:ascii="Arial Narrow" w:hAnsi="Arial Narrow" w:cs="Times New Roman"/>
                <w:sz w:val="18"/>
                <w:szCs w:val="20"/>
              </w:rPr>
              <w:t xml:space="preserve"> consensus,” when not possible, majority vote prevails.</w:t>
            </w:r>
          </w:p>
        </w:tc>
        <w:tc>
          <w:tcPr>
            <w:tcW w:w="1303" w:type="dxa"/>
          </w:tcPr>
          <w:p w14:paraId="694A506A"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Judgments shall record “the number and names of the judges constituting the majority and those constituting the minority, on each operative provision”</w:t>
            </w:r>
          </w:p>
          <w:p w14:paraId="62FBDC61" w14:textId="77777777" w:rsidR="00206BD4" w:rsidRPr="00F448CD" w:rsidRDefault="00206BD4" w:rsidP="00866532">
            <w:pPr>
              <w:rPr>
                <w:rFonts w:ascii="Arial Narrow" w:hAnsi="Arial Narrow" w:cs="Times New Roman"/>
                <w:sz w:val="18"/>
                <w:szCs w:val="20"/>
              </w:rPr>
            </w:pPr>
          </w:p>
          <w:p w14:paraId="55A9385B" w14:textId="2977EAE2" w:rsidR="00206BD4" w:rsidRPr="00F448CD" w:rsidRDefault="008D1016" w:rsidP="00866532">
            <w:pPr>
              <w:rPr>
                <w:rFonts w:ascii="Arial Narrow" w:hAnsi="Arial Narrow" w:cs="Times New Roman"/>
                <w:sz w:val="18"/>
                <w:szCs w:val="20"/>
              </w:rPr>
            </w:pPr>
            <w:r>
              <w:rPr>
                <w:rFonts w:ascii="Arial Narrow" w:hAnsi="Arial Narrow" w:cs="Times New Roman"/>
                <w:sz w:val="18"/>
                <w:szCs w:val="20"/>
              </w:rPr>
              <w:t>Judges may issue separate opinions.</w:t>
            </w:r>
          </w:p>
        </w:tc>
        <w:tc>
          <w:tcPr>
            <w:tcW w:w="1429" w:type="dxa"/>
          </w:tcPr>
          <w:p w14:paraId="57E3CCCE"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Incorporate by reference art 84 of treaty</w:t>
            </w:r>
          </w:p>
        </w:tc>
      </w:tr>
      <w:tr w:rsidR="00206BD4" w:rsidRPr="004B2306" w14:paraId="75154260" w14:textId="77777777" w:rsidTr="00866532">
        <w:trPr>
          <w:trHeight w:val="288"/>
        </w:trPr>
        <w:tc>
          <w:tcPr>
            <w:tcW w:w="1358" w:type="dxa"/>
          </w:tcPr>
          <w:p w14:paraId="5BC9D744" w14:textId="545FF0F4" w:rsidR="00206BD4" w:rsidRPr="00F448CD" w:rsidRDefault="00206BD4" w:rsidP="00866532">
            <w:pPr>
              <w:rPr>
                <w:rFonts w:ascii="Arial Narrow" w:hAnsi="Arial Narrow" w:cs="Times New Roman"/>
                <w:sz w:val="18"/>
                <w:szCs w:val="20"/>
              </w:rPr>
            </w:pPr>
          </w:p>
        </w:tc>
        <w:tc>
          <w:tcPr>
            <w:tcW w:w="1429" w:type="dxa"/>
          </w:tcPr>
          <w:p w14:paraId="69543E31" w14:textId="77777777" w:rsidR="00206BD4" w:rsidRPr="00F448CD" w:rsidRDefault="00206BD4" w:rsidP="00866532">
            <w:pPr>
              <w:rPr>
                <w:rFonts w:ascii="Arial Narrow" w:hAnsi="Arial Narrow" w:cs="Times New Roman"/>
                <w:sz w:val="18"/>
                <w:szCs w:val="20"/>
              </w:rPr>
            </w:pPr>
          </w:p>
        </w:tc>
        <w:tc>
          <w:tcPr>
            <w:tcW w:w="1436" w:type="dxa"/>
          </w:tcPr>
          <w:p w14:paraId="5FE2CC9E" w14:textId="77777777" w:rsidR="00206BD4" w:rsidRPr="00F448CD" w:rsidRDefault="00206BD4" w:rsidP="00866532">
            <w:pPr>
              <w:rPr>
                <w:rFonts w:ascii="Arial Narrow" w:hAnsi="Arial Narrow" w:cs="Times New Roman"/>
                <w:sz w:val="18"/>
                <w:szCs w:val="20"/>
              </w:rPr>
            </w:pPr>
          </w:p>
        </w:tc>
        <w:tc>
          <w:tcPr>
            <w:tcW w:w="1533" w:type="dxa"/>
          </w:tcPr>
          <w:p w14:paraId="1AD0BC0B" w14:textId="77777777" w:rsidR="00206BD4" w:rsidRPr="00F448CD" w:rsidRDefault="00206BD4" w:rsidP="00866532">
            <w:pPr>
              <w:rPr>
                <w:rFonts w:ascii="Arial Narrow" w:hAnsi="Arial Narrow" w:cs="Times New Roman"/>
                <w:sz w:val="18"/>
                <w:szCs w:val="20"/>
              </w:rPr>
            </w:pPr>
          </w:p>
        </w:tc>
        <w:tc>
          <w:tcPr>
            <w:tcW w:w="1452" w:type="dxa"/>
          </w:tcPr>
          <w:p w14:paraId="54CAA206" w14:textId="77777777" w:rsidR="00206BD4" w:rsidRPr="00F448CD" w:rsidRDefault="00206BD4" w:rsidP="00866532">
            <w:pPr>
              <w:rPr>
                <w:rFonts w:ascii="Arial Narrow" w:hAnsi="Arial Narrow" w:cs="Times New Roman"/>
                <w:sz w:val="18"/>
                <w:szCs w:val="20"/>
              </w:rPr>
            </w:pPr>
          </w:p>
        </w:tc>
        <w:tc>
          <w:tcPr>
            <w:tcW w:w="1638" w:type="dxa"/>
          </w:tcPr>
          <w:p w14:paraId="7CB6AA93" w14:textId="77777777" w:rsidR="00206BD4" w:rsidRPr="00F448CD" w:rsidRDefault="00206BD4" w:rsidP="00866532">
            <w:pPr>
              <w:rPr>
                <w:rFonts w:ascii="Arial Narrow" w:hAnsi="Arial Narrow" w:cs="Times New Roman"/>
                <w:sz w:val="18"/>
                <w:szCs w:val="20"/>
              </w:rPr>
            </w:pPr>
          </w:p>
        </w:tc>
        <w:tc>
          <w:tcPr>
            <w:tcW w:w="1303" w:type="dxa"/>
          </w:tcPr>
          <w:p w14:paraId="06BAC6E9" w14:textId="77777777" w:rsidR="00206BD4" w:rsidRPr="00F448CD" w:rsidRDefault="00206BD4" w:rsidP="00866532">
            <w:pPr>
              <w:rPr>
                <w:rFonts w:ascii="Arial Narrow" w:hAnsi="Arial Narrow" w:cs="Times New Roman"/>
                <w:sz w:val="18"/>
                <w:szCs w:val="20"/>
              </w:rPr>
            </w:pPr>
          </w:p>
        </w:tc>
        <w:tc>
          <w:tcPr>
            <w:tcW w:w="1429" w:type="dxa"/>
          </w:tcPr>
          <w:p w14:paraId="466D95B6" w14:textId="77777777" w:rsidR="00206BD4" w:rsidRPr="00F448CD" w:rsidRDefault="00206BD4" w:rsidP="00866532">
            <w:pPr>
              <w:rPr>
                <w:rFonts w:ascii="Arial Narrow" w:hAnsi="Arial Narrow" w:cs="Times New Roman"/>
                <w:sz w:val="18"/>
                <w:szCs w:val="20"/>
              </w:rPr>
            </w:pPr>
          </w:p>
        </w:tc>
      </w:tr>
      <w:tr w:rsidR="00206BD4" w:rsidRPr="004B2306" w14:paraId="025835A2" w14:textId="77777777" w:rsidTr="00866532">
        <w:trPr>
          <w:trHeight w:val="146"/>
        </w:trPr>
        <w:tc>
          <w:tcPr>
            <w:tcW w:w="1358" w:type="dxa"/>
          </w:tcPr>
          <w:p w14:paraId="4BA06638"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How are judges selected?</w:t>
            </w:r>
          </w:p>
        </w:tc>
        <w:tc>
          <w:tcPr>
            <w:tcW w:w="1429" w:type="dxa"/>
          </w:tcPr>
          <w:p w14:paraId="637E4A3C"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Election by majority of League of Nations Assembly and Council</w:t>
            </w:r>
          </w:p>
        </w:tc>
        <w:tc>
          <w:tcPr>
            <w:tcW w:w="1436" w:type="dxa"/>
          </w:tcPr>
          <w:p w14:paraId="7EF2BC1B"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Election by United Nations General Assembly and Security Council</w:t>
            </w:r>
          </w:p>
        </w:tc>
        <w:tc>
          <w:tcPr>
            <w:tcW w:w="1533" w:type="dxa"/>
          </w:tcPr>
          <w:p w14:paraId="41274F9F"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 xml:space="preserve">Appointed by common accord of the governments of the Member States…” </w:t>
            </w:r>
          </w:p>
        </w:tc>
        <w:tc>
          <w:tcPr>
            <w:tcW w:w="1452" w:type="dxa"/>
          </w:tcPr>
          <w:p w14:paraId="1C264B53"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Elected by the Parliamentary Assembly</w:t>
            </w:r>
          </w:p>
        </w:tc>
        <w:tc>
          <w:tcPr>
            <w:tcW w:w="1638" w:type="dxa"/>
          </w:tcPr>
          <w:p w14:paraId="04246A5A"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Director-General names panelists, with input from parties; AB members elected by WTO membership</w:t>
            </w:r>
          </w:p>
        </w:tc>
        <w:tc>
          <w:tcPr>
            <w:tcW w:w="1303" w:type="dxa"/>
          </w:tcPr>
          <w:p w14:paraId="04109ED8" w14:textId="77777777" w:rsidR="00206BD4" w:rsidRPr="00F448CD" w:rsidRDefault="00206BD4" w:rsidP="00866532">
            <w:pPr>
              <w:rPr>
                <w:rFonts w:ascii="Arial Narrow" w:hAnsi="Arial Narrow" w:cs="Times New Roman"/>
                <w:sz w:val="18"/>
                <w:szCs w:val="20"/>
              </w:rPr>
            </w:pPr>
            <w:proofErr w:type="gramStart"/>
            <w:r w:rsidRPr="00F448CD">
              <w:rPr>
                <w:rFonts w:ascii="Arial Narrow" w:hAnsi="Arial Narrow" w:cs="Times New Roman"/>
                <w:sz w:val="18"/>
                <w:szCs w:val="20"/>
              </w:rPr>
              <w:t>election</w:t>
            </w:r>
            <w:proofErr w:type="gramEnd"/>
            <w:r w:rsidRPr="00F448CD">
              <w:rPr>
                <w:rFonts w:ascii="Arial Narrow" w:hAnsi="Arial Narrow" w:cs="Times New Roman"/>
                <w:sz w:val="18"/>
                <w:szCs w:val="20"/>
              </w:rPr>
              <w:t xml:space="preserve"> by secret ballot by State Parties </w:t>
            </w:r>
          </w:p>
        </w:tc>
        <w:tc>
          <w:tcPr>
            <w:tcW w:w="1429" w:type="dxa"/>
          </w:tcPr>
          <w:p w14:paraId="0CAA7507"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w:t>
            </w:r>
            <w:proofErr w:type="gramStart"/>
            <w:r w:rsidRPr="00F448CD">
              <w:rPr>
                <w:rFonts w:ascii="Arial Narrow" w:hAnsi="Arial Narrow" w:cs="Times New Roman"/>
                <w:sz w:val="18"/>
                <w:szCs w:val="20"/>
              </w:rPr>
              <w:t>election</w:t>
            </w:r>
            <w:proofErr w:type="gramEnd"/>
            <w:r w:rsidRPr="00F448CD">
              <w:rPr>
                <w:rFonts w:ascii="Arial Narrow" w:hAnsi="Arial Narrow" w:cs="Times New Roman"/>
                <w:sz w:val="18"/>
                <w:szCs w:val="20"/>
              </w:rPr>
              <w:t xml:space="preserve"> by secret ballot at a meeting of the Assembly of States Parties convened for that purpose”; need a 2/3 majority for election</w:t>
            </w:r>
          </w:p>
        </w:tc>
      </w:tr>
      <w:tr w:rsidR="00206BD4" w:rsidRPr="004B2306" w14:paraId="6BCD01B6" w14:textId="77777777" w:rsidTr="00866532">
        <w:trPr>
          <w:trHeight w:val="146"/>
        </w:trPr>
        <w:tc>
          <w:tcPr>
            <w:tcW w:w="1358" w:type="dxa"/>
          </w:tcPr>
          <w:p w14:paraId="0D0E4226"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 xml:space="preserve">How long are judicial terms? </w:t>
            </w:r>
          </w:p>
          <w:p w14:paraId="770C6B6B" w14:textId="77777777" w:rsidR="00206BD4" w:rsidRPr="00F448CD" w:rsidRDefault="00206BD4" w:rsidP="00866532">
            <w:pPr>
              <w:rPr>
                <w:rFonts w:ascii="Arial Narrow" w:hAnsi="Arial Narrow" w:cs="Times New Roman"/>
                <w:sz w:val="18"/>
                <w:szCs w:val="20"/>
              </w:rPr>
            </w:pPr>
          </w:p>
          <w:p w14:paraId="3281E0DF" w14:textId="77777777" w:rsidR="00206BD4" w:rsidRPr="00F448CD" w:rsidRDefault="00206BD4" w:rsidP="00866532">
            <w:pPr>
              <w:rPr>
                <w:rFonts w:ascii="Arial Narrow" w:hAnsi="Arial Narrow" w:cs="Times New Roman"/>
                <w:sz w:val="18"/>
                <w:szCs w:val="20"/>
                <w:u w:val="single"/>
              </w:rPr>
            </w:pPr>
            <w:r w:rsidRPr="00F448CD">
              <w:rPr>
                <w:rFonts w:ascii="Arial Narrow" w:hAnsi="Arial Narrow" w:cs="Times New Roman"/>
                <w:sz w:val="18"/>
                <w:szCs w:val="20"/>
              </w:rPr>
              <w:t>Are terms renewable?</w:t>
            </w:r>
          </w:p>
        </w:tc>
        <w:tc>
          <w:tcPr>
            <w:tcW w:w="1429" w:type="dxa"/>
          </w:tcPr>
          <w:p w14:paraId="3B9CA30E" w14:textId="77777777" w:rsidR="00206BD4" w:rsidRPr="00F448CD" w:rsidRDefault="00206BD4" w:rsidP="00866532">
            <w:pPr>
              <w:rPr>
                <w:rFonts w:ascii="Arial Narrow" w:hAnsi="Arial Narrow" w:cs="Times New Roman"/>
                <w:bCs/>
                <w:sz w:val="18"/>
                <w:szCs w:val="20"/>
              </w:rPr>
            </w:pPr>
            <w:bookmarkStart w:id="3" w:name="_Toc160729711"/>
            <w:r w:rsidRPr="00F448CD">
              <w:rPr>
                <w:rFonts w:ascii="Arial Narrow" w:hAnsi="Arial Narrow" w:cs="Times New Roman"/>
                <w:bCs/>
                <w:sz w:val="18"/>
                <w:szCs w:val="20"/>
              </w:rPr>
              <w:t>9 years</w:t>
            </w:r>
          </w:p>
          <w:p w14:paraId="032813FA" w14:textId="77777777" w:rsidR="00206BD4" w:rsidRPr="00F448CD" w:rsidRDefault="00206BD4" w:rsidP="00866532">
            <w:pPr>
              <w:rPr>
                <w:rFonts w:ascii="Arial Narrow" w:hAnsi="Arial Narrow" w:cs="Times New Roman"/>
                <w:bCs/>
                <w:sz w:val="18"/>
                <w:szCs w:val="20"/>
              </w:rPr>
            </w:pPr>
          </w:p>
          <w:p w14:paraId="339300AA" w14:textId="77777777" w:rsidR="00206BD4" w:rsidRPr="00F448CD" w:rsidRDefault="00206BD4" w:rsidP="00866532">
            <w:pPr>
              <w:rPr>
                <w:rFonts w:ascii="Arial Narrow" w:hAnsi="Arial Narrow" w:cs="Times New Roman"/>
                <w:bCs/>
                <w:sz w:val="18"/>
                <w:szCs w:val="20"/>
              </w:rPr>
            </w:pPr>
          </w:p>
          <w:p w14:paraId="298D3EFF" w14:textId="787AB55E" w:rsidR="00206BD4" w:rsidRPr="00F448CD" w:rsidRDefault="008D1016" w:rsidP="00866532">
            <w:pPr>
              <w:rPr>
                <w:rFonts w:ascii="Arial Narrow" w:hAnsi="Arial Narrow" w:cs="Times New Roman"/>
                <w:bCs/>
                <w:sz w:val="18"/>
                <w:szCs w:val="20"/>
              </w:rPr>
            </w:pPr>
            <w:r>
              <w:rPr>
                <w:rFonts w:ascii="Arial Narrow" w:hAnsi="Arial Narrow" w:cs="Times New Roman"/>
                <w:bCs/>
                <w:sz w:val="18"/>
                <w:szCs w:val="20"/>
              </w:rPr>
              <w:t xml:space="preserve">Yes. </w:t>
            </w:r>
            <w:r w:rsidR="00206BD4" w:rsidRPr="00F448CD">
              <w:rPr>
                <w:rFonts w:ascii="Arial Narrow" w:hAnsi="Arial Narrow" w:cs="Times New Roman"/>
                <w:bCs/>
                <w:sz w:val="18"/>
                <w:szCs w:val="20"/>
              </w:rPr>
              <w:t>No limit on terms</w:t>
            </w:r>
          </w:p>
          <w:bookmarkEnd w:id="3"/>
          <w:p w14:paraId="2AB680D3"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 xml:space="preserve"> </w:t>
            </w:r>
          </w:p>
        </w:tc>
        <w:tc>
          <w:tcPr>
            <w:tcW w:w="1436" w:type="dxa"/>
          </w:tcPr>
          <w:p w14:paraId="3678DD5E"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9 years</w:t>
            </w:r>
          </w:p>
          <w:p w14:paraId="55D13A43" w14:textId="77777777" w:rsidR="00206BD4" w:rsidRPr="00F448CD" w:rsidRDefault="00206BD4" w:rsidP="00866532">
            <w:pPr>
              <w:rPr>
                <w:rFonts w:ascii="Arial Narrow" w:hAnsi="Arial Narrow" w:cs="Times New Roman"/>
                <w:sz w:val="18"/>
                <w:szCs w:val="20"/>
              </w:rPr>
            </w:pPr>
          </w:p>
          <w:p w14:paraId="56B4F162" w14:textId="77777777" w:rsidR="00206BD4" w:rsidRPr="00F448CD" w:rsidRDefault="00206BD4" w:rsidP="00866532">
            <w:pPr>
              <w:rPr>
                <w:rFonts w:ascii="Arial Narrow" w:hAnsi="Arial Narrow" w:cs="Times New Roman"/>
                <w:sz w:val="18"/>
                <w:szCs w:val="20"/>
              </w:rPr>
            </w:pPr>
          </w:p>
          <w:p w14:paraId="769D1CA8" w14:textId="168CCC1D" w:rsidR="00206BD4" w:rsidRPr="00F448CD" w:rsidRDefault="008D1016" w:rsidP="00866532">
            <w:pPr>
              <w:rPr>
                <w:rFonts w:ascii="Arial Narrow" w:hAnsi="Arial Narrow" w:cs="Times New Roman"/>
                <w:sz w:val="18"/>
                <w:szCs w:val="20"/>
              </w:rPr>
            </w:pPr>
            <w:r>
              <w:rPr>
                <w:rFonts w:ascii="Arial Narrow" w:hAnsi="Arial Narrow" w:cs="Times New Roman"/>
                <w:sz w:val="18"/>
                <w:szCs w:val="20"/>
              </w:rPr>
              <w:t xml:space="preserve">Yes. </w:t>
            </w:r>
            <w:r w:rsidR="00206BD4" w:rsidRPr="00F448CD">
              <w:rPr>
                <w:rFonts w:ascii="Arial Narrow" w:hAnsi="Arial Narrow" w:cs="Times New Roman"/>
                <w:sz w:val="18"/>
                <w:szCs w:val="20"/>
              </w:rPr>
              <w:t>No limit on terms</w:t>
            </w:r>
          </w:p>
          <w:p w14:paraId="046153FE" w14:textId="77777777" w:rsidR="00206BD4" w:rsidRPr="00F448CD" w:rsidRDefault="00206BD4" w:rsidP="00866532">
            <w:pPr>
              <w:rPr>
                <w:rFonts w:ascii="Arial Narrow" w:hAnsi="Arial Narrow" w:cs="Times New Roman"/>
                <w:sz w:val="18"/>
                <w:szCs w:val="20"/>
              </w:rPr>
            </w:pPr>
          </w:p>
          <w:p w14:paraId="24DFED99" w14:textId="77777777" w:rsidR="00206BD4" w:rsidRPr="00F448CD" w:rsidRDefault="00206BD4" w:rsidP="00866532">
            <w:pPr>
              <w:rPr>
                <w:rFonts w:ascii="Arial Narrow" w:hAnsi="Arial Narrow" w:cs="Times New Roman"/>
                <w:sz w:val="18"/>
                <w:szCs w:val="20"/>
              </w:rPr>
            </w:pPr>
          </w:p>
        </w:tc>
        <w:tc>
          <w:tcPr>
            <w:tcW w:w="1533" w:type="dxa"/>
          </w:tcPr>
          <w:p w14:paraId="3DAAD482"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6 years</w:t>
            </w:r>
          </w:p>
          <w:p w14:paraId="5DA75578" w14:textId="77777777" w:rsidR="00206BD4" w:rsidRPr="00F448CD" w:rsidRDefault="00206BD4" w:rsidP="00866532">
            <w:pPr>
              <w:rPr>
                <w:rFonts w:ascii="Arial Narrow" w:hAnsi="Arial Narrow" w:cs="Times New Roman"/>
                <w:sz w:val="18"/>
                <w:szCs w:val="20"/>
              </w:rPr>
            </w:pPr>
          </w:p>
          <w:p w14:paraId="7786B90D" w14:textId="77777777" w:rsidR="00206BD4" w:rsidRPr="00F448CD" w:rsidRDefault="00206BD4" w:rsidP="00866532">
            <w:pPr>
              <w:rPr>
                <w:rFonts w:ascii="Arial Narrow" w:hAnsi="Arial Narrow" w:cs="Times New Roman"/>
                <w:sz w:val="18"/>
                <w:szCs w:val="20"/>
              </w:rPr>
            </w:pPr>
          </w:p>
          <w:p w14:paraId="06762D79" w14:textId="327F3CD8" w:rsidR="00206BD4" w:rsidRPr="00F448CD" w:rsidRDefault="008D1016" w:rsidP="00866532">
            <w:pPr>
              <w:rPr>
                <w:rFonts w:ascii="Arial Narrow" w:hAnsi="Arial Narrow" w:cs="Times New Roman"/>
                <w:sz w:val="18"/>
                <w:szCs w:val="20"/>
              </w:rPr>
            </w:pPr>
            <w:r>
              <w:rPr>
                <w:rFonts w:ascii="Arial Narrow" w:hAnsi="Arial Narrow" w:cs="Times New Roman"/>
                <w:sz w:val="18"/>
                <w:szCs w:val="20"/>
              </w:rPr>
              <w:t xml:space="preserve">Yes. </w:t>
            </w:r>
            <w:r w:rsidR="00206BD4" w:rsidRPr="00F448CD">
              <w:rPr>
                <w:rFonts w:ascii="Arial Narrow" w:hAnsi="Arial Narrow" w:cs="Times New Roman"/>
                <w:sz w:val="18"/>
                <w:szCs w:val="20"/>
              </w:rPr>
              <w:t>No limit on terms</w:t>
            </w:r>
          </w:p>
          <w:p w14:paraId="7EBB3745"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 xml:space="preserve"> </w:t>
            </w:r>
          </w:p>
        </w:tc>
        <w:tc>
          <w:tcPr>
            <w:tcW w:w="1452" w:type="dxa"/>
          </w:tcPr>
          <w:p w14:paraId="6F445ABC"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9 years</w:t>
            </w:r>
          </w:p>
          <w:p w14:paraId="2C59C420" w14:textId="77777777" w:rsidR="00206BD4" w:rsidRPr="00F448CD" w:rsidRDefault="00206BD4" w:rsidP="00866532">
            <w:pPr>
              <w:rPr>
                <w:rFonts w:ascii="Arial Narrow" w:hAnsi="Arial Narrow" w:cs="Times New Roman"/>
                <w:sz w:val="18"/>
                <w:szCs w:val="20"/>
              </w:rPr>
            </w:pPr>
          </w:p>
          <w:p w14:paraId="0AC5D3C6" w14:textId="77777777" w:rsidR="00206BD4" w:rsidRPr="00F448CD" w:rsidRDefault="00206BD4" w:rsidP="00866532">
            <w:pPr>
              <w:rPr>
                <w:rFonts w:ascii="Arial Narrow" w:hAnsi="Arial Narrow" w:cs="Times New Roman"/>
                <w:sz w:val="18"/>
                <w:szCs w:val="20"/>
              </w:rPr>
            </w:pPr>
          </w:p>
          <w:p w14:paraId="625A05BB"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No</w:t>
            </w:r>
          </w:p>
        </w:tc>
        <w:tc>
          <w:tcPr>
            <w:tcW w:w="1638" w:type="dxa"/>
          </w:tcPr>
          <w:p w14:paraId="329AB69E" w14:textId="05E92BD6" w:rsidR="00206BD4" w:rsidRPr="00F448CD" w:rsidRDefault="008D1016" w:rsidP="00866532">
            <w:pPr>
              <w:rPr>
                <w:rFonts w:ascii="Arial Narrow" w:hAnsi="Arial Narrow" w:cs="Times New Roman"/>
                <w:sz w:val="18"/>
                <w:szCs w:val="20"/>
              </w:rPr>
            </w:pPr>
            <w:r>
              <w:rPr>
                <w:rFonts w:ascii="Arial Narrow" w:hAnsi="Arial Narrow" w:cs="Times New Roman"/>
                <w:sz w:val="18"/>
                <w:szCs w:val="20"/>
              </w:rPr>
              <w:t xml:space="preserve">4 </w:t>
            </w:r>
            <w:r w:rsidR="00206BD4" w:rsidRPr="00F448CD">
              <w:rPr>
                <w:rFonts w:ascii="Arial Narrow" w:hAnsi="Arial Narrow" w:cs="Times New Roman"/>
                <w:sz w:val="18"/>
                <w:szCs w:val="20"/>
              </w:rPr>
              <w:t>years [AB]</w:t>
            </w:r>
          </w:p>
          <w:p w14:paraId="745CA383"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Ad hoc [panels]</w:t>
            </w:r>
          </w:p>
          <w:p w14:paraId="20F9C9CF" w14:textId="77777777" w:rsidR="00206BD4" w:rsidRPr="00F448CD" w:rsidRDefault="00206BD4" w:rsidP="00866532">
            <w:pPr>
              <w:rPr>
                <w:rFonts w:ascii="Arial Narrow" w:hAnsi="Arial Narrow" w:cs="Times New Roman"/>
                <w:sz w:val="18"/>
                <w:szCs w:val="20"/>
              </w:rPr>
            </w:pPr>
          </w:p>
          <w:p w14:paraId="29BFCF5C" w14:textId="260572FD" w:rsidR="00206BD4" w:rsidRPr="00F448CD" w:rsidRDefault="00206BD4" w:rsidP="008D1016">
            <w:pPr>
              <w:rPr>
                <w:rFonts w:ascii="Arial Narrow" w:hAnsi="Arial Narrow" w:cs="Times New Roman"/>
                <w:sz w:val="18"/>
                <w:szCs w:val="20"/>
              </w:rPr>
            </w:pPr>
            <w:r w:rsidRPr="00F448CD">
              <w:rPr>
                <w:rFonts w:ascii="Arial Narrow" w:hAnsi="Arial Narrow" w:cs="Times New Roman"/>
                <w:sz w:val="18"/>
                <w:szCs w:val="20"/>
              </w:rPr>
              <w:t>AB</w:t>
            </w:r>
            <w:r w:rsidR="008D1016">
              <w:rPr>
                <w:rFonts w:ascii="Arial Narrow" w:hAnsi="Arial Narrow" w:cs="Times New Roman"/>
                <w:sz w:val="18"/>
                <w:szCs w:val="20"/>
              </w:rPr>
              <w:t>:  Yes. Limit of two terms.</w:t>
            </w:r>
          </w:p>
        </w:tc>
        <w:tc>
          <w:tcPr>
            <w:tcW w:w="1303" w:type="dxa"/>
          </w:tcPr>
          <w:p w14:paraId="3E82C900"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9 years</w:t>
            </w:r>
          </w:p>
          <w:p w14:paraId="3A65D0E7" w14:textId="77777777" w:rsidR="00206BD4" w:rsidRPr="00F448CD" w:rsidRDefault="00206BD4" w:rsidP="00866532">
            <w:pPr>
              <w:rPr>
                <w:rFonts w:ascii="Arial Narrow" w:hAnsi="Arial Narrow" w:cs="Times New Roman"/>
                <w:sz w:val="18"/>
                <w:szCs w:val="20"/>
              </w:rPr>
            </w:pPr>
          </w:p>
          <w:p w14:paraId="6F0C07D4" w14:textId="77777777" w:rsidR="00206BD4" w:rsidRPr="00F448CD" w:rsidRDefault="00206BD4" w:rsidP="00866532">
            <w:pPr>
              <w:rPr>
                <w:rFonts w:ascii="Arial Narrow" w:hAnsi="Arial Narrow" w:cs="Times New Roman"/>
                <w:sz w:val="18"/>
                <w:szCs w:val="20"/>
              </w:rPr>
            </w:pPr>
          </w:p>
          <w:p w14:paraId="3B954F05" w14:textId="3A190C55" w:rsidR="00206BD4" w:rsidRPr="00F448CD" w:rsidRDefault="008D1016" w:rsidP="00866532">
            <w:pPr>
              <w:rPr>
                <w:rFonts w:ascii="Arial Narrow" w:hAnsi="Arial Narrow" w:cs="Times New Roman"/>
                <w:sz w:val="18"/>
                <w:szCs w:val="20"/>
              </w:rPr>
            </w:pPr>
            <w:r>
              <w:rPr>
                <w:rFonts w:ascii="Arial Narrow" w:hAnsi="Arial Narrow" w:cs="Times New Roman"/>
                <w:sz w:val="18"/>
                <w:szCs w:val="20"/>
              </w:rPr>
              <w:t xml:space="preserve">Yes. </w:t>
            </w:r>
            <w:r w:rsidR="00206BD4" w:rsidRPr="00F448CD">
              <w:rPr>
                <w:rFonts w:ascii="Arial Narrow" w:hAnsi="Arial Narrow" w:cs="Times New Roman"/>
                <w:sz w:val="18"/>
                <w:szCs w:val="20"/>
              </w:rPr>
              <w:t>No limit on terms</w:t>
            </w:r>
          </w:p>
        </w:tc>
        <w:tc>
          <w:tcPr>
            <w:tcW w:w="1429" w:type="dxa"/>
          </w:tcPr>
          <w:p w14:paraId="6A054828"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9 years</w:t>
            </w:r>
          </w:p>
          <w:p w14:paraId="67AE2276" w14:textId="77777777" w:rsidR="00206BD4" w:rsidRPr="00F448CD" w:rsidRDefault="00206BD4" w:rsidP="00866532">
            <w:pPr>
              <w:rPr>
                <w:rFonts w:ascii="Arial Narrow" w:hAnsi="Arial Narrow" w:cs="Times New Roman"/>
                <w:sz w:val="18"/>
                <w:szCs w:val="20"/>
              </w:rPr>
            </w:pPr>
          </w:p>
          <w:p w14:paraId="1E6CF358" w14:textId="77777777" w:rsidR="00206BD4" w:rsidRPr="00F448CD" w:rsidRDefault="00206BD4" w:rsidP="00866532">
            <w:pPr>
              <w:rPr>
                <w:rFonts w:ascii="Arial Narrow" w:hAnsi="Arial Narrow" w:cs="Times New Roman"/>
                <w:sz w:val="18"/>
                <w:szCs w:val="20"/>
              </w:rPr>
            </w:pPr>
          </w:p>
          <w:p w14:paraId="54C02EB7"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No</w:t>
            </w:r>
          </w:p>
        </w:tc>
      </w:tr>
      <w:tr w:rsidR="00206BD4" w:rsidRPr="004B2306" w14:paraId="09FD14DF" w14:textId="77777777" w:rsidTr="00866532">
        <w:trPr>
          <w:trHeight w:val="288"/>
        </w:trPr>
        <w:tc>
          <w:tcPr>
            <w:tcW w:w="1358" w:type="dxa"/>
          </w:tcPr>
          <w:p w14:paraId="32C79E27" w14:textId="77777777" w:rsidR="00206BD4" w:rsidRPr="00F448CD" w:rsidRDefault="00206BD4" w:rsidP="00866532">
            <w:pPr>
              <w:rPr>
                <w:rFonts w:ascii="Arial Narrow" w:hAnsi="Arial Narrow" w:cs="Times New Roman"/>
                <w:sz w:val="18"/>
                <w:szCs w:val="20"/>
                <w:u w:val="single"/>
              </w:rPr>
            </w:pPr>
          </w:p>
        </w:tc>
        <w:tc>
          <w:tcPr>
            <w:tcW w:w="1429" w:type="dxa"/>
          </w:tcPr>
          <w:p w14:paraId="2F0AFB89" w14:textId="77777777" w:rsidR="00206BD4" w:rsidRPr="00F448CD" w:rsidRDefault="00206BD4" w:rsidP="00866532">
            <w:pPr>
              <w:rPr>
                <w:rFonts w:ascii="Arial Narrow" w:hAnsi="Arial Narrow" w:cs="Times New Roman"/>
                <w:sz w:val="18"/>
                <w:szCs w:val="20"/>
              </w:rPr>
            </w:pPr>
          </w:p>
        </w:tc>
        <w:tc>
          <w:tcPr>
            <w:tcW w:w="1436" w:type="dxa"/>
          </w:tcPr>
          <w:p w14:paraId="5360878B" w14:textId="77777777" w:rsidR="00206BD4" w:rsidRPr="00F448CD" w:rsidRDefault="00206BD4" w:rsidP="00866532">
            <w:pPr>
              <w:rPr>
                <w:rFonts w:ascii="Arial Narrow" w:hAnsi="Arial Narrow" w:cs="Times New Roman"/>
                <w:sz w:val="18"/>
                <w:szCs w:val="20"/>
              </w:rPr>
            </w:pPr>
          </w:p>
        </w:tc>
        <w:tc>
          <w:tcPr>
            <w:tcW w:w="1533" w:type="dxa"/>
          </w:tcPr>
          <w:p w14:paraId="393CB1FE" w14:textId="77777777" w:rsidR="00206BD4" w:rsidRPr="00F448CD" w:rsidRDefault="00206BD4" w:rsidP="00866532">
            <w:pPr>
              <w:rPr>
                <w:rFonts w:ascii="Arial Narrow" w:hAnsi="Arial Narrow" w:cs="Times New Roman"/>
                <w:sz w:val="18"/>
                <w:szCs w:val="20"/>
              </w:rPr>
            </w:pPr>
          </w:p>
        </w:tc>
        <w:tc>
          <w:tcPr>
            <w:tcW w:w="1452" w:type="dxa"/>
          </w:tcPr>
          <w:p w14:paraId="68853696" w14:textId="77777777" w:rsidR="00206BD4" w:rsidRPr="00F448CD" w:rsidRDefault="00206BD4" w:rsidP="00866532">
            <w:pPr>
              <w:rPr>
                <w:rFonts w:ascii="Arial Narrow" w:hAnsi="Arial Narrow" w:cs="Times New Roman"/>
                <w:sz w:val="18"/>
                <w:szCs w:val="20"/>
              </w:rPr>
            </w:pPr>
          </w:p>
        </w:tc>
        <w:tc>
          <w:tcPr>
            <w:tcW w:w="1638" w:type="dxa"/>
          </w:tcPr>
          <w:p w14:paraId="598C061C" w14:textId="77777777" w:rsidR="00206BD4" w:rsidRPr="00F448CD" w:rsidRDefault="00206BD4" w:rsidP="00866532">
            <w:pPr>
              <w:rPr>
                <w:rFonts w:ascii="Arial Narrow" w:hAnsi="Arial Narrow" w:cs="Times New Roman"/>
                <w:sz w:val="18"/>
                <w:szCs w:val="20"/>
              </w:rPr>
            </w:pPr>
          </w:p>
        </w:tc>
        <w:tc>
          <w:tcPr>
            <w:tcW w:w="1303" w:type="dxa"/>
          </w:tcPr>
          <w:p w14:paraId="6BD35668" w14:textId="77777777" w:rsidR="00206BD4" w:rsidRPr="00F448CD" w:rsidRDefault="00206BD4" w:rsidP="00866532">
            <w:pPr>
              <w:rPr>
                <w:rFonts w:ascii="Arial Narrow" w:hAnsi="Arial Narrow" w:cs="Times New Roman"/>
                <w:sz w:val="18"/>
                <w:szCs w:val="20"/>
              </w:rPr>
            </w:pPr>
          </w:p>
        </w:tc>
        <w:tc>
          <w:tcPr>
            <w:tcW w:w="1429" w:type="dxa"/>
          </w:tcPr>
          <w:p w14:paraId="25A6C5C0" w14:textId="77777777" w:rsidR="00206BD4" w:rsidRPr="00F448CD" w:rsidRDefault="00206BD4" w:rsidP="00866532">
            <w:pPr>
              <w:rPr>
                <w:rFonts w:ascii="Arial Narrow" w:hAnsi="Arial Narrow" w:cs="Times New Roman"/>
                <w:sz w:val="18"/>
                <w:szCs w:val="20"/>
              </w:rPr>
            </w:pPr>
          </w:p>
        </w:tc>
      </w:tr>
      <w:tr w:rsidR="00206BD4" w:rsidRPr="004B2306" w14:paraId="4774B451" w14:textId="77777777" w:rsidTr="00866532">
        <w:trPr>
          <w:trHeight w:val="800"/>
        </w:trPr>
        <w:tc>
          <w:tcPr>
            <w:tcW w:w="1358" w:type="dxa"/>
          </w:tcPr>
          <w:p w14:paraId="4D165261"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lastRenderedPageBreak/>
              <w:t>Treaty Provide for Judicial Independence?</w:t>
            </w:r>
          </w:p>
        </w:tc>
        <w:tc>
          <w:tcPr>
            <w:tcW w:w="1429" w:type="dxa"/>
          </w:tcPr>
          <w:p w14:paraId="6C6322E2"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Yes</w:t>
            </w:r>
          </w:p>
        </w:tc>
        <w:tc>
          <w:tcPr>
            <w:tcW w:w="1436" w:type="dxa"/>
          </w:tcPr>
          <w:p w14:paraId="323E3B87"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Yes</w:t>
            </w:r>
          </w:p>
        </w:tc>
        <w:tc>
          <w:tcPr>
            <w:tcW w:w="1533" w:type="dxa"/>
          </w:tcPr>
          <w:p w14:paraId="187E7499"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Yes</w:t>
            </w:r>
          </w:p>
        </w:tc>
        <w:tc>
          <w:tcPr>
            <w:tcW w:w="1452" w:type="dxa"/>
          </w:tcPr>
          <w:p w14:paraId="464BE128"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Yes</w:t>
            </w:r>
          </w:p>
        </w:tc>
        <w:tc>
          <w:tcPr>
            <w:tcW w:w="1638" w:type="dxa"/>
          </w:tcPr>
          <w:p w14:paraId="6809919F"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Yes</w:t>
            </w:r>
          </w:p>
        </w:tc>
        <w:tc>
          <w:tcPr>
            <w:tcW w:w="1303" w:type="dxa"/>
          </w:tcPr>
          <w:p w14:paraId="522475A6"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Yes</w:t>
            </w:r>
          </w:p>
        </w:tc>
        <w:tc>
          <w:tcPr>
            <w:tcW w:w="1429" w:type="dxa"/>
          </w:tcPr>
          <w:p w14:paraId="5BC248EE"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Yes</w:t>
            </w:r>
          </w:p>
        </w:tc>
      </w:tr>
      <w:tr w:rsidR="00206BD4" w:rsidRPr="004B2306" w14:paraId="26394114" w14:textId="77777777" w:rsidTr="00866532">
        <w:trPr>
          <w:trHeight w:val="989"/>
        </w:trPr>
        <w:tc>
          <w:tcPr>
            <w:tcW w:w="1358" w:type="dxa"/>
          </w:tcPr>
          <w:p w14:paraId="633669CE"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Are disputants entitled to a national judge?</w:t>
            </w:r>
          </w:p>
        </w:tc>
        <w:tc>
          <w:tcPr>
            <w:tcW w:w="1429" w:type="dxa"/>
          </w:tcPr>
          <w:p w14:paraId="3985F0A2" w14:textId="77777777" w:rsidR="00206BD4" w:rsidRPr="00F448CD" w:rsidRDefault="00206BD4" w:rsidP="00866532">
            <w:pPr>
              <w:pStyle w:val="Heading2"/>
              <w:outlineLvl w:val="1"/>
              <w:rPr>
                <w:rFonts w:ascii="Arial Narrow" w:hAnsi="Arial Narrow"/>
                <w:b w:val="0"/>
                <w:sz w:val="18"/>
                <w:szCs w:val="20"/>
              </w:rPr>
            </w:pPr>
            <w:r w:rsidRPr="00F448CD">
              <w:rPr>
                <w:rFonts w:ascii="Arial Narrow" w:hAnsi="Arial Narrow"/>
                <w:b w:val="0"/>
                <w:sz w:val="18"/>
                <w:szCs w:val="20"/>
              </w:rPr>
              <w:t>Yes</w:t>
            </w:r>
          </w:p>
          <w:p w14:paraId="626D46CC" w14:textId="77777777" w:rsidR="00206BD4" w:rsidRPr="00F448CD" w:rsidRDefault="00206BD4" w:rsidP="00866532">
            <w:pPr>
              <w:pStyle w:val="Heading2"/>
              <w:outlineLvl w:val="1"/>
              <w:rPr>
                <w:rFonts w:ascii="Arial Narrow" w:hAnsi="Arial Narrow"/>
                <w:b w:val="0"/>
                <w:sz w:val="18"/>
                <w:szCs w:val="20"/>
              </w:rPr>
            </w:pPr>
          </w:p>
        </w:tc>
        <w:tc>
          <w:tcPr>
            <w:tcW w:w="1436" w:type="dxa"/>
          </w:tcPr>
          <w:p w14:paraId="1541F90C" w14:textId="77777777" w:rsidR="00206BD4" w:rsidRPr="00F448CD" w:rsidRDefault="00206BD4" w:rsidP="00866532">
            <w:pPr>
              <w:rPr>
                <w:rFonts w:ascii="Arial Narrow" w:hAnsi="Arial Narrow" w:cs="Times New Roman"/>
                <w:bCs/>
                <w:sz w:val="18"/>
                <w:szCs w:val="20"/>
              </w:rPr>
            </w:pPr>
            <w:r w:rsidRPr="00F448CD">
              <w:rPr>
                <w:rFonts w:ascii="Arial Narrow" w:hAnsi="Arial Narrow" w:cs="Times New Roman"/>
                <w:bCs/>
                <w:sz w:val="18"/>
                <w:szCs w:val="20"/>
              </w:rPr>
              <w:t>Yes</w:t>
            </w:r>
          </w:p>
        </w:tc>
        <w:tc>
          <w:tcPr>
            <w:tcW w:w="1533" w:type="dxa"/>
          </w:tcPr>
          <w:p w14:paraId="1EFBFB48" w14:textId="77777777" w:rsidR="00206BD4" w:rsidRPr="00F448CD" w:rsidRDefault="00206BD4" w:rsidP="00866532">
            <w:pPr>
              <w:rPr>
                <w:rFonts w:ascii="Arial Narrow" w:hAnsi="Arial Narrow" w:cs="Times New Roman"/>
                <w:sz w:val="18"/>
                <w:szCs w:val="20"/>
              </w:rPr>
            </w:pPr>
            <w:r>
              <w:rPr>
                <w:rFonts w:ascii="Arial Narrow" w:hAnsi="Arial Narrow" w:cs="Times New Roman"/>
                <w:sz w:val="18"/>
                <w:szCs w:val="20"/>
              </w:rPr>
              <w:t>No</w:t>
            </w:r>
          </w:p>
        </w:tc>
        <w:tc>
          <w:tcPr>
            <w:tcW w:w="1452" w:type="dxa"/>
          </w:tcPr>
          <w:p w14:paraId="43E3BC4B"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Yes</w:t>
            </w:r>
          </w:p>
        </w:tc>
        <w:tc>
          <w:tcPr>
            <w:tcW w:w="1638" w:type="dxa"/>
          </w:tcPr>
          <w:p w14:paraId="12BB597F"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No</w:t>
            </w:r>
          </w:p>
        </w:tc>
        <w:tc>
          <w:tcPr>
            <w:tcW w:w="1303" w:type="dxa"/>
          </w:tcPr>
          <w:p w14:paraId="38652538"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Yes</w:t>
            </w:r>
          </w:p>
        </w:tc>
        <w:tc>
          <w:tcPr>
            <w:tcW w:w="1429" w:type="dxa"/>
          </w:tcPr>
          <w:p w14:paraId="1B51A525" w14:textId="77777777" w:rsidR="00206BD4" w:rsidRPr="00F448CD" w:rsidRDefault="00206BD4" w:rsidP="00866532">
            <w:pPr>
              <w:rPr>
                <w:rFonts w:ascii="Arial Narrow" w:hAnsi="Arial Narrow" w:cs="Times New Roman"/>
                <w:sz w:val="18"/>
                <w:szCs w:val="20"/>
              </w:rPr>
            </w:pPr>
            <w:r>
              <w:rPr>
                <w:rFonts w:ascii="Arial Narrow" w:hAnsi="Arial Narrow" w:cs="Times New Roman"/>
                <w:sz w:val="18"/>
                <w:szCs w:val="20"/>
              </w:rPr>
              <w:t>No</w:t>
            </w:r>
          </w:p>
        </w:tc>
      </w:tr>
      <w:tr w:rsidR="00206BD4" w:rsidRPr="004B2306" w14:paraId="289EABC0" w14:textId="77777777" w:rsidTr="00866532">
        <w:trPr>
          <w:trHeight w:val="288"/>
        </w:trPr>
        <w:tc>
          <w:tcPr>
            <w:tcW w:w="1358" w:type="dxa"/>
          </w:tcPr>
          <w:p w14:paraId="7D825E6D" w14:textId="77777777" w:rsidR="00206BD4" w:rsidRPr="00F448CD" w:rsidRDefault="00206BD4" w:rsidP="00866532">
            <w:pPr>
              <w:rPr>
                <w:rFonts w:ascii="Arial Narrow" w:hAnsi="Arial Narrow" w:cs="Times New Roman"/>
                <w:sz w:val="18"/>
                <w:szCs w:val="20"/>
              </w:rPr>
            </w:pPr>
          </w:p>
        </w:tc>
        <w:tc>
          <w:tcPr>
            <w:tcW w:w="1429" w:type="dxa"/>
          </w:tcPr>
          <w:p w14:paraId="0D6D645A" w14:textId="77777777" w:rsidR="00206BD4" w:rsidRPr="00F448CD" w:rsidRDefault="00206BD4" w:rsidP="00866532">
            <w:pPr>
              <w:pStyle w:val="Heading2"/>
              <w:outlineLvl w:val="1"/>
              <w:rPr>
                <w:rFonts w:ascii="Arial Narrow" w:hAnsi="Arial Narrow"/>
                <w:b w:val="0"/>
                <w:sz w:val="18"/>
                <w:szCs w:val="20"/>
              </w:rPr>
            </w:pPr>
          </w:p>
        </w:tc>
        <w:tc>
          <w:tcPr>
            <w:tcW w:w="1436" w:type="dxa"/>
          </w:tcPr>
          <w:p w14:paraId="38AF81C6" w14:textId="77777777" w:rsidR="00206BD4" w:rsidRPr="00F448CD" w:rsidRDefault="00206BD4" w:rsidP="00866532">
            <w:pPr>
              <w:rPr>
                <w:rFonts w:ascii="Arial Narrow" w:hAnsi="Arial Narrow" w:cs="Times New Roman"/>
                <w:bCs/>
                <w:sz w:val="18"/>
                <w:szCs w:val="20"/>
              </w:rPr>
            </w:pPr>
          </w:p>
        </w:tc>
        <w:tc>
          <w:tcPr>
            <w:tcW w:w="1533" w:type="dxa"/>
          </w:tcPr>
          <w:p w14:paraId="401261CC" w14:textId="77777777" w:rsidR="00206BD4" w:rsidRPr="00F448CD" w:rsidRDefault="00206BD4" w:rsidP="00866532">
            <w:pPr>
              <w:rPr>
                <w:rFonts w:ascii="Arial Narrow" w:hAnsi="Arial Narrow" w:cs="Times New Roman"/>
                <w:sz w:val="18"/>
                <w:szCs w:val="20"/>
              </w:rPr>
            </w:pPr>
          </w:p>
        </w:tc>
        <w:tc>
          <w:tcPr>
            <w:tcW w:w="1452" w:type="dxa"/>
          </w:tcPr>
          <w:p w14:paraId="1C3E92EC" w14:textId="77777777" w:rsidR="00206BD4" w:rsidRPr="00F448CD" w:rsidRDefault="00206BD4" w:rsidP="00866532">
            <w:pPr>
              <w:rPr>
                <w:rFonts w:ascii="Arial Narrow" w:hAnsi="Arial Narrow" w:cs="Times New Roman"/>
                <w:sz w:val="18"/>
                <w:szCs w:val="20"/>
              </w:rPr>
            </w:pPr>
          </w:p>
        </w:tc>
        <w:tc>
          <w:tcPr>
            <w:tcW w:w="1638" w:type="dxa"/>
          </w:tcPr>
          <w:p w14:paraId="279729F9" w14:textId="77777777" w:rsidR="00206BD4" w:rsidRPr="00F448CD" w:rsidRDefault="00206BD4" w:rsidP="00866532">
            <w:pPr>
              <w:rPr>
                <w:rFonts w:ascii="Arial Narrow" w:hAnsi="Arial Narrow" w:cs="Times New Roman"/>
                <w:sz w:val="18"/>
                <w:szCs w:val="20"/>
              </w:rPr>
            </w:pPr>
          </w:p>
        </w:tc>
        <w:tc>
          <w:tcPr>
            <w:tcW w:w="1303" w:type="dxa"/>
          </w:tcPr>
          <w:p w14:paraId="6D31FECF" w14:textId="77777777" w:rsidR="00206BD4" w:rsidRPr="00F448CD" w:rsidRDefault="00206BD4" w:rsidP="00866532">
            <w:pPr>
              <w:rPr>
                <w:rFonts w:ascii="Arial Narrow" w:hAnsi="Arial Narrow" w:cs="Times New Roman"/>
                <w:sz w:val="18"/>
                <w:szCs w:val="20"/>
              </w:rPr>
            </w:pPr>
          </w:p>
        </w:tc>
        <w:tc>
          <w:tcPr>
            <w:tcW w:w="1429" w:type="dxa"/>
          </w:tcPr>
          <w:p w14:paraId="320944BC" w14:textId="77777777" w:rsidR="00206BD4" w:rsidRPr="00F448CD" w:rsidRDefault="00206BD4" w:rsidP="00866532">
            <w:pPr>
              <w:rPr>
                <w:rFonts w:ascii="Arial Narrow" w:hAnsi="Arial Narrow" w:cs="Times New Roman"/>
                <w:sz w:val="18"/>
                <w:szCs w:val="20"/>
              </w:rPr>
            </w:pPr>
          </w:p>
        </w:tc>
      </w:tr>
      <w:tr w:rsidR="00206BD4" w:rsidRPr="004B2306" w14:paraId="420BA47D" w14:textId="77777777" w:rsidTr="00866532">
        <w:trPr>
          <w:trHeight w:val="989"/>
        </w:trPr>
        <w:tc>
          <w:tcPr>
            <w:tcW w:w="1358" w:type="dxa"/>
          </w:tcPr>
          <w:p w14:paraId="6A2FBB37"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Is jurisdiction compulsory</w:t>
            </w:r>
            <w:r>
              <w:rPr>
                <w:rFonts w:ascii="Arial Narrow" w:hAnsi="Arial Narrow" w:cs="Times New Roman"/>
                <w:sz w:val="18"/>
                <w:szCs w:val="20"/>
              </w:rPr>
              <w:t>?</w:t>
            </w:r>
          </w:p>
        </w:tc>
        <w:tc>
          <w:tcPr>
            <w:tcW w:w="1429" w:type="dxa"/>
          </w:tcPr>
          <w:p w14:paraId="442E1E59" w14:textId="77777777" w:rsidR="00206BD4" w:rsidRPr="00F448CD" w:rsidRDefault="00206BD4" w:rsidP="00866532">
            <w:pPr>
              <w:pStyle w:val="Heading2"/>
              <w:outlineLvl w:val="1"/>
              <w:rPr>
                <w:rFonts w:ascii="Arial Narrow" w:hAnsi="Arial Narrow"/>
                <w:b w:val="0"/>
                <w:sz w:val="18"/>
                <w:szCs w:val="20"/>
              </w:rPr>
            </w:pPr>
            <w:r w:rsidRPr="00F448CD">
              <w:rPr>
                <w:rFonts w:ascii="Arial Narrow" w:hAnsi="Arial Narrow"/>
                <w:b w:val="0"/>
                <w:sz w:val="18"/>
                <w:szCs w:val="20"/>
              </w:rPr>
              <w:t>No</w:t>
            </w:r>
          </w:p>
        </w:tc>
        <w:tc>
          <w:tcPr>
            <w:tcW w:w="1436" w:type="dxa"/>
          </w:tcPr>
          <w:p w14:paraId="384F0F5A" w14:textId="77777777" w:rsidR="00206BD4" w:rsidRPr="00F448CD" w:rsidRDefault="00206BD4" w:rsidP="00866532">
            <w:pPr>
              <w:rPr>
                <w:rFonts w:ascii="Arial Narrow" w:hAnsi="Arial Narrow" w:cs="Times New Roman"/>
                <w:bCs/>
                <w:sz w:val="18"/>
                <w:szCs w:val="20"/>
              </w:rPr>
            </w:pPr>
            <w:r w:rsidRPr="00F448CD">
              <w:rPr>
                <w:rFonts w:ascii="Arial Narrow" w:hAnsi="Arial Narrow" w:cs="Times New Roman"/>
                <w:bCs/>
                <w:sz w:val="18"/>
                <w:szCs w:val="20"/>
              </w:rPr>
              <w:t>No</w:t>
            </w:r>
          </w:p>
        </w:tc>
        <w:tc>
          <w:tcPr>
            <w:tcW w:w="1533" w:type="dxa"/>
          </w:tcPr>
          <w:p w14:paraId="4C0CD36D"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Yes</w:t>
            </w:r>
          </w:p>
        </w:tc>
        <w:tc>
          <w:tcPr>
            <w:tcW w:w="1452" w:type="dxa"/>
          </w:tcPr>
          <w:p w14:paraId="2317CD5F" w14:textId="4DF3BD63" w:rsidR="00206BD4" w:rsidRPr="00F448CD" w:rsidRDefault="008D1016" w:rsidP="00866532">
            <w:pPr>
              <w:rPr>
                <w:rFonts w:ascii="Arial Narrow" w:hAnsi="Arial Narrow" w:cs="Times New Roman"/>
                <w:sz w:val="18"/>
                <w:szCs w:val="20"/>
              </w:rPr>
            </w:pPr>
            <w:r>
              <w:rPr>
                <w:rFonts w:ascii="Arial Narrow" w:hAnsi="Arial Narrow" w:cs="Times New Roman"/>
                <w:sz w:val="18"/>
                <w:szCs w:val="20"/>
              </w:rPr>
              <w:t xml:space="preserve">Initially, no.  Since Protocol 11 (1998), yes.  </w:t>
            </w:r>
          </w:p>
        </w:tc>
        <w:tc>
          <w:tcPr>
            <w:tcW w:w="1638" w:type="dxa"/>
          </w:tcPr>
          <w:p w14:paraId="632E8802"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Yes</w:t>
            </w:r>
          </w:p>
        </w:tc>
        <w:tc>
          <w:tcPr>
            <w:tcW w:w="1303" w:type="dxa"/>
          </w:tcPr>
          <w:p w14:paraId="0B248E0B"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No</w:t>
            </w:r>
          </w:p>
        </w:tc>
        <w:tc>
          <w:tcPr>
            <w:tcW w:w="1429" w:type="dxa"/>
          </w:tcPr>
          <w:p w14:paraId="146A0342" w14:textId="77777777" w:rsidR="00206BD4" w:rsidRPr="00F448CD" w:rsidRDefault="00206BD4" w:rsidP="00866532">
            <w:pPr>
              <w:rPr>
                <w:rFonts w:ascii="Arial Narrow" w:hAnsi="Arial Narrow" w:cs="Times New Roman"/>
                <w:sz w:val="18"/>
                <w:szCs w:val="20"/>
              </w:rPr>
            </w:pPr>
            <w:r w:rsidRPr="00F448CD">
              <w:rPr>
                <w:rFonts w:ascii="Arial Narrow" w:hAnsi="Arial Narrow" w:cs="Times New Roman"/>
                <w:sz w:val="18"/>
                <w:szCs w:val="20"/>
              </w:rPr>
              <w:t>Yes</w:t>
            </w:r>
          </w:p>
        </w:tc>
      </w:tr>
    </w:tbl>
    <w:p w14:paraId="53B21B03" w14:textId="77777777" w:rsidR="00206BD4" w:rsidRDefault="00206BD4" w:rsidP="00206BD4">
      <w:pPr>
        <w:spacing w:before="100" w:beforeAutospacing="1" w:after="100" w:afterAutospacing="1" w:line="360" w:lineRule="auto"/>
        <w:ind w:firstLine="720"/>
        <w:rPr>
          <w:rFonts w:eastAsia="Times New Roman" w:cs="Times New Roman"/>
        </w:rPr>
      </w:pPr>
    </w:p>
    <w:p w14:paraId="72C3267E" w14:textId="77777777" w:rsidR="00206BD4" w:rsidRDefault="00206BD4" w:rsidP="00206BD4">
      <w:pPr>
        <w:spacing w:before="100" w:beforeAutospacing="1" w:after="100" w:afterAutospacing="1"/>
        <w:ind w:firstLine="720"/>
        <w:rPr>
          <w:rFonts w:eastAsia="Times New Roman" w:cs="Times New Roman"/>
        </w:rPr>
      </w:pPr>
    </w:p>
    <w:p w14:paraId="275A0B50" w14:textId="77777777" w:rsidR="008D1016" w:rsidRDefault="008D1016" w:rsidP="007034C8">
      <w:pPr>
        <w:spacing w:before="100" w:beforeAutospacing="1" w:after="100" w:afterAutospacing="1"/>
        <w:rPr>
          <w:rFonts w:eastAsia="Times New Roman" w:cs="Times New Roman"/>
        </w:rPr>
        <w:sectPr w:rsidR="008D1016" w:rsidSect="008E55BA">
          <w:pgSz w:w="12240" w:h="15840"/>
          <w:pgMar w:top="720" w:right="360" w:bottom="720" w:left="360" w:header="720" w:footer="720" w:gutter="0"/>
          <w:cols w:space="720"/>
          <w:docGrid w:linePitch="360"/>
        </w:sectPr>
      </w:pPr>
    </w:p>
    <w:p w14:paraId="753DFC26" w14:textId="77777777" w:rsidR="008E55BA" w:rsidRDefault="00206BD4" w:rsidP="001A0CA6">
      <w:pPr>
        <w:spacing w:after="0" w:line="360" w:lineRule="auto"/>
        <w:ind w:firstLine="720"/>
        <w:jc w:val="both"/>
        <w:rPr>
          <w:rFonts w:ascii="Times New Roman" w:eastAsia="Times New Roman" w:hAnsi="Times New Roman" w:cs="Times New Roman"/>
        </w:rPr>
      </w:pPr>
      <w:r w:rsidRPr="007F6C82">
        <w:rPr>
          <w:rFonts w:ascii="Times New Roman" w:eastAsia="Times New Roman" w:hAnsi="Times New Roman" w:cs="Times New Roman"/>
        </w:rPr>
        <w:lastRenderedPageBreak/>
        <w:t xml:space="preserve">These data are </w:t>
      </w:r>
      <w:r w:rsidR="007473D4" w:rsidRPr="007F6C82">
        <w:rPr>
          <w:rFonts w:ascii="Times New Roman" w:eastAsia="Times New Roman" w:hAnsi="Times New Roman" w:cs="Times New Roman"/>
        </w:rPr>
        <w:t xml:space="preserve">obviously </w:t>
      </w:r>
      <w:r w:rsidRPr="007F6C82">
        <w:rPr>
          <w:rFonts w:ascii="Times New Roman" w:eastAsia="Times New Roman" w:hAnsi="Times New Roman" w:cs="Times New Roman"/>
        </w:rPr>
        <w:t xml:space="preserve">too few and too preliminary to constitute a clear test of any of our hypotheses, but some patterns emerge even from this small survey, with at least preliminary implications for the hypotheses about the causes (but not the consequences) of dissent spelled out above.  </w:t>
      </w:r>
    </w:p>
    <w:p w14:paraId="03EBC22E" w14:textId="77777777" w:rsidR="006637A1" w:rsidRDefault="006637A1" w:rsidP="001A0CA6">
      <w:pPr>
        <w:spacing w:after="0" w:line="360" w:lineRule="auto"/>
        <w:ind w:firstLine="720"/>
        <w:jc w:val="both"/>
        <w:rPr>
          <w:rFonts w:ascii="Times New Roman" w:eastAsia="Times New Roman" w:hAnsi="Times New Roman" w:cs="Times New Roman"/>
        </w:rPr>
      </w:pPr>
    </w:p>
    <w:p w14:paraId="70344700" w14:textId="19947D10" w:rsidR="006637A1" w:rsidRPr="006637A1" w:rsidRDefault="004A238E" w:rsidP="006637A1">
      <w:pPr>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A.  </w:t>
      </w:r>
      <w:r w:rsidR="006637A1">
        <w:rPr>
          <w:rFonts w:ascii="Times New Roman" w:eastAsia="Times New Roman" w:hAnsi="Times New Roman" w:cs="Times New Roman"/>
          <w:b/>
        </w:rPr>
        <w:t xml:space="preserve">State Design of </w:t>
      </w:r>
      <w:r w:rsidR="00F250EA">
        <w:rPr>
          <w:rFonts w:ascii="Times New Roman" w:eastAsia="Times New Roman" w:hAnsi="Times New Roman" w:cs="Times New Roman"/>
          <w:b/>
        </w:rPr>
        <w:t xml:space="preserve">Dissent Rules in </w:t>
      </w:r>
      <w:r w:rsidR="006637A1">
        <w:rPr>
          <w:rFonts w:ascii="Times New Roman" w:eastAsia="Times New Roman" w:hAnsi="Times New Roman" w:cs="Times New Roman"/>
          <w:b/>
        </w:rPr>
        <w:t>International Court Charters and Statutes</w:t>
      </w:r>
    </w:p>
    <w:p w14:paraId="4FD6786A" w14:textId="77777777" w:rsidR="004C69CC" w:rsidRDefault="006637A1" w:rsidP="006637A1">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 design of international courts’ charters and statutes demonstrates both common features and striking variation. </w:t>
      </w:r>
      <w:r w:rsidR="00206BD4" w:rsidRPr="007F6C82">
        <w:rPr>
          <w:rFonts w:ascii="Times New Roman" w:eastAsia="Times New Roman" w:hAnsi="Times New Roman" w:cs="Times New Roman"/>
        </w:rPr>
        <w:t xml:space="preserve">For example, all of the treaties creating these tribunals address the form of judicial opinions and/or judgments.  </w:t>
      </w:r>
      <w:r w:rsidR="007034C8">
        <w:rPr>
          <w:rFonts w:ascii="Times New Roman" w:eastAsia="Times New Roman" w:hAnsi="Times New Roman" w:cs="Times New Roman"/>
        </w:rPr>
        <w:t>Several of the treaties and statutes provide explicitly for the publication of the names of the judges in the minority (and hence also in the minority), and none explicit</w:t>
      </w:r>
      <w:r w:rsidR="00C2434B">
        <w:rPr>
          <w:rFonts w:ascii="Times New Roman" w:eastAsia="Times New Roman" w:hAnsi="Times New Roman" w:cs="Times New Roman"/>
        </w:rPr>
        <w:t>ly forbids it</w:t>
      </w:r>
      <w:r w:rsidR="007034C8" w:rsidRPr="007F6C82">
        <w:rPr>
          <w:rFonts w:ascii="Times New Roman" w:eastAsia="Times New Roman" w:hAnsi="Times New Roman" w:cs="Times New Roman"/>
        </w:rPr>
        <w:t xml:space="preserve">.  </w:t>
      </w:r>
      <w:r w:rsidR="00206BD4" w:rsidRPr="007F6C82">
        <w:rPr>
          <w:rFonts w:ascii="Times New Roman" w:eastAsia="Times New Roman" w:hAnsi="Times New Roman" w:cs="Times New Roman"/>
        </w:rPr>
        <w:t>With</w:t>
      </w:r>
      <w:r w:rsidR="00C2434B">
        <w:rPr>
          <w:rFonts w:ascii="Times New Roman" w:eastAsia="Times New Roman" w:hAnsi="Times New Roman" w:cs="Times New Roman"/>
        </w:rPr>
        <w:t xml:space="preserve"> just</w:t>
      </w:r>
      <w:r w:rsidR="00206BD4" w:rsidRPr="007F6C82">
        <w:rPr>
          <w:rFonts w:ascii="Times New Roman" w:eastAsia="Times New Roman" w:hAnsi="Times New Roman" w:cs="Times New Roman"/>
        </w:rPr>
        <w:t xml:space="preserve"> one exception – the ECJ – each of the treaties </w:t>
      </w:r>
      <w:r w:rsidR="007034C8">
        <w:rPr>
          <w:rFonts w:ascii="Times New Roman" w:eastAsia="Times New Roman" w:hAnsi="Times New Roman" w:cs="Times New Roman"/>
        </w:rPr>
        <w:t xml:space="preserve">explicitly allows for the publication of judges’ separate concurring or dissenting opinions. </w:t>
      </w:r>
      <w:r w:rsidR="00206BD4" w:rsidRPr="007F6C82">
        <w:rPr>
          <w:rFonts w:ascii="Times New Roman" w:eastAsia="Times New Roman" w:hAnsi="Times New Roman" w:cs="Times New Roman"/>
        </w:rPr>
        <w:t>With one exception – the WTO – the treaties do not specify whether dissents are signed or anon</w:t>
      </w:r>
      <w:r w:rsidR="00C2434B">
        <w:rPr>
          <w:rFonts w:ascii="Times New Roman" w:eastAsia="Times New Roman" w:hAnsi="Times New Roman" w:cs="Times New Roman"/>
        </w:rPr>
        <w:t xml:space="preserve">ymous. </w:t>
      </w:r>
      <w:r w:rsidR="00206BD4" w:rsidRPr="007F6C82">
        <w:rPr>
          <w:rFonts w:ascii="Times New Roman" w:eastAsia="Times New Roman" w:hAnsi="Times New Roman" w:cs="Times New Roman"/>
        </w:rPr>
        <w:t xml:space="preserve">Clearly, therefore, among the leading international tribunals, member states have generally, with the notable exception of the ECJ, designed courts that allow for </w:t>
      </w:r>
      <w:r w:rsidR="00C2434B">
        <w:rPr>
          <w:rFonts w:ascii="Times New Roman" w:eastAsia="Times New Roman" w:hAnsi="Times New Roman" w:cs="Times New Roman"/>
        </w:rPr>
        <w:t xml:space="preserve">public </w:t>
      </w:r>
      <w:r w:rsidR="00206BD4" w:rsidRPr="007F6C82">
        <w:rPr>
          <w:rFonts w:ascii="Times New Roman" w:eastAsia="Times New Roman" w:hAnsi="Times New Roman" w:cs="Times New Roman"/>
        </w:rPr>
        <w:t xml:space="preserve">dissenting votes and </w:t>
      </w:r>
      <w:r w:rsidR="007034C8">
        <w:rPr>
          <w:rFonts w:ascii="Times New Roman" w:eastAsia="Times New Roman" w:hAnsi="Times New Roman" w:cs="Times New Roman"/>
        </w:rPr>
        <w:t>separate (concurring or dissenting)</w:t>
      </w:r>
      <w:r w:rsidR="00206BD4" w:rsidRPr="007F6C82">
        <w:rPr>
          <w:rFonts w:ascii="Times New Roman" w:eastAsia="Times New Roman" w:hAnsi="Times New Roman" w:cs="Times New Roman"/>
        </w:rPr>
        <w:t xml:space="preserve"> opinions.  </w:t>
      </w:r>
    </w:p>
    <w:p w14:paraId="3FA14DCC" w14:textId="322DDF2D" w:rsidR="006637A1" w:rsidRDefault="00206BD4" w:rsidP="006637A1">
      <w:pPr>
        <w:spacing w:after="0" w:line="360" w:lineRule="auto"/>
        <w:ind w:firstLine="720"/>
        <w:jc w:val="both"/>
        <w:rPr>
          <w:rFonts w:ascii="Times New Roman" w:eastAsia="Times New Roman" w:hAnsi="Times New Roman" w:cs="Times New Roman"/>
        </w:rPr>
      </w:pPr>
      <w:r w:rsidRPr="007F6C82">
        <w:rPr>
          <w:rFonts w:ascii="Times New Roman" w:eastAsia="Times New Roman" w:hAnsi="Times New Roman" w:cs="Times New Roman"/>
        </w:rPr>
        <w:t xml:space="preserve">This </w:t>
      </w:r>
      <w:r w:rsidR="006637A1">
        <w:rPr>
          <w:rFonts w:ascii="Times New Roman" w:eastAsia="Times New Roman" w:hAnsi="Times New Roman" w:cs="Times New Roman"/>
        </w:rPr>
        <w:t xml:space="preserve">pattern </w:t>
      </w:r>
      <w:r w:rsidRPr="007F6C82">
        <w:rPr>
          <w:rFonts w:ascii="Times New Roman" w:eastAsia="Times New Roman" w:hAnsi="Times New Roman" w:cs="Times New Roman"/>
        </w:rPr>
        <w:t xml:space="preserve">seems to argue against </w:t>
      </w:r>
      <w:r w:rsidR="004C69CC">
        <w:rPr>
          <w:rFonts w:ascii="Times New Roman" w:eastAsia="Times New Roman" w:hAnsi="Times New Roman" w:cs="Times New Roman"/>
        </w:rPr>
        <w:t xml:space="preserve">our </w:t>
      </w:r>
      <w:r w:rsidR="004C69CC">
        <w:rPr>
          <w:rFonts w:ascii="Times New Roman" w:eastAsia="Times New Roman" w:hAnsi="Times New Roman" w:cs="Times New Roman"/>
          <w:b/>
        </w:rPr>
        <w:t>functionalist hypothesi</w:t>
      </w:r>
      <w:r w:rsidRPr="004C69CC">
        <w:rPr>
          <w:rFonts w:ascii="Times New Roman" w:eastAsia="Times New Roman" w:hAnsi="Times New Roman" w:cs="Times New Roman"/>
          <w:b/>
        </w:rPr>
        <w:t>s</w:t>
      </w:r>
      <w:r w:rsidRPr="007F6C82">
        <w:rPr>
          <w:rFonts w:ascii="Times New Roman" w:eastAsia="Times New Roman" w:hAnsi="Times New Roman" w:cs="Times New Roman"/>
        </w:rPr>
        <w:t xml:space="preserve">, since courts with a wide variety of functions, geographic ranges, and </w:t>
      </w:r>
      <w:r w:rsidR="007473D4" w:rsidRPr="007F6C82">
        <w:rPr>
          <w:rFonts w:ascii="Times New Roman" w:eastAsia="Times New Roman" w:hAnsi="Times New Roman" w:cs="Times New Roman"/>
        </w:rPr>
        <w:t xml:space="preserve">subject matter </w:t>
      </w:r>
      <w:r w:rsidRPr="007F6C82">
        <w:rPr>
          <w:rFonts w:ascii="Times New Roman" w:eastAsia="Times New Roman" w:hAnsi="Times New Roman" w:cs="Times New Roman"/>
        </w:rPr>
        <w:t xml:space="preserve">jurisdictions are allowed by statute to engage in dissent, while the ECJ’s functions alone do not seem so unique as to explain its outlier status as a court that does not allow dissent. </w:t>
      </w:r>
    </w:p>
    <w:p w14:paraId="35FE8366" w14:textId="2C91975C" w:rsidR="00206BD4" w:rsidRDefault="006637A1" w:rsidP="006637A1">
      <w:pPr>
        <w:spacing w:after="0" w:line="360" w:lineRule="auto"/>
        <w:ind w:firstLine="720"/>
        <w:jc w:val="both"/>
        <w:rPr>
          <w:rFonts w:ascii="Times New Roman" w:eastAsia="Times New Roman" w:hAnsi="Times New Roman" w:cs="Times New Roman"/>
        </w:rPr>
      </w:pPr>
      <w:r w:rsidRPr="004C69CC">
        <w:rPr>
          <w:rFonts w:ascii="Times New Roman" w:eastAsia="Times New Roman" w:hAnsi="Times New Roman" w:cs="Times New Roman"/>
          <w:b/>
        </w:rPr>
        <w:t>Sociological institutionalist hypotheses</w:t>
      </w:r>
      <w:r>
        <w:rPr>
          <w:rFonts w:ascii="Times New Roman" w:eastAsia="Times New Roman" w:hAnsi="Times New Roman" w:cs="Times New Roman"/>
        </w:rPr>
        <w:t xml:space="preserve">, by contrast, receive some </w:t>
      </w:r>
      <w:r>
        <w:rPr>
          <w:rFonts w:ascii="Times New Roman" w:eastAsia="Times New Roman" w:hAnsi="Times New Roman" w:cs="Times New Roman"/>
          <w:i/>
        </w:rPr>
        <w:t>prima facie</w:t>
      </w:r>
      <w:r>
        <w:rPr>
          <w:rFonts w:ascii="Times New Roman" w:eastAsia="Times New Roman" w:hAnsi="Times New Roman" w:cs="Times New Roman"/>
        </w:rPr>
        <w:t xml:space="preserve"> support.  The </w:t>
      </w:r>
      <w:r w:rsidRPr="00C31BCA">
        <w:rPr>
          <w:rFonts w:ascii="Times New Roman" w:eastAsia="Times New Roman" w:hAnsi="Times New Roman" w:cs="Times New Roman"/>
          <w:b/>
        </w:rPr>
        <w:t>international variant</w:t>
      </w:r>
      <w:r>
        <w:rPr>
          <w:rFonts w:ascii="Times New Roman" w:eastAsia="Times New Roman" w:hAnsi="Times New Roman" w:cs="Times New Roman"/>
        </w:rPr>
        <w:t xml:space="preserve"> is partially supported, insofar as the rules on separate opinions for several of the courts (ECtHR, ITLOS) closely follow the PCIJ/ICJ model, although both the ECJ and the WTO depart from this model by failing to mention dissent (ECJ) or allowing only anonymous dissents (WTO).  </w:t>
      </w:r>
      <w:r w:rsidR="00C31BCA">
        <w:rPr>
          <w:rFonts w:ascii="Times New Roman" w:eastAsia="Times New Roman" w:hAnsi="Times New Roman" w:cs="Times New Roman"/>
        </w:rPr>
        <w:t xml:space="preserve">The domestic variant, best exemplified by </w:t>
      </w:r>
      <w:r>
        <w:rPr>
          <w:rFonts w:ascii="Times New Roman" w:eastAsia="Times New Roman" w:hAnsi="Times New Roman" w:cs="Times New Roman"/>
        </w:rPr>
        <w:t>Ginsburg’s legal-traditions hypothesis</w:t>
      </w:r>
      <w:r w:rsidR="00C31BCA">
        <w:rPr>
          <w:rFonts w:ascii="Times New Roman" w:eastAsia="Times New Roman" w:hAnsi="Times New Roman" w:cs="Times New Roman"/>
        </w:rPr>
        <w:t>,</w:t>
      </w:r>
      <w:r>
        <w:rPr>
          <w:rFonts w:ascii="Times New Roman" w:eastAsia="Times New Roman" w:hAnsi="Times New Roman" w:cs="Times New Roman"/>
        </w:rPr>
        <w:t xml:space="preserve"> also </w:t>
      </w:r>
      <w:r w:rsidR="00206BD4" w:rsidRPr="007F6C82">
        <w:rPr>
          <w:rFonts w:ascii="Times New Roman" w:eastAsia="Times New Roman" w:hAnsi="Times New Roman" w:cs="Times New Roman"/>
        </w:rPr>
        <w:t xml:space="preserve">receives some </w:t>
      </w:r>
      <w:r w:rsidR="00206BD4" w:rsidRPr="007F6C82">
        <w:rPr>
          <w:rFonts w:ascii="Times New Roman" w:eastAsia="Times New Roman" w:hAnsi="Times New Roman" w:cs="Times New Roman"/>
          <w:i/>
        </w:rPr>
        <w:t>prima facie</w:t>
      </w:r>
      <w:r w:rsidR="00206BD4" w:rsidRPr="007F6C82">
        <w:rPr>
          <w:rFonts w:ascii="Times New Roman" w:eastAsia="Times New Roman" w:hAnsi="Times New Roman" w:cs="Times New Roman"/>
        </w:rPr>
        <w:t xml:space="preserve"> support, in that the ECJ is the only one of the courts surveyed whose initial members were entirely composed of civil law systems</w:t>
      </w:r>
      <w:r w:rsidR="00C31BCA">
        <w:rPr>
          <w:rFonts w:ascii="Times New Roman" w:eastAsia="Times New Roman" w:hAnsi="Times New Roman" w:cs="Times New Roman"/>
        </w:rPr>
        <w:t>, and suppressed dissent</w:t>
      </w:r>
      <w:proofErr w:type="gramStart"/>
      <w:r w:rsidR="00C31BCA">
        <w:rPr>
          <w:rFonts w:ascii="Times New Roman" w:eastAsia="Times New Roman" w:hAnsi="Times New Roman" w:cs="Times New Roman"/>
        </w:rPr>
        <w:t>,</w:t>
      </w:r>
      <w:r w:rsidR="00206BD4" w:rsidRPr="007F6C82">
        <w:rPr>
          <w:rFonts w:ascii="Times New Roman" w:eastAsia="Times New Roman" w:hAnsi="Times New Roman" w:cs="Times New Roman"/>
        </w:rPr>
        <w:t>,</w:t>
      </w:r>
      <w:proofErr w:type="gramEnd"/>
      <w:r w:rsidR="00206BD4" w:rsidRPr="007F6C82">
        <w:rPr>
          <w:rFonts w:ascii="Times New Roman" w:eastAsia="Times New Roman" w:hAnsi="Times New Roman" w:cs="Times New Roman"/>
        </w:rPr>
        <w:t xml:space="preserve"> </w:t>
      </w:r>
      <w:r w:rsidR="008E55BA">
        <w:rPr>
          <w:rFonts w:ascii="Times New Roman" w:eastAsia="Times New Roman" w:hAnsi="Times New Roman" w:cs="Times New Roman"/>
        </w:rPr>
        <w:t>while the other courts, which allow and to some extent practice dissent, are mixed civil and common law systems.  However,</w:t>
      </w:r>
      <w:r w:rsidR="00206BD4" w:rsidRPr="007F6C82">
        <w:rPr>
          <w:rFonts w:ascii="Times New Roman" w:eastAsia="Times New Roman" w:hAnsi="Times New Roman" w:cs="Times New Roman"/>
        </w:rPr>
        <w:t xml:space="preserve"> we </w:t>
      </w:r>
      <w:r w:rsidR="008E55BA">
        <w:rPr>
          <w:rFonts w:ascii="Times New Roman" w:eastAsia="Times New Roman" w:hAnsi="Times New Roman" w:cs="Times New Roman"/>
        </w:rPr>
        <w:t>are reluctant to</w:t>
      </w:r>
      <w:r w:rsidR="008E55BA" w:rsidRPr="007F6C82">
        <w:rPr>
          <w:rFonts w:ascii="Times New Roman" w:eastAsia="Times New Roman" w:hAnsi="Times New Roman" w:cs="Times New Roman"/>
        </w:rPr>
        <w:t xml:space="preserve"> </w:t>
      </w:r>
      <w:r w:rsidR="00206BD4" w:rsidRPr="007F6C82">
        <w:rPr>
          <w:rFonts w:ascii="Times New Roman" w:eastAsia="Times New Roman" w:hAnsi="Times New Roman" w:cs="Times New Roman"/>
        </w:rPr>
        <w:t xml:space="preserve">attribute such variation as we observe to legal traditions </w:t>
      </w:r>
      <w:r w:rsidR="00206BD4" w:rsidRPr="007F6C82">
        <w:rPr>
          <w:rFonts w:ascii="Times New Roman" w:eastAsia="Times New Roman" w:hAnsi="Times New Roman" w:cs="Times New Roman"/>
        </w:rPr>
        <w:lastRenderedPageBreak/>
        <w:t>without further empirical analysis of the individual courts and the negotiations of their charters</w:t>
      </w:r>
      <w:r>
        <w:rPr>
          <w:rFonts w:ascii="Times New Roman" w:eastAsia="Times New Roman" w:hAnsi="Times New Roman" w:cs="Times New Roman"/>
        </w:rPr>
        <w:t xml:space="preserve"> and statutes</w:t>
      </w:r>
      <w:r w:rsidR="00206BD4" w:rsidRPr="007F6C82">
        <w:rPr>
          <w:rFonts w:ascii="Times New Roman" w:eastAsia="Times New Roman" w:hAnsi="Times New Roman" w:cs="Times New Roman"/>
        </w:rPr>
        <w:t>.  Furthermore, neither theory seems able to explain a peculiar feature of the WTO, namely the requirement –</w:t>
      </w:r>
      <w:r w:rsidR="00D95D64" w:rsidRPr="007F6C82">
        <w:rPr>
          <w:rFonts w:ascii="Times New Roman" w:eastAsia="Times New Roman" w:hAnsi="Times New Roman" w:cs="Times New Roman"/>
        </w:rPr>
        <w:t xml:space="preserve"> </w:t>
      </w:r>
      <w:r w:rsidR="00206BD4" w:rsidRPr="007F6C82">
        <w:rPr>
          <w:rFonts w:ascii="Times New Roman" w:eastAsia="Times New Roman" w:hAnsi="Times New Roman" w:cs="Times New Roman"/>
        </w:rPr>
        <w:t xml:space="preserve">at odds with </w:t>
      </w:r>
      <w:r w:rsidR="007473D4" w:rsidRPr="007F6C82">
        <w:rPr>
          <w:rFonts w:ascii="Times New Roman" w:eastAsia="Times New Roman" w:hAnsi="Times New Roman" w:cs="Times New Roman"/>
        </w:rPr>
        <w:t xml:space="preserve">practices at </w:t>
      </w:r>
      <w:r w:rsidR="00206BD4" w:rsidRPr="007F6C82">
        <w:rPr>
          <w:rFonts w:ascii="Times New Roman" w:eastAsia="Times New Roman" w:hAnsi="Times New Roman" w:cs="Times New Roman"/>
        </w:rPr>
        <w:t xml:space="preserve">the PCIJ, ICJ, ECHR, and ITLOS – that all </w:t>
      </w:r>
      <w:r w:rsidR="007473D4" w:rsidRPr="007F6C82">
        <w:rPr>
          <w:rFonts w:ascii="Times New Roman" w:eastAsia="Times New Roman" w:hAnsi="Times New Roman" w:cs="Times New Roman"/>
        </w:rPr>
        <w:t xml:space="preserve">separate opinions </w:t>
      </w:r>
      <w:r w:rsidR="00206BD4" w:rsidRPr="007F6C82">
        <w:rPr>
          <w:rFonts w:ascii="Times New Roman" w:eastAsia="Times New Roman" w:hAnsi="Times New Roman" w:cs="Times New Roman"/>
        </w:rPr>
        <w:t>be issued anonymously</w:t>
      </w:r>
      <w:r w:rsidR="001A63F1">
        <w:rPr>
          <w:rFonts w:ascii="Times New Roman" w:eastAsia="Times New Roman" w:hAnsi="Times New Roman" w:cs="Times New Roman"/>
        </w:rPr>
        <w:t>, a practice that breaks with both common-law tradition and the design of previous international courts</w:t>
      </w:r>
      <w:r w:rsidR="00206BD4" w:rsidRPr="007F6C82">
        <w:rPr>
          <w:rFonts w:ascii="Times New Roman" w:eastAsia="Times New Roman" w:hAnsi="Times New Roman" w:cs="Times New Roman"/>
        </w:rPr>
        <w:t>.</w:t>
      </w:r>
    </w:p>
    <w:p w14:paraId="5F5AD21C" w14:textId="77777777" w:rsidR="006637A1" w:rsidRDefault="006637A1" w:rsidP="006637A1">
      <w:pPr>
        <w:spacing w:after="0" w:line="360" w:lineRule="auto"/>
        <w:jc w:val="both"/>
        <w:rPr>
          <w:rFonts w:ascii="Times New Roman" w:eastAsia="Times New Roman" w:hAnsi="Times New Roman" w:cs="Times New Roman"/>
        </w:rPr>
      </w:pPr>
    </w:p>
    <w:p w14:paraId="3A3B54E3" w14:textId="708E9E89" w:rsidR="006637A1" w:rsidRPr="006637A1" w:rsidRDefault="004A238E" w:rsidP="006637A1">
      <w:pPr>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B.  </w:t>
      </w:r>
      <w:r w:rsidR="006637A1">
        <w:rPr>
          <w:rFonts w:ascii="Times New Roman" w:eastAsia="Times New Roman" w:hAnsi="Times New Roman" w:cs="Times New Roman"/>
          <w:b/>
        </w:rPr>
        <w:t>Judicial Rules, Norms and Practices</w:t>
      </w:r>
    </w:p>
    <w:p w14:paraId="5480DE2F" w14:textId="17317A65" w:rsidR="006637A1" w:rsidRDefault="00206BD4" w:rsidP="001A0CA6">
      <w:pPr>
        <w:spacing w:after="0" w:line="360" w:lineRule="auto"/>
        <w:ind w:firstLine="720"/>
        <w:jc w:val="both"/>
        <w:rPr>
          <w:rFonts w:ascii="Times New Roman" w:eastAsia="Times New Roman" w:hAnsi="Times New Roman" w:cs="Times New Roman"/>
        </w:rPr>
      </w:pPr>
      <w:r w:rsidRPr="007F6C82">
        <w:rPr>
          <w:rFonts w:ascii="Times New Roman" w:eastAsia="Times New Roman" w:hAnsi="Times New Roman" w:cs="Times New Roman"/>
        </w:rPr>
        <w:t xml:space="preserve">Looking beyond state-mandated treaties and statutes to judicially established </w:t>
      </w:r>
      <w:r w:rsidR="006637A1">
        <w:rPr>
          <w:rFonts w:ascii="Times New Roman" w:eastAsia="Times New Roman" w:hAnsi="Times New Roman" w:cs="Times New Roman"/>
        </w:rPr>
        <w:t>rules and norms about</w:t>
      </w:r>
      <w:r w:rsidRPr="007F6C82">
        <w:rPr>
          <w:rFonts w:ascii="Times New Roman" w:eastAsia="Times New Roman" w:hAnsi="Times New Roman" w:cs="Times New Roman"/>
        </w:rPr>
        <w:t xml:space="preserve"> dissent, we see that in each case judges on all of the various courts have on their own authority supplemented </w:t>
      </w:r>
      <w:r w:rsidR="008E55BA">
        <w:rPr>
          <w:rFonts w:ascii="Times New Roman" w:eastAsia="Times New Roman" w:hAnsi="Times New Roman" w:cs="Times New Roman"/>
        </w:rPr>
        <w:t xml:space="preserve">the </w:t>
      </w:r>
      <w:proofErr w:type="gramStart"/>
      <w:r w:rsidRPr="007F6C82">
        <w:rPr>
          <w:rFonts w:ascii="Times New Roman" w:eastAsia="Times New Roman" w:hAnsi="Times New Roman" w:cs="Times New Roman"/>
        </w:rPr>
        <w:t>often terse</w:t>
      </w:r>
      <w:proofErr w:type="gramEnd"/>
      <w:r w:rsidRPr="007F6C82">
        <w:rPr>
          <w:rFonts w:ascii="Times New Roman" w:eastAsia="Times New Roman" w:hAnsi="Times New Roman" w:cs="Times New Roman"/>
        </w:rPr>
        <w:t xml:space="preserve"> treaty text </w:t>
      </w:r>
      <w:r w:rsidR="008E55BA">
        <w:rPr>
          <w:rFonts w:ascii="Times New Roman" w:eastAsia="Times New Roman" w:hAnsi="Times New Roman" w:cs="Times New Roman"/>
        </w:rPr>
        <w:t xml:space="preserve">about dissent </w:t>
      </w:r>
      <w:r w:rsidRPr="007F6C82">
        <w:rPr>
          <w:rFonts w:ascii="Times New Roman" w:eastAsia="Times New Roman" w:hAnsi="Times New Roman" w:cs="Times New Roman"/>
        </w:rPr>
        <w:t xml:space="preserve">with rules on the form of opinions or judgments.  On several courts, the judges have supplemented treaty text by providing, for example, that opinions identify the number, and sometimes the names, of the judges in the majority.  By necessary implication, these opinions will also identify the judges in the minority.  </w:t>
      </w:r>
      <w:r w:rsidR="005C24DB">
        <w:rPr>
          <w:rFonts w:ascii="Times New Roman" w:eastAsia="Times New Roman" w:hAnsi="Times New Roman" w:cs="Times New Roman"/>
        </w:rPr>
        <w:t xml:space="preserve">In most cases, the judge-made rules of court echo the state-drafted charters for each court, with four courts (PCIJ, ICJ, ITLOS, and ECtHR) providing explicitly for the publication of separate opinions), while one court’s (the ECJ’s) rules of procedure echo the silence of the silence of its statute, while informal norms clearly suppress any public dissent. </w:t>
      </w:r>
      <w:r w:rsidRPr="007F6C82">
        <w:rPr>
          <w:rFonts w:ascii="Times New Roman" w:eastAsia="Times New Roman" w:hAnsi="Times New Roman" w:cs="Times New Roman"/>
        </w:rPr>
        <w:t xml:space="preserve">The WTO’s Appellate Body is exceptional in that, while the court’s governing Dispute Settlement Understanding explicitly anticipates the possibility of </w:t>
      </w:r>
      <w:r w:rsidR="006637A1">
        <w:rPr>
          <w:rFonts w:ascii="Times New Roman" w:eastAsia="Times New Roman" w:hAnsi="Times New Roman" w:cs="Times New Roman"/>
        </w:rPr>
        <w:t xml:space="preserve">(anonymous) </w:t>
      </w:r>
      <w:r w:rsidRPr="007F6C82">
        <w:rPr>
          <w:rFonts w:ascii="Times New Roman" w:eastAsia="Times New Roman" w:hAnsi="Times New Roman" w:cs="Times New Roman"/>
        </w:rPr>
        <w:t>dissent, the judges themselves have promulgated a rule</w:t>
      </w:r>
      <w:r w:rsidR="005C24DB">
        <w:rPr>
          <w:rFonts w:ascii="Times New Roman" w:eastAsia="Times New Roman" w:hAnsi="Times New Roman" w:cs="Times New Roman"/>
        </w:rPr>
        <w:t xml:space="preserve"> and informal norms that explicitly disfavor</w:t>
      </w:r>
      <w:r w:rsidRPr="007F6C82">
        <w:rPr>
          <w:rFonts w:ascii="Times New Roman" w:eastAsia="Times New Roman" w:hAnsi="Times New Roman" w:cs="Times New Roman"/>
        </w:rPr>
        <w:t xml:space="preserve"> dissent.  </w:t>
      </w:r>
    </w:p>
    <w:p w14:paraId="649CE361" w14:textId="10727AF3" w:rsidR="008C7AAE" w:rsidRDefault="001D55AB" w:rsidP="001D55AB">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Moving from judge-made rules and norms to the broad patterns of judicial behavior,</w:t>
      </w:r>
      <w:r w:rsidRPr="007F6C82">
        <w:rPr>
          <w:rFonts w:ascii="Times New Roman" w:eastAsia="Times New Roman" w:hAnsi="Times New Roman" w:cs="Times New Roman"/>
        </w:rPr>
        <w:t xml:space="preserve"> </w:t>
      </w:r>
      <w:r>
        <w:rPr>
          <w:rFonts w:ascii="Times New Roman" w:eastAsia="Times New Roman" w:hAnsi="Times New Roman" w:cs="Times New Roman"/>
        </w:rPr>
        <w:t xml:space="preserve">the </w:t>
      </w:r>
      <w:r w:rsidRPr="007F6C82">
        <w:rPr>
          <w:rFonts w:ascii="Times New Roman" w:eastAsia="Times New Roman" w:hAnsi="Times New Roman" w:cs="Times New Roman"/>
        </w:rPr>
        <w:t>actual frequency of dissent across these tribunals varies enormously.  Virtually all of the decisions issued by the PCIJ, ICJ and ITLOS have been accompanied by</w:t>
      </w:r>
      <w:r>
        <w:rPr>
          <w:rFonts w:ascii="Times New Roman" w:eastAsia="Times New Roman" w:hAnsi="Times New Roman" w:cs="Times New Roman"/>
        </w:rPr>
        <w:t xml:space="preserve"> at least one</w:t>
      </w:r>
      <w:r w:rsidRPr="007F6C82">
        <w:rPr>
          <w:rFonts w:ascii="Times New Roman" w:eastAsia="Times New Roman" w:hAnsi="Times New Roman" w:cs="Times New Roman"/>
        </w:rPr>
        <w:t xml:space="preserve"> </w:t>
      </w:r>
      <w:r>
        <w:rPr>
          <w:rFonts w:ascii="Times New Roman" w:eastAsia="Times New Roman" w:hAnsi="Times New Roman" w:cs="Times New Roman"/>
        </w:rPr>
        <w:t xml:space="preserve">– and frequently many – </w:t>
      </w:r>
      <w:r w:rsidRPr="007F6C82">
        <w:rPr>
          <w:rFonts w:ascii="Times New Roman" w:eastAsia="Times New Roman" w:hAnsi="Times New Roman" w:cs="Times New Roman"/>
        </w:rPr>
        <w:t>separate opinions.  Somewhere between 60 and 80% of ECtHR judgments have been accompanied by one or more separate opinions.  However, dissents are much l</w:t>
      </w:r>
      <w:r>
        <w:rPr>
          <w:rFonts w:ascii="Times New Roman" w:eastAsia="Times New Roman" w:hAnsi="Times New Roman" w:cs="Times New Roman"/>
        </w:rPr>
        <w:t>ess common in trade disputes: l</w:t>
      </w:r>
      <w:r w:rsidRPr="007F6C82">
        <w:rPr>
          <w:rFonts w:ascii="Times New Roman" w:eastAsia="Times New Roman" w:hAnsi="Times New Roman" w:cs="Times New Roman"/>
        </w:rPr>
        <w:t xml:space="preserve">ess than 10% of GATT, WTO panel and WTO AB reports have been accompanied by one or more separate opinions.  The ECJ – alone among the leading international tribunals examined here – has never issued an opinion with a dissent.  By and large, therefore, judges’ practice of dissent on the various </w:t>
      </w:r>
      <w:r w:rsidRPr="007F6C82">
        <w:rPr>
          <w:rFonts w:ascii="Times New Roman" w:eastAsia="Times New Roman" w:hAnsi="Times New Roman" w:cs="Times New Roman"/>
        </w:rPr>
        <w:lastRenderedPageBreak/>
        <w:t>international courts correspond</w:t>
      </w:r>
      <w:r>
        <w:rPr>
          <w:rFonts w:ascii="Times New Roman" w:eastAsia="Times New Roman" w:hAnsi="Times New Roman" w:cs="Times New Roman"/>
        </w:rPr>
        <w:t>s</w:t>
      </w:r>
      <w:r w:rsidRPr="007F6C82">
        <w:rPr>
          <w:rFonts w:ascii="Times New Roman" w:eastAsia="Times New Roman" w:hAnsi="Times New Roman" w:cs="Times New Roman"/>
        </w:rPr>
        <w:t xml:space="preserve"> fairly well to the formal and informal norms of dissent adopted by the judges and (with the exception of the WTO AB) the member states.</w:t>
      </w:r>
    </w:p>
    <w:p w14:paraId="54B17713" w14:textId="77777777" w:rsidR="000C259C" w:rsidRDefault="00206BD4" w:rsidP="001A0CA6">
      <w:pPr>
        <w:spacing w:after="0" w:line="360" w:lineRule="auto"/>
        <w:ind w:firstLine="720"/>
        <w:jc w:val="both"/>
        <w:rPr>
          <w:rFonts w:ascii="Times New Roman" w:eastAsia="Times New Roman" w:hAnsi="Times New Roman" w:cs="Times New Roman"/>
        </w:rPr>
      </w:pPr>
      <w:r w:rsidRPr="007F6C82">
        <w:rPr>
          <w:rFonts w:ascii="Times New Roman" w:eastAsia="Times New Roman" w:hAnsi="Times New Roman" w:cs="Times New Roman"/>
        </w:rPr>
        <w:t>Here again,</w:t>
      </w:r>
      <w:r w:rsidR="000C259C">
        <w:rPr>
          <w:rFonts w:ascii="Times New Roman" w:eastAsia="Times New Roman" w:hAnsi="Times New Roman" w:cs="Times New Roman"/>
        </w:rPr>
        <w:t xml:space="preserve"> the initial pattern of judicial rules, norms, and behavior</w:t>
      </w:r>
      <w:r w:rsidRPr="007F6C82">
        <w:rPr>
          <w:rFonts w:ascii="Times New Roman" w:eastAsia="Times New Roman" w:hAnsi="Times New Roman" w:cs="Times New Roman"/>
        </w:rPr>
        <w:t xml:space="preserve"> poses </w:t>
      </w:r>
      <w:r w:rsidR="005C24DB">
        <w:rPr>
          <w:rFonts w:ascii="Times New Roman" w:eastAsia="Times New Roman" w:hAnsi="Times New Roman" w:cs="Times New Roman"/>
        </w:rPr>
        <w:t xml:space="preserve">some initial support, but also significant </w:t>
      </w:r>
      <w:r w:rsidRPr="007F6C82">
        <w:rPr>
          <w:rFonts w:ascii="Times New Roman" w:eastAsia="Times New Roman" w:hAnsi="Times New Roman" w:cs="Times New Roman"/>
        </w:rPr>
        <w:t>puzzles</w:t>
      </w:r>
      <w:r w:rsidR="005C24DB">
        <w:rPr>
          <w:rFonts w:ascii="Times New Roman" w:eastAsia="Times New Roman" w:hAnsi="Times New Roman" w:cs="Times New Roman"/>
        </w:rPr>
        <w:t>,</w:t>
      </w:r>
      <w:r w:rsidRPr="007F6C82">
        <w:rPr>
          <w:rFonts w:ascii="Times New Roman" w:eastAsia="Times New Roman" w:hAnsi="Times New Roman" w:cs="Times New Roman"/>
        </w:rPr>
        <w:t xml:space="preserve"> for our hypotheses.  </w:t>
      </w:r>
    </w:p>
    <w:p w14:paraId="1DAC00E2" w14:textId="3982AD28" w:rsidR="006637A1" w:rsidRDefault="000C259C" w:rsidP="001A0CA6">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First, w</w:t>
      </w:r>
      <w:r w:rsidR="00206BD4" w:rsidRPr="007F6C82">
        <w:rPr>
          <w:rFonts w:ascii="Times New Roman" w:eastAsia="Times New Roman" w:hAnsi="Times New Roman" w:cs="Times New Roman"/>
        </w:rPr>
        <w:t xml:space="preserve">hile the ECJ and WTO Appellate Body cases appear to support the </w:t>
      </w:r>
      <w:r w:rsidR="00206BD4" w:rsidRPr="005C24DB">
        <w:rPr>
          <w:rFonts w:ascii="Times New Roman" w:eastAsia="Times New Roman" w:hAnsi="Times New Roman" w:cs="Times New Roman"/>
          <w:b/>
        </w:rPr>
        <w:t>life-cycle hypothesis</w:t>
      </w:r>
      <w:r w:rsidR="00206BD4" w:rsidRPr="007F6C82">
        <w:rPr>
          <w:rFonts w:ascii="Times New Roman" w:eastAsia="Times New Roman" w:hAnsi="Times New Roman" w:cs="Times New Roman"/>
        </w:rPr>
        <w:t xml:space="preserve"> that judges on young courts adopt internal rules and norms aimed at suppressing dissent in pursuit of social legitimacy, it is clear that </w:t>
      </w:r>
      <w:r w:rsidR="00C84AE8" w:rsidRPr="007F6C82">
        <w:rPr>
          <w:rFonts w:ascii="Times New Roman" w:eastAsia="Times New Roman" w:hAnsi="Times New Roman" w:cs="Times New Roman"/>
        </w:rPr>
        <w:t xml:space="preserve">the first cohorts of </w:t>
      </w:r>
      <w:r w:rsidR="00206BD4" w:rsidRPr="007F6C82">
        <w:rPr>
          <w:rFonts w:ascii="Times New Roman" w:eastAsia="Times New Roman" w:hAnsi="Times New Roman" w:cs="Times New Roman"/>
        </w:rPr>
        <w:t>judges on PCIJ, ICJ, ECHR and ITLOS adopted no such rules during th</w:t>
      </w:r>
      <w:r w:rsidR="00C84AE8" w:rsidRPr="007F6C82">
        <w:rPr>
          <w:rFonts w:ascii="Times New Roman" w:eastAsia="Times New Roman" w:hAnsi="Times New Roman" w:cs="Times New Roman"/>
        </w:rPr>
        <w:t>ose courts’</w:t>
      </w:r>
      <w:r w:rsidR="00206BD4" w:rsidRPr="007F6C82">
        <w:rPr>
          <w:rFonts w:ascii="Times New Roman" w:eastAsia="Times New Roman" w:hAnsi="Times New Roman" w:cs="Times New Roman"/>
        </w:rPr>
        <w:t xml:space="preserve"> founding years.  Whether those courts sought to limit the number and frequency of actual dissents in the early years as a matter of practice is as yet unclear, although available data do suggest that PCIJ </w:t>
      </w:r>
      <w:r w:rsidR="00C84AE8" w:rsidRPr="007F6C82">
        <w:rPr>
          <w:rFonts w:ascii="Times New Roman" w:eastAsia="Times New Roman" w:hAnsi="Times New Roman" w:cs="Times New Roman"/>
        </w:rPr>
        <w:t xml:space="preserve">judges </w:t>
      </w:r>
      <w:r w:rsidR="00206BD4" w:rsidRPr="007F6C82">
        <w:rPr>
          <w:rFonts w:ascii="Times New Roman" w:eastAsia="Times New Roman" w:hAnsi="Times New Roman" w:cs="Times New Roman"/>
        </w:rPr>
        <w:t xml:space="preserve">did indeed </w:t>
      </w:r>
      <w:r w:rsidR="00C84AE8" w:rsidRPr="007F6C82">
        <w:rPr>
          <w:rFonts w:ascii="Times New Roman" w:eastAsia="Times New Roman" w:hAnsi="Times New Roman" w:cs="Times New Roman"/>
        </w:rPr>
        <w:t xml:space="preserve">issue </w:t>
      </w:r>
      <w:r w:rsidR="00206BD4" w:rsidRPr="007F6C82">
        <w:rPr>
          <w:rFonts w:ascii="Times New Roman" w:eastAsia="Times New Roman" w:hAnsi="Times New Roman" w:cs="Times New Roman"/>
        </w:rPr>
        <w:t xml:space="preserve">fewer dissents early in the history of the court, only to move toward </w:t>
      </w:r>
      <w:r w:rsidR="00C84AE8" w:rsidRPr="007F6C82">
        <w:rPr>
          <w:rFonts w:ascii="Times New Roman" w:eastAsia="Times New Roman" w:hAnsi="Times New Roman" w:cs="Times New Roman"/>
        </w:rPr>
        <w:t xml:space="preserve">writing more </w:t>
      </w:r>
      <w:r w:rsidR="00206BD4" w:rsidRPr="007F6C82">
        <w:rPr>
          <w:rFonts w:ascii="Times New Roman" w:eastAsia="Times New Roman" w:hAnsi="Times New Roman" w:cs="Times New Roman"/>
        </w:rPr>
        <w:t xml:space="preserve">frequent dissents in later years; we have yet to determine whether this pattern is replicated in other international courts.  Again with respect to the life-cycle hypothesis, we find some evidence that the informal norm against dissent in the WTO AB weakened following its first decade, yet it remains robust in the ECJ </w:t>
      </w:r>
      <w:r w:rsidR="006637A1">
        <w:rPr>
          <w:rFonts w:ascii="Times New Roman" w:eastAsia="Times New Roman" w:hAnsi="Times New Roman" w:cs="Times New Roman"/>
        </w:rPr>
        <w:t>more than six</w:t>
      </w:r>
      <w:r w:rsidR="00206BD4" w:rsidRPr="007F6C82">
        <w:rPr>
          <w:rFonts w:ascii="Times New Roman" w:eastAsia="Times New Roman" w:hAnsi="Times New Roman" w:cs="Times New Roman"/>
        </w:rPr>
        <w:t xml:space="preserve"> decades on.  </w:t>
      </w:r>
    </w:p>
    <w:p w14:paraId="0B87F59D" w14:textId="7FC47FD0" w:rsidR="000C259C" w:rsidRDefault="005C24DB" w:rsidP="000C259C">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b/>
        </w:rPr>
        <w:t>judicial appointments</w:t>
      </w:r>
      <w:r w:rsidRPr="005C24DB">
        <w:rPr>
          <w:rFonts w:ascii="Times New Roman" w:eastAsia="Times New Roman" w:hAnsi="Times New Roman" w:cs="Times New Roman"/>
          <w:b/>
        </w:rPr>
        <w:t xml:space="preserve"> hypothesis</w:t>
      </w:r>
      <w:r>
        <w:rPr>
          <w:rFonts w:ascii="Times New Roman" w:eastAsia="Times New Roman" w:hAnsi="Times New Roman" w:cs="Times New Roman"/>
        </w:rPr>
        <w:t xml:space="preserve"> receives little or no </w:t>
      </w:r>
      <w:r>
        <w:rPr>
          <w:rFonts w:ascii="Times New Roman" w:eastAsia="Times New Roman" w:hAnsi="Times New Roman" w:cs="Times New Roman"/>
          <w:i/>
        </w:rPr>
        <w:t xml:space="preserve">prima facie </w:t>
      </w:r>
      <w:r>
        <w:rPr>
          <w:rFonts w:ascii="Times New Roman" w:eastAsia="Times New Roman" w:hAnsi="Times New Roman" w:cs="Times New Roman"/>
        </w:rPr>
        <w:t xml:space="preserve">support from these cases. </w:t>
      </w:r>
      <w:r w:rsidR="000C259C" w:rsidRPr="007F6C82">
        <w:rPr>
          <w:rFonts w:ascii="Times New Roman" w:eastAsia="Times New Roman" w:hAnsi="Times New Roman" w:cs="Times New Roman"/>
        </w:rPr>
        <w:t xml:space="preserve">Treaties creating courts exhibit </w:t>
      </w:r>
      <w:r w:rsidR="000C259C">
        <w:rPr>
          <w:rFonts w:ascii="Times New Roman" w:eastAsia="Times New Roman" w:hAnsi="Times New Roman" w:cs="Times New Roman"/>
        </w:rPr>
        <w:t>substantial</w:t>
      </w:r>
      <w:r w:rsidR="000C259C" w:rsidRPr="007F6C82">
        <w:rPr>
          <w:rFonts w:ascii="Times New Roman" w:eastAsia="Times New Roman" w:hAnsi="Times New Roman" w:cs="Times New Roman"/>
        </w:rPr>
        <w:t xml:space="preserve"> diversity on </w:t>
      </w:r>
      <w:r w:rsidR="000C259C">
        <w:rPr>
          <w:rFonts w:ascii="Times New Roman" w:eastAsia="Times New Roman" w:hAnsi="Times New Roman" w:cs="Times New Roman"/>
        </w:rPr>
        <w:t xml:space="preserve">the related </w:t>
      </w:r>
      <w:r w:rsidR="000C259C" w:rsidRPr="007F6C82">
        <w:rPr>
          <w:rFonts w:ascii="Times New Roman" w:eastAsia="Times New Roman" w:hAnsi="Times New Roman" w:cs="Times New Roman"/>
        </w:rPr>
        <w:t>issues of judicial appointment and reappointment.  The PCIJ, ICJ and ITLOS all elect judges for nine-year, renewable terms, making the reappointment process a potentially significant check on judicial behavior. Other courts have shorter</w:t>
      </w:r>
      <w:r w:rsidR="000C259C">
        <w:rPr>
          <w:rFonts w:ascii="Times New Roman" w:eastAsia="Times New Roman" w:hAnsi="Times New Roman" w:cs="Times New Roman"/>
        </w:rPr>
        <w:t>,</w:t>
      </w:r>
      <w:r w:rsidR="000C259C" w:rsidRPr="007F6C82">
        <w:rPr>
          <w:rFonts w:ascii="Times New Roman" w:eastAsia="Times New Roman" w:hAnsi="Times New Roman" w:cs="Times New Roman"/>
        </w:rPr>
        <w:t xml:space="preserve"> </w:t>
      </w:r>
      <w:r w:rsidR="000C259C">
        <w:rPr>
          <w:rFonts w:ascii="Times New Roman" w:eastAsia="Times New Roman" w:hAnsi="Times New Roman" w:cs="Times New Roman"/>
        </w:rPr>
        <w:t xml:space="preserve">renewable </w:t>
      </w:r>
      <w:r w:rsidR="000C259C" w:rsidRPr="007F6C82">
        <w:rPr>
          <w:rFonts w:ascii="Times New Roman" w:eastAsia="Times New Roman" w:hAnsi="Times New Roman" w:cs="Times New Roman"/>
        </w:rPr>
        <w:t>terms, suggesting still greater curbs on judicial independence.  ECJ judges</w:t>
      </w:r>
      <w:r w:rsidR="000C259C">
        <w:rPr>
          <w:rFonts w:ascii="Times New Roman" w:eastAsia="Times New Roman" w:hAnsi="Times New Roman" w:cs="Times New Roman"/>
        </w:rPr>
        <w:t>, for example,</w:t>
      </w:r>
      <w:r w:rsidR="000C259C" w:rsidRPr="007F6C82">
        <w:rPr>
          <w:rFonts w:ascii="Times New Roman" w:eastAsia="Times New Roman" w:hAnsi="Times New Roman" w:cs="Times New Roman"/>
        </w:rPr>
        <w:t xml:space="preserve"> are elected for renewable, six-year terms, and WTO AB members are elected for four-year terms</w:t>
      </w:r>
      <w:r w:rsidR="008C7AAE">
        <w:rPr>
          <w:rFonts w:ascii="Times New Roman" w:eastAsia="Times New Roman" w:hAnsi="Times New Roman" w:cs="Times New Roman"/>
        </w:rPr>
        <w:t>, renewable once.  Prior to 2010</w:t>
      </w:r>
      <w:r w:rsidR="000C259C" w:rsidRPr="007F6C82">
        <w:rPr>
          <w:rFonts w:ascii="Times New Roman" w:eastAsia="Times New Roman" w:hAnsi="Times New Roman" w:cs="Times New Roman"/>
        </w:rPr>
        <w:t>, ECtHR judges were elected to six-year, renewable terms, but since then they instead serve nine-year, nonrenewable terms.   The stated reason for the change was “to increase [judicial] independence and impartiality.”</w:t>
      </w:r>
      <w:r w:rsidR="000C259C" w:rsidRPr="007F6C82">
        <w:rPr>
          <w:rStyle w:val="FootnoteReference"/>
          <w:rFonts w:ascii="Times New Roman" w:eastAsia="Times New Roman" w:hAnsi="Times New Roman" w:cs="Times New Roman"/>
        </w:rPr>
        <w:footnoteReference w:id="55"/>
      </w:r>
      <w:r w:rsidR="000C259C" w:rsidRPr="007F6C82">
        <w:rPr>
          <w:rFonts w:ascii="Times New Roman" w:eastAsia="Times New Roman" w:hAnsi="Times New Roman" w:cs="Times New Roman"/>
        </w:rPr>
        <w:t xml:space="preserve">  This shift in the ECtHR tends to support our view about the potential tensions between renewable terms, judicial dissent, and judicial independence, as do the efforts of ECJ and WTO AB judges to suppress dissent in light of their relatively short, renewable terms.  </w:t>
      </w:r>
    </w:p>
    <w:p w14:paraId="392421B5" w14:textId="4E606F5B" w:rsidR="000C259C" w:rsidRPr="007F6C82" w:rsidRDefault="000C259C" w:rsidP="000C259C">
      <w:pPr>
        <w:spacing w:after="0" w:line="360" w:lineRule="auto"/>
        <w:ind w:firstLine="720"/>
        <w:jc w:val="both"/>
        <w:rPr>
          <w:rFonts w:ascii="Times New Roman" w:eastAsia="Times New Roman" w:hAnsi="Times New Roman" w:cs="Times New Roman"/>
        </w:rPr>
      </w:pPr>
      <w:r w:rsidRPr="007F6C82">
        <w:rPr>
          <w:rFonts w:ascii="Times New Roman" w:eastAsia="Times New Roman" w:hAnsi="Times New Roman" w:cs="Times New Roman"/>
        </w:rPr>
        <w:lastRenderedPageBreak/>
        <w:t>By contrast with these courts,</w:t>
      </w:r>
      <w:r>
        <w:rPr>
          <w:rFonts w:ascii="Times New Roman" w:eastAsia="Times New Roman" w:hAnsi="Times New Roman" w:cs="Times New Roman"/>
        </w:rPr>
        <w:t xml:space="preserve"> however,</w:t>
      </w:r>
      <w:r w:rsidR="008C7AAE">
        <w:rPr>
          <w:rFonts w:ascii="Times New Roman" w:eastAsia="Times New Roman" w:hAnsi="Times New Roman" w:cs="Times New Roman"/>
        </w:rPr>
        <w:t xml:space="preserve"> judges on the ICJ</w:t>
      </w:r>
      <w:r w:rsidRPr="007F6C82">
        <w:rPr>
          <w:rFonts w:ascii="Times New Roman" w:eastAsia="Times New Roman" w:hAnsi="Times New Roman" w:cs="Times New Roman"/>
        </w:rPr>
        <w:t xml:space="preserve"> and ITLOS have adopted rules that explicitly identify the judges that did</w:t>
      </w:r>
      <w:r>
        <w:rPr>
          <w:rFonts w:ascii="Times New Roman" w:eastAsia="Times New Roman" w:hAnsi="Times New Roman" w:cs="Times New Roman"/>
        </w:rPr>
        <w:t>, and did not,</w:t>
      </w:r>
      <w:r w:rsidRPr="007F6C82">
        <w:rPr>
          <w:rFonts w:ascii="Times New Roman" w:eastAsia="Times New Roman" w:hAnsi="Times New Roman" w:cs="Times New Roman"/>
        </w:rPr>
        <w:t xml:space="preserve"> not join in the majority’s resolution of the dispute.  The data suggest that this rule provides a powerful incentive to these judges to issue public dissents, as nearly 100% of the cases decided by these courts include one or more separate opinions.</w:t>
      </w:r>
      <w:r w:rsidRPr="007F6C82">
        <w:rPr>
          <w:rStyle w:val="FootnoteReference"/>
          <w:rFonts w:ascii="Times New Roman" w:eastAsia="Times New Roman" w:hAnsi="Times New Roman" w:cs="Times New Roman"/>
        </w:rPr>
        <w:footnoteReference w:id="56"/>
      </w:r>
      <w:r w:rsidRPr="007F6C82">
        <w:rPr>
          <w:rFonts w:ascii="Times New Roman" w:eastAsia="Times New Roman" w:hAnsi="Times New Roman" w:cs="Times New Roman"/>
        </w:rPr>
        <w:t xml:space="preserve">  We conjecture that once a judge is publicly identified as not joining a majority, a written dissent serves as a pre-emptive strike against charges that a judge’s vote was motivated by politics, rather than law.  In this context, dissents serve, in the words of the distinguished ICJ Judge Sir Hersch Lauterpacht, to preclude “any charge of reliance on mere alignment of voting,” and act “as a safeguard of the individual responsibility of the judges as well as of the integrity of the Court as an institution.”</w:t>
      </w:r>
      <w:r w:rsidRPr="007F6C82">
        <w:rPr>
          <w:rStyle w:val="FootnoteReference"/>
          <w:rFonts w:ascii="Times New Roman" w:eastAsia="Times New Roman" w:hAnsi="Times New Roman" w:cs="Times New Roman"/>
        </w:rPr>
        <w:footnoteReference w:id="57"/>
      </w:r>
      <w:r w:rsidRPr="007F6C82">
        <w:rPr>
          <w:rFonts w:ascii="Times New Roman" w:eastAsia="Times New Roman" w:hAnsi="Times New Roman" w:cs="Times New Roman"/>
        </w:rPr>
        <w:t xml:space="preserve"> </w:t>
      </w:r>
      <w:r>
        <w:rPr>
          <w:rFonts w:ascii="Times New Roman" w:eastAsia="Times New Roman" w:hAnsi="Times New Roman" w:cs="Times New Roman"/>
        </w:rPr>
        <w:t xml:space="preserve"> If supported by subsequent research into the history of the PCIJ, ICJ and other courts, this insight might help to explain why judges of these courts, whose dissenting </w:t>
      </w:r>
      <w:r w:rsidRPr="008C7AAE">
        <w:rPr>
          <w:rFonts w:ascii="Times New Roman" w:eastAsia="Times New Roman" w:hAnsi="Times New Roman" w:cs="Times New Roman"/>
          <w:i/>
        </w:rPr>
        <w:t>votes</w:t>
      </w:r>
      <w:r>
        <w:rPr>
          <w:rFonts w:ascii="Times New Roman" w:eastAsia="Times New Roman" w:hAnsi="Times New Roman" w:cs="Times New Roman"/>
        </w:rPr>
        <w:t xml:space="preserve"> are regularly made public, might believe sincerely what ECJ judges (whose dissenting votes are kept secret) reject, namely that dissenting </w:t>
      </w:r>
      <w:r w:rsidRPr="008C7AAE">
        <w:rPr>
          <w:rFonts w:ascii="Times New Roman" w:eastAsia="Times New Roman" w:hAnsi="Times New Roman" w:cs="Times New Roman"/>
          <w:i/>
        </w:rPr>
        <w:t>opinions</w:t>
      </w:r>
      <w:r>
        <w:rPr>
          <w:rFonts w:ascii="Times New Roman" w:eastAsia="Times New Roman" w:hAnsi="Times New Roman" w:cs="Times New Roman"/>
        </w:rPr>
        <w:t xml:space="preserve"> can serve as a sign and a safeguard of judicial independence.  It also suggests that, as a matter of design, one highly significant decision is to require the publication of dissenting </w:t>
      </w:r>
      <w:r>
        <w:rPr>
          <w:rFonts w:ascii="Times New Roman" w:eastAsia="Times New Roman" w:hAnsi="Times New Roman" w:cs="Times New Roman"/>
          <w:i/>
        </w:rPr>
        <w:t>votes</w:t>
      </w:r>
      <w:r>
        <w:rPr>
          <w:rFonts w:ascii="Times New Roman" w:eastAsia="Times New Roman" w:hAnsi="Times New Roman" w:cs="Times New Roman"/>
        </w:rPr>
        <w:t>; once that Rubicon is crossed, judges in a minority have a strong incentive to issue dissenting opinions explaining their reasoning and thereby rebuffing those who might attribute that vote to national or other types of bias.</w:t>
      </w:r>
      <w:r w:rsidRPr="007F6C82">
        <w:rPr>
          <w:rFonts w:ascii="Times New Roman" w:eastAsia="Times New Roman" w:hAnsi="Times New Roman" w:cs="Times New Roman"/>
        </w:rPr>
        <w:t xml:space="preserve"> </w:t>
      </w:r>
      <w:r>
        <w:rPr>
          <w:rFonts w:ascii="Times New Roman" w:eastAsia="Times New Roman" w:hAnsi="Times New Roman" w:cs="Times New Roman"/>
        </w:rPr>
        <w:t xml:space="preserve"> In this sense, a critical design feature of the WTO may be the treaty-based requirement that all votes, including dissents, be issued anonymously, so that judges do not have the same individual incentive to offer diss</w:t>
      </w:r>
      <w:r w:rsidR="008C7AAE">
        <w:rPr>
          <w:rFonts w:ascii="Times New Roman" w:eastAsia="Times New Roman" w:hAnsi="Times New Roman" w:cs="Times New Roman"/>
        </w:rPr>
        <w:t>enting opinions to explain the</w:t>
      </w:r>
      <w:r>
        <w:rPr>
          <w:rFonts w:ascii="Times New Roman" w:eastAsia="Times New Roman" w:hAnsi="Times New Roman" w:cs="Times New Roman"/>
        </w:rPr>
        <w:t xml:space="preserve"> reasons </w:t>
      </w:r>
      <w:r w:rsidR="008C7AAE">
        <w:rPr>
          <w:rFonts w:ascii="Times New Roman" w:eastAsia="Times New Roman" w:hAnsi="Times New Roman" w:cs="Times New Roman"/>
        </w:rPr>
        <w:t>behind their</w:t>
      </w:r>
      <w:r>
        <w:rPr>
          <w:rFonts w:ascii="Times New Roman" w:eastAsia="Times New Roman" w:hAnsi="Times New Roman" w:cs="Times New Roman"/>
        </w:rPr>
        <w:t xml:space="preserve"> votes.</w:t>
      </w:r>
      <w:r w:rsidRPr="007F6C82">
        <w:rPr>
          <w:rFonts w:ascii="Times New Roman" w:eastAsia="Times New Roman" w:hAnsi="Times New Roman" w:cs="Times New Roman"/>
        </w:rPr>
        <w:t xml:space="preserve"> </w:t>
      </w:r>
    </w:p>
    <w:p w14:paraId="6EE3B760" w14:textId="5E7A2B0D" w:rsidR="000C259C" w:rsidRPr="005C24DB" w:rsidRDefault="000C259C" w:rsidP="000C259C">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In any event, the</w:t>
      </w:r>
      <w:r w:rsidRPr="007F6C82">
        <w:rPr>
          <w:rFonts w:ascii="Times New Roman" w:eastAsia="Times New Roman" w:hAnsi="Times New Roman" w:cs="Times New Roman"/>
        </w:rPr>
        <w:t xml:space="preserve"> extremely high dissent rates at </w:t>
      </w:r>
      <w:r>
        <w:rPr>
          <w:rFonts w:ascii="Times New Roman" w:eastAsia="Times New Roman" w:hAnsi="Times New Roman" w:cs="Times New Roman"/>
        </w:rPr>
        <w:t>the PCIJ, ICJ, ITLOS</w:t>
      </w:r>
      <w:r w:rsidRPr="007F6C82">
        <w:rPr>
          <w:rFonts w:ascii="Times New Roman" w:eastAsia="Times New Roman" w:hAnsi="Times New Roman" w:cs="Times New Roman"/>
        </w:rPr>
        <w:t xml:space="preserve">, </w:t>
      </w:r>
      <w:r>
        <w:rPr>
          <w:rFonts w:ascii="Times New Roman" w:eastAsia="Times New Roman" w:hAnsi="Times New Roman" w:cs="Times New Roman"/>
        </w:rPr>
        <w:t xml:space="preserve">and the pre-Protocol 14 ECtHR, </w:t>
      </w:r>
      <w:r w:rsidRPr="007F6C82">
        <w:rPr>
          <w:rFonts w:ascii="Times New Roman" w:eastAsia="Times New Roman" w:hAnsi="Times New Roman" w:cs="Times New Roman"/>
        </w:rPr>
        <w:t>notwithstanding renewable judicial terms, suggests in turn either that our judicial trilemma incompletely captures the tensions between renewable terms, dis</w:t>
      </w:r>
      <w:r>
        <w:rPr>
          <w:rFonts w:ascii="Times New Roman" w:eastAsia="Times New Roman" w:hAnsi="Times New Roman" w:cs="Times New Roman"/>
        </w:rPr>
        <w:t>sents, and judicial independence</w:t>
      </w:r>
      <w:r w:rsidRPr="007F6C82">
        <w:rPr>
          <w:rFonts w:ascii="Times New Roman" w:eastAsia="Times New Roman" w:hAnsi="Times New Roman" w:cs="Times New Roman"/>
        </w:rPr>
        <w:t xml:space="preserve">, that there are alternative ways of protecting judicial independence, or that these courts have embraced dissent at a long-term cost to their own </w:t>
      </w:r>
      <w:r w:rsidRPr="007F6C82">
        <w:rPr>
          <w:rFonts w:ascii="Times New Roman" w:eastAsia="Times New Roman" w:hAnsi="Times New Roman" w:cs="Times New Roman"/>
        </w:rPr>
        <w:lastRenderedPageBreak/>
        <w:t xml:space="preserve">independence and legitimacy.  </w:t>
      </w:r>
      <w:r>
        <w:rPr>
          <w:rFonts w:ascii="Times New Roman" w:eastAsia="Times New Roman" w:hAnsi="Times New Roman" w:cs="Times New Roman"/>
        </w:rPr>
        <w:t xml:space="preserve">Alternatively, it may be that judges on these courts are behaving rationally from an individual perspective, explaining and justifying their public votes, while the collective, initial decision of the courts to publicize votes (and hence encourage dissenting opinions) represents a key, if widely underappreciated, strategic choice, with large implications for the collegiality, independence and legitimacy of the courts in question. </w:t>
      </w:r>
      <w:r w:rsidRPr="007F6C82">
        <w:rPr>
          <w:rFonts w:ascii="Times New Roman" w:eastAsia="Times New Roman" w:hAnsi="Times New Roman" w:cs="Times New Roman"/>
        </w:rPr>
        <w:t>Exploring these compelling questions is high on our agenda as we undertake our qualitative empirical analysis of these courts.</w:t>
      </w:r>
    </w:p>
    <w:p w14:paraId="6693C163" w14:textId="12E37500" w:rsidR="00CB6DFD" w:rsidRDefault="005C24DB" w:rsidP="001D55AB">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T</w:t>
      </w:r>
      <w:r w:rsidR="000C259C">
        <w:rPr>
          <w:rFonts w:ascii="Times New Roman" w:eastAsia="Times New Roman" w:hAnsi="Times New Roman" w:cs="Times New Roman"/>
        </w:rPr>
        <w:t>hird, t</w:t>
      </w:r>
      <w:r>
        <w:rPr>
          <w:rFonts w:ascii="Times New Roman" w:eastAsia="Times New Roman" w:hAnsi="Times New Roman" w:cs="Times New Roman"/>
        </w:rPr>
        <w:t xml:space="preserve">he </w:t>
      </w:r>
      <w:proofErr w:type="gramStart"/>
      <w:r>
        <w:rPr>
          <w:rFonts w:ascii="Times New Roman" w:eastAsia="Times New Roman" w:hAnsi="Times New Roman" w:cs="Times New Roman"/>
        </w:rPr>
        <w:t>trio of hypotheses derived from Epstein et al. receive</w:t>
      </w:r>
      <w:proofErr w:type="gramEnd"/>
      <w:r w:rsidR="004E7199">
        <w:rPr>
          <w:rFonts w:ascii="Times New Roman" w:eastAsia="Times New Roman" w:hAnsi="Times New Roman" w:cs="Times New Roman"/>
        </w:rPr>
        <w:t xml:space="preserve"> at best</w:t>
      </w:r>
      <w:r>
        <w:rPr>
          <w:rFonts w:ascii="Times New Roman" w:eastAsia="Times New Roman" w:hAnsi="Times New Roman" w:cs="Times New Roman"/>
        </w:rPr>
        <w:t xml:space="preserve"> support at this stage, although we would and will need more data on the behavior of in</w:t>
      </w:r>
      <w:r w:rsidR="004E7199">
        <w:rPr>
          <w:rFonts w:ascii="Times New Roman" w:eastAsia="Times New Roman" w:hAnsi="Times New Roman" w:cs="Times New Roman"/>
        </w:rPr>
        <w:t xml:space="preserve">dividual judges to test them </w:t>
      </w:r>
      <w:r w:rsidR="000C259C">
        <w:rPr>
          <w:rFonts w:ascii="Times New Roman" w:eastAsia="Times New Roman" w:hAnsi="Times New Roman" w:cs="Times New Roman"/>
        </w:rPr>
        <w:t>systematical</w:t>
      </w:r>
      <w:r w:rsidR="004E7199">
        <w:rPr>
          <w:rFonts w:ascii="Times New Roman" w:eastAsia="Times New Roman" w:hAnsi="Times New Roman" w:cs="Times New Roman"/>
        </w:rPr>
        <w:t>ly</w:t>
      </w:r>
      <w:r>
        <w:rPr>
          <w:rFonts w:ascii="Times New Roman" w:eastAsia="Times New Roman" w:hAnsi="Times New Roman" w:cs="Times New Roman"/>
        </w:rPr>
        <w:t>.  As we have seen, Epstein et al. predict that d</w:t>
      </w:r>
      <w:r w:rsidRPr="005C24DB">
        <w:rPr>
          <w:rFonts w:ascii="Times New Roman" w:eastAsia="Times New Roman" w:hAnsi="Times New Roman" w:cs="Times New Roman"/>
        </w:rPr>
        <w:t>issent</w:t>
      </w:r>
      <w:r>
        <w:rPr>
          <w:rFonts w:ascii="Times New Roman" w:eastAsia="Times New Roman" w:hAnsi="Times New Roman" w:cs="Times New Roman"/>
        </w:rPr>
        <w:t xml:space="preserve"> should vary</w:t>
      </w:r>
      <w:r w:rsidRPr="005C24DB">
        <w:rPr>
          <w:rFonts w:ascii="Times New Roman" w:eastAsia="Times New Roman" w:hAnsi="Times New Roman" w:cs="Times New Roman"/>
        </w:rPr>
        <w:t xml:space="preserve"> directly with ideological diversity, size of court/chamber, inversely with </w:t>
      </w:r>
      <w:proofErr w:type="gramStart"/>
      <w:r w:rsidRPr="005C24DB">
        <w:rPr>
          <w:rFonts w:ascii="Times New Roman" w:eastAsia="Times New Roman" w:hAnsi="Times New Roman" w:cs="Times New Roman"/>
        </w:rPr>
        <w:t>case-load</w:t>
      </w:r>
      <w:proofErr w:type="gramEnd"/>
      <w:r w:rsidRPr="005C24DB">
        <w:rPr>
          <w:rFonts w:ascii="Times New Roman" w:eastAsia="Times New Roman" w:hAnsi="Times New Roman" w:cs="Times New Roman"/>
        </w:rPr>
        <w:t xml:space="preserve">.  </w:t>
      </w:r>
    </w:p>
    <w:p w14:paraId="1A691777" w14:textId="11E36DB0" w:rsidR="000C259C" w:rsidRDefault="00CB6DFD" w:rsidP="00CB6DFD">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 </w:t>
      </w:r>
      <w:r w:rsidRPr="00CB6DFD">
        <w:rPr>
          <w:rFonts w:ascii="Times New Roman" w:eastAsia="Times New Roman" w:hAnsi="Times New Roman" w:cs="Times New Roman"/>
          <w:b/>
        </w:rPr>
        <w:t>ideological diversity</w:t>
      </w:r>
      <w:r>
        <w:rPr>
          <w:rFonts w:ascii="Times New Roman" w:eastAsia="Times New Roman" w:hAnsi="Times New Roman" w:cs="Times New Roman"/>
        </w:rPr>
        <w:t xml:space="preserve"> hypothesis – namely that the more diverse a court, the more likely its judges are to dissent – receives mixed support.  The ECJ arguably has the least diverse membership, and rejects dissent, while the global PCIJ, ICJ and ITLOS are all extremely diverse in terms of membership, and all engage in dissent.  These contrasts would seem to the support the ideological diversity argument.  Yet the ECtHR, which through most of its life had an overlapping membership with the ECJ, engages in regular dissent, while the WTO has managed to repress public dissent to an impressive extent despite its diverse global membership.</w:t>
      </w:r>
      <w:r>
        <w:rPr>
          <w:rStyle w:val="FootnoteReference"/>
          <w:rFonts w:ascii="Times New Roman" w:eastAsia="Times New Roman" w:hAnsi="Times New Roman" w:cs="Times New Roman"/>
        </w:rPr>
        <w:footnoteReference w:id="58"/>
      </w:r>
      <w:r>
        <w:rPr>
          <w:rFonts w:ascii="Times New Roman" w:eastAsia="Times New Roman" w:hAnsi="Times New Roman" w:cs="Times New Roman"/>
        </w:rPr>
        <w:t xml:space="preserve">  </w:t>
      </w:r>
      <w:r w:rsidR="00C4128B">
        <w:rPr>
          <w:rFonts w:ascii="Times New Roman" w:eastAsia="Times New Roman" w:hAnsi="Times New Roman" w:cs="Times New Roman"/>
        </w:rPr>
        <w:t xml:space="preserve">A potential future test of the ideological diversity hypothesis might be to examine rates of dissent at the ECtHR and the WTO before and after their dramatic enlargements in the 1990s, although in both cases the impact of enlargement (and hence increasing ideological diversity among the judges) may be impossible to isolate from contemporaneous </w:t>
      </w:r>
      <w:r>
        <w:rPr>
          <w:rFonts w:ascii="Times New Roman" w:eastAsia="Times New Roman" w:hAnsi="Times New Roman" w:cs="Times New Roman"/>
        </w:rPr>
        <w:t>changes to judicial rules as well as case-loads.</w:t>
      </w:r>
    </w:p>
    <w:p w14:paraId="0BBD9318" w14:textId="266956E0" w:rsidR="00CB6DFD" w:rsidRDefault="004E7199" w:rsidP="00CB6DFD">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With respect to </w:t>
      </w:r>
      <w:r w:rsidRPr="000C259C">
        <w:rPr>
          <w:rFonts w:ascii="Times New Roman" w:eastAsia="Times New Roman" w:hAnsi="Times New Roman" w:cs="Times New Roman"/>
          <w:b/>
        </w:rPr>
        <w:t>circuit size</w:t>
      </w:r>
      <w:r>
        <w:rPr>
          <w:rFonts w:ascii="Times New Roman" w:eastAsia="Times New Roman" w:hAnsi="Times New Roman" w:cs="Times New Roman"/>
        </w:rPr>
        <w:t>, the prediction is that judges in larger courts or chambers will dissent with greater frequency than judge</w:t>
      </w:r>
      <w:r w:rsidR="00CB6DFD">
        <w:rPr>
          <w:rFonts w:ascii="Times New Roman" w:eastAsia="Times New Roman" w:hAnsi="Times New Roman" w:cs="Times New Roman"/>
        </w:rPr>
        <w:t>s in smaller courts or chambers</w:t>
      </w:r>
      <w:r>
        <w:rPr>
          <w:rFonts w:ascii="Times New Roman" w:eastAsia="Times New Roman" w:hAnsi="Times New Roman" w:cs="Times New Roman"/>
        </w:rPr>
        <w:t xml:space="preserve">.  </w:t>
      </w:r>
      <w:r w:rsidR="00CB6DFD">
        <w:rPr>
          <w:rFonts w:ascii="Times New Roman" w:eastAsia="Times New Roman" w:hAnsi="Times New Roman" w:cs="Times New Roman"/>
        </w:rPr>
        <w:t>There is</w:t>
      </w:r>
      <w:r w:rsidR="00CB6DFD" w:rsidRPr="007F6C82">
        <w:rPr>
          <w:rFonts w:ascii="Times New Roman" w:eastAsia="Times New Roman" w:hAnsi="Times New Roman" w:cs="Times New Roman"/>
        </w:rPr>
        <w:t xml:space="preserve"> significant variation </w:t>
      </w:r>
      <w:r w:rsidR="00CB6DFD">
        <w:rPr>
          <w:rFonts w:ascii="Times New Roman" w:eastAsia="Times New Roman" w:hAnsi="Times New Roman" w:cs="Times New Roman"/>
        </w:rPr>
        <w:t>in the number of judges on the</w:t>
      </w:r>
      <w:r w:rsidR="00CB6DFD" w:rsidRPr="007F6C82">
        <w:rPr>
          <w:rFonts w:ascii="Times New Roman" w:eastAsia="Times New Roman" w:hAnsi="Times New Roman" w:cs="Times New Roman"/>
        </w:rPr>
        <w:t xml:space="preserve"> courts</w:t>
      </w:r>
      <w:r w:rsidR="00CB6DFD">
        <w:rPr>
          <w:rFonts w:ascii="Times New Roman" w:eastAsia="Times New Roman" w:hAnsi="Times New Roman" w:cs="Times New Roman"/>
        </w:rPr>
        <w:t xml:space="preserve"> in our sample</w:t>
      </w:r>
      <w:r w:rsidR="00CB6DFD" w:rsidRPr="007F6C82">
        <w:rPr>
          <w:rFonts w:ascii="Times New Roman" w:eastAsia="Times New Roman" w:hAnsi="Times New Roman" w:cs="Times New Roman"/>
        </w:rPr>
        <w:t xml:space="preserve">.  At one end of the spectrum, the ECtHR consists of 47 judges, one for each state party to the </w:t>
      </w:r>
      <w:r w:rsidR="00CB6DFD" w:rsidRPr="007F6C82">
        <w:rPr>
          <w:rFonts w:ascii="Times New Roman" w:eastAsia="Times New Roman" w:hAnsi="Times New Roman" w:cs="Times New Roman"/>
        </w:rPr>
        <w:lastRenderedPageBreak/>
        <w:t xml:space="preserve">European Convention.  However, cases are </w:t>
      </w:r>
      <w:proofErr w:type="gramStart"/>
      <w:r w:rsidR="00CB6DFD" w:rsidRPr="007F6C82">
        <w:rPr>
          <w:rFonts w:ascii="Times New Roman" w:eastAsia="Times New Roman" w:hAnsi="Times New Roman" w:cs="Times New Roman"/>
        </w:rPr>
        <w:t>heard either</w:t>
      </w:r>
      <w:proofErr w:type="gramEnd"/>
      <w:r w:rsidR="00CB6DFD" w:rsidRPr="007F6C82">
        <w:rPr>
          <w:rFonts w:ascii="Times New Roman" w:eastAsia="Times New Roman" w:hAnsi="Times New Roman" w:cs="Times New Roman"/>
        </w:rPr>
        <w:t xml:space="preserve"> by a single judge; by a three judge Committee; by a seven-judge Chamber, and, exceptionally, by a Grand Chamber of 17 judges.  The ECJ was made up of only 6 judges at the time of its founding, although since then it has grown to 27 judges, one from each EU member State.  Cases are usually heard before chambers of three to five judges, with full plenary sessions being held on rare occasions.  ITLOS consists of 21 judges, and the ICJ consists of 15 judges.  Judges on both of these courts typically hear cases </w:t>
      </w:r>
      <w:r w:rsidR="00CB6DFD" w:rsidRPr="007F6C82">
        <w:rPr>
          <w:rFonts w:ascii="Times New Roman" w:eastAsia="Times New Roman" w:hAnsi="Times New Roman" w:cs="Times New Roman"/>
          <w:i/>
        </w:rPr>
        <w:t>en banc</w:t>
      </w:r>
      <w:r w:rsidR="00CB6DFD" w:rsidRPr="007F6C82">
        <w:rPr>
          <w:rFonts w:ascii="Times New Roman" w:eastAsia="Times New Roman" w:hAnsi="Times New Roman" w:cs="Times New Roman"/>
        </w:rPr>
        <w:t>.  The WTO AB consists of seven members.  There is thus an apparent, if weak, support for the hypothesized correlation between court size and dissent, with the six- and seven-member (early) ECJ and AB seeking to limit dissent, while the larger PCIJ, ICJ, ITLOS and ECtHR all embrace dissent.</w:t>
      </w:r>
    </w:p>
    <w:p w14:paraId="17FB1943" w14:textId="74266A3F" w:rsidR="005C24DB" w:rsidRDefault="00CB6DFD" w:rsidP="005C24DB">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T</w:t>
      </w:r>
      <w:r w:rsidR="004E7199">
        <w:rPr>
          <w:rFonts w:ascii="Times New Roman" w:eastAsia="Times New Roman" w:hAnsi="Times New Roman" w:cs="Times New Roman"/>
        </w:rPr>
        <w:t xml:space="preserve">he </w:t>
      </w:r>
      <w:r w:rsidR="004E7199" w:rsidRPr="00CB6DFD">
        <w:rPr>
          <w:rFonts w:ascii="Times New Roman" w:eastAsia="Times New Roman" w:hAnsi="Times New Roman" w:cs="Times New Roman"/>
          <w:b/>
        </w:rPr>
        <w:t>case-load hypothesis</w:t>
      </w:r>
      <w:r w:rsidR="004E7199">
        <w:rPr>
          <w:rFonts w:ascii="Times New Roman" w:eastAsia="Times New Roman" w:hAnsi="Times New Roman" w:cs="Times New Roman"/>
        </w:rPr>
        <w:t xml:space="preserve"> receives little support:  while the PCIJ, ICJ and ITLOS, with their small case-loads, do practice frequent dissent, so do the judges of the ECtHR, even in the face of large and growing case-loads.  It is, of course, possible that larger case-loads may increase the costs and hence decrease the frequency of dissent – which would predict in particular a declining frequency of dissent at the ECtHR over time as a function of its exploding case-load – but the initial evidence provides at best weak support for the case-load argument.</w:t>
      </w:r>
    </w:p>
    <w:p w14:paraId="6346DD75" w14:textId="78D16BD4" w:rsidR="00206BD4" w:rsidRPr="007F6C82" w:rsidRDefault="00CB6DFD" w:rsidP="004A238E">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Fourth and finally, t</w:t>
      </w:r>
      <w:r w:rsidR="00206BD4" w:rsidRPr="007F6C82">
        <w:rPr>
          <w:rFonts w:ascii="Times New Roman" w:eastAsia="Times New Roman" w:hAnsi="Times New Roman" w:cs="Times New Roman"/>
        </w:rPr>
        <w:t>he pattern of outcomes also poses a puzzle</w:t>
      </w:r>
      <w:r>
        <w:rPr>
          <w:rFonts w:ascii="Times New Roman" w:eastAsia="Times New Roman" w:hAnsi="Times New Roman" w:cs="Times New Roman"/>
        </w:rPr>
        <w:t xml:space="preserve"> for our</w:t>
      </w:r>
      <w:r w:rsidR="00206BD4" w:rsidRPr="007F6C82">
        <w:rPr>
          <w:rFonts w:ascii="Times New Roman" w:eastAsia="Times New Roman" w:hAnsi="Times New Roman" w:cs="Times New Roman"/>
        </w:rPr>
        <w:t xml:space="preserve"> </w:t>
      </w:r>
      <w:r w:rsidR="004E7199" w:rsidRPr="00CB6DFD">
        <w:rPr>
          <w:rFonts w:ascii="Times New Roman" w:eastAsia="Times New Roman" w:hAnsi="Times New Roman" w:cs="Times New Roman"/>
          <w:b/>
        </w:rPr>
        <w:t>sociological institutionalism</w:t>
      </w:r>
      <w:r w:rsidR="006637A1" w:rsidRPr="00CB6DFD">
        <w:rPr>
          <w:rFonts w:ascii="Times New Roman" w:eastAsia="Times New Roman" w:hAnsi="Times New Roman" w:cs="Times New Roman"/>
          <w:b/>
        </w:rPr>
        <w:t xml:space="preserve"> hypotheses</w:t>
      </w:r>
      <w:r w:rsidR="006637A1">
        <w:rPr>
          <w:rFonts w:ascii="Times New Roman" w:eastAsia="Times New Roman" w:hAnsi="Times New Roman" w:cs="Times New Roman"/>
        </w:rPr>
        <w:t xml:space="preserve">.  With respect to the </w:t>
      </w:r>
      <w:r w:rsidR="006637A1" w:rsidRPr="00CB6DFD">
        <w:rPr>
          <w:rFonts w:ascii="Times New Roman" w:eastAsia="Times New Roman" w:hAnsi="Times New Roman" w:cs="Times New Roman"/>
          <w:b/>
        </w:rPr>
        <w:t>international variant</w:t>
      </w:r>
      <w:r w:rsidR="006637A1">
        <w:rPr>
          <w:rFonts w:ascii="Times New Roman" w:eastAsia="Times New Roman" w:hAnsi="Times New Roman" w:cs="Times New Roman"/>
        </w:rPr>
        <w:t xml:space="preserve">, we do find judges in a number of cases </w:t>
      </w:r>
      <w:r w:rsidR="00F250EA">
        <w:rPr>
          <w:rFonts w:ascii="Times New Roman" w:eastAsia="Times New Roman" w:hAnsi="Times New Roman" w:cs="Times New Roman"/>
        </w:rPr>
        <w:t>adopting rules of procedure that appear to draw on previous (especially PCIJ/ICJ) tem</w:t>
      </w:r>
      <w:r>
        <w:rPr>
          <w:rFonts w:ascii="Times New Roman" w:eastAsia="Times New Roman" w:hAnsi="Times New Roman" w:cs="Times New Roman"/>
        </w:rPr>
        <w:t>plates, suggesting some normative or mimetic isomorphism.  Y</w:t>
      </w:r>
      <w:r w:rsidR="00F250EA">
        <w:rPr>
          <w:rFonts w:ascii="Times New Roman" w:eastAsia="Times New Roman" w:hAnsi="Times New Roman" w:cs="Times New Roman"/>
        </w:rPr>
        <w:t xml:space="preserve">et we also find important variations, with the ECJ and the WTO </w:t>
      </w:r>
      <w:r w:rsidR="004E7199">
        <w:rPr>
          <w:rFonts w:ascii="Times New Roman" w:eastAsia="Times New Roman" w:hAnsi="Times New Roman" w:cs="Times New Roman"/>
        </w:rPr>
        <w:t>departing</w:t>
      </w:r>
      <w:r>
        <w:rPr>
          <w:rFonts w:ascii="Times New Roman" w:eastAsia="Times New Roman" w:hAnsi="Times New Roman" w:cs="Times New Roman"/>
        </w:rPr>
        <w:t xml:space="preserve"> dramatically</w:t>
      </w:r>
      <w:r w:rsidR="004E7199">
        <w:rPr>
          <w:rFonts w:ascii="Times New Roman" w:eastAsia="Times New Roman" w:hAnsi="Times New Roman" w:cs="Times New Roman"/>
        </w:rPr>
        <w:t xml:space="preserve"> from those precedents and </w:t>
      </w:r>
      <w:r w:rsidR="00F250EA">
        <w:rPr>
          <w:rFonts w:ascii="Times New Roman" w:eastAsia="Times New Roman" w:hAnsi="Times New Roman" w:cs="Times New Roman"/>
        </w:rPr>
        <w:t xml:space="preserve">adopting rules and norms that disfavor dissent.  Nor can </w:t>
      </w:r>
      <w:r w:rsidR="00F250EA" w:rsidRPr="004A238E">
        <w:rPr>
          <w:rFonts w:ascii="Times New Roman" w:eastAsia="Times New Roman" w:hAnsi="Times New Roman" w:cs="Times New Roman"/>
          <w:b/>
        </w:rPr>
        <w:t>domestic legal tradition</w:t>
      </w:r>
      <w:r w:rsidR="00F250EA">
        <w:rPr>
          <w:rFonts w:ascii="Times New Roman" w:eastAsia="Times New Roman" w:hAnsi="Times New Roman" w:cs="Times New Roman"/>
        </w:rPr>
        <w:t xml:space="preserve"> be used to explain judicial behavior with respect to dissent:  while it is true that the mixed-tradition PCIJ, ICJ, ITLOS and ECHR judges all adopted rules of procedure explicitly allowing separate dissenting and concurring opinions, while the </w:t>
      </w:r>
      <w:r w:rsidR="00206BD4" w:rsidRPr="007F6C82">
        <w:rPr>
          <w:rFonts w:ascii="Times New Roman" w:eastAsia="Times New Roman" w:hAnsi="Times New Roman" w:cs="Times New Roman"/>
        </w:rPr>
        <w:t>civil</w:t>
      </w:r>
      <w:r w:rsidR="008E55BA">
        <w:rPr>
          <w:rFonts w:ascii="Times New Roman" w:eastAsia="Times New Roman" w:hAnsi="Times New Roman" w:cs="Times New Roman"/>
        </w:rPr>
        <w:t xml:space="preserve"> </w:t>
      </w:r>
      <w:r w:rsidR="00206BD4" w:rsidRPr="007F6C82">
        <w:rPr>
          <w:rFonts w:ascii="Times New Roman" w:eastAsia="Times New Roman" w:hAnsi="Times New Roman" w:cs="Times New Roman"/>
        </w:rPr>
        <w:t>law ECJ</w:t>
      </w:r>
      <w:r w:rsidR="00F250EA">
        <w:rPr>
          <w:rFonts w:ascii="Times New Roman" w:eastAsia="Times New Roman" w:hAnsi="Times New Roman" w:cs="Times New Roman"/>
        </w:rPr>
        <w:t xml:space="preserve"> judges of the 1950s disfavored dissent, </w:t>
      </w:r>
      <w:r w:rsidR="004A238E">
        <w:rPr>
          <w:rFonts w:ascii="Times New Roman" w:eastAsia="Times New Roman" w:hAnsi="Times New Roman" w:cs="Times New Roman"/>
        </w:rPr>
        <w:t xml:space="preserve">it is also the case that </w:t>
      </w:r>
      <w:r w:rsidR="00F250EA">
        <w:rPr>
          <w:rFonts w:ascii="Times New Roman" w:eastAsia="Times New Roman" w:hAnsi="Times New Roman" w:cs="Times New Roman"/>
        </w:rPr>
        <w:t xml:space="preserve">the mixed WTO AB members followed the ECJ by attempting to suppress dissent.  Within courts, moreover, even the preliminary data available to us from the PCIJ, ICY and ECtHR suggest that judges from civil-law countries </w:t>
      </w:r>
      <w:r w:rsidR="001D55AB">
        <w:rPr>
          <w:rFonts w:ascii="Times New Roman" w:eastAsia="Times New Roman" w:hAnsi="Times New Roman" w:cs="Times New Roman"/>
        </w:rPr>
        <w:t xml:space="preserve">do not eschew dissent, but </w:t>
      </w:r>
      <w:r w:rsidR="00F250EA">
        <w:rPr>
          <w:rFonts w:ascii="Times New Roman" w:eastAsia="Times New Roman" w:hAnsi="Times New Roman" w:cs="Times New Roman"/>
        </w:rPr>
        <w:t>have e</w:t>
      </w:r>
      <w:r w:rsidR="001D55AB">
        <w:rPr>
          <w:rFonts w:ascii="Times New Roman" w:eastAsia="Times New Roman" w:hAnsi="Times New Roman" w:cs="Times New Roman"/>
        </w:rPr>
        <w:t xml:space="preserve">ngaged in separate </w:t>
      </w:r>
      <w:r w:rsidR="001D55AB">
        <w:rPr>
          <w:rFonts w:ascii="Times New Roman" w:eastAsia="Times New Roman" w:hAnsi="Times New Roman" w:cs="Times New Roman"/>
        </w:rPr>
        <w:lastRenderedPageBreak/>
        <w:t>concurring and dissenting opinions at rates that are broadly comparable to</w:t>
      </w:r>
      <w:r w:rsidR="00F250EA">
        <w:rPr>
          <w:rFonts w:ascii="Times New Roman" w:eastAsia="Times New Roman" w:hAnsi="Times New Roman" w:cs="Times New Roman"/>
        </w:rPr>
        <w:t xml:space="preserve"> their common law counterparts.  </w:t>
      </w:r>
    </w:p>
    <w:p w14:paraId="14DE8C3B" w14:textId="2077FDA4" w:rsidR="00866532" w:rsidRPr="007F6C82" w:rsidRDefault="00206BD4" w:rsidP="00656BAA">
      <w:pPr>
        <w:spacing w:after="0" w:line="360" w:lineRule="auto"/>
        <w:ind w:firstLine="720"/>
        <w:jc w:val="both"/>
        <w:rPr>
          <w:rFonts w:ascii="Times New Roman" w:eastAsia="Times New Roman" w:hAnsi="Times New Roman" w:cs="Times New Roman"/>
          <w:lang w:eastAsia="zh-CN"/>
        </w:rPr>
      </w:pPr>
      <w:r w:rsidRPr="007F6C82">
        <w:rPr>
          <w:rFonts w:ascii="Times New Roman" w:eastAsia="Times New Roman" w:hAnsi="Times New Roman" w:cs="Times New Roman"/>
        </w:rPr>
        <w:t xml:space="preserve">Clearly, </w:t>
      </w:r>
      <w:r w:rsidR="004A238E">
        <w:rPr>
          <w:rFonts w:ascii="Times New Roman" w:eastAsia="Times New Roman" w:hAnsi="Times New Roman" w:cs="Times New Roman"/>
        </w:rPr>
        <w:t>the</w:t>
      </w:r>
      <w:r w:rsidRPr="007F6C82">
        <w:rPr>
          <w:rFonts w:ascii="Times New Roman" w:eastAsia="Times New Roman" w:hAnsi="Times New Roman" w:cs="Times New Roman"/>
        </w:rPr>
        <w:t xml:space="preserve"> broad-brush comparisons</w:t>
      </w:r>
      <w:r w:rsidR="004A238E">
        <w:rPr>
          <w:rFonts w:ascii="Times New Roman" w:eastAsia="Times New Roman" w:hAnsi="Times New Roman" w:cs="Times New Roman"/>
        </w:rPr>
        <w:t xml:space="preserve"> we have made here,</w:t>
      </w:r>
      <w:r w:rsidRPr="007F6C82">
        <w:rPr>
          <w:rFonts w:ascii="Times New Roman" w:eastAsia="Times New Roman" w:hAnsi="Times New Roman" w:cs="Times New Roman"/>
        </w:rPr>
        <w:t xml:space="preserve"> across</w:t>
      </w:r>
      <w:r w:rsidR="008B2E49">
        <w:rPr>
          <w:rFonts w:ascii="Times New Roman" w:eastAsia="Times New Roman" w:hAnsi="Times New Roman" w:cs="Times New Roman"/>
        </w:rPr>
        <w:t xml:space="preserve"> a very small sample of</w:t>
      </w:r>
      <w:r w:rsidRPr="007F6C82">
        <w:rPr>
          <w:rFonts w:ascii="Times New Roman" w:eastAsia="Times New Roman" w:hAnsi="Times New Roman" w:cs="Times New Roman"/>
        </w:rPr>
        <w:t xml:space="preserve"> courts</w:t>
      </w:r>
      <w:r w:rsidR="004A238E">
        <w:rPr>
          <w:rFonts w:ascii="Times New Roman" w:eastAsia="Times New Roman" w:hAnsi="Times New Roman" w:cs="Times New Roman"/>
        </w:rPr>
        <w:t>,</w:t>
      </w:r>
      <w:r w:rsidRPr="007F6C82">
        <w:rPr>
          <w:rFonts w:ascii="Times New Roman" w:eastAsia="Times New Roman" w:hAnsi="Times New Roman" w:cs="Times New Roman"/>
        </w:rPr>
        <w:t xml:space="preserve"> are at best suggestive with respect to our various hypotheses about the</w:t>
      </w:r>
      <w:r w:rsidR="004A238E">
        <w:rPr>
          <w:rFonts w:ascii="Times New Roman" w:eastAsia="Times New Roman" w:hAnsi="Times New Roman" w:cs="Times New Roman"/>
        </w:rPr>
        <w:t xml:space="preserve"> causes of judicial dissent.  Furthermore,</w:t>
      </w:r>
      <w:r w:rsidRPr="007F6C82">
        <w:rPr>
          <w:rFonts w:ascii="Times New Roman" w:eastAsia="Times New Roman" w:hAnsi="Times New Roman" w:cs="Times New Roman"/>
        </w:rPr>
        <w:t xml:space="preserve"> they tell us little or nothing about the </w:t>
      </w:r>
      <w:r w:rsidR="00C84AE8" w:rsidRPr="007F6C82">
        <w:rPr>
          <w:rFonts w:ascii="Times New Roman" w:eastAsia="Times New Roman" w:hAnsi="Times New Roman" w:cs="Times New Roman"/>
        </w:rPr>
        <w:t xml:space="preserve">consequences </w:t>
      </w:r>
      <w:r w:rsidRPr="007F6C82">
        <w:rPr>
          <w:rFonts w:ascii="Times New Roman" w:eastAsia="Times New Roman" w:hAnsi="Times New Roman" w:cs="Times New Roman"/>
        </w:rPr>
        <w:t xml:space="preserve">of dissent for judicial collegiality, independence or legitimacy or for the quality of law.  For this reason, we propose to undertake detailed case-study analyses of the history, the practice, and the consequences of dissent in each of these courts. </w:t>
      </w:r>
      <w:r w:rsidR="00CB6DFD">
        <w:rPr>
          <w:rFonts w:ascii="Times New Roman" w:eastAsia="Times New Roman" w:hAnsi="Times New Roman" w:cs="Times New Roman"/>
        </w:rPr>
        <w:t xml:space="preserve"> </w:t>
      </w:r>
    </w:p>
    <w:p w14:paraId="6BDA3E8C" w14:textId="77777777" w:rsidR="00656BAA" w:rsidRDefault="00656BAA" w:rsidP="0097234F">
      <w:pPr>
        <w:spacing w:after="0" w:line="360" w:lineRule="auto"/>
        <w:rPr>
          <w:rFonts w:ascii="Times New Roman" w:eastAsia="Times New Roman" w:hAnsi="Times New Roman" w:cs="Times New Roman"/>
          <w:lang w:eastAsia="zh-CN"/>
        </w:rPr>
      </w:pPr>
    </w:p>
    <w:p w14:paraId="07C7324A" w14:textId="409274CC" w:rsidR="00DC1450" w:rsidRPr="0097234F" w:rsidRDefault="00DC1450" w:rsidP="0097234F">
      <w:pPr>
        <w:spacing w:after="0" w:line="360" w:lineRule="auto"/>
        <w:rPr>
          <w:rFonts w:ascii="Times New Roman" w:hAnsi="Times New Roman" w:cs="Times New Roman"/>
          <w:b/>
        </w:rPr>
      </w:pPr>
      <w:r w:rsidRPr="0097234F">
        <w:rPr>
          <w:rFonts w:ascii="Times New Roman" w:hAnsi="Times New Roman" w:cs="Times New Roman"/>
          <w:b/>
        </w:rPr>
        <w:t>Conclusions</w:t>
      </w:r>
    </w:p>
    <w:p w14:paraId="7F91127E" w14:textId="2C0F42AB" w:rsidR="00DC1450" w:rsidRPr="0097234F" w:rsidRDefault="00EC01AB" w:rsidP="001A0CA6">
      <w:pPr>
        <w:spacing w:after="0" w:line="360" w:lineRule="auto"/>
        <w:jc w:val="both"/>
        <w:rPr>
          <w:rFonts w:ascii="Times New Roman" w:hAnsi="Times New Roman" w:cs="Times New Roman"/>
        </w:rPr>
      </w:pPr>
      <w:r w:rsidRPr="0097234F">
        <w:rPr>
          <w:rFonts w:ascii="Times New Roman" w:hAnsi="Times New Roman" w:cs="Times New Roman"/>
        </w:rPr>
        <w:tab/>
        <w:t xml:space="preserve">In this paper, we have attempted to sketch out and begin to apply a tentative framework for understanding the causes and consequences of international judicial dissent.  In terms of the causes, we have hypothesized that the use or non-use of dissent is a function </w:t>
      </w:r>
      <w:r w:rsidR="0097234F" w:rsidRPr="0097234F">
        <w:rPr>
          <w:rFonts w:ascii="Times New Roman" w:hAnsi="Times New Roman" w:cs="Times New Roman"/>
        </w:rPr>
        <w:t xml:space="preserve">both of the design of court statutes by states, and of the strategic decisions of judges on those courts.  In terms of consequences, we have suggested that the use of non-use of dissent may, </w:t>
      </w:r>
      <w:r w:rsidR="0097234F" w:rsidRPr="0097234F">
        <w:rPr>
          <w:rFonts w:ascii="Times New Roman" w:hAnsi="Times New Roman" w:cs="Times New Roman"/>
          <w:i/>
        </w:rPr>
        <w:t>ceteris paribus</w:t>
      </w:r>
      <w:r w:rsidR="0097234F" w:rsidRPr="0097234F">
        <w:rPr>
          <w:rFonts w:ascii="Times New Roman" w:hAnsi="Times New Roman" w:cs="Times New Roman"/>
        </w:rPr>
        <w:t xml:space="preserve">, have implications for the </w:t>
      </w:r>
      <w:r w:rsidR="0097234F">
        <w:rPr>
          <w:rFonts w:ascii="Times New Roman" w:hAnsi="Times New Roman" w:cs="Times New Roman"/>
        </w:rPr>
        <w:t>judicial collegiality, independence, legitimacy, and the quality and development of law.  All of these hypotheses are in need of further development, and our empirical su</w:t>
      </w:r>
      <w:r w:rsidR="00CB6DFD">
        <w:rPr>
          <w:rFonts w:ascii="Times New Roman" w:hAnsi="Times New Roman" w:cs="Times New Roman"/>
        </w:rPr>
        <w:t>rvey of some basic data for six</w:t>
      </w:r>
      <w:r w:rsidR="0097234F">
        <w:rPr>
          <w:rFonts w:ascii="Times New Roman" w:hAnsi="Times New Roman" w:cs="Times New Roman"/>
        </w:rPr>
        <w:t xml:space="preserve"> courts, together with a preliminary case study of a single case, the GATT/WTO, constitute at best a plausibility probe, rather than a definitive test, of those hypotheses.  In lieu of a statement of our findings, therefore, we conclude with a brief discussion of the place and the potential contribution of our project to the broader and increasingly interdisciplinary study of international courts and tribunals.  We offer </w:t>
      </w:r>
      <w:r w:rsidR="00E924CA">
        <w:rPr>
          <w:rFonts w:ascii="Times New Roman" w:hAnsi="Times New Roman" w:cs="Times New Roman"/>
        </w:rPr>
        <w:t xml:space="preserve">just </w:t>
      </w:r>
      <w:r w:rsidR="0097234F">
        <w:rPr>
          <w:rFonts w:ascii="Times New Roman" w:hAnsi="Times New Roman" w:cs="Times New Roman"/>
        </w:rPr>
        <w:t>t</w:t>
      </w:r>
      <w:r w:rsidR="00806CE6">
        <w:rPr>
          <w:rFonts w:ascii="Times New Roman" w:hAnsi="Times New Roman" w:cs="Times New Roman"/>
        </w:rPr>
        <w:t>wo</w:t>
      </w:r>
      <w:r w:rsidR="0097234F">
        <w:rPr>
          <w:rFonts w:ascii="Times New Roman" w:hAnsi="Times New Roman" w:cs="Times New Roman"/>
        </w:rPr>
        <w:t xml:space="preserve"> points.</w:t>
      </w:r>
    </w:p>
    <w:p w14:paraId="1394185F" w14:textId="607D66D9" w:rsidR="00DC1450" w:rsidRPr="004A1B5F" w:rsidRDefault="00DC1450" w:rsidP="00806CE6">
      <w:pPr>
        <w:spacing w:after="0" w:line="360" w:lineRule="auto"/>
        <w:ind w:firstLine="720"/>
        <w:jc w:val="both"/>
        <w:outlineLvl w:val="0"/>
        <w:rPr>
          <w:rFonts w:ascii="Times New Roman" w:hAnsi="Times New Roman" w:cs="Times New Roman"/>
        </w:rPr>
      </w:pPr>
      <w:r w:rsidRPr="0097234F">
        <w:rPr>
          <w:rFonts w:ascii="Times New Roman" w:hAnsi="Times New Roman" w:cs="Times New Roman"/>
        </w:rPr>
        <w:t xml:space="preserve">First, </w:t>
      </w:r>
      <w:r w:rsidR="00806CE6">
        <w:rPr>
          <w:rFonts w:ascii="Times New Roman" w:hAnsi="Times New Roman" w:cs="Times New Roman"/>
        </w:rPr>
        <w:t>to the extent that our primary aim is to explain the diversity in international courts’ practice of dissent</w:t>
      </w:r>
      <w:r w:rsidRPr="0097234F">
        <w:rPr>
          <w:rFonts w:ascii="Times New Roman" w:hAnsi="Times New Roman" w:cs="Times New Roman"/>
        </w:rPr>
        <w:t>, the current paper joins a large IR literature that explores the design features of various international institutions, including courts. These writings</w:t>
      </w:r>
      <w:r w:rsidR="00806CE6">
        <w:rPr>
          <w:rFonts w:ascii="Times New Roman" w:hAnsi="Times New Roman" w:cs="Times New Roman"/>
        </w:rPr>
        <w:t>, particularly the rational design approach,</w:t>
      </w:r>
      <w:r w:rsidRPr="0097234F">
        <w:rPr>
          <w:rFonts w:ascii="Times New Roman" w:hAnsi="Times New Roman" w:cs="Times New Roman"/>
        </w:rPr>
        <w:t xml:space="preserve"> have illuminated a number of important issues, including the motivations that prompt states to create international tribunals in the first place, as well as specific elements in the choice and design of particular tribunals.  However, to our knowledge</w:t>
      </w:r>
      <w:r w:rsidRPr="00806CE6">
        <w:rPr>
          <w:rFonts w:ascii="Times New Roman" w:hAnsi="Times New Roman" w:cs="Times New Roman"/>
        </w:rPr>
        <w:t xml:space="preserve">, ours is the first study in either the IR or the legal literature to focus upon </w:t>
      </w:r>
      <w:r w:rsidRPr="0097234F">
        <w:rPr>
          <w:rFonts w:ascii="Times New Roman" w:hAnsi="Times New Roman" w:cs="Times New Roman"/>
          <w:i/>
        </w:rPr>
        <w:t xml:space="preserve">dissent </w:t>
      </w:r>
      <w:r w:rsidRPr="0097234F">
        <w:rPr>
          <w:rFonts w:ascii="Times New Roman" w:hAnsi="Times New Roman" w:cs="Times New Roman"/>
        </w:rPr>
        <w:t xml:space="preserve">as a deliberate element in the institutional design of international </w:t>
      </w:r>
      <w:r w:rsidRPr="0097234F">
        <w:rPr>
          <w:rFonts w:ascii="Times New Roman" w:hAnsi="Times New Roman" w:cs="Times New Roman"/>
        </w:rPr>
        <w:lastRenderedPageBreak/>
        <w:t>tribunals</w:t>
      </w:r>
      <w:r w:rsidR="00806CE6">
        <w:rPr>
          <w:rFonts w:ascii="Times New Roman" w:hAnsi="Times New Roman" w:cs="Times New Roman"/>
        </w:rPr>
        <w:t>, and in that sense our approach here might be seen as an extension of the rational design approach</w:t>
      </w:r>
      <w:r w:rsidRPr="0097234F">
        <w:rPr>
          <w:rFonts w:ascii="Times New Roman" w:hAnsi="Times New Roman" w:cs="Times New Roman"/>
        </w:rPr>
        <w:t>.</w:t>
      </w:r>
      <w:r w:rsidR="00806CE6">
        <w:rPr>
          <w:rStyle w:val="FootnoteReference"/>
          <w:rFonts w:ascii="Times New Roman" w:hAnsi="Times New Roman" w:cs="Times New Roman"/>
        </w:rPr>
        <w:footnoteReference w:id="59"/>
      </w:r>
      <w:r w:rsidRPr="0097234F">
        <w:rPr>
          <w:rFonts w:ascii="Times New Roman" w:hAnsi="Times New Roman" w:cs="Times New Roman"/>
        </w:rPr>
        <w:t xml:space="preserve"> </w:t>
      </w:r>
      <w:r w:rsidR="0097234F">
        <w:rPr>
          <w:rFonts w:ascii="Times New Roman" w:hAnsi="Times New Roman" w:cs="Times New Roman"/>
        </w:rPr>
        <w:t>However,</w:t>
      </w:r>
      <w:r w:rsidRPr="0097234F">
        <w:rPr>
          <w:rFonts w:ascii="Times New Roman" w:hAnsi="Times New Roman" w:cs="Times New Roman"/>
        </w:rPr>
        <w:t xml:space="preserve"> our findings</w:t>
      </w:r>
      <w:r w:rsidR="0097234F">
        <w:rPr>
          <w:rFonts w:ascii="Times New Roman" w:hAnsi="Times New Roman" w:cs="Times New Roman"/>
        </w:rPr>
        <w:t xml:space="preserve"> also</w:t>
      </w:r>
      <w:r w:rsidRPr="0097234F">
        <w:rPr>
          <w:rFonts w:ascii="Times New Roman" w:hAnsi="Times New Roman" w:cs="Times New Roman"/>
        </w:rPr>
        <w:t xml:space="preserve"> problematize a critical, if underexplored, assumption </w:t>
      </w:r>
      <w:r w:rsidR="0097234F">
        <w:rPr>
          <w:rFonts w:ascii="Times New Roman" w:hAnsi="Times New Roman" w:cs="Times New Roman"/>
        </w:rPr>
        <w:t>of the rational design school</w:t>
      </w:r>
      <w:r w:rsidRPr="0097234F">
        <w:rPr>
          <w:rFonts w:ascii="Times New Roman" w:hAnsi="Times New Roman" w:cs="Times New Roman"/>
        </w:rPr>
        <w:t>.  Specifically, both the legal and IR literature on the design and functioning of international tribunals typically focuses on</w:t>
      </w:r>
      <w:r w:rsidRPr="0097234F">
        <w:rPr>
          <w:rFonts w:ascii="Times New Roman" w:hAnsi="Times New Roman" w:cs="Times New Roman"/>
          <w:i/>
        </w:rPr>
        <w:t xml:space="preserve"> states</w:t>
      </w:r>
      <w:r w:rsidRPr="0097234F">
        <w:rPr>
          <w:rFonts w:ascii="Times New Roman" w:hAnsi="Times New Roman" w:cs="Times New Roman"/>
        </w:rPr>
        <w:t xml:space="preserve"> as the relevant decision-makers, and in particular on the decisions states make when they draft and adopt legal instruments creating new international</w:t>
      </w:r>
      <w:r w:rsidRPr="004A1B5F">
        <w:rPr>
          <w:rFonts w:ascii="Times New Roman" w:hAnsi="Times New Roman" w:cs="Times New Roman"/>
        </w:rPr>
        <w:t xml:space="preserve"> courts.  State decisions are of course critical to </w:t>
      </w:r>
      <w:r w:rsidR="00CC303F">
        <w:rPr>
          <w:rFonts w:ascii="Times New Roman" w:hAnsi="Times New Roman" w:cs="Times New Roman"/>
        </w:rPr>
        <w:t>decisions about judicial dissent</w:t>
      </w:r>
      <w:r w:rsidRPr="004A1B5F">
        <w:rPr>
          <w:rFonts w:ascii="Times New Roman" w:hAnsi="Times New Roman" w:cs="Times New Roman"/>
        </w:rPr>
        <w:t xml:space="preserve">, </w:t>
      </w:r>
      <w:r w:rsidR="00CC303F">
        <w:rPr>
          <w:rFonts w:ascii="Times New Roman" w:hAnsi="Times New Roman" w:cs="Times New Roman"/>
        </w:rPr>
        <w:t xml:space="preserve">enjoying a first-mover advantage and limiting judicial choices through provisions of international treaties and statutes, </w:t>
      </w:r>
      <w:r w:rsidRPr="004A1B5F">
        <w:rPr>
          <w:rFonts w:ascii="Times New Roman" w:hAnsi="Times New Roman" w:cs="Times New Roman"/>
        </w:rPr>
        <w:t xml:space="preserve">but our study highlights the underappreciated role played by another set of actors – the judges themselves.   Judges at virtually all the major international tribunals have </w:t>
      </w:r>
      <w:r w:rsidR="00806CE6">
        <w:rPr>
          <w:rFonts w:ascii="Times New Roman" w:hAnsi="Times New Roman" w:cs="Times New Roman"/>
        </w:rPr>
        <w:t>used their discretion to is</w:t>
      </w:r>
      <w:r w:rsidRPr="004A1B5F">
        <w:rPr>
          <w:rFonts w:ascii="Times New Roman" w:hAnsi="Times New Roman" w:cs="Times New Roman"/>
        </w:rPr>
        <w:t>su</w:t>
      </w:r>
      <w:r w:rsidR="00806CE6">
        <w:rPr>
          <w:rFonts w:ascii="Times New Roman" w:hAnsi="Times New Roman" w:cs="Times New Roman"/>
        </w:rPr>
        <w:t>e formal</w:t>
      </w:r>
      <w:r w:rsidRPr="004A1B5F">
        <w:rPr>
          <w:rFonts w:ascii="Times New Roman" w:hAnsi="Times New Roman" w:cs="Times New Roman"/>
        </w:rPr>
        <w:t xml:space="preserve"> rules</w:t>
      </w:r>
      <w:r w:rsidR="00806CE6">
        <w:rPr>
          <w:rFonts w:ascii="Times New Roman" w:hAnsi="Times New Roman" w:cs="Times New Roman"/>
        </w:rPr>
        <w:t xml:space="preserve"> and informal norms</w:t>
      </w:r>
      <w:r w:rsidRPr="004A1B5F">
        <w:rPr>
          <w:rFonts w:ascii="Times New Roman" w:hAnsi="Times New Roman" w:cs="Times New Roman"/>
        </w:rPr>
        <w:t xml:space="preserve"> that supplement the </w:t>
      </w:r>
      <w:proofErr w:type="gramStart"/>
      <w:r w:rsidRPr="004A1B5F">
        <w:rPr>
          <w:rFonts w:ascii="Times New Roman" w:hAnsi="Times New Roman" w:cs="Times New Roman"/>
        </w:rPr>
        <w:t>often terse</w:t>
      </w:r>
      <w:proofErr w:type="gramEnd"/>
      <w:r w:rsidRPr="004A1B5F">
        <w:rPr>
          <w:rFonts w:ascii="Times New Roman" w:hAnsi="Times New Roman" w:cs="Times New Roman"/>
        </w:rPr>
        <w:t xml:space="preserve"> language of treaty text.  </w:t>
      </w:r>
      <w:proofErr w:type="gramStart"/>
      <w:r w:rsidRPr="004A1B5F">
        <w:rPr>
          <w:rFonts w:ascii="Times New Roman" w:hAnsi="Times New Roman" w:cs="Times New Roman"/>
        </w:rPr>
        <w:t xml:space="preserve">In </w:t>
      </w:r>
      <w:r w:rsidR="00806CE6">
        <w:rPr>
          <w:rFonts w:ascii="Times New Roman" w:hAnsi="Times New Roman" w:cs="Times New Roman"/>
        </w:rPr>
        <w:t>some</w:t>
      </w:r>
      <w:r w:rsidRPr="004A1B5F">
        <w:rPr>
          <w:rFonts w:ascii="Times New Roman" w:hAnsi="Times New Roman" w:cs="Times New Roman"/>
        </w:rPr>
        <w:t xml:space="preserve"> instances, such as at the WTO, judges have crafted internal rules that explicitly disfavor the publication of dissents, even when the relevant treaty language contains no such bias.</w:t>
      </w:r>
      <w:proofErr w:type="gramEnd"/>
      <w:r w:rsidRPr="004A1B5F">
        <w:rPr>
          <w:rFonts w:ascii="Times New Roman" w:hAnsi="Times New Roman" w:cs="Times New Roman"/>
        </w:rPr>
        <w:t xml:space="preserve"> Thus, our </w:t>
      </w:r>
      <w:r>
        <w:rPr>
          <w:rFonts w:ascii="Times New Roman" w:hAnsi="Times New Roman" w:cs="Times New Roman"/>
        </w:rPr>
        <w:t xml:space="preserve">findings </w:t>
      </w:r>
      <w:r w:rsidRPr="004A1B5F">
        <w:rPr>
          <w:rFonts w:ascii="Times New Roman" w:hAnsi="Times New Roman" w:cs="Times New Roman"/>
        </w:rPr>
        <w:t xml:space="preserve">suggest that it is necessary to move beyond a focus upon states and the treaty texts they negotiate.  As </w:t>
      </w:r>
      <w:r w:rsidR="00806CE6">
        <w:rPr>
          <w:rFonts w:ascii="Times New Roman" w:hAnsi="Times New Roman" w:cs="Times New Roman"/>
        </w:rPr>
        <w:t>we have seen</w:t>
      </w:r>
      <w:r w:rsidRPr="004A1B5F">
        <w:rPr>
          <w:rFonts w:ascii="Times New Roman" w:hAnsi="Times New Roman" w:cs="Times New Roman"/>
        </w:rPr>
        <w:t xml:space="preserve">, states </w:t>
      </w:r>
      <w:r w:rsidR="00806CE6">
        <w:rPr>
          <w:rFonts w:ascii="Times New Roman" w:hAnsi="Times New Roman" w:cs="Times New Roman"/>
        </w:rPr>
        <w:t>are important, but</w:t>
      </w:r>
      <w:r w:rsidRPr="004A1B5F">
        <w:rPr>
          <w:rFonts w:ascii="Times New Roman" w:hAnsi="Times New Roman" w:cs="Times New Roman"/>
        </w:rPr>
        <w:t xml:space="preserve"> not the only </w:t>
      </w:r>
      <w:r>
        <w:rPr>
          <w:rFonts w:ascii="Times New Roman" w:hAnsi="Times New Roman" w:cs="Times New Roman"/>
        </w:rPr>
        <w:t xml:space="preserve">(or even the primary) </w:t>
      </w:r>
      <w:r w:rsidRPr="004A1B5F">
        <w:rPr>
          <w:rFonts w:ascii="Times New Roman" w:hAnsi="Times New Roman" w:cs="Times New Roman"/>
        </w:rPr>
        <w:t xml:space="preserve">actors </w:t>
      </w:r>
      <w:r>
        <w:rPr>
          <w:rFonts w:ascii="Times New Roman" w:hAnsi="Times New Roman" w:cs="Times New Roman"/>
        </w:rPr>
        <w:t>that</w:t>
      </w:r>
      <w:r w:rsidRPr="004A1B5F">
        <w:rPr>
          <w:rFonts w:ascii="Times New Roman" w:hAnsi="Times New Roman" w:cs="Times New Roman"/>
        </w:rPr>
        <w:t xml:space="preserve"> drive</w:t>
      </w:r>
      <w:r>
        <w:rPr>
          <w:rFonts w:ascii="Times New Roman" w:hAnsi="Times New Roman" w:cs="Times New Roman"/>
        </w:rPr>
        <w:t xml:space="preserve"> the rules, norms, and practice of international judicial </w:t>
      </w:r>
      <w:r w:rsidRPr="004A1B5F">
        <w:rPr>
          <w:rFonts w:ascii="Times New Roman" w:hAnsi="Times New Roman" w:cs="Times New Roman"/>
        </w:rPr>
        <w:t>dissent</w:t>
      </w:r>
      <w:r>
        <w:rPr>
          <w:rFonts w:ascii="Times New Roman" w:hAnsi="Times New Roman" w:cs="Times New Roman"/>
        </w:rPr>
        <w:t>.  Instead</w:t>
      </w:r>
      <w:r w:rsidRPr="004A1B5F">
        <w:rPr>
          <w:rFonts w:ascii="Times New Roman" w:hAnsi="Times New Roman" w:cs="Times New Roman"/>
        </w:rPr>
        <w:t xml:space="preserve">, the frequency and form of judicial dissents is better understood as the outcome of a strategic interaction between states and the judiciary, as well as within any particular judicial body, than as inevitably following from decisions states </w:t>
      </w:r>
      <w:r>
        <w:rPr>
          <w:rFonts w:ascii="Times New Roman" w:hAnsi="Times New Roman" w:cs="Times New Roman"/>
        </w:rPr>
        <w:t xml:space="preserve">reach </w:t>
      </w:r>
      <w:r w:rsidRPr="004A1B5F">
        <w:rPr>
          <w:rFonts w:ascii="Times New Roman" w:hAnsi="Times New Roman" w:cs="Times New Roman"/>
        </w:rPr>
        <w:t xml:space="preserve">when creating a tribunal. </w:t>
      </w:r>
    </w:p>
    <w:p w14:paraId="626C86D8" w14:textId="15CFDBEC" w:rsidR="00BF5A11" w:rsidRDefault="00806CE6" w:rsidP="001A0CA6">
      <w:pPr>
        <w:spacing w:after="0" w:line="360" w:lineRule="auto"/>
        <w:ind w:firstLine="720"/>
        <w:jc w:val="both"/>
        <w:outlineLvl w:val="0"/>
        <w:rPr>
          <w:rFonts w:ascii="Times New Roman" w:hAnsi="Times New Roman" w:cs="Times New Roman"/>
        </w:rPr>
      </w:pPr>
      <w:r>
        <w:rPr>
          <w:rFonts w:ascii="Times New Roman" w:hAnsi="Times New Roman" w:cs="Times New Roman"/>
        </w:rPr>
        <w:t xml:space="preserve">Second, and more broadly, our approach to the question of international judicial dissent speaks clearly to a recent – and in our view salutary – breaking down of conceptual and methodological walls between international law and politics on the one hand, and domestic or comparative law and politics on the other.  </w:t>
      </w:r>
      <w:r w:rsidR="00DC1450">
        <w:rPr>
          <w:rFonts w:ascii="Times New Roman" w:hAnsi="Times New Roman" w:cs="Times New Roman"/>
        </w:rPr>
        <w:t>Like Staton and Moore, we</w:t>
      </w:r>
      <w:r w:rsidR="00DC1450" w:rsidRPr="004A1B5F">
        <w:rPr>
          <w:rFonts w:ascii="Times New Roman" w:hAnsi="Times New Roman" w:cs="Times New Roman"/>
        </w:rPr>
        <w:t xml:space="preserve"> believe that </w:t>
      </w:r>
      <w:r>
        <w:rPr>
          <w:rFonts w:ascii="Times New Roman" w:hAnsi="Times New Roman" w:cs="Times New Roman"/>
        </w:rPr>
        <w:t>a</w:t>
      </w:r>
      <w:r w:rsidR="00DC1450" w:rsidRPr="004A1B5F">
        <w:rPr>
          <w:rFonts w:ascii="Times New Roman" w:hAnsi="Times New Roman" w:cs="Times New Roman"/>
        </w:rPr>
        <w:t xml:space="preserve"> strict divide </w:t>
      </w:r>
      <w:r>
        <w:rPr>
          <w:rFonts w:ascii="Times New Roman" w:hAnsi="Times New Roman" w:cs="Times New Roman"/>
        </w:rPr>
        <w:t xml:space="preserve">between the international and the domestic </w:t>
      </w:r>
      <w:r w:rsidR="00DC1450" w:rsidRPr="004A1B5F">
        <w:rPr>
          <w:rFonts w:ascii="Times New Roman" w:hAnsi="Times New Roman" w:cs="Times New Roman"/>
        </w:rPr>
        <w:t>disserves scholars on both sides of this line</w:t>
      </w:r>
      <w:r w:rsidR="001A0CA6">
        <w:rPr>
          <w:rFonts w:ascii="Times New Roman" w:hAnsi="Times New Roman" w:cs="Times New Roman"/>
        </w:rPr>
        <w:t>,</w:t>
      </w:r>
      <w:r w:rsidR="00DC1450">
        <w:rPr>
          <w:rStyle w:val="FootnoteReference"/>
          <w:rFonts w:ascii="Times New Roman" w:hAnsi="Times New Roman" w:cs="Times New Roman"/>
        </w:rPr>
        <w:footnoteReference w:id="60"/>
      </w:r>
      <w:r w:rsidR="00DC1450" w:rsidRPr="004A1B5F">
        <w:rPr>
          <w:rFonts w:ascii="Times New Roman" w:hAnsi="Times New Roman" w:cs="Times New Roman"/>
        </w:rPr>
        <w:t xml:space="preserve"> </w:t>
      </w:r>
      <w:r w:rsidR="00E82E85">
        <w:rPr>
          <w:rFonts w:ascii="Times New Roman" w:hAnsi="Times New Roman" w:cs="Times New Roman"/>
        </w:rPr>
        <w:t>particularly with respe</w:t>
      </w:r>
      <w:r w:rsidR="00CC303F">
        <w:rPr>
          <w:rFonts w:ascii="Times New Roman" w:hAnsi="Times New Roman" w:cs="Times New Roman"/>
        </w:rPr>
        <w:t>ct to the study of judicial politics</w:t>
      </w:r>
      <w:r w:rsidR="00E82E85">
        <w:rPr>
          <w:rFonts w:ascii="Times New Roman" w:hAnsi="Times New Roman" w:cs="Times New Roman"/>
        </w:rPr>
        <w:t xml:space="preserve"> where many of the fundamental questions about the workings of courts and their interactions with </w:t>
      </w:r>
      <w:r w:rsidR="00E82E85">
        <w:rPr>
          <w:rFonts w:ascii="Times New Roman" w:hAnsi="Times New Roman" w:cs="Times New Roman"/>
        </w:rPr>
        <w:lastRenderedPageBreak/>
        <w:t xml:space="preserve">powerful interlocutors transcend the domestic/international boundary.  In our case, we seek to explain the phenomenon of </w:t>
      </w:r>
      <w:r w:rsidR="00E82E85" w:rsidRPr="001A0CA6">
        <w:rPr>
          <w:rFonts w:ascii="Times New Roman" w:hAnsi="Times New Roman" w:cs="Times New Roman"/>
          <w:i/>
        </w:rPr>
        <w:t>international</w:t>
      </w:r>
      <w:r w:rsidR="00E82E85">
        <w:rPr>
          <w:rFonts w:ascii="Times New Roman" w:hAnsi="Times New Roman" w:cs="Times New Roman"/>
        </w:rPr>
        <w:t xml:space="preserve"> judicial dissent, yet we have found that even the most promising institutionalist and liberal IR theories are underspecified and generate no clear testable hypotheses about the causes or consequences of dissent, while international legal studies have focused relatively narrowly on normative and doctrinal issues and avoided providing</w:t>
      </w:r>
      <w:r w:rsidR="0013704F">
        <w:rPr>
          <w:rFonts w:ascii="Times New Roman" w:hAnsi="Times New Roman" w:cs="Times New Roman"/>
        </w:rPr>
        <w:t xml:space="preserve"> any explanation</w:t>
      </w:r>
      <w:r w:rsidR="00E82E85">
        <w:rPr>
          <w:rFonts w:ascii="Times New Roman" w:hAnsi="Times New Roman" w:cs="Times New Roman"/>
        </w:rPr>
        <w:t xml:space="preserve"> for variations in </w:t>
      </w:r>
      <w:r w:rsidR="0013704F">
        <w:rPr>
          <w:rFonts w:ascii="Times New Roman" w:hAnsi="Times New Roman" w:cs="Times New Roman"/>
        </w:rPr>
        <w:t>dissent</w:t>
      </w:r>
      <w:r w:rsidR="00E82E85">
        <w:rPr>
          <w:rFonts w:ascii="Times New Roman" w:hAnsi="Times New Roman" w:cs="Times New Roman"/>
        </w:rPr>
        <w:t xml:space="preserve"> across international courts.  By contrast, scholars of American and comparative law and judicial politics have studied the causes and consequences of judicial dissent for decades, producing a wealth of testable hypotheses.  To be sure, these domestic frameworks cannot simply be pulled off the shelf and applied uncritically to international courts and judges, and we have emphasized in particular the blindness of the American literature to factors that might be expected to matter a great deal in the international context.  Nevertheless, it is clear that the many of the core hypotheses about domestic judicial dissent can indeed travel to the international level with relatively minor modifications, and therefore constitute our most promising starting point for studying a question </w:t>
      </w:r>
      <w:r w:rsidR="0013704F">
        <w:rPr>
          <w:rFonts w:ascii="Times New Roman" w:hAnsi="Times New Roman" w:cs="Times New Roman"/>
        </w:rPr>
        <w:t>about which the IL and IR literature have been almost entirely silent.</w:t>
      </w:r>
      <w:r w:rsidR="00E82E85">
        <w:rPr>
          <w:rFonts w:ascii="Times New Roman" w:hAnsi="Times New Roman" w:cs="Times New Roman"/>
        </w:rPr>
        <w:t xml:space="preserve">  </w:t>
      </w:r>
    </w:p>
    <w:p w14:paraId="0EE65F62" w14:textId="6234BAF5" w:rsidR="00DC1450" w:rsidRPr="000A018A" w:rsidRDefault="00DC1450" w:rsidP="00656BAA">
      <w:pPr>
        <w:rPr>
          <w:rFonts w:ascii="Times New Roman" w:hAnsi="Times New Roman" w:cs="Times New Roman"/>
          <w:b/>
        </w:rPr>
      </w:pPr>
    </w:p>
    <w:sectPr w:rsidR="00DC1450" w:rsidRPr="000A018A" w:rsidSect="007034C8">
      <w:footerReference w:type="even" r:id="rId16"/>
      <w:footerReference w:type="default" r:id="rId17"/>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F1292" w14:textId="77777777" w:rsidR="000B3EDB" w:rsidRDefault="000B3EDB" w:rsidP="00E06CA8">
      <w:pPr>
        <w:spacing w:after="0"/>
      </w:pPr>
      <w:r>
        <w:separator/>
      </w:r>
    </w:p>
  </w:endnote>
  <w:endnote w:type="continuationSeparator" w:id="0">
    <w:p w14:paraId="4990D5C8" w14:textId="77777777" w:rsidR="000B3EDB" w:rsidRDefault="000B3EDB" w:rsidP="00E06C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Symbol">
    <w:altName w:val="Symbol"/>
    <w:panose1 w:val="00000000000000000000"/>
    <w:charset w:val="02"/>
    <w:family w:val="auto"/>
    <w:pitch w:val="variable"/>
    <w:sig w:usb0="00000000" w:usb1="10000000" w:usb2="00000000" w:usb3="00000000" w:csb0="80000000" w:csb1="00000000"/>
  </w:font>
  <w:font w:name="Courier New">
    <w:altName w:val="Courier"/>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EA031" w14:textId="77777777" w:rsidR="000B3EDB" w:rsidRDefault="000B3EDB" w:rsidP="001A0C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745506" w14:textId="77777777" w:rsidR="000B3EDB" w:rsidRDefault="000B3EDB" w:rsidP="001A0CA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585B8" w14:textId="77777777" w:rsidR="000B3EDB" w:rsidRDefault="000B3EDB" w:rsidP="004068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sdt>
    <w:sdtPr>
      <w:id w:val="-1718877547"/>
      <w:docPartObj>
        <w:docPartGallery w:val="Page Numbers (Bottom of Page)"/>
        <w:docPartUnique/>
      </w:docPartObj>
    </w:sdtPr>
    <w:sdtEndPr>
      <w:rPr>
        <w:noProof/>
      </w:rPr>
    </w:sdtEndPr>
    <w:sdtContent>
      <w:p w14:paraId="073001A5" w14:textId="6D79D677" w:rsidR="000B3EDB" w:rsidRDefault="00B67830" w:rsidP="0040681B">
        <w:pPr>
          <w:pStyle w:val="Footer"/>
          <w:ind w:right="360"/>
          <w:jc w:val="center"/>
        </w:pPr>
      </w:p>
    </w:sdtContent>
  </w:sdt>
  <w:p w14:paraId="57BBDD4C" w14:textId="77777777" w:rsidR="000B3EDB" w:rsidRDefault="000B3ED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4D611" w14:textId="77777777" w:rsidR="000B3EDB" w:rsidRDefault="000B3EDB" w:rsidP="001A0C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152E5B" w14:textId="77777777" w:rsidR="000B3EDB" w:rsidRDefault="000B3EDB" w:rsidP="001A0CA6">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8BCCD" w14:textId="77777777" w:rsidR="000B3EDB" w:rsidRDefault="000B3EDB" w:rsidP="004068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7830">
      <w:rPr>
        <w:rStyle w:val="PageNumber"/>
        <w:noProof/>
      </w:rPr>
      <w:t>1</w:t>
    </w:r>
    <w:r>
      <w:rPr>
        <w:rStyle w:val="PageNumber"/>
      </w:rPr>
      <w:fldChar w:fldCharType="end"/>
    </w:r>
  </w:p>
  <w:sdt>
    <w:sdtPr>
      <w:id w:val="-1197082702"/>
      <w:docPartObj>
        <w:docPartGallery w:val="Page Numbers (Bottom of Page)"/>
        <w:docPartUnique/>
      </w:docPartObj>
    </w:sdtPr>
    <w:sdtEndPr>
      <w:rPr>
        <w:noProof/>
      </w:rPr>
    </w:sdtEndPr>
    <w:sdtContent>
      <w:p w14:paraId="326FB58D" w14:textId="77777777" w:rsidR="000B3EDB" w:rsidRDefault="00B67830" w:rsidP="0040681B">
        <w:pPr>
          <w:pStyle w:val="Footer"/>
          <w:ind w:right="360"/>
          <w:jc w:val="center"/>
        </w:pPr>
      </w:p>
    </w:sdtContent>
  </w:sdt>
  <w:p w14:paraId="0294BB17" w14:textId="77777777" w:rsidR="000B3EDB" w:rsidRDefault="000B3EDB">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3CED2" w14:textId="77777777" w:rsidR="000B3EDB" w:rsidRDefault="000B3EDB" w:rsidP="00A815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031FB2" w14:textId="77777777" w:rsidR="000B3EDB" w:rsidRDefault="000B3EDB">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D1164" w14:textId="77777777" w:rsidR="000B3EDB" w:rsidRDefault="000B3EDB" w:rsidP="00A815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7830">
      <w:rPr>
        <w:rStyle w:val="PageNumber"/>
        <w:noProof/>
      </w:rPr>
      <w:t>41</w:t>
    </w:r>
    <w:r>
      <w:rPr>
        <w:rStyle w:val="PageNumber"/>
      </w:rPr>
      <w:fldChar w:fldCharType="end"/>
    </w:r>
  </w:p>
  <w:p w14:paraId="28385E79" w14:textId="77777777" w:rsidR="000B3EDB" w:rsidRDefault="000B3E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55F9C" w14:textId="77777777" w:rsidR="000B3EDB" w:rsidRDefault="000B3EDB" w:rsidP="00E06CA8">
      <w:pPr>
        <w:spacing w:after="0"/>
      </w:pPr>
      <w:r>
        <w:separator/>
      </w:r>
    </w:p>
  </w:footnote>
  <w:footnote w:type="continuationSeparator" w:id="0">
    <w:p w14:paraId="7A41A81A" w14:textId="77777777" w:rsidR="000B3EDB" w:rsidRDefault="000B3EDB" w:rsidP="00E06CA8">
      <w:pPr>
        <w:spacing w:after="0"/>
      </w:pPr>
      <w:r>
        <w:continuationSeparator/>
      </w:r>
    </w:p>
  </w:footnote>
  <w:footnote w:id="1">
    <w:p w14:paraId="35E52DD8" w14:textId="13288FA9" w:rsidR="000B3EDB" w:rsidRPr="004C69CC" w:rsidRDefault="000B3EDB" w:rsidP="004C69CC">
      <w:pPr>
        <w:pStyle w:val="FootnoteText"/>
        <w:spacing w:after="120"/>
        <w:jc w:val="both"/>
        <w:rPr>
          <w:rFonts w:ascii="Times New Roman" w:hAnsi="Times New Roman" w:cs="Times New Roman"/>
          <w:sz w:val="20"/>
          <w:szCs w:val="20"/>
        </w:rPr>
      </w:pPr>
      <w:r w:rsidRPr="0062601B">
        <w:rPr>
          <w:rStyle w:val="FootnoteReference"/>
          <w:rFonts w:ascii="Times New Roman" w:hAnsi="Times New Roman" w:cs="Times New Roman"/>
          <w:sz w:val="20"/>
          <w:szCs w:val="20"/>
        </w:rPr>
        <w:footnoteRef/>
      </w:r>
      <w:r w:rsidRPr="0062601B">
        <w:rPr>
          <w:rFonts w:ascii="Times New Roman" w:hAnsi="Times New Roman" w:cs="Times New Roman"/>
          <w:sz w:val="20"/>
          <w:szCs w:val="20"/>
        </w:rPr>
        <w:t xml:space="preserve"> See e.g. Julia </w:t>
      </w:r>
      <w:r w:rsidRPr="0062601B">
        <w:rPr>
          <w:rFonts w:ascii="Times New Roman" w:hAnsi="Times New Roman" w:cs="Times New Roman"/>
          <w:bCs/>
          <w:sz w:val="20"/>
          <w:szCs w:val="20"/>
        </w:rPr>
        <w:t xml:space="preserve">Laffranque, </w:t>
      </w:r>
      <w:r w:rsidRPr="0062601B">
        <w:rPr>
          <w:rFonts w:ascii="Times New Roman" w:hAnsi="Times New Roman" w:cs="Times New Roman"/>
          <w:bCs/>
          <w:i/>
          <w:sz w:val="20"/>
          <w:szCs w:val="20"/>
        </w:rPr>
        <w:t>Dissenting Opinion in the European Court of Justice</w:t>
      </w:r>
      <w:r w:rsidRPr="0062601B">
        <w:rPr>
          <w:rFonts w:ascii="Times New Roman" w:hAnsi="Times New Roman" w:cs="Times New Roman"/>
          <w:bCs/>
          <w:sz w:val="20"/>
          <w:szCs w:val="20"/>
        </w:rPr>
        <w:t xml:space="preserve">, IX </w:t>
      </w:r>
      <w:r w:rsidRPr="0062601B">
        <w:rPr>
          <w:rFonts w:ascii="Times New Roman" w:hAnsi="Times New Roman" w:cs="Times New Roman"/>
          <w:bCs/>
          <w:smallCaps/>
          <w:sz w:val="20"/>
          <w:szCs w:val="20"/>
        </w:rPr>
        <w:t>Juridica International</w:t>
      </w:r>
      <w:r w:rsidRPr="0062601B">
        <w:rPr>
          <w:rFonts w:ascii="Times New Roman" w:hAnsi="Times New Roman" w:cs="Times New Roman"/>
          <w:bCs/>
          <w:i/>
          <w:sz w:val="20"/>
          <w:szCs w:val="20"/>
        </w:rPr>
        <w:t xml:space="preserve"> </w:t>
      </w:r>
      <w:r w:rsidRPr="0062601B">
        <w:rPr>
          <w:rFonts w:ascii="Times New Roman" w:hAnsi="Times New Roman" w:cs="Times New Roman"/>
          <w:bCs/>
          <w:sz w:val="20"/>
          <w:szCs w:val="20"/>
        </w:rPr>
        <w:t xml:space="preserve">14, </w:t>
      </w:r>
      <w:r w:rsidRPr="004C69CC">
        <w:rPr>
          <w:rFonts w:ascii="Times New Roman" w:hAnsi="Times New Roman" w:cs="Times New Roman"/>
          <w:bCs/>
          <w:sz w:val="20"/>
          <w:szCs w:val="20"/>
        </w:rPr>
        <w:t>16-17 (2004);</w:t>
      </w:r>
      <w:r w:rsidRPr="004C69CC">
        <w:rPr>
          <w:rFonts w:ascii="Times New Roman" w:hAnsi="Times New Roman" w:cs="Times New Roman"/>
          <w:sz w:val="20"/>
          <w:szCs w:val="20"/>
        </w:rPr>
        <w:t xml:space="preserve"> Walter Mattli &amp; Anne-Marie Slaughter, </w:t>
      </w:r>
      <w:r w:rsidRPr="004C69CC">
        <w:rPr>
          <w:rFonts w:ascii="Times New Roman" w:hAnsi="Times New Roman" w:cs="Times New Roman"/>
          <w:i/>
          <w:sz w:val="20"/>
          <w:szCs w:val="20"/>
        </w:rPr>
        <w:t>Revisiting the European Court of Justice</w:t>
      </w:r>
      <w:r w:rsidRPr="004C69CC">
        <w:rPr>
          <w:rFonts w:ascii="Times New Roman" w:hAnsi="Times New Roman" w:cs="Times New Roman"/>
          <w:sz w:val="20"/>
          <w:szCs w:val="20"/>
        </w:rPr>
        <w:t xml:space="preserve">, 52 </w:t>
      </w:r>
      <w:r w:rsidRPr="004C69CC">
        <w:rPr>
          <w:rFonts w:ascii="Times New Roman" w:hAnsi="Times New Roman" w:cs="Times New Roman"/>
          <w:smallCaps/>
          <w:sz w:val="20"/>
          <w:szCs w:val="20"/>
        </w:rPr>
        <w:t>Int’l Org.</w:t>
      </w:r>
      <w:r w:rsidRPr="004C69CC">
        <w:rPr>
          <w:rFonts w:ascii="Times New Roman" w:hAnsi="Times New Roman" w:cs="Times New Roman"/>
          <w:sz w:val="20"/>
          <w:szCs w:val="20"/>
        </w:rPr>
        <w:t xml:space="preserve"> 177 (1998); and </w:t>
      </w:r>
      <w:r w:rsidRPr="004C69CC">
        <w:rPr>
          <w:rFonts w:ascii="Times New Roman" w:hAnsi="Times New Roman" w:cs="Times New Roman"/>
          <w:smallCaps/>
          <w:sz w:val="20"/>
          <w:szCs w:val="20"/>
        </w:rPr>
        <w:t xml:space="preserve">Daniel Terris, Cesare P.R. Romano, and Lynn Swigart, </w:t>
      </w:r>
      <w:r w:rsidRPr="004C69CC">
        <w:rPr>
          <w:rFonts w:ascii="Times New Roman" w:hAnsi="Times New Roman" w:cs="Times New Roman"/>
          <w:iCs/>
          <w:smallCaps/>
          <w:sz w:val="20"/>
          <w:szCs w:val="20"/>
        </w:rPr>
        <w:t>The International Judge: An Introduction to the Men and Women Who Decide the World’s Cases</w:t>
      </w:r>
      <w:r w:rsidRPr="004C69CC">
        <w:rPr>
          <w:rFonts w:ascii="Times New Roman" w:hAnsi="Times New Roman" w:cs="Times New Roman"/>
          <w:sz w:val="20"/>
          <w:szCs w:val="20"/>
        </w:rPr>
        <w:t xml:space="preserve"> 125 (2007).</w:t>
      </w:r>
    </w:p>
  </w:footnote>
  <w:footnote w:id="2">
    <w:p w14:paraId="4877E46E" w14:textId="29E01A90" w:rsidR="000B3EDB" w:rsidRPr="004C69CC" w:rsidRDefault="000B3EDB" w:rsidP="004C69CC">
      <w:pPr>
        <w:pStyle w:val="FootnoteText"/>
        <w:spacing w:after="120"/>
        <w:jc w:val="both"/>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The classical statement of this position can be found in R.P. Anand, </w:t>
      </w:r>
      <w:r w:rsidRPr="004C69CC">
        <w:rPr>
          <w:rFonts w:ascii="Times New Roman" w:hAnsi="Times New Roman" w:cs="Times New Roman"/>
          <w:i/>
          <w:sz w:val="20"/>
          <w:szCs w:val="20"/>
        </w:rPr>
        <w:t>The Role of Individual and Dissenting Opinions in International Adjudication</w:t>
      </w:r>
      <w:r w:rsidRPr="004C69CC">
        <w:rPr>
          <w:rFonts w:ascii="Times New Roman" w:hAnsi="Times New Roman" w:cs="Times New Roman"/>
          <w:sz w:val="20"/>
          <w:szCs w:val="20"/>
        </w:rPr>
        <w:t xml:space="preserve">, </w:t>
      </w:r>
      <w:proofErr w:type="gramStart"/>
      <w:r w:rsidRPr="004C69CC">
        <w:rPr>
          <w:rFonts w:ascii="Times New Roman" w:hAnsi="Times New Roman" w:cs="Times New Roman"/>
          <w:sz w:val="20"/>
          <w:szCs w:val="20"/>
        </w:rPr>
        <w:t>14</w:t>
      </w:r>
      <w:proofErr w:type="gramEnd"/>
      <w:r w:rsidRPr="004C69CC">
        <w:rPr>
          <w:rFonts w:ascii="Times New Roman" w:hAnsi="Times New Roman" w:cs="Times New Roman"/>
          <w:smallCaps/>
          <w:sz w:val="20"/>
          <w:szCs w:val="20"/>
        </w:rPr>
        <w:t xml:space="preserve"> Int’l &amp; Comp. L. Q.</w:t>
      </w:r>
      <w:r w:rsidRPr="004C69CC">
        <w:rPr>
          <w:rFonts w:ascii="Times New Roman" w:hAnsi="Times New Roman" w:cs="Times New Roman"/>
          <w:sz w:val="20"/>
          <w:szCs w:val="20"/>
        </w:rPr>
        <w:t xml:space="preserve"> 788 (1965).</w:t>
      </w:r>
    </w:p>
  </w:footnote>
  <w:footnote w:id="3">
    <w:p w14:paraId="3A832694" w14:textId="1BCDBC11" w:rsidR="000B3EDB" w:rsidRPr="004C69CC" w:rsidRDefault="000B3EDB" w:rsidP="004C69CC">
      <w:pPr>
        <w:pStyle w:val="FootnoteText"/>
        <w:spacing w:after="120"/>
        <w:jc w:val="both"/>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Erik Voeten,</w:t>
      </w:r>
      <w:r w:rsidRPr="004C69CC" w:rsidDel="00420BBD">
        <w:rPr>
          <w:rFonts w:ascii="Times New Roman" w:hAnsi="Times New Roman" w:cs="Times New Roman"/>
          <w:sz w:val="20"/>
          <w:szCs w:val="20"/>
        </w:rPr>
        <w:t xml:space="preserve"> </w:t>
      </w:r>
      <w:r w:rsidRPr="004C69CC">
        <w:rPr>
          <w:rFonts w:ascii="Times New Roman" w:hAnsi="Times New Roman" w:cs="Times New Roman"/>
          <w:i/>
          <w:sz w:val="20"/>
          <w:szCs w:val="20"/>
        </w:rPr>
        <w:t xml:space="preserve">The Impartiality of International Judges: Evidence from the European Court of Human Rights, </w:t>
      </w:r>
      <w:r w:rsidRPr="004C69CC">
        <w:rPr>
          <w:rFonts w:ascii="Times New Roman" w:hAnsi="Times New Roman" w:cs="Times New Roman"/>
          <w:sz w:val="20"/>
          <w:szCs w:val="20"/>
        </w:rPr>
        <w:t xml:space="preserve">102 </w:t>
      </w:r>
      <w:proofErr w:type="gramStart"/>
      <w:r w:rsidRPr="004C69CC">
        <w:rPr>
          <w:rFonts w:ascii="Times New Roman" w:hAnsi="Times New Roman" w:cs="Times New Roman"/>
          <w:iCs/>
          <w:smallCaps/>
          <w:sz w:val="20"/>
          <w:szCs w:val="20"/>
        </w:rPr>
        <w:t>Am</w:t>
      </w:r>
      <w:proofErr w:type="gramEnd"/>
      <w:r w:rsidRPr="004C69CC">
        <w:rPr>
          <w:rFonts w:ascii="Times New Roman" w:hAnsi="Times New Roman" w:cs="Times New Roman"/>
          <w:iCs/>
          <w:smallCaps/>
          <w:sz w:val="20"/>
          <w:szCs w:val="20"/>
        </w:rPr>
        <w:t>. Pol. Sci. Rev.</w:t>
      </w:r>
      <w:r w:rsidRPr="004C69CC">
        <w:rPr>
          <w:rFonts w:ascii="Times New Roman" w:hAnsi="Times New Roman" w:cs="Times New Roman"/>
          <w:iCs/>
          <w:sz w:val="20"/>
          <w:szCs w:val="20"/>
        </w:rPr>
        <w:t xml:space="preserve"> </w:t>
      </w:r>
      <w:r w:rsidRPr="004C69CC">
        <w:rPr>
          <w:rFonts w:ascii="Times New Roman" w:hAnsi="Times New Roman" w:cs="Times New Roman"/>
          <w:sz w:val="20"/>
          <w:szCs w:val="20"/>
        </w:rPr>
        <w:t xml:space="preserve"> </w:t>
      </w:r>
      <w:proofErr w:type="gramStart"/>
      <w:r w:rsidRPr="004C69CC">
        <w:rPr>
          <w:rFonts w:ascii="Times New Roman" w:hAnsi="Times New Roman" w:cs="Times New Roman"/>
          <w:sz w:val="20"/>
          <w:szCs w:val="20"/>
        </w:rPr>
        <w:t>417 (2008).</w:t>
      </w:r>
      <w:proofErr w:type="gramEnd"/>
    </w:p>
  </w:footnote>
  <w:footnote w:id="4">
    <w:p w14:paraId="546BD4B4" w14:textId="10B6D363" w:rsidR="000B3EDB" w:rsidRPr="004C69CC" w:rsidRDefault="000B3EDB" w:rsidP="004C69CC">
      <w:pPr>
        <w:pStyle w:val="FootnoteText"/>
        <w:spacing w:after="120"/>
        <w:jc w:val="both"/>
        <w:rPr>
          <w:rFonts w:ascii="Times New Roman" w:hAnsi="Times New Roman" w:cs="Times New Roman"/>
          <w:b/>
          <w:bCs/>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w:t>
      </w:r>
      <w:proofErr w:type="gramStart"/>
      <w:r w:rsidRPr="004C69CC">
        <w:rPr>
          <w:rFonts w:ascii="Times New Roman" w:hAnsi="Times New Roman" w:cs="Times New Roman"/>
          <w:bCs/>
          <w:sz w:val="20"/>
          <w:szCs w:val="20"/>
        </w:rPr>
        <w:t xml:space="preserve">Meredith Kolsky Lewis, </w:t>
      </w:r>
      <w:r w:rsidRPr="004C69CC">
        <w:rPr>
          <w:rFonts w:ascii="Times New Roman" w:hAnsi="Times New Roman" w:cs="Times New Roman"/>
          <w:bCs/>
          <w:i/>
          <w:sz w:val="20"/>
          <w:szCs w:val="20"/>
        </w:rPr>
        <w:t>The Lack of Dissent in WTO Dispute Settlement</w:t>
      </w:r>
      <w:r w:rsidRPr="004C69CC">
        <w:rPr>
          <w:rFonts w:ascii="Times New Roman" w:hAnsi="Times New Roman" w:cs="Times New Roman"/>
          <w:bCs/>
          <w:sz w:val="20"/>
          <w:szCs w:val="20"/>
        </w:rPr>
        <w:t xml:space="preserve">, 9 </w:t>
      </w:r>
      <w:r w:rsidRPr="004C69CC">
        <w:rPr>
          <w:rFonts w:ascii="Times New Roman" w:hAnsi="Times New Roman" w:cs="Times New Roman"/>
          <w:bCs/>
          <w:iCs/>
          <w:smallCaps/>
          <w:sz w:val="20"/>
          <w:szCs w:val="20"/>
        </w:rPr>
        <w:t>J. Int’l Econ.</w:t>
      </w:r>
      <w:proofErr w:type="gramEnd"/>
      <w:r w:rsidRPr="004C69CC">
        <w:rPr>
          <w:rFonts w:ascii="Times New Roman" w:hAnsi="Times New Roman" w:cs="Times New Roman"/>
          <w:bCs/>
          <w:iCs/>
          <w:smallCaps/>
          <w:sz w:val="20"/>
          <w:szCs w:val="20"/>
        </w:rPr>
        <w:t xml:space="preserve"> L</w:t>
      </w:r>
      <w:r w:rsidRPr="004C69CC">
        <w:rPr>
          <w:rFonts w:ascii="Times New Roman" w:hAnsi="Times New Roman" w:cs="Times New Roman"/>
          <w:bCs/>
          <w:i/>
          <w:iCs/>
          <w:sz w:val="20"/>
          <w:szCs w:val="20"/>
        </w:rPr>
        <w:t>.</w:t>
      </w:r>
      <w:r w:rsidRPr="004C69CC">
        <w:rPr>
          <w:rFonts w:ascii="Times New Roman" w:hAnsi="Times New Roman" w:cs="Times New Roman"/>
          <w:bCs/>
          <w:iCs/>
          <w:sz w:val="20"/>
          <w:szCs w:val="20"/>
        </w:rPr>
        <w:t xml:space="preserve"> 895, 903-16(2006)</w:t>
      </w:r>
      <w:r w:rsidRPr="004C69CC">
        <w:rPr>
          <w:rFonts w:ascii="Times New Roman" w:hAnsi="Times New Roman" w:cs="Times New Roman"/>
          <w:sz w:val="20"/>
          <w:szCs w:val="20"/>
        </w:rPr>
        <w:t>.  A similar debate has taken place in the realm of international commercial arbitration; see e.g. Di Pietro, Domenico (2011). “</w:t>
      </w:r>
      <w:r w:rsidRPr="004C69CC">
        <w:rPr>
          <w:rFonts w:ascii="Times New Roman" w:hAnsi="Times New Roman" w:cs="Times New Roman"/>
          <w:bCs/>
          <w:sz w:val="20"/>
          <w:szCs w:val="20"/>
        </w:rPr>
        <w:t xml:space="preserve">The Controversial Role of Dissenting Opinions In International Arbitral Awards,” Transnational Notes, </w:t>
      </w:r>
      <w:hyperlink r:id="rId1" w:history="1">
        <w:r w:rsidRPr="004C69CC">
          <w:rPr>
            <w:rStyle w:val="Hyperlink"/>
            <w:rFonts w:ascii="Times New Roman" w:hAnsi="Times New Roman" w:cs="Times New Roman"/>
            <w:bCs/>
            <w:sz w:val="20"/>
            <w:szCs w:val="20"/>
          </w:rPr>
          <w:t>http://blogs.law.nyu.edu/transnational/2011/10/the-controversial-role-of-dissenting-opinions-in-international-arbitral-awards</w:t>
        </w:r>
      </w:hyperlink>
      <w:r w:rsidRPr="004C69CC">
        <w:rPr>
          <w:rFonts w:ascii="Times New Roman" w:hAnsi="Times New Roman" w:cs="Times New Roman"/>
          <w:bCs/>
          <w:sz w:val="20"/>
          <w:szCs w:val="20"/>
        </w:rPr>
        <w:t xml:space="preserve">. </w:t>
      </w:r>
    </w:p>
  </w:footnote>
  <w:footnote w:id="5">
    <w:p w14:paraId="47CBEE88" w14:textId="20839DC9" w:rsidR="000B3EDB" w:rsidRPr="004C69CC" w:rsidRDefault="000B3EDB" w:rsidP="004C69CC">
      <w:pPr>
        <w:pStyle w:val="FootnoteText"/>
        <w:spacing w:after="120"/>
        <w:jc w:val="both"/>
        <w:rPr>
          <w:rFonts w:ascii="Times New Roman" w:hAnsi="Times New Roman" w:cs="Times New Roman"/>
          <w:bCs/>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Lewis, </w:t>
      </w:r>
      <w:r w:rsidRPr="004C69CC">
        <w:rPr>
          <w:rFonts w:ascii="Times New Roman" w:hAnsi="Times New Roman" w:cs="Times New Roman"/>
          <w:i/>
          <w:sz w:val="20"/>
          <w:szCs w:val="20"/>
        </w:rPr>
        <w:t>supra</w:t>
      </w:r>
      <w:r w:rsidRPr="004C69CC">
        <w:rPr>
          <w:rFonts w:ascii="Times New Roman" w:hAnsi="Times New Roman" w:cs="Times New Roman"/>
          <w:sz w:val="20"/>
          <w:szCs w:val="20"/>
        </w:rPr>
        <w:t xml:space="preserve"> note 4, at 916-931; see also Manfred Elsig and Mark A. Pollack, </w:t>
      </w:r>
      <w:r w:rsidRPr="004C69CC">
        <w:rPr>
          <w:rFonts w:ascii="Times New Roman" w:hAnsi="Times New Roman" w:cs="Times New Roman"/>
          <w:bCs/>
          <w:i/>
          <w:sz w:val="20"/>
          <w:szCs w:val="20"/>
        </w:rPr>
        <w:t>Agents, Trustees, and International Courts:</w:t>
      </w:r>
      <w:r w:rsidRPr="004C69CC">
        <w:rPr>
          <w:rFonts w:ascii="Times New Roman" w:hAnsi="Times New Roman" w:cs="Times New Roman"/>
          <w:i/>
          <w:sz w:val="20"/>
          <w:szCs w:val="20"/>
        </w:rPr>
        <w:t xml:space="preserve"> </w:t>
      </w:r>
      <w:r w:rsidRPr="004C69CC">
        <w:rPr>
          <w:rFonts w:ascii="Times New Roman" w:hAnsi="Times New Roman" w:cs="Times New Roman"/>
          <w:bCs/>
          <w:i/>
          <w:sz w:val="20"/>
          <w:szCs w:val="20"/>
        </w:rPr>
        <w:t>The Politics of Judicial Appointment at the World Trade Organization</w:t>
      </w:r>
      <w:proofErr w:type="gramStart"/>
      <w:r w:rsidRPr="004C69CC">
        <w:rPr>
          <w:rFonts w:ascii="Times New Roman" w:hAnsi="Times New Roman" w:cs="Times New Roman"/>
          <w:bCs/>
          <w:sz w:val="20"/>
          <w:szCs w:val="20"/>
        </w:rPr>
        <w:t xml:space="preserve">,  </w:t>
      </w:r>
      <w:r w:rsidRPr="004C69CC">
        <w:rPr>
          <w:rFonts w:ascii="Times New Roman" w:hAnsi="Times New Roman" w:cs="Times New Roman"/>
          <w:bCs/>
          <w:smallCaps/>
          <w:sz w:val="20"/>
          <w:szCs w:val="20"/>
        </w:rPr>
        <w:t>Eur</w:t>
      </w:r>
      <w:proofErr w:type="gramEnd"/>
      <w:r w:rsidRPr="004C69CC">
        <w:rPr>
          <w:rFonts w:ascii="Times New Roman" w:hAnsi="Times New Roman" w:cs="Times New Roman"/>
          <w:bCs/>
          <w:smallCaps/>
          <w:sz w:val="20"/>
          <w:szCs w:val="20"/>
        </w:rPr>
        <w:t>. J. Int’l Rel.</w:t>
      </w:r>
      <w:r w:rsidRPr="004C69CC">
        <w:rPr>
          <w:rFonts w:ascii="Times New Roman" w:hAnsi="Times New Roman" w:cs="Times New Roman"/>
          <w:bCs/>
          <w:i/>
          <w:sz w:val="20"/>
          <w:szCs w:val="20"/>
        </w:rPr>
        <w:t xml:space="preserve">, </w:t>
      </w:r>
      <w:r w:rsidRPr="004C69CC">
        <w:rPr>
          <w:rFonts w:ascii="Times New Roman" w:hAnsi="Times New Roman" w:cs="Times New Roman"/>
          <w:bCs/>
          <w:sz w:val="20"/>
          <w:szCs w:val="20"/>
        </w:rPr>
        <w:t>forthcoming 2012.</w:t>
      </w:r>
    </w:p>
  </w:footnote>
  <w:footnote w:id="6">
    <w:p w14:paraId="53BD2111" w14:textId="2F08F079" w:rsidR="000B3EDB" w:rsidRPr="004C69CC" w:rsidRDefault="000B3EDB" w:rsidP="004C69CC">
      <w:pPr>
        <w:pStyle w:val="FootnoteText"/>
        <w:spacing w:after="120"/>
        <w:jc w:val="both"/>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Hence, EU scholars generally take it as a given that the lack of dissents increases judicial independence (but see Laffranque, </w:t>
      </w:r>
      <w:r w:rsidRPr="004C69CC">
        <w:rPr>
          <w:rFonts w:ascii="Times New Roman" w:hAnsi="Times New Roman" w:cs="Times New Roman"/>
          <w:i/>
          <w:sz w:val="20"/>
          <w:szCs w:val="20"/>
        </w:rPr>
        <w:t>supra</w:t>
      </w:r>
      <w:r w:rsidRPr="004C69CC">
        <w:rPr>
          <w:rFonts w:ascii="Times New Roman" w:hAnsi="Times New Roman" w:cs="Times New Roman"/>
          <w:sz w:val="20"/>
          <w:szCs w:val="20"/>
        </w:rPr>
        <w:t xml:space="preserve"> note 1), while ICJ scholars argue vehemently that dissent improves the quality of judicial decisions as well as judicial independence, see Anand, </w:t>
      </w:r>
      <w:r w:rsidRPr="004C69CC">
        <w:rPr>
          <w:rFonts w:ascii="Times New Roman" w:hAnsi="Times New Roman" w:cs="Times New Roman"/>
          <w:i/>
          <w:sz w:val="20"/>
          <w:szCs w:val="20"/>
        </w:rPr>
        <w:t>supra</w:t>
      </w:r>
      <w:r w:rsidRPr="004C69CC">
        <w:rPr>
          <w:rFonts w:ascii="Times New Roman" w:hAnsi="Times New Roman" w:cs="Times New Roman"/>
          <w:sz w:val="20"/>
          <w:szCs w:val="20"/>
        </w:rPr>
        <w:t xml:space="preserve"> note 2, but with little empirical evidence for either set of claims and with little evidence of engagement between the two camps.  Lewis engages in an exceptional, if brief, comparative analysis, comparing the WTO to three other courts (ICJ, ITLOS, and NAFTA Chapter 19 and 20 arbitrations) and concluding that the WTO is an outlier in rejecting dissents, but this analysis engages in clear selection bias as it leaves out the primary counter-example of the ECJ. Lewis, </w:t>
      </w:r>
      <w:r w:rsidRPr="004C69CC">
        <w:rPr>
          <w:rFonts w:ascii="Times New Roman" w:hAnsi="Times New Roman" w:cs="Times New Roman"/>
          <w:i/>
          <w:sz w:val="20"/>
          <w:szCs w:val="20"/>
        </w:rPr>
        <w:t>supra</w:t>
      </w:r>
      <w:r w:rsidRPr="004C69CC">
        <w:rPr>
          <w:rFonts w:ascii="Times New Roman" w:hAnsi="Times New Roman" w:cs="Times New Roman"/>
          <w:sz w:val="20"/>
          <w:szCs w:val="20"/>
        </w:rPr>
        <w:t xml:space="preserve"> note 4, at 901-902.  </w:t>
      </w:r>
    </w:p>
  </w:footnote>
  <w:footnote w:id="7">
    <w:p w14:paraId="435E8056" w14:textId="7BA8DB9D" w:rsidR="000B3EDB" w:rsidRPr="004C69CC" w:rsidRDefault="000B3EDB" w:rsidP="004C69CC">
      <w:pPr>
        <w:pStyle w:val="FootnoteText"/>
        <w:spacing w:after="120"/>
        <w:jc w:val="both"/>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In this regard, our approach has strong affinities with the claims of Jeffrey K. Staton and Will H. Moore, </w:t>
      </w:r>
      <w:hyperlink r:id="rId2" w:history="1">
        <w:r w:rsidRPr="004C69CC">
          <w:rPr>
            <w:rStyle w:val="Hyperlink"/>
            <w:rFonts w:ascii="Times New Roman" w:hAnsi="Times New Roman" w:cs="Times New Roman"/>
            <w:i/>
            <w:sz w:val="20"/>
            <w:szCs w:val="20"/>
            <w:u w:val="none"/>
          </w:rPr>
          <w:t>Judicial Power in Domestic and International Politics</w:t>
        </w:r>
      </w:hyperlink>
      <w:r w:rsidRPr="004C69CC">
        <w:rPr>
          <w:rFonts w:ascii="Times New Roman" w:hAnsi="Times New Roman" w:cs="Times New Roman"/>
          <w:sz w:val="20"/>
          <w:szCs w:val="20"/>
        </w:rPr>
        <w:t xml:space="preserve">, 65 </w:t>
      </w:r>
      <w:hyperlink r:id="rId3" w:history="1">
        <w:r w:rsidRPr="004C69CC">
          <w:rPr>
            <w:rStyle w:val="Hyperlink"/>
            <w:rFonts w:ascii="Times New Roman" w:hAnsi="Times New Roman" w:cs="Times New Roman"/>
            <w:smallCaps/>
            <w:sz w:val="20"/>
            <w:szCs w:val="20"/>
            <w:u w:val="none"/>
          </w:rPr>
          <w:t>Int’l Org</w:t>
        </w:r>
      </w:hyperlink>
      <w:r w:rsidRPr="004C69CC">
        <w:rPr>
          <w:rFonts w:ascii="Times New Roman" w:hAnsi="Times New Roman" w:cs="Times New Roman"/>
          <w:i/>
          <w:sz w:val="20"/>
          <w:szCs w:val="20"/>
        </w:rPr>
        <w:t>.</w:t>
      </w:r>
      <w:r w:rsidRPr="004C69CC">
        <w:rPr>
          <w:rFonts w:ascii="Times New Roman" w:hAnsi="Times New Roman" w:cs="Times New Roman"/>
          <w:sz w:val="20"/>
          <w:szCs w:val="20"/>
        </w:rPr>
        <w:t xml:space="preserve"> </w:t>
      </w:r>
      <w:proofErr w:type="gramStart"/>
      <w:r w:rsidRPr="004C69CC">
        <w:rPr>
          <w:rFonts w:ascii="Times New Roman" w:hAnsi="Times New Roman" w:cs="Times New Roman"/>
          <w:sz w:val="20"/>
          <w:szCs w:val="20"/>
        </w:rPr>
        <w:t>553 (2011), as well as Elsig and Pollack’s (2012) application of domestic judicial appointment models to the appointment of international judges.</w:t>
      </w:r>
      <w:proofErr w:type="gramEnd"/>
      <w:r w:rsidRPr="004C69CC">
        <w:rPr>
          <w:rFonts w:ascii="Times New Roman" w:hAnsi="Times New Roman" w:cs="Times New Roman"/>
          <w:sz w:val="20"/>
          <w:szCs w:val="20"/>
        </w:rPr>
        <w:t xml:space="preserve">  Like those authors, we suggest that previous scholarship has overstated the difference between domestic and international courts – both of which stand as wielders of law facing wielders of power, and both of which face similar questions of legal interpretation, judicial independence, and judicial dissent.</w:t>
      </w:r>
    </w:p>
  </w:footnote>
  <w:footnote w:id="8">
    <w:p w14:paraId="7C183D23" w14:textId="7225DA96" w:rsidR="000B3EDB" w:rsidRPr="004C69CC" w:rsidRDefault="000B3EDB" w:rsidP="004C69CC">
      <w:pPr>
        <w:pStyle w:val="FootnoteText"/>
        <w:spacing w:after="120"/>
        <w:jc w:val="both"/>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Kevin M. Stack, </w:t>
      </w:r>
      <w:r w:rsidRPr="004C69CC">
        <w:rPr>
          <w:rFonts w:ascii="Times New Roman" w:hAnsi="Times New Roman" w:cs="Times New Roman"/>
          <w:i/>
          <w:sz w:val="20"/>
          <w:szCs w:val="20"/>
        </w:rPr>
        <w:t>The Practice of Dissent in the Supreme Court</w:t>
      </w:r>
      <w:r w:rsidRPr="004C69CC">
        <w:rPr>
          <w:rFonts w:ascii="Times New Roman" w:hAnsi="Times New Roman" w:cs="Times New Roman"/>
          <w:sz w:val="20"/>
          <w:szCs w:val="20"/>
        </w:rPr>
        <w:t xml:space="preserve">, 105 </w:t>
      </w:r>
      <w:r w:rsidRPr="004C69CC">
        <w:rPr>
          <w:rFonts w:ascii="Times New Roman" w:hAnsi="Times New Roman" w:cs="Times New Roman"/>
          <w:smallCaps/>
          <w:sz w:val="20"/>
          <w:szCs w:val="20"/>
        </w:rPr>
        <w:t>Yale L. J.</w:t>
      </w:r>
      <w:r w:rsidRPr="004C69CC">
        <w:rPr>
          <w:rFonts w:ascii="Times New Roman" w:hAnsi="Times New Roman" w:cs="Times New Roman"/>
          <w:sz w:val="20"/>
          <w:szCs w:val="20"/>
        </w:rPr>
        <w:t xml:space="preserve"> 2235 (1996).</w:t>
      </w:r>
    </w:p>
  </w:footnote>
  <w:footnote w:id="9">
    <w:p w14:paraId="1A6727B8" w14:textId="4E7C53BB" w:rsidR="000B3EDB" w:rsidRPr="004C69CC" w:rsidRDefault="000B3EDB" w:rsidP="004C69CC">
      <w:pPr>
        <w:pStyle w:val="FootnoteText"/>
        <w:spacing w:after="120"/>
        <w:jc w:val="both"/>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Lee Epstein, William M. Landes, and Richard A. Posner, </w:t>
      </w:r>
      <w:r w:rsidRPr="004C69CC">
        <w:rPr>
          <w:rFonts w:ascii="Times New Roman" w:hAnsi="Times New Roman" w:cs="Times New Roman"/>
          <w:i/>
          <w:sz w:val="20"/>
          <w:szCs w:val="20"/>
        </w:rPr>
        <w:t>Why (and When) Judges Dissent: A Theoretical and Empirical Analysis</w:t>
      </w:r>
      <w:r w:rsidRPr="004C69CC">
        <w:rPr>
          <w:rFonts w:ascii="Times New Roman" w:hAnsi="Times New Roman" w:cs="Times New Roman"/>
          <w:sz w:val="20"/>
          <w:szCs w:val="20"/>
        </w:rPr>
        <w:t xml:space="preserve">, </w:t>
      </w:r>
      <w:r w:rsidRPr="004C69CC">
        <w:rPr>
          <w:rFonts w:ascii="Times New Roman" w:hAnsi="Times New Roman" w:cs="Times New Roman"/>
          <w:smallCaps/>
          <w:sz w:val="20"/>
          <w:szCs w:val="20"/>
        </w:rPr>
        <w:t xml:space="preserve">3 J. </w:t>
      </w:r>
      <w:proofErr w:type="gramStart"/>
      <w:r w:rsidRPr="004C69CC">
        <w:rPr>
          <w:rFonts w:ascii="Times New Roman" w:hAnsi="Times New Roman" w:cs="Times New Roman"/>
          <w:smallCaps/>
          <w:sz w:val="20"/>
          <w:szCs w:val="20"/>
        </w:rPr>
        <w:t>Leg</w:t>
      </w:r>
      <w:proofErr w:type="gramEnd"/>
      <w:r w:rsidRPr="004C69CC">
        <w:rPr>
          <w:rFonts w:ascii="Times New Roman" w:hAnsi="Times New Roman" w:cs="Times New Roman"/>
          <w:smallCaps/>
          <w:sz w:val="20"/>
          <w:szCs w:val="20"/>
        </w:rPr>
        <w:t>. Analysis</w:t>
      </w:r>
      <w:r w:rsidRPr="004C69CC">
        <w:rPr>
          <w:rFonts w:ascii="Times New Roman" w:hAnsi="Times New Roman" w:cs="Times New Roman"/>
          <w:sz w:val="20"/>
          <w:szCs w:val="20"/>
        </w:rPr>
        <w:t xml:space="preserve"> 101 (2011)</w:t>
      </w:r>
    </w:p>
  </w:footnote>
  <w:footnote w:id="10">
    <w:p w14:paraId="3E00C2A6" w14:textId="6DBD81D8" w:rsidR="000B3EDB" w:rsidRPr="004C69CC" w:rsidRDefault="000B3EDB" w:rsidP="004C69CC">
      <w:pPr>
        <w:pStyle w:val="FootnoteText"/>
        <w:spacing w:after="120"/>
        <w:jc w:val="both"/>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Brennan xxxx. </w:t>
      </w:r>
    </w:p>
  </w:footnote>
  <w:footnote w:id="11">
    <w:p w14:paraId="05DF9217" w14:textId="40F50743" w:rsidR="000B3EDB" w:rsidRPr="004C69CC" w:rsidRDefault="000B3EDB" w:rsidP="004C69CC">
      <w:pPr>
        <w:pStyle w:val="FootnoteText"/>
        <w:spacing w:after="120"/>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Brennan xxxx.</w:t>
      </w:r>
    </w:p>
  </w:footnote>
  <w:footnote w:id="12">
    <w:p w14:paraId="195B287A" w14:textId="19D59248" w:rsidR="000B3EDB" w:rsidRPr="004C69CC" w:rsidRDefault="000B3EDB" w:rsidP="004C69CC">
      <w:pPr>
        <w:pStyle w:val="FootnoteText"/>
        <w:spacing w:after="120"/>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Brennan xxxx.</w:t>
      </w:r>
    </w:p>
  </w:footnote>
  <w:footnote w:id="13">
    <w:p w14:paraId="37DF6B47" w14:textId="6856E21F" w:rsidR="000B3EDB" w:rsidRPr="004C69CC" w:rsidRDefault="000B3EDB" w:rsidP="004C69CC">
      <w:pPr>
        <w:pStyle w:val="FootnoteText"/>
        <w:spacing w:after="120"/>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Brennan xxxx.</w:t>
      </w:r>
    </w:p>
  </w:footnote>
  <w:footnote w:id="14">
    <w:p w14:paraId="00F7F64D" w14:textId="2B606067" w:rsidR="000B3EDB" w:rsidRPr="004C69CC" w:rsidRDefault="000B3EDB" w:rsidP="004C69CC">
      <w:pPr>
        <w:pStyle w:val="FootnoteText"/>
        <w:spacing w:after="120"/>
        <w:jc w:val="both"/>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For a defense of this view, see Peter Bozzo, Shimmy Edwards, and April A. Christine, </w:t>
      </w:r>
      <w:r w:rsidRPr="004C69CC">
        <w:rPr>
          <w:rFonts w:ascii="Times New Roman" w:hAnsi="Times New Roman" w:cs="Times New Roman"/>
          <w:i/>
          <w:sz w:val="20"/>
          <w:szCs w:val="20"/>
        </w:rPr>
        <w:t>Many Voices, One Court: The Origin and Role of Dissent in the Supreme Court</w:t>
      </w:r>
      <w:r w:rsidRPr="004C69CC">
        <w:rPr>
          <w:rFonts w:ascii="Times New Roman" w:hAnsi="Times New Roman" w:cs="Times New Roman"/>
          <w:sz w:val="20"/>
          <w:szCs w:val="20"/>
        </w:rPr>
        <w:t xml:space="preserve">, 36 </w:t>
      </w:r>
      <w:r w:rsidRPr="004C69CC">
        <w:rPr>
          <w:rFonts w:ascii="Times New Roman" w:hAnsi="Times New Roman" w:cs="Times New Roman"/>
          <w:smallCaps/>
          <w:sz w:val="20"/>
          <w:szCs w:val="20"/>
        </w:rPr>
        <w:t xml:space="preserve">J. Sup.Ct. </w:t>
      </w:r>
      <w:proofErr w:type="gramStart"/>
      <w:r w:rsidRPr="004C69CC">
        <w:rPr>
          <w:rFonts w:ascii="Times New Roman" w:hAnsi="Times New Roman" w:cs="Times New Roman"/>
          <w:smallCaps/>
          <w:sz w:val="20"/>
          <w:szCs w:val="20"/>
        </w:rPr>
        <w:t>Hist.</w:t>
      </w:r>
      <w:r w:rsidRPr="004C69CC">
        <w:rPr>
          <w:rFonts w:ascii="Times New Roman" w:hAnsi="Times New Roman" w:cs="Times New Roman"/>
          <w:sz w:val="20"/>
          <w:szCs w:val="20"/>
        </w:rPr>
        <w:t xml:space="preserve"> 193 (2011).</w:t>
      </w:r>
      <w:proofErr w:type="gramEnd"/>
    </w:p>
  </w:footnote>
  <w:footnote w:id="15">
    <w:p w14:paraId="252FBE69" w14:textId="3411A6C8" w:rsidR="000B3EDB" w:rsidRPr="004C69CC" w:rsidRDefault="000B3EDB" w:rsidP="004C69CC">
      <w:pPr>
        <w:pStyle w:val="FootnoteText"/>
        <w:spacing w:after="120"/>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Brennan xxxx.  </w:t>
      </w:r>
    </w:p>
  </w:footnote>
  <w:footnote w:id="16">
    <w:p w14:paraId="20264594" w14:textId="174B5145" w:rsidR="000B3EDB" w:rsidRPr="004C69CC" w:rsidRDefault="000B3EDB" w:rsidP="004C69CC">
      <w:pPr>
        <w:pStyle w:val="FootnoteText"/>
        <w:spacing w:after="120"/>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Brennan xxxx.</w:t>
      </w:r>
    </w:p>
  </w:footnote>
  <w:footnote w:id="17">
    <w:p w14:paraId="2898711E" w14:textId="42509802" w:rsidR="000B3EDB" w:rsidRPr="004C69CC" w:rsidRDefault="000B3EDB" w:rsidP="004C69CC">
      <w:pPr>
        <w:pStyle w:val="FootnoteText"/>
        <w:spacing w:after="120"/>
        <w:jc w:val="both"/>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w:t>
      </w:r>
      <w:r w:rsidRPr="004C69CC">
        <w:rPr>
          <w:rStyle w:val="smallcaps1"/>
          <w:rFonts w:ascii="Times New Roman" w:hAnsi="Times New Roman" w:cs="Times New Roman"/>
          <w:caps w:val="0"/>
          <w:sz w:val="20"/>
          <w:szCs w:val="20"/>
          <w:lang w:val="en-GB"/>
        </w:rPr>
        <w:t>Charles Evans Hughes, The Supreme Court of the United States—Its Foundation, Methods and Achievements: An Interpretation</w:t>
      </w:r>
      <w:r w:rsidRPr="004C69CC">
        <w:rPr>
          <w:rFonts w:ascii="Times New Roman" w:hAnsi="Times New Roman" w:cs="Times New Roman"/>
          <w:sz w:val="20"/>
          <w:szCs w:val="20"/>
          <w:lang w:val="en-GB"/>
        </w:rPr>
        <w:t xml:space="preserve"> 68 (1928).</w:t>
      </w:r>
      <w:r w:rsidRPr="004C69CC">
        <w:rPr>
          <w:rFonts w:ascii="Times New Roman" w:hAnsi="Times New Roman" w:cs="Times New Roman"/>
          <w:sz w:val="20"/>
          <w:szCs w:val="20"/>
        </w:rPr>
        <w:t xml:space="preserve"> </w:t>
      </w:r>
    </w:p>
  </w:footnote>
  <w:footnote w:id="18">
    <w:p w14:paraId="6B7E7677" w14:textId="2E5356F7" w:rsidR="000B3EDB" w:rsidRPr="004C69CC" w:rsidRDefault="000B3EDB" w:rsidP="004C69CC">
      <w:pPr>
        <w:pStyle w:val="FootnoteText"/>
        <w:spacing w:after="120"/>
        <w:jc w:val="both"/>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Ruth Bader </w:t>
      </w:r>
      <w:proofErr w:type="gramStart"/>
      <w:r w:rsidRPr="004C69CC">
        <w:rPr>
          <w:rFonts w:ascii="Times New Roman" w:hAnsi="Times New Roman" w:cs="Times New Roman"/>
          <w:sz w:val="20"/>
          <w:szCs w:val="20"/>
        </w:rPr>
        <w:t>Ginsburg,</w:t>
      </w:r>
      <w:proofErr w:type="gramEnd"/>
      <w:r w:rsidRPr="004C69CC">
        <w:rPr>
          <w:rFonts w:ascii="Times New Roman" w:hAnsi="Times New Roman" w:cs="Times New Roman"/>
          <w:sz w:val="20"/>
          <w:szCs w:val="20"/>
        </w:rPr>
        <w:t xml:space="preserve"> </w:t>
      </w:r>
      <w:r w:rsidRPr="004C69CC">
        <w:rPr>
          <w:rFonts w:ascii="Times New Roman" w:hAnsi="Times New Roman" w:cs="Times New Roman"/>
          <w:i/>
          <w:sz w:val="20"/>
          <w:szCs w:val="20"/>
        </w:rPr>
        <w:t>Remarks on Writing Separately,</w:t>
      </w:r>
      <w:r w:rsidRPr="004C69CC">
        <w:rPr>
          <w:rFonts w:ascii="Times New Roman" w:hAnsi="Times New Roman" w:cs="Times New Roman"/>
          <w:sz w:val="20"/>
          <w:szCs w:val="20"/>
        </w:rPr>
        <w:t xml:space="preserve"> 65 </w:t>
      </w:r>
      <w:r w:rsidRPr="004C69CC">
        <w:rPr>
          <w:rFonts w:ascii="Times New Roman" w:hAnsi="Times New Roman" w:cs="Times New Roman"/>
          <w:smallCaps/>
          <w:sz w:val="20"/>
          <w:szCs w:val="20"/>
        </w:rPr>
        <w:t>Wash. L. Rev.</w:t>
      </w:r>
      <w:r w:rsidRPr="004C69CC">
        <w:rPr>
          <w:rFonts w:ascii="Times New Roman" w:hAnsi="Times New Roman" w:cs="Times New Roman"/>
          <w:sz w:val="20"/>
          <w:szCs w:val="20"/>
        </w:rPr>
        <w:t xml:space="preserve"> 133 (1990).  </w:t>
      </w:r>
    </w:p>
  </w:footnote>
  <w:footnote w:id="19">
    <w:p w14:paraId="261C29C1" w14:textId="76E42D5B" w:rsidR="000B3EDB" w:rsidRPr="004C69CC" w:rsidRDefault="000B3EDB" w:rsidP="004C69CC">
      <w:pPr>
        <w:pStyle w:val="FootnoteText"/>
        <w:spacing w:after="120"/>
        <w:jc w:val="both"/>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Peter Bozzo, Shimmy Edwards, and April A. Christine, </w:t>
      </w:r>
      <w:r w:rsidRPr="004C69CC">
        <w:rPr>
          <w:rFonts w:ascii="Times New Roman" w:hAnsi="Times New Roman" w:cs="Times New Roman"/>
          <w:i/>
          <w:sz w:val="20"/>
          <w:szCs w:val="20"/>
        </w:rPr>
        <w:t>Many Voices, One Court: The Origin and Role of Dissent in the Supreme Court</w:t>
      </w:r>
      <w:r w:rsidRPr="004C69CC">
        <w:rPr>
          <w:rFonts w:ascii="Times New Roman" w:hAnsi="Times New Roman" w:cs="Times New Roman"/>
          <w:sz w:val="20"/>
          <w:szCs w:val="20"/>
        </w:rPr>
        <w:t xml:space="preserve">, 36 </w:t>
      </w:r>
      <w:r w:rsidRPr="004C69CC">
        <w:rPr>
          <w:rFonts w:ascii="Times New Roman" w:hAnsi="Times New Roman" w:cs="Times New Roman"/>
          <w:smallCaps/>
          <w:sz w:val="20"/>
          <w:szCs w:val="20"/>
        </w:rPr>
        <w:t>J. Supreme Ct. Hist</w:t>
      </w:r>
      <w:r w:rsidRPr="004C69CC">
        <w:rPr>
          <w:rFonts w:ascii="Times New Roman" w:hAnsi="Times New Roman" w:cs="Times New Roman"/>
          <w:sz w:val="20"/>
          <w:szCs w:val="20"/>
        </w:rPr>
        <w:t>. 193 (2011)</w:t>
      </w:r>
    </w:p>
  </w:footnote>
  <w:footnote w:id="20">
    <w:p w14:paraId="208D24FE" w14:textId="3B8A7DEF" w:rsidR="000B3EDB" w:rsidRPr="004C69CC" w:rsidRDefault="000B3EDB" w:rsidP="004C69CC">
      <w:pPr>
        <w:pStyle w:val="FootnoteText"/>
        <w:spacing w:after="120"/>
        <w:jc w:val="both"/>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Ginsburg, </w:t>
      </w:r>
      <w:r w:rsidRPr="004C69CC">
        <w:rPr>
          <w:rFonts w:ascii="Times New Roman" w:hAnsi="Times New Roman" w:cs="Times New Roman"/>
          <w:i/>
          <w:sz w:val="20"/>
          <w:szCs w:val="20"/>
        </w:rPr>
        <w:t>supra</w:t>
      </w:r>
      <w:r w:rsidRPr="004C69CC">
        <w:rPr>
          <w:rFonts w:ascii="Times New Roman" w:hAnsi="Times New Roman" w:cs="Times New Roman"/>
          <w:sz w:val="20"/>
          <w:szCs w:val="20"/>
        </w:rPr>
        <w:t xml:space="preserve"> note 12, at 134.</w:t>
      </w:r>
    </w:p>
  </w:footnote>
  <w:footnote w:id="21">
    <w:p w14:paraId="29D22019" w14:textId="3696CB1A" w:rsidR="000B3EDB" w:rsidRPr="004C69CC" w:rsidRDefault="000B3EDB" w:rsidP="004C69CC">
      <w:pPr>
        <w:pStyle w:val="FootnoteText"/>
        <w:spacing w:after="120"/>
        <w:jc w:val="both"/>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w:t>
      </w:r>
      <w:r w:rsidRPr="004C69CC">
        <w:rPr>
          <w:rFonts w:ascii="Times New Roman" w:hAnsi="Times New Roman" w:cs="Times New Roman"/>
          <w:smallCaps/>
          <w:sz w:val="20"/>
          <w:szCs w:val="20"/>
        </w:rPr>
        <w:t xml:space="preserve">John Henry Merryman, The Civil Law Tradition: An Introduction to the Legal Systems of Europe and Latin America 122 </w:t>
      </w:r>
      <w:r w:rsidRPr="004C69CC">
        <w:rPr>
          <w:rFonts w:ascii="Times New Roman" w:hAnsi="Times New Roman" w:cs="Times New Roman"/>
          <w:sz w:val="20"/>
          <w:szCs w:val="20"/>
        </w:rPr>
        <w:t>(3d ed., 2007).</w:t>
      </w:r>
    </w:p>
  </w:footnote>
  <w:footnote w:id="22">
    <w:p w14:paraId="62CFD7B1" w14:textId="249E70BA" w:rsidR="000B3EDB" w:rsidRPr="004C69CC" w:rsidRDefault="000B3EDB" w:rsidP="004C69CC">
      <w:pPr>
        <w:pStyle w:val="FootnoteText"/>
        <w:spacing w:after="120"/>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Possibly add a note here from Lasser, noting the suspicion with which </w:t>
      </w:r>
      <w:proofErr w:type="gramStart"/>
      <w:r w:rsidRPr="004C69CC">
        <w:rPr>
          <w:rFonts w:ascii="Times New Roman" w:hAnsi="Times New Roman" w:cs="Times New Roman"/>
          <w:sz w:val="20"/>
          <w:szCs w:val="20"/>
        </w:rPr>
        <w:t>French practice is viewed by American comparative legal scholars</w:t>
      </w:r>
      <w:proofErr w:type="gramEnd"/>
      <w:r w:rsidRPr="004C69CC">
        <w:rPr>
          <w:rFonts w:ascii="Times New Roman" w:hAnsi="Times New Roman" w:cs="Times New Roman"/>
          <w:sz w:val="20"/>
          <w:szCs w:val="20"/>
        </w:rPr>
        <w:t xml:space="preserve">.  </w:t>
      </w:r>
    </w:p>
  </w:footnote>
  <w:footnote w:id="23">
    <w:p w14:paraId="1688A786" w14:textId="51FA7657" w:rsidR="000B3EDB" w:rsidRPr="004C69CC" w:rsidRDefault="000B3EDB" w:rsidP="004C69CC">
      <w:pPr>
        <w:pStyle w:val="FootnoteText"/>
        <w:spacing w:after="120"/>
        <w:jc w:val="both"/>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R. </w:t>
      </w:r>
      <w:r w:rsidRPr="004C69CC">
        <w:rPr>
          <w:rFonts w:ascii="Times New Roman" w:hAnsi="Times New Roman" w:cs="Times New Roman"/>
          <w:bCs/>
          <w:sz w:val="20"/>
          <w:szCs w:val="20"/>
        </w:rPr>
        <w:t xml:space="preserve">DAVID </w:t>
      </w:r>
      <w:r w:rsidRPr="004C69CC">
        <w:rPr>
          <w:rFonts w:ascii="Times New Roman" w:hAnsi="Times New Roman" w:cs="Times New Roman"/>
          <w:sz w:val="20"/>
          <w:szCs w:val="20"/>
        </w:rPr>
        <w:t xml:space="preserve">&amp; J. BRIERLEY, MAJOR </w:t>
      </w:r>
      <w:r w:rsidRPr="004C69CC">
        <w:rPr>
          <w:rFonts w:ascii="Times New Roman" w:hAnsi="Times New Roman" w:cs="Times New Roman"/>
          <w:bCs/>
          <w:sz w:val="20"/>
          <w:szCs w:val="20"/>
        </w:rPr>
        <w:t xml:space="preserve">LEGAL SYSTEMS IN </w:t>
      </w:r>
      <w:r w:rsidRPr="004C69CC">
        <w:rPr>
          <w:rFonts w:ascii="Times New Roman" w:hAnsi="Times New Roman" w:cs="Times New Roman"/>
          <w:sz w:val="20"/>
          <w:szCs w:val="20"/>
        </w:rPr>
        <w:t xml:space="preserve">THE WORLD TODAY </w:t>
      </w:r>
      <w:r w:rsidRPr="004C69CC">
        <w:rPr>
          <w:rFonts w:ascii="Times New Roman" w:hAnsi="Times New Roman" w:cs="Times New Roman"/>
          <w:bCs/>
          <w:sz w:val="20"/>
          <w:szCs w:val="20"/>
        </w:rPr>
        <w:t xml:space="preserve">129 (2d </w:t>
      </w:r>
      <w:r w:rsidRPr="004C69CC">
        <w:rPr>
          <w:rFonts w:ascii="Times New Roman" w:hAnsi="Times New Roman" w:cs="Times New Roman"/>
          <w:sz w:val="20"/>
          <w:szCs w:val="20"/>
        </w:rPr>
        <w:t xml:space="preserve">ed. 1978) at 127, quoted in Ginsburg, </w:t>
      </w:r>
      <w:r w:rsidRPr="004C69CC">
        <w:rPr>
          <w:rFonts w:ascii="Times New Roman" w:hAnsi="Times New Roman" w:cs="Times New Roman"/>
          <w:i/>
          <w:sz w:val="20"/>
          <w:szCs w:val="20"/>
        </w:rPr>
        <w:t>supra</w:t>
      </w:r>
      <w:r w:rsidRPr="004C69CC">
        <w:rPr>
          <w:rFonts w:ascii="Times New Roman" w:hAnsi="Times New Roman" w:cs="Times New Roman"/>
          <w:sz w:val="20"/>
          <w:szCs w:val="20"/>
        </w:rPr>
        <w:t xml:space="preserve"> note 12, at 136.  A significant literature examines the changing backgrounds of federal judicial appointments.  See, e.g., Russell Wheeler,</w:t>
      </w:r>
      <w:r w:rsidRPr="004C69CC">
        <w:rPr>
          <w:rFonts w:ascii="Times New Roman" w:hAnsi="Times New Roman" w:cs="Times New Roman"/>
          <w:i/>
          <w:sz w:val="20"/>
          <w:szCs w:val="20"/>
        </w:rPr>
        <w:t xml:space="preserve"> Changing Backgrounds of U.S. District Judges: Likely causes and possible implications,</w:t>
      </w:r>
      <w:r w:rsidRPr="004C69CC">
        <w:rPr>
          <w:rFonts w:ascii="Times New Roman" w:hAnsi="Times New Roman" w:cs="Times New Roman"/>
          <w:sz w:val="20"/>
          <w:szCs w:val="20"/>
        </w:rPr>
        <w:t xml:space="preserve"> 93 </w:t>
      </w:r>
      <w:r w:rsidRPr="004C69CC">
        <w:rPr>
          <w:rFonts w:ascii="Times New Roman" w:hAnsi="Times New Roman" w:cs="Times New Roman"/>
          <w:smallCaps/>
          <w:sz w:val="20"/>
          <w:szCs w:val="20"/>
        </w:rPr>
        <w:t>Judicature</w:t>
      </w:r>
      <w:r w:rsidRPr="004C69CC">
        <w:rPr>
          <w:rFonts w:ascii="Times New Roman" w:hAnsi="Times New Roman" w:cs="Times New Roman"/>
          <w:sz w:val="20"/>
          <w:szCs w:val="20"/>
        </w:rPr>
        <w:t xml:space="preserve"> 140 (2010); Monique Renee Fournet, et al., </w:t>
      </w:r>
      <w:r w:rsidRPr="004C69CC">
        <w:rPr>
          <w:rFonts w:ascii="Times New Roman" w:hAnsi="Times New Roman" w:cs="Times New Roman"/>
          <w:i/>
          <w:sz w:val="20"/>
          <w:szCs w:val="20"/>
        </w:rPr>
        <w:t>Evolution of judicial careers in the federal courts</w:t>
      </w:r>
      <w:r w:rsidRPr="004C69CC">
        <w:rPr>
          <w:rFonts w:ascii="Times New Roman" w:hAnsi="Times New Roman" w:cs="Times New Roman"/>
          <w:sz w:val="20"/>
          <w:szCs w:val="20"/>
        </w:rPr>
        <w:t xml:space="preserve">, 1789-2008, 92 </w:t>
      </w:r>
      <w:r w:rsidRPr="004C69CC">
        <w:rPr>
          <w:rFonts w:ascii="Times New Roman" w:hAnsi="Times New Roman" w:cs="Times New Roman"/>
          <w:smallCaps/>
          <w:sz w:val="20"/>
          <w:szCs w:val="20"/>
        </w:rPr>
        <w:t>Judicature</w:t>
      </w:r>
      <w:r w:rsidRPr="004C69CC">
        <w:rPr>
          <w:rFonts w:ascii="Times New Roman" w:hAnsi="Times New Roman" w:cs="Times New Roman"/>
          <w:sz w:val="20"/>
          <w:szCs w:val="20"/>
        </w:rPr>
        <w:t xml:space="preserve"> 62 (2009).</w:t>
      </w:r>
    </w:p>
  </w:footnote>
  <w:footnote w:id="24">
    <w:p w14:paraId="06037AFB" w14:textId="201FD3E4" w:rsidR="000B3EDB" w:rsidRPr="004C69CC" w:rsidRDefault="000B3EDB" w:rsidP="004C69CC">
      <w:pPr>
        <w:pStyle w:val="FootnoteText"/>
        <w:spacing w:after="120"/>
        <w:jc w:val="both"/>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Ginsburg, </w:t>
      </w:r>
      <w:r w:rsidRPr="004C69CC">
        <w:rPr>
          <w:rFonts w:ascii="Times New Roman" w:hAnsi="Times New Roman" w:cs="Times New Roman"/>
          <w:i/>
          <w:sz w:val="20"/>
          <w:szCs w:val="20"/>
        </w:rPr>
        <w:t>supra</w:t>
      </w:r>
      <w:r w:rsidRPr="004C69CC">
        <w:rPr>
          <w:rFonts w:ascii="Times New Roman" w:hAnsi="Times New Roman" w:cs="Times New Roman"/>
          <w:sz w:val="20"/>
          <w:szCs w:val="20"/>
        </w:rPr>
        <w:t xml:space="preserve"> note 12, at 140.  Look for other work on dissent in state courts.</w:t>
      </w:r>
    </w:p>
  </w:footnote>
  <w:footnote w:id="25">
    <w:p w14:paraId="4B6D57B0" w14:textId="0010A66D" w:rsidR="000B3EDB" w:rsidRPr="004C69CC" w:rsidRDefault="000B3EDB" w:rsidP="004C69CC">
      <w:pPr>
        <w:pStyle w:val="FootnoteText"/>
        <w:spacing w:after="120"/>
        <w:jc w:val="both"/>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Quoted in Ginsburg,</w:t>
      </w:r>
      <w:r w:rsidRPr="004C69CC">
        <w:rPr>
          <w:rFonts w:ascii="Times New Roman" w:hAnsi="Times New Roman" w:cs="Times New Roman"/>
          <w:i/>
          <w:sz w:val="20"/>
          <w:szCs w:val="20"/>
        </w:rPr>
        <w:t xml:space="preserve"> supra</w:t>
      </w:r>
      <w:r w:rsidRPr="004C69CC">
        <w:rPr>
          <w:rFonts w:ascii="Times New Roman" w:hAnsi="Times New Roman" w:cs="Times New Roman"/>
          <w:sz w:val="20"/>
          <w:szCs w:val="20"/>
        </w:rPr>
        <w:t xml:space="preserve"> note 12, at 140.  A more recent illustration of the same phenomenon came in 2010, when Iowa voters failed to re-elect three justices of the Iowa Supreme Court who had voted to strike down a law defining marriage as between a man and a woman.  Under Iowa law, the judges simply needed a simple majority of votes in an unopposed election to secure reelection, yet a conservative campaign against the judges helped to secure a majority “no” vote against all three judges, who where removed from office.  See A. G. Sulzberger, “In Iowa, Voters Oust Judges Over Marriage Issue,” </w:t>
      </w:r>
      <w:r w:rsidRPr="004C69CC">
        <w:rPr>
          <w:rFonts w:ascii="Times New Roman" w:hAnsi="Times New Roman" w:cs="Times New Roman"/>
          <w:i/>
          <w:sz w:val="20"/>
          <w:szCs w:val="20"/>
        </w:rPr>
        <w:t>The New York Times</w:t>
      </w:r>
      <w:r w:rsidRPr="004C69CC">
        <w:rPr>
          <w:rFonts w:ascii="Times New Roman" w:hAnsi="Times New Roman" w:cs="Times New Roman"/>
          <w:sz w:val="20"/>
          <w:szCs w:val="20"/>
        </w:rPr>
        <w:t xml:space="preserve">, 3 November 2010, </w:t>
      </w:r>
      <w:hyperlink r:id="rId4" w:history="1">
        <w:r w:rsidRPr="004C69CC">
          <w:rPr>
            <w:rStyle w:val="Hyperlink"/>
            <w:rFonts w:ascii="Times New Roman" w:hAnsi="Times New Roman" w:cs="Times New Roman"/>
            <w:sz w:val="20"/>
            <w:szCs w:val="20"/>
          </w:rPr>
          <w:t>http://www.nytimes.com/2010/11/03/us/politics/03judges.html?scp=1&amp;sq=iowa%20supreme%20court%20same-sex%20marriage&amp;st=cse</w:t>
        </w:r>
      </w:hyperlink>
      <w:r w:rsidRPr="004C69CC">
        <w:rPr>
          <w:rFonts w:ascii="Times New Roman" w:hAnsi="Times New Roman" w:cs="Times New Roman"/>
          <w:sz w:val="20"/>
          <w:szCs w:val="20"/>
        </w:rPr>
        <w:t xml:space="preserve">. </w:t>
      </w:r>
    </w:p>
  </w:footnote>
  <w:footnote w:id="26">
    <w:p w14:paraId="4565D763" w14:textId="6893D524" w:rsidR="000B3EDB" w:rsidRPr="004C69CC" w:rsidRDefault="000B3EDB" w:rsidP="004C69CC">
      <w:pPr>
        <w:pStyle w:val="FootnoteText"/>
        <w:spacing w:after="120"/>
        <w:jc w:val="both"/>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Ginsburg 1990: 140.</w:t>
      </w:r>
    </w:p>
  </w:footnote>
  <w:footnote w:id="27">
    <w:p w14:paraId="3A56F3B4" w14:textId="19CD59D9" w:rsidR="000B3EDB" w:rsidRPr="004C69CC" w:rsidRDefault="000B3EDB" w:rsidP="004C69CC">
      <w:pPr>
        <w:pStyle w:val="FootnoteText"/>
        <w:spacing w:after="120"/>
        <w:jc w:val="both"/>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Ginsburg,</w:t>
      </w:r>
      <w:r w:rsidRPr="004C69CC">
        <w:rPr>
          <w:rFonts w:ascii="Times New Roman" w:hAnsi="Times New Roman" w:cs="Times New Roman"/>
          <w:i/>
          <w:sz w:val="20"/>
          <w:szCs w:val="20"/>
        </w:rPr>
        <w:t xml:space="preserve"> supra</w:t>
      </w:r>
      <w:r w:rsidRPr="004C69CC">
        <w:rPr>
          <w:rFonts w:ascii="Times New Roman" w:hAnsi="Times New Roman" w:cs="Times New Roman"/>
          <w:sz w:val="20"/>
          <w:szCs w:val="20"/>
        </w:rPr>
        <w:t xml:space="preserve"> note 12, at 146.</w:t>
      </w:r>
    </w:p>
  </w:footnote>
  <w:footnote w:id="28">
    <w:p w14:paraId="2CC645F1" w14:textId="663DB5E2" w:rsidR="000B3EDB" w:rsidRPr="004C69CC" w:rsidRDefault="000B3EDB" w:rsidP="004C69CC">
      <w:pPr>
        <w:pStyle w:val="FootnoteText"/>
        <w:spacing w:after="120"/>
        <w:jc w:val="both"/>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As we shall see, one international court, the European Court of Human Rights, took a parallel decision to move from short, renewable terms to longer, non-renewable terms, in part out of concern for the independence of judges who regularly engage in public judicial dissents, and similar proposals have been advanced at the WTO.</w:t>
      </w:r>
    </w:p>
  </w:footnote>
  <w:footnote w:id="29">
    <w:p w14:paraId="47FA85B8" w14:textId="79C33569" w:rsidR="000B3EDB" w:rsidRPr="004C69CC" w:rsidRDefault="000B3EDB" w:rsidP="004C69CC">
      <w:pPr>
        <w:pStyle w:val="FootnoteText"/>
        <w:spacing w:after="120"/>
        <w:jc w:val="both"/>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All three of these variables, we would add, can be measured along a continuum, rather than dichotomously. A given court, for instance, may practice “dissent”, but rates can range from “low” (e.g. WTO, 11% of all judgments featuring a dissent) to “high” (ICJ 90%).  While the renewability of terms is a dichotomous variable, the impact of such renewal is likely to depend on the length of the term, with longer terms considered to generate greater independence than short terms.  Judicial independence, finally, which has been defined by Voeten (2013: 422) as “to the set of institutional and other factors that, to a lesser or greater extent, allows judges autonomy from the preferences of other political actors when these judges issue legal opinions,” can also vary from a perfectly responsive agent entirely dependent on its political principals to an entirely independent “trustee” (Stone Sweet and Brunell 2012).  See Erik Voeten, </w:t>
      </w:r>
      <w:r w:rsidRPr="004C69CC">
        <w:rPr>
          <w:rFonts w:ascii="Times New Roman" w:hAnsi="Times New Roman" w:cs="Times New Roman"/>
          <w:i/>
          <w:sz w:val="20"/>
          <w:szCs w:val="20"/>
        </w:rPr>
        <w:t>International Judicial Independence</w:t>
      </w:r>
      <w:r w:rsidRPr="004C69CC">
        <w:rPr>
          <w:rFonts w:ascii="Times New Roman" w:hAnsi="Times New Roman" w:cs="Times New Roman"/>
          <w:sz w:val="20"/>
          <w:szCs w:val="20"/>
        </w:rPr>
        <w:t xml:space="preserve">, in </w:t>
      </w:r>
      <w:r w:rsidRPr="004C69CC">
        <w:rPr>
          <w:rFonts w:ascii="Times New Roman" w:hAnsi="Times New Roman" w:cs="Times New Roman"/>
          <w:smallCaps/>
          <w:sz w:val="20"/>
          <w:szCs w:val="20"/>
        </w:rPr>
        <w:t>Interdisciplinary Insights into International Law and International Relations: The State of the Art</w:t>
      </w:r>
      <w:r w:rsidRPr="004C69CC">
        <w:rPr>
          <w:rFonts w:ascii="Times New Roman" w:hAnsi="Times New Roman" w:cs="Times New Roman"/>
          <w:sz w:val="20"/>
          <w:szCs w:val="20"/>
        </w:rPr>
        <w:t xml:space="preserve"> 421 (Jeffrey L. Dunoff &amp; Mark A. Pollack, eds. 2013).  Add Stone Sweet and Brunell 2012 reference.</w:t>
      </w:r>
    </w:p>
  </w:footnote>
  <w:footnote w:id="30">
    <w:p w14:paraId="0D1DE0EC" w14:textId="2C834934" w:rsidR="000B3EDB" w:rsidRPr="004C69CC" w:rsidRDefault="000B3EDB" w:rsidP="004C69CC">
      <w:pPr>
        <w:pStyle w:val="FootnoteText"/>
        <w:spacing w:after="120"/>
        <w:jc w:val="both"/>
        <w:rPr>
          <w:rFonts w:ascii="Times New Roman" w:hAnsi="Times New Roman" w:cs="Times New Roman"/>
          <w:bCs/>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Edward Dumbauld, </w:t>
      </w:r>
      <w:r w:rsidRPr="004C69CC">
        <w:rPr>
          <w:rFonts w:ascii="Times New Roman" w:hAnsi="Times New Roman" w:cs="Times New Roman"/>
          <w:bCs/>
          <w:i/>
          <w:sz w:val="20"/>
          <w:szCs w:val="20"/>
        </w:rPr>
        <w:t>Dissenting Opinions in International Adjudication</w:t>
      </w:r>
      <w:proofErr w:type="gramStart"/>
      <w:r w:rsidRPr="004C69CC">
        <w:rPr>
          <w:rFonts w:ascii="Times New Roman" w:hAnsi="Times New Roman" w:cs="Times New Roman"/>
          <w:bCs/>
          <w:sz w:val="20"/>
          <w:szCs w:val="20"/>
        </w:rPr>
        <w:t>,</w:t>
      </w:r>
      <w:r w:rsidRPr="004C69CC">
        <w:rPr>
          <w:rFonts w:ascii="Times New Roman" w:hAnsi="Times New Roman" w:cs="Times New Roman"/>
          <w:bCs/>
          <w:smallCaps/>
          <w:sz w:val="20"/>
          <w:szCs w:val="20"/>
        </w:rPr>
        <w:t xml:space="preserve">  90</w:t>
      </w:r>
      <w:proofErr w:type="gramEnd"/>
      <w:r w:rsidRPr="004C69CC">
        <w:rPr>
          <w:rFonts w:ascii="Times New Roman" w:hAnsi="Times New Roman" w:cs="Times New Roman"/>
          <w:bCs/>
          <w:smallCaps/>
          <w:sz w:val="20"/>
          <w:szCs w:val="20"/>
        </w:rPr>
        <w:t xml:space="preserve"> </w:t>
      </w:r>
      <w:r w:rsidRPr="004C69CC">
        <w:rPr>
          <w:rFonts w:ascii="Times New Roman" w:hAnsi="Times New Roman" w:cs="Times New Roman"/>
          <w:iCs/>
          <w:smallCaps/>
          <w:sz w:val="20"/>
          <w:szCs w:val="20"/>
        </w:rPr>
        <w:t>U. Pa. L. Rev.</w:t>
      </w:r>
      <w:r w:rsidRPr="004C69CC">
        <w:rPr>
          <w:rFonts w:ascii="Times New Roman" w:hAnsi="Times New Roman" w:cs="Times New Roman"/>
          <w:sz w:val="20"/>
          <w:szCs w:val="20"/>
        </w:rPr>
        <w:t>929, 940 (1942).</w:t>
      </w:r>
    </w:p>
  </w:footnote>
  <w:footnote w:id="31">
    <w:p w14:paraId="4B765DC9" w14:textId="694588D8" w:rsidR="000B3EDB" w:rsidRPr="004C69CC" w:rsidRDefault="000B3EDB" w:rsidP="004C69CC">
      <w:pPr>
        <w:pStyle w:val="FootnoteText"/>
        <w:spacing w:after="120"/>
        <w:jc w:val="both"/>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To be sure, anonymous separate opinions may </w:t>
      </w:r>
      <w:proofErr w:type="gramStart"/>
      <w:r w:rsidRPr="004C69CC">
        <w:rPr>
          <w:rFonts w:ascii="Times New Roman" w:hAnsi="Times New Roman" w:cs="Times New Roman"/>
          <w:sz w:val="20"/>
          <w:szCs w:val="20"/>
        </w:rPr>
        <w:t>raise</w:t>
      </w:r>
      <w:proofErr w:type="gramEnd"/>
      <w:r w:rsidRPr="004C69CC">
        <w:rPr>
          <w:rFonts w:ascii="Times New Roman" w:hAnsi="Times New Roman" w:cs="Times New Roman"/>
          <w:sz w:val="20"/>
          <w:szCs w:val="20"/>
        </w:rPr>
        <w:t xml:space="preserve"> problems of their own, as they may “spur a judge to vote invariably in support of the cause of his own State, without incurring the odium of partisanship.”  R.P. Anand, </w:t>
      </w:r>
      <w:r w:rsidRPr="004C69CC">
        <w:rPr>
          <w:rFonts w:ascii="Times New Roman" w:hAnsi="Times New Roman" w:cs="Times New Roman"/>
          <w:i/>
          <w:sz w:val="20"/>
          <w:szCs w:val="20"/>
        </w:rPr>
        <w:t>The Role of Individual and Dissent Opinions in International Adjudication</w:t>
      </w:r>
      <w:r w:rsidRPr="004C69CC">
        <w:rPr>
          <w:rFonts w:ascii="Times New Roman" w:hAnsi="Times New Roman" w:cs="Times New Roman"/>
          <w:sz w:val="20"/>
          <w:szCs w:val="20"/>
        </w:rPr>
        <w:t xml:space="preserve">, 14 </w:t>
      </w:r>
      <w:r w:rsidRPr="004C69CC">
        <w:rPr>
          <w:rFonts w:ascii="Times New Roman" w:hAnsi="Times New Roman" w:cs="Times New Roman"/>
          <w:smallCaps/>
          <w:sz w:val="20"/>
          <w:szCs w:val="20"/>
        </w:rPr>
        <w:t>Int’l &amp; Comp. L. Q</w:t>
      </w:r>
      <w:r w:rsidRPr="004C69CC">
        <w:rPr>
          <w:rFonts w:ascii="Times New Roman" w:hAnsi="Times New Roman" w:cs="Times New Roman"/>
          <w:sz w:val="20"/>
          <w:szCs w:val="20"/>
        </w:rPr>
        <w:t>. 788, 792 (1965).</w:t>
      </w:r>
    </w:p>
  </w:footnote>
  <w:footnote w:id="32">
    <w:p w14:paraId="594897CB" w14:textId="77777777" w:rsidR="000B3EDB" w:rsidRPr="004C69CC" w:rsidRDefault="000B3EDB" w:rsidP="004C69CC">
      <w:pPr>
        <w:pStyle w:val="FootnoteText"/>
        <w:spacing w:after="120"/>
        <w:jc w:val="both"/>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See e.g. Epstein et al., </w:t>
      </w:r>
      <w:r w:rsidRPr="004C69CC">
        <w:rPr>
          <w:rFonts w:ascii="Times New Roman" w:hAnsi="Times New Roman" w:cs="Times New Roman"/>
          <w:i/>
          <w:sz w:val="20"/>
          <w:szCs w:val="20"/>
        </w:rPr>
        <w:t>supra</w:t>
      </w:r>
      <w:r w:rsidRPr="004C69CC">
        <w:rPr>
          <w:rFonts w:ascii="Times New Roman" w:hAnsi="Times New Roman" w:cs="Times New Roman"/>
          <w:sz w:val="20"/>
          <w:szCs w:val="20"/>
        </w:rPr>
        <w:t xml:space="preserve"> note 9</w:t>
      </w:r>
      <w:proofErr w:type="gramStart"/>
      <w:r w:rsidRPr="004C69CC">
        <w:rPr>
          <w:rFonts w:ascii="Times New Roman" w:hAnsi="Times New Roman" w:cs="Times New Roman"/>
          <w:sz w:val="20"/>
          <w:szCs w:val="20"/>
        </w:rPr>
        <w:t>;</w:t>
      </w:r>
      <w:proofErr w:type="gramEnd"/>
      <w:r w:rsidRPr="004C69CC">
        <w:rPr>
          <w:rFonts w:ascii="Times New Roman" w:hAnsi="Times New Roman" w:cs="Times New Roman"/>
          <w:sz w:val="20"/>
          <w:szCs w:val="20"/>
        </w:rPr>
        <w:t xml:space="preserve"> others.</w:t>
      </w:r>
    </w:p>
  </w:footnote>
  <w:footnote w:id="33">
    <w:p w14:paraId="44B5E607" w14:textId="17FE1B43" w:rsidR="000B3EDB" w:rsidRPr="004C69CC" w:rsidRDefault="000B3EDB" w:rsidP="004C69CC">
      <w:pPr>
        <w:pStyle w:val="FootnoteText"/>
        <w:spacing w:after="120"/>
        <w:jc w:val="both"/>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Alternatively, we could follow some legal scholars and examine </w:t>
      </w:r>
      <w:r w:rsidRPr="004C69CC">
        <w:rPr>
          <w:rFonts w:ascii="Times New Roman" w:hAnsi="Times New Roman" w:cs="Times New Roman"/>
          <w:i/>
          <w:sz w:val="20"/>
          <w:szCs w:val="20"/>
        </w:rPr>
        <w:t>forms of dissent as a speech act</w:t>
      </w:r>
      <w:r w:rsidRPr="004C69CC">
        <w:rPr>
          <w:rFonts w:ascii="Times New Roman" w:hAnsi="Times New Roman" w:cs="Times New Roman"/>
          <w:sz w:val="20"/>
          <w:szCs w:val="20"/>
        </w:rPr>
        <w:t xml:space="preserve">, noting the different rhetorical forms of dissent (apologetic, respectful, assertive, etc.), either for their own interest or as a sign of changing norms of dissent within a given court.  See Note, </w:t>
      </w:r>
      <w:r w:rsidRPr="004C69CC">
        <w:rPr>
          <w:rFonts w:ascii="Times New Roman" w:hAnsi="Times New Roman" w:cs="Times New Roman"/>
          <w:i/>
          <w:sz w:val="20"/>
          <w:szCs w:val="20"/>
        </w:rPr>
        <w:t>From Consensus to Collegiality: The Origins of the “Respectful Dissent</w:t>
      </w:r>
      <w:r w:rsidRPr="004C69CC">
        <w:rPr>
          <w:rFonts w:ascii="Times New Roman" w:hAnsi="Times New Roman" w:cs="Times New Roman"/>
          <w:sz w:val="20"/>
          <w:szCs w:val="20"/>
        </w:rPr>
        <w:t xml:space="preserve">,” 124 </w:t>
      </w:r>
      <w:r w:rsidRPr="004C69CC">
        <w:rPr>
          <w:rFonts w:ascii="Times New Roman" w:hAnsi="Times New Roman" w:cs="Times New Roman"/>
          <w:smallCaps/>
          <w:sz w:val="20"/>
          <w:szCs w:val="20"/>
        </w:rPr>
        <w:t>Harv. L. Rev.</w:t>
      </w:r>
      <w:r w:rsidRPr="004C69CC">
        <w:rPr>
          <w:rFonts w:ascii="Times New Roman" w:hAnsi="Times New Roman" w:cs="Times New Roman"/>
          <w:sz w:val="20"/>
          <w:szCs w:val="20"/>
        </w:rPr>
        <w:t xml:space="preserve"> 1305 (2011).</w:t>
      </w:r>
    </w:p>
  </w:footnote>
  <w:footnote w:id="34">
    <w:p w14:paraId="0A59DBEE" w14:textId="438FDC9E" w:rsidR="000B3EDB" w:rsidRPr="004C69CC" w:rsidRDefault="000B3EDB" w:rsidP="004C69CC">
      <w:pPr>
        <w:pStyle w:val="FootnoteText"/>
        <w:spacing w:after="120"/>
        <w:jc w:val="both"/>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One striking example, discussed below, is the apparent decision by members of the WTO AB who decided, among themselves, not to issue dissents, notwithstanding language in the relevant treaty and rules of court that authorized them to do so.  </w:t>
      </w:r>
    </w:p>
  </w:footnote>
  <w:footnote w:id="35">
    <w:p w14:paraId="56B8787B" w14:textId="77777777" w:rsidR="000B3EDB" w:rsidRPr="004C69CC" w:rsidRDefault="000B3EDB" w:rsidP="004C69CC">
      <w:pPr>
        <w:pStyle w:val="FootnoteText"/>
        <w:spacing w:after="120"/>
        <w:jc w:val="both"/>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Here, we are employing the general language of principal-agent analysis to understand the relationship between a group of states as a collective principal, and a group of judges as their collective agent.  See e.g. Mark A. Pollack, </w:t>
      </w:r>
      <w:r w:rsidRPr="004C69CC">
        <w:rPr>
          <w:rFonts w:ascii="Times New Roman" w:hAnsi="Times New Roman" w:cs="Times New Roman"/>
          <w:i/>
          <w:sz w:val="20"/>
          <w:szCs w:val="20"/>
        </w:rPr>
        <w:t>The Engines of European Integration:  Delegation, Agency and Agenda Setting in the European Union</w:t>
      </w:r>
      <w:r w:rsidRPr="004C69CC">
        <w:rPr>
          <w:rFonts w:ascii="Times New Roman" w:hAnsi="Times New Roman" w:cs="Times New Roman"/>
          <w:sz w:val="20"/>
          <w:szCs w:val="20"/>
        </w:rPr>
        <w:t xml:space="preserve"> (New York:  Oxford University Press, 2003).  Other scholars reject the language of agency, suggesting that all international courts (Karen J. Alter, “Agents or Trustees?  International Courts in their Political Context,” </w:t>
      </w:r>
      <w:r w:rsidRPr="004C69CC">
        <w:rPr>
          <w:rFonts w:ascii="Times New Roman" w:hAnsi="Times New Roman" w:cs="Times New Roman"/>
          <w:i/>
          <w:sz w:val="20"/>
          <w:szCs w:val="20"/>
        </w:rPr>
        <w:t>European Journal of International Relations</w:t>
      </w:r>
      <w:r w:rsidRPr="004C69CC">
        <w:rPr>
          <w:rFonts w:ascii="Times New Roman" w:hAnsi="Times New Roman" w:cs="Times New Roman"/>
          <w:sz w:val="20"/>
          <w:szCs w:val="20"/>
        </w:rPr>
        <w:t>, Vol. 14, No. 1, pp. 33-63) or at least some courts (Alec Stone Sweet and Thomas L. Brunell, “Trustee Courts and the Judicialization of International Regimes: The Politics of Majoritarian Activism in the ECHR, the EU, and the WTO,” unpublished paper, 2012) serve as trustees of the legal order.</w:t>
      </w:r>
      <w:r w:rsidRPr="004C69CC">
        <w:rPr>
          <w:rFonts w:ascii="Times New Roman" w:hAnsi="Times New Roman" w:cs="Times New Roman"/>
          <w:b/>
          <w:sz w:val="20"/>
          <w:szCs w:val="20"/>
        </w:rPr>
        <w:t xml:space="preserve">  </w:t>
      </w:r>
      <w:r w:rsidRPr="004C69CC">
        <w:rPr>
          <w:rFonts w:ascii="Times New Roman" w:hAnsi="Times New Roman" w:cs="Times New Roman"/>
          <w:sz w:val="20"/>
          <w:szCs w:val="20"/>
        </w:rPr>
        <w:t>We are agnostic on the use of these terms, which are without prejudice to the basic fact that the member states of a court adopt and can in principle ratify its statute, as well as playing a collective role in the appointment and potential reappointment of its judges.</w:t>
      </w:r>
    </w:p>
  </w:footnote>
  <w:footnote w:id="36">
    <w:p w14:paraId="7DF2EADC" w14:textId="77777777" w:rsidR="000B3EDB" w:rsidRPr="004C69CC" w:rsidRDefault="000B3EDB" w:rsidP="004C69CC">
      <w:pPr>
        <w:pStyle w:val="FootnoteText"/>
        <w:spacing w:after="120"/>
        <w:jc w:val="both"/>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w:t>
      </w:r>
      <w:proofErr w:type="gramStart"/>
      <w:r w:rsidRPr="004C69CC">
        <w:rPr>
          <w:rFonts w:ascii="Times New Roman" w:hAnsi="Times New Roman" w:cs="Times New Roman"/>
          <w:sz w:val="20"/>
          <w:szCs w:val="20"/>
        </w:rPr>
        <w:t>Koremenos et al. 2001.</w:t>
      </w:r>
      <w:proofErr w:type="gramEnd"/>
    </w:p>
  </w:footnote>
  <w:footnote w:id="37">
    <w:p w14:paraId="6B28F481" w14:textId="77777777" w:rsidR="000B3EDB" w:rsidRPr="004C69CC" w:rsidRDefault="000B3EDB" w:rsidP="004C69CC">
      <w:pPr>
        <w:pStyle w:val="FootnoteText"/>
        <w:spacing w:after="120"/>
        <w:jc w:val="both"/>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Koremenos 2007, Barbara Koremenos &amp; Timm Betz, </w:t>
      </w:r>
      <w:r w:rsidRPr="004C69CC">
        <w:rPr>
          <w:rFonts w:ascii="Times New Roman" w:hAnsi="Times New Roman" w:cs="Times New Roman"/>
          <w:i/>
          <w:sz w:val="20"/>
          <w:szCs w:val="20"/>
        </w:rPr>
        <w:t>The Design of Dispute Settlement Procedures in International Agreements, in</w:t>
      </w:r>
      <w:r w:rsidRPr="004C69CC">
        <w:rPr>
          <w:rFonts w:ascii="Times New Roman" w:hAnsi="Times New Roman" w:cs="Times New Roman"/>
          <w:sz w:val="20"/>
          <w:szCs w:val="20"/>
        </w:rPr>
        <w:t xml:space="preserve"> </w:t>
      </w:r>
      <w:r w:rsidRPr="004C69CC">
        <w:rPr>
          <w:rFonts w:ascii="Times New Roman" w:hAnsi="Times New Roman" w:cs="Times New Roman"/>
          <w:smallCaps/>
          <w:sz w:val="20"/>
          <w:szCs w:val="20"/>
        </w:rPr>
        <w:t>Interdisciplinary Perspectives on International Law and International Relations: The State of the Art</w:t>
      </w:r>
      <w:r w:rsidRPr="004C69CC">
        <w:rPr>
          <w:rFonts w:ascii="Times New Roman" w:hAnsi="Times New Roman" w:cs="Times New Roman"/>
          <w:sz w:val="20"/>
          <w:szCs w:val="20"/>
        </w:rPr>
        <w:t xml:space="preserve"> 371 (Jeffrey L. Dunoff &amp; Mark A. Pollack, eds</w:t>
      </w:r>
      <w:proofErr w:type="gramStart"/>
      <w:r w:rsidRPr="004C69CC">
        <w:rPr>
          <w:rFonts w:ascii="Times New Roman" w:hAnsi="Times New Roman" w:cs="Times New Roman"/>
          <w:sz w:val="20"/>
          <w:szCs w:val="20"/>
        </w:rPr>
        <w:t>.,</w:t>
      </w:r>
      <w:proofErr w:type="gramEnd"/>
      <w:r w:rsidRPr="004C69CC">
        <w:rPr>
          <w:rFonts w:ascii="Times New Roman" w:hAnsi="Times New Roman" w:cs="Times New Roman"/>
          <w:sz w:val="20"/>
          <w:szCs w:val="20"/>
        </w:rPr>
        <w:t xml:space="preserve"> 2013).</w:t>
      </w:r>
    </w:p>
  </w:footnote>
  <w:footnote w:id="38">
    <w:p w14:paraId="1D38D900" w14:textId="77777777" w:rsidR="000B3EDB" w:rsidRPr="004C69CC" w:rsidRDefault="000B3EDB" w:rsidP="004C69CC">
      <w:pPr>
        <w:pStyle w:val="FootnoteText"/>
        <w:spacing w:after="120"/>
        <w:jc w:val="both"/>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We do not, however, rule out the possibility of constructing a theory linking broad features of the international environment from the rational design program to the question of dissent, and we welcome suggestions on this score.</w:t>
      </w:r>
    </w:p>
  </w:footnote>
  <w:footnote w:id="39">
    <w:p w14:paraId="28E98A47" w14:textId="77777777" w:rsidR="000B3EDB" w:rsidRPr="004C69CC" w:rsidRDefault="000B3EDB" w:rsidP="004C69CC">
      <w:pPr>
        <w:pStyle w:val="FootnoteText"/>
        <w:spacing w:after="120"/>
        <w:jc w:val="both"/>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The locus classicus remains </w:t>
      </w:r>
      <w:r w:rsidRPr="004C69CC">
        <w:rPr>
          <w:rFonts w:ascii="Times New Roman" w:hAnsi="Times New Roman" w:cs="Times New Roman"/>
          <w:smallCaps/>
          <w:sz w:val="20"/>
          <w:szCs w:val="20"/>
        </w:rPr>
        <w:t>Sir Hersch Lauterpacht, The Development of International Law by the International Court</w:t>
      </w:r>
      <w:r w:rsidRPr="004C69CC">
        <w:rPr>
          <w:rFonts w:ascii="Times New Roman" w:hAnsi="Times New Roman" w:cs="Times New Roman"/>
          <w:sz w:val="20"/>
          <w:szCs w:val="20"/>
        </w:rPr>
        <w:t xml:space="preserve"> (1958).  For a recent overview and critique of the legal literature, see Armin von Bogdandy &amp; Ingo Venzke, </w:t>
      </w:r>
      <w:r w:rsidRPr="004C69CC">
        <w:rPr>
          <w:rFonts w:ascii="Times New Roman" w:hAnsi="Times New Roman" w:cs="Times New Roman"/>
          <w:i/>
          <w:sz w:val="20"/>
          <w:szCs w:val="20"/>
        </w:rPr>
        <w:t>On the Functions of International Courts: An Appraisal in Light of Their Burgeoning Public Authority</w:t>
      </w:r>
      <w:r w:rsidRPr="004C69CC">
        <w:rPr>
          <w:rFonts w:ascii="Times New Roman" w:hAnsi="Times New Roman" w:cs="Times New Roman"/>
          <w:sz w:val="20"/>
          <w:szCs w:val="20"/>
        </w:rPr>
        <w:t xml:space="preserve">, available on SSRN.  In the IR literature, Karen Alter has identified four such functions, which she labels dispute resolution, enforcement, administrative review, and constitutional review.  See Karen J. Alter, </w:t>
      </w:r>
      <w:r w:rsidRPr="004C69CC">
        <w:rPr>
          <w:rFonts w:ascii="Times New Roman" w:hAnsi="Times New Roman" w:cs="Times New Roman"/>
          <w:i/>
          <w:sz w:val="20"/>
          <w:szCs w:val="20"/>
        </w:rPr>
        <w:t>The Multiple Roles of International Courts and Tribunals: Enforcement, Dispute Resolution, Constitutional and Administrative Review, in</w:t>
      </w:r>
      <w:r w:rsidRPr="004C69CC">
        <w:rPr>
          <w:rFonts w:ascii="Times New Roman" w:hAnsi="Times New Roman" w:cs="Times New Roman"/>
          <w:sz w:val="20"/>
          <w:szCs w:val="20"/>
        </w:rPr>
        <w:t xml:space="preserve"> </w:t>
      </w:r>
      <w:r w:rsidRPr="004C69CC">
        <w:rPr>
          <w:rFonts w:ascii="Times New Roman" w:hAnsi="Times New Roman" w:cs="Times New Roman"/>
          <w:smallCaps/>
          <w:sz w:val="20"/>
          <w:szCs w:val="20"/>
        </w:rPr>
        <w:t>Interdisciplinary Perspectives on International Law and International Relations: The State of the Art</w:t>
      </w:r>
      <w:r w:rsidRPr="004C69CC">
        <w:rPr>
          <w:rFonts w:ascii="Times New Roman" w:hAnsi="Times New Roman" w:cs="Times New Roman"/>
          <w:sz w:val="20"/>
          <w:szCs w:val="20"/>
        </w:rPr>
        <w:t xml:space="preserve"> 345 (Jeffrey L. Dunoff &amp; Mark A. Pollack, eds</w:t>
      </w:r>
      <w:proofErr w:type="gramStart"/>
      <w:r w:rsidRPr="004C69CC">
        <w:rPr>
          <w:rFonts w:ascii="Times New Roman" w:hAnsi="Times New Roman" w:cs="Times New Roman"/>
          <w:sz w:val="20"/>
          <w:szCs w:val="20"/>
        </w:rPr>
        <w:t>.,</w:t>
      </w:r>
      <w:proofErr w:type="gramEnd"/>
      <w:r w:rsidRPr="004C69CC">
        <w:rPr>
          <w:rFonts w:ascii="Times New Roman" w:hAnsi="Times New Roman" w:cs="Times New Roman"/>
          <w:sz w:val="20"/>
          <w:szCs w:val="20"/>
        </w:rPr>
        <w:t xml:space="preserve"> 2013).</w:t>
      </w:r>
    </w:p>
  </w:footnote>
  <w:footnote w:id="40">
    <w:p w14:paraId="226A7EE4" w14:textId="77777777" w:rsidR="000B3EDB" w:rsidRPr="004C69CC" w:rsidRDefault="000B3EDB" w:rsidP="004C69CC">
      <w:pPr>
        <w:pStyle w:val="FootnoteText"/>
        <w:spacing w:after="120"/>
        <w:jc w:val="both"/>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James Flett, </w:t>
      </w:r>
      <w:r w:rsidRPr="004C69CC">
        <w:rPr>
          <w:rFonts w:ascii="Times New Roman" w:hAnsi="Times New Roman" w:cs="Times New Roman"/>
          <w:i/>
          <w:sz w:val="20"/>
          <w:szCs w:val="20"/>
        </w:rPr>
        <w:t>Collective Intelligence and the Possibility of Dissent: Anonymous Individual Opinions in WTO Jurisprudence</w:t>
      </w:r>
      <w:r w:rsidRPr="004C69CC">
        <w:rPr>
          <w:rFonts w:ascii="Times New Roman" w:hAnsi="Times New Roman" w:cs="Times New Roman"/>
          <w:sz w:val="20"/>
          <w:szCs w:val="20"/>
        </w:rPr>
        <w:t xml:space="preserve">, 13 </w:t>
      </w:r>
      <w:r w:rsidRPr="004C69CC">
        <w:rPr>
          <w:rFonts w:ascii="Times New Roman" w:hAnsi="Times New Roman" w:cs="Times New Roman"/>
          <w:smallCaps/>
          <w:sz w:val="20"/>
          <w:szCs w:val="20"/>
        </w:rPr>
        <w:t>J. Int’l Econ. L.</w:t>
      </w:r>
      <w:r w:rsidRPr="004C69CC">
        <w:rPr>
          <w:rFonts w:ascii="Times New Roman" w:hAnsi="Times New Roman" w:cs="Times New Roman"/>
          <w:sz w:val="20"/>
          <w:szCs w:val="20"/>
        </w:rPr>
        <w:t xml:space="preserve"> 287, 315 (2010).</w:t>
      </w:r>
    </w:p>
  </w:footnote>
  <w:footnote w:id="41">
    <w:p w14:paraId="3E1B5CBE" w14:textId="77777777" w:rsidR="000B3EDB" w:rsidRPr="004C69CC" w:rsidRDefault="000B3EDB" w:rsidP="004C69CC">
      <w:pPr>
        <w:pStyle w:val="FootnoteText"/>
        <w:spacing w:after="120"/>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Paul J. </w:t>
      </w:r>
      <w:r w:rsidRPr="004C69CC">
        <w:rPr>
          <w:rFonts w:ascii="Times New Roman" w:hAnsi="Times New Roman" w:cs="Times New Roman"/>
          <w:sz w:val="20"/>
          <w:szCs w:val="20"/>
          <w:lang w:val="en-AU"/>
        </w:rPr>
        <w:t>DiMaggio and Walter W. Powell, “The Iron Cage Revisited:  Institutional Isomorphism and Collective Rationality in Organizational Fields,” in Powell and DiMaggio, eds</w:t>
      </w:r>
      <w:proofErr w:type="gramStart"/>
      <w:r w:rsidRPr="004C69CC">
        <w:rPr>
          <w:rFonts w:ascii="Times New Roman" w:hAnsi="Times New Roman" w:cs="Times New Roman"/>
          <w:sz w:val="20"/>
          <w:szCs w:val="20"/>
          <w:lang w:val="en-AU"/>
        </w:rPr>
        <w:t>.,</w:t>
      </w:r>
      <w:proofErr w:type="gramEnd"/>
      <w:r w:rsidRPr="004C69CC">
        <w:rPr>
          <w:rFonts w:ascii="Times New Roman" w:hAnsi="Times New Roman" w:cs="Times New Roman"/>
          <w:sz w:val="20"/>
          <w:szCs w:val="20"/>
          <w:lang w:val="en-AU"/>
        </w:rPr>
        <w:t xml:space="preserve"> </w:t>
      </w:r>
      <w:r w:rsidRPr="004C69CC">
        <w:rPr>
          <w:rFonts w:ascii="Times New Roman" w:hAnsi="Times New Roman" w:cs="Times New Roman"/>
          <w:i/>
          <w:iCs/>
          <w:sz w:val="20"/>
          <w:szCs w:val="20"/>
          <w:lang w:val="en-AU"/>
        </w:rPr>
        <w:t xml:space="preserve">The New Institutionalism in Organizational Analysis </w:t>
      </w:r>
      <w:r w:rsidRPr="004C69CC">
        <w:rPr>
          <w:rFonts w:ascii="Times New Roman" w:hAnsi="Times New Roman" w:cs="Times New Roman"/>
          <w:sz w:val="20"/>
          <w:szCs w:val="20"/>
          <w:lang w:val="en-AU"/>
        </w:rPr>
        <w:t>(Chicago:  University of Chicago Press), pp. 63-82.</w:t>
      </w:r>
    </w:p>
  </w:footnote>
  <w:footnote w:id="42">
    <w:p w14:paraId="6A92B409" w14:textId="77777777" w:rsidR="000B3EDB" w:rsidRPr="004C69CC" w:rsidRDefault="000B3EDB" w:rsidP="004C69CC">
      <w:pPr>
        <w:pStyle w:val="FootnoteText"/>
        <w:spacing w:after="120"/>
        <w:jc w:val="both"/>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Mitchell and Powell offer a similar argument, suggesting that states’ positions towards international law are shaped by their domestic legal tradition, although they strikingly omit any reference to dissent from their analysis.  See </w:t>
      </w:r>
      <w:r w:rsidRPr="004C69CC">
        <w:rPr>
          <w:rFonts w:ascii="Times New Roman" w:hAnsi="Times New Roman" w:cs="Times New Roman"/>
          <w:smallCaps/>
          <w:sz w:val="20"/>
          <w:szCs w:val="20"/>
        </w:rPr>
        <w:t>Sara McLaughlin Mitchell and Emilia Justyna Powell, Domestic Law Goes Global: Legal Traditions and International Courts</w:t>
      </w:r>
      <w:r w:rsidRPr="004C69CC">
        <w:rPr>
          <w:rFonts w:ascii="Times New Roman" w:hAnsi="Times New Roman" w:cs="Times New Roman"/>
          <w:sz w:val="20"/>
          <w:szCs w:val="20"/>
        </w:rPr>
        <w:t xml:space="preserve"> (New York:  Cambridge University Press, 2011).</w:t>
      </w:r>
    </w:p>
  </w:footnote>
  <w:footnote w:id="43">
    <w:p w14:paraId="1911BADA" w14:textId="77777777" w:rsidR="000B3EDB" w:rsidRPr="004C69CC" w:rsidRDefault="000B3EDB" w:rsidP="004C69CC">
      <w:pPr>
        <w:spacing w:after="120"/>
        <w:jc w:val="both"/>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Ginsburg, </w:t>
      </w:r>
      <w:r w:rsidRPr="004C69CC">
        <w:rPr>
          <w:rFonts w:ascii="Times New Roman" w:hAnsi="Times New Roman" w:cs="Times New Roman"/>
          <w:i/>
          <w:sz w:val="20"/>
          <w:szCs w:val="20"/>
        </w:rPr>
        <w:t>supra</w:t>
      </w:r>
      <w:r w:rsidRPr="004C69CC">
        <w:rPr>
          <w:rFonts w:ascii="Times New Roman" w:hAnsi="Times New Roman" w:cs="Times New Roman"/>
          <w:sz w:val="20"/>
          <w:szCs w:val="20"/>
        </w:rPr>
        <w:t xml:space="preserve"> note 12, at 14-15.  Note that if this hypothesis is supported, it would be a striking victory for sociological institutionalist theories over rationalist ones:  basically, it would suggest that, when national diplomats sit down to negotiate the statute of a new court (or when judges lay out their own rules of procedure), their own legal tradition or “professional field” trump other considerations.  Note also that this would raise an interesting question, of why a mixed group of states opts for dissents, i.e., why do the practices associated with common-law </w:t>
      </w:r>
      <w:proofErr w:type="gramStart"/>
      <w:r w:rsidRPr="004C69CC">
        <w:rPr>
          <w:rFonts w:ascii="Times New Roman" w:hAnsi="Times New Roman" w:cs="Times New Roman"/>
          <w:sz w:val="20"/>
          <w:szCs w:val="20"/>
        </w:rPr>
        <w:t>jurisdictions  tend</w:t>
      </w:r>
      <w:proofErr w:type="gramEnd"/>
      <w:r w:rsidRPr="004C69CC">
        <w:rPr>
          <w:rFonts w:ascii="Times New Roman" w:hAnsi="Times New Roman" w:cs="Times New Roman"/>
          <w:sz w:val="20"/>
          <w:szCs w:val="20"/>
        </w:rPr>
        <w:t xml:space="preserve"> to dominate.  See, e.g., Joost Pauwelyn, </w:t>
      </w:r>
      <w:r w:rsidRPr="004C69CC">
        <w:rPr>
          <w:rFonts w:ascii="Times New Roman" w:hAnsi="Times New Roman" w:cs="Times New Roman"/>
          <w:i/>
          <w:sz w:val="20"/>
          <w:szCs w:val="20"/>
        </w:rPr>
        <w:t>The Limits of Litigation: “Americanization” and Negotiation in the Settlement of WTO Disputes</w:t>
      </w:r>
      <w:r w:rsidRPr="004C69CC">
        <w:rPr>
          <w:rFonts w:ascii="Times New Roman" w:hAnsi="Times New Roman" w:cs="Times New Roman"/>
          <w:sz w:val="20"/>
          <w:szCs w:val="20"/>
        </w:rPr>
        <w:t xml:space="preserve">, </w:t>
      </w:r>
      <w:proofErr w:type="gramStart"/>
      <w:r w:rsidRPr="004C69CC">
        <w:rPr>
          <w:rFonts w:ascii="Times New Roman" w:hAnsi="Times New Roman" w:cs="Times New Roman"/>
          <w:sz w:val="20"/>
          <w:szCs w:val="20"/>
        </w:rPr>
        <w:t xml:space="preserve">19 </w:t>
      </w:r>
      <w:r w:rsidRPr="004C69CC">
        <w:rPr>
          <w:rFonts w:ascii="Times New Roman" w:hAnsi="Times New Roman" w:cs="Times New Roman"/>
          <w:smallCaps/>
          <w:sz w:val="20"/>
          <w:szCs w:val="20"/>
        </w:rPr>
        <w:t>Ohio St. J. Dis. Res.</w:t>
      </w:r>
      <w:r w:rsidRPr="004C69CC">
        <w:rPr>
          <w:rFonts w:ascii="Times New Roman" w:hAnsi="Times New Roman" w:cs="Times New Roman"/>
          <w:sz w:val="20"/>
          <w:szCs w:val="20"/>
        </w:rPr>
        <w:t xml:space="preserve"> 121</w:t>
      </w:r>
      <w:proofErr w:type="gramEnd"/>
      <w:r w:rsidRPr="004C69CC">
        <w:rPr>
          <w:rFonts w:ascii="Times New Roman" w:hAnsi="Times New Roman" w:cs="Times New Roman"/>
          <w:sz w:val="20"/>
          <w:szCs w:val="20"/>
        </w:rPr>
        <w:t xml:space="preserve"> (2003) (analyzing the extent to which WTO dispute settlement has been “Americanized”).</w:t>
      </w:r>
    </w:p>
  </w:footnote>
  <w:footnote w:id="44">
    <w:p w14:paraId="583A0127" w14:textId="77777777" w:rsidR="000B3EDB" w:rsidRPr="004C69CC" w:rsidRDefault="000B3EDB" w:rsidP="004C69CC">
      <w:pPr>
        <w:pStyle w:val="FootnoteText"/>
        <w:spacing w:after="120"/>
        <w:jc w:val="both"/>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Kolsky Lewis, supra note x.</w:t>
      </w:r>
    </w:p>
  </w:footnote>
  <w:footnote w:id="45">
    <w:p w14:paraId="444B2BB4" w14:textId="77777777" w:rsidR="000B3EDB" w:rsidRPr="004C69CC" w:rsidRDefault="000B3EDB" w:rsidP="004C69CC">
      <w:pPr>
        <w:pStyle w:val="FootnoteText"/>
        <w:spacing w:after="120"/>
        <w:jc w:val="both"/>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Epstein et al., supra note x.</w:t>
      </w:r>
    </w:p>
  </w:footnote>
  <w:footnote w:id="46">
    <w:p w14:paraId="12D87FDF" w14:textId="77777777" w:rsidR="000B3EDB" w:rsidRPr="004C69CC" w:rsidRDefault="000B3EDB" w:rsidP="004C69CC">
      <w:pPr>
        <w:pStyle w:val="FootnoteText"/>
        <w:spacing w:after="120"/>
        <w:jc w:val="both"/>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For a comparison of dissent rates by judges from common law systems with dissent rates by judges from civil law systems at the PCIJ, see table x.</w:t>
      </w:r>
    </w:p>
  </w:footnote>
  <w:footnote w:id="47">
    <w:p w14:paraId="16AE3B92" w14:textId="77777777" w:rsidR="000B3EDB" w:rsidRPr="004C69CC" w:rsidRDefault="000B3EDB" w:rsidP="004C69CC">
      <w:pPr>
        <w:pStyle w:val="FootnoteText"/>
        <w:spacing w:after="120"/>
        <w:jc w:val="both"/>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w:t>
      </w:r>
      <w:r w:rsidRPr="004C69CC">
        <w:rPr>
          <w:rFonts w:ascii="Times New Roman" w:hAnsi="Times New Roman" w:cs="Times New Roman"/>
          <w:smallCaps/>
          <w:sz w:val="20"/>
          <w:szCs w:val="20"/>
        </w:rPr>
        <w:t>Melvin I. Urofsky, Louis D. Brandeis: A Life</w:t>
      </w:r>
      <w:r w:rsidRPr="004C69CC">
        <w:rPr>
          <w:rFonts w:ascii="Times New Roman" w:hAnsi="Times New Roman" w:cs="Times New Roman"/>
          <w:sz w:val="20"/>
          <w:szCs w:val="20"/>
        </w:rPr>
        <w:t xml:space="preserve"> 579 (2009).  See also Collins J. Seitz, </w:t>
      </w:r>
      <w:r w:rsidRPr="004C69CC">
        <w:rPr>
          <w:rFonts w:ascii="Times New Roman" w:hAnsi="Times New Roman" w:cs="Times New Roman"/>
          <w:i/>
          <w:sz w:val="20"/>
          <w:szCs w:val="20"/>
        </w:rPr>
        <w:t>Collegiality and the Court of Appeals: What Is Important to the Court as an Institution is the Quality of the Working Relationship among Its Members</w:t>
      </w:r>
      <w:r w:rsidRPr="004C69CC">
        <w:rPr>
          <w:rFonts w:ascii="Times New Roman" w:hAnsi="Times New Roman" w:cs="Times New Roman"/>
          <w:sz w:val="20"/>
          <w:szCs w:val="20"/>
        </w:rPr>
        <w:t xml:space="preserve">, 75 </w:t>
      </w:r>
      <w:r w:rsidRPr="004C69CC">
        <w:rPr>
          <w:rFonts w:ascii="Times New Roman" w:hAnsi="Times New Roman" w:cs="Times New Roman"/>
          <w:smallCaps/>
          <w:sz w:val="20"/>
          <w:szCs w:val="20"/>
        </w:rPr>
        <w:t>Judicature</w:t>
      </w:r>
      <w:r w:rsidRPr="004C69CC">
        <w:rPr>
          <w:rFonts w:ascii="Times New Roman" w:hAnsi="Times New Roman" w:cs="Times New Roman"/>
          <w:sz w:val="20"/>
          <w:szCs w:val="20"/>
        </w:rPr>
        <w:t xml:space="preserve"> 26 (1991) (article by former Chief Judge of Third Circuit Court of Appeals).</w:t>
      </w:r>
    </w:p>
  </w:footnote>
  <w:footnote w:id="48">
    <w:p w14:paraId="3530144D" w14:textId="77777777" w:rsidR="000B3EDB" w:rsidRPr="004C69CC" w:rsidRDefault="000B3EDB" w:rsidP="004C69CC">
      <w:pPr>
        <w:pStyle w:val="FootnoteText"/>
        <w:spacing w:after="120"/>
        <w:jc w:val="both"/>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w:t>
      </w:r>
      <w:proofErr w:type="gramStart"/>
      <w:r w:rsidRPr="004C69CC">
        <w:rPr>
          <w:rFonts w:ascii="Times New Roman" w:hAnsi="Times New Roman" w:cs="Times New Roman"/>
          <w:sz w:val="20"/>
          <w:szCs w:val="20"/>
        </w:rPr>
        <w:t>Brennan xx on riding herd.</w:t>
      </w:r>
      <w:proofErr w:type="gramEnd"/>
      <w:r w:rsidRPr="004C69CC">
        <w:rPr>
          <w:rFonts w:ascii="Times New Roman" w:hAnsi="Times New Roman" w:cs="Times New Roman"/>
          <w:sz w:val="20"/>
          <w:szCs w:val="20"/>
        </w:rPr>
        <w:t xml:space="preserve">  </w:t>
      </w:r>
      <w:proofErr w:type="gramStart"/>
      <w:r w:rsidRPr="004C69CC">
        <w:rPr>
          <w:rFonts w:ascii="Times New Roman" w:hAnsi="Times New Roman" w:cs="Times New Roman"/>
          <w:sz w:val="20"/>
          <w:szCs w:val="20"/>
        </w:rPr>
        <w:t>Epstein et al. on longer majority decisions in cases featuring public dissent.</w:t>
      </w:r>
      <w:proofErr w:type="gramEnd"/>
      <w:r w:rsidRPr="004C69CC">
        <w:rPr>
          <w:rFonts w:ascii="Times New Roman" w:hAnsi="Times New Roman" w:cs="Times New Roman"/>
          <w:sz w:val="20"/>
          <w:szCs w:val="20"/>
        </w:rPr>
        <w:t xml:space="preserve"> </w:t>
      </w:r>
    </w:p>
  </w:footnote>
  <w:footnote w:id="49">
    <w:p w14:paraId="108793A9" w14:textId="77777777" w:rsidR="000B3EDB" w:rsidRPr="004C69CC" w:rsidRDefault="000B3EDB" w:rsidP="004C69CC">
      <w:pPr>
        <w:pStyle w:val="FootnoteText"/>
        <w:spacing w:after="120"/>
        <w:jc w:val="both"/>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w:t>
      </w:r>
      <w:proofErr w:type="gramStart"/>
      <w:r w:rsidRPr="004C69CC">
        <w:rPr>
          <w:rFonts w:ascii="Times New Roman" w:hAnsi="Times New Roman" w:cs="Times New Roman"/>
          <w:sz w:val="20"/>
          <w:szCs w:val="20"/>
        </w:rPr>
        <w:t xml:space="preserve">Ruth Bader Ginsburg, </w:t>
      </w:r>
      <w:r w:rsidRPr="004C69CC">
        <w:rPr>
          <w:rFonts w:ascii="Times New Roman" w:hAnsi="Times New Roman" w:cs="Times New Roman"/>
          <w:i/>
          <w:sz w:val="20"/>
          <w:szCs w:val="20"/>
        </w:rPr>
        <w:t>Dissent is an ‘Appeal’ for the Future</w:t>
      </w:r>
      <w:r w:rsidRPr="004C69CC">
        <w:rPr>
          <w:rFonts w:ascii="Times New Roman" w:hAnsi="Times New Roman" w:cs="Times New Roman"/>
          <w:sz w:val="20"/>
          <w:szCs w:val="20"/>
        </w:rPr>
        <w:t xml:space="preserve">, </w:t>
      </w:r>
      <w:r w:rsidRPr="004C69CC">
        <w:rPr>
          <w:rFonts w:ascii="Times New Roman" w:hAnsi="Times New Roman" w:cs="Times New Roman"/>
          <w:smallCaps/>
          <w:sz w:val="20"/>
          <w:szCs w:val="20"/>
        </w:rPr>
        <w:t>Alaska B. Rag</w:t>
      </w:r>
      <w:r w:rsidRPr="004C69CC">
        <w:rPr>
          <w:rFonts w:ascii="Times New Roman" w:hAnsi="Times New Roman" w:cs="Times New Roman"/>
          <w:sz w:val="20"/>
          <w:szCs w:val="20"/>
        </w:rPr>
        <w:t>, Apr.-June 2008, at 1, 6.</w:t>
      </w:r>
      <w:proofErr w:type="gramEnd"/>
    </w:p>
  </w:footnote>
  <w:footnote w:id="50">
    <w:p w14:paraId="3C386B06" w14:textId="77777777" w:rsidR="000B3EDB" w:rsidRPr="004C69CC" w:rsidRDefault="000B3EDB" w:rsidP="004C69CC">
      <w:pPr>
        <w:pStyle w:val="FootnoteText"/>
        <w:spacing w:after="120"/>
        <w:jc w:val="both"/>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See, e.g., Epstein, supra note x, at 120 (statistical analysis showing that “a Supreme Court majority opinion tends to be longer if there is one dissenting opinion and even longer if there is more than one”)</w:t>
      </w:r>
    </w:p>
  </w:footnote>
  <w:footnote w:id="51">
    <w:p w14:paraId="5B6E9A99" w14:textId="77777777" w:rsidR="000B3EDB" w:rsidRPr="004C69CC" w:rsidRDefault="000B3EDB" w:rsidP="004C69CC">
      <w:pPr>
        <w:pStyle w:val="FootnoteText"/>
        <w:spacing w:after="120"/>
        <w:jc w:val="both"/>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See, e.g., Donald G. Morgan, </w:t>
      </w:r>
      <w:r w:rsidRPr="004C69CC">
        <w:rPr>
          <w:rFonts w:ascii="Times New Roman" w:hAnsi="Times New Roman" w:cs="Times New Roman"/>
          <w:i/>
          <w:sz w:val="20"/>
          <w:szCs w:val="20"/>
        </w:rPr>
        <w:t>The Origin of Supreme Court Dissent</w:t>
      </w:r>
      <w:r w:rsidRPr="004C69CC">
        <w:rPr>
          <w:rFonts w:ascii="Times New Roman" w:hAnsi="Times New Roman" w:cs="Times New Roman"/>
          <w:sz w:val="20"/>
          <w:szCs w:val="20"/>
        </w:rPr>
        <w:t xml:space="preserve">, 10 </w:t>
      </w:r>
      <w:r w:rsidRPr="004C69CC">
        <w:rPr>
          <w:rFonts w:ascii="Times New Roman" w:hAnsi="Times New Roman" w:cs="Times New Roman"/>
          <w:smallCaps/>
          <w:sz w:val="20"/>
          <w:szCs w:val="20"/>
        </w:rPr>
        <w:t>Wm &amp; Mary Q</w:t>
      </w:r>
      <w:r w:rsidRPr="004C69CC">
        <w:rPr>
          <w:rFonts w:ascii="Times New Roman" w:hAnsi="Times New Roman" w:cs="Times New Roman"/>
          <w:sz w:val="20"/>
          <w:szCs w:val="20"/>
        </w:rPr>
        <w:t>. 353 (1953).</w:t>
      </w:r>
    </w:p>
  </w:footnote>
  <w:footnote w:id="52">
    <w:p w14:paraId="3D2DBC1E" w14:textId="77777777" w:rsidR="000B3EDB" w:rsidRPr="004C69CC" w:rsidRDefault="000B3EDB" w:rsidP="004C69CC">
      <w:pPr>
        <w:pStyle w:val="FootnoteText"/>
        <w:spacing w:after="120"/>
        <w:jc w:val="both"/>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See, e.g., Bernard Schwartz, </w:t>
      </w:r>
      <w:r w:rsidRPr="004C69CC">
        <w:rPr>
          <w:rFonts w:ascii="Times New Roman" w:hAnsi="Times New Roman" w:cs="Times New Roman"/>
          <w:i/>
          <w:sz w:val="20"/>
          <w:szCs w:val="20"/>
        </w:rPr>
        <w:t>Chief Justice Earl Warren: Super Chief in Action</w:t>
      </w:r>
      <w:r w:rsidRPr="004C69CC">
        <w:rPr>
          <w:rFonts w:ascii="Times New Roman" w:hAnsi="Times New Roman" w:cs="Times New Roman"/>
          <w:sz w:val="20"/>
          <w:szCs w:val="20"/>
        </w:rPr>
        <w:t xml:space="preserve">, </w:t>
      </w:r>
      <w:proofErr w:type="gramStart"/>
      <w:r w:rsidRPr="004C69CC">
        <w:rPr>
          <w:rFonts w:ascii="Times New Roman" w:hAnsi="Times New Roman" w:cs="Times New Roman"/>
          <w:sz w:val="20"/>
          <w:szCs w:val="20"/>
        </w:rPr>
        <w:t xml:space="preserve">23 </w:t>
      </w:r>
      <w:r w:rsidRPr="004C69CC">
        <w:rPr>
          <w:rFonts w:ascii="Times New Roman" w:hAnsi="Times New Roman" w:cs="Times New Roman"/>
          <w:smallCaps/>
          <w:sz w:val="20"/>
          <w:szCs w:val="20"/>
        </w:rPr>
        <w:t>J. Supreme Ct. Hist.</w:t>
      </w:r>
      <w:r w:rsidRPr="004C69CC">
        <w:rPr>
          <w:rFonts w:ascii="Times New Roman" w:hAnsi="Times New Roman" w:cs="Times New Roman"/>
          <w:sz w:val="20"/>
          <w:szCs w:val="20"/>
        </w:rPr>
        <w:t xml:space="preserve"> 112</w:t>
      </w:r>
      <w:proofErr w:type="gramEnd"/>
      <w:r w:rsidRPr="004C69CC">
        <w:rPr>
          <w:rFonts w:ascii="Times New Roman" w:hAnsi="Times New Roman" w:cs="Times New Roman"/>
          <w:sz w:val="20"/>
          <w:szCs w:val="20"/>
        </w:rPr>
        <w:t xml:space="preserve"> (1998).  Chief Justice William Howard Taft, as well, devoted substantial efforts to securing unanimous opinions during his time on the Court.  See, e.g., Sandra Day O’Connor, </w:t>
      </w:r>
      <w:r w:rsidRPr="004C69CC">
        <w:rPr>
          <w:rFonts w:ascii="Times New Roman" w:hAnsi="Times New Roman" w:cs="Times New Roman"/>
          <w:i/>
          <w:sz w:val="20"/>
          <w:szCs w:val="20"/>
        </w:rPr>
        <w:t>William Howard Taft and the Importance of Unanimity</w:t>
      </w:r>
      <w:r w:rsidRPr="004C69CC">
        <w:rPr>
          <w:rFonts w:ascii="Times New Roman" w:hAnsi="Times New Roman" w:cs="Times New Roman"/>
          <w:sz w:val="20"/>
          <w:szCs w:val="20"/>
        </w:rPr>
        <w:t xml:space="preserve">, </w:t>
      </w:r>
      <w:proofErr w:type="gramStart"/>
      <w:r w:rsidRPr="004C69CC">
        <w:rPr>
          <w:rFonts w:ascii="Times New Roman" w:hAnsi="Times New Roman" w:cs="Times New Roman"/>
          <w:sz w:val="20"/>
          <w:szCs w:val="20"/>
        </w:rPr>
        <w:t>28</w:t>
      </w:r>
      <w:proofErr w:type="gramEnd"/>
      <w:r w:rsidRPr="004C69CC">
        <w:rPr>
          <w:rFonts w:ascii="Times New Roman" w:hAnsi="Times New Roman" w:cs="Times New Roman"/>
          <w:sz w:val="20"/>
          <w:szCs w:val="20"/>
        </w:rPr>
        <w:t xml:space="preserve"> </w:t>
      </w:r>
      <w:r w:rsidRPr="004C69CC">
        <w:rPr>
          <w:rFonts w:ascii="Times New Roman" w:hAnsi="Times New Roman" w:cs="Times New Roman"/>
          <w:smallCaps/>
          <w:sz w:val="20"/>
          <w:szCs w:val="20"/>
        </w:rPr>
        <w:t>J. Sup. Ct. Hist</w:t>
      </w:r>
      <w:r w:rsidRPr="004C69CC">
        <w:rPr>
          <w:rFonts w:ascii="Times New Roman" w:hAnsi="Times New Roman" w:cs="Times New Roman"/>
          <w:sz w:val="20"/>
          <w:szCs w:val="20"/>
        </w:rPr>
        <w:t>. 157 (2003).</w:t>
      </w:r>
    </w:p>
  </w:footnote>
  <w:footnote w:id="53">
    <w:p w14:paraId="1E96B141" w14:textId="77777777" w:rsidR="000B3EDB" w:rsidRPr="004C69CC" w:rsidRDefault="000B3EDB" w:rsidP="004C69CC">
      <w:pPr>
        <w:pStyle w:val="FootnoteText"/>
        <w:spacing w:after="120"/>
        <w:jc w:val="both"/>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Perhaps for this reason, we have seen that both domestic and international political principals concerned about judicial independence of their courts (e.g. the German Constitutional Court and the ECtHR, respectively) have moved from relatively short renewable terms to longer, non-renewable terms, or allowed dissent on the condition that such dissents be issued anonymously (e.g., the WTO).  </w:t>
      </w:r>
    </w:p>
  </w:footnote>
  <w:footnote w:id="54">
    <w:p w14:paraId="220CC79F" w14:textId="77777777" w:rsidR="000B3EDB" w:rsidRPr="004C69CC" w:rsidRDefault="000B3EDB" w:rsidP="004C69CC">
      <w:pPr>
        <w:pStyle w:val="FootnoteText"/>
        <w:spacing w:after="120"/>
        <w:jc w:val="both"/>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As a formal matter, it is the judicial institution of the EU and the European Atomic Energy Community, and is made up of three courts: the Court of Justice, the General Court, and the Civil Service Tribunal.  For current purposes, our focus is on the Court of Justice.</w:t>
      </w:r>
    </w:p>
  </w:footnote>
  <w:footnote w:id="55">
    <w:p w14:paraId="0E3AAF56" w14:textId="77777777" w:rsidR="000B3EDB" w:rsidRPr="004C69CC" w:rsidRDefault="000B3EDB" w:rsidP="004C69CC">
      <w:pPr>
        <w:pStyle w:val="FootnoteText"/>
        <w:spacing w:after="120"/>
        <w:jc w:val="both"/>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Council of Europe, Factsheet – Protocol 14: The reform of the European Court of Human Rights, available at http://www.echr.coe.int/NR/rdonlyres/57211BCC-C88A-43C6-B540-AF0642E81D2C/0/CPProtocole14EN.pdf</w:t>
      </w:r>
    </w:p>
  </w:footnote>
  <w:footnote w:id="56">
    <w:p w14:paraId="7C6534E1" w14:textId="77777777" w:rsidR="000B3EDB" w:rsidRPr="004C69CC" w:rsidRDefault="000B3EDB" w:rsidP="004C69CC">
      <w:pPr>
        <w:pStyle w:val="FootnoteText"/>
        <w:spacing w:after="120"/>
        <w:jc w:val="both"/>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In ITLOS, every judgment to date contains multiple separate opinions.  See Appendix, table x. (Check to see if every dissenting judge has issued an opinion in every case).  Calculate percentage of dissenting judges who issue opinions in ICJ cases.</w:t>
      </w:r>
    </w:p>
  </w:footnote>
  <w:footnote w:id="57">
    <w:p w14:paraId="51AA963F" w14:textId="77777777" w:rsidR="000B3EDB" w:rsidRPr="004C69CC" w:rsidRDefault="000B3EDB" w:rsidP="004C69CC">
      <w:pPr>
        <w:pStyle w:val="FootnoteText"/>
        <w:spacing w:after="120"/>
        <w:jc w:val="both"/>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w:t>
      </w:r>
      <w:r w:rsidRPr="004C69CC">
        <w:rPr>
          <w:rFonts w:ascii="Times New Roman" w:hAnsi="Times New Roman" w:cs="Times New Roman"/>
          <w:smallCaps/>
          <w:sz w:val="20"/>
          <w:szCs w:val="20"/>
        </w:rPr>
        <w:t>Sir Hersch Lauterpacht, The Development of International Law by the International Court</w:t>
      </w:r>
      <w:r w:rsidRPr="004C69CC">
        <w:rPr>
          <w:rFonts w:ascii="Times New Roman" w:hAnsi="Times New Roman" w:cs="Times New Roman"/>
          <w:sz w:val="20"/>
          <w:szCs w:val="20"/>
        </w:rPr>
        <w:t xml:space="preserve"> 68-69 (1958).</w:t>
      </w:r>
    </w:p>
  </w:footnote>
  <w:footnote w:id="58">
    <w:p w14:paraId="320CF2D3" w14:textId="77777777" w:rsidR="000B3EDB" w:rsidRPr="004C69CC" w:rsidRDefault="000B3EDB" w:rsidP="004C69CC">
      <w:pPr>
        <w:pStyle w:val="FootnoteText"/>
        <w:spacing w:after="120"/>
        <w:jc w:val="both"/>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With respect to the WTO, however, there is reason to believe that ideological diversity may relatively low despite its global coverage, insofar as the WTO (and the GATT before it) is not a universal membership organization or a court of general jurisdiction like the ICJ, but a body of states that have accepted the core free-trade principles of the organization.  Furthermore, the dominance of trade specialists within WTO panels and, increasingly, the AB may also promote ideological homogeneity, and make unanimous agreement easier to achieve than in courts with a broader mandate.</w:t>
      </w:r>
    </w:p>
  </w:footnote>
  <w:footnote w:id="59">
    <w:p w14:paraId="65E932FA" w14:textId="256D985F" w:rsidR="000B3EDB" w:rsidRPr="004C69CC" w:rsidRDefault="000B3EDB" w:rsidP="004C69CC">
      <w:pPr>
        <w:pStyle w:val="FootnoteText"/>
        <w:spacing w:after="120"/>
        <w:jc w:val="both"/>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Furthermore, our analysis complements rational design theory by considering the interrelationships and trade-offs among various design choices, including rules on dissent and rules on international judicial appointments.  </w:t>
      </w:r>
    </w:p>
  </w:footnote>
  <w:footnote w:id="60">
    <w:p w14:paraId="6E598888" w14:textId="77777777" w:rsidR="000B3EDB" w:rsidRPr="004C69CC" w:rsidRDefault="000B3EDB" w:rsidP="004C69CC">
      <w:pPr>
        <w:pStyle w:val="FootnoteText"/>
        <w:spacing w:after="120"/>
        <w:jc w:val="both"/>
        <w:rPr>
          <w:rFonts w:ascii="Times New Roman" w:hAnsi="Times New Roman" w:cs="Times New Roman"/>
          <w:sz w:val="20"/>
          <w:szCs w:val="20"/>
        </w:rPr>
      </w:pPr>
      <w:r w:rsidRPr="004C69CC">
        <w:rPr>
          <w:rStyle w:val="FootnoteReference"/>
          <w:rFonts w:ascii="Times New Roman" w:hAnsi="Times New Roman" w:cs="Times New Roman"/>
          <w:sz w:val="20"/>
          <w:szCs w:val="20"/>
        </w:rPr>
        <w:footnoteRef/>
      </w:r>
      <w:r w:rsidRPr="004C69CC">
        <w:rPr>
          <w:rFonts w:ascii="Times New Roman" w:hAnsi="Times New Roman" w:cs="Times New Roman"/>
          <w:sz w:val="20"/>
          <w:szCs w:val="20"/>
        </w:rPr>
        <w:t xml:space="preserve"> </w:t>
      </w:r>
      <w:proofErr w:type="gramStart"/>
      <w:r w:rsidRPr="004C69CC">
        <w:rPr>
          <w:rFonts w:ascii="Times New Roman" w:hAnsi="Times New Roman" w:cs="Times New Roman"/>
          <w:sz w:val="20"/>
          <w:szCs w:val="20"/>
        </w:rPr>
        <w:t xml:space="preserve">Jeffrey K. Staton and Will H. Moore, </w:t>
      </w:r>
      <w:hyperlink r:id="rId5" w:history="1">
        <w:r w:rsidRPr="004C69CC">
          <w:rPr>
            <w:rStyle w:val="Hyperlink"/>
            <w:rFonts w:ascii="Times New Roman" w:hAnsi="Times New Roman" w:cs="Times New Roman"/>
            <w:i/>
            <w:sz w:val="20"/>
            <w:szCs w:val="20"/>
            <w:u w:val="none"/>
          </w:rPr>
          <w:t>Judicial Power in Domestic and International Politics</w:t>
        </w:r>
      </w:hyperlink>
      <w:r w:rsidRPr="004C69CC">
        <w:rPr>
          <w:rFonts w:ascii="Times New Roman" w:hAnsi="Times New Roman" w:cs="Times New Roman"/>
          <w:sz w:val="20"/>
          <w:szCs w:val="20"/>
        </w:rPr>
        <w:t xml:space="preserve">, 65 </w:t>
      </w:r>
      <w:hyperlink r:id="rId6" w:history="1">
        <w:r w:rsidRPr="004C69CC">
          <w:rPr>
            <w:rStyle w:val="Hyperlink"/>
            <w:rFonts w:ascii="Times New Roman" w:hAnsi="Times New Roman" w:cs="Times New Roman"/>
            <w:smallCaps/>
            <w:sz w:val="20"/>
            <w:szCs w:val="20"/>
            <w:u w:val="none"/>
          </w:rPr>
          <w:t>Int’l Org</w:t>
        </w:r>
      </w:hyperlink>
      <w:r w:rsidRPr="004C69CC">
        <w:rPr>
          <w:rFonts w:ascii="Times New Roman" w:hAnsi="Times New Roman" w:cs="Times New Roman"/>
          <w:i/>
          <w:sz w:val="20"/>
          <w:szCs w:val="20"/>
        </w:rPr>
        <w:t>.</w:t>
      </w:r>
      <w:proofErr w:type="gramEnd"/>
      <w:r w:rsidRPr="004C69CC">
        <w:rPr>
          <w:rFonts w:ascii="Times New Roman" w:hAnsi="Times New Roman" w:cs="Times New Roman"/>
          <w:sz w:val="20"/>
          <w:szCs w:val="20"/>
        </w:rPr>
        <w:t xml:space="preserve"> </w:t>
      </w:r>
      <w:proofErr w:type="gramStart"/>
      <w:r w:rsidRPr="004C69CC">
        <w:rPr>
          <w:rFonts w:ascii="Times New Roman" w:hAnsi="Times New Roman" w:cs="Times New Roman"/>
          <w:sz w:val="20"/>
          <w:szCs w:val="20"/>
        </w:rPr>
        <w:t>553(2011).</w:t>
      </w:r>
      <w:proofErr w:type="gram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5EE"/>
    <w:multiLevelType w:val="hybridMultilevel"/>
    <w:tmpl w:val="43184EF2"/>
    <w:lvl w:ilvl="0" w:tplc="6E483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3C496A"/>
    <w:multiLevelType w:val="multilevel"/>
    <w:tmpl w:val="51BC0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36C12"/>
    <w:multiLevelType w:val="hybridMultilevel"/>
    <w:tmpl w:val="89C48FC0"/>
    <w:lvl w:ilvl="0" w:tplc="DE3AD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B96A7A"/>
    <w:multiLevelType w:val="hybridMultilevel"/>
    <w:tmpl w:val="3230DC28"/>
    <w:lvl w:ilvl="0" w:tplc="86607474">
      <w:start w:val="7"/>
      <w:numFmt w:val="decimal"/>
      <w:lvlText w:val="%1."/>
      <w:lvlJc w:val="left"/>
      <w:pPr>
        <w:ind w:left="36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4">
    <w:nsid w:val="12D76BDD"/>
    <w:multiLevelType w:val="hybridMultilevel"/>
    <w:tmpl w:val="26A6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42F2E"/>
    <w:multiLevelType w:val="hybridMultilevel"/>
    <w:tmpl w:val="67EEB51E"/>
    <w:lvl w:ilvl="0" w:tplc="CE74F0AC">
      <w:start w:val="1"/>
      <w:numFmt w:val="decimal"/>
      <w:lvlText w:val="%1."/>
      <w:lvlJc w:val="left"/>
      <w:pPr>
        <w:tabs>
          <w:tab w:val="num" w:pos="720"/>
        </w:tabs>
        <w:ind w:left="720" w:hanging="360"/>
      </w:pPr>
    </w:lvl>
    <w:lvl w:ilvl="1" w:tplc="A628D9CA" w:tentative="1">
      <w:start w:val="1"/>
      <w:numFmt w:val="decimal"/>
      <w:lvlText w:val="%2."/>
      <w:lvlJc w:val="left"/>
      <w:pPr>
        <w:tabs>
          <w:tab w:val="num" w:pos="1440"/>
        </w:tabs>
        <w:ind w:left="1440" w:hanging="360"/>
      </w:pPr>
    </w:lvl>
    <w:lvl w:ilvl="2" w:tplc="DBA4E120" w:tentative="1">
      <w:start w:val="1"/>
      <w:numFmt w:val="decimal"/>
      <w:lvlText w:val="%3."/>
      <w:lvlJc w:val="left"/>
      <w:pPr>
        <w:tabs>
          <w:tab w:val="num" w:pos="2160"/>
        </w:tabs>
        <w:ind w:left="2160" w:hanging="360"/>
      </w:pPr>
    </w:lvl>
    <w:lvl w:ilvl="3" w:tplc="1DE2E72C" w:tentative="1">
      <w:start w:val="1"/>
      <w:numFmt w:val="decimal"/>
      <w:lvlText w:val="%4."/>
      <w:lvlJc w:val="left"/>
      <w:pPr>
        <w:tabs>
          <w:tab w:val="num" w:pos="2880"/>
        </w:tabs>
        <w:ind w:left="2880" w:hanging="360"/>
      </w:pPr>
    </w:lvl>
    <w:lvl w:ilvl="4" w:tplc="452E6468" w:tentative="1">
      <w:start w:val="1"/>
      <w:numFmt w:val="decimal"/>
      <w:lvlText w:val="%5."/>
      <w:lvlJc w:val="left"/>
      <w:pPr>
        <w:tabs>
          <w:tab w:val="num" w:pos="3600"/>
        </w:tabs>
        <w:ind w:left="3600" w:hanging="360"/>
      </w:pPr>
    </w:lvl>
    <w:lvl w:ilvl="5" w:tplc="3FE6A654" w:tentative="1">
      <w:start w:val="1"/>
      <w:numFmt w:val="decimal"/>
      <w:lvlText w:val="%6."/>
      <w:lvlJc w:val="left"/>
      <w:pPr>
        <w:tabs>
          <w:tab w:val="num" w:pos="4320"/>
        </w:tabs>
        <w:ind w:left="4320" w:hanging="360"/>
      </w:pPr>
    </w:lvl>
    <w:lvl w:ilvl="6" w:tplc="70A61462" w:tentative="1">
      <w:start w:val="1"/>
      <w:numFmt w:val="decimal"/>
      <w:lvlText w:val="%7."/>
      <w:lvlJc w:val="left"/>
      <w:pPr>
        <w:tabs>
          <w:tab w:val="num" w:pos="5040"/>
        </w:tabs>
        <w:ind w:left="5040" w:hanging="360"/>
      </w:pPr>
    </w:lvl>
    <w:lvl w:ilvl="7" w:tplc="7C0AEFDC" w:tentative="1">
      <w:start w:val="1"/>
      <w:numFmt w:val="decimal"/>
      <w:lvlText w:val="%8."/>
      <w:lvlJc w:val="left"/>
      <w:pPr>
        <w:tabs>
          <w:tab w:val="num" w:pos="5760"/>
        </w:tabs>
        <w:ind w:left="5760" w:hanging="360"/>
      </w:pPr>
    </w:lvl>
    <w:lvl w:ilvl="8" w:tplc="95820B94" w:tentative="1">
      <w:start w:val="1"/>
      <w:numFmt w:val="decimal"/>
      <w:lvlText w:val="%9."/>
      <w:lvlJc w:val="left"/>
      <w:pPr>
        <w:tabs>
          <w:tab w:val="num" w:pos="6480"/>
        </w:tabs>
        <w:ind w:left="6480" w:hanging="360"/>
      </w:pPr>
    </w:lvl>
  </w:abstractNum>
  <w:abstractNum w:abstractNumId="6">
    <w:nsid w:val="21156243"/>
    <w:multiLevelType w:val="hybridMultilevel"/>
    <w:tmpl w:val="560ED36E"/>
    <w:lvl w:ilvl="0" w:tplc="9B50F7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362CFB"/>
    <w:multiLevelType w:val="hybridMultilevel"/>
    <w:tmpl w:val="2D5C941C"/>
    <w:lvl w:ilvl="0" w:tplc="4B00AF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8716AC"/>
    <w:multiLevelType w:val="hybridMultilevel"/>
    <w:tmpl w:val="3788B816"/>
    <w:lvl w:ilvl="0" w:tplc="F1ACEFE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252B2668"/>
    <w:multiLevelType w:val="hybridMultilevel"/>
    <w:tmpl w:val="1846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6F0CD2"/>
    <w:multiLevelType w:val="multilevel"/>
    <w:tmpl w:val="0FB60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C83F14"/>
    <w:multiLevelType w:val="hybridMultilevel"/>
    <w:tmpl w:val="A6D49A74"/>
    <w:lvl w:ilvl="0" w:tplc="CD4C8718">
      <w:start w:val="8"/>
      <w:numFmt w:val="decimal"/>
      <w:lvlText w:val="%1."/>
      <w:lvlJc w:val="left"/>
      <w:pPr>
        <w:ind w:left="360" w:hanging="360"/>
      </w:pPr>
      <w:rPr>
        <w:rFonts w:hint="default"/>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12">
    <w:nsid w:val="299D3992"/>
    <w:multiLevelType w:val="hybridMultilevel"/>
    <w:tmpl w:val="D608771E"/>
    <w:lvl w:ilvl="0" w:tplc="18EA2C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327BE9"/>
    <w:multiLevelType w:val="hybridMultilevel"/>
    <w:tmpl w:val="1FC2A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F50599"/>
    <w:multiLevelType w:val="hybridMultilevel"/>
    <w:tmpl w:val="2332B9EA"/>
    <w:lvl w:ilvl="0" w:tplc="46441C6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2C3B0401"/>
    <w:multiLevelType w:val="hybridMultilevel"/>
    <w:tmpl w:val="7CBA6AB4"/>
    <w:lvl w:ilvl="0" w:tplc="2CEEEF7E">
      <w:start w:val="17"/>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95708E"/>
    <w:multiLevelType w:val="multilevel"/>
    <w:tmpl w:val="7CDA5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AB2FB4"/>
    <w:multiLevelType w:val="hybridMultilevel"/>
    <w:tmpl w:val="8DCA261A"/>
    <w:lvl w:ilvl="0" w:tplc="F3B04B5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AD83308"/>
    <w:multiLevelType w:val="multilevel"/>
    <w:tmpl w:val="DFDE0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6A1BF4"/>
    <w:multiLevelType w:val="multilevel"/>
    <w:tmpl w:val="168EC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6129FA"/>
    <w:multiLevelType w:val="hybridMultilevel"/>
    <w:tmpl w:val="3438AE88"/>
    <w:lvl w:ilvl="0" w:tplc="A55060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0F12DC1"/>
    <w:multiLevelType w:val="hybridMultilevel"/>
    <w:tmpl w:val="CF50B67E"/>
    <w:lvl w:ilvl="0" w:tplc="DE3AD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B1082F"/>
    <w:multiLevelType w:val="hybridMultilevel"/>
    <w:tmpl w:val="1C52C03C"/>
    <w:lvl w:ilvl="0" w:tplc="D678607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47750514"/>
    <w:multiLevelType w:val="multilevel"/>
    <w:tmpl w:val="05F85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A349A1"/>
    <w:multiLevelType w:val="hybridMultilevel"/>
    <w:tmpl w:val="376238E8"/>
    <w:lvl w:ilvl="0" w:tplc="65E69B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9394D2A"/>
    <w:multiLevelType w:val="hybridMultilevel"/>
    <w:tmpl w:val="A1826012"/>
    <w:lvl w:ilvl="0" w:tplc="0409000F">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nsid w:val="524603BE"/>
    <w:multiLevelType w:val="hybridMultilevel"/>
    <w:tmpl w:val="A272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D5361"/>
    <w:multiLevelType w:val="hybridMultilevel"/>
    <w:tmpl w:val="D14E237E"/>
    <w:lvl w:ilvl="0" w:tplc="469410DA">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2B70C49"/>
    <w:multiLevelType w:val="multilevel"/>
    <w:tmpl w:val="F37C7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356623"/>
    <w:multiLevelType w:val="hybridMultilevel"/>
    <w:tmpl w:val="FBBE378C"/>
    <w:lvl w:ilvl="0" w:tplc="45C2A964">
      <w:start w:val="5"/>
      <w:numFmt w:val="decimal"/>
      <w:lvlText w:val="%1."/>
      <w:lvlJc w:val="left"/>
      <w:pPr>
        <w:ind w:left="36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30">
    <w:nsid w:val="6282657A"/>
    <w:multiLevelType w:val="multilevel"/>
    <w:tmpl w:val="A68CE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1800A1"/>
    <w:multiLevelType w:val="hybridMultilevel"/>
    <w:tmpl w:val="8EC45B84"/>
    <w:lvl w:ilvl="0" w:tplc="59B25632">
      <w:start w:val="1"/>
      <w:numFmt w:val="lowerRoman"/>
      <w:lvlText w:val="%1."/>
      <w:lvlJc w:val="left"/>
      <w:pPr>
        <w:ind w:left="2160" w:hanging="720"/>
      </w:pPr>
      <w:rPr>
        <w:rFonts w:ascii="Times New Roman" w:eastAsiaTheme="minorHAnsi" w:hAnsi="Times New Roman"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CD44F12"/>
    <w:multiLevelType w:val="multilevel"/>
    <w:tmpl w:val="5D90B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3D5694"/>
    <w:multiLevelType w:val="multilevel"/>
    <w:tmpl w:val="64BE4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256A00"/>
    <w:multiLevelType w:val="hybridMultilevel"/>
    <w:tmpl w:val="95D6A2A0"/>
    <w:lvl w:ilvl="0" w:tplc="35349266">
      <w:start w:val="18"/>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825402"/>
    <w:multiLevelType w:val="hybridMultilevel"/>
    <w:tmpl w:val="BFD01194"/>
    <w:lvl w:ilvl="0" w:tplc="EA1CDE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9F45324"/>
    <w:multiLevelType w:val="multilevel"/>
    <w:tmpl w:val="C2CEE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E2087F"/>
    <w:multiLevelType w:val="multilevel"/>
    <w:tmpl w:val="4A6C7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893D47"/>
    <w:multiLevelType w:val="multilevel"/>
    <w:tmpl w:val="F57C4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24"/>
  </w:num>
  <w:num w:numId="4">
    <w:abstractNumId w:val="35"/>
  </w:num>
  <w:num w:numId="5">
    <w:abstractNumId w:val="12"/>
  </w:num>
  <w:num w:numId="6">
    <w:abstractNumId w:val="27"/>
  </w:num>
  <w:num w:numId="7">
    <w:abstractNumId w:val="0"/>
  </w:num>
  <w:num w:numId="8">
    <w:abstractNumId w:val="21"/>
  </w:num>
  <w:num w:numId="9">
    <w:abstractNumId w:val="20"/>
  </w:num>
  <w:num w:numId="10">
    <w:abstractNumId w:val="31"/>
  </w:num>
  <w:num w:numId="11">
    <w:abstractNumId w:val="7"/>
  </w:num>
  <w:num w:numId="12">
    <w:abstractNumId w:val="2"/>
  </w:num>
  <w:num w:numId="13">
    <w:abstractNumId w:val="17"/>
  </w:num>
  <w:num w:numId="14">
    <w:abstractNumId w:val="26"/>
  </w:num>
  <w:num w:numId="15">
    <w:abstractNumId w:val="14"/>
  </w:num>
  <w:num w:numId="16">
    <w:abstractNumId w:val="22"/>
  </w:num>
  <w:num w:numId="17">
    <w:abstractNumId w:val="8"/>
  </w:num>
  <w:num w:numId="18">
    <w:abstractNumId w:val="25"/>
  </w:num>
  <w:num w:numId="19">
    <w:abstractNumId w:val="1"/>
  </w:num>
  <w:num w:numId="20">
    <w:abstractNumId w:val="13"/>
  </w:num>
  <w:num w:numId="21">
    <w:abstractNumId w:val="32"/>
  </w:num>
  <w:num w:numId="22">
    <w:abstractNumId w:val="28"/>
  </w:num>
  <w:num w:numId="23">
    <w:abstractNumId w:val="30"/>
  </w:num>
  <w:num w:numId="24">
    <w:abstractNumId w:val="29"/>
  </w:num>
  <w:num w:numId="25">
    <w:abstractNumId w:val="3"/>
  </w:num>
  <w:num w:numId="26">
    <w:abstractNumId w:val="33"/>
  </w:num>
  <w:num w:numId="27">
    <w:abstractNumId w:val="23"/>
  </w:num>
  <w:num w:numId="28">
    <w:abstractNumId w:val="10"/>
  </w:num>
  <w:num w:numId="29">
    <w:abstractNumId w:val="37"/>
  </w:num>
  <w:num w:numId="30">
    <w:abstractNumId w:val="36"/>
  </w:num>
  <w:num w:numId="31">
    <w:abstractNumId w:val="19"/>
  </w:num>
  <w:num w:numId="32">
    <w:abstractNumId w:val="38"/>
  </w:num>
  <w:num w:numId="33">
    <w:abstractNumId w:val="16"/>
  </w:num>
  <w:num w:numId="34">
    <w:abstractNumId w:val="18"/>
  </w:num>
  <w:num w:numId="35">
    <w:abstractNumId w:val="4"/>
  </w:num>
  <w:num w:numId="36">
    <w:abstractNumId w:val="11"/>
  </w:num>
  <w:num w:numId="37">
    <w:abstractNumId w:val="34"/>
  </w:num>
  <w:num w:numId="38">
    <w:abstractNumId w:val="15"/>
  </w:num>
  <w:num w:numId="39">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3EA"/>
    <w:rsid w:val="00013D09"/>
    <w:rsid w:val="00014627"/>
    <w:rsid w:val="000173AB"/>
    <w:rsid w:val="00024239"/>
    <w:rsid w:val="00035F18"/>
    <w:rsid w:val="00047F20"/>
    <w:rsid w:val="00051ACF"/>
    <w:rsid w:val="00054747"/>
    <w:rsid w:val="00060796"/>
    <w:rsid w:val="00077925"/>
    <w:rsid w:val="0008102D"/>
    <w:rsid w:val="00082631"/>
    <w:rsid w:val="000845F4"/>
    <w:rsid w:val="000A018A"/>
    <w:rsid w:val="000A6F99"/>
    <w:rsid w:val="000B3EDB"/>
    <w:rsid w:val="000B4C8E"/>
    <w:rsid w:val="000C259C"/>
    <w:rsid w:val="000F0E11"/>
    <w:rsid w:val="00103627"/>
    <w:rsid w:val="00112349"/>
    <w:rsid w:val="001123EA"/>
    <w:rsid w:val="00126E90"/>
    <w:rsid w:val="0013365E"/>
    <w:rsid w:val="00135CC7"/>
    <w:rsid w:val="0013704F"/>
    <w:rsid w:val="00137CC0"/>
    <w:rsid w:val="0014560A"/>
    <w:rsid w:val="001476E5"/>
    <w:rsid w:val="00147DFD"/>
    <w:rsid w:val="00151AF7"/>
    <w:rsid w:val="00153100"/>
    <w:rsid w:val="0018517F"/>
    <w:rsid w:val="00193C53"/>
    <w:rsid w:val="00196D9B"/>
    <w:rsid w:val="001A07F5"/>
    <w:rsid w:val="001A0CA6"/>
    <w:rsid w:val="001A63F1"/>
    <w:rsid w:val="001B3723"/>
    <w:rsid w:val="001C48CA"/>
    <w:rsid w:val="001D0EEF"/>
    <w:rsid w:val="001D45CF"/>
    <w:rsid w:val="001D53C0"/>
    <w:rsid w:val="001D55AB"/>
    <w:rsid w:val="001E20D5"/>
    <w:rsid w:val="00206BD4"/>
    <w:rsid w:val="00212BAD"/>
    <w:rsid w:val="00242806"/>
    <w:rsid w:val="00244015"/>
    <w:rsid w:val="00253039"/>
    <w:rsid w:val="00253259"/>
    <w:rsid w:val="00263C6D"/>
    <w:rsid w:val="0027114E"/>
    <w:rsid w:val="00275C9D"/>
    <w:rsid w:val="002828D5"/>
    <w:rsid w:val="00290DE2"/>
    <w:rsid w:val="0029219B"/>
    <w:rsid w:val="00292B4F"/>
    <w:rsid w:val="002A0B6B"/>
    <w:rsid w:val="002A1D29"/>
    <w:rsid w:val="002C5033"/>
    <w:rsid w:val="002D165D"/>
    <w:rsid w:val="002D4E1C"/>
    <w:rsid w:val="003047A7"/>
    <w:rsid w:val="003065AE"/>
    <w:rsid w:val="00313025"/>
    <w:rsid w:val="00316315"/>
    <w:rsid w:val="00343981"/>
    <w:rsid w:val="00357668"/>
    <w:rsid w:val="003814A0"/>
    <w:rsid w:val="00382564"/>
    <w:rsid w:val="00384439"/>
    <w:rsid w:val="00387777"/>
    <w:rsid w:val="003904CC"/>
    <w:rsid w:val="0039457A"/>
    <w:rsid w:val="00395B8E"/>
    <w:rsid w:val="003A30D2"/>
    <w:rsid w:val="003A48BE"/>
    <w:rsid w:val="003A4F55"/>
    <w:rsid w:val="003B1E00"/>
    <w:rsid w:val="003B22D0"/>
    <w:rsid w:val="003B28D9"/>
    <w:rsid w:val="003B536C"/>
    <w:rsid w:val="003C61AC"/>
    <w:rsid w:val="003D3F01"/>
    <w:rsid w:val="003E2B18"/>
    <w:rsid w:val="00402620"/>
    <w:rsid w:val="0040681B"/>
    <w:rsid w:val="004075FE"/>
    <w:rsid w:val="004103EC"/>
    <w:rsid w:val="004117E6"/>
    <w:rsid w:val="00420BBD"/>
    <w:rsid w:val="0042361F"/>
    <w:rsid w:val="00425102"/>
    <w:rsid w:val="00431796"/>
    <w:rsid w:val="00437347"/>
    <w:rsid w:val="00442EA2"/>
    <w:rsid w:val="0044311F"/>
    <w:rsid w:val="00443AEB"/>
    <w:rsid w:val="0044577D"/>
    <w:rsid w:val="0044790D"/>
    <w:rsid w:val="004534EA"/>
    <w:rsid w:val="00455E67"/>
    <w:rsid w:val="00463CBA"/>
    <w:rsid w:val="004674B2"/>
    <w:rsid w:val="00492BDF"/>
    <w:rsid w:val="004A1B5F"/>
    <w:rsid w:val="004A238E"/>
    <w:rsid w:val="004A79BD"/>
    <w:rsid w:val="004C5401"/>
    <w:rsid w:val="004C69CC"/>
    <w:rsid w:val="004E7199"/>
    <w:rsid w:val="004F2084"/>
    <w:rsid w:val="0050232A"/>
    <w:rsid w:val="0050512F"/>
    <w:rsid w:val="00511276"/>
    <w:rsid w:val="005222EE"/>
    <w:rsid w:val="00537510"/>
    <w:rsid w:val="00540CFA"/>
    <w:rsid w:val="00541A28"/>
    <w:rsid w:val="0054672C"/>
    <w:rsid w:val="00556CBD"/>
    <w:rsid w:val="005609D4"/>
    <w:rsid w:val="005616CC"/>
    <w:rsid w:val="00567647"/>
    <w:rsid w:val="005707F9"/>
    <w:rsid w:val="005973A8"/>
    <w:rsid w:val="005B11A0"/>
    <w:rsid w:val="005B2546"/>
    <w:rsid w:val="005C24DB"/>
    <w:rsid w:val="005C32D5"/>
    <w:rsid w:val="005D3AA1"/>
    <w:rsid w:val="005E0DF6"/>
    <w:rsid w:val="005F0ED1"/>
    <w:rsid w:val="00601DBC"/>
    <w:rsid w:val="0060510E"/>
    <w:rsid w:val="0061793D"/>
    <w:rsid w:val="0062601B"/>
    <w:rsid w:val="00630309"/>
    <w:rsid w:val="00631DCC"/>
    <w:rsid w:val="00637E05"/>
    <w:rsid w:val="00640B24"/>
    <w:rsid w:val="00641E9F"/>
    <w:rsid w:val="006456C2"/>
    <w:rsid w:val="00656BAA"/>
    <w:rsid w:val="006637A1"/>
    <w:rsid w:val="00666A78"/>
    <w:rsid w:val="006707AC"/>
    <w:rsid w:val="00681066"/>
    <w:rsid w:val="006957B1"/>
    <w:rsid w:val="006A5C0D"/>
    <w:rsid w:val="006A5CD6"/>
    <w:rsid w:val="006B0432"/>
    <w:rsid w:val="006B0FD8"/>
    <w:rsid w:val="006B2BED"/>
    <w:rsid w:val="006B57DB"/>
    <w:rsid w:val="006B787A"/>
    <w:rsid w:val="006C69F7"/>
    <w:rsid w:val="006D62D3"/>
    <w:rsid w:val="006E07F4"/>
    <w:rsid w:val="006E51E5"/>
    <w:rsid w:val="006F738C"/>
    <w:rsid w:val="00702911"/>
    <w:rsid w:val="007034C8"/>
    <w:rsid w:val="0071154C"/>
    <w:rsid w:val="00712E23"/>
    <w:rsid w:val="00722312"/>
    <w:rsid w:val="007226E3"/>
    <w:rsid w:val="0072275D"/>
    <w:rsid w:val="0072323B"/>
    <w:rsid w:val="00725F2A"/>
    <w:rsid w:val="00730E83"/>
    <w:rsid w:val="00744AB1"/>
    <w:rsid w:val="007473D4"/>
    <w:rsid w:val="0075128C"/>
    <w:rsid w:val="00765771"/>
    <w:rsid w:val="00770895"/>
    <w:rsid w:val="007762F5"/>
    <w:rsid w:val="00784922"/>
    <w:rsid w:val="007878F5"/>
    <w:rsid w:val="00787E93"/>
    <w:rsid w:val="007A46E7"/>
    <w:rsid w:val="007A6836"/>
    <w:rsid w:val="007B5B9B"/>
    <w:rsid w:val="007F6C82"/>
    <w:rsid w:val="00806CE6"/>
    <w:rsid w:val="00814851"/>
    <w:rsid w:val="008173F3"/>
    <w:rsid w:val="008373B3"/>
    <w:rsid w:val="00837E4B"/>
    <w:rsid w:val="00865A88"/>
    <w:rsid w:val="00866532"/>
    <w:rsid w:val="0087766C"/>
    <w:rsid w:val="00881F7C"/>
    <w:rsid w:val="00882729"/>
    <w:rsid w:val="00892A60"/>
    <w:rsid w:val="008978AB"/>
    <w:rsid w:val="008A045A"/>
    <w:rsid w:val="008B05E3"/>
    <w:rsid w:val="008B2E49"/>
    <w:rsid w:val="008B4B37"/>
    <w:rsid w:val="008B7400"/>
    <w:rsid w:val="008C6195"/>
    <w:rsid w:val="008C7AAE"/>
    <w:rsid w:val="008D1016"/>
    <w:rsid w:val="008D2993"/>
    <w:rsid w:val="008E53F4"/>
    <w:rsid w:val="008E5497"/>
    <w:rsid w:val="008E55BA"/>
    <w:rsid w:val="009106B7"/>
    <w:rsid w:val="00910A12"/>
    <w:rsid w:val="009147C5"/>
    <w:rsid w:val="00930A53"/>
    <w:rsid w:val="00946FF7"/>
    <w:rsid w:val="00950610"/>
    <w:rsid w:val="00954019"/>
    <w:rsid w:val="00961C72"/>
    <w:rsid w:val="009641D3"/>
    <w:rsid w:val="00966AF3"/>
    <w:rsid w:val="00966F14"/>
    <w:rsid w:val="0097234F"/>
    <w:rsid w:val="00980C82"/>
    <w:rsid w:val="009817A7"/>
    <w:rsid w:val="009827ED"/>
    <w:rsid w:val="009845D2"/>
    <w:rsid w:val="00984902"/>
    <w:rsid w:val="00990E4A"/>
    <w:rsid w:val="009C22EA"/>
    <w:rsid w:val="009C46CE"/>
    <w:rsid w:val="009E583F"/>
    <w:rsid w:val="009F002F"/>
    <w:rsid w:val="009F24B0"/>
    <w:rsid w:val="009F253D"/>
    <w:rsid w:val="00A042B0"/>
    <w:rsid w:val="00A11E0E"/>
    <w:rsid w:val="00A1562E"/>
    <w:rsid w:val="00A27901"/>
    <w:rsid w:val="00A31A01"/>
    <w:rsid w:val="00A43684"/>
    <w:rsid w:val="00A45058"/>
    <w:rsid w:val="00A45A09"/>
    <w:rsid w:val="00A461E7"/>
    <w:rsid w:val="00A47E64"/>
    <w:rsid w:val="00A515CB"/>
    <w:rsid w:val="00A52728"/>
    <w:rsid w:val="00A8150E"/>
    <w:rsid w:val="00AA42E1"/>
    <w:rsid w:val="00AA5A44"/>
    <w:rsid w:val="00AC228D"/>
    <w:rsid w:val="00AC461C"/>
    <w:rsid w:val="00AC7F41"/>
    <w:rsid w:val="00AE4B93"/>
    <w:rsid w:val="00AE5553"/>
    <w:rsid w:val="00AE55FE"/>
    <w:rsid w:val="00AF3BD7"/>
    <w:rsid w:val="00B048DB"/>
    <w:rsid w:val="00B05003"/>
    <w:rsid w:val="00B06D9B"/>
    <w:rsid w:val="00B16464"/>
    <w:rsid w:val="00B26258"/>
    <w:rsid w:val="00B2783F"/>
    <w:rsid w:val="00B37B1B"/>
    <w:rsid w:val="00B4177D"/>
    <w:rsid w:val="00B435E6"/>
    <w:rsid w:val="00B46861"/>
    <w:rsid w:val="00B51CC7"/>
    <w:rsid w:val="00B5664A"/>
    <w:rsid w:val="00B67830"/>
    <w:rsid w:val="00B87CEA"/>
    <w:rsid w:val="00BA0D4C"/>
    <w:rsid w:val="00BB3F97"/>
    <w:rsid w:val="00BB418F"/>
    <w:rsid w:val="00BD423E"/>
    <w:rsid w:val="00BD7898"/>
    <w:rsid w:val="00BE3633"/>
    <w:rsid w:val="00BF58F8"/>
    <w:rsid w:val="00BF5A11"/>
    <w:rsid w:val="00C20500"/>
    <w:rsid w:val="00C2434B"/>
    <w:rsid w:val="00C310BD"/>
    <w:rsid w:val="00C31BCA"/>
    <w:rsid w:val="00C36BEF"/>
    <w:rsid w:val="00C36CBA"/>
    <w:rsid w:val="00C4128B"/>
    <w:rsid w:val="00C54B9B"/>
    <w:rsid w:val="00C60FFD"/>
    <w:rsid w:val="00C62543"/>
    <w:rsid w:val="00C65901"/>
    <w:rsid w:val="00C72704"/>
    <w:rsid w:val="00C73375"/>
    <w:rsid w:val="00C77788"/>
    <w:rsid w:val="00C81380"/>
    <w:rsid w:val="00C84AE8"/>
    <w:rsid w:val="00C86F34"/>
    <w:rsid w:val="00CA0DFF"/>
    <w:rsid w:val="00CA47E1"/>
    <w:rsid w:val="00CA4C07"/>
    <w:rsid w:val="00CA66D4"/>
    <w:rsid w:val="00CB6DFD"/>
    <w:rsid w:val="00CC1C9A"/>
    <w:rsid w:val="00CC303F"/>
    <w:rsid w:val="00CC3D02"/>
    <w:rsid w:val="00CC585D"/>
    <w:rsid w:val="00CD11AC"/>
    <w:rsid w:val="00CD1E70"/>
    <w:rsid w:val="00CD3ACD"/>
    <w:rsid w:val="00CD62D4"/>
    <w:rsid w:val="00CE6995"/>
    <w:rsid w:val="00D224C5"/>
    <w:rsid w:val="00D35263"/>
    <w:rsid w:val="00D360F3"/>
    <w:rsid w:val="00D4039F"/>
    <w:rsid w:val="00D64A07"/>
    <w:rsid w:val="00D7679E"/>
    <w:rsid w:val="00D86118"/>
    <w:rsid w:val="00D91205"/>
    <w:rsid w:val="00D95D64"/>
    <w:rsid w:val="00DA3511"/>
    <w:rsid w:val="00DA4F9F"/>
    <w:rsid w:val="00DB479E"/>
    <w:rsid w:val="00DC12E2"/>
    <w:rsid w:val="00DC1450"/>
    <w:rsid w:val="00DE2758"/>
    <w:rsid w:val="00DE4365"/>
    <w:rsid w:val="00DE5E14"/>
    <w:rsid w:val="00DE704E"/>
    <w:rsid w:val="00DF03AC"/>
    <w:rsid w:val="00E0508E"/>
    <w:rsid w:val="00E051E2"/>
    <w:rsid w:val="00E06CA8"/>
    <w:rsid w:val="00E32D21"/>
    <w:rsid w:val="00E34F38"/>
    <w:rsid w:val="00E528D8"/>
    <w:rsid w:val="00E56757"/>
    <w:rsid w:val="00E82E85"/>
    <w:rsid w:val="00E924CA"/>
    <w:rsid w:val="00EA64EB"/>
    <w:rsid w:val="00EB1E8F"/>
    <w:rsid w:val="00EC01AB"/>
    <w:rsid w:val="00EE0C7B"/>
    <w:rsid w:val="00EF46CD"/>
    <w:rsid w:val="00EF689D"/>
    <w:rsid w:val="00F048B2"/>
    <w:rsid w:val="00F11033"/>
    <w:rsid w:val="00F234A1"/>
    <w:rsid w:val="00F250EA"/>
    <w:rsid w:val="00F27853"/>
    <w:rsid w:val="00F43F94"/>
    <w:rsid w:val="00F5533A"/>
    <w:rsid w:val="00F66D4A"/>
    <w:rsid w:val="00F7425D"/>
    <w:rsid w:val="00F9703D"/>
    <w:rsid w:val="00F97F4C"/>
    <w:rsid w:val="00FB5745"/>
    <w:rsid w:val="00FB6494"/>
    <w:rsid w:val="00FD02CC"/>
    <w:rsid w:val="00FE4A33"/>
    <w:rsid w:val="00FF17BB"/>
    <w:rsid w:val="00FF2B6E"/>
    <w:rsid w:val="00FF73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755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6E5"/>
  </w:style>
  <w:style w:type="paragraph" w:styleId="Heading2">
    <w:name w:val="heading 2"/>
    <w:basedOn w:val="Normal"/>
    <w:link w:val="Heading2Char"/>
    <w:uiPriority w:val="9"/>
    <w:qFormat/>
    <w:rsid w:val="00206BD4"/>
    <w:pPr>
      <w:spacing w:before="100" w:beforeAutospacing="1" w:after="100" w:afterAutospacing="1"/>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10F7C"/>
    <w:rPr>
      <w:rFonts w:ascii="Lucida Grande" w:hAnsi="Lucida Grande"/>
      <w:sz w:val="18"/>
      <w:szCs w:val="18"/>
    </w:rPr>
  </w:style>
  <w:style w:type="paragraph" w:styleId="FootnoteText">
    <w:name w:val="footnote text"/>
    <w:aliases w:val="fn,Footnotes,Footnote ak,footnote text"/>
    <w:basedOn w:val="Normal"/>
    <w:link w:val="FootnoteTextChar"/>
    <w:uiPriority w:val="99"/>
    <w:unhideWhenUsed/>
    <w:rsid w:val="00E06CA8"/>
    <w:pPr>
      <w:spacing w:after="0"/>
    </w:pPr>
  </w:style>
  <w:style w:type="character" w:customStyle="1" w:styleId="FootnoteTextChar">
    <w:name w:val="Footnote Text Char"/>
    <w:aliases w:val="fn Char,Footnotes Char,Footnote ak Char,footnote text Char"/>
    <w:basedOn w:val="DefaultParagraphFont"/>
    <w:link w:val="FootnoteText"/>
    <w:uiPriority w:val="99"/>
    <w:rsid w:val="00E06CA8"/>
    <w:rPr>
      <w:sz w:val="24"/>
      <w:szCs w:val="24"/>
    </w:rPr>
  </w:style>
  <w:style w:type="character" w:styleId="FootnoteReference">
    <w:name w:val="footnote reference"/>
    <w:basedOn w:val="DefaultParagraphFont"/>
    <w:uiPriority w:val="99"/>
    <w:unhideWhenUsed/>
    <w:rsid w:val="00E06CA8"/>
    <w:rPr>
      <w:vertAlign w:val="superscript"/>
    </w:rPr>
  </w:style>
  <w:style w:type="paragraph" w:styleId="ListParagraph">
    <w:name w:val="List Paragraph"/>
    <w:basedOn w:val="Normal"/>
    <w:uiPriority w:val="34"/>
    <w:qFormat/>
    <w:rsid w:val="001123EA"/>
    <w:pPr>
      <w:ind w:left="720"/>
      <w:contextualSpacing/>
    </w:pPr>
  </w:style>
  <w:style w:type="paragraph" w:styleId="Footer">
    <w:name w:val="footer"/>
    <w:basedOn w:val="Normal"/>
    <w:link w:val="FooterChar"/>
    <w:uiPriority w:val="99"/>
    <w:unhideWhenUsed/>
    <w:rsid w:val="00A8150E"/>
    <w:pPr>
      <w:tabs>
        <w:tab w:val="center" w:pos="4320"/>
        <w:tab w:val="right" w:pos="8640"/>
      </w:tabs>
      <w:spacing w:after="0"/>
    </w:pPr>
  </w:style>
  <w:style w:type="character" w:customStyle="1" w:styleId="FooterChar">
    <w:name w:val="Footer Char"/>
    <w:basedOn w:val="DefaultParagraphFont"/>
    <w:link w:val="Footer"/>
    <w:uiPriority w:val="99"/>
    <w:rsid w:val="00A8150E"/>
    <w:rPr>
      <w:sz w:val="24"/>
      <w:szCs w:val="24"/>
    </w:rPr>
  </w:style>
  <w:style w:type="character" w:styleId="PageNumber">
    <w:name w:val="page number"/>
    <w:basedOn w:val="DefaultParagraphFont"/>
    <w:uiPriority w:val="99"/>
    <w:semiHidden/>
    <w:unhideWhenUsed/>
    <w:rsid w:val="00A8150E"/>
  </w:style>
  <w:style w:type="character" w:styleId="Hyperlink">
    <w:name w:val="Hyperlink"/>
    <w:basedOn w:val="DefaultParagraphFont"/>
    <w:uiPriority w:val="99"/>
    <w:unhideWhenUsed/>
    <w:rsid w:val="00357668"/>
    <w:rPr>
      <w:color w:val="0000FF" w:themeColor="hyperlink"/>
      <w:u w:val="single"/>
    </w:rPr>
  </w:style>
  <w:style w:type="character" w:styleId="FollowedHyperlink">
    <w:name w:val="FollowedHyperlink"/>
    <w:basedOn w:val="DefaultParagraphFont"/>
    <w:uiPriority w:val="99"/>
    <w:semiHidden/>
    <w:unhideWhenUsed/>
    <w:rsid w:val="00681066"/>
    <w:rPr>
      <w:color w:val="800080" w:themeColor="followedHyperlink"/>
      <w:u w:val="single"/>
    </w:rPr>
  </w:style>
  <w:style w:type="character" w:styleId="CommentReference">
    <w:name w:val="annotation reference"/>
    <w:basedOn w:val="DefaultParagraphFont"/>
    <w:uiPriority w:val="99"/>
    <w:semiHidden/>
    <w:unhideWhenUsed/>
    <w:rsid w:val="00135CC7"/>
    <w:rPr>
      <w:sz w:val="16"/>
      <w:szCs w:val="16"/>
    </w:rPr>
  </w:style>
  <w:style w:type="paragraph" w:styleId="CommentText">
    <w:name w:val="annotation text"/>
    <w:basedOn w:val="Normal"/>
    <w:link w:val="CommentTextChar"/>
    <w:uiPriority w:val="99"/>
    <w:semiHidden/>
    <w:unhideWhenUsed/>
    <w:rsid w:val="00135CC7"/>
    <w:rPr>
      <w:sz w:val="20"/>
      <w:szCs w:val="20"/>
    </w:rPr>
  </w:style>
  <w:style w:type="character" w:customStyle="1" w:styleId="CommentTextChar">
    <w:name w:val="Comment Text Char"/>
    <w:basedOn w:val="DefaultParagraphFont"/>
    <w:link w:val="CommentText"/>
    <w:uiPriority w:val="99"/>
    <w:semiHidden/>
    <w:rsid w:val="00135CC7"/>
  </w:style>
  <w:style w:type="paragraph" w:styleId="CommentSubject">
    <w:name w:val="annotation subject"/>
    <w:basedOn w:val="CommentText"/>
    <w:next w:val="CommentText"/>
    <w:link w:val="CommentSubjectChar"/>
    <w:uiPriority w:val="99"/>
    <w:semiHidden/>
    <w:unhideWhenUsed/>
    <w:rsid w:val="00135CC7"/>
    <w:rPr>
      <w:b/>
      <w:bCs/>
    </w:rPr>
  </w:style>
  <w:style w:type="character" w:customStyle="1" w:styleId="CommentSubjectChar">
    <w:name w:val="Comment Subject Char"/>
    <w:basedOn w:val="CommentTextChar"/>
    <w:link w:val="CommentSubject"/>
    <w:uiPriority w:val="99"/>
    <w:semiHidden/>
    <w:rsid w:val="00135CC7"/>
    <w:rPr>
      <w:b/>
      <w:bCs/>
    </w:rPr>
  </w:style>
  <w:style w:type="paragraph" w:styleId="Revision">
    <w:name w:val="Revision"/>
    <w:hidden/>
    <w:uiPriority w:val="99"/>
    <w:semiHidden/>
    <w:rsid w:val="006E07F4"/>
    <w:pPr>
      <w:spacing w:after="0"/>
    </w:pPr>
  </w:style>
  <w:style w:type="character" w:customStyle="1" w:styleId="FootnoteTextChar2">
    <w:name w:val="Footnote Text Char2"/>
    <w:aliases w:val="fn Char2,Footnotes Char2,Footnote ak Char2"/>
    <w:locked/>
    <w:rsid w:val="00DC1450"/>
    <w:rPr>
      <w:sz w:val="24"/>
      <w:lang w:val="en-US" w:eastAsia="en-US"/>
    </w:rPr>
  </w:style>
  <w:style w:type="character" w:customStyle="1" w:styleId="Heading2Char">
    <w:name w:val="Heading 2 Char"/>
    <w:basedOn w:val="DefaultParagraphFont"/>
    <w:link w:val="Heading2"/>
    <w:uiPriority w:val="9"/>
    <w:rsid w:val="00206BD4"/>
    <w:rPr>
      <w:rFonts w:ascii="Times New Roman" w:eastAsia="Times New Roman" w:hAnsi="Times New Roman" w:cs="Times New Roman"/>
      <w:b/>
      <w:bCs/>
      <w:sz w:val="36"/>
      <w:szCs w:val="36"/>
      <w:lang w:eastAsia="en-US"/>
    </w:rPr>
  </w:style>
  <w:style w:type="table" w:styleId="TableGrid">
    <w:name w:val="Table Grid"/>
    <w:basedOn w:val="TableNormal"/>
    <w:uiPriority w:val="59"/>
    <w:rsid w:val="00206BD4"/>
    <w:pPr>
      <w:spacing w:after="0"/>
    </w:pPr>
    <w:rPr>
      <w:rFonts w:ascii="Times New Roman" w:eastAsiaTheme="minorHAnsi" w:hAnsi="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866532"/>
    <w:rPr>
      <w:rFonts w:ascii="Lucida Grande" w:hAnsi="Lucida Grande"/>
      <w:sz w:val="18"/>
      <w:szCs w:val="18"/>
    </w:rPr>
  </w:style>
  <w:style w:type="paragraph" w:styleId="Header">
    <w:name w:val="header"/>
    <w:basedOn w:val="Normal"/>
    <w:link w:val="HeaderChar"/>
    <w:uiPriority w:val="99"/>
    <w:unhideWhenUsed/>
    <w:rsid w:val="00866532"/>
    <w:pPr>
      <w:tabs>
        <w:tab w:val="center" w:pos="4680"/>
        <w:tab w:val="right" w:pos="9360"/>
      </w:tabs>
      <w:spacing w:after="0"/>
    </w:pPr>
    <w:rPr>
      <w:rFonts w:eastAsiaTheme="minorHAnsi"/>
      <w:sz w:val="22"/>
      <w:szCs w:val="22"/>
      <w:lang w:eastAsia="en-US"/>
    </w:rPr>
  </w:style>
  <w:style w:type="character" w:customStyle="1" w:styleId="HeaderChar">
    <w:name w:val="Header Char"/>
    <w:basedOn w:val="DefaultParagraphFont"/>
    <w:link w:val="Header"/>
    <w:uiPriority w:val="99"/>
    <w:rsid w:val="00866532"/>
    <w:rPr>
      <w:rFonts w:eastAsiaTheme="minorHAnsi"/>
      <w:sz w:val="22"/>
      <w:szCs w:val="22"/>
      <w:lang w:eastAsia="en-US"/>
    </w:rPr>
  </w:style>
  <w:style w:type="character" w:customStyle="1" w:styleId="smallcaps1">
    <w:name w:val="smallcaps1"/>
    <w:basedOn w:val="DefaultParagraphFont"/>
    <w:rsid w:val="00F048B2"/>
    <w:rPr>
      <w:caps/>
      <w:smallCap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6E5"/>
  </w:style>
  <w:style w:type="paragraph" w:styleId="Heading2">
    <w:name w:val="heading 2"/>
    <w:basedOn w:val="Normal"/>
    <w:link w:val="Heading2Char"/>
    <w:uiPriority w:val="9"/>
    <w:qFormat/>
    <w:rsid w:val="00206BD4"/>
    <w:pPr>
      <w:spacing w:before="100" w:beforeAutospacing="1" w:after="100" w:afterAutospacing="1"/>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10F7C"/>
    <w:rPr>
      <w:rFonts w:ascii="Lucida Grande" w:hAnsi="Lucida Grande"/>
      <w:sz w:val="18"/>
      <w:szCs w:val="18"/>
    </w:rPr>
  </w:style>
  <w:style w:type="paragraph" w:styleId="FootnoteText">
    <w:name w:val="footnote text"/>
    <w:aliases w:val="fn,Footnotes,Footnote ak,footnote text"/>
    <w:basedOn w:val="Normal"/>
    <w:link w:val="FootnoteTextChar"/>
    <w:uiPriority w:val="99"/>
    <w:unhideWhenUsed/>
    <w:rsid w:val="00E06CA8"/>
    <w:pPr>
      <w:spacing w:after="0"/>
    </w:pPr>
  </w:style>
  <w:style w:type="character" w:customStyle="1" w:styleId="FootnoteTextChar">
    <w:name w:val="Footnote Text Char"/>
    <w:aliases w:val="fn Char,Footnotes Char,Footnote ak Char,footnote text Char"/>
    <w:basedOn w:val="DefaultParagraphFont"/>
    <w:link w:val="FootnoteText"/>
    <w:uiPriority w:val="99"/>
    <w:rsid w:val="00E06CA8"/>
    <w:rPr>
      <w:sz w:val="24"/>
      <w:szCs w:val="24"/>
    </w:rPr>
  </w:style>
  <w:style w:type="character" w:styleId="FootnoteReference">
    <w:name w:val="footnote reference"/>
    <w:basedOn w:val="DefaultParagraphFont"/>
    <w:uiPriority w:val="99"/>
    <w:unhideWhenUsed/>
    <w:rsid w:val="00E06CA8"/>
    <w:rPr>
      <w:vertAlign w:val="superscript"/>
    </w:rPr>
  </w:style>
  <w:style w:type="paragraph" w:styleId="ListParagraph">
    <w:name w:val="List Paragraph"/>
    <w:basedOn w:val="Normal"/>
    <w:uiPriority w:val="34"/>
    <w:qFormat/>
    <w:rsid w:val="001123EA"/>
    <w:pPr>
      <w:ind w:left="720"/>
      <w:contextualSpacing/>
    </w:pPr>
  </w:style>
  <w:style w:type="paragraph" w:styleId="Footer">
    <w:name w:val="footer"/>
    <w:basedOn w:val="Normal"/>
    <w:link w:val="FooterChar"/>
    <w:uiPriority w:val="99"/>
    <w:unhideWhenUsed/>
    <w:rsid w:val="00A8150E"/>
    <w:pPr>
      <w:tabs>
        <w:tab w:val="center" w:pos="4320"/>
        <w:tab w:val="right" w:pos="8640"/>
      </w:tabs>
      <w:spacing w:after="0"/>
    </w:pPr>
  </w:style>
  <w:style w:type="character" w:customStyle="1" w:styleId="FooterChar">
    <w:name w:val="Footer Char"/>
    <w:basedOn w:val="DefaultParagraphFont"/>
    <w:link w:val="Footer"/>
    <w:uiPriority w:val="99"/>
    <w:rsid w:val="00A8150E"/>
    <w:rPr>
      <w:sz w:val="24"/>
      <w:szCs w:val="24"/>
    </w:rPr>
  </w:style>
  <w:style w:type="character" w:styleId="PageNumber">
    <w:name w:val="page number"/>
    <w:basedOn w:val="DefaultParagraphFont"/>
    <w:uiPriority w:val="99"/>
    <w:semiHidden/>
    <w:unhideWhenUsed/>
    <w:rsid w:val="00A8150E"/>
  </w:style>
  <w:style w:type="character" w:styleId="Hyperlink">
    <w:name w:val="Hyperlink"/>
    <w:basedOn w:val="DefaultParagraphFont"/>
    <w:uiPriority w:val="99"/>
    <w:unhideWhenUsed/>
    <w:rsid w:val="00357668"/>
    <w:rPr>
      <w:color w:val="0000FF" w:themeColor="hyperlink"/>
      <w:u w:val="single"/>
    </w:rPr>
  </w:style>
  <w:style w:type="character" w:styleId="FollowedHyperlink">
    <w:name w:val="FollowedHyperlink"/>
    <w:basedOn w:val="DefaultParagraphFont"/>
    <w:uiPriority w:val="99"/>
    <w:semiHidden/>
    <w:unhideWhenUsed/>
    <w:rsid w:val="00681066"/>
    <w:rPr>
      <w:color w:val="800080" w:themeColor="followedHyperlink"/>
      <w:u w:val="single"/>
    </w:rPr>
  </w:style>
  <w:style w:type="character" w:styleId="CommentReference">
    <w:name w:val="annotation reference"/>
    <w:basedOn w:val="DefaultParagraphFont"/>
    <w:uiPriority w:val="99"/>
    <w:semiHidden/>
    <w:unhideWhenUsed/>
    <w:rsid w:val="00135CC7"/>
    <w:rPr>
      <w:sz w:val="16"/>
      <w:szCs w:val="16"/>
    </w:rPr>
  </w:style>
  <w:style w:type="paragraph" w:styleId="CommentText">
    <w:name w:val="annotation text"/>
    <w:basedOn w:val="Normal"/>
    <w:link w:val="CommentTextChar"/>
    <w:uiPriority w:val="99"/>
    <w:semiHidden/>
    <w:unhideWhenUsed/>
    <w:rsid w:val="00135CC7"/>
    <w:rPr>
      <w:sz w:val="20"/>
      <w:szCs w:val="20"/>
    </w:rPr>
  </w:style>
  <w:style w:type="character" w:customStyle="1" w:styleId="CommentTextChar">
    <w:name w:val="Comment Text Char"/>
    <w:basedOn w:val="DefaultParagraphFont"/>
    <w:link w:val="CommentText"/>
    <w:uiPriority w:val="99"/>
    <w:semiHidden/>
    <w:rsid w:val="00135CC7"/>
  </w:style>
  <w:style w:type="paragraph" w:styleId="CommentSubject">
    <w:name w:val="annotation subject"/>
    <w:basedOn w:val="CommentText"/>
    <w:next w:val="CommentText"/>
    <w:link w:val="CommentSubjectChar"/>
    <w:uiPriority w:val="99"/>
    <w:semiHidden/>
    <w:unhideWhenUsed/>
    <w:rsid w:val="00135CC7"/>
    <w:rPr>
      <w:b/>
      <w:bCs/>
    </w:rPr>
  </w:style>
  <w:style w:type="character" w:customStyle="1" w:styleId="CommentSubjectChar">
    <w:name w:val="Comment Subject Char"/>
    <w:basedOn w:val="CommentTextChar"/>
    <w:link w:val="CommentSubject"/>
    <w:uiPriority w:val="99"/>
    <w:semiHidden/>
    <w:rsid w:val="00135CC7"/>
    <w:rPr>
      <w:b/>
      <w:bCs/>
    </w:rPr>
  </w:style>
  <w:style w:type="paragraph" w:styleId="Revision">
    <w:name w:val="Revision"/>
    <w:hidden/>
    <w:uiPriority w:val="99"/>
    <w:semiHidden/>
    <w:rsid w:val="006E07F4"/>
    <w:pPr>
      <w:spacing w:after="0"/>
    </w:pPr>
  </w:style>
  <w:style w:type="character" w:customStyle="1" w:styleId="FootnoteTextChar2">
    <w:name w:val="Footnote Text Char2"/>
    <w:aliases w:val="fn Char2,Footnotes Char2,Footnote ak Char2"/>
    <w:locked/>
    <w:rsid w:val="00DC1450"/>
    <w:rPr>
      <w:sz w:val="24"/>
      <w:lang w:val="en-US" w:eastAsia="en-US"/>
    </w:rPr>
  </w:style>
  <w:style w:type="character" w:customStyle="1" w:styleId="Heading2Char">
    <w:name w:val="Heading 2 Char"/>
    <w:basedOn w:val="DefaultParagraphFont"/>
    <w:link w:val="Heading2"/>
    <w:uiPriority w:val="9"/>
    <w:rsid w:val="00206BD4"/>
    <w:rPr>
      <w:rFonts w:ascii="Times New Roman" w:eastAsia="Times New Roman" w:hAnsi="Times New Roman" w:cs="Times New Roman"/>
      <w:b/>
      <w:bCs/>
      <w:sz w:val="36"/>
      <w:szCs w:val="36"/>
      <w:lang w:eastAsia="en-US"/>
    </w:rPr>
  </w:style>
  <w:style w:type="table" w:styleId="TableGrid">
    <w:name w:val="Table Grid"/>
    <w:basedOn w:val="TableNormal"/>
    <w:uiPriority w:val="59"/>
    <w:rsid w:val="00206BD4"/>
    <w:pPr>
      <w:spacing w:after="0"/>
    </w:pPr>
    <w:rPr>
      <w:rFonts w:ascii="Times New Roman" w:eastAsiaTheme="minorHAnsi" w:hAnsi="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866532"/>
    <w:rPr>
      <w:rFonts w:ascii="Lucida Grande" w:hAnsi="Lucida Grande"/>
      <w:sz w:val="18"/>
      <w:szCs w:val="18"/>
    </w:rPr>
  </w:style>
  <w:style w:type="paragraph" w:styleId="Header">
    <w:name w:val="header"/>
    <w:basedOn w:val="Normal"/>
    <w:link w:val="HeaderChar"/>
    <w:uiPriority w:val="99"/>
    <w:unhideWhenUsed/>
    <w:rsid w:val="00866532"/>
    <w:pPr>
      <w:tabs>
        <w:tab w:val="center" w:pos="4680"/>
        <w:tab w:val="right" w:pos="9360"/>
      </w:tabs>
      <w:spacing w:after="0"/>
    </w:pPr>
    <w:rPr>
      <w:rFonts w:eastAsiaTheme="minorHAnsi"/>
      <w:sz w:val="22"/>
      <w:szCs w:val="22"/>
      <w:lang w:eastAsia="en-US"/>
    </w:rPr>
  </w:style>
  <w:style w:type="character" w:customStyle="1" w:styleId="HeaderChar">
    <w:name w:val="Header Char"/>
    <w:basedOn w:val="DefaultParagraphFont"/>
    <w:link w:val="Header"/>
    <w:uiPriority w:val="99"/>
    <w:rsid w:val="00866532"/>
    <w:rPr>
      <w:rFonts w:eastAsiaTheme="minorHAnsi"/>
      <w:sz w:val="22"/>
      <w:szCs w:val="22"/>
      <w:lang w:eastAsia="en-US"/>
    </w:rPr>
  </w:style>
  <w:style w:type="character" w:customStyle="1" w:styleId="smallcaps1">
    <w:name w:val="smallcaps1"/>
    <w:basedOn w:val="DefaultParagraphFont"/>
    <w:rsid w:val="00F048B2"/>
    <w:rPr>
      <w:cap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408629">
      <w:bodyDiv w:val="1"/>
      <w:marLeft w:val="0"/>
      <w:marRight w:val="0"/>
      <w:marTop w:val="0"/>
      <w:marBottom w:val="0"/>
      <w:divBdr>
        <w:top w:val="none" w:sz="0" w:space="0" w:color="auto"/>
        <w:left w:val="none" w:sz="0" w:space="0" w:color="auto"/>
        <w:bottom w:val="none" w:sz="0" w:space="0" w:color="auto"/>
        <w:right w:val="none" w:sz="0" w:space="0" w:color="auto"/>
      </w:divBdr>
      <w:divsChild>
        <w:div w:id="1029992924">
          <w:marLeft w:val="720"/>
          <w:marRight w:val="0"/>
          <w:marTop w:val="400"/>
          <w:marBottom w:val="0"/>
          <w:divBdr>
            <w:top w:val="none" w:sz="0" w:space="0" w:color="auto"/>
            <w:left w:val="none" w:sz="0" w:space="0" w:color="auto"/>
            <w:bottom w:val="none" w:sz="0" w:space="0" w:color="auto"/>
            <w:right w:val="none" w:sz="0" w:space="0" w:color="auto"/>
          </w:divBdr>
        </w:div>
        <w:div w:id="2124377462">
          <w:marLeft w:val="720"/>
          <w:marRight w:val="0"/>
          <w:marTop w:val="400"/>
          <w:marBottom w:val="0"/>
          <w:divBdr>
            <w:top w:val="none" w:sz="0" w:space="0" w:color="auto"/>
            <w:left w:val="none" w:sz="0" w:space="0" w:color="auto"/>
            <w:bottom w:val="none" w:sz="0" w:space="0" w:color="auto"/>
            <w:right w:val="none" w:sz="0" w:space="0" w:color="auto"/>
          </w:divBdr>
        </w:div>
        <w:div w:id="1240217164">
          <w:marLeft w:val="720"/>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1.png"/><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footer" Target="footer6.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effrey.dunoff@temple.edu" TargetMode="External"/><Relationship Id="rId10" Type="http://schemas.openxmlformats.org/officeDocument/2006/relationships/hyperlink" Target="mailto:mark.pollack@temple.ed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journals.cambridge.org.libproxy.temple.edu/action/displayJournal?jid=INO" TargetMode="External"/><Relationship Id="rId4" Type="http://schemas.openxmlformats.org/officeDocument/2006/relationships/hyperlink" Target="http://www.nytimes.com/2010/11/03/us/politics/03judges.html?scp=1&amp;sq=iowa%20supreme%20court%20same-sex%20marriage&amp;st=cse" TargetMode="External"/><Relationship Id="rId5" Type="http://schemas.openxmlformats.org/officeDocument/2006/relationships/hyperlink" Target="http://journals.cambridge.org.libproxy.temple.edu/action/displayAbstract?fromPage=online&amp;aid=8338287&amp;fulltextType=RV&amp;fileId=S0020818311000130" TargetMode="External"/><Relationship Id="rId6" Type="http://schemas.openxmlformats.org/officeDocument/2006/relationships/hyperlink" Target="http://journals.cambridge.org.libproxy.temple.edu/action/displayJournal?jid=INO" TargetMode="External"/><Relationship Id="rId1" Type="http://schemas.openxmlformats.org/officeDocument/2006/relationships/hyperlink" Target="http://blogs.law.nyu.edu/transnational/2011/10/the-controversial-role-of-dissenting-opinions-in-international-arbitral-awards" TargetMode="External"/><Relationship Id="rId2" Type="http://schemas.openxmlformats.org/officeDocument/2006/relationships/hyperlink" Target="http://journals.cambridge.org.libproxy.temple.edu/action/displayAbstract?fromPage=online&amp;aid=8338287&amp;fulltextType=RV&amp;fileId=S0020818311000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609FF-54A8-4F47-958B-6F191D271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13603</Words>
  <Characters>77538</Characters>
  <Application>Microsoft Macintosh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90960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Liberal Arts</dc:creator>
  <cp:lastModifiedBy>College of Liberal Arts</cp:lastModifiedBy>
  <cp:revision>2</cp:revision>
  <cp:lastPrinted>2012-10-15T19:23:00Z</cp:lastPrinted>
  <dcterms:created xsi:type="dcterms:W3CDTF">2015-02-26T14:30:00Z</dcterms:created>
  <dcterms:modified xsi:type="dcterms:W3CDTF">2015-02-26T14:30:00Z</dcterms:modified>
</cp:coreProperties>
</file>