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6C1E" w14:textId="7775D900" w:rsidR="00A909BA" w:rsidRPr="001F2D2D" w:rsidRDefault="00A909BA" w:rsidP="001F2D2D">
      <w:pPr>
        <w:spacing w:line="276" w:lineRule="auto"/>
        <w:jc w:val="both"/>
        <w:rPr>
          <w:rFonts w:ascii="Times New Roman" w:hAnsi="Times New Roman" w:cs="Times New Roman"/>
          <w:b/>
          <w:bCs/>
          <w:lang w:val="en-GB"/>
        </w:rPr>
      </w:pPr>
      <w:r w:rsidRPr="001F2D2D">
        <w:rPr>
          <w:rFonts w:ascii="Times New Roman" w:hAnsi="Times New Roman" w:cs="Times New Roman"/>
          <w:b/>
          <w:bCs/>
          <w:lang w:val="en-GB"/>
        </w:rPr>
        <w:t xml:space="preserve">The </w:t>
      </w:r>
      <w:r w:rsidR="00621A44" w:rsidRPr="001F2D2D">
        <w:rPr>
          <w:rFonts w:ascii="Times New Roman" w:hAnsi="Times New Roman" w:cs="Times New Roman"/>
          <w:b/>
          <w:bCs/>
          <w:lang w:val="en-GB"/>
        </w:rPr>
        <w:t xml:space="preserve">relationship between the </w:t>
      </w:r>
      <w:r w:rsidRPr="001F2D2D">
        <w:rPr>
          <w:rFonts w:ascii="Times New Roman" w:hAnsi="Times New Roman" w:cs="Times New Roman"/>
          <w:b/>
          <w:bCs/>
          <w:lang w:val="en-GB"/>
        </w:rPr>
        <w:t>legal principle of autonomy and strategic autonomy</w:t>
      </w:r>
      <w:r w:rsidR="009F5396" w:rsidRPr="001F2D2D">
        <w:rPr>
          <w:rFonts w:ascii="Times New Roman" w:hAnsi="Times New Roman" w:cs="Times New Roman"/>
          <w:b/>
          <w:bCs/>
          <w:lang w:val="en-GB"/>
        </w:rPr>
        <w:t>. Conceptions, limits, normative assessments</w:t>
      </w:r>
    </w:p>
    <w:p w14:paraId="59D478B2" w14:textId="2A777629" w:rsidR="00E83D03" w:rsidRPr="001F2D2D" w:rsidRDefault="00E83D03" w:rsidP="001F2D2D">
      <w:pPr>
        <w:spacing w:line="276" w:lineRule="auto"/>
        <w:jc w:val="both"/>
        <w:rPr>
          <w:rFonts w:ascii="Times New Roman" w:hAnsi="Times New Roman" w:cs="Times New Roman"/>
          <w:lang w:val="en-GB"/>
        </w:rPr>
      </w:pPr>
    </w:p>
    <w:p w14:paraId="43FCD311" w14:textId="48F693FF" w:rsidR="007115A8" w:rsidRPr="001F2D2D" w:rsidRDefault="007115A8" w:rsidP="001F2D2D">
      <w:pPr>
        <w:spacing w:line="276" w:lineRule="auto"/>
        <w:jc w:val="both"/>
        <w:rPr>
          <w:rFonts w:ascii="Times New Roman" w:hAnsi="Times New Roman" w:cs="Times New Roman"/>
          <w:lang w:val="en-GB"/>
        </w:rPr>
      </w:pPr>
      <w:r w:rsidRPr="001F2D2D">
        <w:rPr>
          <w:rFonts w:ascii="Times New Roman" w:hAnsi="Times New Roman" w:cs="Times New Roman"/>
          <w:lang w:val="en-GB"/>
        </w:rPr>
        <w:t xml:space="preserve">Luigi </w:t>
      </w:r>
      <w:proofErr w:type="spellStart"/>
      <w:r w:rsidRPr="001F2D2D">
        <w:rPr>
          <w:rFonts w:ascii="Times New Roman" w:hAnsi="Times New Roman" w:cs="Times New Roman"/>
          <w:lang w:val="en-GB"/>
        </w:rPr>
        <w:t>Lonardo</w:t>
      </w:r>
      <w:proofErr w:type="spellEnd"/>
      <w:r w:rsidR="000B35FF">
        <w:rPr>
          <w:rFonts w:ascii="Times New Roman" w:hAnsi="Times New Roman" w:cs="Times New Roman"/>
          <w:lang w:val="en-GB"/>
        </w:rPr>
        <w:t>*</w:t>
      </w:r>
    </w:p>
    <w:p w14:paraId="311D4C97" w14:textId="77777777" w:rsidR="007115A8" w:rsidRPr="001F2D2D" w:rsidRDefault="007115A8" w:rsidP="001F2D2D">
      <w:pPr>
        <w:spacing w:line="276" w:lineRule="auto"/>
        <w:jc w:val="both"/>
        <w:rPr>
          <w:rFonts w:ascii="Times New Roman" w:hAnsi="Times New Roman" w:cs="Times New Roman"/>
          <w:lang w:val="en-GB"/>
        </w:rPr>
      </w:pPr>
    </w:p>
    <w:p w14:paraId="43C58695" w14:textId="3C2239EA" w:rsidR="0025764E" w:rsidRPr="001F2D2D" w:rsidRDefault="0025764E" w:rsidP="001F2D2D">
      <w:pPr>
        <w:pStyle w:val="ListParagraph"/>
        <w:numPr>
          <w:ilvl w:val="0"/>
          <w:numId w:val="3"/>
        </w:numPr>
        <w:spacing w:line="276" w:lineRule="auto"/>
        <w:jc w:val="both"/>
        <w:rPr>
          <w:rFonts w:ascii="Times New Roman" w:eastAsia="Times New Roman" w:hAnsi="Times New Roman" w:cs="Times New Roman"/>
          <w:b/>
          <w:bCs/>
          <w:color w:val="000000"/>
          <w:lang w:eastAsia="en-GB"/>
        </w:rPr>
      </w:pPr>
      <w:r w:rsidRPr="001F2D2D">
        <w:rPr>
          <w:rFonts w:ascii="Times New Roman" w:eastAsia="Times New Roman" w:hAnsi="Times New Roman" w:cs="Times New Roman"/>
          <w:b/>
          <w:bCs/>
          <w:color w:val="000000"/>
          <w:lang w:eastAsia="en-GB"/>
        </w:rPr>
        <w:t>Introduction</w:t>
      </w:r>
    </w:p>
    <w:p w14:paraId="1802C7C5" w14:textId="77777777" w:rsidR="00E83D03" w:rsidRPr="001F2D2D" w:rsidRDefault="00E83D03" w:rsidP="001F2D2D">
      <w:pPr>
        <w:spacing w:line="276" w:lineRule="auto"/>
        <w:jc w:val="both"/>
        <w:rPr>
          <w:rFonts w:ascii="Times New Roman" w:eastAsia="Times New Roman" w:hAnsi="Times New Roman" w:cs="Times New Roman"/>
          <w:color w:val="000000"/>
          <w:lang w:eastAsia="en-GB"/>
        </w:rPr>
      </w:pPr>
    </w:p>
    <w:p w14:paraId="2CBD48C5" w14:textId="3BE8855D" w:rsidR="00432216" w:rsidRPr="001F2D2D" w:rsidRDefault="0071166E" w:rsidP="001F2D2D">
      <w:pPr>
        <w:spacing w:line="276" w:lineRule="auto"/>
        <w:jc w:val="both"/>
        <w:rPr>
          <w:rFonts w:ascii="Times New Roman" w:eastAsia="Times New Roman" w:hAnsi="Times New Roman" w:cs="Times New Roman"/>
          <w:color w:val="000000"/>
          <w:lang w:eastAsia="en-GB"/>
        </w:rPr>
      </w:pPr>
      <w:r w:rsidRPr="001F2D2D">
        <w:rPr>
          <w:rFonts w:ascii="Times New Roman" w:eastAsia="Times New Roman" w:hAnsi="Times New Roman" w:cs="Times New Roman"/>
          <w:color w:val="000000"/>
          <w:lang w:eastAsia="en-GB"/>
        </w:rPr>
        <w:t>The question moving the inquiry</w:t>
      </w:r>
      <w:r w:rsidR="006F4191">
        <w:rPr>
          <w:rFonts w:ascii="Times New Roman" w:eastAsia="Times New Roman" w:hAnsi="Times New Roman" w:cs="Times New Roman"/>
          <w:color w:val="000000"/>
          <w:lang w:eastAsia="en-GB"/>
        </w:rPr>
        <w:t xml:space="preserve"> of this article</w:t>
      </w:r>
      <w:r w:rsidRPr="001F2D2D">
        <w:rPr>
          <w:rFonts w:ascii="Times New Roman" w:eastAsia="Times New Roman" w:hAnsi="Times New Roman" w:cs="Times New Roman"/>
          <w:color w:val="000000"/>
          <w:lang w:eastAsia="en-GB"/>
        </w:rPr>
        <w:t xml:space="preserve"> is the relationship between two principles of</w:t>
      </w:r>
      <w:r w:rsidR="00432216" w:rsidRPr="001F2D2D">
        <w:rPr>
          <w:rFonts w:ascii="Times New Roman" w:eastAsia="Times New Roman" w:hAnsi="Times New Roman" w:cs="Times New Roman"/>
          <w:color w:val="000000"/>
          <w:lang w:eastAsia="en-GB"/>
        </w:rPr>
        <w:t xml:space="preserve"> ‘autonom</w:t>
      </w:r>
      <w:r w:rsidRPr="001F2D2D">
        <w:rPr>
          <w:rFonts w:ascii="Times New Roman" w:eastAsia="Times New Roman" w:hAnsi="Times New Roman" w:cs="Times New Roman"/>
          <w:color w:val="000000"/>
          <w:lang w:eastAsia="en-GB"/>
        </w:rPr>
        <w:t>y</w:t>
      </w:r>
      <w:r w:rsidR="00432216" w:rsidRPr="001F2D2D">
        <w:rPr>
          <w:rFonts w:ascii="Times New Roman" w:eastAsia="Times New Roman" w:hAnsi="Times New Roman" w:cs="Times New Roman"/>
          <w:color w:val="000000"/>
          <w:lang w:eastAsia="en-GB"/>
        </w:rPr>
        <w:t>’</w:t>
      </w:r>
      <w:r w:rsidR="001612E7" w:rsidRPr="001F2D2D">
        <w:rPr>
          <w:rFonts w:ascii="Times New Roman" w:eastAsia="Times New Roman" w:hAnsi="Times New Roman" w:cs="Times New Roman"/>
          <w:color w:val="000000"/>
          <w:lang w:eastAsia="en-GB"/>
        </w:rPr>
        <w:t>.</w:t>
      </w:r>
      <w:r w:rsidR="000B35FF">
        <w:rPr>
          <w:rStyle w:val="FootnoteReference"/>
          <w:rFonts w:ascii="Times New Roman" w:eastAsia="Times New Roman" w:hAnsi="Times New Roman" w:cs="Times New Roman"/>
          <w:color w:val="000000"/>
          <w:lang w:eastAsia="en-GB"/>
        </w:rPr>
        <w:footnoteReference w:id="1"/>
      </w:r>
      <w:r w:rsidR="00370F3D">
        <w:rPr>
          <w:rFonts w:ascii="Times New Roman" w:eastAsia="Times New Roman" w:hAnsi="Times New Roman" w:cs="Times New Roman"/>
          <w:color w:val="000000"/>
          <w:lang w:eastAsia="en-GB"/>
        </w:rPr>
        <w:t xml:space="preserve"> </w:t>
      </w:r>
      <w:r w:rsidR="00432216" w:rsidRPr="001F2D2D">
        <w:rPr>
          <w:rFonts w:ascii="Times New Roman" w:eastAsia="Times New Roman" w:hAnsi="Times New Roman" w:cs="Times New Roman"/>
          <w:color w:val="000000"/>
          <w:lang w:eastAsia="en-GB"/>
        </w:rPr>
        <w:t xml:space="preserve">The first autonomy </w:t>
      </w:r>
      <w:r w:rsidR="00E83D03" w:rsidRPr="001F2D2D">
        <w:rPr>
          <w:rFonts w:ascii="Times New Roman" w:eastAsia="Times New Roman" w:hAnsi="Times New Roman" w:cs="Times New Roman"/>
          <w:color w:val="000000"/>
          <w:lang w:eastAsia="en-GB"/>
        </w:rPr>
        <w:t xml:space="preserve">is what the Court of Justice of the European Union (CJEU) calls the principle of autonomy of EU law. </w:t>
      </w:r>
      <w:r w:rsidR="006724AE">
        <w:rPr>
          <w:rFonts w:ascii="Times New Roman" w:eastAsia="Times New Roman" w:hAnsi="Times New Roman" w:cs="Times New Roman"/>
          <w:color w:val="000000"/>
          <w:lang w:eastAsia="en-GB"/>
        </w:rPr>
        <w:t xml:space="preserve">In this ‘self-perception’ </w:t>
      </w:r>
      <w:r w:rsidR="006724AE">
        <w:rPr>
          <w:rFonts w:ascii="Times New Roman" w:eastAsia="Times New Roman" w:hAnsi="Times New Roman" w:cs="Times New Roman"/>
          <w:color w:val="000000"/>
          <w:lang w:eastAsia="en-GB"/>
        </w:rPr>
        <w:fldChar w:fldCharType="begin"/>
      </w:r>
      <w:r w:rsidR="006724AE">
        <w:rPr>
          <w:rFonts w:ascii="Times New Roman" w:eastAsia="Times New Roman" w:hAnsi="Times New Roman" w:cs="Times New Roman"/>
          <w:color w:val="000000"/>
          <w:lang w:eastAsia="en-GB"/>
        </w:rPr>
        <w:instrText xml:space="preserve"> ADDIN ZOTERO_ITEM CSL_CITATION {"citationID":"qHlSVwCG","properties":{"formattedCitation":"(Odermatt, 2021, p. 10)","plainCitation":"(Odermatt, 2021, p. 10)","noteIndex":0},"citationItems":[{"id":263,"uris":["http://zotero.org/users/local/JGwB40RD/items/JC3T3R8N"],"itemData":{"id":263,"type":"book","abstract":"The European Union plays a significant role in international affairs. International Law and the European Union examines the impact this has had on public international law by integrating perspectives from both EU law and international law. Its analysis focuses on fields of public international law where the EU has had an influence, including customary international law, the law of treaties, international organizations, international dispute settlement, and international responsibility. International Law and the European Union shows how the EU has had a subtle but significant impact on the development of international law and how the international legal order has developed and adjusted to accommodate the EU as a distinct legal actor. In doing so, it contributes to our understanding of how international law addresses legal subjects other than States.","edition":"1","ISBN":"978-1-108-89570-5","note":"DOI: 10.1017/9781108895705","publisher":"Cambridge University Press","source":"DOI.org (Crossref)","title":"International Law and the European Union","URL":"https://www.cambridge.org/core/product/identifier/9781108895705/type/book","author":[{"family":"Odermatt","given":"Jed"}],"accessed":{"date-parts":[["2022",5,5]]},"issued":{"date-parts":[["2021",10,21]]}},"locator":"10"}],"schema":"https://github.com/citation-style-language/schema/raw/master/csl-citation.json"} </w:instrText>
      </w:r>
      <w:r w:rsidR="006724AE">
        <w:rPr>
          <w:rFonts w:ascii="Times New Roman" w:eastAsia="Times New Roman" w:hAnsi="Times New Roman" w:cs="Times New Roman"/>
          <w:color w:val="000000"/>
          <w:lang w:eastAsia="en-GB"/>
        </w:rPr>
        <w:fldChar w:fldCharType="separate"/>
      </w:r>
      <w:r w:rsidR="006724AE">
        <w:rPr>
          <w:rFonts w:ascii="Times New Roman" w:eastAsia="Times New Roman" w:hAnsi="Times New Roman" w:cs="Times New Roman"/>
          <w:noProof/>
          <w:color w:val="000000"/>
          <w:lang w:eastAsia="en-GB"/>
        </w:rPr>
        <w:t>(Odermatt, 2021, p. 10)</w:t>
      </w:r>
      <w:r w:rsidR="006724AE">
        <w:rPr>
          <w:rFonts w:ascii="Times New Roman" w:eastAsia="Times New Roman" w:hAnsi="Times New Roman" w:cs="Times New Roman"/>
          <w:color w:val="000000"/>
          <w:lang w:eastAsia="en-GB"/>
        </w:rPr>
        <w:fldChar w:fldCharType="end"/>
      </w:r>
      <w:r w:rsidR="006724AE">
        <w:rPr>
          <w:rFonts w:ascii="Times New Roman" w:eastAsia="Times New Roman" w:hAnsi="Times New Roman" w:cs="Times New Roman"/>
          <w:color w:val="000000"/>
          <w:lang w:eastAsia="en-GB"/>
        </w:rPr>
        <w:t xml:space="preserve"> of the EU, autonomy </w:t>
      </w:r>
      <w:r w:rsidR="00E83D03" w:rsidRPr="001F2D2D">
        <w:rPr>
          <w:rFonts w:ascii="Times New Roman" w:eastAsia="Times New Roman" w:hAnsi="Times New Roman" w:cs="Times New Roman"/>
          <w:color w:val="000000"/>
          <w:lang w:eastAsia="en-GB"/>
        </w:rPr>
        <w:t xml:space="preserve">derives from the fact that EU law stems from a distinctive source </w:t>
      </w:r>
      <w:r w:rsidR="007D79B2" w:rsidRPr="001F2D2D">
        <w:rPr>
          <w:rFonts w:ascii="Times New Roman" w:eastAsia="Times New Roman" w:hAnsi="Times New Roman" w:cs="Times New Roman"/>
          <w:color w:val="000000"/>
          <w:lang w:eastAsia="en-GB"/>
        </w:rPr>
        <w:t xml:space="preserve">of law </w:t>
      </w:r>
      <w:r w:rsidR="00E83D03" w:rsidRPr="001F2D2D">
        <w:rPr>
          <w:rFonts w:ascii="Times New Roman" w:eastAsia="Times New Roman" w:hAnsi="Times New Roman" w:cs="Times New Roman"/>
          <w:color w:val="000000"/>
          <w:lang w:eastAsia="en-GB"/>
        </w:rPr>
        <w:t>(the fundamental Treaties)</w:t>
      </w:r>
      <w:r w:rsidR="007D79B2" w:rsidRPr="001F2D2D">
        <w:rPr>
          <w:rFonts w:ascii="Times New Roman" w:eastAsia="Times New Roman" w:hAnsi="Times New Roman" w:cs="Times New Roman"/>
          <w:color w:val="000000"/>
          <w:lang w:eastAsia="en-GB"/>
        </w:rPr>
        <w:t>, separating it from international law and domestic law of Member States</w:t>
      </w:r>
      <w:r w:rsidR="001612E7" w:rsidRPr="001F2D2D">
        <w:rPr>
          <w:rFonts w:ascii="Times New Roman" w:eastAsia="Times New Roman" w:hAnsi="Times New Roman" w:cs="Times New Roman"/>
          <w:color w:val="000000"/>
          <w:lang w:eastAsia="en-GB"/>
        </w:rPr>
        <w:t>;</w:t>
      </w:r>
      <w:r w:rsidR="00E83D03" w:rsidRPr="001F2D2D">
        <w:rPr>
          <w:rFonts w:ascii="Times New Roman" w:eastAsia="Times New Roman" w:hAnsi="Times New Roman" w:cs="Times New Roman"/>
          <w:color w:val="000000"/>
          <w:lang w:eastAsia="en-GB"/>
        </w:rPr>
        <w:t xml:space="preserve"> </w:t>
      </w:r>
      <w:r w:rsidR="001612E7" w:rsidRPr="001F2D2D">
        <w:rPr>
          <w:rFonts w:ascii="Times New Roman" w:eastAsia="Times New Roman" w:hAnsi="Times New Roman" w:cs="Times New Roman"/>
          <w:color w:val="000000"/>
          <w:lang w:eastAsia="en-GB"/>
        </w:rPr>
        <w:t>and from the fact that the EU</w:t>
      </w:r>
      <w:r w:rsidR="00E83D03" w:rsidRPr="001F2D2D">
        <w:rPr>
          <w:rFonts w:ascii="Times New Roman" w:eastAsia="Times New Roman" w:hAnsi="Times New Roman" w:cs="Times New Roman"/>
          <w:color w:val="000000"/>
          <w:lang w:eastAsia="en-GB"/>
        </w:rPr>
        <w:t xml:space="preserve"> has </w:t>
      </w:r>
      <w:r w:rsidR="007D79B2" w:rsidRPr="001F2D2D">
        <w:rPr>
          <w:rFonts w:ascii="Times New Roman" w:eastAsia="Times New Roman" w:hAnsi="Times New Roman" w:cs="Times New Roman"/>
          <w:color w:val="000000"/>
          <w:lang w:eastAsia="en-GB"/>
        </w:rPr>
        <w:t>special</w:t>
      </w:r>
      <w:r w:rsidR="00E83D03" w:rsidRPr="001F2D2D">
        <w:rPr>
          <w:rFonts w:ascii="Times New Roman" w:eastAsia="Times New Roman" w:hAnsi="Times New Roman" w:cs="Times New Roman"/>
          <w:color w:val="000000"/>
          <w:lang w:eastAsia="en-GB"/>
        </w:rPr>
        <w:t xml:space="preserve"> characteristics (</w:t>
      </w:r>
      <w:r w:rsidR="007D79B2" w:rsidRPr="001F2D2D">
        <w:rPr>
          <w:rFonts w:ascii="Times New Roman" w:eastAsia="Times New Roman" w:hAnsi="Times New Roman" w:cs="Times New Roman"/>
          <w:color w:val="000000"/>
          <w:lang w:eastAsia="en-GB"/>
        </w:rPr>
        <w:t xml:space="preserve">including supremacy over national law, the direct effect of certain provisions, </w:t>
      </w:r>
      <w:r w:rsidR="001612E7" w:rsidRPr="001F2D2D">
        <w:rPr>
          <w:rFonts w:ascii="Times New Roman" w:eastAsia="Times New Roman" w:hAnsi="Times New Roman" w:cs="Times New Roman"/>
          <w:color w:val="000000"/>
          <w:lang w:eastAsia="en-GB"/>
        </w:rPr>
        <w:t xml:space="preserve">etc </w:t>
      </w:r>
      <w:r w:rsidR="001612E7" w:rsidRPr="001F2D2D">
        <w:rPr>
          <w:rFonts w:ascii="Times New Roman" w:eastAsia="Times New Roman" w:hAnsi="Times New Roman" w:cs="Times New Roman"/>
          <w:color w:val="000000"/>
          <w:lang w:eastAsia="en-GB"/>
        </w:rPr>
        <w:fldChar w:fldCharType="begin"/>
      </w:r>
      <w:r w:rsidR="001612E7" w:rsidRPr="001F2D2D">
        <w:rPr>
          <w:rFonts w:ascii="Times New Roman" w:eastAsia="Times New Roman" w:hAnsi="Times New Roman" w:cs="Times New Roman"/>
          <w:color w:val="000000"/>
          <w:lang w:eastAsia="en-GB"/>
        </w:rPr>
        <w:instrText xml:space="preserve"> ADDIN ZOTERO_ITEM CSL_CITATION {"citationID":"QbN7Iyv8","properties":{"formattedCitation":"(Lenaerts and Guti\\uc0\\u233{}rrez-Fons, 2018, p. 106)","plainCitation":"(Lenaerts and Gutiérrez-Fons, 2018, p. 106)","noteIndex":0},"citationItems":[{"id":132,"uris":["http://zotero.org/users/local/JGwB40RD/items/LZ9DACN5"],"itemData":{"id":132,"type":"chapter","abstract":"In liberal democracies, written constitutions are the ‘supreme law of the land’ by means of which individuals sharing a common sense of belonging have agreed to establish a government of limited powers, which is entrusted with pursuing the common good, whilst respecting a sphere of individual freedom. At national level, constitutions have thus been called upon to fulfil three basic functions. First, they provide a catalogue of fundamental rights, including political rights, which public authorities (and individuals) are bound to respect. Secondly, they allocate power between the different branches of government. In federal or decentralized systems, they also allocate power between the centre and the periphery. Thirdly, they help to preserve national identity by determining the way in which a particular community of individuals is to interact with the wider world. Accordingly, a national constitution draws the dividing line between the domestic legal order and public international law.","container-title":"Oxford Principles Of European Union Law: The European Union Legal Order: Volume I","ISBN":"978-0-19-953377-0","language":"en","note":"DOI: 10.1093/oso/9780199533770.003.0005","publisher":"Oxford University Press","source":"DOI.org (Crossref)","title":"A Constitutional Perspective","URL":"https://oxford.universitypressscholarship.com/view/10.1093/oso/9780199533770.001.0001/isbn-9780199533770-book-part-5","container-author":[{"family":"Schütze","given":"Robert"},{"family":"Tridimas","given":"Takis"}],"author":[{"family":"Lenaerts","given":"Koen"},{"family":"Gutiérrez-Fons","given":"José A."}],"accessed":{"date-parts":[["2022",4,21]]},"issued":{"date-parts":[["2018",3,1]]}},"locator":"106"}],"schema":"https://github.com/citation-style-language/schema/raw/master/csl-citation.json"} </w:instrText>
      </w:r>
      <w:r w:rsidR="001612E7" w:rsidRPr="001F2D2D">
        <w:rPr>
          <w:rFonts w:ascii="Times New Roman" w:eastAsia="Times New Roman" w:hAnsi="Times New Roman" w:cs="Times New Roman"/>
          <w:color w:val="000000"/>
          <w:lang w:eastAsia="en-GB"/>
        </w:rPr>
        <w:fldChar w:fldCharType="separate"/>
      </w:r>
      <w:r w:rsidR="001612E7" w:rsidRPr="001F2D2D">
        <w:rPr>
          <w:rFonts w:ascii="Times New Roman" w:hAnsi="Times New Roman" w:cs="Times New Roman"/>
          <w:color w:val="000000"/>
          <w:lang w:val="en-GB"/>
        </w:rPr>
        <w:t>(Lenaerts and Gutiérrez-Fons, 2018, p. 106)</w:t>
      </w:r>
      <w:r w:rsidR="001612E7" w:rsidRPr="001F2D2D">
        <w:rPr>
          <w:rFonts w:ascii="Times New Roman" w:eastAsia="Times New Roman" w:hAnsi="Times New Roman" w:cs="Times New Roman"/>
          <w:color w:val="000000"/>
          <w:lang w:eastAsia="en-GB"/>
        </w:rPr>
        <w:fldChar w:fldCharType="end"/>
      </w:r>
      <w:r w:rsidR="001612E7" w:rsidRPr="001F2D2D">
        <w:rPr>
          <w:rFonts w:ascii="Times New Roman" w:eastAsia="Times New Roman" w:hAnsi="Times New Roman" w:cs="Times New Roman"/>
          <w:color w:val="000000"/>
          <w:lang w:eastAsia="en-GB"/>
        </w:rPr>
        <w:t>)</w:t>
      </w:r>
      <w:r w:rsidR="00E83D03" w:rsidRPr="001F2D2D">
        <w:rPr>
          <w:rFonts w:ascii="Times New Roman" w:eastAsia="Times New Roman" w:hAnsi="Times New Roman" w:cs="Times New Roman"/>
          <w:color w:val="000000"/>
          <w:lang w:eastAsia="en-GB"/>
        </w:rPr>
        <w:t xml:space="preserve">. </w:t>
      </w:r>
      <w:r w:rsidR="008238A5" w:rsidRPr="001F2D2D">
        <w:rPr>
          <w:rFonts w:ascii="Times New Roman" w:eastAsia="Times New Roman" w:hAnsi="Times New Roman" w:cs="Times New Roman"/>
          <w:color w:val="000000"/>
          <w:lang w:eastAsia="en-GB"/>
        </w:rPr>
        <w:t>While the principle has not been definitively articulated in the case law, and therefore its ramifications are yet to be fully explored</w:t>
      </w:r>
      <w:r w:rsidR="006F4191">
        <w:rPr>
          <w:rFonts w:ascii="Times New Roman" w:eastAsia="Times New Roman" w:hAnsi="Times New Roman" w:cs="Times New Roman"/>
          <w:color w:val="000000"/>
          <w:lang w:eastAsia="en-GB"/>
        </w:rPr>
        <w:t xml:space="preserve"> in academic writings</w:t>
      </w:r>
      <w:r w:rsidR="008238A5" w:rsidRPr="001F2D2D">
        <w:rPr>
          <w:rFonts w:ascii="Times New Roman" w:eastAsia="Times New Roman" w:hAnsi="Times New Roman" w:cs="Times New Roman"/>
          <w:color w:val="000000"/>
          <w:lang w:eastAsia="en-GB"/>
        </w:rPr>
        <w:t xml:space="preserve">, it can be stated that </w:t>
      </w:r>
      <w:r w:rsidR="006F4191">
        <w:rPr>
          <w:rFonts w:ascii="Times New Roman" w:eastAsia="Times New Roman" w:hAnsi="Times New Roman" w:cs="Times New Roman"/>
          <w:color w:val="000000"/>
          <w:lang w:eastAsia="en-GB"/>
        </w:rPr>
        <w:t>that the principle of autonomy</w:t>
      </w:r>
      <w:r w:rsidR="008238A5" w:rsidRPr="001F2D2D">
        <w:rPr>
          <w:rFonts w:ascii="Times New Roman" w:eastAsia="Times New Roman" w:hAnsi="Times New Roman" w:cs="Times New Roman"/>
          <w:color w:val="000000"/>
          <w:lang w:eastAsia="en-GB"/>
        </w:rPr>
        <w:t xml:space="preserve"> recognises and preserves the distinctive features of EU law. For example</w:t>
      </w:r>
      <w:r w:rsidR="003367B3" w:rsidRPr="001F2D2D">
        <w:rPr>
          <w:rFonts w:ascii="Times New Roman" w:eastAsia="Times New Roman" w:hAnsi="Times New Roman" w:cs="Times New Roman"/>
          <w:color w:val="000000"/>
          <w:lang w:eastAsia="en-GB"/>
        </w:rPr>
        <w:t>,</w:t>
      </w:r>
      <w:r w:rsidR="008238A5" w:rsidRPr="001F2D2D">
        <w:rPr>
          <w:rFonts w:ascii="Times New Roman" w:eastAsia="Times New Roman" w:hAnsi="Times New Roman" w:cs="Times New Roman"/>
          <w:color w:val="000000"/>
          <w:lang w:eastAsia="en-GB"/>
        </w:rPr>
        <w:t xml:space="preserve"> t</w:t>
      </w:r>
      <w:r w:rsidR="00E83D03" w:rsidRPr="001F2D2D">
        <w:rPr>
          <w:rFonts w:ascii="Times New Roman" w:eastAsia="Times New Roman" w:hAnsi="Times New Roman" w:cs="Times New Roman"/>
          <w:color w:val="000000"/>
          <w:lang w:eastAsia="en-GB"/>
        </w:rPr>
        <w:t xml:space="preserve">he </w:t>
      </w:r>
      <w:r w:rsidR="001612E7" w:rsidRPr="001F2D2D">
        <w:rPr>
          <w:rFonts w:ascii="Times New Roman" w:eastAsia="Times New Roman" w:hAnsi="Times New Roman" w:cs="Times New Roman"/>
          <w:color w:val="000000"/>
          <w:lang w:eastAsia="en-GB"/>
        </w:rPr>
        <w:t xml:space="preserve">legal </w:t>
      </w:r>
      <w:r w:rsidR="00E83D03" w:rsidRPr="001F2D2D">
        <w:rPr>
          <w:rFonts w:ascii="Times New Roman" w:eastAsia="Times New Roman" w:hAnsi="Times New Roman" w:cs="Times New Roman"/>
          <w:color w:val="000000"/>
          <w:lang w:eastAsia="en-GB"/>
        </w:rPr>
        <w:t>principle</w:t>
      </w:r>
      <w:r w:rsidR="001612E7" w:rsidRPr="001F2D2D">
        <w:rPr>
          <w:rFonts w:ascii="Times New Roman" w:eastAsia="Times New Roman" w:hAnsi="Times New Roman" w:cs="Times New Roman"/>
          <w:color w:val="000000"/>
          <w:lang w:eastAsia="en-GB"/>
        </w:rPr>
        <w:t xml:space="preserve"> of autonomy </w:t>
      </w:r>
      <w:r w:rsidR="008238A5" w:rsidRPr="001F2D2D">
        <w:rPr>
          <w:rFonts w:ascii="Times New Roman" w:eastAsia="Times New Roman" w:hAnsi="Times New Roman" w:cs="Times New Roman"/>
          <w:color w:val="000000"/>
          <w:lang w:eastAsia="en-GB"/>
        </w:rPr>
        <w:t>shields</w:t>
      </w:r>
      <w:r w:rsidR="00E83D03" w:rsidRPr="001F2D2D">
        <w:rPr>
          <w:rFonts w:ascii="Times New Roman" w:eastAsia="Times New Roman" w:hAnsi="Times New Roman" w:cs="Times New Roman"/>
          <w:color w:val="000000"/>
          <w:lang w:eastAsia="en-GB"/>
        </w:rPr>
        <w:t xml:space="preserve"> the EU legal order from actual or potential interference from international law or domestic law of Member States</w:t>
      </w:r>
      <w:r w:rsidR="008238A5" w:rsidRPr="001F2D2D">
        <w:rPr>
          <w:rFonts w:ascii="Times New Roman" w:eastAsia="Times New Roman" w:hAnsi="Times New Roman" w:cs="Times New Roman"/>
          <w:color w:val="000000"/>
          <w:lang w:eastAsia="en-GB"/>
        </w:rPr>
        <w:t xml:space="preserve"> which affect the essential characteristics of the EU legal order; and frames the essential characteristics of the EU enabling it to act as </w:t>
      </w:r>
      <w:r w:rsidR="008238A5" w:rsidRPr="001F2D2D">
        <w:rPr>
          <w:rFonts w:ascii="Times New Roman" w:hAnsi="Times New Roman" w:cs="Times New Roman"/>
        </w:rPr>
        <w:t>‘as a self-sufficient system of norms’</w:t>
      </w:r>
      <w:r w:rsidR="001612E7" w:rsidRPr="001F2D2D">
        <w:rPr>
          <w:rFonts w:ascii="Times New Roman" w:hAnsi="Times New Roman" w:cs="Times New Roman"/>
        </w:rPr>
        <w:t xml:space="preserve"> </w:t>
      </w:r>
      <w:r w:rsidR="001612E7" w:rsidRPr="001F2D2D">
        <w:rPr>
          <w:rFonts w:ascii="Times New Roman" w:hAnsi="Times New Roman" w:cs="Times New Roman"/>
        </w:rPr>
        <w:fldChar w:fldCharType="begin"/>
      </w:r>
      <w:r w:rsidR="001612E7" w:rsidRPr="001F2D2D">
        <w:rPr>
          <w:rFonts w:ascii="Times New Roman" w:hAnsi="Times New Roman" w:cs="Times New Roman"/>
        </w:rPr>
        <w:instrText xml:space="preserve"> ADDIN ZOTERO_ITEM CSL_CITATION {"citationID":"1SqjDXy0","properties":{"formattedCitation":"(Lenaerts and Guti\\uc0\\u233{}rrez-Fons, 2018, p. 106)","plainCitation":"(Lenaerts and Gutiérrez-Fons, 2018, p. 106)","noteIndex":0},"citationItems":[{"id":132,"uris":["http://zotero.org/users/local/JGwB40RD/items/LZ9DACN5"],"itemData":{"id":132,"type":"chapter","abstract":"In liberal democracies, written constitutions are the ‘supreme law of the land’ by means of which individuals sharing a common sense of belonging have agreed to establish a government of limited powers, which is entrusted with pursuing the common good, whilst respecting a sphere of individual freedom. At national level, constitutions have thus been called upon to fulfil three basic functions. First, they provide a catalogue of fundamental rights, including political rights, which public authorities (and individuals) are bound to respect. Secondly, they allocate power between the different branches of government. In federal or decentralized systems, they also allocate power between the centre and the periphery. Thirdly, they help to preserve national identity by determining the way in which a particular community of individuals is to interact with the wider world. Accordingly, a national constitution draws the dividing line between the domestic legal order and public international law.","container-title":"Oxford Principles Of European Union Law: The European Union Legal Order: Volume I","ISBN":"978-0-19-953377-0","language":"en","note":"DOI: 10.1093/oso/9780199533770.003.0005","publisher":"Oxford University Press","source":"DOI.org (Crossref)","title":"A Constitutional Perspective","URL":"https://oxford.universitypressscholarship.com/view/10.1093/oso/9780199533770.001.0001/isbn-9780199533770-book-part-5","container-author":[{"family":"Schütze","given":"Robert"},{"family":"Tridimas","given":"Takis"}],"author":[{"family":"Lenaerts","given":"Koen"},{"family":"Gutiérrez-Fons","given":"José A."}],"accessed":{"date-parts":[["2022",4,21]]},"issued":{"date-parts":[["2018",3,1]]}},"locator":"106"}],"schema":"https://github.com/citation-style-language/schema/raw/master/csl-citation.json"} </w:instrText>
      </w:r>
      <w:r w:rsidR="001612E7" w:rsidRPr="001F2D2D">
        <w:rPr>
          <w:rFonts w:ascii="Times New Roman" w:hAnsi="Times New Roman" w:cs="Times New Roman"/>
        </w:rPr>
        <w:fldChar w:fldCharType="separate"/>
      </w:r>
      <w:r w:rsidR="001612E7" w:rsidRPr="001F2D2D">
        <w:rPr>
          <w:rFonts w:ascii="Times New Roman" w:hAnsi="Times New Roman" w:cs="Times New Roman"/>
          <w:lang w:val="en-GB"/>
        </w:rPr>
        <w:t>(Lenaerts and Gutiérrez-Fons, 2018, p. 106)</w:t>
      </w:r>
      <w:r w:rsidR="001612E7" w:rsidRPr="001F2D2D">
        <w:rPr>
          <w:rFonts w:ascii="Times New Roman" w:hAnsi="Times New Roman" w:cs="Times New Roman"/>
        </w:rPr>
        <w:fldChar w:fldCharType="end"/>
      </w:r>
      <w:r w:rsidR="001612E7" w:rsidRPr="001F2D2D">
        <w:rPr>
          <w:rFonts w:ascii="Times New Roman" w:hAnsi="Times New Roman" w:cs="Times New Roman"/>
        </w:rPr>
        <w:t>.</w:t>
      </w:r>
    </w:p>
    <w:p w14:paraId="56F0DA07" w14:textId="77777777" w:rsidR="00432216" w:rsidRPr="001F2D2D" w:rsidRDefault="00432216" w:rsidP="001F2D2D">
      <w:pPr>
        <w:spacing w:line="276" w:lineRule="auto"/>
        <w:jc w:val="both"/>
        <w:rPr>
          <w:rFonts w:ascii="Times New Roman" w:eastAsia="Times New Roman" w:hAnsi="Times New Roman" w:cs="Times New Roman"/>
          <w:color w:val="000000"/>
          <w:lang w:eastAsia="en-GB"/>
        </w:rPr>
      </w:pPr>
    </w:p>
    <w:p w14:paraId="2666862C" w14:textId="4BA1DF54" w:rsidR="00E83D03" w:rsidRPr="00565E59" w:rsidRDefault="00E83D03" w:rsidP="00565E59">
      <w:pPr>
        <w:spacing w:line="276" w:lineRule="auto"/>
        <w:jc w:val="both"/>
        <w:rPr>
          <w:rFonts w:ascii="Times New Roman" w:eastAsia="Times New Roman" w:hAnsi="Times New Roman" w:cs="Times New Roman"/>
          <w:color w:val="000000"/>
          <w:lang w:eastAsia="en-GB"/>
        </w:rPr>
      </w:pPr>
      <w:r w:rsidRPr="001F2D2D">
        <w:rPr>
          <w:rFonts w:ascii="Times New Roman" w:eastAsia="Times New Roman" w:hAnsi="Times New Roman" w:cs="Times New Roman"/>
          <w:color w:val="000000"/>
          <w:lang w:eastAsia="en-GB"/>
        </w:rPr>
        <w:t xml:space="preserve">The second </w:t>
      </w:r>
      <w:r w:rsidR="00432216" w:rsidRPr="001F2D2D">
        <w:rPr>
          <w:rFonts w:ascii="Times New Roman" w:eastAsia="Times New Roman" w:hAnsi="Times New Roman" w:cs="Times New Roman"/>
          <w:color w:val="000000"/>
          <w:lang w:eastAsia="en-GB"/>
        </w:rPr>
        <w:t>autonomy</w:t>
      </w:r>
      <w:r w:rsidRPr="001F2D2D">
        <w:rPr>
          <w:rFonts w:ascii="Times New Roman" w:eastAsia="Times New Roman" w:hAnsi="Times New Roman" w:cs="Times New Roman"/>
          <w:color w:val="000000"/>
          <w:lang w:eastAsia="en-GB"/>
        </w:rPr>
        <w:t xml:space="preserve"> is what (other) EU institutions refer to as strategic autonomy.</w:t>
      </w:r>
      <w:r w:rsidR="00E06516" w:rsidRPr="001F2D2D">
        <w:rPr>
          <w:rFonts w:ascii="Times New Roman" w:eastAsia="Times New Roman" w:hAnsi="Times New Roman" w:cs="Times New Roman"/>
          <w:color w:val="000000"/>
          <w:lang w:eastAsia="en-GB"/>
        </w:rPr>
        <w:t xml:space="preserve"> In the November 2016 Council conclusion, it was circularly defined as the ‘capacity to act autonomously when and where necessary and with partners wherever possible’</w:t>
      </w:r>
      <w:r w:rsidR="00AC4184" w:rsidRPr="001F2D2D">
        <w:rPr>
          <w:rFonts w:ascii="Times New Roman" w:eastAsia="Times New Roman" w:hAnsi="Times New Roman" w:cs="Times New Roman"/>
          <w:color w:val="000000"/>
          <w:lang w:eastAsia="en-GB"/>
        </w:rPr>
        <w:t xml:space="preserve"> </w:t>
      </w:r>
      <w:r w:rsidR="00AC4184" w:rsidRPr="001F2D2D">
        <w:rPr>
          <w:rFonts w:ascii="Times New Roman" w:eastAsia="Times New Roman" w:hAnsi="Times New Roman" w:cs="Times New Roman"/>
          <w:color w:val="000000"/>
          <w:lang w:eastAsia="en-GB"/>
        </w:rPr>
        <w:fldChar w:fldCharType="begin"/>
      </w:r>
      <w:r w:rsidR="00AC4184" w:rsidRPr="001F2D2D">
        <w:rPr>
          <w:rFonts w:ascii="Times New Roman" w:eastAsia="Times New Roman" w:hAnsi="Times New Roman" w:cs="Times New Roman"/>
          <w:color w:val="000000"/>
          <w:lang w:eastAsia="en-GB"/>
        </w:rPr>
        <w:instrText xml:space="preserve"> ADDIN ZOTERO_ITEM CSL_CITATION {"citationID":"Su07mF5i","properties":{"formattedCitation":"(Council of the EU, 2016)","plainCitation":"(Council of the EU, 2016)","noteIndex":0},"citationItems":[{"id":230,"uris":["http://zotero.org/users/local/JGwB40RD/items/4CWUNXVI"],"itemData":{"id":230,"type":"document","abstract":"On 14 November 2016 the Council adopted conclusions on implementing the EU global strategy in the area of security and defence.","language":"en","title":"Council conclusions on implementing the EU global strategy in the area of security and defence","URL":"https://www.consilium.europa.eu/en/press/press-releases/2016/11/14/conclusions-eu-global-strategy-security-defence/","author":[{"family":"Council of the EU","given":""}],"accessed":{"date-parts":[["2022",4,24]]},"issued":{"date-parts":[["2016",11,14]]}}}],"schema":"https://github.com/citation-style-language/schema/raw/master/csl-citation.json"} </w:instrText>
      </w:r>
      <w:r w:rsidR="00AC4184" w:rsidRPr="001F2D2D">
        <w:rPr>
          <w:rFonts w:ascii="Times New Roman" w:eastAsia="Times New Roman" w:hAnsi="Times New Roman" w:cs="Times New Roman"/>
          <w:color w:val="000000"/>
          <w:lang w:eastAsia="en-GB"/>
        </w:rPr>
        <w:fldChar w:fldCharType="separate"/>
      </w:r>
      <w:r w:rsidR="00AC4184" w:rsidRPr="001F2D2D">
        <w:rPr>
          <w:rFonts w:ascii="Times New Roman" w:eastAsia="Times New Roman" w:hAnsi="Times New Roman" w:cs="Times New Roman"/>
          <w:noProof/>
          <w:color w:val="000000"/>
          <w:lang w:eastAsia="en-GB"/>
        </w:rPr>
        <w:t>(Council of the EU, 2016)</w:t>
      </w:r>
      <w:r w:rsidR="00AC4184" w:rsidRPr="001F2D2D">
        <w:rPr>
          <w:rFonts w:ascii="Times New Roman" w:eastAsia="Times New Roman" w:hAnsi="Times New Roman" w:cs="Times New Roman"/>
          <w:color w:val="000000"/>
          <w:lang w:eastAsia="en-GB"/>
        </w:rPr>
        <w:fldChar w:fldCharType="end"/>
      </w:r>
      <w:r w:rsidR="00E06516" w:rsidRPr="001F2D2D">
        <w:rPr>
          <w:rFonts w:ascii="Times New Roman" w:eastAsia="Times New Roman" w:hAnsi="Times New Roman" w:cs="Times New Roman"/>
          <w:color w:val="000000"/>
          <w:lang w:eastAsia="en-GB"/>
        </w:rPr>
        <w:t>.</w:t>
      </w:r>
      <w:r w:rsidRPr="001F2D2D">
        <w:rPr>
          <w:rFonts w:ascii="Times New Roman" w:eastAsia="Times New Roman" w:hAnsi="Times New Roman" w:cs="Times New Roman"/>
          <w:color w:val="000000"/>
          <w:lang w:eastAsia="en-GB"/>
        </w:rPr>
        <w:t xml:space="preserve"> </w:t>
      </w:r>
      <w:r w:rsidR="00E06516" w:rsidRPr="001F2D2D">
        <w:rPr>
          <w:rFonts w:ascii="Times New Roman" w:eastAsia="Times New Roman" w:hAnsi="Times New Roman" w:cs="Times New Roman"/>
          <w:color w:val="000000"/>
          <w:lang w:eastAsia="en-GB"/>
        </w:rPr>
        <w:t>The phrase was</w:t>
      </w:r>
      <w:r w:rsidR="008238A5" w:rsidRPr="001F2D2D">
        <w:rPr>
          <w:rFonts w:ascii="Times New Roman" w:eastAsia="Times New Roman" w:hAnsi="Times New Roman" w:cs="Times New Roman"/>
          <w:color w:val="000000"/>
          <w:lang w:eastAsia="en-GB"/>
        </w:rPr>
        <w:t xml:space="preserve"> initially used </w:t>
      </w:r>
      <w:r w:rsidRPr="001F2D2D">
        <w:rPr>
          <w:rFonts w:ascii="Times New Roman" w:eastAsia="Times New Roman" w:hAnsi="Times New Roman" w:cs="Times New Roman"/>
          <w:color w:val="000000"/>
          <w:lang w:eastAsia="en-GB"/>
        </w:rPr>
        <w:t xml:space="preserve">in the </w:t>
      </w:r>
      <w:r w:rsidR="008238A5" w:rsidRPr="001F2D2D">
        <w:rPr>
          <w:rFonts w:ascii="Times New Roman" w:eastAsia="Times New Roman" w:hAnsi="Times New Roman" w:cs="Times New Roman"/>
          <w:color w:val="000000"/>
          <w:lang w:eastAsia="en-GB"/>
        </w:rPr>
        <w:t>context</w:t>
      </w:r>
      <w:r w:rsidRPr="001F2D2D">
        <w:rPr>
          <w:rFonts w:ascii="Times New Roman" w:eastAsia="Times New Roman" w:hAnsi="Times New Roman" w:cs="Times New Roman"/>
          <w:color w:val="000000"/>
          <w:lang w:eastAsia="en-GB"/>
        </w:rPr>
        <w:t xml:space="preserve"> of security and defence, </w:t>
      </w:r>
      <w:r w:rsidR="006724AE">
        <w:rPr>
          <w:rFonts w:ascii="Times New Roman" w:eastAsia="Times New Roman" w:hAnsi="Times New Roman" w:cs="Times New Roman"/>
          <w:color w:val="000000"/>
          <w:lang w:eastAsia="en-GB"/>
        </w:rPr>
        <w:t>where it was employed jointly by France and the UK to</w:t>
      </w:r>
      <w:r w:rsidRPr="001F2D2D">
        <w:rPr>
          <w:rFonts w:ascii="Times New Roman" w:eastAsia="Times New Roman" w:hAnsi="Times New Roman" w:cs="Times New Roman"/>
          <w:color w:val="000000"/>
          <w:lang w:eastAsia="en-GB"/>
        </w:rPr>
        <w:t xml:space="preserve"> </w:t>
      </w:r>
      <w:r w:rsidR="001612E7" w:rsidRPr="001F2D2D">
        <w:rPr>
          <w:rFonts w:ascii="Times New Roman" w:eastAsia="Times New Roman" w:hAnsi="Times New Roman" w:cs="Times New Roman"/>
          <w:color w:val="000000"/>
          <w:lang w:eastAsia="en-GB"/>
        </w:rPr>
        <w:t xml:space="preserve"> </w:t>
      </w:r>
      <w:r w:rsidRPr="001F2D2D">
        <w:rPr>
          <w:rFonts w:ascii="Times New Roman" w:eastAsia="Times New Roman" w:hAnsi="Times New Roman" w:cs="Times New Roman"/>
          <w:color w:val="000000"/>
          <w:lang w:eastAsia="en-GB"/>
        </w:rPr>
        <w:t>refer</w:t>
      </w:r>
      <w:r w:rsidR="006724AE">
        <w:rPr>
          <w:rFonts w:ascii="Times New Roman" w:eastAsia="Times New Roman" w:hAnsi="Times New Roman" w:cs="Times New Roman"/>
          <w:color w:val="000000"/>
          <w:lang w:eastAsia="en-GB"/>
        </w:rPr>
        <w:t xml:space="preserve"> to</w:t>
      </w:r>
      <w:r w:rsidRPr="001F2D2D">
        <w:rPr>
          <w:rFonts w:ascii="Times New Roman" w:eastAsia="Times New Roman" w:hAnsi="Times New Roman" w:cs="Times New Roman"/>
          <w:color w:val="000000"/>
          <w:lang w:eastAsia="en-GB"/>
        </w:rPr>
        <w:t xml:space="preserve"> ‘means of regaining political space vis-à-vis the United States’ (</w:t>
      </w:r>
      <w:r w:rsidR="006724AE">
        <w:rPr>
          <w:rFonts w:ascii="Times New Roman" w:eastAsia="Times New Roman" w:hAnsi="Times New Roman" w:cs="Times New Roman"/>
          <w:color w:val="000000"/>
          <w:lang w:eastAsia="en-GB"/>
        </w:rPr>
        <w:t xml:space="preserve">according to the more recent formulation by </w:t>
      </w:r>
      <w:r w:rsidRPr="001F2D2D">
        <w:rPr>
          <w:rFonts w:ascii="Times New Roman" w:eastAsia="Times New Roman" w:hAnsi="Times New Roman" w:cs="Times New Roman"/>
          <w:color w:val="000000"/>
          <w:lang w:eastAsia="en-GB"/>
        </w:rPr>
        <w:t>Borrell 2020)</w:t>
      </w:r>
      <w:r w:rsidR="001612E7" w:rsidRPr="001F2D2D">
        <w:rPr>
          <w:rFonts w:ascii="Times New Roman" w:eastAsia="Times New Roman" w:hAnsi="Times New Roman" w:cs="Times New Roman"/>
          <w:color w:val="000000"/>
          <w:lang w:eastAsia="en-GB"/>
        </w:rPr>
        <w:t xml:space="preserve">, in other words, to the idea that </w:t>
      </w:r>
      <w:r w:rsidRPr="001F2D2D">
        <w:rPr>
          <w:rFonts w:ascii="Times New Roman" w:eastAsia="Times New Roman" w:hAnsi="Times New Roman" w:cs="Times New Roman"/>
          <w:color w:val="000000"/>
          <w:lang w:eastAsia="en-GB"/>
        </w:rPr>
        <w:t xml:space="preserve">the EU should have common decision-making and action, backed up by credible military forces, in order to respond to international crises </w:t>
      </w:r>
      <w:r w:rsidR="001612E7" w:rsidRPr="001F2D2D">
        <w:rPr>
          <w:rFonts w:ascii="Times New Roman" w:eastAsia="Times New Roman" w:hAnsi="Times New Roman" w:cs="Times New Roman"/>
          <w:color w:val="000000"/>
          <w:lang w:eastAsia="en-GB"/>
        </w:rPr>
        <w:t xml:space="preserve">even </w:t>
      </w:r>
      <w:r w:rsidRPr="001F2D2D">
        <w:rPr>
          <w:rFonts w:ascii="Times New Roman" w:eastAsia="Times New Roman" w:hAnsi="Times New Roman" w:cs="Times New Roman"/>
          <w:color w:val="000000"/>
          <w:lang w:eastAsia="en-GB"/>
        </w:rPr>
        <w:t xml:space="preserve">when NATO was not involved. More recently, the concept has been widened to other subjects, including technology or economics. </w:t>
      </w:r>
      <w:r w:rsidR="00621A44" w:rsidRPr="001F2D2D">
        <w:rPr>
          <w:rFonts w:ascii="Times New Roman" w:eastAsia="Times New Roman" w:hAnsi="Times New Roman" w:cs="Times New Roman"/>
          <w:color w:val="000000"/>
          <w:lang w:eastAsia="en-GB"/>
        </w:rPr>
        <w:t xml:space="preserve">The concept now features in strategic documents such as the </w:t>
      </w:r>
      <w:r w:rsidR="00B53CC1">
        <w:rPr>
          <w:rFonts w:ascii="Times New Roman" w:eastAsia="Times New Roman" w:hAnsi="Times New Roman" w:cs="Times New Roman"/>
          <w:color w:val="000000"/>
          <w:lang w:eastAsia="en-GB"/>
        </w:rPr>
        <w:t xml:space="preserve">2016 Global Strategy, the 2021 </w:t>
      </w:r>
      <w:r w:rsidR="00621A44" w:rsidRPr="001F2D2D">
        <w:rPr>
          <w:rFonts w:ascii="Times New Roman" w:eastAsia="Times New Roman" w:hAnsi="Times New Roman" w:cs="Times New Roman"/>
          <w:color w:val="000000"/>
          <w:lang w:eastAsia="en-GB"/>
        </w:rPr>
        <w:t xml:space="preserve">Trade </w:t>
      </w:r>
      <w:r w:rsidR="00576786" w:rsidRPr="001F2D2D">
        <w:rPr>
          <w:rFonts w:ascii="Times New Roman" w:eastAsia="Times New Roman" w:hAnsi="Times New Roman" w:cs="Times New Roman"/>
          <w:color w:val="000000"/>
          <w:lang w:eastAsia="en-GB"/>
        </w:rPr>
        <w:t>Policy Review (An Open, Sustainable and Assertive Trade Policy)</w:t>
      </w:r>
      <w:r w:rsidR="00565E59">
        <w:rPr>
          <w:rFonts w:ascii="Times New Roman" w:eastAsia="Times New Roman" w:hAnsi="Times New Roman" w:cs="Times New Roman"/>
          <w:color w:val="000000"/>
          <w:lang w:eastAsia="en-GB"/>
        </w:rPr>
        <w:t>, the</w:t>
      </w:r>
      <w:r w:rsidR="00565E59" w:rsidRPr="00565E59">
        <w:rPr>
          <w:rFonts w:ascii="Times New Roman" w:eastAsia="Times New Roman" w:hAnsi="Times New Roman" w:cs="Times New Roman"/>
          <w:color w:val="000000"/>
          <w:lang w:eastAsia="en-GB"/>
        </w:rPr>
        <w:t xml:space="preserve"> 2021 Strategic Foresight Report </w:t>
      </w:r>
      <w:r w:rsidR="00565E59">
        <w:rPr>
          <w:rFonts w:ascii="Times New Roman" w:eastAsia="Times New Roman" w:hAnsi="Times New Roman" w:cs="Times New Roman"/>
          <w:color w:val="000000"/>
          <w:lang w:eastAsia="en-GB"/>
        </w:rPr>
        <w:t>‘</w:t>
      </w:r>
      <w:r w:rsidR="00565E59" w:rsidRPr="00565E59">
        <w:rPr>
          <w:rFonts w:ascii="Times New Roman" w:eastAsia="Times New Roman" w:hAnsi="Times New Roman" w:cs="Times New Roman"/>
          <w:color w:val="000000"/>
          <w:lang w:eastAsia="en-GB"/>
        </w:rPr>
        <w:t>The EU’s capacity and</w:t>
      </w:r>
      <w:r w:rsidR="00565E59">
        <w:rPr>
          <w:rFonts w:ascii="Times New Roman" w:eastAsia="Times New Roman" w:hAnsi="Times New Roman" w:cs="Times New Roman"/>
          <w:color w:val="000000"/>
          <w:lang w:eastAsia="en-GB"/>
        </w:rPr>
        <w:t xml:space="preserve"> </w:t>
      </w:r>
      <w:r w:rsidR="00565E59" w:rsidRPr="00565E59">
        <w:rPr>
          <w:rFonts w:ascii="Times New Roman" w:eastAsia="Times New Roman" w:hAnsi="Times New Roman" w:cs="Times New Roman"/>
          <w:color w:val="000000"/>
          <w:lang w:eastAsia="en-GB"/>
        </w:rPr>
        <w:t>freedom to act</w:t>
      </w:r>
      <w:r w:rsidR="00565E59">
        <w:rPr>
          <w:rFonts w:ascii="Times New Roman" w:eastAsia="Times New Roman" w:hAnsi="Times New Roman" w:cs="Times New Roman"/>
          <w:color w:val="000000"/>
          <w:lang w:eastAsia="en-GB"/>
        </w:rPr>
        <w:t>’,</w:t>
      </w:r>
      <w:r w:rsidR="00621A44" w:rsidRPr="001F2D2D">
        <w:rPr>
          <w:rFonts w:ascii="Times New Roman" w:eastAsia="Times New Roman" w:hAnsi="Times New Roman" w:cs="Times New Roman"/>
          <w:color w:val="000000"/>
          <w:lang w:eastAsia="en-GB"/>
        </w:rPr>
        <w:t xml:space="preserve"> and the </w:t>
      </w:r>
      <w:r w:rsidR="00B53CC1">
        <w:rPr>
          <w:rFonts w:ascii="Times New Roman" w:eastAsia="Times New Roman" w:hAnsi="Times New Roman" w:cs="Times New Roman"/>
          <w:color w:val="000000"/>
          <w:lang w:eastAsia="en-GB"/>
        </w:rPr>
        <w:t xml:space="preserve">2022 </w:t>
      </w:r>
      <w:r w:rsidR="00621A44" w:rsidRPr="001F2D2D">
        <w:rPr>
          <w:rFonts w:ascii="Times New Roman" w:eastAsia="Times New Roman" w:hAnsi="Times New Roman" w:cs="Times New Roman"/>
          <w:color w:val="000000"/>
          <w:lang w:eastAsia="en-GB"/>
        </w:rPr>
        <w:t xml:space="preserve">Strategic </w:t>
      </w:r>
      <w:r w:rsidR="00576786" w:rsidRPr="001F2D2D">
        <w:rPr>
          <w:rFonts w:ascii="Times New Roman" w:eastAsia="Times New Roman" w:hAnsi="Times New Roman" w:cs="Times New Roman"/>
          <w:color w:val="000000"/>
          <w:lang w:eastAsia="en-GB"/>
        </w:rPr>
        <w:t>C</w:t>
      </w:r>
      <w:r w:rsidR="00621A44" w:rsidRPr="001F2D2D">
        <w:rPr>
          <w:rFonts w:ascii="Times New Roman" w:eastAsia="Times New Roman" w:hAnsi="Times New Roman" w:cs="Times New Roman"/>
          <w:color w:val="000000"/>
          <w:lang w:eastAsia="en-GB"/>
        </w:rPr>
        <w:t>ompass</w:t>
      </w:r>
      <w:r w:rsidR="006A07FC">
        <w:rPr>
          <w:rFonts w:ascii="Times New Roman" w:eastAsia="Times New Roman" w:hAnsi="Times New Roman" w:cs="Times New Roman"/>
          <w:color w:val="000000"/>
          <w:lang w:eastAsia="en-GB"/>
        </w:rPr>
        <w:t xml:space="preserve">, albeit its meaning remains undefinable. </w:t>
      </w:r>
    </w:p>
    <w:p w14:paraId="45F787F0" w14:textId="1D505BA5" w:rsidR="00E83D03" w:rsidRPr="001F2D2D" w:rsidRDefault="00E83D03" w:rsidP="001F2D2D">
      <w:pPr>
        <w:spacing w:line="276" w:lineRule="auto"/>
        <w:jc w:val="both"/>
        <w:rPr>
          <w:rFonts w:ascii="Times New Roman" w:hAnsi="Times New Roman" w:cs="Times New Roman"/>
          <w:lang w:val="en-GB"/>
        </w:rPr>
      </w:pPr>
    </w:p>
    <w:p w14:paraId="5A8F13CD" w14:textId="0147B108" w:rsidR="002A0DE5" w:rsidRDefault="006A07FC" w:rsidP="002A0DE5">
      <w:pPr>
        <w:spacing w:line="276" w:lineRule="auto"/>
        <w:jc w:val="both"/>
        <w:rPr>
          <w:rFonts w:ascii="Times New Roman" w:eastAsia="Times New Roman" w:hAnsi="Times New Roman" w:cs="Times New Roman"/>
          <w:color w:val="000000"/>
          <w:lang w:eastAsia="en-GB"/>
        </w:rPr>
      </w:pPr>
      <w:r w:rsidRPr="006A07FC">
        <w:rPr>
          <w:rFonts w:ascii="Times New Roman" w:hAnsi="Times New Roman" w:cs="Times New Roman"/>
          <w:lang w:val="en-GB"/>
        </w:rPr>
        <w:t>Both the legal principle of autonomy and the notion of strategic autonomy recognise that the EU has certain essential characteristics, that these characteristics ought to be preserved, and that the EU should have the instruments to preserve those characteristics.</w:t>
      </w:r>
      <w:r w:rsidR="00CB479D">
        <w:rPr>
          <w:rFonts w:ascii="Times New Roman" w:hAnsi="Times New Roman" w:cs="Times New Roman"/>
          <w:lang w:val="en-GB"/>
        </w:rPr>
        <w:t xml:space="preserve"> While legal autonomy is presented by the Court as a constitutional feature (that is, ‘a given’), strategic autonomy is </w:t>
      </w:r>
      <w:r w:rsidR="00CB479D">
        <w:rPr>
          <w:rFonts w:ascii="Times New Roman" w:hAnsi="Times New Roman" w:cs="Times New Roman"/>
          <w:lang w:val="en-GB"/>
        </w:rPr>
        <w:lastRenderedPageBreak/>
        <w:t>presented as a policy choice.</w:t>
      </w:r>
      <w:r w:rsidRPr="006A07FC">
        <w:rPr>
          <w:rFonts w:ascii="Times New Roman" w:hAnsi="Times New Roman" w:cs="Times New Roman"/>
          <w:lang w:val="en-GB"/>
        </w:rPr>
        <w:t xml:space="preserve"> </w:t>
      </w:r>
      <w:r>
        <w:rPr>
          <w:rFonts w:ascii="Times New Roman" w:hAnsi="Times New Roman" w:cs="Times New Roman"/>
          <w:lang w:val="en-GB"/>
        </w:rPr>
        <w:t xml:space="preserve">But what is the precise relationship between the two? </w:t>
      </w:r>
      <w:r w:rsidR="0025764E" w:rsidRPr="006A07FC">
        <w:rPr>
          <w:rFonts w:ascii="Times New Roman" w:eastAsia="Times New Roman" w:hAnsi="Times New Roman" w:cs="Times New Roman"/>
          <w:color w:val="000000"/>
          <w:lang w:eastAsia="en-GB"/>
        </w:rPr>
        <w:t>Are</w:t>
      </w:r>
      <w:r w:rsidR="00880BC1" w:rsidRPr="006A07FC">
        <w:rPr>
          <w:rFonts w:ascii="Times New Roman" w:eastAsia="Times New Roman" w:hAnsi="Times New Roman" w:cs="Times New Roman"/>
          <w:color w:val="000000"/>
          <w:lang w:eastAsia="en-GB"/>
        </w:rPr>
        <w:t xml:space="preserve"> the autonomy of EU law and strategic autonomy, in fact, </w:t>
      </w:r>
      <w:r w:rsidR="006724AE" w:rsidRPr="006A07FC">
        <w:rPr>
          <w:rFonts w:ascii="Times New Roman" w:eastAsia="Times New Roman" w:hAnsi="Times New Roman" w:cs="Times New Roman"/>
          <w:color w:val="000000"/>
          <w:lang w:eastAsia="en-GB"/>
        </w:rPr>
        <w:t xml:space="preserve">an expression of </w:t>
      </w:r>
      <w:r w:rsidR="00880BC1" w:rsidRPr="006A07FC">
        <w:rPr>
          <w:rFonts w:ascii="Times New Roman" w:eastAsia="Times New Roman" w:hAnsi="Times New Roman" w:cs="Times New Roman"/>
          <w:color w:val="000000"/>
          <w:lang w:eastAsia="en-GB"/>
        </w:rPr>
        <w:t>the same autonomy</w:t>
      </w:r>
      <w:r w:rsidR="00605F2C" w:rsidRPr="006A07FC">
        <w:rPr>
          <w:rFonts w:ascii="Times New Roman" w:eastAsia="Times New Roman" w:hAnsi="Times New Roman" w:cs="Times New Roman"/>
          <w:color w:val="000000"/>
          <w:lang w:eastAsia="en-GB"/>
        </w:rPr>
        <w:t>?</w:t>
      </w:r>
      <w:r w:rsidR="003A57A7" w:rsidRPr="006A07FC">
        <w:rPr>
          <w:rFonts w:ascii="Times New Roman" w:eastAsia="Times New Roman" w:hAnsi="Times New Roman" w:cs="Times New Roman"/>
          <w:color w:val="000000"/>
          <w:lang w:eastAsia="en-GB"/>
        </w:rPr>
        <w:t xml:space="preserve"> </w:t>
      </w:r>
      <w:r w:rsidR="00605F2C" w:rsidRPr="006A07FC">
        <w:rPr>
          <w:rFonts w:ascii="Times New Roman" w:eastAsia="Times New Roman" w:hAnsi="Times New Roman" w:cs="Times New Roman"/>
          <w:color w:val="000000"/>
          <w:lang w:eastAsia="en-GB"/>
        </w:rPr>
        <w:t>O</w:t>
      </w:r>
      <w:r w:rsidR="003A57A7" w:rsidRPr="006A07FC">
        <w:rPr>
          <w:rFonts w:ascii="Times New Roman" w:eastAsia="Times New Roman" w:hAnsi="Times New Roman" w:cs="Times New Roman"/>
          <w:color w:val="000000"/>
          <w:lang w:eastAsia="en-GB"/>
        </w:rPr>
        <w:t>r is strategic autonomy perhaps a characteristic of the EU protected</w:t>
      </w:r>
      <w:r w:rsidR="00605F2C" w:rsidRPr="006A07FC">
        <w:rPr>
          <w:rFonts w:ascii="Times New Roman" w:eastAsia="Times New Roman" w:hAnsi="Times New Roman" w:cs="Times New Roman"/>
          <w:color w:val="000000"/>
          <w:lang w:eastAsia="en-GB"/>
        </w:rPr>
        <w:t xml:space="preserve">, tolerated, </w:t>
      </w:r>
      <w:r w:rsidR="003A57A7" w:rsidRPr="006A07FC">
        <w:rPr>
          <w:rFonts w:ascii="Times New Roman" w:eastAsia="Times New Roman" w:hAnsi="Times New Roman" w:cs="Times New Roman"/>
          <w:color w:val="000000"/>
          <w:lang w:eastAsia="en-GB"/>
        </w:rPr>
        <w:t>or necessitated by the legal p</w:t>
      </w:r>
      <w:r w:rsidR="003A57A7" w:rsidRPr="001F2D2D">
        <w:rPr>
          <w:rFonts w:ascii="Times New Roman" w:eastAsia="Times New Roman" w:hAnsi="Times New Roman" w:cs="Times New Roman"/>
          <w:color w:val="000000"/>
          <w:lang w:eastAsia="en-GB"/>
        </w:rPr>
        <w:t>rinciple of autonomy</w:t>
      </w:r>
      <w:r w:rsidR="00880BC1" w:rsidRPr="001F2D2D">
        <w:rPr>
          <w:rFonts w:ascii="Times New Roman" w:eastAsia="Times New Roman" w:hAnsi="Times New Roman" w:cs="Times New Roman"/>
          <w:color w:val="000000"/>
          <w:lang w:eastAsia="en-GB"/>
        </w:rPr>
        <w:t xml:space="preserve">? </w:t>
      </w:r>
      <w:r w:rsidR="00251D29">
        <w:rPr>
          <w:rFonts w:ascii="Times New Roman" w:eastAsia="Times New Roman" w:hAnsi="Times New Roman" w:cs="Times New Roman"/>
          <w:color w:val="000000"/>
          <w:lang w:eastAsia="en-GB"/>
        </w:rPr>
        <w:t xml:space="preserve">Or perhaps it is the other way round: does strategic autonomy </w:t>
      </w:r>
      <w:r w:rsidR="00251D29">
        <w:rPr>
          <w:rFonts w:ascii="Times New Roman" w:eastAsia="Times New Roman" w:hAnsi="Times New Roman" w:cs="Times New Roman"/>
          <w:i/>
          <w:iCs/>
          <w:color w:val="000000"/>
          <w:lang w:eastAsia="en-GB"/>
        </w:rPr>
        <w:t xml:space="preserve">permit </w:t>
      </w:r>
      <w:r w:rsidR="00251D29">
        <w:rPr>
          <w:rFonts w:ascii="Times New Roman" w:eastAsia="Times New Roman" w:hAnsi="Times New Roman" w:cs="Times New Roman"/>
          <w:color w:val="000000"/>
          <w:lang w:eastAsia="en-GB"/>
        </w:rPr>
        <w:t xml:space="preserve">(refers to ‘the factual underpinnings of’ </w:t>
      </w:r>
      <w:r w:rsidR="00251D29">
        <w:rPr>
          <w:rFonts w:ascii="Times New Roman" w:eastAsia="Times New Roman" w:hAnsi="Times New Roman" w:cs="Times New Roman"/>
          <w:color w:val="000000"/>
          <w:lang w:eastAsia="en-GB"/>
        </w:rPr>
        <w:fldChar w:fldCharType="begin"/>
      </w:r>
      <w:r w:rsidR="00251D29">
        <w:rPr>
          <w:rFonts w:ascii="Times New Roman" w:eastAsia="Times New Roman" w:hAnsi="Times New Roman" w:cs="Times New Roman"/>
          <w:color w:val="000000"/>
          <w:lang w:eastAsia="en-GB"/>
        </w:rPr>
        <w:instrText xml:space="preserve"> ADDIN ZOTERO_ITEM CSL_CITATION {"citationID":"1LOElfU9","properties":{"formattedCitation":"(\\uc0\\u8216{}Editorial Comments: Keeping Europeanism at Bay? Strategic Autonomy as a Constitutional Problem\\uc0\\u8217{}, 2022, p. 315)","plainCitation":"(‘Editorial Comments: Keeping Europeanism at Bay? Strategic Autonomy as a Constitutional Problem’, 2022, p. 315)","noteIndex":0},"citationItems":[{"id":276,"uris":["http://zotero.org/users/local/JGwB40RD/items/PGWA7SH9"],"itemData":{"id":276,"type":"article-journal","container-title":"Common Market Law Review","ISSN":"0165-0750","note":"publisher-place: Alphen aan den Rijn, The Netherlands\npublisher: Kluwer Law International","page":"313-326","title":"Editorial comments: Keeping Europeanism at bay? Strategic autonomy as a constitutional problem","issued":{"date-parts":[["2022"]]}},"locator":"315"}],"schema":"https://github.com/citation-style-language/schema/raw/master/csl-citation.json"} </w:instrText>
      </w:r>
      <w:r w:rsidR="00251D29">
        <w:rPr>
          <w:rFonts w:ascii="Times New Roman" w:eastAsia="Times New Roman" w:hAnsi="Times New Roman" w:cs="Times New Roman"/>
          <w:color w:val="000000"/>
          <w:lang w:eastAsia="en-GB"/>
        </w:rPr>
        <w:fldChar w:fldCharType="separate"/>
      </w:r>
      <w:r w:rsidR="00251D29" w:rsidRPr="00251D29">
        <w:rPr>
          <w:rFonts w:ascii="Times New Roman" w:hAnsi="Times New Roman" w:cs="Times New Roman"/>
          <w:color w:val="000000"/>
          <w:lang w:val="en-GB"/>
        </w:rPr>
        <w:t>(‘Editorial Comments: Keeping Europeanism at Bay? Strategic Autonomy as a Constitutional Problem’, 2022, p. 315)</w:t>
      </w:r>
      <w:r w:rsidR="00251D29">
        <w:rPr>
          <w:rFonts w:ascii="Times New Roman" w:eastAsia="Times New Roman" w:hAnsi="Times New Roman" w:cs="Times New Roman"/>
          <w:color w:val="000000"/>
          <w:lang w:eastAsia="en-GB"/>
        </w:rPr>
        <w:fldChar w:fldCharType="end"/>
      </w:r>
      <w:r w:rsidR="00251D29">
        <w:rPr>
          <w:rFonts w:ascii="Times New Roman" w:eastAsia="Times New Roman" w:hAnsi="Times New Roman" w:cs="Times New Roman"/>
          <w:color w:val="000000"/>
          <w:lang w:eastAsia="en-GB"/>
        </w:rPr>
        <w:t xml:space="preserve">) the legal principle of autonomy? </w:t>
      </w:r>
      <w:r w:rsidR="003367B3" w:rsidRPr="001F2D2D">
        <w:rPr>
          <w:rFonts w:ascii="Times New Roman" w:eastAsia="Times New Roman" w:hAnsi="Times New Roman" w:cs="Times New Roman"/>
          <w:color w:val="000000"/>
          <w:lang w:eastAsia="en-GB"/>
        </w:rPr>
        <w:t xml:space="preserve">To attempt an answer, </w:t>
      </w:r>
      <w:r w:rsidR="009F5396" w:rsidRPr="001F2D2D">
        <w:rPr>
          <w:rFonts w:ascii="Times New Roman" w:eastAsia="Times New Roman" w:hAnsi="Times New Roman" w:cs="Times New Roman"/>
          <w:color w:val="000000"/>
          <w:lang w:eastAsia="en-GB"/>
        </w:rPr>
        <w:t>this article considers</w:t>
      </w:r>
      <w:r w:rsidR="003367B3" w:rsidRPr="001F2D2D">
        <w:rPr>
          <w:rFonts w:ascii="Times New Roman" w:eastAsia="Times New Roman" w:hAnsi="Times New Roman" w:cs="Times New Roman"/>
          <w:color w:val="000000"/>
          <w:lang w:eastAsia="en-GB"/>
        </w:rPr>
        <w:t xml:space="preserve"> </w:t>
      </w:r>
      <w:r w:rsidR="00A14551" w:rsidRPr="001F2D2D">
        <w:rPr>
          <w:rFonts w:ascii="Times New Roman" w:eastAsia="Times New Roman" w:hAnsi="Times New Roman" w:cs="Times New Roman"/>
          <w:color w:val="000000"/>
          <w:lang w:eastAsia="en-GB"/>
        </w:rPr>
        <w:t xml:space="preserve">three sets of issues: </w:t>
      </w:r>
      <w:r w:rsidR="003367B3" w:rsidRPr="001F2D2D">
        <w:rPr>
          <w:rFonts w:ascii="Times New Roman" w:eastAsia="Times New Roman" w:hAnsi="Times New Roman" w:cs="Times New Roman"/>
          <w:color w:val="000000"/>
          <w:lang w:eastAsia="en-GB"/>
        </w:rPr>
        <w:t>various conceptions of these principles</w:t>
      </w:r>
      <w:r w:rsidR="009F5396" w:rsidRPr="001F2D2D">
        <w:rPr>
          <w:rFonts w:ascii="Times New Roman" w:eastAsia="Times New Roman" w:hAnsi="Times New Roman" w:cs="Times New Roman"/>
          <w:color w:val="000000"/>
          <w:lang w:eastAsia="en-GB"/>
        </w:rPr>
        <w:t>; their limits; and the normative assessment offered in the scholarly literature</w:t>
      </w:r>
      <w:r w:rsidR="003367B3" w:rsidRPr="001F2D2D">
        <w:rPr>
          <w:rFonts w:ascii="Times New Roman" w:eastAsia="Times New Roman" w:hAnsi="Times New Roman" w:cs="Times New Roman"/>
          <w:color w:val="000000"/>
          <w:lang w:eastAsia="en-GB"/>
        </w:rPr>
        <w:t xml:space="preserve">. </w:t>
      </w:r>
      <w:r w:rsidR="002A0DE5" w:rsidRPr="002A0DE5">
        <w:rPr>
          <w:rFonts w:ascii="Times New Roman" w:eastAsia="Times New Roman" w:hAnsi="Times New Roman" w:cs="Times New Roman"/>
          <w:color w:val="000000"/>
          <w:lang w:eastAsia="en-GB"/>
        </w:rPr>
        <w:t xml:space="preserve"> </w:t>
      </w:r>
    </w:p>
    <w:p w14:paraId="64D075C1" w14:textId="77777777" w:rsidR="002A0DE5" w:rsidRDefault="002A0DE5" w:rsidP="002A0DE5">
      <w:pPr>
        <w:spacing w:line="276" w:lineRule="auto"/>
        <w:jc w:val="both"/>
        <w:rPr>
          <w:rFonts w:ascii="Times New Roman" w:eastAsia="Times New Roman" w:hAnsi="Times New Roman" w:cs="Times New Roman"/>
          <w:color w:val="000000"/>
          <w:lang w:eastAsia="en-GB"/>
        </w:rPr>
      </w:pPr>
    </w:p>
    <w:p w14:paraId="5AFDE525" w14:textId="7CC30DC0" w:rsidR="009F5396" w:rsidRPr="001F2D2D" w:rsidRDefault="002A0DE5" w:rsidP="001F2D2D">
      <w:pPr>
        <w:spacing w:line="276"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This article offers</w:t>
      </w:r>
      <w:r w:rsidRPr="001F2D2D">
        <w:rPr>
          <w:rFonts w:ascii="Times New Roman" w:eastAsia="Times New Roman" w:hAnsi="Times New Roman" w:cs="Times New Roman"/>
          <w:color w:val="000000"/>
          <w:lang w:eastAsia="en-GB"/>
        </w:rPr>
        <w:t xml:space="preserve"> a synthetic view of the conceptions of autonomy as they are articulated in EU law (section 2) and in EU strategic documents respectively (section 3) </w:t>
      </w:r>
      <w:r w:rsidRPr="002A0DE5">
        <w:rPr>
          <w:rFonts w:ascii="Times New Roman" w:eastAsia="Times New Roman" w:hAnsi="Times New Roman" w:cs="Times New Roman"/>
          <w:color w:val="000000" w:themeColor="text1"/>
          <w:lang w:eastAsia="en-GB"/>
        </w:rPr>
        <w:t xml:space="preserve">(and on which the other papers in this panel zoom in). </w:t>
      </w:r>
    </w:p>
    <w:p w14:paraId="6CD19B6F" w14:textId="77777777" w:rsidR="009F5396" w:rsidRPr="001F2D2D" w:rsidRDefault="009F5396" w:rsidP="001F2D2D">
      <w:pPr>
        <w:spacing w:line="276" w:lineRule="auto"/>
        <w:jc w:val="both"/>
        <w:rPr>
          <w:rFonts w:ascii="Times New Roman" w:eastAsia="Times New Roman" w:hAnsi="Times New Roman" w:cs="Times New Roman"/>
          <w:color w:val="000000"/>
          <w:lang w:eastAsia="en-GB"/>
        </w:rPr>
      </w:pPr>
    </w:p>
    <w:p w14:paraId="381FBD86" w14:textId="25B32115" w:rsidR="00250F2B" w:rsidRPr="00250F2B" w:rsidRDefault="002A0DE5" w:rsidP="00250F2B">
      <w:pPr>
        <w:jc w:val="both"/>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It is necessary to start</w:t>
      </w:r>
      <w:r w:rsidR="009F5396" w:rsidRPr="001F2D2D">
        <w:rPr>
          <w:rFonts w:ascii="Times New Roman" w:eastAsia="Times New Roman" w:hAnsi="Times New Roman" w:cs="Times New Roman"/>
          <w:color w:val="000000"/>
          <w:lang w:eastAsia="en-GB"/>
        </w:rPr>
        <w:t xml:space="preserve"> with ‘conceptions’ </w:t>
      </w:r>
      <w:r w:rsidR="003367B3" w:rsidRPr="001F2D2D">
        <w:rPr>
          <w:rFonts w:ascii="Times New Roman" w:eastAsia="Times New Roman" w:hAnsi="Times New Roman" w:cs="Times New Roman"/>
          <w:color w:val="000000"/>
          <w:lang w:eastAsia="en-GB"/>
        </w:rPr>
        <w:t>because any principle operates at a level of abstraction, and so does autonomy.</w:t>
      </w:r>
      <w:r w:rsidR="003367B3" w:rsidRPr="001F2D2D">
        <w:rPr>
          <w:rStyle w:val="FootnoteReference"/>
          <w:rFonts w:ascii="Times New Roman" w:eastAsia="Times New Roman" w:hAnsi="Times New Roman" w:cs="Times New Roman"/>
          <w:color w:val="000000"/>
          <w:lang w:eastAsia="en-GB"/>
        </w:rPr>
        <w:footnoteReference w:id="2"/>
      </w:r>
      <w:r w:rsidR="003367B3" w:rsidRPr="001F2D2D">
        <w:rPr>
          <w:rFonts w:ascii="Times New Roman" w:eastAsia="Times New Roman" w:hAnsi="Times New Roman" w:cs="Times New Roman"/>
          <w:color w:val="000000"/>
          <w:lang w:eastAsia="en-GB"/>
        </w:rPr>
        <w:t xml:space="preserve"> It does not refer </w:t>
      </w:r>
      <w:r w:rsidR="00F52571">
        <w:rPr>
          <w:rFonts w:ascii="Times New Roman" w:eastAsia="Times New Roman" w:hAnsi="Times New Roman" w:cs="Times New Roman"/>
          <w:color w:val="000000"/>
          <w:lang w:eastAsia="en-GB"/>
        </w:rPr>
        <w:t>to</w:t>
      </w:r>
      <w:r w:rsidR="003367B3" w:rsidRPr="001F2D2D">
        <w:rPr>
          <w:rFonts w:ascii="Times New Roman" w:eastAsia="Times New Roman" w:hAnsi="Times New Roman" w:cs="Times New Roman"/>
          <w:color w:val="000000"/>
          <w:lang w:eastAsia="en-GB"/>
        </w:rPr>
        <w:t xml:space="preserve"> a ‘fact of the matter’ which may be true or false, but to a concept. The abstract nature of a principle is a characteristic which makes it inevitable that there exist different conceptions thereof. </w:t>
      </w:r>
      <w:r w:rsidR="00F52571">
        <w:rPr>
          <w:rFonts w:ascii="Times New Roman" w:eastAsia="Times New Roman" w:hAnsi="Times New Roman" w:cs="Times New Roman"/>
          <w:color w:val="000000"/>
          <w:lang w:eastAsia="en-GB"/>
        </w:rPr>
        <w:t>Sometimes, especially in EU documents, the ambiguity is ‘constructive’ and deliberate, precisely in order to allow interpretation of the concept to be shaped by political priorities as they evolve</w:t>
      </w:r>
      <w:r w:rsidR="00250F2B">
        <w:rPr>
          <w:rFonts w:ascii="Times New Roman" w:eastAsia="Times New Roman" w:hAnsi="Times New Roman" w:cs="Times New Roman"/>
          <w:color w:val="000000"/>
          <w:lang w:eastAsia="en-GB"/>
        </w:rPr>
        <w:t>: ‘</w:t>
      </w:r>
      <w:r w:rsidR="00250F2B" w:rsidRPr="00250F2B">
        <w:rPr>
          <w:rFonts w:ascii="Times New Roman" w:eastAsia="Times New Roman" w:hAnsi="Times New Roman" w:cs="Times New Roman"/>
          <w:lang w:eastAsia="en-GB"/>
        </w:rPr>
        <w:t>strategic autonomy does not owe its popularity to its explanatory power as a theoretical concept, but to its practical versatility as a slogan that unites a panoply of instruments with which the EU tries to cope with the vanishing reliability of its connections and of its place in the world to its best advantage</w:t>
      </w:r>
      <w:r w:rsidR="00250F2B">
        <w:rPr>
          <w:rFonts w:ascii="Times New Roman" w:eastAsia="Times New Roman" w:hAnsi="Times New Roman" w:cs="Times New Roman"/>
          <w:lang w:eastAsia="en-GB"/>
        </w:rPr>
        <w:t xml:space="preserve">’ </w:t>
      </w:r>
      <w:r w:rsidR="00250F2B">
        <w:rPr>
          <w:rFonts w:ascii="Times New Roman" w:eastAsia="Times New Roman" w:hAnsi="Times New Roman" w:cs="Times New Roman"/>
          <w:lang w:eastAsia="en-GB"/>
        </w:rPr>
        <w:fldChar w:fldCharType="begin"/>
      </w:r>
      <w:r w:rsidR="00250F2B">
        <w:rPr>
          <w:rFonts w:ascii="Times New Roman" w:eastAsia="Times New Roman" w:hAnsi="Times New Roman" w:cs="Times New Roman"/>
          <w:lang w:eastAsia="en-GB"/>
        </w:rPr>
        <w:instrText xml:space="preserve"> ADDIN ZOTERO_ITEM CSL_CITATION {"citationID":"VWQPzedh","properties":{"formattedCitation":"(\\uc0\\u8216{}Editorial Comments: Keeping Europeanism at Bay? Strategic Autonomy as a Constitutional Problem\\uc0\\u8217{}, 2022, p. 315)","plainCitation":"(‘Editorial Comments: Keeping Europeanism at Bay? Strategic Autonomy as a Constitutional Problem’, 2022, p. 315)","noteIndex":0},"citationItems":[{"id":276,"uris":["http://zotero.org/users/local/JGwB40RD/items/PGWA7SH9"],"itemData":{"id":276,"type":"article-journal","container-title":"Common Market Law Review","ISSN":"0165-0750","note":"publisher-place: Alphen aan den Rijn, The Netherlands\npublisher: Kluwer Law International","page":"313-326","title":"Editorial comments: Keeping Europeanism at bay? Strategic autonomy as a constitutional problem","issued":{"date-parts":[["2022"]]}},"locator":"315"}],"schema":"https://github.com/citation-style-language/schema/raw/master/csl-citation.json"} </w:instrText>
      </w:r>
      <w:r w:rsidR="00250F2B">
        <w:rPr>
          <w:rFonts w:ascii="Times New Roman" w:eastAsia="Times New Roman" w:hAnsi="Times New Roman" w:cs="Times New Roman"/>
          <w:lang w:eastAsia="en-GB"/>
        </w:rPr>
        <w:fldChar w:fldCharType="separate"/>
      </w:r>
      <w:r w:rsidR="00250F2B" w:rsidRPr="00250F2B">
        <w:rPr>
          <w:rFonts w:ascii="Times New Roman" w:hAnsi="Times New Roman" w:cs="Times New Roman"/>
          <w:lang w:val="en-GB"/>
        </w:rPr>
        <w:t>(‘Editorial Comments: Keeping Europeanism at Bay? Strategic Autonomy as a Constitutional Problem’, 2022, p. 315)</w:t>
      </w:r>
      <w:r w:rsidR="00250F2B">
        <w:rPr>
          <w:rFonts w:ascii="Times New Roman" w:eastAsia="Times New Roman" w:hAnsi="Times New Roman" w:cs="Times New Roman"/>
          <w:lang w:eastAsia="en-GB"/>
        </w:rPr>
        <w:fldChar w:fldCharType="end"/>
      </w:r>
      <w:r w:rsidR="00250F2B">
        <w:rPr>
          <w:rFonts w:ascii="Times New Roman" w:eastAsia="Times New Roman" w:hAnsi="Times New Roman" w:cs="Times New Roman"/>
          <w:lang w:eastAsia="en-GB"/>
        </w:rPr>
        <w:t>.</w:t>
      </w:r>
    </w:p>
    <w:p w14:paraId="2ED53956" w14:textId="6408DD39" w:rsidR="003367B3" w:rsidRPr="001F2D2D" w:rsidRDefault="00F52571" w:rsidP="001F2D2D">
      <w:pPr>
        <w:spacing w:line="276"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p>
    <w:p w14:paraId="21760916" w14:textId="77CA261F" w:rsidR="009F5396" w:rsidRPr="001F2D2D" w:rsidRDefault="007775E3" w:rsidP="001F2D2D">
      <w:pPr>
        <w:spacing w:line="276" w:lineRule="auto"/>
        <w:jc w:val="both"/>
        <w:rPr>
          <w:rFonts w:ascii="Times New Roman" w:eastAsia="Times New Roman" w:hAnsi="Times New Roman" w:cs="Times New Roman"/>
          <w:color w:val="000000"/>
          <w:lang w:eastAsia="en-GB"/>
        </w:rPr>
      </w:pPr>
      <w:r w:rsidRPr="001F2D2D">
        <w:rPr>
          <w:rFonts w:ascii="Times New Roman" w:eastAsia="Times New Roman" w:hAnsi="Times New Roman" w:cs="Times New Roman"/>
          <w:color w:val="000000"/>
          <w:lang w:eastAsia="en-GB"/>
        </w:rPr>
        <w:t xml:space="preserve">Both </w:t>
      </w:r>
      <w:r w:rsidR="003367B3" w:rsidRPr="001F2D2D">
        <w:rPr>
          <w:rFonts w:ascii="Times New Roman" w:eastAsia="Times New Roman" w:hAnsi="Times New Roman" w:cs="Times New Roman"/>
          <w:color w:val="000000"/>
          <w:lang w:eastAsia="en-GB"/>
        </w:rPr>
        <w:t xml:space="preserve">legal and strategic autonomy </w:t>
      </w:r>
      <w:r w:rsidRPr="001F2D2D">
        <w:rPr>
          <w:rFonts w:ascii="Times New Roman" w:eastAsia="Times New Roman" w:hAnsi="Times New Roman" w:cs="Times New Roman"/>
          <w:color w:val="000000"/>
          <w:lang w:eastAsia="en-GB"/>
        </w:rPr>
        <w:t>can be understood i</w:t>
      </w:r>
      <w:r w:rsidR="002A0DE5">
        <w:rPr>
          <w:rFonts w:ascii="Times New Roman" w:eastAsia="Times New Roman" w:hAnsi="Times New Roman" w:cs="Times New Roman"/>
          <w:color w:val="000000"/>
          <w:lang w:eastAsia="en-GB"/>
        </w:rPr>
        <w:t>n</w:t>
      </w:r>
      <w:r w:rsidRPr="001F2D2D">
        <w:rPr>
          <w:rFonts w:ascii="Times New Roman" w:eastAsia="Times New Roman" w:hAnsi="Times New Roman" w:cs="Times New Roman"/>
          <w:color w:val="000000"/>
          <w:lang w:eastAsia="en-GB"/>
        </w:rPr>
        <w:t xml:space="preserve"> a purely negative fashion (autonomy as negative freedom: what EU law is not; independence from external dominion), and in a positive fashion, as enabler of action (autonomy as positive freedom</w:t>
      </w:r>
      <w:r w:rsidR="002A0DE5">
        <w:rPr>
          <w:rFonts w:ascii="Times New Roman" w:eastAsia="Times New Roman" w:hAnsi="Times New Roman" w:cs="Times New Roman"/>
          <w:color w:val="000000"/>
          <w:lang w:eastAsia="en-GB"/>
        </w:rPr>
        <w:t>: what EU law is; what the EU can do</w:t>
      </w:r>
      <w:r w:rsidR="00DF451E">
        <w:rPr>
          <w:rFonts w:ascii="Times New Roman" w:eastAsia="Times New Roman" w:hAnsi="Times New Roman" w:cs="Times New Roman"/>
          <w:color w:val="000000"/>
          <w:lang w:eastAsia="en-GB"/>
        </w:rPr>
        <w:t xml:space="preserve"> in the international order</w:t>
      </w:r>
      <w:r w:rsidRPr="001F2D2D">
        <w:rPr>
          <w:rFonts w:ascii="Times New Roman" w:eastAsia="Times New Roman" w:hAnsi="Times New Roman" w:cs="Times New Roman"/>
          <w:color w:val="000000"/>
          <w:lang w:eastAsia="en-GB"/>
        </w:rPr>
        <w:t xml:space="preserve">) and, within this conception of autonomy as enabler of action, the article distinguishes a procedural and a substantive dimension. </w:t>
      </w:r>
      <w:r w:rsidR="002A0DE5">
        <w:rPr>
          <w:rFonts w:ascii="Times New Roman" w:eastAsia="Times New Roman" w:hAnsi="Times New Roman" w:cs="Times New Roman"/>
          <w:color w:val="000000"/>
          <w:lang w:eastAsia="en-GB"/>
        </w:rPr>
        <w:t xml:space="preserve">Procedurally, autonomy identifies conditions enabling action. </w:t>
      </w:r>
      <w:r w:rsidR="0092712F" w:rsidRPr="001F2D2D">
        <w:rPr>
          <w:rFonts w:ascii="Times New Roman" w:eastAsia="Times New Roman" w:hAnsi="Times New Roman" w:cs="Times New Roman"/>
          <w:color w:val="000000"/>
          <w:lang w:eastAsia="en-GB"/>
        </w:rPr>
        <w:t>In their substantive dimension, one may define autonomy as conditional openness</w:t>
      </w:r>
      <w:r w:rsidR="001C0740" w:rsidRPr="001F2D2D">
        <w:rPr>
          <w:rFonts w:ascii="Times New Roman" w:eastAsia="Times New Roman" w:hAnsi="Times New Roman" w:cs="Times New Roman"/>
          <w:color w:val="000000"/>
          <w:lang w:eastAsia="en-GB"/>
        </w:rPr>
        <w:t>: a principle of behaviour allowing the other systems to interact with, and affect, the EU, provided that certain core characteristics of the EU are not forfeited</w:t>
      </w:r>
      <w:r w:rsidR="0092712F" w:rsidRPr="001F2D2D">
        <w:rPr>
          <w:rFonts w:ascii="Times New Roman" w:eastAsia="Times New Roman" w:hAnsi="Times New Roman" w:cs="Times New Roman"/>
          <w:color w:val="000000"/>
          <w:lang w:eastAsia="en-GB"/>
        </w:rPr>
        <w:t xml:space="preserve">. </w:t>
      </w:r>
      <w:r w:rsidR="00966236">
        <w:rPr>
          <w:rFonts w:ascii="Times New Roman" w:eastAsia="Times New Roman" w:hAnsi="Times New Roman" w:cs="Times New Roman"/>
          <w:color w:val="000000"/>
          <w:lang w:eastAsia="en-GB"/>
        </w:rPr>
        <w:t xml:space="preserve">This article contends that </w:t>
      </w:r>
      <w:r w:rsidR="00966236" w:rsidRPr="00966236">
        <w:rPr>
          <w:rFonts w:ascii="Times New Roman" w:eastAsia="Times New Roman" w:hAnsi="Times New Roman" w:cs="Times New Roman"/>
          <w:color w:val="000000"/>
          <w:lang w:eastAsia="en-GB"/>
        </w:rPr>
        <w:t xml:space="preserve">that autonomy protects both formal characteristics </w:t>
      </w:r>
      <w:r w:rsidR="00966236">
        <w:rPr>
          <w:rFonts w:ascii="Times New Roman" w:eastAsia="Times New Roman" w:hAnsi="Times New Roman" w:cs="Times New Roman"/>
          <w:color w:val="000000"/>
          <w:lang w:eastAsia="en-GB"/>
        </w:rPr>
        <w:t xml:space="preserve">of the EU legal system </w:t>
      </w:r>
      <w:r w:rsidR="00966236" w:rsidRPr="00966236">
        <w:rPr>
          <w:rFonts w:ascii="Times New Roman" w:eastAsia="Times New Roman" w:hAnsi="Times New Roman" w:cs="Times New Roman"/>
          <w:color w:val="000000"/>
          <w:lang w:eastAsia="en-GB"/>
        </w:rPr>
        <w:t>and substantive choices of the EU legislature</w:t>
      </w:r>
      <w:r w:rsidR="00966236">
        <w:rPr>
          <w:rFonts w:ascii="Times New Roman" w:eastAsia="Times New Roman" w:hAnsi="Times New Roman" w:cs="Times New Roman"/>
          <w:color w:val="000000"/>
          <w:lang w:eastAsia="en-GB"/>
        </w:rPr>
        <w:t xml:space="preserve">. </w:t>
      </w:r>
    </w:p>
    <w:p w14:paraId="740E7F40" w14:textId="77777777" w:rsidR="009F5396" w:rsidRPr="001F2D2D" w:rsidRDefault="009F5396" w:rsidP="001F2D2D">
      <w:pPr>
        <w:spacing w:line="276" w:lineRule="auto"/>
        <w:jc w:val="both"/>
        <w:rPr>
          <w:rFonts w:ascii="Times New Roman" w:eastAsia="Times New Roman" w:hAnsi="Times New Roman" w:cs="Times New Roman"/>
          <w:color w:val="000000"/>
          <w:lang w:eastAsia="en-GB"/>
        </w:rPr>
      </w:pPr>
    </w:p>
    <w:p w14:paraId="0C13C106" w14:textId="6AD72615" w:rsidR="008465A5" w:rsidRPr="001F2D2D" w:rsidRDefault="009F5396" w:rsidP="001F2D2D">
      <w:pPr>
        <w:spacing w:line="276" w:lineRule="auto"/>
        <w:jc w:val="both"/>
        <w:rPr>
          <w:rFonts w:ascii="Times New Roman" w:eastAsia="Times New Roman" w:hAnsi="Times New Roman" w:cs="Times New Roman"/>
          <w:color w:val="000000"/>
          <w:lang w:eastAsia="en-GB"/>
        </w:rPr>
      </w:pPr>
      <w:r w:rsidRPr="001F2D2D">
        <w:rPr>
          <w:rFonts w:ascii="Times New Roman" w:eastAsia="Times New Roman" w:hAnsi="Times New Roman" w:cs="Times New Roman"/>
          <w:color w:val="000000"/>
          <w:lang w:eastAsia="en-GB"/>
        </w:rPr>
        <w:t xml:space="preserve">The article then moves </w:t>
      </w:r>
      <w:r w:rsidR="002A0DE5">
        <w:rPr>
          <w:rFonts w:ascii="Times New Roman" w:eastAsia="Times New Roman" w:hAnsi="Times New Roman" w:cs="Times New Roman"/>
          <w:color w:val="000000"/>
          <w:lang w:eastAsia="en-GB"/>
        </w:rPr>
        <w:t xml:space="preserve">on </w:t>
      </w:r>
      <w:r w:rsidRPr="001F2D2D">
        <w:rPr>
          <w:rFonts w:ascii="Times New Roman" w:eastAsia="Times New Roman" w:hAnsi="Times New Roman" w:cs="Times New Roman"/>
          <w:color w:val="000000"/>
          <w:lang w:eastAsia="en-GB"/>
        </w:rPr>
        <w:t xml:space="preserve">to consider conceptual limits of </w:t>
      </w:r>
      <w:r w:rsidR="002A0DE5">
        <w:rPr>
          <w:rFonts w:ascii="Times New Roman" w:eastAsia="Times New Roman" w:hAnsi="Times New Roman" w:cs="Times New Roman"/>
          <w:color w:val="000000"/>
          <w:lang w:eastAsia="en-GB"/>
        </w:rPr>
        <w:t xml:space="preserve">(legal or strategic) </w:t>
      </w:r>
      <w:r w:rsidRPr="001F2D2D">
        <w:rPr>
          <w:rFonts w:ascii="Times New Roman" w:eastAsia="Times New Roman" w:hAnsi="Times New Roman" w:cs="Times New Roman"/>
          <w:color w:val="000000"/>
          <w:lang w:eastAsia="en-GB"/>
        </w:rPr>
        <w:t xml:space="preserve">autonomy as providing substantive guidance into the EU’s policy choices (section 4). </w:t>
      </w:r>
      <w:r w:rsidR="001C0740" w:rsidRPr="001F2D2D">
        <w:rPr>
          <w:rFonts w:ascii="Times New Roman" w:eastAsia="Times New Roman" w:hAnsi="Times New Roman" w:cs="Times New Roman"/>
          <w:color w:val="000000"/>
          <w:lang w:eastAsia="en-GB"/>
        </w:rPr>
        <w:t xml:space="preserve">Even if </w:t>
      </w:r>
      <w:r w:rsidRPr="001F2D2D">
        <w:rPr>
          <w:rFonts w:ascii="Times New Roman" w:eastAsia="Times New Roman" w:hAnsi="Times New Roman" w:cs="Times New Roman"/>
          <w:color w:val="000000"/>
          <w:lang w:eastAsia="en-GB"/>
        </w:rPr>
        <w:t>an</w:t>
      </w:r>
      <w:r w:rsidR="001C0740" w:rsidRPr="001F2D2D">
        <w:rPr>
          <w:rFonts w:ascii="Times New Roman" w:eastAsia="Times New Roman" w:hAnsi="Times New Roman" w:cs="Times New Roman"/>
          <w:color w:val="000000"/>
          <w:lang w:eastAsia="en-GB"/>
        </w:rPr>
        <w:t xml:space="preserve"> understanding of autonomy as conditional openness is correct, it does not solve </w:t>
      </w:r>
      <w:r w:rsidR="002A0DE5">
        <w:rPr>
          <w:rFonts w:ascii="Times New Roman" w:eastAsia="Times New Roman" w:hAnsi="Times New Roman" w:cs="Times New Roman"/>
          <w:color w:val="000000"/>
          <w:lang w:eastAsia="en-GB"/>
        </w:rPr>
        <w:t>the issue</w:t>
      </w:r>
      <w:r w:rsidR="005D04B3" w:rsidRPr="001F2D2D">
        <w:rPr>
          <w:rFonts w:ascii="Times New Roman" w:eastAsia="Times New Roman" w:hAnsi="Times New Roman" w:cs="Times New Roman"/>
          <w:color w:val="000000"/>
          <w:lang w:eastAsia="en-GB"/>
        </w:rPr>
        <w:t xml:space="preserve"> that </w:t>
      </w:r>
      <w:r w:rsidR="000A4E80">
        <w:rPr>
          <w:rFonts w:ascii="Times New Roman" w:eastAsia="Times New Roman" w:hAnsi="Times New Roman" w:cs="Times New Roman"/>
          <w:color w:val="000000"/>
          <w:lang w:eastAsia="en-GB"/>
        </w:rPr>
        <w:t xml:space="preserve">it does not </w:t>
      </w:r>
      <w:r w:rsidR="005D04B3" w:rsidRPr="001F2D2D">
        <w:rPr>
          <w:rFonts w:ascii="Times New Roman" w:eastAsia="Times New Roman" w:hAnsi="Times New Roman" w:cs="Times New Roman"/>
          <w:color w:val="000000"/>
          <w:lang w:eastAsia="en-GB"/>
        </w:rPr>
        <w:t>determines</w:t>
      </w:r>
      <w:r w:rsidR="003A57A7" w:rsidRPr="001F2D2D">
        <w:rPr>
          <w:rFonts w:ascii="Times New Roman" w:eastAsia="Times New Roman" w:hAnsi="Times New Roman" w:cs="Times New Roman"/>
          <w:color w:val="000000"/>
          <w:lang w:eastAsia="en-GB"/>
        </w:rPr>
        <w:t xml:space="preserve"> how much </w:t>
      </w:r>
      <w:r w:rsidR="005D04B3" w:rsidRPr="001F2D2D">
        <w:rPr>
          <w:rFonts w:ascii="Times New Roman" w:eastAsia="Times New Roman" w:hAnsi="Times New Roman" w:cs="Times New Roman"/>
          <w:color w:val="000000"/>
          <w:lang w:eastAsia="en-GB"/>
        </w:rPr>
        <w:t>the EU should</w:t>
      </w:r>
      <w:r w:rsidR="003A57A7" w:rsidRPr="001F2D2D">
        <w:rPr>
          <w:rFonts w:ascii="Times New Roman" w:eastAsia="Times New Roman" w:hAnsi="Times New Roman" w:cs="Times New Roman"/>
          <w:color w:val="000000"/>
          <w:lang w:eastAsia="en-GB"/>
        </w:rPr>
        <w:t xml:space="preserve"> protect public interests, </w:t>
      </w:r>
      <w:r w:rsidR="00F36863">
        <w:rPr>
          <w:rFonts w:ascii="Times New Roman" w:eastAsia="Times New Roman" w:hAnsi="Times New Roman" w:cs="Times New Roman"/>
          <w:color w:val="000000"/>
          <w:lang w:eastAsia="en-GB"/>
        </w:rPr>
        <w:t>or, in other words</w:t>
      </w:r>
      <w:r w:rsidR="003A57A7" w:rsidRPr="001F2D2D">
        <w:rPr>
          <w:rFonts w:ascii="Times New Roman" w:eastAsia="Times New Roman" w:hAnsi="Times New Roman" w:cs="Times New Roman"/>
          <w:color w:val="000000"/>
          <w:lang w:eastAsia="en-GB"/>
        </w:rPr>
        <w:t xml:space="preserve">, </w:t>
      </w:r>
      <w:r w:rsidR="000A4E80" w:rsidRPr="001F2D2D">
        <w:rPr>
          <w:rFonts w:ascii="Times New Roman" w:eastAsia="Times New Roman" w:hAnsi="Times New Roman" w:cs="Times New Roman"/>
          <w:color w:val="000000"/>
          <w:lang w:eastAsia="en-GB"/>
        </w:rPr>
        <w:t xml:space="preserve">not even a substantive conception </w:t>
      </w:r>
      <w:r w:rsidR="000A4E80">
        <w:rPr>
          <w:rFonts w:ascii="Times New Roman" w:eastAsia="Times New Roman" w:hAnsi="Times New Roman" w:cs="Times New Roman"/>
          <w:color w:val="000000"/>
          <w:lang w:eastAsia="en-GB"/>
        </w:rPr>
        <w:t xml:space="preserve">of autonomy gives concrete guidance as to </w:t>
      </w:r>
      <w:r w:rsidR="003A57A7" w:rsidRPr="001F2D2D">
        <w:rPr>
          <w:rFonts w:ascii="Times New Roman" w:eastAsia="Times New Roman" w:hAnsi="Times New Roman" w:cs="Times New Roman"/>
          <w:color w:val="000000"/>
          <w:lang w:eastAsia="en-GB"/>
        </w:rPr>
        <w:t xml:space="preserve">how </w:t>
      </w:r>
      <w:r w:rsidR="000A4E80">
        <w:rPr>
          <w:rFonts w:ascii="Times New Roman" w:eastAsia="Times New Roman" w:hAnsi="Times New Roman" w:cs="Times New Roman"/>
          <w:color w:val="000000"/>
          <w:lang w:eastAsia="en-GB"/>
        </w:rPr>
        <w:t>the EU</w:t>
      </w:r>
      <w:r w:rsidR="005D04B3" w:rsidRPr="001F2D2D">
        <w:rPr>
          <w:rFonts w:ascii="Times New Roman" w:eastAsia="Times New Roman" w:hAnsi="Times New Roman" w:cs="Times New Roman"/>
          <w:color w:val="000000"/>
          <w:lang w:eastAsia="en-GB"/>
        </w:rPr>
        <w:t xml:space="preserve"> should</w:t>
      </w:r>
      <w:r w:rsidR="003A57A7" w:rsidRPr="001F2D2D">
        <w:rPr>
          <w:rFonts w:ascii="Times New Roman" w:eastAsia="Times New Roman" w:hAnsi="Times New Roman" w:cs="Times New Roman"/>
          <w:color w:val="000000"/>
          <w:lang w:eastAsia="en-GB"/>
        </w:rPr>
        <w:t xml:space="preserve"> </w:t>
      </w:r>
      <w:r w:rsidR="003A57A7" w:rsidRPr="001F2D2D">
        <w:rPr>
          <w:rFonts w:ascii="Times New Roman" w:eastAsia="Times New Roman" w:hAnsi="Times New Roman" w:cs="Times New Roman"/>
          <w:color w:val="000000"/>
          <w:lang w:eastAsia="en-GB"/>
        </w:rPr>
        <w:lastRenderedPageBreak/>
        <w:t xml:space="preserve">rank interests/objectives which are mutually incompatible. </w:t>
      </w:r>
      <w:r w:rsidR="000A4E80">
        <w:rPr>
          <w:rFonts w:ascii="Times New Roman" w:eastAsia="Times New Roman" w:hAnsi="Times New Roman" w:cs="Times New Roman"/>
          <w:color w:val="000000"/>
          <w:lang w:eastAsia="en-GB"/>
        </w:rPr>
        <w:t xml:space="preserve">That is a (political?) choice, for the legislature to make. </w:t>
      </w:r>
    </w:p>
    <w:p w14:paraId="2ECE9E95" w14:textId="47A674A6" w:rsidR="009F5396" w:rsidRPr="001F2D2D" w:rsidRDefault="009F5396" w:rsidP="001F2D2D">
      <w:pPr>
        <w:spacing w:line="276" w:lineRule="auto"/>
        <w:jc w:val="both"/>
        <w:rPr>
          <w:rFonts w:ascii="Times New Roman" w:eastAsia="Times New Roman" w:hAnsi="Times New Roman" w:cs="Times New Roman"/>
          <w:color w:val="000000"/>
          <w:lang w:eastAsia="en-GB"/>
        </w:rPr>
      </w:pPr>
    </w:p>
    <w:p w14:paraId="57D5D8D3" w14:textId="39D5C890" w:rsidR="009F5396" w:rsidRPr="001F2D2D" w:rsidRDefault="009F5396" w:rsidP="001F2D2D">
      <w:pPr>
        <w:spacing w:line="276" w:lineRule="auto"/>
        <w:jc w:val="both"/>
        <w:rPr>
          <w:rFonts w:ascii="Times New Roman" w:eastAsia="Times New Roman" w:hAnsi="Times New Roman" w:cs="Times New Roman"/>
          <w:color w:val="000000"/>
          <w:lang w:eastAsia="en-GB"/>
        </w:rPr>
      </w:pPr>
      <w:r w:rsidRPr="001F2D2D">
        <w:rPr>
          <w:rFonts w:ascii="Times New Roman" w:eastAsia="Times New Roman" w:hAnsi="Times New Roman" w:cs="Times New Roman"/>
          <w:color w:val="000000"/>
          <w:lang w:eastAsia="en-GB"/>
        </w:rPr>
        <w:t xml:space="preserve">These problems are different from the normative question – which often implicitly </w:t>
      </w:r>
      <w:r w:rsidR="00DF451E">
        <w:rPr>
          <w:rFonts w:ascii="Times New Roman" w:eastAsia="Times New Roman" w:hAnsi="Times New Roman" w:cs="Times New Roman"/>
          <w:color w:val="000000"/>
          <w:lang w:eastAsia="en-GB"/>
        </w:rPr>
        <w:t xml:space="preserve">(unconsciously?) </w:t>
      </w:r>
      <w:r w:rsidRPr="001F2D2D">
        <w:rPr>
          <w:rFonts w:ascii="Times New Roman" w:eastAsia="Times New Roman" w:hAnsi="Times New Roman" w:cs="Times New Roman"/>
          <w:color w:val="000000"/>
          <w:lang w:eastAsia="en-GB"/>
        </w:rPr>
        <w:t>underlies discussions on the topic – of whether, and if so how much, autonomy is good for the EU.</w:t>
      </w:r>
      <w:r w:rsidR="000A4E80">
        <w:rPr>
          <w:rFonts w:ascii="Times New Roman" w:eastAsia="Times New Roman" w:hAnsi="Times New Roman" w:cs="Times New Roman"/>
          <w:color w:val="000000"/>
          <w:lang w:eastAsia="en-GB"/>
        </w:rPr>
        <w:t xml:space="preserve"> To normative anxieties on too much fragmentation of international law </w:t>
      </w:r>
      <w:r w:rsidR="005124D6">
        <w:rPr>
          <w:rFonts w:ascii="Times New Roman" w:eastAsia="Times New Roman" w:hAnsi="Times New Roman" w:cs="Times New Roman"/>
          <w:color w:val="000000"/>
          <w:lang w:eastAsia="en-GB"/>
        </w:rPr>
        <w:fldChar w:fldCharType="begin"/>
      </w:r>
      <w:r w:rsidR="005124D6">
        <w:rPr>
          <w:rFonts w:ascii="Times New Roman" w:eastAsia="Times New Roman" w:hAnsi="Times New Roman" w:cs="Times New Roman"/>
          <w:color w:val="000000"/>
          <w:lang w:eastAsia="en-GB"/>
        </w:rPr>
        <w:instrText xml:space="preserve"> ADDIN ZOTERO_ITEM CSL_CITATION {"citationID":"8LcJtDng","properties":{"formattedCitation":"(Koskenniemi and Leino, 2002)","plainCitation":"(Koskenniemi and Leino, 2002)","noteIndex":0},"citationItems":[{"id":264,"uris":["http://zotero.org/users/local/JGwB40RD/items/Z9A3WKXK"],"itemData":{"id":264,"type":"article-journal","abstract":"Successive ICJ Presidents have expressed concern about the proliferation of international tribunals and substantive fragmentation of international law. This is not a new phenomenon. International law has always lacked a clear normative and institutional hierarchy. The problem is more how new institutions have used international law to further new interests, especially those not predominant in traditional law. The anxiety among ICJ judges should be seen less as a concern for abstract “coherence” than a worry about the demise of traditional principles of diplomatic law and the Court's privileged role as their foremost representative. As jurisdictional conflicts reflect divergent political priorities, it is unclear that administrative co-ordination can eliminate them. This does not, however, warrant excessive worries over fragmentation; it is an institutional expression of political pluralism internationally.","container-title":"Leiden Journal of International Law","DOI":"10.1017/S0922156502000262","ISSN":"0922-1565, 1478-9698","issue":"3","journalAbbreviation":"Leiden Journal of International Law","language":"en","page":"553-579","source":"DOI.org (Crossref)","title":"Fragmentation of International Law? Postmodern Anxieties","title-short":"Fragmentation of International Law?","volume":"15","author":[{"family":"Koskenniemi","given":"Martti"},{"family":"Leino","given":"Päivi"}],"issued":{"date-parts":[["2002",9]]}}}],"schema":"https://github.com/citation-style-language/schema/raw/master/csl-citation.json"} </w:instrText>
      </w:r>
      <w:r w:rsidR="005124D6">
        <w:rPr>
          <w:rFonts w:ascii="Times New Roman" w:eastAsia="Times New Roman" w:hAnsi="Times New Roman" w:cs="Times New Roman"/>
          <w:color w:val="000000"/>
          <w:lang w:eastAsia="en-GB"/>
        </w:rPr>
        <w:fldChar w:fldCharType="separate"/>
      </w:r>
      <w:r w:rsidR="005124D6">
        <w:rPr>
          <w:rFonts w:ascii="Times New Roman" w:eastAsia="Times New Roman" w:hAnsi="Times New Roman" w:cs="Times New Roman"/>
          <w:noProof/>
          <w:color w:val="000000"/>
          <w:lang w:eastAsia="en-GB"/>
        </w:rPr>
        <w:t>(Koskenniemi and Leino, 2002)</w:t>
      </w:r>
      <w:r w:rsidR="005124D6">
        <w:rPr>
          <w:rFonts w:ascii="Times New Roman" w:eastAsia="Times New Roman" w:hAnsi="Times New Roman" w:cs="Times New Roman"/>
          <w:color w:val="000000"/>
          <w:lang w:eastAsia="en-GB"/>
        </w:rPr>
        <w:fldChar w:fldCharType="end"/>
      </w:r>
      <w:r w:rsidR="000A4E80">
        <w:rPr>
          <w:rFonts w:ascii="Times New Roman" w:eastAsia="Times New Roman" w:hAnsi="Times New Roman" w:cs="Times New Roman"/>
          <w:color w:val="000000"/>
          <w:lang w:eastAsia="en-GB"/>
        </w:rPr>
        <w:t>,</w:t>
      </w:r>
      <w:r w:rsidR="005124D6">
        <w:rPr>
          <w:rFonts w:ascii="Times New Roman" w:eastAsia="Times New Roman" w:hAnsi="Times New Roman" w:cs="Times New Roman"/>
          <w:color w:val="000000"/>
          <w:lang w:eastAsia="en-GB"/>
        </w:rPr>
        <w:t xml:space="preserve"> functional grounds such as better protection of fundamental rights are contraposed. While debates on the desirability of legal autonomy often focus on fundamental rights, those on strategic autonomy involve the efficiency of international security systems and of Member States’ international commitments.</w:t>
      </w:r>
      <w:r w:rsidRPr="001F2D2D">
        <w:rPr>
          <w:rFonts w:ascii="Times New Roman" w:eastAsia="Times New Roman" w:hAnsi="Times New Roman" w:cs="Times New Roman"/>
          <w:color w:val="000000"/>
          <w:lang w:eastAsia="en-GB"/>
        </w:rPr>
        <w:t xml:space="preserve"> The article then considers views precisely on </w:t>
      </w:r>
      <w:r w:rsidR="005124D6">
        <w:rPr>
          <w:rFonts w:ascii="Times New Roman" w:eastAsia="Times New Roman" w:hAnsi="Times New Roman" w:cs="Times New Roman"/>
          <w:color w:val="000000"/>
          <w:lang w:eastAsia="en-GB"/>
        </w:rPr>
        <w:t>these</w:t>
      </w:r>
      <w:r w:rsidRPr="001F2D2D">
        <w:rPr>
          <w:rFonts w:ascii="Times New Roman" w:eastAsia="Times New Roman" w:hAnsi="Times New Roman" w:cs="Times New Roman"/>
          <w:color w:val="000000"/>
          <w:lang w:eastAsia="en-GB"/>
        </w:rPr>
        <w:t xml:space="preserve"> normative question</w:t>
      </w:r>
      <w:r w:rsidR="005124D6">
        <w:rPr>
          <w:rFonts w:ascii="Times New Roman" w:eastAsia="Times New Roman" w:hAnsi="Times New Roman" w:cs="Times New Roman"/>
          <w:color w:val="000000"/>
          <w:lang w:eastAsia="en-GB"/>
        </w:rPr>
        <w:t>s</w:t>
      </w:r>
      <w:r w:rsidR="00A14551" w:rsidRPr="001F2D2D">
        <w:rPr>
          <w:rFonts w:ascii="Times New Roman" w:eastAsia="Times New Roman" w:hAnsi="Times New Roman" w:cs="Times New Roman"/>
          <w:color w:val="000000"/>
          <w:lang w:eastAsia="en-GB"/>
        </w:rPr>
        <w:t xml:space="preserve"> (section 5)</w:t>
      </w:r>
      <w:r w:rsidRPr="001F2D2D">
        <w:rPr>
          <w:rFonts w:ascii="Times New Roman" w:eastAsia="Times New Roman" w:hAnsi="Times New Roman" w:cs="Times New Roman"/>
          <w:color w:val="000000"/>
          <w:lang w:eastAsia="en-GB"/>
        </w:rPr>
        <w:t xml:space="preserve">. It does so by reference to </w:t>
      </w:r>
      <w:r w:rsidR="00DF451E">
        <w:rPr>
          <w:rFonts w:ascii="Times New Roman" w:eastAsia="Times New Roman" w:hAnsi="Times New Roman" w:cs="Times New Roman"/>
          <w:color w:val="000000"/>
          <w:lang w:eastAsia="en-GB"/>
        </w:rPr>
        <w:t>views of other authors</w:t>
      </w:r>
      <w:r w:rsidRPr="001F2D2D">
        <w:rPr>
          <w:rFonts w:ascii="Times New Roman" w:eastAsia="Times New Roman" w:hAnsi="Times New Roman" w:cs="Times New Roman"/>
          <w:color w:val="000000"/>
          <w:lang w:eastAsia="en-GB"/>
        </w:rPr>
        <w:t xml:space="preserve">, rather than </w:t>
      </w:r>
      <w:r w:rsidR="00A14551" w:rsidRPr="001F2D2D">
        <w:rPr>
          <w:rFonts w:ascii="Times New Roman" w:eastAsia="Times New Roman" w:hAnsi="Times New Roman" w:cs="Times New Roman"/>
          <w:color w:val="000000"/>
          <w:lang w:eastAsia="en-GB"/>
        </w:rPr>
        <w:t xml:space="preserve">weighing in on the debate. </w:t>
      </w:r>
    </w:p>
    <w:p w14:paraId="459DD69B" w14:textId="3A5D37EC" w:rsidR="00624AE1" w:rsidRPr="001F2D2D" w:rsidRDefault="00624AE1" w:rsidP="001F2D2D">
      <w:pPr>
        <w:spacing w:line="276" w:lineRule="auto"/>
        <w:jc w:val="both"/>
        <w:rPr>
          <w:rFonts w:ascii="Times New Roman" w:eastAsia="Times New Roman" w:hAnsi="Times New Roman" w:cs="Times New Roman"/>
          <w:lang w:eastAsia="en-GB"/>
        </w:rPr>
      </w:pPr>
    </w:p>
    <w:p w14:paraId="18E411A8" w14:textId="2BED3E9D" w:rsidR="00624AE1" w:rsidRPr="001F2D2D" w:rsidRDefault="0025764E" w:rsidP="001F2D2D">
      <w:pPr>
        <w:pStyle w:val="ListParagraph"/>
        <w:numPr>
          <w:ilvl w:val="0"/>
          <w:numId w:val="3"/>
        </w:numPr>
        <w:spacing w:line="276" w:lineRule="auto"/>
        <w:jc w:val="both"/>
        <w:rPr>
          <w:rFonts w:ascii="Times New Roman" w:hAnsi="Times New Roman" w:cs="Times New Roman"/>
          <w:b/>
          <w:bCs/>
          <w:lang w:val="en-GB"/>
        </w:rPr>
      </w:pPr>
      <w:r w:rsidRPr="001F2D2D">
        <w:rPr>
          <w:rFonts w:ascii="Times New Roman" w:hAnsi="Times New Roman" w:cs="Times New Roman"/>
          <w:b/>
          <w:bCs/>
          <w:lang w:val="en-GB"/>
        </w:rPr>
        <w:t>Different conceptions of the principle of autonomy of EU law</w:t>
      </w:r>
    </w:p>
    <w:p w14:paraId="66FC8E47" w14:textId="2E1105B8" w:rsidR="00732722" w:rsidRPr="001F2D2D" w:rsidRDefault="00732722" w:rsidP="001F2D2D">
      <w:pPr>
        <w:spacing w:line="276" w:lineRule="auto"/>
        <w:jc w:val="both"/>
        <w:rPr>
          <w:rFonts w:ascii="Times New Roman" w:hAnsi="Times New Roman" w:cs="Times New Roman"/>
          <w:lang w:val="en-GB"/>
        </w:rPr>
      </w:pPr>
    </w:p>
    <w:p w14:paraId="78936067" w14:textId="7B561F4F" w:rsidR="002A2458" w:rsidRPr="001F2D2D" w:rsidRDefault="002A2458" w:rsidP="001F2D2D">
      <w:pPr>
        <w:spacing w:line="276" w:lineRule="auto"/>
        <w:jc w:val="both"/>
        <w:rPr>
          <w:rFonts w:ascii="Times New Roman" w:hAnsi="Times New Roman" w:cs="Times New Roman"/>
          <w:lang w:val="en-GB"/>
        </w:rPr>
      </w:pPr>
      <w:r w:rsidRPr="001F2D2D">
        <w:rPr>
          <w:rFonts w:ascii="Times New Roman" w:hAnsi="Times New Roman" w:cs="Times New Roman"/>
          <w:lang w:val="en-GB"/>
        </w:rPr>
        <w:t>As a matter of EU law, the p</w:t>
      </w:r>
      <w:r w:rsidR="009A62A6" w:rsidRPr="001F2D2D">
        <w:rPr>
          <w:rFonts w:ascii="Times New Roman" w:hAnsi="Times New Roman" w:cs="Times New Roman"/>
          <w:lang w:val="en-GB"/>
        </w:rPr>
        <w:t>rinciple of autonomy</w:t>
      </w:r>
      <w:r w:rsidRPr="001F2D2D">
        <w:rPr>
          <w:rFonts w:ascii="Times New Roman" w:hAnsi="Times New Roman" w:cs="Times New Roman"/>
          <w:lang w:val="en-GB"/>
        </w:rPr>
        <w:t xml:space="preserve"> developed in the case law of the Court can be defined negatively (what EU law is not) and positively (what EU law is) </w:t>
      </w:r>
      <w:r w:rsidRPr="001F2D2D">
        <w:rPr>
          <w:rFonts w:ascii="Times New Roman" w:hAnsi="Times New Roman" w:cs="Times New Roman"/>
          <w:lang w:val="en-GB"/>
        </w:rPr>
        <w:fldChar w:fldCharType="begin"/>
      </w:r>
      <w:r w:rsidRPr="001F2D2D">
        <w:rPr>
          <w:rFonts w:ascii="Times New Roman" w:hAnsi="Times New Roman" w:cs="Times New Roman"/>
          <w:lang w:val="en-GB"/>
        </w:rPr>
        <w:instrText xml:space="preserve"> ADDIN ZOTERO_ITEM CSL_CITATION {"citationID":"Pp9UcFsM","properties":{"formattedCitation":"(Lenaerts and Guti\\uc0\\u233{}rrez-Fons, 2018)","plainCitation":"(Lenaerts and Gutiérrez-Fons, 2018)","noteIndex":0},"citationItems":[{"id":132,"uris":["http://zotero.org/users/local/JGwB40RD/items/LZ9DACN5"],"itemData":{"id":132,"type":"chapter","abstract":"In liberal democracies, written constitutions are the ‘supreme law of the land’ by means of which individuals sharing a common sense of belonging have agreed to establish a government of limited powers, which is entrusted with pursuing the common good, whilst respecting a sphere of individual freedom. At national level, constitutions have thus been called upon to fulfil three basic functions. First, they provide a catalogue of fundamental rights, including political rights, which public authorities (and individuals) are bound to respect. Secondly, they allocate power between the different branches of government. In federal or decentralized systems, they also allocate power between the centre and the periphery. Thirdly, they help to preserve national identity by determining the way in which a particular community of individuals is to interact with the wider world. Accordingly, a national constitution draws the dividing line between the domestic legal order and public international law.","container-title":"Oxford Principles Of European Union Law: The European Union Legal Order: Volume I","ISBN":"978-0-19-953377-0","language":"en","note":"DOI: 10.1093/oso/9780199533770.003.0005","publisher":"Oxford University Press","source":"DOI.org (Crossref)","title":"A Constitutional Perspective","URL":"https://oxford.universitypressscholarship.com/view/10.1093/oso/9780199533770.001.0001/isbn-9780199533770-book-part-5","container-author":[{"family":"Schütze","given":"Robert"},{"family":"Tridimas","given":"Takis"}],"author":[{"family":"Lenaerts","given":"Koen"},{"family":"Gutiérrez-Fons","given":"José A."}],"accessed":{"date-parts":[["2022",4,21]]},"issued":{"date-parts":[["2018",3,1]]}}}],"schema":"https://github.com/citation-style-language/schema/raw/master/csl-citation.json"} </w:instrText>
      </w:r>
      <w:r w:rsidRPr="001F2D2D">
        <w:rPr>
          <w:rFonts w:ascii="Times New Roman" w:hAnsi="Times New Roman" w:cs="Times New Roman"/>
          <w:lang w:val="en-GB"/>
        </w:rPr>
        <w:fldChar w:fldCharType="separate"/>
      </w:r>
      <w:r w:rsidRPr="001F2D2D">
        <w:rPr>
          <w:rFonts w:ascii="Times New Roman" w:hAnsi="Times New Roman" w:cs="Times New Roman"/>
          <w:lang w:val="en-GB"/>
        </w:rPr>
        <w:t>(Lenaerts and Gutiérrez-Fons, 2018)</w:t>
      </w:r>
      <w:r w:rsidRPr="001F2D2D">
        <w:rPr>
          <w:rFonts w:ascii="Times New Roman" w:hAnsi="Times New Roman" w:cs="Times New Roman"/>
          <w:lang w:val="en-GB"/>
        </w:rPr>
        <w:fldChar w:fldCharType="end"/>
      </w:r>
      <w:r w:rsidRPr="001F2D2D">
        <w:rPr>
          <w:rFonts w:ascii="Times New Roman" w:hAnsi="Times New Roman" w:cs="Times New Roman"/>
          <w:lang w:val="en-GB"/>
        </w:rPr>
        <w:t>.</w:t>
      </w:r>
    </w:p>
    <w:p w14:paraId="47D3E9B6" w14:textId="77777777" w:rsidR="002A2458" w:rsidRPr="001F2D2D" w:rsidRDefault="002A2458" w:rsidP="001F2D2D">
      <w:pPr>
        <w:spacing w:line="276" w:lineRule="auto"/>
        <w:jc w:val="both"/>
        <w:rPr>
          <w:rFonts w:ascii="Times New Roman" w:hAnsi="Times New Roman" w:cs="Times New Roman"/>
          <w:lang w:val="en-GB"/>
        </w:rPr>
      </w:pPr>
    </w:p>
    <w:p w14:paraId="6F8A78A4" w14:textId="45E6C3B0" w:rsidR="009A62A6" w:rsidRPr="001F2D2D" w:rsidRDefault="002A2458" w:rsidP="001F2D2D">
      <w:pPr>
        <w:spacing w:line="276" w:lineRule="auto"/>
        <w:jc w:val="both"/>
        <w:rPr>
          <w:rFonts w:ascii="Times New Roman" w:hAnsi="Times New Roman" w:cs="Times New Roman"/>
          <w:lang w:val="en-GB"/>
        </w:rPr>
      </w:pPr>
      <w:r w:rsidRPr="001F2D2D">
        <w:rPr>
          <w:rFonts w:ascii="Times New Roman" w:hAnsi="Times New Roman" w:cs="Times New Roman"/>
          <w:lang w:val="en-GB"/>
        </w:rPr>
        <w:t>Negative autonomy clarifies that EU law is not</w:t>
      </w:r>
      <w:r w:rsidR="00B73979" w:rsidRPr="001F2D2D">
        <w:rPr>
          <w:rFonts w:ascii="Times New Roman" w:hAnsi="Times New Roman" w:cs="Times New Roman"/>
          <w:lang w:val="en-GB"/>
        </w:rPr>
        <w:t xml:space="preserve"> (just)</w:t>
      </w:r>
      <w:r w:rsidRPr="001F2D2D">
        <w:rPr>
          <w:rFonts w:ascii="Times New Roman" w:hAnsi="Times New Roman" w:cs="Times New Roman"/>
          <w:lang w:val="en-GB"/>
        </w:rPr>
        <w:t xml:space="preserve"> international law</w:t>
      </w:r>
      <w:r w:rsidR="00066A84" w:rsidRPr="001F2D2D">
        <w:rPr>
          <w:rFonts w:ascii="Times New Roman" w:hAnsi="Times New Roman" w:cs="Times New Roman"/>
          <w:lang w:val="en-GB"/>
        </w:rPr>
        <w:t xml:space="preserve"> and </w:t>
      </w:r>
      <w:r w:rsidR="006911A6" w:rsidRPr="001F2D2D">
        <w:rPr>
          <w:rFonts w:ascii="Times New Roman" w:hAnsi="Times New Roman" w:cs="Times New Roman"/>
          <w:lang w:val="en-GB"/>
        </w:rPr>
        <w:t xml:space="preserve">that </w:t>
      </w:r>
      <w:r w:rsidR="00066A84" w:rsidRPr="001F2D2D">
        <w:rPr>
          <w:rFonts w:ascii="Times New Roman" w:hAnsi="Times New Roman" w:cs="Times New Roman"/>
          <w:lang w:val="en-GB"/>
        </w:rPr>
        <w:t xml:space="preserve">it is separate from the law of Member States </w:t>
      </w:r>
      <w:r w:rsidR="00066A84" w:rsidRPr="001F2D2D">
        <w:rPr>
          <w:rFonts w:ascii="Times New Roman" w:hAnsi="Times New Roman" w:cs="Times New Roman"/>
          <w:lang w:val="en-GB"/>
        </w:rPr>
        <w:fldChar w:fldCharType="begin"/>
      </w:r>
      <w:r w:rsidR="00F07A1B" w:rsidRPr="001F2D2D">
        <w:rPr>
          <w:rFonts w:ascii="Times New Roman" w:hAnsi="Times New Roman" w:cs="Times New Roman"/>
          <w:lang w:val="en-GB"/>
        </w:rPr>
        <w:instrText xml:space="preserve"> ADDIN ZOTERO_ITEM CSL_CITATION {"citationID":"wCi3HLy3","properties":{"formattedCitation":"(de Witte, 2010, p. 142)","plainCitation":"(de Witte, 2010, p. 142)","noteIndex":0},"citationItems":[{"id":135,"uris":["http://zotero.org/users/local/JGwB40RD/items/CATDFWMR"],"itemData":{"id":135,"type":"article-journal","abstract":"Vor dem Hintergrund des Kadi-Urteils des EuGH ist die Debatte wieder aufgeflammt, ob die Autonomie des EU-Rechts so weit geht, dass dieses nicht mehr als Teil des Völkerrechts verstanden werden kann. Auf Basis einschlägiger EuGH-Rechtsprechung und theoretischer Überlegungen untersucht dieser Beitrag die tatsächliche Bedeutung der Autonomie des EU-Rechts gegenüber dem übrigen Völkerrecht.","container-title":"Zeitschrift für öffentliches Recht","DOI":"10.1007/s00708-010-0043-5","ISSN":"1613-7663","issue":"1","journalAbbreviation":"Z öffentl Recht","language":"de","page":"141-155","source":"Springer Link","title":"European Union Law: How Autonomous is its Legal Order?","title-short":"European Union Law","volume":"65","author":[{"family":"Witte","given":"Bruno","non-dropping-particle":"de"}],"issued":{"date-parts":[["2010",3,1]]}},"locator":"142"}],"schema":"https://github.com/citation-style-language/schema/raw/master/csl-citation.json"} </w:instrText>
      </w:r>
      <w:r w:rsidR="00066A84" w:rsidRPr="001F2D2D">
        <w:rPr>
          <w:rFonts w:ascii="Times New Roman" w:hAnsi="Times New Roman" w:cs="Times New Roman"/>
          <w:lang w:val="en-GB"/>
        </w:rPr>
        <w:fldChar w:fldCharType="separate"/>
      </w:r>
      <w:r w:rsidR="00F07A1B" w:rsidRPr="001F2D2D">
        <w:rPr>
          <w:rFonts w:ascii="Times New Roman" w:hAnsi="Times New Roman" w:cs="Times New Roman"/>
          <w:noProof/>
          <w:lang w:val="en-GB"/>
        </w:rPr>
        <w:t>(de Witte, 2010, p. 142)</w:t>
      </w:r>
      <w:r w:rsidR="00066A84" w:rsidRPr="001F2D2D">
        <w:rPr>
          <w:rFonts w:ascii="Times New Roman" w:hAnsi="Times New Roman" w:cs="Times New Roman"/>
          <w:lang w:val="en-GB"/>
        </w:rPr>
        <w:fldChar w:fldCharType="end"/>
      </w:r>
      <w:r w:rsidRPr="001F2D2D">
        <w:rPr>
          <w:rFonts w:ascii="Times New Roman" w:hAnsi="Times New Roman" w:cs="Times New Roman"/>
          <w:lang w:val="en-GB"/>
        </w:rPr>
        <w:t>. This is because the EU stems from an autonomous source of law constituting a new legal order</w:t>
      </w:r>
      <w:r w:rsidR="00D851FC" w:rsidRPr="001F2D2D">
        <w:rPr>
          <w:rFonts w:ascii="Times New Roman" w:hAnsi="Times New Roman" w:cs="Times New Roman"/>
          <w:lang w:val="en-GB"/>
        </w:rPr>
        <w:t xml:space="preserve"> (</w:t>
      </w:r>
      <w:r w:rsidR="00D851FC" w:rsidRPr="001F2D2D">
        <w:rPr>
          <w:rFonts w:ascii="Times New Roman" w:hAnsi="Times New Roman" w:cs="Times New Roman"/>
          <w:i/>
          <w:iCs/>
          <w:lang w:val="en-GB"/>
        </w:rPr>
        <w:t>Costa</w:t>
      </w:r>
      <w:r w:rsidR="00D851FC" w:rsidRPr="001F2D2D">
        <w:rPr>
          <w:rFonts w:ascii="Times New Roman" w:hAnsi="Times New Roman" w:cs="Times New Roman"/>
          <w:lang w:val="en-GB"/>
        </w:rPr>
        <w:t>)</w:t>
      </w:r>
      <w:r w:rsidRPr="001F2D2D">
        <w:rPr>
          <w:rFonts w:ascii="Times New Roman" w:hAnsi="Times New Roman" w:cs="Times New Roman"/>
          <w:lang w:val="en-GB"/>
        </w:rPr>
        <w:t>, it is enforced by individuals and not exclusively by States</w:t>
      </w:r>
      <w:r w:rsidR="00D851FC" w:rsidRPr="001F2D2D">
        <w:rPr>
          <w:rFonts w:ascii="Times New Roman" w:hAnsi="Times New Roman" w:cs="Times New Roman"/>
          <w:lang w:val="en-GB"/>
        </w:rPr>
        <w:t xml:space="preserve"> (</w:t>
      </w:r>
      <w:r w:rsidR="00D851FC" w:rsidRPr="001F2D2D">
        <w:rPr>
          <w:rFonts w:ascii="Times New Roman" w:hAnsi="Times New Roman" w:cs="Times New Roman"/>
          <w:i/>
          <w:iCs/>
          <w:lang w:val="en-GB"/>
        </w:rPr>
        <w:t xml:space="preserve">Van </w:t>
      </w:r>
      <w:proofErr w:type="spellStart"/>
      <w:r w:rsidR="00D851FC" w:rsidRPr="001F2D2D">
        <w:rPr>
          <w:rFonts w:ascii="Times New Roman" w:hAnsi="Times New Roman" w:cs="Times New Roman"/>
          <w:i/>
          <w:iCs/>
          <w:lang w:val="en-GB"/>
        </w:rPr>
        <w:t>Gend</w:t>
      </w:r>
      <w:proofErr w:type="spellEnd"/>
      <w:r w:rsidR="00D851FC" w:rsidRPr="001F2D2D">
        <w:rPr>
          <w:rFonts w:ascii="Times New Roman" w:hAnsi="Times New Roman" w:cs="Times New Roman"/>
          <w:lang w:val="en-GB"/>
        </w:rPr>
        <w:t>)</w:t>
      </w:r>
      <w:r w:rsidRPr="001F2D2D">
        <w:rPr>
          <w:rFonts w:ascii="Times New Roman" w:hAnsi="Times New Roman" w:cs="Times New Roman"/>
          <w:lang w:val="en-GB"/>
        </w:rPr>
        <w:t>, and other important principles of public international law are not applied</w:t>
      </w:r>
      <w:r w:rsidR="00FA3D2D" w:rsidRPr="001F2D2D">
        <w:rPr>
          <w:rFonts w:ascii="Times New Roman" w:hAnsi="Times New Roman" w:cs="Times New Roman"/>
          <w:lang w:val="en-GB"/>
        </w:rPr>
        <w:t xml:space="preserve">, such </w:t>
      </w:r>
      <w:r w:rsidR="008338FA" w:rsidRPr="001F2D2D">
        <w:rPr>
          <w:rFonts w:ascii="Times New Roman" w:hAnsi="Times New Roman" w:cs="Times New Roman"/>
          <w:lang w:val="en-GB"/>
        </w:rPr>
        <w:t xml:space="preserve">as the </w:t>
      </w:r>
      <w:r w:rsidR="008338FA" w:rsidRPr="001F2D2D">
        <w:rPr>
          <w:rFonts w:ascii="Times New Roman" w:hAnsi="Times New Roman" w:cs="Times New Roman"/>
          <w:i/>
          <w:iCs/>
          <w:lang w:val="en-GB"/>
        </w:rPr>
        <w:t>lex posterior</w:t>
      </w:r>
      <w:r w:rsidR="008338FA" w:rsidRPr="001F2D2D">
        <w:rPr>
          <w:rFonts w:ascii="Times New Roman" w:hAnsi="Times New Roman" w:cs="Times New Roman"/>
          <w:lang w:val="en-GB"/>
        </w:rPr>
        <w:t xml:space="preserve"> principle (Case 6/64 </w:t>
      </w:r>
      <w:r w:rsidR="008338FA" w:rsidRPr="001F2D2D">
        <w:rPr>
          <w:rFonts w:ascii="Times New Roman" w:hAnsi="Times New Roman" w:cs="Times New Roman"/>
          <w:i/>
          <w:iCs/>
          <w:lang w:val="en-GB"/>
        </w:rPr>
        <w:t>Costa</w:t>
      </w:r>
      <w:r w:rsidR="008338FA" w:rsidRPr="001F2D2D">
        <w:rPr>
          <w:rFonts w:ascii="Times New Roman" w:hAnsi="Times New Roman" w:cs="Times New Roman"/>
          <w:lang w:val="en-GB"/>
        </w:rPr>
        <w:t>) or</w:t>
      </w:r>
      <w:r w:rsidR="00FA3D2D" w:rsidRPr="001F2D2D">
        <w:rPr>
          <w:rFonts w:ascii="Times New Roman" w:hAnsi="Times New Roman" w:cs="Times New Roman"/>
          <w:lang w:val="en-GB"/>
        </w:rPr>
        <w:t xml:space="preserve"> retaliation</w:t>
      </w:r>
      <w:r w:rsidRPr="001F2D2D">
        <w:rPr>
          <w:rFonts w:ascii="Times New Roman" w:hAnsi="Times New Roman" w:cs="Times New Roman"/>
          <w:lang w:val="en-GB"/>
        </w:rPr>
        <w:t xml:space="preserve"> </w:t>
      </w:r>
      <w:r w:rsidR="00066A84" w:rsidRPr="001F2D2D">
        <w:rPr>
          <w:rFonts w:ascii="Times New Roman" w:hAnsi="Times New Roman" w:cs="Times New Roman"/>
          <w:lang w:val="en-GB"/>
        </w:rPr>
        <w:t>(</w:t>
      </w:r>
      <w:r w:rsidR="009040FB" w:rsidRPr="001F2D2D">
        <w:rPr>
          <w:rFonts w:ascii="Times New Roman" w:hAnsi="Times New Roman" w:cs="Times New Roman"/>
          <w:lang w:val="en-GB"/>
        </w:rPr>
        <w:t xml:space="preserve">EU law does not allow states to adopt counter-measures for violation of EU obligations by the other parties: </w:t>
      </w:r>
      <w:r w:rsidR="00FA3D2D" w:rsidRPr="001F2D2D">
        <w:rPr>
          <w:rFonts w:ascii="Times New Roman" w:hAnsi="Times New Roman" w:cs="Times New Roman"/>
          <w:lang w:val="en-GB"/>
        </w:rPr>
        <w:t xml:space="preserve">Joined Cases 90/63 and 91/63 </w:t>
      </w:r>
      <w:r w:rsidR="00066A84" w:rsidRPr="001F2D2D">
        <w:rPr>
          <w:rFonts w:ascii="Times New Roman" w:hAnsi="Times New Roman" w:cs="Times New Roman"/>
          <w:i/>
          <w:iCs/>
          <w:lang w:val="en-GB"/>
        </w:rPr>
        <w:t>Commission v Belgium and Luxembourg</w:t>
      </w:r>
      <w:r w:rsidR="00FA3D2D" w:rsidRPr="001F2D2D">
        <w:rPr>
          <w:rFonts w:ascii="Times New Roman" w:hAnsi="Times New Roman" w:cs="Times New Roman"/>
          <w:lang w:val="en-GB"/>
        </w:rPr>
        <w:t xml:space="preserve"> </w:t>
      </w:r>
      <w:r w:rsidR="00FA3D2D" w:rsidRPr="001F2D2D">
        <w:rPr>
          <w:rFonts w:ascii="Times New Roman" w:hAnsi="Times New Roman" w:cs="Times New Roman"/>
          <w:lang w:val="en-GB"/>
        </w:rPr>
        <w:fldChar w:fldCharType="begin"/>
      </w:r>
      <w:r w:rsidR="00FA3D2D" w:rsidRPr="001F2D2D">
        <w:rPr>
          <w:rFonts w:ascii="Times New Roman" w:hAnsi="Times New Roman" w:cs="Times New Roman"/>
          <w:lang w:val="en-GB"/>
        </w:rPr>
        <w:instrText xml:space="preserve"> ADDIN ZOTERO_ITEM CSL_CITATION {"citationID":"uhdHKizv","properties":{"formattedCitation":"(de Witte, 2011, p. 39; Lenaerts and Guti\\uc0\\u233{}rrez-Fons, 2018)","plainCitation":"(de Witte, 2011, p. 39; Lenaerts and Gutiérrez-Fons, 2018)","noteIndex":0},"citationItems":[{"id":142,"uris":["http://zotero.org/users/local/JGwB40RD/items/2NFY425L"],"itemData":{"id":142,"type":"chapter","abstract":"IntroductionIn a recent essay about legal theory and the European Union, Neil Walker wrote that theoretical inquiries about EU law as a whole – as opposed to studies of specific parts of EU law – ‘cannot but draw upon an arsenal of concepts and theoretical mechanisms developed or refined in an older context in which the national and the international, with the former dominating, were the two sides and the key frames of the world order of states’. This Chapter aims to replace the European Union in the ‘older context’ of international law, by recalling the fact that the European Communities, and the European Union, came into being as creatures of international law, as well as the fact that the many remarkable institutional features of those organisations came out of the existing toolbox of international law. Each of those single features had been experimented with before in other more limited contexts, but both the European Coal and Steel Community Treaty and the European Economic Community Treaty combined them in an unprecedented way. They were true experiments of international law, and the first part of the chapter will highlight some characteristics of that historical experimentation.The more interesting question, perhaps, for today’s reader is whether this ‘arsenal of concepts and [. . .] mechanisms’ drawn from the toolbox of public international law is still of decisive importance for our understanding of European Union law today. There is no disputing the fact that ‘the EU has successfully expanded its substantive mandate and institutional prerogatives to a level without parallel among international organizations’, but there is some dispute about whether it is still situated ‘among international organizations’ or has ceased to belong to that category. In fact, the dominant strand in the EU law literature takes the view that the European Union, whilst not a federal state, is also no longer an international organization, but rather an ill-defined sui generis legal construct. In this chapter, I will question both the vagueness of the sui generis construction and the view that the EU is no longer an international organization (and thus no longer an ongoing international legal experiment) by wondering, in the second and third parts of the chapter, what could have happened in the course of time, between the 1950s and today, to make EU law cease to be part of international law despite its international treaty pedigree. I will address that question from two points of view. First (that is, in the second part of the chapter), I will examine the practice of the states, and especially the Member States of the EU, to explore whether they have willed, or consented to, such a change in the legal nature of the EU. In the third part of the chapter, I will turn to examine the case-law of the ECJ (European Court of Justice) and the doctrinal interpretations of that same question and consider two possibilities: either that particular novel characteristics of EU law emerged over time which are incompatible with seeing it as an international organization; or that the overall development of the EU, rather than the development of specific characteristics, justifies the view that it must no longer be considered as a living international legal experiment, but as something altogether different.","collection-title":"Contemporary European Politics","container-title":"The Worlds of European Constitutionalism","event-place":"Cambridge","ISBN":"978-0-521-19285-9","note":"DOI: 10.1017/CBO9781139026734.003","page":"19-56","publisher":"Cambridge University Press","publisher-place":"Cambridge","source":"Cambridge University Press","title":"The European Union as an international legal experiment","URL":"https://www.cambridge.org/core/books/worlds-of-european-constitutionalism/european-union-as-an-international-legal-experiment/BDD1CF1B46342DDC3EE92FC49EDA567C","editor":[{"family":"Búrca","given":"Gráinne","non-dropping-particle":"de"},{"family":"Weiler","given":"J. H. H."}],"author":[{"family":"Witte","given":"Bruno","non-dropping-particle":"de"}],"accessed":{"date-parts":[["2022",4,22]]},"issued":{"date-parts":[["2011"]]}},"locator":"39"},{"id":132,"uris":["http://zotero.org/users/local/JGwB40RD/items/LZ9DACN5"],"itemData":{"id":132,"type":"chapter","abstract":"In liberal democracies, written constitutions are the ‘supreme law of the land’ by means of which individuals sharing a common sense of belonging have agreed to establish a government of limited powers, which is entrusted with pursuing the common good, whilst respecting a sphere of individual freedom. At national level, constitutions have thus been called upon to fulfil three basic functions. First, they provide a catalogue of fundamental rights, including political rights, which public authorities (and individuals) are bound to respect. Secondly, they allocate power between the different branches of government. In federal or decentralized systems, they also allocate power between the centre and the periphery. Thirdly, they help to preserve national identity by determining the way in which a particular community of individuals is to interact with the wider world. Accordingly, a national constitution draws the dividing line between the domestic legal order and public international law.","container-title":"Oxford Principles Of European Union Law: The European Union Legal Order: Volume I","ISBN":"978-0-19-953377-0","language":"en","note":"DOI: 10.1093/oso/9780199533770.003.0005","publisher":"Oxford University Press","source":"DOI.org (Crossref)","title":"A Constitutional Perspective","URL":"https://oxford.universitypressscholarship.com/view/10.1093/oso/9780199533770.001.0001/isbn-9780199533770-book-part-5","container-author":[{"family":"Schütze","given":"Robert"},{"family":"Tridimas","given":"Takis"}],"author":[{"family":"Lenaerts","given":"Koen"},{"family":"Gutiérrez-Fons","given":"José A."}],"accessed":{"date-parts":[["2022",4,21]]},"issued":{"date-parts":[["2018",3,1]]}}}],"schema":"https://github.com/citation-style-language/schema/raw/master/csl-citation.json"} </w:instrText>
      </w:r>
      <w:r w:rsidR="00FA3D2D" w:rsidRPr="001F2D2D">
        <w:rPr>
          <w:rFonts w:ascii="Times New Roman" w:hAnsi="Times New Roman" w:cs="Times New Roman"/>
          <w:lang w:val="en-GB"/>
        </w:rPr>
        <w:fldChar w:fldCharType="separate"/>
      </w:r>
      <w:r w:rsidR="00FA3D2D" w:rsidRPr="001F2D2D">
        <w:rPr>
          <w:rFonts w:ascii="Times New Roman" w:hAnsi="Times New Roman" w:cs="Times New Roman"/>
          <w:lang w:val="en-GB"/>
        </w:rPr>
        <w:t>(de Witte, 2011, p. 39; Lenaerts and Gutiérrez-Fons, 2018)</w:t>
      </w:r>
      <w:r w:rsidR="00FA3D2D" w:rsidRPr="001F2D2D">
        <w:rPr>
          <w:rFonts w:ascii="Times New Roman" w:hAnsi="Times New Roman" w:cs="Times New Roman"/>
          <w:lang w:val="en-GB"/>
        </w:rPr>
        <w:fldChar w:fldCharType="end"/>
      </w:r>
      <w:r w:rsidR="009040FB" w:rsidRPr="001F2D2D">
        <w:rPr>
          <w:rFonts w:ascii="Times New Roman" w:hAnsi="Times New Roman" w:cs="Times New Roman"/>
          <w:lang w:val="en-GB"/>
        </w:rPr>
        <w:t>)</w:t>
      </w:r>
      <w:r w:rsidRPr="001F2D2D">
        <w:rPr>
          <w:rFonts w:ascii="Times New Roman" w:hAnsi="Times New Roman" w:cs="Times New Roman"/>
          <w:lang w:val="en-GB"/>
        </w:rPr>
        <w:t>.</w:t>
      </w:r>
      <w:r w:rsidR="008338FA" w:rsidRPr="001F2D2D">
        <w:rPr>
          <w:rFonts w:ascii="Times New Roman" w:hAnsi="Times New Roman" w:cs="Times New Roman"/>
          <w:lang w:val="en-GB"/>
        </w:rPr>
        <w:t xml:space="preserve"> Other principles of international law are not entirely given up, but rather transformed when applied to the EU legal order: it is the case of </w:t>
      </w:r>
      <w:r w:rsidR="008338FA" w:rsidRPr="001F2D2D">
        <w:rPr>
          <w:rFonts w:ascii="Times New Roman" w:hAnsi="Times New Roman" w:cs="Times New Roman"/>
          <w:i/>
          <w:iCs/>
          <w:lang w:val="en-GB"/>
        </w:rPr>
        <w:t xml:space="preserve">pacta sunt </w:t>
      </w:r>
      <w:proofErr w:type="spellStart"/>
      <w:r w:rsidR="008338FA" w:rsidRPr="001F2D2D">
        <w:rPr>
          <w:rFonts w:ascii="Times New Roman" w:hAnsi="Times New Roman" w:cs="Times New Roman"/>
          <w:i/>
          <w:iCs/>
          <w:lang w:val="en-GB"/>
        </w:rPr>
        <w:t>servanda</w:t>
      </w:r>
      <w:proofErr w:type="spellEnd"/>
      <w:r w:rsidR="008338FA" w:rsidRPr="001F2D2D">
        <w:rPr>
          <w:rFonts w:ascii="Times New Roman" w:hAnsi="Times New Roman" w:cs="Times New Roman"/>
          <w:lang w:val="en-GB"/>
        </w:rPr>
        <w:t xml:space="preserve">, which </w:t>
      </w:r>
      <w:r w:rsidR="004B00B2" w:rsidRPr="001F2D2D">
        <w:rPr>
          <w:rFonts w:ascii="Times New Roman" w:hAnsi="Times New Roman" w:cs="Times New Roman"/>
          <w:lang w:val="en-GB"/>
        </w:rPr>
        <w:t xml:space="preserve">is ‘adopted by and at the same time transformed into the more vibrant EU law principle of loyalty’ </w:t>
      </w:r>
      <w:r w:rsidR="004B00B2" w:rsidRPr="001F2D2D">
        <w:rPr>
          <w:rFonts w:ascii="Times New Roman" w:hAnsi="Times New Roman" w:cs="Times New Roman"/>
          <w:lang w:val="en-GB"/>
        </w:rPr>
        <w:fldChar w:fldCharType="begin"/>
      </w:r>
      <w:r w:rsidR="004B00B2" w:rsidRPr="001F2D2D">
        <w:rPr>
          <w:rFonts w:ascii="Times New Roman" w:hAnsi="Times New Roman" w:cs="Times New Roman"/>
          <w:lang w:val="en-GB"/>
        </w:rPr>
        <w:instrText xml:space="preserve"> ADDIN ZOTERO_ITEM CSL_CITATION {"citationID":"11fk1VR2","properties":{"formattedCitation":"(Klamert, 2017, p. 821)","plainCitation":"(Klamert, 2017, p. 821)","noteIndex":0},"citationItems":[{"id":137,"uris":["http://zotero.org/users/local/JGwB40RD/items/PJN86GXW"],"itemData":{"id":137,"type":"article-journal","container-title":"European Law Review","issue":"6","page":"815-830","title":"The autonomy of the EU (and of EU law): through the kaleidoscope","volume":"42","author":[{"family":"Klamert","given":"Marcus"}],"issued":{"date-parts":[["2017"]]}},"locator":"821"}],"schema":"https://github.com/citation-style-language/schema/raw/master/csl-citation.json"} </w:instrText>
      </w:r>
      <w:r w:rsidR="004B00B2" w:rsidRPr="001F2D2D">
        <w:rPr>
          <w:rFonts w:ascii="Times New Roman" w:hAnsi="Times New Roman" w:cs="Times New Roman"/>
          <w:lang w:val="en-GB"/>
        </w:rPr>
        <w:fldChar w:fldCharType="separate"/>
      </w:r>
      <w:r w:rsidR="004B00B2" w:rsidRPr="001F2D2D">
        <w:rPr>
          <w:rFonts w:ascii="Times New Roman" w:hAnsi="Times New Roman" w:cs="Times New Roman"/>
          <w:noProof/>
          <w:lang w:val="en-GB"/>
        </w:rPr>
        <w:t>(Klamert, 2017, p. 821)</w:t>
      </w:r>
      <w:r w:rsidR="004B00B2" w:rsidRPr="001F2D2D">
        <w:rPr>
          <w:rFonts w:ascii="Times New Roman" w:hAnsi="Times New Roman" w:cs="Times New Roman"/>
          <w:lang w:val="en-GB"/>
        </w:rPr>
        <w:fldChar w:fldCharType="end"/>
      </w:r>
      <w:r w:rsidR="004B00B2" w:rsidRPr="001F2D2D">
        <w:rPr>
          <w:rFonts w:ascii="Times New Roman" w:hAnsi="Times New Roman" w:cs="Times New Roman"/>
          <w:lang w:val="en-GB"/>
        </w:rPr>
        <w:t>.</w:t>
      </w:r>
      <w:r w:rsidR="00B73979" w:rsidRPr="001F2D2D">
        <w:rPr>
          <w:rFonts w:ascii="Times New Roman" w:hAnsi="Times New Roman" w:cs="Times New Roman"/>
          <w:lang w:val="en-GB"/>
        </w:rPr>
        <w:t xml:space="preserve"> It follows that some international legal obligations may be set aside when they clash with EU law (Joined Cases C-402/05 P and C- 415/05 P, Kadi and Al </w:t>
      </w:r>
      <w:proofErr w:type="spellStart"/>
      <w:r w:rsidR="00B73979" w:rsidRPr="001F2D2D">
        <w:rPr>
          <w:rFonts w:ascii="Times New Roman" w:hAnsi="Times New Roman" w:cs="Times New Roman"/>
          <w:lang w:val="en-GB"/>
        </w:rPr>
        <w:t>Barakaat</w:t>
      </w:r>
      <w:proofErr w:type="spellEnd"/>
      <w:r w:rsidR="00B73979" w:rsidRPr="001F2D2D">
        <w:rPr>
          <w:rFonts w:ascii="Times New Roman" w:hAnsi="Times New Roman" w:cs="Times New Roman"/>
          <w:lang w:val="en-GB"/>
        </w:rPr>
        <w:t xml:space="preserve"> v. Council para 282).</w:t>
      </w:r>
    </w:p>
    <w:p w14:paraId="4C6BD8D1" w14:textId="77777777" w:rsidR="009040FB" w:rsidRPr="001F2D2D" w:rsidRDefault="009040FB" w:rsidP="001F2D2D">
      <w:pPr>
        <w:spacing w:line="276" w:lineRule="auto"/>
        <w:jc w:val="both"/>
        <w:rPr>
          <w:rFonts w:ascii="Times New Roman" w:hAnsi="Times New Roman" w:cs="Times New Roman"/>
          <w:lang w:val="en-GB"/>
        </w:rPr>
      </w:pPr>
    </w:p>
    <w:p w14:paraId="64B354A8" w14:textId="36D36402" w:rsidR="0099480E" w:rsidRPr="001F2D2D" w:rsidRDefault="005124D6" w:rsidP="001F2D2D">
      <w:pPr>
        <w:spacing w:line="276" w:lineRule="auto"/>
        <w:jc w:val="both"/>
        <w:rPr>
          <w:rFonts w:ascii="Times New Roman" w:hAnsi="Times New Roman" w:cs="Times New Roman"/>
          <w:lang w:val="en-GB"/>
        </w:rPr>
      </w:pPr>
      <w:r>
        <w:rPr>
          <w:rFonts w:ascii="Times New Roman" w:hAnsi="Times New Roman" w:cs="Times New Roman"/>
          <w:lang w:val="en-GB"/>
        </w:rPr>
        <w:t>Defined in positive terms</w:t>
      </w:r>
      <w:r w:rsidR="0099480E" w:rsidRPr="001F2D2D">
        <w:rPr>
          <w:rFonts w:ascii="Times New Roman" w:hAnsi="Times New Roman" w:cs="Times New Roman"/>
          <w:lang w:val="en-GB"/>
        </w:rPr>
        <w:t xml:space="preserve">, </w:t>
      </w:r>
      <w:r w:rsidR="004966D7" w:rsidRPr="001F2D2D">
        <w:rPr>
          <w:rFonts w:ascii="Times New Roman" w:hAnsi="Times New Roman" w:cs="Times New Roman"/>
          <w:lang w:val="en-GB"/>
        </w:rPr>
        <w:t>the legal principle of autonomy</w:t>
      </w:r>
      <w:r w:rsidR="0099480E" w:rsidRPr="001F2D2D">
        <w:rPr>
          <w:rFonts w:ascii="Times New Roman" w:hAnsi="Times New Roman" w:cs="Times New Roman"/>
          <w:lang w:val="en-GB"/>
        </w:rPr>
        <w:t xml:space="preserve"> </w:t>
      </w:r>
      <w:r>
        <w:rPr>
          <w:rFonts w:ascii="Times New Roman" w:hAnsi="Times New Roman" w:cs="Times New Roman"/>
          <w:lang w:val="en-GB"/>
        </w:rPr>
        <w:t>recognises</w:t>
      </w:r>
      <w:r w:rsidR="0099480E" w:rsidRPr="001F2D2D">
        <w:rPr>
          <w:rFonts w:ascii="Times New Roman" w:hAnsi="Times New Roman" w:cs="Times New Roman"/>
          <w:lang w:val="en-GB"/>
        </w:rPr>
        <w:t xml:space="preserve"> certain</w:t>
      </w:r>
      <w:r>
        <w:rPr>
          <w:rFonts w:ascii="Times New Roman" w:hAnsi="Times New Roman" w:cs="Times New Roman"/>
          <w:lang w:val="en-GB"/>
        </w:rPr>
        <w:t xml:space="preserve"> essential</w:t>
      </w:r>
      <w:r w:rsidR="0099480E" w:rsidRPr="001F2D2D">
        <w:rPr>
          <w:rFonts w:ascii="Times New Roman" w:hAnsi="Times New Roman" w:cs="Times New Roman"/>
          <w:lang w:val="en-GB"/>
        </w:rPr>
        <w:t xml:space="preserve"> characteristics </w:t>
      </w:r>
      <w:r w:rsidR="004966D7" w:rsidRPr="001F2D2D">
        <w:rPr>
          <w:rFonts w:ascii="Times New Roman" w:hAnsi="Times New Roman" w:cs="Times New Roman"/>
          <w:lang w:val="en-GB"/>
        </w:rPr>
        <w:t>which endow</w:t>
      </w:r>
      <w:r w:rsidR="0099480E" w:rsidRPr="001F2D2D">
        <w:rPr>
          <w:rFonts w:ascii="Times New Roman" w:hAnsi="Times New Roman" w:cs="Times New Roman"/>
          <w:lang w:val="en-GB"/>
        </w:rPr>
        <w:t xml:space="preserve"> the EU</w:t>
      </w:r>
      <w:r w:rsidR="004966D7" w:rsidRPr="001F2D2D">
        <w:rPr>
          <w:rFonts w:ascii="Times New Roman" w:hAnsi="Times New Roman" w:cs="Times New Roman"/>
          <w:lang w:val="en-GB"/>
        </w:rPr>
        <w:t xml:space="preserve"> with a</w:t>
      </w:r>
      <w:r w:rsidR="0099480E" w:rsidRPr="001F2D2D">
        <w:rPr>
          <w:rFonts w:ascii="Times New Roman" w:hAnsi="Times New Roman" w:cs="Times New Roman"/>
          <w:lang w:val="en-GB"/>
        </w:rPr>
        <w:t xml:space="preserve"> constitutional identity,</w:t>
      </w:r>
      <w:r w:rsidR="004966D7" w:rsidRPr="001F2D2D">
        <w:rPr>
          <w:rFonts w:ascii="Times New Roman" w:hAnsi="Times New Roman" w:cs="Times New Roman"/>
          <w:lang w:val="en-GB"/>
        </w:rPr>
        <w:t xml:space="preserve"> and</w:t>
      </w:r>
      <w:r w:rsidR="0099480E" w:rsidRPr="001F2D2D">
        <w:rPr>
          <w:rFonts w:ascii="Times New Roman" w:hAnsi="Times New Roman" w:cs="Times New Roman"/>
          <w:lang w:val="en-GB"/>
        </w:rPr>
        <w:t xml:space="preserve"> which cannot be</w:t>
      </w:r>
      <w:r w:rsidR="004966D7" w:rsidRPr="001F2D2D">
        <w:rPr>
          <w:rFonts w:ascii="Times New Roman" w:hAnsi="Times New Roman" w:cs="Times New Roman"/>
          <w:lang w:val="en-GB"/>
        </w:rPr>
        <w:t xml:space="preserve"> adversely</w:t>
      </w:r>
      <w:r w:rsidR="0099480E" w:rsidRPr="001F2D2D">
        <w:rPr>
          <w:rFonts w:ascii="Times New Roman" w:hAnsi="Times New Roman" w:cs="Times New Roman"/>
          <w:lang w:val="en-GB"/>
        </w:rPr>
        <w:t xml:space="preserve"> affected</w:t>
      </w:r>
      <w:r w:rsidR="004966D7" w:rsidRPr="001F2D2D">
        <w:rPr>
          <w:rFonts w:ascii="Times New Roman" w:hAnsi="Times New Roman" w:cs="Times New Roman"/>
          <w:lang w:val="en-GB"/>
        </w:rPr>
        <w:t xml:space="preserve"> lest the autonomy of EU law be breached.</w:t>
      </w:r>
      <w:r w:rsidR="00E6188A" w:rsidRPr="001F2D2D">
        <w:rPr>
          <w:rFonts w:ascii="Times New Roman" w:hAnsi="Times New Roman" w:cs="Times New Roman"/>
          <w:lang w:val="en-GB"/>
        </w:rPr>
        <w:t xml:space="preserve"> The blueprint of this positive autonomy was articulated in Opinion 2/13, in which the Court explained why the draft accession of the EU to the ECHR would not be compatible with the essential characteristics of the EU.</w:t>
      </w:r>
      <w:r w:rsidR="004966D7" w:rsidRPr="001F2D2D">
        <w:rPr>
          <w:rFonts w:ascii="Times New Roman" w:hAnsi="Times New Roman" w:cs="Times New Roman"/>
          <w:lang w:val="en-GB"/>
        </w:rPr>
        <w:t xml:space="preserve"> Elements of the ‘identity’ </w:t>
      </w:r>
      <w:r w:rsidR="00E6188A" w:rsidRPr="001F2D2D">
        <w:rPr>
          <w:rFonts w:ascii="Times New Roman" w:hAnsi="Times New Roman" w:cs="Times New Roman"/>
          <w:lang w:val="en-GB"/>
        </w:rPr>
        <w:t>of the EU</w:t>
      </w:r>
      <w:r w:rsidR="004966D7" w:rsidRPr="001F2D2D">
        <w:rPr>
          <w:rFonts w:ascii="Times New Roman" w:hAnsi="Times New Roman" w:cs="Times New Roman"/>
          <w:lang w:val="en-GB"/>
        </w:rPr>
        <w:t xml:space="preserve"> as a ‘common legal order’ (to use the phrasing of Case C‑156/21 </w:t>
      </w:r>
      <w:r w:rsidR="004966D7" w:rsidRPr="001F2D2D">
        <w:rPr>
          <w:rFonts w:ascii="Times New Roman" w:hAnsi="Times New Roman" w:cs="Times New Roman"/>
          <w:i/>
          <w:iCs/>
          <w:lang w:val="en-GB"/>
        </w:rPr>
        <w:t>C v Hungary</w:t>
      </w:r>
      <w:r w:rsidR="004966D7" w:rsidRPr="001F2D2D">
        <w:rPr>
          <w:rFonts w:ascii="Times New Roman" w:hAnsi="Times New Roman" w:cs="Times New Roman"/>
          <w:lang w:val="en-GB"/>
        </w:rPr>
        <w:t xml:space="preserve"> para 127) are, for example, the EU values referred to in Article 2 TEU (see also </w:t>
      </w:r>
      <w:r w:rsidR="004966D7" w:rsidRPr="001F2D2D">
        <w:rPr>
          <w:rFonts w:ascii="Times New Roman" w:hAnsi="Times New Roman" w:cs="Times New Roman"/>
          <w:i/>
          <w:iCs/>
          <w:lang w:val="en-GB"/>
        </w:rPr>
        <w:t>Wightman</w:t>
      </w:r>
      <w:r w:rsidR="004966D7" w:rsidRPr="001F2D2D">
        <w:rPr>
          <w:rFonts w:ascii="Times New Roman" w:hAnsi="Times New Roman" w:cs="Times New Roman"/>
          <w:lang w:val="en-GB"/>
        </w:rPr>
        <w:t xml:space="preserve">), </w:t>
      </w:r>
      <w:r w:rsidR="00E6188A" w:rsidRPr="001F2D2D">
        <w:rPr>
          <w:rFonts w:ascii="Times New Roman" w:hAnsi="Times New Roman" w:cs="Times New Roman"/>
          <w:lang w:val="en-GB"/>
        </w:rPr>
        <w:t>the principle of mutual trust between the Member States,</w:t>
      </w:r>
      <w:r w:rsidR="00DF048D" w:rsidRPr="001F2D2D">
        <w:rPr>
          <w:rFonts w:ascii="Times New Roman" w:hAnsi="Times New Roman" w:cs="Times New Roman"/>
          <w:lang w:val="en-GB"/>
        </w:rPr>
        <w:t xml:space="preserve"> the system of protection of fundamental rights provided by the Charter,</w:t>
      </w:r>
      <w:r w:rsidR="00E6188A" w:rsidRPr="001F2D2D">
        <w:rPr>
          <w:rFonts w:ascii="Times New Roman" w:hAnsi="Times New Roman" w:cs="Times New Roman"/>
          <w:lang w:val="en-GB"/>
        </w:rPr>
        <w:t xml:space="preserve"> the original institutional arrangements such as the preliminary ruling procedure, and others mentioned in Opinion 2/13 at paragraphs 165-176 </w:t>
      </w:r>
      <w:r w:rsidR="00E6188A" w:rsidRPr="001F2D2D">
        <w:rPr>
          <w:rFonts w:ascii="Times New Roman" w:hAnsi="Times New Roman" w:cs="Times New Roman"/>
          <w:lang w:val="en-GB"/>
        </w:rPr>
        <w:fldChar w:fldCharType="begin"/>
      </w:r>
      <w:r w:rsidR="00E6188A" w:rsidRPr="001F2D2D">
        <w:rPr>
          <w:rFonts w:ascii="Times New Roman" w:hAnsi="Times New Roman" w:cs="Times New Roman"/>
          <w:lang w:val="en-GB"/>
        </w:rPr>
        <w:instrText xml:space="preserve"> ADDIN ZOTERO_ITEM CSL_CITATION {"citationID":"RX9hLC46","properties":{"formattedCitation":"(Lenaerts and Guti\\uc0\\u233{}rrez-Fons, 2018, p. 106)","plainCitation":"(Lenaerts and Gutiérrez-Fons, 2018, p. 106)","noteIndex":0},"citationItems":[{"id":132,"uris":["http://zotero.org/users/local/JGwB40RD/items/LZ9DACN5"],"itemData":{"id":132,"type":"chapter","abstract":"In liberal democracies, written constitutions are the ‘supreme law of the land’ by means of which individuals sharing a common sense of belonging have agreed to establish a government of limited powers, which is entrusted with pursuing the common good, whilst respecting a sphere of individual freedom. At national level, constitutions have thus been called upon to fulfil three basic functions. First, they provide a catalogue of fundamental rights, including political rights, which public authorities (and individuals) are bound to respect. Secondly, they allocate power between the different branches of government. In federal or decentralized systems, they also allocate power between the centre and the periphery. Thirdly, they help to preserve national identity by determining the way in which a particular community of individuals is to interact with the wider world. Accordingly, a national constitution draws the dividing line between the domestic legal order and public international law.","container-title":"Oxford Principles Of European Union Law: The European Union Legal Order: Volume I","ISBN":"978-0-19-953377-0","language":"en","note":"DOI: 10.1093/oso/9780199533770.003.0005","publisher":"Oxford University Press","source":"DOI.org (Crossref)","title":"A Constitutional Perspective","URL":"https://oxford.universitypressscholarship.com/view/10.1093/oso/9780199533770.001.0001/isbn-9780199533770-book-part-5","container-author":[{"family":"Schütze","given":"Robert"},{"family":"Tridimas","given":"Takis"}],"author":[{"family":"Lenaerts","given":"Koen"},{"family":"Gutiérrez-Fons","given":"José A."}],"accessed":{"date-parts":[["2022",4,21]]},"issued":{"date-parts":[["2018",3,1]]}},"locator":"106"}],"schema":"https://github.com/citation-style-language/schema/raw/master/csl-citation.json"} </w:instrText>
      </w:r>
      <w:r w:rsidR="00E6188A" w:rsidRPr="001F2D2D">
        <w:rPr>
          <w:rFonts w:ascii="Times New Roman" w:hAnsi="Times New Roman" w:cs="Times New Roman"/>
          <w:lang w:val="en-GB"/>
        </w:rPr>
        <w:fldChar w:fldCharType="separate"/>
      </w:r>
      <w:r w:rsidR="00E6188A" w:rsidRPr="001F2D2D">
        <w:rPr>
          <w:rFonts w:ascii="Times New Roman" w:hAnsi="Times New Roman" w:cs="Times New Roman"/>
          <w:lang w:val="en-GB"/>
        </w:rPr>
        <w:t>(Lenaerts and Gutiérrez-Fons, 2018, p. 106)</w:t>
      </w:r>
      <w:r w:rsidR="00E6188A" w:rsidRPr="001F2D2D">
        <w:rPr>
          <w:rFonts w:ascii="Times New Roman" w:hAnsi="Times New Roman" w:cs="Times New Roman"/>
          <w:lang w:val="en-GB"/>
        </w:rPr>
        <w:fldChar w:fldCharType="end"/>
      </w:r>
      <w:r w:rsidR="00E6188A" w:rsidRPr="001F2D2D">
        <w:rPr>
          <w:rFonts w:ascii="Times New Roman" w:hAnsi="Times New Roman" w:cs="Times New Roman"/>
          <w:lang w:val="en-GB"/>
        </w:rPr>
        <w:t xml:space="preserve">. </w:t>
      </w:r>
    </w:p>
    <w:p w14:paraId="2BE371C3" w14:textId="4F902320" w:rsidR="004966D7" w:rsidRPr="001F2D2D" w:rsidRDefault="004966D7" w:rsidP="001F2D2D">
      <w:pPr>
        <w:spacing w:line="276" w:lineRule="auto"/>
        <w:jc w:val="both"/>
        <w:rPr>
          <w:rFonts w:ascii="Times New Roman" w:hAnsi="Times New Roman" w:cs="Times New Roman"/>
          <w:lang w:val="en-GB"/>
        </w:rPr>
      </w:pPr>
    </w:p>
    <w:p w14:paraId="69542C4B" w14:textId="7ED692C8" w:rsidR="00B834DD" w:rsidRPr="001F2D2D" w:rsidRDefault="00DF048D" w:rsidP="001F2D2D">
      <w:pPr>
        <w:spacing w:line="276" w:lineRule="auto"/>
        <w:jc w:val="both"/>
        <w:rPr>
          <w:rFonts w:ascii="Times New Roman" w:hAnsi="Times New Roman" w:cs="Times New Roman"/>
          <w:lang w:val="en-GB"/>
        </w:rPr>
      </w:pPr>
      <w:r w:rsidRPr="001F2D2D">
        <w:rPr>
          <w:rFonts w:ascii="Times New Roman" w:hAnsi="Times New Roman" w:cs="Times New Roman"/>
          <w:lang w:val="en-GB"/>
        </w:rPr>
        <w:t>The principle of autonomy of EU law resulted, inter alia, in the decision that a</w:t>
      </w:r>
      <w:r w:rsidR="002632F1" w:rsidRPr="001F2D2D">
        <w:rPr>
          <w:rFonts w:ascii="Times New Roman" w:hAnsi="Times New Roman" w:cs="Times New Roman"/>
          <w:lang w:val="en-GB"/>
        </w:rPr>
        <w:t xml:space="preserve"> tribunal</w:t>
      </w:r>
      <w:r w:rsidRPr="001F2D2D">
        <w:rPr>
          <w:rFonts w:ascii="Times New Roman" w:hAnsi="Times New Roman" w:cs="Times New Roman"/>
          <w:lang w:val="en-GB"/>
        </w:rPr>
        <w:t xml:space="preserve"> outside the legal system of the EU</w:t>
      </w:r>
      <w:r w:rsidR="002632F1" w:rsidRPr="001F2D2D">
        <w:rPr>
          <w:rFonts w:ascii="Times New Roman" w:hAnsi="Times New Roman" w:cs="Times New Roman"/>
          <w:lang w:val="en-GB"/>
        </w:rPr>
        <w:t xml:space="preserve"> cannot bind EU institutions to a certain interpretation of EU law</w:t>
      </w:r>
      <w:r w:rsidRPr="001F2D2D">
        <w:rPr>
          <w:rFonts w:ascii="Times New Roman" w:hAnsi="Times New Roman" w:cs="Times New Roman"/>
          <w:lang w:val="en-GB"/>
        </w:rPr>
        <w:t xml:space="preserve"> (Opinion 2/13); that a tribunal outside the legal system of the EU </w:t>
      </w:r>
      <w:r w:rsidR="002632F1" w:rsidRPr="001F2D2D">
        <w:rPr>
          <w:rFonts w:ascii="Times New Roman" w:hAnsi="Times New Roman" w:cs="Times New Roman"/>
          <w:lang w:val="en-GB"/>
        </w:rPr>
        <w:t>cannot call into question the democratic choice of EU institutions who determined a given level of protection of public interests</w:t>
      </w:r>
      <w:r w:rsidRPr="001F2D2D">
        <w:rPr>
          <w:rFonts w:ascii="Times New Roman" w:hAnsi="Times New Roman" w:cs="Times New Roman"/>
          <w:lang w:val="en-GB"/>
        </w:rPr>
        <w:t xml:space="preserve"> (and, since the tribunal established by the EU-Canada agreement did not do as much, it was found to be compatible with EU law in Opinion 1/17)</w:t>
      </w:r>
      <w:r w:rsidR="002632F1" w:rsidRPr="001F2D2D">
        <w:rPr>
          <w:rFonts w:ascii="Times New Roman" w:hAnsi="Times New Roman" w:cs="Times New Roman"/>
          <w:lang w:val="en-GB"/>
        </w:rPr>
        <w:t>.</w:t>
      </w:r>
      <w:r w:rsidR="006C4C9D" w:rsidRPr="001F2D2D">
        <w:rPr>
          <w:rFonts w:ascii="Times New Roman" w:hAnsi="Times New Roman" w:cs="Times New Roman"/>
          <w:lang w:val="en-GB"/>
        </w:rPr>
        <w:t xml:space="preserve"> </w:t>
      </w:r>
      <w:r w:rsidR="00B834DD" w:rsidRPr="001F2D2D">
        <w:rPr>
          <w:rFonts w:ascii="Times New Roman" w:hAnsi="Times New Roman" w:cs="Times New Roman"/>
          <w:lang w:val="en-GB"/>
        </w:rPr>
        <w:t xml:space="preserve">A maximalist and a minimalist conceptions of the principle of autonomy have been identified </w:t>
      </w:r>
      <w:r w:rsidR="00B834DD" w:rsidRPr="001F2D2D">
        <w:rPr>
          <w:rFonts w:ascii="Times New Roman" w:hAnsi="Times New Roman" w:cs="Times New Roman"/>
          <w:lang w:val="en-GB"/>
        </w:rPr>
        <w:fldChar w:fldCharType="begin"/>
      </w:r>
      <w:r w:rsidR="00B834DD" w:rsidRPr="001F2D2D">
        <w:rPr>
          <w:rFonts w:ascii="Times New Roman" w:hAnsi="Times New Roman" w:cs="Times New Roman"/>
          <w:lang w:val="en-GB"/>
        </w:rPr>
        <w:instrText xml:space="preserve"> ADDIN ZOTERO_ITEM CSL_CITATION {"citationID":"mh1a4qfl","properties":{"formattedCitation":"(Gatti, 2020, p. 93)","plainCitation":"(Gatti, 2020, p. 93)","noteIndex":0},"citationItems":[{"id":121,"uris":["http://zotero.org/users/local/JGwB40RD/items/6PTZHQV3"],"itemData":{"id":121,"type":"chapter","container-title":"Framing Convergence with the Global Legal Order","publisher":"Hart","title":"The EU and International Investment Agreements: To Diverge is to Converge","author":[{"family":"Gatti","given":"Mauro"}],"container-author":[{"family":"Fahey","given":"Elaine"}],"issued":{"date-parts":[["2020"]]}},"locator":"93"}],"schema":"https://github.com/citation-style-language/schema/raw/master/csl-citation.json"} </w:instrText>
      </w:r>
      <w:r w:rsidR="00B834DD" w:rsidRPr="001F2D2D">
        <w:rPr>
          <w:rFonts w:ascii="Times New Roman" w:hAnsi="Times New Roman" w:cs="Times New Roman"/>
          <w:lang w:val="en-GB"/>
        </w:rPr>
        <w:fldChar w:fldCharType="separate"/>
      </w:r>
      <w:r w:rsidR="00B834DD" w:rsidRPr="001F2D2D">
        <w:rPr>
          <w:rFonts w:ascii="Times New Roman" w:hAnsi="Times New Roman" w:cs="Times New Roman"/>
          <w:noProof/>
          <w:lang w:val="en-GB"/>
        </w:rPr>
        <w:t>(Gatti, 2020, p. 93)</w:t>
      </w:r>
      <w:r w:rsidR="00B834DD" w:rsidRPr="001F2D2D">
        <w:rPr>
          <w:rFonts w:ascii="Times New Roman" w:hAnsi="Times New Roman" w:cs="Times New Roman"/>
          <w:lang w:val="en-GB"/>
        </w:rPr>
        <w:fldChar w:fldCharType="end"/>
      </w:r>
      <w:r w:rsidR="00B834DD" w:rsidRPr="001F2D2D">
        <w:rPr>
          <w:rFonts w:ascii="Times New Roman" w:hAnsi="Times New Roman" w:cs="Times New Roman"/>
          <w:lang w:val="en-GB"/>
        </w:rPr>
        <w:t xml:space="preserve">: ‘in </w:t>
      </w:r>
      <w:proofErr w:type="spellStart"/>
      <w:r w:rsidR="00B834DD" w:rsidRPr="001F2D2D">
        <w:rPr>
          <w:rFonts w:ascii="Times New Roman" w:hAnsi="Times New Roman" w:cs="Times New Roman"/>
          <w:i/>
          <w:iCs/>
          <w:lang w:val="en-GB"/>
        </w:rPr>
        <w:t>Achmea</w:t>
      </w:r>
      <w:proofErr w:type="spellEnd"/>
      <w:r w:rsidR="00B834DD" w:rsidRPr="001F2D2D">
        <w:rPr>
          <w:rFonts w:ascii="Times New Roman" w:hAnsi="Times New Roman" w:cs="Times New Roman"/>
          <w:lang w:val="en-GB"/>
        </w:rPr>
        <w:t xml:space="preserve">, the Court adopted a formalist and allegedly ‘maximalist’ reading of the autonomy of EU, since it focused on the ‘abstract possibility’ of interference with the EU’s autonomy […], By contrast, the Court adopted a more restrained understanding of autonomy in other cases, such as Opinion 1/00’. The distinction would derive from the context </w:t>
      </w:r>
      <w:r w:rsidR="00B834DD" w:rsidRPr="001F2D2D">
        <w:rPr>
          <w:rFonts w:ascii="Times New Roman" w:hAnsi="Times New Roman" w:cs="Times New Roman"/>
          <w:lang w:val="en-GB"/>
        </w:rPr>
        <w:fldChar w:fldCharType="begin"/>
      </w:r>
      <w:r w:rsidR="00D74056" w:rsidRPr="001F2D2D">
        <w:rPr>
          <w:rFonts w:ascii="Times New Roman" w:hAnsi="Times New Roman" w:cs="Times New Roman"/>
          <w:lang w:val="en-GB"/>
        </w:rPr>
        <w:instrText xml:space="preserve"> ADDIN ZOTERO_ITEM CSL_CITATION {"citationID":"ECz7FEWx","properties":{"formattedCitation":"(Kassoti and Odermatt, 2020)","plainCitation":"(Kassoti and Odermatt, 2020)","noteIndex":0},"citationItems":[{"id":124,"uris":["http://zotero.org/users/local/JGwB40RD/items/7PHABPLL"],"itemData":{"id":124,"type":"post-weblog","abstract":"Questions of International Law","container-title":"QIL QDI","language":"en-US","note":"section: The blurring distinction between public and private in international dispute resolution","title":"The principle of autonomy and international investment arbitration: Reflections on Opinion 1/17","title-short":"The principle of autonomy and international investment arbitration","URL":"http://www.qil-qdi.org/the-principle-of-autonomy-and-international-investment-arbitration-reflections-on-opinion-1-17/","author":[{"family":"Kassoti","given":"Eva"},{"family":"Odermatt","given":"Jed"}],"accessed":{"date-parts":[["2022",4,20]]},"issued":{"date-parts":[["2020",9,30]]}}}],"schema":"https://github.com/citation-style-language/schema/raw/master/csl-citation.json"} </w:instrText>
      </w:r>
      <w:r w:rsidR="00B834DD" w:rsidRPr="001F2D2D">
        <w:rPr>
          <w:rFonts w:ascii="Times New Roman" w:hAnsi="Times New Roman" w:cs="Times New Roman"/>
          <w:lang w:val="en-GB"/>
        </w:rPr>
        <w:fldChar w:fldCharType="separate"/>
      </w:r>
      <w:r w:rsidR="00D74056" w:rsidRPr="001F2D2D">
        <w:rPr>
          <w:rFonts w:ascii="Times New Roman" w:hAnsi="Times New Roman" w:cs="Times New Roman"/>
          <w:lang w:val="en-GB"/>
        </w:rPr>
        <w:t>(Kassoti and Odermatt, 2020)</w:t>
      </w:r>
      <w:r w:rsidR="00B834DD" w:rsidRPr="001F2D2D">
        <w:rPr>
          <w:rFonts w:ascii="Times New Roman" w:hAnsi="Times New Roman" w:cs="Times New Roman"/>
          <w:lang w:val="en-GB"/>
        </w:rPr>
        <w:fldChar w:fldCharType="end"/>
      </w:r>
      <w:r w:rsidR="00B834DD" w:rsidRPr="001F2D2D">
        <w:rPr>
          <w:rFonts w:ascii="Times New Roman" w:hAnsi="Times New Roman" w:cs="Times New Roman"/>
          <w:lang w:val="en-GB"/>
        </w:rPr>
        <w:t xml:space="preserve">, even though it is not clear what exactly the ‘context’ is, nor how precisely it affects the Court’s understanding of autonomy. More on </w:t>
      </w:r>
      <w:r w:rsidR="005124D6" w:rsidRPr="001F2D2D">
        <w:rPr>
          <w:rFonts w:ascii="Times New Roman" w:hAnsi="Times New Roman" w:cs="Times New Roman"/>
          <w:lang w:val="en-GB"/>
        </w:rPr>
        <w:t>these difficulties</w:t>
      </w:r>
      <w:r w:rsidR="00B834DD" w:rsidRPr="001F2D2D">
        <w:rPr>
          <w:rFonts w:ascii="Times New Roman" w:hAnsi="Times New Roman" w:cs="Times New Roman"/>
          <w:lang w:val="en-GB"/>
        </w:rPr>
        <w:t xml:space="preserve"> is said later.</w:t>
      </w:r>
    </w:p>
    <w:p w14:paraId="558F73EB" w14:textId="77777777" w:rsidR="00B834DD" w:rsidRPr="001F2D2D" w:rsidRDefault="00B834DD" w:rsidP="001F2D2D">
      <w:pPr>
        <w:pStyle w:val="ListParagraph"/>
        <w:spacing w:line="276" w:lineRule="auto"/>
        <w:ind w:left="2160"/>
        <w:jc w:val="both"/>
        <w:rPr>
          <w:rFonts w:ascii="Times New Roman" w:hAnsi="Times New Roman" w:cs="Times New Roman"/>
          <w:lang w:val="en-GB"/>
        </w:rPr>
      </w:pPr>
    </w:p>
    <w:p w14:paraId="24F77090" w14:textId="1F8CC1E6" w:rsidR="009A21DA" w:rsidRPr="001F2D2D" w:rsidRDefault="009A21DA" w:rsidP="001F2D2D">
      <w:pPr>
        <w:spacing w:line="276" w:lineRule="auto"/>
        <w:jc w:val="both"/>
        <w:rPr>
          <w:rFonts w:ascii="Times New Roman" w:hAnsi="Times New Roman" w:cs="Times New Roman"/>
          <w:lang w:val="en-GB"/>
        </w:rPr>
      </w:pPr>
      <w:proofErr w:type="gramStart"/>
      <w:r w:rsidRPr="001F2D2D">
        <w:rPr>
          <w:rFonts w:ascii="Times New Roman" w:hAnsi="Times New Roman" w:cs="Times New Roman"/>
          <w:lang w:val="en-GB"/>
        </w:rPr>
        <w:t>Honing in</w:t>
      </w:r>
      <w:proofErr w:type="gramEnd"/>
      <w:r w:rsidRPr="001F2D2D">
        <w:rPr>
          <w:rFonts w:ascii="Times New Roman" w:hAnsi="Times New Roman" w:cs="Times New Roman"/>
          <w:lang w:val="en-GB"/>
        </w:rPr>
        <w:t xml:space="preserve"> on the</w:t>
      </w:r>
      <w:r w:rsidR="009E192D" w:rsidRPr="001F2D2D">
        <w:rPr>
          <w:rFonts w:ascii="Times New Roman" w:hAnsi="Times New Roman" w:cs="Times New Roman"/>
          <w:lang w:val="en-GB"/>
        </w:rPr>
        <w:t xml:space="preserve"> conception</w:t>
      </w:r>
      <w:r w:rsidRPr="001F2D2D">
        <w:rPr>
          <w:rFonts w:ascii="Times New Roman" w:hAnsi="Times New Roman" w:cs="Times New Roman"/>
          <w:lang w:val="en-GB"/>
        </w:rPr>
        <w:t xml:space="preserve"> of autonomy</w:t>
      </w:r>
      <w:r w:rsidR="009E192D" w:rsidRPr="001F2D2D">
        <w:rPr>
          <w:rFonts w:ascii="Times New Roman" w:hAnsi="Times New Roman" w:cs="Times New Roman"/>
          <w:lang w:val="en-GB"/>
        </w:rPr>
        <w:t xml:space="preserve"> in its positive fashion</w:t>
      </w:r>
      <w:r w:rsidRPr="001F2D2D">
        <w:rPr>
          <w:rFonts w:ascii="Times New Roman" w:hAnsi="Times New Roman" w:cs="Times New Roman"/>
          <w:lang w:val="en-GB"/>
        </w:rPr>
        <w:t>, another distinction can be made</w:t>
      </w:r>
      <w:r w:rsidR="009E192D" w:rsidRPr="001F2D2D">
        <w:rPr>
          <w:rFonts w:ascii="Times New Roman" w:hAnsi="Times New Roman" w:cs="Times New Roman"/>
          <w:lang w:val="en-GB"/>
        </w:rPr>
        <w:t>: the legal principle of autonomy protects the integrity of essential characteristics of EU law (</w:t>
      </w:r>
      <w:proofErr w:type="spellStart"/>
      <w:r w:rsidR="009E192D" w:rsidRPr="001F2D2D">
        <w:rPr>
          <w:rFonts w:ascii="Times New Roman" w:hAnsi="Times New Roman" w:cs="Times New Roman"/>
          <w:lang w:val="en-GB"/>
        </w:rPr>
        <w:t>Klamert</w:t>
      </w:r>
      <w:proofErr w:type="spellEnd"/>
      <w:r w:rsidR="009E192D" w:rsidRPr="001F2D2D">
        <w:rPr>
          <w:rFonts w:ascii="Times New Roman" w:hAnsi="Times New Roman" w:cs="Times New Roman"/>
          <w:lang w:val="en-GB"/>
        </w:rPr>
        <w:t xml:space="preserve">, 2017, p. 823), but are these </w:t>
      </w:r>
      <w:r w:rsidR="00DF048D" w:rsidRPr="001F2D2D">
        <w:rPr>
          <w:rFonts w:ascii="Times New Roman" w:hAnsi="Times New Roman" w:cs="Times New Roman"/>
          <w:lang w:val="en-GB"/>
        </w:rPr>
        <w:t>characteristics of</w:t>
      </w:r>
      <w:r w:rsidR="009E192D" w:rsidRPr="001F2D2D">
        <w:rPr>
          <w:rFonts w:ascii="Times New Roman" w:hAnsi="Times New Roman" w:cs="Times New Roman"/>
          <w:lang w:val="en-GB"/>
        </w:rPr>
        <w:t xml:space="preserve"> substance, or </w:t>
      </w:r>
      <w:r w:rsidR="00DF048D" w:rsidRPr="001F2D2D">
        <w:rPr>
          <w:rFonts w:ascii="Times New Roman" w:hAnsi="Times New Roman" w:cs="Times New Roman"/>
          <w:lang w:val="en-GB"/>
        </w:rPr>
        <w:t>characteristics</w:t>
      </w:r>
      <w:r w:rsidR="009E192D" w:rsidRPr="001F2D2D">
        <w:rPr>
          <w:rFonts w:ascii="Times New Roman" w:hAnsi="Times New Roman" w:cs="Times New Roman"/>
          <w:lang w:val="en-GB"/>
        </w:rPr>
        <w:t xml:space="preserve"> </w:t>
      </w:r>
      <w:r w:rsidR="006C4C9D" w:rsidRPr="001F2D2D">
        <w:rPr>
          <w:rFonts w:ascii="Times New Roman" w:hAnsi="Times New Roman" w:cs="Times New Roman"/>
          <w:lang w:val="en-GB"/>
        </w:rPr>
        <w:t xml:space="preserve">of </w:t>
      </w:r>
      <w:r w:rsidR="009E192D" w:rsidRPr="001F2D2D">
        <w:rPr>
          <w:rFonts w:ascii="Times New Roman" w:hAnsi="Times New Roman" w:cs="Times New Roman"/>
          <w:lang w:val="en-GB"/>
        </w:rPr>
        <w:t>structure?</w:t>
      </w:r>
      <w:r w:rsidR="006C4C9D" w:rsidRPr="001F2D2D">
        <w:rPr>
          <w:rFonts w:ascii="Times New Roman" w:hAnsi="Times New Roman" w:cs="Times New Roman"/>
          <w:lang w:val="en-GB"/>
        </w:rPr>
        <w:t xml:space="preserve"> Does the legal principle of autonomy protect the box, or </w:t>
      </w:r>
      <w:r w:rsidR="00966236">
        <w:rPr>
          <w:rFonts w:ascii="Times New Roman" w:hAnsi="Times New Roman" w:cs="Times New Roman"/>
          <w:lang w:val="en-GB"/>
        </w:rPr>
        <w:t xml:space="preserve">does it </w:t>
      </w:r>
      <w:proofErr w:type="gramStart"/>
      <w:r w:rsidR="00966236">
        <w:rPr>
          <w:rFonts w:ascii="Times New Roman" w:hAnsi="Times New Roman" w:cs="Times New Roman"/>
          <w:lang w:val="en-GB"/>
        </w:rPr>
        <w:t>determine</w:t>
      </w:r>
      <w:r w:rsidR="00A95F81">
        <w:rPr>
          <w:rFonts w:ascii="Times New Roman" w:hAnsi="Times New Roman" w:cs="Times New Roman"/>
          <w:lang w:val="en-GB"/>
        </w:rPr>
        <w:t xml:space="preserve"> </w:t>
      </w:r>
      <w:r w:rsidR="006C4C9D" w:rsidRPr="001F2D2D">
        <w:rPr>
          <w:rFonts w:ascii="Times New Roman" w:hAnsi="Times New Roman" w:cs="Times New Roman"/>
          <w:lang w:val="en-GB"/>
        </w:rPr>
        <w:t>also</w:t>
      </w:r>
      <w:proofErr w:type="gramEnd"/>
      <w:r w:rsidR="006C4C9D" w:rsidRPr="001F2D2D">
        <w:rPr>
          <w:rFonts w:ascii="Times New Roman" w:hAnsi="Times New Roman" w:cs="Times New Roman"/>
          <w:lang w:val="en-GB"/>
        </w:rPr>
        <w:t xml:space="preserve"> the content of the box? </w:t>
      </w:r>
    </w:p>
    <w:p w14:paraId="608F9253" w14:textId="77777777" w:rsidR="009E192D" w:rsidRPr="001F2D2D" w:rsidRDefault="009E192D" w:rsidP="001F2D2D">
      <w:pPr>
        <w:spacing w:line="276" w:lineRule="auto"/>
        <w:jc w:val="both"/>
        <w:rPr>
          <w:rFonts w:ascii="Times New Roman" w:hAnsi="Times New Roman" w:cs="Times New Roman"/>
          <w:lang w:val="en-GB"/>
        </w:rPr>
      </w:pPr>
    </w:p>
    <w:p w14:paraId="114400BB" w14:textId="6511F129" w:rsidR="009E3307" w:rsidRPr="001F2D2D" w:rsidRDefault="00DF048D" w:rsidP="001F2D2D">
      <w:pPr>
        <w:spacing w:line="276" w:lineRule="auto"/>
        <w:jc w:val="both"/>
        <w:rPr>
          <w:rFonts w:ascii="Times New Roman" w:hAnsi="Times New Roman" w:cs="Times New Roman"/>
          <w:lang w:val="en-GB"/>
        </w:rPr>
      </w:pPr>
      <w:r w:rsidRPr="001F2D2D">
        <w:rPr>
          <w:rFonts w:ascii="Times New Roman" w:hAnsi="Times New Roman" w:cs="Times New Roman"/>
          <w:lang w:val="en-GB"/>
        </w:rPr>
        <w:fldChar w:fldCharType="begin"/>
      </w:r>
      <w:r w:rsidRPr="001F2D2D">
        <w:rPr>
          <w:rFonts w:ascii="Times New Roman" w:hAnsi="Times New Roman" w:cs="Times New Roman"/>
          <w:lang w:val="en-GB"/>
        </w:rPr>
        <w:instrText xml:space="preserve"> ADDIN ZOTERO_ITEM CSL_CITATION {"citationID":"F3h7OR3C","properties":{"formattedCitation":"(Shuibhne, 2019, p. 5)","plainCitation":"(Shuibhne, 2019, p. 5)","noteIndex":0},"citationItems":[{"id":219,"uris":["http://zotero.org/users/local/JGwB40RD/items/VRGDH72G"],"itemData":{"id":219,"type":"article-journal","abstract":"This article argues that the autonomy of\n              eu\n              law conveys a set of rules and principles but also constitutes a principle of\n              eu\n              law on its own terms. Its features suggest a distinctive existential character, in light of its internal and external reach but, particularly, a quality of extremity that has come to define its implications. Reflecting on the nature of autonomy matters because of the closing down of space for compromise it produces and what is uncovered about the nature of\n              eu\n              primary law in consequence. The effects of autonomy have principally concerned the jurisdiction of the Court of Justice, but the wider focus on autonomy of “Union decision-making” as a “core principle” of Brexit negotiations, for the\n              eu\n              part, reactivates a more generalised understanding of what the principle commands. That process also tests the extent to which an understanding of autonomy as an existential principle should be sustained.","container-title":"Nordic Journal of International Law","DOI":"10.1163/15718107-08810002","ISSN":"0902-7351, 1571-8107","issue":"1","journalAbbreviation":"Nord. J. Int. Law","page":"9-40","source":"DOI.org (Crossref)","title":"What is the Autonomy of eu Law, and Why Does that Matter?","volume":"88","author":[{"family":"Shuibhne","given":"Niamh Nic"}],"issued":{"date-parts":[["2019",3,11]]}},"locator":"5"}],"schema":"https://github.com/citation-style-language/schema/raw/master/csl-citation.json"} </w:instrText>
      </w:r>
      <w:r w:rsidRPr="001F2D2D">
        <w:rPr>
          <w:rFonts w:ascii="Times New Roman" w:hAnsi="Times New Roman" w:cs="Times New Roman"/>
          <w:lang w:val="en-GB"/>
        </w:rPr>
        <w:fldChar w:fldCharType="separate"/>
      </w:r>
      <w:r w:rsidRPr="001F2D2D">
        <w:rPr>
          <w:rFonts w:ascii="Times New Roman" w:hAnsi="Times New Roman" w:cs="Times New Roman"/>
          <w:noProof/>
          <w:lang w:val="en-GB"/>
        </w:rPr>
        <w:t>(Shuibhne, 2019, p. 5)</w:t>
      </w:r>
      <w:r w:rsidRPr="001F2D2D">
        <w:rPr>
          <w:rFonts w:ascii="Times New Roman" w:hAnsi="Times New Roman" w:cs="Times New Roman"/>
          <w:lang w:val="en-GB"/>
        </w:rPr>
        <w:fldChar w:fldCharType="end"/>
      </w:r>
      <w:r w:rsidRPr="001F2D2D">
        <w:rPr>
          <w:rFonts w:ascii="Times New Roman" w:hAnsi="Times New Roman" w:cs="Times New Roman"/>
          <w:lang w:val="en-GB"/>
        </w:rPr>
        <w:t xml:space="preserve"> identifies a ‘substantive dimension’ of the principle of autonomy. The substantive aspect of it consists of the protection of fundamental rights</w:t>
      </w:r>
      <w:r w:rsidR="009E3307" w:rsidRPr="001F2D2D">
        <w:rPr>
          <w:rFonts w:ascii="Times New Roman" w:hAnsi="Times New Roman" w:cs="Times New Roman"/>
          <w:lang w:val="en-GB"/>
        </w:rPr>
        <w:t xml:space="preserve"> (citing </w:t>
      </w:r>
      <w:r w:rsidR="009E3307" w:rsidRPr="001F2D2D">
        <w:rPr>
          <w:rFonts w:ascii="Times New Roman" w:hAnsi="Times New Roman" w:cs="Times New Roman"/>
          <w:i/>
          <w:iCs/>
          <w:lang w:val="en-GB"/>
        </w:rPr>
        <w:t>Kadi</w:t>
      </w:r>
      <w:r w:rsidR="009E3307" w:rsidRPr="001F2D2D">
        <w:rPr>
          <w:rFonts w:ascii="Times New Roman" w:hAnsi="Times New Roman" w:cs="Times New Roman"/>
          <w:lang w:val="en-GB"/>
        </w:rPr>
        <w:t xml:space="preserve"> para 316: ‘the review by the Court of the validity of any [Union] measure in the light of fundamental rights must </w:t>
      </w:r>
      <w:proofErr w:type="gramStart"/>
      <w:r w:rsidR="009E3307" w:rsidRPr="001F2D2D">
        <w:rPr>
          <w:rFonts w:ascii="Times New Roman" w:hAnsi="Times New Roman" w:cs="Times New Roman"/>
          <w:lang w:val="en-GB"/>
        </w:rPr>
        <w:t>be considered to be</w:t>
      </w:r>
      <w:proofErr w:type="gramEnd"/>
      <w:r w:rsidR="009E3307" w:rsidRPr="001F2D2D">
        <w:rPr>
          <w:rFonts w:ascii="Times New Roman" w:hAnsi="Times New Roman" w:cs="Times New Roman"/>
          <w:lang w:val="en-GB"/>
        </w:rPr>
        <w:t xml:space="preserve"> the expression, in a community based on the rule of law, of a constitutional guarantee stemming from the [TFEU] as an autonomous legal system which is not to be prejudiced by an international agreement’). And, more generally, in the protection of EU (regulatory) standards and objectives vis-à-vis international law (the case law on autonomous interpretation of Charter rights, permitted by the explanations to Article 52(3) of the Charter, could be read as example of this).</w:t>
      </w:r>
      <w:r w:rsidR="00F61A48">
        <w:rPr>
          <w:rFonts w:ascii="Times New Roman" w:hAnsi="Times New Roman" w:cs="Times New Roman"/>
          <w:lang w:val="en-GB"/>
        </w:rPr>
        <w:t xml:space="preserve"> This appeared to be confirmed</w:t>
      </w:r>
      <w:r w:rsidR="00301C41">
        <w:rPr>
          <w:rFonts w:ascii="Times New Roman" w:hAnsi="Times New Roman" w:cs="Times New Roman"/>
          <w:lang w:val="en-GB"/>
        </w:rPr>
        <w:t xml:space="preserve"> also</w:t>
      </w:r>
      <w:r w:rsidR="00F61A48">
        <w:rPr>
          <w:rFonts w:ascii="Times New Roman" w:hAnsi="Times New Roman" w:cs="Times New Roman"/>
          <w:lang w:val="en-GB"/>
        </w:rPr>
        <w:t xml:space="preserve"> by Opinion 1/17, where the Court found that a tribunal outside the EU legal system could not affect the determination made by the EU legislature of the standard of EU public interest </w:t>
      </w:r>
      <w:r w:rsidR="00F61A48">
        <w:rPr>
          <w:rFonts w:ascii="Times New Roman" w:hAnsi="Times New Roman" w:cs="Times New Roman"/>
          <w:lang w:val="en-GB"/>
        </w:rPr>
        <w:fldChar w:fldCharType="begin"/>
      </w:r>
      <w:r w:rsidR="00F61A48">
        <w:rPr>
          <w:rFonts w:ascii="Times New Roman" w:hAnsi="Times New Roman" w:cs="Times New Roman"/>
          <w:lang w:val="en-GB"/>
        </w:rPr>
        <w:instrText xml:space="preserve"> ADDIN ZOTERO_ITEM CSL_CITATION {"citationID":"RV0co3ft","properties":{"formattedCitation":"(K\\uc0\\u252{}bek, 2020)","plainCitation":"(Kübek, 2020)","noteIndex":0},"citationItems":[{"id":267,"uris":["http://zotero.org/users/local/JGwB40RD/items/EMKC2AEH"],"itemData":{"id":267,"type":"article-journal","abstract":"The application and implications of the principle of autonomy for international investment agreements concluded by the Member States and the European Union (EU) has become a recurrent theme before the Court of Justice of the European Union. The decisions in  Achmea  and  Opinion 1/17  show that autonomy unfolds differently in intra- and extra-EU investment relations and can only be preserved in the latter context. The present article examines this difference and, in light of  Opinion 1/17 , seeks to explain how and why the autonomy of EU law can be preserved for international investment agreements through careful treaty design. In addition, it sheds some light on the practical consequences for the EU’s and the Member States’ external investment relations.","container-title":"Europe and the World: A law review","DOI":"10.14324/111.444.ewlj.2020.27","ISSN":"2399-2875","issue":"1","journalAbbreviation":"Eur. World","source":"DOI.org (Crossref)","title":"Autonomy and international investment agreements after Opinion 1/17","URL":"https://scienceopen.com/document?vid=4bfd0385-bc82-4435-93f1-d254a572db44","volume":"4","author":[{"family":"Kübek","given":"Gesa"}],"accessed":{"date-parts":[["2022",5,6]]},"issued":{"date-parts":[["2020",9,29]]}}}],"schema":"https://github.com/citation-style-language/schema/raw/master/csl-citation.json"} </w:instrText>
      </w:r>
      <w:r w:rsidR="00F61A48">
        <w:rPr>
          <w:rFonts w:ascii="Times New Roman" w:hAnsi="Times New Roman" w:cs="Times New Roman"/>
          <w:lang w:val="en-GB"/>
        </w:rPr>
        <w:fldChar w:fldCharType="separate"/>
      </w:r>
      <w:r w:rsidR="00F61A48" w:rsidRPr="00F61A48">
        <w:rPr>
          <w:rFonts w:ascii="Times New Roman" w:hAnsi="Times New Roman" w:cs="Times New Roman"/>
          <w:lang w:val="en-GB"/>
        </w:rPr>
        <w:t>(Kübek, 2020)</w:t>
      </w:r>
      <w:r w:rsidR="00F61A48">
        <w:rPr>
          <w:rFonts w:ascii="Times New Roman" w:hAnsi="Times New Roman" w:cs="Times New Roman"/>
          <w:lang w:val="en-GB"/>
        </w:rPr>
        <w:fldChar w:fldCharType="end"/>
      </w:r>
      <w:r w:rsidR="00F61A48">
        <w:rPr>
          <w:rFonts w:ascii="Times New Roman" w:hAnsi="Times New Roman" w:cs="Times New Roman"/>
          <w:lang w:val="en-GB"/>
        </w:rPr>
        <w:t>.</w:t>
      </w:r>
      <w:r w:rsidR="009E3307" w:rsidRPr="001F2D2D">
        <w:rPr>
          <w:rFonts w:ascii="Times New Roman" w:hAnsi="Times New Roman" w:cs="Times New Roman"/>
          <w:lang w:val="en-GB"/>
        </w:rPr>
        <w:t xml:space="preserve"> </w:t>
      </w:r>
      <w:r w:rsidR="001356DF" w:rsidRPr="001F2D2D">
        <w:rPr>
          <w:rFonts w:ascii="Times New Roman" w:hAnsi="Times New Roman" w:cs="Times New Roman"/>
          <w:lang w:val="en-GB"/>
        </w:rPr>
        <w:t xml:space="preserve">The autonomy of EU law is adversely affected whenever it is not the EU legislature to set standards. </w:t>
      </w:r>
      <w:r w:rsidR="009E3307" w:rsidRPr="001F2D2D">
        <w:rPr>
          <w:rFonts w:ascii="Times New Roman" w:hAnsi="Times New Roman" w:cs="Times New Roman"/>
          <w:lang w:val="en-GB"/>
        </w:rPr>
        <w:t>If this view is accepted, autonomy protects matters of substance.</w:t>
      </w:r>
      <w:r w:rsidR="003A15A7" w:rsidRPr="001F2D2D">
        <w:rPr>
          <w:rFonts w:ascii="Times New Roman" w:hAnsi="Times New Roman" w:cs="Times New Roman"/>
          <w:lang w:val="en-GB"/>
        </w:rPr>
        <w:t xml:space="preserve"> </w:t>
      </w:r>
      <w:r w:rsidR="001356DF" w:rsidRPr="001F2D2D">
        <w:rPr>
          <w:rFonts w:ascii="Times New Roman" w:hAnsi="Times New Roman" w:cs="Times New Roman"/>
          <w:lang w:val="en-GB"/>
        </w:rPr>
        <w:t xml:space="preserve">It is unclear whether this procedural understanding of permits a regression in the standard of protection, and if so at what conditions, but this follows from the conceptual problems discussed in section 4. </w:t>
      </w:r>
    </w:p>
    <w:p w14:paraId="397A9F76" w14:textId="77777777" w:rsidR="001356DF" w:rsidRPr="001F2D2D" w:rsidRDefault="001356DF" w:rsidP="001F2D2D">
      <w:pPr>
        <w:spacing w:line="276" w:lineRule="auto"/>
        <w:jc w:val="both"/>
        <w:rPr>
          <w:rFonts w:ascii="Times New Roman" w:hAnsi="Times New Roman" w:cs="Times New Roman"/>
          <w:lang w:val="en-GB"/>
        </w:rPr>
      </w:pPr>
    </w:p>
    <w:p w14:paraId="5AD9F111" w14:textId="5BB781A9" w:rsidR="0003015D" w:rsidRPr="001F2D2D" w:rsidRDefault="004A6340" w:rsidP="001F2D2D">
      <w:pPr>
        <w:spacing w:line="276" w:lineRule="auto"/>
        <w:jc w:val="both"/>
        <w:rPr>
          <w:rFonts w:ascii="Times New Roman" w:hAnsi="Times New Roman" w:cs="Times New Roman"/>
          <w:lang w:val="en-GB"/>
        </w:rPr>
      </w:pPr>
      <w:r w:rsidRPr="001F2D2D">
        <w:rPr>
          <w:rFonts w:ascii="Times New Roman" w:hAnsi="Times New Roman" w:cs="Times New Roman"/>
          <w:lang w:val="en-GB"/>
        </w:rPr>
        <w:t xml:space="preserve">Contrary to </w:t>
      </w:r>
      <w:proofErr w:type="spellStart"/>
      <w:r w:rsidRPr="001F2D2D">
        <w:rPr>
          <w:rFonts w:ascii="Times New Roman" w:hAnsi="Times New Roman" w:cs="Times New Roman"/>
          <w:lang w:val="en-GB"/>
        </w:rPr>
        <w:t>NicShuibhne</w:t>
      </w:r>
      <w:proofErr w:type="spellEnd"/>
      <w:r w:rsidRPr="001F2D2D">
        <w:rPr>
          <w:rFonts w:ascii="Times New Roman" w:hAnsi="Times New Roman" w:cs="Times New Roman"/>
          <w:lang w:val="en-GB"/>
        </w:rPr>
        <w:t xml:space="preserve">, </w:t>
      </w:r>
      <w:r w:rsidR="00C44494" w:rsidRPr="001F2D2D">
        <w:rPr>
          <w:rFonts w:ascii="Times New Roman" w:hAnsi="Times New Roman" w:cs="Times New Roman"/>
          <w:lang w:val="en-GB"/>
        </w:rPr>
        <w:t xml:space="preserve">other authors </w:t>
      </w:r>
      <w:r w:rsidR="00AF2D79" w:rsidRPr="001F2D2D">
        <w:rPr>
          <w:rFonts w:ascii="Times New Roman" w:hAnsi="Times New Roman" w:cs="Times New Roman"/>
          <w:lang w:val="en-GB"/>
        </w:rPr>
        <w:t>suggest that ‘the EU standards of protection of [a] public interest do not, as such, fall under the principle of autonomy’</w:t>
      </w:r>
      <w:r w:rsidR="00F47B65" w:rsidRPr="001F2D2D">
        <w:rPr>
          <w:rFonts w:ascii="Times New Roman" w:hAnsi="Times New Roman" w:cs="Times New Roman"/>
          <w:lang w:val="en-GB"/>
        </w:rPr>
        <w:t xml:space="preserve"> </w:t>
      </w:r>
      <w:r w:rsidR="00F47B65" w:rsidRPr="001F2D2D">
        <w:rPr>
          <w:rFonts w:ascii="Times New Roman" w:hAnsi="Times New Roman" w:cs="Times New Roman"/>
          <w:lang w:val="en-GB"/>
        </w:rPr>
        <w:fldChar w:fldCharType="begin"/>
      </w:r>
      <w:r w:rsidR="00F47B65" w:rsidRPr="001F2D2D">
        <w:rPr>
          <w:rFonts w:ascii="Times New Roman" w:hAnsi="Times New Roman" w:cs="Times New Roman"/>
          <w:lang w:val="en-GB"/>
        </w:rPr>
        <w:instrText xml:space="preserve"> ADDIN ZOTERO_ITEM CSL_CITATION {"citationID":"6UFN7u0K","properties":{"formattedCitation":"(Neframi, 2020, p. 44)","plainCitation":"(Neframi, 2020, p. 44)","noteIndex":0},"citationItems":[{"id":221,"uris":["http://zotero.org/users/local/JGwB40RD/items/7CGPZ5RK"],"itemData":{"id":221,"type":"chapter","abstract":"In the external action of the Union, the establishment of permanent investment courts is not only part of the common commercial policy, but also an expression of the objective to promote the rule of law and to act as an influential actor in …","container-title":"European Yearbook of International Economic Law","language":"de","publisher":"Springer","title":"Permanent Investment Courts and the EU Legal Order","URL":"https://www.springerprofessional.de/permanent-investment-courts-and-the-eu-legal-order/18390564","author":[{"family":"Neframi","given":"Eleftheria"}],"accessed":{"date-parts":[["2022",4,24]]},"issued":{"date-parts":[["2020"]]}},"locator":"44"}],"schema":"https://github.com/citation-style-language/schema/raw/master/csl-citation.json"} </w:instrText>
      </w:r>
      <w:r w:rsidR="00F47B65" w:rsidRPr="001F2D2D">
        <w:rPr>
          <w:rFonts w:ascii="Times New Roman" w:hAnsi="Times New Roman" w:cs="Times New Roman"/>
          <w:lang w:val="en-GB"/>
        </w:rPr>
        <w:fldChar w:fldCharType="separate"/>
      </w:r>
      <w:r w:rsidR="00F47B65" w:rsidRPr="001F2D2D">
        <w:rPr>
          <w:rFonts w:ascii="Times New Roman" w:hAnsi="Times New Roman" w:cs="Times New Roman"/>
          <w:noProof/>
          <w:lang w:val="en-GB"/>
        </w:rPr>
        <w:t>(Neframi, 2020, p. 44)</w:t>
      </w:r>
      <w:r w:rsidR="00F47B65" w:rsidRPr="001F2D2D">
        <w:rPr>
          <w:rFonts w:ascii="Times New Roman" w:hAnsi="Times New Roman" w:cs="Times New Roman"/>
          <w:lang w:val="en-GB"/>
        </w:rPr>
        <w:fldChar w:fldCharType="end"/>
      </w:r>
      <w:r w:rsidR="00C44494" w:rsidRPr="001F2D2D">
        <w:rPr>
          <w:rFonts w:ascii="Times New Roman" w:hAnsi="Times New Roman" w:cs="Times New Roman"/>
          <w:lang w:val="en-GB"/>
        </w:rPr>
        <w:t xml:space="preserve"> and that ‘[t]he EU legal order provides an enclosed constitutional space where the ECJ, as the supreme court, is committed to respecting principles but not outcomes’ </w:t>
      </w:r>
      <w:r w:rsidR="00C44494" w:rsidRPr="001F2D2D">
        <w:rPr>
          <w:rFonts w:ascii="Times New Roman" w:hAnsi="Times New Roman" w:cs="Times New Roman"/>
          <w:lang w:val="en-GB"/>
        </w:rPr>
        <w:fldChar w:fldCharType="begin"/>
      </w:r>
      <w:r w:rsidR="00C44494" w:rsidRPr="001F2D2D">
        <w:rPr>
          <w:rFonts w:ascii="Times New Roman" w:hAnsi="Times New Roman" w:cs="Times New Roman"/>
          <w:lang w:val="en-GB"/>
        </w:rPr>
        <w:instrText xml:space="preserve"> ADDIN ZOTERO_ITEM CSL_CITATION {"citationID":"oePnLeMM","properties":{"formattedCitation":"(Tridimas, 2018, p. 261)","plainCitation":"(Tridimas, 2018, p. 261)","noteIndex":0},"citationItems":[{"id":241,"uris":["http://zotero.org/users/local/JGwB40RD/items/39ANFF9Y"],"itemData":{"id":241,"type":"chapter","abstract":"The principle of proportionality is the most oft-invoked and, in terms of its role in constitutional adjudication, the most influential principle of EU law. The principle was developed in continental legal systems, especially in Germany and France, in the twentieth century. Even at an early stage in the development of EEC law, proportionality had already been pronounced by the Court of Justice to be a fundamental principle deriving from the rule of law and requiring in particular that ‘the individual should not have his freedom of action limited beyond the degree necessary in the public interest’.","container-title":"Oxford Principles Of European Union Law: The European Union Legal Order: Volume I","ISBN":"978-0-19-953377-0","language":"en","note":"DOI: 10.1093/oso/9780199533770.003.0010","publisher":"Oxford University Press","source":"DOI.org (Crossref)","title":"The Principle of Proportionality","URL":"https://oxford.universitypressscholarship.com/view/10.1093/oso/9780199533770.001.0001/isbn-9780199533770-book-part-10","container-author":[{"family":"Tridimas","given":"Takis"}],"author":[{"family":"Tridimas","given":"Takis"}],"accessed":{"date-parts":[["2022",4,25]]},"issued":{"date-parts":[["2018",3,1]]}},"locator":"261"}],"schema":"https://github.com/citation-style-language/schema/raw/master/csl-citation.json"} </w:instrText>
      </w:r>
      <w:r w:rsidR="00C44494" w:rsidRPr="001F2D2D">
        <w:rPr>
          <w:rFonts w:ascii="Times New Roman" w:hAnsi="Times New Roman" w:cs="Times New Roman"/>
          <w:lang w:val="en-GB"/>
        </w:rPr>
        <w:fldChar w:fldCharType="separate"/>
      </w:r>
      <w:r w:rsidR="00C44494" w:rsidRPr="001F2D2D">
        <w:rPr>
          <w:rFonts w:ascii="Times New Roman" w:hAnsi="Times New Roman" w:cs="Times New Roman"/>
          <w:noProof/>
          <w:lang w:val="en-GB"/>
        </w:rPr>
        <w:t>(Tridimas, 2018, p. 261)</w:t>
      </w:r>
      <w:r w:rsidR="00C44494" w:rsidRPr="001F2D2D">
        <w:rPr>
          <w:rFonts w:ascii="Times New Roman" w:hAnsi="Times New Roman" w:cs="Times New Roman"/>
          <w:lang w:val="en-GB"/>
        </w:rPr>
        <w:fldChar w:fldCharType="end"/>
      </w:r>
      <w:r w:rsidR="00AF2D79" w:rsidRPr="001F2D2D">
        <w:rPr>
          <w:rFonts w:ascii="Times New Roman" w:hAnsi="Times New Roman" w:cs="Times New Roman"/>
          <w:lang w:val="en-GB"/>
        </w:rPr>
        <w:t>.</w:t>
      </w:r>
      <w:r w:rsidR="00FA5C0E" w:rsidRPr="001F2D2D">
        <w:rPr>
          <w:rFonts w:ascii="Times New Roman" w:hAnsi="Times New Roman" w:cs="Times New Roman"/>
          <w:lang w:val="en-GB"/>
        </w:rPr>
        <w:t xml:space="preserve"> This is </w:t>
      </w:r>
      <w:r w:rsidR="003A15A7" w:rsidRPr="001F2D2D">
        <w:rPr>
          <w:rFonts w:ascii="Times New Roman" w:hAnsi="Times New Roman" w:cs="Times New Roman"/>
          <w:lang w:val="en-GB"/>
        </w:rPr>
        <w:t>evidenced by the fact that, for example,</w:t>
      </w:r>
      <w:r w:rsidR="00FA5C0E" w:rsidRPr="001F2D2D">
        <w:rPr>
          <w:rFonts w:ascii="Times New Roman" w:hAnsi="Times New Roman" w:cs="Times New Roman"/>
          <w:lang w:val="en-GB"/>
        </w:rPr>
        <w:t xml:space="preserve"> the EU</w:t>
      </w:r>
      <w:r w:rsidR="003A15A7" w:rsidRPr="001F2D2D">
        <w:rPr>
          <w:rFonts w:ascii="Times New Roman" w:hAnsi="Times New Roman" w:cs="Times New Roman"/>
          <w:lang w:val="en-GB"/>
        </w:rPr>
        <w:t xml:space="preserve"> </w:t>
      </w:r>
      <w:r w:rsidR="00F61A48">
        <w:rPr>
          <w:rFonts w:ascii="Times New Roman" w:hAnsi="Times New Roman" w:cs="Times New Roman"/>
          <w:lang w:val="en-GB"/>
        </w:rPr>
        <w:t>set (and amend) its standards</w:t>
      </w:r>
      <w:r w:rsidR="003A15A7" w:rsidRPr="001F2D2D">
        <w:rPr>
          <w:rFonts w:ascii="Times New Roman" w:hAnsi="Times New Roman" w:cs="Times New Roman"/>
          <w:lang w:val="en-GB"/>
        </w:rPr>
        <w:t xml:space="preserve"> by negotiating on them</w:t>
      </w:r>
      <w:r w:rsidRPr="001F2D2D">
        <w:rPr>
          <w:rFonts w:ascii="Times New Roman" w:hAnsi="Times New Roman" w:cs="Times New Roman"/>
          <w:lang w:val="en-GB"/>
        </w:rPr>
        <w:t xml:space="preserve"> with third countries: </w:t>
      </w:r>
      <w:r w:rsidR="003A15A7" w:rsidRPr="001F2D2D">
        <w:rPr>
          <w:rFonts w:ascii="Times New Roman" w:hAnsi="Times New Roman" w:cs="Times New Roman"/>
          <w:lang w:val="en-GB"/>
        </w:rPr>
        <w:t xml:space="preserve">in this case, </w:t>
      </w:r>
      <w:r w:rsidRPr="001F2D2D">
        <w:rPr>
          <w:rFonts w:ascii="Times New Roman" w:hAnsi="Times New Roman" w:cs="Times New Roman"/>
          <w:lang w:val="en-GB"/>
        </w:rPr>
        <w:t xml:space="preserve">the necessary condition is the consent of </w:t>
      </w:r>
      <w:r w:rsidRPr="001F2D2D">
        <w:rPr>
          <w:rFonts w:ascii="Times New Roman" w:hAnsi="Times New Roman" w:cs="Times New Roman"/>
          <w:lang w:val="en-GB"/>
        </w:rPr>
        <w:lastRenderedPageBreak/>
        <w:t>the European Parliament</w:t>
      </w:r>
      <w:r w:rsidR="00966236">
        <w:rPr>
          <w:rFonts w:ascii="Times New Roman" w:hAnsi="Times New Roman" w:cs="Times New Roman"/>
          <w:lang w:val="en-GB"/>
        </w:rPr>
        <w:t xml:space="preserve"> </w:t>
      </w:r>
      <w:r w:rsidR="00966236" w:rsidRPr="001F2D2D">
        <w:rPr>
          <w:rFonts w:ascii="Times New Roman" w:hAnsi="Times New Roman" w:cs="Times New Roman"/>
          <w:lang w:val="en-GB"/>
        </w:rPr>
        <w:fldChar w:fldCharType="begin"/>
      </w:r>
      <w:r w:rsidR="00966236" w:rsidRPr="001F2D2D">
        <w:rPr>
          <w:rFonts w:ascii="Times New Roman" w:hAnsi="Times New Roman" w:cs="Times New Roman"/>
          <w:lang w:val="en-GB"/>
        </w:rPr>
        <w:instrText xml:space="preserve"> ADDIN ZOTERO_ITEM CSL_CITATION {"citationID":"EEyj1399","properties":{"formattedCitation":"(Lenaerts {\\i{}et al.}, 2021, p. 66)","plainCitation":"(Lenaerts et al., 2021, p. 66)","noteIndex":0},"citationItems":[{"id":114,"uris":["http://zotero.org/users/local/JGwB40RD/items/83VCK7PK"],"itemData":{"id":114,"type":"article-journal","abstract":"Two different dynamics govern the autonomy of the European Union (EU) legal order. On the one hand, autonomy seeks to define what EU law is not, i.e. it is not ordinary international law. Positively, on the other, autonomy seeks to define what EU law is, i.e. a legal order that has the capacity to operate as a self-referential system of norms that is both coherent and complete. Yet the concept of autonomy of the EU legal order in no way conveys the message that the EU and its law are euro-centric and that the Court of Justice of the European Union (the ‘Court of Justice’) seeks to insulate EU law from external influences by building walls that prevent the migration of legal ideas. Autonomy rather enables the Court of Justice to strike the right balance between the need to preserve the values on which the EU is founded and openness to other legal orders. The autonomy of the EU legal order is thus part of the very DNA of that legal order as it allows the EU to find its own constitutional space whilst interacting in a cooperative way with its Member States and the wider world.","container-title":"Zeitschrift für ausländisches öffentliches Recht und Völkerrecht / Heidelberg Journal of International Law","DOI":"10.17104/0044-2348-2021-1-47","ISSN":"0044-2348","issue":"1","journalAbbreviation":"ZaöRV / HJIL","page":"47-88","source":"DOI.org (Crossref)","title":"Exploring the Autonomy of the European Union Legal Order","volume":"81","author":[{"family":"Lenaerts","given":"Koen"},{"family":"Gutiérrez-Fons","given":"José A."},{"family":"Adam","given":"Stanislas"}],"issued":{"date-parts":[["2021"]]}},"locator":"66"}],"schema":"https://github.com/citation-style-language/schema/raw/master/csl-citation.json"} </w:instrText>
      </w:r>
      <w:r w:rsidR="00966236" w:rsidRPr="001F2D2D">
        <w:rPr>
          <w:rFonts w:ascii="Times New Roman" w:hAnsi="Times New Roman" w:cs="Times New Roman"/>
          <w:lang w:val="en-GB"/>
        </w:rPr>
        <w:fldChar w:fldCharType="separate"/>
      </w:r>
      <w:r w:rsidR="00966236" w:rsidRPr="001F2D2D">
        <w:rPr>
          <w:rFonts w:ascii="Times New Roman" w:hAnsi="Times New Roman" w:cs="Times New Roman"/>
          <w:lang w:val="en-GB"/>
        </w:rPr>
        <w:t xml:space="preserve">(Lenaerts </w:t>
      </w:r>
      <w:r w:rsidR="00966236" w:rsidRPr="001F2D2D">
        <w:rPr>
          <w:rFonts w:ascii="Times New Roman" w:hAnsi="Times New Roman" w:cs="Times New Roman"/>
          <w:i/>
          <w:iCs/>
          <w:lang w:val="en-GB"/>
        </w:rPr>
        <w:t>et al.</w:t>
      </w:r>
      <w:r w:rsidR="00966236" w:rsidRPr="001F2D2D">
        <w:rPr>
          <w:rFonts w:ascii="Times New Roman" w:hAnsi="Times New Roman" w:cs="Times New Roman"/>
          <w:lang w:val="en-GB"/>
        </w:rPr>
        <w:t>, 2021, p. 66)</w:t>
      </w:r>
      <w:r w:rsidR="00966236" w:rsidRPr="001F2D2D">
        <w:rPr>
          <w:rFonts w:ascii="Times New Roman" w:hAnsi="Times New Roman" w:cs="Times New Roman"/>
          <w:lang w:val="en-GB"/>
        </w:rPr>
        <w:fldChar w:fldCharType="end"/>
      </w:r>
      <w:r w:rsidRPr="001F2D2D">
        <w:rPr>
          <w:rFonts w:ascii="Times New Roman" w:hAnsi="Times New Roman" w:cs="Times New Roman"/>
          <w:lang w:val="en-GB"/>
        </w:rPr>
        <w:t xml:space="preserve"> (</w:t>
      </w:r>
      <w:r w:rsidR="00966236">
        <w:rPr>
          <w:rFonts w:ascii="Times New Roman" w:hAnsi="Times New Roman" w:cs="Times New Roman"/>
          <w:lang w:val="en-GB"/>
        </w:rPr>
        <w:t>a point of particular relevance because it suggests that it is for the EU legislature to make choices of substance).</w:t>
      </w:r>
      <w:r w:rsidR="00934DD5" w:rsidRPr="001F2D2D">
        <w:rPr>
          <w:rFonts w:ascii="Times New Roman" w:hAnsi="Times New Roman" w:cs="Times New Roman"/>
          <w:lang w:val="en-GB"/>
        </w:rPr>
        <w:t xml:space="preserve"> </w:t>
      </w:r>
    </w:p>
    <w:p w14:paraId="6F825D46" w14:textId="048A331B" w:rsidR="00AF2D79" w:rsidRPr="001F2D2D" w:rsidRDefault="005234D3" w:rsidP="001F2D2D">
      <w:pPr>
        <w:pStyle w:val="NormalWeb"/>
        <w:spacing w:line="276" w:lineRule="auto"/>
        <w:jc w:val="both"/>
      </w:pPr>
      <w:r w:rsidRPr="001F2D2D">
        <w:rPr>
          <w:lang w:val="en-GB"/>
        </w:rPr>
        <w:t xml:space="preserve">In this case, </w:t>
      </w:r>
      <w:r w:rsidR="0003015D" w:rsidRPr="001F2D2D">
        <w:rPr>
          <w:lang w:val="en-GB"/>
        </w:rPr>
        <w:t xml:space="preserve">the distinction between procedure and substance is </w:t>
      </w:r>
      <w:r w:rsidR="00934DD5" w:rsidRPr="001F2D2D">
        <w:rPr>
          <w:lang w:val="en-GB"/>
        </w:rPr>
        <w:t xml:space="preserve">probably </w:t>
      </w:r>
      <w:r w:rsidRPr="001F2D2D">
        <w:rPr>
          <w:lang w:val="en-GB"/>
        </w:rPr>
        <w:t>too</w:t>
      </w:r>
      <w:r w:rsidR="0003015D" w:rsidRPr="001F2D2D">
        <w:rPr>
          <w:lang w:val="en-GB"/>
        </w:rPr>
        <w:t xml:space="preserve"> </w:t>
      </w:r>
      <w:r w:rsidRPr="001F2D2D">
        <w:rPr>
          <w:lang w:val="en-GB"/>
        </w:rPr>
        <w:t>blurred</w:t>
      </w:r>
      <w:r w:rsidR="0003015D" w:rsidRPr="001F2D2D">
        <w:rPr>
          <w:lang w:val="en-GB"/>
        </w:rPr>
        <w:t xml:space="preserve"> </w:t>
      </w:r>
      <w:r w:rsidRPr="001F2D2D">
        <w:rPr>
          <w:lang w:val="en-GB"/>
        </w:rPr>
        <w:t>to be meaningful</w:t>
      </w:r>
      <w:r w:rsidR="0003015D" w:rsidRPr="001F2D2D">
        <w:rPr>
          <w:lang w:val="en-GB"/>
        </w:rPr>
        <w:t xml:space="preserve">, and for this reason this </w:t>
      </w:r>
      <w:r w:rsidR="00966236">
        <w:rPr>
          <w:lang w:val="en-GB"/>
        </w:rPr>
        <w:t>article</w:t>
      </w:r>
      <w:r w:rsidR="0003015D" w:rsidRPr="001F2D2D">
        <w:rPr>
          <w:lang w:val="en-GB"/>
        </w:rPr>
        <w:t xml:space="preserve"> suggests that autonomy protects both formal characteristics and substantive choices of the EU legislature, resulting in the EU legal order being conditionally open. </w:t>
      </w:r>
      <w:r w:rsidR="00AF2D79" w:rsidRPr="001F2D2D">
        <w:rPr>
          <w:lang w:val="en-GB"/>
        </w:rPr>
        <w:t xml:space="preserve">In the words of </w:t>
      </w:r>
      <w:r w:rsidR="00AF2D79" w:rsidRPr="001F2D2D">
        <w:rPr>
          <w:lang w:val="en-GB"/>
        </w:rPr>
        <w:fldChar w:fldCharType="begin"/>
      </w:r>
      <w:r w:rsidR="00AF2D79" w:rsidRPr="001F2D2D">
        <w:rPr>
          <w:lang w:val="en-GB"/>
        </w:rPr>
        <w:instrText xml:space="preserve"> ADDIN ZOTERO_ITEM CSL_CITATION {"citationID":"8BJyRNgd","properties":{"formattedCitation":"(Lenaerts {\\i{}et al.}, 2021, p. 48)","plainCitation":"(Lenaerts et al., 2021, p. 48)","noteIndex":0},"citationItems":[{"id":114,"uris":["http://zotero.org/users/local/JGwB40RD/items/83VCK7PK"],"itemData":{"id":114,"type":"article-journal","abstract":"Two different dynamics govern the autonomy of the European Union (EU) legal order. On the one hand, autonomy seeks to define what EU law is not, i.e. it is not ordinary international law. Positively, on the other, autonomy seeks to define what EU law is, i.e. a legal order that has the capacity to operate as a self-referential system of norms that is both coherent and complete. Yet the concept of autonomy of the EU legal order in no way conveys the message that the EU and its law are euro-centric and that the Court of Justice of the European Union (the ‘Court of Justice’) seeks to insulate EU law from external influences by building walls that prevent the migration of legal ideas. Autonomy rather enables the Court of Justice to strike the right balance between the need to preserve the values on which the EU is founded and openness to other legal orders. The autonomy of the EU legal order is thus part of the very DNA of that legal order as it allows the EU to find its own constitutional space whilst interacting in a cooperative way with its Member States and the wider world.","container-title":"Zeitschrift für ausländisches öffentliches Recht und Völkerrecht / Heidelberg Journal of International Law","DOI":"10.17104/0044-2348-2021-1-47","ISSN":"0044-2348","issue":"1","journalAbbreviation":"ZaöRV / HJIL","page":"47-88","source":"DOI.org (Crossref)","title":"Exploring the Autonomy of the European Union Legal Order","volume":"81","author":[{"family":"Lenaerts","given":"Koen"},{"family":"Gutiérrez-Fons","given":"José A."},{"family":"Adam","given":"Stanislas"}],"issued":{"date-parts":[["2021"]]}},"locator":"48"}],"schema":"https://github.com/citation-style-language/schema/raw/master/csl-citation.json"} </w:instrText>
      </w:r>
      <w:r w:rsidR="00AF2D79" w:rsidRPr="001F2D2D">
        <w:rPr>
          <w:lang w:val="en-GB"/>
        </w:rPr>
        <w:fldChar w:fldCharType="separate"/>
      </w:r>
      <w:r w:rsidR="00AF2D79" w:rsidRPr="001F2D2D">
        <w:rPr>
          <w:lang w:val="en-GB"/>
        </w:rPr>
        <w:t xml:space="preserve">(Lenaerts </w:t>
      </w:r>
      <w:r w:rsidR="00AF2D79" w:rsidRPr="001F2D2D">
        <w:rPr>
          <w:i/>
          <w:iCs/>
          <w:lang w:val="en-GB"/>
        </w:rPr>
        <w:t>et al.</w:t>
      </w:r>
      <w:r w:rsidR="00AF2D79" w:rsidRPr="001F2D2D">
        <w:rPr>
          <w:lang w:val="en-GB"/>
        </w:rPr>
        <w:t>, 2021, p. 48)</w:t>
      </w:r>
      <w:r w:rsidR="00AF2D79" w:rsidRPr="001F2D2D">
        <w:rPr>
          <w:lang w:val="en-GB"/>
        </w:rPr>
        <w:fldChar w:fldCharType="end"/>
      </w:r>
      <w:r w:rsidR="00AF2D79" w:rsidRPr="001F2D2D">
        <w:rPr>
          <w:lang w:val="en-GB"/>
        </w:rPr>
        <w:t>: ‘</w:t>
      </w:r>
      <w:r w:rsidR="00AF2D79" w:rsidRPr="001F2D2D">
        <w:t>the concept of autonomy of the EU legal order in no way conveys the message that the EU and its law are euro-centric and that the Court of Justice of the European Union seeks to insulate EU law from external influences by building walls that prevent the migration of legal ideas. Autonomy rather enables the Court of Justice to strike the right balance between the need to preserve the values on which the EU is founded and openness to other legal orders.</w:t>
      </w:r>
      <w:r w:rsidR="00FA5C0E" w:rsidRPr="001F2D2D">
        <w:t>’ This is in contrast to scholars who have considered Opinion 2/13 as separating completely the EU legal order from international law</w:t>
      </w:r>
      <w:r w:rsidR="004A6340" w:rsidRPr="001F2D2D">
        <w:t xml:space="preserve"> </w:t>
      </w:r>
      <w:r w:rsidR="004A6340" w:rsidRPr="001F2D2D">
        <w:fldChar w:fldCharType="begin"/>
      </w:r>
      <w:r w:rsidR="004A6340" w:rsidRPr="001F2D2D">
        <w:instrText xml:space="preserve"> ADDIN ZOTERO_ITEM CSL_CITATION {"citationID":"8N02FdR0","properties":{"formattedCitation":"(Spaventa, 2015, p. 56; Eeckhout, 2015, p. 991)","plainCitation":"(Spaventa, 2015, p. 56; Eeckhout, 2015, p. 991)","noteIndex":0},"citationItems":[{"id":223,"uris":["http://zotero.org/users/local/JGwB40RD/items/Y59LDLVL"],"itemData":{"id":223,"type":"article-journal","abstract":"In December 2014 the Court of Justice of the European Union found, in Opinion 2/13, that the Draft Agreement for the EU accession to the ECHR was not compatible with the Treaties; unfortunately, some of the grounds relied upon by the Court will be difficult to remedy in a new agreement, even should the other parties to the ECHR be willing to negotiate a new agreement. This contribution recalls the reasons why accession was deemed necessary, and engages in a critical analysis of the Court's ruling. In particular, it takes issue with the Court's approach to justice and home affairs, where the Court would like the accession agreement to somehow relieve the Member States of some of their ECHR obligation when giving effect to legislation based on ‘mutual trust’. The article then suggests that the three political institutions should simply declare that they consider themselves bound by the ECHR and that they will act without delay when and if the European Court of Human Rights should find that a piece of Union law is incompatible with the Convention.","container-title":"Maastricht Journal of European and Comparative Law","DOI":"10.1177/1023263X1502200103","ISSN":"1023-263X, 2399-5548","issue":"1","journalAbbreviation":"Maastricht Journal of European and Comparative Law","language":"en","page":"35-56","source":"DOI.org (Crossref)","title":"A Very Fearful Court?: The Protection of Fundamental Rights in the European Union after Opinion 2/13","title-short":"A Very Fearful Court?","volume":"22","author":[{"family":"Spaventa","given":"Eleanor"}],"issued":{"date-parts":[["2015",2]]}},"locator":"56"},{"id":225,"uris":["http://zotero.org/users/local/JGwB40RD/items/QKEDWADM"],"itemData":{"id":225,"type":"article-journal","container-title":"Fordham International Law Journal","issue":"4","page":"955","title":"Opinion 2/13 on EU Accession to the ECHR and Judicial Dialogue: Autonomy or Autarky","title-short":"Opinion 2/13 on EU Accession to the ECHR and Judicial Dialogue","volume":"38","author":[{"family":"Eeckhout","given":"Piet"}],"issued":{"date-parts":[["2015",8,1]]}},"locator":"991"}],"schema":"https://github.com/citation-style-language/schema/raw/master/csl-citation.json"} </w:instrText>
      </w:r>
      <w:r w:rsidR="004A6340" w:rsidRPr="001F2D2D">
        <w:fldChar w:fldCharType="separate"/>
      </w:r>
      <w:r w:rsidR="004A6340" w:rsidRPr="001F2D2D">
        <w:rPr>
          <w:noProof/>
        </w:rPr>
        <w:t>(Spaventa, 2015, p. 56; Eeckhout, 2015, p. 991)</w:t>
      </w:r>
      <w:r w:rsidR="004A6340" w:rsidRPr="001F2D2D">
        <w:fldChar w:fldCharType="end"/>
      </w:r>
      <w:r w:rsidR="00FA5C0E" w:rsidRPr="001F2D2D">
        <w:t xml:space="preserve">. </w:t>
      </w:r>
    </w:p>
    <w:p w14:paraId="4A7EA1BF" w14:textId="2609B374" w:rsidR="00A50E71" w:rsidRPr="001F2D2D" w:rsidRDefault="0003015D" w:rsidP="001F2D2D">
      <w:pPr>
        <w:spacing w:line="276" w:lineRule="auto"/>
        <w:jc w:val="both"/>
        <w:rPr>
          <w:rFonts w:ascii="Times New Roman" w:hAnsi="Times New Roman" w:cs="Times New Roman"/>
          <w:lang w:val="en-GB"/>
        </w:rPr>
      </w:pPr>
      <w:r w:rsidRPr="001F2D2D">
        <w:rPr>
          <w:rFonts w:ascii="Times New Roman" w:hAnsi="Times New Roman" w:cs="Times New Roman"/>
          <w:lang w:val="en-GB"/>
        </w:rPr>
        <w:t xml:space="preserve">The concept </w:t>
      </w:r>
      <w:r w:rsidR="00AF2D79" w:rsidRPr="001F2D2D">
        <w:rPr>
          <w:rFonts w:ascii="Times New Roman" w:hAnsi="Times New Roman" w:cs="Times New Roman"/>
          <w:lang w:val="en-GB"/>
        </w:rPr>
        <w:t>of conditional openness is</w:t>
      </w:r>
      <w:r w:rsidRPr="001F2D2D">
        <w:rPr>
          <w:rFonts w:ascii="Times New Roman" w:hAnsi="Times New Roman" w:cs="Times New Roman"/>
          <w:lang w:val="en-GB"/>
        </w:rPr>
        <w:t xml:space="preserve"> elaborated</w:t>
      </w:r>
      <w:r w:rsidR="00AF2D79" w:rsidRPr="001F2D2D">
        <w:rPr>
          <w:rFonts w:ascii="Times New Roman" w:hAnsi="Times New Roman" w:cs="Times New Roman"/>
          <w:lang w:val="en-GB"/>
        </w:rPr>
        <w:t xml:space="preserve"> upon</w:t>
      </w:r>
      <w:r w:rsidRPr="001F2D2D">
        <w:rPr>
          <w:rFonts w:ascii="Times New Roman" w:hAnsi="Times New Roman" w:cs="Times New Roman"/>
          <w:lang w:val="en-GB"/>
        </w:rPr>
        <w:t xml:space="preserve"> in section 4.</w:t>
      </w:r>
    </w:p>
    <w:p w14:paraId="5E153B22" w14:textId="77777777" w:rsidR="009A62A6" w:rsidRPr="001F2D2D" w:rsidRDefault="009A62A6" w:rsidP="001F2D2D">
      <w:pPr>
        <w:spacing w:line="276" w:lineRule="auto"/>
        <w:jc w:val="both"/>
        <w:rPr>
          <w:rFonts w:ascii="Times New Roman" w:hAnsi="Times New Roman" w:cs="Times New Roman"/>
          <w:lang w:val="en-GB"/>
        </w:rPr>
      </w:pPr>
    </w:p>
    <w:p w14:paraId="1B7B94CA" w14:textId="2146BFB0" w:rsidR="00732722" w:rsidRPr="001F2D2D" w:rsidRDefault="00861193" w:rsidP="001F2D2D">
      <w:pPr>
        <w:pStyle w:val="ListParagraph"/>
        <w:numPr>
          <w:ilvl w:val="0"/>
          <w:numId w:val="3"/>
        </w:numPr>
        <w:spacing w:line="276" w:lineRule="auto"/>
        <w:jc w:val="both"/>
        <w:rPr>
          <w:rFonts w:ascii="Times New Roman" w:hAnsi="Times New Roman" w:cs="Times New Roman"/>
          <w:b/>
          <w:bCs/>
          <w:lang w:val="en-GB"/>
        </w:rPr>
      </w:pPr>
      <w:r w:rsidRPr="001F2D2D">
        <w:rPr>
          <w:rFonts w:ascii="Times New Roman" w:hAnsi="Times New Roman" w:cs="Times New Roman"/>
          <w:b/>
          <w:bCs/>
          <w:lang w:val="en-GB"/>
        </w:rPr>
        <w:t xml:space="preserve">The notion of Strategic autonomy seems to be closer to the “substance” concept of legal autonomy </w:t>
      </w:r>
    </w:p>
    <w:p w14:paraId="718BF519" w14:textId="77777777" w:rsidR="00861193" w:rsidRPr="001F2D2D" w:rsidRDefault="00861193" w:rsidP="001F2D2D">
      <w:pPr>
        <w:spacing w:line="276" w:lineRule="auto"/>
        <w:jc w:val="both"/>
        <w:rPr>
          <w:rFonts w:ascii="Times New Roman" w:hAnsi="Times New Roman" w:cs="Times New Roman"/>
          <w:lang w:val="en-GB"/>
        </w:rPr>
      </w:pPr>
    </w:p>
    <w:p w14:paraId="51DE4FFA" w14:textId="28DEFB40" w:rsidR="00A60A3A" w:rsidRPr="001F2D2D" w:rsidRDefault="00B90174" w:rsidP="00565E59">
      <w:pPr>
        <w:spacing w:line="276" w:lineRule="auto"/>
        <w:jc w:val="both"/>
        <w:rPr>
          <w:rFonts w:ascii="Times New Roman" w:hAnsi="Times New Roman" w:cs="Times New Roman"/>
          <w:lang w:val="en-GB"/>
        </w:rPr>
      </w:pPr>
      <w:r w:rsidRPr="001F2D2D">
        <w:rPr>
          <w:rFonts w:ascii="Times New Roman" w:hAnsi="Times New Roman" w:cs="Times New Roman"/>
          <w:lang w:val="en-GB"/>
        </w:rPr>
        <w:t>T</w:t>
      </w:r>
      <w:r w:rsidR="00A60A3A" w:rsidRPr="001F2D2D">
        <w:rPr>
          <w:rFonts w:ascii="Times New Roman" w:hAnsi="Times New Roman" w:cs="Times New Roman"/>
          <w:lang w:val="en-GB"/>
        </w:rPr>
        <w:t>here is no blueprint of strategic</w:t>
      </w:r>
      <w:r w:rsidR="00B750B0" w:rsidRPr="001F2D2D">
        <w:rPr>
          <w:rFonts w:ascii="Times New Roman" w:hAnsi="Times New Roman" w:cs="Times New Roman"/>
          <w:lang w:val="en-GB"/>
        </w:rPr>
        <w:t xml:space="preserve"> autonomy</w:t>
      </w:r>
      <w:r w:rsidR="00A60A3A" w:rsidRPr="001F2D2D">
        <w:rPr>
          <w:rFonts w:ascii="Times New Roman" w:hAnsi="Times New Roman" w:cs="Times New Roman"/>
          <w:lang w:val="en-GB"/>
        </w:rPr>
        <w:t xml:space="preserve">, as opposed to </w:t>
      </w:r>
      <w:r w:rsidR="00454D18" w:rsidRPr="001F2D2D">
        <w:rPr>
          <w:rFonts w:ascii="Times New Roman" w:hAnsi="Times New Roman" w:cs="Times New Roman"/>
          <w:lang w:val="en-GB"/>
        </w:rPr>
        <w:t xml:space="preserve">the articulation of </w:t>
      </w:r>
      <w:r w:rsidR="00A60A3A" w:rsidRPr="001F2D2D">
        <w:rPr>
          <w:rFonts w:ascii="Times New Roman" w:hAnsi="Times New Roman" w:cs="Times New Roman"/>
          <w:lang w:val="en-GB"/>
        </w:rPr>
        <w:t xml:space="preserve">legal autonomy </w:t>
      </w:r>
      <w:r w:rsidR="00454D18" w:rsidRPr="001F2D2D">
        <w:rPr>
          <w:rFonts w:ascii="Times New Roman" w:hAnsi="Times New Roman" w:cs="Times New Roman"/>
          <w:lang w:val="en-GB"/>
        </w:rPr>
        <w:t xml:space="preserve">contained in </w:t>
      </w:r>
      <w:r w:rsidR="00A60A3A" w:rsidRPr="001F2D2D">
        <w:rPr>
          <w:rFonts w:ascii="Times New Roman" w:hAnsi="Times New Roman" w:cs="Times New Roman"/>
          <w:lang w:val="en-GB"/>
        </w:rPr>
        <w:t>Opinion 2/13.</w:t>
      </w:r>
      <w:r w:rsidR="00565E59">
        <w:rPr>
          <w:rFonts w:ascii="Times New Roman" w:hAnsi="Times New Roman" w:cs="Times New Roman"/>
          <w:lang w:val="en-GB"/>
        </w:rPr>
        <w:t xml:space="preserve"> The </w:t>
      </w:r>
      <w:r w:rsidR="00565E59" w:rsidRPr="00565E59">
        <w:rPr>
          <w:rFonts w:ascii="Times New Roman" w:hAnsi="Times New Roman" w:cs="Times New Roman"/>
          <w:lang w:val="en-GB"/>
        </w:rPr>
        <w:t xml:space="preserve">Commission’s 2021 Strategic Foresight Report </w:t>
      </w:r>
      <w:r w:rsidR="00565E59">
        <w:rPr>
          <w:rFonts w:ascii="Times New Roman" w:hAnsi="Times New Roman" w:cs="Times New Roman"/>
          <w:lang w:val="en-GB"/>
        </w:rPr>
        <w:t>‘</w:t>
      </w:r>
      <w:r w:rsidR="00565E59" w:rsidRPr="00565E59">
        <w:rPr>
          <w:rFonts w:ascii="Times New Roman" w:hAnsi="Times New Roman" w:cs="Times New Roman"/>
          <w:lang w:val="en-GB"/>
        </w:rPr>
        <w:t>The EU’s capacity and</w:t>
      </w:r>
      <w:r w:rsidR="00565E59">
        <w:rPr>
          <w:rFonts w:ascii="Times New Roman" w:hAnsi="Times New Roman" w:cs="Times New Roman"/>
          <w:lang w:val="en-GB"/>
        </w:rPr>
        <w:t xml:space="preserve"> </w:t>
      </w:r>
      <w:r w:rsidR="00565E59" w:rsidRPr="00565E59">
        <w:rPr>
          <w:rFonts w:ascii="Times New Roman" w:hAnsi="Times New Roman" w:cs="Times New Roman"/>
          <w:lang w:val="en-GB"/>
        </w:rPr>
        <w:t>freedom to act</w:t>
      </w:r>
      <w:r w:rsidR="00565E59">
        <w:rPr>
          <w:rFonts w:ascii="Times New Roman" w:hAnsi="Times New Roman" w:cs="Times New Roman"/>
          <w:lang w:val="en-GB"/>
        </w:rPr>
        <w:t>’ does mention several areas in which the EU should act autonomous capacity, but these are examples of its desirable manifestation, rather than attempts at definition.</w:t>
      </w:r>
      <w:r w:rsidR="00A60A3A" w:rsidRPr="001F2D2D">
        <w:rPr>
          <w:rFonts w:ascii="Times New Roman" w:hAnsi="Times New Roman" w:cs="Times New Roman"/>
          <w:lang w:val="en-GB"/>
        </w:rPr>
        <w:t xml:space="preserve"> </w:t>
      </w:r>
      <w:r w:rsidR="00FA3631">
        <w:rPr>
          <w:rFonts w:ascii="Times New Roman" w:hAnsi="Times New Roman" w:cs="Times New Roman"/>
          <w:lang w:val="en-GB"/>
        </w:rPr>
        <w:t>Unlike legal autonomy, t</w:t>
      </w:r>
      <w:r w:rsidR="00A60A3A" w:rsidRPr="001F2D2D">
        <w:rPr>
          <w:rFonts w:ascii="Times New Roman" w:hAnsi="Times New Roman" w:cs="Times New Roman"/>
          <w:lang w:val="en-GB"/>
        </w:rPr>
        <w:t>he</w:t>
      </w:r>
      <w:r w:rsidR="00966236">
        <w:rPr>
          <w:rFonts w:ascii="Times New Roman" w:hAnsi="Times New Roman" w:cs="Times New Roman"/>
          <w:lang w:val="en-GB"/>
        </w:rPr>
        <w:t xml:space="preserve"> notion </w:t>
      </w:r>
      <w:r w:rsidR="00FA3631">
        <w:rPr>
          <w:rFonts w:ascii="Times New Roman" w:hAnsi="Times New Roman" w:cs="Times New Roman"/>
          <w:lang w:val="en-GB"/>
        </w:rPr>
        <w:t xml:space="preserve">of strategic autonomy </w:t>
      </w:r>
      <w:r w:rsidR="00966236">
        <w:rPr>
          <w:rFonts w:ascii="Times New Roman" w:hAnsi="Times New Roman" w:cs="Times New Roman"/>
          <w:lang w:val="en-GB"/>
        </w:rPr>
        <w:t>has not been further articulated in the case law</w:t>
      </w:r>
      <w:r w:rsidR="00A60A3A" w:rsidRPr="001F2D2D">
        <w:rPr>
          <w:rFonts w:ascii="Times New Roman" w:hAnsi="Times New Roman" w:cs="Times New Roman"/>
          <w:lang w:val="en-GB"/>
        </w:rPr>
        <w:t xml:space="preserve">, at least not in explicit terms. One could argue that there is an implicit stance of the Court on the substance of the things the EU should do – on which see </w:t>
      </w:r>
      <w:r w:rsidR="00630F0B" w:rsidRPr="001F2D2D">
        <w:rPr>
          <w:rFonts w:ascii="Times New Roman" w:hAnsi="Times New Roman" w:cs="Times New Roman"/>
          <w:lang w:val="en-GB"/>
        </w:rPr>
        <w:t xml:space="preserve">section 3.2 </w:t>
      </w:r>
      <w:r w:rsidR="00A60A3A" w:rsidRPr="001F2D2D">
        <w:rPr>
          <w:rFonts w:ascii="Times New Roman" w:hAnsi="Times New Roman" w:cs="Times New Roman"/>
          <w:lang w:val="en-GB"/>
        </w:rPr>
        <w:t xml:space="preserve">below. </w:t>
      </w:r>
    </w:p>
    <w:p w14:paraId="0EED4832" w14:textId="3FF76F5F" w:rsidR="003E67ED" w:rsidRPr="001F2D2D" w:rsidRDefault="003E67ED" w:rsidP="001F2D2D">
      <w:pPr>
        <w:spacing w:line="276" w:lineRule="auto"/>
        <w:jc w:val="both"/>
        <w:rPr>
          <w:rFonts w:ascii="Times New Roman" w:hAnsi="Times New Roman" w:cs="Times New Roman"/>
          <w:lang w:val="en-GB"/>
        </w:rPr>
      </w:pPr>
    </w:p>
    <w:p w14:paraId="127854C0" w14:textId="7EC5D839" w:rsidR="003E67ED" w:rsidRPr="001F2D2D" w:rsidRDefault="003E67ED" w:rsidP="001F2D2D">
      <w:pPr>
        <w:spacing w:line="276" w:lineRule="auto"/>
        <w:jc w:val="both"/>
        <w:rPr>
          <w:rFonts w:ascii="Times New Roman" w:hAnsi="Times New Roman" w:cs="Times New Roman"/>
          <w:lang w:val="en-GB"/>
        </w:rPr>
      </w:pPr>
      <w:r w:rsidRPr="001F2D2D">
        <w:rPr>
          <w:rFonts w:ascii="Times New Roman" w:hAnsi="Times New Roman" w:cs="Times New Roman"/>
          <w:lang w:val="en-GB"/>
        </w:rPr>
        <w:t xml:space="preserve">By way of analogy with the legal principle of autonomy, it is possible to affirm that, in the negative, strategic autonomy seeks to distinguish what EU (security and defence) policy is not: it is not NATO, it is not US, and it is independent from external subjugation. </w:t>
      </w:r>
    </w:p>
    <w:p w14:paraId="3706AD25" w14:textId="2C657B18" w:rsidR="003E67ED" w:rsidRPr="001F2D2D" w:rsidRDefault="003E67ED" w:rsidP="00DF451E">
      <w:pPr>
        <w:spacing w:line="276" w:lineRule="auto"/>
        <w:jc w:val="both"/>
        <w:rPr>
          <w:rFonts w:ascii="Times New Roman" w:hAnsi="Times New Roman" w:cs="Times New Roman"/>
          <w:lang w:val="en-GB"/>
        </w:rPr>
      </w:pPr>
      <w:r w:rsidRPr="001F2D2D">
        <w:rPr>
          <w:rFonts w:ascii="Times New Roman" w:hAnsi="Times New Roman" w:cs="Times New Roman"/>
          <w:lang w:val="en-GB"/>
        </w:rPr>
        <w:t>In the positive, strategic autonomy protects certain essential characteristics (</w:t>
      </w:r>
      <w:r w:rsidR="00840357" w:rsidRPr="001F2D2D">
        <w:rPr>
          <w:rFonts w:ascii="Times New Roman" w:hAnsi="Times New Roman" w:cs="Times New Roman"/>
          <w:lang w:val="en-GB"/>
        </w:rPr>
        <w:t>ways and instruments) through which the EU determines and sets its objectives in international relations</w:t>
      </w:r>
      <w:r w:rsidR="00DF451E">
        <w:rPr>
          <w:rFonts w:ascii="Times New Roman" w:hAnsi="Times New Roman" w:cs="Times New Roman"/>
          <w:lang w:val="en-GB"/>
        </w:rPr>
        <w:t xml:space="preserve">: </w:t>
      </w:r>
      <w:r w:rsidR="00DF451E" w:rsidRPr="00DF451E">
        <w:rPr>
          <w:rFonts w:ascii="Times New Roman" w:hAnsi="Times New Roman" w:cs="Times New Roman"/>
          <w:lang w:val="en-GB"/>
        </w:rPr>
        <w:t xml:space="preserve">the ability of the EU </w:t>
      </w:r>
      <w:r w:rsidR="00DF451E">
        <w:rPr>
          <w:rFonts w:ascii="Times New Roman" w:hAnsi="Times New Roman" w:cs="Times New Roman"/>
          <w:lang w:val="en-GB"/>
        </w:rPr>
        <w:t>‘</w:t>
      </w:r>
      <w:r w:rsidR="00DF451E" w:rsidRPr="00DF451E">
        <w:rPr>
          <w:rFonts w:ascii="Times New Roman" w:hAnsi="Times New Roman" w:cs="Times New Roman"/>
          <w:lang w:val="en-GB"/>
        </w:rPr>
        <w:t>to live</w:t>
      </w:r>
      <w:r w:rsidR="00DF451E">
        <w:rPr>
          <w:rFonts w:ascii="Times New Roman" w:hAnsi="Times New Roman" w:cs="Times New Roman"/>
          <w:lang w:val="en-GB"/>
        </w:rPr>
        <w:t xml:space="preserve"> </w:t>
      </w:r>
      <w:r w:rsidR="00DF451E" w:rsidRPr="00DF451E">
        <w:rPr>
          <w:rFonts w:ascii="Times New Roman" w:hAnsi="Times New Roman" w:cs="Times New Roman"/>
          <w:lang w:val="en-GB"/>
        </w:rPr>
        <w:t>by its laws and norms both by protecting these internally and by partnering</w:t>
      </w:r>
      <w:r w:rsidR="00DF451E">
        <w:rPr>
          <w:rFonts w:ascii="Times New Roman" w:hAnsi="Times New Roman" w:cs="Times New Roman"/>
          <w:lang w:val="en-GB"/>
        </w:rPr>
        <w:t xml:space="preserve"> </w:t>
      </w:r>
      <w:r w:rsidR="00DF451E" w:rsidRPr="00DF451E">
        <w:rPr>
          <w:rFonts w:ascii="Times New Roman" w:hAnsi="Times New Roman" w:cs="Times New Roman"/>
          <w:lang w:val="en-GB"/>
        </w:rPr>
        <w:t>multilaterally in an international order based upon the rules it has contributed</w:t>
      </w:r>
      <w:r w:rsidR="00DF451E">
        <w:rPr>
          <w:rFonts w:ascii="Times New Roman" w:hAnsi="Times New Roman" w:cs="Times New Roman"/>
          <w:lang w:val="en-GB"/>
        </w:rPr>
        <w:t xml:space="preserve"> </w:t>
      </w:r>
      <w:r w:rsidR="00DF451E" w:rsidRPr="00DF451E">
        <w:rPr>
          <w:rFonts w:ascii="Times New Roman" w:hAnsi="Times New Roman" w:cs="Times New Roman"/>
          <w:lang w:val="en-GB"/>
        </w:rPr>
        <w:t>to shaping</w:t>
      </w:r>
      <w:r w:rsidR="00DF451E">
        <w:rPr>
          <w:rFonts w:ascii="Times New Roman" w:hAnsi="Times New Roman" w:cs="Times New Roman"/>
          <w:lang w:val="en-GB"/>
        </w:rPr>
        <w:t xml:space="preserve">’ </w:t>
      </w:r>
      <w:r w:rsidR="00B8459A">
        <w:rPr>
          <w:rFonts w:ascii="Times New Roman" w:hAnsi="Times New Roman" w:cs="Times New Roman"/>
          <w:lang w:val="en-GB"/>
        </w:rPr>
        <w:fldChar w:fldCharType="begin"/>
      </w:r>
      <w:r w:rsidR="00B8459A">
        <w:rPr>
          <w:rFonts w:ascii="Times New Roman" w:hAnsi="Times New Roman" w:cs="Times New Roman"/>
          <w:lang w:val="en-GB"/>
        </w:rPr>
        <w:instrText xml:space="preserve"> ADDIN ZOTERO_ITEM CSL_CITATION {"citationID":"XkbhckFh","properties":{"formattedCitation":"(Tocci, 2021, p. 3)","plainCitation":"(Tocci, 2021, p. 3)","noteIndex":0},"citationItems":[{"id":278,"uris":["http://zotero.org/users/local/JGwB40RD/items/4MHP925U"],"itemData":{"id":278,"type":"article-journal","container-title":"Istituto di Affari Internazionali","language":"en","page":"39","source":"Zotero","title":"European Strategic Autonomy: What It Is, Why We Need It, How to Achieve It","author":[{"family":"Tocci","given":"Nathalie"}],"issued":{"date-parts":[["2021"]]}},"locator":"3"}],"schema":"https://github.com/citation-style-language/schema/raw/master/csl-citation.json"} </w:instrText>
      </w:r>
      <w:r w:rsidR="00B8459A">
        <w:rPr>
          <w:rFonts w:ascii="Times New Roman" w:hAnsi="Times New Roman" w:cs="Times New Roman"/>
          <w:lang w:val="en-GB"/>
        </w:rPr>
        <w:fldChar w:fldCharType="separate"/>
      </w:r>
      <w:r w:rsidR="00B8459A">
        <w:rPr>
          <w:rFonts w:ascii="Times New Roman" w:hAnsi="Times New Roman" w:cs="Times New Roman"/>
          <w:noProof/>
          <w:lang w:val="en-GB"/>
        </w:rPr>
        <w:t>(Tocci, 2021, p. 3)</w:t>
      </w:r>
      <w:r w:rsidR="00B8459A">
        <w:rPr>
          <w:rFonts w:ascii="Times New Roman" w:hAnsi="Times New Roman" w:cs="Times New Roman"/>
          <w:lang w:val="en-GB"/>
        </w:rPr>
        <w:fldChar w:fldCharType="end"/>
      </w:r>
      <w:r w:rsidR="00DF451E">
        <w:rPr>
          <w:rFonts w:ascii="Times New Roman" w:hAnsi="Times New Roman" w:cs="Times New Roman"/>
          <w:lang w:val="en-GB"/>
        </w:rPr>
        <w:t>.</w:t>
      </w:r>
      <w:r w:rsidR="00840357" w:rsidRPr="001F2D2D">
        <w:rPr>
          <w:rFonts w:ascii="Times New Roman" w:hAnsi="Times New Roman" w:cs="Times New Roman"/>
          <w:lang w:val="en-GB"/>
        </w:rPr>
        <w:t xml:space="preserve"> </w:t>
      </w:r>
    </w:p>
    <w:p w14:paraId="38B1F0CF" w14:textId="77777777" w:rsidR="00861193" w:rsidRPr="001F2D2D" w:rsidRDefault="00861193" w:rsidP="001F2D2D">
      <w:pPr>
        <w:spacing w:line="276" w:lineRule="auto"/>
        <w:jc w:val="both"/>
        <w:rPr>
          <w:rFonts w:ascii="Times New Roman" w:hAnsi="Times New Roman" w:cs="Times New Roman"/>
          <w:lang w:val="en-GB"/>
        </w:rPr>
      </w:pPr>
    </w:p>
    <w:p w14:paraId="0432A412" w14:textId="02270B09" w:rsidR="00A60A3A" w:rsidRPr="001F2D2D" w:rsidRDefault="0003015D" w:rsidP="001F2D2D">
      <w:pPr>
        <w:spacing w:line="276" w:lineRule="auto"/>
        <w:jc w:val="both"/>
        <w:rPr>
          <w:rFonts w:ascii="Times New Roman" w:hAnsi="Times New Roman" w:cs="Times New Roman"/>
          <w:i/>
          <w:iCs/>
          <w:lang w:val="en-GB"/>
        </w:rPr>
      </w:pPr>
      <w:r w:rsidRPr="001F2D2D">
        <w:rPr>
          <w:rFonts w:ascii="Times New Roman" w:hAnsi="Times New Roman" w:cs="Times New Roman"/>
          <w:i/>
          <w:iCs/>
          <w:lang w:val="en-GB"/>
        </w:rPr>
        <w:t>3.</w:t>
      </w:r>
      <w:r w:rsidR="00A60A3A" w:rsidRPr="001F2D2D">
        <w:rPr>
          <w:rFonts w:ascii="Times New Roman" w:hAnsi="Times New Roman" w:cs="Times New Roman"/>
          <w:i/>
          <w:iCs/>
          <w:lang w:val="en-GB"/>
        </w:rPr>
        <w:t xml:space="preserve">.1. </w:t>
      </w:r>
      <w:r w:rsidR="00454D18" w:rsidRPr="001F2D2D">
        <w:rPr>
          <w:rFonts w:ascii="Times New Roman" w:hAnsi="Times New Roman" w:cs="Times New Roman"/>
          <w:i/>
          <w:iCs/>
          <w:lang w:val="en-GB"/>
        </w:rPr>
        <w:t>Strategic a</w:t>
      </w:r>
      <w:r w:rsidR="00A60A3A" w:rsidRPr="001F2D2D">
        <w:rPr>
          <w:rFonts w:ascii="Times New Roman" w:hAnsi="Times New Roman" w:cs="Times New Roman"/>
          <w:i/>
          <w:iCs/>
          <w:lang w:val="en-GB"/>
        </w:rPr>
        <w:t xml:space="preserve">utonomy in a negative fashion: freedom from subjugation </w:t>
      </w:r>
    </w:p>
    <w:p w14:paraId="3BC7484F" w14:textId="4BA45616" w:rsidR="003E67ED" w:rsidRPr="001F2D2D" w:rsidRDefault="003E67ED" w:rsidP="001F2D2D">
      <w:pPr>
        <w:spacing w:line="276" w:lineRule="auto"/>
        <w:jc w:val="both"/>
        <w:rPr>
          <w:rFonts w:ascii="Times New Roman" w:hAnsi="Times New Roman" w:cs="Times New Roman"/>
          <w:lang w:val="en-GB"/>
        </w:rPr>
      </w:pPr>
    </w:p>
    <w:p w14:paraId="7A875CDC" w14:textId="6113FED1" w:rsidR="003E67ED" w:rsidRPr="001F2D2D" w:rsidRDefault="00FA3631" w:rsidP="001F2D2D">
      <w:pPr>
        <w:spacing w:line="276" w:lineRule="auto"/>
        <w:jc w:val="both"/>
        <w:rPr>
          <w:rFonts w:ascii="Times New Roman" w:hAnsi="Times New Roman" w:cs="Times New Roman"/>
          <w:lang w:val="en-GB"/>
        </w:rPr>
      </w:pPr>
      <w:r>
        <w:rPr>
          <w:rFonts w:ascii="Times New Roman" w:hAnsi="Times New Roman" w:cs="Times New Roman"/>
          <w:lang w:val="en-GB"/>
        </w:rPr>
        <w:t>Given the genesis and context</w:t>
      </w:r>
      <w:r w:rsidR="00840357" w:rsidRPr="001F2D2D">
        <w:rPr>
          <w:rFonts w:ascii="Times New Roman" w:hAnsi="Times New Roman" w:cs="Times New Roman"/>
          <w:lang w:val="en-GB"/>
        </w:rPr>
        <w:t xml:space="preserve"> of strategic autonomy, </w:t>
      </w:r>
      <w:r>
        <w:rPr>
          <w:rFonts w:ascii="Times New Roman" w:hAnsi="Times New Roman" w:cs="Times New Roman"/>
          <w:lang w:val="en-GB"/>
        </w:rPr>
        <w:t>‘</w:t>
      </w:r>
      <w:r w:rsidR="00840357" w:rsidRPr="001F2D2D">
        <w:rPr>
          <w:rFonts w:ascii="Times New Roman" w:hAnsi="Times New Roman" w:cs="Times New Roman"/>
          <w:lang w:val="en-GB"/>
        </w:rPr>
        <w:t>w</w:t>
      </w:r>
      <w:r w:rsidR="003E67ED" w:rsidRPr="001F2D2D">
        <w:rPr>
          <w:rFonts w:ascii="Times New Roman" w:hAnsi="Times New Roman" w:cs="Times New Roman"/>
          <w:lang w:val="en-GB"/>
        </w:rPr>
        <w:t>hat the EU is not</w:t>
      </w:r>
      <w:r>
        <w:rPr>
          <w:rFonts w:ascii="Times New Roman" w:hAnsi="Times New Roman" w:cs="Times New Roman"/>
          <w:lang w:val="en-GB"/>
        </w:rPr>
        <w:t>’</w:t>
      </w:r>
      <w:r w:rsidR="003E67ED" w:rsidRPr="001F2D2D">
        <w:rPr>
          <w:rFonts w:ascii="Times New Roman" w:hAnsi="Times New Roman" w:cs="Times New Roman"/>
          <w:lang w:val="en-GB"/>
        </w:rPr>
        <w:t xml:space="preserve"> </w:t>
      </w:r>
      <w:r w:rsidR="00840357" w:rsidRPr="001F2D2D">
        <w:rPr>
          <w:rFonts w:ascii="Times New Roman" w:hAnsi="Times New Roman" w:cs="Times New Roman"/>
          <w:lang w:val="en-GB"/>
        </w:rPr>
        <w:t>means</w:t>
      </w:r>
      <w:r>
        <w:rPr>
          <w:rFonts w:ascii="Times New Roman" w:hAnsi="Times New Roman" w:cs="Times New Roman"/>
          <w:lang w:val="en-GB"/>
        </w:rPr>
        <w:t>, as a minimum,</w:t>
      </w:r>
      <w:r w:rsidR="00840357" w:rsidRPr="001F2D2D">
        <w:rPr>
          <w:rFonts w:ascii="Times New Roman" w:hAnsi="Times New Roman" w:cs="Times New Roman"/>
          <w:lang w:val="en-GB"/>
        </w:rPr>
        <w:t xml:space="preserve"> that the EU </w:t>
      </w:r>
      <w:r>
        <w:rPr>
          <w:rFonts w:ascii="Times New Roman" w:hAnsi="Times New Roman" w:cs="Times New Roman"/>
          <w:lang w:val="en-GB"/>
        </w:rPr>
        <w:t xml:space="preserve">does not depend </w:t>
      </w:r>
      <w:r w:rsidR="00840357" w:rsidRPr="001F2D2D">
        <w:rPr>
          <w:rFonts w:ascii="Times New Roman" w:hAnsi="Times New Roman" w:cs="Times New Roman"/>
          <w:lang w:val="en-GB"/>
        </w:rPr>
        <w:t xml:space="preserve">on either US or NATO for its own security and defence. Unlike the legal principle of autonomy, strategic autonomy is generally not defined by reference to autonomy from the Member States. This is because there is, in fact, no such </w:t>
      </w:r>
      <w:r w:rsidR="00840357" w:rsidRPr="001F2D2D">
        <w:rPr>
          <w:rFonts w:ascii="Times New Roman" w:hAnsi="Times New Roman" w:cs="Times New Roman"/>
          <w:lang w:val="en-GB"/>
        </w:rPr>
        <w:lastRenderedPageBreak/>
        <w:t>autonomy</w:t>
      </w:r>
      <w:r w:rsidR="004D5009" w:rsidRPr="001F2D2D">
        <w:rPr>
          <w:rFonts w:ascii="Times New Roman" w:hAnsi="Times New Roman" w:cs="Times New Roman"/>
          <w:lang w:val="en-GB"/>
        </w:rPr>
        <w:t xml:space="preserve"> but rather a</w:t>
      </w:r>
      <w:r w:rsidR="005343B3" w:rsidRPr="001F2D2D">
        <w:rPr>
          <w:rFonts w:ascii="Times New Roman" w:hAnsi="Times New Roman" w:cs="Times New Roman"/>
          <w:lang w:val="en-GB"/>
        </w:rPr>
        <w:t xml:space="preserve"> high degree of hybridity</w:t>
      </w:r>
      <w:r w:rsidR="00B042C5" w:rsidRPr="001F2D2D">
        <w:rPr>
          <w:rFonts w:ascii="Times New Roman" w:hAnsi="Times New Roman" w:cs="Times New Roman"/>
          <w:lang w:val="en-GB"/>
        </w:rPr>
        <w:t xml:space="preserve">: </w:t>
      </w:r>
      <w:r w:rsidR="001B4EE9" w:rsidRPr="001F2D2D">
        <w:rPr>
          <w:rFonts w:ascii="Times New Roman" w:hAnsi="Times New Roman" w:cs="Times New Roman"/>
          <w:lang w:val="en-GB"/>
        </w:rPr>
        <w:t xml:space="preserve">in </w:t>
      </w:r>
      <w:r w:rsidR="00B042C5" w:rsidRPr="001F2D2D">
        <w:rPr>
          <w:rFonts w:ascii="Times New Roman" w:hAnsi="Times New Roman" w:cs="Times New Roman"/>
          <w:lang w:val="en-GB"/>
        </w:rPr>
        <w:t>the</w:t>
      </w:r>
      <w:r w:rsidR="001B4EE9" w:rsidRPr="001F2D2D">
        <w:rPr>
          <w:rFonts w:ascii="Times New Roman" w:hAnsi="Times New Roman" w:cs="Times New Roman"/>
          <w:lang w:val="en-GB"/>
        </w:rPr>
        <w:t xml:space="preserve"> core of military and defence matters, the</w:t>
      </w:r>
      <w:r w:rsidR="00B042C5" w:rsidRPr="001F2D2D">
        <w:rPr>
          <w:rFonts w:ascii="Times New Roman" w:hAnsi="Times New Roman" w:cs="Times New Roman"/>
          <w:lang w:val="en-GB"/>
        </w:rPr>
        <w:t xml:space="preserve"> EU still acts through Member States capabilities</w:t>
      </w:r>
      <w:r w:rsidR="005343B3" w:rsidRPr="001F2D2D">
        <w:rPr>
          <w:rFonts w:ascii="Times New Roman" w:hAnsi="Times New Roman" w:cs="Times New Roman"/>
          <w:lang w:val="en-GB"/>
        </w:rPr>
        <w:t xml:space="preserve"> </w:t>
      </w:r>
      <w:r w:rsidR="005343B3" w:rsidRPr="001F2D2D">
        <w:rPr>
          <w:rFonts w:ascii="Times New Roman" w:hAnsi="Times New Roman" w:cs="Times New Roman"/>
          <w:lang w:val="en-GB"/>
        </w:rPr>
        <w:fldChar w:fldCharType="begin"/>
      </w:r>
      <w:r w:rsidR="005343B3" w:rsidRPr="001F2D2D">
        <w:rPr>
          <w:rFonts w:ascii="Times New Roman" w:hAnsi="Times New Roman" w:cs="Times New Roman"/>
          <w:lang w:val="en-GB"/>
        </w:rPr>
        <w:instrText xml:space="preserve"> ADDIN ZOTERO_ITEM CSL_CITATION {"citationID":"9EVmfa6H","properties":{"formattedCitation":"(Koutrakos, 2013)","plainCitation":"(Koutrakos, 2013)","noteIndex":0},"citationItems":[{"id":141,"uris":["http://zotero.org/users/local/JGwB40RD/items/3GN5I8VE"],"itemData":{"id":141,"type":"book","ISBN":"978-0-19-969272-9","note":"DOI: 10.1093/acprof:oso/9780199692729.001.0001\nDOI: 10.1093/acprof:oso/9780199692729.001.0001","publisher":"Oxford University Press","source":"DOI.org (Crossref)","title":"The EU Common Security and Defence Policy","URL":"https://oxford.universitypressscholarship.com/view/10.1093/acprof:oso/9780199692729.001.0001/acprof-9780199692729","author":[{"family":"Koutrakos","given":"Panos"}],"accessed":{"date-parts":[["2022",4,21]]},"issued":{"date-parts":[["2013",3,21]]}}}],"schema":"https://github.com/citation-style-language/schema/raw/master/csl-citation.json"} </w:instrText>
      </w:r>
      <w:r w:rsidR="005343B3" w:rsidRPr="001F2D2D">
        <w:rPr>
          <w:rFonts w:ascii="Times New Roman" w:hAnsi="Times New Roman" w:cs="Times New Roman"/>
          <w:lang w:val="en-GB"/>
        </w:rPr>
        <w:fldChar w:fldCharType="separate"/>
      </w:r>
      <w:r w:rsidR="005343B3" w:rsidRPr="001F2D2D">
        <w:rPr>
          <w:rFonts w:ascii="Times New Roman" w:hAnsi="Times New Roman" w:cs="Times New Roman"/>
          <w:noProof/>
          <w:lang w:val="en-GB"/>
        </w:rPr>
        <w:t>(Koutrakos, 2013)</w:t>
      </w:r>
      <w:r w:rsidR="005343B3" w:rsidRPr="001F2D2D">
        <w:rPr>
          <w:rFonts w:ascii="Times New Roman" w:hAnsi="Times New Roman" w:cs="Times New Roman"/>
          <w:lang w:val="en-GB"/>
        </w:rPr>
        <w:fldChar w:fldCharType="end"/>
      </w:r>
      <w:r w:rsidR="00840357" w:rsidRPr="001F2D2D">
        <w:rPr>
          <w:rFonts w:ascii="Times New Roman" w:hAnsi="Times New Roman" w:cs="Times New Roman"/>
          <w:lang w:val="en-GB"/>
        </w:rPr>
        <w:t xml:space="preserve">. </w:t>
      </w:r>
    </w:p>
    <w:p w14:paraId="1A3A5A3B" w14:textId="77777777" w:rsidR="003E67ED" w:rsidRPr="001F2D2D" w:rsidRDefault="003E67ED" w:rsidP="001F2D2D">
      <w:pPr>
        <w:spacing w:line="276" w:lineRule="auto"/>
        <w:jc w:val="both"/>
        <w:rPr>
          <w:rFonts w:ascii="Times New Roman" w:hAnsi="Times New Roman" w:cs="Times New Roman"/>
          <w:lang w:val="en-GB"/>
        </w:rPr>
      </w:pPr>
    </w:p>
    <w:p w14:paraId="5621DFA7" w14:textId="41705A7C" w:rsidR="003E67ED" w:rsidRPr="001F2D2D" w:rsidRDefault="00861193" w:rsidP="001F2D2D">
      <w:pPr>
        <w:spacing w:line="276" w:lineRule="auto"/>
        <w:jc w:val="both"/>
        <w:rPr>
          <w:rFonts w:ascii="Times New Roman" w:hAnsi="Times New Roman" w:cs="Times New Roman"/>
        </w:rPr>
      </w:pPr>
      <w:r w:rsidRPr="001F2D2D">
        <w:rPr>
          <w:rFonts w:ascii="Times New Roman" w:hAnsi="Times New Roman" w:cs="Times New Roman"/>
          <w:lang w:val="en-GB"/>
        </w:rPr>
        <w:t>The use of the term autonomy o</w:t>
      </w:r>
      <w:r w:rsidR="000F7F82" w:rsidRPr="001F2D2D">
        <w:rPr>
          <w:rFonts w:ascii="Times New Roman" w:hAnsi="Times New Roman" w:cs="Times New Roman"/>
          <w:lang w:val="en-GB"/>
        </w:rPr>
        <w:t>riginated</w:t>
      </w:r>
      <w:r w:rsidRPr="001F2D2D">
        <w:rPr>
          <w:rFonts w:ascii="Times New Roman" w:hAnsi="Times New Roman" w:cs="Times New Roman"/>
          <w:lang w:val="en-GB"/>
        </w:rPr>
        <w:t>, for EU</w:t>
      </w:r>
      <w:r w:rsidR="003E67ED" w:rsidRPr="001F2D2D">
        <w:rPr>
          <w:rFonts w:ascii="Times New Roman" w:hAnsi="Times New Roman" w:cs="Times New Roman"/>
          <w:lang w:val="en-GB"/>
        </w:rPr>
        <w:t xml:space="preserve"> policies</w:t>
      </w:r>
      <w:r w:rsidRPr="001F2D2D">
        <w:rPr>
          <w:rFonts w:ascii="Times New Roman" w:hAnsi="Times New Roman" w:cs="Times New Roman"/>
          <w:lang w:val="en-GB"/>
        </w:rPr>
        <w:t>,</w:t>
      </w:r>
      <w:r w:rsidR="000F7F82" w:rsidRPr="001F2D2D">
        <w:rPr>
          <w:rFonts w:ascii="Times New Roman" w:hAnsi="Times New Roman" w:cs="Times New Roman"/>
          <w:lang w:val="en-GB"/>
        </w:rPr>
        <w:t xml:space="preserve"> in the field of defence</w:t>
      </w:r>
      <w:r w:rsidRPr="001F2D2D">
        <w:rPr>
          <w:rFonts w:ascii="Times New Roman" w:hAnsi="Times New Roman" w:cs="Times New Roman"/>
          <w:lang w:val="en-GB"/>
        </w:rPr>
        <w:t>.</w:t>
      </w:r>
      <w:r w:rsidR="00A668F9" w:rsidRPr="001F2D2D">
        <w:rPr>
          <w:rFonts w:ascii="Times New Roman" w:hAnsi="Times New Roman" w:cs="Times New Roman"/>
          <w:lang w:val="en-GB"/>
        </w:rPr>
        <w:t xml:space="preserve"> </w:t>
      </w:r>
      <w:r w:rsidR="00A668F9" w:rsidRPr="001F2D2D">
        <w:rPr>
          <w:rFonts w:ascii="Times New Roman" w:hAnsi="Times New Roman" w:cs="Times New Roman"/>
        </w:rPr>
        <w:t>In 1998, in St Malo, a seminal Franco-British summit resulted in a declaration that called for the Union to have ‘the capacity for autonomous action’,</w:t>
      </w:r>
      <w:r w:rsidR="00A668F9" w:rsidRPr="001F2D2D">
        <w:rPr>
          <w:rStyle w:val="FootnoteReference"/>
          <w:rFonts w:ascii="Times New Roman" w:hAnsi="Times New Roman" w:cs="Times New Roman"/>
        </w:rPr>
        <w:footnoteReference w:id="3"/>
      </w:r>
      <w:r w:rsidR="00A668F9" w:rsidRPr="001F2D2D">
        <w:rPr>
          <w:rFonts w:ascii="Times New Roman" w:hAnsi="Times New Roman" w:cs="Times New Roman"/>
        </w:rPr>
        <w:t xml:space="preserve"> within the newly created Amsterdam Treaty. The formulation of the St Malo declaration was the result of a compromise: while France would have wanted ‘independent’ action (i.e., independent from the US), the UK </w:t>
      </w:r>
      <w:r w:rsidR="00F92CDF" w:rsidRPr="001F2D2D">
        <w:rPr>
          <w:rFonts w:ascii="Times New Roman" w:hAnsi="Times New Roman" w:cs="Times New Roman"/>
        </w:rPr>
        <w:t>wanted a</w:t>
      </w:r>
      <w:r w:rsidR="00A668F9" w:rsidRPr="001F2D2D">
        <w:rPr>
          <w:rFonts w:ascii="Times New Roman" w:hAnsi="Times New Roman" w:cs="Times New Roman"/>
        </w:rPr>
        <w:t xml:space="preserve"> more cautious language (‘complementary’)</w:t>
      </w:r>
      <w:r w:rsidR="00F92CDF" w:rsidRPr="001F2D2D">
        <w:rPr>
          <w:rFonts w:ascii="Times New Roman" w:hAnsi="Times New Roman" w:cs="Times New Roman"/>
        </w:rPr>
        <w:t>.</w:t>
      </w:r>
    </w:p>
    <w:p w14:paraId="7D7C676B" w14:textId="77777777" w:rsidR="00A668F9" w:rsidRPr="001F2D2D" w:rsidRDefault="00A668F9" w:rsidP="001F2D2D">
      <w:pPr>
        <w:spacing w:line="276" w:lineRule="auto"/>
        <w:jc w:val="both"/>
        <w:rPr>
          <w:rFonts w:ascii="Times New Roman" w:hAnsi="Times New Roman" w:cs="Times New Roman"/>
          <w:lang w:val="en-GB"/>
        </w:rPr>
      </w:pPr>
    </w:p>
    <w:p w14:paraId="49D96F7F" w14:textId="35972910" w:rsidR="004A01B8" w:rsidRPr="001F2D2D" w:rsidRDefault="00A668F9" w:rsidP="001F2D2D">
      <w:pPr>
        <w:spacing w:line="276" w:lineRule="auto"/>
        <w:jc w:val="both"/>
        <w:rPr>
          <w:rFonts w:ascii="Times New Roman" w:hAnsi="Times New Roman" w:cs="Times New Roman"/>
          <w:lang w:val="en-GB"/>
        </w:rPr>
      </w:pPr>
      <w:r w:rsidRPr="001F2D2D">
        <w:rPr>
          <w:rFonts w:ascii="Times New Roman" w:hAnsi="Times New Roman" w:cs="Times New Roman"/>
          <w:lang w:val="en-GB"/>
        </w:rPr>
        <w:t>Even in the context of security and defence, there is no evidence that strategic autonomy</w:t>
      </w:r>
      <w:r w:rsidR="00002831" w:rsidRPr="001F2D2D">
        <w:rPr>
          <w:rFonts w:ascii="Times New Roman" w:hAnsi="Times New Roman" w:cs="Times New Roman"/>
          <w:lang w:val="en-GB"/>
        </w:rPr>
        <w:t xml:space="preserve"> was ever understood </w:t>
      </w:r>
      <w:r w:rsidR="00454D18" w:rsidRPr="001F2D2D">
        <w:rPr>
          <w:rFonts w:ascii="Times New Roman" w:hAnsi="Times New Roman" w:cs="Times New Roman"/>
          <w:lang w:val="en-GB"/>
        </w:rPr>
        <w:t xml:space="preserve">exclusively </w:t>
      </w:r>
      <w:r w:rsidR="00002831" w:rsidRPr="001F2D2D">
        <w:rPr>
          <w:rFonts w:ascii="Times New Roman" w:hAnsi="Times New Roman" w:cs="Times New Roman"/>
          <w:lang w:val="en-GB"/>
        </w:rPr>
        <w:t>as “freedom from” (for example</w:t>
      </w:r>
      <w:r w:rsidR="007115A8" w:rsidRPr="001F2D2D">
        <w:rPr>
          <w:rFonts w:ascii="Times New Roman" w:hAnsi="Times New Roman" w:cs="Times New Roman"/>
          <w:lang w:val="en-GB"/>
        </w:rPr>
        <w:t>, indeed,</w:t>
      </w:r>
      <w:r w:rsidR="00002831" w:rsidRPr="001F2D2D">
        <w:rPr>
          <w:rFonts w:ascii="Times New Roman" w:hAnsi="Times New Roman" w:cs="Times New Roman"/>
          <w:lang w:val="en-GB"/>
        </w:rPr>
        <w:t xml:space="preserve"> freedom from NATO or from </w:t>
      </w:r>
      <w:r w:rsidR="00454D18" w:rsidRPr="001F2D2D">
        <w:rPr>
          <w:rFonts w:ascii="Times New Roman" w:hAnsi="Times New Roman" w:cs="Times New Roman"/>
          <w:lang w:val="en-GB"/>
        </w:rPr>
        <w:t>Russia</w:t>
      </w:r>
      <w:r w:rsidR="00002831" w:rsidRPr="001F2D2D">
        <w:rPr>
          <w:rFonts w:ascii="Times New Roman" w:hAnsi="Times New Roman" w:cs="Times New Roman"/>
          <w:lang w:val="en-GB"/>
        </w:rPr>
        <w:t xml:space="preserve">). Granted, security offers a meta-rationale for the very existence of the EU, but the term of (strategic) autonomy has never been used to mean freedom from an external enemy. “To keep the Russians out” was, instead, NATO’s mission, according to the well-known summary by its first Secretary General, Lord </w:t>
      </w:r>
      <w:proofErr w:type="spellStart"/>
      <w:r w:rsidR="00002831" w:rsidRPr="001F2D2D">
        <w:rPr>
          <w:rFonts w:ascii="Times New Roman" w:hAnsi="Times New Roman" w:cs="Times New Roman"/>
          <w:lang w:val="en-GB"/>
        </w:rPr>
        <w:t>Ismay</w:t>
      </w:r>
      <w:proofErr w:type="spellEnd"/>
      <w:r w:rsidR="00002831" w:rsidRPr="001F2D2D">
        <w:rPr>
          <w:rFonts w:ascii="Times New Roman" w:hAnsi="Times New Roman" w:cs="Times New Roman"/>
          <w:lang w:val="en-GB"/>
        </w:rPr>
        <w:t xml:space="preserve">. </w:t>
      </w:r>
      <w:r w:rsidRPr="001F2D2D">
        <w:rPr>
          <w:rFonts w:ascii="Times New Roman" w:hAnsi="Times New Roman" w:cs="Times New Roman"/>
          <w:lang w:val="en-GB"/>
        </w:rPr>
        <w:t>For that kind of security – closer to independence than autonomy – there is Article 21(2) TEU</w:t>
      </w:r>
      <w:r w:rsidR="008D5A86" w:rsidRPr="001F2D2D">
        <w:rPr>
          <w:rFonts w:ascii="Times New Roman" w:hAnsi="Times New Roman" w:cs="Times New Roman"/>
          <w:lang w:val="en-GB"/>
        </w:rPr>
        <w:t xml:space="preserve"> which provides as first objective of the Union’s external action to “safeguard its values, fundamental interests, security, </w:t>
      </w:r>
      <w:r w:rsidR="008D5A86" w:rsidRPr="001F2D2D">
        <w:rPr>
          <w:rFonts w:ascii="Times New Roman" w:hAnsi="Times New Roman" w:cs="Times New Roman"/>
          <w:i/>
          <w:iCs/>
          <w:lang w:val="en-GB"/>
        </w:rPr>
        <w:t>independence and integrity</w:t>
      </w:r>
      <w:r w:rsidR="008D5A86" w:rsidRPr="001F2D2D">
        <w:rPr>
          <w:rFonts w:ascii="Times New Roman" w:hAnsi="Times New Roman" w:cs="Times New Roman"/>
          <w:lang w:val="en-GB"/>
        </w:rPr>
        <w:t>” (emphasis added)</w:t>
      </w:r>
      <w:r w:rsidRPr="001F2D2D">
        <w:rPr>
          <w:rFonts w:ascii="Times New Roman" w:hAnsi="Times New Roman" w:cs="Times New Roman"/>
          <w:lang w:val="en-GB"/>
        </w:rPr>
        <w:t>.</w:t>
      </w:r>
    </w:p>
    <w:p w14:paraId="7BE2BD61" w14:textId="37BD753C" w:rsidR="00A668F9" w:rsidRPr="001F2D2D" w:rsidRDefault="00D93DC3" w:rsidP="001F2D2D">
      <w:pPr>
        <w:pStyle w:val="NormalWeb"/>
        <w:spacing w:line="276" w:lineRule="auto"/>
        <w:jc w:val="both"/>
      </w:pPr>
      <w:r w:rsidRPr="001F2D2D">
        <w:rPr>
          <w:lang w:val="en-GB"/>
        </w:rPr>
        <w:t xml:space="preserve">To be sure, strategic autonomy </w:t>
      </w:r>
      <w:r w:rsidRPr="001F2D2D">
        <w:rPr>
          <w:i/>
          <w:iCs/>
          <w:lang w:val="en-GB"/>
        </w:rPr>
        <w:t xml:space="preserve">is </w:t>
      </w:r>
      <w:r w:rsidRPr="001F2D2D">
        <w:rPr>
          <w:lang w:val="en-GB"/>
        </w:rPr>
        <w:t xml:space="preserve">also independence, simply because there can be no autonomy without independence. This dimension of </w:t>
      </w:r>
      <w:r w:rsidR="00FA3631">
        <w:rPr>
          <w:lang w:val="en-GB"/>
        </w:rPr>
        <w:t>‘</w:t>
      </w:r>
      <w:r w:rsidRPr="001F2D2D">
        <w:rPr>
          <w:lang w:val="en-GB"/>
        </w:rPr>
        <w:t>freedom from</w:t>
      </w:r>
      <w:r w:rsidR="00FA3631">
        <w:rPr>
          <w:lang w:val="en-GB"/>
        </w:rPr>
        <w:t>’</w:t>
      </w:r>
      <w:r w:rsidRPr="001F2D2D">
        <w:rPr>
          <w:lang w:val="en-GB"/>
        </w:rPr>
        <w:t xml:space="preserve"> appears,</w:t>
      </w:r>
      <w:r w:rsidR="004A01B8" w:rsidRPr="001F2D2D">
        <w:rPr>
          <w:lang w:val="en-GB"/>
        </w:rPr>
        <w:t xml:space="preserve"> </w:t>
      </w:r>
      <w:r w:rsidRPr="001F2D2D">
        <w:rPr>
          <w:lang w:val="en-GB"/>
        </w:rPr>
        <w:t xml:space="preserve">in the </w:t>
      </w:r>
      <w:r w:rsidR="00FA3631">
        <w:rPr>
          <w:lang w:val="en-GB"/>
        </w:rPr>
        <w:t xml:space="preserve">proposed </w:t>
      </w:r>
      <w:r w:rsidRPr="001F2D2D">
        <w:rPr>
          <w:lang w:val="en-GB"/>
        </w:rPr>
        <w:t xml:space="preserve">anti-coercion instrument. </w:t>
      </w:r>
    </w:p>
    <w:p w14:paraId="50261EE3" w14:textId="4C27B868" w:rsidR="00A60A3A" w:rsidRPr="001F2D2D" w:rsidRDefault="00A60A3A" w:rsidP="001F2D2D">
      <w:pPr>
        <w:spacing w:line="276" w:lineRule="auto"/>
        <w:jc w:val="both"/>
        <w:rPr>
          <w:rFonts w:ascii="Times New Roman" w:hAnsi="Times New Roman" w:cs="Times New Roman"/>
          <w:i/>
          <w:iCs/>
          <w:lang w:val="en-GB"/>
        </w:rPr>
      </w:pPr>
      <w:r w:rsidRPr="001F2D2D">
        <w:rPr>
          <w:rFonts w:ascii="Times New Roman" w:hAnsi="Times New Roman" w:cs="Times New Roman"/>
          <w:i/>
          <w:iCs/>
          <w:lang w:val="en-GB"/>
        </w:rPr>
        <w:t xml:space="preserve">3.2. Autonomy in a positive fashion: a question of procedure or of substance? </w:t>
      </w:r>
    </w:p>
    <w:p w14:paraId="42D12958" w14:textId="77777777" w:rsidR="00A60A3A" w:rsidRPr="001F2D2D" w:rsidRDefault="00A60A3A" w:rsidP="001F2D2D">
      <w:pPr>
        <w:spacing w:line="276" w:lineRule="auto"/>
        <w:jc w:val="both"/>
        <w:rPr>
          <w:rFonts w:ascii="Times New Roman" w:hAnsi="Times New Roman" w:cs="Times New Roman"/>
          <w:lang w:val="en-GB"/>
        </w:rPr>
      </w:pPr>
    </w:p>
    <w:p w14:paraId="5D21D50B" w14:textId="13ECFDDD" w:rsidR="001157F9" w:rsidRPr="001F2D2D" w:rsidRDefault="00B90174" w:rsidP="00565E59">
      <w:pPr>
        <w:spacing w:line="276" w:lineRule="auto"/>
        <w:jc w:val="both"/>
        <w:rPr>
          <w:rFonts w:ascii="Times New Roman" w:hAnsi="Times New Roman" w:cs="Times New Roman"/>
          <w:lang w:val="en-GB"/>
        </w:rPr>
      </w:pPr>
      <w:r w:rsidRPr="001F2D2D">
        <w:rPr>
          <w:rFonts w:ascii="Times New Roman" w:hAnsi="Times New Roman" w:cs="Times New Roman"/>
          <w:lang w:val="en-GB"/>
        </w:rPr>
        <w:t xml:space="preserve">Strategic autonomy spilled over from defence to other areas </w:t>
      </w:r>
      <w:r w:rsidRPr="001F2D2D">
        <w:rPr>
          <w:rFonts w:ascii="Times New Roman" w:hAnsi="Times New Roman" w:cs="Times New Roman"/>
          <w:lang w:val="en-GB"/>
        </w:rPr>
        <w:fldChar w:fldCharType="begin"/>
      </w:r>
      <w:r w:rsidR="00AC4184" w:rsidRPr="001F2D2D">
        <w:rPr>
          <w:rFonts w:ascii="Times New Roman" w:hAnsi="Times New Roman" w:cs="Times New Roman"/>
          <w:lang w:val="en-GB"/>
        </w:rPr>
        <w:instrText xml:space="preserve"> ADDIN ZOTERO_ITEM CSL_CITATION {"citationID":"AYdfefwm","properties":{"formattedCitation":"(Helwig and Sinkkonen, 2022; Borrell, 2020)","plainCitation":"(Helwig and Sinkkonen, 2022; Borrell, 2020)","noteIndex":0},"citationItems":[{"id":108,"uris":["http://zotero.org/users/local/JGwB40RD/items/7GGFP53W"],"itemData":{"id":108,"type":"article-journal","abstract":"For all the attention on ‘strategic autonomy’ in the European Union (EU)’s foreign and security policy debate, the academic reflections on the term have so far been limited. Strategic autonomy is a prominent framework through which policy-makers discuss the EU’s response to global challenges, which raises the question to what extent its study can tell us more about the development of the EU as a global actor. This article discusses the evolution of the term ‘strategic autonomy’, the current policy debates that surround it, as well as how its emergence and implications can possibly be analysed through the use of International Relations theory. It argues that strategic autonomy should not be understood as a binary choice between dependence and independence or engagement and decoupling. By accepting the ambiguity of the term and its various meanings in today’s policy debate, it is possible to explore the grey areas of the EU’s struggle to manage its external interdependencies, as well as the implications in diverse policy fields, including foreign policy, security and defence, as well as trade.","container-title":"EUROPEAN FOREIGN AFFAIRS REVIEW","language":"en","page":"20","source":"Zotero","title":"Strategic Autonomy and the EU as a Global Actor: The Evolution, Debate and Theory of a Contested Term","volume":"27","author":[{"family":"Helwig","given":"Niklas"},{"family":"Sinkkonen","given":"Ville"}],"issued":{"date-parts":[["2022"]]}}},{"id":227,"uris":["http://zotero.org/users/local/JGwB40RD/items/4WV83YWY"],"itemData":{"id":227,"type":"post-weblog","container-title":"EEAS Website","title":"Why European strategic autonomy matters","URL":"https://www.eeas.europa.eu/eeas/why-european-strategic-autonomy-matters_en","author":[{"family":"Borrell","given":"Josep"}],"accessed":{"date-parts":[["2022",4,24]]},"issued":{"date-parts":[["2020",10,3]]}}}],"schema":"https://github.com/citation-style-language/schema/raw/master/csl-citation.json"} </w:instrText>
      </w:r>
      <w:r w:rsidRPr="001F2D2D">
        <w:rPr>
          <w:rFonts w:ascii="Times New Roman" w:hAnsi="Times New Roman" w:cs="Times New Roman"/>
          <w:lang w:val="en-GB"/>
        </w:rPr>
        <w:fldChar w:fldCharType="separate"/>
      </w:r>
      <w:r w:rsidR="00AC4184" w:rsidRPr="001F2D2D">
        <w:rPr>
          <w:rFonts w:ascii="Times New Roman" w:hAnsi="Times New Roman" w:cs="Times New Roman"/>
          <w:noProof/>
          <w:lang w:val="en-GB"/>
        </w:rPr>
        <w:t>(Helwig and Sinkkonen, 2022; Borrell, 2020)</w:t>
      </w:r>
      <w:r w:rsidRPr="001F2D2D">
        <w:rPr>
          <w:rFonts w:ascii="Times New Roman" w:hAnsi="Times New Roman" w:cs="Times New Roman"/>
          <w:lang w:val="en-GB"/>
        </w:rPr>
        <w:fldChar w:fldCharType="end"/>
      </w:r>
      <w:r w:rsidR="00FA13A0" w:rsidRPr="001F2D2D">
        <w:rPr>
          <w:rFonts w:ascii="Times New Roman" w:hAnsi="Times New Roman" w:cs="Times New Roman"/>
          <w:lang w:val="en-GB"/>
        </w:rPr>
        <w:t xml:space="preserve"> and it acquired a meaning close to</w:t>
      </w:r>
      <w:r w:rsidR="00EF022D" w:rsidRPr="001F2D2D">
        <w:rPr>
          <w:rFonts w:ascii="Times New Roman" w:hAnsi="Times New Roman" w:cs="Times New Roman"/>
          <w:lang w:val="en-GB"/>
        </w:rPr>
        <w:t xml:space="preserve"> the freedom for the EU to make its own choices</w:t>
      </w:r>
      <w:r w:rsidR="00AC4184" w:rsidRPr="001F2D2D">
        <w:rPr>
          <w:rFonts w:ascii="Times New Roman" w:hAnsi="Times New Roman" w:cs="Times New Roman"/>
          <w:lang w:val="en-GB"/>
        </w:rPr>
        <w:t xml:space="preserve">, the ‘capacity to act autonomously’ mentioned in the November 2016 Council conclusions </w:t>
      </w:r>
      <w:r w:rsidR="00AC4184" w:rsidRPr="001F2D2D">
        <w:rPr>
          <w:rFonts w:ascii="Times New Roman" w:hAnsi="Times New Roman" w:cs="Times New Roman"/>
          <w:lang w:val="en-GB"/>
        </w:rPr>
        <w:fldChar w:fldCharType="begin"/>
      </w:r>
      <w:r w:rsidR="00AC4184" w:rsidRPr="001F2D2D">
        <w:rPr>
          <w:rFonts w:ascii="Times New Roman" w:hAnsi="Times New Roman" w:cs="Times New Roman"/>
          <w:lang w:val="en-GB"/>
        </w:rPr>
        <w:instrText xml:space="preserve"> ADDIN ZOTERO_ITEM CSL_CITATION {"citationID":"bh8zXwWB","properties":{"formattedCitation":"(Council of the EU, 2016)","plainCitation":"(Council of the EU, 2016)","noteIndex":0},"citationItems":[{"id":230,"uris":["http://zotero.org/users/local/JGwB40RD/items/4CWUNXVI"],"itemData":{"id":230,"type":"document","abstract":"On 14 November 2016 the Council adopted conclusions on implementing the EU global strategy in the area of security and defence.","language":"en","title":"Council conclusions on implementing the EU global strategy in the area of security and defence","URL":"https://www.consilium.europa.eu/en/press/press-releases/2016/11/14/conclusions-eu-global-strategy-security-defence/","author":[{"family":"Council of the EU","given":""}],"accessed":{"date-parts":[["2022",4,24]]},"issued":{"date-parts":[["2016",11,14]]}}}],"schema":"https://github.com/citation-style-language/schema/raw/master/csl-citation.json"} </w:instrText>
      </w:r>
      <w:r w:rsidR="00AC4184" w:rsidRPr="001F2D2D">
        <w:rPr>
          <w:rFonts w:ascii="Times New Roman" w:hAnsi="Times New Roman" w:cs="Times New Roman"/>
          <w:lang w:val="en-GB"/>
        </w:rPr>
        <w:fldChar w:fldCharType="separate"/>
      </w:r>
      <w:r w:rsidR="00AC4184" w:rsidRPr="001F2D2D">
        <w:rPr>
          <w:rFonts w:ascii="Times New Roman" w:hAnsi="Times New Roman" w:cs="Times New Roman"/>
          <w:noProof/>
          <w:lang w:val="en-GB"/>
        </w:rPr>
        <w:t>(Council of the EU, 2016)</w:t>
      </w:r>
      <w:r w:rsidR="00AC4184" w:rsidRPr="001F2D2D">
        <w:rPr>
          <w:rFonts w:ascii="Times New Roman" w:hAnsi="Times New Roman" w:cs="Times New Roman"/>
          <w:lang w:val="en-GB"/>
        </w:rPr>
        <w:fldChar w:fldCharType="end"/>
      </w:r>
      <w:r w:rsidR="00565E59">
        <w:rPr>
          <w:rFonts w:ascii="Times New Roman" w:hAnsi="Times New Roman" w:cs="Times New Roman"/>
          <w:lang w:val="en-GB"/>
        </w:rPr>
        <w:t xml:space="preserve"> and further articulated in the </w:t>
      </w:r>
      <w:r w:rsidR="00565E59" w:rsidRPr="00565E59">
        <w:rPr>
          <w:rFonts w:ascii="Times New Roman" w:hAnsi="Times New Roman" w:cs="Times New Roman"/>
          <w:lang w:val="en-GB"/>
        </w:rPr>
        <w:t xml:space="preserve">Commission’s 2021 Strategic Foresight Report </w:t>
      </w:r>
      <w:r w:rsidR="00565E59">
        <w:rPr>
          <w:rFonts w:ascii="Times New Roman" w:hAnsi="Times New Roman" w:cs="Times New Roman"/>
          <w:lang w:val="en-GB"/>
        </w:rPr>
        <w:t>‘</w:t>
      </w:r>
      <w:r w:rsidR="00565E59" w:rsidRPr="00565E59">
        <w:rPr>
          <w:rFonts w:ascii="Times New Roman" w:hAnsi="Times New Roman" w:cs="Times New Roman"/>
          <w:lang w:val="en-GB"/>
        </w:rPr>
        <w:t>The EU’s capacity and</w:t>
      </w:r>
      <w:r w:rsidR="00565E59">
        <w:rPr>
          <w:rFonts w:ascii="Times New Roman" w:hAnsi="Times New Roman" w:cs="Times New Roman"/>
          <w:lang w:val="en-GB"/>
        </w:rPr>
        <w:t xml:space="preserve"> </w:t>
      </w:r>
      <w:r w:rsidR="00565E59" w:rsidRPr="00565E59">
        <w:rPr>
          <w:rFonts w:ascii="Times New Roman" w:hAnsi="Times New Roman" w:cs="Times New Roman"/>
          <w:lang w:val="en-GB"/>
        </w:rPr>
        <w:t>freedom to act</w:t>
      </w:r>
      <w:r w:rsidR="00565E59">
        <w:rPr>
          <w:rFonts w:ascii="Times New Roman" w:hAnsi="Times New Roman" w:cs="Times New Roman"/>
          <w:lang w:val="en-GB"/>
        </w:rPr>
        <w:t>’</w:t>
      </w:r>
      <w:r w:rsidR="00EF022D" w:rsidRPr="001F2D2D">
        <w:rPr>
          <w:rFonts w:ascii="Times New Roman" w:hAnsi="Times New Roman" w:cs="Times New Roman"/>
          <w:lang w:val="en-GB"/>
        </w:rPr>
        <w:t>.</w:t>
      </w:r>
      <w:r w:rsidR="00341C83" w:rsidRPr="001F2D2D">
        <w:rPr>
          <w:rFonts w:ascii="Times New Roman" w:hAnsi="Times New Roman" w:cs="Times New Roman"/>
          <w:lang w:val="en-GB"/>
        </w:rPr>
        <w:t xml:space="preserve"> But is strategic autonomy</w:t>
      </w:r>
      <w:r w:rsidR="007115A8" w:rsidRPr="001F2D2D">
        <w:rPr>
          <w:rFonts w:ascii="Times New Roman" w:hAnsi="Times New Roman" w:cs="Times New Roman"/>
          <w:lang w:val="en-GB"/>
        </w:rPr>
        <w:t xml:space="preserve">, so to speak, purely procedural – or does it offer a vision of substance of </w:t>
      </w:r>
      <w:r w:rsidR="00341C83" w:rsidRPr="001F2D2D">
        <w:rPr>
          <w:rFonts w:ascii="Times New Roman" w:hAnsi="Times New Roman" w:cs="Times New Roman"/>
          <w:lang w:val="en-GB"/>
        </w:rPr>
        <w:t>about what the EU’s choices should be</w:t>
      </w:r>
      <w:r w:rsidR="007115A8" w:rsidRPr="001F2D2D">
        <w:rPr>
          <w:rFonts w:ascii="Times New Roman" w:hAnsi="Times New Roman" w:cs="Times New Roman"/>
          <w:lang w:val="en-GB"/>
        </w:rPr>
        <w:t xml:space="preserve">? </w:t>
      </w:r>
    </w:p>
    <w:p w14:paraId="384D2842" w14:textId="117A7E53" w:rsidR="00002831" w:rsidRPr="001F2D2D" w:rsidRDefault="00F92338" w:rsidP="001F2D2D">
      <w:pPr>
        <w:spacing w:line="276" w:lineRule="auto"/>
        <w:jc w:val="both"/>
        <w:rPr>
          <w:rFonts w:ascii="Times New Roman" w:hAnsi="Times New Roman" w:cs="Times New Roman"/>
          <w:lang w:val="en-GB"/>
        </w:rPr>
      </w:pPr>
      <w:r w:rsidRPr="001F2D2D">
        <w:rPr>
          <w:rFonts w:ascii="Times New Roman" w:hAnsi="Times New Roman" w:cs="Times New Roman"/>
          <w:lang w:val="en-GB"/>
        </w:rPr>
        <w:t>In a sense, much like the legal principle of autonomy, s</w:t>
      </w:r>
      <w:r w:rsidR="001157F9" w:rsidRPr="001F2D2D">
        <w:rPr>
          <w:rFonts w:ascii="Times New Roman" w:hAnsi="Times New Roman" w:cs="Times New Roman"/>
          <w:lang w:val="en-GB"/>
        </w:rPr>
        <w:t>trategic autonomy</w:t>
      </w:r>
      <w:r w:rsidRPr="001F2D2D">
        <w:rPr>
          <w:rFonts w:ascii="Times New Roman" w:hAnsi="Times New Roman" w:cs="Times New Roman"/>
          <w:lang w:val="en-GB"/>
        </w:rPr>
        <w:t xml:space="preserve"> also</w:t>
      </w:r>
      <w:r w:rsidR="001157F9" w:rsidRPr="001F2D2D">
        <w:rPr>
          <w:rFonts w:ascii="Times New Roman" w:hAnsi="Times New Roman" w:cs="Times New Roman"/>
          <w:lang w:val="en-GB"/>
        </w:rPr>
        <w:t xml:space="preserve"> protects certain essential characteristics of the EU, namely ways and instruments through which the EU can act in its international relations. </w:t>
      </w:r>
      <w:r w:rsidRPr="001F2D2D">
        <w:rPr>
          <w:rFonts w:ascii="Times New Roman" w:hAnsi="Times New Roman" w:cs="Times New Roman"/>
          <w:lang w:val="en-GB"/>
        </w:rPr>
        <w:t xml:space="preserve">These ‘ways and instruments’ have certainly a procedural, formal dimension. But they also give an indication of the substance of what the EU can do in its foreign policy. </w:t>
      </w:r>
    </w:p>
    <w:p w14:paraId="05DD1232" w14:textId="36A9D984" w:rsidR="00EF022D" w:rsidRPr="001F2D2D" w:rsidRDefault="00630F0B" w:rsidP="001F2D2D">
      <w:pPr>
        <w:pStyle w:val="NormalWeb"/>
        <w:spacing w:line="276" w:lineRule="auto"/>
        <w:jc w:val="both"/>
      </w:pPr>
      <w:r w:rsidRPr="001F2D2D">
        <w:rPr>
          <w:lang w:val="en-GB"/>
        </w:rPr>
        <w:t>In its procedural sense, autonomy means e</w:t>
      </w:r>
      <w:r w:rsidR="00EF022D" w:rsidRPr="001F2D2D">
        <w:rPr>
          <w:lang w:val="en-GB"/>
        </w:rPr>
        <w:t>quipping oneself with instruments to pursue objectives</w:t>
      </w:r>
      <w:r w:rsidR="00A54CF6" w:rsidRPr="001F2D2D">
        <w:rPr>
          <w:lang w:val="en-GB"/>
        </w:rPr>
        <w:t xml:space="preserve">, </w:t>
      </w:r>
      <w:r w:rsidR="00C32C3F">
        <w:t>‘</w:t>
      </w:r>
      <w:r w:rsidR="00A54CF6" w:rsidRPr="001F2D2D">
        <w:t>an essential enabler of Europe’s shaping power</w:t>
      </w:r>
      <w:r w:rsidR="00C32C3F">
        <w:t xml:space="preserve">’ </w:t>
      </w:r>
      <w:r w:rsidR="00C32C3F">
        <w:fldChar w:fldCharType="begin"/>
      </w:r>
      <w:r w:rsidR="00C32C3F">
        <w:instrText xml:space="preserve"> ADDIN ZOTERO_ITEM CSL_CITATION {"citationID":"TCifDk5B","properties":{"formattedCitation":"(Grevi, 2019)","plainCitation":"(Grevi, 2019)","noteIndex":0},"citationItems":[{"id":266,"uris":["http://zotero.org/users/local/JGwB40RD/items/HJEW7JM9"],"itemData":{"id":266,"type":"document","language":"en","publisher":"European Policy Centre","source":"Zotero","title":"Strategic autonomy for European choices: The key to Europe’s shaping power","URL":"https://www.epc.eu/content/PDF/2019/190719_Strategicautonomy_GG.pdf","author":[{"family":"Grevi","given":"Giovanni"}],"issued":{"date-parts":[["2019"]]}}}],"schema":"https://github.com/citation-style-language/schema/raw/master/csl-citation.json"} </w:instrText>
      </w:r>
      <w:r w:rsidR="00C32C3F">
        <w:fldChar w:fldCharType="separate"/>
      </w:r>
      <w:r w:rsidR="00C32C3F">
        <w:rPr>
          <w:noProof/>
        </w:rPr>
        <w:t>(Grevi, 2019)</w:t>
      </w:r>
      <w:r w:rsidR="00C32C3F">
        <w:fldChar w:fldCharType="end"/>
      </w:r>
      <w:r w:rsidR="00A54CF6" w:rsidRPr="001F2D2D">
        <w:t xml:space="preserve">. Here, the key word </w:t>
      </w:r>
      <w:r w:rsidR="00A54CF6" w:rsidRPr="001F2D2D">
        <w:lastRenderedPageBreak/>
        <w:t xml:space="preserve">is enabler, which suggests that autonomy is there to help the EU achieve certain objectives, but which does not specify what the objectives are. </w:t>
      </w:r>
      <w:proofErr w:type="spellStart"/>
      <w:r w:rsidR="00A54CF6" w:rsidRPr="001F2D2D">
        <w:t>Grevi</w:t>
      </w:r>
      <w:proofErr w:type="spellEnd"/>
      <w:r w:rsidR="00A54CF6" w:rsidRPr="001F2D2D">
        <w:t xml:space="preserve"> therefore identifies autonomy in purely formal terms, in three dimensions (political, institutional, and functional). </w:t>
      </w:r>
    </w:p>
    <w:p w14:paraId="692DD271" w14:textId="12FAA4F3" w:rsidR="00A54CF6" w:rsidRPr="001F2D2D" w:rsidRDefault="00A54CF6" w:rsidP="001F2D2D">
      <w:pPr>
        <w:pStyle w:val="NormalWeb"/>
        <w:spacing w:line="276" w:lineRule="auto"/>
        <w:jc w:val="both"/>
      </w:pPr>
      <w:r w:rsidRPr="001F2D2D">
        <w:t>Autonomy is procedural in so far as it specifies ‘ways’</w:t>
      </w:r>
      <w:r w:rsidR="00630F0B" w:rsidRPr="001F2D2D">
        <w:t>. For example, i</w:t>
      </w:r>
      <w:r w:rsidRPr="001F2D2D">
        <w:t>nstitutional decision-making</w:t>
      </w:r>
      <w:r w:rsidR="00630F0B" w:rsidRPr="001F2D2D">
        <w:t>:</w:t>
      </w:r>
      <w:r w:rsidRPr="001F2D2D">
        <w:t xml:space="preserve"> </w:t>
      </w:r>
      <w:r w:rsidR="00C32C3F">
        <w:t>‘</w:t>
      </w:r>
      <w:r w:rsidRPr="001F2D2D">
        <w:t>we understand strategic autonomy as the ability to set one’s own priorities and make one’s own decisions in matters of foreign policy and security, together with the institutional, political and material wherewithal to carry these through – in cooperation with third parties, or if need be alone. Strong strategic autonomy means being able to set, modify and enforce international rules, as opposed to (unwillingly) obey rules set by others</w:t>
      </w:r>
      <w:r w:rsidR="00C32C3F">
        <w:t>’</w:t>
      </w:r>
      <w:r w:rsidRPr="001F2D2D">
        <w:t xml:space="preserve"> (Barbara Lippert, Nicolai von </w:t>
      </w:r>
      <w:proofErr w:type="spellStart"/>
      <w:r w:rsidRPr="001F2D2D">
        <w:t>Ondarza</w:t>
      </w:r>
      <w:proofErr w:type="spellEnd"/>
      <w:r w:rsidRPr="001F2D2D">
        <w:t xml:space="preserve"> and Volker Perthes 2019)</w:t>
      </w:r>
      <w:r w:rsidR="00630F0B" w:rsidRPr="001F2D2D">
        <w:t xml:space="preserve">. </w:t>
      </w:r>
      <w:r w:rsidR="00C32C3F">
        <w:t>T</w:t>
      </w:r>
      <w:r w:rsidR="00630F0B" w:rsidRPr="001F2D2D">
        <w:t>he legal principle of autonomy</w:t>
      </w:r>
      <w:r w:rsidR="00C32C3F">
        <w:t xml:space="preserve"> also suggests as much: EU institutions are set to carry out their role to enable the EU to act, and in their tasks certain essential characteristics cannot be affected. The CJEU’s jurisdictional monopoly being a prime example: as Opinion 2/13 clarifies, there cannot be a court outside the EU legal system which has jurisdiction over EU acts on which the CJEU itself does not have jurisdiction (such as some acts adopted under Common Foreign and Security Policy). </w:t>
      </w:r>
    </w:p>
    <w:p w14:paraId="1015317F" w14:textId="214AB5EA" w:rsidR="002A463B" w:rsidRPr="001F2D2D" w:rsidRDefault="00630F0B" w:rsidP="001F2D2D">
      <w:pPr>
        <w:pStyle w:val="NormalWeb"/>
        <w:spacing w:line="276" w:lineRule="auto"/>
        <w:jc w:val="both"/>
      </w:pPr>
      <w:r w:rsidRPr="001F2D2D">
        <w:t>Strategic autonomy</w:t>
      </w:r>
      <w:r w:rsidR="00A54CF6" w:rsidRPr="001F2D2D">
        <w:t xml:space="preserve"> is procedural in so far as it specifies ‘instruments’</w:t>
      </w:r>
      <w:r w:rsidR="004F02C6" w:rsidRPr="001F2D2D">
        <w:t xml:space="preserve">, meaning how the EU mobilises resources: money and defence equipment. The most important of defence equipment are </w:t>
      </w:r>
      <w:r w:rsidR="00C925A2" w:rsidRPr="001F2D2D">
        <w:t>military means.</w:t>
      </w:r>
      <w:r w:rsidR="0011788A" w:rsidRPr="001F2D2D">
        <w:t xml:space="preserve"> In the aftermath of the St Malo declaration, Tony Blair </w:t>
      </w:r>
      <w:r w:rsidR="00D332E4" w:rsidRPr="001F2D2D">
        <w:t>insisted</w:t>
      </w:r>
      <w:r w:rsidR="0011788A" w:rsidRPr="001F2D2D">
        <w:t xml:space="preserve"> that it would not </w:t>
      </w:r>
      <w:r w:rsidR="00D332E4" w:rsidRPr="001F2D2D">
        <w:t>entail the creation of an European army, and so did Federica Mogherini after the 2016 G</w:t>
      </w:r>
      <w:r w:rsidR="001425C4">
        <w:t>l</w:t>
      </w:r>
      <w:r w:rsidR="00D332E4" w:rsidRPr="001F2D2D">
        <w:t xml:space="preserve">obal Strategy </w:t>
      </w:r>
      <w:r w:rsidR="00D332E4" w:rsidRPr="001F2D2D">
        <w:fldChar w:fldCharType="begin"/>
      </w:r>
      <w:r w:rsidR="00D332E4" w:rsidRPr="001F2D2D">
        <w:instrText xml:space="preserve"> ADDIN ZOTERO_ITEM CSL_CITATION {"citationID":"7C2raFKr","properties":{"formattedCitation":"(Howorth, 2018, p. 525)","plainCitation":"(Howorth, 2018, p. 525)","noteIndex":0},"citationItems":[{"id":104,"uris":["http://zotero.org/users/local/JGwB40RD/items/VJW8W8PT"],"itemData":{"id":104,"type":"article-journal","abstract":"The EU’s common security and defence policy was launched in the 1990s as a quest for ‘autonomy.’ Fifteen years of eﬀorts failed to deliver. The coherence of the EU member states in their security dealings with the US was always vulnerable to the incompatible objectives of the UK and France. But as EU leaders post-Brexit relaunch CSDP, as the European Global Strategy rediscovers the virtues of ‘strategic autonomy,’ and as Europe juggles with a US president who questions the basis of NATO, it is time to re-think the relations between the EU and NATO. Brexit has the potential to strengthen the coherence of the EU member states in their quest for autonomy. This might seem to weaken the transatlantic bond. This paper will argue that, in the longer term, it is through the transcendence of the EU-NATO relationship that a genuine strengthening of that bond will emerge.","container-title":"Journal of European Integration","DOI":"10.1080/07036337.2018.1512268","ISSN":"0703-6337, 1477-2280","issue":"5","journalAbbreviation":"Journal of European Integration","language":"en","page":"523-537","source":"DOI.org (Crossref)","title":"Strategic autonomy and EU-NATO cooperation: threat or opportunity for transatlantic defence relations?","title-short":"Strategic autonomy and EU-NATO cooperation","volume":"40","author":[{"family":"Howorth","given":"Jolyon"}],"issued":{"date-parts":[["2018",7,29]]}},"locator":"525"}],"schema":"https://github.com/citation-style-language/schema/raw/master/csl-citation.json"} </w:instrText>
      </w:r>
      <w:r w:rsidR="00D332E4" w:rsidRPr="001F2D2D">
        <w:fldChar w:fldCharType="separate"/>
      </w:r>
      <w:r w:rsidR="00D332E4" w:rsidRPr="001F2D2D">
        <w:rPr>
          <w:noProof/>
        </w:rPr>
        <w:t>(Howorth, 2018, p. 525)</w:t>
      </w:r>
      <w:r w:rsidR="00D332E4" w:rsidRPr="001F2D2D">
        <w:fldChar w:fldCharType="end"/>
      </w:r>
      <w:r w:rsidR="00D332E4" w:rsidRPr="001F2D2D">
        <w:t>, but ‘if the concept of ‘strategic autonomy’ is ever to move beyond the level of discourse, it is difficult to imagine how it would not eventually lead to some form of highly coordinated, multi-national, joint and tightly integrated defence capacity’ (ibid 526).</w:t>
      </w:r>
      <w:r w:rsidR="00E142A4" w:rsidRPr="001F2D2D">
        <w:t xml:space="preserve"> </w:t>
      </w:r>
    </w:p>
    <w:p w14:paraId="18187C8D" w14:textId="14CF76EA" w:rsidR="002A463B" w:rsidRPr="001F2D2D" w:rsidRDefault="002A463B" w:rsidP="001F2D2D">
      <w:pPr>
        <w:pStyle w:val="NormalWeb"/>
        <w:spacing w:line="276" w:lineRule="auto"/>
        <w:jc w:val="both"/>
      </w:pPr>
      <w:r w:rsidRPr="001F2D2D">
        <w:rPr>
          <w:lang w:val="en-GB"/>
        </w:rPr>
        <w:t>The notion of strategic hedging also point</w:t>
      </w:r>
      <w:r w:rsidR="00DF217E">
        <w:rPr>
          <w:lang w:val="en-GB"/>
        </w:rPr>
        <w:t>s</w:t>
      </w:r>
      <w:r w:rsidRPr="001F2D2D">
        <w:rPr>
          <w:lang w:val="en-GB"/>
        </w:rPr>
        <w:t xml:space="preserve"> to this direction</w:t>
      </w:r>
      <w:r w:rsidR="00D553F3" w:rsidRPr="001F2D2D">
        <w:rPr>
          <w:lang w:val="en-GB"/>
        </w:rPr>
        <w:t xml:space="preserve"> of strategic autonomy as a procedural concept</w:t>
      </w:r>
      <w:r w:rsidRPr="001F2D2D">
        <w:rPr>
          <w:lang w:val="en-GB"/>
        </w:rPr>
        <w:t xml:space="preserve">. If the EU cannot fully trust its transatlantic partner, </w:t>
      </w:r>
      <w:r w:rsidR="001425C4">
        <w:t>‘</w:t>
      </w:r>
      <w:r w:rsidRPr="001F2D2D">
        <w:t xml:space="preserve">strategic hedging can be seen </w:t>
      </w:r>
      <w:proofErr w:type="gramStart"/>
      <w:r w:rsidRPr="001F2D2D">
        <w:t>as a way to</w:t>
      </w:r>
      <w:proofErr w:type="gramEnd"/>
      <w:r w:rsidRPr="001F2D2D">
        <w:t xml:space="preserve"> ensure that EU defence structures and policies are autonomous and effective enough to take on a range of military tasks should the US gradually withdraw from Europe over time. In this regard, </w:t>
      </w:r>
      <w:r w:rsidR="001425C4">
        <w:t>“</w:t>
      </w:r>
      <w:r w:rsidRPr="001F2D2D">
        <w:t xml:space="preserve">strategic hedging </w:t>
      </w:r>
      <w:proofErr w:type="spellStart"/>
      <w:r w:rsidRPr="001F2D2D">
        <w:t>behavior</w:t>
      </w:r>
      <w:proofErr w:type="spellEnd"/>
      <w:r w:rsidRPr="001F2D2D">
        <w:t xml:space="preserve"> sic is meant to serve as a sort of insurance policy that guards against</w:t>
      </w:r>
      <w:r w:rsidR="001425C4">
        <w:t>”</w:t>
      </w:r>
      <w:r w:rsidRPr="001F2D2D">
        <w:rPr>
          <w:rStyle w:val="FootnoteReference"/>
        </w:rPr>
        <w:footnoteReference w:id="4"/>
      </w:r>
      <w:r w:rsidR="001425C4">
        <w:t>’</w:t>
      </w:r>
      <w:r w:rsidRPr="001F2D2D">
        <w:t xml:space="preserve"> (</w:t>
      </w:r>
      <w:proofErr w:type="spellStart"/>
      <w:r w:rsidRPr="001F2D2D">
        <w:t>Fiott</w:t>
      </w:r>
      <w:proofErr w:type="spellEnd"/>
      <w:r w:rsidRPr="001F2D2D">
        <w:t>)</w:t>
      </w:r>
    </w:p>
    <w:p w14:paraId="0CB4C1B4" w14:textId="2B7B687E" w:rsidR="00002831" w:rsidRPr="001F2D2D" w:rsidRDefault="00035479" w:rsidP="001F2D2D">
      <w:pPr>
        <w:spacing w:line="276" w:lineRule="auto"/>
        <w:jc w:val="both"/>
        <w:rPr>
          <w:rFonts w:ascii="Times New Roman" w:hAnsi="Times New Roman" w:cs="Times New Roman"/>
          <w:lang w:val="en-GB"/>
        </w:rPr>
      </w:pPr>
      <w:r w:rsidRPr="001F2D2D">
        <w:rPr>
          <w:rFonts w:ascii="Times New Roman" w:hAnsi="Times New Roman" w:cs="Times New Roman"/>
          <w:lang w:val="en-GB"/>
        </w:rPr>
        <w:t>It is procedural in that it does not constrain the substance</w:t>
      </w:r>
      <w:r w:rsidR="00B53CC1">
        <w:rPr>
          <w:rFonts w:ascii="Times New Roman" w:hAnsi="Times New Roman" w:cs="Times New Roman"/>
          <w:lang w:val="en-GB"/>
        </w:rPr>
        <w:t xml:space="preserve"> (</w:t>
      </w:r>
      <w:proofErr w:type="gramStart"/>
      <w:r w:rsidR="00B53CC1">
        <w:rPr>
          <w:rFonts w:ascii="Times New Roman" w:hAnsi="Times New Roman" w:cs="Times New Roman"/>
          <w:lang w:val="en-GB"/>
        </w:rPr>
        <w:t>i.e.</w:t>
      </w:r>
      <w:proofErr w:type="gramEnd"/>
      <w:r w:rsidR="00B53CC1">
        <w:rPr>
          <w:rFonts w:ascii="Times New Roman" w:hAnsi="Times New Roman" w:cs="Times New Roman"/>
          <w:lang w:val="en-GB"/>
        </w:rPr>
        <w:t xml:space="preserve"> the actual choices of the EU)</w:t>
      </w:r>
      <w:r w:rsidRPr="001F2D2D">
        <w:rPr>
          <w:rFonts w:ascii="Times New Roman" w:hAnsi="Times New Roman" w:cs="Times New Roman"/>
          <w:lang w:val="en-GB"/>
        </w:rPr>
        <w:t xml:space="preserve"> as it </w:t>
      </w:r>
      <w:r w:rsidR="00342914" w:rsidRPr="001F2D2D">
        <w:rPr>
          <w:rFonts w:ascii="Times New Roman" w:hAnsi="Times New Roman" w:cs="Times New Roman"/>
          <w:lang w:val="en-GB"/>
        </w:rPr>
        <w:t>appears to be confirmed by the case law of the Court</w:t>
      </w:r>
      <w:r w:rsidRPr="001F2D2D">
        <w:rPr>
          <w:rFonts w:ascii="Times New Roman" w:hAnsi="Times New Roman" w:cs="Times New Roman"/>
          <w:lang w:val="en-GB"/>
        </w:rPr>
        <w:t xml:space="preserve"> on EU constitutional objectives</w:t>
      </w:r>
      <w:r w:rsidR="00EF022D" w:rsidRPr="001F2D2D">
        <w:rPr>
          <w:rFonts w:ascii="Times New Roman" w:hAnsi="Times New Roman" w:cs="Times New Roman"/>
          <w:lang w:val="en-GB"/>
        </w:rPr>
        <w:t xml:space="preserve">. Case law of the Court on the choices of EU institutions confirms </w:t>
      </w:r>
      <w:r w:rsidR="00B53CC1">
        <w:rPr>
          <w:rFonts w:ascii="Times New Roman" w:hAnsi="Times New Roman" w:cs="Times New Roman"/>
          <w:lang w:val="en-GB"/>
        </w:rPr>
        <w:t>that they enjoy ‘</w:t>
      </w:r>
      <w:r w:rsidR="00EF022D" w:rsidRPr="001F2D2D">
        <w:rPr>
          <w:rFonts w:ascii="Times New Roman" w:hAnsi="Times New Roman" w:cs="Times New Roman"/>
          <w:lang w:val="en-GB"/>
        </w:rPr>
        <w:t xml:space="preserve">broad discretion in areas which involve the making by that institution of political, economic and social choices, and in which it is called upon to undertake complex </w:t>
      </w:r>
      <w:proofErr w:type="gramStart"/>
      <w:r w:rsidR="00EF022D" w:rsidRPr="001F2D2D">
        <w:rPr>
          <w:rFonts w:ascii="Times New Roman" w:hAnsi="Times New Roman" w:cs="Times New Roman"/>
          <w:lang w:val="en-GB"/>
        </w:rPr>
        <w:t>assessments</w:t>
      </w:r>
      <w:r w:rsidR="00B53CC1">
        <w:rPr>
          <w:rFonts w:ascii="Times New Roman" w:hAnsi="Times New Roman" w:cs="Times New Roman"/>
          <w:lang w:val="en-GB"/>
        </w:rPr>
        <w:t>’</w:t>
      </w:r>
      <w:proofErr w:type="gramEnd"/>
      <w:r w:rsidR="00EF022D" w:rsidRPr="001F2D2D">
        <w:rPr>
          <w:rFonts w:ascii="Times New Roman" w:hAnsi="Times New Roman" w:cs="Times New Roman"/>
          <w:lang w:val="en-GB"/>
        </w:rPr>
        <w:t>.</w:t>
      </w:r>
      <w:r w:rsidR="00EF022D" w:rsidRPr="001F2D2D">
        <w:rPr>
          <w:rStyle w:val="FootnoteReference"/>
          <w:rFonts w:ascii="Times New Roman" w:hAnsi="Times New Roman" w:cs="Times New Roman"/>
          <w:lang w:val="en-GB"/>
        </w:rPr>
        <w:footnoteReference w:id="5"/>
      </w:r>
      <w:r w:rsidR="00EF022D" w:rsidRPr="001F2D2D">
        <w:rPr>
          <w:rFonts w:ascii="Times New Roman" w:hAnsi="Times New Roman" w:cs="Times New Roman"/>
          <w:lang w:val="en-GB"/>
        </w:rPr>
        <w:t xml:space="preserve"> In light of the </w:t>
      </w:r>
      <w:r w:rsidR="00EF022D" w:rsidRPr="001F2D2D">
        <w:rPr>
          <w:rFonts w:ascii="Times New Roman" w:hAnsi="Times New Roman" w:cs="Times New Roman"/>
        </w:rPr>
        <w:t xml:space="preserve">‘primordial </w:t>
      </w:r>
      <w:r w:rsidR="00EF022D" w:rsidRPr="001F2D2D">
        <w:rPr>
          <w:rFonts w:ascii="Times New Roman" w:hAnsi="Times New Roman" w:cs="Times New Roman"/>
        </w:rPr>
        <w:lastRenderedPageBreak/>
        <w:t>importance of maintaining peace’</w:t>
      </w:r>
      <w:r w:rsidR="00EF022D" w:rsidRPr="001F2D2D">
        <w:rPr>
          <w:rStyle w:val="FootnoteReference"/>
          <w:rFonts w:ascii="Times New Roman" w:eastAsiaTheme="majorEastAsia" w:hAnsi="Times New Roman" w:cs="Times New Roman"/>
        </w:rPr>
        <w:footnoteReference w:id="6"/>
      </w:r>
      <w:r w:rsidR="00EF022D" w:rsidRPr="001F2D2D">
        <w:rPr>
          <w:rFonts w:ascii="Times New Roman" w:hAnsi="Times New Roman" w:cs="Times New Roman"/>
        </w:rPr>
        <w:t xml:space="preserve"> only ‘manifestly inappropriate’</w:t>
      </w:r>
      <w:r w:rsidR="00EF022D" w:rsidRPr="001F2D2D">
        <w:rPr>
          <w:rStyle w:val="FootnoteReference"/>
          <w:rFonts w:ascii="Times New Roman" w:eastAsiaTheme="majorEastAsia" w:hAnsi="Times New Roman" w:cs="Times New Roman"/>
        </w:rPr>
        <w:footnoteReference w:id="7"/>
      </w:r>
      <w:r w:rsidR="00EF022D" w:rsidRPr="001F2D2D">
        <w:rPr>
          <w:rFonts w:ascii="Times New Roman" w:hAnsi="Times New Roman" w:cs="Times New Roman"/>
        </w:rPr>
        <w:t xml:space="preserve"> measures would be struck down</w:t>
      </w:r>
      <w:r w:rsidR="00EF022D" w:rsidRPr="001F2D2D">
        <w:rPr>
          <w:rFonts w:ascii="Times New Roman" w:hAnsi="Times New Roman" w:cs="Times New Roman"/>
          <w:lang w:val="en-GB"/>
        </w:rPr>
        <w:t xml:space="preserve">. </w:t>
      </w:r>
    </w:p>
    <w:p w14:paraId="526F157C" w14:textId="77777777" w:rsidR="00EF022D" w:rsidRPr="001F2D2D" w:rsidRDefault="00EF022D" w:rsidP="001F2D2D">
      <w:pPr>
        <w:spacing w:line="276" w:lineRule="auto"/>
        <w:jc w:val="both"/>
        <w:rPr>
          <w:rFonts w:ascii="Times New Roman" w:hAnsi="Times New Roman" w:cs="Times New Roman"/>
        </w:rPr>
      </w:pPr>
    </w:p>
    <w:p w14:paraId="602DD13C" w14:textId="71290FEC" w:rsidR="00576786" w:rsidRPr="001F2D2D" w:rsidRDefault="006870F2" w:rsidP="001F2D2D">
      <w:pPr>
        <w:spacing w:line="276" w:lineRule="auto"/>
        <w:jc w:val="both"/>
        <w:rPr>
          <w:rFonts w:ascii="Times New Roman" w:hAnsi="Times New Roman" w:cs="Times New Roman"/>
          <w:lang w:val="en-GB"/>
        </w:rPr>
      </w:pPr>
      <w:r w:rsidRPr="001F2D2D">
        <w:rPr>
          <w:rFonts w:ascii="Times New Roman" w:hAnsi="Times New Roman" w:cs="Times New Roman"/>
        </w:rPr>
        <w:t>But is strategic autonomy value-neutral, or</w:t>
      </w:r>
      <w:r w:rsidR="00D6459C" w:rsidRPr="001F2D2D">
        <w:rPr>
          <w:rFonts w:ascii="Times New Roman" w:hAnsi="Times New Roman" w:cs="Times New Roman"/>
        </w:rPr>
        <w:t xml:space="preserve"> is there an indication of what those choices should be? </w:t>
      </w:r>
      <w:r w:rsidR="002F7EB0" w:rsidRPr="001F2D2D">
        <w:rPr>
          <w:rFonts w:ascii="Times New Roman" w:hAnsi="Times New Roman" w:cs="Times New Roman"/>
        </w:rPr>
        <w:t>Is there an indication o</w:t>
      </w:r>
      <w:r w:rsidR="00D6459C" w:rsidRPr="001F2D2D">
        <w:rPr>
          <w:rFonts w:ascii="Times New Roman" w:hAnsi="Times New Roman" w:cs="Times New Roman"/>
        </w:rPr>
        <w:t xml:space="preserve">f the substance of what the EU should choose? Arguably, there is: it is about safeguarding EU values, which are also values of substance. </w:t>
      </w:r>
      <w:r w:rsidR="00AC677E" w:rsidRPr="001F2D2D">
        <w:rPr>
          <w:rFonts w:ascii="Times New Roman" w:hAnsi="Times New Roman" w:cs="Times New Roman"/>
        </w:rPr>
        <w:t xml:space="preserve">This is conditional openness. </w:t>
      </w:r>
      <w:r w:rsidR="00576786" w:rsidRPr="001F2D2D">
        <w:rPr>
          <w:rFonts w:ascii="Times New Roman" w:hAnsi="Times New Roman" w:cs="Times New Roman"/>
        </w:rPr>
        <w:t xml:space="preserve">As a side note, </w:t>
      </w:r>
      <w:r w:rsidR="00576786" w:rsidRPr="001F2D2D">
        <w:rPr>
          <w:rFonts w:ascii="Times New Roman" w:eastAsia="Times New Roman" w:hAnsi="Times New Roman" w:cs="Times New Roman"/>
          <w:lang w:eastAsia="en-GB"/>
        </w:rPr>
        <w:t xml:space="preserve">the Trade Policy Review of 2021 mentions requisites of procedure (openness and assertiveness) but also one of substance: sustainability. </w:t>
      </w:r>
    </w:p>
    <w:p w14:paraId="0F4C4ADA" w14:textId="58C0D292" w:rsidR="00653CF9" w:rsidRPr="001F2D2D" w:rsidRDefault="00653CF9" w:rsidP="001F2D2D">
      <w:pPr>
        <w:spacing w:line="276" w:lineRule="auto"/>
        <w:jc w:val="both"/>
        <w:rPr>
          <w:rFonts w:ascii="Times New Roman" w:hAnsi="Times New Roman" w:cs="Times New Roman"/>
        </w:rPr>
      </w:pPr>
    </w:p>
    <w:p w14:paraId="135622A9" w14:textId="03292D51" w:rsidR="00161379" w:rsidRPr="001F2D2D" w:rsidRDefault="00161379" w:rsidP="001F2D2D">
      <w:pPr>
        <w:spacing w:line="276" w:lineRule="auto"/>
        <w:jc w:val="both"/>
        <w:rPr>
          <w:rFonts w:ascii="Times New Roman" w:hAnsi="Times New Roman" w:cs="Times New Roman"/>
          <w:lang w:val="en-GB"/>
        </w:rPr>
      </w:pPr>
      <w:r w:rsidRPr="001F2D2D">
        <w:rPr>
          <w:rFonts w:ascii="Times New Roman" w:hAnsi="Times New Roman" w:cs="Times New Roman"/>
        </w:rPr>
        <w:t xml:space="preserve">To begin with, one should note that the fact that this autonomy is </w:t>
      </w:r>
      <w:r w:rsidR="00764641">
        <w:rPr>
          <w:rFonts w:ascii="Times New Roman" w:hAnsi="Times New Roman" w:cs="Times New Roman"/>
        </w:rPr>
        <w:t>‘</w:t>
      </w:r>
      <w:r w:rsidRPr="001F2D2D">
        <w:rPr>
          <w:rFonts w:ascii="Times New Roman" w:hAnsi="Times New Roman" w:cs="Times New Roman"/>
        </w:rPr>
        <w:t>strategic</w:t>
      </w:r>
      <w:r w:rsidR="00764641">
        <w:rPr>
          <w:rFonts w:ascii="Times New Roman" w:hAnsi="Times New Roman" w:cs="Times New Roman"/>
        </w:rPr>
        <w:t>’</w:t>
      </w:r>
      <w:r w:rsidRPr="001F2D2D">
        <w:rPr>
          <w:rFonts w:ascii="Times New Roman" w:hAnsi="Times New Roman" w:cs="Times New Roman"/>
        </w:rPr>
        <w:t xml:space="preserve"> is not decisive either way. In the context of this article’s enquiry, the addition of the word strategic does not add anything meaningful because a strategy is about expected outcomes: </w:t>
      </w:r>
      <w:r w:rsidR="002601BF" w:rsidRPr="001F2D2D">
        <w:rPr>
          <w:rFonts w:ascii="Times New Roman" w:hAnsi="Times New Roman" w:cs="Times New Roman"/>
        </w:rPr>
        <w:t>by definition, a strategy</w:t>
      </w:r>
      <w:r w:rsidRPr="001F2D2D">
        <w:rPr>
          <w:rFonts w:ascii="Times New Roman" w:hAnsi="Times New Roman" w:cs="Times New Roman"/>
        </w:rPr>
        <w:t xml:space="preserve"> is purely procedural and says nothing about the substance of the outcome</w:t>
      </w:r>
      <w:r w:rsidR="002601BF" w:rsidRPr="001F2D2D">
        <w:rPr>
          <w:rFonts w:ascii="Times New Roman" w:hAnsi="Times New Roman" w:cs="Times New Roman"/>
        </w:rPr>
        <w:t>.</w:t>
      </w:r>
      <w:r w:rsidR="006107EF" w:rsidRPr="001F2D2D">
        <w:rPr>
          <w:rFonts w:ascii="Times New Roman" w:hAnsi="Times New Roman" w:cs="Times New Roman"/>
        </w:rPr>
        <w:t xml:space="preserve"> </w:t>
      </w:r>
    </w:p>
    <w:p w14:paraId="319A72DF" w14:textId="77777777" w:rsidR="00F22A0F" w:rsidRPr="001F2D2D" w:rsidRDefault="00F22A0F" w:rsidP="001F2D2D">
      <w:pPr>
        <w:pStyle w:val="ListParagraph"/>
        <w:spacing w:line="276" w:lineRule="auto"/>
        <w:jc w:val="both"/>
        <w:rPr>
          <w:rFonts w:ascii="Times New Roman" w:hAnsi="Times New Roman" w:cs="Times New Roman"/>
          <w:lang w:val="en-GB"/>
        </w:rPr>
      </w:pPr>
    </w:p>
    <w:p w14:paraId="0A66F2D5" w14:textId="5A9FEAA4" w:rsidR="00967553" w:rsidRPr="001F2D2D" w:rsidRDefault="000C7A0B" w:rsidP="001F2D2D">
      <w:pPr>
        <w:spacing w:line="276" w:lineRule="auto"/>
        <w:jc w:val="both"/>
        <w:rPr>
          <w:rFonts w:ascii="Times New Roman" w:hAnsi="Times New Roman" w:cs="Times New Roman"/>
          <w:lang w:val="en-GB"/>
        </w:rPr>
      </w:pPr>
      <w:r w:rsidRPr="001F2D2D">
        <w:rPr>
          <w:rFonts w:ascii="Times New Roman" w:hAnsi="Times New Roman" w:cs="Times New Roman"/>
        </w:rPr>
        <w:t>Further, t</w:t>
      </w:r>
      <w:r w:rsidR="00967553" w:rsidRPr="001F2D2D">
        <w:rPr>
          <w:rFonts w:ascii="Times New Roman" w:hAnsi="Times New Roman" w:cs="Times New Roman"/>
        </w:rPr>
        <w:t>he distinction between (formal) process and (substantive) value is untenable. F</w:t>
      </w:r>
      <w:r w:rsidR="00B53CC1">
        <w:rPr>
          <w:rFonts w:ascii="Times New Roman" w:hAnsi="Times New Roman" w:cs="Times New Roman"/>
        </w:rPr>
        <w:t>or example, f</w:t>
      </w:r>
      <w:r w:rsidR="00967553" w:rsidRPr="001F2D2D">
        <w:rPr>
          <w:rFonts w:ascii="Times New Roman" w:hAnsi="Times New Roman" w:cs="Times New Roman"/>
        </w:rPr>
        <w:t xml:space="preserve">airness is a procedural requirement, but it is not value neutral. Some of the </w:t>
      </w:r>
      <w:r w:rsidR="00B53CC1">
        <w:rPr>
          <w:rFonts w:ascii="Times New Roman" w:hAnsi="Times New Roman" w:cs="Times New Roman"/>
        </w:rPr>
        <w:t>‘</w:t>
      </w:r>
      <w:r w:rsidR="00967553" w:rsidRPr="001F2D2D">
        <w:rPr>
          <w:rFonts w:ascii="Times New Roman" w:hAnsi="Times New Roman" w:cs="Times New Roman"/>
        </w:rPr>
        <w:t>ways</w:t>
      </w:r>
      <w:r w:rsidR="00B53CC1">
        <w:rPr>
          <w:rFonts w:ascii="Times New Roman" w:hAnsi="Times New Roman" w:cs="Times New Roman"/>
        </w:rPr>
        <w:t>’</w:t>
      </w:r>
      <w:r w:rsidR="00967553" w:rsidRPr="001F2D2D">
        <w:rPr>
          <w:rFonts w:ascii="Times New Roman" w:hAnsi="Times New Roman" w:cs="Times New Roman"/>
        </w:rPr>
        <w:t xml:space="preserve"> that the previous section listed as procedural are in fact not value-neutral, but are instead wedded to a liberal view </w:t>
      </w:r>
      <w:r w:rsidR="00967553" w:rsidRPr="001F2D2D">
        <w:rPr>
          <w:rFonts w:ascii="Times New Roman" w:hAnsi="Times New Roman" w:cs="Times New Roman"/>
        </w:rPr>
        <w:fldChar w:fldCharType="begin"/>
      </w:r>
      <w:r w:rsidR="00967553" w:rsidRPr="001F2D2D">
        <w:rPr>
          <w:rFonts w:ascii="Times New Roman" w:hAnsi="Times New Roman" w:cs="Times New Roman"/>
        </w:rPr>
        <w:instrText xml:space="preserve"> ADDIN ZOTERO_ITEM CSL_CITATION {"citationID":"OL5QrC47","properties":{"formattedCitation":"(Juncos, 2017, p. 13)","plainCitation":"(Juncos, 2017, p. 13)","noteIndex":0},"citationItems":[{"id":116,"uris":["http://zotero.org/users/local/JGwB40RD/items/IT7656D9"],"itemData":{"id":116,"type":"article-journal","abstract":"This article examines the rise of resilience discourses in EU foreign policy. The European Union Global Strategy (EUGS) refers to building state and societal resilience in its neighbourhood as one of the key strategic priorities of the EU. This article argues that the discourse of resilience that permeates the EUGS chimes well with a pragmatist turn in social sciences and global governance. The EUGS introduces resilience-building alongside an emphasis on flexibility, tailor-made approaches and the need for local ownership, capacity-building and comprehensiveness. More importantly, the new EUGS proposes “principled pragmatism” as a new operating principle in its foreign policy. While this might suggest a more pragmatic EU foreign policy, a closer examination of the EUGS discourse reveals significant tensions between a pragmatic and a principled foreign policy, which undermine the added value of resilience-building as a new foreign policy paradigm.","container-title":"European Security","DOI":"10.1080/09662839.2016.1247809","ISSN":"0966-2839","issue":"1","note":"publisher: Routledge\n_eprint: https://doi.org/10.1080/09662839.2016.1247809","page":"1-18","source":"Taylor and Francis+NEJM","title":"Resilience as the new EU foreign policy paradigm: a pragmatist turn?","title-short":"Resilience as the new EU foreign policy paradigm","volume":"26","author":[{"family":"Juncos","given":"Ana E."}],"issued":{"date-parts":[["2017",1,2]]}},"locator":"13"}],"schema":"https://github.com/citation-style-language/schema/raw/master/csl-citation.json"} </w:instrText>
      </w:r>
      <w:r w:rsidR="00967553" w:rsidRPr="001F2D2D">
        <w:rPr>
          <w:rFonts w:ascii="Times New Roman" w:hAnsi="Times New Roman" w:cs="Times New Roman"/>
        </w:rPr>
        <w:fldChar w:fldCharType="separate"/>
      </w:r>
      <w:r w:rsidR="00967553" w:rsidRPr="001F2D2D">
        <w:rPr>
          <w:rFonts w:ascii="Times New Roman" w:hAnsi="Times New Roman" w:cs="Times New Roman"/>
          <w:noProof/>
        </w:rPr>
        <w:t>(Juncos, 2017, p. 13)</w:t>
      </w:r>
      <w:r w:rsidR="00967553" w:rsidRPr="001F2D2D">
        <w:rPr>
          <w:rFonts w:ascii="Times New Roman" w:hAnsi="Times New Roman" w:cs="Times New Roman"/>
        </w:rPr>
        <w:fldChar w:fldCharType="end"/>
      </w:r>
      <w:r w:rsidR="00967553" w:rsidRPr="001F2D2D">
        <w:rPr>
          <w:rFonts w:ascii="Times New Roman" w:hAnsi="Times New Roman" w:cs="Times New Roman"/>
        </w:rPr>
        <w:t>.</w:t>
      </w:r>
    </w:p>
    <w:p w14:paraId="2A7E8F26" w14:textId="77777777" w:rsidR="00967553" w:rsidRPr="001F2D2D" w:rsidRDefault="00967553" w:rsidP="001F2D2D">
      <w:pPr>
        <w:pStyle w:val="ListParagraph"/>
        <w:spacing w:line="276" w:lineRule="auto"/>
        <w:jc w:val="both"/>
        <w:rPr>
          <w:rFonts w:ascii="Times New Roman" w:hAnsi="Times New Roman" w:cs="Times New Roman"/>
          <w:lang w:val="en-GB"/>
        </w:rPr>
      </w:pPr>
    </w:p>
    <w:p w14:paraId="77A2F798" w14:textId="2982C992" w:rsidR="00C86C26" w:rsidRPr="001F2D2D" w:rsidRDefault="000C7A0B" w:rsidP="001F2D2D">
      <w:pPr>
        <w:spacing w:line="276" w:lineRule="auto"/>
        <w:jc w:val="both"/>
        <w:rPr>
          <w:rFonts w:ascii="Times New Roman" w:hAnsi="Times New Roman" w:cs="Times New Roman"/>
          <w:lang w:val="en-GB"/>
        </w:rPr>
      </w:pPr>
      <w:r w:rsidRPr="001F2D2D">
        <w:rPr>
          <w:rFonts w:ascii="Times New Roman" w:hAnsi="Times New Roman" w:cs="Times New Roman"/>
          <w:lang w:val="en-GB"/>
        </w:rPr>
        <w:t xml:space="preserve">Turning now to EU strategic documents, </w:t>
      </w:r>
      <w:r w:rsidR="001425C4">
        <w:rPr>
          <w:rFonts w:ascii="Times New Roman" w:hAnsi="Times New Roman" w:cs="Times New Roman"/>
          <w:lang w:val="en-GB"/>
        </w:rPr>
        <w:t xml:space="preserve">the </w:t>
      </w:r>
      <w:r w:rsidR="001425C4" w:rsidRPr="001425C4">
        <w:rPr>
          <w:rFonts w:ascii="Times New Roman" w:hAnsi="Times New Roman" w:cs="Times New Roman"/>
          <w:lang w:val="en-GB"/>
        </w:rPr>
        <w:t xml:space="preserve">Commission’s 2021 Strategic Foresight Report </w:t>
      </w:r>
      <w:r w:rsidR="001425C4">
        <w:rPr>
          <w:rFonts w:ascii="Times New Roman" w:hAnsi="Times New Roman" w:cs="Times New Roman"/>
          <w:lang w:val="en-GB"/>
        </w:rPr>
        <w:t>‘</w:t>
      </w:r>
      <w:r w:rsidR="001425C4" w:rsidRPr="001425C4">
        <w:rPr>
          <w:rFonts w:ascii="Times New Roman" w:hAnsi="Times New Roman" w:cs="Times New Roman"/>
          <w:lang w:val="en-GB"/>
        </w:rPr>
        <w:t>The EU’s capacity and</w:t>
      </w:r>
      <w:r w:rsidR="001425C4">
        <w:rPr>
          <w:rFonts w:ascii="Times New Roman" w:hAnsi="Times New Roman" w:cs="Times New Roman"/>
          <w:lang w:val="en-GB"/>
        </w:rPr>
        <w:t xml:space="preserve"> </w:t>
      </w:r>
      <w:r w:rsidR="001425C4" w:rsidRPr="001425C4">
        <w:rPr>
          <w:rFonts w:ascii="Times New Roman" w:hAnsi="Times New Roman" w:cs="Times New Roman"/>
          <w:lang w:val="en-GB"/>
        </w:rPr>
        <w:t>freedom to act</w:t>
      </w:r>
      <w:r w:rsidR="001425C4">
        <w:rPr>
          <w:rFonts w:ascii="Times New Roman" w:hAnsi="Times New Roman" w:cs="Times New Roman"/>
          <w:lang w:val="en-GB"/>
        </w:rPr>
        <w:t xml:space="preserve">’ mentions several areas in which the Commission hopes the EU would strengthen its </w:t>
      </w:r>
      <w:r w:rsidR="00E540A9">
        <w:rPr>
          <w:rFonts w:ascii="Times New Roman" w:hAnsi="Times New Roman" w:cs="Times New Roman"/>
          <w:lang w:val="en-GB"/>
        </w:rPr>
        <w:t>strategic</w:t>
      </w:r>
      <w:r w:rsidR="001425C4">
        <w:rPr>
          <w:rFonts w:ascii="Times New Roman" w:hAnsi="Times New Roman" w:cs="Times New Roman"/>
          <w:lang w:val="en-GB"/>
        </w:rPr>
        <w:t xml:space="preserve"> autonomy. These </w:t>
      </w:r>
      <w:proofErr w:type="gramStart"/>
      <w:r w:rsidR="001425C4">
        <w:rPr>
          <w:rFonts w:ascii="Times New Roman" w:hAnsi="Times New Roman" w:cs="Times New Roman"/>
          <w:lang w:val="en-GB"/>
        </w:rPr>
        <w:t>involve also</w:t>
      </w:r>
      <w:proofErr w:type="gramEnd"/>
      <w:r w:rsidR="001425C4">
        <w:rPr>
          <w:rFonts w:ascii="Times New Roman" w:hAnsi="Times New Roman" w:cs="Times New Roman"/>
          <w:lang w:val="en-GB"/>
        </w:rPr>
        <w:t xml:space="preserve"> some choices of substance: </w:t>
      </w:r>
      <w:r w:rsidR="001425C4" w:rsidRPr="001425C4">
        <w:rPr>
          <w:rFonts w:ascii="Times New Roman" w:hAnsi="Times New Roman" w:cs="Times New Roman"/>
          <w:lang w:val="en-GB"/>
        </w:rPr>
        <w:t>a</w:t>
      </w:r>
      <w:r w:rsidR="001425C4">
        <w:rPr>
          <w:rFonts w:ascii="Times New Roman" w:hAnsi="Times New Roman" w:cs="Times New Roman"/>
          <w:lang w:val="en-GB"/>
        </w:rPr>
        <w:t xml:space="preserve"> </w:t>
      </w:r>
      <w:r w:rsidR="001425C4" w:rsidRPr="001425C4">
        <w:rPr>
          <w:rFonts w:ascii="Times New Roman" w:hAnsi="Times New Roman" w:cs="Times New Roman"/>
          <w:lang w:val="en-GB"/>
        </w:rPr>
        <w:t>sufficient supply of decarbonized and affordable energy</w:t>
      </w:r>
      <w:r w:rsidR="001425C4">
        <w:rPr>
          <w:rFonts w:ascii="Times New Roman" w:hAnsi="Times New Roman" w:cs="Times New Roman"/>
          <w:lang w:val="en-GB"/>
        </w:rPr>
        <w:t xml:space="preserve"> and access to outer space. I</w:t>
      </w:r>
      <w:r w:rsidR="00A60A3A" w:rsidRPr="001F2D2D">
        <w:rPr>
          <w:rFonts w:ascii="Times New Roman" w:hAnsi="Times New Roman" w:cs="Times New Roman"/>
          <w:lang w:val="en-GB"/>
        </w:rPr>
        <w:t>n the</w:t>
      </w:r>
      <w:r w:rsidRPr="001F2D2D">
        <w:rPr>
          <w:rFonts w:ascii="Times New Roman" w:hAnsi="Times New Roman" w:cs="Times New Roman"/>
          <w:lang w:val="en-GB"/>
        </w:rPr>
        <w:t xml:space="preserve"> 2022</w:t>
      </w:r>
      <w:r w:rsidR="00A60A3A" w:rsidRPr="001F2D2D">
        <w:rPr>
          <w:rFonts w:ascii="Times New Roman" w:hAnsi="Times New Roman" w:cs="Times New Roman"/>
          <w:lang w:val="en-GB"/>
        </w:rPr>
        <w:t xml:space="preserve"> Strategic Compass it is only mentioned in a short passage, without further articulation (</w:t>
      </w:r>
      <w:r w:rsidR="00B53CC1">
        <w:rPr>
          <w:rFonts w:ascii="Times New Roman" w:hAnsi="Times New Roman" w:cs="Times New Roman"/>
          <w:lang w:val="en-GB"/>
        </w:rPr>
        <w:t>‘</w:t>
      </w:r>
      <w:r w:rsidR="00A60A3A" w:rsidRPr="001F2D2D">
        <w:rPr>
          <w:rFonts w:ascii="Times New Roman" w:hAnsi="Times New Roman" w:cs="Times New Roman"/>
          <w:lang w:val="en-GB"/>
        </w:rPr>
        <w:t>This Strategic Compass will enhance the EU’s strategic autonomy and its ability to work with partners to safeguard its values and interests</w:t>
      </w:r>
      <w:r w:rsidR="00B53CC1">
        <w:rPr>
          <w:rFonts w:ascii="Times New Roman" w:hAnsi="Times New Roman" w:cs="Times New Roman"/>
          <w:lang w:val="en-GB"/>
        </w:rPr>
        <w:t>’</w:t>
      </w:r>
      <w:r w:rsidR="00A60A3A" w:rsidRPr="001F2D2D">
        <w:rPr>
          <w:rStyle w:val="FootnoteReference"/>
          <w:rFonts w:ascii="Times New Roman" w:hAnsi="Times New Roman" w:cs="Times New Roman"/>
          <w:lang w:val="en-GB"/>
        </w:rPr>
        <w:footnoteReference w:id="8"/>
      </w:r>
      <w:r w:rsidR="00A60A3A" w:rsidRPr="001F2D2D">
        <w:rPr>
          <w:rFonts w:ascii="Times New Roman" w:hAnsi="Times New Roman" w:cs="Times New Roman"/>
          <w:lang w:val="en-GB"/>
        </w:rPr>
        <w:t xml:space="preserve">), suggesting that the entire Strategic Compass gives expression to the concept. If this reading is correct, then the notion to which the </w:t>
      </w:r>
      <w:r w:rsidR="00F22A0F" w:rsidRPr="001F2D2D">
        <w:rPr>
          <w:rFonts w:ascii="Times New Roman" w:hAnsi="Times New Roman" w:cs="Times New Roman"/>
          <w:lang w:val="en-GB"/>
        </w:rPr>
        <w:t>Strategic Compass</w:t>
      </w:r>
      <w:r w:rsidR="00A60A3A" w:rsidRPr="001F2D2D">
        <w:rPr>
          <w:rFonts w:ascii="Times New Roman" w:hAnsi="Times New Roman" w:cs="Times New Roman"/>
          <w:lang w:val="en-GB"/>
        </w:rPr>
        <w:t xml:space="preserve"> refers comprises a substantive dimension.</w:t>
      </w:r>
      <w:r w:rsidR="00E06516" w:rsidRPr="001F2D2D">
        <w:rPr>
          <w:rFonts w:ascii="Times New Roman" w:hAnsi="Times New Roman" w:cs="Times New Roman"/>
          <w:lang w:val="en-GB"/>
        </w:rPr>
        <w:t xml:space="preserve"> This reading could be confirmed by the reference in the 2016 EU Global Strategy to the aspiration of obtaining an ‘appropriate level of strategic autonomy’. </w:t>
      </w:r>
      <w:r w:rsidR="00C73810" w:rsidRPr="001F2D2D">
        <w:rPr>
          <w:rFonts w:ascii="Times New Roman" w:hAnsi="Times New Roman" w:cs="Times New Roman"/>
          <w:lang w:val="en-GB"/>
        </w:rPr>
        <w:t>It is possible to read</w:t>
      </w:r>
      <w:r w:rsidR="00E06516" w:rsidRPr="001F2D2D">
        <w:rPr>
          <w:rFonts w:ascii="Times New Roman" w:hAnsi="Times New Roman" w:cs="Times New Roman"/>
          <w:lang w:val="en-GB"/>
        </w:rPr>
        <w:t xml:space="preserve"> the sentence </w:t>
      </w:r>
      <w:r w:rsidR="00C73810" w:rsidRPr="001F2D2D">
        <w:rPr>
          <w:rFonts w:ascii="Times New Roman" w:hAnsi="Times New Roman" w:cs="Times New Roman"/>
          <w:lang w:val="en-GB"/>
        </w:rPr>
        <w:t>as implying</w:t>
      </w:r>
      <w:r w:rsidR="00E06516" w:rsidRPr="001F2D2D">
        <w:rPr>
          <w:rFonts w:ascii="Times New Roman" w:hAnsi="Times New Roman" w:cs="Times New Roman"/>
          <w:lang w:val="en-GB"/>
        </w:rPr>
        <w:t xml:space="preserve"> that strategic autonomy is a substantive requirement, because an ‘appropriate level of’ </w:t>
      </w:r>
      <w:r w:rsidR="00C73810" w:rsidRPr="001F2D2D">
        <w:rPr>
          <w:rFonts w:ascii="Times New Roman" w:hAnsi="Times New Roman" w:cs="Times New Roman"/>
          <w:lang w:val="en-GB"/>
        </w:rPr>
        <w:t xml:space="preserve">something purely </w:t>
      </w:r>
      <w:r w:rsidR="00764641">
        <w:rPr>
          <w:rFonts w:ascii="Times New Roman" w:hAnsi="Times New Roman" w:cs="Times New Roman"/>
          <w:lang w:val="en-GB"/>
        </w:rPr>
        <w:t>procedural</w:t>
      </w:r>
      <w:r w:rsidR="00E06516" w:rsidRPr="001F2D2D">
        <w:rPr>
          <w:rFonts w:ascii="Times New Roman" w:hAnsi="Times New Roman" w:cs="Times New Roman"/>
          <w:lang w:val="en-GB"/>
        </w:rPr>
        <w:t xml:space="preserve"> </w:t>
      </w:r>
      <w:r w:rsidR="009D1E6B" w:rsidRPr="001F2D2D">
        <w:rPr>
          <w:rFonts w:ascii="Times New Roman" w:hAnsi="Times New Roman" w:cs="Times New Roman"/>
          <w:lang w:val="en-GB"/>
        </w:rPr>
        <w:t xml:space="preserve">is a meaningless formulation. </w:t>
      </w:r>
    </w:p>
    <w:p w14:paraId="7E61A1D8" w14:textId="1AE831B7" w:rsidR="002A7B9F" w:rsidRPr="00764641" w:rsidRDefault="002A7B9F" w:rsidP="00764641">
      <w:pPr>
        <w:spacing w:line="276" w:lineRule="auto"/>
        <w:jc w:val="both"/>
        <w:rPr>
          <w:rFonts w:ascii="Times New Roman" w:hAnsi="Times New Roman" w:cs="Times New Roman"/>
          <w:lang w:val="en-GB"/>
        </w:rPr>
      </w:pPr>
    </w:p>
    <w:p w14:paraId="5F9ECCD0" w14:textId="561E5575" w:rsidR="003104CE" w:rsidRPr="001F2D2D" w:rsidRDefault="00B53CC1" w:rsidP="001F2D2D">
      <w:pPr>
        <w:spacing w:line="276" w:lineRule="auto"/>
        <w:jc w:val="both"/>
        <w:rPr>
          <w:rFonts w:ascii="Times New Roman" w:eastAsia="Times New Roman" w:hAnsi="Times New Roman" w:cs="Times New Roman"/>
          <w:lang w:eastAsia="en-GB"/>
        </w:rPr>
      </w:pPr>
      <w:r w:rsidRPr="00B53CC1">
        <w:rPr>
          <w:rFonts w:ascii="Times New Roman" w:eastAsia="Times New Roman" w:hAnsi="Times New Roman" w:cs="Times New Roman"/>
          <w:lang w:eastAsia="en-GB"/>
        </w:rPr>
        <w:t>Manners</w:t>
      </w:r>
      <w:r w:rsidR="000C7A0B" w:rsidRPr="00B53CC1">
        <w:rPr>
          <w:rFonts w:ascii="Times New Roman" w:eastAsia="Times New Roman" w:hAnsi="Times New Roman" w:cs="Times New Roman"/>
          <w:lang w:eastAsia="en-GB"/>
        </w:rPr>
        <w:t xml:space="preserve"> </w:t>
      </w:r>
      <w:r w:rsidR="00C86C26" w:rsidRPr="00B53CC1">
        <w:rPr>
          <w:rFonts w:ascii="Times New Roman" w:eastAsia="Times New Roman" w:hAnsi="Times New Roman" w:cs="Times New Roman"/>
          <w:lang w:eastAsia="en-GB"/>
        </w:rPr>
        <w:t>argued that the EU has a normative strategy centred on the promotion of sustainable peace</w:t>
      </w:r>
      <w:r w:rsidR="000C7A0B" w:rsidRPr="00B53CC1">
        <w:rPr>
          <w:rFonts w:ascii="Times New Roman" w:eastAsia="Times New Roman" w:hAnsi="Times New Roman" w:cs="Times New Roman"/>
          <w:lang w:eastAsia="en-GB"/>
        </w:rPr>
        <w:t xml:space="preserve"> </w:t>
      </w:r>
      <w:r w:rsidR="000C7A0B" w:rsidRPr="00B53CC1">
        <w:rPr>
          <w:rFonts w:ascii="Times New Roman" w:eastAsia="Times New Roman" w:hAnsi="Times New Roman" w:cs="Times New Roman"/>
          <w:lang w:eastAsia="en-GB"/>
        </w:rPr>
        <w:fldChar w:fldCharType="begin"/>
      </w:r>
      <w:r w:rsidR="000C7A0B" w:rsidRPr="00B53CC1">
        <w:rPr>
          <w:rFonts w:ascii="Times New Roman" w:eastAsia="Times New Roman" w:hAnsi="Times New Roman" w:cs="Times New Roman"/>
          <w:lang w:eastAsia="en-GB"/>
        </w:rPr>
        <w:instrText xml:space="preserve"> ADDIN ZOTERO_ITEM CSL_CITATION {"citationID":"6FVYzun3","properties":{"formattedCitation":"(Manners, 2008)","plainCitation":"(Manners, 2008)","noteIndex":0},"citationItems":[{"id":109,"uris":["http://zotero.org/users/local/JGwB40RD/items/6EWM7573"],"itemData":{"id":109,"type":"chapter","container-title":"Strategies for Peace: Contributions of International Orga- nisations, States, and Non-state Actors","event-place":"Leverkusen","page":"130-151","publisher":"Barbara Budrich","publisher-place":"Leverkusen","title":"The European Union’s Normative Strategy for Sustainable Peace","author":[{"family":"Manners","given":"Ian"}],"container-author":[{"family":"Rittenberger","given":"V"},{"family":"Fischer","given":"M"}],"issued":{"date-parts":[["2008"]]}}}],"schema":"https://github.com/citation-style-language/schema/raw/master/csl-citation.json"} </w:instrText>
      </w:r>
      <w:r w:rsidR="000C7A0B" w:rsidRPr="00B53CC1">
        <w:rPr>
          <w:rFonts w:ascii="Times New Roman" w:eastAsia="Times New Roman" w:hAnsi="Times New Roman" w:cs="Times New Roman"/>
          <w:lang w:eastAsia="en-GB"/>
        </w:rPr>
        <w:fldChar w:fldCharType="separate"/>
      </w:r>
      <w:r w:rsidR="000C7A0B" w:rsidRPr="00B53CC1">
        <w:rPr>
          <w:rFonts w:ascii="Times New Roman" w:eastAsia="Times New Roman" w:hAnsi="Times New Roman" w:cs="Times New Roman"/>
          <w:lang w:eastAsia="en-GB"/>
        </w:rPr>
        <w:t>(Manners, 2008)</w:t>
      </w:r>
      <w:r w:rsidR="000C7A0B" w:rsidRPr="00B53CC1">
        <w:rPr>
          <w:rFonts w:ascii="Times New Roman" w:eastAsia="Times New Roman" w:hAnsi="Times New Roman" w:cs="Times New Roman"/>
          <w:lang w:eastAsia="en-GB"/>
        </w:rPr>
        <w:fldChar w:fldCharType="end"/>
      </w:r>
      <w:r w:rsidR="00C86C26" w:rsidRPr="001F2D2D">
        <w:rPr>
          <w:rFonts w:ascii="Times New Roman" w:eastAsia="Times New Roman" w:hAnsi="Times New Roman" w:cs="Times New Roman"/>
          <w:lang w:eastAsia="en-GB"/>
        </w:rPr>
        <w:t xml:space="preserve">. </w:t>
      </w:r>
      <w:r w:rsidR="002F7EB0" w:rsidRPr="001F2D2D">
        <w:rPr>
          <w:rFonts w:ascii="Times New Roman" w:eastAsia="Times New Roman" w:hAnsi="Times New Roman" w:cs="Times New Roman"/>
          <w:lang w:eastAsia="en-GB"/>
        </w:rPr>
        <w:t xml:space="preserve">Even those who criticise the EU for having the strategy of a small power admit that there is a </w:t>
      </w:r>
      <w:r w:rsidR="000C7A0B" w:rsidRPr="001F2D2D">
        <w:rPr>
          <w:rFonts w:ascii="Times New Roman" w:eastAsia="Times New Roman" w:hAnsi="Times New Roman" w:cs="Times New Roman"/>
          <w:lang w:eastAsia="en-GB"/>
        </w:rPr>
        <w:t>‘</w:t>
      </w:r>
      <w:r w:rsidR="002F7EB0" w:rsidRPr="001F2D2D">
        <w:rPr>
          <w:rFonts w:ascii="Times New Roman" w:eastAsia="Times New Roman" w:hAnsi="Times New Roman" w:cs="Times New Roman"/>
          <w:lang w:eastAsia="en-GB"/>
        </w:rPr>
        <w:t>colour</w:t>
      </w:r>
      <w:r w:rsidR="000C7A0B" w:rsidRPr="001F2D2D">
        <w:rPr>
          <w:rFonts w:ascii="Times New Roman" w:eastAsia="Times New Roman" w:hAnsi="Times New Roman" w:cs="Times New Roman"/>
          <w:lang w:eastAsia="en-GB"/>
        </w:rPr>
        <w:t>’</w:t>
      </w:r>
      <w:r w:rsidR="002F7EB0" w:rsidRPr="001F2D2D">
        <w:rPr>
          <w:rFonts w:ascii="Times New Roman" w:eastAsia="Times New Roman" w:hAnsi="Times New Roman" w:cs="Times New Roman"/>
          <w:lang w:eastAsia="en-GB"/>
        </w:rPr>
        <w:t xml:space="preserve"> to the strategy,</w:t>
      </w:r>
      <w:r w:rsidR="000C7A0B" w:rsidRPr="001F2D2D">
        <w:rPr>
          <w:rFonts w:ascii="Times New Roman" w:eastAsia="Times New Roman" w:hAnsi="Times New Roman" w:cs="Times New Roman"/>
          <w:lang w:eastAsia="en-GB"/>
        </w:rPr>
        <w:t xml:space="preserve"> that is a substantive dimension,</w:t>
      </w:r>
      <w:r w:rsidR="002F7EB0" w:rsidRPr="001F2D2D">
        <w:rPr>
          <w:rFonts w:ascii="Times New Roman" w:eastAsia="Times New Roman" w:hAnsi="Times New Roman" w:cs="Times New Roman"/>
          <w:lang w:eastAsia="en-GB"/>
        </w:rPr>
        <w:t xml:space="preserve"> namely the promotion of international norms and institutions and the preference not to use force </w:t>
      </w:r>
      <w:r w:rsidR="002F7EB0" w:rsidRPr="001F2D2D">
        <w:rPr>
          <w:rFonts w:ascii="Times New Roman" w:eastAsia="Times New Roman" w:hAnsi="Times New Roman" w:cs="Times New Roman"/>
          <w:lang w:eastAsia="en-GB"/>
        </w:rPr>
        <w:fldChar w:fldCharType="begin"/>
      </w:r>
      <w:r w:rsidR="002F7EB0" w:rsidRPr="001F2D2D">
        <w:rPr>
          <w:rFonts w:ascii="Times New Roman" w:eastAsia="Times New Roman" w:hAnsi="Times New Roman" w:cs="Times New Roman"/>
          <w:lang w:eastAsia="en-GB"/>
        </w:rPr>
        <w:instrText xml:space="preserve"> ADDIN ZOTERO_ITEM CSL_CITATION {"citationID":"PrepdL5z","properties":{"formattedCitation":"(Toje, 2010)","plainCitation":"(Toje, 2010)","noteIndex":0},"citationItems":[{"id":110,"uris":["http://zotero.org/users/local/JGwB40RD/items/DUK8G24W"],"itemData":{"id":110,"type":"book","event-place":"London","ISBN":"978-1-349-31869-8","language":"en","note":"DOI: 10.1057/9780230281813","publisher":"Palgrave Macmillan UK","publisher-place":"London","source":"DOI.org (Crossref)","title":"The European Union as a Small Power","URL":"http://link.springer.com/10.1057/9780230281813","author":[{"family":"Toje","given":"Asle"}],"accessed":{"date-parts":[["2022",4,19]]},"issued":{"date-parts":[["2010"]]}}}],"schema":"https://github.com/citation-style-language/schema/raw/master/csl-citation.json"} </w:instrText>
      </w:r>
      <w:r w:rsidR="002F7EB0" w:rsidRPr="001F2D2D">
        <w:rPr>
          <w:rFonts w:ascii="Times New Roman" w:eastAsia="Times New Roman" w:hAnsi="Times New Roman" w:cs="Times New Roman"/>
          <w:lang w:eastAsia="en-GB"/>
        </w:rPr>
        <w:fldChar w:fldCharType="separate"/>
      </w:r>
      <w:r w:rsidR="002F7EB0" w:rsidRPr="001F2D2D">
        <w:rPr>
          <w:rFonts w:ascii="Times New Roman" w:eastAsia="Times New Roman" w:hAnsi="Times New Roman" w:cs="Times New Roman"/>
          <w:noProof/>
          <w:lang w:eastAsia="en-GB"/>
        </w:rPr>
        <w:t>(Toje, 2010)</w:t>
      </w:r>
      <w:r w:rsidR="002F7EB0" w:rsidRPr="001F2D2D">
        <w:rPr>
          <w:rFonts w:ascii="Times New Roman" w:eastAsia="Times New Roman" w:hAnsi="Times New Roman" w:cs="Times New Roman"/>
          <w:lang w:eastAsia="en-GB"/>
        </w:rPr>
        <w:fldChar w:fldCharType="end"/>
      </w:r>
      <w:r w:rsidR="002F7EB0" w:rsidRPr="001F2D2D">
        <w:rPr>
          <w:rFonts w:ascii="Times New Roman" w:eastAsia="Times New Roman" w:hAnsi="Times New Roman" w:cs="Times New Roman"/>
          <w:lang w:eastAsia="en-GB"/>
        </w:rPr>
        <w:t>.</w:t>
      </w:r>
      <w:r w:rsidR="000C7A0B" w:rsidRPr="001F2D2D">
        <w:rPr>
          <w:rFonts w:ascii="Times New Roman" w:eastAsia="Times New Roman" w:hAnsi="Times New Roman" w:cs="Times New Roman"/>
          <w:lang w:eastAsia="en-GB"/>
        </w:rPr>
        <w:t xml:space="preserve"> </w:t>
      </w:r>
      <w:r w:rsidR="00764641">
        <w:rPr>
          <w:rFonts w:ascii="Times New Roman" w:eastAsia="Times New Roman" w:hAnsi="Times New Roman" w:cs="Times New Roman"/>
          <w:lang w:eastAsia="en-GB"/>
        </w:rPr>
        <w:fldChar w:fldCharType="begin"/>
      </w:r>
      <w:r w:rsidR="00764641">
        <w:rPr>
          <w:rFonts w:ascii="Times New Roman" w:eastAsia="Times New Roman" w:hAnsi="Times New Roman" w:cs="Times New Roman"/>
          <w:lang w:eastAsia="en-GB"/>
        </w:rPr>
        <w:instrText xml:space="preserve"> ADDIN ZOTERO_ITEM CSL_CITATION {"citationID":"vZAKqXUQ","properties":{"formattedCitation":"(Tocci, 2021, p. 25)","plainCitation":"(Tocci, 2021, p. 25)","noteIndex":0},"citationItems":[{"id":278,"uris":["http://zotero.org/users/local/JGwB40RD/items/4MHP925U"],"itemData":{"id":278,"type":"article-journal","container-title":"Istituto di Affari Internazionali","language":"en","page":"39","source":"Zotero","title":"European Strategic Autonomy: What It Is, Why We Need It, How to Achieve It","author":[{"family":"Tocci","given":"Nathalie"}],"issued":{"date-parts":[["2021"]]}},"locator":"25"}],"schema":"https://github.com/citation-style-language/schema/raw/master/csl-citation.json"} </w:instrText>
      </w:r>
      <w:r w:rsidR="00764641">
        <w:rPr>
          <w:rFonts w:ascii="Times New Roman" w:eastAsia="Times New Roman" w:hAnsi="Times New Roman" w:cs="Times New Roman"/>
          <w:lang w:eastAsia="en-GB"/>
        </w:rPr>
        <w:fldChar w:fldCharType="separate"/>
      </w:r>
      <w:r w:rsidR="00764641">
        <w:rPr>
          <w:rFonts w:ascii="Times New Roman" w:eastAsia="Times New Roman" w:hAnsi="Times New Roman" w:cs="Times New Roman"/>
          <w:noProof/>
          <w:lang w:eastAsia="en-GB"/>
        </w:rPr>
        <w:t>(Tocci, 2021, p. 25)</w:t>
      </w:r>
      <w:r w:rsidR="00764641">
        <w:rPr>
          <w:rFonts w:ascii="Times New Roman" w:eastAsia="Times New Roman" w:hAnsi="Times New Roman" w:cs="Times New Roman"/>
          <w:lang w:eastAsia="en-GB"/>
        </w:rPr>
        <w:fldChar w:fldCharType="end"/>
      </w:r>
      <w:r w:rsidR="00764641">
        <w:rPr>
          <w:rFonts w:ascii="Times New Roman" w:eastAsia="Times New Roman" w:hAnsi="Times New Roman" w:cs="Times New Roman"/>
          <w:lang w:eastAsia="en-GB"/>
        </w:rPr>
        <w:t xml:space="preserve"> considers democratic and economic resilience to fall under strategic autonomy: research on technological advancements in order to keep up with US and China refers to a vision of substance of what the EU should do.  </w:t>
      </w:r>
      <w:r w:rsidR="000C7A0B" w:rsidRPr="001F2D2D">
        <w:rPr>
          <w:rFonts w:ascii="Times New Roman" w:eastAsia="Times New Roman" w:hAnsi="Times New Roman" w:cs="Times New Roman"/>
          <w:lang w:eastAsia="en-GB"/>
        </w:rPr>
        <w:t xml:space="preserve">Legal scholars appear to support this </w:t>
      </w:r>
      <w:r w:rsidR="000C7A0B" w:rsidRPr="001F2D2D">
        <w:rPr>
          <w:rFonts w:ascii="Times New Roman" w:eastAsia="Times New Roman" w:hAnsi="Times New Roman" w:cs="Times New Roman"/>
          <w:lang w:eastAsia="en-GB"/>
        </w:rPr>
        <w:lastRenderedPageBreak/>
        <w:t xml:space="preserve">view, as confirmed by the recent literature on the normative value of EU constitutional objectives. </w:t>
      </w:r>
      <w:r w:rsidR="00CF1F6C" w:rsidRPr="001F2D2D">
        <w:rPr>
          <w:rFonts w:ascii="Times New Roman" w:eastAsia="Times New Roman" w:hAnsi="Times New Roman" w:cs="Times New Roman"/>
          <w:lang w:eastAsia="en-GB"/>
        </w:rPr>
        <w:t xml:space="preserve">Many authors have stressed that EU constitutional objectives offer (binding) legal standards for the EU’s conduct </w:t>
      </w:r>
      <w:r w:rsidR="00AF1623" w:rsidRPr="001F2D2D">
        <w:rPr>
          <w:rFonts w:ascii="Times New Roman" w:eastAsia="Times New Roman" w:hAnsi="Times New Roman" w:cs="Times New Roman"/>
          <w:lang w:eastAsia="en-GB"/>
        </w:rPr>
        <w:t>of its</w:t>
      </w:r>
      <w:r w:rsidR="00CF1F6C" w:rsidRPr="001F2D2D">
        <w:rPr>
          <w:rFonts w:ascii="Times New Roman" w:eastAsia="Times New Roman" w:hAnsi="Times New Roman" w:cs="Times New Roman"/>
          <w:lang w:eastAsia="en-GB"/>
        </w:rPr>
        <w:t xml:space="preserve"> international relations</w:t>
      </w:r>
      <w:r w:rsidR="00EC39D7" w:rsidRPr="001F2D2D">
        <w:rPr>
          <w:rFonts w:ascii="Times New Roman" w:eastAsia="Times New Roman" w:hAnsi="Times New Roman" w:cs="Times New Roman"/>
          <w:lang w:eastAsia="en-GB"/>
        </w:rPr>
        <w:t xml:space="preserve"> </w:t>
      </w:r>
      <w:r w:rsidR="00EC39D7" w:rsidRPr="001F2D2D">
        <w:rPr>
          <w:rFonts w:ascii="Times New Roman" w:eastAsia="Times New Roman" w:hAnsi="Times New Roman" w:cs="Times New Roman"/>
          <w:lang w:eastAsia="en-GB"/>
        </w:rPr>
        <w:fldChar w:fldCharType="begin"/>
      </w:r>
      <w:r w:rsidR="004C28AA" w:rsidRPr="001F2D2D">
        <w:rPr>
          <w:rFonts w:ascii="Times New Roman" w:eastAsia="Times New Roman" w:hAnsi="Times New Roman" w:cs="Times New Roman"/>
          <w:lang w:eastAsia="en-GB"/>
        </w:rPr>
        <w:instrText xml:space="preserve"> ADDIN ZOTERO_ITEM CSL_CITATION {"citationID":"I7bUDmDP","properties":{"formattedCitation":"(Kassoti and Wessel, Forthcoming; Sommermann, 2013, p. 160; Cannizzaro, 2021)","plainCitation":"(Kassoti and Wessel, Forthcoming; Sommermann, 2013, p. 160; Cannizzaro, 2021)","noteIndex":0},"citationItems":[{"id":235,"uris":["http://zotero.org/users/local/JGwB40RD/items/UF6VQIRM"],"itemData":{"id":235,"type":"chapter","container-title":"Interacciones entre el Derecho de la Unión Europea y el Derecho Internacional Público","publisher":"Tirant lo Blanch","title":"The Normative Effect of Article 3(5) TEU: Observance and Development of International Law by the European Union","author":[{"family":"Kassoti","given":"Eva"},{"family":"Wessel","given":"Ramses A."}],"editor":[{"family":"Garcia Andrade","given":"P"}],"issued":{"literal":"Forthcoming"}}},{"id":236,"uris":["http://zotero.org/users/local/JGwB40RD/items/VP9HDP2F"],"itemData":{"id":236,"type":"chapter","container-title":"The treaty on European Union (TEU): a commentary","event-place":"Berlin Heidelberg","ISBN":"978-3-642-31705-7","language":"eng","publisher":"Springer","publisher-place":"Berlin Heidelberg","source":"K10plus ISBN","title":"Article 3","editor":[{"family":"Blanke","given":"Hermann-Josef"},{"family":"Mangiameli","given":"Stelio"}],"author":[{"family":"Sommermann","given":""}],"issued":{"date-parts":[["2013"]]}},"locator":"160"},{"id":239,"uris":["http://zotero.org/users/local/JGwB40RD/items/BUHFNEJ4"],"itemData":{"id":239,"type":"chapter","container-title":"The Evolving Nature of EU External Relations Law","event-place":"The Hague","ISBN":"978-94-6265-422-8","language":"en","note":"DOI: 10.1007/978-94-6265-423-5_1","page":"3-18","publisher":"T.M.C. Asser Press","publisher-place":"The Hague","source":"DOI.org (Crossref)","title":"The Value of the EU International Values","URL":"http://link.springer.com/10.1007/978-94-6265-423-5_1","editor":[{"family":"Douma","given":"W. Th."},{"family":"Eckes","given":"C."},{"family":"Van Elsuwege","given":"P."},{"family":"Kassoti","given":"E."},{"family":"Ott","given":"A."},{"family":"Wessel","given":"R. A."}],"author":[{"family":"Cannizzaro","given":"E."}],"accessed":{"date-parts":[["2022",4,25]]},"issued":{"date-parts":[["2021"]]}}}],"schema":"https://github.com/citation-style-language/schema/raw/master/csl-citation.json"} </w:instrText>
      </w:r>
      <w:r w:rsidR="00EC39D7" w:rsidRPr="001F2D2D">
        <w:rPr>
          <w:rFonts w:ascii="Times New Roman" w:eastAsia="Times New Roman" w:hAnsi="Times New Roman" w:cs="Times New Roman"/>
          <w:lang w:eastAsia="en-GB"/>
        </w:rPr>
        <w:fldChar w:fldCharType="separate"/>
      </w:r>
      <w:r w:rsidR="004C28AA" w:rsidRPr="001F2D2D">
        <w:rPr>
          <w:rFonts w:ascii="Times New Roman" w:eastAsia="Times New Roman" w:hAnsi="Times New Roman" w:cs="Times New Roman"/>
          <w:noProof/>
          <w:lang w:eastAsia="en-GB"/>
        </w:rPr>
        <w:t>(Kassoti and Wessel, Forthcoming; Sommermann, 2013, p. 160; Cannizzaro, 2021)</w:t>
      </w:r>
      <w:r w:rsidR="00EC39D7" w:rsidRPr="001F2D2D">
        <w:rPr>
          <w:rFonts w:ascii="Times New Roman" w:eastAsia="Times New Roman" w:hAnsi="Times New Roman" w:cs="Times New Roman"/>
          <w:lang w:eastAsia="en-GB"/>
        </w:rPr>
        <w:fldChar w:fldCharType="end"/>
      </w:r>
      <w:r w:rsidR="00CF1F6C" w:rsidRPr="001F2D2D">
        <w:rPr>
          <w:rFonts w:ascii="Times New Roman" w:eastAsia="Times New Roman" w:hAnsi="Times New Roman" w:cs="Times New Roman"/>
          <w:lang w:eastAsia="en-GB"/>
        </w:rPr>
        <w:t xml:space="preserve">. </w:t>
      </w:r>
      <w:r w:rsidR="00AF1623" w:rsidRPr="001F2D2D">
        <w:rPr>
          <w:rFonts w:ascii="Times New Roman" w:eastAsia="Times New Roman" w:hAnsi="Times New Roman" w:cs="Times New Roman"/>
          <w:lang w:eastAsia="en-GB"/>
        </w:rPr>
        <w:t xml:space="preserve">Reference is </w:t>
      </w:r>
      <w:r w:rsidR="004C28AA" w:rsidRPr="001F2D2D">
        <w:rPr>
          <w:rFonts w:ascii="Times New Roman" w:eastAsia="Times New Roman" w:hAnsi="Times New Roman" w:cs="Times New Roman"/>
          <w:lang w:eastAsia="en-GB"/>
        </w:rPr>
        <w:t xml:space="preserve">typically </w:t>
      </w:r>
      <w:r w:rsidR="00AF1623" w:rsidRPr="001F2D2D">
        <w:rPr>
          <w:rFonts w:ascii="Times New Roman" w:eastAsia="Times New Roman" w:hAnsi="Times New Roman" w:cs="Times New Roman"/>
          <w:lang w:eastAsia="en-GB"/>
        </w:rPr>
        <w:t>made to Article 3(5) TEU</w:t>
      </w:r>
      <w:r w:rsidR="004C28AA" w:rsidRPr="001F2D2D">
        <w:rPr>
          <w:rStyle w:val="FootnoteReference"/>
          <w:rFonts w:ascii="Times New Roman" w:eastAsia="Times New Roman" w:hAnsi="Times New Roman" w:cs="Times New Roman"/>
          <w:lang w:eastAsia="en-GB"/>
        </w:rPr>
        <w:footnoteReference w:id="9"/>
      </w:r>
      <w:r w:rsidR="00EC39D7" w:rsidRPr="001F2D2D">
        <w:rPr>
          <w:rFonts w:ascii="Times New Roman" w:eastAsia="Times New Roman" w:hAnsi="Times New Roman" w:cs="Times New Roman"/>
          <w:lang w:eastAsia="en-GB"/>
        </w:rPr>
        <w:t xml:space="preserve"> as well as to Article 21(1) TEU</w:t>
      </w:r>
      <w:r w:rsidR="004C28AA" w:rsidRPr="001F2D2D">
        <w:rPr>
          <w:rFonts w:ascii="Times New Roman" w:eastAsia="Times New Roman" w:hAnsi="Times New Roman" w:cs="Times New Roman"/>
          <w:lang w:eastAsia="en-GB"/>
        </w:rPr>
        <w:t>.</w:t>
      </w:r>
      <w:r w:rsidR="004C28AA" w:rsidRPr="001F2D2D">
        <w:rPr>
          <w:rStyle w:val="FootnoteReference"/>
          <w:rFonts w:ascii="Times New Roman" w:eastAsia="Times New Roman" w:hAnsi="Times New Roman" w:cs="Times New Roman"/>
          <w:lang w:eastAsia="en-GB"/>
        </w:rPr>
        <w:footnoteReference w:id="10"/>
      </w:r>
      <w:r w:rsidR="00747D76" w:rsidRPr="001F2D2D">
        <w:rPr>
          <w:rFonts w:ascii="Times New Roman" w:eastAsia="Times New Roman" w:hAnsi="Times New Roman" w:cs="Times New Roman"/>
          <w:lang w:eastAsia="en-GB"/>
        </w:rPr>
        <w:t xml:space="preserve"> </w:t>
      </w:r>
    </w:p>
    <w:p w14:paraId="749A7669" w14:textId="4B77D1AE" w:rsidR="005E430D" w:rsidRPr="001F2D2D" w:rsidRDefault="001C0740" w:rsidP="001F2D2D">
      <w:pPr>
        <w:pStyle w:val="NormalWeb"/>
        <w:numPr>
          <w:ilvl w:val="0"/>
          <w:numId w:val="3"/>
        </w:numPr>
        <w:shd w:val="clear" w:color="auto" w:fill="FFFFFF"/>
        <w:spacing w:line="276" w:lineRule="auto"/>
        <w:jc w:val="both"/>
        <w:rPr>
          <w:b/>
          <w:bCs/>
          <w:lang w:val="en-GB"/>
        </w:rPr>
      </w:pPr>
      <w:r w:rsidRPr="001F2D2D">
        <w:rPr>
          <w:b/>
          <w:bCs/>
          <w:lang w:val="en-GB"/>
        </w:rPr>
        <w:t>Autonomy as conditional openness</w:t>
      </w:r>
      <w:r w:rsidR="00116925" w:rsidRPr="001F2D2D">
        <w:rPr>
          <w:b/>
          <w:bCs/>
          <w:lang w:val="en-GB"/>
        </w:rPr>
        <w:t xml:space="preserve"> –</w:t>
      </w:r>
      <w:r w:rsidRPr="001F2D2D">
        <w:rPr>
          <w:b/>
          <w:bCs/>
          <w:lang w:val="en-GB"/>
        </w:rPr>
        <w:t xml:space="preserve"> and </w:t>
      </w:r>
      <w:r w:rsidR="00116925" w:rsidRPr="001F2D2D">
        <w:rPr>
          <w:b/>
          <w:bCs/>
          <w:lang w:val="en-GB"/>
        </w:rPr>
        <w:t xml:space="preserve">its </w:t>
      </w:r>
      <w:r w:rsidRPr="001F2D2D">
        <w:rPr>
          <w:b/>
          <w:bCs/>
          <w:lang w:val="en-GB"/>
        </w:rPr>
        <w:t>c</w:t>
      </w:r>
      <w:r w:rsidR="008465A5" w:rsidRPr="001F2D2D">
        <w:rPr>
          <w:b/>
          <w:bCs/>
          <w:lang w:val="en-GB"/>
        </w:rPr>
        <w:t>onceptual difficulties</w:t>
      </w:r>
    </w:p>
    <w:p w14:paraId="3B95CEE2" w14:textId="28D3D015" w:rsidR="003314B3" w:rsidRPr="001F2D2D" w:rsidRDefault="003314B3" w:rsidP="001F2D2D">
      <w:pPr>
        <w:pStyle w:val="NormalWeb"/>
        <w:shd w:val="clear" w:color="auto" w:fill="FFFFFF"/>
        <w:spacing w:line="276" w:lineRule="auto"/>
        <w:jc w:val="both"/>
        <w:rPr>
          <w:lang w:val="en-GB"/>
        </w:rPr>
      </w:pPr>
      <w:r w:rsidRPr="001F2D2D">
        <w:rPr>
          <w:lang w:val="en-GB"/>
        </w:rPr>
        <w:t>Autonomy is not autarchy. It is openness</w:t>
      </w:r>
      <w:r w:rsidR="00D5604B" w:rsidRPr="001F2D2D">
        <w:rPr>
          <w:lang w:val="en-GB"/>
        </w:rPr>
        <w:t xml:space="preserve">, </w:t>
      </w:r>
      <w:r w:rsidRPr="001F2D2D">
        <w:rPr>
          <w:lang w:val="en-GB"/>
        </w:rPr>
        <w:t xml:space="preserve">subject to the condition that the core character of the EU is not affected. </w:t>
      </w:r>
      <w:r w:rsidR="001C0740" w:rsidRPr="001F2D2D">
        <w:rPr>
          <w:lang w:val="en-GB"/>
        </w:rPr>
        <w:t>Both the legal principle of autonomy and the notion of strategic autonomy recognise that the EU has certain essential characteristics, that these characteristics ought to be preserved</w:t>
      </w:r>
      <w:r w:rsidRPr="001F2D2D">
        <w:rPr>
          <w:lang w:val="en-GB"/>
        </w:rPr>
        <w:t xml:space="preserve"> (this is the ‘condition’)</w:t>
      </w:r>
      <w:r w:rsidR="001C0740" w:rsidRPr="001F2D2D">
        <w:rPr>
          <w:lang w:val="en-GB"/>
        </w:rPr>
        <w:t>, and that</w:t>
      </w:r>
      <w:r w:rsidR="00BB634A" w:rsidRPr="001F2D2D">
        <w:rPr>
          <w:lang w:val="en-GB"/>
        </w:rPr>
        <w:t xml:space="preserve"> the EU should have the instruments to preserve those characteristics. </w:t>
      </w:r>
      <w:r w:rsidR="00D5604B" w:rsidRPr="001F2D2D">
        <w:rPr>
          <w:lang w:val="en-GB"/>
        </w:rPr>
        <w:t xml:space="preserve">Since the relationship between the concepts is intricate and highly self-referential, one could go as far as to say that strategic autonomy is, in fact, one of the essential characteristics of the EU. </w:t>
      </w:r>
    </w:p>
    <w:p w14:paraId="7C22B427" w14:textId="406809C3" w:rsidR="001C0740" w:rsidRPr="001F2D2D" w:rsidRDefault="00D70915" w:rsidP="001F2D2D">
      <w:pPr>
        <w:pStyle w:val="NormalWeb"/>
        <w:shd w:val="clear" w:color="auto" w:fill="FFFFFF"/>
        <w:spacing w:line="276" w:lineRule="auto"/>
        <w:jc w:val="both"/>
        <w:rPr>
          <w:lang w:val="en-GB"/>
        </w:rPr>
      </w:pPr>
      <w:r>
        <w:rPr>
          <w:lang w:val="en-GB"/>
        </w:rPr>
        <w:t xml:space="preserve">In principle, </w:t>
      </w:r>
      <w:r w:rsidR="003314B3" w:rsidRPr="001F2D2D">
        <w:rPr>
          <w:lang w:val="en-GB"/>
        </w:rPr>
        <w:t>EU (law) is open</w:t>
      </w:r>
      <w:r w:rsidR="00070446" w:rsidRPr="001F2D2D">
        <w:rPr>
          <w:lang w:val="en-GB"/>
        </w:rPr>
        <w:t xml:space="preserve"> to external influence</w:t>
      </w:r>
      <w:r w:rsidR="003E2917" w:rsidRPr="001F2D2D">
        <w:rPr>
          <w:lang w:val="en-GB"/>
        </w:rPr>
        <w:t xml:space="preserve">, </w:t>
      </w:r>
      <w:r w:rsidR="00070446" w:rsidRPr="001F2D2D">
        <w:rPr>
          <w:lang w:val="en-GB"/>
        </w:rPr>
        <w:t>cooperation</w:t>
      </w:r>
      <w:r w:rsidR="003E2917" w:rsidRPr="001F2D2D">
        <w:rPr>
          <w:lang w:val="en-GB"/>
        </w:rPr>
        <w:t>, and even challenges</w:t>
      </w:r>
      <w:r w:rsidR="003314B3" w:rsidRPr="001F2D2D">
        <w:rPr>
          <w:lang w:val="en-GB"/>
        </w:rPr>
        <w:t xml:space="preserve">. </w:t>
      </w:r>
      <w:r w:rsidR="003E2917" w:rsidRPr="001F2D2D">
        <w:rPr>
          <w:lang w:val="en-GB"/>
        </w:rPr>
        <w:t xml:space="preserve">Even though the EU </w:t>
      </w:r>
      <w:r w:rsidR="003314B3" w:rsidRPr="001F2D2D">
        <w:rPr>
          <w:lang w:val="en-GB"/>
        </w:rPr>
        <w:t xml:space="preserve">is in fact </w:t>
      </w:r>
      <w:r w:rsidR="001D657C" w:rsidRPr="001F2D2D">
        <w:rPr>
          <w:lang w:val="en-GB"/>
        </w:rPr>
        <w:t>set up by</w:t>
      </w:r>
      <w:r w:rsidR="003314B3" w:rsidRPr="001F2D2D">
        <w:rPr>
          <w:lang w:val="en-GB"/>
        </w:rPr>
        <w:t xml:space="preserve"> international law</w:t>
      </w:r>
      <w:r w:rsidR="009C27BA" w:rsidRPr="001F2D2D">
        <w:rPr>
          <w:lang w:val="en-GB"/>
        </w:rPr>
        <w:t xml:space="preserve"> </w:t>
      </w:r>
      <w:r w:rsidR="009C27BA" w:rsidRPr="001F2D2D">
        <w:rPr>
          <w:lang w:val="en-GB"/>
        </w:rPr>
        <w:fldChar w:fldCharType="begin"/>
      </w:r>
      <w:r w:rsidR="00096BCF" w:rsidRPr="001F2D2D">
        <w:rPr>
          <w:lang w:val="en-GB"/>
        </w:rPr>
        <w:instrText xml:space="preserve"> ADDIN ZOTERO_ITEM CSL_CITATION {"citationID":"Ad64YfGs","properties":{"formattedCitation":"(de Witte, 2011, p. 21; Pellet, 1997)","plainCitation":"(de Witte, 2011, p. 21; Pellet, 1997)","noteIndex":0},"citationItems":[{"id":142,"uris":["http://zotero.org/users/local/JGwB40RD/items/2NFY425L"],"itemData":{"id":142,"type":"chapter","abstract":"IntroductionIn a recent essay about legal theory and the European Union, Neil Walker wrote that theoretical inquiries about EU law as a whole – as opposed to studies of specific parts of EU law – ‘cannot but draw upon an arsenal of concepts and theoretical mechanisms developed or refined in an older context in which the national and the international, with the former dominating, were the two sides and the key frames of the world order of states’. This Chapter aims to replace the European Union in the ‘older context’ of international law, by recalling the fact that the European Communities, and the European Union, came into being as creatures of international law, as well as the fact that the many remarkable institutional features of those organisations came out of the existing toolbox of international law. Each of those single features had been experimented with before in other more limited contexts, but both the European Coal and Steel Community Treaty and the European Economic Community Treaty combined them in an unprecedented way. They were true experiments of international law, and the first part of the chapter will highlight some characteristics of that historical experimentation.The more interesting question, perhaps, for today’s reader is whether this ‘arsenal of concepts and [. . .] mechanisms’ drawn from the toolbox of public international law is still of decisive importance for our understanding of European Union law today. There is no disputing the fact that ‘the EU has successfully expanded its substantive mandate and institutional prerogatives to a level without parallel among international organizations’, but there is some dispute about whether it is still situated ‘among international organizations’ or has ceased to belong to that category. In fact, the dominant strand in the EU law literature takes the view that the European Union, whilst not a federal state, is also no longer an international organization, but rather an ill-defined sui generis legal construct. In this chapter, I will question both the vagueness of the sui generis construction and the view that the EU is no longer an international organization (and thus no longer an ongoing international legal experiment) by wondering, in the second and third parts of the chapter, what could have happened in the course of time, between the 1950s and today, to make EU law cease to be part of international law despite its international treaty pedigree. I will address that question from two points of view. First (that is, in the second part of the chapter), I will examine the practice of the states, and especially the Member States of the EU, to explore whether they have willed, or consented to, such a change in the legal nature of the EU. In the third part of the chapter, I will turn to examine the case-law of the ECJ (European Court of Justice) and the doctrinal interpretations of that same question and consider two possibilities: either that particular novel characteristics of EU law emerged over time which are incompatible with seeing it as an international organization; or that the overall development of the EU, rather than the development of specific characteristics, justifies the view that it must no longer be considered as a living international legal experiment, but as something altogether different.","collection-title":"Contemporary European Politics","container-title":"The Worlds of European Constitutionalism","event-place":"Cambridge","ISBN":"978-0-521-19285-9","note":"DOI: 10.1017/CBO9781139026734.003","page":"19-56","publisher":"Cambridge University Press","publisher-place":"Cambridge","source":"Cambridge University Press","title":"The European Union as an international legal experiment","URL":"https://www.cambridge.org/core/books/worlds-of-european-constitutionalism/european-union-as-an-international-legal-experiment/BDD1CF1B46342DDC3EE92FC49EDA567C","editor":[{"family":"Búrca","given":"Gráinne","non-dropping-particle":"de"},{"family":"Weiler","given":"J. H. H."}],"author":[{"family":"Witte","given":"Bruno","non-dropping-particle":"de"}],"accessed":{"date-parts":[["2022",4,22]]},"issued":{"date-parts":[["2011"]]}},"locator":"21"},{"id":147,"uris":["http://zotero.org/users/local/JGwB40RD/items/8JFKI6CF"],"itemData":{"id":147,"type":"book","abstract":"Scribd is the world's largest social reading and publishing site.","language":"en","title":"Les Fondements Internationaux Du Droit Communautaire","URL":"https://fr.scribd.com/document/149569362/PELLET-1997-Les-Fondements-Internationaux-Du-Droit-Communautaire","author":[{"family":"Pellet","given":"Alain"}],"accessed":{"date-parts":[["2022",4,22]]},"issued":{"date-parts":[["1997"]]}}}],"schema":"https://github.com/citation-style-language/schema/raw/master/csl-citation.json"} </w:instrText>
      </w:r>
      <w:r w:rsidR="009C27BA" w:rsidRPr="001F2D2D">
        <w:rPr>
          <w:lang w:val="en-GB"/>
        </w:rPr>
        <w:fldChar w:fldCharType="separate"/>
      </w:r>
      <w:r w:rsidR="00096BCF" w:rsidRPr="001F2D2D">
        <w:rPr>
          <w:lang w:val="en-GB"/>
        </w:rPr>
        <w:t>(de Witte, 2011, p. 21; Pellet, 1997)</w:t>
      </w:r>
      <w:r w:rsidR="009C27BA" w:rsidRPr="001F2D2D">
        <w:rPr>
          <w:lang w:val="en-GB"/>
        </w:rPr>
        <w:fldChar w:fldCharType="end"/>
      </w:r>
      <w:r w:rsidR="003314B3" w:rsidRPr="001F2D2D">
        <w:rPr>
          <w:lang w:val="en-GB"/>
        </w:rPr>
        <w:t xml:space="preserve">, </w:t>
      </w:r>
      <w:r w:rsidR="008C1F79" w:rsidRPr="001F2D2D">
        <w:rPr>
          <w:lang w:val="en-GB"/>
        </w:rPr>
        <w:t xml:space="preserve">according to the orthodoxy of the Court, </w:t>
      </w:r>
      <w:r w:rsidR="003E2917" w:rsidRPr="001F2D2D">
        <w:rPr>
          <w:lang w:val="en-GB"/>
        </w:rPr>
        <w:t xml:space="preserve">EU law is not </w:t>
      </w:r>
      <w:r w:rsidR="008C1F79" w:rsidRPr="001F2D2D">
        <w:rPr>
          <w:lang w:val="en-GB"/>
        </w:rPr>
        <w:t xml:space="preserve">(just) </w:t>
      </w:r>
      <w:r w:rsidR="003E2917" w:rsidRPr="001F2D2D">
        <w:rPr>
          <w:lang w:val="en-GB"/>
        </w:rPr>
        <w:t>international law</w:t>
      </w:r>
      <w:r w:rsidR="008C1F79" w:rsidRPr="001F2D2D">
        <w:rPr>
          <w:lang w:val="en-GB"/>
        </w:rPr>
        <w:t xml:space="preserve"> but rather ‘its own legal system’ (</w:t>
      </w:r>
      <w:r w:rsidR="00F83B32" w:rsidRPr="001F2D2D">
        <w:rPr>
          <w:lang w:val="en-GB"/>
        </w:rPr>
        <w:t xml:space="preserve">Cases C-6/90 and C-9/90 </w:t>
      </w:r>
      <w:r w:rsidR="008C1F79" w:rsidRPr="001F2D2D">
        <w:rPr>
          <w:i/>
          <w:iCs/>
          <w:lang w:val="en-GB"/>
        </w:rPr>
        <w:t>Francovich</w:t>
      </w:r>
      <w:r w:rsidR="00F83B32" w:rsidRPr="001F2D2D">
        <w:rPr>
          <w:lang w:val="en-GB"/>
        </w:rPr>
        <w:t xml:space="preserve"> para 31</w:t>
      </w:r>
      <w:r w:rsidR="008C1F79" w:rsidRPr="001F2D2D">
        <w:rPr>
          <w:lang w:val="en-GB"/>
        </w:rPr>
        <w:t>) with its own ‘identity’ (</w:t>
      </w:r>
      <w:r w:rsidR="00F83B32" w:rsidRPr="001F2D2D">
        <w:rPr>
          <w:lang w:val="en-GB"/>
        </w:rPr>
        <w:t xml:space="preserve">Case C‑156/21 </w:t>
      </w:r>
      <w:r w:rsidR="00F83B32" w:rsidRPr="001F2D2D">
        <w:rPr>
          <w:i/>
          <w:iCs/>
          <w:lang w:val="en-GB"/>
        </w:rPr>
        <w:t>C v Hungary</w:t>
      </w:r>
      <w:r w:rsidR="00F83B32" w:rsidRPr="001F2D2D">
        <w:rPr>
          <w:lang w:val="en-GB"/>
        </w:rPr>
        <w:t xml:space="preserve"> </w:t>
      </w:r>
      <w:r w:rsidR="008C1F79" w:rsidRPr="001F2D2D">
        <w:rPr>
          <w:lang w:val="en-GB"/>
        </w:rPr>
        <w:t>para 127)</w:t>
      </w:r>
      <w:r w:rsidR="00A31DEB" w:rsidRPr="001F2D2D">
        <w:rPr>
          <w:lang w:val="en-GB"/>
        </w:rPr>
        <w:t>. For this reason, i</w:t>
      </w:r>
      <w:r w:rsidR="00070446" w:rsidRPr="001F2D2D">
        <w:rPr>
          <w:lang w:val="en-GB"/>
        </w:rPr>
        <w:t xml:space="preserve">n the legal literature, </w:t>
      </w:r>
      <w:r w:rsidR="00AF696B" w:rsidRPr="001F2D2D">
        <w:rPr>
          <w:lang w:val="en-GB"/>
        </w:rPr>
        <w:t>patterns of</w:t>
      </w:r>
      <w:r w:rsidR="00070446" w:rsidRPr="001F2D2D">
        <w:rPr>
          <w:lang w:val="en-GB"/>
        </w:rPr>
        <w:t xml:space="preserve"> divergence from international law </w:t>
      </w:r>
      <w:r w:rsidR="00AF696B" w:rsidRPr="001F2D2D">
        <w:rPr>
          <w:lang w:val="en-GB"/>
        </w:rPr>
        <w:t>in the Court’s case law are</w:t>
      </w:r>
      <w:r w:rsidR="00070446" w:rsidRPr="001F2D2D">
        <w:rPr>
          <w:lang w:val="en-GB"/>
        </w:rPr>
        <w:t xml:space="preserve"> often stressed </w:t>
      </w:r>
      <w:r w:rsidR="00070446" w:rsidRPr="001F2D2D">
        <w:rPr>
          <w:lang w:val="en-GB"/>
        </w:rPr>
        <w:fldChar w:fldCharType="begin"/>
      </w:r>
      <w:r w:rsidR="001377DE" w:rsidRPr="001F2D2D">
        <w:rPr>
          <w:lang w:val="en-GB"/>
        </w:rPr>
        <w:instrText xml:space="preserve"> ADDIN ZOTERO_ITEM CSL_CITATION {"citationID":"Gv52nYfA","properties":{"formattedCitation":"(Gatti, 2020, p. 92; Lenaerts {\\i{}et al.}, 2021; Weiler and Haltern, 1998, p. 342)","plainCitation":"(Gatti, 2020, p. 92; Lenaerts et al., 2021; Weiler and Haltern, 1998, p. 342)","noteIndex":0},"citationItems":[{"id":121,"uris":["http://zotero.org/users/local/JGwB40RD/items/6PTZHQV3"],"itemData":{"id":121,"type":"chapter","container-title":"Framing Convergence with the Global Legal Order","publisher":"Hart","title":"The EU and International Investment Agreements: To Diverge is to Converge","author":[{"family":"Gatti","given":"Mauro"}],"container-author":[{"family":"Fahey","given":"Elaine"}],"issued":{"date-parts":[["2020"]]}},"locator":"92"},{"id":114,"uris":["http://zotero.org/users/local/JGwB40RD/items/83VCK7PK"],"itemData":{"id":114,"type":"article-journal","abstract":"Two different dynamics govern the autonomy of the European Union (EU) legal order. On the one hand, autonomy seeks to define what EU law is not, i.e. it is not ordinary international law. Positively, on the other, autonomy seeks to define what EU law is, i.e. a legal order that has the capacity to operate as a self-referential system of norms that is both coherent and complete. Yet the concept of autonomy of the EU legal order in no way conveys the message that the EU and its law are euro-centric and that the Court of Justice of the European Union (the ‘Court of Justice’) seeks to insulate EU law from external influences by building walls that prevent the migration of legal ideas. Autonomy rather enables the Court of Justice to strike the right balance between the need to preserve the values on which the EU is founded and openness to other legal orders. The autonomy of the EU legal order is thus part of the very DNA of that legal order as it allows the EU to find its own constitutional space whilst interacting in a cooperative way with its Member States and the wider world.","container-title":"Zeitschrift für ausländisches öffentliches Recht und Völkerrecht / Heidelberg Journal of International Law","DOI":"10.17104/0044-2348-2021-1-47","ISSN":"0044-2348","issue":"1","journalAbbreviation":"ZaöRV / HJIL","page":"47-88","source":"DOI.org (Crossref)","title":"Exploring the Autonomy of the European Union Legal Order","volume":"81","author":[{"family":"Lenaerts","given":"Koen"},{"family":"Gutiérrez-Fons","given":"José A."},{"family":"Adam","given":"Stanislas"}],"issued":{"date-parts":[["2021"]]}}},{"id":146,"uris":["http://zotero.org/users/local/JGwB40RD/items/T9P7VNDR"],"itemData":{"id":146,"type":"chapter","container-title":"The European Courts and National Courts – Doctrine and Jurisprudence","event-place":"Oxford","page":"331-364","publisher":"Hart Publishing, Bloomsbury Publishing Plc","publisher-place":"Oxford","title":"Constitutional or International? The Foundations of the Community Legal Order and the Question of Judicial Kompetenz-Kompetenz","author":[{"family":"Weiler","given":"J. H. H."},{"family":"Haltern","given":"Ulrich"}],"container-author":[{"family":"Slaughter","given":"Anne-Marie"},{"family":"Stone Sweet","given":"Alec"},{"family":"Weiler","given":"J. H. H."}],"issued":{"date-parts":[["1998"]]}},"locator":"342"}],"schema":"https://github.com/citation-style-language/schema/raw/master/csl-citation.json"} </w:instrText>
      </w:r>
      <w:r w:rsidR="00070446" w:rsidRPr="001F2D2D">
        <w:rPr>
          <w:lang w:val="en-GB"/>
        </w:rPr>
        <w:fldChar w:fldCharType="separate"/>
      </w:r>
      <w:r w:rsidR="001377DE" w:rsidRPr="001F2D2D">
        <w:rPr>
          <w:lang w:val="en-GB"/>
        </w:rPr>
        <w:t xml:space="preserve">(Gatti, 2020, p. 92; Lenaerts </w:t>
      </w:r>
      <w:r w:rsidR="001377DE" w:rsidRPr="001F2D2D">
        <w:rPr>
          <w:i/>
          <w:iCs/>
          <w:lang w:val="en-GB"/>
        </w:rPr>
        <w:t>et al.</w:t>
      </w:r>
      <w:r w:rsidR="001377DE" w:rsidRPr="001F2D2D">
        <w:rPr>
          <w:lang w:val="en-GB"/>
        </w:rPr>
        <w:t>, 2021; Weiler and Haltern, 1998, p. 342)</w:t>
      </w:r>
      <w:r w:rsidR="00070446" w:rsidRPr="001F2D2D">
        <w:rPr>
          <w:lang w:val="en-GB"/>
        </w:rPr>
        <w:fldChar w:fldCharType="end"/>
      </w:r>
      <w:r w:rsidR="00070446" w:rsidRPr="001F2D2D">
        <w:rPr>
          <w:lang w:val="en-GB"/>
        </w:rPr>
        <w:t xml:space="preserve">. </w:t>
      </w:r>
      <w:r w:rsidR="00D851FC" w:rsidRPr="001F2D2D">
        <w:rPr>
          <w:lang w:val="en-GB"/>
        </w:rPr>
        <w:t xml:space="preserve">However, while </w:t>
      </w:r>
      <w:r w:rsidR="00070446" w:rsidRPr="001F2D2D">
        <w:rPr>
          <w:lang w:val="en-GB"/>
        </w:rPr>
        <w:t xml:space="preserve">EU law is not (just) international law, </w:t>
      </w:r>
      <w:r w:rsidR="00886163" w:rsidRPr="001F2D2D">
        <w:rPr>
          <w:lang w:val="en-GB"/>
        </w:rPr>
        <w:t>EU Treaties are formally international legal instruments</w:t>
      </w:r>
      <w:r w:rsidR="00A31DEB" w:rsidRPr="001F2D2D">
        <w:rPr>
          <w:lang w:val="en-GB"/>
        </w:rPr>
        <w:t xml:space="preserve">: rules on ratification and amendments follow international law </w:t>
      </w:r>
      <w:r w:rsidR="00A31DEB" w:rsidRPr="001F2D2D">
        <w:rPr>
          <w:lang w:val="en-GB"/>
        </w:rPr>
        <w:fldChar w:fldCharType="begin"/>
      </w:r>
      <w:r w:rsidR="00A31DEB" w:rsidRPr="001F2D2D">
        <w:rPr>
          <w:lang w:val="en-GB"/>
        </w:rPr>
        <w:instrText xml:space="preserve"> ADDIN ZOTERO_ITEM CSL_CITATION {"citationID":"cqIWhYYt","properties":{"formattedCitation":"(de Witte, 2011, p. 33)","plainCitation":"(de Witte, 2011, p. 33)","noteIndex":0},"citationItems":[{"id":142,"uris":["http://zotero.org/users/local/JGwB40RD/items/2NFY425L"],"itemData":{"id":142,"type":"chapter","abstract":"IntroductionIn a recent essay about legal theory and the European Union, Neil Walker wrote that theoretical inquiries about EU law as a whole – as opposed to studies of specific parts of EU law – ‘cannot but draw upon an arsenal of concepts and theoretical mechanisms developed or refined in an older context in which the national and the international, with the former dominating, were the two sides and the key frames of the world order of states’. This Chapter aims to replace the European Union in the ‘older context’ of international law, by recalling the fact that the European Communities, and the European Union, came into being as creatures of international law, as well as the fact that the many remarkable institutional features of those organisations came out of the existing toolbox of international law. Each of those single features had been experimented with before in other more limited contexts, but both the European Coal and Steel Community Treaty and the European Economic Community Treaty combined them in an unprecedented way. They were true experiments of international law, and the first part of the chapter will highlight some characteristics of that historical experimentation.The more interesting question, perhaps, for today’s reader is whether this ‘arsenal of concepts and [. . .] mechanisms’ drawn from the toolbox of public international law is still of decisive importance for our understanding of European Union law today. There is no disputing the fact that ‘the EU has successfully expanded its substantive mandate and institutional prerogatives to a level without parallel among international organizations’, but there is some dispute about whether it is still situated ‘among international organizations’ or has ceased to belong to that category. In fact, the dominant strand in the EU law literature takes the view that the European Union, whilst not a federal state, is also no longer an international organization, but rather an ill-defined sui generis legal construct. In this chapter, I will question both the vagueness of the sui generis construction and the view that the EU is no longer an international organization (and thus no longer an ongoing international legal experiment) by wondering, in the second and third parts of the chapter, what could have happened in the course of time, between the 1950s and today, to make EU law cease to be part of international law despite its international treaty pedigree. I will address that question from two points of view. First (that is, in the second part of the chapter), I will examine the practice of the states, and especially the Member States of the EU, to explore whether they have willed, or consented to, such a change in the legal nature of the EU. In the third part of the chapter, I will turn to examine the case-law of the ECJ (European Court of Justice) and the doctrinal interpretations of that same question and consider two possibilities: either that particular novel characteristics of EU law emerged over time which are incompatible with seeing it as an international organization; or that the overall development of the EU, rather than the development of specific characteristics, justifies the view that it must no longer be considered as a living international legal experiment, but as something altogether different.","collection-title":"Contemporary European Politics","container-title":"The Worlds of European Constitutionalism","event-place":"Cambridge","ISBN":"978-0-521-19285-9","note":"DOI: 10.1017/CBO9781139026734.003","page":"19-56","publisher":"Cambridge University Press","publisher-place":"Cambridge","source":"Cambridge University Press","title":"The European Union as an international legal experiment","URL":"https://www.cambridge.org/core/books/worlds-of-european-constitutionalism/european-union-as-an-international-legal-experiment/BDD1CF1B46342DDC3EE92FC49EDA567C","editor":[{"family":"Búrca","given":"Gráinne","non-dropping-particle":"de"},{"family":"Weiler","given":"J. H. H."}],"author":[{"family":"Witte","given":"Bruno","non-dropping-particle":"de"}],"accessed":{"date-parts":[["2022",4,22]]},"issued":{"date-parts":[["2011"]]}},"locator":"33"}],"schema":"https://github.com/citation-style-language/schema/raw/master/csl-citation.json"} </w:instrText>
      </w:r>
      <w:r w:rsidR="00A31DEB" w:rsidRPr="001F2D2D">
        <w:rPr>
          <w:lang w:val="en-GB"/>
        </w:rPr>
        <w:fldChar w:fldCharType="separate"/>
      </w:r>
      <w:r w:rsidR="00A31DEB" w:rsidRPr="001F2D2D">
        <w:rPr>
          <w:noProof/>
          <w:lang w:val="en-GB"/>
        </w:rPr>
        <w:t>(de Witte, 2011, p. 33)</w:t>
      </w:r>
      <w:r w:rsidR="00A31DEB" w:rsidRPr="001F2D2D">
        <w:rPr>
          <w:lang w:val="en-GB"/>
        </w:rPr>
        <w:fldChar w:fldCharType="end"/>
      </w:r>
      <w:r w:rsidR="00A31DEB" w:rsidRPr="001F2D2D">
        <w:rPr>
          <w:lang w:val="en-GB"/>
        </w:rPr>
        <w:t>.</w:t>
      </w:r>
      <w:r w:rsidR="00D74A35" w:rsidRPr="001F2D2D">
        <w:rPr>
          <w:lang w:val="en-GB"/>
        </w:rPr>
        <w:t xml:space="preserve"> </w:t>
      </w:r>
      <w:r w:rsidR="00AF696B" w:rsidRPr="001F2D2D">
        <w:rPr>
          <w:lang w:val="en-GB"/>
        </w:rPr>
        <w:t>The</w:t>
      </w:r>
      <w:r w:rsidR="0015735D" w:rsidRPr="001F2D2D">
        <w:rPr>
          <w:lang w:val="en-GB"/>
        </w:rPr>
        <w:t xml:space="preserve"> Court has no difficulties in acknowledging that</w:t>
      </w:r>
      <w:r w:rsidR="00AF696B" w:rsidRPr="001F2D2D">
        <w:rPr>
          <w:lang w:val="en-GB"/>
        </w:rPr>
        <w:t xml:space="preserve"> EU legal order is also open to </w:t>
      </w:r>
      <w:r w:rsidR="00B20E06" w:rsidRPr="001F2D2D">
        <w:rPr>
          <w:lang w:val="en-GB"/>
        </w:rPr>
        <w:t xml:space="preserve">international Treaty law (see the reference to respect for the </w:t>
      </w:r>
      <w:r w:rsidR="00C350E7" w:rsidRPr="001F2D2D">
        <w:rPr>
          <w:lang w:val="en-GB"/>
        </w:rPr>
        <w:t xml:space="preserve">principles of the </w:t>
      </w:r>
      <w:r w:rsidR="00B20E06" w:rsidRPr="001F2D2D">
        <w:rPr>
          <w:lang w:val="en-GB"/>
        </w:rPr>
        <w:t>UN Charter</w:t>
      </w:r>
      <w:r w:rsidR="00C350E7" w:rsidRPr="001F2D2D">
        <w:rPr>
          <w:lang w:val="en-GB"/>
        </w:rPr>
        <w:t xml:space="preserve"> – Article 3(5) and 21(1) TEU –</w:t>
      </w:r>
      <w:r w:rsidR="00D74A35" w:rsidRPr="001F2D2D">
        <w:rPr>
          <w:lang w:val="en-GB"/>
        </w:rPr>
        <w:t xml:space="preserve"> </w:t>
      </w:r>
      <w:r w:rsidR="00B20E06" w:rsidRPr="001F2D2D">
        <w:rPr>
          <w:lang w:val="en-GB"/>
        </w:rPr>
        <w:t>and the 1951 Refugee Convention</w:t>
      </w:r>
      <w:r w:rsidR="00C350E7" w:rsidRPr="001F2D2D">
        <w:rPr>
          <w:lang w:val="en-GB"/>
        </w:rPr>
        <w:t xml:space="preserve"> – Article 78(1) TFEU</w:t>
      </w:r>
      <w:r w:rsidR="00B20E06" w:rsidRPr="001F2D2D">
        <w:rPr>
          <w:lang w:val="en-GB"/>
        </w:rPr>
        <w:t>)</w:t>
      </w:r>
      <w:r w:rsidR="00886163" w:rsidRPr="001F2D2D">
        <w:rPr>
          <w:lang w:val="en-GB"/>
        </w:rPr>
        <w:t xml:space="preserve">, </w:t>
      </w:r>
      <w:r w:rsidR="0015735D" w:rsidRPr="001F2D2D">
        <w:rPr>
          <w:lang w:val="en-GB"/>
        </w:rPr>
        <w:t xml:space="preserve">to </w:t>
      </w:r>
      <w:proofErr w:type="spellStart"/>
      <w:r w:rsidR="00886163" w:rsidRPr="001F2D2D">
        <w:rPr>
          <w:lang w:val="en-GB"/>
        </w:rPr>
        <w:t>ius</w:t>
      </w:r>
      <w:proofErr w:type="spellEnd"/>
      <w:r w:rsidR="00886163" w:rsidRPr="001F2D2D">
        <w:rPr>
          <w:lang w:val="en-GB"/>
        </w:rPr>
        <w:t xml:space="preserve"> cogens (such as the respect for the principle of self-determination</w:t>
      </w:r>
      <w:r w:rsidR="00886163" w:rsidRPr="001F2D2D">
        <w:rPr>
          <w:rStyle w:val="FootnoteReference"/>
          <w:lang w:val="en-GB"/>
        </w:rPr>
        <w:footnoteReference w:id="11"/>
      </w:r>
      <w:r w:rsidR="00886163" w:rsidRPr="001F2D2D">
        <w:rPr>
          <w:lang w:val="en-GB"/>
        </w:rPr>
        <w:t>)</w:t>
      </w:r>
      <w:r w:rsidR="0015735D" w:rsidRPr="001F2D2D">
        <w:rPr>
          <w:lang w:val="en-GB"/>
        </w:rPr>
        <w:t>, and to customary international law (</w:t>
      </w:r>
      <w:r w:rsidR="00113C29" w:rsidRPr="001F2D2D">
        <w:rPr>
          <w:lang w:val="en-GB"/>
        </w:rPr>
        <w:t xml:space="preserve">C-308/06 </w:t>
      </w:r>
      <w:proofErr w:type="spellStart"/>
      <w:r w:rsidR="00113C29" w:rsidRPr="001F2D2D">
        <w:rPr>
          <w:i/>
          <w:iCs/>
          <w:lang w:val="en-GB"/>
        </w:rPr>
        <w:t>Intertanko</w:t>
      </w:r>
      <w:proofErr w:type="spellEnd"/>
      <w:r w:rsidR="0015735D" w:rsidRPr="001F2D2D">
        <w:rPr>
          <w:lang w:val="en-GB"/>
        </w:rPr>
        <w:t>)</w:t>
      </w:r>
      <w:r w:rsidR="00B20E06" w:rsidRPr="001F2D2D">
        <w:rPr>
          <w:lang w:val="en-GB"/>
        </w:rPr>
        <w:t xml:space="preserve">. </w:t>
      </w:r>
      <w:r w:rsidR="0015735D" w:rsidRPr="001F2D2D">
        <w:rPr>
          <w:lang w:val="en-GB"/>
        </w:rPr>
        <w:t>The EU legal order</w:t>
      </w:r>
      <w:r w:rsidR="00B20E06" w:rsidRPr="001F2D2D">
        <w:rPr>
          <w:lang w:val="en-GB"/>
        </w:rPr>
        <w:t xml:space="preserve"> is also linked to international law by way of ‘aspiration’, in the sense that the EU is constitutionally committed to accede to the ECHR (Article 6 TEU). </w:t>
      </w:r>
      <w:r w:rsidR="00F07A1B" w:rsidRPr="001F2D2D">
        <w:rPr>
          <w:lang w:val="en-GB"/>
        </w:rPr>
        <w:t xml:space="preserve">Some have even argued that the way the relationship between EU law and national law is not in fact one of autonomy, </w:t>
      </w:r>
      <w:r w:rsidR="00F07A1B" w:rsidRPr="001F2D2D">
        <w:rPr>
          <w:lang w:val="en-GB"/>
        </w:rPr>
        <w:lastRenderedPageBreak/>
        <w:t xml:space="preserve">but reflects the structure of international law because ‘[t]here is no single set of constitutional principles that determines the application of EU law by the Member States’ </w:t>
      </w:r>
      <w:r w:rsidR="00F07A1B" w:rsidRPr="001F2D2D">
        <w:rPr>
          <w:lang w:val="en-GB"/>
        </w:rPr>
        <w:fldChar w:fldCharType="begin"/>
      </w:r>
      <w:r w:rsidR="00F07A1B" w:rsidRPr="001F2D2D">
        <w:rPr>
          <w:lang w:val="en-GB"/>
        </w:rPr>
        <w:instrText xml:space="preserve"> ADDIN ZOTERO_ITEM CSL_CITATION {"citationID":"eaOl5IWy","properties":{"formattedCitation":"(Eleftheriadis, 2010, p. 121)","plainCitation":"(Eleftheriadis, 2010, p. 121)","noteIndex":0},"citationItems":[{"id":140,"uris":["http://zotero.org/users/local/JGwB40RD/items/KU2LEWLG"],"itemData":{"id":140,"type":"article-journal","abstract":"Abstract\n            Is the general structure of EU law a matter determined by its own constitutional principles? Many assume that this must be the case, because this is what we regularly expect from any national order of constitutional law. A more careful look shows that the analogy does not work. There is no single set of constitutional principles that determines the application of EU law by the Member States. Each State has its own principles. This clear division of labour between EU and national law poses a serious theoretical problem to those presenting EU law as a legal system directly analogous to that of a constitutional order. This chapter argues that a more careful study shows that the structure of EU law is very much like the structure of international law: dualist, not monist. Nevertheless, the dualist structure of EU law does not in any sense reduce its authority or legitimacy.","container-title":"Cambridge Yearbook of European Legal Studies","DOI":"10.5235/152888712802636085","ISSN":"1528-8870, 2049-7636","journalAbbreviation":"Cambridge Yearbook of European Legal Studies","language":"en","page":"121-150","source":"DOI.org (Crossref)","title":"The Structure of European Union Law","volume":"12","author":[{"family":"Eleftheriadis","given":"Pavlos"}],"issued":{"date-parts":[["2010"]]}},"locator":"121"}],"schema":"https://github.com/citation-style-language/schema/raw/master/csl-citation.json"} </w:instrText>
      </w:r>
      <w:r w:rsidR="00F07A1B" w:rsidRPr="001F2D2D">
        <w:rPr>
          <w:lang w:val="en-GB"/>
        </w:rPr>
        <w:fldChar w:fldCharType="separate"/>
      </w:r>
      <w:r w:rsidR="00F07A1B" w:rsidRPr="001F2D2D">
        <w:rPr>
          <w:noProof/>
          <w:lang w:val="en-GB"/>
        </w:rPr>
        <w:t>(Eleftheriadis, 2010, p. 121)</w:t>
      </w:r>
      <w:r w:rsidR="00F07A1B" w:rsidRPr="001F2D2D">
        <w:rPr>
          <w:lang w:val="en-GB"/>
        </w:rPr>
        <w:fldChar w:fldCharType="end"/>
      </w:r>
      <w:r w:rsidR="00F07A1B" w:rsidRPr="001F2D2D">
        <w:rPr>
          <w:lang w:val="en-GB"/>
        </w:rPr>
        <w:t xml:space="preserve">. </w:t>
      </w:r>
      <w:r w:rsidR="00B2039D" w:rsidRPr="001F2D2D">
        <w:rPr>
          <w:lang w:val="en-GB"/>
        </w:rPr>
        <w:t xml:space="preserve">EU law is also open to some challenges from external </w:t>
      </w:r>
      <w:proofErr w:type="spellStart"/>
      <w:r w:rsidR="00B2039D" w:rsidRPr="001F2D2D">
        <w:rPr>
          <w:lang w:val="en-GB"/>
        </w:rPr>
        <w:t>actors</w:t>
      </w:r>
      <w:proofErr w:type="spellEnd"/>
      <w:r w:rsidR="00B2039D" w:rsidRPr="001F2D2D">
        <w:rPr>
          <w:lang w:val="en-GB"/>
        </w:rPr>
        <w:t xml:space="preserve">, such a third country, as the Court admitted in </w:t>
      </w:r>
      <w:r w:rsidR="00E745CA" w:rsidRPr="001F2D2D">
        <w:rPr>
          <w:i/>
          <w:iCs/>
          <w:lang w:val="en-GB"/>
        </w:rPr>
        <w:t>Venezuela</w:t>
      </w:r>
      <w:r w:rsidR="00E745CA" w:rsidRPr="001F2D2D">
        <w:rPr>
          <w:lang w:val="en-GB"/>
        </w:rPr>
        <w:t xml:space="preserve">. </w:t>
      </w:r>
    </w:p>
    <w:p w14:paraId="0FF3A17D" w14:textId="6A92AC01" w:rsidR="005E430D" w:rsidRPr="001F2D2D" w:rsidRDefault="005E430D" w:rsidP="001F2D2D">
      <w:pPr>
        <w:pStyle w:val="NormalWeb"/>
        <w:shd w:val="clear" w:color="auto" w:fill="FFFFFF"/>
        <w:spacing w:line="276" w:lineRule="auto"/>
        <w:jc w:val="both"/>
        <w:rPr>
          <w:lang w:val="en-GB"/>
        </w:rPr>
      </w:pPr>
      <w:r w:rsidRPr="001F2D2D">
        <w:rPr>
          <w:lang w:val="en-GB"/>
        </w:rPr>
        <w:t xml:space="preserve">But even </w:t>
      </w:r>
      <w:r w:rsidR="004A2555" w:rsidRPr="001F2D2D">
        <w:rPr>
          <w:lang w:val="en-GB"/>
        </w:rPr>
        <w:t>if</w:t>
      </w:r>
      <w:r w:rsidRPr="001F2D2D">
        <w:rPr>
          <w:lang w:val="en-GB"/>
        </w:rPr>
        <w:t xml:space="preserve"> </w:t>
      </w:r>
      <w:r w:rsidR="00EE2221">
        <w:rPr>
          <w:lang w:val="en-GB"/>
        </w:rPr>
        <w:t xml:space="preserve">(legal or strategic) </w:t>
      </w:r>
      <w:r w:rsidRPr="001F2D2D">
        <w:rPr>
          <w:lang w:val="en-GB"/>
        </w:rPr>
        <w:t xml:space="preserve">autonomy is about substance, if </w:t>
      </w:r>
      <w:r w:rsidR="004A2555" w:rsidRPr="001F2D2D">
        <w:rPr>
          <w:lang w:val="en-GB"/>
        </w:rPr>
        <w:t>it</w:t>
      </w:r>
      <w:r w:rsidRPr="001F2D2D">
        <w:rPr>
          <w:lang w:val="en-GB"/>
        </w:rPr>
        <w:t xml:space="preserve"> captures a vision of ‘conditional openness’ for the EU, this </w:t>
      </w:r>
      <w:r w:rsidR="00D5604B" w:rsidRPr="001F2D2D">
        <w:rPr>
          <w:lang w:val="en-GB"/>
        </w:rPr>
        <w:t>does</w:t>
      </w:r>
      <w:r w:rsidRPr="001F2D2D">
        <w:rPr>
          <w:lang w:val="en-GB"/>
        </w:rPr>
        <w:t xml:space="preserve"> not solve </w:t>
      </w:r>
      <w:r w:rsidR="008465A5" w:rsidRPr="001F2D2D">
        <w:rPr>
          <w:lang w:val="en-GB"/>
        </w:rPr>
        <w:t>two</w:t>
      </w:r>
      <w:r w:rsidRPr="001F2D2D">
        <w:rPr>
          <w:lang w:val="en-GB"/>
        </w:rPr>
        <w:t xml:space="preserve"> conceptual difficult</w:t>
      </w:r>
      <w:r w:rsidR="00395483" w:rsidRPr="001F2D2D">
        <w:rPr>
          <w:lang w:val="en-GB"/>
        </w:rPr>
        <w:t>ies</w:t>
      </w:r>
      <w:r w:rsidRPr="001F2D2D">
        <w:rPr>
          <w:lang w:val="en-GB"/>
        </w:rPr>
        <w:t xml:space="preserve">: </w:t>
      </w:r>
      <w:r w:rsidR="008465A5" w:rsidRPr="001F2D2D">
        <w:rPr>
          <w:lang w:val="en-GB"/>
        </w:rPr>
        <w:t xml:space="preserve">a choice between mutually incompatible (strategic) objectives </w:t>
      </w:r>
      <w:r w:rsidR="004A2555" w:rsidRPr="001F2D2D">
        <w:rPr>
          <w:lang w:val="en-GB"/>
        </w:rPr>
        <w:t>– which, in its legal translation, is the question on</w:t>
      </w:r>
      <w:r w:rsidR="008465A5" w:rsidRPr="001F2D2D">
        <w:rPr>
          <w:lang w:val="en-GB"/>
        </w:rPr>
        <w:t xml:space="preserve"> the </w:t>
      </w:r>
      <w:r w:rsidR="00841579" w:rsidRPr="001F2D2D">
        <w:rPr>
          <w:lang w:val="en-GB"/>
        </w:rPr>
        <w:t>level of protection to be afforded to fundamental rights or public interests.</w:t>
      </w:r>
      <w:r w:rsidR="00D5604B" w:rsidRPr="001F2D2D">
        <w:rPr>
          <w:lang w:val="en-GB"/>
        </w:rPr>
        <w:t xml:space="preserve"> In other words, autonomy preserves certain essential characteristics of the EU, and it gives an indication as to the substance of those characteristics (what fundamental rights, what values, what norms are worthy of protection): but it does not go as far as to </w:t>
      </w:r>
      <w:r w:rsidR="00930531" w:rsidRPr="001F2D2D">
        <w:rPr>
          <w:lang w:val="en-GB"/>
        </w:rPr>
        <w:t>determine</w:t>
      </w:r>
      <w:r w:rsidR="00D5604B" w:rsidRPr="001F2D2D">
        <w:rPr>
          <w:lang w:val="en-GB"/>
        </w:rPr>
        <w:t xml:space="preserve"> ‘how much’ those characteristics are to be protected. </w:t>
      </w:r>
      <w:r w:rsidR="00837B0B" w:rsidRPr="001F2D2D">
        <w:t>These problems are conceptual, in the sense that they are independent from the normative debate over the desirability, and the extent of the desirability, of the EU’s autonomy</w:t>
      </w:r>
      <w:r w:rsidR="00EE2221">
        <w:t>. The following serve as illustration in the context of strategic autonomy first, and legal autonomy then</w:t>
      </w:r>
      <w:r w:rsidR="0005240D">
        <w:t xml:space="preserve">. </w:t>
      </w:r>
    </w:p>
    <w:p w14:paraId="70AA19C4" w14:textId="66BE4B6F" w:rsidR="005E430D" w:rsidRPr="001F2D2D" w:rsidRDefault="00EE2221" w:rsidP="001F2D2D">
      <w:pPr>
        <w:pStyle w:val="NormalWeb"/>
        <w:shd w:val="clear" w:color="auto" w:fill="FFFFFF"/>
        <w:spacing w:line="276" w:lineRule="auto"/>
        <w:jc w:val="both"/>
        <w:rPr>
          <w:lang w:val="en-GB"/>
        </w:rPr>
      </w:pPr>
      <w:r>
        <w:rPr>
          <w:lang w:val="en-GB"/>
        </w:rPr>
        <w:t>An</w:t>
      </w:r>
      <w:r w:rsidR="004976FC" w:rsidRPr="001F2D2D">
        <w:rPr>
          <w:lang w:val="en-GB"/>
        </w:rPr>
        <w:t xml:space="preserve"> example of mutually</w:t>
      </w:r>
      <w:r w:rsidR="008465A5" w:rsidRPr="001F2D2D">
        <w:rPr>
          <w:lang w:val="en-GB"/>
        </w:rPr>
        <w:t xml:space="preserve"> incompatible strategic objectives </w:t>
      </w:r>
      <w:r w:rsidR="00D5604B" w:rsidRPr="001F2D2D">
        <w:rPr>
          <w:lang w:val="en-GB"/>
        </w:rPr>
        <w:t>is</w:t>
      </w:r>
      <w:r w:rsidR="008465A5" w:rsidRPr="001F2D2D">
        <w:rPr>
          <w:lang w:val="en-GB"/>
        </w:rPr>
        <w:t xml:space="preserve"> identified by </w:t>
      </w:r>
      <w:r w:rsidR="004A2555" w:rsidRPr="001F2D2D">
        <w:rPr>
          <w:lang w:val="en-GB"/>
        </w:rPr>
        <w:fldChar w:fldCharType="begin"/>
      </w:r>
      <w:r w:rsidR="004A2555" w:rsidRPr="001F2D2D">
        <w:rPr>
          <w:lang w:val="en-GB"/>
        </w:rPr>
        <w:instrText xml:space="preserve"> ADDIN ZOTERO_ITEM CSL_CITATION {"citationID":"FuQZbf15","properties":{"formattedCitation":"(Cottey, 2020)","plainCitation":"(Cottey, 2020)","noteIndex":0},"citationItems":[{"id":111,"uris":["http://zotero.org/users/local/JGwB40RD/items/2SNZQXAU"],"itemData":{"id":111,"type":"article-journal","abstract":"This article argues that the existing literature on EU foreign, security and defence strategy has paid insufficient attention to two basic prior questions: what is strategy? And what constitutes good strategy? Judged against a baseline definition of good strategy, the EU lacks an agreed assessment of its external environment, struggles to prioritize competing foreign policy objectives, avoids difficult foreign policy choices, and often lacks the ways and means necessary to achieve its goals, yet is reluctant to modify its objectives. These problems reflect the EU's character as a polity: differences amongst member states and the primarily intergovernmental nature of EU foreign, security and defence decision-making fundamentally constrain the Union's ability to develop and implement external strategy. The EU is better understood as an astrategic actor: an actor without a strategy in the proper meaning of the word and one that will continue to find it difficult to develop such a strategy.","container-title":"JCMS: Journal of Common Market Studies","DOI":"10.1111/jcms.12902","ISSN":"1468-5965","issue":"2","language":"en","note":"_eprint: https://onlinelibrary.wiley.com/doi/pdf/10.1111/jcms.12902","page":"276-291","source":"Wiley Online Library","title":"Astrategic Europe","volume":"58","author":[{"family":"Cottey","given":"Andrew"}],"issued":{"date-parts":[["2020"]]}}}],"schema":"https://github.com/citation-style-language/schema/raw/master/csl-citation.json"} </w:instrText>
      </w:r>
      <w:r w:rsidR="004A2555" w:rsidRPr="001F2D2D">
        <w:rPr>
          <w:lang w:val="en-GB"/>
        </w:rPr>
        <w:fldChar w:fldCharType="separate"/>
      </w:r>
      <w:r w:rsidR="004A2555" w:rsidRPr="001F2D2D">
        <w:rPr>
          <w:noProof/>
          <w:lang w:val="en-GB"/>
        </w:rPr>
        <w:t>(Cottey, 2020)</w:t>
      </w:r>
      <w:r w:rsidR="004A2555" w:rsidRPr="001F2D2D">
        <w:rPr>
          <w:lang w:val="en-GB"/>
        </w:rPr>
        <w:fldChar w:fldCharType="end"/>
      </w:r>
      <w:r w:rsidR="004976FC" w:rsidRPr="001F2D2D">
        <w:rPr>
          <w:lang w:val="en-GB"/>
        </w:rPr>
        <w:t xml:space="preserve">: ‘the EU has since the 1990s pursued a policy that has sought to combine a relatively open door enlargement policy, assistance to the former Soviet states and building a strategic partnership </w:t>
      </w:r>
      <w:r w:rsidR="004976FC" w:rsidRPr="00EE2221">
        <w:rPr>
          <w:lang w:val="en-GB"/>
        </w:rPr>
        <w:t>with Russia’</w:t>
      </w:r>
      <w:r w:rsidR="008465A5" w:rsidRPr="00EE2221">
        <w:rPr>
          <w:lang w:val="en-GB"/>
        </w:rPr>
        <w:t xml:space="preserve">. A related </w:t>
      </w:r>
      <w:r w:rsidR="008465A5" w:rsidRPr="00EE2221">
        <w:rPr>
          <w:color w:val="000000" w:themeColor="text1"/>
          <w:lang w:val="en-GB"/>
        </w:rPr>
        <w:t>question</w:t>
      </w:r>
      <w:r w:rsidRPr="00EE2221">
        <w:rPr>
          <w:rStyle w:val="CommentReference"/>
          <w:rFonts w:eastAsiaTheme="minorHAnsi"/>
          <w:color w:val="000000" w:themeColor="text1"/>
          <w:lang w:eastAsia="en-US"/>
        </w:rPr>
        <w:t xml:space="preserve">, </w:t>
      </w:r>
      <w:r w:rsidRPr="00EE2221">
        <w:rPr>
          <w:color w:val="000000" w:themeColor="text1"/>
          <w:lang w:val="en-GB"/>
        </w:rPr>
        <w:t>po</w:t>
      </w:r>
      <w:r w:rsidR="008465A5" w:rsidRPr="00EE2221">
        <w:rPr>
          <w:color w:val="000000" w:themeColor="text1"/>
          <w:lang w:val="en-GB"/>
        </w:rPr>
        <w:t>ssibly to be explored by the other papers</w:t>
      </w:r>
      <w:r w:rsidRPr="00EE2221">
        <w:rPr>
          <w:color w:val="000000" w:themeColor="text1"/>
          <w:lang w:val="en-GB"/>
        </w:rPr>
        <w:t>,</w:t>
      </w:r>
      <w:r w:rsidR="008465A5" w:rsidRPr="00EE2221">
        <w:rPr>
          <w:color w:val="000000" w:themeColor="text1"/>
          <w:lang w:val="en-GB"/>
        </w:rPr>
        <w:t xml:space="preserve"> is </w:t>
      </w:r>
      <w:r w:rsidR="008465A5" w:rsidRPr="00EE2221">
        <w:rPr>
          <w:lang w:val="en-GB"/>
        </w:rPr>
        <w:t>whether</w:t>
      </w:r>
      <w:r w:rsidR="008465A5" w:rsidRPr="001F2D2D">
        <w:rPr>
          <w:lang w:val="en-GB"/>
        </w:rPr>
        <w:t xml:space="preserve"> </w:t>
      </w:r>
      <w:r w:rsidR="005E430D" w:rsidRPr="001F2D2D">
        <w:rPr>
          <w:lang w:val="en-GB"/>
        </w:rPr>
        <w:t xml:space="preserve">it make a difference if the EU is acting under CFSP or CCP? In both cases the EU has potentially contradictory objectives, without the principle of autonomy (nor any strategy) providing guidance to rank them in order of preference or of likelihood of external actor’s behaviour. </w:t>
      </w:r>
      <w:proofErr w:type="spellStart"/>
      <w:r w:rsidR="005E430D" w:rsidRPr="001F2D2D">
        <w:rPr>
          <w:lang w:val="en-GB"/>
        </w:rPr>
        <w:t>Cottey</w:t>
      </w:r>
      <w:proofErr w:type="spellEnd"/>
      <w:r w:rsidR="005E430D" w:rsidRPr="001F2D2D">
        <w:rPr>
          <w:lang w:val="en-GB"/>
        </w:rPr>
        <w:t xml:space="preserve"> </w:t>
      </w:r>
      <w:r w:rsidR="005E430D" w:rsidRPr="001F2D2D">
        <w:rPr>
          <w:lang w:val="en-GB"/>
        </w:rPr>
        <w:fldChar w:fldCharType="begin"/>
      </w:r>
      <w:r w:rsidR="005E430D" w:rsidRPr="001F2D2D">
        <w:rPr>
          <w:lang w:val="en-GB"/>
        </w:rPr>
        <w:instrText xml:space="preserve"> ADDIN ZOTERO_ITEM CSL_CITATION {"citationID":"w5Kp2XlN","properties":{"formattedCitation":"(Cottey, 2020, p. 283)","plainCitation":"(Cottey, 2020, p. 283)","noteIndex":0},"citationItems":[{"id":111,"uris":["http://zotero.org/users/local/JGwB40RD/items/2SNZQXAU"],"itemData":{"id":111,"type":"article-journal","abstract":"This article argues that the existing literature on EU foreign, security and defence strategy has paid insufficient attention to two basic prior questions: what is strategy? And what constitutes good strategy? Judged against a baseline definition of good strategy, the EU lacks an agreed assessment of its external environment, struggles to prioritize competing foreign policy objectives, avoids difficult foreign policy choices, and often lacks the ways and means necessary to achieve its goals, yet is reluctant to modify its objectives. These problems reflect the EU's character as a polity: differences amongst member states and the primarily intergovernmental nature of EU foreign, security and defence decision-making fundamentally constrain the Union's ability to develop and implement external strategy. The EU is better understood as an astrategic actor: an actor without a strategy in the proper meaning of the word and one that will continue to find it difficult to develop such a strategy.","container-title":"JCMS: Journal of Common Market Studies","DOI":"10.1111/jcms.12902","ISSN":"1468-5965","issue":"2","language":"en","note":"_eprint: https://onlinelibrary.wiley.com/doi/pdf/10.1111/jcms.12902","page":"276-291","source":"Wiley Online Library","title":"Astrategic Europe","volume":"58","author":[{"family":"Cottey","given":"Andrew"}],"issued":{"date-parts":[["2020"]]}},"locator":"283"}],"schema":"https://github.com/citation-style-language/schema/raw/master/csl-citation.json"} </w:instrText>
      </w:r>
      <w:r w:rsidR="005E430D" w:rsidRPr="001F2D2D">
        <w:rPr>
          <w:lang w:val="en-GB"/>
        </w:rPr>
        <w:fldChar w:fldCharType="separate"/>
      </w:r>
      <w:r w:rsidR="005E430D" w:rsidRPr="001F2D2D">
        <w:rPr>
          <w:noProof/>
          <w:lang w:val="en-GB"/>
        </w:rPr>
        <w:t>(Cottey, 2020, p. 283)</w:t>
      </w:r>
      <w:r w:rsidR="005E430D" w:rsidRPr="001F2D2D">
        <w:rPr>
          <w:lang w:val="en-GB"/>
        </w:rPr>
        <w:fldChar w:fldCharType="end"/>
      </w:r>
      <w:r w:rsidR="005E430D" w:rsidRPr="001F2D2D">
        <w:rPr>
          <w:lang w:val="en-GB"/>
        </w:rPr>
        <w:t xml:space="preserve"> states that the decision-making rules in CFSP make it more difficult to define common positions than in CCP, where qualified majority voting is the rule. </w:t>
      </w:r>
    </w:p>
    <w:p w14:paraId="533329EF" w14:textId="6F3B9999" w:rsidR="00D345BE" w:rsidRPr="001F2D2D" w:rsidRDefault="00EE2221" w:rsidP="001F2D2D">
      <w:pPr>
        <w:pStyle w:val="NormalWeb"/>
        <w:spacing w:line="276" w:lineRule="auto"/>
        <w:jc w:val="both"/>
      </w:pPr>
      <w:r>
        <w:t>As a matter of legal autonomy, i</w:t>
      </w:r>
      <w:r w:rsidR="00D345BE" w:rsidRPr="001F2D2D">
        <w:t xml:space="preserve">t shall be recalled that </w:t>
      </w:r>
      <w:r>
        <w:t>the</w:t>
      </w:r>
      <w:r w:rsidR="00D345BE" w:rsidRPr="001F2D2D">
        <w:t xml:space="preserve"> principle of autonomy </w:t>
      </w:r>
      <w:r>
        <w:t>is more or less encompassing – it expands and contracts –</w:t>
      </w:r>
      <w:r w:rsidR="00D345BE" w:rsidRPr="001F2D2D">
        <w:t xml:space="preserve"> depending on the context. Some authors have tried to identify what exactly is the context </w:t>
      </w:r>
      <w:r w:rsidR="00D345BE" w:rsidRPr="001F2D2D">
        <w:fldChar w:fldCharType="begin"/>
      </w:r>
      <w:r w:rsidR="00D74056" w:rsidRPr="001F2D2D">
        <w:instrText xml:space="preserve"> ADDIN ZOTERO_ITEM CSL_CITATION {"citationID":"LODHLljv","properties":{"formattedCitation":"(Kassoti and Odermatt, 2020)","plainCitation":"(Kassoti and Odermatt, 2020)","noteIndex":0},"citationItems":[{"id":124,"uris":["http://zotero.org/users/local/JGwB40RD/items/7PHABPLL"],"itemData":{"id":124,"type":"post-weblog","abstract":"Questions of International Law","container-title":"QIL QDI","language":"en-US","note":"section: The blurring distinction between public and private in international dispute resolution","title":"The principle of autonomy and international investment arbitration: Reflections on Opinion 1/17","title-short":"The principle of autonomy and international investment arbitration","URL":"http://www.qil-qdi.org/the-principle-of-autonomy-and-international-investment-arbitration-reflections-on-opinion-1-17/","author":[{"family":"Kassoti","given":"Eva"},{"family":"Odermatt","given":"Jed"}],"accessed":{"date-parts":[["2022",4,20]]},"issued":{"date-parts":[["2020",9,30]]}}}],"schema":"https://github.com/citation-style-language/schema/raw/master/csl-citation.json"} </w:instrText>
      </w:r>
      <w:r w:rsidR="00D345BE" w:rsidRPr="001F2D2D">
        <w:fldChar w:fldCharType="separate"/>
      </w:r>
      <w:r w:rsidR="00D74056" w:rsidRPr="001F2D2D">
        <w:rPr>
          <w:lang w:val="en-GB"/>
        </w:rPr>
        <w:t>(Kassoti and Odermatt, 2020)</w:t>
      </w:r>
      <w:r w:rsidR="00D345BE" w:rsidRPr="001F2D2D">
        <w:fldChar w:fldCharType="end"/>
      </w:r>
      <w:r w:rsidR="00D345BE" w:rsidRPr="001F2D2D">
        <w:t xml:space="preserve">. It is akin to </w:t>
      </w:r>
      <w:r w:rsidR="00FF0677" w:rsidRPr="001F2D2D">
        <w:t xml:space="preserve">the nature of an agreement whose compatibility with </w:t>
      </w:r>
      <w:r w:rsidR="00E745CA" w:rsidRPr="001F2D2D">
        <w:t>t</w:t>
      </w:r>
      <w:r w:rsidR="00FF0677" w:rsidRPr="001F2D2D">
        <w:t xml:space="preserve">he autonomy of EU law is at stake </w:t>
      </w:r>
      <w:r w:rsidR="00FF0677" w:rsidRPr="001F2D2D">
        <w:fldChar w:fldCharType="begin"/>
      </w:r>
      <w:r w:rsidR="00D74056" w:rsidRPr="001F2D2D">
        <w:instrText xml:space="preserve"> ADDIN ZOTERO_ITEM CSL_CITATION {"citationID":"Xm04whpC","properties":{"formattedCitation":"(Kassoti and Odermatt, 2020)","plainCitation":"(Kassoti and Odermatt, 2020)","noteIndex":0},"citationItems":[{"id":124,"uris":["http://zotero.org/users/local/JGwB40RD/items/7PHABPLL"],"itemData":{"id":124,"type":"post-weblog","abstract":"Questions of International Law","container-title":"QIL QDI","language":"en-US","note":"section: The blurring distinction between public and private in international dispute resolution","title":"The principle of autonomy and international investment arbitration: Reflections on Opinion 1/17","title-short":"The principle of autonomy and international investment arbitration","URL":"http://www.qil-qdi.org/the-principle-of-autonomy-and-international-investment-arbitration-reflections-on-opinion-1-17/","author":[{"family":"Kassoti","given":"Eva"},{"family":"Odermatt","given":"Jed"}],"accessed":{"date-parts":[["2022",4,20]]},"issued":{"date-parts":[["2020",9,30]]}}}],"schema":"https://github.com/citation-style-language/schema/raw/master/csl-citation.json"} </w:instrText>
      </w:r>
      <w:r w:rsidR="00FF0677" w:rsidRPr="001F2D2D">
        <w:fldChar w:fldCharType="separate"/>
      </w:r>
      <w:r w:rsidR="00D74056" w:rsidRPr="001F2D2D">
        <w:rPr>
          <w:lang w:val="en-GB"/>
        </w:rPr>
        <w:t>(Kassoti and Odermatt, 2020)</w:t>
      </w:r>
      <w:r w:rsidR="00FF0677" w:rsidRPr="001F2D2D">
        <w:fldChar w:fldCharType="end"/>
      </w:r>
      <w:r w:rsidR="00D345BE" w:rsidRPr="001F2D2D">
        <w:t>.</w:t>
      </w:r>
      <w:r w:rsidR="002769A0" w:rsidRPr="001F2D2D">
        <w:t xml:space="preserve"> Or it could be the existence of EU legislation</w:t>
      </w:r>
      <w:r w:rsidR="00D74056" w:rsidRPr="001F2D2D">
        <w:t xml:space="preserve"> (see AG Hogan </w:t>
      </w:r>
      <w:r w:rsidR="00DB6AE0" w:rsidRPr="001F2D2D">
        <w:t xml:space="preserve">opinion in C-336/19 para 86 </w:t>
      </w:r>
      <w:r w:rsidR="00D74056" w:rsidRPr="001F2D2D">
        <w:t xml:space="preserve">reference to EU legislation providing a ‘more specific level of protection’ of a fundamental right </w:t>
      </w:r>
      <w:r w:rsidR="00DB6AE0" w:rsidRPr="001F2D2D">
        <w:t>in EU legislation to distinguish it from the same right as protected under the ECHR</w:t>
      </w:r>
      <w:r w:rsidR="00D74056" w:rsidRPr="001F2D2D">
        <w:t xml:space="preserve">); or something else (see AG Bot in </w:t>
      </w:r>
      <w:proofErr w:type="spellStart"/>
      <w:r w:rsidR="00D74056" w:rsidRPr="001F2D2D">
        <w:t>Melloni</w:t>
      </w:r>
      <w:proofErr w:type="spellEnd"/>
      <w:r w:rsidR="00D74056" w:rsidRPr="001F2D2D">
        <w:t>, para 110)</w:t>
      </w:r>
      <w:r w:rsidR="002769A0" w:rsidRPr="001F2D2D">
        <w:t>.</w:t>
      </w:r>
      <w:r w:rsidR="00D345BE" w:rsidRPr="001F2D2D">
        <w:t xml:space="preserve"> But the case law does not provide decisive guidance to know what the context is, no</w:t>
      </w:r>
      <w:r w:rsidR="00FF0677" w:rsidRPr="001F2D2D">
        <w:t>r</w:t>
      </w:r>
      <w:r w:rsidR="00D345BE" w:rsidRPr="001F2D2D">
        <w:t xml:space="preserve"> how it influences the Court’s understanding of (positive) autonomy </w:t>
      </w:r>
      <w:r w:rsidR="002A20EA" w:rsidRPr="001F2D2D">
        <w:fldChar w:fldCharType="begin"/>
      </w:r>
      <w:r w:rsidR="002A20EA" w:rsidRPr="001F2D2D">
        <w:instrText xml:space="preserve"> ADDIN ZOTERO_ITEM CSL_CITATION {"citationID":"tG4LN0Ft","properties":{"formattedCitation":"(Moreno-Lax, 2019, p. 71)","plainCitation":"(Moreno-Lax, 2019, p. 71)","noteIndex":0},"citationItems":[{"id":126,"uris":["http://zotero.org/users/local/JGwB40RD/items/8QH83ZT3"],"itemData":{"id":126,"type":"chapter","container-title":"The Interface Between EU and International Law: Contemporary Reflections","publisher":"Hart","title":"The Axiological Emancipation of a (Non-)Principle: Autonomy, International Law and the EU Legal Order","author":[{"family":"Moreno-Lax","given":"Violeta"}],"container-author":[{"family":"Govaere","given":"Inge"},{"family":"Garben","given":"Sacha"}],"issued":{"date-parts":[["2019"]]}},"locator":"71"}],"schema":"https://github.com/citation-style-language/schema/raw/master/csl-citation.json"} </w:instrText>
      </w:r>
      <w:r w:rsidR="002A20EA" w:rsidRPr="001F2D2D">
        <w:fldChar w:fldCharType="separate"/>
      </w:r>
      <w:r w:rsidR="002A20EA" w:rsidRPr="001F2D2D">
        <w:rPr>
          <w:noProof/>
        </w:rPr>
        <w:t>(Moreno-Lax, 2019, p. 71)</w:t>
      </w:r>
      <w:r w:rsidR="002A20EA" w:rsidRPr="001F2D2D">
        <w:fldChar w:fldCharType="end"/>
      </w:r>
      <w:r w:rsidR="00D345BE" w:rsidRPr="001F2D2D">
        <w:t xml:space="preserve"> and therefore</w:t>
      </w:r>
      <w:r w:rsidR="00FF0677" w:rsidRPr="001F2D2D">
        <w:t>, a fortiori,</w:t>
      </w:r>
      <w:r w:rsidR="002769A0" w:rsidRPr="001F2D2D">
        <w:t xml:space="preserve"> autonomy does not set</w:t>
      </w:r>
      <w:r w:rsidR="00D345BE" w:rsidRPr="001F2D2D">
        <w:t xml:space="preserve"> the substantive level of protection guaranteed by the EU.  </w:t>
      </w:r>
      <w:r w:rsidR="00D345BE" w:rsidRPr="001F2D2D">
        <w:rPr>
          <w:lang w:val="en-GB"/>
        </w:rPr>
        <w:t>In fact, o</w:t>
      </w:r>
      <w:r w:rsidR="0023321B" w:rsidRPr="001F2D2D">
        <w:rPr>
          <w:lang w:val="en-GB"/>
        </w:rPr>
        <w:t>n balancing of public interests</w:t>
      </w:r>
      <w:r w:rsidR="002769A0" w:rsidRPr="001F2D2D">
        <w:rPr>
          <w:lang w:val="en-GB"/>
        </w:rPr>
        <w:t xml:space="preserve"> (and, possibly, the level of protection of fundamental rights)</w:t>
      </w:r>
      <w:r w:rsidR="0023321B" w:rsidRPr="001F2D2D">
        <w:rPr>
          <w:lang w:val="en-GB"/>
        </w:rPr>
        <w:t xml:space="preserve">, Opinion 1/17 </w:t>
      </w:r>
      <w:r w:rsidR="00A22EB9" w:rsidRPr="001F2D2D">
        <w:rPr>
          <w:lang w:val="en-GB"/>
        </w:rPr>
        <w:t xml:space="preserve">explained </w:t>
      </w:r>
      <w:r w:rsidR="0023321B" w:rsidRPr="001F2D2D">
        <w:rPr>
          <w:lang w:val="en-GB"/>
        </w:rPr>
        <w:t xml:space="preserve">that </w:t>
      </w:r>
      <w:r w:rsidR="0023321B" w:rsidRPr="001F2D2D">
        <w:t xml:space="preserve">the CETA agreement, ‘together with its Joint Interpretation Instrument, made it clear that it was not for the envisaged tribunals to adjudicate on the </w:t>
      </w:r>
      <w:r w:rsidR="0023321B" w:rsidRPr="001F2D2D">
        <w:rPr>
          <w:i/>
          <w:iCs/>
        </w:rPr>
        <w:t xml:space="preserve">level of protection </w:t>
      </w:r>
      <w:r w:rsidR="0023321B" w:rsidRPr="001F2D2D">
        <w:t>of a public interest that led to the introduction by the EU legislator of regulatory restrictions in the sphere of the internal market’</w:t>
      </w:r>
      <w:r w:rsidR="0023321B" w:rsidRPr="001F2D2D">
        <w:fldChar w:fldCharType="begin"/>
      </w:r>
      <w:r w:rsidR="0023321B" w:rsidRPr="001F2D2D">
        <w:instrText xml:space="preserve"> ADDIN ZOTERO_ITEM CSL_CITATION {"citationID":"TXaqtB4x","properties":{"formattedCitation":"(Lenaerts {\\i{}et al.}, 2021, p. 65)","plainCitation":"(Lenaerts et al., 2021, p. 65)","noteIndex":0},"citationItems":[{"id":114,"uris":["http://zotero.org/users/local/JGwB40RD/items/83VCK7PK"],"itemData":{"id":114,"type":"article-journal","abstract":"Two different dynamics govern the autonomy of the European Union (EU) legal order. On the one hand, autonomy seeks to define what EU law is not, i.e. it is not ordinary international law. Positively, on the other, autonomy seeks to define what EU law is, i.e. a legal order that has the capacity to operate as a self-referential system of norms that is both coherent and complete. Yet the concept of autonomy of the EU legal order in no way conveys the message that the EU and its law are euro-centric and that the Court of Justice of the European Union (the ‘Court of Justice’) seeks to insulate EU law from external influences by building walls that prevent the migration of legal ideas. Autonomy rather enables the Court of Justice to strike the right balance between the need to preserve the values on which the EU is founded and openness to other legal orders. The autonomy of the EU legal order is thus part of the very DNA of that legal order as it allows the EU to find its own constitutional space whilst interacting in a cooperative way with its Member States and the wider world.","container-title":"Zeitschrift für ausländisches öffentliches Recht und Völkerrecht / Heidelberg Journal of International Law","DOI":"10.17104/0044-2348-2021-1-47","ISSN":"0044-2348","issue":"1","journalAbbreviation":"ZaöRV / HJIL","page":"47-88","source":"DOI.org (Crossref)","title":"Exploring the Autonomy of the European Union Legal Order","volume":"81","author":[{"family":"Lenaerts","given":"Koen"},{"family":"Gutiérrez-Fons","given":"José A."},{"family":"Adam","given":"Stanislas"}],"issued":{"date-parts":[["2021"]]}},"locator":"65"}],"schema":"https://github.com/citation-style-language/schema/raw/master/csl-citation.json"} </w:instrText>
      </w:r>
      <w:r w:rsidR="0023321B" w:rsidRPr="001F2D2D">
        <w:fldChar w:fldCharType="separate"/>
      </w:r>
      <w:r w:rsidR="0023321B" w:rsidRPr="001F2D2D">
        <w:rPr>
          <w:lang w:val="en-GB"/>
        </w:rPr>
        <w:t xml:space="preserve">(Lenaerts </w:t>
      </w:r>
      <w:r w:rsidR="0023321B" w:rsidRPr="001F2D2D">
        <w:rPr>
          <w:i/>
          <w:iCs/>
          <w:lang w:val="en-GB"/>
        </w:rPr>
        <w:t>et al.</w:t>
      </w:r>
      <w:r w:rsidR="0023321B" w:rsidRPr="001F2D2D">
        <w:rPr>
          <w:lang w:val="en-GB"/>
        </w:rPr>
        <w:t>, 2021, p. 65)</w:t>
      </w:r>
      <w:r w:rsidR="0023321B" w:rsidRPr="001F2D2D">
        <w:fldChar w:fldCharType="end"/>
      </w:r>
      <w:r w:rsidR="002769A0" w:rsidRPr="001F2D2D">
        <w:t xml:space="preserve">. Presumably, pursuant to the democratic principle (which is still part of autonomy…), </w:t>
      </w:r>
      <w:r w:rsidR="0023321B" w:rsidRPr="001F2D2D">
        <w:t xml:space="preserve">that is a decision for the EU legislator alone. So autonomy </w:t>
      </w:r>
      <w:r w:rsidR="00E745CA" w:rsidRPr="001F2D2D">
        <w:lastRenderedPageBreak/>
        <w:t xml:space="preserve">cannot, </w:t>
      </w:r>
      <w:r w:rsidR="0023321B" w:rsidRPr="001F2D2D">
        <w:t xml:space="preserve">not even in its substantial dimension, </w:t>
      </w:r>
      <w:r w:rsidR="00E745CA" w:rsidRPr="001F2D2D">
        <w:t xml:space="preserve">be the </w:t>
      </w:r>
      <w:r w:rsidR="0023321B" w:rsidRPr="001F2D2D">
        <w:t>determin</w:t>
      </w:r>
      <w:r w:rsidR="00E745CA" w:rsidRPr="001F2D2D">
        <w:t>ing factor to determine</w:t>
      </w:r>
      <w:r w:rsidR="0023321B" w:rsidRPr="001F2D2D">
        <w:t xml:space="preserve"> the level of protection of fundamental rights. </w:t>
      </w:r>
    </w:p>
    <w:p w14:paraId="319561F1" w14:textId="78A14B06" w:rsidR="00096BCF" w:rsidRPr="001F2D2D" w:rsidRDefault="00E745CA" w:rsidP="001F2D2D">
      <w:pPr>
        <w:pStyle w:val="NormalWeb"/>
        <w:spacing w:line="276" w:lineRule="auto"/>
        <w:jc w:val="both"/>
      </w:pPr>
      <w:r w:rsidRPr="001F2D2D">
        <w:t xml:space="preserve">The same is true for strategic autonomy. The principle operates at such a level of abstraction that its manifestations are context-dependent, and the principle does not provide guidance on the </w:t>
      </w:r>
      <w:r w:rsidR="003E67ED" w:rsidRPr="001F2D2D">
        <w:t xml:space="preserve">absolute or relative </w:t>
      </w:r>
      <w:r w:rsidRPr="001F2D2D">
        <w:t xml:space="preserve">value of each objective (‘how much’ to pursue it, whether to pursue one over another). </w:t>
      </w:r>
      <w:r w:rsidR="00303A57" w:rsidRPr="001F2D2D">
        <w:t xml:space="preserve">In this limited sense, one could go as far as to venture that strategic autonomy is nothing else but one of the essential characteristics (albeit, admittedly, not mentioned in Opinion 2/13) of the EU protected by the legal principle of autonomy. Strategic autonomy, in other words, protects “ways and means” for the EU to make its own foreign policy choices: on these institutional arrangements, resources (monetary, military, and industrial) it should be only for the EU legislature to have the final word, either through the adoption of internal acts, or through the negotiation of an international agreement. </w:t>
      </w:r>
      <w:r w:rsidR="00682514" w:rsidRPr="001F2D2D">
        <w:t xml:space="preserve"> </w:t>
      </w:r>
    </w:p>
    <w:p w14:paraId="5EC81FB0" w14:textId="40D09021" w:rsidR="00A14551" w:rsidRPr="001F2D2D" w:rsidRDefault="00A14551" w:rsidP="001F2D2D">
      <w:pPr>
        <w:pStyle w:val="NormalWeb"/>
        <w:numPr>
          <w:ilvl w:val="0"/>
          <w:numId w:val="3"/>
        </w:numPr>
        <w:spacing w:line="276" w:lineRule="auto"/>
        <w:jc w:val="both"/>
        <w:rPr>
          <w:b/>
          <w:bCs/>
        </w:rPr>
      </w:pPr>
      <w:r w:rsidRPr="001F2D2D">
        <w:rPr>
          <w:b/>
          <w:bCs/>
        </w:rPr>
        <w:t>The normative assessment: doctrinal debates</w:t>
      </w:r>
    </w:p>
    <w:p w14:paraId="64C7D6A4" w14:textId="28BBB400" w:rsidR="00B2061D" w:rsidRPr="001F2D2D" w:rsidRDefault="00E00776" w:rsidP="001F2D2D">
      <w:pPr>
        <w:pStyle w:val="NormalWeb"/>
        <w:spacing w:line="276" w:lineRule="auto"/>
        <w:jc w:val="both"/>
      </w:pPr>
      <w:r w:rsidRPr="001F2D2D">
        <w:t xml:space="preserve">A final set of issues is </w:t>
      </w:r>
      <w:r w:rsidR="00A14551" w:rsidRPr="001F2D2D">
        <w:t xml:space="preserve">the normative debate on the desirability of autonomy, and on the degree of tolerable or necessary autonomy for the EU. Arguments in favour of autonomy concern </w:t>
      </w:r>
      <w:r w:rsidR="000B50F7" w:rsidRPr="001F2D2D">
        <w:t>efficiency</w:t>
      </w:r>
      <w:r w:rsidR="009E5421" w:rsidRPr="001F2D2D">
        <w:t>:</w:t>
      </w:r>
      <w:r w:rsidR="000B50F7" w:rsidRPr="001F2D2D">
        <w:t xml:space="preserve"> in the protection of fundamental rights</w:t>
      </w:r>
      <w:r w:rsidR="009E5421" w:rsidRPr="001F2D2D">
        <w:t>, and of the EU more broadly</w:t>
      </w:r>
      <w:r w:rsidR="000B50F7" w:rsidRPr="001F2D2D">
        <w:t xml:space="preserve">. The EU’s distinctive system (that, the Charter), </w:t>
      </w:r>
      <w:r w:rsidR="00B2061D" w:rsidRPr="001F2D2D">
        <w:t>adds a further layer of protection in addition to national constitutions and ECHR</w:t>
      </w:r>
      <w:r w:rsidR="00880064" w:rsidRPr="001F2D2D">
        <w:t>. This is</w:t>
      </w:r>
      <w:r w:rsidR="000B50F7" w:rsidRPr="001F2D2D">
        <w:t>, in turn,</w:t>
      </w:r>
      <w:r w:rsidR="00880064" w:rsidRPr="001F2D2D">
        <w:t xml:space="preserve"> positive because</w:t>
      </w:r>
      <w:r w:rsidR="002352E7" w:rsidRPr="001F2D2D">
        <w:t xml:space="preserve"> </w:t>
      </w:r>
      <w:r w:rsidR="00880064" w:rsidRPr="001F2D2D">
        <w:t>o</w:t>
      </w:r>
      <w:r w:rsidR="002352E7" w:rsidRPr="001F2D2D">
        <w:t>ne could take the view that f</w:t>
      </w:r>
      <w:r w:rsidR="00B2061D" w:rsidRPr="001F2D2D">
        <w:t>undamental rights are best served by competition</w:t>
      </w:r>
      <w:r w:rsidR="00346B75" w:rsidRPr="001F2D2D">
        <w:t xml:space="preserve"> between court</w:t>
      </w:r>
      <w:r w:rsidR="0005240D">
        <w:t>s</w:t>
      </w:r>
      <w:r w:rsidR="00BC5852" w:rsidRPr="001F2D2D">
        <w:t xml:space="preserve"> </w:t>
      </w:r>
      <w:r w:rsidR="00BC5852" w:rsidRPr="001F2D2D">
        <w:fldChar w:fldCharType="begin"/>
      </w:r>
      <w:r w:rsidR="00346B75" w:rsidRPr="001F2D2D">
        <w:instrText xml:space="preserve"> ADDIN ZOTERO_ITEM CSL_CITATION {"citationID":"O8CYQCY4","properties":{"formattedCitation":"(Tridimas, 2018, p. 261)","plainCitation":"(Tridimas, 2018, p. 261)","noteIndex":0},"citationItems":[{"id":241,"uris":["http://zotero.org/users/local/JGwB40RD/items/39ANFF9Y"],"itemData":{"id":241,"type":"chapter","abstract":"The principle of proportionality is the most oft-invoked and, in terms of its role in constitutional adjudication, the most influential principle of EU law. The principle was developed in continental legal systems, especially in Germany and France, in the twentieth century. Even at an early stage in the development of EEC law, proportionality had already been pronounced by the Court of Justice to be a fundamental principle deriving from the rule of law and requiring in particular that ‘the individual should not have his freedom of action limited beyond the degree necessary in the public interest’.","container-title":"Oxford Principles Of European Union Law: The European Union Legal Order: Volume I","ISBN":"978-0-19-953377-0","language":"en","note":"DOI: 10.1093/oso/9780199533770.003.0010","publisher":"Oxford University Press","source":"DOI.org (Crossref)","title":"The Principle of Proportionality","URL":"https://oxford.universitypressscholarship.com/view/10.1093/oso/9780199533770.001.0001/isbn-9780199533770-book-part-10","container-author":[{"family":"Tridimas","given":"Takis"}],"author":[{"family":"Tridimas","given":"Takis"}],"accessed":{"date-parts":[["2022",4,25]]},"issued":{"date-parts":[["2018",3,1]]}},"locator":"261"}],"schema":"https://github.com/citation-style-language/schema/raw/master/csl-citation.json"} </w:instrText>
      </w:r>
      <w:r w:rsidR="00BC5852" w:rsidRPr="001F2D2D">
        <w:fldChar w:fldCharType="separate"/>
      </w:r>
      <w:r w:rsidR="00346B75" w:rsidRPr="001F2D2D">
        <w:rPr>
          <w:noProof/>
        </w:rPr>
        <w:t>(Tridimas, 2018, p. 261)</w:t>
      </w:r>
      <w:r w:rsidR="00BC5852" w:rsidRPr="001F2D2D">
        <w:fldChar w:fldCharType="end"/>
      </w:r>
      <w:r w:rsidR="00346B75" w:rsidRPr="001F2D2D">
        <w:t xml:space="preserve">, as it has occasionally been the case </w:t>
      </w:r>
      <w:r w:rsidR="00346B75" w:rsidRPr="001F2D2D">
        <w:fldChar w:fldCharType="begin"/>
      </w:r>
      <w:r w:rsidR="00346B75" w:rsidRPr="001F2D2D">
        <w:instrText xml:space="preserve"> ADDIN ZOTERO_ITEM CSL_CITATION {"citationID":"AX00LcyP","properties":{"formattedCitation":"(Lonardo, 2021, p. 708)","plainCitation":"(Lonardo, 2021, p. 708)","noteIndex":0},"citationItems":[{"id":245,"uris":["http://zotero.org/users/local/JGwB40RD/items/GCZ55XAD"],"itemData":{"id":245,"type":"article-journal","container-title":"European Constitutional Law Review","DOI":"10.1017/S1574019621000365","ISSN":"1574-0196, 1744-5515","issue":"4","journalAbbreviation":"European Constitutional Law Review","language":"en","page":"707-723","source":"DOI.org (Crossref)","title":"The Veiled Irreverence of the Italian Constitutional Court and the Contours of the Right to Silence for Natural Persons in Administrative Proceedings: Judgment of the Court (Grand Chamber) 2 February 2021, Case C-481/19, &lt;i&gt;DB&lt;/i&gt; v &lt;i&gt;Consob&lt;/i&gt; , ECLI:EU:C:2021:84","title-short":"The Veiled Irreverence of the Italian Constitutional Court and the Contours of the Right to Silence for Natural Persons in Administrative Proceedings","volume":"17","author":[{"family":"Lonardo","given":"Luigi"}],"issued":{"date-parts":[["2021",12]]}},"locator":"708"}],"schema":"https://github.com/citation-style-language/schema/raw/master/csl-citation.json"} </w:instrText>
      </w:r>
      <w:r w:rsidR="00346B75" w:rsidRPr="001F2D2D">
        <w:fldChar w:fldCharType="separate"/>
      </w:r>
      <w:r w:rsidR="00346B75" w:rsidRPr="001F2D2D">
        <w:rPr>
          <w:noProof/>
        </w:rPr>
        <w:t>(Lonardo, 2021, p. 708)</w:t>
      </w:r>
      <w:r w:rsidR="00346B75" w:rsidRPr="001F2D2D">
        <w:fldChar w:fldCharType="end"/>
      </w:r>
      <w:r w:rsidR="00346B75" w:rsidRPr="001F2D2D">
        <w:t>.</w:t>
      </w:r>
      <w:r w:rsidR="002352E7" w:rsidRPr="001F2D2D">
        <w:t xml:space="preserve"> </w:t>
      </w:r>
      <w:r w:rsidR="009E5421" w:rsidRPr="001F2D2D">
        <w:t xml:space="preserve">The Russian invasion of Ukraine gives a new urgency to the debate on strategic autonomy in defence matters </w:t>
      </w:r>
      <w:r w:rsidR="009E5421" w:rsidRPr="001F2D2D">
        <w:fldChar w:fldCharType="begin"/>
      </w:r>
      <w:r w:rsidR="009E5421" w:rsidRPr="001F2D2D">
        <w:instrText xml:space="preserve"> ADDIN ZOTERO_ITEM CSL_CITATION {"citationID":"HmHmKTZQ","properties":{"formattedCitation":"(Helwig and Sinkkonen, 2022, p. 6)","plainCitation":"(Helwig and Sinkkonen, 2022, p. 6)","noteIndex":0},"citationItems":[{"id":108,"uris":["http://zotero.org/users/local/JGwB40RD/items/7GGFP53W"],"itemData":{"id":108,"type":"article-journal","abstract":"For all the attention on ‘strategic autonomy’ in the European Union (EU)’s foreign and security policy debate, the academic reflections on the term have so far been limited. Strategic autonomy is a prominent framework through which policy-makers discuss the EU’s response to global challenges, which raises the question to what extent its study can tell us more about the development of the EU as a global actor. This article discusses the evolution of the term ‘strategic autonomy’, the current policy debates that surround it, as well as how its emergence and implications can possibly be analysed through the use of International Relations theory. It argues that strategic autonomy should not be understood as a binary choice between dependence and independence or engagement and decoupling. By accepting the ambiguity of the term and its various meanings in today’s policy debate, it is possible to explore the grey areas of the EU’s struggle to manage its external interdependencies, as well as the implications in diverse policy fields, including foreign policy, security and defence, as well as trade.","container-title":"EUROPEAN FOREIGN AFFAIRS REVIEW","language":"en","page":"20","source":"Zotero","title":"Strategic Autonomy and the EU as a Global Actor: The Evolution, Debate and Theory of a Contested Term","volume":"27","author":[{"family":"Helwig","given":"Niklas"},{"family":"Sinkkonen","given":"Ville"}],"issued":{"date-parts":[["2022"]]}},"locator":"6"}],"schema":"https://github.com/citation-style-language/schema/raw/master/csl-citation.json"} </w:instrText>
      </w:r>
      <w:r w:rsidR="009E5421" w:rsidRPr="001F2D2D">
        <w:fldChar w:fldCharType="separate"/>
      </w:r>
      <w:r w:rsidR="009E5421" w:rsidRPr="001F2D2D">
        <w:rPr>
          <w:noProof/>
        </w:rPr>
        <w:t>(Helwig and Sinkkonen, 2022, p. 6)</w:t>
      </w:r>
      <w:r w:rsidR="009E5421" w:rsidRPr="001F2D2D">
        <w:fldChar w:fldCharType="end"/>
      </w:r>
      <w:r w:rsidR="009E5421" w:rsidRPr="001F2D2D">
        <w:t>.</w:t>
      </w:r>
    </w:p>
    <w:p w14:paraId="01D44F72" w14:textId="2610863E" w:rsidR="00916655" w:rsidRPr="001F2D2D" w:rsidRDefault="00E00776" w:rsidP="001F2D2D">
      <w:pPr>
        <w:pStyle w:val="NormalWeb"/>
        <w:spacing w:line="276" w:lineRule="auto"/>
        <w:jc w:val="both"/>
      </w:pPr>
      <w:r w:rsidRPr="001F2D2D">
        <w:t>A</w:t>
      </w:r>
      <w:r w:rsidR="00A14551" w:rsidRPr="001F2D2D">
        <w:t>rguments against (too much) autonomy concern</w:t>
      </w:r>
      <w:r w:rsidR="000B50F7" w:rsidRPr="001F2D2D">
        <w:t xml:space="preserve"> the i</w:t>
      </w:r>
      <w:r w:rsidR="00916655" w:rsidRPr="001F2D2D">
        <w:t xml:space="preserve">nefficiency </w:t>
      </w:r>
      <w:r w:rsidR="000B50F7" w:rsidRPr="001F2D2D">
        <w:t>deriving from</w:t>
      </w:r>
      <w:r w:rsidR="00916655" w:rsidRPr="001F2D2D">
        <w:t xml:space="preserve"> duplication</w:t>
      </w:r>
      <w:r w:rsidR="000B50F7" w:rsidRPr="001F2D2D">
        <w:t>, as well as axiological concerns. To the first category belong considerations such as the fact that if the ECJ and the ECtHR diverge, this may create a c</w:t>
      </w:r>
      <w:r w:rsidRPr="001F2D2D">
        <w:t>onflict of allegiances</w:t>
      </w:r>
      <w:r w:rsidR="00B2061D" w:rsidRPr="001F2D2D">
        <w:t xml:space="preserve"> for national courts who may be asked to choose between two standards of fundamental rights protection</w:t>
      </w:r>
      <w:r w:rsidRPr="001F2D2D">
        <w:t xml:space="preserve"> </w:t>
      </w:r>
      <w:r w:rsidR="000B50F7" w:rsidRPr="001F2D2D">
        <w:fldChar w:fldCharType="begin"/>
      </w:r>
      <w:r w:rsidR="000B50F7" w:rsidRPr="001F2D2D">
        <w:instrText xml:space="preserve"> ADDIN ZOTERO_ITEM CSL_CITATION {"citationID":"lYizAaFI","properties":{"formattedCitation":"(Tridimas, 2018, p. 261)","plainCitation":"(Tridimas, 2018, p. 261)","noteIndex":0},"citationItems":[{"id":241,"uris":["http://zotero.org/users/local/JGwB40RD/items/39ANFF9Y"],"itemData":{"id":241,"type":"chapter","abstract":"The principle of proportionality is the most oft-invoked and, in terms of its role in constitutional adjudication, the most influential principle of EU law. The principle was developed in continental legal systems, especially in Germany and France, in the twentieth century. Even at an early stage in the development of EEC law, proportionality had already been pronounced by the Court of Justice to be a fundamental principle deriving from the rule of law and requiring in particular that ‘the individual should not have his freedom of action limited beyond the degree necessary in the public interest’.","container-title":"Oxford Principles Of European Union Law: The European Union Legal Order: Volume I","ISBN":"978-0-19-953377-0","language":"en","note":"DOI: 10.1093/oso/9780199533770.003.0010","publisher":"Oxford University Press","source":"DOI.org (Crossref)","title":"The Principle of Proportionality","URL":"https://oxford.universitypressscholarship.com/view/10.1093/oso/9780199533770.001.0001/isbn-9780199533770-book-part-10","container-author":[{"family":"Tridimas","given":"Takis"}],"author":[{"family":"Tridimas","given":"Takis"}],"accessed":{"date-parts":[["2022",4,25]]},"issued":{"date-parts":[["2018",3,1]]}},"locator":"261"}],"schema":"https://github.com/citation-style-language/schema/raw/master/csl-citation.json"} </w:instrText>
      </w:r>
      <w:r w:rsidR="000B50F7" w:rsidRPr="001F2D2D">
        <w:fldChar w:fldCharType="separate"/>
      </w:r>
      <w:r w:rsidR="000B50F7" w:rsidRPr="001F2D2D">
        <w:rPr>
          <w:noProof/>
        </w:rPr>
        <w:t>(Tridimas, 2018, p. 261)</w:t>
      </w:r>
      <w:r w:rsidR="000B50F7" w:rsidRPr="001F2D2D">
        <w:fldChar w:fldCharType="end"/>
      </w:r>
      <w:r w:rsidR="000B50F7" w:rsidRPr="001F2D2D">
        <w:t xml:space="preserve">. </w:t>
      </w:r>
      <w:r w:rsidR="008D097F" w:rsidRPr="001F2D2D">
        <w:t xml:space="preserve">Similarly, repeated voices remind that </w:t>
      </w:r>
      <w:r w:rsidR="00916655" w:rsidRPr="001F2D2D">
        <w:t>NATO already exists, Member States</w:t>
      </w:r>
      <w:r w:rsidR="000B50F7" w:rsidRPr="001F2D2D">
        <w:t xml:space="preserve"> defence equipment</w:t>
      </w:r>
      <w:r w:rsidR="00916655" w:rsidRPr="001F2D2D">
        <w:t xml:space="preserve"> already exist</w:t>
      </w:r>
      <w:r w:rsidR="000B50F7" w:rsidRPr="001F2D2D">
        <w:t>s</w:t>
      </w:r>
      <w:r w:rsidR="009E5421" w:rsidRPr="001F2D2D">
        <w:t xml:space="preserve"> </w:t>
      </w:r>
      <w:r w:rsidR="009E5421" w:rsidRPr="001F2D2D">
        <w:fldChar w:fldCharType="begin"/>
      </w:r>
      <w:r w:rsidR="009E5421" w:rsidRPr="001F2D2D">
        <w:instrText xml:space="preserve"> ADDIN ZOTERO_ITEM CSL_CITATION {"citationID":"Oj0H7jfV","properties":{"formattedCitation":"(Strau\\uc0\\u223{} and Lux, 2019)","plainCitation":"(Strauß and Lux, 2019)","noteIndex":0},"citationItems":[{"id":247,"uris":["http://zotero.org/users/local/JGwB40RD/items/4RX5H5KQ"],"itemData":{"id":247,"type":"book","abstract":"In 2017, the foreign and defence ministers of almost all EU countries decided to estab­lish a Permanent Structured Cooperation (PESCO) for European Union defence policy. The debates at think tanks in EU Member States about this initiative show that expec­tations regarding a European defence architecture diverge widely and focus on very different issues. This is especially true for Poland and France. In Poland, European defence policy is primarily understood as a form of collective defence against Russia which needs to be integrated into the NATO framework. For France, on the other hand, risks to its very own security and that of Europe come primarily from its south­ern neighbours. This is why Paris attaches particular importance to the development of military intervention capabilities. These differing preferences of Germany’s two largest and most important neighbouring countries are reflected clearly in the scien­tific analyses and comments by European think tanks on questions of European arma­ments policy and the further integration of European defence policy. (Autorenreferat)","collection-title":"SWP Journal Review","event-place":"Berlin","language":"en","note":"ISSN: 2628-0264\nDOI: https://doi.org/10.18449/2019JR01","number-of-pages":"7","publisher":"Stiftung Wissenschaft und Politik -SWP- Deutsches Institut für Internationale Politik und Sicherheit","publisher-place":"Berlin","source":"SSOAR","title":"European defence - debates in and about Poland and France: think tank publications 2017/2018","title-short":"European defence - debates in and about Poland and France","volume":"1/2019","author":[{"family":"Strauß","given":"Lena"},{"family":"Lux","given":"Nicolas"}],"issued":{"date-parts":[["2019"]]}}}],"schema":"https://github.com/citation-style-language/schema/raw/master/csl-citation.json"} </w:instrText>
      </w:r>
      <w:r w:rsidR="009E5421" w:rsidRPr="001F2D2D">
        <w:fldChar w:fldCharType="separate"/>
      </w:r>
      <w:r w:rsidR="009E5421" w:rsidRPr="001F2D2D">
        <w:rPr>
          <w:lang w:val="en-GB"/>
        </w:rPr>
        <w:t>(Strauß and Lux, 2019)</w:t>
      </w:r>
      <w:r w:rsidR="009E5421" w:rsidRPr="001F2D2D">
        <w:fldChar w:fldCharType="end"/>
      </w:r>
      <w:r w:rsidR="009E5421" w:rsidRPr="001F2D2D">
        <w:fldChar w:fldCharType="begin"/>
      </w:r>
      <w:r w:rsidR="006724AE">
        <w:instrText xml:space="preserve"> ADDIN ZOTERO_ITEM CSL_CITATION {"citationID":"NxxzKAtE","properties":{"formattedCitation":"(Kramp-Karrenbauer, 2020)","plainCitation":"(Kramp-Karrenbauer, 2020)","noteIndex":0},"citationItems":[{"id":248,"uris":["http://zotero.org/users/local/JGwB40RD/items/R5IY34DY"],"itemData":{"id":248,"type":"webpage","abstract":"No matter who is in the White House, we are in this together.","container-title":"POLITICO","language":"en-US","title":"Europe still needs America","URL":"https://www.politico.eu/article/europe-still-needs-america/","author":[{"family":"Kramp-Karrenbauer","given":"Annegret"}],"accessed":{"date-parts":[["2022",4,25]]},"issued":{"date-parts":[["2020",11,2]]}}}],"schema":"https://github.com/citation-style-language/schema/raw/master/csl-citation.json"} </w:instrText>
      </w:r>
      <w:r w:rsidR="009E5421" w:rsidRPr="001F2D2D">
        <w:fldChar w:fldCharType="separate"/>
      </w:r>
      <w:r w:rsidR="009E5421" w:rsidRPr="001F2D2D">
        <w:rPr>
          <w:noProof/>
        </w:rPr>
        <w:t>(Kramp-Karrenbauer, 2020)</w:t>
      </w:r>
      <w:r w:rsidR="009E5421" w:rsidRPr="001F2D2D">
        <w:fldChar w:fldCharType="end"/>
      </w:r>
      <w:r w:rsidR="00605F2C">
        <w:t>, and the autonomy of the EU only leads to further fragmentation of international law</w:t>
      </w:r>
      <w:r w:rsidR="00BB253C">
        <w:t xml:space="preserve"> </w:t>
      </w:r>
      <w:r w:rsidR="00BB253C">
        <w:fldChar w:fldCharType="begin"/>
      </w:r>
      <w:r w:rsidR="00BB253C">
        <w:instrText xml:space="preserve"> ADDIN ZOTERO_ITEM CSL_CITATION {"citationID":"COrFqbLO","properties":{"formattedCitation":"(Odermatt, 2021, p. 14)","plainCitation":"(Odermatt, 2021, p. 14)","noteIndex":0},"citationItems":[{"id":263,"uris":["http://zotero.org/users/local/JGwB40RD/items/JC3T3R8N"],"itemData":{"id":263,"type":"book","abstract":"The European Union plays a significant role in international affairs. International Law and the European Union examines the impact this has had on public international law by integrating perspectives from both EU law and international law. Its analysis focuses on fields of public international law where the EU has had an influence, including customary international law, the law of treaties, international organizations, international dispute settlement, and international responsibility. International Law and the European Union shows how the EU has had a subtle but significant impact on the development of international law and how the international legal order has developed and adjusted to accommodate the EU as a distinct legal actor. In doing so, it contributes to our understanding of how international law addresses legal subjects other than States.","edition":"1","ISBN":"978-1-108-89570-5","note":"DOI: 10.1017/9781108895705","publisher":"Cambridge University Press","source":"DOI.org (Crossref)","title":"International Law and the European Union","URL":"https://www.cambridge.org/core/product/identifier/9781108895705/type/book","author":[{"family":"Odermatt","given":"Jed"}],"accessed":{"date-parts":[["2022",5,5]]},"issued":{"date-parts":[["2021",10,21]]}},"locator":"14"}],"schema":"https://github.com/citation-style-language/schema/raw/master/csl-citation.json"} </w:instrText>
      </w:r>
      <w:r w:rsidR="00BB253C">
        <w:fldChar w:fldCharType="separate"/>
      </w:r>
      <w:r w:rsidR="00BB253C">
        <w:rPr>
          <w:noProof/>
        </w:rPr>
        <w:t>(Odermatt, 2021, p. 14)</w:t>
      </w:r>
      <w:r w:rsidR="00BB253C">
        <w:fldChar w:fldCharType="end"/>
      </w:r>
      <w:r w:rsidR="00BB253C">
        <w:t xml:space="preserve"> and needless duplications of collective security regimes. </w:t>
      </w:r>
    </w:p>
    <w:p w14:paraId="68BD173D" w14:textId="3F080BE2" w:rsidR="00032A1A" w:rsidRPr="001F2D2D" w:rsidRDefault="00916655" w:rsidP="001F2D2D">
      <w:pPr>
        <w:pStyle w:val="NormalWeb"/>
        <w:spacing w:line="276" w:lineRule="auto"/>
        <w:jc w:val="both"/>
      </w:pPr>
      <w:r w:rsidRPr="001F2D2D">
        <w:t>Axiological concerns</w:t>
      </w:r>
      <w:r w:rsidR="009E5421" w:rsidRPr="001F2D2D">
        <w:t xml:space="preserve"> derive from the fact that autonomy j</w:t>
      </w:r>
      <w:r w:rsidR="00032A1A" w:rsidRPr="001F2D2D">
        <w:t>ustifies selective engagement with international law</w:t>
      </w:r>
      <w:r w:rsidR="00E43419" w:rsidRPr="001F2D2D">
        <w:t xml:space="preserve"> </w:t>
      </w:r>
      <w:r w:rsidR="002352E7" w:rsidRPr="001F2D2D">
        <w:fldChar w:fldCharType="begin"/>
      </w:r>
      <w:r w:rsidR="002352E7" w:rsidRPr="001F2D2D">
        <w:instrText xml:space="preserve"> ADDIN ZOTERO_ITEM CSL_CITATION {"citationID":"JL3aLR1A","properties":{"formattedCitation":"(Kassoti, 2019)","plainCitation":"(Kassoti, 2019)","noteIndex":0},"citationItems":[{"id":242,"uris":["http://zotero.org/users/local/JGwB40RD/items/6VZU2D4X"],"itemData":{"id":242,"type":"article-journal","abstract":"View The ECJ and the art of treaty interpretation:&lt;i&gt; Western Sahara Campaign UK&lt;/i&gt; by Eva Kassoti - Common Market Law Review","container-title":"Common Market Law Review","issue":"1","language":"en","source":"kluwerlawonline.com","title":"The ECJ and the art of treaty interpretation:&lt;i&gt; Western Sahara Campaign UK&lt;/i&gt;","title-short":"The ECJ and the art of treaty interpretation","URL":"https://kluwerlawonline.com/journalarticle/Common+Market+Law+Review/56.1/COLA2019009","volume":"56","author":[{"family":"Kassoti","given":"Eva"}],"accessed":{"date-parts":[["2022",4,25]]},"issued":{"date-parts":[["2019",2,1]]}}}],"schema":"https://github.com/citation-style-language/schema/raw/master/csl-citation.json"} </w:instrText>
      </w:r>
      <w:r w:rsidR="002352E7" w:rsidRPr="001F2D2D">
        <w:fldChar w:fldCharType="separate"/>
      </w:r>
      <w:r w:rsidR="002352E7" w:rsidRPr="001F2D2D">
        <w:rPr>
          <w:noProof/>
        </w:rPr>
        <w:t>(Kassoti, 2019)</w:t>
      </w:r>
      <w:r w:rsidR="002352E7" w:rsidRPr="001F2D2D">
        <w:fldChar w:fldCharType="end"/>
      </w:r>
      <w:r w:rsidR="009E5421" w:rsidRPr="001F2D2D">
        <w:t>. It is, for example, unclear why and when the ECJ relies on international law</w:t>
      </w:r>
      <w:r w:rsidR="00227EE3" w:rsidRPr="001F2D2D">
        <w:t>, including principles such as self-determination. Further, a</w:t>
      </w:r>
      <w:r w:rsidR="00346B75" w:rsidRPr="001F2D2D">
        <w:t xml:space="preserve">s a matter of fact, there has not been more protection of fundamental rights </w:t>
      </w:r>
      <w:r w:rsidR="00346B75" w:rsidRPr="001F2D2D">
        <w:fldChar w:fldCharType="begin"/>
      </w:r>
      <w:r w:rsidR="00346B75" w:rsidRPr="001F2D2D">
        <w:instrText xml:space="preserve"> ADDIN ZOTERO_ITEM CSL_CITATION {"citationID":"CNHttjJo","properties":{"formattedCitation":"(Tridimas, 2018, p. 261 providing the examples of N and Opinion 2/13; Spaventa, 2015, p. 36 providing examples of cases in which the Court has not analysed the compatibility of national rules falling within the Treaty with the Charter)","plainCitation":"(Tridimas, 2018, p. 261 providing the examples of N and Opinion 2/13; Spaventa, 2015, p. 36 providing examples of cases in which the Court has not analysed the compatibility of national rules falling within the Treaty with the Charter)","noteIndex":0},"citationItems":[{"id":241,"uris":["http://zotero.org/users/local/JGwB40RD/items/39ANFF9Y"],"itemData":{"id":241,"type":"chapter","abstract":"The principle of proportionality is the most oft-invoked and, in terms of its role in constitutional adjudication, the most influential principle of EU law. The principle was developed in continental legal systems, especially in Germany and France, in the twentieth century. Even at an early stage in the development of EEC law, proportionality had already been pronounced by the Court of Justice to be a fundamental principle deriving from the rule of law and requiring in particular that ‘the individual should not have his freedom of action limited beyond the degree necessary in the public interest’.","container-title":"Oxford Principles Of European Union Law: The European Union Legal Order: Volume I","ISBN":"978-0-19-953377-0","language":"en","note":"DOI: 10.1093/oso/9780199533770.003.0010","publisher":"Oxford University Press","source":"DOI.org (Crossref)","title":"The Principle of Proportionality","URL":"https://oxford.universitypressscholarship.com/view/10.1093/oso/9780199533770.001.0001/isbn-9780199533770-book-part-10","container-author":[{"family":"Tridimas","given":"Takis"}],"author":[{"family":"Tridimas","given":"Takis"}],"accessed":{"date-parts":[["2022",4,25]]},"issued":{"date-parts":[["2018",3,1]]}},"locator":"261","suffix":"providing the examples of N and Opinion 2/13"},{"id":223,"uris":["http://zotero.org/users/local/JGwB40RD/items/Y59LDLVL"],"itemData":{"id":223,"type":"article-journal","abstract":"In December 2014 the Court of Justice of the European Union found, in Opinion 2/13, that the Draft Agreement for the EU accession to the ECHR was not compatible with the Treaties; unfortunately, some of the grounds relied upon by the Court will be difficult to remedy in a new agreement, even should the other parties to the ECHR be willing to negotiate a new agreement. This contribution recalls the reasons why accession was deemed necessary, and engages in a critical analysis of the Court's ruling. In particular, it takes issue with the Court's approach to justice and home affairs, where the Court would like the accession agreement to somehow relieve the Member States of some of their ECHR obligation when giving effect to legislation based on ‘mutual trust’. The article then suggests that the three political institutions should simply declare that they consider themselves bound by the ECHR and that they will act without delay when and if the European Court of Human Rights should find that a piece of Union law is incompatible with the Convention.","container-title":"Maastricht Journal of European and Comparative Law","DOI":"10.1177/1023263X1502200103","ISSN":"1023-263X, 2399-5548","issue":"1","journalAbbreviation":"Maastricht Journal of European and Comparative Law","language":"en","page":"35-56","source":"DOI.org (Crossref)","title":"A Very Fearful Court?: The Protection of Fundamental Rights in the European Union after Opinion 2/13","title-short":"A Very Fearful Court?","volume":"22","author":[{"family":"Spaventa","given":"Eleanor"}],"issued":{"date-parts":[["2015",2]]}},"locator":"36","suffix":"providing examples of cases in which the Court has not analysed the compatibility of national rules falling within the Treaty with the Charter"}],"schema":"https://github.com/citation-style-language/schema/raw/master/csl-citation.json"} </w:instrText>
      </w:r>
      <w:r w:rsidR="00346B75" w:rsidRPr="001F2D2D">
        <w:fldChar w:fldCharType="separate"/>
      </w:r>
      <w:r w:rsidR="00346B75" w:rsidRPr="001F2D2D">
        <w:rPr>
          <w:noProof/>
        </w:rPr>
        <w:t>(Tridimas, 2018, p. 261 providing the examples of N and Opinion 2/13; Spaventa, 2015, p. 36 providing examples of cases in which the Court has not analysed the compatibility of national rules falling within the Treaty with the Charter)</w:t>
      </w:r>
      <w:r w:rsidR="00346B75" w:rsidRPr="001F2D2D">
        <w:fldChar w:fldCharType="end"/>
      </w:r>
    </w:p>
    <w:p w14:paraId="16FB5C5D" w14:textId="2297C453" w:rsidR="00A14551" w:rsidRPr="001F2D2D" w:rsidRDefault="00A14551" w:rsidP="001F2D2D">
      <w:pPr>
        <w:pStyle w:val="NormalWeb"/>
        <w:spacing w:line="276" w:lineRule="auto"/>
        <w:jc w:val="both"/>
      </w:pPr>
      <w:r w:rsidRPr="001F2D2D">
        <w:lastRenderedPageBreak/>
        <w:t>This is not a question on which this article takes a position. It is argued here that views on this matter do not depend on technicalities, but rather on political views</w:t>
      </w:r>
      <w:r w:rsidR="0005240D">
        <w:t xml:space="preserve"> on the role of the EU (this is true for legal autonomy as well)</w:t>
      </w:r>
      <w:r w:rsidRPr="001F2D2D">
        <w:t xml:space="preserve">. The technicalities are open, as the analysis above tried to show, to a spectrum of reasonable interpretations. </w:t>
      </w:r>
    </w:p>
    <w:p w14:paraId="1C361D2E" w14:textId="77777777" w:rsidR="00A14551" w:rsidRPr="001F2D2D" w:rsidRDefault="00A14551" w:rsidP="001F2D2D">
      <w:pPr>
        <w:pStyle w:val="NormalWeb"/>
        <w:spacing w:line="276" w:lineRule="auto"/>
        <w:jc w:val="both"/>
      </w:pPr>
    </w:p>
    <w:p w14:paraId="555082B0" w14:textId="54CEFEE2" w:rsidR="005E430D" w:rsidRPr="001F2D2D" w:rsidRDefault="005E430D" w:rsidP="001F2D2D">
      <w:pPr>
        <w:pStyle w:val="NormalWeb"/>
        <w:numPr>
          <w:ilvl w:val="0"/>
          <w:numId w:val="3"/>
        </w:numPr>
        <w:shd w:val="clear" w:color="auto" w:fill="FFFFFF"/>
        <w:spacing w:line="276" w:lineRule="auto"/>
        <w:jc w:val="both"/>
        <w:rPr>
          <w:b/>
          <w:bCs/>
          <w:lang w:val="en-GB"/>
        </w:rPr>
      </w:pPr>
      <w:r w:rsidRPr="001F2D2D">
        <w:rPr>
          <w:b/>
          <w:bCs/>
          <w:lang w:val="en-GB"/>
        </w:rPr>
        <w:t>Conclusion</w:t>
      </w:r>
    </w:p>
    <w:p w14:paraId="541EE801" w14:textId="1532357A" w:rsidR="00E00776" w:rsidRPr="001F2D2D" w:rsidRDefault="00E00776" w:rsidP="001F2D2D">
      <w:pPr>
        <w:pStyle w:val="NormalWeb"/>
        <w:shd w:val="clear" w:color="auto" w:fill="FFFFFF"/>
        <w:spacing w:line="276" w:lineRule="auto"/>
        <w:jc w:val="both"/>
      </w:pPr>
      <w:r w:rsidRPr="001F2D2D">
        <w:t xml:space="preserve">The question moving the inquiry was what relationship exists between the legal principle of autonomy as expressed in the case law of the Court, and the notion of strategic autonomy featuring in other EU official documents. </w:t>
      </w:r>
    </w:p>
    <w:p w14:paraId="73BEBA7C" w14:textId="51E4DDD4" w:rsidR="002769A0" w:rsidRPr="001F2D2D" w:rsidRDefault="002769A0" w:rsidP="001F2D2D">
      <w:pPr>
        <w:pStyle w:val="NormalWeb"/>
        <w:shd w:val="clear" w:color="auto" w:fill="FFFFFF"/>
        <w:spacing w:line="276" w:lineRule="auto"/>
        <w:jc w:val="both"/>
      </w:pPr>
      <w:r w:rsidRPr="001F2D2D">
        <w:t xml:space="preserve">Legal </w:t>
      </w:r>
      <w:r w:rsidR="00A22EB9" w:rsidRPr="001F2D2D">
        <w:t xml:space="preserve">and strategic autonomy can both be understood in a negative fashion (EU law is not international law; and EU should be able to carry out action outside the NATO framework, without US approval) and in a positive fashion (the EU has certain core characteristics, including certain institutional arrangements, values, norms, and constitutional objectives).  </w:t>
      </w:r>
    </w:p>
    <w:p w14:paraId="423CB15E" w14:textId="682C88A1" w:rsidR="00A14551" w:rsidRPr="001F2D2D" w:rsidRDefault="002769A0" w:rsidP="001F2D2D">
      <w:pPr>
        <w:pStyle w:val="NormalWeb"/>
        <w:shd w:val="clear" w:color="auto" w:fill="FFFFFF"/>
        <w:spacing w:line="276" w:lineRule="auto"/>
        <w:jc w:val="both"/>
      </w:pPr>
      <w:r w:rsidRPr="001F2D2D">
        <w:t xml:space="preserve">They have in common that they offer a vision of </w:t>
      </w:r>
      <w:r w:rsidR="001A0058">
        <w:t>‘</w:t>
      </w:r>
      <w:r w:rsidRPr="001F2D2D">
        <w:t>conditional openness</w:t>
      </w:r>
      <w:r w:rsidR="001A0058">
        <w:t>’</w:t>
      </w:r>
      <w:r w:rsidRPr="001F2D2D">
        <w:t xml:space="preserve"> of the EU (and its legal system) to the world (and international law), provided that essential characteristics are safeguarded and enabled. In this sense, autonomy is not merely procedural but gives </w:t>
      </w:r>
      <w:r w:rsidRPr="001F2D2D">
        <w:rPr>
          <w:i/>
          <w:iCs/>
        </w:rPr>
        <w:t>some</w:t>
      </w:r>
      <w:r w:rsidRPr="001F2D2D">
        <w:t xml:space="preserve"> indication of substance: some principles the EU should pursue (self-determination and other liberal internationalist norms), fundamental values including the protection of fundamental rights and the rule of law.</w:t>
      </w:r>
      <w:r w:rsidR="00E00776" w:rsidRPr="001F2D2D">
        <w:t xml:space="preserve"> For this reason, it may be possible to conceptualise the fact that EU possesses </w:t>
      </w:r>
      <w:r w:rsidR="00E00776" w:rsidRPr="001F2D2D">
        <w:rPr>
          <w:i/>
          <w:iCs/>
        </w:rPr>
        <w:t>strategic</w:t>
      </w:r>
      <w:r w:rsidR="00E00776" w:rsidRPr="001F2D2D">
        <w:t xml:space="preserve"> autonomy as one of the core characteristics of the EU protected by the </w:t>
      </w:r>
      <w:r w:rsidR="00E00776" w:rsidRPr="001F2D2D">
        <w:rPr>
          <w:i/>
          <w:iCs/>
        </w:rPr>
        <w:t>legal</w:t>
      </w:r>
      <w:r w:rsidR="00E00776" w:rsidRPr="001F2D2D">
        <w:t xml:space="preserve"> principle of autonomy. </w:t>
      </w:r>
    </w:p>
    <w:p w14:paraId="4F0A212C" w14:textId="77777777" w:rsidR="00A14551" w:rsidRPr="001F2D2D" w:rsidRDefault="00A14551" w:rsidP="001F2D2D">
      <w:pPr>
        <w:pStyle w:val="NormalWeb"/>
        <w:shd w:val="clear" w:color="auto" w:fill="FFFFFF"/>
        <w:spacing w:line="276" w:lineRule="auto"/>
        <w:jc w:val="both"/>
      </w:pPr>
      <w:r w:rsidRPr="001F2D2D">
        <w:t>The legal principle of autonomy and strategic autonomy also have in common conceptual limits. The article</w:t>
      </w:r>
      <w:r w:rsidR="008465A5" w:rsidRPr="001F2D2D">
        <w:t xml:space="preserve"> has </w:t>
      </w:r>
      <w:r w:rsidRPr="001F2D2D">
        <w:t>highlighted in particular the</w:t>
      </w:r>
      <w:r w:rsidR="008465A5" w:rsidRPr="001F2D2D">
        <w:t xml:space="preserve"> conceptually difficulties of the ‘conditional openness’</w:t>
      </w:r>
      <w:r w:rsidRPr="001F2D2D">
        <w:t xml:space="preserve"> model</w:t>
      </w:r>
      <w:r w:rsidR="008465A5" w:rsidRPr="001F2D2D">
        <w:t xml:space="preserve">: the ranking of EU objectives, and the determination of the level of protection. These cannot be captured by strategic thinking, and are left to the democratic process of the EU legislature. </w:t>
      </w:r>
    </w:p>
    <w:p w14:paraId="05E20B36" w14:textId="5384DC71" w:rsidR="005E430D" w:rsidRPr="001F2D2D" w:rsidRDefault="00A14551" w:rsidP="001F2D2D">
      <w:pPr>
        <w:pStyle w:val="NormalWeb"/>
        <w:shd w:val="clear" w:color="auto" w:fill="FFFFFF"/>
        <w:spacing w:line="276" w:lineRule="auto"/>
        <w:jc w:val="both"/>
      </w:pPr>
      <w:r w:rsidRPr="001F2D2D">
        <w:t>The article also considered a third issue:</w:t>
      </w:r>
      <w:r w:rsidR="00A22EB9" w:rsidRPr="001F2D2D">
        <w:t xml:space="preserve"> the normative question on whether there should be autonomy in the first place, or of how much autonomy is tolerable, desirable, or necessary</w:t>
      </w:r>
      <w:r w:rsidR="00540D88" w:rsidRPr="001F2D2D">
        <w:t xml:space="preserve">: on this point, obviously, </w:t>
      </w:r>
      <w:r w:rsidR="00E614C0" w:rsidRPr="001F2D2D">
        <w:t xml:space="preserve">the differences of views </w:t>
      </w:r>
      <w:r w:rsidR="00540D88" w:rsidRPr="001F2D2D">
        <w:t>‘are  differences  in  starting  position’</w:t>
      </w:r>
      <w:r w:rsidR="00E614C0" w:rsidRPr="001F2D2D">
        <w:t xml:space="preserve"> </w:t>
      </w:r>
      <w:r w:rsidR="00E614C0" w:rsidRPr="001F2D2D">
        <w:fldChar w:fldCharType="begin"/>
      </w:r>
      <w:r w:rsidR="00E614C0" w:rsidRPr="001F2D2D">
        <w:instrText xml:space="preserve"> ADDIN ZOTERO_ITEM CSL_CITATION {"citationID":"TjkGjLfm","properties":{"formattedCitation":"(Klabbers and Koutrakos, 2019, p. 2)","plainCitation":"(Klabbers and Koutrakos, 2019, p. 2)","noteIndex":0},"citationItems":[{"id":232,"uris":["http://zotero.org/users/local/JGwB40RD/items/HWAMTJP6"],"itemData":{"id":232,"type":"article-journal","container-title":"Nordic Journal of International Law","DOI":"10.1163/15718107-08810001","ISSN":"0902-7351, 1571-8107","issue":"1","journalAbbreviation":"Nord. J. Int. Law","page":"1-8","source":"DOI.org (Crossref)","title":"Introduction: An Anatomy of Autonomy: Guest Editors","title-short":"Introduction","volume":"88","author":[{"family":"Klabbers","given":"Jan"},{"family":"Koutrakos","given":"Panos"}],"issued":{"date-parts":[["2019",3,11]]}},"locator":"2"}],"schema":"https://github.com/citation-style-language/schema/raw/master/csl-citation.json"} </w:instrText>
      </w:r>
      <w:r w:rsidR="00E614C0" w:rsidRPr="001F2D2D">
        <w:fldChar w:fldCharType="separate"/>
      </w:r>
      <w:r w:rsidR="00E614C0" w:rsidRPr="001F2D2D">
        <w:rPr>
          <w:noProof/>
        </w:rPr>
        <w:t>(Klabbers and Koutrakos, 2019, p. 2)</w:t>
      </w:r>
      <w:r w:rsidR="00E614C0" w:rsidRPr="001F2D2D">
        <w:fldChar w:fldCharType="end"/>
      </w:r>
      <w:r w:rsidR="00E614C0" w:rsidRPr="001F2D2D">
        <w:t>.</w:t>
      </w:r>
    </w:p>
    <w:p w14:paraId="62F9BF26" w14:textId="3E6BD351" w:rsidR="00E6188A" w:rsidRPr="001F2D2D" w:rsidRDefault="00E6188A" w:rsidP="001F2D2D">
      <w:pPr>
        <w:pStyle w:val="Bibliography"/>
        <w:numPr>
          <w:ilvl w:val="0"/>
          <w:numId w:val="3"/>
        </w:numPr>
        <w:spacing w:line="276" w:lineRule="auto"/>
        <w:jc w:val="both"/>
        <w:rPr>
          <w:rFonts w:ascii="Times New Roman" w:hAnsi="Times New Roman" w:cs="Times New Roman"/>
          <w:b/>
          <w:bCs/>
        </w:rPr>
      </w:pPr>
      <w:r w:rsidRPr="001F2D2D">
        <w:rPr>
          <w:rFonts w:ascii="Times New Roman" w:hAnsi="Times New Roman" w:cs="Times New Roman"/>
          <w:b/>
          <w:bCs/>
        </w:rPr>
        <w:t>Bibliography</w:t>
      </w:r>
    </w:p>
    <w:p w14:paraId="66DC50C1" w14:textId="77777777" w:rsidR="00250F2B" w:rsidRPr="00250F2B" w:rsidRDefault="00E6188A" w:rsidP="00250F2B">
      <w:pPr>
        <w:pStyle w:val="Bibliography"/>
        <w:rPr>
          <w:rFonts w:ascii="Times New Roman" w:hAnsi="Times New Roman" w:cs="Times New Roman"/>
          <w:lang w:val="en-GB"/>
        </w:rPr>
      </w:pPr>
      <w:r w:rsidRPr="001F2D2D">
        <w:fldChar w:fldCharType="begin"/>
      </w:r>
      <w:r w:rsidRPr="001F2D2D">
        <w:instrText xml:space="preserve"> ADDIN ZOTERO_BIBL {"uncited":[],"omitted":[],"custom":[]} CSL_BIBLIOGRAPHY </w:instrText>
      </w:r>
      <w:r w:rsidRPr="001F2D2D">
        <w:fldChar w:fldCharType="separate"/>
      </w:r>
      <w:r w:rsidR="00250F2B" w:rsidRPr="00250F2B">
        <w:rPr>
          <w:rFonts w:ascii="Times New Roman" w:hAnsi="Times New Roman" w:cs="Times New Roman"/>
          <w:lang w:val="en-GB"/>
        </w:rPr>
        <w:t>Borrell, J. (2020) ‘Why European Strategic Autonomy Matters’, EEAS Website.</w:t>
      </w:r>
    </w:p>
    <w:p w14:paraId="2D12EEAE" w14:textId="77777777" w:rsidR="00250F2B" w:rsidRPr="00250F2B" w:rsidRDefault="00250F2B" w:rsidP="00250F2B">
      <w:pPr>
        <w:pStyle w:val="Bibliography"/>
        <w:rPr>
          <w:rFonts w:ascii="Times New Roman" w:hAnsi="Times New Roman" w:cs="Times New Roman"/>
          <w:lang w:val="en-GB"/>
        </w:rPr>
      </w:pPr>
      <w:r w:rsidRPr="00250F2B">
        <w:rPr>
          <w:rFonts w:ascii="Times New Roman" w:hAnsi="Times New Roman" w:cs="Times New Roman"/>
          <w:lang w:val="en-GB"/>
        </w:rPr>
        <w:t xml:space="preserve">Cannizzaro, E. (2021) ‘The Value of the EU International Values’. In </w:t>
      </w:r>
      <w:proofErr w:type="spellStart"/>
      <w:r w:rsidRPr="00250F2B">
        <w:rPr>
          <w:rFonts w:ascii="Times New Roman" w:hAnsi="Times New Roman" w:cs="Times New Roman"/>
          <w:lang w:val="en-GB"/>
        </w:rPr>
        <w:t>Douma</w:t>
      </w:r>
      <w:proofErr w:type="spellEnd"/>
      <w:r w:rsidRPr="00250F2B">
        <w:rPr>
          <w:rFonts w:ascii="Times New Roman" w:hAnsi="Times New Roman" w:cs="Times New Roman"/>
          <w:lang w:val="en-GB"/>
        </w:rPr>
        <w:t xml:space="preserve">, W. Th., </w:t>
      </w:r>
      <w:proofErr w:type="spellStart"/>
      <w:r w:rsidRPr="00250F2B">
        <w:rPr>
          <w:rFonts w:ascii="Times New Roman" w:hAnsi="Times New Roman" w:cs="Times New Roman"/>
          <w:lang w:val="en-GB"/>
        </w:rPr>
        <w:t>Eckes</w:t>
      </w:r>
      <w:proofErr w:type="spellEnd"/>
      <w:r w:rsidRPr="00250F2B">
        <w:rPr>
          <w:rFonts w:ascii="Times New Roman" w:hAnsi="Times New Roman" w:cs="Times New Roman"/>
          <w:lang w:val="en-GB"/>
        </w:rPr>
        <w:t xml:space="preserve">, C., Van </w:t>
      </w:r>
      <w:proofErr w:type="spellStart"/>
      <w:r w:rsidRPr="00250F2B">
        <w:rPr>
          <w:rFonts w:ascii="Times New Roman" w:hAnsi="Times New Roman" w:cs="Times New Roman"/>
          <w:lang w:val="en-GB"/>
        </w:rPr>
        <w:t>Elsuwege</w:t>
      </w:r>
      <w:proofErr w:type="spellEnd"/>
      <w:r w:rsidRPr="00250F2B">
        <w:rPr>
          <w:rFonts w:ascii="Times New Roman" w:hAnsi="Times New Roman" w:cs="Times New Roman"/>
          <w:lang w:val="en-GB"/>
        </w:rPr>
        <w:t xml:space="preserve">, P., </w:t>
      </w:r>
      <w:proofErr w:type="spellStart"/>
      <w:r w:rsidRPr="00250F2B">
        <w:rPr>
          <w:rFonts w:ascii="Times New Roman" w:hAnsi="Times New Roman" w:cs="Times New Roman"/>
          <w:lang w:val="en-GB"/>
        </w:rPr>
        <w:t>Kassoti</w:t>
      </w:r>
      <w:proofErr w:type="spellEnd"/>
      <w:r w:rsidRPr="00250F2B">
        <w:rPr>
          <w:rFonts w:ascii="Times New Roman" w:hAnsi="Times New Roman" w:cs="Times New Roman"/>
          <w:lang w:val="en-GB"/>
        </w:rPr>
        <w:t xml:space="preserve">, E., Ott, A., and Wessel, R. A. (eds) </w:t>
      </w:r>
      <w:r w:rsidRPr="00250F2B">
        <w:rPr>
          <w:rFonts w:ascii="Times New Roman" w:hAnsi="Times New Roman" w:cs="Times New Roman"/>
          <w:i/>
          <w:iCs/>
          <w:lang w:val="en-GB"/>
        </w:rPr>
        <w:t>The Evolving Nature of EU External Relations Law</w:t>
      </w:r>
      <w:r w:rsidRPr="00250F2B">
        <w:rPr>
          <w:rFonts w:ascii="Times New Roman" w:hAnsi="Times New Roman" w:cs="Times New Roman"/>
          <w:lang w:val="en-GB"/>
        </w:rPr>
        <w:t xml:space="preserve"> (The Hague: T.M.C. Asser Press), pp. 3–18.</w:t>
      </w:r>
    </w:p>
    <w:p w14:paraId="4A5B58A2"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lastRenderedPageBreak/>
        <w:t>Cottey</w:t>
      </w:r>
      <w:proofErr w:type="spellEnd"/>
      <w:r w:rsidRPr="00250F2B">
        <w:rPr>
          <w:rFonts w:ascii="Times New Roman" w:hAnsi="Times New Roman" w:cs="Times New Roman"/>
          <w:lang w:val="en-GB"/>
        </w:rPr>
        <w:t>, A. (2020) ‘</w:t>
      </w:r>
      <w:proofErr w:type="spellStart"/>
      <w:r w:rsidRPr="00250F2B">
        <w:rPr>
          <w:rFonts w:ascii="Times New Roman" w:hAnsi="Times New Roman" w:cs="Times New Roman"/>
          <w:lang w:val="en-GB"/>
        </w:rPr>
        <w:t>Astrategic</w:t>
      </w:r>
      <w:proofErr w:type="spellEnd"/>
      <w:r w:rsidRPr="00250F2B">
        <w:rPr>
          <w:rFonts w:ascii="Times New Roman" w:hAnsi="Times New Roman" w:cs="Times New Roman"/>
          <w:lang w:val="en-GB"/>
        </w:rPr>
        <w:t xml:space="preserve"> Europe’. </w:t>
      </w:r>
      <w:r w:rsidRPr="00250F2B">
        <w:rPr>
          <w:rFonts w:ascii="Times New Roman" w:hAnsi="Times New Roman" w:cs="Times New Roman"/>
          <w:i/>
          <w:iCs/>
          <w:lang w:val="en-GB"/>
        </w:rPr>
        <w:t>JCMS: Journal of Common Market Studies</w:t>
      </w:r>
      <w:r w:rsidRPr="00250F2B">
        <w:rPr>
          <w:rFonts w:ascii="Times New Roman" w:hAnsi="Times New Roman" w:cs="Times New Roman"/>
          <w:lang w:val="en-GB"/>
        </w:rPr>
        <w:t>, Vol. 58, No. 2, pp. 276–291.</w:t>
      </w:r>
    </w:p>
    <w:p w14:paraId="2D642D5F" w14:textId="77777777" w:rsidR="00250F2B" w:rsidRPr="00250F2B" w:rsidRDefault="00250F2B" w:rsidP="00250F2B">
      <w:pPr>
        <w:pStyle w:val="Bibliography"/>
        <w:rPr>
          <w:rFonts w:ascii="Times New Roman" w:hAnsi="Times New Roman" w:cs="Times New Roman"/>
          <w:lang w:val="en-GB"/>
        </w:rPr>
      </w:pPr>
      <w:r w:rsidRPr="00250F2B">
        <w:rPr>
          <w:rFonts w:ascii="Times New Roman" w:hAnsi="Times New Roman" w:cs="Times New Roman"/>
          <w:lang w:val="en-GB"/>
        </w:rPr>
        <w:t>Council of the EU (2016) ‘Council Conclusions on Implementing the EU Global Strategy in the Area of Security and Defence’.</w:t>
      </w:r>
    </w:p>
    <w:p w14:paraId="772D6C47" w14:textId="77777777" w:rsidR="00250F2B" w:rsidRPr="00250F2B" w:rsidRDefault="00250F2B" w:rsidP="00250F2B">
      <w:pPr>
        <w:pStyle w:val="Bibliography"/>
        <w:rPr>
          <w:rFonts w:ascii="Times New Roman" w:hAnsi="Times New Roman" w:cs="Times New Roman"/>
          <w:lang w:val="en-GB"/>
        </w:rPr>
      </w:pPr>
      <w:r w:rsidRPr="00250F2B">
        <w:rPr>
          <w:rFonts w:ascii="Times New Roman" w:hAnsi="Times New Roman" w:cs="Times New Roman"/>
          <w:lang w:val="en-GB"/>
        </w:rPr>
        <w:t xml:space="preserve">de Witte, B. (2010) ‘European Union Law: How Autonomous is its Legal Order?’ </w:t>
      </w:r>
      <w:proofErr w:type="spellStart"/>
      <w:r w:rsidRPr="00250F2B">
        <w:rPr>
          <w:rFonts w:ascii="Times New Roman" w:hAnsi="Times New Roman" w:cs="Times New Roman"/>
          <w:i/>
          <w:iCs/>
          <w:lang w:val="en-GB"/>
        </w:rPr>
        <w:t>Zeitschrift</w:t>
      </w:r>
      <w:proofErr w:type="spellEnd"/>
      <w:r w:rsidRPr="00250F2B">
        <w:rPr>
          <w:rFonts w:ascii="Times New Roman" w:hAnsi="Times New Roman" w:cs="Times New Roman"/>
          <w:i/>
          <w:iCs/>
          <w:lang w:val="en-GB"/>
        </w:rPr>
        <w:t xml:space="preserve"> für </w:t>
      </w:r>
      <w:proofErr w:type="spellStart"/>
      <w:r w:rsidRPr="00250F2B">
        <w:rPr>
          <w:rFonts w:ascii="Times New Roman" w:hAnsi="Times New Roman" w:cs="Times New Roman"/>
          <w:i/>
          <w:iCs/>
          <w:lang w:val="en-GB"/>
        </w:rPr>
        <w:t>öffentliches</w:t>
      </w:r>
      <w:proofErr w:type="spellEnd"/>
      <w:r w:rsidRPr="00250F2B">
        <w:rPr>
          <w:rFonts w:ascii="Times New Roman" w:hAnsi="Times New Roman" w:cs="Times New Roman"/>
          <w:i/>
          <w:iCs/>
          <w:lang w:val="en-GB"/>
        </w:rPr>
        <w:t xml:space="preserve"> </w:t>
      </w:r>
      <w:proofErr w:type="spellStart"/>
      <w:r w:rsidRPr="00250F2B">
        <w:rPr>
          <w:rFonts w:ascii="Times New Roman" w:hAnsi="Times New Roman" w:cs="Times New Roman"/>
          <w:i/>
          <w:iCs/>
          <w:lang w:val="en-GB"/>
        </w:rPr>
        <w:t>Recht</w:t>
      </w:r>
      <w:proofErr w:type="spellEnd"/>
      <w:r w:rsidRPr="00250F2B">
        <w:rPr>
          <w:rFonts w:ascii="Times New Roman" w:hAnsi="Times New Roman" w:cs="Times New Roman"/>
          <w:lang w:val="en-GB"/>
        </w:rPr>
        <w:t>, Vol. 65, No. 1, pp. 141–155.</w:t>
      </w:r>
    </w:p>
    <w:p w14:paraId="249FC6AC" w14:textId="77777777" w:rsidR="00250F2B" w:rsidRPr="00250F2B" w:rsidRDefault="00250F2B" w:rsidP="00250F2B">
      <w:pPr>
        <w:pStyle w:val="Bibliography"/>
        <w:rPr>
          <w:rFonts w:ascii="Times New Roman" w:hAnsi="Times New Roman" w:cs="Times New Roman"/>
          <w:lang w:val="en-GB"/>
        </w:rPr>
      </w:pPr>
      <w:r w:rsidRPr="00250F2B">
        <w:rPr>
          <w:rFonts w:ascii="Times New Roman" w:hAnsi="Times New Roman" w:cs="Times New Roman"/>
          <w:lang w:val="en-GB"/>
        </w:rPr>
        <w:t xml:space="preserve">de Witte, B. (2011) ‘The European Union as an International Legal Experiment’. In de </w:t>
      </w:r>
      <w:proofErr w:type="spellStart"/>
      <w:r w:rsidRPr="00250F2B">
        <w:rPr>
          <w:rFonts w:ascii="Times New Roman" w:hAnsi="Times New Roman" w:cs="Times New Roman"/>
          <w:lang w:val="en-GB"/>
        </w:rPr>
        <w:t>Búrca</w:t>
      </w:r>
      <w:proofErr w:type="spellEnd"/>
      <w:r w:rsidRPr="00250F2B">
        <w:rPr>
          <w:rFonts w:ascii="Times New Roman" w:hAnsi="Times New Roman" w:cs="Times New Roman"/>
          <w:lang w:val="en-GB"/>
        </w:rPr>
        <w:t xml:space="preserve">, G. and </w:t>
      </w:r>
      <w:proofErr w:type="spellStart"/>
      <w:r w:rsidRPr="00250F2B">
        <w:rPr>
          <w:rFonts w:ascii="Times New Roman" w:hAnsi="Times New Roman" w:cs="Times New Roman"/>
          <w:lang w:val="en-GB"/>
        </w:rPr>
        <w:t>Weiler</w:t>
      </w:r>
      <w:proofErr w:type="spellEnd"/>
      <w:r w:rsidRPr="00250F2B">
        <w:rPr>
          <w:rFonts w:ascii="Times New Roman" w:hAnsi="Times New Roman" w:cs="Times New Roman"/>
          <w:lang w:val="en-GB"/>
        </w:rPr>
        <w:t xml:space="preserve">, J. H. H. (eds) </w:t>
      </w:r>
      <w:r w:rsidRPr="00250F2B">
        <w:rPr>
          <w:rFonts w:ascii="Times New Roman" w:hAnsi="Times New Roman" w:cs="Times New Roman"/>
          <w:i/>
          <w:iCs/>
          <w:lang w:val="en-GB"/>
        </w:rPr>
        <w:t>The Worlds of European Constitutionalism</w:t>
      </w:r>
      <w:r w:rsidRPr="00250F2B">
        <w:rPr>
          <w:rFonts w:ascii="Times New Roman" w:hAnsi="Times New Roman" w:cs="Times New Roman"/>
          <w:lang w:val="en-GB"/>
        </w:rPr>
        <w:t xml:space="preserve"> (Cambridge: Cambridge University Press), pp. 19–56.</w:t>
      </w:r>
    </w:p>
    <w:p w14:paraId="20957719" w14:textId="77777777" w:rsidR="00250F2B" w:rsidRPr="00250F2B" w:rsidRDefault="00250F2B" w:rsidP="00250F2B">
      <w:pPr>
        <w:pStyle w:val="Bibliography"/>
        <w:rPr>
          <w:rFonts w:ascii="Times New Roman" w:hAnsi="Times New Roman" w:cs="Times New Roman"/>
          <w:lang w:val="en-GB"/>
        </w:rPr>
      </w:pPr>
      <w:r w:rsidRPr="00250F2B">
        <w:rPr>
          <w:rFonts w:ascii="Times New Roman" w:hAnsi="Times New Roman" w:cs="Times New Roman"/>
          <w:lang w:val="en-GB"/>
        </w:rPr>
        <w:t xml:space="preserve">‘Editorial Comments: Keeping Europeanism at Bay? Strategic Autonomy as a Constitutional Problem’ (2022). </w:t>
      </w:r>
      <w:r w:rsidRPr="00250F2B">
        <w:rPr>
          <w:rFonts w:ascii="Times New Roman" w:hAnsi="Times New Roman" w:cs="Times New Roman"/>
          <w:i/>
          <w:iCs/>
          <w:lang w:val="en-GB"/>
        </w:rPr>
        <w:t>Common Market Law Review</w:t>
      </w:r>
      <w:r w:rsidRPr="00250F2B">
        <w:rPr>
          <w:rFonts w:ascii="Times New Roman" w:hAnsi="Times New Roman" w:cs="Times New Roman"/>
          <w:lang w:val="en-GB"/>
        </w:rPr>
        <w:t>, pp. 313–326.</w:t>
      </w:r>
    </w:p>
    <w:p w14:paraId="2106BFEB"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Eeckhout</w:t>
      </w:r>
      <w:proofErr w:type="spellEnd"/>
      <w:r w:rsidRPr="00250F2B">
        <w:rPr>
          <w:rFonts w:ascii="Times New Roman" w:hAnsi="Times New Roman" w:cs="Times New Roman"/>
          <w:lang w:val="en-GB"/>
        </w:rPr>
        <w:t xml:space="preserve">, P. (2015) ‘Opinion 2/13 on EU Accession to the ECHR and Judicial Dialogue: Autonomy or Autarky’. </w:t>
      </w:r>
      <w:r w:rsidRPr="00250F2B">
        <w:rPr>
          <w:rFonts w:ascii="Times New Roman" w:hAnsi="Times New Roman" w:cs="Times New Roman"/>
          <w:i/>
          <w:iCs/>
          <w:lang w:val="en-GB"/>
        </w:rPr>
        <w:t>Fordham International Law Journal</w:t>
      </w:r>
      <w:r w:rsidRPr="00250F2B">
        <w:rPr>
          <w:rFonts w:ascii="Times New Roman" w:hAnsi="Times New Roman" w:cs="Times New Roman"/>
          <w:lang w:val="en-GB"/>
        </w:rPr>
        <w:t>, Vol. 38, No. 4, p. 955.</w:t>
      </w:r>
    </w:p>
    <w:p w14:paraId="1AFD58F0"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Eleftheriadis</w:t>
      </w:r>
      <w:proofErr w:type="spellEnd"/>
      <w:r w:rsidRPr="00250F2B">
        <w:rPr>
          <w:rFonts w:ascii="Times New Roman" w:hAnsi="Times New Roman" w:cs="Times New Roman"/>
          <w:lang w:val="en-GB"/>
        </w:rPr>
        <w:t xml:space="preserve">, P. (2010) ‘The Structure of European Union Law’. </w:t>
      </w:r>
      <w:r w:rsidRPr="00250F2B">
        <w:rPr>
          <w:rFonts w:ascii="Times New Roman" w:hAnsi="Times New Roman" w:cs="Times New Roman"/>
          <w:i/>
          <w:iCs/>
          <w:lang w:val="en-GB"/>
        </w:rPr>
        <w:t>Cambridge Yearbook of European Legal Studies</w:t>
      </w:r>
      <w:r w:rsidRPr="00250F2B">
        <w:rPr>
          <w:rFonts w:ascii="Times New Roman" w:hAnsi="Times New Roman" w:cs="Times New Roman"/>
          <w:lang w:val="en-GB"/>
        </w:rPr>
        <w:t>, Vol. 12, pp. 121–150.</w:t>
      </w:r>
    </w:p>
    <w:p w14:paraId="0449BC5E"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Gatti</w:t>
      </w:r>
      <w:proofErr w:type="spellEnd"/>
      <w:r w:rsidRPr="00250F2B">
        <w:rPr>
          <w:rFonts w:ascii="Times New Roman" w:hAnsi="Times New Roman" w:cs="Times New Roman"/>
          <w:lang w:val="en-GB"/>
        </w:rPr>
        <w:t xml:space="preserve">, M. (2020) ‘The EU and International Investment Agreements: To Diverge Is to Converge’. In </w:t>
      </w:r>
      <w:r w:rsidRPr="00250F2B">
        <w:rPr>
          <w:rFonts w:ascii="Times New Roman" w:hAnsi="Times New Roman" w:cs="Times New Roman"/>
          <w:i/>
          <w:iCs/>
          <w:lang w:val="en-GB"/>
        </w:rPr>
        <w:t>Framing Convergence with the Global Legal Order</w:t>
      </w:r>
      <w:r w:rsidRPr="00250F2B">
        <w:rPr>
          <w:rFonts w:ascii="Times New Roman" w:hAnsi="Times New Roman" w:cs="Times New Roman"/>
          <w:lang w:val="en-GB"/>
        </w:rPr>
        <w:t xml:space="preserve"> (Hart).</w:t>
      </w:r>
    </w:p>
    <w:p w14:paraId="1BCC1913"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Grevi</w:t>
      </w:r>
      <w:proofErr w:type="spellEnd"/>
      <w:r w:rsidRPr="00250F2B">
        <w:rPr>
          <w:rFonts w:ascii="Times New Roman" w:hAnsi="Times New Roman" w:cs="Times New Roman"/>
          <w:lang w:val="en-GB"/>
        </w:rPr>
        <w:t>, G. (2019) ‘Strategic Autonomy for European Choices: The Key to Europe’s Shaping Power’.</w:t>
      </w:r>
    </w:p>
    <w:p w14:paraId="7FEAA6D8"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Helwig</w:t>
      </w:r>
      <w:proofErr w:type="spellEnd"/>
      <w:r w:rsidRPr="00250F2B">
        <w:rPr>
          <w:rFonts w:ascii="Times New Roman" w:hAnsi="Times New Roman" w:cs="Times New Roman"/>
          <w:lang w:val="en-GB"/>
        </w:rPr>
        <w:t xml:space="preserve">, N. and </w:t>
      </w:r>
      <w:proofErr w:type="spellStart"/>
      <w:r w:rsidRPr="00250F2B">
        <w:rPr>
          <w:rFonts w:ascii="Times New Roman" w:hAnsi="Times New Roman" w:cs="Times New Roman"/>
          <w:lang w:val="en-GB"/>
        </w:rPr>
        <w:t>Sinkkonen</w:t>
      </w:r>
      <w:proofErr w:type="spellEnd"/>
      <w:r w:rsidRPr="00250F2B">
        <w:rPr>
          <w:rFonts w:ascii="Times New Roman" w:hAnsi="Times New Roman" w:cs="Times New Roman"/>
          <w:lang w:val="en-GB"/>
        </w:rPr>
        <w:t xml:space="preserve">, V. (2022) ‘Strategic Autonomy and the EU as a Global Actor: The Evolution, Debate and Theory of a Contested Term’. </w:t>
      </w:r>
      <w:r w:rsidRPr="00250F2B">
        <w:rPr>
          <w:rFonts w:ascii="Times New Roman" w:hAnsi="Times New Roman" w:cs="Times New Roman"/>
          <w:i/>
          <w:iCs/>
          <w:lang w:val="en-GB"/>
        </w:rPr>
        <w:t>EUROPEAN FOREIGN AFFAIRS REVIEW</w:t>
      </w:r>
      <w:r w:rsidRPr="00250F2B">
        <w:rPr>
          <w:rFonts w:ascii="Times New Roman" w:hAnsi="Times New Roman" w:cs="Times New Roman"/>
          <w:lang w:val="en-GB"/>
        </w:rPr>
        <w:t>, Vol. 27, p. 20.</w:t>
      </w:r>
    </w:p>
    <w:p w14:paraId="680FAE78"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Howorth</w:t>
      </w:r>
      <w:proofErr w:type="spellEnd"/>
      <w:r w:rsidRPr="00250F2B">
        <w:rPr>
          <w:rFonts w:ascii="Times New Roman" w:hAnsi="Times New Roman" w:cs="Times New Roman"/>
          <w:lang w:val="en-GB"/>
        </w:rPr>
        <w:t xml:space="preserve">, J. (2018) ‘Strategic Autonomy and EU-NATO Cooperation: Threat or Opportunity for Transatlantic Defence Relations?’ </w:t>
      </w:r>
      <w:r w:rsidRPr="00250F2B">
        <w:rPr>
          <w:rFonts w:ascii="Times New Roman" w:hAnsi="Times New Roman" w:cs="Times New Roman"/>
          <w:i/>
          <w:iCs/>
          <w:lang w:val="en-GB"/>
        </w:rPr>
        <w:t>Journal of European Integration</w:t>
      </w:r>
      <w:r w:rsidRPr="00250F2B">
        <w:rPr>
          <w:rFonts w:ascii="Times New Roman" w:hAnsi="Times New Roman" w:cs="Times New Roman"/>
          <w:lang w:val="en-GB"/>
        </w:rPr>
        <w:t>, Vol. 40, No. 5, pp. 523–537.</w:t>
      </w:r>
    </w:p>
    <w:p w14:paraId="3CA51121" w14:textId="77777777" w:rsidR="00250F2B" w:rsidRPr="00250F2B" w:rsidRDefault="00250F2B" w:rsidP="00250F2B">
      <w:pPr>
        <w:pStyle w:val="Bibliography"/>
        <w:rPr>
          <w:rFonts w:ascii="Times New Roman" w:hAnsi="Times New Roman" w:cs="Times New Roman"/>
          <w:lang w:val="en-GB"/>
        </w:rPr>
      </w:pPr>
      <w:r w:rsidRPr="00250F2B">
        <w:rPr>
          <w:rFonts w:ascii="Times New Roman" w:hAnsi="Times New Roman" w:cs="Times New Roman"/>
          <w:lang w:val="en-GB"/>
        </w:rPr>
        <w:t xml:space="preserve">Juncos, A. E. (2017) ‘Resilience as the New EU Foreign Policy Paradigm: A Pragmatist Turn?’ </w:t>
      </w:r>
      <w:r w:rsidRPr="00250F2B">
        <w:rPr>
          <w:rFonts w:ascii="Times New Roman" w:hAnsi="Times New Roman" w:cs="Times New Roman"/>
          <w:i/>
          <w:iCs/>
          <w:lang w:val="en-GB"/>
        </w:rPr>
        <w:t>European Security</w:t>
      </w:r>
      <w:r w:rsidRPr="00250F2B">
        <w:rPr>
          <w:rFonts w:ascii="Times New Roman" w:hAnsi="Times New Roman" w:cs="Times New Roman"/>
          <w:lang w:val="en-GB"/>
        </w:rPr>
        <w:t>, Vol. 26, No. 1, pp. 1–18.</w:t>
      </w:r>
    </w:p>
    <w:p w14:paraId="238EE92B"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Kassoti</w:t>
      </w:r>
      <w:proofErr w:type="spellEnd"/>
      <w:r w:rsidRPr="00250F2B">
        <w:rPr>
          <w:rFonts w:ascii="Times New Roman" w:hAnsi="Times New Roman" w:cs="Times New Roman"/>
          <w:lang w:val="en-GB"/>
        </w:rPr>
        <w:t>, E. (2019) ‘The ECJ and the Art of Treaty Interpretation:</w:t>
      </w:r>
      <w:r w:rsidRPr="00250F2B">
        <w:rPr>
          <w:rFonts w:ascii="Times New Roman" w:hAnsi="Times New Roman" w:cs="Times New Roman"/>
          <w:i/>
          <w:iCs/>
          <w:lang w:val="en-GB"/>
        </w:rPr>
        <w:t xml:space="preserve"> Western Sahara Campaign UK</w:t>
      </w:r>
      <w:r w:rsidRPr="00250F2B">
        <w:rPr>
          <w:rFonts w:ascii="Times New Roman" w:hAnsi="Times New Roman" w:cs="Times New Roman"/>
          <w:lang w:val="en-GB"/>
        </w:rPr>
        <w:t xml:space="preserve">’. </w:t>
      </w:r>
      <w:r w:rsidRPr="00250F2B">
        <w:rPr>
          <w:rFonts w:ascii="Times New Roman" w:hAnsi="Times New Roman" w:cs="Times New Roman"/>
          <w:i/>
          <w:iCs/>
          <w:lang w:val="en-GB"/>
        </w:rPr>
        <w:t>Common Market Law Review</w:t>
      </w:r>
      <w:r w:rsidRPr="00250F2B">
        <w:rPr>
          <w:rFonts w:ascii="Times New Roman" w:hAnsi="Times New Roman" w:cs="Times New Roman"/>
          <w:lang w:val="en-GB"/>
        </w:rPr>
        <w:t>, Vol. 56, No. 1.</w:t>
      </w:r>
    </w:p>
    <w:p w14:paraId="3C93E9B8"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Kassoti</w:t>
      </w:r>
      <w:proofErr w:type="spellEnd"/>
      <w:r w:rsidRPr="00250F2B">
        <w:rPr>
          <w:rFonts w:ascii="Times New Roman" w:hAnsi="Times New Roman" w:cs="Times New Roman"/>
          <w:lang w:val="en-GB"/>
        </w:rPr>
        <w:t xml:space="preserve">, E. and </w:t>
      </w:r>
      <w:proofErr w:type="spellStart"/>
      <w:r w:rsidRPr="00250F2B">
        <w:rPr>
          <w:rFonts w:ascii="Times New Roman" w:hAnsi="Times New Roman" w:cs="Times New Roman"/>
          <w:lang w:val="en-GB"/>
        </w:rPr>
        <w:t>Odermatt</w:t>
      </w:r>
      <w:proofErr w:type="spellEnd"/>
      <w:r w:rsidRPr="00250F2B">
        <w:rPr>
          <w:rFonts w:ascii="Times New Roman" w:hAnsi="Times New Roman" w:cs="Times New Roman"/>
          <w:lang w:val="en-GB"/>
        </w:rPr>
        <w:t>, J. (2020) ‘The Principle of Autonomy and International Investment Arbitration: Reflections on Opinion 1/17’, QIL QDI.</w:t>
      </w:r>
    </w:p>
    <w:p w14:paraId="1179FC2E"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Kassoti</w:t>
      </w:r>
      <w:proofErr w:type="spellEnd"/>
      <w:r w:rsidRPr="00250F2B">
        <w:rPr>
          <w:rFonts w:ascii="Times New Roman" w:hAnsi="Times New Roman" w:cs="Times New Roman"/>
          <w:lang w:val="en-GB"/>
        </w:rPr>
        <w:t xml:space="preserve">, E. and Wessel, R. A. (Forthcoming) ‘The Normative Effect of Article 3(5) TEU: Observance and Development of International Law by the European Union’. In Garcia Andrade, P. (ed) </w:t>
      </w:r>
      <w:proofErr w:type="spellStart"/>
      <w:r w:rsidRPr="00250F2B">
        <w:rPr>
          <w:rFonts w:ascii="Times New Roman" w:hAnsi="Times New Roman" w:cs="Times New Roman"/>
          <w:i/>
          <w:iCs/>
          <w:lang w:val="en-GB"/>
        </w:rPr>
        <w:t>Interacciones</w:t>
      </w:r>
      <w:proofErr w:type="spellEnd"/>
      <w:r w:rsidRPr="00250F2B">
        <w:rPr>
          <w:rFonts w:ascii="Times New Roman" w:hAnsi="Times New Roman" w:cs="Times New Roman"/>
          <w:i/>
          <w:iCs/>
          <w:lang w:val="en-GB"/>
        </w:rPr>
        <w:t xml:space="preserve"> entre </w:t>
      </w:r>
      <w:proofErr w:type="spellStart"/>
      <w:r w:rsidRPr="00250F2B">
        <w:rPr>
          <w:rFonts w:ascii="Times New Roman" w:hAnsi="Times New Roman" w:cs="Times New Roman"/>
          <w:i/>
          <w:iCs/>
          <w:lang w:val="en-GB"/>
        </w:rPr>
        <w:t>el</w:t>
      </w:r>
      <w:proofErr w:type="spellEnd"/>
      <w:r w:rsidRPr="00250F2B">
        <w:rPr>
          <w:rFonts w:ascii="Times New Roman" w:hAnsi="Times New Roman" w:cs="Times New Roman"/>
          <w:i/>
          <w:iCs/>
          <w:lang w:val="en-GB"/>
        </w:rPr>
        <w:t xml:space="preserve"> </w:t>
      </w:r>
      <w:proofErr w:type="spellStart"/>
      <w:r w:rsidRPr="00250F2B">
        <w:rPr>
          <w:rFonts w:ascii="Times New Roman" w:hAnsi="Times New Roman" w:cs="Times New Roman"/>
          <w:i/>
          <w:iCs/>
          <w:lang w:val="en-GB"/>
        </w:rPr>
        <w:t>Derecho</w:t>
      </w:r>
      <w:proofErr w:type="spellEnd"/>
      <w:r w:rsidRPr="00250F2B">
        <w:rPr>
          <w:rFonts w:ascii="Times New Roman" w:hAnsi="Times New Roman" w:cs="Times New Roman"/>
          <w:i/>
          <w:iCs/>
          <w:lang w:val="en-GB"/>
        </w:rPr>
        <w:t xml:space="preserve"> de la Unión </w:t>
      </w:r>
      <w:proofErr w:type="spellStart"/>
      <w:r w:rsidRPr="00250F2B">
        <w:rPr>
          <w:rFonts w:ascii="Times New Roman" w:hAnsi="Times New Roman" w:cs="Times New Roman"/>
          <w:i/>
          <w:iCs/>
          <w:lang w:val="en-GB"/>
        </w:rPr>
        <w:t>Europea</w:t>
      </w:r>
      <w:proofErr w:type="spellEnd"/>
      <w:r w:rsidRPr="00250F2B">
        <w:rPr>
          <w:rFonts w:ascii="Times New Roman" w:hAnsi="Times New Roman" w:cs="Times New Roman"/>
          <w:i/>
          <w:iCs/>
          <w:lang w:val="en-GB"/>
        </w:rPr>
        <w:t xml:space="preserve"> y </w:t>
      </w:r>
      <w:proofErr w:type="spellStart"/>
      <w:r w:rsidRPr="00250F2B">
        <w:rPr>
          <w:rFonts w:ascii="Times New Roman" w:hAnsi="Times New Roman" w:cs="Times New Roman"/>
          <w:i/>
          <w:iCs/>
          <w:lang w:val="en-GB"/>
        </w:rPr>
        <w:t>el</w:t>
      </w:r>
      <w:proofErr w:type="spellEnd"/>
      <w:r w:rsidRPr="00250F2B">
        <w:rPr>
          <w:rFonts w:ascii="Times New Roman" w:hAnsi="Times New Roman" w:cs="Times New Roman"/>
          <w:i/>
          <w:iCs/>
          <w:lang w:val="en-GB"/>
        </w:rPr>
        <w:t xml:space="preserve"> </w:t>
      </w:r>
      <w:proofErr w:type="spellStart"/>
      <w:r w:rsidRPr="00250F2B">
        <w:rPr>
          <w:rFonts w:ascii="Times New Roman" w:hAnsi="Times New Roman" w:cs="Times New Roman"/>
          <w:i/>
          <w:iCs/>
          <w:lang w:val="en-GB"/>
        </w:rPr>
        <w:t>Derecho</w:t>
      </w:r>
      <w:proofErr w:type="spellEnd"/>
      <w:r w:rsidRPr="00250F2B">
        <w:rPr>
          <w:rFonts w:ascii="Times New Roman" w:hAnsi="Times New Roman" w:cs="Times New Roman"/>
          <w:i/>
          <w:iCs/>
          <w:lang w:val="en-GB"/>
        </w:rPr>
        <w:t xml:space="preserve"> </w:t>
      </w:r>
      <w:proofErr w:type="spellStart"/>
      <w:r w:rsidRPr="00250F2B">
        <w:rPr>
          <w:rFonts w:ascii="Times New Roman" w:hAnsi="Times New Roman" w:cs="Times New Roman"/>
          <w:i/>
          <w:iCs/>
          <w:lang w:val="en-GB"/>
        </w:rPr>
        <w:t>Internacional</w:t>
      </w:r>
      <w:proofErr w:type="spellEnd"/>
      <w:r w:rsidRPr="00250F2B">
        <w:rPr>
          <w:rFonts w:ascii="Times New Roman" w:hAnsi="Times New Roman" w:cs="Times New Roman"/>
          <w:i/>
          <w:iCs/>
          <w:lang w:val="en-GB"/>
        </w:rPr>
        <w:t xml:space="preserve"> </w:t>
      </w:r>
      <w:proofErr w:type="spellStart"/>
      <w:r w:rsidRPr="00250F2B">
        <w:rPr>
          <w:rFonts w:ascii="Times New Roman" w:hAnsi="Times New Roman" w:cs="Times New Roman"/>
          <w:i/>
          <w:iCs/>
          <w:lang w:val="en-GB"/>
        </w:rPr>
        <w:t>Público</w:t>
      </w:r>
      <w:proofErr w:type="spellEnd"/>
      <w:r w:rsidRPr="00250F2B">
        <w:rPr>
          <w:rFonts w:ascii="Times New Roman" w:hAnsi="Times New Roman" w:cs="Times New Roman"/>
          <w:lang w:val="en-GB"/>
        </w:rPr>
        <w:t xml:space="preserve"> (</w:t>
      </w:r>
      <w:proofErr w:type="spellStart"/>
      <w:r w:rsidRPr="00250F2B">
        <w:rPr>
          <w:rFonts w:ascii="Times New Roman" w:hAnsi="Times New Roman" w:cs="Times New Roman"/>
          <w:lang w:val="en-GB"/>
        </w:rPr>
        <w:t>Tirant</w:t>
      </w:r>
      <w:proofErr w:type="spellEnd"/>
      <w:r w:rsidRPr="00250F2B">
        <w:rPr>
          <w:rFonts w:ascii="Times New Roman" w:hAnsi="Times New Roman" w:cs="Times New Roman"/>
          <w:lang w:val="en-GB"/>
        </w:rPr>
        <w:t xml:space="preserve"> lo Blanch).</w:t>
      </w:r>
    </w:p>
    <w:p w14:paraId="0FCC3D5E"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Klabbers</w:t>
      </w:r>
      <w:proofErr w:type="spellEnd"/>
      <w:r w:rsidRPr="00250F2B">
        <w:rPr>
          <w:rFonts w:ascii="Times New Roman" w:hAnsi="Times New Roman" w:cs="Times New Roman"/>
          <w:lang w:val="en-GB"/>
        </w:rPr>
        <w:t xml:space="preserve">, J. and </w:t>
      </w:r>
      <w:proofErr w:type="spellStart"/>
      <w:r w:rsidRPr="00250F2B">
        <w:rPr>
          <w:rFonts w:ascii="Times New Roman" w:hAnsi="Times New Roman" w:cs="Times New Roman"/>
          <w:lang w:val="en-GB"/>
        </w:rPr>
        <w:t>Koutrakos</w:t>
      </w:r>
      <w:proofErr w:type="spellEnd"/>
      <w:r w:rsidRPr="00250F2B">
        <w:rPr>
          <w:rFonts w:ascii="Times New Roman" w:hAnsi="Times New Roman" w:cs="Times New Roman"/>
          <w:lang w:val="en-GB"/>
        </w:rPr>
        <w:t xml:space="preserve">, P. (2019) ‘Introduction: An Anatomy of Autonomy: Guest Editors’. </w:t>
      </w:r>
      <w:r w:rsidRPr="00250F2B">
        <w:rPr>
          <w:rFonts w:ascii="Times New Roman" w:hAnsi="Times New Roman" w:cs="Times New Roman"/>
          <w:i/>
          <w:iCs/>
          <w:lang w:val="en-GB"/>
        </w:rPr>
        <w:t>Nordic Journal of International Law</w:t>
      </w:r>
      <w:r w:rsidRPr="00250F2B">
        <w:rPr>
          <w:rFonts w:ascii="Times New Roman" w:hAnsi="Times New Roman" w:cs="Times New Roman"/>
          <w:lang w:val="en-GB"/>
        </w:rPr>
        <w:t>, Vol. 88, No. 1, pp. 1–8.</w:t>
      </w:r>
    </w:p>
    <w:p w14:paraId="295AEBA8"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lastRenderedPageBreak/>
        <w:t>Klamert</w:t>
      </w:r>
      <w:proofErr w:type="spellEnd"/>
      <w:r w:rsidRPr="00250F2B">
        <w:rPr>
          <w:rFonts w:ascii="Times New Roman" w:hAnsi="Times New Roman" w:cs="Times New Roman"/>
          <w:lang w:val="en-GB"/>
        </w:rPr>
        <w:t xml:space="preserve">, M. (2017) ‘The Autonomy of the EU (and of EU Law): Through the Kaleidoscope’. </w:t>
      </w:r>
      <w:r w:rsidRPr="00250F2B">
        <w:rPr>
          <w:rFonts w:ascii="Times New Roman" w:hAnsi="Times New Roman" w:cs="Times New Roman"/>
          <w:i/>
          <w:iCs/>
          <w:lang w:val="en-GB"/>
        </w:rPr>
        <w:t>European Law Review</w:t>
      </w:r>
      <w:r w:rsidRPr="00250F2B">
        <w:rPr>
          <w:rFonts w:ascii="Times New Roman" w:hAnsi="Times New Roman" w:cs="Times New Roman"/>
          <w:lang w:val="en-GB"/>
        </w:rPr>
        <w:t>, Vol. 42, No. 6, pp. 815–830.</w:t>
      </w:r>
    </w:p>
    <w:p w14:paraId="200F61D4"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Koskenniemi</w:t>
      </w:r>
      <w:proofErr w:type="spellEnd"/>
      <w:r w:rsidRPr="00250F2B">
        <w:rPr>
          <w:rFonts w:ascii="Times New Roman" w:hAnsi="Times New Roman" w:cs="Times New Roman"/>
          <w:lang w:val="en-GB"/>
        </w:rPr>
        <w:t xml:space="preserve">, M. and </w:t>
      </w:r>
      <w:proofErr w:type="spellStart"/>
      <w:r w:rsidRPr="00250F2B">
        <w:rPr>
          <w:rFonts w:ascii="Times New Roman" w:hAnsi="Times New Roman" w:cs="Times New Roman"/>
          <w:lang w:val="en-GB"/>
        </w:rPr>
        <w:t>Leino</w:t>
      </w:r>
      <w:proofErr w:type="spellEnd"/>
      <w:r w:rsidRPr="00250F2B">
        <w:rPr>
          <w:rFonts w:ascii="Times New Roman" w:hAnsi="Times New Roman" w:cs="Times New Roman"/>
          <w:lang w:val="en-GB"/>
        </w:rPr>
        <w:t xml:space="preserve">, P. (2002) ‘Fragmentation of International Law? Postmodern Anxieties’. </w:t>
      </w:r>
      <w:r w:rsidRPr="00250F2B">
        <w:rPr>
          <w:rFonts w:ascii="Times New Roman" w:hAnsi="Times New Roman" w:cs="Times New Roman"/>
          <w:i/>
          <w:iCs/>
          <w:lang w:val="en-GB"/>
        </w:rPr>
        <w:t>Leiden Journal of International Law</w:t>
      </w:r>
      <w:r w:rsidRPr="00250F2B">
        <w:rPr>
          <w:rFonts w:ascii="Times New Roman" w:hAnsi="Times New Roman" w:cs="Times New Roman"/>
          <w:lang w:val="en-GB"/>
        </w:rPr>
        <w:t>, Vol. 15, No. 3, pp. 553–579.</w:t>
      </w:r>
    </w:p>
    <w:p w14:paraId="0928B4AC"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Koutrakos</w:t>
      </w:r>
      <w:proofErr w:type="spellEnd"/>
      <w:r w:rsidRPr="00250F2B">
        <w:rPr>
          <w:rFonts w:ascii="Times New Roman" w:hAnsi="Times New Roman" w:cs="Times New Roman"/>
          <w:lang w:val="en-GB"/>
        </w:rPr>
        <w:t xml:space="preserve">, P. (2013) </w:t>
      </w:r>
      <w:r w:rsidRPr="00250F2B">
        <w:rPr>
          <w:rFonts w:ascii="Times New Roman" w:hAnsi="Times New Roman" w:cs="Times New Roman"/>
          <w:i/>
          <w:iCs/>
          <w:lang w:val="en-GB"/>
        </w:rPr>
        <w:t>The EU Common Security and Defence Policy</w:t>
      </w:r>
      <w:r w:rsidRPr="00250F2B">
        <w:rPr>
          <w:rFonts w:ascii="Times New Roman" w:hAnsi="Times New Roman" w:cs="Times New Roman"/>
          <w:lang w:val="en-GB"/>
        </w:rPr>
        <w:t xml:space="preserve"> (Oxford University Press).</w:t>
      </w:r>
    </w:p>
    <w:p w14:paraId="79A7D5DD"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Kramp-Karrenbauer</w:t>
      </w:r>
      <w:proofErr w:type="spellEnd"/>
      <w:r w:rsidRPr="00250F2B">
        <w:rPr>
          <w:rFonts w:ascii="Times New Roman" w:hAnsi="Times New Roman" w:cs="Times New Roman"/>
          <w:lang w:val="en-GB"/>
        </w:rPr>
        <w:t xml:space="preserve">, A. (2020) </w:t>
      </w:r>
      <w:r w:rsidRPr="00250F2B">
        <w:rPr>
          <w:rFonts w:ascii="Times New Roman" w:hAnsi="Times New Roman" w:cs="Times New Roman"/>
          <w:i/>
          <w:iCs/>
          <w:lang w:val="en-GB"/>
        </w:rPr>
        <w:t>Europe Still Needs America</w:t>
      </w:r>
      <w:r w:rsidRPr="00250F2B">
        <w:rPr>
          <w:rFonts w:ascii="Times New Roman" w:hAnsi="Times New Roman" w:cs="Times New Roman"/>
          <w:lang w:val="en-GB"/>
        </w:rPr>
        <w:t>, POLITICO. Available at «https://www.politico.eu/article/</w:t>
      </w:r>
      <w:proofErr w:type="spellStart"/>
      <w:r w:rsidRPr="00250F2B">
        <w:rPr>
          <w:rFonts w:ascii="Times New Roman" w:hAnsi="Times New Roman" w:cs="Times New Roman"/>
          <w:lang w:val="en-GB"/>
        </w:rPr>
        <w:t>europe</w:t>
      </w:r>
      <w:proofErr w:type="spellEnd"/>
      <w:r w:rsidRPr="00250F2B">
        <w:rPr>
          <w:rFonts w:ascii="Times New Roman" w:hAnsi="Times New Roman" w:cs="Times New Roman"/>
          <w:lang w:val="en-GB"/>
        </w:rPr>
        <w:t>-still-needs-</w:t>
      </w:r>
      <w:proofErr w:type="spellStart"/>
      <w:r w:rsidRPr="00250F2B">
        <w:rPr>
          <w:rFonts w:ascii="Times New Roman" w:hAnsi="Times New Roman" w:cs="Times New Roman"/>
          <w:lang w:val="en-GB"/>
        </w:rPr>
        <w:t>america</w:t>
      </w:r>
      <w:proofErr w:type="spellEnd"/>
      <w:r w:rsidRPr="00250F2B">
        <w:rPr>
          <w:rFonts w:ascii="Times New Roman" w:hAnsi="Times New Roman" w:cs="Times New Roman"/>
          <w:lang w:val="en-GB"/>
        </w:rPr>
        <w:t>/».</w:t>
      </w:r>
    </w:p>
    <w:p w14:paraId="36C48602"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Kübek</w:t>
      </w:r>
      <w:proofErr w:type="spellEnd"/>
      <w:r w:rsidRPr="00250F2B">
        <w:rPr>
          <w:rFonts w:ascii="Times New Roman" w:hAnsi="Times New Roman" w:cs="Times New Roman"/>
          <w:lang w:val="en-GB"/>
        </w:rPr>
        <w:t xml:space="preserve">, G. (2020) ‘Autonomy and International Investment Agreements after Opinion 1/17’. </w:t>
      </w:r>
      <w:r w:rsidRPr="00250F2B">
        <w:rPr>
          <w:rFonts w:ascii="Times New Roman" w:hAnsi="Times New Roman" w:cs="Times New Roman"/>
          <w:i/>
          <w:iCs/>
          <w:lang w:val="en-GB"/>
        </w:rPr>
        <w:t>Europe and the World: A law review</w:t>
      </w:r>
      <w:r w:rsidRPr="00250F2B">
        <w:rPr>
          <w:rFonts w:ascii="Times New Roman" w:hAnsi="Times New Roman" w:cs="Times New Roman"/>
          <w:lang w:val="en-GB"/>
        </w:rPr>
        <w:t>, Vol. 4, No. 1.</w:t>
      </w:r>
    </w:p>
    <w:p w14:paraId="2C55C4FB"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Lenaerts</w:t>
      </w:r>
      <w:proofErr w:type="spellEnd"/>
      <w:r w:rsidRPr="00250F2B">
        <w:rPr>
          <w:rFonts w:ascii="Times New Roman" w:hAnsi="Times New Roman" w:cs="Times New Roman"/>
          <w:lang w:val="en-GB"/>
        </w:rPr>
        <w:t>, K. and Gutiérrez-</w:t>
      </w:r>
      <w:proofErr w:type="spellStart"/>
      <w:r w:rsidRPr="00250F2B">
        <w:rPr>
          <w:rFonts w:ascii="Times New Roman" w:hAnsi="Times New Roman" w:cs="Times New Roman"/>
          <w:lang w:val="en-GB"/>
        </w:rPr>
        <w:t>Fons</w:t>
      </w:r>
      <w:proofErr w:type="spellEnd"/>
      <w:r w:rsidRPr="00250F2B">
        <w:rPr>
          <w:rFonts w:ascii="Times New Roman" w:hAnsi="Times New Roman" w:cs="Times New Roman"/>
          <w:lang w:val="en-GB"/>
        </w:rPr>
        <w:t xml:space="preserve">, J. A. (2018) ‘A Constitutional Perspective’. In </w:t>
      </w:r>
      <w:r w:rsidRPr="00250F2B">
        <w:rPr>
          <w:rFonts w:ascii="Times New Roman" w:hAnsi="Times New Roman" w:cs="Times New Roman"/>
          <w:i/>
          <w:iCs/>
          <w:lang w:val="en-GB"/>
        </w:rPr>
        <w:t xml:space="preserve">Oxford Principles </w:t>
      </w:r>
      <w:proofErr w:type="gramStart"/>
      <w:r w:rsidRPr="00250F2B">
        <w:rPr>
          <w:rFonts w:ascii="Times New Roman" w:hAnsi="Times New Roman" w:cs="Times New Roman"/>
          <w:i/>
          <w:iCs/>
          <w:lang w:val="en-GB"/>
        </w:rPr>
        <w:t>Of</w:t>
      </w:r>
      <w:proofErr w:type="gramEnd"/>
      <w:r w:rsidRPr="00250F2B">
        <w:rPr>
          <w:rFonts w:ascii="Times New Roman" w:hAnsi="Times New Roman" w:cs="Times New Roman"/>
          <w:i/>
          <w:iCs/>
          <w:lang w:val="en-GB"/>
        </w:rPr>
        <w:t xml:space="preserve"> European Union Law: The European Union Legal Order: Volume I</w:t>
      </w:r>
      <w:r w:rsidRPr="00250F2B">
        <w:rPr>
          <w:rFonts w:ascii="Times New Roman" w:hAnsi="Times New Roman" w:cs="Times New Roman"/>
          <w:lang w:val="en-GB"/>
        </w:rPr>
        <w:t xml:space="preserve"> (Oxford University Press).</w:t>
      </w:r>
    </w:p>
    <w:p w14:paraId="7172AB3F"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Lenaerts</w:t>
      </w:r>
      <w:proofErr w:type="spellEnd"/>
      <w:r w:rsidRPr="00250F2B">
        <w:rPr>
          <w:rFonts w:ascii="Times New Roman" w:hAnsi="Times New Roman" w:cs="Times New Roman"/>
          <w:lang w:val="en-GB"/>
        </w:rPr>
        <w:t>, K., Gutiérrez-</w:t>
      </w:r>
      <w:proofErr w:type="spellStart"/>
      <w:r w:rsidRPr="00250F2B">
        <w:rPr>
          <w:rFonts w:ascii="Times New Roman" w:hAnsi="Times New Roman" w:cs="Times New Roman"/>
          <w:lang w:val="en-GB"/>
        </w:rPr>
        <w:t>Fons</w:t>
      </w:r>
      <w:proofErr w:type="spellEnd"/>
      <w:r w:rsidRPr="00250F2B">
        <w:rPr>
          <w:rFonts w:ascii="Times New Roman" w:hAnsi="Times New Roman" w:cs="Times New Roman"/>
          <w:lang w:val="en-GB"/>
        </w:rPr>
        <w:t xml:space="preserve">, J. A. and Adam, S. (2021) ‘Exploring the Autonomy of the European Union Legal Order’. </w:t>
      </w:r>
      <w:proofErr w:type="spellStart"/>
      <w:r w:rsidRPr="00250F2B">
        <w:rPr>
          <w:rFonts w:ascii="Times New Roman" w:hAnsi="Times New Roman" w:cs="Times New Roman"/>
          <w:i/>
          <w:iCs/>
          <w:lang w:val="en-GB"/>
        </w:rPr>
        <w:t>Zeitschrift</w:t>
      </w:r>
      <w:proofErr w:type="spellEnd"/>
      <w:r w:rsidRPr="00250F2B">
        <w:rPr>
          <w:rFonts w:ascii="Times New Roman" w:hAnsi="Times New Roman" w:cs="Times New Roman"/>
          <w:i/>
          <w:iCs/>
          <w:lang w:val="en-GB"/>
        </w:rPr>
        <w:t xml:space="preserve"> für </w:t>
      </w:r>
      <w:proofErr w:type="spellStart"/>
      <w:r w:rsidRPr="00250F2B">
        <w:rPr>
          <w:rFonts w:ascii="Times New Roman" w:hAnsi="Times New Roman" w:cs="Times New Roman"/>
          <w:i/>
          <w:iCs/>
          <w:lang w:val="en-GB"/>
        </w:rPr>
        <w:t>ausländisches</w:t>
      </w:r>
      <w:proofErr w:type="spellEnd"/>
      <w:r w:rsidRPr="00250F2B">
        <w:rPr>
          <w:rFonts w:ascii="Times New Roman" w:hAnsi="Times New Roman" w:cs="Times New Roman"/>
          <w:i/>
          <w:iCs/>
          <w:lang w:val="en-GB"/>
        </w:rPr>
        <w:t xml:space="preserve"> </w:t>
      </w:r>
      <w:proofErr w:type="spellStart"/>
      <w:r w:rsidRPr="00250F2B">
        <w:rPr>
          <w:rFonts w:ascii="Times New Roman" w:hAnsi="Times New Roman" w:cs="Times New Roman"/>
          <w:i/>
          <w:iCs/>
          <w:lang w:val="en-GB"/>
        </w:rPr>
        <w:t>öffentliches</w:t>
      </w:r>
      <w:proofErr w:type="spellEnd"/>
      <w:r w:rsidRPr="00250F2B">
        <w:rPr>
          <w:rFonts w:ascii="Times New Roman" w:hAnsi="Times New Roman" w:cs="Times New Roman"/>
          <w:i/>
          <w:iCs/>
          <w:lang w:val="en-GB"/>
        </w:rPr>
        <w:t xml:space="preserve"> </w:t>
      </w:r>
      <w:proofErr w:type="spellStart"/>
      <w:r w:rsidRPr="00250F2B">
        <w:rPr>
          <w:rFonts w:ascii="Times New Roman" w:hAnsi="Times New Roman" w:cs="Times New Roman"/>
          <w:i/>
          <w:iCs/>
          <w:lang w:val="en-GB"/>
        </w:rPr>
        <w:t>Recht</w:t>
      </w:r>
      <w:proofErr w:type="spellEnd"/>
      <w:r w:rsidRPr="00250F2B">
        <w:rPr>
          <w:rFonts w:ascii="Times New Roman" w:hAnsi="Times New Roman" w:cs="Times New Roman"/>
          <w:i/>
          <w:iCs/>
          <w:lang w:val="en-GB"/>
        </w:rPr>
        <w:t xml:space="preserve"> und </w:t>
      </w:r>
      <w:proofErr w:type="spellStart"/>
      <w:r w:rsidRPr="00250F2B">
        <w:rPr>
          <w:rFonts w:ascii="Times New Roman" w:hAnsi="Times New Roman" w:cs="Times New Roman"/>
          <w:i/>
          <w:iCs/>
          <w:lang w:val="en-GB"/>
        </w:rPr>
        <w:t>Völkerrecht</w:t>
      </w:r>
      <w:proofErr w:type="spellEnd"/>
      <w:r w:rsidRPr="00250F2B">
        <w:rPr>
          <w:rFonts w:ascii="Times New Roman" w:hAnsi="Times New Roman" w:cs="Times New Roman"/>
          <w:i/>
          <w:iCs/>
          <w:lang w:val="en-GB"/>
        </w:rPr>
        <w:t xml:space="preserve"> / Heidelberg Journal of International Law</w:t>
      </w:r>
      <w:r w:rsidRPr="00250F2B">
        <w:rPr>
          <w:rFonts w:ascii="Times New Roman" w:hAnsi="Times New Roman" w:cs="Times New Roman"/>
          <w:lang w:val="en-GB"/>
        </w:rPr>
        <w:t>, Vol. 81, No. 1, pp. 47–88.</w:t>
      </w:r>
    </w:p>
    <w:p w14:paraId="57207676"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Lonardo</w:t>
      </w:r>
      <w:proofErr w:type="spellEnd"/>
      <w:r w:rsidRPr="00250F2B">
        <w:rPr>
          <w:rFonts w:ascii="Times New Roman" w:hAnsi="Times New Roman" w:cs="Times New Roman"/>
          <w:lang w:val="en-GB"/>
        </w:rPr>
        <w:t xml:space="preserve">, L. (2021) ‘The Veiled Irreverence of the Italian Constitutional Court and the Contours of the Right to Silence for Natural Persons in Administrative Proceedings: Judgment of the Court (Grand Chamber) 2 February 2021, Case C-481/19, </w:t>
      </w:r>
      <w:r w:rsidRPr="00250F2B">
        <w:rPr>
          <w:rFonts w:ascii="Times New Roman" w:hAnsi="Times New Roman" w:cs="Times New Roman"/>
          <w:i/>
          <w:iCs/>
          <w:lang w:val="en-GB"/>
        </w:rPr>
        <w:t>DB</w:t>
      </w:r>
      <w:r w:rsidRPr="00250F2B">
        <w:rPr>
          <w:rFonts w:ascii="Times New Roman" w:hAnsi="Times New Roman" w:cs="Times New Roman"/>
          <w:lang w:val="en-GB"/>
        </w:rPr>
        <w:t xml:space="preserve"> v </w:t>
      </w:r>
      <w:proofErr w:type="gramStart"/>
      <w:r w:rsidRPr="00250F2B">
        <w:rPr>
          <w:rFonts w:ascii="Times New Roman" w:hAnsi="Times New Roman" w:cs="Times New Roman"/>
          <w:i/>
          <w:iCs/>
          <w:lang w:val="en-GB"/>
        </w:rPr>
        <w:t>Consob</w:t>
      </w:r>
      <w:r w:rsidRPr="00250F2B">
        <w:rPr>
          <w:rFonts w:ascii="Times New Roman" w:hAnsi="Times New Roman" w:cs="Times New Roman"/>
          <w:lang w:val="en-GB"/>
        </w:rPr>
        <w:t xml:space="preserve"> ,</w:t>
      </w:r>
      <w:proofErr w:type="gramEnd"/>
      <w:r w:rsidRPr="00250F2B">
        <w:rPr>
          <w:rFonts w:ascii="Times New Roman" w:hAnsi="Times New Roman" w:cs="Times New Roman"/>
          <w:lang w:val="en-GB"/>
        </w:rPr>
        <w:t xml:space="preserve"> ECLI:EU:C:2021:84’. </w:t>
      </w:r>
      <w:r w:rsidRPr="00250F2B">
        <w:rPr>
          <w:rFonts w:ascii="Times New Roman" w:hAnsi="Times New Roman" w:cs="Times New Roman"/>
          <w:i/>
          <w:iCs/>
          <w:lang w:val="en-GB"/>
        </w:rPr>
        <w:t>European Constitutional Law Review</w:t>
      </w:r>
      <w:r w:rsidRPr="00250F2B">
        <w:rPr>
          <w:rFonts w:ascii="Times New Roman" w:hAnsi="Times New Roman" w:cs="Times New Roman"/>
          <w:lang w:val="en-GB"/>
        </w:rPr>
        <w:t>, Vol. 17, No. 4, pp. 707–723.</w:t>
      </w:r>
    </w:p>
    <w:p w14:paraId="136D8056" w14:textId="77777777" w:rsidR="00250F2B" w:rsidRPr="00250F2B" w:rsidRDefault="00250F2B" w:rsidP="00250F2B">
      <w:pPr>
        <w:pStyle w:val="Bibliography"/>
        <w:rPr>
          <w:rFonts w:ascii="Times New Roman" w:hAnsi="Times New Roman" w:cs="Times New Roman"/>
          <w:lang w:val="en-GB"/>
        </w:rPr>
      </w:pPr>
      <w:r w:rsidRPr="00250F2B">
        <w:rPr>
          <w:rFonts w:ascii="Times New Roman" w:hAnsi="Times New Roman" w:cs="Times New Roman"/>
          <w:lang w:val="en-GB"/>
        </w:rPr>
        <w:t xml:space="preserve">Manners, I. (2008) ‘The European Union’s Normative Strategy for Sustainable Peace’. In </w:t>
      </w:r>
      <w:r w:rsidRPr="00250F2B">
        <w:rPr>
          <w:rFonts w:ascii="Times New Roman" w:hAnsi="Times New Roman" w:cs="Times New Roman"/>
          <w:i/>
          <w:iCs/>
          <w:lang w:val="en-GB"/>
        </w:rPr>
        <w:t xml:space="preserve">Strategies for Peace: Contributions of International Orga- </w:t>
      </w:r>
      <w:proofErr w:type="spellStart"/>
      <w:r w:rsidRPr="00250F2B">
        <w:rPr>
          <w:rFonts w:ascii="Times New Roman" w:hAnsi="Times New Roman" w:cs="Times New Roman"/>
          <w:i/>
          <w:iCs/>
          <w:lang w:val="en-GB"/>
        </w:rPr>
        <w:t>nisations</w:t>
      </w:r>
      <w:proofErr w:type="spellEnd"/>
      <w:r w:rsidRPr="00250F2B">
        <w:rPr>
          <w:rFonts w:ascii="Times New Roman" w:hAnsi="Times New Roman" w:cs="Times New Roman"/>
          <w:i/>
          <w:iCs/>
          <w:lang w:val="en-GB"/>
        </w:rPr>
        <w:t>, States, and Non-state Actors</w:t>
      </w:r>
      <w:r w:rsidRPr="00250F2B">
        <w:rPr>
          <w:rFonts w:ascii="Times New Roman" w:hAnsi="Times New Roman" w:cs="Times New Roman"/>
          <w:lang w:val="en-GB"/>
        </w:rPr>
        <w:t xml:space="preserve"> (Leverkusen: Barbara </w:t>
      </w:r>
      <w:proofErr w:type="spellStart"/>
      <w:r w:rsidRPr="00250F2B">
        <w:rPr>
          <w:rFonts w:ascii="Times New Roman" w:hAnsi="Times New Roman" w:cs="Times New Roman"/>
          <w:lang w:val="en-GB"/>
        </w:rPr>
        <w:t>Budrich</w:t>
      </w:r>
      <w:proofErr w:type="spellEnd"/>
      <w:r w:rsidRPr="00250F2B">
        <w:rPr>
          <w:rFonts w:ascii="Times New Roman" w:hAnsi="Times New Roman" w:cs="Times New Roman"/>
          <w:lang w:val="en-GB"/>
        </w:rPr>
        <w:t>), pp. 130–151.</w:t>
      </w:r>
    </w:p>
    <w:p w14:paraId="6AE11332" w14:textId="77777777" w:rsidR="00250F2B" w:rsidRPr="00250F2B" w:rsidRDefault="00250F2B" w:rsidP="00250F2B">
      <w:pPr>
        <w:pStyle w:val="Bibliography"/>
        <w:rPr>
          <w:rFonts w:ascii="Times New Roman" w:hAnsi="Times New Roman" w:cs="Times New Roman"/>
          <w:lang w:val="en-GB"/>
        </w:rPr>
      </w:pPr>
      <w:r w:rsidRPr="00250F2B">
        <w:rPr>
          <w:rFonts w:ascii="Times New Roman" w:hAnsi="Times New Roman" w:cs="Times New Roman"/>
          <w:lang w:val="en-GB"/>
        </w:rPr>
        <w:t xml:space="preserve">Moreno-Lax, V. (2019) ‘The Axiological Emancipation of a (Non-)Principle: Autonomy, International </w:t>
      </w:r>
      <w:proofErr w:type="gramStart"/>
      <w:r w:rsidRPr="00250F2B">
        <w:rPr>
          <w:rFonts w:ascii="Times New Roman" w:hAnsi="Times New Roman" w:cs="Times New Roman"/>
          <w:lang w:val="en-GB"/>
        </w:rPr>
        <w:t>Law</w:t>
      </w:r>
      <w:proofErr w:type="gramEnd"/>
      <w:r w:rsidRPr="00250F2B">
        <w:rPr>
          <w:rFonts w:ascii="Times New Roman" w:hAnsi="Times New Roman" w:cs="Times New Roman"/>
          <w:lang w:val="en-GB"/>
        </w:rPr>
        <w:t xml:space="preserve"> and the EU Legal Order’. In </w:t>
      </w:r>
      <w:r w:rsidRPr="00250F2B">
        <w:rPr>
          <w:rFonts w:ascii="Times New Roman" w:hAnsi="Times New Roman" w:cs="Times New Roman"/>
          <w:i/>
          <w:iCs/>
          <w:lang w:val="en-GB"/>
        </w:rPr>
        <w:t>The Interface Between EU and International Law: Contemporary Reflections</w:t>
      </w:r>
      <w:r w:rsidRPr="00250F2B">
        <w:rPr>
          <w:rFonts w:ascii="Times New Roman" w:hAnsi="Times New Roman" w:cs="Times New Roman"/>
          <w:lang w:val="en-GB"/>
        </w:rPr>
        <w:t xml:space="preserve"> (Hart).</w:t>
      </w:r>
    </w:p>
    <w:p w14:paraId="57AA4898"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Neframi</w:t>
      </w:r>
      <w:proofErr w:type="spellEnd"/>
      <w:r w:rsidRPr="00250F2B">
        <w:rPr>
          <w:rFonts w:ascii="Times New Roman" w:hAnsi="Times New Roman" w:cs="Times New Roman"/>
          <w:lang w:val="en-GB"/>
        </w:rPr>
        <w:t xml:space="preserve">, E. (2020) ‘Permanent Investment Courts and the EU Legal Order’. In </w:t>
      </w:r>
      <w:r w:rsidRPr="00250F2B">
        <w:rPr>
          <w:rFonts w:ascii="Times New Roman" w:hAnsi="Times New Roman" w:cs="Times New Roman"/>
          <w:i/>
          <w:iCs/>
          <w:lang w:val="en-GB"/>
        </w:rPr>
        <w:t>European Yearbook of International Economic Law</w:t>
      </w:r>
      <w:r w:rsidRPr="00250F2B">
        <w:rPr>
          <w:rFonts w:ascii="Times New Roman" w:hAnsi="Times New Roman" w:cs="Times New Roman"/>
          <w:lang w:val="en-GB"/>
        </w:rPr>
        <w:t xml:space="preserve"> (Springer).</w:t>
      </w:r>
    </w:p>
    <w:p w14:paraId="3AAFCA8F"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Odermatt</w:t>
      </w:r>
      <w:proofErr w:type="spellEnd"/>
      <w:r w:rsidRPr="00250F2B">
        <w:rPr>
          <w:rFonts w:ascii="Times New Roman" w:hAnsi="Times New Roman" w:cs="Times New Roman"/>
          <w:lang w:val="en-GB"/>
        </w:rPr>
        <w:t xml:space="preserve">, J. (2021) </w:t>
      </w:r>
      <w:r w:rsidRPr="00250F2B">
        <w:rPr>
          <w:rFonts w:ascii="Times New Roman" w:hAnsi="Times New Roman" w:cs="Times New Roman"/>
          <w:i/>
          <w:iCs/>
          <w:lang w:val="en-GB"/>
        </w:rPr>
        <w:t>International Law and the European Union</w:t>
      </w:r>
      <w:r w:rsidRPr="00250F2B">
        <w:rPr>
          <w:rFonts w:ascii="Times New Roman" w:hAnsi="Times New Roman" w:cs="Times New Roman"/>
          <w:lang w:val="en-GB"/>
        </w:rPr>
        <w:t xml:space="preserve">, 1st </w:t>
      </w:r>
      <w:proofErr w:type="spellStart"/>
      <w:r w:rsidRPr="00250F2B">
        <w:rPr>
          <w:rFonts w:ascii="Times New Roman" w:hAnsi="Times New Roman" w:cs="Times New Roman"/>
          <w:lang w:val="en-GB"/>
        </w:rPr>
        <w:t>edn</w:t>
      </w:r>
      <w:proofErr w:type="spellEnd"/>
      <w:r w:rsidRPr="00250F2B">
        <w:rPr>
          <w:rFonts w:ascii="Times New Roman" w:hAnsi="Times New Roman" w:cs="Times New Roman"/>
          <w:lang w:val="en-GB"/>
        </w:rPr>
        <w:t>, (Cambridge University Press).</w:t>
      </w:r>
    </w:p>
    <w:p w14:paraId="04FA938A" w14:textId="77777777" w:rsidR="00250F2B" w:rsidRPr="00250F2B" w:rsidRDefault="00250F2B" w:rsidP="00250F2B">
      <w:pPr>
        <w:pStyle w:val="Bibliography"/>
        <w:rPr>
          <w:rFonts w:ascii="Times New Roman" w:hAnsi="Times New Roman" w:cs="Times New Roman"/>
          <w:lang w:val="en-GB"/>
        </w:rPr>
      </w:pPr>
      <w:r w:rsidRPr="00250F2B">
        <w:rPr>
          <w:rFonts w:ascii="Times New Roman" w:hAnsi="Times New Roman" w:cs="Times New Roman"/>
          <w:lang w:val="en-GB"/>
        </w:rPr>
        <w:t xml:space="preserve">Pellet, A. (1997) </w:t>
      </w:r>
      <w:r w:rsidRPr="00250F2B">
        <w:rPr>
          <w:rFonts w:ascii="Times New Roman" w:hAnsi="Times New Roman" w:cs="Times New Roman"/>
          <w:i/>
          <w:iCs/>
          <w:lang w:val="en-GB"/>
        </w:rPr>
        <w:t xml:space="preserve">Les </w:t>
      </w:r>
      <w:proofErr w:type="spellStart"/>
      <w:r w:rsidRPr="00250F2B">
        <w:rPr>
          <w:rFonts w:ascii="Times New Roman" w:hAnsi="Times New Roman" w:cs="Times New Roman"/>
          <w:i/>
          <w:iCs/>
          <w:lang w:val="en-GB"/>
        </w:rPr>
        <w:t>Fondements</w:t>
      </w:r>
      <w:proofErr w:type="spellEnd"/>
      <w:r w:rsidRPr="00250F2B">
        <w:rPr>
          <w:rFonts w:ascii="Times New Roman" w:hAnsi="Times New Roman" w:cs="Times New Roman"/>
          <w:i/>
          <w:iCs/>
          <w:lang w:val="en-GB"/>
        </w:rPr>
        <w:t xml:space="preserve"> </w:t>
      </w:r>
      <w:proofErr w:type="spellStart"/>
      <w:r w:rsidRPr="00250F2B">
        <w:rPr>
          <w:rFonts w:ascii="Times New Roman" w:hAnsi="Times New Roman" w:cs="Times New Roman"/>
          <w:i/>
          <w:iCs/>
          <w:lang w:val="en-GB"/>
        </w:rPr>
        <w:t>Internationaux</w:t>
      </w:r>
      <w:proofErr w:type="spellEnd"/>
      <w:r w:rsidRPr="00250F2B">
        <w:rPr>
          <w:rFonts w:ascii="Times New Roman" w:hAnsi="Times New Roman" w:cs="Times New Roman"/>
          <w:i/>
          <w:iCs/>
          <w:lang w:val="en-GB"/>
        </w:rPr>
        <w:t xml:space="preserve"> Du Droit Communautaire</w:t>
      </w:r>
      <w:r w:rsidRPr="00250F2B">
        <w:rPr>
          <w:rFonts w:ascii="Times New Roman" w:hAnsi="Times New Roman" w:cs="Times New Roman"/>
          <w:lang w:val="en-GB"/>
        </w:rPr>
        <w:t>.</w:t>
      </w:r>
    </w:p>
    <w:p w14:paraId="1BFAC278"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Shuibhne</w:t>
      </w:r>
      <w:proofErr w:type="spellEnd"/>
      <w:r w:rsidRPr="00250F2B">
        <w:rPr>
          <w:rFonts w:ascii="Times New Roman" w:hAnsi="Times New Roman" w:cs="Times New Roman"/>
          <w:lang w:val="en-GB"/>
        </w:rPr>
        <w:t xml:space="preserve">, N. N. (2019) ‘What Is the Autonomy of Eu Law, and Why Does That Matter?’ </w:t>
      </w:r>
      <w:r w:rsidRPr="00250F2B">
        <w:rPr>
          <w:rFonts w:ascii="Times New Roman" w:hAnsi="Times New Roman" w:cs="Times New Roman"/>
          <w:i/>
          <w:iCs/>
          <w:lang w:val="en-GB"/>
        </w:rPr>
        <w:t>Nordic Journal of International Law</w:t>
      </w:r>
      <w:r w:rsidRPr="00250F2B">
        <w:rPr>
          <w:rFonts w:ascii="Times New Roman" w:hAnsi="Times New Roman" w:cs="Times New Roman"/>
          <w:lang w:val="en-GB"/>
        </w:rPr>
        <w:t>, Vol. 88, No. 1, pp. 9–40.</w:t>
      </w:r>
    </w:p>
    <w:p w14:paraId="7E0324F2"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Sommermann</w:t>
      </w:r>
      <w:proofErr w:type="spellEnd"/>
      <w:r w:rsidRPr="00250F2B">
        <w:rPr>
          <w:rFonts w:ascii="Times New Roman" w:hAnsi="Times New Roman" w:cs="Times New Roman"/>
          <w:lang w:val="en-GB"/>
        </w:rPr>
        <w:t xml:space="preserve"> (2013) ‘Article 3’. In </w:t>
      </w:r>
      <w:proofErr w:type="spellStart"/>
      <w:r w:rsidRPr="00250F2B">
        <w:rPr>
          <w:rFonts w:ascii="Times New Roman" w:hAnsi="Times New Roman" w:cs="Times New Roman"/>
          <w:lang w:val="en-GB"/>
        </w:rPr>
        <w:t>Blanke</w:t>
      </w:r>
      <w:proofErr w:type="spellEnd"/>
      <w:r w:rsidRPr="00250F2B">
        <w:rPr>
          <w:rFonts w:ascii="Times New Roman" w:hAnsi="Times New Roman" w:cs="Times New Roman"/>
          <w:lang w:val="en-GB"/>
        </w:rPr>
        <w:t xml:space="preserve">, H.-J. and Mangiameli, S. (eds) </w:t>
      </w:r>
      <w:r w:rsidRPr="00250F2B">
        <w:rPr>
          <w:rFonts w:ascii="Times New Roman" w:hAnsi="Times New Roman" w:cs="Times New Roman"/>
          <w:i/>
          <w:iCs/>
          <w:lang w:val="en-GB"/>
        </w:rPr>
        <w:t>The treaty on European Union (TEU): a commentary</w:t>
      </w:r>
      <w:r w:rsidRPr="00250F2B">
        <w:rPr>
          <w:rFonts w:ascii="Times New Roman" w:hAnsi="Times New Roman" w:cs="Times New Roman"/>
          <w:lang w:val="en-GB"/>
        </w:rPr>
        <w:t xml:space="preserve"> (Berlin Heidelberg: Springer).</w:t>
      </w:r>
    </w:p>
    <w:p w14:paraId="59AD5053"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lastRenderedPageBreak/>
        <w:t>Spaventa</w:t>
      </w:r>
      <w:proofErr w:type="spellEnd"/>
      <w:r w:rsidRPr="00250F2B">
        <w:rPr>
          <w:rFonts w:ascii="Times New Roman" w:hAnsi="Times New Roman" w:cs="Times New Roman"/>
          <w:lang w:val="en-GB"/>
        </w:rPr>
        <w:t xml:space="preserve">, E. (2015) ‘A Very Fearful </w:t>
      </w:r>
      <w:proofErr w:type="gramStart"/>
      <w:r w:rsidRPr="00250F2B">
        <w:rPr>
          <w:rFonts w:ascii="Times New Roman" w:hAnsi="Times New Roman" w:cs="Times New Roman"/>
          <w:lang w:val="en-GB"/>
        </w:rPr>
        <w:t>Court?:</w:t>
      </w:r>
      <w:proofErr w:type="gramEnd"/>
      <w:r w:rsidRPr="00250F2B">
        <w:rPr>
          <w:rFonts w:ascii="Times New Roman" w:hAnsi="Times New Roman" w:cs="Times New Roman"/>
          <w:lang w:val="en-GB"/>
        </w:rPr>
        <w:t xml:space="preserve"> The Protection of Fundamental Rights in the European Union after Opinion 2/13’. </w:t>
      </w:r>
      <w:r w:rsidRPr="00250F2B">
        <w:rPr>
          <w:rFonts w:ascii="Times New Roman" w:hAnsi="Times New Roman" w:cs="Times New Roman"/>
          <w:i/>
          <w:iCs/>
          <w:lang w:val="en-GB"/>
        </w:rPr>
        <w:t>Maastricht Journal of European and Comparative Law</w:t>
      </w:r>
      <w:r w:rsidRPr="00250F2B">
        <w:rPr>
          <w:rFonts w:ascii="Times New Roman" w:hAnsi="Times New Roman" w:cs="Times New Roman"/>
          <w:lang w:val="en-GB"/>
        </w:rPr>
        <w:t>, Vol. 22, No. 1, pp. 35–56.</w:t>
      </w:r>
    </w:p>
    <w:p w14:paraId="68EF5618"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Strauß</w:t>
      </w:r>
      <w:proofErr w:type="spellEnd"/>
      <w:r w:rsidRPr="00250F2B">
        <w:rPr>
          <w:rFonts w:ascii="Times New Roman" w:hAnsi="Times New Roman" w:cs="Times New Roman"/>
          <w:lang w:val="en-GB"/>
        </w:rPr>
        <w:t xml:space="preserve">, L. and Lux, N. (2019) </w:t>
      </w:r>
      <w:r w:rsidRPr="00250F2B">
        <w:rPr>
          <w:rFonts w:ascii="Times New Roman" w:hAnsi="Times New Roman" w:cs="Times New Roman"/>
          <w:i/>
          <w:iCs/>
          <w:lang w:val="en-GB"/>
        </w:rPr>
        <w:t>European Defence - Debates in and about Poland and France: Think Tank Publications 2017/2018</w:t>
      </w:r>
      <w:r w:rsidRPr="00250F2B">
        <w:rPr>
          <w:rFonts w:ascii="Times New Roman" w:hAnsi="Times New Roman" w:cs="Times New Roman"/>
          <w:lang w:val="en-GB"/>
        </w:rPr>
        <w:t xml:space="preserve"> (Berlin: Stiftung </w:t>
      </w:r>
      <w:proofErr w:type="spellStart"/>
      <w:r w:rsidRPr="00250F2B">
        <w:rPr>
          <w:rFonts w:ascii="Times New Roman" w:hAnsi="Times New Roman" w:cs="Times New Roman"/>
          <w:lang w:val="en-GB"/>
        </w:rPr>
        <w:t>Wissenschaft</w:t>
      </w:r>
      <w:proofErr w:type="spellEnd"/>
      <w:r w:rsidRPr="00250F2B">
        <w:rPr>
          <w:rFonts w:ascii="Times New Roman" w:hAnsi="Times New Roman" w:cs="Times New Roman"/>
          <w:lang w:val="en-GB"/>
        </w:rPr>
        <w:t xml:space="preserve"> und </w:t>
      </w:r>
      <w:proofErr w:type="spellStart"/>
      <w:r w:rsidRPr="00250F2B">
        <w:rPr>
          <w:rFonts w:ascii="Times New Roman" w:hAnsi="Times New Roman" w:cs="Times New Roman"/>
          <w:lang w:val="en-GB"/>
        </w:rPr>
        <w:t>Politik</w:t>
      </w:r>
      <w:proofErr w:type="spellEnd"/>
      <w:r w:rsidRPr="00250F2B">
        <w:rPr>
          <w:rFonts w:ascii="Times New Roman" w:hAnsi="Times New Roman" w:cs="Times New Roman"/>
          <w:lang w:val="en-GB"/>
        </w:rPr>
        <w:t xml:space="preserve"> -SWP- </w:t>
      </w:r>
      <w:proofErr w:type="spellStart"/>
      <w:r w:rsidRPr="00250F2B">
        <w:rPr>
          <w:rFonts w:ascii="Times New Roman" w:hAnsi="Times New Roman" w:cs="Times New Roman"/>
          <w:lang w:val="en-GB"/>
        </w:rPr>
        <w:t>Deutsches</w:t>
      </w:r>
      <w:proofErr w:type="spellEnd"/>
      <w:r w:rsidRPr="00250F2B">
        <w:rPr>
          <w:rFonts w:ascii="Times New Roman" w:hAnsi="Times New Roman" w:cs="Times New Roman"/>
          <w:lang w:val="en-GB"/>
        </w:rPr>
        <w:t xml:space="preserve"> </w:t>
      </w:r>
      <w:proofErr w:type="spellStart"/>
      <w:r w:rsidRPr="00250F2B">
        <w:rPr>
          <w:rFonts w:ascii="Times New Roman" w:hAnsi="Times New Roman" w:cs="Times New Roman"/>
          <w:lang w:val="en-GB"/>
        </w:rPr>
        <w:t>Institut</w:t>
      </w:r>
      <w:proofErr w:type="spellEnd"/>
      <w:r w:rsidRPr="00250F2B">
        <w:rPr>
          <w:rFonts w:ascii="Times New Roman" w:hAnsi="Times New Roman" w:cs="Times New Roman"/>
          <w:lang w:val="en-GB"/>
        </w:rPr>
        <w:t xml:space="preserve"> für Internationale </w:t>
      </w:r>
      <w:proofErr w:type="spellStart"/>
      <w:r w:rsidRPr="00250F2B">
        <w:rPr>
          <w:rFonts w:ascii="Times New Roman" w:hAnsi="Times New Roman" w:cs="Times New Roman"/>
          <w:lang w:val="en-GB"/>
        </w:rPr>
        <w:t>Politik</w:t>
      </w:r>
      <w:proofErr w:type="spellEnd"/>
      <w:r w:rsidRPr="00250F2B">
        <w:rPr>
          <w:rFonts w:ascii="Times New Roman" w:hAnsi="Times New Roman" w:cs="Times New Roman"/>
          <w:lang w:val="en-GB"/>
        </w:rPr>
        <w:t xml:space="preserve"> und </w:t>
      </w:r>
      <w:proofErr w:type="spellStart"/>
      <w:r w:rsidRPr="00250F2B">
        <w:rPr>
          <w:rFonts w:ascii="Times New Roman" w:hAnsi="Times New Roman" w:cs="Times New Roman"/>
          <w:lang w:val="en-GB"/>
        </w:rPr>
        <w:t>Sicherheit</w:t>
      </w:r>
      <w:proofErr w:type="spellEnd"/>
      <w:r w:rsidRPr="00250F2B">
        <w:rPr>
          <w:rFonts w:ascii="Times New Roman" w:hAnsi="Times New Roman" w:cs="Times New Roman"/>
          <w:lang w:val="en-GB"/>
        </w:rPr>
        <w:t>).</w:t>
      </w:r>
    </w:p>
    <w:p w14:paraId="40C6BDAC"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Tocci</w:t>
      </w:r>
      <w:proofErr w:type="spellEnd"/>
      <w:r w:rsidRPr="00250F2B">
        <w:rPr>
          <w:rFonts w:ascii="Times New Roman" w:hAnsi="Times New Roman" w:cs="Times New Roman"/>
          <w:lang w:val="en-GB"/>
        </w:rPr>
        <w:t xml:space="preserve">, N. (2021) ‘European Strategic Autonomy: What It Is, Why We Need It, How to Achieve It’. </w:t>
      </w:r>
      <w:proofErr w:type="spellStart"/>
      <w:r w:rsidRPr="00250F2B">
        <w:rPr>
          <w:rFonts w:ascii="Times New Roman" w:hAnsi="Times New Roman" w:cs="Times New Roman"/>
          <w:i/>
          <w:iCs/>
          <w:lang w:val="en-GB"/>
        </w:rPr>
        <w:t>Istituto</w:t>
      </w:r>
      <w:proofErr w:type="spellEnd"/>
      <w:r w:rsidRPr="00250F2B">
        <w:rPr>
          <w:rFonts w:ascii="Times New Roman" w:hAnsi="Times New Roman" w:cs="Times New Roman"/>
          <w:i/>
          <w:iCs/>
          <w:lang w:val="en-GB"/>
        </w:rPr>
        <w:t xml:space="preserve"> di </w:t>
      </w:r>
      <w:proofErr w:type="spellStart"/>
      <w:r w:rsidRPr="00250F2B">
        <w:rPr>
          <w:rFonts w:ascii="Times New Roman" w:hAnsi="Times New Roman" w:cs="Times New Roman"/>
          <w:i/>
          <w:iCs/>
          <w:lang w:val="en-GB"/>
        </w:rPr>
        <w:t>Affari</w:t>
      </w:r>
      <w:proofErr w:type="spellEnd"/>
      <w:r w:rsidRPr="00250F2B">
        <w:rPr>
          <w:rFonts w:ascii="Times New Roman" w:hAnsi="Times New Roman" w:cs="Times New Roman"/>
          <w:i/>
          <w:iCs/>
          <w:lang w:val="en-GB"/>
        </w:rPr>
        <w:t xml:space="preserve"> </w:t>
      </w:r>
      <w:proofErr w:type="spellStart"/>
      <w:r w:rsidRPr="00250F2B">
        <w:rPr>
          <w:rFonts w:ascii="Times New Roman" w:hAnsi="Times New Roman" w:cs="Times New Roman"/>
          <w:i/>
          <w:iCs/>
          <w:lang w:val="en-GB"/>
        </w:rPr>
        <w:t>Internazionali</w:t>
      </w:r>
      <w:proofErr w:type="spellEnd"/>
      <w:r w:rsidRPr="00250F2B">
        <w:rPr>
          <w:rFonts w:ascii="Times New Roman" w:hAnsi="Times New Roman" w:cs="Times New Roman"/>
          <w:lang w:val="en-GB"/>
        </w:rPr>
        <w:t>, p. 39.</w:t>
      </w:r>
    </w:p>
    <w:p w14:paraId="236738FE"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Toje</w:t>
      </w:r>
      <w:proofErr w:type="spellEnd"/>
      <w:r w:rsidRPr="00250F2B">
        <w:rPr>
          <w:rFonts w:ascii="Times New Roman" w:hAnsi="Times New Roman" w:cs="Times New Roman"/>
          <w:lang w:val="en-GB"/>
        </w:rPr>
        <w:t xml:space="preserve">, A. (2010) </w:t>
      </w:r>
      <w:r w:rsidRPr="00250F2B">
        <w:rPr>
          <w:rFonts w:ascii="Times New Roman" w:hAnsi="Times New Roman" w:cs="Times New Roman"/>
          <w:i/>
          <w:iCs/>
          <w:lang w:val="en-GB"/>
        </w:rPr>
        <w:t>The European Union as a Small Power</w:t>
      </w:r>
      <w:r w:rsidRPr="00250F2B">
        <w:rPr>
          <w:rFonts w:ascii="Times New Roman" w:hAnsi="Times New Roman" w:cs="Times New Roman"/>
          <w:lang w:val="en-GB"/>
        </w:rPr>
        <w:t xml:space="preserve"> (London: Palgrave Macmillan UK).</w:t>
      </w:r>
    </w:p>
    <w:p w14:paraId="4A022304"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Tridimas</w:t>
      </w:r>
      <w:proofErr w:type="spellEnd"/>
      <w:r w:rsidRPr="00250F2B">
        <w:rPr>
          <w:rFonts w:ascii="Times New Roman" w:hAnsi="Times New Roman" w:cs="Times New Roman"/>
          <w:lang w:val="en-GB"/>
        </w:rPr>
        <w:t xml:space="preserve">, T. (2018) ‘The Principle of Proportionality’. In </w:t>
      </w:r>
      <w:r w:rsidRPr="00250F2B">
        <w:rPr>
          <w:rFonts w:ascii="Times New Roman" w:hAnsi="Times New Roman" w:cs="Times New Roman"/>
          <w:i/>
          <w:iCs/>
          <w:lang w:val="en-GB"/>
        </w:rPr>
        <w:t xml:space="preserve">Oxford Principles </w:t>
      </w:r>
      <w:proofErr w:type="gramStart"/>
      <w:r w:rsidRPr="00250F2B">
        <w:rPr>
          <w:rFonts w:ascii="Times New Roman" w:hAnsi="Times New Roman" w:cs="Times New Roman"/>
          <w:i/>
          <w:iCs/>
          <w:lang w:val="en-GB"/>
        </w:rPr>
        <w:t>Of</w:t>
      </w:r>
      <w:proofErr w:type="gramEnd"/>
      <w:r w:rsidRPr="00250F2B">
        <w:rPr>
          <w:rFonts w:ascii="Times New Roman" w:hAnsi="Times New Roman" w:cs="Times New Roman"/>
          <w:i/>
          <w:iCs/>
          <w:lang w:val="en-GB"/>
        </w:rPr>
        <w:t xml:space="preserve"> European Union Law: The European Union Legal Order: Volume I</w:t>
      </w:r>
      <w:r w:rsidRPr="00250F2B">
        <w:rPr>
          <w:rFonts w:ascii="Times New Roman" w:hAnsi="Times New Roman" w:cs="Times New Roman"/>
          <w:lang w:val="en-GB"/>
        </w:rPr>
        <w:t xml:space="preserve"> (Oxford University Press).</w:t>
      </w:r>
    </w:p>
    <w:p w14:paraId="4F0639E0" w14:textId="77777777" w:rsidR="00250F2B" w:rsidRPr="00250F2B" w:rsidRDefault="00250F2B" w:rsidP="00250F2B">
      <w:pPr>
        <w:pStyle w:val="Bibliography"/>
        <w:rPr>
          <w:rFonts w:ascii="Times New Roman" w:hAnsi="Times New Roman" w:cs="Times New Roman"/>
          <w:lang w:val="en-GB"/>
        </w:rPr>
      </w:pPr>
      <w:proofErr w:type="spellStart"/>
      <w:r w:rsidRPr="00250F2B">
        <w:rPr>
          <w:rFonts w:ascii="Times New Roman" w:hAnsi="Times New Roman" w:cs="Times New Roman"/>
          <w:lang w:val="en-GB"/>
        </w:rPr>
        <w:t>Weiler</w:t>
      </w:r>
      <w:proofErr w:type="spellEnd"/>
      <w:r w:rsidRPr="00250F2B">
        <w:rPr>
          <w:rFonts w:ascii="Times New Roman" w:hAnsi="Times New Roman" w:cs="Times New Roman"/>
          <w:lang w:val="en-GB"/>
        </w:rPr>
        <w:t xml:space="preserve">, J. H. H. and Haltern, U. (1998) ‘Constitutional or International? The Foundations of the Community Legal Order and the Question of Judicial </w:t>
      </w:r>
      <w:proofErr w:type="spellStart"/>
      <w:r w:rsidRPr="00250F2B">
        <w:rPr>
          <w:rFonts w:ascii="Times New Roman" w:hAnsi="Times New Roman" w:cs="Times New Roman"/>
          <w:lang w:val="en-GB"/>
        </w:rPr>
        <w:t>Kompetenz-Kompetenz</w:t>
      </w:r>
      <w:proofErr w:type="spellEnd"/>
      <w:r w:rsidRPr="00250F2B">
        <w:rPr>
          <w:rFonts w:ascii="Times New Roman" w:hAnsi="Times New Roman" w:cs="Times New Roman"/>
          <w:lang w:val="en-GB"/>
        </w:rPr>
        <w:t xml:space="preserve">’. In </w:t>
      </w:r>
      <w:r w:rsidRPr="00250F2B">
        <w:rPr>
          <w:rFonts w:ascii="Times New Roman" w:hAnsi="Times New Roman" w:cs="Times New Roman"/>
          <w:i/>
          <w:iCs/>
          <w:lang w:val="en-GB"/>
        </w:rPr>
        <w:t>The European Courts and National Courts – Doctrine and Jurisprudence</w:t>
      </w:r>
      <w:r w:rsidRPr="00250F2B">
        <w:rPr>
          <w:rFonts w:ascii="Times New Roman" w:hAnsi="Times New Roman" w:cs="Times New Roman"/>
          <w:lang w:val="en-GB"/>
        </w:rPr>
        <w:t xml:space="preserve"> (Oxford: Hart Publishing, Bloomsbury Publishing Plc), pp. 331–364.</w:t>
      </w:r>
    </w:p>
    <w:p w14:paraId="43CFD452" w14:textId="239D39D9" w:rsidR="00E6188A" w:rsidRPr="001F2D2D" w:rsidRDefault="00E6188A" w:rsidP="001F2D2D">
      <w:pPr>
        <w:pStyle w:val="NormalWeb"/>
        <w:shd w:val="clear" w:color="auto" w:fill="FFFFFF"/>
        <w:spacing w:line="276" w:lineRule="auto"/>
        <w:jc w:val="both"/>
      </w:pPr>
      <w:r w:rsidRPr="001F2D2D">
        <w:fldChar w:fldCharType="end"/>
      </w:r>
    </w:p>
    <w:sectPr w:rsidR="00E6188A" w:rsidRPr="001F2D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0E703" w14:textId="77777777" w:rsidR="003D3DAD" w:rsidRDefault="003D3DAD" w:rsidP="00E71BAA">
      <w:r>
        <w:separator/>
      </w:r>
    </w:p>
  </w:endnote>
  <w:endnote w:type="continuationSeparator" w:id="0">
    <w:p w14:paraId="5CBE50AE" w14:textId="77777777" w:rsidR="003D3DAD" w:rsidRDefault="003D3DAD" w:rsidP="00E7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_rm">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C815" w14:textId="77777777" w:rsidR="003D3DAD" w:rsidRDefault="003D3DAD" w:rsidP="00E71BAA">
      <w:r>
        <w:separator/>
      </w:r>
    </w:p>
  </w:footnote>
  <w:footnote w:type="continuationSeparator" w:id="0">
    <w:p w14:paraId="2C069E9B" w14:textId="77777777" w:rsidR="003D3DAD" w:rsidRDefault="003D3DAD" w:rsidP="00E71BAA">
      <w:r>
        <w:continuationSeparator/>
      </w:r>
    </w:p>
  </w:footnote>
  <w:footnote w:id="1">
    <w:p w14:paraId="131AEA43" w14:textId="73F5B267" w:rsidR="000B35FF" w:rsidRDefault="000B35FF" w:rsidP="000B35FF">
      <w:pPr>
        <w:pStyle w:val="FootnoteText"/>
      </w:pPr>
      <w:r>
        <w:rPr>
          <w:lang w:val="en-GB"/>
        </w:rPr>
        <w:t xml:space="preserve">* </w:t>
      </w:r>
      <w:r>
        <w:rPr>
          <w:lang w:val="en-GB"/>
        </w:rPr>
        <w:t xml:space="preserve">I am grateful to </w:t>
      </w:r>
      <w:proofErr w:type="spellStart"/>
      <w:r>
        <w:rPr>
          <w:lang w:val="en-GB"/>
        </w:rPr>
        <w:t>Gesa</w:t>
      </w:r>
      <w:proofErr w:type="spellEnd"/>
      <w:r>
        <w:rPr>
          <w:lang w:val="en-GB"/>
        </w:rPr>
        <w:t xml:space="preserve"> </w:t>
      </w:r>
      <w:proofErr w:type="spellStart"/>
      <w:r>
        <w:rPr>
          <w:lang w:val="en-GB"/>
        </w:rPr>
        <w:t>K</w:t>
      </w:r>
      <w:r>
        <w:rPr>
          <w:rFonts w:ascii="Calibri" w:hAnsi="Calibri" w:cs="Calibri"/>
          <w:lang w:val="en-GB"/>
        </w:rPr>
        <w:t>ü</w:t>
      </w:r>
      <w:r>
        <w:rPr>
          <w:lang w:val="en-GB"/>
        </w:rPr>
        <w:t>bek</w:t>
      </w:r>
      <w:proofErr w:type="spellEnd"/>
      <w:r>
        <w:rPr>
          <w:lang w:val="en-GB"/>
        </w:rPr>
        <w:t xml:space="preserve">, Isabella Mancini, Enrico </w:t>
      </w:r>
      <w:proofErr w:type="spellStart"/>
      <w:proofErr w:type="gramStart"/>
      <w:r>
        <w:rPr>
          <w:lang w:val="en-GB"/>
        </w:rPr>
        <w:t>Tinti</w:t>
      </w:r>
      <w:proofErr w:type="spellEnd"/>
      <w:proofErr w:type="gramEnd"/>
      <w:r>
        <w:rPr>
          <w:lang w:val="en-GB"/>
        </w:rPr>
        <w:t xml:space="preserve"> and Alberto Vecchio for their comments.</w:t>
      </w:r>
    </w:p>
    <w:p w14:paraId="625102DF" w14:textId="5A5D3184" w:rsidR="000B35FF" w:rsidRPr="000B35FF" w:rsidRDefault="000B35FF">
      <w:pPr>
        <w:pStyle w:val="FootnoteText"/>
        <w:rPr>
          <w:lang w:val="en-GB"/>
        </w:rPr>
      </w:pPr>
      <w:r>
        <w:rPr>
          <w:rStyle w:val="FootnoteReference"/>
        </w:rPr>
        <w:footnoteRef/>
      </w:r>
      <w:r>
        <w:t xml:space="preserve"> </w:t>
      </w:r>
      <w:r w:rsidR="00285A0F">
        <w:t xml:space="preserve">By ‘relationship’ </w:t>
      </w:r>
      <w:r w:rsidR="00285A0F">
        <w:t xml:space="preserve">it is meant how the two principles interact with each other. This article is not a comparative exercise, if not indirectly. </w:t>
      </w:r>
    </w:p>
  </w:footnote>
  <w:footnote w:id="2">
    <w:p w14:paraId="2DD52287" w14:textId="71999D8C" w:rsidR="00551BE1" w:rsidRPr="0070534F" w:rsidRDefault="00551BE1" w:rsidP="003367B3">
      <w:pPr>
        <w:pStyle w:val="FootnoteText"/>
        <w:rPr>
          <w:lang w:val="en-GB"/>
        </w:rPr>
      </w:pPr>
      <w:r>
        <w:rPr>
          <w:rStyle w:val="FootnoteReference"/>
        </w:rPr>
        <w:footnoteRef/>
      </w:r>
      <w:r>
        <w:t xml:space="preserve"> </w:t>
      </w:r>
      <w:r>
        <w:rPr>
          <w:lang w:val="en-GB"/>
        </w:rPr>
        <w:t xml:space="preserve">Things are further complicated when one considers the word ‘strategy’, a word which this article considers only tangentially because the notion of strategy is only indirectly relevant to autonomy. </w:t>
      </w:r>
    </w:p>
  </w:footnote>
  <w:footnote w:id="3">
    <w:p w14:paraId="3F5D9057" w14:textId="77777777" w:rsidR="00551BE1" w:rsidRPr="00EC73BA" w:rsidRDefault="00551BE1" w:rsidP="00A668F9">
      <w:pPr>
        <w:jc w:val="both"/>
        <w:rPr>
          <w:rFonts w:asciiTheme="majorBidi" w:hAnsiTheme="majorBidi" w:cstheme="majorBidi"/>
          <w:color w:val="000000" w:themeColor="text1"/>
          <w:sz w:val="20"/>
          <w:szCs w:val="20"/>
        </w:rPr>
      </w:pPr>
      <w:r w:rsidRPr="00DB0343">
        <w:rPr>
          <w:rStyle w:val="FootnoteReference"/>
          <w:rFonts w:asciiTheme="majorBidi" w:hAnsiTheme="majorBidi"/>
        </w:rPr>
        <w:footnoteRef/>
      </w:r>
      <w:r w:rsidRPr="009013C9">
        <w:rPr>
          <w:rFonts w:asciiTheme="majorBidi" w:hAnsiTheme="majorBidi" w:cstheme="majorBidi"/>
          <w:color w:val="000000" w:themeColor="text1"/>
          <w:sz w:val="20"/>
          <w:szCs w:val="20"/>
        </w:rPr>
        <w:t xml:space="preserve"> Joint Declaration on Eu</w:t>
      </w:r>
      <w:r w:rsidRPr="00E54A63">
        <w:rPr>
          <w:rFonts w:asciiTheme="majorBidi" w:hAnsiTheme="majorBidi" w:cstheme="majorBidi"/>
          <w:color w:val="000000" w:themeColor="text1"/>
          <w:sz w:val="20"/>
          <w:szCs w:val="20"/>
        </w:rPr>
        <w:t>ropean Defence Joint Declaration issued at th</w:t>
      </w:r>
      <w:r w:rsidRPr="00EC73BA">
        <w:rPr>
          <w:rFonts w:asciiTheme="majorBidi" w:hAnsiTheme="majorBidi" w:cstheme="majorBidi"/>
          <w:color w:val="000000" w:themeColor="text1"/>
          <w:sz w:val="20"/>
          <w:szCs w:val="20"/>
        </w:rPr>
        <w:t>e British-French Summit (Saint-Malo, 4 December 1998), https://www.cvce.eu/obj/franco_british_st_malo_declaration_4_december_1998-en-f3cd16fb-fc37-4d52-936f-c8e9bc80f24f.html</w:t>
      </w:r>
    </w:p>
  </w:footnote>
  <w:footnote w:id="4">
    <w:p w14:paraId="7E6EF586" w14:textId="77777777" w:rsidR="00551BE1" w:rsidRPr="002601BF" w:rsidRDefault="00551BE1" w:rsidP="002A463B">
      <w:pPr>
        <w:rPr>
          <w:rFonts w:ascii="Times New Roman" w:eastAsia="Times New Roman" w:hAnsi="Times New Roman" w:cs="Times New Roman"/>
          <w:lang w:eastAsia="en-GB"/>
        </w:rPr>
      </w:pPr>
      <w:r>
        <w:rPr>
          <w:rStyle w:val="FootnoteReference"/>
        </w:rPr>
        <w:footnoteRef/>
      </w:r>
      <w:r>
        <w:t xml:space="preserve"> </w:t>
      </w:r>
      <w:r w:rsidRPr="00E71BAA">
        <w:rPr>
          <w:rFonts w:ascii="Times New Roman" w:eastAsia="Times New Roman" w:hAnsi="Times New Roman" w:cs="Times New Roman"/>
          <w:lang w:eastAsia="en-GB"/>
        </w:rPr>
        <w:t xml:space="preserve">Emphasis in the original. Brock </w:t>
      </w:r>
      <w:proofErr w:type="spellStart"/>
      <w:r w:rsidRPr="00E71BAA">
        <w:rPr>
          <w:rFonts w:ascii="Times New Roman" w:eastAsia="Times New Roman" w:hAnsi="Times New Roman" w:cs="Times New Roman"/>
          <w:lang w:eastAsia="en-GB"/>
        </w:rPr>
        <w:t>Tessman</w:t>
      </w:r>
      <w:proofErr w:type="spellEnd"/>
      <w:r w:rsidRPr="00E71BAA">
        <w:rPr>
          <w:rFonts w:ascii="Times New Roman" w:eastAsia="Times New Roman" w:hAnsi="Times New Roman" w:cs="Times New Roman"/>
          <w:lang w:eastAsia="en-GB"/>
        </w:rPr>
        <w:t xml:space="preserve"> and Wojtek Wolfe, “Great Powers and Strategic Hedging: The Case of Chinese Energy Security Strategy”, International Studies Review, vol. 13, no. 2 (2011), p. 216.</w:t>
      </w:r>
    </w:p>
  </w:footnote>
  <w:footnote w:id="5">
    <w:p w14:paraId="3ED77A9A" w14:textId="77777777" w:rsidR="00551BE1" w:rsidRPr="001D2F0F" w:rsidRDefault="00551BE1" w:rsidP="00EF022D">
      <w:pPr>
        <w:pStyle w:val="FootnoteText"/>
        <w:rPr>
          <w:lang w:val="en-GB"/>
        </w:rPr>
      </w:pPr>
      <w:r>
        <w:rPr>
          <w:rStyle w:val="FootnoteReference"/>
        </w:rPr>
        <w:footnoteRef/>
      </w:r>
      <w:r>
        <w:t xml:space="preserve"> </w:t>
      </w:r>
      <w:r>
        <w:rPr>
          <w:lang w:val="en-GB"/>
        </w:rPr>
        <w:t xml:space="preserve">Rosneft para 113. </w:t>
      </w:r>
    </w:p>
  </w:footnote>
  <w:footnote w:id="6">
    <w:p w14:paraId="6B873F7B" w14:textId="77777777" w:rsidR="00551BE1" w:rsidRPr="00A14FCB" w:rsidRDefault="00551BE1" w:rsidP="00EF022D">
      <w:pPr>
        <w:pStyle w:val="FootnoteText"/>
        <w:jc w:val="both"/>
        <w:rPr>
          <w:color w:val="000000" w:themeColor="text1"/>
        </w:rPr>
      </w:pPr>
      <w:r w:rsidRPr="00A14FCB">
        <w:rPr>
          <w:rStyle w:val="FootnoteReference"/>
        </w:rPr>
        <w:footnoteRef/>
      </w:r>
      <w:r w:rsidRPr="00A14FCB">
        <w:rPr>
          <w:color w:val="000000" w:themeColor="text1"/>
        </w:rPr>
        <w:t xml:space="preserve"> </w:t>
      </w:r>
      <w:r w:rsidRPr="00A14FCB">
        <w:rPr>
          <w:i/>
          <w:iCs/>
          <w:color w:val="000000" w:themeColor="text1"/>
        </w:rPr>
        <w:t>Bank of Industry and Mine v Council</w:t>
      </w:r>
      <w:r>
        <w:rPr>
          <w:i/>
          <w:iCs/>
          <w:color w:val="000000" w:themeColor="text1"/>
        </w:rPr>
        <w:t xml:space="preserve"> </w:t>
      </w:r>
      <w:r w:rsidRPr="008920A5">
        <w:rPr>
          <w:color w:val="000000" w:themeColor="text1"/>
        </w:rPr>
        <w:t>(</w:t>
      </w:r>
      <w:r w:rsidRPr="00851A87">
        <w:rPr>
          <w:color w:val="000000" w:themeColor="text1"/>
        </w:rPr>
        <w:t>C</w:t>
      </w:r>
      <w:r w:rsidRPr="00A14FCB">
        <w:rPr>
          <w:color w:val="000000" w:themeColor="text1"/>
        </w:rPr>
        <w:t>-358/15</w:t>
      </w:r>
      <w:r>
        <w:rPr>
          <w:color w:val="000000" w:themeColor="text1"/>
        </w:rPr>
        <w:t>)</w:t>
      </w:r>
      <w:r w:rsidRPr="00A14FCB">
        <w:rPr>
          <w:color w:val="000000" w:themeColor="text1"/>
        </w:rPr>
        <w:t xml:space="preserve"> EU:C:2016:338 </w:t>
      </w:r>
      <w:r>
        <w:rPr>
          <w:color w:val="000000" w:themeColor="text1"/>
        </w:rPr>
        <w:t>at</w:t>
      </w:r>
      <w:r w:rsidRPr="00A14FCB">
        <w:rPr>
          <w:color w:val="000000" w:themeColor="text1"/>
        </w:rPr>
        <w:t xml:space="preserve"> </w:t>
      </w:r>
      <w:r>
        <w:rPr>
          <w:color w:val="000000" w:themeColor="text1"/>
        </w:rPr>
        <w:t>[</w:t>
      </w:r>
      <w:r w:rsidRPr="00A14FCB">
        <w:rPr>
          <w:color w:val="000000" w:themeColor="text1"/>
        </w:rPr>
        <w:t>57</w:t>
      </w:r>
      <w:r>
        <w:rPr>
          <w:color w:val="000000" w:themeColor="text1"/>
        </w:rPr>
        <w:t>]</w:t>
      </w:r>
      <w:r w:rsidRPr="00A14FCB">
        <w:rPr>
          <w:color w:val="000000" w:themeColor="text1"/>
        </w:rPr>
        <w:t>.</w:t>
      </w:r>
    </w:p>
  </w:footnote>
  <w:footnote w:id="7">
    <w:p w14:paraId="3E9B5436" w14:textId="77777777" w:rsidR="00551BE1" w:rsidRPr="00A14FCB" w:rsidRDefault="00551BE1" w:rsidP="00EF022D">
      <w:pPr>
        <w:pStyle w:val="FootnoteText"/>
        <w:jc w:val="both"/>
        <w:rPr>
          <w:color w:val="000000" w:themeColor="text1"/>
        </w:rPr>
      </w:pPr>
      <w:r w:rsidRPr="00A14FCB">
        <w:rPr>
          <w:rStyle w:val="FootnoteReference"/>
        </w:rPr>
        <w:footnoteRef/>
      </w:r>
      <w:r w:rsidRPr="00A14FCB">
        <w:rPr>
          <w:color w:val="000000" w:themeColor="text1"/>
        </w:rPr>
        <w:t xml:space="preserve"> </w:t>
      </w:r>
      <w:r w:rsidRPr="00A14FCB">
        <w:rPr>
          <w:i/>
          <w:iCs/>
          <w:color w:val="000000" w:themeColor="text1"/>
        </w:rPr>
        <w:t>Rosneft</w:t>
      </w:r>
      <w:r>
        <w:rPr>
          <w:i/>
          <w:iCs/>
          <w:color w:val="000000" w:themeColor="text1"/>
        </w:rPr>
        <w:t xml:space="preserve"> </w:t>
      </w:r>
      <w:r w:rsidRPr="00A14FCB">
        <w:rPr>
          <w:color w:val="000000" w:themeColor="text1"/>
        </w:rPr>
        <w:t xml:space="preserve"> </w:t>
      </w:r>
      <w:r w:rsidRPr="00B05F85">
        <w:rPr>
          <w:color w:val="000000" w:themeColor="text1"/>
        </w:rPr>
        <w:t xml:space="preserve">(C-72/15) EU:C:2017:236 </w:t>
      </w:r>
      <w:r>
        <w:rPr>
          <w:color w:val="000000" w:themeColor="text1"/>
        </w:rPr>
        <w:t>at</w:t>
      </w:r>
      <w:r w:rsidRPr="00A14FCB">
        <w:rPr>
          <w:color w:val="000000" w:themeColor="text1"/>
        </w:rPr>
        <w:t xml:space="preserve"> </w:t>
      </w:r>
      <w:r>
        <w:rPr>
          <w:color w:val="000000" w:themeColor="text1"/>
        </w:rPr>
        <w:t>[</w:t>
      </w:r>
      <w:r w:rsidRPr="00A14FCB">
        <w:rPr>
          <w:color w:val="000000" w:themeColor="text1"/>
        </w:rPr>
        <w:t>146</w:t>
      </w:r>
      <w:r>
        <w:rPr>
          <w:color w:val="000000" w:themeColor="text1"/>
        </w:rPr>
        <w:t>]</w:t>
      </w:r>
      <w:r w:rsidRPr="00A14FCB">
        <w:rPr>
          <w:color w:val="000000" w:themeColor="text1"/>
        </w:rPr>
        <w:t xml:space="preserve">. </w:t>
      </w:r>
    </w:p>
  </w:footnote>
  <w:footnote w:id="8">
    <w:p w14:paraId="0C44E25E" w14:textId="77777777" w:rsidR="00551BE1" w:rsidRPr="00002831" w:rsidRDefault="00551BE1" w:rsidP="00A60A3A">
      <w:pPr>
        <w:pStyle w:val="FootnoteText"/>
        <w:rPr>
          <w:lang w:val="en-GB"/>
        </w:rPr>
      </w:pPr>
      <w:r>
        <w:rPr>
          <w:rStyle w:val="FootnoteReference"/>
        </w:rPr>
        <w:footnoteRef/>
      </w:r>
      <w:r>
        <w:t xml:space="preserve"> </w:t>
      </w:r>
      <w:r>
        <w:rPr>
          <w:lang w:val="en-GB"/>
        </w:rPr>
        <w:t xml:space="preserve">Strategic Compass 23. </w:t>
      </w:r>
    </w:p>
  </w:footnote>
  <w:footnote w:id="9">
    <w:p w14:paraId="7DFCEE88" w14:textId="18E1508B" w:rsidR="00551BE1" w:rsidRPr="004C28AA" w:rsidRDefault="00551BE1">
      <w:pPr>
        <w:pStyle w:val="FootnoteText"/>
        <w:rPr>
          <w:lang w:val="en-GB"/>
        </w:rPr>
      </w:pPr>
      <w:r>
        <w:rPr>
          <w:rStyle w:val="FootnoteReference"/>
        </w:rPr>
        <w:footnoteRef/>
      </w:r>
      <w:r>
        <w:t xml:space="preserve"> </w:t>
      </w:r>
      <w:r>
        <w:rPr>
          <w:rFonts w:ascii="Times_rm" w:eastAsia="Times New Roman" w:hAnsi="Times_rm" w:cs="Times New Roman"/>
          <w:sz w:val="22"/>
          <w:szCs w:val="22"/>
          <w:lang w:eastAsia="en-GB"/>
        </w:rPr>
        <w:t>According to which the EU, in its relations with the wider world, ‘</w:t>
      </w:r>
      <w:r w:rsidRPr="00AF1623">
        <w:rPr>
          <w:rFonts w:ascii="Times New Roman" w:eastAsia="Times New Roman" w:hAnsi="Times New Roman" w:cs="Times New Roman"/>
          <w:lang w:eastAsia="en-GB"/>
        </w:rPr>
        <w:t>shall contribute to peace, security, the sustainable development of the Earth, solidarity and mutual respect among peoples, free and fair trade, eradication of poverty and the protection of human rights, in particular the rights of the child, as well as to the strict observance and the development of international law, including respect for the principles of the United Nations Charter</w:t>
      </w:r>
      <w:r>
        <w:rPr>
          <w:rFonts w:ascii="Times New Roman" w:eastAsia="Times New Roman" w:hAnsi="Times New Roman" w:cs="Times New Roman"/>
          <w:lang w:eastAsia="en-GB"/>
        </w:rPr>
        <w:t>’</w:t>
      </w:r>
    </w:p>
  </w:footnote>
  <w:footnote w:id="10">
    <w:p w14:paraId="2F15EE57" w14:textId="038EC085" w:rsidR="00551BE1" w:rsidRPr="004C28AA" w:rsidRDefault="00551BE1">
      <w:pPr>
        <w:pStyle w:val="FootnoteText"/>
        <w:rPr>
          <w:lang w:val="en-GB"/>
        </w:rPr>
      </w:pPr>
      <w:r>
        <w:rPr>
          <w:rStyle w:val="FootnoteReference"/>
        </w:rPr>
        <w:footnoteRef/>
      </w:r>
      <w:r>
        <w:t xml:space="preserve"> </w:t>
      </w:r>
      <w:r>
        <w:rPr>
          <w:rFonts w:ascii="Times New Roman" w:eastAsia="Times New Roman" w:hAnsi="Times New Roman" w:cs="Times New Roman"/>
          <w:lang w:eastAsia="en-GB"/>
        </w:rPr>
        <w:t>Pursuant to which ‘</w:t>
      </w:r>
      <w:r w:rsidRPr="00EC39D7">
        <w:rPr>
          <w:rFonts w:ascii="Times New Roman" w:eastAsia="Times New Roman" w:hAnsi="Times New Roman" w:cs="Times New Roman"/>
          <w:lang w:eastAsia="en-GB"/>
        </w:rPr>
        <w:t>The Union's action on the international scene shall be guided by the principles which have inspired its own creation, development and enlargement, and which it seeks to advance in the wider world: democracy, the rule of law, the universality and indivisibility of human rights and fundamental freedoms, respect for human dignity, the principles of equality and solidarity, and respect for the principles of the United Nations Charter and international law</w:t>
      </w:r>
      <w:r>
        <w:rPr>
          <w:rFonts w:ascii="Times New Roman" w:eastAsia="Times New Roman" w:hAnsi="Times New Roman" w:cs="Times New Roman"/>
          <w:lang w:eastAsia="en-GB"/>
        </w:rPr>
        <w:t>.’</w:t>
      </w:r>
    </w:p>
  </w:footnote>
  <w:footnote w:id="11">
    <w:p w14:paraId="72452551" w14:textId="77777777" w:rsidR="00551BE1" w:rsidRPr="00727864" w:rsidRDefault="00551BE1" w:rsidP="00886163">
      <w:pPr>
        <w:pStyle w:val="NormalWeb"/>
        <w:rPr>
          <w:sz w:val="20"/>
          <w:szCs w:val="20"/>
        </w:rPr>
      </w:pPr>
      <w:r w:rsidRPr="00727864">
        <w:rPr>
          <w:rStyle w:val="FootnoteReference"/>
          <w:sz w:val="20"/>
          <w:szCs w:val="20"/>
        </w:rPr>
        <w:footnoteRef/>
      </w:r>
      <w:r w:rsidRPr="00727864">
        <w:rPr>
          <w:sz w:val="20"/>
          <w:szCs w:val="20"/>
        </w:rPr>
        <w:t xml:space="preserve"> Case C-266/16 </w:t>
      </w:r>
      <w:r w:rsidRPr="00727864">
        <w:rPr>
          <w:i/>
          <w:iCs/>
          <w:sz w:val="20"/>
          <w:szCs w:val="20"/>
        </w:rPr>
        <w:t xml:space="preserve">Western Sahara Campaign UK </w:t>
      </w:r>
      <w:r w:rsidRPr="00727864">
        <w:rPr>
          <w:sz w:val="20"/>
          <w:szCs w:val="20"/>
        </w:rPr>
        <w:t xml:space="preserve">EU:C:2018:118. </w:t>
      </w:r>
    </w:p>
    <w:p w14:paraId="61B58318" w14:textId="77777777" w:rsidR="00551BE1" w:rsidRPr="00727864" w:rsidRDefault="00551BE1" w:rsidP="00886163">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E541C"/>
    <w:multiLevelType w:val="hybridMultilevel"/>
    <w:tmpl w:val="5FCA538E"/>
    <w:lvl w:ilvl="0" w:tplc="D82EFF6C">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754BB"/>
    <w:multiLevelType w:val="hybridMultilevel"/>
    <w:tmpl w:val="B0CCF2C0"/>
    <w:lvl w:ilvl="0" w:tplc="9250A1D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0C149E"/>
    <w:multiLevelType w:val="hybridMultilevel"/>
    <w:tmpl w:val="6B0E7F46"/>
    <w:lvl w:ilvl="0" w:tplc="6B26203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2022E2"/>
    <w:multiLevelType w:val="hybridMultilevel"/>
    <w:tmpl w:val="7E04C66A"/>
    <w:lvl w:ilvl="0" w:tplc="5D6ECC84">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6218BD"/>
    <w:multiLevelType w:val="hybridMultilevel"/>
    <w:tmpl w:val="848A0AF0"/>
    <w:lvl w:ilvl="0" w:tplc="F6E67276">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DF2766"/>
    <w:multiLevelType w:val="hybridMultilevel"/>
    <w:tmpl w:val="933874FA"/>
    <w:lvl w:ilvl="0" w:tplc="CEA04864">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4661787">
    <w:abstractNumId w:val="5"/>
  </w:num>
  <w:num w:numId="2" w16cid:durableId="1211846103">
    <w:abstractNumId w:val="1"/>
  </w:num>
  <w:num w:numId="3" w16cid:durableId="58752151">
    <w:abstractNumId w:val="2"/>
  </w:num>
  <w:num w:numId="4" w16cid:durableId="833448988">
    <w:abstractNumId w:val="3"/>
  </w:num>
  <w:num w:numId="5" w16cid:durableId="2086874911">
    <w:abstractNumId w:val="4"/>
  </w:num>
  <w:num w:numId="6" w16cid:durableId="131776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22"/>
    <w:rsid w:val="00002831"/>
    <w:rsid w:val="000058F6"/>
    <w:rsid w:val="0003015D"/>
    <w:rsid w:val="00032A1A"/>
    <w:rsid w:val="00035479"/>
    <w:rsid w:val="0005240D"/>
    <w:rsid w:val="00066A84"/>
    <w:rsid w:val="000677E4"/>
    <w:rsid w:val="00070446"/>
    <w:rsid w:val="00070CC9"/>
    <w:rsid w:val="0009268C"/>
    <w:rsid w:val="00096BCF"/>
    <w:rsid w:val="000A4E80"/>
    <w:rsid w:val="000B35FF"/>
    <w:rsid w:val="000B50F7"/>
    <w:rsid w:val="000C7A0B"/>
    <w:rsid w:val="000F7F82"/>
    <w:rsid w:val="001079FD"/>
    <w:rsid w:val="00113C29"/>
    <w:rsid w:val="001157F9"/>
    <w:rsid w:val="00116925"/>
    <w:rsid w:val="0011788A"/>
    <w:rsid w:val="001356DF"/>
    <w:rsid w:val="001377DE"/>
    <w:rsid w:val="001425C4"/>
    <w:rsid w:val="0015735D"/>
    <w:rsid w:val="00160564"/>
    <w:rsid w:val="001612E7"/>
    <w:rsid w:val="00161379"/>
    <w:rsid w:val="00185BF2"/>
    <w:rsid w:val="001A0058"/>
    <w:rsid w:val="001A0B67"/>
    <w:rsid w:val="001B4EE9"/>
    <w:rsid w:val="001C0740"/>
    <w:rsid w:val="001D2F0F"/>
    <w:rsid w:val="001D657C"/>
    <w:rsid w:val="001F2D2D"/>
    <w:rsid w:val="00227EE3"/>
    <w:rsid w:val="0023321B"/>
    <w:rsid w:val="002352E7"/>
    <w:rsid w:val="00250F2B"/>
    <w:rsid w:val="00251D29"/>
    <w:rsid w:val="0025764E"/>
    <w:rsid w:val="002601BF"/>
    <w:rsid w:val="002632F1"/>
    <w:rsid w:val="002768DD"/>
    <w:rsid w:val="002769A0"/>
    <w:rsid w:val="00285A0F"/>
    <w:rsid w:val="002948B1"/>
    <w:rsid w:val="002A0DE5"/>
    <w:rsid w:val="002A20EA"/>
    <w:rsid w:val="002A2458"/>
    <w:rsid w:val="002A463B"/>
    <w:rsid w:val="002A7B9F"/>
    <w:rsid w:val="002F3A15"/>
    <w:rsid w:val="002F7EB0"/>
    <w:rsid w:val="00301C41"/>
    <w:rsid w:val="00303A57"/>
    <w:rsid w:val="003104CE"/>
    <w:rsid w:val="003314B3"/>
    <w:rsid w:val="003367B3"/>
    <w:rsid w:val="00341C83"/>
    <w:rsid w:val="00342914"/>
    <w:rsid w:val="003430AF"/>
    <w:rsid w:val="00346B75"/>
    <w:rsid w:val="00370F3D"/>
    <w:rsid w:val="00395483"/>
    <w:rsid w:val="003A15A7"/>
    <w:rsid w:val="003A57A7"/>
    <w:rsid w:val="003D3DAD"/>
    <w:rsid w:val="003D740E"/>
    <w:rsid w:val="003E2917"/>
    <w:rsid w:val="003E67ED"/>
    <w:rsid w:val="004036C2"/>
    <w:rsid w:val="00416D8B"/>
    <w:rsid w:val="00432216"/>
    <w:rsid w:val="004513EE"/>
    <w:rsid w:val="00454D18"/>
    <w:rsid w:val="004966D7"/>
    <w:rsid w:val="004976FC"/>
    <w:rsid w:val="004A01B8"/>
    <w:rsid w:val="004A2555"/>
    <w:rsid w:val="004A5657"/>
    <w:rsid w:val="004A6340"/>
    <w:rsid w:val="004B00B2"/>
    <w:rsid w:val="004B3995"/>
    <w:rsid w:val="004B7FC2"/>
    <w:rsid w:val="004C28AA"/>
    <w:rsid w:val="004D5009"/>
    <w:rsid w:val="004F02C6"/>
    <w:rsid w:val="005115ED"/>
    <w:rsid w:val="005124D6"/>
    <w:rsid w:val="005234D3"/>
    <w:rsid w:val="005343B3"/>
    <w:rsid w:val="00535FFB"/>
    <w:rsid w:val="00540D88"/>
    <w:rsid w:val="00551BE1"/>
    <w:rsid w:val="005613DC"/>
    <w:rsid w:val="00565E59"/>
    <w:rsid w:val="00576786"/>
    <w:rsid w:val="00581AB2"/>
    <w:rsid w:val="005D04B3"/>
    <w:rsid w:val="005E430D"/>
    <w:rsid w:val="00605F2C"/>
    <w:rsid w:val="006107EF"/>
    <w:rsid w:val="00621A44"/>
    <w:rsid w:val="00624AE1"/>
    <w:rsid w:val="00630F0B"/>
    <w:rsid w:val="00653CF9"/>
    <w:rsid w:val="006724AE"/>
    <w:rsid w:val="00682514"/>
    <w:rsid w:val="006870F2"/>
    <w:rsid w:val="006911A6"/>
    <w:rsid w:val="006A07FC"/>
    <w:rsid w:val="006C4C9D"/>
    <w:rsid w:val="006F4191"/>
    <w:rsid w:val="0070534F"/>
    <w:rsid w:val="007115A8"/>
    <w:rsid w:val="0071166E"/>
    <w:rsid w:val="00727864"/>
    <w:rsid w:val="00732722"/>
    <w:rsid w:val="00747D76"/>
    <w:rsid w:val="0076290B"/>
    <w:rsid w:val="00764641"/>
    <w:rsid w:val="007775E3"/>
    <w:rsid w:val="007853E9"/>
    <w:rsid w:val="007A3C41"/>
    <w:rsid w:val="007A3FE5"/>
    <w:rsid w:val="007B7A50"/>
    <w:rsid w:val="007D2647"/>
    <w:rsid w:val="007D79B2"/>
    <w:rsid w:val="007F2F66"/>
    <w:rsid w:val="008238A5"/>
    <w:rsid w:val="008338FA"/>
    <w:rsid w:val="00836545"/>
    <w:rsid w:val="00837B0B"/>
    <w:rsid w:val="00840357"/>
    <w:rsid w:val="00841579"/>
    <w:rsid w:val="00842E66"/>
    <w:rsid w:val="008465A5"/>
    <w:rsid w:val="008508FC"/>
    <w:rsid w:val="00861193"/>
    <w:rsid w:val="00866988"/>
    <w:rsid w:val="00880064"/>
    <w:rsid w:val="00880924"/>
    <w:rsid w:val="00880BC1"/>
    <w:rsid w:val="00886163"/>
    <w:rsid w:val="008C1F79"/>
    <w:rsid w:val="008D097F"/>
    <w:rsid w:val="008D5A86"/>
    <w:rsid w:val="008E6CF5"/>
    <w:rsid w:val="009040FB"/>
    <w:rsid w:val="00916655"/>
    <w:rsid w:val="00920416"/>
    <w:rsid w:val="00924FBD"/>
    <w:rsid w:val="0092712F"/>
    <w:rsid w:val="00930531"/>
    <w:rsid w:val="00934DD5"/>
    <w:rsid w:val="00966236"/>
    <w:rsid w:val="00967553"/>
    <w:rsid w:val="00990796"/>
    <w:rsid w:val="0099480E"/>
    <w:rsid w:val="009A21DA"/>
    <w:rsid w:val="009A62A6"/>
    <w:rsid w:val="009C27BA"/>
    <w:rsid w:val="009C4B58"/>
    <w:rsid w:val="009D1E6B"/>
    <w:rsid w:val="009E192D"/>
    <w:rsid w:val="009E3307"/>
    <w:rsid w:val="009E5421"/>
    <w:rsid w:val="009F5396"/>
    <w:rsid w:val="00A14551"/>
    <w:rsid w:val="00A20449"/>
    <w:rsid w:val="00A22EB9"/>
    <w:rsid w:val="00A31DEB"/>
    <w:rsid w:val="00A348AF"/>
    <w:rsid w:val="00A50E71"/>
    <w:rsid w:val="00A54CF6"/>
    <w:rsid w:val="00A60A3A"/>
    <w:rsid w:val="00A668F9"/>
    <w:rsid w:val="00A75FCF"/>
    <w:rsid w:val="00A909BA"/>
    <w:rsid w:val="00A95F81"/>
    <w:rsid w:val="00A96618"/>
    <w:rsid w:val="00A96BB1"/>
    <w:rsid w:val="00AC4184"/>
    <w:rsid w:val="00AC677E"/>
    <w:rsid w:val="00AF1623"/>
    <w:rsid w:val="00AF2D79"/>
    <w:rsid w:val="00AF696B"/>
    <w:rsid w:val="00B042C5"/>
    <w:rsid w:val="00B2039D"/>
    <w:rsid w:val="00B2061D"/>
    <w:rsid w:val="00B20E06"/>
    <w:rsid w:val="00B40428"/>
    <w:rsid w:val="00B53CC1"/>
    <w:rsid w:val="00B5687D"/>
    <w:rsid w:val="00B71006"/>
    <w:rsid w:val="00B73979"/>
    <w:rsid w:val="00B750B0"/>
    <w:rsid w:val="00B834DD"/>
    <w:rsid w:val="00B8459A"/>
    <w:rsid w:val="00B87B73"/>
    <w:rsid w:val="00B90174"/>
    <w:rsid w:val="00BB253C"/>
    <w:rsid w:val="00BB634A"/>
    <w:rsid w:val="00BC5852"/>
    <w:rsid w:val="00C002FE"/>
    <w:rsid w:val="00C3020B"/>
    <w:rsid w:val="00C32C3F"/>
    <w:rsid w:val="00C350E7"/>
    <w:rsid w:val="00C44494"/>
    <w:rsid w:val="00C73810"/>
    <w:rsid w:val="00C86C26"/>
    <w:rsid w:val="00C925A2"/>
    <w:rsid w:val="00CA6FC2"/>
    <w:rsid w:val="00CB479D"/>
    <w:rsid w:val="00CC5589"/>
    <w:rsid w:val="00CD31A1"/>
    <w:rsid w:val="00CF1F6C"/>
    <w:rsid w:val="00D13101"/>
    <w:rsid w:val="00D332E4"/>
    <w:rsid w:val="00D345BE"/>
    <w:rsid w:val="00D4025E"/>
    <w:rsid w:val="00D553F3"/>
    <w:rsid w:val="00D5604B"/>
    <w:rsid w:val="00D6459C"/>
    <w:rsid w:val="00D70915"/>
    <w:rsid w:val="00D71B4C"/>
    <w:rsid w:val="00D74056"/>
    <w:rsid w:val="00D74A35"/>
    <w:rsid w:val="00D7719E"/>
    <w:rsid w:val="00D851FC"/>
    <w:rsid w:val="00D93DC3"/>
    <w:rsid w:val="00D964F2"/>
    <w:rsid w:val="00D96913"/>
    <w:rsid w:val="00DB6AE0"/>
    <w:rsid w:val="00DF048D"/>
    <w:rsid w:val="00DF217E"/>
    <w:rsid w:val="00DF451E"/>
    <w:rsid w:val="00E00776"/>
    <w:rsid w:val="00E06516"/>
    <w:rsid w:val="00E1385C"/>
    <w:rsid w:val="00E142A4"/>
    <w:rsid w:val="00E35B0D"/>
    <w:rsid w:val="00E42136"/>
    <w:rsid w:val="00E43419"/>
    <w:rsid w:val="00E540A9"/>
    <w:rsid w:val="00E614C0"/>
    <w:rsid w:val="00E6188A"/>
    <w:rsid w:val="00E71BAA"/>
    <w:rsid w:val="00E745CA"/>
    <w:rsid w:val="00E83D03"/>
    <w:rsid w:val="00EC0EB5"/>
    <w:rsid w:val="00EC39D7"/>
    <w:rsid w:val="00EC65A9"/>
    <w:rsid w:val="00EE2221"/>
    <w:rsid w:val="00EF022D"/>
    <w:rsid w:val="00F07A1B"/>
    <w:rsid w:val="00F172A8"/>
    <w:rsid w:val="00F22A0F"/>
    <w:rsid w:val="00F31CA9"/>
    <w:rsid w:val="00F36863"/>
    <w:rsid w:val="00F47B65"/>
    <w:rsid w:val="00F52571"/>
    <w:rsid w:val="00F61A48"/>
    <w:rsid w:val="00F65BB4"/>
    <w:rsid w:val="00F83B32"/>
    <w:rsid w:val="00F92338"/>
    <w:rsid w:val="00F92CDF"/>
    <w:rsid w:val="00F956E3"/>
    <w:rsid w:val="00F96E8F"/>
    <w:rsid w:val="00F97679"/>
    <w:rsid w:val="00FA13A0"/>
    <w:rsid w:val="00FA3631"/>
    <w:rsid w:val="00FA3D2D"/>
    <w:rsid w:val="00FA5C0E"/>
    <w:rsid w:val="00FB0A43"/>
    <w:rsid w:val="00FF0677"/>
    <w:rsid w:val="00FF5D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754F6A2"/>
  <w15:chartTrackingRefBased/>
  <w15:docId w15:val="{5E860D07-39CD-6E49-986A-41EC6E31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722"/>
    <w:pPr>
      <w:ind w:left="720"/>
      <w:contextualSpacing/>
    </w:pPr>
  </w:style>
  <w:style w:type="paragraph" w:styleId="NormalWeb">
    <w:name w:val="Normal (Web)"/>
    <w:basedOn w:val="Normal"/>
    <w:uiPriority w:val="99"/>
    <w:unhideWhenUsed/>
    <w:rsid w:val="00924FBD"/>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aliases w:val="fn Char,fn,Footnote Text Char Char,Footnote Text Char Char Char,Footnote Text Char1 Char Char Char,Footnote Text Char1 Char Char,Footnote Text Char1 Char Char Char Char Char Char Char Cha Char Char Char Char Char Char Char Char Char Char"/>
    <w:basedOn w:val="Normal"/>
    <w:link w:val="FootnoteTextChar"/>
    <w:uiPriority w:val="99"/>
    <w:unhideWhenUsed/>
    <w:qFormat/>
    <w:rsid w:val="00E71BAA"/>
    <w:rPr>
      <w:sz w:val="20"/>
      <w:szCs w:val="20"/>
    </w:rPr>
  </w:style>
  <w:style w:type="character" w:customStyle="1" w:styleId="FootnoteTextChar">
    <w:name w:val="Footnote Text Char"/>
    <w:aliases w:val="fn Char Char,fn Char1,Footnote Text Char Char Char1,Footnote Text Char Char Char Char,Footnote Text Char1 Char Char Char Char,Footnote Text Char1 Char Char Char1"/>
    <w:basedOn w:val="DefaultParagraphFont"/>
    <w:link w:val="FootnoteText"/>
    <w:uiPriority w:val="99"/>
    <w:qFormat/>
    <w:rsid w:val="00E71BAA"/>
    <w:rPr>
      <w:sz w:val="20"/>
      <w:szCs w:val="20"/>
    </w:rPr>
  </w:style>
  <w:style w:type="character" w:styleId="FootnoteReference">
    <w:name w:val="footnote reference"/>
    <w:aliases w:val="Ref,de nota al pie,FZ,Style 13,Heading 4 Char1 Char,Heading 4 Char Char Char Char,Char Char Char Char,Car Car4,Heading 4 Char Char Char,Header Char1,4_G,Footnote reference Char,FA Fu Char,FA Char,Char1,Footnote,Footnote symbol,R,FR"/>
    <w:basedOn w:val="DefaultParagraphFont"/>
    <w:uiPriority w:val="99"/>
    <w:unhideWhenUsed/>
    <w:qFormat/>
    <w:rsid w:val="00E71BAA"/>
    <w:rPr>
      <w:vertAlign w:val="superscript"/>
    </w:rPr>
  </w:style>
  <w:style w:type="table" w:styleId="TableGrid">
    <w:name w:val="Table Grid"/>
    <w:basedOn w:val="TableNormal"/>
    <w:uiPriority w:val="39"/>
    <w:rsid w:val="00257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68F9"/>
    <w:rPr>
      <w:sz w:val="16"/>
      <w:szCs w:val="16"/>
    </w:rPr>
  </w:style>
  <w:style w:type="paragraph" w:styleId="CommentText">
    <w:name w:val="annotation text"/>
    <w:basedOn w:val="Normal"/>
    <w:link w:val="CommentTextChar"/>
    <w:uiPriority w:val="99"/>
    <w:semiHidden/>
    <w:unhideWhenUsed/>
    <w:rsid w:val="00A668F9"/>
    <w:rPr>
      <w:sz w:val="20"/>
      <w:szCs w:val="20"/>
    </w:rPr>
  </w:style>
  <w:style w:type="character" w:customStyle="1" w:styleId="CommentTextChar">
    <w:name w:val="Comment Text Char"/>
    <w:basedOn w:val="DefaultParagraphFont"/>
    <w:link w:val="CommentText"/>
    <w:uiPriority w:val="99"/>
    <w:semiHidden/>
    <w:rsid w:val="00A668F9"/>
    <w:rPr>
      <w:sz w:val="20"/>
      <w:szCs w:val="20"/>
    </w:rPr>
  </w:style>
  <w:style w:type="paragraph" w:styleId="CommentSubject">
    <w:name w:val="annotation subject"/>
    <w:basedOn w:val="CommentText"/>
    <w:next w:val="CommentText"/>
    <w:link w:val="CommentSubjectChar"/>
    <w:uiPriority w:val="99"/>
    <w:semiHidden/>
    <w:unhideWhenUsed/>
    <w:rsid w:val="00A668F9"/>
    <w:rPr>
      <w:b/>
      <w:bCs/>
    </w:rPr>
  </w:style>
  <w:style w:type="character" w:customStyle="1" w:styleId="CommentSubjectChar">
    <w:name w:val="Comment Subject Char"/>
    <w:basedOn w:val="CommentTextChar"/>
    <w:link w:val="CommentSubject"/>
    <w:uiPriority w:val="99"/>
    <w:semiHidden/>
    <w:rsid w:val="00A668F9"/>
    <w:rPr>
      <w:b/>
      <w:bCs/>
      <w:sz w:val="20"/>
      <w:szCs w:val="20"/>
    </w:rPr>
  </w:style>
  <w:style w:type="paragraph" w:styleId="Bibliography">
    <w:name w:val="Bibliography"/>
    <w:basedOn w:val="Normal"/>
    <w:next w:val="Normal"/>
    <w:uiPriority w:val="37"/>
    <w:unhideWhenUsed/>
    <w:rsid w:val="00E6188A"/>
    <w:pPr>
      <w:spacing w:after="240"/>
      <w:ind w:left="720" w:hanging="720"/>
    </w:pPr>
  </w:style>
  <w:style w:type="paragraph" w:styleId="BalloonText">
    <w:name w:val="Balloon Text"/>
    <w:basedOn w:val="Normal"/>
    <w:link w:val="BalloonTextChar"/>
    <w:uiPriority w:val="99"/>
    <w:semiHidden/>
    <w:unhideWhenUsed/>
    <w:rsid w:val="00F976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7679"/>
    <w:rPr>
      <w:rFonts w:ascii="Times New Roman" w:hAnsi="Times New Roman" w:cs="Times New Roman"/>
      <w:sz w:val="18"/>
      <w:szCs w:val="18"/>
    </w:rPr>
  </w:style>
  <w:style w:type="paragraph" w:styleId="Revision">
    <w:name w:val="Revision"/>
    <w:hidden/>
    <w:uiPriority w:val="99"/>
    <w:semiHidden/>
    <w:rsid w:val="006F4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8484">
      <w:bodyDiv w:val="1"/>
      <w:marLeft w:val="0"/>
      <w:marRight w:val="0"/>
      <w:marTop w:val="0"/>
      <w:marBottom w:val="0"/>
      <w:divBdr>
        <w:top w:val="none" w:sz="0" w:space="0" w:color="auto"/>
        <w:left w:val="none" w:sz="0" w:space="0" w:color="auto"/>
        <w:bottom w:val="none" w:sz="0" w:space="0" w:color="auto"/>
        <w:right w:val="none" w:sz="0" w:space="0" w:color="auto"/>
      </w:divBdr>
      <w:divsChild>
        <w:div w:id="1795169295">
          <w:marLeft w:val="0"/>
          <w:marRight w:val="0"/>
          <w:marTop w:val="0"/>
          <w:marBottom w:val="0"/>
          <w:divBdr>
            <w:top w:val="none" w:sz="0" w:space="0" w:color="auto"/>
            <w:left w:val="none" w:sz="0" w:space="0" w:color="auto"/>
            <w:bottom w:val="none" w:sz="0" w:space="0" w:color="auto"/>
            <w:right w:val="none" w:sz="0" w:space="0" w:color="auto"/>
          </w:divBdr>
          <w:divsChild>
            <w:div w:id="769397634">
              <w:marLeft w:val="0"/>
              <w:marRight w:val="0"/>
              <w:marTop w:val="0"/>
              <w:marBottom w:val="0"/>
              <w:divBdr>
                <w:top w:val="none" w:sz="0" w:space="0" w:color="auto"/>
                <w:left w:val="none" w:sz="0" w:space="0" w:color="auto"/>
                <w:bottom w:val="none" w:sz="0" w:space="0" w:color="auto"/>
                <w:right w:val="none" w:sz="0" w:space="0" w:color="auto"/>
              </w:divBdr>
              <w:divsChild>
                <w:div w:id="4081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7271">
      <w:bodyDiv w:val="1"/>
      <w:marLeft w:val="0"/>
      <w:marRight w:val="0"/>
      <w:marTop w:val="0"/>
      <w:marBottom w:val="0"/>
      <w:divBdr>
        <w:top w:val="none" w:sz="0" w:space="0" w:color="auto"/>
        <w:left w:val="none" w:sz="0" w:space="0" w:color="auto"/>
        <w:bottom w:val="none" w:sz="0" w:space="0" w:color="auto"/>
        <w:right w:val="none" w:sz="0" w:space="0" w:color="auto"/>
      </w:divBdr>
      <w:divsChild>
        <w:div w:id="737244292">
          <w:marLeft w:val="0"/>
          <w:marRight w:val="0"/>
          <w:marTop w:val="0"/>
          <w:marBottom w:val="0"/>
          <w:divBdr>
            <w:top w:val="none" w:sz="0" w:space="0" w:color="auto"/>
            <w:left w:val="none" w:sz="0" w:space="0" w:color="auto"/>
            <w:bottom w:val="none" w:sz="0" w:space="0" w:color="auto"/>
            <w:right w:val="none" w:sz="0" w:space="0" w:color="auto"/>
          </w:divBdr>
          <w:divsChild>
            <w:div w:id="1542742888">
              <w:marLeft w:val="0"/>
              <w:marRight w:val="0"/>
              <w:marTop w:val="0"/>
              <w:marBottom w:val="0"/>
              <w:divBdr>
                <w:top w:val="none" w:sz="0" w:space="0" w:color="auto"/>
                <w:left w:val="none" w:sz="0" w:space="0" w:color="auto"/>
                <w:bottom w:val="none" w:sz="0" w:space="0" w:color="auto"/>
                <w:right w:val="none" w:sz="0" w:space="0" w:color="auto"/>
              </w:divBdr>
              <w:divsChild>
                <w:div w:id="13711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1206">
      <w:bodyDiv w:val="1"/>
      <w:marLeft w:val="0"/>
      <w:marRight w:val="0"/>
      <w:marTop w:val="0"/>
      <w:marBottom w:val="0"/>
      <w:divBdr>
        <w:top w:val="none" w:sz="0" w:space="0" w:color="auto"/>
        <w:left w:val="none" w:sz="0" w:space="0" w:color="auto"/>
        <w:bottom w:val="none" w:sz="0" w:space="0" w:color="auto"/>
        <w:right w:val="none" w:sz="0" w:space="0" w:color="auto"/>
      </w:divBdr>
      <w:divsChild>
        <w:div w:id="1085227316">
          <w:marLeft w:val="0"/>
          <w:marRight w:val="0"/>
          <w:marTop w:val="0"/>
          <w:marBottom w:val="0"/>
          <w:divBdr>
            <w:top w:val="none" w:sz="0" w:space="0" w:color="auto"/>
            <w:left w:val="none" w:sz="0" w:space="0" w:color="auto"/>
            <w:bottom w:val="none" w:sz="0" w:space="0" w:color="auto"/>
            <w:right w:val="none" w:sz="0" w:space="0" w:color="auto"/>
          </w:divBdr>
          <w:divsChild>
            <w:div w:id="633216140">
              <w:marLeft w:val="0"/>
              <w:marRight w:val="0"/>
              <w:marTop w:val="0"/>
              <w:marBottom w:val="0"/>
              <w:divBdr>
                <w:top w:val="none" w:sz="0" w:space="0" w:color="auto"/>
                <w:left w:val="none" w:sz="0" w:space="0" w:color="auto"/>
                <w:bottom w:val="none" w:sz="0" w:space="0" w:color="auto"/>
                <w:right w:val="none" w:sz="0" w:space="0" w:color="auto"/>
              </w:divBdr>
              <w:divsChild>
                <w:div w:id="404835821">
                  <w:marLeft w:val="0"/>
                  <w:marRight w:val="0"/>
                  <w:marTop w:val="0"/>
                  <w:marBottom w:val="0"/>
                  <w:divBdr>
                    <w:top w:val="none" w:sz="0" w:space="0" w:color="auto"/>
                    <w:left w:val="none" w:sz="0" w:space="0" w:color="auto"/>
                    <w:bottom w:val="none" w:sz="0" w:space="0" w:color="auto"/>
                    <w:right w:val="none" w:sz="0" w:space="0" w:color="auto"/>
                  </w:divBdr>
                  <w:divsChild>
                    <w:div w:id="2484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3717">
      <w:bodyDiv w:val="1"/>
      <w:marLeft w:val="0"/>
      <w:marRight w:val="0"/>
      <w:marTop w:val="0"/>
      <w:marBottom w:val="0"/>
      <w:divBdr>
        <w:top w:val="none" w:sz="0" w:space="0" w:color="auto"/>
        <w:left w:val="none" w:sz="0" w:space="0" w:color="auto"/>
        <w:bottom w:val="none" w:sz="0" w:space="0" w:color="auto"/>
        <w:right w:val="none" w:sz="0" w:space="0" w:color="auto"/>
      </w:divBdr>
    </w:div>
    <w:div w:id="262810758">
      <w:bodyDiv w:val="1"/>
      <w:marLeft w:val="0"/>
      <w:marRight w:val="0"/>
      <w:marTop w:val="0"/>
      <w:marBottom w:val="0"/>
      <w:divBdr>
        <w:top w:val="none" w:sz="0" w:space="0" w:color="auto"/>
        <w:left w:val="none" w:sz="0" w:space="0" w:color="auto"/>
        <w:bottom w:val="none" w:sz="0" w:space="0" w:color="auto"/>
        <w:right w:val="none" w:sz="0" w:space="0" w:color="auto"/>
      </w:divBdr>
      <w:divsChild>
        <w:div w:id="1356731410">
          <w:marLeft w:val="0"/>
          <w:marRight w:val="0"/>
          <w:marTop w:val="0"/>
          <w:marBottom w:val="0"/>
          <w:divBdr>
            <w:top w:val="none" w:sz="0" w:space="0" w:color="auto"/>
            <w:left w:val="none" w:sz="0" w:space="0" w:color="auto"/>
            <w:bottom w:val="none" w:sz="0" w:space="0" w:color="auto"/>
            <w:right w:val="none" w:sz="0" w:space="0" w:color="auto"/>
          </w:divBdr>
          <w:divsChild>
            <w:div w:id="1033191831">
              <w:marLeft w:val="0"/>
              <w:marRight w:val="0"/>
              <w:marTop w:val="0"/>
              <w:marBottom w:val="0"/>
              <w:divBdr>
                <w:top w:val="none" w:sz="0" w:space="0" w:color="auto"/>
                <w:left w:val="none" w:sz="0" w:space="0" w:color="auto"/>
                <w:bottom w:val="none" w:sz="0" w:space="0" w:color="auto"/>
                <w:right w:val="none" w:sz="0" w:space="0" w:color="auto"/>
              </w:divBdr>
              <w:divsChild>
                <w:div w:id="66652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80653">
      <w:bodyDiv w:val="1"/>
      <w:marLeft w:val="0"/>
      <w:marRight w:val="0"/>
      <w:marTop w:val="0"/>
      <w:marBottom w:val="0"/>
      <w:divBdr>
        <w:top w:val="none" w:sz="0" w:space="0" w:color="auto"/>
        <w:left w:val="none" w:sz="0" w:space="0" w:color="auto"/>
        <w:bottom w:val="none" w:sz="0" w:space="0" w:color="auto"/>
        <w:right w:val="none" w:sz="0" w:space="0" w:color="auto"/>
      </w:divBdr>
    </w:div>
    <w:div w:id="271208297">
      <w:bodyDiv w:val="1"/>
      <w:marLeft w:val="0"/>
      <w:marRight w:val="0"/>
      <w:marTop w:val="0"/>
      <w:marBottom w:val="0"/>
      <w:divBdr>
        <w:top w:val="none" w:sz="0" w:space="0" w:color="auto"/>
        <w:left w:val="none" w:sz="0" w:space="0" w:color="auto"/>
        <w:bottom w:val="none" w:sz="0" w:space="0" w:color="auto"/>
        <w:right w:val="none" w:sz="0" w:space="0" w:color="auto"/>
      </w:divBdr>
    </w:div>
    <w:div w:id="306741206">
      <w:bodyDiv w:val="1"/>
      <w:marLeft w:val="0"/>
      <w:marRight w:val="0"/>
      <w:marTop w:val="0"/>
      <w:marBottom w:val="0"/>
      <w:divBdr>
        <w:top w:val="none" w:sz="0" w:space="0" w:color="auto"/>
        <w:left w:val="none" w:sz="0" w:space="0" w:color="auto"/>
        <w:bottom w:val="none" w:sz="0" w:space="0" w:color="auto"/>
        <w:right w:val="none" w:sz="0" w:space="0" w:color="auto"/>
      </w:divBdr>
      <w:divsChild>
        <w:div w:id="194076355">
          <w:marLeft w:val="0"/>
          <w:marRight w:val="0"/>
          <w:marTop w:val="0"/>
          <w:marBottom w:val="0"/>
          <w:divBdr>
            <w:top w:val="none" w:sz="0" w:space="0" w:color="auto"/>
            <w:left w:val="none" w:sz="0" w:space="0" w:color="auto"/>
            <w:bottom w:val="none" w:sz="0" w:space="0" w:color="auto"/>
            <w:right w:val="none" w:sz="0" w:space="0" w:color="auto"/>
          </w:divBdr>
          <w:divsChild>
            <w:div w:id="797407601">
              <w:marLeft w:val="0"/>
              <w:marRight w:val="0"/>
              <w:marTop w:val="0"/>
              <w:marBottom w:val="0"/>
              <w:divBdr>
                <w:top w:val="none" w:sz="0" w:space="0" w:color="auto"/>
                <w:left w:val="none" w:sz="0" w:space="0" w:color="auto"/>
                <w:bottom w:val="none" w:sz="0" w:space="0" w:color="auto"/>
                <w:right w:val="none" w:sz="0" w:space="0" w:color="auto"/>
              </w:divBdr>
              <w:divsChild>
                <w:div w:id="1093823670">
                  <w:marLeft w:val="0"/>
                  <w:marRight w:val="0"/>
                  <w:marTop w:val="0"/>
                  <w:marBottom w:val="0"/>
                  <w:divBdr>
                    <w:top w:val="none" w:sz="0" w:space="0" w:color="auto"/>
                    <w:left w:val="none" w:sz="0" w:space="0" w:color="auto"/>
                    <w:bottom w:val="none" w:sz="0" w:space="0" w:color="auto"/>
                    <w:right w:val="none" w:sz="0" w:space="0" w:color="auto"/>
                  </w:divBdr>
                  <w:divsChild>
                    <w:div w:id="16870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20558">
      <w:bodyDiv w:val="1"/>
      <w:marLeft w:val="0"/>
      <w:marRight w:val="0"/>
      <w:marTop w:val="0"/>
      <w:marBottom w:val="0"/>
      <w:divBdr>
        <w:top w:val="none" w:sz="0" w:space="0" w:color="auto"/>
        <w:left w:val="none" w:sz="0" w:space="0" w:color="auto"/>
        <w:bottom w:val="none" w:sz="0" w:space="0" w:color="auto"/>
        <w:right w:val="none" w:sz="0" w:space="0" w:color="auto"/>
      </w:divBdr>
      <w:divsChild>
        <w:div w:id="1528831672">
          <w:marLeft w:val="0"/>
          <w:marRight w:val="0"/>
          <w:marTop w:val="0"/>
          <w:marBottom w:val="0"/>
          <w:divBdr>
            <w:top w:val="none" w:sz="0" w:space="0" w:color="auto"/>
            <w:left w:val="none" w:sz="0" w:space="0" w:color="auto"/>
            <w:bottom w:val="none" w:sz="0" w:space="0" w:color="auto"/>
            <w:right w:val="none" w:sz="0" w:space="0" w:color="auto"/>
          </w:divBdr>
          <w:divsChild>
            <w:div w:id="781609063">
              <w:marLeft w:val="0"/>
              <w:marRight w:val="0"/>
              <w:marTop w:val="0"/>
              <w:marBottom w:val="0"/>
              <w:divBdr>
                <w:top w:val="none" w:sz="0" w:space="0" w:color="auto"/>
                <w:left w:val="none" w:sz="0" w:space="0" w:color="auto"/>
                <w:bottom w:val="none" w:sz="0" w:space="0" w:color="auto"/>
                <w:right w:val="none" w:sz="0" w:space="0" w:color="auto"/>
              </w:divBdr>
              <w:divsChild>
                <w:div w:id="7166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02508">
      <w:bodyDiv w:val="1"/>
      <w:marLeft w:val="0"/>
      <w:marRight w:val="0"/>
      <w:marTop w:val="0"/>
      <w:marBottom w:val="0"/>
      <w:divBdr>
        <w:top w:val="none" w:sz="0" w:space="0" w:color="auto"/>
        <w:left w:val="none" w:sz="0" w:space="0" w:color="auto"/>
        <w:bottom w:val="none" w:sz="0" w:space="0" w:color="auto"/>
        <w:right w:val="none" w:sz="0" w:space="0" w:color="auto"/>
      </w:divBdr>
      <w:divsChild>
        <w:div w:id="866719699">
          <w:marLeft w:val="0"/>
          <w:marRight w:val="0"/>
          <w:marTop w:val="0"/>
          <w:marBottom w:val="0"/>
          <w:divBdr>
            <w:top w:val="none" w:sz="0" w:space="0" w:color="auto"/>
            <w:left w:val="none" w:sz="0" w:space="0" w:color="auto"/>
            <w:bottom w:val="none" w:sz="0" w:space="0" w:color="auto"/>
            <w:right w:val="none" w:sz="0" w:space="0" w:color="auto"/>
          </w:divBdr>
          <w:divsChild>
            <w:div w:id="2089183190">
              <w:marLeft w:val="0"/>
              <w:marRight w:val="0"/>
              <w:marTop w:val="0"/>
              <w:marBottom w:val="0"/>
              <w:divBdr>
                <w:top w:val="none" w:sz="0" w:space="0" w:color="auto"/>
                <w:left w:val="none" w:sz="0" w:space="0" w:color="auto"/>
                <w:bottom w:val="none" w:sz="0" w:space="0" w:color="auto"/>
                <w:right w:val="none" w:sz="0" w:space="0" w:color="auto"/>
              </w:divBdr>
              <w:divsChild>
                <w:div w:id="6640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257905">
      <w:bodyDiv w:val="1"/>
      <w:marLeft w:val="0"/>
      <w:marRight w:val="0"/>
      <w:marTop w:val="0"/>
      <w:marBottom w:val="0"/>
      <w:divBdr>
        <w:top w:val="none" w:sz="0" w:space="0" w:color="auto"/>
        <w:left w:val="none" w:sz="0" w:space="0" w:color="auto"/>
        <w:bottom w:val="none" w:sz="0" w:space="0" w:color="auto"/>
        <w:right w:val="none" w:sz="0" w:space="0" w:color="auto"/>
      </w:divBdr>
      <w:divsChild>
        <w:div w:id="588734538">
          <w:marLeft w:val="0"/>
          <w:marRight w:val="0"/>
          <w:marTop w:val="0"/>
          <w:marBottom w:val="0"/>
          <w:divBdr>
            <w:top w:val="none" w:sz="0" w:space="0" w:color="auto"/>
            <w:left w:val="none" w:sz="0" w:space="0" w:color="auto"/>
            <w:bottom w:val="none" w:sz="0" w:space="0" w:color="auto"/>
            <w:right w:val="none" w:sz="0" w:space="0" w:color="auto"/>
          </w:divBdr>
          <w:divsChild>
            <w:div w:id="163857607">
              <w:marLeft w:val="0"/>
              <w:marRight w:val="0"/>
              <w:marTop w:val="0"/>
              <w:marBottom w:val="0"/>
              <w:divBdr>
                <w:top w:val="none" w:sz="0" w:space="0" w:color="auto"/>
                <w:left w:val="none" w:sz="0" w:space="0" w:color="auto"/>
                <w:bottom w:val="none" w:sz="0" w:space="0" w:color="auto"/>
                <w:right w:val="none" w:sz="0" w:space="0" w:color="auto"/>
              </w:divBdr>
              <w:divsChild>
                <w:div w:id="9561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20099">
      <w:bodyDiv w:val="1"/>
      <w:marLeft w:val="0"/>
      <w:marRight w:val="0"/>
      <w:marTop w:val="0"/>
      <w:marBottom w:val="0"/>
      <w:divBdr>
        <w:top w:val="none" w:sz="0" w:space="0" w:color="auto"/>
        <w:left w:val="none" w:sz="0" w:space="0" w:color="auto"/>
        <w:bottom w:val="none" w:sz="0" w:space="0" w:color="auto"/>
        <w:right w:val="none" w:sz="0" w:space="0" w:color="auto"/>
      </w:divBdr>
      <w:divsChild>
        <w:div w:id="127014641">
          <w:marLeft w:val="0"/>
          <w:marRight w:val="0"/>
          <w:marTop w:val="0"/>
          <w:marBottom w:val="0"/>
          <w:divBdr>
            <w:top w:val="none" w:sz="0" w:space="0" w:color="auto"/>
            <w:left w:val="none" w:sz="0" w:space="0" w:color="auto"/>
            <w:bottom w:val="none" w:sz="0" w:space="0" w:color="auto"/>
            <w:right w:val="none" w:sz="0" w:space="0" w:color="auto"/>
          </w:divBdr>
          <w:divsChild>
            <w:div w:id="1414358544">
              <w:marLeft w:val="0"/>
              <w:marRight w:val="0"/>
              <w:marTop w:val="0"/>
              <w:marBottom w:val="0"/>
              <w:divBdr>
                <w:top w:val="none" w:sz="0" w:space="0" w:color="auto"/>
                <w:left w:val="none" w:sz="0" w:space="0" w:color="auto"/>
                <w:bottom w:val="none" w:sz="0" w:space="0" w:color="auto"/>
                <w:right w:val="none" w:sz="0" w:space="0" w:color="auto"/>
              </w:divBdr>
              <w:divsChild>
                <w:div w:id="4996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464293">
      <w:bodyDiv w:val="1"/>
      <w:marLeft w:val="0"/>
      <w:marRight w:val="0"/>
      <w:marTop w:val="0"/>
      <w:marBottom w:val="0"/>
      <w:divBdr>
        <w:top w:val="none" w:sz="0" w:space="0" w:color="auto"/>
        <w:left w:val="none" w:sz="0" w:space="0" w:color="auto"/>
        <w:bottom w:val="none" w:sz="0" w:space="0" w:color="auto"/>
        <w:right w:val="none" w:sz="0" w:space="0" w:color="auto"/>
      </w:divBdr>
      <w:divsChild>
        <w:div w:id="1787389613">
          <w:marLeft w:val="0"/>
          <w:marRight w:val="0"/>
          <w:marTop w:val="0"/>
          <w:marBottom w:val="0"/>
          <w:divBdr>
            <w:top w:val="none" w:sz="0" w:space="0" w:color="auto"/>
            <w:left w:val="none" w:sz="0" w:space="0" w:color="auto"/>
            <w:bottom w:val="none" w:sz="0" w:space="0" w:color="auto"/>
            <w:right w:val="none" w:sz="0" w:space="0" w:color="auto"/>
          </w:divBdr>
          <w:divsChild>
            <w:div w:id="2081705492">
              <w:marLeft w:val="0"/>
              <w:marRight w:val="0"/>
              <w:marTop w:val="0"/>
              <w:marBottom w:val="0"/>
              <w:divBdr>
                <w:top w:val="none" w:sz="0" w:space="0" w:color="auto"/>
                <w:left w:val="none" w:sz="0" w:space="0" w:color="auto"/>
                <w:bottom w:val="none" w:sz="0" w:space="0" w:color="auto"/>
                <w:right w:val="none" w:sz="0" w:space="0" w:color="auto"/>
              </w:divBdr>
              <w:divsChild>
                <w:div w:id="1124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18320">
      <w:bodyDiv w:val="1"/>
      <w:marLeft w:val="0"/>
      <w:marRight w:val="0"/>
      <w:marTop w:val="0"/>
      <w:marBottom w:val="0"/>
      <w:divBdr>
        <w:top w:val="none" w:sz="0" w:space="0" w:color="auto"/>
        <w:left w:val="none" w:sz="0" w:space="0" w:color="auto"/>
        <w:bottom w:val="none" w:sz="0" w:space="0" w:color="auto"/>
        <w:right w:val="none" w:sz="0" w:space="0" w:color="auto"/>
      </w:divBdr>
      <w:divsChild>
        <w:div w:id="426119567">
          <w:marLeft w:val="0"/>
          <w:marRight w:val="0"/>
          <w:marTop w:val="0"/>
          <w:marBottom w:val="0"/>
          <w:divBdr>
            <w:top w:val="none" w:sz="0" w:space="0" w:color="auto"/>
            <w:left w:val="none" w:sz="0" w:space="0" w:color="auto"/>
            <w:bottom w:val="none" w:sz="0" w:space="0" w:color="auto"/>
            <w:right w:val="none" w:sz="0" w:space="0" w:color="auto"/>
          </w:divBdr>
          <w:divsChild>
            <w:div w:id="1218009885">
              <w:marLeft w:val="0"/>
              <w:marRight w:val="0"/>
              <w:marTop w:val="0"/>
              <w:marBottom w:val="0"/>
              <w:divBdr>
                <w:top w:val="none" w:sz="0" w:space="0" w:color="auto"/>
                <w:left w:val="none" w:sz="0" w:space="0" w:color="auto"/>
                <w:bottom w:val="none" w:sz="0" w:space="0" w:color="auto"/>
                <w:right w:val="none" w:sz="0" w:space="0" w:color="auto"/>
              </w:divBdr>
              <w:divsChild>
                <w:div w:id="12070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5816">
      <w:bodyDiv w:val="1"/>
      <w:marLeft w:val="0"/>
      <w:marRight w:val="0"/>
      <w:marTop w:val="0"/>
      <w:marBottom w:val="0"/>
      <w:divBdr>
        <w:top w:val="none" w:sz="0" w:space="0" w:color="auto"/>
        <w:left w:val="none" w:sz="0" w:space="0" w:color="auto"/>
        <w:bottom w:val="none" w:sz="0" w:space="0" w:color="auto"/>
        <w:right w:val="none" w:sz="0" w:space="0" w:color="auto"/>
      </w:divBdr>
    </w:div>
    <w:div w:id="636375838">
      <w:bodyDiv w:val="1"/>
      <w:marLeft w:val="0"/>
      <w:marRight w:val="0"/>
      <w:marTop w:val="0"/>
      <w:marBottom w:val="0"/>
      <w:divBdr>
        <w:top w:val="none" w:sz="0" w:space="0" w:color="auto"/>
        <w:left w:val="none" w:sz="0" w:space="0" w:color="auto"/>
        <w:bottom w:val="none" w:sz="0" w:space="0" w:color="auto"/>
        <w:right w:val="none" w:sz="0" w:space="0" w:color="auto"/>
      </w:divBdr>
    </w:div>
    <w:div w:id="637952148">
      <w:bodyDiv w:val="1"/>
      <w:marLeft w:val="0"/>
      <w:marRight w:val="0"/>
      <w:marTop w:val="0"/>
      <w:marBottom w:val="0"/>
      <w:divBdr>
        <w:top w:val="none" w:sz="0" w:space="0" w:color="auto"/>
        <w:left w:val="none" w:sz="0" w:space="0" w:color="auto"/>
        <w:bottom w:val="none" w:sz="0" w:space="0" w:color="auto"/>
        <w:right w:val="none" w:sz="0" w:space="0" w:color="auto"/>
      </w:divBdr>
      <w:divsChild>
        <w:div w:id="20202405">
          <w:marLeft w:val="0"/>
          <w:marRight w:val="0"/>
          <w:marTop w:val="0"/>
          <w:marBottom w:val="0"/>
          <w:divBdr>
            <w:top w:val="none" w:sz="0" w:space="0" w:color="auto"/>
            <w:left w:val="none" w:sz="0" w:space="0" w:color="auto"/>
            <w:bottom w:val="none" w:sz="0" w:space="0" w:color="auto"/>
            <w:right w:val="none" w:sz="0" w:space="0" w:color="auto"/>
          </w:divBdr>
          <w:divsChild>
            <w:div w:id="236211912">
              <w:marLeft w:val="0"/>
              <w:marRight w:val="0"/>
              <w:marTop w:val="0"/>
              <w:marBottom w:val="0"/>
              <w:divBdr>
                <w:top w:val="none" w:sz="0" w:space="0" w:color="auto"/>
                <w:left w:val="none" w:sz="0" w:space="0" w:color="auto"/>
                <w:bottom w:val="none" w:sz="0" w:space="0" w:color="auto"/>
                <w:right w:val="none" w:sz="0" w:space="0" w:color="auto"/>
              </w:divBdr>
              <w:divsChild>
                <w:div w:id="106279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30727">
      <w:bodyDiv w:val="1"/>
      <w:marLeft w:val="0"/>
      <w:marRight w:val="0"/>
      <w:marTop w:val="0"/>
      <w:marBottom w:val="0"/>
      <w:divBdr>
        <w:top w:val="none" w:sz="0" w:space="0" w:color="auto"/>
        <w:left w:val="none" w:sz="0" w:space="0" w:color="auto"/>
        <w:bottom w:val="none" w:sz="0" w:space="0" w:color="auto"/>
        <w:right w:val="none" w:sz="0" w:space="0" w:color="auto"/>
      </w:divBdr>
    </w:div>
    <w:div w:id="754008900">
      <w:bodyDiv w:val="1"/>
      <w:marLeft w:val="0"/>
      <w:marRight w:val="0"/>
      <w:marTop w:val="0"/>
      <w:marBottom w:val="0"/>
      <w:divBdr>
        <w:top w:val="none" w:sz="0" w:space="0" w:color="auto"/>
        <w:left w:val="none" w:sz="0" w:space="0" w:color="auto"/>
        <w:bottom w:val="none" w:sz="0" w:space="0" w:color="auto"/>
        <w:right w:val="none" w:sz="0" w:space="0" w:color="auto"/>
      </w:divBdr>
    </w:div>
    <w:div w:id="763920378">
      <w:bodyDiv w:val="1"/>
      <w:marLeft w:val="0"/>
      <w:marRight w:val="0"/>
      <w:marTop w:val="0"/>
      <w:marBottom w:val="0"/>
      <w:divBdr>
        <w:top w:val="none" w:sz="0" w:space="0" w:color="auto"/>
        <w:left w:val="none" w:sz="0" w:space="0" w:color="auto"/>
        <w:bottom w:val="none" w:sz="0" w:space="0" w:color="auto"/>
        <w:right w:val="none" w:sz="0" w:space="0" w:color="auto"/>
      </w:divBdr>
    </w:div>
    <w:div w:id="854660529">
      <w:bodyDiv w:val="1"/>
      <w:marLeft w:val="0"/>
      <w:marRight w:val="0"/>
      <w:marTop w:val="0"/>
      <w:marBottom w:val="0"/>
      <w:divBdr>
        <w:top w:val="none" w:sz="0" w:space="0" w:color="auto"/>
        <w:left w:val="none" w:sz="0" w:space="0" w:color="auto"/>
        <w:bottom w:val="none" w:sz="0" w:space="0" w:color="auto"/>
        <w:right w:val="none" w:sz="0" w:space="0" w:color="auto"/>
      </w:divBdr>
      <w:divsChild>
        <w:div w:id="1892842896">
          <w:marLeft w:val="0"/>
          <w:marRight w:val="0"/>
          <w:marTop w:val="0"/>
          <w:marBottom w:val="0"/>
          <w:divBdr>
            <w:top w:val="none" w:sz="0" w:space="0" w:color="auto"/>
            <w:left w:val="none" w:sz="0" w:space="0" w:color="auto"/>
            <w:bottom w:val="none" w:sz="0" w:space="0" w:color="auto"/>
            <w:right w:val="none" w:sz="0" w:space="0" w:color="auto"/>
          </w:divBdr>
          <w:divsChild>
            <w:div w:id="1302466941">
              <w:marLeft w:val="0"/>
              <w:marRight w:val="0"/>
              <w:marTop w:val="0"/>
              <w:marBottom w:val="0"/>
              <w:divBdr>
                <w:top w:val="none" w:sz="0" w:space="0" w:color="auto"/>
                <w:left w:val="none" w:sz="0" w:space="0" w:color="auto"/>
                <w:bottom w:val="none" w:sz="0" w:space="0" w:color="auto"/>
                <w:right w:val="none" w:sz="0" w:space="0" w:color="auto"/>
              </w:divBdr>
              <w:divsChild>
                <w:div w:id="10012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531">
      <w:bodyDiv w:val="1"/>
      <w:marLeft w:val="0"/>
      <w:marRight w:val="0"/>
      <w:marTop w:val="0"/>
      <w:marBottom w:val="0"/>
      <w:divBdr>
        <w:top w:val="none" w:sz="0" w:space="0" w:color="auto"/>
        <w:left w:val="none" w:sz="0" w:space="0" w:color="auto"/>
        <w:bottom w:val="none" w:sz="0" w:space="0" w:color="auto"/>
        <w:right w:val="none" w:sz="0" w:space="0" w:color="auto"/>
      </w:divBdr>
      <w:divsChild>
        <w:div w:id="1291012179">
          <w:marLeft w:val="0"/>
          <w:marRight w:val="0"/>
          <w:marTop w:val="0"/>
          <w:marBottom w:val="0"/>
          <w:divBdr>
            <w:top w:val="none" w:sz="0" w:space="0" w:color="auto"/>
            <w:left w:val="none" w:sz="0" w:space="0" w:color="auto"/>
            <w:bottom w:val="none" w:sz="0" w:space="0" w:color="auto"/>
            <w:right w:val="none" w:sz="0" w:space="0" w:color="auto"/>
          </w:divBdr>
          <w:divsChild>
            <w:div w:id="1920601648">
              <w:marLeft w:val="0"/>
              <w:marRight w:val="0"/>
              <w:marTop w:val="0"/>
              <w:marBottom w:val="0"/>
              <w:divBdr>
                <w:top w:val="none" w:sz="0" w:space="0" w:color="auto"/>
                <w:left w:val="none" w:sz="0" w:space="0" w:color="auto"/>
                <w:bottom w:val="none" w:sz="0" w:space="0" w:color="auto"/>
                <w:right w:val="none" w:sz="0" w:space="0" w:color="auto"/>
              </w:divBdr>
              <w:divsChild>
                <w:div w:id="176083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01696">
      <w:bodyDiv w:val="1"/>
      <w:marLeft w:val="0"/>
      <w:marRight w:val="0"/>
      <w:marTop w:val="0"/>
      <w:marBottom w:val="0"/>
      <w:divBdr>
        <w:top w:val="none" w:sz="0" w:space="0" w:color="auto"/>
        <w:left w:val="none" w:sz="0" w:space="0" w:color="auto"/>
        <w:bottom w:val="none" w:sz="0" w:space="0" w:color="auto"/>
        <w:right w:val="none" w:sz="0" w:space="0" w:color="auto"/>
      </w:divBdr>
    </w:div>
    <w:div w:id="900487295">
      <w:bodyDiv w:val="1"/>
      <w:marLeft w:val="0"/>
      <w:marRight w:val="0"/>
      <w:marTop w:val="0"/>
      <w:marBottom w:val="0"/>
      <w:divBdr>
        <w:top w:val="none" w:sz="0" w:space="0" w:color="auto"/>
        <w:left w:val="none" w:sz="0" w:space="0" w:color="auto"/>
        <w:bottom w:val="none" w:sz="0" w:space="0" w:color="auto"/>
        <w:right w:val="none" w:sz="0" w:space="0" w:color="auto"/>
      </w:divBdr>
      <w:divsChild>
        <w:div w:id="1827819904">
          <w:marLeft w:val="0"/>
          <w:marRight w:val="0"/>
          <w:marTop w:val="0"/>
          <w:marBottom w:val="0"/>
          <w:divBdr>
            <w:top w:val="none" w:sz="0" w:space="0" w:color="auto"/>
            <w:left w:val="none" w:sz="0" w:space="0" w:color="auto"/>
            <w:bottom w:val="none" w:sz="0" w:space="0" w:color="auto"/>
            <w:right w:val="none" w:sz="0" w:space="0" w:color="auto"/>
          </w:divBdr>
          <w:divsChild>
            <w:div w:id="1543899903">
              <w:marLeft w:val="0"/>
              <w:marRight w:val="0"/>
              <w:marTop w:val="0"/>
              <w:marBottom w:val="0"/>
              <w:divBdr>
                <w:top w:val="none" w:sz="0" w:space="0" w:color="auto"/>
                <w:left w:val="none" w:sz="0" w:space="0" w:color="auto"/>
                <w:bottom w:val="none" w:sz="0" w:space="0" w:color="auto"/>
                <w:right w:val="none" w:sz="0" w:space="0" w:color="auto"/>
              </w:divBdr>
              <w:divsChild>
                <w:div w:id="14330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3937">
      <w:bodyDiv w:val="1"/>
      <w:marLeft w:val="0"/>
      <w:marRight w:val="0"/>
      <w:marTop w:val="0"/>
      <w:marBottom w:val="0"/>
      <w:divBdr>
        <w:top w:val="none" w:sz="0" w:space="0" w:color="auto"/>
        <w:left w:val="none" w:sz="0" w:space="0" w:color="auto"/>
        <w:bottom w:val="none" w:sz="0" w:space="0" w:color="auto"/>
        <w:right w:val="none" w:sz="0" w:space="0" w:color="auto"/>
      </w:divBdr>
    </w:div>
    <w:div w:id="1005204973">
      <w:bodyDiv w:val="1"/>
      <w:marLeft w:val="0"/>
      <w:marRight w:val="0"/>
      <w:marTop w:val="0"/>
      <w:marBottom w:val="0"/>
      <w:divBdr>
        <w:top w:val="none" w:sz="0" w:space="0" w:color="auto"/>
        <w:left w:val="none" w:sz="0" w:space="0" w:color="auto"/>
        <w:bottom w:val="none" w:sz="0" w:space="0" w:color="auto"/>
        <w:right w:val="none" w:sz="0" w:space="0" w:color="auto"/>
      </w:divBdr>
      <w:divsChild>
        <w:div w:id="1828594622">
          <w:marLeft w:val="0"/>
          <w:marRight w:val="0"/>
          <w:marTop w:val="0"/>
          <w:marBottom w:val="0"/>
          <w:divBdr>
            <w:top w:val="none" w:sz="0" w:space="0" w:color="auto"/>
            <w:left w:val="none" w:sz="0" w:space="0" w:color="auto"/>
            <w:bottom w:val="none" w:sz="0" w:space="0" w:color="auto"/>
            <w:right w:val="none" w:sz="0" w:space="0" w:color="auto"/>
          </w:divBdr>
          <w:divsChild>
            <w:div w:id="1334331997">
              <w:marLeft w:val="0"/>
              <w:marRight w:val="0"/>
              <w:marTop w:val="0"/>
              <w:marBottom w:val="0"/>
              <w:divBdr>
                <w:top w:val="none" w:sz="0" w:space="0" w:color="auto"/>
                <w:left w:val="none" w:sz="0" w:space="0" w:color="auto"/>
                <w:bottom w:val="none" w:sz="0" w:space="0" w:color="auto"/>
                <w:right w:val="none" w:sz="0" w:space="0" w:color="auto"/>
              </w:divBdr>
              <w:divsChild>
                <w:div w:id="1609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6661">
      <w:bodyDiv w:val="1"/>
      <w:marLeft w:val="0"/>
      <w:marRight w:val="0"/>
      <w:marTop w:val="0"/>
      <w:marBottom w:val="0"/>
      <w:divBdr>
        <w:top w:val="none" w:sz="0" w:space="0" w:color="auto"/>
        <w:left w:val="none" w:sz="0" w:space="0" w:color="auto"/>
        <w:bottom w:val="none" w:sz="0" w:space="0" w:color="auto"/>
        <w:right w:val="none" w:sz="0" w:space="0" w:color="auto"/>
      </w:divBdr>
    </w:div>
    <w:div w:id="1142039331">
      <w:bodyDiv w:val="1"/>
      <w:marLeft w:val="0"/>
      <w:marRight w:val="0"/>
      <w:marTop w:val="0"/>
      <w:marBottom w:val="0"/>
      <w:divBdr>
        <w:top w:val="none" w:sz="0" w:space="0" w:color="auto"/>
        <w:left w:val="none" w:sz="0" w:space="0" w:color="auto"/>
        <w:bottom w:val="none" w:sz="0" w:space="0" w:color="auto"/>
        <w:right w:val="none" w:sz="0" w:space="0" w:color="auto"/>
      </w:divBdr>
    </w:div>
    <w:div w:id="1315639834">
      <w:bodyDiv w:val="1"/>
      <w:marLeft w:val="0"/>
      <w:marRight w:val="0"/>
      <w:marTop w:val="0"/>
      <w:marBottom w:val="0"/>
      <w:divBdr>
        <w:top w:val="none" w:sz="0" w:space="0" w:color="auto"/>
        <w:left w:val="none" w:sz="0" w:space="0" w:color="auto"/>
        <w:bottom w:val="none" w:sz="0" w:space="0" w:color="auto"/>
        <w:right w:val="none" w:sz="0" w:space="0" w:color="auto"/>
      </w:divBdr>
    </w:div>
    <w:div w:id="1328173345">
      <w:bodyDiv w:val="1"/>
      <w:marLeft w:val="0"/>
      <w:marRight w:val="0"/>
      <w:marTop w:val="0"/>
      <w:marBottom w:val="0"/>
      <w:divBdr>
        <w:top w:val="none" w:sz="0" w:space="0" w:color="auto"/>
        <w:left w:val="none" w:sz="0" w:space="0" w:color="auto"/>
        <w:bottom w:val="none" w:sz="0" w:space="0" w:color="auto"/>
        <w:right w:val="none" w:sz="0" w:space="0" w:color="auto"/>
      </w:divBdr>
      <w:divsChild>
        <w:div w:id="1158111908">
          <w:marLeft w:val="0"/>
          <w:marRight w:val="0"/>
          <w:marTop w:val="0"/>
          <w:marBottom w:val="0"/>
          <w:divBdr>
            <w:top w:val="none" w:sz="0" w:space="0" w:color="auto"/>
            <w:left w:val="none" w:sz="0" w:space="0" w:color="auto"/>
            <w:bottom w:val="none" w:sz="0" w:space="0" w:color="auto"/>
            <w:right w:val="none" w:sz="0" w:space="0" w:color="auto"/>
          </w:divBdr>
          <w:divsChild>
            <w:div w:id="1433864404">
              <w:marLeft w:val="0"/>
              <w:marRight w:val="0"/>
              <w:marTop w:val="0"/>
              <w:marBottom w:val="0"/>
              <w:divBdr>
                <w:top w:val="none" w:sz="0" w:space="0" w:color="auto"/>
                <w:left w:val="none" w:sz="0" w:space="0" w:color="auto"/>
                <w:bottom w:val="none" w:sz="0" w:space="0" w:color="auto"/>
                <w:right w:val="none" w:sz="0" w:space="0" w:color="auto"/>
              </w:divBdr>
              <w:divsChild>
                <w:div w:id="6082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3104">
      <w:bodyDiv w:val="1"/>
      <w:marLeft w:val="0"/>
      <w:marRight w:val="0"/>
      <w:marTop w:val="0"/>
      <w:marBottom w:val="0"/>
      <w:divBdr>
        <w:top w:val="none" w:sz="0" w:space="0" w:color="auto"/>
        <w:left w:val="none" w:sz="0" w:space="0" w:color="auto"/>
        <w:bottom w:val="none" w:sz="0" w:space="0" w:color="auto"/>
        <w:right w:val="none" w:sz="0" w:space="0" w:color="auto"/>
      </w:divBdr>
    </w:div>
    <w:div w:id="1354041034">
      <w:bodyDiv w:val="1"/>
      <w:marLeft w:val="0"/>
      <w:marRight w:val="0"/>
      <w:marTop w:val="0"/>
      <w:marBottom w:val="0"/>
      <w:divBdr>
        <w:top w:val="none" w:sz="0" w:space="0" w:color="auto"/>
        <w:left w:val="none" w:sz="0" w:space="0" w:color="auto"/>
        <w:bottom w:val="none" w:sz="0" w:space="0" w:color="auto"/>
        <w:right w:val="none" w:sz="0" w:space="0" w:color="auto"/>
      </w:divBdr>
      <w:divsChild>
        <w:div w:id="1223367854">
          <w:marLeft w:val="0"/>
          <w:marRight w:val="0"/>
          <w:marTop w:val="0"/>
          <w:marBottom w:val="0"/>
          <w:divBdr>
            <w:top w:val="none" w:sz="0" w:space="0" w:color="auto"/>
            <w:left w:val="none" w:sz="0" w:space="0" w:color="auto"/>
            <w:bottom w:val="none" w:sz="0" w:space="0" w:color="auto"/>
            <w:right w:val="none" w:sz="0" w:space="0" w:color="auto"/>
          </w:divBdr>
          <w:divsChild>
            <w:div w:id="1179278007">
              <w:marLeft w:val="0"/>
              <w:marRight w:val="0"/>
              <w:marTop w:val="0"/>
              <w:marBottom w:val="0"/>
              <w:divBdr>
                <w:top w:val="none" w:sz="0" w:space="0" w:color="auto"/>
                <w:left w:val="none" w:sz="0" w:space="0" w:color="auto"/>
                <w:bottom w:val="none" w:sz="0" w:space="0" w:color="auto"/>
                <w:right w:val="none" w:sz="0" w:space="0" w:color="auto"/>
              </w:divBdr>
              <w:divsChild>
                <w:div w:id="1392077143">
                  <w:marLeft w:val="0"/>
                  <w:marRight w:val="0"/>
                  <w:marTop w:val="0"/>
                  <w:marBottom w:val="0"/>
                  <w:divBdr>
                    <w:top w:val="none" w:sz="0" w:space="0" w:color="auto"/>
                    <w:left w:val="none" w:sz="0" w:space="0" w:color="auto"/>
                    <w:bottom w:val="none" w:sz="0" w:space="0" w:color="auto"/>
                    <w:right w:val="none" w:sz="0" w:space="0" w:color="auto"/>
                  </w:divBdr>
                  <w:divsChild>
                    <w:div w:id="7513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51134">
      <w:bodyDiv w:val="1"/>
      <w:marLeft w:val="0"/>
      <w:marRight w:val="0"/>
      <w:marTop w:val="0"/>
      <w:marBottom w:val="0"/>
      <w:divBdr>
        <w:top w:val="none" w:sz="0" w:space="0" w:color="auto"/>
        <w:left w:val="none" w:sz="0" w:space="0" w:color="auto"/>
        <w:bottom w:val="none" w:sz="0" w:space="0" w:color="auto"/>
        <w:right w:val="none" w:sz="0" w:space="0" w:color="auto"/>
      </w:divBdr>
      <w:divsChild>
        <w:div w:id="1848131664">
          <w:marLeft w:val="0"/>
          <w:marRight w:val="0"/>
          <w:marTop w:val="0"/>
          <w:marBottom w:val="0"/>
          <w:divBdr>
            <w:top w:val="none" w:sz="0" w:space="0" w:color="auto"/>
            <w:left w:val="none" w:sz="0" w:space="0" w:color="auto"/>
            <w:bottom w:val="none" w:sz="0" w:space="0" w:color="auto"/>
            <w:right w:val="none" w:sz="0" w:space="0" w:color="auto"/>
          </w:divBdr>
          <w:divsChild>
            <w:div w:id="447968123">
              <w:marLeft w:val="0"/>
              <w:marRight w:val="0"/>
              <w:marTop w:val="0"/>
              <w:marBottom w:val="0"/>
              <w:divBdr>
                <w:top w:val="none" w:sz="0" w:space="0" w:color="auto"/>
                <w:left w:val="none" w:sz="0" w:space="0" w:color="auto"/>
                <w:bottom w:val="none" w:sz="0" w:space="0" w:color="auto"/>
                <w:right w:val="none" w:sz="0" w:space="0" w:color="auto"/>
              </w:divBdr>
              <w:divsChild>
                <w:div w:id="6763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57611">
      <w:bodyDiv w:val="1"/>
      <w:marLeft w:val="0"/>
      <w:marRight w:val="0"/>
      <w:marTop w:val="0"/>
      <w:marBottom w:val="0"/>
      <w:divBdr>
        <w:top w:val="none" w:sz="0" w:space="0" w:color="auto"/>
        <w:left w:val="none" w:sz="0" w:space="0" w:color="auto"/>
        <w:bottom w:val="none" w:sz="0" w:space="0" w:color="auto"/>
        <w:right w:val="none" w:sz="0" w:space="0" w:color="auto"/>
      </w:divBdr>
    </w:div>
    <w:div w:id="1533226554">
      <w:bodyDiv w:val="1"/>
      <w:marLeft w:val="0"/>
      <w:marRight w:val="0"/>
      <w:marTop w:val="0"/>
      <w:marBottom w:val="0"/>
      <w:divBdr>
        <w:top w:val="none" w:sz="0" w:space="0" w:color="auto"/>
        <w:left w:val="none" w:sz="0" w:space="0" w:color="auto"/>
        <w:bottom w:val="none" w:sz="0" w:space="0" w:color="auto"/>
        <w:right w:val="none" w:sz="0" w:space="0" w:color="auto"/>
      </w:divBdr>
    </w:div>
    <w:div w:id="1574391677">
      <w:bodyDiv w:val="1"/>
      <w:marLeft w:val="0"/>
      <w:marRight w:val="0"/>
      <w:marTop w:val="0"/>
      <w:marBottom w:val="0"/>
      <w:divBdr>
        <w:top w:val="none" w:sz="0" w:space="0" w:color="auto"/>
        <w:left w:val="none" w:sz="0" w:space="0" w:color="auto"/>
        <w:bottom w:val="none" w:sz="0" w:space="0" w:color="auto"/>
        <w:right w:val="none" w:sz="0" w:space="0" w:color="auto"/>
      </w:divBdr>
      <w:divsChild>
        <w:div w:id="1497576888">
          <w:marLeft w:val="0"/>
          <w:marRight w:val="0"/>
          <w:marTop w:val="0"/>
          <w:marBottom w:val="0"/>
          <w:divBdr>
            <w:top w:val="none" w:sz="0" w:space="0" w:color="auto"/>
            <w:left w:val="none" w:sz="0" w:space="0" w:color="auto"/>
            <w:bottom w:val="none" w:sz="0" w:space="0" w:color="auto"/>
            <w:right w:val="none" w:sz="0" w:space="0" w:color="auto"/>
          </w:divBdr>
          <w:divsChild>
            <w:div w:id="344599397">
              <w:marLeft w:val="0"/>
              <w:marRight w:val="0"/>
              <w:marTop w:val="0"/>
              <w:marBottom w:val="0"/>
              <w:divBdr>
                <w:top w:val="none" w:sz="0" w:space="0" w:color="auto"/>
                <w:left w:val="none" w:sz="0" w:space="0" w:color="auto"/>
                <w:bottom w:val="none" w:sz="0" w:space="0" w:color="auto"/>
                <w:right w:val="none" w:sz="0" w:space="0" w:color="auto"/>
              </w:divBdr>
              <w:divsChild>
                <w:div w:id="2106533110">
                  <w:marLeft w:val="0"/>
                  <w:marRight w:val="0"/>
                  <w:marTop w:val="0"/>
                  <w:marBottom w:val="0"/>
                  <w:divBdr>
                    <w:top w:val="none" w:sz="0" w:space="0" w:color="auto"/>
                    <w:left w:val="none" w:sz="0" w:space="0" w:color="auto"/>
                    <w:bottom w:val="none" w:sz="0" w:space="0" w:color="auto"/>
                    <w:right w:val="none" w:sz="0" w:space="0" w:color="auto"/>
                  </w:divBdr>
                  <w:divsChild>
                    <w:div w:id="15623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441122">
      <w:bodyDiv w:val="1"/>
      <w:marLeft w:val="0"/>
      <w:marRight w:val="0"/>
      <w:marTop w:val="0"/>
      <w:marBottom w:val="0"/>
      <w:divBdr>
        <w:top w:val="none" w:sz="0" w:space="0" w:color="auto"/>
        <w:left w:val="none" w:sz="0" w:space="0" w:color="auto"/>
        <w:bottom w:val="none" w:sz="0" w:space="0" w:color="auto"/>
        <w:right w:val="none" w:sz="0" w:space="0" w:color="auto"/>
      </w:divBdr>
      <w:divsChild>
        <w:div w:id="1071539403">
          <w:marLeft w:val="0"/>
          <w:marRight w:val="0"/>
          <w:marTop w:val="0"/>
          <w:marBottom w:val="0"/>
          <w:divBdr>
            <w:top w:val="none" w:sz="0" w:space="0" w:color="auto"/>
            <w:left w:val="none" w:sz="0" w:space="0" w:color="auto"/>
            <w:bottom w:val="none" w:sz="0" w:space="0" w:color="auto"/>
            <w:right w:val="none" w:sz="0" w:space="0" w:color="auto"/>
          </w:divBdr>
          <w:divsChild>
            <w:div w:id="1843087256">
              <w:marLeft w:val="0"/>
              <w:marRight w:val="0"/>
              <w:marTop w:val="0"/>
              <w:marBottom w:val="0"/>
              <w:divBdr>
                <w:top w:val="none" w:sz="0" w:space="0" w:color="auto"/>
                <w:left w:val="none" w:sz="0" w:space="0" w:color="auto"/>
                <w:bottom w:val="none" w:sz="0" w:space="0" w:color="auto"/>
                <w:right w:val="none" w:sz="0" w:space="0" w:color="auto"/>
              </w:divBdr>
              <w:divsChild>
                <w:div w:id="18710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94209">
      <w:bodyDiv w:val="1"/>
      <w:marLeft w:val="0"/>
      <w:marRight w:val="0"/>
      <w:marTop w:val="0"/>
      <w:marBottom w:val="0"/>
      <w:divBdr>
        <w:top w:val="none" w:sz="0" w:space="0" w:color="auto"/>
        <w:left w:val="none" w:sz="0" w:space="0" w:color="auto"/>
        <w:bottom w:val="none" w:sz="0" w:space="0" w:color="auto"/>
        <w:right w:val="none" w:sz="0" w:space="0" w:color="auto"/>
      </w:divBdr>
    </w:div>
    <w:div w:id="1627196063">
      <w:bodyDiv w:val="1"/>
      <w:marLeft w:val="0"/>
      <w:marRight w:val="0"/>
      <w:marTop w:val="0"/>
      <w:marBottom w:val="0"/>
      <w:divBdr>
        <w:top w:val="none" w:sz="0" w:space="0" w:color="auto"/>
        <w:left w:val="none" w:sz="0" w:space="0" w:color="auto"/>
        <w:bottom w:val="none" w:sz="0" w:space="0" w:color="auto"/>
        <w:right w:val="none" w:sz="0" w:space="0" w:color="auto"/>
      </w:divBdr>
      <w:divsChild>
        <w:div w:id="1354382373">
          <w:marLeft w:val="0"/>
          <w:marRight w:val="0"/>
          <w:marTop w:val="0"/>
          <w:marBottom w:val="0"/>
          <w:divBdr>
            <w:top w:val="none" w:sz="0" w:space="0" w:color="auto"/>
            <w:left w:val="none" w:sz="0" w:space="0" w:color="auto"/>
            <w:bottom w:val="none" w:sz="0" w:space="0" w:color="auto"/>
            <w:right w:val="none" w:sz="0" w:space="0" w:color="auto"/>
          </w:divBdr>
          <w:divsChild>
            <w:div w:id="1176311264">
              <w:marLeft w:val="0"/>
              <w:marRight w:val="0"/>
              <w:marTop w:val="0"/>
              <w:marBottom w:val="0"/>
              <w:divBdr>
                <w:top w:val="none" w:sz="0" w:space="0" w:color="auto"/>
                <w:left w:val="none" w:sz="0" w:space="0" w:color="auto"/>
                <w:bottom w:val="none" w:sz="0" w:space="0" w:color="auto"/>
                <w:right w:val="none" w:sz="0" w:space="0" w:color="auto"/>
              </w:divBdr>
              <w:divsChild>
                <w:div w:id="17846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30196">
      <w:bodyDiv w:val="1"/>
      <w:marLeft w:val="0"/>
      <w:marRight w:val="0"/>
      <w:marTop w:val="0"/>
      <w:marBottom w:val="0"/>
      <w:divBdr>
        <w:top w:val="none" w:sz="0" w:space="0" w:color="auto"/>
        <w:left w:val="none" w:sz="0" w:space="0" w:color="auto"/>
        <w:bottom w:val="none" w:sz="0" w:space="0" w:color="auto"/>
        <w:right w:val="none" w:sz="0" w:space="0" w:color="auto"/>
      </w:divBdr>
    </w:div>
    <w:div w:id="1671328404">
      <w:bodyDiv w:val="1"/>
      <w:marLeft w:val="0"/>
      <w:marRight w:val="0"/>
      <w:marTop w:val="0"/>
      <w:marBottom w:val="0"/>
      <w:divBdr>
        <w:top w:val="none" w:sz="0" w:space="0" w:color="auto"/>
        <w:left w:val="none" w:sz="0" w:space="0" w:color="auto"/>
        <w:bottom w:val="none" w:sz="0" w:space="0" w:color="auto"/>
        <w:right w:val="none" w:sz="0" w:space="0" w:color="auto"/>
      </w:divBdr>
      <w:divsChild>
        <w:div w:id="279652838">
          <w:marLeft w:val="0"/>
          <w:marRight w:val="0"/>
          <w:marTop w:val="0"/>
          <w:marBottom w:val="0"/>
          <w:divBdr>
            <w:top w:val="none" w:sz="0" w:space="0" w:color="auto"/>
            <w:left w:val="none" w:sz="0" w:space="0" w:color="auto"/>
            <w:bottom w:val="none" w:sz="0" w:space="0" w:color="auto"/>
            <w:right w:val="none" w:sz="0" w:space="0" w:color="auto"/>
          </w:divBdr>
          <w:divsChild>
            <w:div w:id="1833331603">
              <w:marLeft w:val="0"/>
              <w:marRight w:val="0"/>
              <w:marTop w:val="0"/>
              <w:marBottom w:val="0"/>
              <w:divBdr>
                <w:top w:val="none" w:sz="0" w:space="0" w:color="auto"/>
                <w:left w:val="none" w:sz="0" w:space="0" w:color="auto"/>
                <w:bottom w:val="none" w:sz="0" w:space="0" w:color="auto"/>
                <w:right w:val="none" w:sz="0" w:space="0" w:color="auto"/>
              </w:divBdr>
              <w:divsChild>
                <w:div w:id="4025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0625">
      <w:bodyDiv w:val="1"/>
      <w:marLeft w:val="0"/>
      <w:marRight w:val="0"/>
      <w:marTop w:val="0"/>
      <w:marBottom w:val="0"/>
      <w:divBdr>
        <w:top w:val="none" w:sz="0" w:space="0" w:color="auto"/>
        <w:left w:val="none" w:sz="0" w:space="0" w:color="auto"/>
        <w:bottom w:val="none" w:sz="0" w:space="0" w:color="auto"/>
        <w:right w:val="none" w:sz="0" w:space="0" w:color="auto"/>
      </w:divBdr>
      <w:divsChild>
        <w:div w:id="317149669">
          <w:marLeft w:val="0"/>
          <w:marRight w:val="0"/>
          <w:marTop w:val="0"/>
          <w:marBottom w:val="0"/>
          <w:divBdr>
            <w:top w:val="none" w:sz="0" w:space="0" w:color="auto"/>
            <w:left w:val="none" w:sz="0" w:space="0" w:color="auto"/>
            <w:bottom w:val="none" w:sz="0" w:space="0" w:color="auto"/>
            <w:right w:val="none" w:sz="0" w:space="0" w:color="auto"/>
          </w:divBdr>
          <w:divsChild>
            <w:div w:id="1769082084">
              <w:marLeft w:val="0"/>
              <w:marRight w:val="0"/>
              <w:marTop w:val="0"/>
              <w:marBottom w:val="0"/>
              <w:divBdr>
                <w:top w:val="none" w:sz="0" w:space="0" w:color="auto"/>
                <w:left w:val="none" w:sz="0" w:space="0" w:color="auto"/>
                <w:bottom w:val="none" w:sz="0" w:space="0" w:color="auto"/>
                <w:right w:val="none" w:sz="0" w:space="0" w:color="auto"/>
              </w:divBdr>
              <w:divsChild>
                <w:div w:id="1626738141">
                  <w:marLeft w:val="0"/>
                  <w:marRight w:val="0"/>
                  <w:marTop w:val="0"/>
                  <w:marBottom w:val="0"/>
                  <w:divBdr>
                    <w:top w:val="none" w:sz="0" w:space="0" w:color="auto"/>
                    <w:left w:val="none" w:sz="0" w:space="0" w:color="auto"/>
                    <w:bottom w:val="none" w:sz="0" w:space="0" w:color="auto"/>
                    <w:right w:val="none" w:sz="0" w:space="0" w:color="auto"/>
                  </w:divBdr>
                  <w:divsChild>
                    <w:div w:id="4977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71081">
      <w:bodyDiv w:val="1"/>
      <w:marLeft w:val="0"/>
      <w:marRight w:val="0"/>
      <w:marTop w:val="0"/>
      <w:marBottom w:val="0"/>
      <w:divBdr>
        <w:top w:val="none" w:sz="0" w:space="0" w:color="auto"/>
        <w:left w:val="none" w:sz="0" w:space="0" w:color="auto"/>
        <w:bottom w:val="none" w:sz="0" w:space="0" w:color="auto"/>
        <w:right w:val="none" w:sz="0" w:space="0" w:color="auto"/>
      </w:divBdr>
    </w:div>
    <w:div w:id="1693916545">
      <w:bodyDiv w:val="1"/>
      <w:marLeft w:val="0"/>
      <w:marRight w:val="0"/>
      <w:marTop w:val="0"/>
      <w:marBottom w:val="0"/>
      <w:divBdr>
        <w:top w:val="none" w:sz="0" w:space="0" w:color="auto"/>
        <w:left w:val="none" w:sz="0" w:space="0" w:color="auto"/>
        <w:bottom w:val="none" w:sz="0" w:space="0" w:color="auto"/>
        <w:right w:val="none" w:sz="0" w:space="0" w:color="auto"/>
      </w:divBdr>
      <w:divsChild>
        <w:div w:id="933319265">
          <w:marLeft w:val="0"/>
          <w:marRight w:val="0"/>
          <w:marTop w:val="0"/>
          <w:marBottom w:val="0"/>
          <w:divBdr>
            <w:top w:val="none" w:sz="0" w:space="0" w:color="auto"/>
            <w:left w:val="none" w:sz="0" w:space="0" w:color="auto"/>
            <w:bottom w:val="none" w:sz="0" w:space="0" w:color="auto"/>
            <w:right w:val="none" w:sz="0" w:space="0" w:color="auto"/>
          </w:divBdr>
          <w:divsChild>
            <w:div w:id="1495952626">
              <w:marLeft w:val="0"/>
              <w:marRight w:val="0"/>
              <w:marTop w:val="0"/>
              <w:marBottom w:val="0"/>
              <w:divBdr>
                <w:top w:val="none" w:sz="0" w:space="0" w:color="auto"/>
                <w:left w:val="none" w:sz="0" w:space="0" w:color="auto"/>
                <w:bottom w:val="none" w:sz="0" w:space="0" w:color="auto"/>
                <w:right w:val="none" w:sz="0" w:space="0" w:color="auto"/>
              </w:divBdr>
              <w:divsChild>
                <w:div w:id="4776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201">
      <w:bodyDiv w:val="1"/>
      <w:marLeft w:val="0"/>
      <w:marRight w:val="0"/>
      <w:marTop w:val="0"/>
      <w:marBottom w:val="0"/>
      <w:divBdr>
        <w:top w:val="none" w:sz="0" w:space="0" w:color="auto"/>
        <w:left w:val="none" w:sz="0" w:space="0" w:color="auto"/>
        <w:bottom w:val="none" w:sz="0" w:space="0" w:color="auto"/>
        <w:right w:val="none" w:sz="0" w:space="0" w:color="auto"/>
      </w:divBdr>
    </w:div>
    <w:div w:id="1729500713">
      <w:bodyDiv w:val="1"/>
      <w:marLeft w:val="0"/>
      <w:marRight w:val="0"/>
      <w:marTop w:val="0"/>
      <w:marBottom w:val="0"/>
      <w:divBdr>
        <w:top w:val="none" w:sz="0" w:space="0" w:color="auto"/>
        <w:left w:val="none" w:sz="0" w:space="0" w:color="auto"/>
        <w:bottom w:val="none" w:sz="0" w:space="0" w:color="auto"/>
        <w:right w:val="none" w:sz="0" w:space="0" w:color="auto"/>
      </w:divBdr>
      <w:divsChild>
        <w:div w:id="1010375674">
          <w:marLeft w:val="0"/>
          <w:marRight w:val="0"/>
          <w:marTop w:val="0"/>
          <w:marBottom w:val="0"/>
          <w:divBdr>
            <w:top w:val="none" w:sz="0" w:space="0" w:color="auto"/>
            <w:left w:val="none" w:sz="0" w:space="0" w:color="auto"/>
            <w:bottom w:val="none" w:sz="0" w:space="0" w:color="auto"/>
            <w:right w:val="none" w:sz="0" w:space="0" w:color="auto"/>
          </w:divBdr>
          <w:divsChild>
            <w:div w:id="1696731149">
              <w:marLeft w:val="0"/>
              <w:marRight w:val="0"/>
              <w:marTop w:val="0"/>
              <w:marBottom w:val="0"/>
              <w:divBdr>
                <w:top w:val="none" w:sz="0" w:space="0" w:color="auto"/>
                <w:left w:val="none" w:sz="0" w:space="0" w:color="auto"/>
                <w:bottom w:val="none" w:sz="0" w:space="0" w:color="auto"/>
                <w:right w:val="none" w:sz="0" w:space="0" w:color="auto"/>
              </w:divBdr>
              <w:divsChild>
                <w:div w:id="10666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42702">
      <w:bodyDiv w:val="1"/>
      <w:marLeft w:val="0"/>
      <w:marRight w:val="0"/>
      <w:marTop w:val="0"/>
      <w:marBottom w:val="0"/>
      <w:divBdr>
        <w:top w:val="none" w:sz="0" w:space="0" w:color="auto"/>
        <w:left w:val="none" w:sz="0" w:space="0" w:color="auto"/>
        <w:bottom w:val="none" w:sz="0" w:space="0" w:color="auto"/>
        <w:right w:val="none" w:sz="0" w:space="0" w:color="auto"/>
      </w:divBdr>
    </w:div>
    <w:div w:id="1763329466">
      <w:bodyDiv w:val="1"/>
      <w:marLeft w:val="0"/>
      <w:marRight w:val="0"/>
      <w:marTop w:val="0"/>
      <w:marBottom w:val="0"/>
      <w:divBdr>
        <w:top w:val="none" w:sz="0" w:space="0" w:color="auto"/>
        <w:left w:val="none" w:sz="0" w:space="0" w:color="auto"/>
        <w:bottom w:val="none" w:sz="0" w:space="0" w:color="auto"/>
        <w:right w:val="none" w:sz="0" w:space="0" w:color="auto"/>
      </w:divBdr>
    </w:div>
    <w:div w:id="1764372518">
      <w:bodyDiv w:val="1"/>
      <w:marLeft w:val="0"/>
      <w:marRight w:val="0"/>
      <w:marTop w:val="0"/>
      <w:marBottom w:val="0"/>
      <w:divBdr>
        <w:top w:val="none" w:sz="0" w:space="0" w:color="auto"/>
        <w:left w:val="none" w:sz="0" w:space="0" w:color="auto"/>
        <w:bottom w:val="none" w:sz="0" w:space="0" w:color="auto"/>
        <w:right w:val="none" w:sz="0" w:space="0" w:color="auto"/>
      </w:divBdr>
    </w:div>
    <w:div w:id="1792824208">
      <w:bodyDiv w:val="1"/>
      <w:marLeft w:val="0"/>
      <w:marRight w:val="0"/>
      <w:marTop w:val="0"/>
      <w:marBottom w:val="0"/>
      <w:divBdr>
        <w:top w:val="none" w:sz="0" w:space="0" w:color="auto"/>
        <w:left w:val="none" w:sz="0" w:space="0" w:color="auto"/>
        <w:bottom w:val="none" w:sz="0" w:space="0" w:color="auto"/>
        <w:right w:val="none" w:sz="0" w:space="0" w:color="auto"/>
      </w:divBdr>
      <w:divsChild>
        <w:div w:id="462503793">
          <w:marLeft w:val="0"/>
          <w:marRight w:val="0"/>
          <w:marTop w:val="0"/>
          <w:marBottom w:val="0"/>
          <w:divBdr>
            <w:top w:val="none" w:sz="0" w:space="0" w:color="auto"/>
            <w:left w:val="none" w:sz="0" w:space="0" w:color="auto"/>
            <w:bottom w:val="none" w:sz="0" w:space="0" w:color="auto"/>
            <w:right w:val="none" w:sz="0" w:space="0" w:color="auto"/>
          </w:divBdr>
          <w:divsChild>
            <w:div w:id="461582850">
              <w:marLeft w:val="0"/>
              <w:marRight w:val="0"/>
              <w:marTop w:val="0"/>
              <w:marBottom w:val="0"/>
              <w:divBdr>
                <w:top w:val="none" w:sz="0" w:space="0" w:color="auto"/>
                <w:left w:val="none" w:sz="0" w:space="0" w:color="auto"/>
                <w:bottom w:val="none" w:sz="0" w:space="0" w:color="auto"/>
                <w:right w:val="none" w:sz="0" w:space="0" w:color="auto"/>
              </w:divBdr>
              <w:divsChild>
                <w:div w:id="4934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4864">
      <w:bodyDiv w:val="1"/>
      <w:marLeft w:val="0"/>
      <w:marRight w:val="0"/>
      <w:marTop w:val="0"/>
      <w:marBottom w:val="0"/>
      <w:divBdr>
        <w:top w:val="none" w:sz="0" w:space="0" w:color="auto"/>
        <w:left w:val="none" w:sz="0" w:space="0" w:color="auto"/>
        <w:bottom w:val="none" w:sz="0" w:space="0" w:color="auto"/>
        <w:right w:val="none" w:sz="0" w:space="0" w:color="auto"/>
      </w:divBdr>
    </w:div>
    <w:div w:id="1858427899">
      <w:bodyDiv w:val="1"/>
      <w:marLeft w:val="0"/>
      <w:marRight w:val="0"/>
      <w:marTop w:val="0"/>
      <w:marBottom w:val="0"/>
      <w:divBdr>
        <w:top w:val="none" w:sz="0" w:space="0" w:color="auto"/>
        <w:left w:val="none" w:sz="0" w:space="0" w:color="auto"/>
        <w:bottom w:val="none" w:sz="0" w:space="0" w:color="auto"/>
        <w:right w:val="none" w:sz="0" w:space="0" w:color="auto"/>
      </w:divBdr>
    </w:div>
    <w:div w:id="1867789108">
      <w:bodyDiv w:val="1"/>
      <w:marLeft w:val="0"/>
      <w:marRight w:val="0"/>
      <w:marTop w:val="0"/>
      <w:marBottom w:val="0"/>
      <w:divBdr>
        <w:top w:val="none" w:sz="0" w:space="0" w:color="auto"/>
        <w:left w:val="none" w:sz="0" w:space="0" w:color="auto"/>
        <w:bottom w:val="none" w:sz="0" w:space="0" w:color="auto"/>
        <w:right w:val="none" w:sz="0" w:space="0" w:color="auto"/>
      </w:divBdr>
      <w:divsChild>
        <w:div w:id="940986853">
          <w:marLeft w:val="0"/>
          <w:marRight w:val="0"/>
          <w:marTop w:val="0"/>
          <w:marBottom w:val="0"/>
          <w:divBdr>
            <w:top w:val="none" w:sz="0" w:space="0" w:color="auto"/>
            <w:left w:val="none" w:sz="0" w:space="0" w:color="auto"/>
            <w:bottom w:val="none" w:sz="0" w:space="0" w:color="auto"/>
            <w:right w:val="none" w:sz="0" w:space="0" w:color="auto"/>
          </w:divBdr>
          <w:divsChild>
            <w:div w:id="403261803">
              <w:marLeft w:val="0"/>
              <w:marRight w:val="0"/>
              <w:marTop w:val="0"/>
              <w:marBottom w:val="0"/>
              <w:divBdr>
                <w:top w:val="none" w:sz="0" w:space="0" w:color="auto"/>
                <w:left w:val="none" w:sz="0" w:space="0" w:color="auto"/>
                <w:bottom w:val="none" w:sz="0" w:space="0" w:color="auto"/>
                <w:right w:val="none" w:sz="0" w:space="0" w:color="auto"/>
              </w:divBdr>
              <w:divsChild>
                <w:div w:id="1064987713">
                  <w:marLeft w:val="0"/>
                  <w:marRight w:val="0"/>
                  <w:marTop w:val="0"/>
                  <w:marBottom w:val="0"/>
                  <w:divBdr>
                    <w:top w:val="none" w:sz="0" w:space="0" w:color="auto"/>
                    <w:left w:val="none" w:sz="0" w:space="0" w:color="auto"/>
                    <w:bottom w:val="none" w:sz="0" w:space="0" w:color="auto"/>
                    <w:right w:val="none" w:sz="0" w:space="0" w:color="auto"/>
                  </w:divBdr>
                  <w:divsChild>
                    <w:div w:id="19634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738069">
      <w:bodyDiv w:val="1"/>
      <w:marLeft w:val="0"/>
      <w:marRight w:val="0"/>
      <w:marTop w:val="0"/>
      <w:marBottom w:val="0"/>
      <w:divBdr>
        <w:top w:val="none" w:sz="0" w:space="0" w:color="auto"/>
        <w:left w:val="none" w:sz="0" w:space="0" w:color="auto"/>
        <w:bottom w:val="none" w:sz="0" w:space="0" w:color="auto"/>
        <w:right w:val="none" w:sz="0" w:space="0" w:color="auto"/>
      </w:divBdr>
      <w:divsChild>
        <w:div w:id="1598057192">
          <w:marLeft w:val="0"/>
          <w:marRight w:val="0"/>
          <w:marTop w:val="0"/>
          <w:marBottom w:val="0"/>
          <w:divBdr>
            <w:top w:val="none" w:sz="0" w:space="0" w:color="auto"/>
            <w:left w:val="none" w:sz="0" w:space="0" w:color="auto"/>
            <w:bottom w:val="none" w:sz="0" w:space="0" w:color="auto"/>
            <w:right w:val="none" w:sz="0" w:space="0" w:color="auto"/>
          </w:divBdr>
          <w:divsChild>
            <w:div w:id="1960991636">
              <w:marLeft w:val="0"/>
              <w:marRight w:val="0"/>
              <w:marTop w:val="0"/>
              <w:marBottom w:val="0"/>
              <w:divBdr>
                <w:top w:val="none" w:sz="0" w:space="0" w:color="auto"/>
                <w:left w:val="none" w:sz="0" w:space="0" w:color="auto"/>
                <w:bottom w:val="none" w:sz="0" w:space="0" w:color="auto"/>
                <w:right w:val="none" w:sz="0" w:space="0" w:color="auto"/>
              </w:divBdr>
              <w:divsChild>
                <w:div w:id="150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4767">
      <w:bodyDiv w:val="1"/>
      <w:marLeft w:val="0"/>
      <w:marRight w:val="0"/>
      <w:marTop w:val="0"/>
      <w:marBottom w:val="0"/>
      <w:divBdr>
        <w:top w:val="none" w:sz="0" w:space="0" w:color="auto"/>
        <w:left w:val="none" w:sz="0" w:space="0" w:color="auto"/>
        <w:bottom w:val="none" w:sz="0" w:space="0" w:color="auto"/>
        <w:right w:val="none" w:sz="0" w:space="0" w:color="auto"/>
      </w:divBdr>
      <w:divsChild>
        <w:div w:id="1024601204">
          <w:marLeft w:val="0"/>
          <w:marRight w:val="0"/>
          <w:marTop w:val="0"/>
          <w:marBottom w:val="0"/>
          <w:divBdr>
            <w:top w:val="none" w:sz="0" w:space="0" w:color="auto"/>
            <w:left w:val="none" w:sz="0" w:space="0" w:color="auto"/>
            <w:bottom w:val="none" w:sz="0" w:space="0" w:color="auto"/>
            <w:right w:val="none" w:sz="0" w:space="0" w:color="auto"/>
          </w:divBdr>
          <w:divsChild>
            <w:div w:id="997809026">
              <w:marLeft w:val="0"/>
              <w:marRight w:val="0"/>
              <w:marTop w:val="0"/>
              <w:marBottom w:val="0"/>
              <w:divBdr>
                <w:top w:val="none" w:sz="0" w:space="0" w:color="auto"/>
                <w:left w:val="none" w:sz="0" w:space="0" w:color="auto"/>
                <w:bottom w:val="none" w:sz="0" w:space="0" w:color="auto"/>
                <w:right w:val="none" w:sz="0" w:space="0" w:color="auto"/>
              </w:divBdr>
              <w:divsChild>
                <w:div w:id="5712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67507">
      <w:bodyDiv w:val="1"/>
      <w:marLeft w:val="0"/>
      <w:marRight w:val="0"/>
      <w:marTop w:val="0"/>
      <w:marBottom w:val="0"/>
      <w:divBdr>
        <w:top w:val="none" w:sz="0" w:space="0" w:color="auto"/>
        <w:left w:val="none" w:sz="0" w:space="0" w:color="auto"/>
        <w:bottom w:val="none" w:sz="0" w:space="0" w:color="auto"/>
        <w:right w:val="none" w:sz="0" w:space="0" w:color="auto"/>
      </w:divBdr>
    </w:div>
    <w:div w:id="1895896210">
      <w:bodyDiv w:val="1"/>
      <w:marLeft w:val="0"/>
      <w:marRight w:val="0"/>
      <w:marTop w:val="0"/>
      <w:marBottom w:val="0"/>
      <w:divBdr>
        <w:top w:val="none" w:sz="0" w:space="0" w:color="auto"/>
        <w:left w:val="none" w:sz="0" w:space="0" w:color="auto"/>
        <w:bottom w:val="none" w:sz="0" w:space="0" w:color="auto"/>
        <w:right w:val="none" w:sz="0" w:space="0" w:color="auto"/>
      </w:divBdr>
    </w:div>
    <w:div w:id="2002468321">
      <w:bodyDiv w:val="1"/>
      <w:marLeft w:val="0"/>
      <w:marRight w:val="0"/>
      <w:marTop w:val="0"/>
      <w:marBottom w:val="0"/>
      <w:divBdr>
        <w:top w:val="none" w:sz="0" w:space="0" w:color="auto"/>
        <w:left w:val="none" w:sz="0" w:space="0" w:color="auto"/>
        <w:bottom w:val="none" w:sz="0" w:space="0" w:color="auto"/>
        <w:right w:val="none" w:sz="0" w:space="0" w:color="auto"/>
      </w:divBdr>
    </w:div>
    <w:div w:id="2043088414">
      <w:bodyDiv w:val="1"/>
      <w:marLeft w:val="0"/>
      <w:marRight w:val="0"/>
      <w:marTop w:val="0"/>
      <w:marBottom w:val="0"/>
      <w:divBdr>
        <w:top w:val="none" w:sz="0" w:space="0" w:color="auto"/>
        <w:left w:val="none" w:sz="0" w:space="0" w:color="auto"/>
        <w:bottom w:val="none" w:sz="0" w:space="0" w:color="auto"/>
        <w:right w:val="none" w:sz="0" w:space="0" w:color="auto"/>
      </w:divBdr>
      <w:divsChild>
        <w:div w:id="895892791">
          <w:marLeft w:val="0"/>
          <w:marRight w:val="0"/>
          <w:marTop w:val="0"/>
          <w:marBottom w:val="0"/>
          <w:divBdr>
            <w:top w:val="none" w:sz="0" w:space="0" w:color="auto"/>
            <w:left w:val="none" w:sz="0" w:space="0" w:color="auto"/>
            <w:bottom w:val="none" w:sz="0" w:space="0" w:color="auto"/>
            <w:right w:val="none" w:sz="0" w:space="0" w:color="auto"/>
          </w:divBdr>
          <w:divsChild>
            <w:div w:id="590428802">
              <w:marLeft w:val="0"/>
              <w:marRight w:val="0"/>
              <w:marTop w:val="0"/>
              <w:marBottom w:val="0"/>
              <w:divBdr>
                <w:top w:val="none" w:sz="0" w:space="0" w:color="auto"/>
                <w:left w:val="none" w:sz="0" w:space="0" w:color="auto"/>
                <w:bottom w:val="none" w:sz="0" w:space="0" w:color="auto"/>
                <w:right w:val="none" w:sz="0" w:space="0" w:color="auto"/>
              </w:divBdr>
              <w:divsChild>
                <w:div w:id="5121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31489">
      <w:bodyDiv w:val="1"/>
      <w:marLeft w:val="0"/>
      <w:marRight w:val="0"/>
      <w:marTop w:val="0"/>
      <w:marBottom w:val="0"/>
      <w:divBdr>
        <w:top w:val="none" w:sz="0" w:space="0" w:color="auto"/>
        <w:left w:val="none" w:sz="0" w:space="0" w:color="auto"/>
        <w:bottom w:val="none" w:sz="0" w:space="0" w:color="auto"/>
        <w:right w:val="none" w:sz="0" w:space="0" w:color="auto"/>
      </w:divBdr>
      <w:divsChild>
        <w:div w:id="736707995">
          <w:marLeft w:val="0"/>
          <w:marRight w:val="0"/>
          <w:marTop w:val="0"/>
          <w:marBottom w:val="0"/>
          <w:divBdr>
            <w:top w:val="none" w:sz="0" w:space="0" w:color="auto"/>
            <w:left w:val="none" w:sz="0" w:space="0" w:color="auto"/>
            <w:bottom w:val="none" w:sz="0" w:space="0" w:color="auto"/>
            <w:right w:val="none" w:sz="0" w:space="0" w:color="auto"/>
          </w:divBdr>
          <w:divsChild>
            <w:div w:id="1742828733">
              <w:marLeft w:val="0"/>
              <w:marRight w:val="0"/>
              <w:marTop w:val="0"/>
              <w:marBottom w:val="0"/>
              <w:divBdr>
                <w:top w:val="none" w:sz="0" w:space="0" w:color="auto"/>
                <w:left w:val="none" w:sz="0" w:space="0" w:color="auto"/>
                <w:bottom w:val="none" w:sz="0" w:space="0" w:color="auto"/>
                <w:right w:val="none" w:sz="0" w:space="0" w:color="auto"/>
              </w:divBdr>
              <w:divsChild>
                <w:div w:id="12694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29362">
      <w:bodyDiv w:val="1"/>
      <w:marLeft w:val="0"/>
      <w:marRight w:val="0"/>
      <w:marTop w:val="0"/>
      <w:marBottom w:val="0"/>
      <w:divBdr>
        <w:top w:val="none" w:sz="0" w:space="0" w:color="auto"/>
        <w:left w:val="none" w:sz="0" w:space="0" w:color="auto"/>
        <w:bottom w:val="none" w:sz="0" w:space="0" w:color="auto"/>
        <w:right w:val="none" w:sz="0" w:space="0" w:color="auto"/>
      </w:divBdr>
    </w:div>
    <w:div w:id="2109885993">
      <w:bodyDiv w:val="1"/>
      <w:marLeft w:val="0"/>
      <w:marRight w:val="0"/>
      <w:marTop w:val="0"/>
      <w:marBottom w:val="0"/>
      <w:divBdr>
        <w:top w:val="none" w:sz="0" w:space="0" w:color="auto"/>
        <w:left w:val="none" w:sz="0" w:space="0" w:color="auto"/>
        <w:bottom w:val="none" w:sz="0" w:space="0" w:color="auto"/>
        <w:right w:val="none" w:sz="0" w:space="0" w:color="auto"/>
      </w:divBdr>
    </w:div>
    <w:div w:id="2123840691">
      <w:bodyDiv w:val="1"/>
      <w:marLeft w:val="0"/>
      <w:marRight w:val="0"/>
      <w:marTop w:val="0"/>
      <w:marBottom w:val="0"/>
      <w:divBdr>
        <w:top w:val="none" w:sz="0" w:space="0" w:color="auto"/>
        <w:left w:val="none" w:sz="0" w:space="0" w:color="auto"/>
        <w:bottom w:val="none" w:sz="0" w:space="0" w:color="auto"/>
        <w:right w:val="none" w:sz="0" w:space="0" w:color="auto"/>
      </w:divBdr>
      <w:divsChild>
        <w:div w:id="68582418">
          <w:marLeft w:val="0"/>
          <w:marRight w:val="0"/>
          <w:marTop w:val="0"/>
          <w:marBottom w:val="0"/>
          <w:divBdr>
            <w:top w:val="none" w:sz="0" w:space="0" w:color="auto"/>
            <w:left w:val="none" w:sz="0" w:space="0" w:color="auto"/>
            <w:bottom w:val="none" w:sz="0" w:space="0" w:color="auto"/>
            <w:right w:val="none" w:sz="0" w:space="0" w:color="auto"/>
          </w:divBdr>
          <w:divsChild>
            <w:div w:id="216278712">
              <w:marLeft w:val="0"/>
              <w:marRight w:val="0"/>
              <w:marTop w:val="0"/>
              <w:marBottom w:val="0"/>
              <w:divBdr>
                <w:top w:val="none" w:sz="0" w:space="0" w:color="auto"/>
                <w:left w:val="none" w:sz="0" w:space="0" w:color="auto"/>
                <w:bottom w:val="none" w:sz="0" w:space="0" w:color="auto"/>
                <w:right w:val="none" w:sz="0" w:space="0" w:color="auto"/>
              </w:divBdr>
              <w:divsChild>
                <w:div w:id="1788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50745">
      <w:bodyDiv w:val="1"/>
      <w:marLeft w:val="0"/>
      <w:marRight w:val="0"/>
      <w:marTop w:val="0"/>
      <w:marBottom w:val="0"/>
      <w:divBdr>
        <w:top w:val="none" w:sz="0" w:space="0" w:color="auto"/>
        <w:left w:val="none" w:sz="0" w:space="0" w:color="auto"/>
        <w:bottom w:val="none" w:sz="0" w:space="0" w:color="auto"/>
        <w:right w:val="none" w:sz="0" w:space="0" w:color="auto"/>
      </w:divBdr>
      <w:divsChild>
        <w:div w:id="926622596">
          <w:marLeft w:val="0"/>
          <w:marRight w:val="0"/>
          <w:marTop w:val="0"/>
          <w:marBottom w:val="0"/>
          <w:divBdr>
            <w:top w:val="none" w:sz="0" w:space="0" w:color="auto"/>
            <w:left w:val="none" w:sz="0" w:space="0" w:color="auto"/>
            <w:bottom w:val="none" w:sz="0" w:space="0" w:color="auto"/>
            <w:right w:val="none" w:sz="0" w:space="0" w:color="auto"/>
          </w:divBdr>
          <w:divsChild>
            <w:div w:id="236139215">
              <w:marLeft w:val="0"/>
              <w:marRight w:val="0"/>
              <w:marTop w:val="0"/>
              <w:marBottom w:val="0"/>
              <w:divBdr>
                <w:top w:val="none" w:sz="0" w:space="0" w:color="auto"/>
                <w:left w:val="none" w:sz="0" w:space="0" w:color="auto"/>
                <w:bottom w:val="none" w:sz="0" w:space="0" w:color="auto"/>
                <w:right w:val="none" w:sz="0" w:space="0" w:color="auto"/>
              </w:divBdr>
              <w:divsChild>
                <w:div w:id="1981299593">
                  <w:marLeft w:val="0"/>
                  <w:marRight w:val="0"/>
                  <w:marTop w:val="0"/>
                  <w:marBottom w:val="0"/>
                  <w:divBdr>
                    <w:top w:val="none" w:sz="0" w:space="0" w:color="auto"/>
                    <w:left w:val="none" w:sz="0" w:space="0" w:color="auto"/>
                    <w:bottom w:val="none" w:sz="0" w:space="0" w:color="auto"/>
                    <w:right w:val="none" w:sz="0" w:space="0" w:color="auto"/>
                  </w:divBdr>
                  <w:divsChild>
                    <w:div w:id="9466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448A3-DA5B-1346-84BE-A7088418D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15</Pages>
  <Words>20371</Words>
  <Characters>116118</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Lonardo, Luigi</dc:creator>
  <cp:keywords/>
  <dc:description/>
  <cp:lastModifiedBy>Lonardo, Luigi</cp:lastModifiedBy>
  <cp:revision>167</cp:revision>
  <dcterms:created xsi:type="dcterms:W3CDTF">2022-04-15T08:38:00Z</dcterms:created>
  <dcterms:modified xsi:type="dcterms:W3CDTF">2022-05-07T15:17:00Z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id="6nZN51kL"/&gt;&lt;style id="http://www.zotero.org/styles/journal-of-common-market-studies" hasBibliography="1" bibliographyStyleHasBeenSet="1"/&gt;&lt;prefs&gt;&lt;pref name="fieldType" value="Field"/&gt;&lt;/prefs&gt;&lt;/dat</vt:lpwstr>
  </property>
  <property fmtid="{D5CDD505-2E9C-101B-9397-08002B2CF9AE}" pid="3" name="ZOTERO_PREF_2">
    <vt:lpwstr>a&gt;</vt:lpwstr>
  </property>
</Properties>
</file>