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E7199" w14:textId="35E34D89" w:rsidR="00FC1935" w:rsidRPr="00A841D4" w:rsidRDefault="00FC1935" w:rsidP="00FC1935">
      <w:pPr>
        <w:jc w:val="center"/>
        <w:rPr>
          <w:rFonts w:ascii="Times New Roman" w:hAnsi="Times New Roman" w:cs="Times New Roman"/>
          <w:b/>
          <w:lang w:val="en-US"/>
        </w:rPr>
      </w:pPr>
      <w:bookmarkStart w:id="0" w:name="_GoBack"/>
      <w:r w:rsidRPr="00A841D4">
        <w:rPr>
          <w:rFonts w:ascii="Times New Roman" w:hAnsi="Times New Roman" w:cs="Times New Roman"/>
          <w:b/>
          <w:lang w:val="en-US"/>
        </w:rPr>
        <w:t>Flexibility as Small State Strategy: Explaining Lithuania’s Adjustment Successes</w:t>
      </w:r>
    </w:p>
    <w:bookmarkEnd w:id="0"/>
    <w:p w14:paraId="56286E83" w14:textId="68248DC0" w:rsidR="00FC1935" w:rsidRPr="00A841D4" w:rsidRDefault="00FC1935" w:rsidP="00FC1935">
      <w:pPr>
        <w:jc w:val="center"/>
        <w:rPr>
          <w:rFonts w:ascii="Times New Roman" w:hAnsi="Times New Roman" w:cs="Times New Roman"/>
          <w:lang w:val="en-US"/>
        </w:rPr>
      </w:pPr>
    </w:p>
    <w:p w14:paraId="5D5EE9BF" w14:textId="6C224567" w:rsidR="00FC1935" w:rsidRPr="00A841D4" w:rsidRDefault="00FC1935" w:rsidP="00FC1935">
      <w:pPr>
        <w:jc w:val="center"/>
        <w:rPr>
          <w:rFonts w:ascii="Times New Roman" w:hAnsi="Times New Roman" w:cs="Times New Roman"/>
          <w:lang w:val="en-US"/>
        </w:rPr>
      </w:pPr>
      <w:r w:rsidRPr="00A841D4">
        <w:rPr>
          <w:rFonts w:ascii="Times New Roman" w:hAnsi="Times New Roman" w:cs="Times New Roman"/>
          <w:lang w:val="en-US"/>
        </w:rPr>
        <w:t>Vytautas Kuokštis, Ramūnas Vilpišauskas, Algirdas Bieliūnas</w:t>
      </w:r>
      <w:r w:rsidR="005D131C" w:rsidRPr="00A841D4">
        <w:rPr>
          <w:rStyle w:val="FootnoteReference"/>
          <w:rFonts w:ascii="Times New Roman" w:hAnsi="Times New Roman" w:cs="Times New Roman"/>
          <w:b/>
          <w:lang w:val="en-US"/>
        </w:rPr>
        <w:footnoteReference w:id="1"/>
      </w:r>
    </w:p>
    <w:p w14:paraId="116E23C0" w14:textId="495E3865" w:rsidR="005D131C" w:rsidRPr="00A841D4" w:rsidRDefault="005D131C" w:rsidP="00FC1935">
      <w:pPr>
        <w:jc w:val="center"/>
        <w:rPr>
          <w:rFonts w:ascii="Times New Roman" w:hAnsi="Times New Roman" w:cs="Times New Roman"/>
          <w:lang w:val="en-US"/>
        </w:rPr>
      </w:pPr>
    </w:p>
    <w:p w14:paraId="3EA644A5" w14:textId="22A009FE" w:rsidR="005D131C" w:rsidRPr="00A841D4" w:rsidRDefault="005D131C" w:rsidP="00FC1935">
      <w:pPr>
        <w:jc w:val="center"/>
        <w:rPr>
          <w:rFonts w:ascii="Times New Roman" w:hAnsi="Times New Roman" w:cs="Times New Roman"/>
          <w:lang w:val="en-US"/>
        </w:rPr>
      </w:pPr>
      <w:r w:rsidRPr="00A841D4">
        <w:rPr>
          <w:rFonts w:ascii="Times New Roman" w:hAnsi="Times New Roman" w:cs="Times New Roman"/>
          <w:lang w:val="en-US"/>
        </w:rPr>
        <w:t>First draft, comments welcome</w:t>
      </w:r>
    </w:p>
    <w:p w14:paraId="202EE6D9" w14:textId="677E5A02" w:rsidR="00FC1935" w:rsidRPr="00A841D4" w:rsidRDefault="00FC1935">
      <w:pPr>
        <w:rPr>
          <w:rFonts w:ascii="Times New Roman" w:hAnsi="Times New Roman" w:cs="Times New Roman"/>
          <w:b/>
          <w:lang w:val="en-US"/>
        </w:rPr>
      </w:pPr>
    </w:p>
    <w:p w14:paraId="754FF51C" w14:textId="177B3314" w:rsidR="00FC1935" w:rsidRPr="00A841D4" w:rsidRDefault="00FC1935">
      <w:pPr>
        <w:rPr>
          <w:rFonts w:ascii="Times New Roman" w:hAnsi="Times New Roman" w:cs="Times New Roman"/>
          <w:b/>
          <w:lang w:val="en-US"/>
        </w:rPr>
      </w:pPr>
    </w:p>
    <w:p w14:paraId="6C633C23" w14:textId="1D4FF036" w:rsidR="00FC1935" w:rsidRPr="00A841D4" w:rsidRDefault="00FC1935" w:rsidP="00E2205F">
      <w:pPr>
        <w:jc w:val="both"/>
        <w:rPr>
          <w:rFonts w:ascii="Times New Roman" w:hAnsi="Times New Roman" w:cs="Times New Roman"/>
          <w:b/>
          <w:lang w:val="en-US"/>
        </w:rPr>
      </w:pPr>
      <w:r w:rsidRPr="00A841D4">
        <w:rPr>
          <w:rFonts w:ascii="Times New Roman" w:hAnsi="Times New Roman" w:cs="Times New Roman"/>
          <w:b/>
          <w:lang w:val="en-US"/>
        </w:rPr>
        <w:t>Introduction</w:t>
      </w:r>
    </w:p>
    <w:p w14:paraId="1EBF0C7B" w14:textId="224E7B64" w:rsidR="00FC1935" w:rsidRPr="00A841D4" w:rsidRDefault="00FC1935" w:rsidP="00E2205F">
      <w:pPr>
        <w:jc w:val="both"/>
        <w:rPr>
          <w:rFonts w:ascii="Times New Roman" w:hAnsi="Times New Roman" w:cs="Times New Roman"/>
          <w:b/>
          <w:lang w:val="en-US"/>
        </w:rPr>
      </w:pPr>
    </w:p>
    <w:p w14:paraId="2F018342" w14:textId="167638F2" w:rsidR="00FE3C8F" w:rsidRPr="00A841D4" w:rsidRDefault="00FC1935" w:rsidP="00E2205F">
      <w:pPr>
        <w:jc w:val="both"/>
        <w:rPr>
          <w:rFonts w:ascii="Times New Roman" w:hAnsi="Times New Roman" w:cs="Times New Roman"/>
          <w:lang w:val="en-US"/>
        </w:rPr>
      </w:pPr>
      <w:r w:rsidRPr="00A841D4">
        <w:rPr>
          <w:rFonts w:ascii="Times New Roman" w:hAnsi="Times New Roman" w:cs="Times New Roman"/>
          <w:lang w:val="en-US"/>
        </w:rPr>
        <w:t>Since the re-establishment of independence in 1990 Lithuania faced a number of external shocks which affected its economy. The transition from closed centrally planned economy into the open market based economy itself had a system</w:t>
      </w:r>
      <w:r w:rsidR="007A2C08" w:rsidRPr="00A841D4">
        <w:rPr>
          <w:rFonts w:ascii="Times New Roman" w:hAnsi="Times New Roman" w:cs="Times New Roman"/>
          <w:lang w:val="en-US"/>
        </w:rPr>
        <w:t>ic</w:t>
      </w:r>
      <w:r w:rsidRPr="00A841D4">
        <w:rPr>
          <w:rFonts w:ascii="Times New Roman" w:hAnsi="Times New Roman" w:cs="Times New Roman"/>
          <w:lang w:val="en-US"/>
        </w:rPr>
        <w:t xml:space="preserve"> impact on economic activities and institutions in the country. Later, Lithuania’s economy had to deal with the financial crisis in Russia in 1998, the Great Recession in 2008</w:t>
      </w:r>
      <w:r w:rsidR="00AB4E83" w:rsidRPr="00A841D4">
        <w:rPr>
          <w:rFonts w:ascii="Times New Roman" w:hAnsi="Times New Roman" w:cs="Times New Roman"/>
          <w:lang w:val="en-US"/>
        </w:rPr>
        <w:t>-</w:t>
      </w:r>
      <w:r w:rsidR="00884F59" w:rsidRPr="00A841D4">
        <w:rPr>
          <w:rFonts w:ascii="Times New Roman" w:hAnsi="Times New Roman" w:cs="Times New Roman"/>
          <w:lang w:val="en-US"/>
        </w:rPr>
        <w:t>20</w:t>
      </w:r>
      <w:r w:rsidR="00AB4E83" w:rsidRPr="00A841D4">
        <w:rPr>
          <w:rFonts w:ascii="Times New Roman" w:hAnsi="Times New Roman" w:cs="Times New Roman"/>
          <w:lang w:val="en-US"/>
        </w:rPr>
        <w:t>09</w:t>
      </w:r>
      <w:r w:rsidRPr="00A841D4">
        <w:rPr>
          <w:rFonts w:ascii="Times New Roman" w:hAnsi="Times New Roman" w:cs="Times New Roman"/>
          <w:lang w:val="en-US"/>
        </w:rPr>
        <w:t xml:space="preserve"> and more recently trade embargo</w:t>
      </w:r>
      <w:r w:rsidR="00FE3C8F" w:rsidRPr="00A841D4">
        <w:rPr>
          <w:rFonts w:ascii="Times New Roman" w:hAnsi="Times New Roman" w:cs="Times New Roman"/>
          <w:lang w:val="en-US"/>
        </w:rPr>
        <w:t xml:space="preserve"> applied</w:t>
      </w:r>
      <w:r w:rsidRPr="00A841D4">
        <w:rPr>
          <w:rFonts w:ascii="Times New Roman" w:hAnsi="Times New Roman" w:cs="Times New Roman"/>
          <w:lang w:val="en-US"/>
        </w:rPr>
        <w:t xml:space="preserve"> by Russia in 2014 as a response to the EU’s economic sanctions introduced after annexation of Crimea and </w:t>
      </w:r>
      <w:r w:rsidR="00FE3C8F" w:rsidRPr="00A841D4">
        <w:rPr>
          <w:rFonts w:ascii="Times New Roman" w:hAnsi="Times New Roman" w:cs="Times New Roman"/>
          <w:lang w:val="en-US"/>
        </w:rPr>
        <w:t xml:space="preserve">Russia’s aggression against Ukraine. </w:t>
      </w:r>
    </w:p>
    <w:p w14:paraId="1127F85B" w14:textId="77777777" w:rsidR="00FE3C8F" w:rsidRPr="00A841D4" w:rsidRDefault="00FE3C8F" w:rsidP="00E2205F">
      <w:pPr>
        <w:jc w:val="both"/>
        <w:rPr>
          <w:rFonts w:ascii="Times New Roman" w:hAnsi="Times New Roman" w:cs="Times New Roman"/>
          <w:lang w:val="en-US"/>
        </w:rPr>
      </w:pPr>
    </w:p>
    <w:p w14:paraId="57A6BBCA" w14:textId="0EC88555" w:rsidR="00F76F73" w:rsidRPr="00A841D4" w:rsidRDefault="00FE3C8F" w:rsidP="00E2205F">
      <w:pPr>
        <w:jc w:val="both"/>
        <w:rPr>
          <w:rFonts w:ascii="Times New Roman" w:hAnsi="Times New Roman" w:cs="Times New Roman"/>
          <w:lang w:val="en-US"/>
        </w:rPr>
      </w:pPr>
      <w:r w:rsidRPr="00A841D4">
        <w:rPr>
          <w:rFonts w:ascii="Times New Roman" w:hAnsi="Times New Roman" w:cs="Times New Roman"/>
          <w:lang w:val="en-US"/>
        </w:rPr>
        <w:t xml:space="preserve">Although each of these external shocks had negative effects on Lithuania’s economy transmitted through the channels of trade interdependence, the magnitude of those effects had been more limited than expected by many analysts. In 1998-1999 the effects of financial turmoil in Russia which was the key foreign trade partner of Lithuania resulted in country’s economic decline which also led to the reshuffle of the government. However, Lithuania’s economy recovered quickly and its companies redirected their exports to the EU market. Moreover, this external shock was welcomed by the newly appointed country’s Prime Minister A. </w:t>
      </w:r>
      <w:proofErr w:type="spellStart"/>
      <w:r w:rsidRPr="00A841D4">
        <w:rPr>
          <w:rFonts w:ascii="Times New Roman" w:hAnsi="Times New Roman" w:cs="Times New Roman"/>
          <w:lang w:val="en-US"/>
        </w:rPr>
        <w:t>Kubilius</w:t>
      </w:r>
      <w:proofErr w:type="spellEnd"/>
      <w:r w:rsidRPr="00A841D4">
        <w:rPr>
          <w:rFonts w:ascii="Times New Roman" w:hAnsi="Times New Roman" w:cs="Times New Roman"/>
          <w:lang w:val="en-US"/>
        </w:rPr>
        <w:t xml:space="preserve"> as a positive push to reorient external interdependencies of Lithuania from Russia to the EU at the time of preparations to the EU accession negotiations. In 2008-2</w:t>
      </w:r>
      <w:r w:rsidR="0034053E" w:rsidRPr="00A841D4">
        <w:rPr>
          <w:rFonts w:ascii="Times New Roman" w:hAnsi="Times New Roman" w:cs="Times New Roman"/>
          <w:lang w:val="en-US"/>
        </w:rPr>
        <w:t>009, Lithuania experienced more significant external shock originating from the real estate crisis in the US which affected most of the EU. It</w:t>
      </w:r>
      <w:r w:rsidR="007A2C08" w:rsidRPr="00A841D4">
        <w:rPr>
          <w:rFonts w:ascii="Times New Roman" w:hAnsi="Times New Roman" w:cs="Times New Roman"/>
          <w:lang w:val="en-US"/>
        </w:rPr>
        <w:t>s</w:t>
      </w:r>
      <w:r w:rsidR="0034053E" w:rsidRPr="00A841D4">
        <w:rPr>
          <w:rFonts w:ascii="Times New Roman" w:hAnsi="Times New Roman" w:cs="Times New Roman"/>
          <w:lang w:val="en-US"/>
        </w:rPr>
        <w:t xml:space="preserve"> economy declined by around 15% in 2009 and its currency experienced significant pressures with prominent economists such P</w:t>
      </w:r>
      <w:r w:rsidR="00884F59" w:rsidRPr="00A841D4">
        <w:rPr>
          <w:rFonts w:ascii="Times New Roman" w:hAnsi="Times New Roman" w:cs="Times New Roman"/>
          <w:lang w:val="en-US"/>
        </w:rPr>
        <w:t>aul</w:t>
      </w:r>
      <w:r w:rsidR="0034053E" w:rsidRPr="00A841D4">
        <w:rPr>
          <w:rFonts w:ascii="Times New Roman" w:hAnsi="Times New Roman" w:cs="Times New Roman"/>
          <w:lang w:val="en-US"/>
        </w:rPr>
        <w:t xml:space="preserve"> Krugman advocating devaluation as the most appropriate strategy out of the crisis. However, after Lithuanian authorities decided to defend </w:t>
      </w:r>
      <w:r w:rsidR="00884F59" w:rsidRPr="00A841D4">
        <w:rPr>
          <w:rFonts w:ascii="Times New Roman" w:hAnsi="Times New Roman" w:cs="Times New Roman"/>
          <w:lang w:val="en-US"/>
        </w:rPr>
        <w:t xml:space="preserve">the </w:t>
      </w:r>
      <w:r w:rsidR="0034053E" w:rsidRPr="00A841D4">
        <w:rPr>
          <w:rFonts w:ascii="Times New Roman" w:hAnsi="Times New Roman" w:cs="Times New Roman"/>
          <w:lang w:val="en-US"/>
        </w:rPr>
        <w:t xml:space="preserve">fixed exchange rate and adopted internal adjustment measures country’s economy rebounded back again relatively fast. By 2015 Lithuania joined the euro zone as the last step of exiting the crisis. </w:t>
      </w:r>
      <w:r w:rsidR="00EE2D6E" w:rsidRPr="00A841D4">
        <w:rPr>
          <w:rFonts w:ascii="Times New Roman" w:hAnsi="Times New Roman" w:cs="Times New Roman"/>
          <w:lang w:val="en-US"/>
        </w:rPr>
        <w:t xml:space="preserve">In 2014-2015, Lithuania was seen as the country particularly exposed </w:t>
      </w:r>
      <w:r w:rsidR="00F76F73" w:rsidRPr="00A841D4">
        <w:rPr>
          <w:rFonts w:ascii="Times New Roman" w:hAnsi="Times New Roman" w:cs="Times New Roman"/>
          <w:lang w:val="en-US"/>
        </w:rPr>
        <w:t xml:space="preserve">to the external shock of decline in demand </w:t>
      </w:r>
      <w:r w:rsidR="00EE2D6E" w:rsidRPr="00A841D4">
        <w:rPr>
          <w:rFonts w:ascii="Times New Roman" w:hAnsi="Times New Roman" w:cs="Times New Roman"/>
          <w:lang w:val="en-US"/>
        </w:rPr>
        <w:t>after Russia introduced retaliatory protectionist measures targeting exports from the EU</w:t>
      </w:r>
      <w:r w:rsidR="00F76F73" w:rsidRPr="00A841D4">
        <w:rPr>
          <w:rFonts w:ascii="Times New Roman" w:hAnsi="Times New Roman" w:cs="Times New Roman"/>
          <w:lang w:val="en-US"/>
        </w:rPr>
        <w:t xml:space="preserve"> member states</w:t>
      </w:r>
      <w:r w:rsidR="00E851DF" w:rsidRPr="00A841D4">
        <w:rPr>
          <w:rFonts w:ascii="Times New Roman" w:hAnsi="Times New Roman" w:cs="Times New Roman"/>
          <w:lang w:val="en-US"/>
        </w:rPr>
        <w:t xml:space="preserve"> (</w:t>
      </w:r>
      <w:proofErr w:type="spellStart"/>
      <w:r w:rsidR="00E851DF" w:rsidRPr="00A841D4">
        <w:rPr>
          <w:rFonts w:ascii="Times New Roman" w:hAnsi="Times New Roman" w:cs="Times New Roman"/>
          <w:lang w:val="en-US"/>
        </w:rPr>
        <w:t>Kraatz</w:t>
      </w:r>
      <w:proofErr w:type="spellEnd"/>
      <w:r w:rsidR="00E851DF" w:rsidRPr="00A841D4">
        <w:rPr>
          <w:rFonts w:ascii="Times New Roman" w:hAnsi="Times New Roman" w:cs="Times New Roman"/>
          <w:lang w:val="en-US"/>
        </w:rPr>
        <w:t xml:space="preserve"> 2014</w:t>
      </w:r>
      <w:r w:rsidR="008614C3" w:rsidRPr="00A841D4">
        <w:rPr>
          <w:rFonts w:ascii="Times New Roman" w:hAnsi="Times New Roman" w:cs="Times New Roman"/>
          <w:lang w:val="en-US"/>
        </w:rPr>
        <w:t xml:space="preserve">, </w:t>
      </w:r>
      <w:proofErr w:type="spellStart"/>
      <w:r w:rsidR="008614C3" w:rsidRPr="00A841D4">
        <w:rPr>
          <w:rFonts w:ascii="Times New Roman" w:hAnsi="Times New Roman" w:cs="Times New Roman"/>
          <w:lang w:val="en-US"/>
        </w:rPr>
        <w:t>Liuhto</w:t>
      </w:r>
      <w:proofErr w:type="spellEnd"/>
      <w:r w:rsidR="008614C3" w:rsidRPr="00A841D4">
        <w:rPr>
          <w:rFonts w:ascii="Times New Roman" w:hAnsi="Times New Roman" w:cs="Times New Roman"/>
          <w:lang w:val="en-US"/>
        </w:rPr>
        <w:t xml:space="preserve"> 2015</w:t>
      </w:r>
      <w:r w:rsidR="00E851DF" w:rsidRPr="00A841D4">
        <w:rPr>
          <w:rFonts w:ascii="Times New Roman" w:hAnsi="Times New Roman" w:cs="Times New Roman"/>
          <w:lang w:val="en-US"/>
        </w:rPr>
        <w:t>)</w:t>
      </w:r>
      <w:r w:rsidR="00F76F73" w:rsidRPr="00A841D4">
        <w:rPr>
          <w:rFonts w:ascii="Times New Roman" w:hAnsi="Times New Roman" w:cs="Times New Roman"/>
          <w:lang w:val="en-US"/>
        </w:rPr>
        <w:t xml:space="preserve">. Yet again, the effects of Russian embargo on Lithuania’s exports have been limited, its economy continued to grow and exports restructured. </w:t>
      </w:r>
    </w:p>
    <w:p w14:paraId="53CF3EA6" w14:textId="77777777" w:rsidR="00F76F73" w:rsidRPr="00A841D4" w:rsidRDefault="00F76F73" w:rsidP="00E2205F">
      <w:pPr>
        <w:jc w:val="both"/>
        <w:rPr>
          <w:rFonts w:ascii="Times New Roman" w:hAnsi="Times New Roman" w:cs="Times New Roman"/>
          <w:lang w:val="en-US"/>
        </w:rPr>
      </w:pPr>
    </w:p>
    <w:p w14:paraId="7AD8B36D" w14:textId="3DAFB3DE" w:rsidR="00CD2924" w:rsidRPr="00A841D4" w:rsidRDefault="00F76F73" w:rsidP="00E2205F">
      <w:pPr>
        <w:jc w:val="both"/>
        <w:rPr>
          <w:rFonts w:ascii="Times New Roman" w:hAnsi="Times New Roman" w:cs="Times New Roman"/>
          <w:lang w:val="en-US"/>
        </w:rPr>
      </w:pPr>
      <w:r w:rsidRPr="00A841D4">
        <w:rPr>
          <w:rFonts w:ascii="Times New Roman" w:hAnsi="Times New Roman" w:cs="Times New Roman"/>
          <w:lang w:val="en-US"/>
        </w:rPr>
        <w:t>These episodes of Lithuania reacting to external shocks present several interesting puzzles. First, what can explain relatively limited impact of significant extern</w:t>
      </w:r>
      <w:r w:rsidR="00F87A42" w:rsidRPr="00A841D4">
        <w:rPr>
          <w:rFonts w:ascii="Times New Roman" w:hAnsi="Times New Roman" w:cs="Times New Roman"/>
          <w:lang w:val="en-US"/>
        </w:rPr>
        <w:t>al</w:t>
      </w:r>
      <w:r w:rsidRPr="00A841D4">
        <w:rPr>
          <w:rFonts w:ascii="Times New Roman" w:hAnsi="Times New Roman" w:cs="Times New Roman"/>
          <w:lang w:val="en-US"/>
        </w:rPr>
        <w:t xml:space="preserve"> shocks on country’s economy which defied predictions of many external observers? In other words, to use the concepts of </w:t>
      </w:r>
      <w:proofErr w:type="spellStart"/>
      <w:r w:rsidRPr="00A841D4">
        <w:rPr>
          <w:rFonts w:ascii="Times New Roman" w:hAnsi="Times New Roman" w:cs="Times New Roman"/>
          <w:lang w:val="en-US"/>
        </w:rPr>
        <w:t>Keohane</w:t>
      </w:r>
      <w:proofErr w:type="spellEnd"/>
      <w:r w:rsidRPr="00A841D4">
        <w:rPr>
          <w:rFonts w:ascii="Times New Roman" w:hAnsi="Times New Roman" w:cs="Times New Roman"/>
          <w:lang w:val="en-US"/>
        </w:rPr>
        <w:t xml:space="preserve"> and Nye</w:t>
      </w:r>
      <w:r w:rsidR="00A614FF" w:rsidRPr="00A841D4">
        <w:rPr>
          <w:rFonts w:ascii="Times New Roman" w:hAnsi="Times New Roman" w:cs="Times New Roman"/>
          <w:lang w:val="en-US"/>
        </w:rPr>
        <w:t xml:space="preserve"> (2012)</w:t>
      </w:r>
      <w:r w:rsidRPr="00A841D4">
        <w:rPr>
          <w:rFonts w:ascii="Times New Roman" w:hAnsi="Times New Roman" w:cs="Times New Roman"/>
          <w:lang w:val="en-US"/>
        </w:rPr>
        <w:t xml:space="preserve">, what accounts for the relatively low degree of its vulnerability despite high sensitivity due to relatively high economic openness and external interdependence? </w:t>
      </w:r>
      <w:r w:rsidR="00003CA2" w:rsidRPr="00A841D4">
        <w:rPr>
          <w:rFonts w:ascii="Times New Roman" w:hAnsi="Times New Roman" w:cs="Times New Roman"/>
          <w:lang w:val="en-US"/>
        </w:rPr>
        <w:t xml:space="preserve">Second, to what extent </w:t>
      </w:r>
      <w:r w:rsidR="00F87A42" w:rsidRPr="00A841D4">
        <w:rPr>
          <w:rFonts w:ascii="Times New Roman" w:hAnsi="Times New Roman" w:cs="Times New Roman"/>
          <w:lang w:val="en-US"/>
        </w:rPr>
        <w:t>low vulnerability to external pressures is the outcome of economic agents’ flexibility, to what extent it is an outcome of strategic decisions of country’s policy makers to create an institutional framework which reduces vulnerability and allows to benefit from part</w:t>
      </w:r>
      <w:r w:rsidR="00CD2924" w:rsidRPr="00A841D4">
        <w:rPr>
          <w:rFonts w:ascii="Times New Roman" w:hAnsi="Times New Roman" w:cs="Times New Roman"/>
          <w:lang w:val="en-US"/>
        </w:rPr>
        <w:t xml:space="preserve">icipation in the global economy? Finally, and more generally, what </w:t>
      </w:r>
      <w:r w:rsidR="00F46386" w:rsidRPr="00A841D4">
        <w:rPr>
          <w:rFonts w:ascii="Times New Roman" w:hAnsi="Times New Roman" w:cs="Times New Roman"/>
          <w:lang w:val="en-US"/>
        </w:rPr>
        <w:t xml:space="preserve">do </w:t>
      </w:r>
      <w:r w:rsidR="00CD2924" w:rsidRPr="00A841D4">
        <w:rPr>
          <w:rFonts w:ascii="Times New Roman" w:hAnsi="Times New Roman" w:cs="Times New Roman"/>
          <w:lang w:val="en-US"/>
        </w:rPr>
        <w:t xml:space="preserve">those episodes of Lithuania managing external shocks tell us about the </w:t>
      </w:r>
      <w:r w:rsidR="005A20BC" w:rsidRPr="00A841D4">
        <w:rPr>
          <w:rFonts w:ascii="Times New Roman" w:hAnsi="Times New Roman" w:cs="Times New Roman"/>
          <w:lang w:val="en-US"/>
        </w:rPr>
        <w:t xml:space="preserve">policy </w:t>
      </w:r>
      <w:r w:rsidR="00CD2924" w:rsidRPr="00A841D4">
        <w:rPr>
          <w:rFonts w:ascii="Times New Roman" w:hAnsi="Times New Roman" w:cs="Times New Roman"/>
          <w:lang w:val="en-US"/>
        </w:rPr>
        <w:t>trade-offs</w:t>
      </w:r>
      <w:r w:rsidR="005A20BC" w:rsidRPr="00A841D4">
        <w:rPr>
          <w:rFonts w:ascii="Times New Roman" w:hAnsi="Times New Roman" w:cs="Times New Roman"/>
          <w:lang w:val="en-US"/>
        </w:rPr>
        <w:t xml:space="preserve"> of </w:t>
      </w:r>
      <w:r w:rsidR="00CD2924" w:rsidRPr="00A841D4">
        <w:rPr>
          <w:rFonts w:ascii="Times New Roman" w:hAnsi="Times New Roman" w:cs="Times New Roman"/>
          <w:lang w:val="en-US"/>
        </w:rPr>
        <w:t>small open economies in their pursuit of managing complex interdependencies in the geopolitically risky environment</w:t>
      </w:r>
      <w:r w:rsidR="00884F59" w:rsidRPr="00A841D4">
        <w:rPr>
          <w:rFonts w:ascii="Times New Roman" w:hAnsi="Times New Roman" w:cs="Times New Roman"/>
          <w:lang w:val="en-US"/>
        </w:rPr>
        <w:t>?</w:t>
      </w:r>
    </w:p>
    <w:p w14:paraId="4A0B1542" w14:textId="77777777" w:rsidR="00CD2924" w:rsidRPr="00A841D4" w:rsidRDefault="00CD2924" w:rsidP="00E2205F">
      <w:pPr>
        <w:jc w:val="both"/>
        <w:rPr>
          <w:rFonts w:ascii="Times New Roman" w:hAnsi="Times New Roman" w:cs="Times New Roman"/>
          <w:lang w:val="en-US"/>
        </w:rPr>
      </w:pPr>
    </w:p>
    <w:p w14:paraId="57541173" w14:textId="533DB62D" w:rsidR="00252FEC" w:rsidRPr="00A841D4" w:rsidRDefault="00A841D4" w:rsidP="00E2205F">
      <w:pPr>
        <w:jc w:val="both"/>
        <w:rPr>
          <w:rFonts w:ascii="Times New Roman" w:hAnsi="Times New Roman" w:cs="Times New Roman"/>
          <w:lang w:val="en-US"/>
        </w:rPr>
      </w:pPr>
      <w:r>
        <w:rPr>
          <w:rFonts w:ascii="Times New Roman" w:hAnsi="Times New Roman" w:cs="Times New Roman"/>
          <w:lang w:val="en-US"/>
        </w:rPr>
        <w:t>In this paper we analyz</w:t>
      </w:r>
      <w:r w:rsidR="00801738" w:rsidRPr="00A841D4">
        <w:rPr>
          <w:rFonts w:ascii="Times New Roman" w:hAnsi="Times New Roman" w:cs="Times New Roman"/>
          <w:lang w:val="en-US"/>
        </w:rPr>
        <w:t xml:space="preserve">e the management of </w:t>
      </w:r>
      <w:r w:rsidR="00A614FF" w:rsidRPr="00A841D4">
        <w:rPr>
          <w:rFonts w:ascii="Times New Roman" w:hAnsi="Times New Roman" w:cs="Times New Roman"/>
          <w:lang w:val="en-US"/>
        </w:rPr>
        <w:t xml:space="preserve">the </w:t>
      </w:r>
      <w:r w:rsidR="00801738" w:rsidRPr="00A841D4">
        <w:rPr>
          <w:rFonts w:ascii="Times New Roman" w:hAnsi="Times New Roman" w:cs="Times New Roman"/>
          <w:lang w:val="en-US"/>
        </w:rPr>
        <w:t>two external shocks – the Great Recession of 2008</w:t>
      </w:r>
      <w:r w:rsidR="00884F59" w:rsidRPr="00A841D4">
        <w:rPr>
          <w:rFonts w:ascii="Times New Roman" w:hAnsi="Times New Roman" w:cs="Times New Roman"/>
          <w:lang w:val="en-US"/>
        </w:rPr>
        <w:t>-2009</w:t>
      </w:r>
      <w:r w:rsidR="00801738" w:rsidRPr="00A841D4">
        <w:rPr>
          <w:rFonts w:ascii="Times New Roman" w:hAnsi="Times New Roman" w:cs="Times New Roman"/>
          <w:lang w:val="en-US"/>
        </w:rPr>
        <w:t xml:space="preserve"> and the introduction of </w:t>
      </w:r>
      <w:r w:rsidR="00D43245" w:rsidRPr="00A841D4">
        <w:rPr>
          <w:rFonts w:ascii="Times New Roman" w:hAnsi="Times New Roman" w:cs="Times New Roman"/>
          <w:lang w:val="en-US"/>
        </w:rPr>
        <w:t xml:space="preserve">the </w:t>
      </w:r>
      <w:r w:rsidR="00801738" w:rsidRPr="00A841D4">
        <w:rPr>
          <w:rFonts w:ascii="Times New Roman" w:hAnsi="Times New Roman" w:cs="Times New Roman"/>
          <w:lang w:val="en-US"/>
        </w:rPr>
        <w:t>protectionist measures by Russia’s authorities</w:t>
      </w:r>
      <w:r w:rsidR="00D43245" w:rsidRPr="00A841D4">
        <w:rPr>
          <w:rFonts w:ascii="Times New Roman" w:hAnsi="Times New Roman" w:cs="Times New Roman"/>
          <w:lang w:val="en-US"/>
        </w:rPr>
        <w:t xml:space="preserve"> vis-à-vis exports from EU member states</w:t>
      </w:r>
      <w:r w:rsidR="00A614FF" w:rsidRPr="00A841D4">
        <w:rPr>
          <w:rFonts w:ascii="Times New Roman" w:hAnsi="Times New Roman" w:cs="Times New Roman"/>
          <w:lang w:val="en-US"/>
        </w:rPr>
        <w:t xml:space="preserve"> in 2014</w:t>
      </w:r>
      <w:r w:rsidR="00D43245" w:rsidRPr="00A841D4">
        <w:rPr>
          <w:rFonts w:ascii="Times New Roman" w:hAnsi="Times New Roman" w:cs="Times New Roman"/>
          <w:lang w:val="en-US"/>
        </w:rPr>
        <w:t>. T</w:t>
      </w:r>
      <w:r w:rsidR="00801738" w:rsidRPr="00A841D4">
        <w:rPr>
          <w:rFonts w:ascii="Times New Roman" w:hAnsi="Times New Roman" w:cs="Times New Roman"/>
          <w:lang w:val="en-US"/>
        </w:rPr>
        <w:t xml:space="preserve">hese two </w:t>
      </w:r>
      <w:r w:rsidR="00D43245" w:rsidRPr="00A841D4">
        <w:rPr>
          <w:rFonts w:ascii="Times New Roman" w:hAnsi="Times New Roman" w:cs="Times New Roman"/>
          <w:lang w:val="en-US"/>
        </w:rPr>
        <w:t>external shocks were different in their nature and origin – one has been transmitted from the US and affected the real economy through the channels of finance with global implications, the other resulted from a policy decision of an important trade partner Russia</w:t>
      </w:r>
      <w:r w:rsidR="003625CF" w:rsidRPr="00A841D4">
        <w:rPr>
          <w:rFonts w:ascii="Times New Roman" w:hAnsi="Times New Roman" w:cs="Times New Roman"/>
          <w:lang w:val="en-US"/>
        </w:rPr>
        <w:t>,</w:t>
      </w:r>
      <w:r w:rsidR="00D43245" w:rsidRPr="00A841D4">
        <w:rPr>
          <w:rFonts w:ascii="Times New Roman" w:hAnsi="Times New Roman" w:cs="Times New Roman"/>
          <w:lang w:val="en-US"/>
        </w:rPr>
        <w:t xml:space="preserve"> which retaliated to economic sanctions introduced by the EU.</w:t>
      </w:r>
      <w:r w:rsidR="00CE39D7" w:rsidRPr="00A841D4">
        <w:rPr>
          <w:rFonts w:ascii="Times New Roman" w:hAnsi="Times New Roman" w:cs="Times New Roman"/>
          <w:lang w:val="en-US"/>
        </w:rPr>
        <w:t xml:space="preserve"> However, they both affected Lithuania’s economy through external interdependencies allowing to observe and analy</w:t>
      </w:r>
      <w:r>
        <w:rPr>
          <w:rFonts w:ascii="Times New Roman" w:hAnsi="Times New Roman" w:cs="Times New Roman"/>
          <w:lang w:val="en-US"/>
        </w:rPr>
        <w:t>z</w:t>
      </w:r>
      <w:r w:rsidR="00CE39D7" w:rsidRPr="00A841D4">
        <w:rPr>
          <w:rFonts w:ascii="Times New Roman" w:hAnsi="Times New Roman" w:cs="Times New Roman"/>
          <w:lang w:val="en-US"/>
        </w:rPr>
        <w:t>e reactions of economic agents and country’s authorities.</w:t>
      </w:r>
      <w:r w:rsidR="005A20BC" w:rsidRPr="00A841D4">
        <w:rPr>
          <w:rFonts w:ascii="Times New Roman" w:hAnsi="Times New Roman" w:cs="Times New Roman"/>
          <w:lang w:val="en-US"/>
        </w:rPr>
        <w:t xml:space="preserve"> </w:t>
      </w:r>
      <w:r w:rsidR="00A614FF" w:rsidRPr="00A841D4">
        <w:rPr>
          <w:rFonts w:ascii="Times New Roman" w:hAnsi="Times New Roman" w:cs="Times New Roman"/>
          <w:lang w:val="en-US"/>
        </w:rPr>
        <w:t xml:space="preserve">Therefore, we first discuss the patterns of trade interdependencies of Lithuania in order to assess to what extent they make </w:t>
      </w:r>
      <w:r w:rsidR="00252FEC" w:rsidRPr="00A841D4">
        <w:rPr>
          <w:rFonts w:ascii="Times New Roman" w:hAnsi="Times New Roman" w:cs="Times New Roman"/>
          <w:lang w:val="en-US"/>
        </w:rPr>
        <w:t xml:space="preserve">the </w:t>
      </w:r>
      <w:r w:rsidR="00A614FF" w:rsidRPr="00A841D4">
        <w:rPr>
          <w:rFonts w:ascii="Times New Roman" w:hAnsi="Times New Roman" w:cs="Times New Roman"/>
          <w:lang w:val="en-US"/>
        </w:rPr>
        <w:t>country sensitive and vulnerable to external influences such as market shocks and policy decisions by external powers.</w:t>
      </w:r>
      <w:r w:rsidR="00252FEC" w:rsidRPr="00A841D4">
        <w:rPr>
          <w:rFonts w:ascii="Times New Roman" w:hAnsi="Times New Roman" w:cs="Times New Roman"/>
          <w:lang w:val="en-US"/>
        </w:rPr>
        <w:t xml:space="preserve"> Then</w:t>
      </w:r>
      <w:r>
        <w:rPr>
          <w:rFonts w:ascii="Times New Roman" w:hAnsi="Times New Roman" w:cs="Times New Roman"/>
          <w:lang w:val="en-US"/>
        </w:rPr>
        <w:t xml:space="preserve"> we analyz</w:t>
      </w:r>
      <w:r w:rsidR="00252FEC" w:rsidRPr="00A841D4">
        <w:rPr>
          <w:rFonts w:ascii="Times New Roman" w:hAnsi="Times New Roman" w:cs="Times New Roman"/>
          <w:lang w:val="en-US"/>
        </w:rPr>
        <w:t>e how country’s economy reacted to those two external shocks in terms of economic development and changes in trade</w:t>
      </w:r>
      <w:r w:rsidR="00A614FF" w:rsidRPr="00A841D4">
        <w:rPr>
          <w:rFonts w:ascii="Times New Roman" w:hAnsi="Times New Roman" w:cs="Times New Roman"/>
          <w:lang w:val="en-US"/>
        </w:rPr>
        <w:t xml:space="preserve"> </w:t>
      </w:r>
      <w:r w:rsidR="00252FEC" w:rsidRPr="00A841D4">
        <w:rPr>
          <w:rFonts w:ascii="Times New Roman" w:hAnsi="Times New Roman" w:cs="Times New Roman"/>
          <w:lang w:val="en-US"/>
        </w:rPr>
        <w:t xml:space="preserve">patterns, especially, how the actual developments differed from initial forecasts. This then leads us to addressing possible explanations of unexpected flexibility and resilience of country’s economy by examining responses from the market participants and strategic decisions of country’s authorities. </w:t>
      </w:r>
      <w:r w:rsidR="00EA6493" w:rsidRPr="00A841D4">
        <w:rPr>
          <w:rFonts w:ascii="Times New Roman" w:hAnsi="Times New Roman" w:cs="Times New Roman"/>
          <w:lang w:val="en-US"/>
        </w:rPr>
        <w:t>In addition to general analysis of Lithuania’s trade patterns we also zoom in to analy</w:t>
      </w:r>
      <w:r>
        <w:rPr>
          <w:rFonts w:ascii="Times New Roman" w:hAnsi="Times New Roman" w:cs="Times New Roman"/>
          <w:lang w:val="en-US"/>
        </w:rPr>
        <w:t>z</w:t>
      </w:r>
      <w:r w:rsidR="00EA6493" w:rsidRPr="00A841D4">
        <w:rPr>
          <w:rFonts w:ascii="Times New Roman" w:hAnsi="Times New Roman" w:cs="Times New Roman"/>
          <w:lang w:val="en-US"/>
        </w:rPr>
        <w:t xml:space="preserve">e trade in energy resources which have been considered particularly important from the point of view of external dependence on Russia. </w:t>
      </w:r>
      <w:r w:rsidR="00252FEC" w:rsidRPr="00A841D4">
        <w:rPr>
          <w:rFonts w:ascii="Times New Roman" w:hAnsi="Times New Roman" w:cs="Times New Roman"/>
          <w:lang w:val="en-US"/>
        </w:rPr>
        <w:t>Finally, we conclude with assessing broader implications of Lithuania’s experience for the management of small states’ interdependencies and their study.</w:t>
      </w:r>
    </w:p>
    <w:p w14:paraId="3F481BD8" w14:textId="77777777" w:rsidR="00252FEC" w:rsidRPr="00A841D4" w:rsidRDefault="00252FEC" w:rsidP="00E2205F">
      <w:pPr>
        <w:jc w:val="both"/>
        <w:rPr>
          <w:rFonts w:ascii="Times New Roman" w:hAnsi="Times New Roman" w:cs="Times New Roman"/>
          <w:lang w:val="en-US"/>
        </w:rPr>
      </w:pPr>
    </w:p>
    <w:p w14:paraId="4BB9D86A" w14:textId="0B33B856" w:rsidR="008614C3" w:rsidRPr="00A841D4" w:rsidRDefault="008614C3" w:rsidP="00E2205F">
      <w:pPr>
        <w:jc w:val="both"/>
        <w:rPr>
          <w:rFonts w:ascii="Times New Roman" w:hAnsi="Times New Roman" w:cs="Times New Roman"/>
          <w:lang w:val="en-US"/>
        </w:rPr>
      </w:pPr>
      <w:r w:rsidRPr="00A841D4">
        <w:rPr>
          <w:rFonts w:ascii="Times New Roman" w:hAnsi="Times New Roman" w:cs="Times New Roman"/>
          <w:i/>
          <w:lang w:val="en-US"/>
        </w:rPr>
        <w:t>We argue that better than expected reaction of Lithuania’s economy to those two external shocks can be largely explained by strategic decisions of restructuring interdependencies by country’s authorities which in turn facilitated flexible reaction of market participants</w:t>
      </w:r>
      <w:r w:rsidRPr="00A841D4">
        <w:rPr>
          <w:rFonts w:ascii="Times New Roman" w:hAnsi="Times New Roman" w:cs="Times New Roman"/>
          <w:lang w:val="en-US"/>
        </w:rPr>
        <w:t xml:space="preserve">. The most important strategic decisions included </w:t>
      </w:r>
      <w:proofErr w:type="spellStart"/>
      <w:r w:rsidRPr="00A841D4">
        <w:rPr>
          <w:rFonts w:ascii="Times New Roman" w:hAnsi="Times New Roman" w:cs="Times New Roman"/>
          <w:lang w:val="en-US"/>
        </w:rPr>
        <w:t>liberalising</w:t>
      </w:r>
      <w:proofErr w:type="spellEnd"/>
      <w:r w:rsidRPr="00A841D4">
        <w:rPr>
          <w:rFonts w:ascii="Times New Roman" w:hAnsi="Times New Roman" w:cs="Times New Roman"/>
          <w:lang w:val="en-US"/>
        </w:rPr>
        <w:t xml:space="preserve"> trade in early and mid-1990s which eventually culminated in the accession into the EU providing access to its common market and the markets of countries which have free trade agreements with the EU as well as restructuring of infrastructure links such as energy to create alternative sources of supply</w:t>
      </w:r>
      <w:r w:rsidR="005101AE" w:rsidRPr="00A841D4">
        <w:rPr>
          <w:rFonts w:ascii="Times New Roman" w:hAnsi="Times New Roman" w:cs="Times New Roman"/>
          <w:lang w:val="en-US"/>
        </w:rPr>
        <w:t xml:space="preserve">. Easier access to other export markets and flexibility of economic agents able to adapt to shifts in demand for their products and services accounts for the relatively fast adjustment of Lithuanian economy despite its </w:t>
      </w:r>
      <w:r w:rsidR="00A841D4">
        <w:rPr>
          <w:rFonts w:ascii="Times New Roman" w:hAnsi="Times New Roman" w:cs="Times New Roman"/>
          <w:lang w:val="en-US"/>
        </w:rPr>
        <w:t>relatively heavy internationaliz</w:t>
      </w:r>
      <w:r w:rsidR="005101AE" w:rsidRPr="00A841D4">
        <w:rPr>
          <w:rFonts w:ascii="Times New Roman" w:hAnsi="Times New Roman" w:cs="Times New Roman"/>
          <w:lang w:val="en-US"/>
        </w:rPr>
        <w:t xml:space="preserve">ation and external openness. </w:t>
      </w:r>
      <w:r w:rsidR="003625CF" w:rsidRPr="00A841D4">
        <w:rPr>
          <w:rFonts w:ascii="Times New Roman" w:hAnsi="Times New Roman" w:cs="Times New Roman"/>
          <w:lang w:val="en-US"/>
        </w:rPr>
        <w:t>Lithuanian economy proved to be sensitive but not vulnerable to the two external shocks.</w:t>
      </w:r>
    </w:p>
    <w:p w14:paraId="4876A816" w14:textId="77777777" w:rsidR="008614C3" w:rsidRPr="00A841D4" w:rsidRDefault="008614C3" w:rsidP="00E2205F">
      <w:pPr>
        <w:jc w:val="both"/>
        <w:rPr>
          <w:rFonts w:ascii="Times New Roman" w:hAnsi="Times New Roman" w:cs="Times New Roman"/>
          <w:lang w:val="en-US"/>
        </w:rPr>
      </w:pPr>
    </w:p>
    <w:p w14:paraId="462C7D4D" w14:textId="5A3383B2" w:rsidR="007B4D61" w:rsidRPr="00A841D4" w:rsidRDefault="00A473C5" w:rsidP="00E2205F">
      <w:pPr>
        <w:jc w:val="both"/>
        <w:rPr>
          <w:rFonts w:ascii="Times New Roman" w:hAnsi="Times New Roman" w:cs="Times New Roman"/>
          <w:lang w:val="en-US"/>
        </w:rPr>
      </w:pPr>
      <w:r w:rsidRPr="00A841D4">
        <w:rPr>
          <w:rFonts w:ascii="Times New Roman" w:hAnsi="Times New Roman" w:cs="Times New Roman"/>
          <w:lang w:val="en-US"/>
        </w:rPr>
        <w:t xml:space="preserve">With this analysis we aim at contributing to several academic debates. First, </w:t>
      </w:r>
      <w:r w:rsidR="00E851DF" w:rsidRPr="00A841D4">
        <w:rPr>
          <w:rFonts w:ascii="Times New Roman" w:hAnsi="Times New Roman" w:cs="Times New Roman"/>
          <w:lang w:val="en-US"/>
        </w:rPr>
        <w:t xml:space="preserve">we provide our input into the studies of small states’ strategies to minimize their vulnerabilities and increase their power in international relations (Neumann, </w:t>
      </w:r>
      <w:proofErr w:type="spellStart"/>
      <w:r w:rsidR="00E851DF" w:rsidRPr="00A841D4">
        <w:rPr>
          <w:rFonts w:ascii="Times New Roman" w:hAnsi="Times New Roman" w:cs="Times New Roman"/>
          <w:lang w:val="en-US"/>
        </w:rPr>
        <w:t>Gstohl</w:t>
      </w:r>
      <w:proofErr w:type="spellEnd"/>
      <w:r w:rsidR="00E851DF" w:rsidRPr="00A841D4">
        <w:rPr>
          <w:rFonts w:ascii="Times New Roman" w:hAnsi="Times New Roman" w:cs="Times New Roman"/>
          <w:lang w:val="en-US"/>
        </w:rPr>
        <w:t xml:space="preserve"> 2006, </w:t>
      </w:r>
      <w:proofErr w:type="spellStart"/>
      <w:r w:rsidR="00E851DF" w:rsidRPr="00A841D4">
        <w:rPr>
          <w:rFonts w:ascii="Times New Roman" w:hAnsi="Times New Roman" w:cs="Times New Roman"/>
          <w:lang w:val="en-US"/>
        </w:rPr>
        <w:t>Thorhallsson</w:t>
      </w:r>
      <w:proofErr w:type="spellEnd"/>
      <w:r w:rsidR="00E851DF" w:rsidRPr="00A841D4">
        <w:rPr>
          <w:rFonts w:ascii="Times New Roman" w:hAnsi="Times New Roman" w:cs="Times New Roman"/>
          <w:lang w:val="en-US"/>
        </w:rPr>
        <w:t xml:space="preserve">, </w:t>
      </w:r>
      <w:proofErr w:type="spellStart"/>
      <w:r w:rsidR="00E851DF" w:rsidRPr="00A841D4">
        <w:rPr>
          <w:rFonts w:ascii="Times New Roman" w:hAnsi="Times New Roman" w:cs="Times New Roman"/>
          <w:lang w:val="en-US"/>
        </w:rPr>
        <w:t>Steinsson</w:t>
      </w:r>
      <w:proofErr w:type="spellEnd"/>
      <w:r w:rsidR="00E851DF" w:rsidRPr="00A841D4">
        <w:rPr>
          <w:rFonts w:ascii="Times New Roman" w:hAnsi="Times New Roman" w:cs="Times New Roman"/>
          <w:lang w:val="en-US"/>
        </w:rPr>
        <w:t xml:space="preserve"> 2017). </w:t>
      </w:r>
      <w:r w:rsidR="005101AE" w:rsidRPr="00A841D4">
        <w:rPr>
          <w:rFonts w:ascii="Times New Roman" w:hAnsi="Times New Roman" w:cs="Times New Roman"/>
          <w:lang w:val="en-US"/>
        </w:rPr>
        <w:t>It is the asymmetry of interdependence which can be seen as a cause for vulnerability of small countries to the outside shocks or manipulation of those relations by external power (</w:t>
      </w:r>
      <w:proofErr w:type="spellStart"/>
      <w:r w:rsidR="005101AE" w:rsidRPr="00A841D4">
        <w:rPr>
          <w:rFonts w:ascii="Times New Roman" w:hAnsi="Times New Roman" w:cs="Times New Roman"/>
          <w:lang w:val="en-US"/>
        </w:rPr>
        <w:t>Keohane</w:t>
      </w:r>
      <w:proofErr w:type="spellEnd"/>
      <w:r w:rsidR="005101AE" w:rsidRPr="00A841D4">
        <w:rPr>
          <w:rFonts w:ascii="Times New Roman" w:hAnsi="Times New Roman" w:cs="Times New Roman"/>
          <w:lang w:val="en-US"/>
        </w:rPr>
        <w:t xml:space="preserve">, Nye 2012). We are interested in assessing what factors can make such small economies less vulnerable by still allowing them to benefit from participation in the international </w:t>
      </w:r>
      <w:r w:rsidR="00A841D4">
        <w:rPr>
          <w:rFonts w:ascii="Times New Roman" w:hAnsi="Times New Roman" w:cs="Times New Roman"/>
          <w:lang w:val="en-US"/>
        </w:rPr>
        <w:t>division of labor and specializ</w:t>
      </w:r>
      <w:r w:rsidR="005101AE" w:rsidRPr="00A841D4">
        <w:rPr>
          <w:rFonts w:ascii="Times New Roman" w:hAnsi="Times New Roman" w:cs="Times New Roman"/>
          <w:lang w:val="en-US"/>
        </w:rPr>
        <w:t xml:space="preserve">ation. </w:t>
      </w:r>
      <w:r w:rsidR="00E851DF" w:rsidRPr="00A841D4">
        <w:rPr>
          <w:rFonts w:ascii="Times New Roman" w:hAnsi="Times New Roman" w:cs="Times New Roman"/>
          <w:lang w:val="en-US"/>
        </w:rPr>
        <w:t>In</w:t>
      </w:r>
      <w:r w:rsidR="00EA6493" w:rsidRPr="00A841D4">
        <w:rPr>
          <w:rFonts w:ascii="Times New Roman" w:hAnsi="Times New Roman" w:cs="Times New Roman"/>
          <w:lang w:val="en-US"/>
        </w:rPr>
        <w:t xml:space="preserve"> particular, our analysis shows what </w:t>
      </w:r>
      <w:r w:rsidR="00704FBB" w:rsidRPr="00A841D4">
        <w:rPr>
          <w:rFonts w:ascii="Times New Roman" w:hAnsi="Times New Roman" w:cs="Times New Roman"/>
          <w:lang w:val="en-US"/>
        </w:rPr>
        <w:t xml:space="preserve">‘coping </w:t>
      </w:r>
      <w:r w:rsidR="00EA6493" w:rsidRPr="00A841D4">
        <w:rPr>
          <w:rFonts w:ascii="Times New Roman" w:hAnsi="Times New Roman" w:cs="Times New Roman"/>
          <w:lang w:val="en-US"/>
        </w:rPr>
        <w:t>strategies</w:t>
      </w:r>
      <w:r w:rsidR="00704FBB" w:rsidRPr="00A841D4">
        <w:rPr>
          <w:rFonts w:ascii="Times New Roman" w:hAnsi="Times New Roman" w:cs="Times New Roman"/>
          <w:lang w:val="en-US"/>
        </w:rPr>
        <w:t>’</w:t>
      </w:r>
      <w:r w:rsidR="00EA6493" w:rsidRPr="00A841D4">
        <w:rPr>
          <w:rFonts w:ascii="Times New Roman" w:hAnsi="Times New Roman" w:cs="Times New Roman"/>
          <w:lang w:val="en-US"/>
        </w:rPr>
        <w:t xml:space="preserve"> are used by small states, which are situated in geopolitically risky environment and are </w:t>
      </w:r>
      <w:r w:rsidR="00D00AEA" w:rsidRPr="00A841D4">
        <w:rPr>
          <w:rFonts w:ascii="Times New Roman" w:hAnsi="Times New Roman" w:cs="Times New Roman"/>
          <w:lang w:val="en-US"/>
        </w:rPr>
        <w:t xml:space="preserve">asymmetrically </w:t>
      </w:r>
      <w:r w:rsidR="00EA6493" w:rsidRPr="00A841D4">
        <w:rPr>
          <w:rFonts w:ascii="Times New Roman" w:hAnsi="Times New Roman" w:cs="Times New Roman"/>
          <w:lang w:val="en-US"/>
        </w:rPr>
        <w:t>interdependent with foreign powers which use trade links with those states in pursuit of foreign policy goals. In other</w:t>
      </w:r>
      <w:r w:rsidR="00863FA7" w:rsidRPr="00A841D4">
        <w:rPr>
          <w:rFonts w:ascii="Times New Roman" w:hAnsi="Times New Roman" w:cs="Times New Roman"/>
          <w:lang w:val="en-US"/>
        </w:rPr>
        <w:t xml:space="preserve"> words, we discuss how </w:t>
      </w:r>
      <w:r w:rsidR="00EA6493" w:rsidRPr="00A841D4">
        <w:rPr>
          <w:rFonts w:ascii="Times New Roman" w:hAnsi="Times New Roman" w:cs="Times New Roman"/>
          <w:lang w:val="en-US"/>
        </w:rPr>
        <w:t>external interdependencies are managed in the pol</w:t>
      </w:r>
      <w:r w:rsidR="00A841D4">
        <w:rPr>
          <w:rFonts w:ascii="Times New Roman" w:hAnsi="Times New Roman" w:cs="Times New Roman"/>
          <w:lang w:val="en-US"/>
        </w:rPr>
        <w:t>itical context of high securitiz</w:t>
      </w:r>
      <w:r w:rsidR="00EA6493" w:rsidRPr="00A841D4">
        <w:rPr>
          <w:rFonts w:ascii="Times New Roman" w:hAnsi="Times New Roman" w:cs="Times New Roman"/>
          <w:lang w:val="en-US"/>
        </w:rPr>
        <w:t>ation of trade</w:t>
      </w:r>
      <w:r w:rsidR="00863FA7" w:rsidRPr="00A841D4">
        <w:rPr>
          <w:rFonts w:ascii="Times New Roman" w:hAnsi="Times New Roman" w:cs="Times New Roman"/>
          <w:lang w:val="en-US"/>
        </w:rPr>
        <w:t xml:space="preserve"> and other economic policies when market participants develop micro-level methods to hedge against political risks and to what extent state authorities assist or hinder their efforts.</w:t>
      </w:r>
      <w:r w:rsidR="00F12E58" w:rsidRPr="00A841D4">
        <w:rPr>
          <w:rFonts w:ascii="Times New Roman" w:hAnsi="Times New Roman" w:cs="Times New Roman"/>
          <w:lang w:val="en-US"/>
        </w:rPr>
        <w:t xml:space="preserve"> We focus on the patterns of interdependencies assuming that if the share of country’s external trade </w:t>
      </w:r>
      <w:r w:rsidR="003625CF" w:rsidRPr="00A841D4">
        <w:rPr>
          <w:rFonts w:ascii="Times New Roman" w:hAnsi="Times New Roman" w:cs="Times New Roman"/>
          <w:lang w:val="en-US"/>
        </w:rPr>
        <w:t>is close or even</w:t>
      </w:r>
      <w:r w:rsidR="00EE33DE" w:rsidRPr="00A841D4">
        <w:rPr>
          <w:rFonts w:ascii="Times New Roman" w:hAnsi="Times New Roman" w:cs="Times New Roman"/>
          <w:lang w:val="en-US"/>
        </w:rPr>
        <w:t xml:space="preserve"> </w:t>
      </w:r>
      <w:r w:rsidR="00F12E58" w:rsidRPr="00A841D4">
        <w:rPr>
          <w:rFonts w:ascii="Times New Roman" w:hAnsi="Times New Roman" w:cs="Times New Roman"/>
          <w:lang w:val="en-US"/>
        </w:rPr>
        <w:t>exceeds</w:t>
      </w:r>
      <w:r w:rsidR="00DB17D7" w:rsidRPr="00A841D4">
        <w:rPr>
          <w:rFonts w:ascii="Times New Roman" w:hAnsi="Times New Roman" w:cs="Times New Roman"/>
          <w:lang w:val="en-US"/>
        </w:rPr>
        <w:t xml:space="preserve"> 100% of</w:t>
      </w:r>
      <w:r w:rsidR="00F12E58" w:rsidRPr="00A841D4">
        <w:rPr>
          <w:rFonts w:ascii="Times New Roman" w:hAnsi="Times New Roman" w:cs="Times New Roman"/>
          <w:lang w:val="en-US"/>
        </w:rPr>
        <w:t xml:space="preserve"> its GDP it can be considered a small state</w:t>
      </w:r>
      <w:r w:rsidR="00EE33DE" w:rsidRPr="00A841D4">
        <w:rPr>
          <w:rFonts w:ascii="Times New Roman" w:hAnsi="Times New Roman" w:cs="Times New Roman"/>
          <w:lang w:val="en-US"/>
        </w:rPr>
        <w:t xml:space="preserve"> with an open economy exposed to the outside shocks.</w:t>
      </w:r>
      <w:r w:rsidR="00F12E58" w:rsidRPr="00A841D4">
        <w:rPr>
          <w:rFonts w:ascii="Times New Roman" w:hAnsi="Times New Roman" w:cs="Times New Roman"/>
          <w:lang w:val="en-US"/>
        </w:rPr>
        <w:t xml:space="preserve"> </w:t>
      </w:r>
    </w:p>
    <w:p w14:paraId="44FCC43A" w14:textId="77777777" w:rsidR="007B4D61" w:rsidRPr="00A841D4" w:rsidRDefault="007B4D61" w:rsidP="00E2205F">
      <w:pPr>
        <w:jc w:val="both"/>
        <w:rPr>
          <w:rFonts w:ascii="Times New Roman" w:hAnsi="Times New Roman" w:cs="Times New Roman"/>
          <w:lang w:val="en-US"/>
        </w:rPr>
      </w:pPr>
    </w:p>
    <w:p w14:paraId="497469FC" w14:textId="48FFAB40" w:rsidR="0034053E" w:rsidRPr="00A841D4" w:rsidRDefault="00EA6493" w:rsidP="00E2205F">
      <w:pPr>
        <w:jc w:val="both"/>
        <w:rPr>
          <w:rFonts w:ascii="Times New Roman" w:hAnsi="Times New Roman" w:cs="Times New Roman"/>
          <w:lang w:val="en-US"/>
        </w:rPr>
      </w:pPr>
      <w:r w:rsidRPr="00A841D4">
        <w:rPr>
          <w:rFonts w:ascii="Times New Roman" w:hAnsi="Times New Roman" w:cs="Times New Roman"/>
          <w:lang w:val="en-US"/>
        </w:rPr>
        <w:t xml:space="preserve">Second, we assess how membership in the EU is used in order to increase power vis-à-vis third countries by improving trade opportunities for country’s companies within the EU leading to the </w:t>
      </w:r>
      <w:r w:rsidRPr="00A841D4">
        <w:rPr>
          <w:rFonts w:ascii="Times New Roman" w:hAnsi="Times New Roman" w:cs="Times New Roman"/>
          <w:lang w:val="en-US"/>
        </w:rPr>
        <w:lastRenderedPageBreak/>
        <w:t xml:space="preserve">diversification of trade and resilience of country’s economy. </w:t>
      </w:r>
      <w:r w:rsidR="00B3653F" w:rsidRPr="00A841D4">
        <w:rPr>
          <w:rFonts w:ascii="Times New Roman" w:hAnsi="Times New Roman" w:cs="Times New Roman"/>
          <w:lang w:val="en-US"/>
        </w:rPr>
        <w:t>In particular, we discuss strategic policies to reduce the asymmetric interdependence in energy resource trade and the use of EU membership to implement such policies as well as the difficulties of restructuring existing interdependencies. Lithuania as well as other Baltic States in this respect represent an interesting case of integ</w:t>
      </w:r>
      <w:r w:rsidR="0029535F">
        <w:rPr>
          <w:rFonts w:ascii="Times New Roman" w:hAnsi="Times New Roman" w:cs="Times New Roman"/>
          <w:lang w:val="en-US"/>
        </w:rPr>
        <w:t>rating into the regional organiz</w:t>
      </w:r>
      <w:r w:rsidR="00B3653F" w:rsidRPr="00A841D4">
        <w:rPr>
          <w:rFonts w:ascii="Times New Roman" w:hAnsi="Times New Roman" w:cs="Times New Roman"/>
          <w:lang w:val="en-US"/>
        </w:rPr>
        <w:t xml:space="preserve">ation such as the EU not because of the functional need to manage </w:t>
      </w:r>
      <w:r w:rsidR="00B3653F" w:rsidRPr="00A841D4">
        <w:rPr>
          <w:rFonts w:ascii="Times New Roman" w:hAnsi="Times New Roman" w:cs="Times New Roman"/>
          <w:i/>
          <w:lang w:val="en-US"/>
        </w:rPr>
        <w:t>already existing economic links</w:t>
      </w:r>
      <w:r w:rsidR="00B3653F" w:rsidRPr="00A841D4">
        <w:rPr>
          <w:rFonts w:ascii="Times New Roman" w:hAnsi="Times New Roman" w:cs="Times New Roman"/>
          <w:lang w:val="en-US"/>
        </w:rPr>
        <w:t xml:space="preserve"> but in order to reorient their economic relations from Russia to the EU. The primacy of security motives and political strategic goals has important </w:t>
      </w:r>
      <w:r w:rsidR="007B4D61" w:rsidRPr="00A841D4">
        <w:rPr>
          <w:rFonts w:ascii="Times New Roman" w:hAnsi="Times New Roman" w:cs="Times New Roman"/>
          <w:lang w:val="en-US"/>
        </w:rPr>
        <w:t>implications when</w:t>
      </w:r>
      <w:r w:rsidR="00B3653F" w:rsidRPr="00A841D4">
        <w:rPr>
          <w:rFonts w:ascii="Times New Roman" w:hAnsi="Times New Roman" w:cs="Times New Roman"/>
          <w:lang w:val="en-US"/>
        </w:rPr>
        <w:t xml:space="preserve"> interest groups with a vested interest in maintaining existing trade relations </w:t>
      </w:r>
      <w:r w:rsidR="007B4D61" w:rsidRPr="00A841D4">
        <w:rPr>
          <w:rFonts w:ascii="Times New Roman" w:hAnsi="Times New Roman" w:cs="Times New Roman"/>
          <w:lang w:val="en-US"/>
        </w:rPr>
        <w:t>resist</w:t>
      </w:r>
      <w:r w:rsidR="00B3653F" w:rsidRPr="00A841D4">
        <w:rPr>
          <w:rFonts w:ascii="Times New Roman" w:hAnsi="Times New Roman" w:cs="Times New Roman"/>
          <w:lang w:val="en-US"/>
        </w:rPr>
        <w:t xml:space="preserve"> policies of diversification. </w:t>
      </w:r>
      <w:r w:rsidR="007B4D61" w:rsidRPr="00A841D4">
        <w:rPr>
          <w:rFonts w:ascii="Times New Roman" w:hAnsi="Times New Roman" w:cs="Times New Roman"/>
          <w:lang w:val="en-US"/>
        </w:rPr>
        <w:t xml:space="preserve">In such a context implementation of policies aimed at reducing country’s vulnerability requires strong political consensus and administrative </w:t>
      </w:r>
      <w:r w:rsidR="003E43BF" w:rsidRPr="00A841D4">
        <w:rPr>
          <w:rFonts w:ascii="Times New Roman" w:hAnsi="Times New Roman" w:cs="Times New Roman"/>
          <w:lang w:val="en-US"/>
        </w:rPr>
        <w:t>capacities as well as solving collective action problems when infrastructure projects involve a group of countries such as Baltic and Nordic states.</w:t>
      </w:r>
    </w:p>
    <w:p w14:paraId="13D362AC" w14:textId="2F7D2678" w:rsidR="00DB17D7" w:rsidRPr="00A841D4" w:rsidRDefault="00DB17D7" w:rsidP="00E2205F">
      <w:pPr>
        <w:jc w:val="both"/>
        <w:rPr>
          <w:rFonts w:ascii="Times New Roman" w:hAnsi="Times New Roman" w:cs="Times New Roman"/>
          <w:lang w:val="en-US"/>
        </w:rPr>
      </w:pPr>
    </w:p>
    <w:p w14:paraId="6F399618" w14:textId="2FAFD476" w:rsidR="00DB17D7" w:rsidRPr="00A841D4" w:rsidRDefault="00DB17D7" w:rsidP="00E2205F">
      <w:pPr>
        <w:jc w:val="both"/>
        <w:rPr>
          <w:rFonts w:ascii="Times New Roman" w:hAnsi="Times New Roman" w:cs="Times New Roman"/>
          <w:lang w:val="en-US"/>
        </w:rPr>
      </w:pPr>
      <w:r w:rsidRPr="00A841D4">
        <w:rPr>
          <w:rFonts w:ascii="Times New Roman" w:hAnsi="Times New Roman" w:cs="Times New Roman"/>
          <w:lang w:val="en-US"/>
        </w:rPr>
        <w:t>Third, we challenge the view prevalent among the scholars of small states that democratic corporatism represents the most appropriate arrangement to manage external interdependencies in the face of external shocks (</w:t>
      </w:r>
      <w:proofErr w:type="spellStart"/>
      <w:r w:rsidRPr="00A841D4">
        <w:rPr>
          <w:rFonts w:ascii="Times New Roman" w:hAnsi="Times New Roman" w:cs="Times New Roman"/>
          <w:lang w:val="en-US"/>
        </w:rPr>
        <w:t>Kat</w:t>
      </w:r>
      <w:r w:rsidR="004603DF" w:rsidRPr="00A841D4">
        <w:rPr>
          <w:rFonts w:ascii="Times New Roman" w:hAnsi="Times New Roman" w:cs="Times New Roman"/>
          <w:lang w:val="en-US"/>
        </w:rPr>
        <w:t>zenstein</w:t>
      </w:r>
      <w:proofErr w:type="spellEnd"/>
      <w:r w:rsidR="004603DF" w:rsidRPr="00A841D4">
        <w:rPr>
          <w:rFonts w:ascii="Times New Roman" w:hAnsi="Times New Roman" w:cs="Times New Roman"/>
          <w:lang w:val="en-US"/>
        </w:rPr>
        <w:t xml:space="preserve"> 1985, </w:t>
      </w:r>
      <w:proofErr w:type="spellStart"/>
      <w:r w:rsidR="004603DF" w:rsidRPr="00A841D4">
        <w:rPr>
          <w:rFonts w:ascii="Times New Roman" w:hAnsi="Times New Roman" w:cs="Times New Roman"/>
          <w:lang w:val="en-US"/>
        </w:rPr>
        <w:t>Thorhallsson</w:t>
      </w:r>
      <w:proofErr w:type="spellEnd"/>
      <w:r w:rsidR="004603DF" w:rsidRPr="00A841D4">
        <w:rPr>
          <w:rFonts w:ascii="Times New Roman" w:hAnsi="Times New Roman" w:cs="Times New Roman"/>
          <w:lang w:val="en-US"/>
        </w:rPr>
        <w:t xml:space="preserve">, </w:t>
      </w:r>
      <w:proofErr w:type="spellStart"/>
      <w:r w:rsidR="004603DF" w:rsidRPr="00A841D4">
        <w:rPr>
          <w:rFonts w:ascii="Times New Roman" w:hAnsi="Times New Roman" w:cs="Times New Roman"/>
          <w:lang w:val="en-US"/>
        </w:rPr>
        <w:t>Kattel</w:t>
      </w:r>
      <w:proofErr w:type="spellEnd"/>
      <w:r w:rsidR="004603DF" w:rsidRPr="00A841D4">
        <w:rPr>
          <w:rFonts w:ascii="Times New Roman" w:hAnsi="Times New Roman" w:cs="Times New Roman"/>
          <w:lang w:val="en-US"/>
        </w:rPr>
        <w:t xml:space="preserve"> 2013). Despite the absence of consensus generating institutions regarding wage settlement and other important decisions affecting economic competitiveness, Lithuanian </w:t>
      </w:r>
      <w:r w:rsidR="00EE33DE" w:rsidRPr="00A841D4">
        <w:rPr>
          <w:rFonts w:ascii="Times New Roman" w:hAnsi="Times New Roman" w:cs="Times New Roman"/>
          <w:lang w:val="en-US"/>
        </w:rPr>
        <w:t>economy rebounded relatively fast from external shocks.</w:t>
      </w:r>
      <w:r w:rsidR="00D26EE0" w:rsidRPr="00A841D4">
        <w:rPr>
          <w:rFonts w:ascii="Times New Roman" w:hAnsi="Times New Roman" w:cs="Times New Roman"/>
          <w:lang w:val="en-US"/>
        </w:rPr>
        <w:t xml:space="preserve"> The speed of adjustment is one of the indicators which suggests that Lithuania has not been vulnerable to those shocks.</w:t>
      </w:r>
    </w:p>
    <w:p w14:paraId="062727C7" w14:textId="272DB0C5" w:rsidR="003E43BF" w:rsidRPr="00A841D4" w:rsidRDefault="003E43BF" w:rsidP="00E2205F">
      <w:pPr>
        <w:jc w:val="both"/>
        <w:rPr>
          <w:rFonts w:ascii="Times New Roman" w:hAnsi="Times New Roman" w:cs="Times New Roman"/>
          <w:lang w:val="en-US"/>
        </w:rPr>
      </w:pPr>
    </w:p>
    <w:p w14:paraId="1EE3473E" w14:textId="0A7C549F" w:rsidR="003E43BF" w:rsidRPr="00A841D4" w:rsidRDefault="00863FA7" w:rsidP="00E2205F">
      <w:pPr>
        <w:jc w:val="both"/>
        <w:rPr>
          <w:rFonts w:ascii="Times New Roman" w:hAnsi="Times New Roman" w:cs="Times New Roman"/>
          <w:lang w:val="en-US"/>
        </w:rPr>
      </w:pPr>
      <w:r w:rsidRPr="00A841D4">
        <w:rPr>
          <w:rFonts w:ascii="Times New Roman" w:hAnsi="Times New Roman" w:cs="Times New Roman"/>
          <w:lang w:val="en-US"/>
        </w:rPr>
        <w:t>Finally, our research can provide useful insights for scholars studying vulnerabilities and exposure to external influences of Eastern partnership countries in terms of managing their external relations with Russia and the EU. To be sure, there is a major difference of the absen</w:t>
      </w:r>
      <w:r w:rsidR="00500D37" w:rsidRPr="00A841D4">
        <w:rPr>
          <w:rFonts w:ascii="Times New Roman" w:hAnsi="Times New Roman" w:cs="Times New Roman"/>
          <w:lang w:val="en-US"/>
        </w:rPr>
        <w:t>ce of</w:t>
      </w:r>
      <w:r w:rsidRPr="00A841D4">
        <w:rPr>
          <w:rFonts w:ascii="Times New Roman" w:hAnsi="Times New Roman" w:cs="Times New Roman"/>
          <w:lang w:val="en-US"/>
        </w:rPr>
        <w:t xml:space="preserve"> EU membership</w:t>
      </w:r>
      <w:r w:rsidR="00DB17D7" w:rsidRPr="00A841D4">
        <w:rPr>
          <w:rFonts w:ascii="Times New Roman" w:hAnsi="Times New Roman" w:cs="Times New Roman"/>
          <w:lang w:val="en-US"/>
        </w:rPr>
        <w:t xml:space="preserve"> offer</w:t>
      </w:r>
      <w:r w:rsidRPr="00A841D4">
        <w:rPr>
          <w:rFonts w:ascii="Times New Roman" w:hAnsi="Times New Roman" w:cs="Times New Roman"/>
          <w:lang w:val="en-US"/>
        </w:rPr>
        <w:t xml:space="preserve"> </w:t>
      </w:r>
      <w:r w:rsidR="00500D37" w:rsidRPr="00A841D4">
        <w:rPr>
          <w:rFonts w:ascii="Times New Roman" w:hAnsi="Times New Roman" w:cs="Times New Roman"/>
          <w:lang w:val="en-US"/>
        </w:rPr>
        <w:t xml:space="preserve">for those </w:t>
      </w:r>
      <w:proofErr w:type="spellStart"/>
      <w:r w:rsidR="00500D37" w:rsidRPr="00A841D4">
        <w:rPr>
          <w:rFonts w:ascii="Times New Roman" w:hAnsi="Times New Roman" w:cs="Times New Roman"/>
          <w:lang w:val="en-US"/>
        </w:rPr>
        <w:t>neighbouring</w:t>
      </w:r>
      <w:proofErr w:type="spellEnd"/>
      <w:r w:rsidR="00500D37" w:rsidRPr="00A841D4">
        <w:rPr>
          <w:rFonts w:ascii="Times New Roman" w:hAnsi="Times New Roman" w:cs="Times New Roman"/>
          <w:lang w:val="en-US"/>
        </w:rPr>
        <w:t xml:space="preserve"> countries compared to Lithuania. However, the experience of Lithuania in managing its interdependencies can provide useful insights into the possibilities and limits in responding to Russia’s use of energy and trade policies in the pursuit of geopolitical goals. </w:t>
      </w:r>
    </w:p>
    <w:p w14:paraId="0B7D53BB" w14:textId="6201EBA6" w:rsidR="00500D37" w:rsidRPr="00A841D4" w:rsidRDefault="00500D37" w:rsidP="00E2205F">
      <w:pPr>
        <w:jc w:val="both"/>
        <w:rPr>
          <w:rFonts w:ascii="Times New Roman" w:hAnsi="Times New Roman" w:cs="Times New Roman"/>
          <w:lang w:val="en-US"/>
        </w:rPr>
      </w:pPr>
    </w:p>
    <w:p w14:paraId="6DD7EC8D" w14:textId="137EE48C" w:rsidR="00EE33DE" w:rsidRPr="00A841D4" w:rsidRDefault="00EE33DE" w:rsidP="00E2205F">
      <w:pPr>
        <w:jc w:val="both"/>
        <w:rPr>
          <w:rFonts w:ascii="Times New Roman" w:hAnsi="Times New Roman" w:cs="Times New Roman"/>
          <w:b/>
          <w:lang w:val="en-US"/>
        </w:rPr>
      </w:pPr>
      <w:r w:rsidRPr="00A841D4">
        <w:rPr>
          <w:rFonts w:ascii="Times New Roman" w:hAnsi="Times New Roman" w:cs="Times New Roman"/>
          <w:b/>
          <w:lang w:val="en-US"/>
        </w:rPr>
        <w:t>Analytical framework for the study of small states’ management of interdependencies</w:t>
      </w:r>
    </w:p>
    <w:p w14:paraId="5452A9B9" w14:textId="158F3172" w:rsidR="00EE33DE" w:rsidRPr="00A841D4" w:rsidRDefault="00EE33DE" w:rsidP="00E2205F">
      <w:pPr>
        <w:jc w:val="both"/>
        <w:rPr>
          <w:rFonts w:ascii="Times New Roman" w:hAnsi="Times New Roman" w:cs="Times New Roman"/>
          <w:b/>
          <w:lang w:val="en-US"/>
        </w:rPr>
      </w:pPr>
    </w:p>
    <w:p w14:paraId="5BEA3083" w14:textId="07768511" w:rsidR="00DC02A5" w:rsidRPr="00A841D4" w:rsidRDefault="00026C13" w:rsidP="00E2205F">
      <w:pPr>
        <w:jc w:val="both"/>
        <w:rPr>
          <w:rFonts w:ascii="Times New Roman" w:hAnsi="Times New Roman" w:cs="Times New Roman"/>
          <w:lang w:val="en-US"/>
        </w:rPr>
      </w:pPr>
      <w:r w:rsidRPr="00A841D4">
        <w:rPr>
          <w:rFonts w:ascii="Times New Roman" w:hAnsi="Times New Roman" w:cs="Times New Roman"/>
          <w:lang w:val="en-US"/>
        </w:rPr>
        <w:t>Our analysis is built on the concept of (inter)dependence and differentiation between the sensitivity and vulnerability of state</w:t>
      </w:r>
      <w:r w:rsidR="00AF7019" w:rsidRPr="00A841D4">
        <w:rPr>
          <w:rFonts w:ascii="Times New Roman" w:hAnsi="Times New Roman" w:cs="Times New Roman"/>
          <w:lang w:val="en-US"/>
        </w:rPr>
        <w:t>s</w:t>
      </w:r>
      <w:r w:rsidRPr="00A841D4">
        <w:rPr>
          <w:rFonts w:ascii="Times New Roman" w:hAnsi="Times New Roman" w:cs="Times New Roman"/>
          <w:lang w:val="en-US"/>
        </w:rPr>
        <w:t xml:space="preserve"> in their interdependent relationship with the outside world developed by </w:t>
      </w:r>
      <w:proofErr w:type="spellStart"/>
      <w:r w:rsidRPr="00A841D4">
        <w:rPr>
          <w:rFonts w:ascii="Times New Roman" w:hAnsi="Times New Roman" w:cs="Times New Roman"/>
          <w:lang w:val="en-US"/>
        </w:rPr>
        <w:t>Keohane</w:t>
      </w:r>
      <w:proofErr w:type="spellEnd"/>
      <w:r w:rsidRPr="00A841D4">
        <w:rPr>
          <w:rFonts w:ascii="Times New Roman" w:hAnsi="Times New Roman" w:cs="Times New Roman"/>
          <w:lang w:val="en-US"/>
        </w:rPr>
        <w:t xml:space="preserve"> and Nye (</w:t>
      </w:r>
      <w:proofErr w:type="spellStart"/>
      <w:r w:rsidRPr="00A841D4">
        <w:rPr>
          <w:rFonts w:ascii="Times New Roman" w:hAnsi="Times New Roman" w:cs="Times New Roman"/>
          <w:lang w:val="en-US"/>
        </w:rPr>
        <w:t>Keohane</w:t>
      </w:r>
      <w:proofErr w:type="spellEnd"/>
      <w:r w:rsidRPr="00A841D4">
        <w:rPr>
          <w:rFonts w:ascii="Times New Roman" w:hAnsi="Times New Roman" w:cs="Times New Roman"/>
          <w:lang w:val="en-US"/>
        </w:rPr>
        <w:t>, Nye 2012, Nye 2011). They defined ‘dependence as a state of being determined or significantly affected by external forces’ (</w:t>
      </w:r>
      <w:proofErr w:type="spellStart"/>
      <w:r w:rsidRPr="00A841D4">
        <w:rPr>
          <w:rFonts w:ascii="Times New Roman" w:hAnsi="Times New Roman" w:cs="Times New Roman"/>
          <w:lang w:val="en-US"/>
        </w:rPr>
        <w:t>Keohane</w:t>
      </w:r>
      <w:proofErr w:type="spellEnd"/>
      <w:r w:rsidRPr="00A841D4">
        <w:rPr>
          <w:rFonts w:ascii="Times New Roman" w:hAnsi="Times New Roman" w:cs="Times New Roman"/>
          <w:lang w:val="en-US"/>
        </w:rPr>
        <w:t xml:space="preserve">, Nye 2012: 7). </w:t>
      </w:r>
      <w:r w:rsidR="00DC02A5" w:rsidRPr="00A841D4">
        <w:rPr>
          <w:rFonts w:ascii="Times New Roman" w:hAnsi="Times New Roman" w:cs="Times New Roman"/>
          <w:lang w:val="en-US"/>
        </w:rPr>
        <w:t xml:space="preserve">Small open economies usually are particularly dependent on external environment because they tend to benefit from foreign trade and investments relatively more compared to large economies. However, at the same time they become more exposed to the external shocks in the markets of their main trade partners or political decisions of external powers that can manipulate those trade links. </w:t>
      </w:r>
    </w:p>
    <w:p w14:paraId="68DB9A9D" w14:textId="4BC77724" w:rsidR="00D26EE0" w:rsidRPr="00A841D4" w:rsidRDefault="00D26EE0" w:rsidP="00E2205F">
      <w:pPr>
        <w:jc w:val="both"/>
        <w:rPr>
          <w:rFonts w:ascii="Times New Roman" w:hAnsi="Times New Roman" w:cs="Times New Roman"/>
          <w:lang w:val="en-US"/>
        </w:rPr>
      </w:pPr>
    </w:p>
    <w:p w14:paraId="620A2AA4" w14:textId="15022512" w:rsidR="00A32D95" w:rsidRPr="00A841D4" w:rsidRDefault="00C93524" w:rsidP="00E2205F">
      <w:pPr>
        <w:jc w:val="both"/>
        <w:rPr>
          <w:rFonts w:ascii="Times New Roman" w:hAnsi="Times New Roman" w:cs="Times New Roman"/>
          <w:lang w:val="en-US"/>
        </w:rPr>
      </w:pPr>
      <w:proofErr w:type="spellStart"/>
      <w:r w:rsidRPr="00A841D4">
        <w:rPr>
          <w:rFonts w:ascii="Times New Roman" w:hAnsi="Times New Roman" w:cs="Times New Roman"/>
          <w:lang w:val="en-US"/>
        </w:rPr>
        <w:t>Keohane</w:t>
      </w:r>
      <w:proofErr w:type="spellEnd"/>
      <w:r w:rsidRPr="00A841D4">
        <w:rPr>
          <w:rFonts w:ascii="Times New Roman" w:hAnsi="Times New Roman" w:cs="Times New Roman"/>
          <w:lang w:val="en-US"/>
        </w:rPr>
        <w:t xml:space="preserve"> and Nye</w:t>
      </w:r>
      <w:r w:rsidR="00D26EE0" w:rsidRPr="00A841D4">
        <w:rPr>
          <w:rFonts w:ascii="Times New Roman" w:hAnsi="Times New Roman" w:cs="Times New Roman"/>
          <w:lang w:val="en-US"/>
        </w:rPr>
        <w:t xml:space="preserve"> distinguish between the dimensions of sensitivity and vulnerability in interdependent relationship. Sensitivity </w:t>
      </w:r>
      <w:r w:rsidRPr="00A841D4">
        <w:rPr>
          <w:rFonts w:ascii="Times New Roman" w:hAnsi="Times New Roman" w:cs="Times New Roman"/>
          <w:lang w:val="en-US"/>
        </w:rPr>
        <w:t>refers to changes</w:t>
      </w:r>
      <w:r w:rsidR="00D26EE0" w:rsidRPr="00A841D4">
        <w:rPr>
          <w:rFonts w:ascii="Times New Roman" w:hAnsi="Times New Roman" w:cs="Times New Roman"/>
          <w:lang w:val="en-US"/>
        </w:rPr>
        <w:t xml:space="preserve"> triggered by </w:t>
      </w:r>
      <w:r w:rsidRPr="00A841D4">
        <w:rPr>
          <w:rFonts w:ascii="Times New Roman" w:hAnsi="Times New Roman" w:cs="Times New Roman"/>
          <w:lang w:val="en-US"/>
        </w:rPr>
        <w:t xml:space="preserve">external shocks which take place within the existing policy framework and is measures by the speed and size of the costs experienced by affected country (2012:10-11). Meanwhile vulnerability dimension of interdependence rests on the relative availability and costliness of the alternative that various actors face, i.e. on the changed framework of policies.  “In terms of the cost of dependence, sensitivity means liability to costly effects imposed from outside </w:t>
      </w:r>
      <w:r w:rsidR="00A32D95" w:rsidRPr="00A841D4">
        <w:rPr>
          <w:rFonts w:ascii="Times New Roman" w:hAnsi="Times New Roman" w:cs="Times New Roman"/>
          <w:lang w:val="en-US"/>
        </w:rPr>
        <w:t>before policies are altered to try to change the situation. Vulnerability can be defined as actor’s liability to suffer costs imposed by external events even after policies have been altered.” (</w:t>
      </w:r>
      <w:proofErr w:type="spellStart"/>
      <w:r w:rsidR="00A32D95" w:rsidRPr="00A841D4">
        <w:rPr>
          <w:rFonts w:ascii="Times New Roman" w:hAnsi="Times New Roman" w:cs="Times New Roman"/>
          <w:lang w:val="en-US"/>
        </w:rPr>
        <w:t>Keohane</w:t>
      </w:r>
      <w:proofErr w:type="spellEnd"/>
      <w:r w:rsidR="00A32D95" w:rsidRPr="00A841D4">
        <w:rPr>
          <w:rFonts w:ascii="Times New Roman" w:hAnsi="Times New Roman" w:cs="Times New Roman"/>
          <w:lang w:val="en-US"/>
        </w:rPr>
        <w:t xml:space="preserve">, Nye 2012:11).  </w:t>
      </w:r>
    </w:p>
    <w:p w14:paraId="0E54ED92" w14:textId="6B2ABF32" w:rsidR="002736D7" w:rsidRPr="00A841D4" w:rsidRDefault="002736D7" w:rsidP="00E2205F">
      <w:pPr>
        <w:jc w:val="both"/>
        <w:rPr>
          <w:rFonts w:ascii="Times New Roman" w:hAnsi="Times New Roman" w:cs="Times New Roman"/>
          <w:lang w:val="en-US"/>
        </w:rPr>
      </w:pPr>
    </w:p>
    <w:p w14:paraId="61F5D41A" w14:textId="2E17C1D9" w:rsidR="002736D7" w:rsidRPr="00A841D4" w:rsidRDefault="00E129EF" w:rsidP="00E2205F">
      <w:pPr>
        <w:jc w:val="both"/>
        <w:rPr>
          <w:rFonts w:ascii="Times New Roman" w:hAnsi="Times New Roman" w:cs="Times New Roman"/>
          <w:lang w:val="en-US"/>
        </w:rPr>
      </w:pPr>
      <w:proofErr w:type="spellStart"/>
      <w:r w:rsidRPr="00A841D4">
        <w:rPr>
          <w:rFonts w:ascii="Times New Roman" w:hAnsi="Times New Roman" w:cs="Times New Roman"/>
          <w:lang w:val="en-US"/>
        </w:rPr>
        <w:t>Keoh</w:t>
      </w:r>
      <w:r w:rsidR="00780AD6" w:rsidRPr="00A841D4">
        <w:rPr>
          <w:rFonts w:ascii="Times New Roman" w:hAnsi="Times New Roman" w:cs="Times New Roman"/>
          <w:lang w:val="en-US"/>
        </w:rPr>
        <w:t>ane</w:t>
      </w:r>
      <w:proofErr w:type="spellEnd"/>
      <w:r w:rsidR="00780AD6" w:rsidRPr="00A841D4">
        <w:rPr>
          <w:rFonts w:ascii="Times New Roman" w:hAnsi="Times New Roman" w:cs="Times New Roman"/>
          <w:lang w:val="en-US"/>
        </w:rPr>
        <w:t xml:space="preserve"> and Nye only briefly mention</w:t>
      </w:r>
      <w:r w:rsidRPr="00A841D4">
        <w:rPr>
          <w:rFonts w:ascii="Times New Roman" w:hAnsi="Times New Roman" w:cs="Times New Roman"/>
          <w:lang w:val="en-US"/>
        </w:rPr>
        <w:t xml:space="preserve"> the variables on which vulnerability of a country depends referring to “political will, governmental ability, and resource capabilities” (2012:13). Availability of alternatives or substitutes, if one refers to trade in energy resources – the example they use, is </w:t>
      </w:r>
      <w:r w:rsidRPr="00A841D4">
        <w:rPr>
          <w:rFonts w:ascii="Times New Roman" w:hAnsi="Times New Roman" w:cs="Times New Roman"/>
          <w:lang w:val="en-US"/>
        </w:rPr>
        <w:lastRenderedPageBreak/>
        <w:t xml:space="preserve">also important in </w:t>
      </w:r>
      <w:r w:rsidR="00F60F05" w:rsidRPr="00A841D4">
        <w:rPr>
          <w:rFonts w:ascii="Times New Roman" w:hAnsi="Times New Roman" w:cs="Times New Roman"/>
          <w:lang w:val="en-US"/>
        </w:rPr>
        <w:t>differentiating</w:t>
      </w:r>
      <w:r w:rsidRPr="00A841D4">
        <w:rPr>
          <w:rFonts w:ascii="Times New Roman" w:hAnsi="Times New Roman" w:cs="Times New Roman"/>
          <w:lang w:val="en-US"/>
        </w:rPr>
        <w:t xml:space="preserve"> between sensitivity and vulnerability. </w:t>
      </w:r>
      <w:r w:rsidR="00780AD6" w:rsidRPr="00A841D4">
        <w:rPr>
          <w:rFonts w:ascii="Times New Roman" w:hAnsi="Times New Roman" w:cs="Times New Roman"/>
          <w:lang w:val="en-US"/>
        </w:rPr>
        <w:t xml:space="preserve">However, they do not elaborate on particular variables which are important in terms of states’ vulnerability. </w:t>
      </w:r>
      <w:r w:rsidR="008F5730" w:rsidRPr="00A841D4">
        <w:rPr>
          <w:rFonts w:ascii="Times New Roman" w:hAnsi="Times New Roman" w:cs="Times New Roman"/>
          <w:lang w:val="en-US"/>
        </w:rPr>
        <w:t>In some recent work,</w:t>
      </w:r>
      <w:r w:rsidR="00780AD6" w:rsidRPr="00A841D4">
        <w:rPr>
          <w:rFonts w:ascii="Times New Roman" w:hAnsi="Times New Roman" w:cs="Times New Roman"/>
          <w:lang w:val="en-US"/>
        </w:rPr>
        <w:t xml:space="preserve"> which used the</w:t>
      </w:r>
      <w:r w:rsidR="008F5730" w:rsidRPr="00A841D4">
        <w:rPr>
          <w:rFonts w:ascii="Times New Roman" w:hAnsi="Times New Roman" w:cs="Times New Roman"/>
          <w:lang w:val="en-US"/>
        </w:rPr>
        <w:t xml:space="preserve"> concepts </w:t>
      </w:r>
      <w:r w:rsidR="00780AD6" w:rsidRPr="00A841D4">
        <w:rPr>
          <w:rFonts w:ascii="Times New Roman" w:hAnsi="Times New Roman" w:cs="Times New Roman"/>
          <w:lang w:val="en-US"/>
        </w:rPr>
        <w:t xml:space="preserve">of sensitivity and vulnerability </w:t>
      </w:r>
      <w:r w:rsidR="008F5730" w:rsidRPr="00A841D4">
        <w:rPr>
          <w:rFonts w:ascii="Times New Roman" w:hAnsi="Times New Roman" w:cs="Times New Roman"/>
          <w:lang w:val="en-US"/>
        </w:rPr>
        <w:t xml:space="preserve">to assess countries’ interdependence, </w:t>
      </w:r>
      <w:r w:rsidR="003A2BD0" w:rsidRPr="00A841D4">
        <w:rPr>
          <w:rFonts w:ascii="Times New Roman" w:hAnsi="Times New Roman" w:cs="Times New Roman"/>
          <w:lang w:val="en-US"/>
        </w:rPr>
        <w:t>the focus has been on issue-linkage strategies in the relationship of Eastern partnership countries vis-à-vis Russia and the EU rather than domestic factors and policies which can reduce countries’ vulnerabilities (Calus et al. 2018).</w:t>
      </w:r>
    </w:p>
    <w:p w14:paraId="607460EC" w14:textId="6BB71553" w:rsidR="00780AD6" w:rsidRPr="00A841D4" w:rsidRDefault="00780AD6" w:rsidP="00E2205F">
      <w:pPr>
        <w:jc w:val="both"/>
        <w:rPr>
          <w:rFonts w:ascii="Times New Roman" w:hAnsi="Times New Roman" w:cs="Times New Roman"/>
          <w:lang w:val="en-US"/>
        </w:rPr>
      </w:pPr>
    </w:p>
    <w:p w14:paraId="3168ADB8" w14:textId="4B81B12A" w:rsidR="00026C13" w:rsidRPr="00A841D4" w:rsidRDefault="00780AD6" w:rsidP="00E2205F">
      <w:pPr>
        <w:jc w:val="both"/>
        <w:rPr>
          <w:rFonts w:ascii="Times New Roman" w:hAnsi="Times New Roman" w:cs="Times New Roman"/>
          <w:lang w:val="en-US"/>
        </w:rPr>
      </w:pPr>
      <w:r w:rsidRPr="00A841D4">
        <w:rPr>
          <w:rFonts w:ascii="Times New Roman" w:hAnsi="Times New Roman" w:cs="Times New Roman"/>
          <w:lang w:val="en-US"/>
        </w:rPr>
        <w:t xml:space="preserve">In our analysis we focus on strategic policies of Lithuania which aim at introducing or increasing availability of alternatives in terms of both sources of supply and export markets in its foreign trade as well as domestic regulatory environment which facilitates or constrains flexibility of domestic economic agents in reacting to changes in the external environment. </w:t>
      </w:r>
      <w:r w:rsidR="004C2D07" w:rsidRPr="00A841D4">
        <w:rPr>
          <w:rFonts w:ascii="Times New Roman" w:hAnsi="Times New Roman" w:cs="Times New Roman"/>
          <w:lang w:val="en-US"/>
        </w:rPr>
        <w:t xml:space="preserve">We derive these variables from </w:t>
      </w:r>
      <w:proofErr w:type="spellStart"/>
      <w:r w:rsidR="004C2D07" w:rsidRPr="00A841D4">
        <w:rPr>
          <w:rFonts w:ascii="Times New Roman" w:hAnsi="Times New Roman" w:cs="Times New Roman"/>
          <w:lang w:val="en-US"/>
        </w:rPr>
        <w:t>Keohane</w:t>
      </w:r>
      <w:proofErr w:type="spellEnd"/>
      <w:r w:rsidR="004C2D07" w:rsidRPr="00A841D4">
        <w:rPr>
          <w:rFonts w:ascii="Times New Roman" w:hAnsi="Times New Roman" w:cs="Times New Roman"/>
          <w:lang w:val="en-US"/>
        </w:rPr>
        <w:t xml:space="preserve"> and Nye and other work on vulnerability of small states (see, for example, Griffit</w:t>
      </w:r>
      <w:r w:rsidR="009C1BD2" w:rsidRPr="00A841D4">
        <w:rPr>
          <w:rFonts w:ascii="Times New Roman" w:hAnsi="Times New Roman" w:cs="Times New Roman"/>
          <w:lang w:val="en-US"/>
        </w:rPr>
        <w:t>h</w:t>
      </w:r>
      <w:r w:rsidR="004C2D07" w:rsidRPr="00A841D4">
        <w:rPr>
          <w:rFonts w:ascii="Times New Roman" w:hAnsi="Times New Roman" w:cs="Times New Roman"/>
          <w:lang w:val="en-US"/>
        </w:rPr>
        <w:t xml:space="preserve">s </w:t>
      </w:r>
      <w:r w:rsidR="009C1BD2" w:rsidRPr="00A841D4">
        <w:rPr>
          <w:rFonts w:ascii="Times New Roman" w:hAnsi="Times New Roman" w:cs="Times New Roman"/>
          <w:lang w:val="en-US"/>
        </w:rPr>
        <w:t>(2014) who discusses different indexes of vulnerability, most of which include economic exposure and diversification of exports).</w:t>
      </w:r>
      <w:r w:rsidRPr="00A841D4">
        <w:rPr>
          <w:rFonts w:ascii="Times New Roman" w:hAnsi="Times New Roman" w:cs="Times New Roman"/>
          <w:lang w:val="en-US"/>
        </w:rPr>
        <w:t xml:space="preserve"> </w:t>
      </w:r>
      <w:r w:rsidR="005B51CA" w:rsidRPr="00A841D4">
        <w:rPr>
          <w:rFonts w:ascii="Times New Roman" w:hAnsi="Times New Roman" w:cs="Times New Roman"/>
          <w:lang w:val="en-US"/>
        </w:rPr>
        <w:t xml:space="preserve">We first assess the development of Lithuania’s foreign trade in terms of both its size relative to country’s GDP and diversification in terms of trade partners. Afterwards we discuss the effects of the two external shocks – the Great Recession and protectionist measures introduced by Russia. We assess the extent of the negative economic effects and the pace of the adjustment of Lithuanian economy. </w:t>
      </w:r>
      <w:r w:rsidR="00026C13" w:rsidRPr="00A841D4">
        <w:rPr>
          <w:rFonts w:ascii="Times New Roman" w:hAnsi="Times New Roman" w:cs="Times New Roman"/>
          <w:lang w:val="en-US"/>
        </w:rPr>
        <w:t xml:space="preserve">As argued by Nye (2011:55), vulnerability depends on </w:t>
      </w:r>
      <w:r w:rsidR="005B51CA" w:rsidRPr="00A841D4">
        <w:rPr>
          <w:rFonts w:ascii="Times New Roman" w:hAnsi="Times New Roman" w:cs="Times New Roman"/>
          <w:lang w:val="en-US"/>
        </w:rPr>
        <w:t>“</w:t>
      </w:r>
      <w:r w:rsidR="00026C13" w:rsidRPr="00A841D4">
        <w:rPr>
          <w:rFonts w:ascii="Times New Roman" w:hAnsi="Times New Roman" w:cs="Times New Roman"/>
          <w:lang w:val="en-US"/>
        </w:rPr>
        <w:t>whether society is capable of responding quickly to change</w:t>
      </w:r>
      <w:r w:rsidR="005B51CA" w:rsidRPr="00A841D4">
        <w:rPr>
          <w:rFonts w:ascii="Times New Roman" w:hAnsi="Times New Roman" w:cs="Times New Roman"/>
          <w:lang w:val="en-US"/>
        </w:rPr>
        <w:t xml:space="preserve">”, therefore both the cost of external change and the pace of the adjustment are important. </w:t>
      </w:r>
      <w:r w:rsidR="00026C13" w:rsidRPr="00A841D4">
        <w:rPr>
          <w:rFonts w:ascii="Times New Roman" w:hAnsi="Times New Roman" w:cs="Times New Roman"/>
          <w:lang w:val="en-US"/>
        </w:rPr>
        <w:t xml:space="preserve"> </w:t>
      </w:r>
    </w:p>
    <w:p w14:paraId="497681C2" w14:textId="77777777" w:rsidR="00E2205F" w:rsidRPr="00A841D4" w:rsidRDefault="00E2205F" w:rsidP="00E2205F">
      <w:pPr>
        <w:jc w:val="both"/>
        <w:rPr>
          <w:rFonts w:ascii="Times New Roman" w:hAnsi="Times New Roman" w:cs="Times New Roman"/>
          <w:lang w:val="en-US"/>
        </w:rPr>
      </w:pPr>
    </w:p>
    <w:p w14:paraId="35B6AACA" w14:textId="40F5D899" w:rsidR="005B51CA" w:rsidRPr="00A841D4" w:rsidRDefault="005B51CA" w:rsidP="00E2205F">
      <w:pPr>
        <w:jc w:val="both"/>
        <w:rPr>
          <w:rFonts w:ascii="Times New Roman" w:hAnsi="Times New Roman" w:cs="Times New Roman"/>
          <w:lang w:val="en-US"/>
        </w:rPr>
      </w:pPr>
      <w:r w:rsidRPr="00A841D4">
        <w:rPr>
          <w:rFonts w:ascii="Times New Roman" w:hAnsi="Times New Roman" w:cs="Times New Roman"/>
          <w:lang w:val="en-US"/>
        </w:rPr>
        <w:t>On the basis of our analysis we argue that Lithuania’s reaction to the two external shocks shows that despite its high sensitivity it was not vulnerable</w:t>
      </w:r>
      <w:r w:rsidR="006052DF" w:rsidRPr="00A841D4">
        <w:rPr>
          <w:rFonts w:ascii="Times New Roman" w:hAnsi="Times New Roman" w:cs="Times New Roman"/>
          <w:lang w:val="en-US"/>
        </w:rPr>
        <w:t xml:space="preserve">. Finally, we discuss the factors which could account for such resilience in the face of very high external openness. </w:t>
      </w:r>
      <w:r w:rsidRPr="00A841D4">
        <w:rPr>
          <w:rFonts w:ascii="Times New Roman" w:hAnsi="Times New Roman" w:cs="Times New Roman"/>
          <w:lang w:val="en-US"/>
        </w:rPr>
        <w:t xml:space="preserve"> </w:t>
      </w:r>
    </w:p>
    <w:p w14:paraId="43C5C96A" w14:textId="77777777" w:rsidR="00EE33DE" w:rsidRPr="00A841D4" w:rsidRDefault="00EE33DE" w:rsidP="00E2205F">
      <w:pPr>
        <w:jc w:val="both"/>
        <w:rPr>
          <w:rFonts w:ascii="Times New Roman" w:hAnsi="Times New Roman" w:cs="Times New Roman"/>
          <w:b/>
          <w:lang w:val="en-US"/>
        </w:rPr>
      </w:pPr>
    </w:p>
    <w:p w14:paraId="7EBA3168" w14:textId="13E25B5E" w:rsidR="00500D37" w:rsidRPr="00A841D4" w:rsidRDefault="00500D37" w:rsidP="00E2205F">
      <w:pPr>
        <w:jc w:val="both"/>
        <w:rPr>
          <w:rFonts w:ascii="Times New Roman" w:hAnsi="Times New Roman" w:cs="Times New Roman"/>
          <w:b/>
          <w:lang w:val="en-US"/>
        </w:rPr>
      </w:pPr>
      <w:r w:rsidRPr="00A841D4">
        <w:rPr>
          <w:rFonts w:ascii="Times New Roman" w:hAnsi="Times New Roman" w:cs="Times New Roman"/>
          <w:b/>
          <w:lang w:val="en-US"/>
        </w:rPr>
        <w:t>Shifting patterns of Lithuania’s trade interdependencies</w:t>
      </w:r>
    </w:p>
    <w:p w14:paraId="0032DAC2" w14:textId="39FEFFD2" w:rsidR="00500D37" w:rsidRPr="00A841D4" w:rsidRDefault="00500D37" w:rsidP="00E2205F">
      <w:pPr>
        <w:jc w:val="both"/>
        <w:rPr>
          <w:rFonts w:ascii="Times New Roman" w:hAnsi="Times New Roman" w:cs="Times New Roman"/>
          <w:lang w:val="en-US"/>
        </w:rPr>
      </w:pPr>
    </w:p>
    <w:p w14:paraId="1D6F4FF5" w14:textId="04B0D61C" w:rsidR="00F65C03" w:rsidRPr="00A841D4" w:rsidRDefault="00B45466" w:rsidP="00E2205F">
      <w:pPr>
        <w:jc w:val="both"/>
        <w:rPr>
          <w:rFonts w:ascii="Times New Roman" w:hAnsi="Times New Roman" w:cs="Times New Roman"/>
          <w:lang w:val="en-US"/>
        </w:rPr>
      </w:pPr>
      <w:r w:rsidRPr="00A841D4">
        <w:rPr>
          <w:rFonts w:ascii="Times New Roman" w:hAnsi="Times New Roman" w:cs="Times New Roman"/>
          <w:lang w:val="en-US"/>
        </w:rPr>
        <w:t xml:space="preserve">After re-establishment of independence in 1990, Lithuania initiated external </w:t>
      </w:r>
      <w:proofErr w:type="spellStart"/>
      <w:r w:rsidRPr="00A841D4">
        <w:rPr>
          <w:rFonts w:ascii="Times New Roman" w:hAnsi="Times New Roman" w:cs="Times New Roman"/>
          <w:lang w:val="en-US"/>
        </w:rPr>
        <w:t>liberalisation</w:t>
      </w:r>
      <w:proofErr w:type="spellEnd"/>
      <w:r w:rsidRPr="00A841D4">
        <w:rPr>
          <w:rFonts w:ascii="Times New Roman" w:hAnsi="Times New Roman" w:cs="Times New Roman"/>
          <w:lang w:val="en-US"/>
        </w:rPr>
        <w:t xml:space="preserve"> reforms which formed an important part of the transition reforms (for more see Vilpišauskas 201</w:t>
      </w:r>
      <w:r w:rsidR="00A841D4">
        <w:rPr>
          <w:rFonts w:ascii="Times New Roman" w:hAnsi="Times New Roman" w:cs="Times New Roman"/>
          <w:lang w:val="en-US"/>
        </w:rPr>
        <w:t>4). Although its trade liberaliz</w:t>
      </w:r>
      <w:r w:rsidRPr="00A841D4">
        <w:rPr>
          <w:rFonts w:ascii="Times New Roman" w:hAnsi="Times New Roman" w:cs="Times New Roman"/>
          <w:lang w:val="en-US"/>
        </w:rPr>
        <w:t>ation policies were more limited compared to Estonia’s which removed all import duties in early 1990s, it</w:t>
      </w:r>
      <w:r w:rsidR="0001195D" w:rsidRPr="00A841D4">
        <w:rPr>
          <w:rFonts w:ascii="Times New Roman" w:hAnsi="Times New Roman" w:cs="Times New Roman"/>
          <w:lang w:val="en-US"/>
        </w:rPr>
        <w:t>s foreign trade picked up fast reaching 100% of country’s GDP by 1997. Although trade openness declined as a result of financial crisis in Russia in late 1990s, it soon picked up again to be interrupted by the Great Recession. It recovered soon again to reach 160% of country’s GDP.</w:t>
      </w:r>
      <w:r w:rsidRPr="00A841D4">
        <w:rPr>
          <w:rFonts w:ascii="Times New Roman" w:hAnsi="Times New Roman" w:cs="Times New Roman"/>
          <w:lang w:val="en-US"/>
        </w:rPr>
        <w:t xml:space="preserve"> </w:t>
      </w:r>
      <w:r w:rsidR="0001195D" w:rsidRPr="00A841D4">
        <w:rPr>
          <w:rFonts w:ascii="Times New Roman" w:hAnsi="Times New Roman" w:cs="Times New Roman"/>
          <w:lang w:val="en-US"/>
        </w:rPr>
        <w:t>In 2017</w:t>
      </w:r>
      <w:r w:rsidR="008304AA" w:rsidRPr="00A841D4">
        <w:rPr>
          <w:rFonts w:ascii="Times New Roman" w:hAnsi="Times New Roman" w:cs="Times New Roman"/>
          <w:lang w:val="en-US"/>
        </w:rPr>
        <w:t xml:space="preserve">, Lithuania </w:t>
      </w:r>
      <w:r w:rsidR="0001195D" w:rsidRPr="00A841D4">
        <w:rPr>
          <w:rFonts w:ascii="Times New Roman" w:hAnsi="Times New Roman" w:cs="Times New Roman"/>
          <w:lang w:val="en-US"/>
        </w:rPr>
        <w:t xml:space="preserve">was ranked </w:t>
      </w:r>
      <w:r w:rsidR="008304AA" w:rsidRPr="00A841D4">
        <w:rPr>
          <w:rFonts w:ascii="Times New Roman" w:hAnsi="Times New Roman" w:cs="Times New Roman"/>
          <w:lang w:val="en-US"/>
        </w:rPr>
        <w:t>15</w:t>
      </w:r>
      <w:r w:rsidR="008304AA" w:rsidRPr="00A841D4">
        <w:rPr>
          <w:rFonts w:ascii="Times New Roman" w:hAnsi="Times New Roman" w:cs="Times New Roman"/>
          <w:vertAlign w:val="superscript"/>
          <w:lang w:val="en-US"/>
        </w:rPr>
        <w:t>th</w:t>
      </w:r>
      <w:r w:rsidR="008304AA" w:rsidRPr="00A841D4">
        <w:rPr>
          <w:rFonts w:ascii="Times New Roman" w:hAnsi="Times New Roman" w:cs="Times New Roman"/>
          <w:lang w:val="en-US"/>
        </w:rPr>
        <w:t xml:space="preserve"> in the world in terms of exports-to-GDP ratio (World Bank data)</w:t>
      </w:r>
      <w:r w:rsidR="00F65C03" w:rsidRPr="00A841D4">
        <w:rPr>
          <w:rFonts w:ascii="Times New Roman" w:hAnsi="Times New Roman" w:cs="Times New Roman"/>
          <w:lang w:val="en-US"/>
        </w:rPr>
        <w:t>, and by</w:t>
      </w:r>
      <w:r w:rsidR="008304AA" w:rsidRPr="00A841D4">
        <w:rPr>
          <w:rFonts w:ascii="Times New Roman" w:hAnsi="Times New Roman" w:cs="Times New Roman"/>
          <w:lang w:val="en-US"/>
        </w:rPr>
        <w:t xml:space="preserve"> </w:t>
      </w:r>
      <w:r w:rsidR="00F022CC" w:rsidRPr="00A841D4">
        <w:rPr>
          <w:rFonts w:ascii="Times New Roman" w:hAnsi="Times New Roman" w:cs="Times New Roman"/>
          <w:lang w:val="en-US"/>
        </w:rPr>
        <w:t xml:space="preserve">trade openness (exports plus imports as percent of GDP) Lithuania </w:t>
      </w:r>
      <w:r w:rsidR="0001195D" w:rsidRPr="00A841D4">
        <w:rPr>
          <w:rFonts w:ascii="Times New Roman" w:hAnsi="Times New Roman" w:cs="Times New Roman"/>
          <w:lang w:val="en-US"/>
        </w:rPr>
        <w:t>stood</w:t>
      </w:r>
      <w:r w:rsidR="00F65C03" w:rsidRPr="00A841D4">
        <w:rPr>
          <w:rFonts w:ascii="Times New Roman" w:hAnsi="Times New Roman" w:cs="Times New Roman"/>
          <w:lang w:val="en-US"/>
        </w:rPr>
        <w:t xml:space="preserve"> at the </w:t>
      </w:r>
      <w:r w:rsidR="00F022CC" w:rsidRPr="00A841D4">
        <w:rPr>
          <w:rFonts w:ascii="Times New Roman" w:hAnsi="Times New Roman" w:cs="Times New Roman"/>
          <w:lang w:val="en-US"/>
        </w:rPr>
        <w:t>13</w:t>
      </w:r>
      <w:r w:rsidR="00F022CC" w:rsidRPr="00A841D4">
        <w:rPr>
          <w:rFonts w:ascii="Times New Roman" w:hAnsi="Times New Roman" w:cs="Times New Roman"/>
          <w:vertAlign w:val="superscript"/>
          <w:lang w:val="en-US"/>
        </w:rPr>
        <w:t>th</w:t>
      </w:r>
      <w:r w:rsidR="00F022CC" w:rsidRPr="00A841D4">
        <w:rPr>
          <w:rFonts w:ascii="Times New Roman" w:hAnsi="Times New Roman" w:cs="Times New Roman"/>
          <w:lang w:val="en-US"/>
        </w:rPr>
        <w:t xml:space="preserve"> place.</w:t>
      </w:r>
      <w:r w:rsidR="00F022CC" w:rsidRPr="00A841D4">
        <w:rPr>
          <w:rFonts w:ascii="Times New Roman" w:hAnsi="Times New Roman" w:cs="Times New Roman"/>
          <w:u w:val="single"/>
          <w:lang w:val="en-US"/>
        </w:rPr>
        <w:t xml:space="preserve"> </w:t>
      </w:r>
    </w:p>
    <w:p w14:paraId="2CD2AC64" w14:textId="77777777" w:rsidR="001C2E13" w:rsidRPr="00A841D4" w:rsidRDefault="001C2E13" w:rsidP="00E2205F">
      <w:pPr>
        <w:jc w:val="both"/>
        <w:rPr>
          <w:rFonts w:ascii="Times New Roman" w:hAnsi="Times New Roman" w:cs="Times New Roman"/>
          <w:u w:val="single"/>
          <w:lang w:val="en-US"/>
        </w:rPr>
      </w:pPr>
      <w:r w:rsidRPr="00A841D4">
        <w:rPr>
          <w:rFonts w:ascii="Times New Roman" w:hAnsi="Times New Roman" w:cs="Times New Roman"/>
          <w:noProof/>
          <w:lang w:val="en-US"/>
        </w:rPr>
        <w:drawing>
          <wp:inline distT="0" distB="0" distL="0" distR="0" wp14:anchorId="24562D6D" wp14:editId="4314817B">
            <wp:extent cx="5936615" cy="2880000"/>
            <wp:effectExtent l="0" t="0" r="6985" b="15875"/>
            <wp:docPr id="14" name="Chart 1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1F4828FB-1CD2-4C4F-8A57-1F0824A1F7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22AED19" w14:textId="2CEE0464" w:rsidR="00F65C03" w:rsidRPr="00A841D4" w:rsidRDefault="006052DF" w:rsidP="00E2205F">
      <w:pPr>
        <w:jc w:val="both"/>
        <w:rPr>
          <w:rFonts w:ascii="Times New Roman" w:hAnsi="Times New Roman" w:cs="Times New Roman"/>
          <w:u w:val="single"/>
          <w:lang w:val="en-US"/>
        </w:rPr>
      </w:pPr>
      <w:r w:rsidRPr="00A841D4">
        <w:rPr>
          <w:rFonts w:ascii="Times New Roman" w:hAnsi="Times New Roman" w:cs="Times New Roman"/>
          <w:lang w:val="en-US"/>
        </w:rPr>
        <w:lastRenderedPageBreak/>
        <w:t>Figure 1</w:t>
      </w:r>
      <w:r w:rsidR="001C2E13" w:rsidRPr="00A841D4">
        <w:rPr>
          <w:rFonts w:ascii="Times New Roman" w:hAnsi="Times New Roman" w:cs="Times New Roman"/>
          <w:lang w:val="en-US"/>
        </w:rPr>
        <w:t>, Lithuania's trade % of GDP (1995 - 2017)</w:t>
      </w:r>
      <w:r w:rsidR="001C2E13" w:rsidRPr="00A841D4">
        <w:rPr>
          <w:rFonts w:ascii="Times New Roman" w:hAnsi="Times New Roman" w:cs="Times New Roman"/>
          <w:i/>
          <w:lang w:val="en-US"/>
        </w:rPr>
        <w:t>. World Bank.</w:t>
      </w:r>
    </w:p>
    <w:p w14:paraId="0E25CF33" w14:textId="77777777" w:rsidR="006052DF" w:rsidRPr="00A841D4" w:rsidRDefault="006052DF" w:rsidP="00E2205F">
      <w:pPr>
        <w:jc w:val="both"/>
        <w:rPr>
          <w:rFonts w:ascii="Times New Roman" w:hAnsi="Times New Roman" w:cs="Times New Roman"/>
          <w:lang w:val="en-US"/>
        </w:rPr>
      </w:pPr>
    </w:p>
    <w:p w14:paraId="57DAB2B5" w14:textId="550E2997" w:rsidR="00C21E31" w:rsidRPr="00A841D4" w:rsidRDefault="0001195D" w:rsidP="00E2205F">
      <w:pPr>
        <w:jc w:val="both"/>
        <w:rPr>
          <w:rFonts w:ascii="Times New Roman" w:hAnsi="Times New Roman" w:cs="Times New Roman"/>
          <w:lang w:val="en-US"/>
        </w:rPr>
      </w:pPr>
      <w:r w:rsidRPr="00A841D4">
        <w:rPr>
          <w:rFonts w:ascii="Times New Roman" w:hAnsi="Times New Roman" w:cs="Times New Roman"/>
          <w:lang w:val="en-US"/>
        </w:rPr>
        <w:t xml:space="preserve">In early 1990s, former Soviet Union countries including Russia were the major trade partners of Lithuania. Although after </w:t>
      </w:r>
      <w:proofErr w:type="spellStart"/>
      <w:r w:rsidRPr="00A841D4">
        <w:rPr>
          <w:rFonts w:ascii="Times New Roman" w:hAnsi="Times New Roman" w:cs="Times New Roman"/>
          <w:lang w:val="en-US"/>
        </w:rPr>
        <w:t>liberalisation</w:t>
      </w:r>
      <w:proofErr w:type="spellEnd"/>
      <w:r w:rsidRPr="00A841D4">
        <w:rPr>
          <w:rFonts w:ascii="Times New Roman" w:hAnsi="Times New Roman" w:cs="Times New Roman"/>
          <w:lang w:val="en-US"/>
        </w:rPr>
        <w:t xml:space="preserve"> of trade </w:t>
      </w:r>
      <w:r w:rsidR="00B84DB7" w:rsidRPr="00A841D4">
        <w:rPr>
          <w:rFonts w:ascii="Times New Roman" w:hAnsi="Times New Roman" w:cs="Times New Roman"/>
          <w:lang w:val="en-US"/>
        </w:rPr>
        <w:t>with the other Baltic States, Nordic countries and the EU, the share of those countries in Lithuania’s foreign trade started increasing, it was after the financial crisis in Russia in late 1990s when the EU became the most important trade partner. Since Lithuania’s accession into the EU its share in country’s foreign trade constituted around two thirds of total turnover (see Figure 2). For example</w:t>
      </w:r>
      <w:r w:rsidR="00C21E31" w:rsidRPr="00A841D4">
        <w:rPr>
          <w:rFonts w:ascii="Times New Roman" w:hAnsi="Times New Roman" w:cs="Times New Roman"/>
          <w:lang w:val="en-US"/>
        </w:rPr>
        <w:t xml:space="preserve">, in 2017 members of EU comprised eight out of ten largest export and nine out of ten largest import partners for Lithuania. </w:t>
      </w:r>
      <w:r w:rsidR="00B84DB7" w:rsidRPr="00A841D4">
        <w:rPr>
          <w:rFonts w:ascii="Times New Roman" w:hAnsi="Times New Roman" w:cs="Times New Roman"/>
          <w:lang w:val="en-US"/>
        </w:rPr>
        <w:t xml:space="preserve">However, as an individual country </w:t>
      </w:r>
      <w:r w:rsidR="00C21E31" w:rsidRPr="00A841D4">
        <w:rPr>
          <w:rFonts w:ascii="Times New Roman" w:hAnsi="Times New Roman" w:cs="Times New Roman"/>
          <w:lang w:val="en-US"/>
        </w:rPr>
        <w:t xml:space="preserve">Russia </w:t>
      </w:r>
      <w:r w:rsidR="00B84DB7" w:rsidRPr="00A841D4">
        <w:rPr>
          <w:rFonts w:ascii="Times New Roman" w:hAnsi="Times New Roman" w:cs="Times New Roman"/>
          <w:lang w:val="en-US"/>
        </w:rPr>
        <w:t>remained</w:t>
      </w:r>
      <w:r w:rsidR="00C21E31" w:rsidRPr="00A841D4">
        <w:rPr>
          <w:rFonts w:ascii="Times New Roman" w:hAnsi="Times New Roman" w:cs="Times New Roman"/>
          <w:lang w:val="en-US"/>
        </w:rPr>
        <w:t xml:space="preserve"> the main export </w:t>
      </w:r>
      <w:r w:rsidR="009F6EBA" w:rsidRPr="00A841D4">
        <w:rPr>
          <w:rFonts w:ascii="Times New Roman" w:hAnsi="Times New Roman" w:cs="Times New Roman"/>
          <w:lang w:val="en-US"/>
        </w:rPr>
        <w:t xml:space="preserve">and import market for Lithuania, although its share in country’s exports fluctuated depending on the economic situation in Russia and policy measures applied by its authorities. </w:t>
      </w:r>
    </w:p>
    <w:p w14:paraId="1325AC7E" w14:textId="77777777" w:rsidR="007E5833" w:rsidRPr="00A841D4" w:rsidRDefault="007E5833" w:rsidP="00E2205F">
      <w:pPr>
        <w:jc w:val="both"/>
        <w:rPr>
          <w:rFonts w:ascii="Times New Roman" w:hAnsi="Times New Roman" w:cs="Times New Roman"/>
          <w:lang w:val="en-US"/>
        </w:rPr>
      </w:pPr>
    </w:p>
    <w:p w14:paraId="27572003" w14:textId="35D507DC" w:rsidR="007E5833" w:rsidRPr="00A841D4" w:rsidRDefault="007E5833" w:rsidP="00E2205F">
      <w:pPr>
        <w:jc w:val="both"/>
        <w:rPr>
          <w:rFonts w:ascii="Times New Roman" w:hAnsi="Times New Roman" w:cs="Times New Roman"/>
          <w:lang w:val="en-US"/>
        </w:rPr>
      </w:pPr>
      <w:r w:rsidRPr="00A841D4">
        <w:rPr>
          <w:rFonts w:ascii="Times New Roman" w:hAnsi="Times New Roman" w:cs="Times New Roman"/>
          <w:noProof/>
          <w:lang w:val="en-US"/>
        </w:rPr>
        <w:drawing>
          <wp:inline distT="0" distB="0" distL="0" distR="0" wp14:anchorId="69D649B1" wp14:editId="5CD5FFD0">
            <wp:extent cx="5936615" cy="2878186"/>
            <wp:effectExtent l="0" t="0" r="6985" b="17780"/>
            <wp:docPr id="7" name="Chart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B513712-F0A2-45CA-8172-283C90831B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AE5992" w14:textId="6B06854D" w:rsidR="007E5833" w:rsidRPr="00A841D4" w:rsidRDefault="007E5833" w:rsidP="00E2205F">
      <w:pPr>
        <w:jc w:val="both"/>
        <w:rPr>
          <w:rFonts w:ascii="Times New Roman" w:hAnsi="Times New Roman" w:cs="Times New Roman"/>
          <w:lang w:val="en-US"/>
        </w:rPr>
      </w:pPr>
      <w:r w:rsidRPr="00A841D4">
        <w:rPr>
          <w:rFonts w:ascii="Times New Roman" w:hAnsi="Times New Roman" w:cs="Times New Roman"/>
          <w:lang w:val="en-US"/>
        </w:rPr>
        <w:t>Figur</w:t>
      </w:r>
      <w:r w:rsidR="00B84DB7" w:rsidRPr="00A841D4">
        <w:rPr>
          <w:rFonts w:ascii="Times New Roman" w:hAnsi="Times New Roman" w:cs="Times New Roman"/>
          <w:lang w:val="en-US"/>
        </w:rPr>
        <w:t>e 2</w:t>
      </w:r>
      <w:r w:rsidR="005D37F2" w:rsidRPr="00A841D4">
        <w:rPr>
          <w:rFonts w:ascii="Times New Roman" w:hAnsi="Times New Roman" w:cs="Times New Roman"/>
          <w:lang w:val="en-US"/>
        </w:rPr>
        <w:t>,</w:t>
      </w:r>
      <w:r w:rsidRPr="00A841D4">
        <w:rPr>
          <w:rFonts w:ascii="Times New Roman" w:hAnsi="Times New Roman" w:cs="Times New Roman"/>
          <w:lang w:val="en-US"/>
        </w:rPr>
        <w:t xml:space="preserve"> </w:t>
      </w:r>
      <w:r w:rsidR="005D37F2" w:rsidRPr="00A841D4">
        <w:rPr>
          <w:rFonts w:ascii="Times New Roman" w:hAnsi="Times New Roman" w:cs="Times New Roman"/>
          <w:lang w:val="en-US"/>
        </w:rPr>
        <w:t>Lithuanian imports and exports share (2005-2017)</w:t>
      </w:r>
      <w:r w:rsidRPr="00A841D4">
        <w:rPr>
          <w:rFonts w:ascii="Times New Roman" w:hAnsi="Times New Roman" w:cs="Times New Roman"/>
          <w:i/>
          <w:lang w:val="en-US"/>
        </w:rPr>
        <w:t xml:space="preserve">. </w:t>
      </w:r>
      <w:proofErr w:type="spellStart"/>
      <w:r w:rsidR="005D37F2" w:rsidRPr="00A841D4">
        <w:rPr>
          <w:rFonts w:ascii="Times New Roman" w:hAnsi="Times New Roman" w:cs="Times New Roman"/>
          <w:i/>
          <w:lang w:val="en-US"/>
        </w:rPr>
        <w:t>Trademap</w:t>
      </w:r>
      <w:proofErr w:type="spellEnd"/>
      <w:r w:rsidR="005D37F2" w:rsidRPr="00A841D4">
        <w:rPr>
          <w:rFonts w:ascii="Times New Roman" w:hAnsi="Times New Roman" w:cs="Times New Roman"/>
          <w:i/>
          <w:lang w:val="en-US"/>
        </w:rPr>
        <w:t>, authors calculations</w:t>
      </w:r>
      <w:r w:rsidR="001C2E13" w:rsidRPr="00A841D4">
        <w:rPr>
          <w:rFonts w:ascii="Times New Roman" w:hAnsi="Times New Roman" w:cs="Times New Roman"/>
          <w:i/>
          <w:lang w:val="en-US"/>
        </w:rPr>
        <w:t xml:space="preserve"> (products and services)</w:t>
      </w:r>
      <w:r w:rsidRPr="00A841D4">
        <w:rPr>
          <w:rFonts w:ascii="Times New Roman" w:hAnsi="Times New Roman" w:cs="Times New Roman"/>
          <w:i/>
          <w:lang w:val="en-US"/>
        </w:rPr>
        <w:t>.</w:t>
      </w:r>
    </w:p>
    <w:p w14:paraId="069CAD3B" w14:textId="77777777" w:rsidR="007E5833" w:rsidRPr="00A841D4" w:rsidRDefault="007E5833" w:rsidP="00E2205F">
      <w:pPr>
        <w:jc w:val="both"/>
        <w:rPr>
          <w:rFonts w:ascii="Times New Roman" w:hAnsi="Times New Roman" w:cs="Times New Roman"/>
          <w:lang w:val="en-US"/>
        </w:rPr>
      </w:pPr>
    </w:p>
    <w:p w14:paraId="5473DC72" w14:textId="33967905" w:rsidR="007E5833" w:rsidRPr="00A841D4" w:rsidRDefault="009A7044" w:rsidP="00E2205F">
      <w:pPr>
        <w:jc w:val="both"/>
        <w:rPr>
          <w:rFonts w:ascii="Times New Roman" w:hAnsi="Times New Roman" w:cs="Times New Roman"/>
          <w:lang w:val="en-US"/>
        </w:rPr>
      </w:pPr>
      <w:r w:rsidRPr="00A841D4">
        <w:rPr>
          <w:rFonts w:ascii="Times New Roman" w:hAnsi="Times New Roman" w:cs="Times New Roman"/>
          <w:lang w:val="en-US"/>
        </w:rPr>
        <w:t>For more than two decades</w:t>
      </w:r>
      <w:r w:rsidR="007E5833" w:rsidRPr="00A841D4">
        <w:rPr>
          <w:rFonts w:ascii="Times New Roman" w:hAnsi="Times New Roman" w:cs="Times New Roman"/>
          <w:lang w:val="en-US"/>
        </w:rPr>
        <w:t xml:space="preserve">, imports from Russia </w:t>
      </w:r>
      <w:r w:rsidRPr="00A841D4">
        <w:rPr>
          <w:rFonts w:ascii="Times New Roman" w:hAnsi="Times New Roman" w:cs="Times New Roman"/>
          <w:lang w:val="en-US"/>
        </w:rPr>
        <w:t xml:space="preserve">were concentrated in energy resources. </w:t>
      </w:r>
      <w:r w:rsidR="007E5833" w:rsidRPr="00A841D4">
        <w:rPr>
          <w:rFonts w:ascii="Times New Roman" w:hAnsi="Times New Roman" w:cs="Times New Roman"/>
          <w:lang w:val="en-US"/>
        </w:rPr>
        <w:t xml:space="preserve">Lack of alternative infrastructure to that controlled by Russia made it </w:t>
      </w:r>
      <w:r w:rsidR="007E5833" w:rsidRPr="00A841D4">
        <w:rPr>
          <w:rFonts w:ascii="Times New Roman" w:hAnsi="Times New Roman" w:cs="Times New Roman"/>
          <w:i/>
          <w:lang w:val="en-US"/>
        </w:rPr>
        <w:t>de facto</w:t>
      </w:r>
      <w:r w:rsidR="007E5833" w:rsidRPr="00A841D4">
        <w:rPr>
          <w:rFonts w:ascii="Times New Roman" w:hAnsi="Times New Roman" w:cs="Times New Roman"/>
          <w:lang w:val="en-US"/>
        </w:rPr>
        <w:t xml:space="preserve"> the only supplier of energy resources (SITC HS4-27) to Lithuania. This single category also accounted for most imports from Russia. </w:t>
      </w:r>
    </w:p>
    <w:p w14:paraId="7BDCD495" w14:textId="12AF10AA" w:rsidR="007E5833" w:rsidRPr="00A841D4" w:rsidRDefault="007E5833" w:rsidP="00E2205F">
      <w:pPr>
        <w:jc w:val="both"/>
        <w:rPr>
          <w:rFonts w:ascii="Times New Roman" w:hAnsi="Times New Roman" w:cs="Times New Roman"/>
          <w:lang w:val="en-US"/>
        </w:rPr>
      </w:pPr>
      <w:r w:rsidRPr="00A841D4">
        <w:rPr>
          <w:rFonts w:ascii="Times New Roman" w:hAnsi="Times New Roman" w:cs="Times New Roman"/>
          <w:noProof/>
          <w:lang w:val="en-US"/>
        </w:rPr>
        <w:lastRenderedPageBreak/>
        <w:drawing>
          <wp:inline distT="0" distB="0" distL="0" distR="0" wp14:anchorId="18C3B9B6" wp14:editId="5B246769">
            <wp:extent cx="5936615" cy="2878186"/>
            <wp:effectExtent l="0" t="0" r="6985" b="17780"/>
            <wp:docPr id="10" name="Chart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AAB82F5-C1A8-4A9F-82F0-D1E3723D25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C561D1" w14:textId="4170614F" w:rsidR="007E5833" w:rsidRPr="00A841D4" w:rsidRDefault="007E5833" w:rsidP="00E2205F">
      <w:pPr>
        <w:jc w:val="both"/>
        <w:rPr>
          <w:rFonts w:ascii="Times New Roman" w:hAnsi="Times New Roman" w:cs="Times New Roman"/>
          <w:lang w:val="en-US"/>
        </w:rPr>
      </w:pPr>
      <w:r w:rsidRPr="00A841D4">
        <w:rPr>
          <w:rFonts w:ascii="Times New Roman" w:hAnsi="Times New Roman" w:cs="Times New Roman"/>
          <w:lang w:val="en-US"/>
        </w:rPr>
        <w:t>Figur</w:t>
      </w:r>
      <w:r w:rsidR="009A7044" w:rsidRPr="00A841D4">
        <w:rPr>
          <w:rFonts w:ascii="Times New Roman" w:hAnsi="Times New Roman" w:cs="Times New Roman"/>
          <w:lang w:val="en-US"/>
        </w:rPr>
        <w:t>e 3</w:t>
      </w:r>
      <w:r w:rsidR="001C2E13" w:rsidRPr="00A841D4">
        <w:rPr>
          <w:rFonts w:ascii="Times New Roman" w:hAnsi="Times New Roman" w:cs="Times New Roman"/>
          <w:lang w:val="en-US"/>
        </w:rPr>
        <w:t>,</w:t>
      </w:r>
      <w:r w:rsidRPr="00A841D4">
        <w:rPr>
          <w:rFonts w:ascii="Times New Roman" w:hAnsi="Times New Roman" w:cs="Times New Roman"/>
          <w:lang w:val="en-US"/>
        </w:rPr>
        <w:t xml:space="preserve"> </w:t>
      </w:r>
      <w:r w:rsidR="005D37F2" w:rsidRPr="00A841D4">
        <w:rPr>
          <w:rFonts w:ascii="Times New Roman" w:hAnsi="Times New Roman" w:cs="Times New Roman"/>
          <w:i/>
          <w:lang w:val="en-US"/>
        </w:rPr>
        <w:t>Lithuanian SITC HS4 - 27 import (2005-2017)</w:t>
      </w:r>
      <w:r w:rsidRPr="00A841D4">
        <w:rPr>
          <w:rFonts w:ascii="Times New Roman" w:hAnsi="Times New Roman" w:cs="Times New Roman"/>
          <w:i/>
          <w:lang w:val="en-US"/>
        </w:rPr>
        <w:t xml:space="preserve">. </w:t>
      </w:r>
      <w:proofErr w:type="spellStart"/>
      <w:r w:rsidR="001C2E13" w:rsidRPr="00A841D4">
        <w:rPr>
          <w:rFonts w:ascii="Times New Roman" w:hAnsi="Times New Roman" w:cs="Times New Roman"/>
          <w:i/>
          <w:lang w:val="en-US"/>
        </w:rPr>
        <w:t>Trademap</w:t>
      </w:r>
      <w:proofErr w:type="spellEnd"/>
      <w:r w:rsidR="001C2E13" w:rsidRPr="00A841D4">
        <w:rPr>
          <w:rFonts w:ascii="Times New Roman" w:hAnsi="Times New Roman" w:cs="Times New Roman"/>
          <w:i/>
          <w:lang w:val="en-US"/>
        </w:rPr>
        <w:t xml:space="preserve">, </w:t>
      </w:r>
      <w:proofErr w:type="spellStart"/>
      <w:r w:rsidR="001C2E13" w:rsidRPr="00A841D4">
        <w:rPr>
          <w:rFonts w:ascii="Times New Roman" w:hAnsi="Times New Roman" w:cs="Times New Roman"/>
          <w:i/>
          <w:lang w:val="en-US"/>
        </w:rPr>
        <w:t>Trademap</w:t>
      </w:r>
      <w:proofErr w:type="spellEnd"/>
      <w:r w:rsidR="001C2E13" w:rsidRPr="00A841D4">
        <w:rPr>
          <w:rFonts w:ascii="Times New Roman" w:hAnsi="Times New Roman" w:cs="Times New Roman"/>
          <w:i/>
          <w:lang w:val="en-US"/>
        </w:rPr>
        <w:t>, authors calcul</w:t>
      </w:r>
      <w:r w:rsidR="009A7044" w:rsidRPr="00A841D4">
        <w:rPr>
          <w:rFonts w:ascii="Times New Roman" w:hAnsi="Times New Roman" w:cs="Times New Roman"/>
          <w:i/>
          <w:lang w:val="en-US"/>
        </w:rPr>
        <w:t>ations (products and services).</w:t>
      </w:r>
    </w:p>
    <w:p w14:paraId="611EFD15" w14:textId="77777777" w:rsidR="007E5833" w:rsidRPr="00A841D4" w:rsidRDefault="007E5833" w:rsidP="00E2205F">
      <w:pPr>
        <w:jc w:val="both"/>
        <w:rPr>
          <w:rFonts w:ascii="Times New Roman" w:hAnsi="Times New Roman" w:cs="Times New Roman"/>
          <w:lang w:val="en-US"/>
        </w:rPr>
      </w:pPr>
    </w:p>
    <w:p w14:paraId="61D449CB" w14:textId="414659C8" w:rsidR="007E5833" w:rsidRPr="00A841D4" w:rsidRDefault="007E5833" w:rsidP="00E2205F">
      <w:pPr>
        <w:jc w:val="both"/>
        <w:rPr>
          <w:rFonts w:ascii="Times New Roman" w:hAnsi="Times New Roman" w:cs="Times New Roman"/>
          <w:lang w:val="en-US"/>
        </w:rPr>
      </w:pPr>
      <w:r w:rsidRPr="00A841D4">
        <w:rPr>
          <w:rFonts w:ascii="Times New Roman" w:hAnsi="Times New Roman" w:cs="Times New Roman"/>
          <w:noProof/>
          <w:lang w:val="en-US"/>
        </w:rPr>
        <w:drawing>
          <wp:inline distT="0" distB="0" distL="0" distR="0" wp14:anchorId="642A5D7C" wp14:editId="304599A9">
            <wp:extent cx="5936615" cy="2877820"/>
            <wp:effectExtent l="0" t="0" r="6985" b="17780"/>
            <wp:docPr id="11" name="Chart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F1E8131-6471-42C3-A2B1-4BCD429BF8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CE9D2B" w14:textId="750AF582" w:rsidR="007E5833" w:rsidRPr="00A841D4" w:rsidRDefault="007E5833" w:rsidP="00E2205F">
      <w:pPr>
        <w:jc w:val="both"/>
        <w:rPr>
          <w:rFonts w:ascii="Times New Roman" w:hAnsi="Times New Roman" w:cs="Times New Roman"/>
          <w:lang w:val="en-US"/>
        </w:rPr>
      </w:pPr>
      <w:r w:rsidRPr="00A841D4">
        <w:rPr>
          <w:rFonts w:ascii="Times New Roman" w:hAnsi="Times New Roman" w:cs="Times New Roman"/>
          <w:lang w:val="en-US"/>
        </w:rPr>
        <w:t>Figur</w:t>
      </w:r>
      <w:r w:rsidR="009A7044" w:rsidRPr="00A841D4">
        <w:rPr>
          <w:rFonts w:ascii="Times New Roman" w:hAnsi="Times New Roman" w:cs="Times New Roman"/>
          <w:lang w:val="en-US"/>
        </w:rPr>
        <w:t>e 4</w:t>
      </w:r>
      <w:r w:rsidR="001C2E13" w:rsidRPr="00A841D4">
        <w:rPr>
          <w:rFonts w:ascii="Times New Roman" w:hAnsi="Times New Roman" w:cs="Times New Roman"/>
          <w:lang w:val="en-US"/>
        </w:rPr>
        <w:t>,</w:t>
      </w:r>
      <w:r w:rsidRPr="00A841D4">
        <w:rPr>
          <w:rFonts w:ascii="Times New Roman" w:hAnsi="Times New Roman" w:cs="Times New Roman"/>
          <w:lang w:val="en-US"/>
        </w:rPr>
        <w:t xml:space="preserve"> </w:t>
      </w:r>
      <w:r w:rsidR="001C2E13" w:rsidRPr="00A841D4">
        <w:rPr>
          <w:rFonts w:ascii="Times New Roman" w:hAnsi="Times New Roman" w:cs="Times New Roman"/>
          <w:i/>
          <w:lang w:val="en-US"/>
        </w:rPr>
        <w:t>SITC HS4 - 27 share of total import from Russian Federation (2005-2017)</w:t>
      </w:r>
      <w:r w:rsidRPr="00A841D4">
        <w:rPr>
          <w:rFonts w:ascii="Times New Roman" w:hAnsi="Times New Roman" w:cs="Times New Roman"/>
          <w:i/>
          <w:lang w:val="en-US"/>
        </w:rPr>
        <w:t xml:space="preserve">. </w:t>
      </w:r>
      <w:proofErr w:type="spellStart"/>
      <w:r w:rsidR="001C2E13" w:rsidRPr="00A841D4">
        <w:rPr>
          <w:rFonts w:ascii="Times New Roman" w:hAnsi="Times New Roman" w:cs="Times New Roman"/>
          <w:i/>
          <w:lang w:val="en-US"/>
        </w:rPr>
        <w:t>Trademap</w:t>
      </w:r>
      <w:proofErr w:type="spellEnd"/>
      <w:r w:rsidR="001C2E13" w:rsidRPr="00A841D4">
        <w:rPr>
          <w:rFonts w:ascii="Times New Roman" w:hAnsi="Times New Roman" w:cs="Times New Roman"/>
          <w:i/>
          <w:lang w:val="en-US"/>
        </w:rPr>
        <w:t>, authors calculations (products and services).</w:t>
      </w:r>
    </w:p>
    <w:p w14:paraId="42EF12BE" w14:textId="77777777" w:rsidR="007E5833" w:rsidRPr="00A841D4" w:rsidRDefault="007E5833" w:rsidP="00E2205F">
      <w:pPr>
        <w:jc w:val="both"/>
        <w:rPr>
          <w:rFonts w:ascii="Times New Roman" w:hAnsi="Times New Roman" w:cs="Times New Roman"/>
          <w:lang w:val="en-US"/>
        </w:rPr>
      </w:pPr>
    </w:p>
    <w:p w14:paraId="281FDFB7" w14:textId="2E829D49" w:rsidR="007E5833" w:rsidRPr="00A841D4" w:rsidRDefault="009A7044" w:rsidP="00E2205F">
      <w:pPr>
        <w:jc w:val="both"/>
        <w:rPr>
          <w:rFonts w:ascii="Times New Roman" w:hAnsi="Times New Roman" w:cs="Times New Roman"/>
          <w:lang w:val="en-US"/>
        </w:rPr>
      </w:pPr>
      <w:r w:rsidRPr="00A841D4">
        <w:rPr>
          <w:rFonts w:ascii="Times New Roman" w:hAnsi="Times New Roman" w:cs="Times New Roman"/>
          <w:lang w:val="en-US"/>
        </w:rPr>
        <w:t>Moreover</w:t>
      </w:r>
      <w:r w:rsidR="007E5833" w:rsidRPr="00A841D4">
        <w:rPr>
          <w:rFonts w:ascii="Times New Roman" w:hAnsi="Times New Roman" w:cs="Times New Roman"/>
          <w:lang w:val="en-US"/>
        </w:rPr>
        <w:t>, the overall trade relationships between Russia and Lithuania was defined by asymmetrical interdependence. As mentioned, for Lithuania Russia was the main trade partner in both exports and imports since the fall of the Soviet Union</w:t>
      </w:r>
      <w:r w:rsidRPr="00A841D4">
        <w:rPr>
          <w:rFonts w:ascii="Times New Roman" w:hAnsi="Times New Roman" w:cs="Times New Roman"/>
          <w:lang w:val="en-US"/>
        </w:rPr>
        <w:t>, and the only source of supply for such energy resources as natural gas until recently</w:t>
      </w:r>
      <w:r w:rsidR="007E5833" w:rsidRPr="00A841D4">
        <w:rPr>
          <w:rFonts w:ascii="Times New Roman" w:hAnsi="Times New Roman" w:cs="Times New Roman"/>
          <w:lang w:val="en-US"/>
        </w:rPr>
        <w:t>. For Russia, Lithuania was a minor trade partner.</w:t>
      </w:r>
      <w:r w:rsidRPr="00A841D4">
        <w:rPr>
          <w:rFonts w:ascii="Times New Roman" w:hAnsi="Times New Roman" w:cs="Times New Roman"/>
          <w:lang w:val="en-US"/>
        </w:rPr>
        <w:t xml:space="preserve"> This significant asymmetry in trade relationship allowed Russia to use supplies of energy resources as an instrument of pressure on Lithuanian authorities. Already in Spring 1990 then Soviet Union imposed economic blockade by cutting supplies of oil in reaction to the declaration of the re-establishment of independence. </w:t>
      </w:r>
      <w:r w:rsidR="00D83124" w:rsidRPr="00A841D4">
        <w:rPr>
          <w:rFonts w:ascii="Times New Roman" w:hAnsi="Times New Roman" w:cs="Times New Roman"/>
          <w:lang w:val="en-US"/>
        </w:rPr>
        <w:t xml:space="preserve">Later, in particular since 2000 when V. Putin came to power in Russia, cuts in oil supplies and increase in price of natural gas were undertaken by Russian authorities. </w:t>
      </w:r>
    </w:p>
    <w:p w14:paraId="4FC1A31A" w14:textId="060D3958" w:rsidR="00F65C03" w:rsidRPr="00A841D4" w:rsidRDefault="00F65C03" w:rsidP="00E2205F">
      <w:pPr>
        <w:jc w:val="both"/>
        <w:rPr>
          <w:rFonts w:ascii="Times New Roman" w:hAnsi="Times New Roman" w:cs="Times New Roman"/>
          <w:u w:val="single"/>
          <w:lang w:val="en-US"/>
        </w:rPr>
      </w:pPr>
    </w:p>
    <w:p w14:paraId="5E0192CD" w14:textId="2C1B49CB" w:rsidR="00500D37" w:rsidRPr="00A841D4" w:rsidRDefault="007E5833" w:rsidP="00E2205F">
      <w:pPr>
        <w:jc w:val="both"/>
        <w:rPr>
          <w:rFonts w:ascii="Times New Roman" w:hAnsi="Times New Roman" w:cs="Times New Roman"/>
          <w:lang w:val="en-US"/>
        </w:rPr>
      </w:pPr>
      <w:r w:rsidRPr="00A841D4">
        <w:rPr>
          <w:rFonts w:ascii="Times New Roman" w:hAnsi="Times New Roman" w:cs="Times New Roman"/>
          <w:lang w:val="en-US"/>
        </w:rPr>
        <w:t xml:space="preserve">The indicators on </w:t>
      </w:r>
      <w:r w:rsidR="00D83124" w:rsidRPr="00A841D4">
        <w:rPr>
          <w:rFonts w:ascii="Times New Roman" w:hAnsi="Times New Roman" w:cs="Times New Roman"/>
          <w:lang w:val="en-US"/>
        </w:rPr>
        <w:t xml:space="preserve">Lithuania’s </w:t>
      </w:r>
      <w:r w:rsidRPr="00A841D4">
        <w:rPr>
          <w:rFonts w:ascii="Times New Roman" w:hAnsi="Times New Roman" w:cs="Times New Roman"/>
          <w:lang w:val="en-US"/>
        </w:rPr>
        <w:t xml:space="preserve">trade openness </w:t>
      </w:r>
      <w:r w:rsidR="008304AA" w:rsidRPr="00A841D4">
        <w:rPr>
          <w:rFonts w:ascii="Times New Roman" w:hAnsi="Times New Roman" w:cs="Times New Roman"/>
          <w:lang w:val="en-US"/>
        </w:rPr>
        <w:t>suggest that the country</w:t>
      </w:r>
      <w:r w:rsidR="006E0E13" w:rsidRPr="00A841D4">
        <w:rPr>
          <w:rFonts w:ascii="Times New Roman" w:hAnsi="Times New Roman" w:cs="Times New Roman"/>
          <w:lang w:val="en-US"/>
        </w:rPr>
        <w:t>’s economy</w:t>
      </w:r>
      <w:r w:rsidR="008304AA" w:rsidRPr="00A841D4">
        <w:rPr>
          <w:rFonts w:ascii="Times New Roman" w:hAnsi="Times New Roman" w:cs="Times New Roman"/>
          <w:lang w:val="en-US"/>
        </w:rPr>
        <w:t xml:space="preserve"> </w:t>
      </w:r>
      <w:r w:rsidR="006E0E13" w:rsidRPr="00A841D4">
        <w:rPr>
          <w:rFonts w:ascii="Times New Roman" w:hAnsi="Times New Roman" w:cs="Times New Roman"/>
          <w:lang w:val="en-US"/>
        </w:rPr>
        <w:t xml:space="preserve">can be powerfully affected by shifts in the global demand. This can also explain why the immediate </w:t>
      </w:r>
      <w:r w:rsidR="006E0E13" w:rsidRPr="00A841D4">
        <w:rPr>
          <w:rFonts w:ascii="Times New Roman" w:hAnsi="Times New Roman" w:cs="Times New Roman"/>
          <w:lang w:val="en-US"/>
        </w:rPr>
        <w:lastRenderedPageBreak/>
        <w:t xml:space="preserve">impact of the Great Recession in 2009 was so severe. Lithuanian exports in 2009 fell by nearly </w:t>
      </w:r>
      <w:r w:rsidR="000350FF" w:rsidRPr="00A841D4">
        <w:rPr>
          <w:rFonts w:ascii="Times New Roman" w:hAnsi="Times New Roman" w:cs="Times New Roman"/>
          <w:lang w:val="en-US"/>
        </w:rPr>
        <w:t>25.9%</w:t>
      </w:r>
      <w:r w:rsidR="006E0E13" w:rsidRPr="00A841D4">
        <w:rPr>
          <w:rFonts w:ascii="Times New Roman" w:hAnsi="Times New Roman" w:cs="Times New Roman"/>
          <w:lang w:val="en-US"/>
        </w:rPr>
        <w:t xml:space="preserve"> compared to 2008</w:t>
      </w:r>
      <w:r w:rsidR="00715CE5" w:rsidRPr="00A841D4">
        <w:rPr>
          <w:rFonts w:ascii="Times New Roman" w:hAnsi="Times New Roman" w:cs="Times New Roman"/>
          <w:lang w:val="en-US"/>
        </w:rPr>
        <w:t>, which together with a steep fall in consumption and investment resulted in a very large contraction of real GDP</w:t>
      </w:r>
      <w:r w:rsidR="006E0E13" w:rsidRPr="00A841D4">
        <w:rPr>
          <w:rFonts w:ascii="Times New Roman" w:hAnsi="Times New Roman" w:cs="Times New Roman"/>
          <w:lang w:val="en-US"/>
        </w:rPr>
        <w:t>. Furthermore, one must remember that several of the most important trading partners of the country – Poland, Russia, and Sweden – devalued or depreciated their currencies</w:t>
      </w:r>
      <w:r w:rsidR="00C654ED" w:rsidRPr="00A841D4">
        <w:rPr>
          <w:rFonts w:ascii="Times New Roman" w:hAnsi="Times New Roman" w:cs="Times New Roman"/>
          <w:lang w:val="en-US"/>
        </w:rPr>
        <w:t xml:space="preserve"> during the Great Recession</w:t>
      </w:r>
      <w:r w:rsidR="006E0E13" w:rsidRPr="00A841D4">
        <w:rPr>
          <w:rFonts w:ascii="Times New Roman" w:hAnsi="Times New Roman" w:cs="Times New Roman"/>
          <w:lang w:val="en-US"/>
        </w:rPr>
        <w:t>. As Lithuania</w:t>
      </w:r>
      <w:r w:rsidR="00D83124" w:rsidRPr="00A841D4">
        <w:rPr>
          <w:rFonts w:ascii="Times New Roman" w:hAnsi="Times New Roman" w:cs="Times New Roman"/>
          <w:lang w:val="en-US"/>
        </w:rPr>
        <w:t>n authorities decided to defend</w:t>
      </w:r>
      <w:r w:rsidR="006E0E13" w:rsidRPr="00A841D4">
        <w:rPr>
          <w:rFonts w:ascii="Times New Roman" w:hAnsi="Times New Roman" w:cs="Times New Roman"/>
          <w:lang w:val="en-US"/>
        </w:rPr>
        <w:t xml:space="preserve"> its </w:t>
      </w:r>
      <w:r w:rsidR="00D83124" w:rsidRPr="00A841D4">
        <w:rPr>
          <w:rFonts w:ascii="Times New Roman" w:hAnsi="Times New Roman" w:cs="Times New Roman"/>
          <w:lang w:val="en-US"/>
        </w:rPr>
        <w:t xml:space="preserve">currency’s </w:t>
      </w:r>
      <w:r w:rsidR="006E0E13" w:rsidRPr="00A841D4">
        <w:rPr>
          <w:rFonts w:ascii="Times New Roman" w:hAnsi="Times New Roman" w:cs="Times New Roman"/>
          <w:lang w:val="en-US"/>
        </w:rPr>
        <w:t>fixed exchange rate to the euro, Lithuanian bilateral exchange rates with the mentioned countries appreciated in real terms, causing further competitiveness problems.</w:t>
      </w:r>
      <w:r w:rsidR="008304AA" w:rsidRPr="00A841D4">
        <w:rPr>
          <w:rFonts w:ascii="Times New Roman" w:hAnsi="Times New Roman" w:cs="Times New Roman"/>
          <w:lang w:val="en-US"/>
        </w:rPr>
        <w:t xml:space="preserve"> </w:t>
      </w:r>
      <w:r w:rsidR="00866E21" w:rsidRPr="00A841D4">
        <w:rPr>
          <w:rFonts w:ascii="Times New Roman" w:hAnsi="Times New Roman" w:cs="Times New Roman"/>
          <w:lang w:val="en-US"/>
        </w:rPr>
        <w:t xml:space="preserve">One must also remember that numerous outside analysts were deeply </w:t>
      </w:r>
      <w:proofErr w:type="spellStart"/>
      <w:r w:rsidR="00866E21" w:rsidRPr="00A841D4">
        <w:rPr>
          <w:rFonts w:ascii="Times New Roman" w:hAnsi="Times New Roman" w:cs="Times New Roman"/>
          <w:lang w:val="en-US"/>
        </w:rPr>
        <w:t>sceptical</w:t>
      </w:r>
      <w:proofErr w:type="spellEnd"/>
      <w:r w:rsidR="00866E21" w:rsidRPr="00A841D4">
        <w:rPr>
          <w:rFonts w:ascii="Times New Roman" w:hAnsi="Times New Roman" w:cs="Times New Roman"/>
          <w:lang w:val="en-US"/>
        </w:rPr>
        <w:t xml:space="preserve"> of the Baltic strategy (Latvia and Estonia adopted essentially similar approach to the crisis) of pursuing ‘internal devaluation’, as they thought that it would be extremely difficult and costly to adjust without devaluing the exchange rate.</w:t>
      </w:r>
    </w:p>
    <w:p w14:paraId="19D8F282" w14:textId="77777777" w:rsidR="00D83124" w:rsidRPr="00A841D4" w:rsidRDefault="00D83124" w:rsidP="00E2205F">
      <w:pPr>
        <w:jc w:val="both"/>
        <w:rPr>
          <w:rFonts w:ascii="Times New Roman" w:hAnsi="Times New Roman" w:cs="Times New Roman"/>
          <w:lang w:val="en-US"/>
        </w:rPr>
      </w:pPr>
    </w:p>
    <w:p w14:paraId="6DCC73B2" w14:textId="0236E5C3" w:rsidR="001E5AF8" w:rsidRPr="00A841D4" w:rsidRDefault="000350FF" w:rsidP="00E2205F">
      <w:pPr>
        <w:jc w:val="both"/>
        <w:rPr>
          <w:rFonts w:ascii="Times New Roman" w:hAnsi="Times New Roman" w:cs="Times New Roman"/>
          <w:lang w:val="en-US"/>
        </w:rPr>
      </w:pPr>
      <w:r w:rsidRPr="00A841D4">
        <w:rPr>
          <w:rFonts w:ascii="Times New Roman" w:hAnsi="Times New Roman" w:cs="Times New Roman"/>
          <w:lang w:val="en-US"/>
        </w:rPr>
        <w:t xml:space="preserve">In the case of the second external shock, namely the </w:t>
      </w:r>
      <w:r w:rsidR="00213A13" w:rsidRPr="00A841D4">
        <w:rPr>
          <w:rFonts w:ascii="Times New Roman" w:hAnsi="Times New Roman" w:cs="Times New Roman"/>
          <w:lang w:val="en-US"/>
        </w:rPr>
        <w:t>Russian embargo</w:t>
      </w:r>
      <w:r w:rsidRPr="00A841D4">
        <w:rPr>
          <w:rFonts w:ascii="Times New Roman" w:hAnsi="Times New Roman" w:cs="Times New Roman"/>
          <w:lang w:val="en-US"/>
        </w:rPr>
        <w:t xml:space="preserve"> introduced in 2014</w:t>
      </w:r>
      <w:r w:rsidR="00213A13" w:rsidRPr="00A841D4">
        <w:rPr>
          <w:rFonts w:ascii="Times New Roman" w:hAnsi="Times New Roman" w:cs="Times New Roman"/>
          <w:lang w:val="en-US"/>
        </w:rPr>
        <w:t xml:space="preserve">, Lithuania again seemed highly exposed. </w:t>
      </w:r>
      <w:r w:rsidR="001E5AF8" w:rsidRPr="00A841D4">
        <w:rPr>
          <w:rFonts w:ascii="Times New Roman" w:hAnsi="Times New Roman" w:cs="Times New Roman"/>
          <w:lang w:val="en-US"/>
        </w:rPr>
        <w:t>Russia was the biggest trade export market for Lithuania (not counting the European Union as a whole)</w:t>
      </w:r>
      <w:r w:rsidR="00713656" w:rsidRPr="00A841D4">
        <w:rPr>
          <w:rFonts w:ascii="Times New Roman" w:hAnsi="Times New Roman" w:cs="Times New Roman"/>
          <w:lang w:val="en-US"/>
        </w:rPr>
        <w:t xml:space="preserve">, in 2013 it accounted for </w:t>
      </w:r>
      <w:r w:rsidRPr="00A841D4">
        <w:rPr>
          <w:rFonts w:ascii="Times New Roman" w:hAnsi="Times New Roman" w:cs="Times New Roman"/>
          <w:lang w:val="en-US"/>
        </w:rPr>
        <w:t>14%</w:t>
      </w:r>
      <w:r w:rsidR="00F976B7" w:rsidRPr="00A841D4">
        <w:rPr>
          <w:rFonts w:ascii="Times New Roman" w:hAnsi="Times New Roman" w:cs="Times New Roman"/>
          <w:lang w:val="en-US"/>
        </w:rPr>
        <w:t xml:space="preserve"> </w:t>
      </w:r>
      <w:r w:rsidR="00713656" w:rsidRPr="00A841D4">
        <w:rPr>
          <w:rFonts w:ascii="Times New Roman" w:hAnsi="Times New Roman" w:cs="Times New Roman"/>
          <w:lang w:val="en-US"/>
        </w:rPr>
        <w:t>of all Lithuania’s export</w:t>
      </w:r>
      <w:r w:rsidRPr="00A841D4">
        <w:rPr>
          <w:rFonts w:ascii="Times New Roman" w:hAnsi="Times New Roman" w:cs="Times New Roman"/>
          <w:lang w:val="en-US"/>
        </w:rPr>
        <w:t xml:space="preserve"> (also see Figure 2</w:t>
      </w:r>
      <w:r w:rsidR="007E5833" w:rsidRPr="00A841D4">
        <w:rPr>
          <w:rFonts w:ascii="Times New Roman" w:hAnsi="Times New Roman" w:cs="Times New Roman"/>
          <w:lang w:val="en-US"/>
        </w:rPr>
        <w:t xml:space="preserve"> above)</w:t>
      </w:r>
      <w:r w:rsidR="00866E21" w:rsidRPr="00A841D4">
        <w:rPr>
          <w:rFonts w:ascii="Times New Roman" w:hAnsi="Times New Roman" w:cs="Times New Roman"/>
          <w:lang w:val="en-US"/>
        </w:rPr>
        <w:t>.</w:t>
      </w:r>
      <w:r w:rsidR="00A841D4">
        <w:rPr>
          <w:rFonts w:ascii="Times New Roman" w:hAnsi="Times New Roman" w:cs="Times New Roman"/>
          <w:lang w:val="en-US"/>
        </w:rPr>
        <w:t xml:space="preserve"> </w:t>
      </w:r>
      <w:r w:rsidR="001E5AF8" w:rsidRPr="00A841D4">
        <w:rPr>
          <w:rFonts w:ascii="Times New Roman" w:hAnsi="Times New Roman" w:cs="Times New Roman"/>
          <w:lang w:val="en-US"/>
        </w:rPr>
        <w:t>Of all the EU members, Russian sanctions were expected to have the highest impact in Lithuania</w:t>
      </w:r>
      <w:r w:rsidR="00C654ED" w:rsidRPr="00A841D4">
        <w:rPr>
          <w:rFonts w:ascii="Times New Roman" w:hAnsi="Times New Roman" w:cs="Times New Roman"/>
          <w:lang w:val="en-US"/>
        </w:rPr>
        <w:t xml:space="preserve"> (</w:t>
      </w:r>
      <w:proofErr w:type="spellStart"/>
      <w:r w:rsidR="00C654ED" w:rsidRPr="00A841D4">
        <w:rPr>
          <w:rFonts w:ascii="Times New Roman" w:hAnsi="Times New Roman" w:cs="Times New Roman"/>
          <w:lang w:val="en-US"/>
        </w:rPr>
        <w:t>Kraatz</w:t>
      </w:r>
      <w:proofErr w:type="spellEnd"/>
      <w:r w:rsidR="00C654ED" w:rsidRPr="00A841D4">
        <w:rPr>
          <w:rFonts w:ascii="Times New Roman" w:hAnsi="Times New Roman" w:cs="Times New Roman"/>
          <w:lang w:val="en-US"/>
        </w:rPr>
        <w:t xml:space="preserve">, 2014; </w:t>
      </w:r>
      <w:proofErr w:type="spellStart"/>
      <w:r w:rsidR="00C654ED" w:rsidRPr="00A841D4">
        <w:rPr>
          <w:rFonts w:ascii="Times New Roman" w:hAnsi="Times New Roman" w:cs="Times New Roman"/>
          <w:lang w:val="en-US"/>
        </w:rPr>
        <w:t>Markovic</w:t>
      </w:r>
      <w:proofErr w:type="spellEnd"/>
      <w:r w:rsidR="00C654ED" w:rsidRPr="00A841D4">
        <w:rPr>
          <w:rFonts w:ascii="Times New Roman" w:hAnsi="Times New Roman" w:cs="Times New Roman"/>
          <w:lang w:val="en-US"/>
        </w:rPr>
        <w:t xml:space="preserve"> et al., 2014)</w:t>
      </w:r>
      <w:r w:rsidR="001E5AF8" w:rsidRPr="00A841D4">
        <w:rPr>
          <w:rFonts w:ascii="Times New Roman" w:hAnsi="Times New Roman" w:cs="Times New Roman"/>
          <w:lang w:val="en-US"/>
        </w:rPr>
        <w:t>. Lithuania had the highest value of exports subject to the ban in terms of abs</w:t>
      </w:r>
      <w:r w:rsidRPr="00A841D4">
        <w:rPr>
          <w:rFonts w:ascii="Times New Roman" w:hAnsi="Times New Roman" w:cs="Times New Roman"/>
          <w:lang w:val="en-US"/>
        </w:rPr>
        <w:t xml:space="preserve">olute value as well as a share </w:t>
      </w:r>
      <w:r w:rsidR="001E5AF8" w:rsidRPr="00A841D4">
        <w:rPr>
          <w:rFonts w:ascii="Times New Roman" w:hAnsi="Times New Roman" w:cs="Times New Roman"/>
          <w:lang w:val="en-US"/>
        </w:rPr>
        <w:t>of GDP – based on data from 2013, Lithuanian exports banned b</w:t>
      </w:r>
      <w:r w:rsidRPr="00A841D4">
        <w:rPr>
          <w:rFonts w:ascii="Times New Roman" w:hAnsi="Times New Roman" w:cs="Times New Roman"/>
          <w:lang w:val="en-US"/>
        </w:rPr>
        <w:t>y Russia amounted to 2.6%</w:t>
      </w:r>
      <w:r w:rsidR="001E5AF8" w:rsidRPr="00A841D4">
        <w:rPr>
          <w:rFonts w:ascii="Times New Roman" w:hAnsi="Times New Roman" w:cs="Times New Roman"/>
          <w:lang w:val="en-US"/>
        </w:rPr>
        <w:t xml:space="preserve"> of GDP, which was by far the highest value among all members, as the two other countries most affected by the ban – Estonia and Latvia – only had exports of 0.4 and 0.3 percent of GDP subject to the embargo (</w:t>
      </w:r>
      <w:proofErr w:type="spellStart"/>
      <w:r w:rsidR="001E5AF8" w:rsidRPr="00A841D4">
        <w:rPr>
          <w:rFonts w:ascii="Times New Roman" w:hAnsi="Times New Roman" w:cs="Times New Roman"/>
          <w:lang w:val="en-US"/>
        </w:rPr>
        <w:t>Kraatz</w:t>
      </w:r>
      <w:proofErr w:type="spellEnd"/>
      <w:r w:rsidR="001E5AF8" w:rsidRPr="00A841D4">
        <w:rPr>
          <w:rFonts w:ascii="Times New Roman" w:hAnsi="Times New Roman" w:cs="Times New Roman"/>
          <w:lang w:val="en-US"/>
        </w:rPr>
        <w:t>, 2014, p. 6).</w:t>
      </w:r>
    </w:p>
    <w:p w14:paraId="19DB3E12" w14:textId="77777777" w:rsidR="00866E21" w:rsidRPr="00A841D4" w:rsidRDefault="00866E21" w:rsidP="00E2205F">
      <w:pPr>
        <w:jc w:val="both"/>
        <w:rPr>
          <w:rFonts w:ascii="Times New Roman" w:hAnsi="Times New Roman" w:cs="Times New Roman"/>
          <w:lang w:val="en-US"/>
        </w:rPr>
      </w:pPr>
    </w:p>
    <w:p w14:paraId="25C10123" w14:textId="7BAA272F" w:rsidR="001C2E13" w:rsidRPr="00A841D4" w:rsidRDefault="00C654ED" w:rsidP="00E2205F">
      <w:pPr>
        <w:jc w:val="both"/>
        <w:rPr>
          <w:rFonts w:ascii="Times New Roman" w:hAnsi="Times New Roman" w:cs="Times New Roman"/>
          <w:lang w:val="en-US"/>
        </w:rPr>
      </w:pPr>
      <w:r w:rsidRPr="00A841D4">
        <w:rPr>
          <w:rFonts w:ascii="Times New Roman" w:hAnsi="Times New Roman" w:cs="Times New Roman"/>
          <w:lang w:val="en-US"/>
        </w:rPr>
        <w:t xml:space="preserve">All of this suggests that in both cases Lithuania might have been vulnerable to these two shocks. However, with the benefit of hindsight, it is more appropriate to characterize Lithuania’s position as one of sensitivity rather than vulnerability. To begin with, it is true that both Lithuania’s exports and overall economic activity took a big hit in 2009, one should pay attention to the fact that Lithuania also experienced a very robust </w:t>
      </w:r>
      <w:r w:rsidR="00133D37" w:rsidRPr="00A841D4">
        <w:rPr>
          <w:rFonts w:ascii="Times New Roman" w:hAnsi="Times New Roman" w:cs="Times New Roman"/>
          <w:lang w:val="en-US"/>
        </w:rPr>
        <w:t xml:space="preserve">and fast </w:t>
      </w:r>
      <w:r w:rsidRPr="00A841D4">
        <w:rPr>
          <w:rFonts w:ascii="Times New Roman" w:hAnsi="Times New Roman" w:cs="Times New Roman"/>
          <w:lang w:val="en-US"/>
        </w:rPr>
        <w:t xml:space="preserve">recovery in terms of both of these indicators. </w:t>
      </w:r>
      <w:r w:rsidR="000C082D" w:rsidRPr="00A841D4">
        <w:rPr>
          <w:rFonts w:ascii="Times New Roman" w:hAnsi="Times New Roman" w:cs="Times New Roman"/>
          <w:lang w:val="en-US"/>
        </w:rPr>
        <w:t xml:space="preserve">In 2010, exports increased by </w:t>
      </w:r>
      <w:r w:rsidR="00133D37" w:rsidRPr="00A841D4">
        <w:rPr>
          <w:rFonts w:ascii="Times New Roman" w:hAnsi="Times New Roman" w:cs="Times New Roman"/>
          <w:lang w:val="en-US"/>
        </w:rPr>
        <w:t>35.4%</w:t>
      </w:r>
      <w:r w:rsidR="000C082D" w:rsidRPr="00A841D4">
        <w:rPr>
          <w:rFonts w:ascii="Times New Roman" w:hAnsi="Times New Roman" w:cs="Times New Roman"/>
          <w:lang w:val="en-US"/>
        </w:rPr>
        <w:t xml:space="preserve"> (nearly reaching the 2008 level), and then further by </w:t>
      </w:r>
      <w:r w:rsidR="00133D37" w:rsidRPr="00A841D4">
        <w:rPr>
          <w:rFonts w:ascii="Times New Roman" w:hAnsi="Times New Roman" w:cs="Times New Roman"/>
          <w:lang w:val="en-US"/>
        </w:rPr>
        <w:t>26.7%</w:t>
      </w:r>
      <w:r w:rsidR="000C082D" w:rsidRPr="00A841D4">
        <w:rPr>
          <w:rFonts w:ascii="Times New Roman" w:hAnsi="Times New Roman" w:cs="Times New Roman"/>
          <w:lang w:val="en-US"/>
        </w:rPr>
        <w:t xml:space="preserve"> in 2011 and </w:t>
      </w:r>
      <w:r w:rsidR="00F976B7" w:rsidRPr="00A841D4">
        <w:rPr>
          <w:rFonts w:ascii="Times New Roman" w:hAnsi="Times New Roman" w:cs="Times New Roman"/>
          <w:lang w:val="en-US"/>
        </w:rPr>
        <w:t>15.2</w:t>
      </w:r>
      <w:r w:rsidR="00133D37" w:rsidRPr="00A841D4">
        <w:rPr>
          <w:rFonts w:ascii="Times New Roman" w:hAnsi="Times New Roman" w:cs="Times New Roman"/>
          <w:lang w:val="en-US"/>
        </w:rPr>
        <w:t>%</w:t>
      </w:r>
      <w:r w:rsidR="000C082D" w:rsidRPr="00A841D4">
        <w:rPr>
          <w:rFonts w:ascii="Times New Roman" w:hAnsi="Times New Roman" w:cs="Times New Roman"/>
          <w:lang w:val="en-US"/>
        </w:rPr>
        <w:t xml:space="preserve"> in 2012 </w:t>
      </w:r>
      <w:r w:rsidR="00133D37" w:rsidRPr="00A841D4">
        <w:rPr>
          <w:rFonts w:ascii="Times New Roman" w:hAnsi="Times New Roman" w:cs="Times New Roman"/>
          <w:lang w:val="en-US"/>
        </w:rPr>
        <w:t>(see Figure 5</w:t>
      </w:r>
      <w:r w:rsidR="00F65C03" w:rsidRPr="00A841D4">
        <w:rPr>
          <w:rFonts w:ascii="Times New Roman" w:hAnsi="Times New Roman" w:cs="Times New Roman"/>
          <w:lang w:val="en-US"/>
        </w:rPr>
        <w:t>)</w:t>
      </w:r>
      <w:r w:rsidR="000C082D" w:rsidRPr="00A841D4">
        <w:rPr>
          <w:rFonts w:ascii="Times New Roman" w:hAnsi="Times New Roman" w:cs="Times New Roman"/>
          <w:lang w:val="en-US"/>
        </w:rPr>
        <w:t xml:space="preserve">. By 2013, exports had more than doubled compared to the low point in 2009, and </w:t>
      </w:r>
      <w:r w:rsidR="00133D37" w:rsidRPr="00A841D4">
        <w:rPr>
          <w:rFonts w:ascii="Times New Roman" w:hAnsi="Times New Roman" w:cs="Times New Roman"/>
          <w:lang w:val="en-US"/>
        </w:rPr>
        <w:t>were also nearly</w:t>
      </w:r>
      <w:r w:rsidR="000C082D" w:rsidRPr="00A841D4">
        <w:rPr>
          <w:rFonts w:ascii="Times New Roman" w:hAnsi="Times New Roman" w:cs="Times New Roman"/>
          <w:lang w:val="en-US"/>
        </w:rPr>
        <w:t xml:space="preserve"> </w:t>
      </w:r>
      <w:r w:rsidR="00F976B7" w:rsidRPr="00A841D4">
        <w:rPr>
          <w:rFonts w:ascii="Times New Roman" w:hAnsi="Times New Roman" w:cs="Times New Roman"/>
          <w:lang w:val="en-US"/>
        </w:rPr>
        <w:t>57</w:t>
      </w:r>
      <w:r w:rsidR="00133D37" w:rsidRPr="00A841D4">
        <w:rPr>
          <w:rFonts w:ascii="Times New Roman" w:hAnsi="Times New Roman" w:cs="Times New Roman"/>
          <w:lang w:val="en-US"/>
        </w:rPr>
        <w:t>%</w:t>
      </w:r>
      <w:r w:rsidR="000C082D" w:rsidRPr="00A841D4">
        <w:rPr>
          <w:rFonts w:ascii="Times New Roman" w:hAnsi="Times New Roman" w:cs="Times New Roman"/>
          <w:lang w:val="en-US"/>
        </w:rPr>
        <w:t xml:space="preserve"> larger than the pre-crisis level (2008). </w:t>
      </w:r>
      <w:r w:rsidR="000773A0" w:rsidRPr="00A841D4">
        <w:rPr>
          <w:rFonts w:ascii="Times New Roman" w:hAnsi="Times New Roman" w:cs="Times New Roman"/>
          <w:lang w:val="en-US"/>
        </w:rPr>
        <w:t xml:space="preserve">Growth was visible across most destinations. During 2010-2013 Lithuanian exports grew to 148 destinations (11.42 EUR </w:t>
      </w:r>
      <w:proofErr w:type="spellStart"/>
      <w:r w:rsidR="000773A0" w:rsidRPr="00A841D4">
        <w:rPr>
          <w:rFonts w:ascii="Times New Roman" w:hAnsi="Times New Roman" w:cs="Times New Roman"/>
          <w:lang w:val="en-US"/>
        </w:rPr>
        <w:t>bln</w:t>
      </w:r>
      <w:proofErr w:type="spellEnd"/>
      <w:r w:rsidR="000773A0" w:rsidRPr="00A841D4">
        <w:rPr>
          <w:rFonts w:ascii="Times New Roman" w:hAnsi="Times New Roman" w:cs="Times New Roman"/>
          <w:lang w:val="en-US"/>
        </w:rPr>
        <w:t xml:space="preserve">) and fell in 52 (0.59 EUR </w:t>
      </w:r>
      <w:proofErr w:type="spellStart"/>
      <w:r w:rsidR="000773A0" w:rsidRPr="00A841D4">
        <w:rPr>
          <w:rFonts w:ascii="Times New Roman" w:hAnsi="Times New Roman" w:cs="Times New Roman"/>
          <w:lang w:val="en-US"/>
        </w:rPr>
        <w:t>bln</w:t>
      </w:r>
      <w:proofErr w:type="spellEnd"/>
      <w:r w:rsidR="000773A0" w:rsidRPr="00A841D4">
        <w:rPr>
          <w:rFonts w:ascii="Times New Roman" w:hAnsi="Times New Roman" w:cs="Times New Roman"/>
          <w:lang w:val="en-US"/>
        </w:rPr>
        <w:t>.)</w:t>
      </w:r>
      <w:r w:rsidR="00F65C03" w:rsidRPr="00A841D4">
        <w:rPr>
          <w:rFonts w:ascii="Times New Roman" w:hAnsi="Times New Roman" w:cs="Times New Roman"/>
          <w:lang w:val="en-US"/>
        </w:rPr>
        <w:t>.</w:t>
      </w:r>
      <w:r w:rsidR="000773A0" w:rsidRPr="00A841D4">
        <w:rPr>
          <w:rFonts w:ascii="Times New Roman" w:hAnsi="Times New Roman" w:cs="Times New Roman"/>
          <w:lang w:val="en-US"/>
        </w:rPr>
        <w:t xml:space="preserve"> </w:t>
      </w:r>
    </w:p>
    <w:p w14:paraId="7D588A9F" w14:textId="354CB04B" w:rsidR="001C2E13" w:rsidRPr="00A841D4" w:rsidRDefault="001C2E13" w:rsidP="00E2205F">
      <w:pPr>
        <w:jc w:val="both"/>
        <w:rPr>
          <w:rFonts w:ascii="Times New Roman" w:hAnsi="Times New Roman" w:cs="Times New Roman"/>
          <w:lang w:val="en-US"/>
        </w:rPr>
      </w:pPr>
      <w:r w:rsidRPr="00A841D4">
        <w:rPr>
          <w:rFonts w:ascii="Times New Roman" w:hAnsi="Times New Roman" w:cs="Times New Roman"/>
          <w:noProof/>
          <w:lang w:val="en-US"/>
        </w:rPr>
        <w:drawing>
          <wp:inline distT="0" distB="0" distL="0" distR="0" wp14:anchorId="1C212E00" wp14:editId="0B645C26">
            <wp:extent cx="5936615" cy="2880000"/>
            <wp:effectExtent l="0" t="0" r="6985" b="15875"/>
            <wp:docPr id="17" name="Chart 1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DB4867F-1FD4-43F1-A20F-1771ED9261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F72E3C" w14:textId="60DBE1C6" w:rsidR="001C2E13" w:rsidRPr="00A841D4" w:rsidRDefault="00133D37" w:rsidP="00E2205F">
      <w:pPr>
        <w:jc w:val="both"/>
        <w:rPr>
          <w:rFonts w:ascii="Times New Roman" w:hAnsi="Times New Roman" w:cs="Times New Roman"/>
          <w:lang w:val="en-US"/>
        </w:rPr>
      </w:pPr>
      <w:r w:rsidRPr="00A841D4">
        <w:rPr>
          <w:rFonts w:ascii="Times New Roman" w:hAnsi="Times New Roman" w:cs="Times New Roman"/>
          <w:lang w:val="en-US"/>
        </w:rPr>
        <w:t>Figure 5</w:t>
      </w:r>
      <w:r w:rsidR="001C2E13" w:rsidRPr="00A841D4">
        <w:rPr>
          <w:rFonts w:ascii="Times New Roman" w:hAnsi="Times New Roman" w:cs="Times New Roman"/>
          <w:lang w:val="en-US"/>
        </w:rPr>
        <w:t xml:space="preserve">, </w:t>
      </w:r>
      <w:r w:rsidR="001C2E13" w:rsidRPr="00A841D4">
        <w:rPr>
          <w:rFonts w:ascii="Times New Roman" w:hAnsi="Times New Roman" w:cs="Times New Roman"/>
          <w:i/>
          <w:lang w:val="en-US"/>
        </w:rPr>
        <w:t xml:space="preserve">Lithuanian exports (EUR </w:t>
      </w:r>
      <w:proofErr w:type="spellStart"/>
      <w:r w:rsidR="001C2E13" w:rsidRPr="00A841D4">
        <w:rPr>
          <w:rFonts w:ascii="Times New Roman" w:hAnsi="Times New Roman" w:cs="Times New Roman"/>
          <w:i/>
          <w:lang w:val="en-US"/>
        </w:rPr>
        <w:t>bil</w:t>
      </w:r>
      <w:proofErr w:type="spellEnd"/>
      <w:r w:rsidR="001C2E13" w:rsidRPr="00A841D4">
        <w:rPr>
          <w:rFonts w:ascii="Times New Roman" w:hAnsi="Times New Roman" w:cs="Times New Roman"/>
          <w:i/>
          <w:lang w:val="en-US"/>
        </w:rPr>
        <w:t xml:space="preserve">, 2006-2017). </w:t>
      </w:r>
      <w:proofErr w:type="spellStart"/>
      <w:r w:rsidR="001C2E13" w:rsidRPr="00A841D4">
        <w:rPr>
          <w:rFonts w:ascii="Times New Roman" w:hAnsi="Times New Roman" w:cs="Times New Roman"/>
          <w:i/>
          <w:lang w:val="en-US"/>
        </w:rPr>
        <w:t>Trademap</w:t>
      </w:r>
      <w:proofErr w:type="spellEnd"/>
      <w:r w:rsidR="001C2E13" w:rsidRPr="00A841D4">
        <w:rPr>
          <w:rFonts w:ascii="Times New Roman" w:hAnsi="Times New Roman" w:cs="Times New Roman"/>
          <w:i/>
          <w:lang w:val="en-US"/>
        </w:rPr>
        <w:t>, authors calculations (products and services).</w:t>
      </w:r>
    </w:p>
    <w:p w14:paraId="5A13FFE4" w14:textId="77777777" w:rsidR="001C2E13" w:rsidRPr="00A841D4" w:rsidRDefault="001C2E13" w:rsidP="00E2205F">
      <w:pPr>
        <w:jc w:val="both"/>
        <w:rPr>
          <w:rFonts w:ascii="Times New Roman" w:hAnsi="Times New Roman" w:cs="Times New Roman"/>
          <w:lang w:val="en-US"/>
        </w:rPr>
      </w:pPr>
    </w:p>
    <w:p w14:paraId="3097BF14" w14:textId="69527E34" w:rsidR="00F976B7" w:rsidRPr="00A841D4" w:rsidRDefault="00F976B7" w:rsidP="00E2205F">
      <w:pPr>
        <w:jc w:val="both"/>
        <w:rPr>
          <w:rFonts w:ascii="Times New Roman" w:hAnsi="Times New Roman" w:cs="Times New Roman"/>
          <w:lang w:val="en-US"/>
        </w:rPr>
      </w:pPr>
      <w:r w:rsidRPr="00A841D4">
        <w:rPr>
          <w:rFonts w:ascii="Times New Roman" w:hAnsi="Times New Roman" w:cs="Times New Roman"/>
          <w:lang w:val="en-US"/>
        </w:rPr>
        <w:lastRenderedPageBreak/>
        <w:t xml:space="preserve">The situation was similar in </w:t>
      </w:r>
      <w:r w:rsidR="00133D37" w:rsidRPr="00A841D4">
        <w:rPr>
          <w:rFonts w:ascii="Times New Roman" w:hAnsi="Times New Roman" w:cs="Times New Roman"/>
          <w:lang w:val="en-US"/>
        </w:rPr>
        <w:t xml:space="preserve">terms of Lithuania’s </w:t>
      </w:r>
      <w:r w:rsidRPr="00A841D4">
        <w:rPr>
          <w:rFonts w:ascii="Times New Roman" w:hAnsi="Times New Roman" w:cs="Times New Roman"/>
          <w:lang w:val="en-US"/>
        </w:rPr>
        <w:t>imports. In</w:t>
      </w:r>
      <w:r w:rsidR="00133D37" w:rsidRPr="00A841D4">
        <w:rPr>
          <w:rFonts w:ascii="Times New Roman" w:hAnsi="Times New Roman" w:cs="Times New Roman"/>
          <w:lang w:val="en-US"/>
        </w:rPr>
        <w:t xml:space="preserve"> 2009, Lithuanian imports contrac</w:t>
      </w:r>
      <w:r w:rsidRPr="00A841D4">
        <w:rPr>
          <w:rFonts w:ascii="Times New Roman" w:hAnsi="Times New Roman" w:cs="Times New Roman"/>
          <w:lang w:val="en-US"/>
        </w:rPr>
        <w:t>ted by 37.2</w:t>
      </w:r>
      <w:r w:rsidR="00133D37" w:rsidRPr="00A841D4">
        <w:rPr>
          <w:rFonts w:ascii="Times New Roman" w:hAnsi="Times New Roman" w:cs="Times New Roman"/>
          <w:lang w:val="en-US"/>
        </w:rPr>
        <w:t>%</w:t>
      </w:r>
      <w:r w:rsidRPr="00A841D4">
        <w:rPr>
          <w:rFonts w:ascii="Times New Roman" w:hAnsi="Times New Roman" w:cs="Times New Roman"/>
          <w:lang w:val="en-US"/>
        </w:rPr>
        <w:t>. Then in 2010 i</w:t>
      </w:r>
      <w:r w:rsidR="00133D37" w:rsidRPr="00A841D4">
        <w:rPr>
          <w:rFonts w:ascii="Times New Roman" w:hAnsi="Times New Roman" w:cs="Times New Roman"/>
          <w:lang w:val="en-US"/>
        </w:rPr>
        <w:t>mports increased by 34.4%</w:t>
      </w:r>
      <w:r w:rsidRPr="00A841D4">
        <w:rPr>
          <w:rFonts w:ascii="Times New Roman" w:hAnsi="Times New Roman" w:cs="Times New Roman"/>
          <w:lang w:val="en-US"/>
        </w:rPr>
        <w:t xml:space="preserve"> and by the end of 2013 were 28</w:t>
      </w:r>
      <w:r w:rsidR="00133D37" w:rsidRPr="00A841D4">
        <w:rPr>
          <w:rFonts w:ascii="Times New Roman" w:hAnsi="Times New Roman" w:cs="Times New Roman"/>
          <w:lang w:val="en-US"/>
        </w:rPr>
        <w:t>%</w:t>
      </w:r>
      <w:r w:rsidRPr="00A841D4">
        <w:rPr>
          <w:rFonts w:ascii="Times New Roman" w:hAnsi="Times New Roman" w:cs="Times New Roman"/>
          <w:lang w:val="en-US"/>
        </w:rPr>
        <w:t xml:space="preserve"> larger compared with pre-crisis level. </w:t>
      </w:r>
    </w:p>
    <w:p w14:paraId="062ACEDF" w14:textId="5BC35B8A" w:rsidR="001C2E13" w:rsidRPr="00A841D4" w:rsidRDefault="001C2E13" w:rsidP="00E2205F">
      <w:pPr>
        <w:jc w:val="both"/>
        <w:rPr>
          <w:rFonts w:ascii="Times New Roman" w:hAnsi="Times New Roman" w:cs="Times New Roman"/>
          <w:lang w:val="en-US"/>
        </w:rPr>
      </w:pPr>
      <w:r w:rsidRPr="00A841D4">
        <w:rPr>
          <w:rFonts w:ascii="Times New Roman" w:hAnsi="Times New Roman" w:cs="Times New Roman"/>
          <w:noProof/>
          <w:lang w:val="en-US"/>
        </w:rPr>
        <w:drawing>
          <wp:inline distT="0" distB="0" distL="0" distR="0" wp14:anchorId="7AA40C97" wp14:editId="27A1BF56">
            <wp:extent cx="5936615" cy="2879725"/>
            <wp:effectExtent l="0" t="0" r="6985" b="15875"/>
            <wp:docPr id="22" name="Chart 2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3B777CA-5978-4C34-AD6C-C527B3AD95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EA2509" w14:textId="0F24D8F0" w:rsidR="001C2E13" w:rsidRPr="00A841D4" w:rsidRDefault="001C2E13" w:rsidP="00E2205F">
      <w:pPr>
        <w:jc w:val="both"/>
        <w:rPr>
          <w:rFonts w:ascii="Times New Roman" w:hAnsi="Times New Roman" w:cs="Times New Roman"/>
          <w:lang w:val="en-US"/>
        </w:rPr>
      </w:pPr>
      <w:r w:rsidRPr="00A841D4">
        <w:rPr>
          <w:rFonts w:ascii="Times New Roman" w:hAnsi="Times New Roman" w:cs="Times New Roman"/>
          <w:lang w:val="en-US"/>
        </w:rPr>
        <w:t xml:space="preserve">Figure </w:t>
      </w:r>
      <w:r w:rsidR="00133D37" w:rsidRPr="00A841D4">
        <w:rPr>
          <w:rFonts w:ascii="Times New Roman" w:hAnsi="Times New Roman" w:cs="Times New Roman"/>
          <w:lang w:val="en-US"/>
        </w:rPr>
        <w:t>6</w:t>
      </w:r>
      <w:r w:rsidRPr="00A841D4">
        <w:rPr>
          <w:rFonts w:ascii="Times New Roman" w:hAnsi="Times New Roman" w:cs="Times New Roman"/>
          <w:lang w:val="en-US"/>
        </w:rPr>
        <w:t xml:space="preserve">, </w:t>
      </w:r>
      <w:r w:rsidRPr="00A841D4">
        <w:rPr>
          <w:rFonts w:ascii="Times New Roman" w:hAnsi="Times New Roman" w:cs="Times New Roman"/>
          <w:i/>
          <w:lang w:val="en-US"/>
        </w:rPr>
        <w:t xml:space="preserve">Lithuanian imports (EUR </w:t>
      </w:r>
      <w:proofErr w:type="spellStart"/>
      <w:r w:rsidRPr="00A841D4">
        <w:rPr>
          <w:rFonts w:ascii="Times New Roman" w:hAnsi="Times New Roman" w:cs="Times New Roman"/>
          <w:i/>
          <w:lang w:val="en-US"/>
        </w:rPr>
        <w:t>bil</w:t>
      </w:r>
      <w:proofErr w:type="spellEnd"/>
      <w:r w:rsidRPr="00A841D4">
        <w:rPr>
          <w:rFonts w:ascii="Times New Roman" w:hAnsi="Times New Roman" w:cs="Times New Roman"/>
          <w:i/>
          <w:lang w:val="en-US"/>
        </w:rPr>
        <w:t xml:space="preserve">, 2006-2017). </w:t>
      </w:r>
      <w:proofErr w:type="spellStart"/>
      <w:r w:rsidRPr="00A841D4">
        <w:rPr>
          <w:rFonts w:ascii="Times New Roman" w:hAnsi="Times New Roman" w:cs="Times New Roman"/>
          <w:i/>
          <w:lang w:val="en-US"/>
        </w:rPr>
        <w:t>Trademap</w:t>
      </w:r>
      <w:proofErr w:type="spellEnd"/>
      <w:r w:rsidRPr="00A841D4">
        <w:rPr>
          <w:rFonts w:ascii="Times New Roman" w:hAnsi="Times New Roman" w:cs="Times New Roman"/>
          <w:i/>
          <w:lang w:val="en-US"/>
        </w:rPr>
        <w:t>, authors calculations (products and services).</w:t>
      </w:r>
    </w:p>
    <w:p w14:paraId="709BAD39" w14:textId="77777777" w:rsidR="001C2E13" w:rsidRPr="00A841D4" w:rsidRDefault="001C2E13" w:rsidP="00E2205F">
      <w:pPr>
        <w:jc w:val="both"/>
        <w:rPr>
          <w:rFonts w:ascii="Times New Roman" w:hAnsi="Times New Roman" w:cs="Times New Roman"/>
          <w:lang w:val="en-US"/>
        </w:rPr>
      </w:pPr>
    </w:p>
    <w:p w14:paraId="6A290703" w14:textId="1E32A971" w:rsidR="00EA521B" w:rsidRPr="00A841D4" w:rsidRDefault="00EA521B" w:rsidP="00E2205F">
      <w:pPr>
        <w:jc w:val="both"/>
        <w:rPr>
          <w:rFonts w:ascii="Times New Roman" w:hAnsi="Times New Roman" w:cs="Times New Roman"/>
          <w:lang w:val="en-US"/>
        </w:rPr>
      </w:pPr>
      <w:bookmarkStart w:id="1" w:name="_Hlk7778849"/>
      <w:r w:rsidRPr="00A841D4">
        <w:rPr>
          <w:rFonts w:ascii="Times New Roman" w:hAnsi="Times New Roman" w:cs="Times New Roman"/>
          <w:lang w:val="en-US"/>
        </w:rPr>
        <w:t>This surge in exports and import effectively changed Lithuanian economy landscape. During this time trade as percentage of GDP increased from 105.56</w:t>
      </w:r>
      <w:r w:rsidR="00133D37" w:rsidRPr="00A841D4">
        <w:rPr>
          <w:rFonts w:ascii="Times New Roman" w:hAnsi="Times New Roman" w:cs="Times New Roman"/>
          <w:lang w:val="en-US"/>
        </w:rPr>
        <w:t>%</w:t>
      </w:r>
      <w:r w:rsidRPr="00A841D4">
        <w:rPr>
          <w:rFonts w:ascii="Times New Roman" w:hAnsi="Times New Roman" w:cs="Times New Roman"/>
          <w:lang w:val="en-US"/>
        </w:rPr>
        <w:t>, by trade openness 48</w:t>
      </w:r>
      <w:r w:rsidRPr="00A841D4">
        <w:rPr>
          <w:rFonts w:ascii="Times New Roman" w:hAnsi="Times New Roman" w:cs="Times New Roman"/>
          <w:vertAlign w:val="superscript"/>
          <w:lang w:val="en-US"/>
        </w:rPr>
        <w:t>th</w:t>
      </w:r>
      <w:r w:rsidRPr="00A841D4">
        <w:rPr>
          <w:rFonts w:ascii="Times New Roman" w:hAnsi="Times New Roman" w:cs="Times New Roman"/>
          <w:lang w:val="en-US"/>
        </w:rPr>
        <w:t xml:space="preserve"> position globally in 2009, to 166.13</w:t>
      </w:r>
      <w:r w:rsidR="00133D37" w:rsidRPr="00A841D4">
        <w:rPr>
          <w:rFonts w:ascii="Times New Roman" w:hAnsi="Times New Roman" w:cs="Times New Roman"/>
          <w:lang w:val="en-US"/>
        </w:rPr>
        <w:t>%</w:t>
      </w:r>
      <w:r w:rsidRPr="00A841D4">
        <w:rPr>
          <w:rFonts w:ascii="Times New Roman" w:hAnsi="Times New Roman" w:cs="Times New Roman"/>
          <w:lang w:val="en-US"/>
        </w:rPr>
        <w:t>, by trade openness 11</w:t>
      </w:r>
      <w:r w:rsidRPr="00A841D4">
        <w:rPr>
          <w:rFonts w:ascii="Times New Roman" w:hAnsi="Times New Roman" w:cs="Times New Roman"/>
          <w:vertAlign w:val="superscript"/>
          <w:lang w:val="en-US"/>
        </w:rPr>
        <w:t>th</w:t>
      </w:r>
      <w:r w:rsidRPr="00A841D4">
        <w:rPr>
          <w:rFonts w:ascii="Times New Roman" w:hAnsi="Times New Roman" w:cs="Times New Roman"/>
          <w:lang w:val="en-US"/>
        </w:rPr>
        <w:t xml:space="preserve"> position globally in 2013 (World Bank). This in turn meant that in just 4 years Lithuania became one the most open economies globally.</w:t>
      </w:r>
    </w:p>
    <w:bookmarkEnd w:id="1"/>
    <w:p w14:paraId="1B371184" w14:textId="77777777" w:rsidR="001C2E13" w:rsidRPr="00A841D4" w:rsidRDefault="001C2E13" w:rsidP="00E2205F">
      <w:pPr>
        <w:jc w:val="both"/>
        <w:rPr>
          <w:rFonts w:ascii="Times New Roman" w:hAnsi="Times New Roman" w:cs="Times New Roman"/>
          <w:lang w:val="en-US"/>
        </w:rPr>
      </w:pPr>
    </w:p>
    <w:p w14:paraId="587A051E" w14:textId="57E4E5D2" w:rsidR="00F65C03" w:rsidRPr="00A841D4" w:rsidRDefault="000C082D" w:rsidP="00E2205F">
      <w:pPr>
        <w:jc w:val="both"/>
        <w:rPr>
          <w:rFonts w:ascii="Times New Roman" w:hAnsi="Times New Roman" w:cs="Times New Roman"/>
          <w:lang w:val="en-US"/>
        </w:rPr>
      </w:pPr>
      <w:r w:rsidRPr="00A841D4">
        <w:rPr>
          <w:rFonts w:ascii="Times New Roman" w:hAnsi="Times New Roman" w:cs="Times New Roman"/>
          <w:lang w:val="en-US"/>
        </w:rPr>
        <w:t>The recovery in foreign demand helped the country’s economy to rebound from the crisis – it was a crucial development given the collapse of domestic demand and the pre-crisis economic overheating. Lithuania</w:t>
      </w:r>
      <w:r w:rsidR="005B318C" w:rsidRPr="00A841D4">
        <w:rPr>
          <w:rFonts w:ascii="Times New Roman" w:hAnsi="Times New Roman" w:cs="Times New Roman"/>
          <w:lang w:val="en-US"/>
        </w:rPr>
        <w:t>n</w:t>
      </w:r>
      <w:r w:rsidRPr="00A841D4">
        <w:rPr>
          <w:rFonts w:ascii="Times New Roman" w:hAnsi="Times New Roman" w:cs="Times New Roman"/>
          <w:lang w:val="en-US"/>
        </w:rPr>
        <w:t xml:space="preserve"> real GDP </w:t>
      </w:r>
      <w:r w:rsidR="00133D37" w:rsidRPr="00A841D4">
        <w:rPr>
          <w:rFonts w:ascii="Times New Roman" w:hAnsi="Times New Roman" w:cs="Times New Roman"/>
          <w:lang w:val="en-US"/>
        </w:rPr>
        <w:t>only increased by 1.6%</w:t>
      </w:r>
      <w:r w:rsidRPr="00A841D4">
        <w:rPr>
          <w:rFonts w:ascii="Times New Roman" w:hAnsi="Times New Roman" w:cs="Times New Roman"/>
          <w:lang w:val="en-US"/>
        </w:rPr>
        <w:t xml:space="preserve"> in 2010, but then expand</w:t>
      </w:r>
      <w:r w:rsidR="00133D37" w:rsidRPr="00A841D4">
        <w:rPr>
          <w:rFonts w:ascii="Times New Roman" w:hAnsi="Times New Roman" w:cs="Times New Roman"/>
          <w:lang w:val="en-US"/>
        </w:rPr>
        <w:t>ed by 6%</w:t>
      </w:r>
      <w:r w:rsidRPr="00A841D4">
        <w:rPr>
          <w:rFonts w:ascii="Times New Roman" w:hAnsi="Times New Roman" w:cs="Times New Roman"/>
          <w:lang w:val="en-US"/>
        </w:rPr>
        <w:t xml:space="preserve"> in 2011, 3.8</w:t>
      </w:r>
      <w:r w:rsidR="00133D37" w:rsidRPr="00A841D4">
        <w:rPr>
          <w:rFonts w:ascii="Times New Roman" w:hAnsi="Times New Roman" w:cs="Times New Roman"/>
          <w:lang w:val="en-US"/>
        </w:rPr>
        <w:t>% in 2012, and 3.5%</w:t>
      </w:r>
      <w:r w:rsidRPr="00A841D4">
        <w:rPr>
          <w:rFonts w:ascii="Times New Roman" w:hAnsi="Times New Roman" w:cs="Times New Roman"/>
          <w:lang w:val="en-US"/>
        </w:rPr>
        <w:t xml:space="preserve"> in 2013. Lithuanian economy was among the fastest growing ones in the EU in the post-crisis period. Its numbers look even more impressive on a per capita basis: in 2010, 2011 and 2012 and 2013 it grew by 3.8</w:t>
      </w:r>
      <w:r w:rsidR="00133D37" w:rsidRPr="00A841D4">
        <w:rPr>
          <w:rFonts w:ascii="Times New Roman" w:hAnsi="Times New Roman" w:cs="Times New Roman"/>
          <w:lang w:val="en-US"/>
        </w:rPr>
        <w:t>%</w:t>
      </w:r>
      <w:r w:rsidRPr="00A841D4">
        <w:rPr>
          <w:rFonts w:ascii="Times New Roman" w:hAnsi="Times New Roman" w:cs="Times New Roman"/>
          <w:lang w:val="en-US"/>
        </w:rPr>
        <w:t>, 8.5</w:t>
      </w:r>
      <w:r w:rsidR="00133D37" w:rsidRPr="00A841D4">
        <w:rPr>
          <w:rFonts w:ascii="Times New Roman" w:hAnsi="Times New Roman" w:cs="Times New Roman"/>
          <w:lang w:val="en-US"/>
        </w:rPr>
        <w:t>%</w:t>
      </w:r>
      <w:r w:rsidRPr="00A841D4">
        <w:rPr>
          <w:rFonts w:ascii="Times New Roman" w:hAnsi="Times New Roman" w:cs="Times New Roman"/>
          <w:lang w:val="en-US"/>
        </w:rPr>
        <w:t>, 5.2</w:t>
      </w:r>
      <w:r w:rsidR="00133D37" w:rsidRPr="00A841D4">
        <w:rPr>
          <w:rFonts w:ascii="Times New Roman" w:hAnsi="Times New Roman" w:cs="Times New Roman"/>
          <w:lang w:val="en-US"/>
        </w:rPr>
        <w:t>%</w:t>
      </w:r>
      <w:r w:rsidRPr="00A841D4">
        <w:rPr>
          <w:rFonts w:ascii="Times New Roman" w:hAnsi="Times New Roman" w:cs="Times New Roman"/>
          <w:lang w:val="en-US"/>
        </w:rPr>
        <w:t>, and 4.6</w:t>
      </w:r>
      <w:r w:rsidR="00133D37" w:rsidRPr="00A841D4">
        <w:rPr>
          <w:rFonts w:ascii="Times New Roman" w:hAnsi="Times New Roman" w:cs="Times New Roman"/>
          <w:lang w:val="en-US"/>
        </w:rPr>
        <w:t>%</w:t>
      </w:r>
      <w:r w:rsidRPr="00A841D4">
        <w:rPr>
          <w:rFonts w:ascii="Times New Roman" w:hAnsi="Times New Roman" w:cs="Times New Roman"/>
          <w:lang w:val="en-US"/>
        </w:rPr>
        <w:t xml:space="preserve"> respectively. </w:t>
      </w:r>
    </w:p>
    <w:p w14:paraId="5012BAA5" w14:textId="3BD83EB0" w:rsidR="00F65C03" w:rsidRPr="00A841D4" w:rsidRDefault="001C2E13" w:rsidP="00E2205F">
      <w:pPr>
        <w:jc w:val="both"/>
        <w:rPr>
          <w:rFonts w:ascii="Times New Roman" w:hAnsi="Times New Roman" w:cs="Times New Roman"/>
          <w:lang w:val="en-US"/>
        </w:rPr>
      </w:pPr>
      <w:r w:rsidRPr="00A841D4">
        <w:rPr>
          <w:rFonts w:ascii="Times New Roman" w:hAnsi="Times New Roman" w:cs="Times New Roman"/>
          <w:noProof/>
          <w:lang w:val="en-US"/>
        </w:rPr>
        <w:drawing>
          <wp:inline distT="0" distB="0" distL="0" distR="0" wp14:anchorId="25BD6CAA" wp14:editId="1349C8AF">
            <wp:extent cx="5936615" cy="2880000"/>
            <wp:effectExtent l="0" t="0" r="6985" b="15875"/>
            <wp:docPr id="18" name="Chart 1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23CCB3E-2D9E-4A75-806D-296B8571F0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C7BA4A" w14:textId="0DE9786D" w:rsidR="00F65C03" w:rsidRPr="00A841D4" w:rsidRDefault="00F65C03" w:rsidP="00E2205F">
      <w:pPr>
        <w:jc w:val="both"/>
        <w:rPr>
          <w:rFonts w:ascii="Times New Roman" w:hAnsi="Times New Roman" w:cs="Times New Roman"/>
          <w:lang w:val="en-US"/>
        </w:rPr>
      </w:pPr>
      <w:r w:rsidRPr="00A841D4">
        <w:rPr>
          <w:rFonts w:ascii="Times New Roman" w:hAnsi="Times New Roman" w:cs="Times New Roman"/>
          <w:lang w:val="en-US"/>
        </w:rPr>
        <w:t>Figur</w:t>
      </w:r>
      <w:r w:rsidR="001C2E13" w:rsidRPr="00A841D4">
        <w:rPr>
          <w:rFonts w:ascii="Times New Roman" w:hAnsi="Times New Roman" w:cs="Times New Roman"/>
          <w:lang w:val="en-US"/>
        </w:rPr>
        <w:t xml:space="preserve">e </w:t>
      </w:r>
      <w:r w:rsidR="00133D37" w:rsidRPr="00A841D4">
        <w:rPr>
          <w:rFonts w:ascii="Times New Roman" w:hAnsi="Times New Roman" w:cs="Times New Roman"/>
          <w:lang w:val="en-US"/>
        </w:rPr>
        <w:t>7</w:t>
      </w:r>
      <w:r w:rsidR="001C2E13" w:rsidRPr="00A841D4">
        <w:rPr>
          <w:rFonts w:ascii="Times New Roman" w:hAnsi="Times New Roman" w:cs="Times New Roman"/>
          <w:lang w:val="en-US"/>
        </w:rPr>
        <w:t>,</w:t>
      </w:r>
      <w:r w:rsidRPr="00A841D4">
        <w:rPr>
          <w:rFonts w:ascii="Times New Roman" w:hAnsi="Times New Roman" w:cs="Times New Roman"/>
          <w:lang w:val="en-US"/>
        </w:rPr>
        <w:t xml:space="preserve"> </w:t>
      </w:r>
      <w:r w:rsidR="001C2E13" w:rsidRPr="00A841D4">
        <w:rPr>
          <w:rFonts w:ascii="Times New Roman" w:hAnsi="Times New Roman" w:cs="Times New Roman"/>
          <w:i/>
          <w:lang w:val="en-US"/>
        </w:rPr>
        <w:t>Lithuanian real GDP growth and unemployment rate (percentage, 2008- 2018)</w:t>
      </w:r>
      <w:r w:rsidRPr="00A841D4">
        <w:rPr>
          <w:rFonts w:ascii="Times New Roman" w:hAnsi="Times New Roman" w:cs="Times New Roman"/>
          <w:i/>
          <w:lang w:val="en-US"/>
        </w:rPr>
        <w:t xml:space="preserve">. </w:t>
      </w:r>
      <w:r w:rsidR="001C2E13" w:rsidRPr="00A841D4">
        <w:rPr>
          <w:rFonts w:ascii="Times New Roman" w:hAnsi="Times New Roman" w:cs="Times New Roman"/>
          <w:i/>
          <w:lang w:val="en-US"/>
        </w:rPr>
        <w:t>Lithuanian statistics department</w:t>
      </w:r>
      <w:r w:rsidRPr="00A841D4">
        <w:rPr>
          <w:rFonts w:ascii="Times New Roman" w:hAnsi="Times New Roman" w:cs="Times New Roman"/>
          <w:i/>
          <w:lang w:val="en-US"/>
        </w:rPr>
        <w:t>.</w:t>
      </w:r>
    </w:p>
    <w:p w14:paraId="5399827E" w14:textId="6E426B0B" w:rsidR="00F65C03" w:rsidRPr="00A841D4" w:rsidRDefault="00F65C03" w:rsidP="00E2205F">
      <w:pPr>
        <w:jc w:val="both"/>
        <w:rPr>
          <w:rFonts w:ascii="Times New Roman" w:hAnsi="Times New Roman" w:cs="Times New Roman"/>
          <w:i/>
          <w:lang w:val="en-US"/>
        </w:rPr>
      </w:pPr>
    </w:p>
    <w:p w14:paraId="04995B10" w14:textId="5C52083C" w:rsidR="00035C39" w:rsidRPr="00A841D4" w:rsidRDefault="00035C39" w:rsidP="00E2205F">
      <w:pPr>
        <w:jc w:val="both"/>
        <w:rPr>
          <w:rFonts w:ascii="Times New Roman" w:hAnsi="Times New Roman" w:cs="Times New Roman"/>
          <w:lang w:val="en-US"/>
        </w:rPr>
      </w:pPr>
    </w:p>
    <w:p w14:paraId="673C40AB" w14:textId="581569BC" w:rsidR="00F65C03" w:rsidRPr="00A841D4" w:rsidRDefault="00035C39" w:rsidP="00E2205F">
      <w:pPr>
        <w:jc w:val="both"/>
        <w:rPr>
          <w:rFonts w:ascii="Times New Roman" w:hAnsi="Times New Roman" w:cs="Times New Roman"/>
          <w:lang w:val="en-US"/>
        </w:rPr>
      </w:pPr>
      <w:r w:rsidRPr="00A841D4">
        <w:rPr>
          <w:rFonts w:ascii="Times New Roman" w:hAnsi="Times New Roman" w:cs="Times New Roman"/>
          <w:lang w:val="en-US"/>
        </w:rPr>
        <w:t xml:space="preserve">As for the impact of the Russian embargo, its effect was relatively minor in terms of aggregate economic welfare. </w:t>
      </w:r>
      <w:r w:rsidR="00713656" w:rsidRPr="00A841D4">
        <w:rPr>
          <w:rFonts w:ascii="Times New Roman" w:hAnsi="Times New Roman" w:cs="Times New Roman"/>
          <w:lang w:val="en-US"/>
        </w:rPr>
        <w:t>Estimates put it at 0.81% GDP growth lost in 2014 and additional 1% in 2015</w:t>
      </w:r>
      <w:r w:rsidR="00F516B3" w:rsidRPr="00A841D4">
        <w:rPr>
          <w:rFonts w:ascii="Times New Roman" w:hAnsi="Times New Roman" w:cs="Times New Roman"/>
          <w:lang w:val="en-US"/>
        </w:rPr>
        <w:t xml:space="preserve"> (</w:t>
      </w:r>
      <w:proofErr w:type="spellStart"/>
      <w:r w:rsidR="00F516B3" w:rsidRPr="00A841D4">
        <w:rPr>
          <w:rFonts w:ascii="Times New Roman" w:hAnsi="Times New Roman" w:cs="Times New Roman"/>
          <w:lang w:val="en-US"/>
        </w:rPr>
        <w:t>Maricas</w:t>
      </w:r>
      <w:proofErr w:type="spellEnd"/>
      <w:r w:rsidR="00F516B3" w:rsidRPr="00A841D4">
        <w:rPr>
          <w:rFonts w:ascii="Times New Roman" w:hAnsi="Times New Roman" w:cs="Times New Roman"/>
          <w:lang w:val="en-US"/>
        </w:rPr>
        <w:t xml:space="preserve">, 2015 and </w:t>
      </w:r>
      <w:r w:rsidR="00915D08" w:rsidRPr="00A841D4">
        <w:rPr>
          <w:rFonts w:ascii="Times New Roman" w:hAnsi="Times New Roman" w:cs="Times New Roman"/>
          <w:lang w:val="en-US"/>
        </w:rPr>
        <w:t>LRT</w:t>
      </w:r>
      <w:r w:rsidR="00F516B3" w:rsidRPr="00A841D4">
        <w:rPr>
          <w:rFonts w:ascii="Times New Roman" w:hAnsi="Times New Roman" w:cs="Times New Roman"/>
          <w:lang w:val="en-US"/>
        </w:rPr>
        <w:t>, 2016)</w:t>
      </w:r>
      <w:r w:rsidR="00713656" w:rsidRPr="00A841D4">
        <w:rPr>
          <w:rFonts w:ascii="Times New Roman" w:hAnsi="Times New Roman" w:cs="Times New Roman"/>
          <w:lang w:val="en-US"/>
        </w:rPr>
        <w:t>. Despite this Lithuanian economy still grew by 3.5% in 2014 and by 2% in 2015</w:t>
      </w:r>
      <w:r w:rsidR="00F516B3" w:rsidRPr="00A841D4">
        <w:rPr>
          <w:rFonts w:ascii="Times New Roman" w:hAnsi="Times New Roman" w:cs="Times New Roman"/>
          <w:lang w:val="en-US"/>
        </w:rPr>
        <w:t xml:space="preserve"> (Lithuanian statistics department)</w:t>
      </w:r>
      <w:r w:rsidR="00713656" w:rsidRPr="00A841D4">
        <w:rPr>
          <w:rFonts w:ascii="Times New Roman" w:hAnsi="Times New Roman" w:cs="Times New Roman"/>
          <w:lang w:val="en-US"/>
        </w:rPr>
        <w:t>.</w:t>
      </w:r>
      <w:r w:rsidR="00713656" w:rsidRPr="00A841D4" w:rsidDel="00713656">
        <w:rPr>
          <w:rFonts w:ascii="Times New Roman" w:hAnsi="Times New Roman" w:cs="Times New Roman"/>
          <w:lang w:val="en-US"/>
        </w:rPr>
        <w:t xml:space="preserve"> </w:t>
      </w:r>
      <w:r w:rsidR="007E5833" w:rsidRPr="00A841D4">
        <w:rPr>
          <w:rFonts w:ascii="Times New Roman" w:hAnsi="Times New Roman" w:cs="Times New Roman"/>
          <w:lang w:val="en-US"/>
        </w:rPr>
        <w:t xml:space="preserve">Unemployment was falling, and wages increasing. </w:t>
      </w:r>
      <w:r w:rsidRPr="00A841D4">
        <w:rPr>
          <w:rFonts w:ascii="Times New Roman" w:hAnsi="Times New Roman" w:cs="Times New Roman"/>
          <w:lang w:val="en-US"/>
        </w:rPr>
        <w:t xml:space="preserve">It is true that certain specific sectors – notably food (especially dairy), transport and tourism – were considerably affected, but the economy as </w:t>
      </w:r>
      <w:r w:rsidR="000803FB" w:rsidRPr="00A841D4">
        <w:rPr>
          <w:rFonts w:ascii="Times New Roman" w:hAnsi="Times New Roman" w:cs="Times New Roman"/>
          <w:lang w:val="en-US"/>
        </w:rPr>
        <w:t xml:space="preserve">a </w:t>
      </w:r>
      <w:r w:rsidRPr="00A841D4">
        <w:rPr>
          <w:rFonts w:ascii="Times New Roman" w:hAnsi="Times New Roman" w:cs="Times New Roman"/>
          <w:lang w:val="en-US"/>
        </w:rPr>
        <w:t>whole escaped relatively unscathed. Lithuanian overall exports of goods and services</w:t>
      </w:r>
      <w:r w:rsidR="00133D37" w:rsidRPr="00A841D4">
        <w:rPr>
          <w:rFonts w:ascii="Times New Roman" w:hAnsi="Times New Roman" w:cs="Times New Roman"/>
          <w:lang w:val="en-US"/>
        </w:rPr>
        <w:t xml:space="preserve"> contracted by 5%</w:t>
      </w:r>
      <w:r w:rsidRPr="00A841D4">
        <w:rPr>
          <w:rFonts w:ascii="Times New Roman" w:hAnsi="Times New Roman" w:cs="Times New Roman"/>
          <w:lang w:val="en-US"/>
        </w:rPr>
        <w:t xml:space="preserve"> on an annual basis</w:t>
      </w:r>
      <w:r w:rsidR="00133D37" w:rsidRPr="00A841D4">
        <w:rPr>
          <w:rFonts w:ascii="Times New Roman" w:hAnsi="Times New Roman" w:cs="Times New Roman"/>
          <w:lang w:val="en-US"/>
        </w:rPr>
        <w:t xml:space="preserve"> in 2015</w:t>
      </w:r>
      <w:r w:rsidRPr="00A841D4">
        <w:rPr>
          <w:rFonts w:ascii="Times New Roman" w:hAnsi="Times New Roman" w:cs="Times New Roman"/>
          <w:lang w:val="en-US"/>
        </w:rPr>
        <w:t xml:space="preserve">, stayed at that level in 2016, and started expanding robustly in 2017 (by </w:t>
      </w:r>
      <w:r w:rsidR="00133D37" w:rsidRPr="00A841D4">
        <w:rPr>
          <w:rFonts w:ascii="Times New Roman" w:hAnsi="Times New Roman" w:cs="Times New Roman"/>
          <w:lang w:val="en-US"/>
        </w:rPr>
        <w:t>19%</w:t>
      </w:r>
      <w:r w:rsidRPr="00A841D4">
        <w:rPr>
          <w:rFonts w:ascii="Times New Roman" w:hAnsi="Times New Roman" w:cs="Times New Roman"/>
          <w:lang w:val="en-US"/>
        </w:rPr>
        <w:t>) (Eurostat data).</w:t>
      </w:r>
      <w:r w:rsidR="000803FB" w:rsidRPr="00A841D4">
        <w:rPr>
          <w:rFonts w:ascii="Times New Roman" w:hAnsi="Times New Roman" w:cs="Times New Roman"/>
          <w:lang w:val="en-US"/>
        </w:rPr>
        <w:t xml:space="preserve"> </w:t>
      </w:r>
      <w:r w:rsidR="00133D37" w:rsidRPr="00A841D4">
        <w:rPr>
          <w:rFonts w:ascii="Times New Roman" w:hAnsi="Times New Roman" w:cs="Times New Roman"/>
          <w:lang w:val="en-US"/>
        </w:rPr>
        <w:t>Figure 8</w:t>
      </w:r>
      <w:r w:rsidR="007E5833" w:rsidRPr="00A841D4">
        <w:rPr>
          <w:rFonts w:ascii="Times New Roman" w:hAnsi="Times New Roman" w:cs="Times New Roman"/>
          <w:lang w:val="en-US"/>
        </w:rPr>
        <w:t xml:space="preserve"> further shows how Lithuanian exports and imports to Russia developed. </w:t>
      </w:r>
      <w:r w:rsidR="00157409" w:rsidRPr="00A841D4">
        <w:rPr>
          <w:rFonts w:ascii="Times New Roman" w:hAnsi="Times New Roman" w:cs="Times New Roman"/>
          <w:lang w:val="en-US"/>
        </w:rPr>
        <w:t>In 2015</w:t>
      </w:r>
      <w:r w:rsidR="008F6857" w:rsidRPr="00A841D4">
        <w:rPr>
          <w:rFonts w:ascii="Times New Roman" w:hAnsi="Times New Roman" w:cs="Times New Roman"/>
          <w:lang w:val="en-US"/>
        </w:rPr>
        <w:t>,</w:t>
      </w:r>
      <w:r w:rsidR="00157409" w:rsidRPr="00A841D4">
        <w:rPr>
          <w:rFonts w:ascii="Times New Roman" w:hAnsi="Times New Roman" w:cs="Times New Roman"/>
          <w:lang w:val="en-US"/>
        </w:rPr>
        <w:t xml:space="preserve"> Lithuanian exports to Russia contra</w:t>
      </w:r>
      <w:r w:rsidR="008F6857" w:rsidRPr="00A841D4">
        <w:rPr>
          <w:rFonts w:ascii="Times New Roman" w:hAnsi="Times New Roman" w:cs="Times New Roman"/>
          <w:lang w:val="en-US"/>
        </w:rPr>
        <w:t>c</w:t>
      </w:r>
      <w:r w:rsidR="00157409" w:rsidRPr="00A841D4">
        <w:rPr>
          <w:rFonts w:ascii="Times New Roman" w:hAnsi="Times New Roman" w:cs="Times New Roman"/>
          <w:lang w:val="en-US"/>
        </w:rPr>
        <w:t xml:space="preserve">ted by 37%, while the overall drop in exports was 4.6%. At the same time imports contracted by almost 29%. Although, this drop can be narrowed down almost entirely to a single category – energy resources (SITC HS4-27). Drop in it accounted for 91% of lost imports from Russia. </w:t>
      </w:r>
      <w:r w:rsidR="008F6857" w:rsidRPr="00A841D4">
        <w:rPr>
          <w:rFonts w:ascii="Times New Roman" w:hAnsi="Times New Roman" w:cs="Times New Roman"/>
          <w:lang w:val="en-US"/>
        </w:rPr>
        <w:t>However, this change was part of strategy of diversification of suppliers of natural gas which in the end of 2014 was finally implemented with LNG terminal coming into operation in Lithuania</w:t>
      </w:r>
      <w:r w:rsidR="00157409" w:rsidRPr="00A841D4">
        <w:rPr>
          <w:rFonts w:ascii="Times New Roman" w:hAnsi="Times New Roman" w:cs="Times New Roman"/>
          <w:lang w:val="en-US"/>
        </w:rPr>
        <w:t xml:space="preserve">. </w:t>
      </w:r>
    </w:p>
    <w:p w14:paraId="284629E6" w14:textId="34B96AA8" w:rsidR="00F65C03" w:rsidRPr="00A841D4" w:rsidRDefault="00F65C03" w:rsidP="00E2205F">
      <w:pPr>
        <w:jc w:val="both"/>
        <w:rPr>
          <w:rFonts w:ascii="Times New Roman" w:hAnsi="Times New Roman" w:cs="Times New Roman"/>
          <w:lang w:val="en-US"/>
        </w:rPr>
      </w:pPr>
      <w:r w:rsidRPr="00A841D4">
        <w:rPr>
          <w:rFonts w:ascii="Times New Roman" w:hAnsi="Times New Roman" w:cs="Times New Roman"/>
          <w:noProof/>
          <w:lang w:val="en-US"/>
        </w:rPr>
        <w:drawing>
          <wp:inline distT="0" distB="0" distL="0" distR="0" wp14:anchorId="02FB5A63" wp14:editId="60F04B5B">
            <wp:extent cx="5936615" cy="2880000"/>
            <wp:effectExtent l="0" t="0" r="6985" b="15875"/>
            <wp:docPr id="3" name="Char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C69FCDD-BEB7-4A41-8BFA-8FF3492EB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B05214" w14:textId="64112AEF" w:rsidR="001C2E13" w:rsidRPr="00A841D4" w:rsidRDefault="00133D37" w:rsidP="00E2205F">
      <w:pPr>
        <w:jc w:val="both"/>
        <w:rPr>
          <w:rFonts w:ascii="Times New Roman" w:hAnsi="Times New Roman" w:cs="Times New Roman"/>
          <w:i/>
          <w:lang w:val="en-US"/>
        </w:rPr>
      </w:pPr>
      <w:r w:rsidRPr="00A841D4">
        <w:rPr>
          <w:rFonts w:ascii="Times New Roman" w:hAnsi="Times New Roman" w:cs="Times New Roman"/>
          <w:lang w:val="en-US"/>
        </w:rPr>
        <w:t>Figure 8</w:t>
      </w:r>
      <w:r w:rsidR="001C2E13" w:rsidRPr="00A841D4">
        <w:rPr>
          <w:rFonts w:ascii="Times New Roman" w:hAnsi="Times New Roman" w:cs="Times New Roman"/>
          <w:lang w:val="en-US"/>
        </w:rPr>
        <w:t xml:space="preserve">, </w:t>
      </w:r>
      <w:r w:rsidR="001C2E13" w:rsidRPr="00A841D4">
        <w:rPr>
          <w:rFonts w:ascii="Times New Roman" w:hAnsi="Times New Roman" w:cs="Times New Roman"/>
          <w:i/>
          <w:lang w:val="en-US"/>
        </w:rPr>
        <w:t xml:space="preserve">Lithuanian export and import to Russia (EUR </w:t>
      </w:r>
      <w:proofErr w:type="spellStart"/>
      <w:r w:rsidR="001C2E13" w:rsidRPr="00A841D4">
        <w:rPr>
          <w:rFonts w:ascii="Times New Roman" w:hAnsi="Times New Roman" w:cs="Times New Roman"/>
          <w:i/>
          <w:lang w:val="en-US"/>
        </w:rPr>
        <w:t>bil</w:t>
      </w:r>
      <w:proofErr w:type="spellEnd"/>
      <w:r w:rsidR="001C2E13" w:rsidRPr="00A841D4">
        <w:rPr>
          <w:rFonts w:ascii="Times New Roman" w:hAnsi="Times New Roman" w:cs="Times New Roman"/>
          <w:i/>
          <w:lang w:val="en-US"/>
        </w:rPr>
        <w:t xml:space="preserve">, 2006-2018), </w:t>
      </w:r>
      <w:proofErr w:type="spellStart"/>
      <w:r w:rsidR="001C2E13" w:rsidRPr="00A841D4">
        <w:rPr>
          <w:rFonts w:ascii="Times New Roman" w:hAnsi="Times New Roman" w:cs="Times New Roman"/>
          <w:i/>
          <w:lang w:val="en-US"/>
        </w:rPr>
        <w:t>Trademap</w:t>
      </w:r>
      <w:proofErr w:type="spellEnd"/>
      <w:r w:rsidR="001C2E13" w:rsidRPr="00A841D4">
        <w:rPr>
          <w:rFonts w:ascii="Times New Roman" w:hAnsi="Times New Roman" w:cs="Times New Roman"/>
          <w:i/>
          <w:lang w:val="en-US"/>
        </w:rPr>
        <w:t>, authors calculations (products and services).</w:t>
      </w:r>
    </w:p>
    <w:p w14:paraId="5999D64E" w14:textId="786031B0" w:rsidR="00F65C03" w:rsidRPr="00A841D4" w:rsidRDefault="00F65C03" w:rsidP="00E2205F">
      <w:pPr>
        <w:jc w:val="both"/>
        <w:rPr>
          <w:rFonts w:ascii="Times New Roman" w:hAnsi="Times New Roman" w:cs="Times New Roman"/>
          <w:lang w:val="en-US"/>
        </w:rPr>
      </w:pPr>
    </w:p>
    <w:p w14:paraId="68CEFEC0" w14:textId="5B5C0D2C" w:rsidR="007E5833" w:rsidRPr="00A841D4" w:rsidRDefault="008F6857" w:rsidP="00E2205F">
      <w:pPr>
        <w:jc w:val="both"/>
        <w:rPr>
          <w:rFonts w:ascii="Times New Roman" w:hAnsi="Times New Roman" w:cs="Times New Roman"/>
          <w:lang w:val="en-US"/>
        </w:rPr>
      </w:pPr>
      <w:r w:rsidRPr="00A841D4">
        <w:rPr>
          <w:rFonts w:ascii="Times New Roman" w:hAnsi="Times New Roman" w:cs="Times New Roman"/>
          <w:lang w:val="en-US"/>
        </w:rPr>
        <w:t>This in turn also had an important effect on prices, especially the price of natural gas sold to Lithuania</w:t>
      </w:r>
      <w:r w:rsidR="007E5833" w:rsidRPr="00A841D4">
        <w:rPr>
          <w:rFonts w:ascii="Times New Roman" w:hAnsi="Times New Roman" w:cs="Times New Roman"/>
          <w:lang w:val="en-US"/>
        </w:rPr>
        <w:t xml:space="preserve">. </w:t>
      </w:r>
      <w:r w:rsidR="00946A25" w:rsidRPr="00A841D4">
        <w:rPr>
          <w:rFonts w:ascii="Times New Roman" w:hAnsi="Times New Roman" w:cs="Times New Roman"/>
          <w:lang w:val="en-US"/>
        </w:rPr>
        <w:t>As the Figure 9 illustrates, since around 2009 when Lithuania started implementing EU 3</w:t>
      </w:r>
      <w:r w:rsidR="00946A25" w:rsidRPr="00A841D4">
        <w:rPr>
          <w:rFonts w:ascii="Times New Roman" w:hAnsi="Times New Roman" w:cs="Times New Roman"/>
          <w:vertAlign w:val="superscript"/>
          <w:lang w:val="en-US"/>
        </w:rPr>
        <w:t>rd</w:t>
      </w:r>
      <w:r w:rsidR="00946A25" w:rsidRPr="00A841D4">
        <w:rPr>
          <w:rFonts w:ascii="Times New Roman" w:hAnsi="Times New Roman" w:cs="Times New Roman"/>
          <w:lang w:val="en-US"/>
        </w:rPr>
        <w:t xml:space="preserve"> energy package opting for complete unbundling of ownership in natural gas sector, the price charged by Russian company Gazprom started growing exceeding significantly average price of EU28 and the price paid by neighboring Latvia which opted for a transition period in adopting EU norms regulating gas sector.</w:t>
      </w:r>
    </w:p>
    <w:p w14:paraId="68100B93" w14:textId="77777777" w:rsidR="007E5833" w:rsidRPr="00A841D4" w:rsidRDefault="007E5833" w:rsidP="00E2205F">
      <w:pPr>
        <w:jc w:val="both"/>
        <w:rPr>
          <w:rFonts w:ascii="Times New Roman" w:hAnsi="Times New Roman" w:cs="Times New Roman"/>
          <w:lang w:val="en-US"/>
        </w:rPr>
      </w:pPr>
      <w:r w:rsidRPr="00A841D4">
        <w:rPr>
          <w:rFonts w:ascii="Times New Roman" w:hAnsi="Times New Roman" w:cs="Times New Roman"/>
          <w:noProof/>
          <w:lang w:val="en-US"/>
        </w:rPr>
        <w:lastRenderedPageBreak/>
        <w:drawing>
          <wp:inline distT="0" distB="0" distL="0" distR="0" wp14:anchorId="4A9901F5" wp14:editId="60139C72">
            <wp:extent cx="5936615" cy="2877820"/>
            <wp:effectExtent l="0" t="0" r="6985" b="17780"/>
            <wp:docPr id="12" name="Chart 1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1147293-CF23-4CB8-A463-49329A2643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5F3708" w14:textId="7880DB14" w:rsidR="007E5833" w:rsidRPr="00A841D4" w:rsidRDefault="00946A25" w:rsidP="00E2205F">
      <w:pPr>
        <w:jc w:val="both"/>
        <w:rPr>
          <w:rFonts w:ascii="Times New Roman" w:hAnsi="Times New Roman" w:cs="Times New Roman"/>
          <w:lang w:val="en-US"/>
        </w:rPr>
      </w:pPr>
      <w:r w:rsidRPr="00A841D4">
        <w:rPr>
          <w:rFonts w:ascii="Times New Roman" w:hAnsi="Times New Roman" w:cs="Times New Roman"/>
          <w:lang w:val="en-US"/>
        </w:rPr>
        <w:t>Figure 9</w:t>
      </w:r>
      <w:r w:rsidR="00170EAF" w:rsidRPr="00A841D4">
        <w:rPr>
          <w:rFonts w:ascii="Times New Roman" w:hAnsi="Times New Roman" w:cs="Times New Roman"/>
          <w:lang w:val="en-US"/>
        </w:rPr>
        <w:t xml:space="preserve">, </w:t>
      </w:r>
      <w:r w:rsidR="00170EAF" w:rsidRPr="00A841D4">
        <w:rPr>
          <w:rFonts w:ascii="Times New Roman" w:hAnsi="Times New Roman" w:cs="Times New Roman"/>
          <w:i/>
          <w:lang w:val="en-US"/>
        </w:rPr>
        <w:t>Gas prices: Medium size industries (EUR per gigajoule, 2008-2017). Eurostat.</w:t>
      </w:r>
    </w:p>
    <w:p w14:paraId="2D3B23CA" w14:textId="77777777" w:rsidR="00F65C03" w:rsidRPr="00A841D4" w:rsidRDefault="00F65C03" w:rsidP="00E2205F">
      <w:pPr>
        <w:jc w:val="both"/>
        <w:rPr>
          <w:rFonts w:ascii="Times New Roman" w:hAnsi="Times New Roman" w:cs="Times New Roman"/>
          <w:lang w:val="en-US"/>
        </w:rPr>
      </w:pPr>
      <w:bookmarkStart w:id="2" w:name="_Hlk7777755"/>
    </w:p>
    <w:p w14:paraId="39CA5C57" w14:textId="6E2D2AE4" w:rsidR="00946A25" w:rsidRPr="00A841D4" w:rsidRDefault="00946A25" w:rsidP="00E2205F">
      <w:pPr>
        <w:jc w:val="both"/>
        <w:rPr>
          <w:rFonts w:ascii="Times New Roman" w:hAnsi="Times New Roman" w:cs="Times New Roman"/>
          <w:lang w:val="en-US"/>
        </w:rPr>
      </w:pPr>
      <w:r w:rsidRPr="00A841D4">
        <w:rPr>
          <w:rFonts w:ascii="Times New Roman" w:hAnsi="Times New Roman" w:cs="Times New Roman"/>
          <w:lang w:val="en-US"/>
        </w:rPr>
        <w:t>Besides, in 2015 electricity cable linking Lithuania and Sweden became operational thus providing an important connection between the Baltic and Nordic electricity exchanges and a new source of supply. It also had a positive effect on prices of electricity paid by Lithuanian businesses and households (see Figures 10 and 11).</w:t>
      </w:r>
    </w:p>
    <w:p w14:paraId="55D36F6D" w14:textId="2B669984" w:rsidR="00946A25" w:rsidRPr="00A841D4" w:rsidRDefault="00946A25" w:rsidP="00E2205F">
      <w:pPr>
        <w:jc w:val="both"/>
        <w:rPr>
          <w:rFonts w:ascii="Times New Roman" w:hAnsi="Times New Roman" w:cs="Times New Roman"/>
          <w:lang w:val="en-US"/>
        </w:rPr>
      </w:pPr>
    </w:p>
    <w:p w14:paraId="72B9D7A4" w14:textId="77777777" w:rsidR="005D131C" w:rsidRPr="00A841D4" w:rsidRDefault="005D131C" w:rsidP="00E2205F">
      <w:pPr>
        <w:jc w:val="both"/>
        <w:rPr>
          <w:rFonts w:ascii="Times New Roman" w:hAnsi="Times New Roman" w:cs="Times New Roman"/>
          <w:lang w:val="en-US"/>
        </w:rPr>
      </w:pPr>
      <w:r w:rsidRPr="00A841D4">
        <w:rPr>
          <w:rFonts w:ascii="Times New Roman" w:hAnsi="Times New Roman" w:cs="Times New Roman"/>
          <w:noProof/>
          <w:lang w:val="en-US"/>
        </w:rPr>
        <w:drawing>
          <wp:inline distT="0" distB="0" distL="0" distR="0" wp14:anchorId="54BFC4A8" wp14:editId="5BE83CF8">
            <wp:extent cx="5936615" cy="3599815"/>
            <wp:effectExtent l="0" t="0" r="6985" b="635"/>
            <wp:docPr id="4" name="Chart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254D48D-60F6-45DD-89E9-98EAE1241F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92A0C4" w14:textId="70FF9410" w:rsidR="005D131C" w:rsidRPr="00A841D4" w:rsidRDefault="005D131C" w:rsidP="00E2205F">
      <w:pPr>
        <w:jc w:val="both"/>
        <w:rPr>
          <w:rFonts w:ascii="Times New Roman" w:hAnsi="Times New Roman" w:cs="Times New Roman"/>
          <w:i/>
          <w:lang w:val="en-US"/>
        </w:rPr>
      </w:pPr>
      <w:r w:rsidRPr="00A841D4">
        <w:rPr>
          <w:rFonts w:ascii="Times New Roman" w:hAnsi="Times New Roman" w:cs="Times New Roman"/>
          <w:lang w:val="en-US"/>
        </w:rPr>
        <w:t xml:space="preserve">Figure 10, </w:t>
      </w:r>
      <w:r w:rsidRPr="00A841D4">
        <w:rPr>
          <w:rFonts w:ascii="Times New Roman" w:hAnsi="Times New Roman" w:cs="Times New Roman"/>
          <w:i/>
          <w:lang w:val="en-US"/>
        </w:rPr>
        <w:t>Electricity prices for non-household consumers (2008-2018). Eurostat.</w:t>
      </w:r>
    </w:p>
    <w:p w14:paraId="3A2E7883" w14:textId="77777777" w:rsidR="005D131C" w:rsidRPr="00A841D4" w:rsidRDefault="005D131C" w:rsidP="00E2205F">
      <w:pPr>
        <w:jc w:val="both"/>
        <w:rPr>
          <w:rFonts w:ascii="Times New Roman" w:hAnsi="Times New Roman" w:cs="Times New Roman"/>
          <w:lang w:val="en-US"/>
        </w:rPr>
      </w:pPr>
    </w:p>
    <w:p w14:paraId="23D2165A" w14:textId="77777777" w:rsidR="005D131C" w:rsidRPr="00A841D4" w:rsidRDefault="005D131C" w:rsidP="00E2205F">
      <w:pPr>
        <w:jc w:val="both"/>
        <w:rPr>
          <w:rFonts w:ascii="Times New Roman" w:hAnsi="Times New Roman" w:cs="Times New Roman"/>
          <w:lang w:val="en-US"/>
        </w:rPr>
      </w:pPr>
      <w:r w:rsidRPr="00A841D4">
        <w:rPr>
          <w:rFonts w:ascii="Times New Roman" w:hAnsi="Times New Roman" w:cs="Times New Roman"/>
          <w:noProof/>
          <w:lang w:val="en-US"/>
        </w:rPr>
        <w:lastRenderedPageBreak/>
        <w:drawing>
          <wp:inline distT="0" distB="0" distL="0" distR="0" wp14:anchorId="7777CB0F" wp14:editId="49B5FDE7">
            <wp:extent cx="5936615" cy="3599815"/>
            <wp:effectExtent l="0" t="0" r="6985" b="635"/>
            <wp:docPr id="9" name="Chart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46758AD-003D-4E8C-A29C-8E29EBCF1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B04F97" w14:textId="7778E68A" w:rsidR="005D131C" w:rsidRPr="00A841D4" w:rsidRDefault="005D131C" w:rsidP="00E2205F">
      <w:pPr>
        <w:jc w:val="both"/>
        <w:rPr>
          <w:rFonts w:ascii="Times New Roman" w:hAnsi="Times New Roman" w:cs="Times New Roman"/>
          <w:i/>
          <w:lang w:val="en-US"/>
        </w:rPr>
      </w:pPr>
      <w:r w:rsidRPr="00A841D4">
        <w:rPr>
          <w:rFonts w:ascii="Times New Roman" w:hAnsi="Times New Roman" w:cs="Times New Roman"/>
          <w:lang w:val="en-US"/>
        </w:rPr>
        <w:t xml:space="preserve">Figure 11, </w:t>
      </w:r>
      <w:r w:rsidRPr="00A841D4">
        <w:rPr>
          <w:rFonts w:ascii="Times New Roman" w:hAnsi="Times New Roman" w:cs="Times New Roman"/>
          <w:i/>
          <w:lang w:val="en-US"/>
        </w:rPr>
        <w:t>Electricity prices for household consumers (2008-2018). Eurostat.</w:t>
      </w:r>
    </w:p>
    <w:p w14:paraId="7FC6E88B" w14:textId="77777777" w:rsidR="00946A25" w:rsidRPr="00A841D4" w:rsidRDefault="00946A25" w:rsidP="00E2205F">
      <w:pPr>
        <w:jc w:val="both"/>
        <w:rPr>
          <w:rFonts w:ascii="Times New Roman" w:hAnsi="Times New Roman" w:cs="Times New Roman"/>
          <w:lang w:val="en-US"/>
        </w:rPr>
      </w:pPr>
    </w:p>
    <w:p w14:paraId="52AA31B4" w14:textId="1E53D1B0" w:rsidR="00035C39" w:rsidRPr="00A841D4" w:rsidRDefault="00035C39" w:rsidP="00E2205F">
      <w:pPr>
        <w:jc w:val="both"/>
        <w:rPr>
          <w:rFonts w:ascii="Times New Roman" w:hAnsi="Times New Roman" w:cs="Times New Roman"/>
          <w:lang w:val="en-US"/>
        </w:rPr>
      </w:pPr>
      <w:r w:rsidRPr="00A841D4">
        <w:rPr>
          <w:rFonts w:ascii="Times New Roman" w:hAnsi="Times New Roman" w:cs="Times New Roman"/>
          <w:lang w:val="en-US"/>
        </w:rPr>
        <w:t>To su</w:t>
      </w:r>
      <w:r w:rsidR="005D131C" w:rsidRPr="00A841D4">
        <w:rPr>
          <w:rFonts w:ascii="Times New Roman" w:hAnsi="Times New Roman" w:cs="Times New Roman"/>
          <w:lang w:val="en-US"/>
        </w:rPr>
        <w:t>mmarize, the impact of the external</w:t>
      </w:r>
      <w:r w:rsidRPr="00A841D4">
        <w:rPr>
          <w:rFonts w:ascii="Times New Roman" w:hAnsi="Times New Roman" w:cs="Times New Roman"/>
          <w:lang w:val="en-US"/>
        </w:rPr>
        <w:t xml:space="preserve"> shock </w:t>
      </w:r>
      <w:r w:rsidR="005D131C" w:rsidRPr="00A841D4">
        <w:rPr>
          <w:rFonts w:ascii="Times New Roman" w:hAnsi="Times New Roman" w:cs="Times New Roman"/>
          <w:lang w:val="en-US"/>
        </w:rPr>
        <w:t xml:space="preserve">in 2008-2009 </w:t>
      </w:r>
      <w:r w:rsidRPr="00A841D4">
        <w:rPr>
          <w:rFonts w:ascii="Times New Roman" w:hAnsi="Times New Roman" w:cs="Times New Roman"/>
          <w:lang w:val="en-US"/>
        </w:rPr>
        <w:t xml:space="preserve">on the Lithuanian economy was significant but rather short-lived, as the recovery </w:t>
      </w:r>
      <w:r w:rsidR="005D131C" w:rsidRPr="00A841D4">
        <w:rPr>
          <w:rFonts w:ascii="Times New Roman" w:hAnsi="Times New Roman" w:cs="Times New Roman"/>
          <w:lang w:val="en-US"/>
        </w:rPr>
        <w:t>was fast and reflected in different indicators, including country’s exports</w:t>
      </w:r>
      <w:r w:rsidRPr="00A841D4">
        <w:rPr>
          <w:rFonts w:ascii="Times New Roman" w:hAnsi="Times New Roman" w:cs="Times New Roman"/>
          <w:lang w:val="en-US"/>
        </w:rPr>
        <w:t xml:space="preserve">. </w:t>
      </w:r>
      <w:bookmarkEnd w:id="2"/>
      <w:r w:rsidR="007B4B31" w:rsidRPr="00A841D4">
        <w:rPr>
          <w:rFonts w:ascii="Times New Roman" w:hAnsi="Times New Roman" w:cs="Times New Roman"/>
          <w:lang w:val="en-US"/>
        </w:rPr>
        <w:t>T</w:t>
      </w:r>
      <w:r w:rsidRPr="00A841D4">
        <w:rPr>
          <w:rFonts w:ascii="Times New Roman" w:hAnsi="Times New Roman" w:cs="Times New Roman"/>
          <w:lang w:val="en-US"/>
        </w:rPr>
        <w:t xml:space="preserve">he second </w:t>
      </w:r>
      <w:r w:rsidR="005D131C" w:rsidRPr="00A841D4">
        <w:rPr>
          <w:rFonts w:ascii="Times New Roman" w:hAnsi="Times New Roman" w:cs="Times New Roman"/>
          <w:lang w:val="en-US"/>
        </w:rPr>
        <w:t xml:space="preserve">external </w:t>
      </w:r>
      <w:r w:rsidRPr="00A841D4">
        <w:rPr>
          <w:rFonts w:ascii="Times New Roman" w:hAnsi="Times New Roman" w:cs="Times New Roman"/>
          <w:lang w:val="en-US"/>
        </w:rPr>
        <w:t xml:space="preserve">shock </w:t>
      </w:r>
      <w:r w:rsidR="005D131C" w:rsidRPr="00A841D4">
        <w:rPr>
          <w:rFonts w:ascii="Times New Roman" w:hAnsi="Times New Roman" w:cs="Times New Roman"/>
          <w:lang w:val="en-US"/>
        </w:rPr>
        <w:t xml:space="preserve">in 2014-2015 </w:t>
      </w:r>
      <w:r w:rsidRPr="00A841D4">
        <w:rPr>
          <w:rFonts w:ascii="Times New Roman" w:hAnsi="Times New Roman" w:cs="Times New Roman"/>
          <w:lang w:val="en-US"/>
        </w:rPr>
        <w:t xml:space="preserve">had a substantial microeconomic impact upon certain sectors, but the macroeconomic effect was very limited. </w:t>
      </w:r>
    </w:p>
    <w:p w14:paraId="10A005D0" w14:textId="77777777" w:rsidR="00E2205F" w:rsidRPr="00A841D4" w:rsidRDefault="00E2205F" w:rsidP="00E2205F">
      <w:pPr>
        <w:jc w:val="both"/>
        <w:rPr>
          <w:rFonts w:ascii="Times New Roman" w:hAnsi="Times New Roman" w:cs="Times New Roman"/>
          <w:lang w:val="en-US"/>
        </w:rPr>
      </w:pPr>
    </w:p>
    <w:p w14:paraId="2E55E2CE" w14:textId="017E39AC" w:rsidR="00213A13" w:rsidRPr="00A841D4" w:rsidRDefault="005D131C" w:rsidP="00E2205F">
      <w:pPr>
        <w:jc w:val="both"/>
        <w:rPr>
          <w:rFonts w:ascii="Times New Roman" w:hAnsi="Times New Roman" w:cs="Times New Roman"/>
          <w:lang w:val="en-US"/>
        </w:rPr>
      </w:pPr>
      <w:r w:rsidRPr="00A841D4">
        <w:rPr>
          <w:rFonts w:ascii="Times New Roman" w:hAnsi="Times New Roman" w:cs="Times New Roman"/>
          <w:lang w:val="en-US"/>
        </w:rPr>
        <w:t>Therefore, this is evidence of Lithuania’s high sensitivity linked to its very high external openness but Lithuania has proved to be not vulnerable to the global market turbulence and changes in foreign trade policy framework introduced by Russian authorities.</w:t>
      </w:r>
    </w:p>
    <w:p w14:paraId="30458016" w14:textId="77777777" w:rsidR="00213A13" w:rsidRPr="00A841D4" w:rsidRDefault="00213A13" w:rsidP="00E2205F">
      <w:pPr>
        <w:jc w:val="both"/>
        <w:rPr>
          <w:rFonts w:ascii="Times New Roman" w:hAnsi="Times New Roman" w:cs="Times New Roman"/>
          <w:lang w:val="en-US"/>
        </w:rPr>
      </w:pPr>
    </w:p>
    <w:p w14:paraId="7539F320" w14:textId="4E054CA5" w:rsidR="00704FBB" w:rsidRPr="00A841D4" w:rsidRDefault="00704FBB" w:rsidP="00E2205F">
      <w:pPr>
        <w:jc w:val="both"/>
        <w:rPr>
          <w:rFonts w:ascii="Times New Roman" w:hAnsi="Times New Roman" w:cs="Times New Roman"/>
          <w:b/>
          <w:lang w:val="en-US"/>
        </w:rPr>
      </w:pPr>
      <w:r w:rsidRPr="00A841D4">
        <w:rPr>
          <w:rFonts w:ascii="Times New Roman" w:hAnsi="Times New Roman" w:cs="Times New Roman"/>
          <w:b/>
          <w:lang w:val="en-US"/>
        </w:rPr>
        <w:t xml:space="preserve">What explains Lithuania’s resilience to external shocks? </w:t>
      </w:r>
    </w:p>
    <w:p w14:paraId="3C5A3494" w14:textId="5F3DAD2E" w:rsidR="00704FBB" w:rsidRPr="00A841D4" w:rsidRDefault="00704FBB" w:rsidP="00E2205F">
      <w:pPr>
        <w:jc w:val="both"/>
        <w:rPr>
          <w:rFonts w:ascii="Times New Roman" w:hAnsi="Times New Roman" w:cs="Times New Roman"/>
          <w:lang w:val="en-US"/>
        </w:rPr>
      </w:pPr>
    </w:p>
    <w:p w14:paraId="4A4AF3A1" w14:textId="463B18FD" w:rsidR="002413C9" w:rsidRPr="00A841D4" w:rsidRDefault="005B318C" w:rsidP="00E2205F">
      <w:pPr>
        <w:jc w:val="both"/>
        <w:rPr>
          <w:rFonts w:ascii="Times New Roman" w:hAnsi="Times New Roman" w:cs="Times New Roman"/>
          <w:lang w:val="en-US"/>
        </w:rPr>
      </w:pPr>
      <w:r w:rsidRPr="00A841D4">
        <w:rPr>
          <w:rFonts w:ascii="Times New Roman" w:hAnsi="Times New Roman" w:cs="Times New Roman"/>
          <w:lang w:val="en-US"/>
        </w:rPr>
        <w:t xml:space="preserve">The previous section has established that, contrary to </w:t>
      </w:r>
      <w:r w:rsidR="002F7044" w:rsidRPr="00A841D4">
        <w:rPr>
          <w:rFonts w:ascii="Times New Roman" w:hAnsi="Times New Roman" w:cs="Times New Roman"/>
          <w:lang w:val="en-US"/>
        </w:rPr>
        <w:t xml:space="preserve">the </w:t>
      </w:r>
      <w:r w:rsidRPr="00A841D4">
        <w:rPr>
          <w:rFonts w:ascii="Times New Roman" w:hAnsi="Times New Roman" w:cs="Times New Roman"/>
          <w:lang w:val="en-US"/>
        </w:rPr>
        <w:t>expectati</w:t>
      </w:r>
      <w:r w:rsidR="002F7044" w:rsidRPr="00A841D4">
        <w:rPr>
          <w:rFonts w:ascii="Times New Roman" w:hAnsi="Times New Roman" w:cs="Times New Roman"/>
          <w:lang w:val="en-US"/>
        </w:rPr>
        <w:t>ons and concerns</w:t>
      </w:r>
      <w:r w:rsidRPr="00A841D4">
        <w:rPr>
          <w:rFonts w:ascii="Times New Roman" w:hAnsi="Times New Roman" w:cs="Times New Roman"/>
          <w:lang w:val="en-US"/>
        </w:rPr>
        <w:t xml:space="preserve"> expressed by some analysts, Lithuanian economy has proved to be (much) more resilient to </w:t>
      </w:r>
      <w:r w:rsidR="002F7044" w:rsidRPr="00A841D4">
        <w:rPr>
          <w:rFonts w:ascii="Times New Roman" w:hAnsi="Times New Roman" w:cs="Times New Roman"/>
          <w:lang w:val="en-US"/>
        </w:rPr>
        <w:t xml:space="preserve">external </w:t>
      </w:r>
      <w:r w:rsidRPr="00A841D4">
        <w:rPr>
          <w:rFonts w:ascii="Times New Roman" w:hAnsi="Times New Roman" w:cs="Times New Roman"/>
          <w:lang w:val="en-US"/>
        </w:rPr>
        <w:t>shocks than had b</w:t>
      </w:r>
      <w:r w:rsidR="002F7044" w:rsidRPr="00A841D4">
        <w:rPr>
          <w:rFonts w:ascii="Times New Roman" w:hAnsi="Times New Roman" w:cs="Times New Roman"/>
          <w:lang w:val="en-US"/>
        </w:rPr>
        <w:t xml:space="preserve">een expected. This puzzle is worth exploring in more depth since the factors which might account for such resilience are interesting from both academic and practical point of view. </w:t>
      </w:r>
    </w:p>
    <w:p w14:paraId="71E3B2F0" w14:textId="77777777" w:rsidR="005B318C" w:rsidRPr="00A841D4" w:rsidRDefault="005B318C" w:rsidP="00E2205F">
      <w:pPr>
        <w:jc w:val="both"/>
        <w:rPr>
          <w:rFonts w:ascii="Times New Roman" w:hAnsi="Times New Roman" w:cs="Times New Roman"/>
          <w:lang w:val="en-US"/>
        </w:rPr>
      </w:pPr>
    </w:p>
    <w:p w14:paraId="1105F604" w14:textId="46A7D798" w:rsidR="005B318C" w:rsidRPr="00A841D4" w:rsidRDefault="005B318C" w:rsidP="00E2205F">
      <w:pPr>
        <w:jc w:val="both"/>
        <w:rPr>
          <w:rFonts w:ascii="Times New Roman" w:hAnsi="Times New Roman" w:cs="Times New Roman"/>
          <w:lang w:val="en-US"/>
        </w:rPr>
      </w:pPr>
      <w:r w:rsidRPr="00A841D4">
        <w:rPr>
          <w:rFonts w:ascii="Times New Roman" w:hAnsi="Times New Roman" w:cs="Times New Roman"/>
          <w:lang w:val="en-US"/>
        </w:rPr>
        <w:t>To begin with, the Lithuanian economy has often been characterized as very ‘flexible’. According to many analysts, this high level of flexibility enabled the robust recovery in the wake of the Great Recession (</w:t>
      </w:r>
      <w:proofErr w:type="spellStart"/>
      <w:r w:rsidRPr="00A841D4">
        <w:rPr>
          <w:rFonts w:ascii="Times New Roman" w:hAnsi="Times New Roman" w:cs="Times New Roman"/>
          <w:lang w:val="en-US"/>
        </w:rPr>
        <w:t>Purfield</w:t>
      </w:r>
      <w:proofErr w:type="spellEnd"/>
      <w:r w:rsidRPr="00A841D4">
        <w:rPr>
          <w:rFonts w:ascii="Times New Roman" w:hAnsi="Times New Roman" w:cs="Times New Roman"/>
          <w:lang w:val="en-US"/>
        </w:rPr>
        <w:t xml:space="preserve"> and Rosenberg, 2010). In economics – and even more so in political economy – the concept of ‘flexibility’ can actually have different meanings. One of the most popular definitions refers to the ability of nominal wages to ‘adjust downwards’ – in other words, a flexible economy is one in which wages can fall fast if there is a fall in aggregate demand</w:t>
      </w:r>
      <w:r w:rsidR="00F46386" w:rsidRPr="00A841D4">
        <w:rPr>
          <w:rFonts w:ascii="Times New Roman" w:hAnsi="Times New Roman" w:cs="Times New Roman"/>
          <w:lang w:val="en-US"/>
        </w:rPr>
        <w:t xml:space="preserve"> (this can also be called labor market flexibility)</w:t>
      </w:r>
      <w:r w:rsidRPr="00A841D4">
        <w:rPr>
          <w:rFonts w:ascii="Times New Roman" w:hAnsi="Times New Roman" w:cs="Times New Roman"/>
          <w:lang w:val="en-US"/>
        </w:rPr>
        <w:t xml:space="preserve">. This fall in wages translates into lower costs for businesses, which encourages </w:t>
      </w:r>
      <w:r w:rsidR="002F7044" w:rsidRPr="00A841D4">
        <w:rPr>
          <w:rFonts w:ascii="Times New Roman" w:hAnsi="Times New Roman" w:cs="Times New Roman"/>
          <w:lang w:val="en-US"/>
        </w:rPr>
        <w:t>them to expand production, hi</w:t>
      </w:r>
      <w:r w:rsidRPr="00A841D4">
        <w:rPr>
          <w:rFonts w:ascii="Times New Roman" w:hAnsi="Times New Roman" w:cs="Times New Roman"/>
          <w:lang w:val="en-US"/>
        </w:rPr>
        <w:t>r</w:t>
      </w:r>
      <w:r w:rsidR="002F7044" w:rsidRPr="00A841D4">
        <w:rPr>
          <w:rFonts w:ascii="Times New Roman" w:hAnsi="Times New Roman" w:cs="Times New Roman"/>
          <w:lang w:val="en-US"/>
        </w:rPr>
        <w:t>e</w:t>
      </w:r>
      <w:r w:rsidRPr="00A841D4">
        <w:rPr>
          <w:rFonts w:ascii="Times New Roman" w:hAnsi="Times New Roman" w:cs="Times New Roman"/>
          <w:lang w:val="en-US"/>
        </w:rPr>
        <w:t xml:space="preserve"> workers, and thus leads to lower unemployment. In the context of a small open economy, lower wages and prices means higher competitiveness (lower real exchange rate), which results in higher exports and lower imports – and thus lower trade deficit (higher surplus) as well as growth in the real GDP and, consequently, lower unemployment. This channel is considered particularly importan</w:t>
      </w:r>
      <w:r w:rsidR="002F7044" w:rsidRPr="00A841D4">
        <w:rPr>
          <w:rFonts w:ascii="Times New Roman" w:hAnsi="Times New Roman" w:cs="Times New Roman"/>
          <w:lang w:val="en-US"/>
        </w:rPr>
        <w:t>t for countries that are unwilling</w:t>
      </w:r>
      <w:r w:rsidRPr="00A841D4">
        <w:rPr>
          <w:rFonts w:ascii="Times New Roman" w:hAnsi="Times New Roman" w:cs="Times New Roman"/>
          <w:lang w:val="en-US"/>
        </w:rPr>
        <w:t xml:space="preserve"> to or are unable to devalue their exchange rates. </w:t>
      </w:r>
      <w:r w:rsidR="00867D56" w:rsidRPr="00A841D4">
        <w:rPr>
          <w:rFonts w:ascii="Times New Roman" w:hAnsi="Times New Roman" w:cs="Times New Roman"/>
          <w:lang w:val="en-US"/>
        </w:rPr>
        <w:t xml:space="preserve">Lower wages are supposed to result in lower prices, which in turn </w:t>
      </w:r>
      <w:r w:rsidR="00867D56" w:rsidRPr="00A841D4">
        <w:rPr>
          <w:rFonts w:ascii="Times New Roman" w:hAnsi="Times New Roman" w:cs="Times New Roman"/>
          <w:lang w:val="en-US"/>
        </w:rPr>
        <w:lastRenderedPageBreak/>
        <w:t xml:space="preserve">can increase competitiveness even if the </w:t>
      </w:r>
      <w:r w:rsidR="00F46386" w:rsidRPr="00A841D4">
        <w:rPr>
          <w:rFonts w:ascii="Times New Roman" w:hAnsi="Times New Roman" w:cs="Times New Roman"/>
          <w:lang w:val="en-US"/>
        </w:rPr>
        <w:t xml:space="preserve">nominal </w:t>
      </w:r>
      <w:r w:rsidR="00867D56" w:rsidRPr="00A841D4">
        <w:rPr>
          <w:rFonts w:ascii="Times New Roman" w:hAnsi="Times New Roman" w:cs="Times New Roman"/>
          <w:lang w:val="en-US"/>
        </w:rPr>
        <w:t>exchange rate is left unchanged – this mechanism is otherwise known as ‘internal devaluation’.</w:t>
      </w:r>
    </w:p>
    <w:p w14:paraId="300E5840" w14:textId="77777777" w:rsidR="00867D56" w:rsidRPr="00A841D4" w:rsidRDefault="00867D56" w:rsidP="00E2205F">
      <w:pPr>
        <w:jc w:val="both"/>
        <w:rPr>
          <w:rFonts w:ascii="Times New Roman" w:hAnsi="Times New Roman" w:cs="Times New Roman"/>
          <w:lang w:val="en-US"/>
        </w:rPr>
      </w:pPr>
    </w:p>
    <w:p w14:paraId="1065905A" w14:textId="65279ECD" w:rsidR="00867D56" w:rsidRPr="00A841D4" w:rsidRDefault="00867D56" w:rsidP="00E2205F">
      <w:pPr>
        <w:jc w:val="both"/>
        <w:rPr>
          <w:rFonts w:ascii="Times New Roman" w:hAnsi="Times New Roman" w:cs="Times New Roman"/>
          <w:lang w:val="en-US"/>
        </w:rPr>
      </w:pPr>
      <w:r w:rsidRPr="00A841D4">
        <w:rPr>
          <w:rFonts w:ascii="Times New Roman" w:hAnsi="Times New Roman" w:cs="Times New Roman"/>
          <w:lang w:val="en-US"/>
        </w:rPr>
        <w:t>In Lithuania (as in the two other Baltic countries), wages indeed started falling earlier and faster than in the Southern Eurozone economies</w:t>
      </w:r>
      <w:r w:rsidR="00F46386" w:rsidRPr="00A841D4">
        <w:rPr>
          <w:rFonts w:ascii="Times New Roman" w:hAnsi="Times New Roman" w:cs="Times New Roman"/>
          <w:lang w:val="en-US"/>
        </w:rPr>
        <w:t xml:space="preserve"> in response to </w:t>
      </w:r>
      <w:r w:rsidR="002F7044" w:rsidRPr="00A841D4">
        <w:rPr>
          <w:rFonts w:ascii="Times New Roman" w:hAnsi="Times New Roman" w:cs="Times New Roman"/>
          <w:lang w:val="en-US"/>
        </w:rPr>
        <w:t>the Great Recession and the e</w:t>
      </w:r>
      <w:r w:rsidR="00F46386" w:rsidRPr="00A841D4">
        <w:rPr>
          <w:rFonts w:ascii="Times New Roman" w:hAnsi="Times New Roman" w:cs="Times New Roman"/>
          <w:lang w:val="en-US"/>
        </w:rPr>
        <w:t>uro</w:t>
      </w:r>
      <w:r w:rsidR="002F7044" w:rsidRPr="00A841D4">
        <w:rPr>
          <w:rFonts w:ascii="Times New Roman" w:hAnsi="Times New Roman" w:cs="Times New Roman"/>
          <w:lang w:val="en-US"/>
        </w:rPr>
        <w:t xml:space="preserve"> </w:t>
      </w:r>
      <w:r w:rsidR="00F46386" w:rsidRPr="00A841D4">
        <w:rPr>
          <w:rFonts w:ascii="Times New Roman" w:hAnsi="Times New Roman" w:cs="Times New Roman"/>
          <w:lang w:val="en-US"/>
        </w:rPr>
        <w:t>zone debt crisis</w:t>
      </w:r>
      <w:r w:rsidRPr="00A841D4">
        <w:rPr>
          <w:rFonts w:ascii="Times New Roman" w:hAnsi="Times New Roman" w:cs="Times New Roman"/>
          <w:lang w:val="en-US"/>
        </w:rPr>
        <w:t xml:space="preserve"> (Kuokštis, 2015)</w:t>
      </w:r>
      <w:r w:rsidR="00F46386" w:rsidRPr="00A841D4">
        <w:rPr>
          <w:rFonts w:ascii="Times New Roman" w:hAnsi="Times New Roman" w:cs="Times New Roman"/>
          <w:lang w:val="en-US"/>
        </w:rPr>
        <w:t>; these two groups of</w:t>
      </w:r>
      <w:r w:rsidRPr="00A841D4">
        <w:rPr>
          <w:rFonts w:ascii="Times New Roman" w:hAnsi="Times New Roman" w:cs="Times New Roman"/>
          <w:lang w:val="en-US"/>
        </w:rPr>
        <w:t xml:space="preserve"> countries had been facing similar economic challenges but in the end </w:t>
      </w:r>
      <w:r w:rsidR="00F46386" w:rsidRPr="00A841D4">
        <w:rPr>
          <w:rFonts w:ascii="Times New Roman" w:hAnsi="Times New Roman" w:cs="Times New Roman"/>
          <w:lang w:val="en-US"/>
        </w:rPr>
        <w:t xml:space="preserve">the Baltic group was </w:t>
      </w:r>
      <w:r w:rsidRPr="00A841D4">
        <w:rPr>
          <w:rFonts w:ascii="Times New Roman" w:hAnsi="Times New Roman" w:cs="Times New Roman"/>
          <w:lang w:val="en-US"/>
        </w:rPr>
        <w:t xml:space="preserve">able to deal with them </w:t>
      </w:r>
      <w:r w:rsidR="00F46386" w:rsidRPr="00A841D4">
        <w:rPr>
          <w:rFonts w:ascii="Times New Roman" w:hAnsi="Times New Roman" w:cs="Times New Roman"/>
          <w:lang w:val="en-US"/>
        </w:rPr>
        <w:t xml:space="preserve">more </w:t>
      </w:r>
      <w:r w:rsidRPr="00A841D4">
        <w:rPr>
          <w:rFonts w:ascii="Times New Roman" w:hAnsi="Times New Roman" w:cs="Times New Roman"/>
          <w:lang w:val="en-US"/>
        </w:rPr>
        <w:t>successfully. However, one must also point out that this ‘textbook’ internal devaluation model can account for only a small part of Lithuania’s adjustment success. First, wages fell much more in the public sector than in private businesses. Secondly, the bulk of adjustment of unit labor costs, which measure how much it costs to produce a unit of output, came in terms of productivity growth rather than lower wages. This has been discussed extensively by Blanchard et al. in Latvia’s case (2013) but Lithuania’</w:t>
      </w:r>
      <w:r w:rsidR="00F2611A" w:rsidRPr="00A841D4">
        <w:rPr>
          <w:rFonts w:ascii="Times New Roman" w:hAnsi="Times New Roman" w:cs="Times New Roman"/>
          <w:lang w:val="en-US"/>
        </w:rPr>
        <w:t>s</w:t>
      </w:r>
      <w:r w:rsidRPr="00A841D4">
        <w:rPr>
          <w:rFonts w:ascii="Times New Roman" w:hAnsi="Times New Roman" w:cs="Times New Roman"/>
          <w:lang w:val="en-US"/>
        </w:rPr>
        <w:t xml:space="preserve"> situation was essentially the same (Kuokštis, 2015). Third, even the adjustment of unit labor costs does not account for the very fast growth in exports, as they increased more than might have been expected based on this indicator alone (Kuokštis, 2015).</w:t>
      </w:r>
    </w:p>
    <w:p w14:paraId="68A6EA3A" w14:textId="77777777" w:rsidR="00E2205F" w:rsidRPr="00A841D4" w:rsidRDefault="00E2205F" w:rsidP="00E2205F">
      <w:pPr>
        <w:jc w:val="both"/>
        <w:rPr>
          <w:rFonts w:ascii="Times New Roman" w:hAnsi="Times New Roman" w:cs="Times New Roman"/>
          <w:lang w:val="en-US"/>
        </w:rPr>
      </w:pPr>
    </w:p>
    <w:p w14:paraId="251A13E4" w14:textId="21FA7F88" w:rsidR="00866E21" w:rsidRPr="00A841D4" w:rsidRDefault="00866E21" w:rsidP="00E2205F">
      <w:pPr>
        <w:jc w:val="both"/>
        <w:rPr>
          <w:rFonts w:ascii="Times New Roman" w:hAnsi="Times New Roman" w:cs="Times New Roman"/>
          <w:lang w:val="en-US"/>
        </w:rPr>
      </w:pPr>
      <w:r w:rsidRPr="00A841D4">
        <w:rPr>
          <w:rFonts w:ascii="Times New Roman" w:hAnsi="Times New Roman" w:cs="Times New Roman"/>
          <w:lang w:val="en-US"/>
        </w:rPr>
        <w:t>Finally, although not directly related to trade flows, one could also mention here another very important form of flexibility which helped with Lithuanian adjustment to the crisis – labor mobility. In response to the downturn, Lithuanians started massively emigrating</w:t>
      </w:r>
      <w:r w:rsidR="00F330B7" w:rsidRPr="00A841D4">
        <w:rPr>
          <w:rFonts w:ascii="Times New Roman" w:hAnsi="Times New Roman" w:cs="Times New Roman"/>
          <w:lang w:val="en-US"/>
        </w:rPr>
        <w:t>, mostly to richer EU members. This in turn helped reduce unemployment, eased political pressure, and also resulted in higher remittance flows which stimulated domestic demand and to some extent substituted for the lack of government spending in the context of strong austerity.</w:t>
      </w:r>
    </w:p>
    <w:p w14:paraId="291319E2" w14:textId="77777777" w:rsidR="005B318C" w:rsidRPr="00A841D4" w:rsidRDefault="005B318C" w:rsidP="00E2205F">
      <w:pPr>
        <w:jc w:val="both"/>
        <w:rPr>
          <w:rFonts w:ascii="Times New Roman" w:hAnsi="Times New Roman" w:cs="Times New Roman"/>
          <w:lang w:val="en-US"/>
        </w:rPr>
      </w:pPr>
    </w:p>
    <w:p w14:paraId="1F8A1B36" w14:textId="705054EA" w:rsidR="00221841" w:rsidRPr="00A841D4" w:rsidRDefault="002F7044" w:rsidP="00E2205F">
      <w:pPr>
        <w:jc w:val="both"/>
        <w:rPr>
          <w:rFonts w:ascii="Times New Roman" w:hAnsi="Times New Roman" w:cs="Times New Roman"/>
          <w:lang w:val="en-US"/>
        </w:rPr>
      </w:pPr>
      <w:r w:rsidRPr="00A841D4">
        <w:rPr>
          <w:rFonts w:ascii="Times New Roman" w:hAnsi="Times New Roman" w:cs="Times New Roman"/>
          <w:lang w:val="en-US"/>
        </w:rPr>
        <w:t>With respect to Lithuania’s</w:t>
      </w:r>
      <w:r w:rsidR="00221841" w:rsidRPr="00A841D4">
        <w:rPr>
          <w:rFonts w:ascii="Times New Roman" w:hAnsi="Times New Roman" w:cs="Times New Roman"/>
          <w:lang w:val="en-US"/>
        </w:rPr>
        <w:t xml:space="preserve"> resilience in response to the Russian embargo, one should pay closer attention to the nature of Lithuanian exports to Russia</w:t>
      </w:r>
      <w:r w:rsidRPr="00A841D4">
        <w:rPr>
          <w:rFonts w:ascii="Times New Roman" w:hAnsi="Times New Roman" w:cs="Times New Roman"/>
          <w:lang w:val="en-US"/>
        </w:rPr>
        <w:t>, the vast majority of which were</w:t>
      </w:r>
      <w:r w:rsidR="00221841" w:rsidRPr="00A841D4">
        <w:rPr>
          <w:rFonts w:ascii="Times New Roman" w:hAnsi="Times New Roman" w:cs="Times New Roman"/>
          <w:lang w:val="en-US"/>
        </w:rPr>
        <w:t xml:space="preserve"> in fact re-exports, and not exports of Lithuanian origin</w:t>
      </w:r>
      <w:r w:rsidRPr="00A841D4">
        <w:rPr>
          <w:rFonts w:ascii="Times New Roman" w:hAnsi="Times New Roman" w:cs="Times New Roman"/>
          <w:lang w:val="en-US"/>
        </w:rPr>
        <w:t xml:space="preserve"> (see Figure 12</w:t>
      </w:r>
      <w:r w:rsidR="00182E40" w:rsidRPr="00A841D4">
        <w:rPr>
          <w:rFonts w:ascii="Times New Roman" w:hAnsi="Times New Roman" w:cs="Times New Roman"/>
          <w:lang w:val="en-US"/>
        </w:rPr>
        <w:t>)</w:t>
      </w:r>
      <w:r w:rsidR="00221841" w:rsidRPr="00A841D4">
        <w:rPr>
          <w:rFonts w:ascii="Times New Roman" w:hAnsi="Times New Roman" w:cs="Times New Roman"/>
          <w:lang w:val="en-US"/>
        </w:rPr>
        <w:t xml:space="preserve">. This greatly limited the potential vulnerability of the Lithuanian economy. </w:t>
      </w:r>
      <w:r w:rsidRPr="00A841D4">
        <w:rPr>
          <w:rFonts w:ascii="Times New Roman" w:hAnsi="Times New Roman" w:cs="Times New Roman"/>
          <w:lang w:val="en-US"/>
        </w:rPr>
        <w:t>In 2013 re-exports, which are</w:t>
      </w:r>
      <w:r w:rsidR="00713656" w:rsidRPr="00A841D4">
        <w:rPr>
          <w:rFonts w:ascii="Times New Roman" w:hAnsi="Times New Roman" w:cs="Times New Roman"/>
          <w:lang w:val="en-US"/>
        </w:rPr>
        <w:t xml:space="preserve"> generally low added value, accounted for 80-90% of Lithuanian export</w:t>
      </w:r>
      <w:r w:rsidRPr="00A841D4">
        <w:rPr>
          <w:rFonts w:ascii="Times New Roman" w:hAnsi="Times New Roman" w:cs="Times New Roman"/>
          <w:lang w:val="en-US"/>
        </w:rPr>
        <w:t>s to Russia (</w:t>
      </w:r>
      <w:proofErr w:type="spellStart"/>
      <w:r w:rsidRPr="00A841D4">
        <w:rPr>
          <w:rFonts w:ascii="Times New Roman" w:hAnsi="Times New Roman" w:cs="Times New Roman"/>
          <w:lang w:val="en-US"/>
        </w:rPr>
        <w:t>Mauricas</w:t>
      </w:r>
      <w:proofErr w:type="spellEnd"/>
      <w:r w:rsidRPr="00A841D4">
        <w:rPr>
          <w:rFonts w:ascii="Times New Roman" w:hAnsi="Times New Roman" w:cs="Times New Roman"/>
          <w:lang w:val="en-US"/>
        </w:rPr>
        <w:t>, 2015). In terms of</w:t>
      </w:r>
      <w:r w:rsidR="00713656" w:rsidRPr="00A841D4">
        <w:rPr>
          <w:rFonts w:ascii="Times New Roman" w:hAnsi="Times New Roman" w:cs="Times New Roman"/>
          <w:lang w:val="en-US"/>
        </w:rPr>
        <w:t xml:space="preserve"> export</w:t>
      </w:r>
      <w:r w:rsidRPr="00A841D4">
        <w:rPr>
          <w:rFonts w:ascii="Times New Roman" w:hAnsi="Times New Roman" w:cs="Times New Roman"/>
          <w:lang w:val="en-US"/>
        </w:rPr>
        <w:t>s</w:t>
      </w:r>
      <w:r w:rsidR="00713656" w:rsidRPr="00A841D4">
        <w:rPr>
          <w:rFonts w:ascii="Times New Roman" w:hAnsi="Times New Roman" w:cs="Times New Roman"/>
          <w:lang w:val="en-US"/>
        </w:rPr>
        <w:t xml:space="preserve"> of L</w:t>
      </w:r>
      <w:r w:rsidRPr="00A841D4">
        <w:rPr>
          <w:rFonts w:ascii="Times New Roman" w:hAnsi="Times New Roman" w:cs="Times New Roman"/>
          <w:lang w:val="en-US"/>
        </w:rPr>
        <w:t>ithuanian origin goods, which are</w:t>
      </w:r>
      <w:r w:rsidR="00713656" w:rsidRPr="00A841D4">
        <w:rPr>
          <w:rFonts w:ascii="Times New Roman" w:hAnsi="Times New Roman" w:cs="Times New Roman"/>
          <w:lang w:val="en-US"/>
        </w:rPr>
        <w:t xml:space="preserve"> generally high added value, Russia was</w:t>
      </w:r>
      <w:r w:rsidR="00F01F32" w:rsidRPr="00A841D4">
        <w:rPr>
          <w:rFonts w:ascii="Times New Roman" w:hAnsi="Times New Roman" w:cs="Times New Roman"/>
          <w:lang w:val="en-US"/>
        </w:rPr>
        <w:t xml:space="preserve"> the</w:t>
      </w:r>
      <w:r w:rsidR="00713656" w:rsidRPr="00A841D4">
        <w:rPr>
          <w:rFonts w:ascii="Times New Roman" w:hAnsi="Times New Roman" w:cs="Times New Roman"/>
          <w:lang w:val="en-US"/>
        </w:rPr>
        <w:t xml:space="preserve"> 8th largest destination after Germany, Latvia, Estonia, UK, Netherlands, Poland, Sweden and accounted for </w:t>
      </w:r>
      <w:r w:rsidR="00182E40" w:rsidRPr="00A841D4">
        <w:rPr>
          <w:rFonts w:ascii="Times New Roman" w:hAnsi="Times New Roman" w:cs="Times New Roman"/>
          <w:lang w:val="en-US"/>
        </w:rPr>
        <w:t xml:space="preserve">only </w:t>
      </w:r>
      <w:r w:rsidR="00713656" w:rsidRPr="00A841D4">
        <w:rPr>
          <w:rFonts w:ascii="Times New Roman" w:hAnsi="Times New Roman" w:cs="Times New Roman"/>
          <w:lang w:val="en-US"/>
        </w:rPr>
        <w:t>4.8% of overall Lithuanian o</w:t>
      </w:r>
      <w:r w:rsidR="006B0BC0" w:rsidRPr="00A841D4">
        <w:rPr>
          <w:rFonts w:ascii="Times New Roman" w:hAnsi="Times New Roman" w:cs="Times New Roman"/>
          <w:lang w:val="en-US"/>
        </w:rPr>
        <w:t>rigin goods export. This</w:t>
      </w:r>
      <w:r w:rsidR="00713656" w:rsidRPr="00A841D4">
        <w:rPr>
          <w:rFonts w:ascii="Times New Roman" w:hAnsi="Times New Roman" w:cs="Times New Roman"/>
          <w:lang w:val="en-US"/>
        </w:rPr>
        <w:t xml:space="preserve"> limited </w:t>
      </w:r>
      <w:r w:rsidR="006B0BC0" w:rsidRPr="00A841D4">
        <w:rPr>
          <w:rFonts w:ascii="Times New Roman" w:hAnsi="Times New Roman" w:cs="Times New Roman"/>
          <w:lang w:val="en-US"/>
        </w:rPr>
        <w:t xml:space="preserve">significantly </w:t>
      </w:r>
      <w:r w:rsidR="00713656" w:rsidRPr="00A841D4">
        <w:rPr>
          <w:rFonts w:ascii="Times New Roman" w:hAnsi="Times New Roman" w:cs="Times New Roman"/>
          <w:lang w:val="en-US"/>
        </w:rPr>
        <w:t>the potential vulnerability of the Lithuanian economy.</w:t>
      </w:r>
    </w:p>
    <w:p w14:paraId="1042B6B8" w14:textId="68CF851C" w:rsidR="00221841" w:rsidRPr="00A841D4" w:rsidRDefault="00221841" w:rsidP="00E2205F">
      <w:pPr>
        <w:jc w:val="both"/>
        <w:rPr>
          <w:rFonts w:ascii="Times New Roman" w:hAnsi="Times New Roman" w:cs="Times New Roman"/>
          <w:lang w:val="en-US"/>
        </w:rPr>
      </w:pPr>
    </w:p>
    <w:p w14:paraId="41721AF0" w14:textId="6ED36100" w:rsidR="00713656" w:rsidRPr="00A841D4" w:rsidRDefault="00713656" w:rsidP="00E2205F">
      <w:pPr>
        <w:jc w:val="both"/>
        <w:rPr>
          <w:rFonts w:ascii="Times New Roman" w:hAnsi="Times New Roman" w:cs="Times New Roman"/>
          <w:lang w:val="en-US"/>
        </w:rPr>
      </w:pPr>
      <w:r w:rsidRPr="00A841D4">
        <w:rPr>
          <w:rFonts w:ascii="Times New Roman" w:hAnsi="Times New Roman" w:cs="Times New Roman"/>
          <w:noProof/>
          <w:lang w:val="en-US"/>
        </w:rPr>
        <w:drawing>
          <wp:inline distT="0" distB="0" distL="0" distR="0" wp14:anchorId="4089D5DD" wp14:editId="2978ECE9">
            <wp:extent cx="5936615" cy="2880000"/>
            <wp:effectExtent l="0" t="0" r="6985" b="15875"/>
            <wp:docPr id="8" name="Chart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8A38900-7003-430E-921B-C645BF55B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593DCF" w14:textId="02EB799D" w:rsidR="00170EAF" w:rsidRPr="00A841D4" w:rsidRDefault="00170EAF" w:rsidP="00E2205F">
      <w:pPr>
        <w:jc w:val="both"/>
        <w:rPr>
          <w:rFonts w:ascii="Times New Roman" w:hAnsi="Times New Roman" w:cs="Times New Roman"/>
          <w:i/>
          <w:lang w:val="en-US"/>
        </w:rPr>
      </w:pPr>
      <w:r w:rsidRPr="00A841D4">
        <w:rPr>
          <w:rFonts w:ascii="Times New Roman" w:hAnsi="Times New Roman" w:cs="Times New Roman"/>
          <w:lang w:val="en-US"/>
        </w:rPr>
        <w:t xml:space="preserve">Figure 12, </w:t>
      </w:r>
      <w:r w:rsidRPr="00A841D4">
        <w:rPr>
          <w:rFonts w:ascii="Times New Roman" w:hAnsi="Times New Roman" w:cs="Times New Roman"/>
          <w:i/>
          <w:lang w:val="en-US"/>
        </w:rPr>
        <w:t xml:space="preserve">Export of Lithuanian origin products (unit: EUR thousand, 2012 - 2018), </w:t>
      </w:r>
      <w:proofErr w:type="spellStart"/>
      <w:r w:rsidRPr="00A841D4">
        <w:rPr>
          <w:rFonts w:ascii="Times New Roman" w:hAnsi="Times New Roman" w:cs="Times New Roman"/>
          <w:i/>
          <w:lang w:val="en-US"/>
        </w:rPr>
        <w:t>Trademap</w:t>
      </w:r>
      <w:proofErr w:type="spellEnd"/>
      <w:r w:rsidRPr="00A841D4">
        <w:rPr>
          <w:rFonts w:ascii="Times New Roman" w:hAnsi="Times New Roman" w:cs="Times New Roman"/>
          <w:i/>
          <w:lang w:val="en-US"/>
        </w:rPr>
        <w:t>.</w:t>
      </w:r>
    </w:p>
    <w:p w14:paraId="59198AD1" w14:textId="77777777" w:rsidR="00182E40" w:rsidRPr="00A841D4" w:rsidRDefault="00182E40" w:rsidP="00E2205F">
      <w:pPr>
        <w:jc w:val="both"/>
        <w:rPr>
          <w:rFonts w:ascii="Times New Roman" w:hAnsi="Times New Roman" w:cs="Times New Roman"/>
          <w:lang w:val="en-US"/>
        </w:rPr>
      </w:pPr>
    </w:p>
    <w:p w14:paraId="747C701F" w14:textId="4FCA3D47" w:rsidR="00713656" w:rsidRPr="00A841D4" w:rsidRDefault="00713656" w:rsidP="00E2205F">
      <w:pPr>
        <w:jc w:val="both"/>
        <w:rPr>
          <w:rFonts w:ascii="Times New Roman" w:hAnsi="Times New Roman" w:cs="Times New Roman"/>
          <w:lang w:val="en-US"/>
        </w:rPr>
      </w:pPr>
      <w:r w:rsidRPr="00A841D4">
        <w:rPr>
          <w:rFonts w:ascii="Times New Roman" w:hAnsi="Times New Roman" w:cs="Times New Roman"/>
          <w:noProof/>
          <w:lang w:val="en-US"/>
        </w:rPr>
        <w:lastRenderedPageBreak/>
        <w:drawing>
          <wp:inline distT="0" distB="0" distL="0" distR="0" wp14:anchorId="591752A5" wp14:editId="390468CF">
            <wp:extent cx="5936615" cy="2880000"/>
            <wp:effectExtent l="0" t="0" r="6985" b="15875"/>
            <wp:docPr id="23" name="Chart 2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C8334FB-153F-456E-B0B6-D28A5D49E5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906C70" w14:textId="09FBFFC6" w:rsidR="00182E40" w:rsidRPr="00A841D4" w:rsidRDefault="00182E40" w:rsidP="00E2205F">
      <w:pPr>
        <w:jc w:val="both"/>
        <w:rPr>
          <w:rFonts w:ascii="Times New Roman" w:hAnsi="Times New Roman" w:cs="Times New Roman"/>
          <w:i/>
          <w:lang w:val="en-US"/>
        </w:rPr>
      </w:pPr>
      <w:r w:rsidRPr="00A841D4">
        <w:rPr>
          <w:rFonts w:ascii="Times New Roman" w:hAnsi="Times New Roman" w:cs="Times New Roman"/>
          <w:lang w:val="en-US"/>
        </w:rPr>
        <w:t>Figure</w:t>
      </w:r>
      <w:r w:rsidR="00170EAF" w:rsidRPr="00A841D4">
        <w:rPr>
          <w:rFonts w:ascii="Times New Roman" w:hAnsi="Times New Roman" w:cs="Times New Roman"/>
          <w:lang w:val="en-US"/>
        </w:rPr>
        <w:t xml:space="preserve"> 13, </w:t>
      </w:r>
      <w:r w:rsidR="00170EAF" w:rsidRPr="00A841D4">
        <w:rPr>
          <w:rFonts w:ascii="Times New Roman" w:hAnsi="Times New Roman" w:cs="Times New Roman"/>
          <w:i/>
          <w:lang w:val="en-US"/>
        </w:rPr>
        <w:t>Export to Russian Federation by Lithuanian origin products (2013)</w:t>
      </w:r>
      <w:r w:rsidRPr="00A841D4">
        <w:rPr>
          <w:rFonts w:ascii="Times New Roman" w:hAnsi="Times New Roman" w:cs="Times New Roman"/>
          <w:i/>
          <w:lang w:val="en-US"/>
        </w:rPr>
        <w:t>.</w:t>
      </w:r>
      <w:r w:rsidR="00170EAF" w:rsidRPr="00A841D4">
        <w:rPr>
          <w:rFonts w:ascii="Times New Roman" w:hAnsi="Times New Roman" w:cs="Times New Roman"/>
          <w:i/>
          <w:lang w:val="en-US"/>
        </w:rPr>
        <w:t xml:space="preserve"> Lithuanian statistics department. </w:t>
      </w:r>
    </w:p>
    <w:p w14:paraId="1C9DBE29" w14:textId="6A94FDEA" w:rsidR="00182E40" w:rsidRPr="00A841D4" w:rsidRDefault="00182E40" w:rsidP="00E2205F">
      <w:pPr>
        <w:jc w:val="both"/>
        <w:rPr>
          <w:rFonts w:ascii="Times New Roman" w:hAnsi="Times New Roman" w:cs="Times New Roman"/>
          <w:lang w:val="en-US"/>
        </w:rPr>
      </w:pPr>
    </w:p>
    <w:p w14:paraId="70DDDDBC" w14:textId="77777777" w:rsidR="00182E40" w:rsidRPr="00A841D4" w:rsidRDefault="00182E40" w:rsidP="00E2205F">
      <w:pPr>
        <w:jc w:val="both"/>
        <w:rPr>
          <w:rFonts w:ascii="Times New Roman" w:hAnsi="Times New Roman" w:cs="Times New Roman"/>
          <w:lang w:val="en-US"/>
        </w:rPr>
      </w:pPr>
    </w:p>
    <w:p w14:paraId="63B61D17" w14:textId="4451FB62" w:rsidR="007B2633" w:rsidRPr="00A841D4" w:rsidRDefault="00182E40" w:rsidP="00E2205F">
      <w:pPr>
        <w:jc w:val="both"/>
        <w:rPr>
          <w:rFonts w:ascii="Times New Roman" w:hAnsi="Times New Roman" w:cs="Times New Roman"/>
          <w:lang w:val="en-US"/>
        </w:rPr>
      </w:pPr>
      <w:r w:rsidRPr="00A841D4">
        <w:rPr>
          <w:rFonts w:ascii="Times New Roman" w:hAnsi="Times New Roman" w:cs="Times New Roman"/>
          <w:lang w:val="en-US"/>
        </w:rPr>
        <w:t xml:space="preserve">As mentioned above on the response to the Great Recession, Lithuanian businesses have been very successful at flexibly adapting to the changing market conditions. This was also manifest in the second case of adjustment to the Russian embargo. </w:t>
      </w:r>
      <w:r w:rsidR="007B2633" w:rsidRPr="00A841D4">
        <w:rPr>
          <w:rFonts w:ascii="Times New Roman" w:hAnsi="Times New Roman" w:cs="Times New Roman"/>
          <w:lang w:val="en-US"/>
        </w:rPr>
        <w:t xml:space="preserve">Lithuanian transport sector, one of the most heavily dependent sectors on Russia prior to 2014, </w:t>
      </w:r>
      <w:r w:rsidR="006B0BC0" w:rsidRPr="00A841D4">
        <w:rPr>
          <w:rFonts w:ascii="Times New Roman" w:hAnsi="Times New Roman" w:cs="Times New Roman"/>
          <w:lang w:val="en-US"/>
        </w:rPr>
        <w:t>re</w:t>
      </w:r>
      <w:r w:rsidR="007B2633" w:rsidRPr="00A841D4">
        <w:rPr>
          <w:rFonts w:ascii="Times New Roman" w:hAnsi="Times New Roman" w:cs="Times New Roman"/>
          <w:lang w:val="en-US"/>
        </w:rPr>
        <w:t xml:space="preserve">presents an excellent example of this. In just one-year companies working in this sector managed to completely compensate the loses from Russian market by expanding revenues in </w:t>
      </w:r>
      <w:r w:rsidR="006B0BC0" w:rsidRPr="00A841D4">
        <w:rPr>
          <w:rFonts w:ascii="Times New Roman" w:hAnsi="Times New Roman" w:cs="Times New Roman"/>
          <w:lang w:val="en-US"/>
        </w:rPr>
        <w:t xml:space="preserve">the </w:t>
      </w:r>
      <w:r w:rsidR="007B2633" w:rsidRPr="00A841D4">
        <w:rPr>
          <w:rFonts w:ascii="Times New Roman" w:hAnsi="Times New Roman" w:cs="Times New Roman"/>
          <w:lang w:val="en-US"/>
        </w:rPr>
        <w:t>EU. Furthermore, employment in this sector remained stable, in 2014 105.606 people worked in it, in 2015 105.429</w:t>
      </w:r>
      <w:r w:rsidR="008017D2" w:rsidRPr="00A841D4">
        <w:rPr>
          <w:rFonts w:ascii="Times New Roman" w:hAnsi="Times New Roman" w:cs="Times New Roman"/>
          <w:lang w:val="en-US"/>
        </w:rPr>
        <w:t xml:space="preserve"> and in 2016 it increased to 110 857</w:t>
      </w:r>
      <w:r w:rsidR="00F516B3" w:rsidRPr="00A841D4">
        <w:rPr>
          <w:rFonts w:ascii="Times New Roman" w:hAnsi="Times New Roman" w:cs="Times New Roman"/>
          <w:lang w:val="en-US"/>
        </w:rPr>
        <w:t xml:space="preserve"> (Lithuanian Ministry of Transport and Communications, 2016)</w:t>
      </w:r>
      <w:r w:rsidR="007B2633" w:rsidRPr="00A841D4">
        <w:rPr>
          <w:rFonts w:ascii="Times New Roman" w:hAnsi="Times New Roman" w:cs="Times New Roman"/>
          <w:lang w:val="en-US"/>
        </w:rPr>
        <w:t>. While the number on companies operating increased from 6.602 in 2014 to 7.054 in 2015</w:t>
      </w:r>
      <w:r w:rsidR="008017D2" w:rsidRPr="00A841D4">
        <w:rPr>
          <w:rFonts w:ascii="Times New Roman" w:hAnsi="Times New Roman" w:cs="Times New Roman"/>
          <w:lang w:val="en-US"/>
        </w:rPr>
        <w:t xml:space="preserve"> and 7 155in 2016</w:t>
      </w:r>
      <w:r w:rsidR="007B2633" w:rsidRPr="00A841D4">
        <w:rPr>
          <w:rFonts w:ascii="Times New Roman" w:hAnsi="Times New Roman" w:cs="Times New Roman"/>
          <w:lang w:val="en-US"/>
        </w:rPr>
        <w:t>. This suggests that companies actively hedged against risks associated with Russian market and were not significantly affected by the turmoil.</w:t>
      </w:r>
    </w:p>
    <w:p w14:paraId="73A81D35" w14:textId="77777777" w:rsidR="007B2633" w:rsidRPr="00A841D4" w:rsidRDefault="007B2633" w:rsidP="00E2205F">
      <w:pPr>
        <w:jc w:val="both"/>
        <w:rPr>
          <w:rFonts w:ascii="Times New Roman" w:hAnsi="Times New Roman" w:cs="Times New Roman"/>
          <w:lang w:val="en-US"/>
        </w:rPr>
      </w:pPr>
    </w:p>
    <w:p w14:paraId="1A8EE75B" w14:textId="20C96CC6" w:rsidR="007B2633" w:rsidRPr="00A841D4" w:rsidRDefault="007B2633" w:rsidP="00E2205F">
      <w:pPr>
        <w:jc w:val="both"/>
        <w:rPr>
          <w:rFonts w:ascii="Times New Roman" w:hAnsi="Times New Roman" w:cs="Times New Roman"/>
          <w:lang w:val="en-US"/>
        </w:rPr>
      </w:pPr>
      <w:r w:rsidRPr="00A841D4">
        <w:rPr>
          <w:rFonts w:ascii="Times New Roman" w:hAnsi="Times New Roman" w:cs="Times New Roman"/>
          <w:noProof/>
          <w:lang w:val="en-US"/>
        </w:rPr>
        <w:drawing>
          <wp:inline distT="0" distB="0" distL="0" distR="0" wp14:anchorId="6A5EBACC" wp14:editId="2DE99300">
            <wp:extent cx="5936615" cy="2878186"/>
            <wp:effectExtent l="0" t="0" r="6985" b="17780"/>
            <wp:docPr id="2" name="Chart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78375CD-CF40-459D-BCF3-6C17D67F4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4D2614B" w14:textId="06892B10" w:rsidR="007B2633" w:rsidRPr="00A841D4" w:rsidRDefault="00170EAF" w:rsidP="00E2205F">
      <w:pPr>
        <w:jc w:val="both"/>
        <w:rPr>
          <w:rFonts w:ascii="Times New Roman" w:hAnsi="Times New Roman" w:cs="Times New Roman"/>
          <w:lang w:val="en-US"/>
        </w:rPr>
      </w:pPr>
      <w:r w:rsidRPr="00A841D4">
        <w:rPr>
          <w:rFonts w:ascii="Times New Roman" w:hAnsi="Times New Roman" w:cs="Times New Roman"/>
          <w:lang w:val="en-US"/>
        </w:rPr>
        <w:t xml:space="preserve">Figure 14, Lithuanian export of transport services (EUR </w:t>
      </w:r>
      <w:proofErr w:type="spellStart"/>
      <w:r w:rsidRPr="00A841D4">
        <w:rPr>
          <w:rFonts w:ascii="Times New Roman" w:hAnsi="Times New Roman" w:cs="Times New Roman"/>
          <w:lang w:val="en-US"/>
        </w:rPr>
        <w:t>bil</w:t>
      </w:r>
      <w:proofErr w:type="spellEnd"/>
      <w:r w:rsidRPr="00A841D4">
        <w:rPr>
          <w:rFonts w:ascii="Times New Roman" w:hAnsi="Times New Roman" w:cs="Times New Roman"/>
          <w:lang w:val="en-US"/>
        </w:rPr>
        <w:t xml:space="preserve">, 2005 -2017), </w:t>
      </w:r>
      <w:proofErr w:type="spellStart"/>
      <w:r w:rsidRPr="00A841D4">
        <w:rPr>
          <w:rFonts w:ascii="Times New Roman" w:hAnsi="Times New Roman" w:cs="Times New Roman"/>
          <w:i/>
          <w:lang w:val="en-US"/>
        </w:rPr>
        <w:t>Trademap</w:t>
      </w:r>
      <w:proofErr w:type="spellEnd"/>
      <w:r w:rsidRPr="00A841D4">
        <w:rPr>
          <w:rFonts w:ascii="Times New Roman" w:hAnsi="Times New Roman" w:cs="Times New Roman"/>
          <w:i/>
          <w:lang w:val="en-US"/>
        </w:rPr>
        <w:t>, authors calculations.</w:t>
      </w:r>
    </w:p>
    <w:p w14:paraId="163557B4" w14:textId="77777777" w:rsidR="00170EAF" w:rsidRPr="00A841D4" w:rsidRDefault="00170EAF" w:rsidP="00E2205F">
      <w:pPr>
        <w:jc w:val="both"/>
        <w:rPr>
          <w:rFonts w:ascii="Times New Roman" w:hAnsi="Times New Roman" w:cs="Times New Roman"/>
          <w:lang w:val="en-US"/>
        </w:rPr>
      </w:pPr>
    </w:p>
    <w:p w14:paraId="7C207E9A" w14:textId="66749C45" w:rsidR="00713656" w:rsidRPr="00A841D4" w:rsidRDefault="00182E40" w:rsidP="00E2205F">
      <w:pPr>
        <w:jc w:val="both"/>
        <w:rPr>
          <w:rFonts w:ascii="Times New Roman" w:hAnsi="Times New Roman" w:cs="Times New Roman"/>
          <w:lang w:val="en-US"/>
        </w:rPr>
      </w:pPr>
      <w:r w:rsidRPr="00A841D4">
        <w:rPr>
          <w:rFonts w:ascii="Times New Roman" w:hAnsi="Times New Roman" w:cs="Times New Roman"/>
          <w:lang w:val="en-US"/>
        </w:rPr>
        <w:lastRenderedPageBreak/>
        <w:t>The</w:t>
      </w:r>
      <w:r w:rsidR="00713656" w:rsidRPr="00A841D4">
        <w:rPr>
          <w:rFonts w:ascii="Times New Roman" w:hAnsi="Times New Roman" w:cs="Times New Roman"/>
          <w:lang w:val="en-US"/>
        </w:rPr>
        <w:t xml:space="preserve"> Lithuanian business community was well aware of possible risks associated with </w:t>
      </w:r>
      <w:r w:rsidRPr="00A841D4">
        <w:rPr>
          <w:rFonts w:ascii="Times New Roman" w:hAnsi="Times New Roman" w:cs="Times New Roman"/>
          <w:lang w:val="en-US"/>
        </w:rPr>
        <w:t xml:space="preserve">the </w:t>
      </w:r>
      <w:r w:rsidR="00713656" w:rsidRPr="00A841D4">
        <w:rPr>
          <w:rFonts w:ascii="Times New Roman" w:hAnsi="Times New Roman" w:cs="Times New Roman"/>
          <w:lang w:val="en-US"/>
        </w:rPr>
        <w:t>Russian market</w:t>
      </w:r>
      <w:r w:rsidRPr="00A841D4">
        <w:rPr>
          <w:rFonts w:ascii="Times New Roman" w:hAnsi="Times New Roman" w:cs="Times New Roman"/>
          <w:lang w:val="en-US"/>
        </w:rPr>
        <w:t xml:space="preserve"> –</w:t>
      </w:r>
      <w:r w:rsidR="00713656" w:rsidRPr="00A841D4">
        <w:rPr>
          <w:rFonts w:ascii="Times New Roman" w:hAnsi="Times New Roman" w:cs="Times New Roman"/>
          <w:lang w:val="en-US"/>
        </w:rPr>
        <w:t xml:space="preserve"> </w:t>
      </w:r>
      <w:r w:rsidRPr="00A841D4">
        <w:rPr>
          <w:rFonts w:ascii="Times New Roman" w:hAnsi="Times New Roman" w:cs="Times New Roman"/>
          <w:lang w:val="en-US"/>
        </w:rPr>
        <w:t>n</w:t>
      </w:r>
      <w:r w:rsidR="00713656" w:rsidRPr="00A841D4">
        <w:rPr>
          <w:rFonts w:ascii="Times New Roman" w:hAnsi="Times New Roman" w:cs="Times New Roman"/>
          <w:lang w:val="en-US"/>
        </w:rPr>
        <w:t xml:space="preserve">ot only political, but also those </w:t>
      </w:r>
      <w:r w:rsidRPr="00A841D4">
        <w:rPr>
          <w:rFonts w:ascii="Times New Roman" w:hAnsi="Times New Roman" w:cs="Times New Roman"/>
          <w:lang w:val="en-US"/>
        </w:rPr>
        <w:t>related to</w:t>
      </w:r>
      <w:r w:rsidR="00713656" w:rsidRPr="00A841D4">
        <w:rPr>
          <w:rFonts w:ascii="Times New Roman" w:hAnsi="Times New Roman" w:cs="Times New Roman"/>
          <w:lang w:val="en-US"/>
        </w:rPr>
        <w:t xml:space="preserve"> corruption and </w:t>
      </w:r>
      <w:r w:rsidRPr="00A841D4">
        <w:rPr>
          <w:rFonts w:ascii="Times New Roman" w:hAnsi="Times New Roman" w:cs="Times New Roman"/>
          <w:lang w:val="en-US"/>
        </w:rPr>
        <w:t xml:space="preserve">the lack of independence of the </w:t>
      </w:r>
      <w:r w:rsidR="00713656" w:rsidRPr="00A841D4">
        <w:rPr>
          <w:rFonts w:ascii="Times New Roman" w:hAnsi="Times New Roman" w:cs="Times New Roman"/>
          <w:lang w:val="en-US"/>
        </w:rPr>
        <w:t xml:space="preserve">judicial system. </w:t>
      </w:r>
      <w:r w:rsidRPr="00A841D4">
        <w:rPr>
          <w:rFonts w:ascii="Times New Roman" w:hAnsi="Times New Roman" w:cs="Times New Roman"/>
          <w:lang w:val="en-US"/>
        </w:rPr>
        <w:t xml:space="preserve">As a result, Lithuanian </w:t>
      </w:r>
      <w:r w:rsidR="005D37F2" w:rsidRPr="00A841D4">
        <w:rPr>
          <w:rFonts w:ascii="Times New Roman" w:hAnsi="Times New Roman" w:cs="Times New Roman"/>
          <w:lang w:val="en-US"/>
        </w:rPr>
        <w:t>companies</w:t>
      </w:r>
      <w:r w:rsidRPr="00A841D4">
        <w:rPr>
          <w:rFonts w:ascii="Times New Roman" w:hAnsi="Times New Roman" w:cs="Times New Roman"/>
          <w:lang w:val="en-US"/>
        </w:rPr>
        <w:t xml:space="preserve"> working with the Russian market adopted</w:t>
      </w:r>
      <w:r w:rsidR="00713656" w:rsidRPr="00A841D4">
        <w:rPr>
          <w:rFonts w:ascii="Times New Roman" w:hAnsi="Times New Roman" w:cs="Times New Roman"/>
          <w:lang w:val="en-US"/>
        </w:rPr>
        <w:t xml:space="preserve"> certain hedging strategies </w:t>
      </w:r>
      <w:r w:rsidRPr="00A841D4">
        <w:rPr>
          <w:rFonts w:ascii="Times New Roman" w:hAnsi="Times New Roman" w:cs="Times New Roman"/>
          <w:lang w:val="en-US"/>
        </w:rPr>
        <w:t xml:space="preserve">to mitigate risk, mainly </w:t>
      </w:r>
      <w:r w:rsidR="00713656" w:rsidRPr="00A841D4">
        <w:rPr>
          <w:rFonts w:ascii="Times New Roman" w:hAnsi="Times New Roman" w:cs="Times New Roman"/>
          <w:lang w:val="en-US"/>
        </w:rPr>
        <w:t>prepayment and spot-purchasing.</w:t>
      </w:r>
      <w:r w:rsidR="005D37F2" w:rsidRPr="00A841D4">
        <w:rPr>
          <w:rFonts w:ascii="Times New Roman" w:hAnsi="Times New Roman" w:cs="Times New Roman"/>
          <w:lang w:val="en-US"/>
        </w:rPr>
        <w:t xml:space="preserve"> </w:t>
      </w:r>
      <w:r w:rsidR="006B0BC0" w:rsidRPr="00A841D4">
        <w:rPr>
          <w:rFonts w:ascii="Times New Roman" w:hAnsi="Times New Roman" w:cs="Times New Roman"/>
          <w:lang w:val="en-US"/>
        </w:rPr>
        <w:t>This is an important additional element of business flexibility</w:t>
      </w:r>
      <w:r w:rsidR="005D37F2" w:rsidRPr="00A841D4">
        <w:rPr>
          <w:rFonts w:ascii="Times New Roman" w:hAnsi="Times New Roman" w:cs="Times New Roman"/>
          <w:lang w:val="en-US"/>
        </w:rPr>
        <w:t xml:space="preserve"> considering that Lithuania was the most dependent country on trade with Russia among EU28.  </w:t>
      </w:r>
    </w:p>
    <w:p w14:paraId="229BDDCF" w14:textId="77777777" w:rsidR="00E2205F" w:rsidRPr="00A841D4" w:rsidRDefault="00E2205F" w:rsidP="00E2205F">
      <w:pPr>
        <w:jc w:val="both"/>
        <w:rPr>
          <w:rFonts w:ascii="Times New Roman" w:hAnsi="Times New Roman" w:cs="Times New Roman"/>
          <w:lang w:val="en-US"/>
        </w:rPr>
      </w:pPr>
    </w:p>
    <w:p w14:paraId="21216126" w14:textId="50990067" w:rsidR="00AD6284" w:rsidRPr="00A841D4" w:rsidRDefault="00AD6284" w:rsidP="00E2205F">
      <w:pPr>
        <w:jc w:val="both"/>
        <w:rPr>
          <w:rFonts w:ascii="Times New Roman" w:hAnsi="Times New Roman" w:cs="Times New Roman"/>
          <w:lang w:val="en-US"/>
        </w:rPr>
      </w:pPr>
      <w:r w:rsidRPr="00A841D4">
        <w:rPr>
          <w:rFonts w:ascii="Times New Roman" w:hAnsi="Times New Roman" w:cs="Times New Roman"/>
          <w:lang w:val="en-US"/>
        </w:rPr>
        <w:t xml:space="preserve">Companies in </w:t>
      </w:r>
      <w:r w:rsidR="006B0BC0" w:rsidRPr="00A841D4">
        <w:rPr>
          <w:rFonts w:ascii="Times New Roman" w:hAnsi="Times New Roman" w:cs="Times New Roman"/>
          <w:lang w:val="en-US"/>
        </w:rPr>
        <w:t xml:space="preserve">the </w:t>
      </w:r>
      <w:r w:rsidRPr="00A841D4">
        <w:rPr>
          <w:rFonts w:ascii="Times New Roman" w:hAnsi="Times New Roman" w:cs="Times New Roman"/>
          <w:lang w:val="en-US"/>
        </w:rPr>
        <w:t xml:space="preserve">EU usually insure </w:t>
      </w:r>
      <w:r w:rsidR="006B0BC0" w:rsidRPr="00A841D4">
        <w:rPr>
          <w:rFonts w:ascii="Times New Roman" w:hAnsi="Times New Roman" w:cs="Times New Roman"/>
          <w:lang w:val="en-US"/>
        </w:rPr>
        <w:t>contracts with their EU-</w:t>
      </w:r>
      <w:r w:rsidRPr="00A841D4">
        <w:rPr>
          <w:rFonts w:ascii="Times New Roman" w:hAnsi="Times New Roman" w:cs="Times New Roman"/>
          <w:lang w:val="en-US"/>
        </w:rPr>
        <w:t>based client</w:t>
      </w:r>
      <w:r w:rsidR="006B0BC0" w:rsidRPr="00A841D4">
        <w:rPr>
          <w:rFonts w:ascii="Times New Roman" w:hAnsi="Times New Roman" w:cs="Times New Roman"/>
          <w:lang w:val="en-US"/>
        </w:rPr>
        <w:t>s</w:t>
      </w:r>
      <w:r w:rsidRPr="00A841D4">
        <w:rPr>
          <w:rFonts w:ascii="Times New Roman" w:hAnsi="Times New Roman" w:cs="Times New Roman"/>
          <w:lang w:val="en-US"/>
        </w:rPr>
        <w:t xml:space="preserve"> to hedge against possible payment related issues. Insurance also allows them to provide the standard 30 </w:t>
      </w:r>
      <w:proofErr w:type="gramStart"/>
      <w:r w:rsidRPr="00A841D4">
        <w:rPr>
          <w:rFonts w:ascii="Times New Roman" w:hAnsi="Times New Roman" w:cs="Times New Roman"/>
          <w:lang w:val="en-US"/>
        </w:rPr>
        <w:t>days</w:t>
      </w:r>
      <w:proofErr w:type="gramEnd"/>
      <w:r w:rsidRPr="00A841D4">
        <w:rPr>
          <w:rFonts w:ascii="Times New Roman" w:hAnsi="Times New Roman" w:cs="Times New Roman"/>
          <w:lang w:val="en-US"/>
        </w:rPr>
        <w:t xml:space="preserve"> payment period after something is purchased from them. Additionally, if a client displays payment issues the insurance company notifies all other companies working with that client and, in some cases, declares that further sales will no longer be insured. Due to information sharing among insurance companies such </w:t>
      </w:r>
      <w:r w:rsidRPr="00A841D4">
        <w:rPr>
          <w:rFonts w:ascii="Times New Roman" w:hAnsi="Times New Roman" w:cs="Times New Roman"/>
          <w:i/>
          <w:lang w:val="en-US"/>
        </w:rPr>
        <w:t>red-flag</w:t>
      </w:r>
      <w:r w:rsidRPr="00A841D4">
        <w:rPr>
          <w:rFonts w:ascii="Times New Roman" w:hAnsi="Times New Roman" w:cs="Times New Roman"/>
          <w:lang w:val="en-US"/>
        </w:rPr>
        <w:t xml:space="preserve"> usually causes a complete halt of business activities for the named client. If th</w:t>
      </w:r>
      <w:r w:rsidR="006B0BC0" w:rsidRPr="00A841D4">
        <w:rPr>
          <w:rFonts w:ascii="Times New Roman" w:hAnsi="Times New Roman" w:cs="Times New Roman"/>
          <w:lang w:val="en-US"/>
        </w:rPr>
        <w:t>e case is not settled by companies involved</w:t>
      </w:r>
      <w:r w:rsidRPr="00A841D4">
        <w:rPr>
          <w:rFonts w:ascii="Times New Roman" w:hAnsi="Times New Roman" w:cs="Times New Roman"/>
          <w:lang w:val="en-US"/>
        </w:rPr>
        <w:t xml:space="preserve"> insurance company takes the client to the court and pays out </w:t>
      </w:r>
      <w:r w:rsidR="005D37F2" w:rsidRPr="00A841D4">
        <w:rPr>
          <w:rFonts w:ascii="Times New Roman" w:hAnsi="Times New Roman" w:cs="Times New Roman"/>
          <w:lang w:val="en-US"/>
        </w:rPr>
        <w:t xml:space="preserve">the </w:t>
      </w:r>
      <w:r w:rsidRPr="00A841D4">
        <w:rPr>
          <w:rFonts w:ascii="Times New Roman" w:hAnsi="Times New Roman" w:cs="Times New Roman"/>
          <w:lang w:val="en-US"/>
        </w:rPr>
        <w:t xml:space="preserve">compensation to the company that suffered damages. </w:t>
      </w:r>
    </w:p>
    <w:p w14:paraId="18B13DB9" w14:textId="77777777" w:rsidR="00E2205F" w:rsidRPr="00A841D4" w:rsidRDefault="00E2205F" w:rsidP="00E2205F">
      <w:pPr>
        <w:jc w:val="both"/>
        <w:rPr>
          <w:rFonts w:ascii="Times New Roman" w:hAnsi="Times New Roman" w:cs="Times New Roman"/>
          <w:lang w:val="en-US"/>
        </w:rPr>
      </w:pPr>
    </w:p>
    <w:p w14:paraId="1898B04B" w14:textId="62998E90" w:rsidR="00AD6284" w:rsidRPr="00A841D4" w:rsidRDefault="00AD6284" w:rsidP="00E2205F">
      <w:pPr>
        <w:jc w:val="both"/>
        <w:rPr>
          <w:rFonts w:ascii="Times New Roman" w:hAnsi="Times New Roman" w:cs="Times New Roman"/>
          <w:lang w:val="en-US"/>
        </w:rPr>
      </w:pPr>
      <w:r w:rsidRPr="00A841D4">
        <w:rPr>
          <w:rFonts w:ascii="Times New Roman" w:hAnsi="Times New Roman" w:cs="Times New Roman"/>
          <w:lang w:val="en-US"/>
        </w:rPr>
        <w:t xml:space="preserve">However, this system and practice is virtually non-existing in Russia. High risk associated with judicial system mean that most insurances companies simply do not offer such services in Russia and those that do have rates that make </w:t>
      </w:r>
      <w:r w:rsidR="005D37F2" w:rsidRPr="00A841D4">
        <w:rPr>
          <w:rFonts w:ascii="Times New Roman" w:hAnsi="Times New Roman" w:cs="Times New Roman"/>
          <w:lang w:val="en-US"/>
        </w:rPr>
        <w:t>insuring clients</w:t>
      </w:r>
      <w:r w:rsidR="006B0BC0" w:rsidRPr="00A841D4">
        <w:rPr>
          <w:rFonts w:ascii="Times New Roman" w:hAnsi="Times New Roman" w:cs="Times New Roman"/>
          <w:lang w:val="en-US"/>
        </w:rPr>
        <w:t xml:space="preserve"> financially not feasible for most. </w:t>
      </w:r>
      <w:proofErr w:type="gramStart"/>
      <w:r w:rsidR="006B0BC0" w:rsidRPr="00A841D4">
        <w:rPr>
          <w:rFonts w:ascii="Times New Roman" w:hAnsi="Times New Roman" w:cs="Times New Roman"/>
          <w:lang w:val="en-US"/>
        </w:rPr>
        <w:t>Therefore</w:t>
      </w:r>
      <w:proofErr w:type="gramEnd"/>
      <w:r w:rsidRPr="00A841D4">
        <w:rPr>
          <w:rFonts w:ascii="Times New Roman" w:hAnsi="Times New Roman" w:cs="Times New Roman"/>
          <w:lang w:val="en-US"/>
        </w:rPr>
        <w:t xml:space="preserve"> Lithuanian companies</w:t>
      </w:r>
      <w:r w:rsidR="006B0BC0" w:rsidRPr="00A841D4">
        <w:rPr>
          <w:rFonts w:ascii="Times New Roman" w:hAnsi="Times New Roman" w:cs="Times New Roman"/>
          <w:lang w:val="en-US"/>
        </w:rPr>
        <w:t xml:space="preserve"> </w:t>
      </w:r>
      <w:r w:rsidRPr="00A841D4">
        <w:rPr>
          <w:rFonts w:ascii="Times New Roman" w:hAnsi="Times New Roman" w:cs="Times New Roman"/>
          <w:lang w:val="en-US"/>
        </w:rPr>
        <w:t xml:space="preserve">usually require </w:t>
      </w:r>
      <w:r w:rsidR="006B0BC0" w:rsidRPr="00A841D4">
        <w:rPr>
          <w:rFonts w:ascii="Times New Roman" w:hAnsi="Times New Roman" w:cs="Times New Roman"/>
          <w:lang w:val="en-US"/>
        </w:rPr>
        <w:t>Russian counterparts to pay advance payments</w:t>
      </w:r>
      <w:r w:rsidRPr="00A841D4">
        <w:rPr>
          <w:rFonts w:ascii="Times New Roman" w:hAnsi="Times New Roman" w:cs="Times New Roman"/>
          <w:lang w:val="en-US"/>
        </w:rPr>
        <w:t xml:space="preserve"> pr</w:t>
      </w:r>
      <w:r w:rsidR="006B0BC0" w:rsidRPr="00A841D4">
        <w:rPr>
          <w:rFonts w:ascii="Times New Roman" w:hAnsi="Times New Roman" w:cs="Times New Roman"/>
          <w:lang w:val="en-US"/>
        </w:rPr>
        <w:t>ior to receiving goods</w:t>
      </w:r>
      <w:r w:rsidRPr="00A841D4">
        <w:rPr>
          <w:rFonts w:ascii="Times New Roman" w:hAnsi="Times New Roman" w:cs="Times New Roman"/>
          <w:lang w:val="en-US"/>
        </w:rPr>
        <w:t>. They also apply reverse logic when purchasing from companies in Russia by stating that payments will be do</w:t>
      </w:r>
      <w:r w:rsidR="006B0BC0" w:rsidRPr="00A841D4">
        <w:rPr>
          <w:rFonts w:ascii="Times New Roman" w:hAnsi="Times New Roman" w:cs="Times New Roman"/>
          <w:lang w:val="en-US"/>
        </w:rPr>
        <w:t>ne only after goods are</w:t>
      </w:r>
      <w:r w:rsidRPr="00A841D4">
        <w:rPr>
          <w:rFonts w:ascii="Times New Roman" w:hAnsi="Times New Roman" w:cs="Times New Roman"/>
          <w:lang w:val="en-US"/>
        </w:rPr>
        <w:t xml:space="preserve"> received. </w:t>
      </w:r>
    </w:p>
    <w:p w14:paraId="37FF1888" w14:textId="77777777" w:rsidR="00E2205F" w:rsidRPr="00A841D4" w:rsidRDefault="00E2205F" w:rsidP="00E2205F">
      <w:pPr>
        <w:jc w:val="both"/>
        <w:rPr>
          <w:rFonts w:ascii="Times New Roman" w:hAnsi="Times New Roman" w:cs="Times New Roman"/>
          <w:lang w:val="en-US"/>
        </w:rPr>
      </w:pPr>
    </w:p>
    <w:p w14:paraId="2F5FBDE6" w14:textId="505CFAAA" w:rsidR="00713656" w:rsidRPr="00A841D4" w:rsidRDefault="00AD6284" w:rsidP="00E2205F">
      <w:pPr>
        <w:jc w:val="both"/>
        <w:rPr>
          <w:rFonts w:ascii="Times New Roman" w:hAnsi="Times New Roman" w:cs="Times New Roman"/>
          <w:lang w:val="en-US"/>
        </w:rPr>
      </w:pPr>
      <w:r w:rsidRPr="00A841D4">
        <w:rPr>
          <w:rFonts w:ascii="Times New Roman" w:hAnsi="Times New Roman" w:cs="Times New Roman"/>
          <w:lang w:val="en-US"/>
        </w:rPr>
        <w:t xml:space="preserve">The unpredictability of </w:t>
      </w:r>
      <w:r w:rsidR="006B0BC0" w:rsidRPr="00A841D4">
        <w:rPr>
          <w:rFonts w:ascii="Times New Roman" w:hAnsi="Times New Roman" w:cs="Times New Roman"/>
          <w:lang w:val="en-US"/>
        </w:rPr>
        <w:t>the Russian market leads to</w:t>
      </w:r>
      <w:r w:rsidRPr="00A841D4">
        <w:rPr>
          <w:rFonts w:ascii="Times New Roman" w:hAnsi="Times New Roman" w:cs="Times New Roman"/>
          <w:lang w:val="en-US"/>
        </w:rPr>
        <w:t xml:space="preserve"> another important practical </w:t>
      </w:r>
      <w:r w:rsidR="006B0BC0" w:rsidRPr="00A841D4">
        <w:rPr>
          <w:rFonts w:ascii="Times New Roman" w:hAnsi="Times New Roman" w:cs="Times New Roman"/>
          <w:lang w:val="en-US"/>
        </w:rPr>
        <w:t>feature of business transactions</w:t>
      </w:r>
      <w:r w:rsidRPr="00A841D4">
        <w:rPr>
          <w:rFonts w:ascii="Times New Roman" w:hAnsi="Times New Roman" w:cs="Times New Roman"/>
          <w:lang w:val="en-US"/>
        </w:rPr>
        <w:t xml:space="preserve"> – avoidance of long-term contract</w:t>
      </w:r>
      <w:r w:rsidR="006B0BC0" w:rsidRPr="00A841D4">
        <w:rPr>
          <w:rFonts w:ascii="Times New Roman" w:hAnsi="Times New Roman" w:cs="Times New Roman"/>
          <w:lang w:val="en-US"/>
        </w:rPr>
        <w:t>s</w:t>
      </w:r>
      <w:r w:rsidRPr="00A841D4">
        <w:rPr>
          <w:rFonts w:ascii="Times New Roman" w:hAnsi="Times New Roman" w:cs="Times New Roman"/>
          <w:lang w:val="en-US"/>
        </w:rPr>
        <w:t>. In practice this means that a spot-contracts prevail – a contract of buying or selling that is immediately settled. These and similar methods allowed Lithuanian companies to hedge against possible risk associated with Russian market</w:t>
      </w:r>
      <w:r w:rsidR="005D37F2" w:rsidRPr="00A841D4">
        <w:rPr>
          <w:rFonts w:ascii="Times New Roman" w:hAnsi="Times New Roman" w:cs="Times New Roman"/>
          <w:lang w:val="en-US"/>
        </w:rPr>
        <w:t xml:space="preserve"> even prior to 2014</w:t>
      </w:r>
      <w:r w:rsidRPr="00A841D4">
        <w:rPr>
          <w:rFonts w:ascii="Times New Roman" w:hAnsi="Times New Roman" w:cs="Times New Roman"/>
          <w:lang w:val="en-US"/>
        </w:rPr>
        <w:t>. Therefore, after s</w:t>
      </w:r>
      <w:r w:rsidR="006B0BC0" w:rsidRPr="00A841D4">
        <w:rPr>
          <w:rFonts w:ascii="Times New Roman" w:hAnsi="Times New Roman" w:cs="Times New Roman"/>
          <w:lang w:val="en-US"/>
        </w:rPr>
        <w:t>anctions were introduced losse</w:t>
      </w:r>
      <w:r w:rsidRPr="00A841D4">
        <w:rPr>
          <w:rFonts w:ascii="Times New Roman" w:hAnsi="Times New Roman" w:cs="Times New Roman"/>
          <w:lang w:val="en-US"/>
        </w:rPr>
        <w:t>s related to outstanding payments and long-te</w:t>
      </w:r>
      <w:r w:rsidR="00602AEB" w:rsidRPr="00A841D4">
        <w:rPr>
          <w:rFonts w:ascii="Times New Roman" w:hAnsi="Times New Roman" w:cs="Times New Roman"/>
          <w:lang w:val="en-US"/>
        </w:rPr>
        <w:t>rm obligations were minimal.</w:t>
      </w:r>
    </w:p>
    <w:p w14:paraId="380E06A3" w14:textId="77777777" w:rsidR="00713656" w:rsidRPr="00A841D4" w:rsidRDefault="00713656" w:rsidP="00E2205F">
      <w:pPr>
        <w:jc w:val="both"/>
        <w:rPr>
          <w:rFonts w:ascii="Times New Roman" w:hAnsi="Times New Roman" w:cs="Times New Roman"/>
          <w:lang w:val="en-US"/>
        </w:rPr>
      </w:pPr>
    </w:p>
    <w:p w14:paraId="08195500" w14:textId="77777777" w:rsidR="00602AEB" w:rsidRPr="00A841D4" w:rsidRDefault="002A5210" w:rsidP="00E2205F">
      <w:pPr>
        <w:jc w:val="both"/>
        <w:rPr>
          <w:rFonts w:ascii="Times New Roman" w:hAnsi="Times New Roman" w:cs="Times New Roman"/>
          <w:lang w:val="en-US"/>
        </w:rPr>
      </w:pPr>
      <w:r w:rsidRPr="00A841D4">
        <w:rPr>
          <w:rFonts w:ascii="Times New Roman" w:hAnsi="Times New Roman" w:cs="Times New Roman"/>
          <w:lang w:val="en-US"/>
        </w:rPr>
        <w:t>In general, the high flexibility of the Lithuanian economy was not a result of deliberate conscious planning strategy of policy-makers</w:t>
      </w:r>
      <w:r w:rsidR="00BE5FAB" w:rsidRPr="00A841D4">
        <w:rPr>
          <w:rFonts w:ascii="Times New Roman" w:hAnsi="Times New Roman" w:cs="Times New Roman"/>
          <w:lang w:val="en-US"/>
        </w:rPr>
        <w:t>, at least not in the short-term responses to the challenges</w:t>
      </w:r>
      <w:r w:rsidRPr="00A841D4">
        <w:rPr>
          <w:rFonts w:ascii="Times New Roman" w:hAnsi="Times New Roman" w:cs="Times New Roman"/>
          <w:lang w:val="en-US"/>
        </w:rPr>
        <w:t xml:space="preserve">. </w:t>
      </w:r>
      <w:r w:rsidR="00BE5FAB" w:rsidRPr="00A841D4">
        <w:rPr>
          <w:rFonts w:ascii="Times New Roman" w:hAnsi="Times New Roman" w:cs="Times New Roman"/>
          <w:lang w:val="en-US"/>
        </w:rPr>
        <w:t>During the Great Recession, Lithuanian authorities mainly focused on implementing fiscal consolidation trying to stabilize public finances and avoid sovereign default. There were no attempts at coordinating wage decreases or moderation, as is common practice in the Western corporatist small states (</w:t>
      </w:r>
      <w:proofErr w:type="spellStart"/>
      <w:r w:rsidR="00BE5FAB" w:rsidRPr="00A841D4">
        <w:rPr>
          <w:rFonts w:ascii="Times New Roman" w:hAnsi="Times New Roman" w:cs="Times New Roman"/>
          <w:lang w:val="en-US"/>
        </w:rPr>
        <w:t>Kalanta</w:t>
      </w:r>
      <w:proofErr w:type="spellEnd"/>
      <w:r w:rsidR="00BE5FAB" w:rsidRPr="00A841D4">
        <w:rPr>
          <w:rFonts w:ascii="Times New Roman" w:hAnsi="Times New Roman" w:cs="Times New Roman"/>
          <w:lang w:val="en-US"/>
        </w:rPr>
        <w:t>, 2019). There were calls for higher labor market flexibility coming from the business community and some a</w:t>
      </w:r>
      <w:r w:rsidR="00602AEB" w:rsidRPr="00A841D4">
        <w:rPr>
          <w:rFonts w:ascii="Times New Roman" w:hAnsi="Times New Roman" w:cs="Times New Roman"/>
          <w:lang w:val="en-US"/>
        </w:rPr>
        <w:t xml:space="preserve">nalysts, but the new, more </w:t>
      </w:r>
      <w:r w:rsidR="00BE5FAB" w:rsidRPr="00A841D4">
        <w:rPr>
          <w:rFonts w:ascii="Times New Roman" w:hAnsi="Times New Roman" w:cs="Times New Roman"/>
          <w:lang w:val="en-US"/>
        </w:rPr>
        <w:t>liberal labor code was only adopted in 2016. That said, the government arguably contributed to the flexibility of the labor market in the short te</w:t>
      </w:r>
      <w:r w:rsidR="007E5833" w:rsidRPr="00A841D4">
        <w:rPr>
          <w:rFonts w:ascii="Times New Roman" w:hAnsi="Times New Roman" w:cs="Times New Roman"/>
          <w:lang w:val="en-US"/>
        </w:rPr>
        <w:t>r</w:t>
      </w:r>
      <w:r w:rsidR="00BE5FAB" w:rsidRPr="00A841D4">
        <w:rPr>
          <w:rFonts w:ascii="Times New Roman" w:hAnsi="Times New Roman" w:cs="Times New Roman"/>
          <w:lang w:val="en-US"/>
        </w:rPr>
        <w:t xml:space="preserve">m by substantially reducing </w:t>
      </w:r>
      <w:r w:rsidR="005551DB" w:rsidRPr="00A841D4">
        <w:rPr>
          <w:rFonts w:ascii="Times New Roman" w:hAnsi="Times New Roman" w:cs="Times New Roman"/>
          <w:lang w:val="en-US"/>
        </w:rPr>
        <w:t>remuneration</w:t>
      </w:r>
      <w:r w:rsidR="00BE5FAB" w:rsidRPr="00A841D4">
        <w:rPr>
          <w:rFonts w:ascii="Times New Roman" w:hAnsi="Times New Roman" w:cs="Times New Roman"/>
          <w:lang w:val="en-US"/>
        </w:rPr>
        <w:t xml:space="preserve"> in the public sector, which then allowed private businesses to cut wages to a higher degree (although this move, again, was made largely to cut the public deficit rather than try</w:t>
      </w:r>
      <w:r w:rsidR="00602AEB" w:rsidRPr="00A841D4">
        <w:rPr>
          <w:rFonts w:ascii="Times New Roman" w:hAnsi="Times New Roman" w:cs="Times New Roman"/>
          <w:lang w:val="en-US"/>
        </w:rPr>
        <w:t>ing</w:t>
      </w:r>
      <w:r w:rsidR="00BE5FAB" w:rsidRPr="00A841D4">
        <w:rPr>
          <w:rFonts w:ascii="Times New Roman" w:hAnsi="Times New Roman" w:cs="Times New Roman"/>
          <w:lang w:val="en-US"/>
        </w:rPr>
        <w:t xml:space="preserve"> to increase the flexibility of the labor market). </w:t>
      </w:r>
    </w:p>
    <w:p w14:paraId="4ABC6BF6" w14:textId="77777777" w:rsidR="00602AEB" w:rsidRPr="00A841D4" w:rsidRDefault="00602AEB" w:rsidP="00E2205F">
      <w:pPr>
        <w:jc w:val="both"/>
        <w:rPr>
          <w:rFonts w:ascii="Times New Roman" w:hAnsi="Times New Roman" w:cs="Times New Roman"/>
          <w:lang w:val="en-US"/>
        </w:rPr>
      </w:pPr>
    </w:p>
    <w:p w14:paraId="7A35B5F5" w14:textId="1999E533" w:rsidR="00BE5FAB" w:rsidRPr="00A841D4" w:rsidRDefault="00602AEB" w:rsidP="00E2205F">
      <w:pPr>
        <w:jc w:val="both"/>
        <w:rPr>
          <w:rFonts w:ascii="Times New Roman" w:hAnsi="Times New Roman" w:cs="Times New Roman"/>
          <w:lang w:val="en-US"/>
        </w:rPr>
      </w:pPr>
      <w:r w:rsidRPr="00A841D4">
        <w:rPr>
          <w:rFonts w:ascii="Times New Roman" w:hAnsi="Times New Roman" w:cs="Times New Roman"/>
          <w:lang w:val="en-US"/>
        </w:rPr>
        <w:t>In the second</w:t>
      </w:r>
      <w:r w:rsidR="00BE5FAB" w:rsidRPr="00A841D4">
        <w:rPr>
          <w:rFonts w:ascii="Times New Roman" w:hAnsi="Times New Roman" w:cs="Times New Roman"/>
          <w:lang w:val="en-US"/>
        </w:rPr>
        <w:t xml:space="preserve"> case – the response to the Russian embargo – the government again did not take any important deliberate action to help businesses reorient their exports and cope with the challenge. </w:t>
      </w:r>
      <w:r w:rsidRPr="00A841D4">
        <w:rPr>
          <w:rFonts w:ascii="Times New Roman" w:hAnsi="Times New Roman" w:cs="Times New Roman"/>
          <w:lang w:val="en-US"/>
        </w:rPr>
        <w:t xml:space="preserve">There were some initiatives related to financial compensation for Lithuanian agricultural sector companies from the EU budget, but they were short-term measures. </w:t>
      </w:r>
      <w:r w:rsidR="00BE5FAB" w:rsidRPr="00A841D4">
        <w:rPr>
          <w:rFonts w:ascii="Times New Roman" w:hAnsi="Times New Roman" w:cs="Times New Roman"/>
          <w:lang w:val="en-US"/>
        </w:rPr>
        <w:t xml:space="preserve">In both cases, Lithuanian government largely relied on the underlying high degree of flexibility of the Lithuanian economy and businesses; in this sense, the government was to some </w:t>
      </w:r>
      <w:r w:rsidRPr="00A841D4">
        <w:rPr>
          <w:rFonts w:ascii="Times New Roman" w:hAnsi="Times New Roman" w:cs="Times New Roman"/>
          <w:lang w:val="en-US"/>
        </w:rPr>
        <w:t>extent “lucky” to be able to rely</w:t>
      </w:r>
      <w:r w:rsidR="00BE5FAB" w:rsidRPr="00A841D4">
        <w:rPr>
          <w:rFonts w:ascii="Times New Roman" w:hAnsi="Times New Roman" w:cs="Times New Roman"/>
          <w:lang w:val="en-US"/>
        </w:rPr>
        <w:t xml:space="preserve"> this vulnerability-reducing (resilience-enhancing) feature of the country.</w:t>
      </w:r>
    </w:p>
    <w:p w14:paraId="650A0F1F" w14:textId="77777777" w:rsidR="00BE5FAB" w:rsidRPr="00A841D4" w:rsidRDefault="00BE5FAB" w:rsidP="00E2205F">
      <w:pPr>
        <w:jc w:val="both"/>
        <w:rPr>
          <w:rFonts w:ascii="Times New Roman" w:hAnsi="Times New Roman" w:cs="Times New Roman"/>
          <w:lang w:val="en-US"/>
        </w:rPr>
      </w:pPr>
    </w:p>
    <w:p w14:paraId="29AE1B20" w14:textId="6B81307A" w:rsidR="00602AEB" w:rsidRPr="00A841D4" w:rsidRDefault="00602AEB" w:rsidP="00E2205F">
      <w:pPr>
        <w:jc w:val="both"/>
        <w:rPr>
          <w:rFonts w:ascii="Times New Roman" w:hAnsi="Times New Roman" w:cs="Times New Roman"/>
          <w:lang w:val="en-US"/>
        </w:rPr>
      </w:pPr>
      <w:r w:rsidRPr="00A841D4">
        <w:rPr>
          <w:rFonts w:ascii="Times New Roman" w:hAnsi="Times New Roman" w:cs="Times New Roman"/>
          <w:lang w:val="en-US"/>
        </w:rPr>
        <w:t xml:space="preserve">However, </w:t>
      </w:r>
      <w:r w:rsidR="00933D81" w:rsidRPr="00A841D4">
        <w:rPr>
          <w:rFonts w:ascii="Times New Roman" w:hAnsi="Times New Roman" w:cs="Times New Roman"/>
          <w:lang w:val="en-US"/>
        </w:rPr>
        <w:t xml:space="preserve">in one respect the strategic decision making by Lithuanian authorities has been important in terms of reducing its vulnerability to external shocks and facilitating the adjustment </w:t>
      </w:r>
      <w:r w:rsidR="00933D81" w:rsidRPr="00A841D4">
        <w:rPr>
          <w:rFonts w:ascii="Times New Roman" w:hAnsi="Times New Roman" w:cs="Times New Roman"/>
          <w:lang w:val="en-US"/>
        </w:rPr>
        <w:lastRenderedPageBreak/>
        <w:t>of economic agents. It was the policy of strategic restructuring of interdependencies – improving trade conditions with the EU, first, by signing free trade agreement in 1994 and ten years later joining the EU, and</w:t>
      </w:r>
      <w:r w:rsidR="003F3B5E" w:rsidRPr="00A841D4">
        <w:rPr>
          <w:rFonts w:ascii="Times New Roman" w:hAnsi="Times New Roman" w:cs="Times New Roman"/>
          <w:lang w:val="en-US"/>
        </w:rPr>
        <w:t>,</w:t>
      </w:r>
      <w:r w:rsidR="00933D81" w:rsidRPr="00A841D4">
        <w:rPr>
          <w:rFonts w:ascii="Times New Roman" w:hAnsi="Times New Roman" w:cs="Times New Roman"/>
          <w:lang w:val="en-US"/>
        </w:rPr>
        <w:t xml:space="preserve"> at the same time, minimi</w:t>
      </w:r>
      <w:r w:rsidR="0029535F">
        <w:rPr>
          <w:rFonts w:ascii="Times New Roman" w:hAnsi="Times New Roman" w:cs="Times New Roman"/>
          <w:lang w:val="en-US"/>
        </w:rPr>
        <w:t>z</w:t>
      </w:r>
      <w:r w:rsidR="00933D81" w:rsidRPr="00A841D4">
        <w:rPr>
          <w:rFonts w:ascii="Times New Roman" w:hAnsi="Times New Roman" w:cs="Times New Roman"/>
          <w:lang w:val="en-US"/>
        </w:rPr>
        <w:t xml:space="preserve">ing dependence on trade with Russia (see Vilpišauskas 2019). </w:t>
      </w:r>
      <w:r w:rsidR="003F3B5E" w:rsidRPr="00A841D4">
        <w:rPr>
          <w:rFonts w:ascii="Times New Roman" w:hAnsi="Times New Roman" w:cs="Times New Roman"/>
          <w:lang w:val="en-US"/>
        </w:rPr>
        <w:t>Membership in the EU was important also because it included other Lithuania’s important trade partners such as Latvia, Poland and Estonia, allowing an access to a largest common market in the world. Lithuanian companies, especially transport service providers, also managed to turn into their advantage the peripheral position of Lithuania, neighboring Belarus and Russia and combining advantages of legal certainty and free trade within the EU and the familiarity with the Eastern markets and their culture of informal deals.</w:t>
      </w:r>
    </w:p>
    <w:p w14:paraId="225CD985" w14:textId="5F119596" w:rsidR="003F3B5E" w:rsidRPr="00A841D4" w:rsidRDefault="003F3B5E" w:rsidP="00E2205F">
      <w:pPr>
        <w:jc w:val="both"/>
        <w:rPr>
          <w:rFonts w:ascii="Times New Roman" w:hAnsi="Times New Roman" w:cs="Times New Roman"/>
          <w:lang w:val="en-US"/>
        </w:rPr>
      </w:pPr>
    </w:p>
    <w:p w14:paraId="11758144" w14:textId="63ECCA9E" w:rsidR="00DA3833" w:rsidRPr="00A841D4" w:rsidRDefault="00DA3833" w:rsidP="00E2205F">
      <w:pPr>
        <w:jc w:val="both"/>
        <w:rPr>
          <w:rFonts w:ascii="Times New Roman" w:hAnsi="Times New Roman" w:cs="Times New Roman"/>
          <w:lang w:val="en-US"/>
        </w:rPr>
      </w:pPr>
      <w:r w:rsidRPr="00A841D4">
        <w:rPr>
          <w:rFonts w:ascii="Times New Roman" w:hAnsi="Times New Roman" w:cs="Times New Roman"/>
          <w:lang w:val="en-US"/>
        </w:rPr>
        <w:t xml:space="preserve">In addition, it was mentioned that high level of migration was a significant factor in adjusting to the downturn; this was clearly enabled by Lithuanian membership in the EU, as the bulk of migrants went to rich EU members where they had the right to live and work as EU citizens. Thus, although the Lithuanian government for the most part did not step in and micro-manage the adjustment of the economy in the field of trade policy during the Great Recession and the Russian embargo, it had created the foundations for this adjustment by taking the broad strategic approach of ensuring access to foreign markets, even if this approach had been driven as much (and probably more) by geopolitical considerations rather than economic logic. Of course, as proven by the Greek (and to a lesser extent other Southern Eurozone) case, mere membership in the EU is hardly a </w:t>
      </w:r>
      <w:r w:rsidRPr="00A841D4">
        <w:rPr>
          <w:rFonts w:ascii="Times New Roman" w:hAnsi="Times New Roman" w:cs="Times New Roman"/>
          <w:i/>
          <w:lang w:val="en-US"/>
        </w:rPr>
        <w:t xml:space="preserve">sufficient </w:t>
      </w:r>
      <w:r w:rsidRPr="00A841D4">
        <w:rPr>
          <w:rFonts w:ascii="Times New Roman" w:hAnsi="Times New Roman" w:cs="Times New Roman"/>
          <w:lang w:val="en-US"/>
        </w:rPr>
        <w:t xml:space="preserve">factor in allowing fast adjustment – but it can certainly be categorized as a </w:t>
      </w:r>
      <w:r w:rsidRPr="00A841D4">
        <w:rPr>
          <w:rFonts w:ascii="Times New Roman" w:hAnsi="Times New Roman" w:cs="Times New Roman"/>
          <w:i/>
          <w:lang w:val="en-US"/>
        </w:rPr>
        <w:t xml:space="preserve">necessary </w:t>
      </w:r>
      <w:r w:rsidRPr="00A841D4">
        <w:rPr>
          <w:rFonts w:ascii="Times New Roman" w:hAnsi="Times New Roman" w:cs="Times New Roman"/>
          <w:lang w:val="en-US"/>
        </w:rPr>
        <w:t xml:space="preserve">one. In other words, the successful Lithuanian adjustments were a result of a </w:t>
      </w:r>
      <w:r w:rsidRPr="00A841D4">
        <w:rPr>
          <w:rFonts w:ascii="Times New Roman" w:hAnsi="Times New Roman" w:cs="Times New Roman"/>
          <w:i/>
          <w:lang w:val="en-US"/>
        </w:rPr>
        <w:t xml:space="preserve">combination </w:t>
      </w:r>
      <w:r w:rsidRPr="00A841D4">
        <w:rPr>
          <w:rFonts w:ascii="Times New Roman" w:hAnsi="Times New Roman" w:cs="Times New Roman"/>
          <w:lang w:val="en-US"/>
        </w:rPr>
        <w:t>of two important conditions: the inherent flexible domestic economy coupled with extensive secure access to foreign markets, in turn enabled by the state’s long-time strategy of political and economic integration with the West.</w:t>
      </w:r>
    </w:p>
    <w:p w14:paraId="0E260317" w14:textId="77777777" w:rsidR="00DA3833" w:rsidRPr="00A841D4" w:rsidRDefault="00DA3833" w:rsidP="00E2205F">
      <w:pPr>
        <w:jc w:val="both"/>
        <w:rPr>
          <w:rFonts w:ascii="Times New Roman" w:hAnsi="Times New Roman" w:cs="Times New Roman"/>
          <w:lang w:val="en-US"/>
        </w:rPr>
      </w:pPr>
    </w:p>
    <w:p w14:paraId="40A48644" w14:textId="6F4C8461" w:rsidR="003F3B5E" w:rsidRPr="00A841D4" w:rsidRDefault="003F3B5E" w:rsidP="00E2205F">
      <w:pPr>
        <w:jc w:val="both"/>
        <w:rPr>
          <w:rFonts w:ascii="Times New Roman" w:hAnsi="Times New Roman" w:cs="Times New Roman"/>
          <w:lang w:val="en-US"/>
        </w:rPr>
      </w:pPr>
      <w:r w:rsidRPr="00A841D4">
        <w:rPr>
          <w:rFonts w:ascii="Times New Roman" w:hAnsi="Times New Roman" w:cs="Times New Roman"/>
          <w:lang w:val="en-US"/>
        </w:rPr>
        <w:t xml:space="preserve">The </w:t>
      </w:r>
      <w:r w:rsidR="000205E9" w:rsidRPr="00A841D4">
        <w:rPr>
          <w:rFonts w:ascii="Times New Roman" w:hAnsi="Times New Roman" w:cs="Times New Roman"/>
          <w:lang w:val="en-US"/>
        </w:rPr>
        <w:t xml:space="preserve">efforts at strategic reorientation have been particularly visible in the area of infrastructural connections (energy, transport) and completion of the “left-overs” from EU accession – joining the euro zone and Schengen. However, their practical progress has been uneven, in the case of energy projects, mostly because of resistance of interest groups with a vested interest in maintaining existing business links with Russia, election cycles and collective action problems when agreement with other regional partners such as Latvia, Estonia and Poland was needed (see Godzimirski, Vilpišauskas, Švedas 2015). </w:t>
      </w:r>
      <w:r w:rsidR="00E3552E" w:rsidRPr="00A841D4">
        <w:rPr>
          <w:rFonts w:ascii="Times New Roman" w:hAnsi="Times New Roman" w:cs="Times New Roman"/>
          <w:lang w:val="en-US"/>
        </w:rPr>
        <w:t xml:space="preserve">Therefore, some projects aimed at providing alternative connections and sources of supply have been delayed or terminated. It was the approaching date of the closure of </w:t>
      </w:r>
      <w:proofErr w:type="spellStart"/>
      <w:r w:rsidR="00E3552E" w:rsidRPr="00A841D4">
        <w:rPr>
          <w:rFonts w:ascii="Times New Roman" w:hAnsi="Times New Roman" w:cs="Times New Roman"/>
          <w:lang w:val="en-US"/>
        </w:rPr>
        <w:t>Ignalina</w:t>
      </w:r>
      <w:proofErr w:type="spellEnd"/>
      <w:r w:rsidR="00E3552E" w:rsidRPr="00A841D4">
        <w:rPr>
          <w:rFonts w:ascii="Times New Roman" w:hAnsi="Times New Roman" w:cs="Times New Roman"/>
          <w:lang w:val="en-US"/>
        </w:rPr>
        <w:t xml:space="preserve"> Nuclear Power Plant in the end of 2009, the composition of political veto players in Lithuania after parliamentary elections in 2008 and presidential elections in 2009, and the supply of leadership by the European Commission with the presentation of the Baltic Energy Market Interconnection Plan that led to acceleration of regional energy projects such as Lithuanian – Swedish electricity connection and Lithuanian-Polish electricity connection. Still, Baltic States were not able to agree on the common regional LNG terminal and Lithuania proceeded to building it LNG terminal alone. More successful were efforts at </w:t>
      </w:r>
      <w:proofErr w:type="spellStart"/>
      <w:r w:rsidR="00A841D4">
        <w:rPr>
          <w:rFonts w:ascii="Times New Roman" w:hAnsi="Times New Roman" w:cs="Times New Roman"/>
          <w:lang w:val="en-US"/>
        </w:rPr>
        <w:t>europeaniz</w:t>
      </w:r>
      <w:r w:rsidR="00E3552E" w:rsidRPr="00A841D4">
        <w:rPr>
          <w:rFonts w:ascii="Times New Roman" w:hAnsi="Times New Roman" w:cs="Times New Roman"/>
          <w:lang w:val="en-US"/>
        </w:rPr>
        <w:t>ing</w:t>
      </w:r>
      <w:proofErr w:type="spellEnd"/>
      <w:r w:rsidR="00E3552E" w:rsidRPr="00A841D4">
        <w:rPr>
          <w:rFonts w:ascii="Times New Roman" w:hAnsi="Times New Roman" w:cs="Times New Roman"/>
          <w:lang w:val="en-US"/>
        </w:rPr>
        <w:t xml:space="preserve"> </w:t>
      </w:r>
      <w:r w:rsidR="00D06AC3" w:rsidRPr="00A841D4">
        <w:rPr>
          <w:rFonts w:ascii="Times New Roman" w:hAnsi="Times New Roman" w:cs="Times New Roman"/>
          <w:lang w:val="en-US"/>
        </w:rPr>
        <w:t>disputes with Russian suppliers of natural gas Gazprom when the European Commission initiated a case against its price setting practices based on the EU competition law.</w:t>
      </w:r>
    </w:p>
    <w:p w14:paraId="731B9F47" w14:textId="77777777" w:rsidR="00602AEB" w:rsidRPr="00A841D4" w:rsidRDefault="00602AEB" w:rsidP="00E2205F">
      <w:pPr>
        <w:jc w:val="both"/>
        <w:rPr>
          <w:rFonts w:ascii="Times New Roman" w:hAnsi="Times New Roman" w:cs="Times New Roman"/>
          <w:lang w:val="en-US"/>
        </w:rPr>
      </w:pPr>
    </w:p>
    <w:p w14:paraId="650265CB" w14:textId="1EC4A7DD" w:rsidR="002A5210" w:rsidRPr="00A841D4" w:rsidRDefault="0068762C" w:rsidP="00E2205F">
      <w:pPr>
        <w:jc w:val="both"/>
        <w:rPr>
          <w:rFonts w:ascii="Times New Roman" w:hAnsi="Times New Roman" w:cs="Times New Roman"/>
          <w:lang w:val="en-US"/>
        </w:rPr>
      </w:pPr>
      <w:r w:rsidRPr="00A841D4">
        <w:rPr>
          <w:rFonts w:ascii="Times New Roman" w:hAnsi="Times New Roman" w:cs="Times New Roman"/>
          <w:lang w:val="en-US"/>
        </w:rPr>
        <w:t xml:space="preserve">Therefore, Lithuania’s authorities have been more effective in creating legal conditions for the market participants to take advantage in the EU common market but less effective in implementing policies which involved state companies or heavily depended on state institutions’ activities. Aside from removing barriers to trade with other EU member states and incrementally improving conditions with infrastructural connections and joining the euro zone, </w:t>
      </w:r>
      <w:r w:rsidR="002A5210" w:rsidRPr="00A841D4">
        <w:rPr>
          <w:rFonts w:ascii="Times New Roman" w:hAnsi="Times New Roman" w:cs="Times New Roman"/>
          <w:lang w:val="en-US"/>
        </w:rPr>
        <w:t>the Lithuanian state con</w:t>
      </w:r>
      <w:r w:rsidRPr="00A841D4">
        <w:rPr>
          <w:rFonts w:ascii="Times New Roman" w:hAnsi="Times New Roman" w:cs="Times New Roman"/>
          <w:lang w:val="en-US"/>
        </w:rPr>
        <w:t>tributed to the flexibility of economic agents</w:t>
      </w:r>
      <w:r w:rsidR="002A5210" w:rsidRPr="00A841D4">
        <w:rPr>
          <w:rFonts w:ascii="Times New Roman" w:hAnsi="Times New Roman" w:cs="Times New Roman"/>
          <w:lang w:val="en-US"/>
        </w:rPr>
        <w:t xml:space="preserve"> mostly in </w:t>
      </w:r>
      <w:r w:rsidRPr="00A841D4">
        <w:rPr>
          <w:rFonts w:ascii="Times New Roman" w:hAnsi="Times New Roman" w:cs="Times New Roman"/>
          <w:lang w:val="en-US"/>
        </w:rPr>
        <w:t>the form of its traditional relatively</w:t>
      </w:r>
      <w:r w:rsidR="002A5210" w:rsidRPr="00A841D4">
        <w:rPr>
          <w:rFonts w:ascii="Times New Roman" w:hAnsi="Times New Roman" w:cs="Times New Roman"/>
          <w:lang w:val="en-US"/>
        </w:rPr>
        <w:t xml:space="preserve"> limited approach in terms of intervention into the economy. The </w:t>
      </w:r>
      <w:r w:rsidRPr="00A841D4">
        <w:rPr>
          <w:rFonts w:ascii="Times New Roman" w:hAnsi="Times New Roman" w:cs="Times New Roman"/>
          <w:lang w:val="en-US"/>
        </w:rPr>
        <w:t xml:space="preserve">redistribution measured by the share of state budget from country’s GDP, the extent of industrial policy and in some other respects state is Lithuania is relatively limited. </w:t>
      </w:r>
      <w:r w:rsidR="00DA3833" w:rsidRPr="00A841D4">
        <w:rPr>
          <w:rFonts w:ascii="Times New Roman" w:hAnsi="Times New Roman" w:cs="Times New Roman"/>
          <w:lang w:val="en-US"/>
        </w:rPr>
        <w:t xml:space="preserve">On some measures, </w:t>
      </w:r>
      <w:r w:rsidR="00927DE6" w:rsidRPr="00A841D4">
        <w:rPr>
          <w:rFonts w:ascii="Times New Roman" w:hAnsi="Times New Roman" w:cs="Times New Roman"/>
          <w:lang w:val="en-US"/>
        </w:rPr>
        <w:t xml:space="preserve">Lithuanian political economy is more </w:t>
      </w:r>
      <w:r w:rsidR="00927DE6" w:rsidRPr="00A841D4">
        <w:rPr>
          <w:rFonts w:ascii="Times New Roman" w:hAnsi="Times New Roman" w:cs="Times New Roman"/>
          <w:lang w:val="en-US"/>
        </w:rPr>
        <w:lastRenderedPageBreak/>
        <w:t xml:space="preserve">‘liberal’ than the classical ‘liberal market economies’ such as the UK or Ireland. </w:t>
      </w:r>
      <w:r w:rsidR="002A5210" w:rsidRPr="00A841D4">
        <w:rPr>
          <w:rFonts w:ascii="Times New Roman" w:hAnsi="Times New Roman" w:cs="Times New Roman"/>
          <w:lang w:val="en-US"/>
        </w:rPr>
        <w:t xml:space="preserve"> Contrast this to the Southern Eurozone countries which ha</w:t>
      </w:r>
      <w:r w:rsidR="00927DE6" w:rsidRPr="00A841D4">
        <w:rPr>
          <w:rFonts w:ascii="Times New Roman" w:hAnsi="Times New Roman" w:cs="Times New Roman"/>
          <w:lang w:val="en-US"/>
        </w:rPr>
        <w:t>d earlier been character</w:t>
      </w:r>
      <w:r w:rsidR="002A5210" w:rsidRPr="00A841D4">
        <w:rPr>
          <w:rFonts w:ascii="Times New Roman" w:hAnsi="Times New Roman" w:cs="Times New Roman"/>
          <w:lang w:val="en-US"/>
        </w:rPr>
        <w:t>ized as ‘mixed market economies’ with a very important role played by the state. In these economies, the state is active in ensuring the protection of vulnerable social actors. By contrast, Lithuanian firms and society have for the most part learnt not to rely on the authorities to provide protection and re</w:t>
      </w:r>
      <w:r w:rsidR="00DA3833" w:rsidRPr="00A841D4">
        <w:rPr>
          <w:rFonts w:ascii="Times New Roman" w:hAnsi="Times New Roman" w:cs="Times New Roman"/>
          <w:lang w:val="en-US"/>
        </w:rPr>
        <w:t>scue them from economic turbulences</w:t>
      </w:r>
      <w:r w:rsidR="00BE5FAB" w:rsidRPr="00A841D4">
        <w:rPr>
          <w:rFonts w:ascii="Times New Roman" w:hAnsi="Times New Roman" w:cs="Times New Roman"/>
          <w:lang w:val="en-US"/>
        </w:rPr>
        <w:t xml:space="preserve"> (Kuokštis, 2015)</w:t>
      </w:r>
      <w:r w:rsidR="002A5210" w:rsidRPr="00A841D4">
        <w:rPr>
          <w:rFonts w:ascii="Times New Roman" w:hAnsi="Times New Roman" w:cs="Times New Roman"/>
          <w:lang w:val="en-US"/>
        </w:rPr>
        <w:t xml:space="preserve">. </w:t>
      </w:r>
      <w:r w:rsidR="00927DE6" w:rsidRPr="00A841D4">
        <w:rPr>
          <w:rFonts w:ascii="Times New Roman" w:hAnsi="Times New Roman" w:cs="Times New Roman"/>
          <w:lang w:val="en-US"/>
        </w:rPr>
        <w:t xml:space="preserve">They had also grown accustomed to the very high fluctuations in economic activity in the Lithuanian economy, as it had already experienced a severe downturn during the transition in the early 1990s as well as during the </w:t>
      </w:r>
      <w:r w:rsidR="00602AEB" w:rsidRPr="00A841D4">
        <w:rPr>
          <w:rFonts w:ascii="Times New Roman" w:hAnsi="Times New Roman" w:cs="Times New Roman"/>
          <w:lang w:val="en-US"/>
        </w:rPr>
        <w:t xml:space="preserve">financial </w:t>
      </w:r>
      <w:r w:rsidR="00927DE6" w:rsidRPr="00A841D4">
        <w:rPr>
          <w:rFonts w:ascii="Times New Roman" w:hAnsi="Times New Roman" w:cs="Times New Roman"/>
          <w:lang w:val="en-US"/>
        </w:rPr>
        <w:t xml:space="preserve">crisis </w:t>
      </w:r>
      <w:r w:rsidR="00602AEB" w:rsidRPr="00A841D4">
        <w:rPr>
          <w:rFonts w:ascii="Times New Roman" w:hAnsi="Times New Roman" w:cs="Times New Roman"/>
          <w:lang w:val="en-US"/>
        </w:rPr>
        <w:t xml:space="preserve">in Russia </w:t>
      </w:r>
      <w:r w:rsidR="00927DE6" w:rsidRPr="00A841D4">
        <w:rPr>
          <w:rFonts w:ascii="Times New Roman" w:hAnsi="Times New Roman" w:cs="Times New Roman"/>
          <w:lang w:val="en-US"/>
        </w:rPr>
        <w:t>in 1998-1999.</w:t>
      </w:r>
    </w:p>
    <w:p w14:paraId="0632B080" w14:textId="61A9DCEA" w:rsidR="002413C9" w:rsidRPr="00A841D4" w:rsidRDefault="002413C9" w:rsidP="00E2205F">
      <w:pPr>
        <w:jc w:val="both"/>
        <w:rPr>
          <w:rFonts w:ascii="Times New Roman" w:hAnsi="Times New Roman" w:cs="Times New Roman"/>
          <w:lang w:val="en-US"/>
        </w:rPr>
      </w:pPr>
    </w:p>
    <w:p w14:paraId="32D1BE04" w14:textId="1451EA46" w:rsidR="002413C9" w:rsidRPr="00A841D4" w:rsidRDefault="002413C9" w:rsidP="00E2205F">
      <w:pPr>
        <w:jc w:val="both"/>
        <w:rPr>
          <w:rFonts w:ascii="Times New Roman" w:hAnsi="Times New Roman" w:cs="Times New Roman"/>
          <w:b/>
          <w:lang w:val="en-US"/>
        </w:rPr>
      </w:pPr>
      <w:r w:rsidRPr="00A841D4">
        <w:rPr>
          <w:rFonts w:ascii="Times New Roman" w:hAnsi="Times New Roman" w:cs="Times New Roman"/>
          <w:b/>
          <w:lang w:val="en-US"/>
        </w:rPr>
        <w:t xml:space="preserve">Concluding discussion </w:t>
      </w:r>
    </w:p>
    <w:p w14:paraId="2533CEE6" w14:textId="26824222" w:rsidR="00A93D8E" w:rsidRPr="00A841D4" w:rsidRDefault="00A93D8E" w:rsidP="00E2205F">
      <w:pPr>
        <w:jc w:val="both"/>
        <w:rPr>
          <w:rFonts w:ascii="Times New Roman" w:hAnsi="Times New Roman" w:cs="Times New Roman"/>
          <w:lang w:val="en-US"/>
        </w:rPr>
      </w:pPr>
    </w:p>
    <w:p w14:paraId="25B3BAC8" w14:textId="4736ACC8" w:rsidR="00A93D8E" w:rsidRPr="00A841D4" w:rsidRDefault="00A93D8E" w:rsidP="00E2205F">
      <w:pPr>
        <w:jc w:val="both"/>
        <w:rPr>
          <w:rFonts w:ascii="Times New Roman" w:hAnsi="Times New Roman" w:cs="Times New Roman"/>
          <w:lang w:val="en-US"/>
        </w:rPr>
      </w:pPr>
      <w:r w:rsidRPr="00A841D4">
        <w:rPr>
          <w:rFonts w:ascii="Times New Roman" w:hAnsi="Times New Roman" w:cs="Times New Roman"/>
          <w:lang w:val="en-US"/>
        </w:rPr>
        <w:t>Lithuania presents several interesting political</w:t>
      </w:r>
      <w:r w:rsidR="00DA3833" w:rsidRPr="00A841D4">
        <w:rPr>
          <w:rFonts w:ascii="Times New Roman" w:hAnsi="Times New Roman" w:cs="Times New Roman"/>
          <w:lang w:val="en-US"/>
        </w:rPr>
        <w:t xml:space="preserve"> economy</w:t>
      </w:r>
      <w:r w:rsidRPr="00A841D4">
        <w:rPr>
          <w:rFonts w:ascii="Times New Roman" w:hAnsi="Times New Roman" w:cs="Times New Roman"/>
          <w:lang w:val="en-US"/>
        </w:rPr>
        <w:t xml:space="preserve"> puzzles. It has faced considerable economic shocks – the downturn during the Great Recession and the negative effects of the Russian embargo – but managed to deal with them relatively well (and better than had been expected). We argue that this can be explained by the fact that, while Lithuania looked vulnerable to these shocks (based on raw trade data), it was actually sensitive rather than vulnerable to them. In turn, we explain this sensitivity (resilience) as a combination of two factors. Firs</w:t>
      </w:r>
      <w:r w:rsidR="00DA3833" w:rsidRPr="00A841D4">
        <w:rPr>
          <w:rFonts w:ascii="Times New Roman" w:hAnsi="Times New Roman" w:cs="Times New Roman"/>
          <w:lang w:val="en-US"/>
        </w:rPr>
        <w:t>t, Lithuanian economy is</w:t>
      </w:r>
      <w:r w:rsidRPr="00A841D4">
        <w:rPr>
          <w:rFonts w:ascii="Times New Roman" w:hAnsi="Times New Roman" w:cs="Times New Roman"/>
          <w:lang w:val="en-US"/>
        </w:rPr>
        <w:t xml:space="preserve"> highly flexible – i.e. able to quickly adapt to the changing </w:t>
      </w:r>
      <w:r w:rsidR="00DA3833" w:rsidRPr="00A841D4">
        <w:rPr>
          <w:rFonts w:ascii="Times New Roman" w:hAnsi="Times New Roman" w:cs="Times New Roman"/>
          <w:lang w:val="en-US"/>
        </w:rPr>
        <w:t xml:space="preserve">external </w:t>
      </w:r>
      <w:r w:rsidRPr="00A841D4">
        <w:rPr>
          <w:rFonts w:ascii="Times New Roman" w:hAnsi="Times New Roman" w:cs="Times New Roman"/>
          <w:lang w:val="en-US"/>
        </w:rPr>
        <w:t xml:space="preserve">environment. Importantly, this flexibility has not been a result of deliberate short-term government action, and has arguably </w:t>
      </w:r>
      <w:r w:rsidR="00DA3833" w:rsidRPr="00A841D4">
        <w:rPr>
          <w:rFonts w:ascii="Times New Roman" w:hAnsi="Times New Roman" w:cs="Times New Roman"/>
          <w:lang w:val="en-US"/>
        </w:rPr>
        <w:t>emerged</w:t>
      </w:r>
      <w:r w:rsidRPr="00A841D4">
        <w:rPr>
          <w:rFonts w:ascii="Times New Roman" w:hAnsi="Times New Roman" w:cs="Times New Roman"/>
          <w:lang w:val="en-US"/>
        </w:rPr>
        <w:t xml:space="preserve"> partly </w:t>
      </w:r>
      <w:r w:rsidRPr="00A841D4">
        <w:rPr>
          <w:rFonts w:ascii="Times New Roman" w:hAnsi="Times New Roman" w:cs="Times New Roman"/>
          <w:i/>
          <w:lang w:val="en-US"/>
        </w:rPr>
        <w:t>due to</w:t>
      </w:r>
      <w:r w:rsidRPr="00A841D4">
        <w:rPr>
          <w:rFonts w:ascii="Times New Roman" w:hAnsi="Times New Roman" w:cs="Times New Roman"/>
          <w:lang w:val="en-US"/>
        </w:rPr>
        <w:t xml:space="preserve"> the lack of state inter</w:t>
      </w:r>
      <w:r w:rsidR="00DA3833" w:rsidRPr="00A841D4">
        <w:rPr>
          <w:rFonts w:ascii="Times New Roman" w:hAnsi="Times New Roman" w:cs="Times New Roman"/>
          <w:lang w:val="en-US"/>
        </w:rPr>
        <w:t>vention over the years. Second</w:t>
      </w:r>
      <w:r w:rsidRPr="00A841D4">
        <w:rPr>
          <w:rFonts w:ascii="Times New Roman" w:hAnsi="Times New Roman" w:cs="Times New Roman"/>
          <w:lang w:val="en-US"/>
        </w:rPr>
        <w:t>, the state has successfully used its membership in international organizations – most importantly, the EU – which in turn enabled the flexible businesses to earn profits in foreign markets (and reorient their activities during the downturns)</w:t>
      </w:r>
      <w:r w:rsidR="00DA3833" w:rsidRPr="00A841D4">
        <w:rPr>
          <w:rFonts w:ascii="Times New Roman" w:hAnsi="Times New Roman" w:cs="Times New Roman"/>
          <w:lang w:val="en-US"/>
        </w:rPr>
        <w:t xml:space="preserve"> and diversify their activities</w:t>
      </w:r>
      <w:r w:rsidRPr="00A841D4">
        <w:rPr>
          <w:rFonts w:ascii="Times New Roman" w:hAnsi="Times New Roman" w:cs="Times New Roman"/>
          <w:lang w:val="en-US"/>
        </w:rPr>
        <w:t>.</w:t>
      </w:r>
    </w:p>
    <w:p w14:paraId="206B283F" w14:textId="723B935B" w:rsidR="002413C9" w:rsidRPr="00A841D4" w:rsidRDefault="002413C9" w:rsidP="00E2205F">
      <w:pPr>
        <w:jc w:val="both"/>
        <w:rPr>
          <w:rFonts w:ascii="Times New Roman" w:hAnsi="Times New Roman" w:cs="Times New Roman"/>
          <w:lang w:val="en-US"/>
        </w:rPr>
      </w:pPr>
    </w:p>
    <w:p w14:paraId="730A206B" w14:textId="328BED83" w:rsidR="00496856" w:rsidRPr="00A841D4" w:rsidRDefault="007E5833" w:rsidP="00E2205F">
      <w:pPr>
        <w:jc w:val="both"/>
        <w:rPr>
          <w:rFonts w:ascii="Times New Roman" w:hAnsi="Times New Roman" w:cs="Times New Roman"/>
          <w:lang w:val="en-US"/>
        </w:rPr>
      </w:pPr>
      <w:r w:rsidRPr="00A841D4">
        <w:rPr>
          <w:rFonts w:ascii="Times New Roman" w:hAnsi="Times New Roman" w:cs="Times New Roman"/>
          <w:lang w:val="en-US"/>
        </w:rPr>
        <w:t>Flexibility can have multiple meanings and take many forms</w:t>
      </w:r>
      <w:r w:rsidR="005551DB" w:rsidRPr="00A841D4">
        <w:rPr>
          <w:rFonts w:ascii="Times New Roman" w:hAnsi="Times New Roman" w:cs="Times New Roman"/>
          <w:lang w:val="en-US"/>
        </w:rPr>
        <w:t xml:space="preserve"> (Jackson, 2007)</w:t>
      </w:r>
      <w:r w:rsidRPr="00A841D4">
        <w:rPr>
          <w:rFonts w:ascii="Times New Roman" w:hAnsi="Times New Roman" w:cs="Times New Roman"/>
          <w:lang w:val="en-US"/>
        </w:rPr>
        <w:t xml:space="preserve">. First, one might distinguish between </w:t>
      </w:r>
      <w:r w:rsidRPr="00A841D4">
        <w:rPr>
          <w:rFonts w:ascii="Times New Roman" w:hAnsi="Times New Roman" w:cs="Times New Roman"/>
          <w:i/>
          <w:lang w:val="en-US"/>
        </w:rPr>
        <w:t xml:space="preserve">economic </w:t>
      </w:r>
      <w:r w:rsidRPr="00A841D4">
        <w:rPr>
          <w:rFonts w:ascii="Times New Roman" w:hAnsi="Times New Roman" w:cs="Times New Roman"/>
          <w:lang w:val="en-US"/>
        </w:rPr>
        <w:t xml:space="preserve">flexibility and </w:t>
      </w:r>
      <w:r w:rsidRPr="00A841D4">
        <w:rPr>
          <w:rFonts w:ascii="Times New Roman" w:hAnsi="Times New Roman" w:cs="Times New Roman"/>
          <w:i/>
          <w:lang w:val="en-US"/>
        </w:rPr>
        <w:t xml:space="preserve">political-administrative </w:t>
      </w:r>
      <w:r w:rsidRPr="00A841D4">
        <w:rPr>
          <w:rFonts w:ascii="Times New Roman" w:hAnsi="Times New Roman" w:cs="Times New Roman"/>
          <w:lang w:val="en-US"/>
        </w:rPr>
        <w:t xml:space="preserve">one. Political flexibility might refer to the ability of policy-makers to quickly adapt to the changing circumstances and adopt a new course of action. </w:t>
      </w:r>
      <w:r w:rsidR="00AD2BBB" w:rsidRPr="00A841D4">
        <w:rPr>
          <w:rFonts w:ascii="Times New Roman" w:hAnsi="Times New Roman" w:cs="Times New Roman"/>
          <w:lang w:val="en-US"/>
        </w:rPr>
        <w:t xml:space="preserve">As for economics, one could distinguish between </w:t>
      </w:r>
      <w:proofErr w:type="spellStart"/>
      <w:r w:rsidR="00AD2BBB" w:rsidRPr="00A841D4">
        <w:rPr>
          <w:rFonts w:ascii="Times New Roman" w:hAnsi="Times New Roman" w:cs="Times New Roman"/>
          <w:lang w:val="en-US"/>
        </w:rPr>
        <w:t>labour</w:t>
      </w:r>
      <w:proofErr w:type="spellEnd"/>
      <w:r w:rsidR="00AD2BBB" w:rsidRPr="00A841D4">
        <w:rPr>
          <w:rFonts w:ascii="Times New Roman" w:hAnsi="Times New Roman" w:cs="Times New Roman"/>
          <w:lang w:val="en-US"/>
        </w:rPr>
        <w:t xml:space="preserve"> market flexibility and the overall, broader flexibility of the economy. The Lithuanian case has revealed that the country possesses many different types of flexibility. Concerning </w:t>
      </w:r>
      <w:r w:rsidR="00AD2BBB" w:rsidRPr="00A841D4">
        <w:rPr>
          <w:rFonts w:ascii="Times New Roman" w:hAnsi="Times New Roman" w:cs="Times New Roman"/>
          <w:i/>
          <w:lang w:val="en-US"/>
        </w:rPr>
        <w:t xml:space="preserve">political </w:t>
      </w:r>
      <w:r w:rsidR="00AD2BBB" w:rsidRPr="00A841D4">
        <w:rPr>
          <w:rFonts w:ascii="Times New Roman" w:hAnsi="Times New Roman" w:cs="Times New Roman"/>
          <w:lang w:val="en-US"/>
        </w:rPr>
        <w:t xml:space="preserve">flexibility, it is somewhat hard to judge because the government’s approach regarding economic shocks has largely been off-hand – at least when it came to trade policy. In this, the Lithuanian case is very different from the classical adjustment processes extolled by authors such as </w:t>
      </w:r>
      <w:proofErr w:type="spellStart"/>
      <w:r w:rsidR="00AD2BBB" w:rsidRPr="00A841D4">
        <w:rPr>
          <w:rFonts w:ascii="Times New Roman" w:hAnsi="Times New Roman" w:cs="Times New Roman"/>
          <w:lang w:val="en-US"/>
        </w:rPr>
        <w:t>Katzenstein</w:t>
      </w:r>
      <w:proofErr w:type="spellEnd"/>
      <w:r w:rsidR="00AD2BBB" w:rsidRPr="00A841D4">
        <w:rPr>
          <w:rFonts w:ascii="Times New Roman" w:hAnsi="Times New Roman" w:cs="Times New Roman"/>
          <w:lang w:val="en-US"/>
        </w:rPr>
        <w:t xml:space="preserve"> (1985, 2003). Whereas the ‘traditional’ small states rely on social partnership, corporatism, and consultation to overcome challenges (and also enhance </w:t>
      </w:r>
      <w:r w:rsidR="00AD2BBB" w:rsidRPr="00A841D4">
        <w:rPr>
          <w:rFonts w:ascii="Times New Roman" w:hAnsi="Times New Roman" w:cs="Times New Roman"/>
          <w:i/>
          <w:lang w:val="en-US"/>
        </w:rPr>
        <w:t>their type of flexibility</w:t>
      </w:r>
      <w:r w:rsidR="00AD2BBB" w:rsidRPr="00A841D4">
        <w:rPr>
          <w:rFonts w:ascii="Times New Roman" w:hAnsi="Times New Roman" w:cs="Times New Roman"/>
          <w:lang w:val="en-US"/>
        </w:rPr>
        <w:t>), Li</w:t>
      </w:r>
      <w:r w:rsidR="00DA3833" w:rsidRPr="00A841D4">
        <w:rPr>
          <w:rFonts w:ascii="Times New Roman" w:hAnsi="Times New Roman" w:cs="Times New Roman"/>
          <w:lang w:val="en-US"/>
        </w:rPr>
        <w:t>thuania has very weak tradition</w:t>
      </w:r>
      <w:r w:rsidR="00AD2BBB" w:rsidRPr="00A841D4">
        <w:rPr>
          <w:rFonts w:ascii="Times New Roman" w:hAnsi="Times New Roman" w:cs="Times New Roman"/>
          <w:lang w:val="en-US"/>
        </w:rPr>
        <w:t xml:space="preserve"> of social dialogue, consultation or consensus-building. Whereas the former have extensive welfare states and heavily rely on state intervention (at least in terms of redistribution, but also in industrial policy), Lithuanian</w:t>
      </w:r>
      <w:r w:rsidR="0029535F">
        <w:rPr>
          <w:rFonts w:ascii="Times New Roman" w:hAnsi="Times New Roman" w:cs="Times New Roman"/>
          <w:lang w:val="en-US"/>
        </w:rPr>
        <w:t xml:space="preserve"> state spending is focused on education, health care, social security, defense and internal order</w:t>
      </w:r>
      <w:r w:rsidR="00AD2BBB" w:rsidRPr="00A841D4">
        <w:rPr>
          <w:rFonts w:ascii="Times New Roman" w:hAnsi="Times New Roman" w:cs="Times New Roman"/>
          <w:lang w:val="en-US"/>
        </w:rPr>
        <w:t xml:space="preserve">. </w:t>
      </w:r>
      <w:r w:rsidR="00CF3AA4" w:rsidRPr="00A841D4">
        <w:rPr>
          <w:rFonts w:ascii="Times New Roman" w:hAnsi="Times New Roman" w:cs="Times New Roman"/>
          <w:lang w:val="en-US"/>
        </w:rPr>
        <w:t xml:space="preserve">In the economy and trade, </w:t>
      </w:r>
      <w:r w:rsidR="00AD2BBB" w:rsidRPr="00A841D4">
        <w:rPr>
          <w:rFonts w:ascii="Times New Roman" w:hAnsi="Times New Roman" w:cs="Times New Roman"/>
          <w:lang w:val="en-US"/>
        </w:rPr>
        <w:t>Lithuanian government instead has provided a broad level-playing field and ensured a relatively benign environment for business by securing assess</w:t>
      </w:r>
      <w:r w:rsidR="00CF3AA4" w:rsidRPr="00A841D4">
        <w:rPr>
          <w:rFonts w:ascii="Times New Roman" w:hAnsi="Times New Roman" w:cs="Times New Roman"/>
          <w:lang w:val="en-US"/>
        </w:rPr>
        <w:t xml:space="preserve"> to the neighboring markets, mostly the EU</w:t>
      </w:r>
      <w:r w:rsidR="00AD2BBB" w:rsidRPr="00A841D4">
        <w:rPr>
          <w:rFonts w:ascii="Times New Roman" w:hAnsi="Times New Roman" w:cs="Times New Roman"/>
          <w:lang w:val="en-US"/>
        </w:rPr>
        <w:t>. Business have in turn relied on/built up flexible practices to capture the opportunities provided by this access. Therefore, the Lithuanian case suggests that the corporatist small state model might not be the only viable and successful model of adjustment, and the Lithuanian formula sug</w:t>
      </w:r>
      <w:r w:rsidR="00CF3AA4" w:rsidRPr="00A841D4">
        <w:rPr>
          <w:rFonts w:ascii="Times New Roman" w:hAnsi="Times New Roman" w:cs="Times New Roman"/>
          <w:lang w:val="en-US"/>
        </w:rPr>
        <w:t>gests an alternative path</w:t>
      </w:r>
      <w:r w:rsidR="00AD2BBB" w:rsidRPr="00A841D4">
        <w:rPr>
          <w:rFonts w:ascii="Times New Roman" w:hAnsi="Times New Roman" w:cs="Times New Roman"/>
          <w:lang w:val="en-US"/>
        </w:rPr>
        <w:t xml:space="preserve"> (obviously, one could discuss other relevant consequences of the Lithuanian model, such as issues related to inequality and political legitimacy, but it would go beyond this paper). The Lithuanian model therefore provides a somewhat deviant case in the context of the political economy literature on small states where authors have mostly argued that the corporatist model is the most successf</w:t>
      </w:r>
      <w:r w:rsidR="00CF3AA4" w:rsidRPr="00A841D4">
        <w:rPr>
          <w:rFonts w:ascii="Times New Roman" w:hAnsi="Times New Roman" w:cs="Times New Roman"/>
          <w:lang w:val="en-US"/>
        </w:rPr>
        <w:t>ul one</w:t>
      </w:r>
      <w:r w:rsidR="00A93D8E" w:rsidRPr="00A841D4">
        <w:rPr>
          <w:rFonts w:ascii="Times New Roman" w:hAnsi="Times New Roman" w:cs="Times New Roman"/>
          <w:lang w:val="en-US"/>
        </w:rPr>
        <w:t>.</w:t>
      </w:r>
    </w:p>
    <w:p w14:paraId="3D8EE8C4" w14:textId="77777777" w:rsidR="00DA3833" w:rsidRPr="00A841D4" w:rsidRDefault="00DA3833" w:rsidP="00E2205F">
      <w:pPr>
        <w:jc w:val="both"/>
        <w:rPr>
          <w:rFonts w:ascii="Times New Roman" w:hAnsi="Times New Roman" w:cs="Times New Roman"/>
          <w:lang w:val="en-US"/>
        </w:rPr>
      </w:pPr>
    </w:p>
    <w:p w14:paraId="698582B6" w14:textId="7FC5D748" w:rsidR="00AD2BBB" w:rsidRPr="00A841D4" w:rsidRDefault="00AD2BBB" w:rsidP="00E2205F">
      <w:pPr>
        <w:jc w:val="both"/>
        <w:rPr>
          <w:rFonts w:ascii="Times New Roman" w:hAnsi="Times New Roman" w:cs="Times New Roman"/>
          <w:lang w:val="en-US"/>
        </w:rPr>
      </w:pPr>
      <w:r w:rsidRPr="00A841D4">
        <w:rPr>
          <w:rFonts w:ascii="Times New Roman" w:hAnsi="Times New Roman" w:cs="Times New Roman"/>
          <w:lang w:val="en-US"/>
        </w:rPr>
        <w:lastRenderedPageBreak/>
        <w:t>In terms of economics, Lithuania has display</w:t>
      </w:r>
      <w:r w:rsidR="00A93D8E" w:rsidRPr="00A841D4">
        <w:rPr>
          <w:rFonts w:ascii="Times New Roman" w:hAnsi="Times New Roman" w:cs="Times New Roman"/>
          <w:lang w:val="en-US"/>
        </w:rPr>
        <w:t>e</w:t>
      </w:r>
      <w:r w:rsidRPr="00A841D4">
        <w:rPr>
          <w:rFonts w:ascii="Times New Roman" w:hAnsi="Times New Roman" w:cs="Times New Roman"/>
          <w:lang w:val="en-US"/>
        </w:rPr>
        <w:t xml:space="preserve">d a high degree of labor market flexibility – both in the classical case of relatively fast downward nominal wage adjustment as well as large labor mobility. However, </w:t>
      </w:r>
      <w:r w:rsidR="00A93D8E" w:rsidRPr="00A841D4">
        <w:rPr>
          <w:rFonts w:ascii="Times New Roman" w:hAnsi="Times New Roman" w:cs="Times New Roman"/>
          <w:lang w:val="en-US"/>
        </w:rPr>
        <w:t xml:space="preserve">these two dimensions alone are not enough to capture Lithuanian economy’s flexibility. First, it was mainly the growth in </w:t>
      </w:r>
      <w:r w:rsidR="00A93D8E" w:rsidRPr="00A841D4">
        <w:rPr>
          <w:rFonts w:ascii="Times New Roman" w:hAnsi="Times New Roman" w:cs="Times New Roman"/>
          <w:i/>
          <w:lang w:val="en-US"/>
        </w:rPr>
        <w:t xml:space="preserve">productivity </w:t>
      </w:r>
      <w:r w:rsidR="00A93D8E" w:rsidRPr="00A841D4">
        <w:rPr>
          <w:rFonts w:ascii="Times New Roman" w:hAnsi="Times New Roman" w:cs="Times New Roman"/>
          <w:lang w:val="en-US"/>
        </w:rPr>
        <w:t xml:space="preserve">rather than lower wages which contributed to competitiveness. Second, Lithuanian exports appear to have increased even more than would have </w:t>
      </w:r>
      <w:r w:rsidR="00DD4E91" w:rsidRPr="00A841D4">
        <w:rPr>
          <w:rFonts w:ascii="Times New Roman" w:hAnsi="Times New Roman" w:cs="Times New Roman"/>
          <w:lang w:val="en-US"/>
        </w:rPr>
        <w:t xml:space="preserve">been </w:t>
      </w:r>
      <w:r w:rsidR="00A93D8E" w:rsidRPr="00A841D4">
        <w:rPr>
          <w:rFonts w:ascii="Times New Roman" w:hAnsi="Times New Roman" w:cs="Times New Roman"/>
          <w:lang w:val="en-US"/>
        </w:rPr>
        <w:t>predicted by these cost-based measures. In general, Lithuanian businesses have been very successful so far at reorienting their activities towards exports and finding new markets upon encountering difficulties in established ones. This suggests that analysts should broaden their view and definitions of flexibility, and also focus more on explaining what the different sources (and consequences) of different forms of flexibility might be.</w:t>
      </w:r>
    </w:p>
    <w:p w14:paraId="57FEA56C" w14:textId="77777777" w:rsidR="00496856" w:rsidRPr="00A841D4" w:rsidRDefault="00496856" w:rsidP="00E2205F">
      <w:pPr>
        <w:jc w:val="both"/>
        <w:rPr>
          <w:rFonts w:ascii="Times New Roman" w:hAnsi="Times New Roman" w:cs="Times New Roman"/>
          <w:lang w:val="en-US"/>
        </w:rPr>
      </w:pPr>
    </w:p>
    <w:p w14:paraId="6A45F750" w14:textId="705A08B6" w:rsidR="00213A13" w:rsidRPr="00A841D4" w:rsidRDefault="00DD4E91" w:rsidP="00E2205F">
      <w:pPr>
        <w:jc w:val="both"/>
        <w:rPr>
          <w:rFonts w:ascii="Times New Roman" w:hAnsi="Times New Roman" w:cs="Times New Roman"/>
          <w:lang w:val="en-US"/>
        </w:rPr>
      </w:pPr>
      <w:r w:rsidRPr="00A841D4">
        <w:rPr>
          <w:rFonts w:ascii="Times New Roman" w:hAnsi="Times New Roman" w:cs="Times New Roman"/>
          <w:lang w:val="en-US"/>
        </w:rPr>
        <w:t>Finally, resilience of Lithuania’</w:t>
      </w:r>
      <w:r w:rsidR="00E2205F" w:rsidRPr="00A841D4">
        <w:rPr>
          <w:rFonts w:ascii="Times New Roman" w:hAnsi="Times New Roman" w:cs="Times New Roman"/>
          <w:lang w:val="en-US"/>
        </w:rPr>
        <w:t>s economy also explains relatively</w:t>
      </w:r>
      <w:r w:rsidRPr="00A841D4">
        <w:rPr>
          <w:rFonts w:ascii="Times New Roman" w:hAnsi="Times New Roman" w:cs="Times New Roman"/>
          <w:lang w:val="en-US"/>
        </w:rPr>
        <w:t xml:space="preserve"> strict</w:t>
      </w:r>
      <w:r w:rsidR="0029535F">
        <w:rPr>
          <w:rFonts w:ascii="Times New Roman" w:hAnsi="Times New Roman" w:cs="Times New Roman"/>
          <w:lang w:val="en-US"/>
        </w:rPr>
        <w:t xml:space="preserve"> and outspoken</w:t>
      </w:r>
      <w:r w:rsidRPr="00A841D4">
        <w:rPr>
          <w:rFonts w:ascii="Times New Roman" w:hAnsi="Times New Roman" w:cs="Times New Roman"/>
          <w:lang w:val="en-US"/>
        </w:rPr>
        <w:t xml:space="preserve"> position of Lithuania’s authorities </w:t>
      </w:r>
      <w:r w:rsidR="0029535F">
        <w:rPr>
          <w:rFonts w:ascii="Times New Roman" w:hAnsi="Times New Roman" w:cs="Times New Roman"/>
          <w:lang w:val="en-US"/>
        </w:rPr>
        <w:t>with their strong support to</w:t>
      </w:r>
      <w:r w:rsidRPr="00A841D4">
        <w:rPr>
          <w:rFonts w:ascii="Times New Roman" w:hAnsi="Times New Roman" w:cs="Times New Roman"/>
          <w:lang w:val="en-US"/>
        </w:rPr>
        <w:t xml:space="preserve"> the application of sanctions vis-à-vis individuals and entities in Russia linked to the annexation of Crimea and aggression against Ukraine. Progress in advancing with alternative sources of supply, in particular, of energy resources, and flexibility of Lithuania’s economy allowed Lithuanian foreign policy</w:t>
      </w:r>
      <w:r w:rsidR="00E2205F" w:rsidRPr="00A841D4">
        <w:rPr>
          <w:rFonts w:ascii="Times New Roman" w:hAnsi="Times New Roman" w:cs="Times New Roman"/>
          <w:lang w:val="en-US"/>
        </w:rPr>
        <w:t>-makers</w:t>
      </w:r>
      <w:r w:rsidRPr="00A841D4">
        <w:rPr>
          <w:rFonts w:ascii="Times New Roman" w:hAnsi="Times New Roman" w:cs="Times New Roman"/>
          <w:lang w:val="en-US"/>
        </w:rPr>
        <w:t xml:space="preserve"> to be focused on demands related to Russia and be one of the most active supporters of closer relations between the EU and Eastern partners, in particular Ukraine, Georgia and Moldova. </w:t>
      </w:r>
    </w:p>
    <w:p w14:paraId="11C6D970" w14:textId="77777777" w:rsidR="00213A13" w:rsidRPr="00A841D4" w:rsidRDefault="00213A13" w:rsidP="00E2205F">
      <w:pPr>
        <w:jc w:val="both"/>
        <w:rPr>
          <w:rFonts w:ascii="Times New Roman" w:hAnsi="Times New Roman" w:cs="Times New Roman"/>
          <w:lang w:val="en-US"/>
        </w:rPr>
      </w:pPr>
    </w:p>
    <w:p w14:paraId="14905609" w14:textId="77777777" w:rsidR="00213A13" w:rsidRPr="00A841D4" w:rsidRDefault="00213A13" w:rsidP="00E2205F">
      <w:pPr>
        <w:jc w:val="both"/>
        <w:rPr>
          <w:rFonts w:ascii="Times New Roman" w:hAnsi="Times New Roman" w:cs="Times New Roman"/>
          <w:lang w:val="en-US"/>
        </w:rPr>
      </w:pPr>
    </w:p>
    <w:p w14:paraId="00416187" w14:textId="3065FE9A" w:rsidR="00213A13" w:rsidRPr="00A841D4" w:rsidRDefault="00213A13" w:rsidP="00E2205F">
      <w:pPr>
        <w:jc w:val="both"/>
        <w:rPr>
          <w:rFonts w:ascii="Times New Roman" w:hAnsi="Times New Roman" w:cs="Times New Roman"/>
          <w:b/>
          <w:lang w:val="en-US"/>
        </w:rPr>
      </w:pPr>
      <w:r w:rsidRPr="00A841D4">
        <w:rPr>
          <w:rFonts w:ascii="Times New Roman" w:hAnsi="Times New Roman" w:cs="Times New Roman"/>
          <w:b/>
          <w:lang w:val="en-US"/>
        </w:rPr>
        <w:t>References</w:t>
      </w:r>
    </w:p>
    <w:p w14:paraId="67472BBE" w14:textId="77777777" w:rsidR="00213A13" w:rsidRPr="00A841D4" w:rsidRDefault="00213A13" w:rsidP="00E2205F">
      <w:pPr>
        <w:jc w:val="both"/>
        <w:rPr>
          <w:rFonts w:ascii="Times New Roman" w:hAnsi="Times New Roman" w:cs="Times New Roman"/>
          <w:lang w:val="en-US"/>
        </w:rPr>
      </w:pPr>
    </w:p>
    <w:p w14:paraId="4C15124D" w14:textId="77777777" w:rsidR="00867D56" w:rsidRPr="00A841D4" w:rsidRDefault="00867D56" w:rsidP="00E2205F">
      <w:pPr>
        <w:jc w:val="both"/>
        <w:rPr>
          <w:rFonts w:ascii="Times New Roman" w:hAnsi="Times New Roman" w:cs="Times New Roman"/>
          <w:lang w:val="en-US"/>
        </w:rPr>
      </w:pPr>
    </w:p>
    <w:p w14:paraId="5F6BFA6F" w14:textId="04B7D69F" w:rsidR="00867D56" w:rsidRPr="00A841D4" w:rsidRDefault="00867D56" w:rsidP="00E2205F">
      <w:pPr>
        <w:jc w:val="both"/>
        <w:rPr>
          <w:rFonts w:ascii="Times New Roman" w:hAnsi="Times New Roman" w:cs="Times New Roman"/>
          <w:i/>
          <w:lang w:val="en-US"/>
        </w:rPr>
      </w:pPr>
      <w:r w:rsidRPr="00A841D4">
        <w:rPr>
          <w:rFonts w:ascii="Times New Roman" w:hAnsi="Times New Roman" w:cs="Times New Roman"/>
          <w:lang w:val="en-US"/>
        </w:rPr>
        <w:t xml:space="preserve">Blanchard, O. 2013. </w:t>
      </w:r>
      <w:r w:rsidRPr="00A841D4">
        <w:rPr>
          <w:rFonts w:ascii="Times New Roman" w:hAnsi="Times New Roman" w:cs="Times New Roman"/>
          <w:bCs/>
          <w:lang w:val="en-US"/>
        </w:rPr>
        <w:t>Boom, Bust, Recovery: Forensics of the Latvia Crisis</w:t>
      </w:r>
      <w:r w:rsidRPr="00A841D4">
        <w:rPr>
          <w:rFonts w:ascii="Times New Roman" w:hAnsi="Times New Roman" w:cs="Times New Roman"/>
          <w:lang w:val="en-US"/>
        </w:rPr>
        <w:t xml:space="preserve">. </w:t>
      </w:r>
      <w:r w:rsidRPr="00A841D4">
        <w:rPr>
          <w:rFonts w:ascii="Times New Roman" w:hAnsi="Times New Roman" w:cs="Times New Roman"/>
          <w:i/>
          <w:lang w:val="en-US"/>
        </w:rPr>
        <w:t>Brookings Papers on Economic Activity.</w:t>
      </w:r>
    </w:p>
    <w:p w14:paraId="10904AE9" w14:textId="6ED5F257" w:rsidR="00933D81" w:rsidRPr="00A841D4" w:rsidRDefault="00933D81" w:rsidP="00E2205F">
      <w:pPr>
        <w:jc w:val="both"/>
        <w:rPr>
          <w:rFonts w:ascii="Times New Roman" w:eastAsia="Times New Roman" w:hAnsi="Times New Roman" w:cs="Times New Roman"/>
          <w:lang w:val="en-US"/>
        </w:rPr>
      </w:pPr>
      <w:r w:rsidRPr="00A841D4">
        <w:rPr>
          <w:rFonts w:ascii="Times New Roman" w:eastAsia="Times New Roman" w:hAnsi="Times New Roman" w:cs="Times New Roman"/>
          <w:lang w:val="en-US"/>
        </w:rPr>
        <w:t xml:space="preserve">Calus, K., </w:t>
      </w:r>
      <w:proofErr w:type="spellStart"/>
      <w:r w:rsidRPr="00A841D4">
        <w:rPr>
          <w:rFonts w:ascii="Times New Roman" w:eastAsia="Times New Roman" w:hAnsi="Times New Roman" w:cs="Times New Roman"/>
          <w:lang w:val="en-US"/>
        </w:rPr>
        <w:t>Delcour</w:t>
      </w:r>
      <w:proofErr w:type="spellEnd"/>
      <w:r w:rsidRPr="00A841D4">
        <w:rPr>
          <w:rFonts w:ascii="Times New Roman" w:eastAsia="Times New Roman" w:hAnsi="Times New Roman" w:cs="Times New Roman"/>
          <w:lang w:val="en-US"/>
        </w:rPr>
        <w:t xml:space="preserve">, L., </w:t>
      </w:r>
      <w:proofErr w:type="spellStart"/>
      <w:r w:rsidRPr="00A841D4">
        <w:rPr>
          <w:rFonts w:ascii="Times New Roman" w:eastAsia="Times New Roman" w:hAnsi="Times New Roman" w:cs="Times New Roman"/>
          <w:lang w:val="en-US"/>
        </w:rPr>
        <w:t>Gazizuli</w:t>
      </w:r>
      <w:r w:rsidR="003F3B5E" w:rsidRPr="00A841D4">
        <w:rPr>
          <w:rFonts w:ascii="Times New Roman" w:eastAsia="Times New Roman" w:hAnsi="Times New Roman" w:cs="Times New Roman"/>
          <w:lang w:val="en-US"/>
        </w:rPr>
        <w:t>n</w:t>
      </w:r>
      <w:proofErr w:type="spellEnd"/>
      <w:r w:rsidR="003F3B5E" w:rsidRPr="00A841D4">
        <w:rPr>
          <w:rFonts w:ascii="Times New Roman" w:eastAsia="Times New Roman" w:hAnsi="Times New Roman" w:cs="Times New Roman"/>
          <w:lang w:val="en-US"/>
        </w:rPr>
        <w:t>, I., Iwanski, T., Jaroszew</w:t>
      </w:r>
      <w:r w:rsidRPr="00A841D4">
        <w:rPr>
          <w:rFonts w:ascii="Times New Roman" w:eastAsia="Times New Roman" w:hAnsi="Times New Roman" w:cs="Times New Roman"/>
          <w:lang w:val="en-US"/>
        </w:rPr>
        <w:t>icz</w:t>
      </w:r>
      <w:r w:rsidR="003F3B5E" w:rsidRPr="00A841D4">
        <w:rPr>
          <w:rFonts w:ascii="Times New Roman" w:eastAsia="Times New Roman" w:hAnsi="Times New Roman" w:cs="Times New Roman"/>
          <w:lang w:val="en-US"/>
        </w:rPr>
        <w:t>, M., Klysinski, K. (2018) Interdependencies of Eastern Partnership with the EU and Russia: Three Case Studies, EU-STRAT Working Paper No. 10.</w:t>
      </w:r>
    </w:p>
    <w:p w14:paraId="7F146235" w14:textId="2ED08523" w:rsidR="00780AD6" w:rsidRPr="00A841D4" w:rsidRDefault="00780AD6" w:rsidP="00E2205F">
      <w:pPr>
        <w:jc w:val="both"/>
        <w:rPr>
          <w:rFonts w:ascii="Times New Roman" w:eastAsia="Times New Roman" w:hAnsi="Times New Roman" w:cs="Times New Roman"/>
          <w:lang w:val="en-US"/>
        </w:rPr>
      </w:pPr>
      <w:r w:rsidRPr="00A841D4">
        <w:rPr>
          <w:rFonts w:ascii="Times New Roman" w:eastAsia="Times New Roman" w:hAnsi="Times New Roman" w:cs="Times New Roman"/>
          <w:lang w:val="en-US"/>
        </w:rPr>
        <w:t xml:space="preserve">Enterprise Lithuania (2016). Lithuania-Russia Bilateral Trade, Retrieved from </w:t>
      </w:r>
      <w:hyperlink r:id="rId21" w:history="1">
        <w:r w:rsidRPr="00A841D4">
          <w:rPr>
            <w:rStyle w:val="Hyperlink"/>
            <w:rFonts w:ascii="Times New Roman" w:eastAsia="Times New Roman" w:hAnsi="Times New Roman" w:cs="Times New Roman"/>
            <w:lang w:val="en-US"/>
          </w:rPr>
          <w:t>https://www.verslilietuva.lt/uploads/media/582c0fb0962fa/2016.11.16_Rusija_EN.pdf</w:t>
        </w:r>
      </w:hyperlink>
    </w:p>
    <w:p w14:paraId="09779A04" w14:textId="0A0F8816" w:rsidR="007B2A71" w:rsidRPr="00A841D4" w:rsidRDefault="007B2A71" w:rsidP="00E2205F">
      <w:pPr>
        <w:jc w:val="both"/>
        <w:rPr>
          <w:rFonts w:ascii="Times New Roman" w:hAnsi="Times New Roman" w:cs="Times New Roman"/>
          <w:lang w:val="en-US"/>
        </w:rPr>
      </w:pPr>
      <w:r w:rsidRPr="00A841D4">
        <w:rPr>
          <w:rFonts w:ascii="Times New Roman" w:hAnsi="Times New Roman" w:cs="Times New Roman"/>
          <w:lang w:val="en-US"/>
        </w:rPr>
        <w:t>Godzimirski, J., Vilpišauskas, R., Švedas, R. (2015) Energy Security in the Baltic Sea Region: regional coordination and management of interdependencies, Vilnius: Vilnius University Press.</w:t>
      </w:r>
    </w:p>
    <w:p w14:paraId="05F22B73" w14:textId="5FA2F400" w:rsidR="009C1BD2" w:rsidRPr="00A841D4" w:rsidRDefault="009C1BD2" w:rsidP="00E2205F">
      <w:pPr>
        <w:jc w:val="both"/>
        <w:rPr>
          <w:rFonts w:ascii="Times New Roman" w:hAnsi="Times New Roman" w:cs="Times New Roman"/>
          <w:lang w:val="en-US"/>
        </w:rPr>
      </w:pPr>
      <w:r w:rsidRPr="00A841D4">
        <w:rPr>
          <w:rFonts w:ascii="Times New Roman" w:hAnsi="Times New Roman" w:cs="Times New Roman"/>
          <w:lang w:val="en-US"/>
        </w:rPr>
        <w:t xml:space="preserve">Griffiths, R. T. (2014) Economic security and size, in Archer, C., </w:t>
      </w:r>
      <w:proofErr w:type="spellStart"/>
      <w:r w:rsidRPr="00A841D4">
        <w:rPr>
          <w:rFonts w:ascii="Times New Roman" w:hAnsi="Times New Roman" w:cs="Times New Roman"/>
          <w:lang w:val="en-US"/>
        </w:rPr>
        <w:t>Bailes</w:t>
      </w:r>
      <w:proofErr w:type="spellEnd"/>
      <w:r w:rsidRPr="00A841D4">
        <w:rPr>
          <w:rFonts w:ascii="Times New Roman" w:hAnsi="Times New Roman" w:cs="Times New Roman"/>
          <w:lang w:val="en-US"/>
        </w:rPr>
        <w:t xml:space="preserve">, A. J. K., </w:t>
      </w:r>
      <w:proofErr w:type="spellStart"/>
      <w:r w:rsidRPr="00A841D4">
        <w:rPr>
          <w:rFonts w:ascii="Times New Roman" w:hAnsi="Times New Roman" w:cs="Times New Roman"/>
          <w:lang w:val="en-US"/>
        </w:rPr>
        <w:t>Wivel</w:t>
      </w:r>
      <w:proofErr w:type="spellEnd"/>
      <w:r w:rsidRPr="00A841D4">
        <w:rPr>
          <w:rFonts w:ascii="Times New Roman" w:hAnsi="Times New Roman" w:cs="Times New Roman"/>
          <w:lang w:val="en-US"/>
        </w:rPr>
        <w:t>, A. (eds.) Small States and International Security, Europe and Beyond, New York: Routledge, pp. 46-65.</w:t>
      </w:r>
    </w:p>
    <w:p w14:paraId="1BB14DC8" w14:textId="392CC79A" w:rsidR="005551DB" w:rsidRPr="00A841D4" w:rsidRDefault="005551DB" w:rsidP="00E2205F">
      <w:pPr>
        <w:jc w:val="both"/>
        <w:rPr>
          <w:rFonts w:ascii="Times New Roman" w:hAnsi="Times New Roman" w:cs="Times New Roman"/>
          <w:lang w:val="en-US"/>
        </w:rPr>
      </w:pPr>
      <w:r w:rsidRPr="00A841D4">
        <w:rPr>
          <w:rFonts w:ascii="Times New Roman" w:hAnsi="Times New Roman" w:cs="Times New Roman"/>
          <w:lang w:val="en-US"/>
        </w:rPr>
        <w:t>Jackson, W. A. 2007. Economic flexibility: a structural analysis. In: Ioannides, Stavros and Nielsen, Klaus, (eds.) Economics and the Social Sciences. Edward Elgar, Cheltenham, pp. 215-232.</w:t>
      </w:r>
    </w:p>
    <w:p w14:paraId="19FA03E2" w14:textId="3480AC0D" w:rsidR="00F01F32" w:rsidRPr="00A841D4" w:rsidRDefault="00F01F32" w:rsidP="00E2205F">
      <w:pPr>
        <w:jc w:val="both"/>
        <w:rPr>
          <w:rFonts w:ascii="Times New Roman" w:hAnsi="Times New Roman" w:cs="Times New Roman"/>
          <w:i/>
          <w:lang w:val="en-US"/>
        </w:rPr>
      </w:pPr>
      <w:proofErr w:type="spellStart"/>
      <w:r w:rsidRPr="00A841D4">
        <w:rPr>
          <w:rFonts w:ascii="Times New Roman" w:hAnsi="Times New Roman" w:cs="Times New Roman"/>
          <w:lang w:val="en-US"/>
        </w:rPr>
        <w:t>Kalanta</w:t>
      </w:r>
      <w:proofErr w:type="spellEnd"/>
      <w:r w:rsidRPr="00A841D4">
        <w:rPr>
          <w:rFonts w:ascii="Times New Roman" w:hAnsi="Times New Roman" w:cs="Times New Roman"/>
          <w:lang w:val="en-US"/>
        </w:rPr>
        <w:t xml:space="preserve">, M. 2019. The weakness of social dialogue in the Baltic countries: An employer-centric political economy perspective. </w:t>
      </w:r>
      <w:r w:rsidRPr="00A841D4">
        <w:rPr>
          <w:rFonts w:ascii="Times New Roman" w:hAnsi="Times New Roman" w:cs="Times New Roman"/>
          <w:i/>
          <w:lang w:val="en-US"/>
        </w:rPr>
        <w:t>European Journal of Industrial Relations.</w:t>
      </w:r>
    </w:p>
    <w:p w14:paraId="4755347B" w14:textId="2C2C4AC9" w:rsidR="00AD2BBB" w:rsidRPr="00A841D4" w:rsidRDefault="00AD2BBB" w:rsidP="00E2205F">
      <w:pPr>
        <w:jc w:val="both"/>
        <w:rPr>
          <w:rFonts w:ascii="Times New Roman" w:hAnsi="Times New Roman" w:cs="Times New Roman"/>
          <w:lang w:val="en-US"/>
        </w:rPr>
      </w:pPr>
      <w:proofErr w:type="spellStart"/>
      <w:r w:rsidRPr="00A841D4">
        <w:rPr>
          <w:rFonts w:ascii="Times New Roman" w:hAnsi="Times New Roman" w:cs="Times New Roman"/>
          <w:lang w:val="en-US"/>
        </w:rPr>
        <w:t>Katzenstein</w:t>
      </w:r>
      <w:proofErr w:type="spellEnd"/>
      <w:r w:rsidRPr="00A841D4">
        <w:rPr>
          <w:rFonts w:ascii="Times New Roman" w:hAnsi="Times New Roman" w:cs="Times New Roman"/>
          <w:lang w:val="en-US"/>
        </w:rPr>
        <w:t>, P. 1985. Small States in World Markets: Industrial Policy in Europe</w:t>
      </w:r>
      <w:r w:rsidR="004603DF" w:rsidRPr="00A841D4">
        <w:rPr>
          <w:rFonts w:ascii="Times New Roman" w:hAnsi="Times New Roman" w:cs="Times New Roman"/>
          <w:lang w:val="en-US"/>
        </w:rPr>
        <w:t>, Ithaca and London: Cornell University Press</w:t>
      </w:r>
    </w:p>
    <w:p w14:paraId="35D43383" w14:textId="166A6BD7" w:rsidR="00AD2BBB" w:rsidRPr="00A841D4" w:rsidRDefault="00AD2BBB" w:rsidP="00E2205F">
      <w:pPr>
        <w:jc w:val="both"/>
        <w:rPr>
          <w:rFonts w:ascii="Times New Roman" w:hAnsi="Times New Roman" w:cs="Times New Roman"/>
          <w:i/>
          <w:lang w:val="en-US"/>
        </w:rPr>
      </w:pPr>
      <w:proofErr w:type="spellStart"/>
      <w:r w:rsidRPr="00A841D4">
        <w:rPr>
          <w:rFonts w:ascii="Times New Roman" w:hAnsi="Times New Roman" w:cs="Times New Roman"/>
          <w:lang w:val="en-US"/>
        </w:rPr>
        <w:t>Katzenstein</w:t>
      </w:r>
      <w:proofErr w:type="spellEnd"/>
      <w:r w:rsidRPr="00A841D4">
        <w:rPr>
          <w:rFonts w:ascii="Times New Roman" w:hAnsi="Times New Roman" w:cs="Times New Roman"/>
          <w:lang w:val="en-US"/>
        </w:rPr>
        <w:t xml:space="preserve">, P. 2003. Small states and small states revisited. </w:t>
      </w:r>
      <w:r w:rsidRPr="00A841D4">
        <w:rPr>
          <w:rFonts w:ascii="Times New Roman" w:hAnsi="Times New Roman" w:cs="Times New Roman"/>
          <w:i/>
          <w:lang w:val="en-US"/>
        </w:rPr>
        <w:t>New Political Economy.</w:t>
      </w:r>
      <w:r w:rsidR="004C2D07" w:rsidRPr="00A841D4">
        <w:rPr>
          <w:rFonts w:ascii="Times New Roman" w:hAnsi="Times New Roman" w:cs="Times New Roman"/>
          <w:i/>
          <w:lang w:val="en-US"/>
        </w:rPr>
        <w:t xml:space="preserve"> </w:t>
      </w:r>
      <w:r w:rsidR="004C2D07" w:rsidRPr="00A841D4">
        <w:rPr>
          <w:rFonts w:ascii="Times New Roman" w:hAnsi="Times New Roman" w:cs="Times New Roman"/>
          <w:lang w:val="en-US"/>
        </w:rPr>
        <w:t>8(1): 9-30.</w:t>
      </w:r>
    </w:p>
    <w:p w14:paraId="0C9A3ABC" w14:textId="7A0E8AAE" w:rsidR="003A2BD0" w:rsidRPr="00A841D4" w:rsidRDefault="004C2D07" w:rsidP="00E2205F">
      <w:pPr>
        <w:jc w:val="both"/>
        <w:rPr>
          <w:rFonts w:ascii="Times New Roman" w:hAnsi="Times New Roman" w:cs="Times New Roman"/>
          <w:lang w:val="en-US"/>
        </w:rPr>
      </w:pPr>
      <w:proofErr w:type="spellStart"/>
      <w:r w:rsidRPr="00A841D4">
        <w:rPr>
          <w:rFonts w:ascii="Times New Roman" w:hAnsi="Times New Roman" w:cs="Times New Roman"/>
          <w:lang w:val="en-US"/>
        </w:rPr>
        <w:t>Keohane</w:t>
      </w:r>
      <w:proofErr w:type="spellEnd"/>
      <w:r w:rsidRPr="00A841D4">
        <w:rPr>
          <w:rFonts w:ascii="Times New Roman" w:hAnsi="Times New Roman" w:cs="Times New Roman"/>
          <w:lang w:val="en-US"/>
        </w:rPr>
        <w:t>, R., Nye, J. S</w:t>
      </w:r>
      <w:r w:rsidR="003A2BD0" w:rsidRPr="00A841D4">
        <w:rPr>
          <w:rFonts w:ascii="Times New Roman" w:hAnsi="Times New Roman" w:cs="Times New Roman"/>
          <w:lang w:val="en-US"/>
        </w:rPr>
        <w:t xml:space="preserve">. </w:t>
      </w:r>
      <w:r w:rsidRPr="00A841D4">
        <w:rPr>
          <w:rFonts w:ascii="Times New Roman" w:hAnsi="Times New Roman" w:cs="Times New Roman"/>
          <w:lang w:val="en-US"/>
        </w:rPr>
        <w:t xml:space="preserve">(2012) </w:t>
      </w:r>
      <w:r w:rsidR="00780AD6" w:rsidRPr="00A841D4">
        <w:rPr>
          <w:rFonts w:ascii="Times New Roman" w:hAnsi="Times New Roman" w:cs="Times New Roman"/>
          <w:lang w:val="en-US"/>
        </w:rPr>
        <w:t>Power and Interdependence, New York: Longman, 4</w:t>
      </w:r>
      <w:r w:rsidR="00780AD6" w:rsidRPr="00A841D4">
        <w:rPr>
          <w:rFonts w:ascii="Times New Roman" w:hAnsi="Times New Roman" w:cs="Times New Roman"/>
          <w:vertAlign w:val="superscript"/>
          <w:lang w:val="en-US"/>
        </w:rPr>
        <w:t>th</w:t>
      </w:r>
      <w:r w:rsidR="00780AD6" w:rsidRPr="00A841D4">
        <w:rPr>
          <w:rFonts w:ascii="Times New Roman" w:hAnsi="Times New Roman" w:cs="Times New Roman"/>
          <w:lang w:val="en-US"/>
        </w:rPr>
        <w:t xml:space="preserve"> edition.</w:t>
      </w:r>
    </w:p>
    <w:p w14:paraId="53E5355B" w14:textId="0167F7CE" w:rsidR="00213A13" w:rsidRPr="00A841D4" w:rsidRDefault="00213A13" w:rsidP="00E2205F">
      <w:pPr>
        <w:jc w:val="both"/>
        <w:rPr>
          <w:rFonts w:ascii="Times New Roman" w:hAnsi="Times New Roman" w:cs="Times New Roman"/>
          <w:lang w:val="en-US"/>
        </w:rPr>
      </w:pPr>
      <w:proofErr w:type="spellStart"/>
      <w:r w:rsidRPr="00A841D4">
        <w:rPr>
          <w:rFonts w:ascii="Times New Roman" w:hAnsi="Times New Roman" w:cs="Times New Roman"/>
          <w:lang w:val="en-US"/>
        </w:rPr>
        <w:t>Kraatz</w:t>
      </w:r>
      <w:proofErr w:type="spellEnd"/>
      <w:r w:rsidRPr="00A841D4">
        <w:rPr>
          <w:rFonts w:ascii="Times New Roman" w:hAnsi="Times New Roman" w:cs="Times New Roman"/>
          <w:lang w:val="en-US"/>
        </w:rPr>
        <w:t>, S. 2014. The Russian Embargo: Impact on the Economic and Employment Situation in the EU. Policy Department A: Economy and Scientific Policy; European Parliament.</w:t>
      </w:r>
    </w:p>
    <w:p w14:paraId="00DDC64C" w14:textId="0801E88D" w:rsidR="00867D56" w:rsidRPr="00A841D4" w:rsidRDefault="00867D56" w:rsidP="00E2205F">
      <w:pPr>
        <w:jc w:val="both"/>
        <w:rPr>
          <w:rFonts w:ascii="Times New Roman" w:hAnsi="Times New Roman" w:cs="Times New Roman"/>
          <w:i/>
          <w:lang w:val="en-US"/>
        </w:rPr>
      </w:pPr>
      <w:r w:rsidRPr="00A841D4">
        <w:rPr>
          <w:rFonts w:ascii="Times New Roman" w:hAnsi="Times New Roman" w:cs="Times New Roman"/>
          <w:lang w:val="en-US"/>
        </w:rPr>
        <w:t xml:space="preserve">Kuokštis, V. 2015. </w:t>
      </w:r>
      <w:hyperlink r:id="rId22" w:history="1">
        <w:r w:rsidRPr="00A841D4">
          <w:rPr>
            <w:rStyle w:val="Hyperlink"/>
            <w:rFonts w:ascii="Times New Roman" w:hAnsi="Times New Roman" w:cs="Times New Roman"/>
            <w:u w:val="none"/>
            <w:lang w:val="en-US"/>
          </w:rPr>
          <w:t>Jingle bells and struggling </w:t>
        </w:r>
        <w:r w:rsidRPr="00A841D4">
          <w:rPr>
            <w:rStyle w:val="Hyperlink"/>
            <w:rFonts w:ascii="Times New Roman" w:hAnsi="Times New Roman" w:cs="Times New Roman"/>
            <w:bCs/>
            <w:u w:val="none"/>
            <w:lang w:val="en-US"/>
          </w:rPr>
          <w:t>GIPS</w:t>
        </w:r>
        <w:r w:rsidRPr="00A841D4">
          <w:rPr>
            <w:rStyle w:val="Hyperlink"/>
            <w:rFonts w:ascii="Times New Roman" w:hAnsi="Times New Roman" w:cs="Times New Roman"/>
            <w:u w:val="none"/>
            <w:lang w:val="en-US"/>
          </w:rPr>
          <w:t>: Comparing the Baltic and the southern euro zone's crisis experience using the varieties of capitalism framework</w:t>
        </w:r>
      </w:hyperlink>
      <w:r w:rsidRPr="00A841D4">
        <w:rPr>
          <w:rFonts w:ascii="Times New Roman" w:hAnsi="Times New Roman" w:cs="Times New Roman"/>
          <w:lang w:val="en-US"/>
        </w:rPr>
        <w:t xml:space="preserve">. </w:t>
      </w:r>
      <w:proofErr w:type="spellStart"/>
      <w:r w:rsidRPr="00A841D4">
        <w:rPr>
          <w:rFonts w:ascii="Times New Roman" w:hAnsi="Times New Roman" w:cs="Times New Roman"/>
          <w:i/>
          <w:lang w:val="en-US"/>
        </w:rPr>
        <w:t>Acta</w:t>
      </w:r>
      <w:proofErr w:type="spellEnd"/>
      <w:r w:rsidRPr="00A841D4">
        <w:rPr>
          <w:rFonts w:ascii="Times New Roman" w:hAnsi="Times New Roman" w:cs="Times New Roman"/>
          <w:i/>
          <w:lang w:val="en-US"/>
        </w:rPr>
        <w:t xml:space="preserve"> </w:t>
      </w:r>
      <w:proofErr w:type="spellStart"/>
      <w:r w:rsidRPr="00A841D4">
        <w:rPr>
          <w:rFonts w:ascii="Times New Roman" w:hAnsi="Times New Roman" w:cs="Times New Roman"/>
          <w:i/>
          <w:lang w:val="en-US"/>
        </w:rPr>
        <w:t>Oeconomica</w:t>
      </w:r>
      <w:proofErr w:type="spellEnd"/>
      <w:r w:rsidRPr="00A841D4">
        <w:rPr>
          <w:rFonts w:ascii="Times New Roman" w:hAnsi="Times New Roman" w:cs="Times New Roman"/>
          <w:i/>
          <w:lang w:val="en-US"/>
        </w:rPr>
        <w:t>.</w:t>
      </w:r>
    </w:p>
    <w:p w14:paraId="3AC59263" w14:textId="0BB7CFC1" w:rsidR="00780AD6" w:rsidRPr="00A841D4" w:rsidRDefault="00780AD6" w:rsidP="00E2205F">
      <w:pPr>
        <w:jc w:val="both"/>
        <w:rPr>
          <w:rFonts w:ascii="Times New Roman" w:eastAsia="Times New Roman" w:hAnsi="Times New Roman" w:cs="Times New Roman"/>
          <w:lang w:val="en-US"/>
        </w:rPr>
      </w:pPr>
      <w:r w:rsidRPr="00A841D4">
        <w:rPr>
          <w:rFonts w:ascii="Times New Roman" w:eastAsia="Times New Roman" w:hAnsi="Times New Roman" w:cs="Times New Roman"/>
          <w:lang w:val="en-US"/>
        </w:rPr>
        <w:t>Lithuanian Ministry of Transport and Communications</w:t>
      </w:r>
      <w:r w:rsidR="004C2D07" w:rsidRPr="00A841D4">
        <w:rPr>
          <w:rFonts w:ascii="Times New Roman" w:eastAsia="Times New Roman" w:hAnsi="Times New Roman" w:cs="Times New Roman"/>
          <w:lang w:val="en-US"/>
        </w:rPr>
        <w:t xml:space="preserve"> </w:t>
      </w:r>
      <w:r w:rsidRPr="00A841D4">
        <w:rPr>
          <w:rFonts w:ascii="Times New Roman" w:eastAsia="Times New Roman" w:hAnsi="Times New Roman" w:cs="Times New Roman"/>
          <w:lang w:val="en-US"/>
        </w:rPr>
        <w:t xml:space="preserve">(2016), </w:t>
      </w:r>
      <w:proofErr w:type="spellStart"/>
      <w:r w:rsidRPr="00A841D4">
        <w:rPr>
          <w:rFonts w:ascii="Times New Roman" w:eastAsia="Times New Roman" w:hAnsi="Times New Roman" w:cs="Times New Roman"/>
          <w:lang w:val="en-US"/>
        </w:rPr>
        <w:t>Transporto</w:t>
      </w:r>
      <w:proofErr w:type="spellEnd"/>
      <w:r w:rsidRPr="00A841D4">
        <w:rPr>
          <w:rFonts w:ascii="Times New Roman" w:eastAsia="Times New Roman" w:hAnsi="Times New Roman" w:cs="Times New Roman"/>
          <w:lang w:val="en-US"/>
        </w:rPr>
        <w:t xml:space="preserve"> </w:t>
      </w:r>
      <w:proofErr w:type="spellStart"/>
      <w:r w:rsidRPr="00A841D4">
        <w:rPr>
          <w:rFonts w:ascii="Times New Roman" w:eastAsia="Times New Roman" w:hAnsi="Times New Roman" w:cs="Times New Roman"/>
          <w:lang w:val="en-US"/>
        </w:rPr>
        <w:t>rinkos</w:t>
      </w:r>
      <w:proofErr w:type="spellEnd"/>
      <w:r w:rsidRPr="00A841D4">
        <w:rPr>
          <w:rFonts w:ascii="Times New Roman" w:eastAsia="Times New Roman" w:hAnsi="Times New Roman" w:cs="Times New Roman"/>
          <w:lang w:val="en-US"/>
        </w:rPr>
        <w:t xml:space="preserve"> </w:t>
      </w:r>
      <w:proofErr w:type="spellStart"/>
      <w:r w:rsidRPr="00A841D4">
        <w:rPr>
          <w:rFonts w:ascii="Times New Roman" w:eastAsia="Times New Roman" w:hAnsi="Times New Roman" w:cs="Times New Roman"/>
          <w:lang w:val="en-US"/>
        </w:rPr>
        <w:t>statistinių</w:t>
      </w:r>
      <w:proofErr w:type="spellEnd"/>
      <w:r w:rsidRPr="00A841D4">
        <w:rPr>
          <w:rFonts w:ascii="Times New Roman" w:eastAsia="Times New Roman" w:hAnsi="Times New Roman" w:cs="Times New Roman"/>
          <w:lang w:val="en-US"/>
        </w:rPr>
        <w:t xml:space="preserve"> </w:t>
      </w:r>
      <w:proofErr w:type="spellStart"/>
      <w:r w:rsidRPr="00A841D4">
        <w:rPr>
          <w:rFonts w:ascii="Times New Roman" w:eastAsia="Times New Roman" w:hAnsi="Times New Roman" w:cs="Times New Roman"/>
          <w:lang w:val="en-US"/>
        </w:rPr>
        <w:t>rodiklių</w:t>
      </w:r>
      <w:proofErr w:type="spellEnd"/>
      <w:r w:rsidRPr="00A841D4">
        <w:rPr>
          <w:rFonts w:ascii="Times New Roman" w:eastAsia="Times New Roman" w:hAnsi="Times New Roman" w:cs="Times New Roman"/>
          <w:lang w:val="en-US"/>
        </w:rPr>
        <w:t xml:space="preserve"> </w:t>
      </w:r>
      <w:proofErr w:type="spellStart"/>
      <w:r w:rsidRPr="00A841D4">
        <w:rPr>
          <w:rFonts w:ascii="Times New Roman" w:eastAsia="Times New Roman" w:hAnsi="Times New Roman" w:cs="Times New Roman"/>
          <w:lang w:val="en-US"/>
        </w:rPr>
        <w:t>apžvalga</w:t>
      </w:r>
      <w:proofErr w:type="spellEnd"/>
      <w:r w:rsidRPr="00A841D4">
        <w:rPr>
          <w:rFonts w:ascii="Times New Roman" w:eastAsia="Times New Roman" w:hAnsi="Times New Roman" w:cs="Times New Roman"/>
          <w:lang w:val="en-US"/>
        </w:rPr>
        <w:t xml:space="preserve"> (2016 m. </w:t>
      </w:r>
      <w:proofErr w:type="spellStart"/>
      <w:r w:rsidRPr="00A841D4">
        <w:rPr>
          <w:rFonts w:ascii="Times New Roman" w:eastAsia="Times New Roman" w:hAnsi="Times New Roman" w:cs="Times New Roman"/>
          <w:lang w:val="en-US"/>
        </w:rPr>
        <w:t>sausio</w:t>
      </w:r>
      <w:proofErr w:type="spellEnd"/>
      <w:r w:rsidRPr="00A841D4">
        <w:rPr>
          <w:rFonts w:ascii="Times New Roman" w:eastAsia="Times New Roman" w:hAnsi="Times New Roman" w:cs="Times New Roman"/>
          <w:lang w:val="en-US"/>
        </w:rPr>
        <w:t>–</w:t>
      </w:r>
      <w:proofErr w:type="spellStart"/>
      <w:r w:rsidRPr="00A841D4">
        <w:rPr>
          <w:rFonts w:ascii="Times New Roman" w:eastAsia="Times New Roman" w:hAnsi="Times New Roman" w:cs="Times New Roman"/>
          <w:lang w:val="en-US"/>
        </w:rPr>
        <w:t>gruodžio</w:t>
      </w:r>
      <w:proofErr w:type="spellEnd"/>
      <w:r w:rsidRPr="00A841D4">
        <w:rPr>
          <w:rFonts w:ascii="Times New Roman" w:eastAsia="Times New Roman" w:hAnsi="Times New Roman" w:cs="Times New Roman"/>
          <w:lang w:val="en-US"/>
        </w:rPr>
        <w:t xml:space="preserve"> </w:t>
      </w:r>
      <w:proofErr w:type="spellStart"/>
      <w:r w:rsidRPr="00A841D4">
        <w:rPr>
          <w:rFonts w:ascii="Times New Roman" w:eastAsia="Times New Roman" w:hAnsi="Times New Roman" w:cs="Times New Roman"/>
          <w:lang w:val="en-US"/>
        </w:rPr>
        <w:t>mėn</w:t>
      </w:r>
      <w:proofErr w:type="spellEnd"/>
      <w:r w:rsidRPr="00A841D4">
        <w:rPr>
          <w:rFonts w:ascii="Times New Roman" w:eastAsia="Times New Roman" w:hAnsi="Times New Roman" w:cs="Times New Roman"/>
          <w:lang w:val="en-US"/>
        </w:rPr>
        <w:t>.) (translation - Overview of transport market indicators (January-December 2016)). Retrieved from</w:t>
      </w:r>
    </w:p>
    <w:p w14:paraId="488DA559" w14:textId="77777777" w:rsidR="00780AD6" w:rsidRPr="00A841D4" w:rsidRDefault="00251892" w:rsidP="00E2205F">
      <w:pPr>
        <w:jc w:val="both"/>
        <w:rPr>
          <w:rFonts w:ascii="Times New Roman" w:hAnsi="Times New Roman" w:cs="Times New Roman"/>
          <w:lang w:val="en-US"/>
        </w:rPr>
      </w:pPr>
      <w:hyperlink r:id="rId23" w:history="1">
        <w:r w:rsidR="00780AD6" w:rsidRPr="00A841D4">
          <w:rPr>
            <w:rStyle w:val="Hyperlink"/>
            <w:rFonts w:ascii="Times New Roman" w:hAnsi="Times New Roman" w:cs="Times New Roman"/>
            <w:lang w:val="en-US"/>
          </w:rPr>
          <w:t>https://sumin.lrv.lt/uploads/sumin/documents/files/2016%20m_%20Transporto%20rinkos%20ap%C5%BEvalga%20SM%20talpinimui(2).pdf</w:t>
        </w:r>
      </w:hyperlink>
    </w:p>
    <w:p w14:paraId="42834545" w14:textId="309A965C" w:rsidR="00780AD6" w:rsidRPr="00A841D4" w:rsidRDefault="00780AD6" w:rsidP="00E2205F">
      <w:pPr>
        <w:autoSpaceDE w:val="0"/>
        <w:autoSpaceDN w:val="0"/>
        <w:adjustRightInd w:val="0"/>
        <w:jc w:val="both"/>
        <w:rPr>
          <w:rFonts w:ascii="Times New Roman" w:hAnsi="Times New Roman" w:cs="Times New Roman"/>
          <w:lang w:val="en-US"/>
        </w:rPr>
      </w:pPr>
      <w:proofErr w:type="spellStart"/>
      <w:r w:rsidRPr="00A841D4">
        <w:rPr>
          <w:rFonts w:ascii="Times New Roman" w:hAnsi="Times New Roman" w:cs="Times New Roman"/>
          <w:lang w:val="en-US"/>
        </w:rPr>
        <w:lastRenderedPageBreak/>
        <w:t>Liuhto</w:t>
      </w:r>
      <w:proofErr w:type="spellEnd"/>
      <w:r w:rsidRPr="00A841D4">
        <w:rPr>
          <w:rFonts w:ascii="Times New Roman" w:hAnsi="Times New Roman" w:cs="Times New Roman"/>
          <w:lang w:val="en-US"/>
        </w:rPr>
        <w:t xml:space="preserve">, K. </w:t>
      </w:r>
      <w:r w:rsidR="004C2D07" w:rsidRPr="00A841D4">
        <w:rPr>
          <w:rFonts w:ascii="Times New Roman" w:hAnsi="Times New Roman" w:cs="Times New Roman"/>
          <w:lang w:val="en-US"/>
        </w:rPr>
        <w:t>(</w:t>
      </w:r>
      <w:r w:rsidRPr="00A841D4">
        <w:rPr>
          <w:rFonts w:ascii="Times New Roman" w:hAnsi="Times New Roman" w:cs="Times New Roman"/>
          <w:lang w:val="en-US"/>
        </w:rPr>
        <w:t>2015</w:t>
      </w:r>
      <w:r w:rsidR="004C2D07" w:rsidRPr="00A841D4">
        <w:rPr>
          <w:rFonts w:ascii="Times New Roman" w:hAnsi="Times New Roman" w:cs="Times New Roman"/>
          <w:lang w:val="en-US"/>
        </w:rPr>
        <w:t>)</w:t>
      </w:r>
      <w:r w:rsidRPr="00A841D4">
        <w:rPr>
          <w:rFonts w:ascii="Times New Roman" w:hAnsi="Times New Roman" w:cs="Times New Roman"/>
          <w:lang w:val="en-US"/>
        </w:rPr>
        <w:t xml:space="preserve">, </w:t>
      </w:r>
      <w:r w:rsidRPr="00A841D4">
        <w:rPr>
          <w:rFonts w:ascii="Times New Roman" w:eastAsia="TimesNewRomanPS-ItalicMT" w:hAnsi="Times New Roman" w:cs="Times New Roman"/>
          <w:i/>
          <w:iCs/>
          <w:lang w:val="en-US"/>
        </w:rPr>
        <w:t xml:space="preserve">To what extent are EU Member States economically dependent on </w:t>
      </w:r>
      <w:proofErr w:type="gramStart"/>
      <w:r w:rsidRPr="00A841D4">
        <w:rPr>
          <w:rFonts w:ascii="Times New Roman" w:eastAsia="TimesNewRomanPS-ItalicMT" w:hAnsi="Times New Roman" w:cs="Times New Roman"/>
          <w:i/>
          <w:iCs/>
          <w:lang w:val="en-US"/>
        </w:rPr>
        <w:t>Russia?</w:t>
      </w:r>
      <w:r w:rsidRPr="00A841D4">
        <w:rPr>
          <w:rFonts w:ascii="Times New Roman" w:eastAsia="TimesNewRomanPSMT" w:hAnsi="Times New Roman" w:cs="Times New Roman"/>
          <w:lang w:val="en-US"/>
        </w:rPr>
        <w:t>,</w:t>
      </w:r>
      <w:proofErr w:type="gramEnd"/>
      <w:r w:rsidRPr="00A841D4">
        <w:rPr>
          <w:rFonts w:ascii="Times New Roman" w:eastAsia="TimesNewRomanPSMT" w:hAnsi="Times New Roman" w:cs="Times New Roman"/>
          <w:lang w:val="en-US"/>
        </w:rPr>
        <w:t xml:space="preserve"> </w:t>
      </w:r>
      <w:proofErr w:type="spellStart"/>
      <w:r w:rsidRPr="00A841D4">
        <w:rPr>
          <w:rFonts w:ascii="Times New Roman" w:eastAsia="TimesNewRomanPSMT" w:hAnsi="Times New Roman" w:cs="Times New Roman"/>
          <w:lang w:val="en-US"/>
        </w:rPr>
        <w:t>Zeszyty</w:t>
      </w:r>
      <w:proofErr w:type="spellEnd"/>
      <w:r w:rsidRPr="00A841D4">
        <w:rPr>
          <w:rFonts w:ascii="Times New Roman" w:eastAsia="TimesNewRomanPSMT" w:hAnsi="Times New Roman" w:cs="Times New Roman"/>
          <w:lang w:val="en-US"/>
        </w:rPr>
        <w:t xml:space="preserve"> </w:t>
      </w:r>
      <w:proofErr w:type="spellStart"/>
      <w:r w:rsidRPr="00A841D4">
        <w:rPr>
          <w:rFonts w:ascii="Times New Roman" w:eastAsia="TimesNewRomanPSMT" w:hAnsi="Times New Roman" w:cs="Times New Roman"/>
          <w:lang w:val="en-US"/>
        </w:rPr>
        <w:t>Naukowe</w:t>
      </w:r>
      <w:proofErr w:type="spellEnd"/>
      <w:r w:rsidRPr="00A841D4">
        <w:rPr>
          <w:rFonts w:ascii="Times New Roman" w:eastAsia="TimesNewRomanPSMT" w:hAnsi="Times New Roman" w:cs="Times New Roman"/>
          <w:lang w:val="en-US"/>
        </w:rPr>
        <w:t xml:space="preserve"> </w:t>
      </w:r>
      <w:proofErr w:type="spellStart"/>
      <w:r w:rsidRPr="00A841D4">
        <w:rPr>
          <w:rFonts w:ascii="Times New Roman" w:eastAsia="TimesNewRomanPSMT" w:hAnsi="Times New Roman" w:cs="Times New Roman"/>
          <w:lang w:val="en-US"/>
        </w:rPr>
        <w:t>Uniwersytetu</w:t>
      </w:r>
      <w:proofErr w:type="spellEnd"/>
      <w:r w:rsidRPr="00A841D4">
        <w:rPr>
          <w:rFonts w:ascii="Times New Roman" w:eastAsia="TimesNewRomanPSMT" w:hAnsi="Times New Roman" w:cs="Times New Roman"/>
          <w:lang w:val="en-US"/>
        </w:rPr>
        <w:t xml:space="preserve"> </w:t>
      </w:r>
      <w:proofErr w:type="spellStart"/>
      <w:r w:rsidRPr="00A841D4">
        <w:rPr>
          <w:rFonts w:ascii="Times New Roman" w:eastAsia="TimesNewRomanPSMT" w:hAnsi="Times New Roman" w:cs="Times New Roman"/>
          <w:lang w:val="en-US"/>
        </w:rPr>
        <w:t>Szczecińskiego</w:t>
      </w:r>
      <w:proofErr w:type="spellEnd"/>
      <w:r w:rsidRPr="00A841D4">
        <w:rPr>
          <w:rFonts w:ascii="Times New Roman" w:eastAsia="TimesNewRomanPSMT" w:hAnsi="Times New Roman" w:cs="Times New Roman"/>
          <w:lang w:val="en-US"/>
        </w:rPr>
        <w:t xml:space="preserve"> nr 854, „</w:t>
      </w:r>
      <w:proofErr w:type="spellStart"/>
      <w:r w:rsidRPr="00A841D4">
        <w:rPr>
          <w:rFonts w:ascii="Times New Roman" w:eastAsia="TimesNewRomanPSMT" w:hAnsi="Times New Roman" w:cs="Times New Roman"/>
          <w:lang w:val="en-US"/>
        </w:rPr>
        <w:t>Finanse</w:t>
      </w:r>
      <w:proofErr w:type="spellEnd"/>
      <w:r w:rsidRPr="00A841D4">
        <w:rPr>
          <w:rFonts w:ascii="Times New Roman" w:eastAsia="TimesNewRomanPSMT" w:hAnsi="Times New Roman" w:cs="Times New Roman"/>
          <w:lang w:val="en-US"/>
        </w:rPr>
        <w:t xml:space="preserve">, </w:t>
      </w:r>
      <w:proofErr w:type="spellStart"/>
      <w:r w:rsidRPr="00A841D4">
        <w:rPr>
          <w:rFonts w:ascii="Times New Roman" w:eastAsia="TimesNewRomanPSMT" w:hAnsi="Times New Roman" w:cs="Times New Roman"/>
          <w:lang w:val="en-US"/>
        </w:rPr>
        <w:t>Rynki</w:t>
      </w:r>
      <w:proofErr w:type="spellEnd"/>
      <w:r w:rsidRPr="00A841D4">
        <w:rPr>
          <w:rFonts w:ascii="Times New Roman" w:eastAsia="TimesNewRomanPSMT" w:hAnsi="Times New Roman" w:cs="Times New Roman"/>
          <w:lang w:val="en-US"/>
        </w:rPr>
        <w:t xml:space="preserve"> </w:t>
      </w:r>
      <w:proofErr w:type="spellStart"/>
      <w:r w:rsidRPr="00A841D4">
        <w:rPr>
          <w:rFonts w:ascii="Times New Roman" w:eastAsia="TimesNewRomanPSMT" w:hAnsi="Times New Roman" w:cs="Times New Roman"/>
          <w:lang w:val="en-US"/>
        </w:rPr>
        <w:t>Finansowe</w:t>
      </w:r>
      <w:proofErr w:type="spellEnd"/>
      <w:r w:rsidRPr="00A841D4">
        <w:rPr>
          <w:rFonts w:ascii="Times New Roman" w:eastAsia="TimesNewRomanPSMT" w:hAnsi="Times New Roman" w:cs="Times New Roman"/>
          <w:lang w:val="en-US"/>
        </w:rPr>
        <w:t xml:space="preserve">, </w:t>
      </w:r>
      <w:proofErr w:type="spellStart"/>
      <w:r w:rsidRPr="00A841D4">
        <w:rPr>
          <w:rFonts w:ascii="Times New Roman" w:eastAsia="TimesNewRomanPSMT" w:hAnsi="Times New Roman" w:cs="Times New Roman"/>
          <w:lang w:val="en-US"/>
        </w:rPr>
        <w:t>Ubezpieczenia</w:t>
      </w:r>
      <w:proofErr w:type="spellEnd"/>
      <w:r w:rsidRPr="00A841D4">
        <w:rPr>
          <w:rFonts w:ascii="Times New Roman" w:eastAsia="TimesNewRomanPSMT" w:hAnsi="Times New Roman" w:cs="Times New Roman"/>
          <w:lang w:val="en-US"/>
        </w:rPr>
        <w:t xml:space="preserve">” nr 73, </w:t>
      </w:r>
      <w:proofErr w:type="spellStart"/>
      <w:r w:rsidRPr="00A841D4">
        <w:rPr>
          <w:rFonts w:ascii="Times New Roman" w:eastAsia="TimesNewRomanPSMT" w:hAnsi="Times New Roman" w:cs="Times New Roman"/>
          <w:lang w:val="en-US"/>
        </w:rPr>
        <w:t>Wydawnictwo</w:t>
      </w:r>
      <w:proofErr w:type="spellEnd"/>
      <w:r w:rsidRPr="00A841D4">
        <w:rPr>
          <w:rFonts w:ascii="Times New Roman" w:eastAsia="TimesNewRomanPSMT" w:hAnsi="Times New Roman" w:cs="Times New Roman"/>
          <w:lang w:val="en-US"/>
        </w:rPr>
        <w:t xml:space="preserve"> </w:t>
      </w:r>
      <w:proofErr w:type="spellStart"/>
      <w:r w:rsidRPr="00A841D4">
        <w:rPr>
          <w:rFonts w:ascii="Times New Roman" w:eastAsia="TimesNewRomanPSMT" w:hAnsi="Times New Roman" w:cs="Times New Roman"/>
          <w:lang w:val="en-US"/>
        </w:rPr>
        <w:t>Naukowe</w:t>
      </w:r>
      <w:proofErr w:type="spellEnd"/>
      <w:r w:rsidRPr="00A841D4">
        <w:rPr>
          <w:rFonts w:ascii="Times New Roman" w:eastAsia="TimesNewRomanPSMT" w:hAnsi="Times New Roman" w:cs="Times New Roman"/>
          <w:lang w:val="en-US"/>
        </w:rPr>
        <w:t xml:space="preserve"> </w:t>
      </w:r>
      <w:proofErr w:type="spellStart"/>
      <w:r w:rsidRPr="00A841D4">
        <w:rPr>
          <w:rFonts w:ascii="Times New Roman" w:eastAsia="TimesNewRomanPSMT" w:hAnsi="Times New Roman" w:cs="Times New Roman"/>
          <w:lang w:val="en-US"/>
        </w:rPr>
        <w:t>Uniwersytetu</w:t>
      </w:r>
      <w:proofErr w:type="spellEnd"/>
      <w:r w:rsidRPr="00A841D4">
        <w:rPr>
          <w:rFonts w:ascii="Times New Roman" w:eastAsia="TimesNewRomanPSMT" w:hAnsi="Times New Roman" w:cs="Times New Roman"/>
          <w:lang w:val="en-US"/>
        </w:rPr>
        <w:t xml:space="preserve"> </w:t>
      </w:r>
      <w:proofErr w:type="spellStart"/>
      <w:r w:rsidRPr="00A841D4">
        <w:rPr>
          <w:rFonts w:ascii="Times New Roman" w:eastAsia="TimesNewRomanPSMT" w:hAnsi="Times New Roman" w:cs="Times New Roman"/>
          <w:lang w:val="en-US"/>
        </w:rPr>
        <w:t>Szczecińskiego</w:t>
      </w:r>
      <w:proofErr w:type="spellEnd"/>
      <w:r w:rsidRPr="00A841D4">
        <w:rPr>
          <w:rFonts w:ascii="Times New Roman" w:eastAsia="TimesNewRomanPSMT" w:hAnsi="Times New Roman" w:cs="Times New Roman"/>
          <w:lang w:val="en-US"/>
        </w:rPr>
        <w:t>, Szczecin, s. 993–1005; www.wneiz.pl/frfu.</w:t>
      </w:r>
    </w:p>
    <w:p w14:paraId="50E7CEF9" w14:textId="11EC78D4" w:rsidR="00780AD6" w:rsidRPr="00A841D4" w:rsidRDefault="00780AD6" w:rsidP="00E2205F">
      <w:pPr>
        <w:pStyle w:val="BodyA"/>
        <w:spacing w:after="0"/>
        <w:jc w:val="both"/>
        <w:rPr>
          <w:rFonts w:ascii="Times New Roman" w:hAnsi="Times New Roman" w:cs="Times New Roman"/>
          <w:sz w:val="24"/>
          <w:szCs w:val="24"/>
          <w:lang w:val="en-US"/>
        </w:rPr>
      </w:pPr>
      <w:r w:rsidRPr="00A841D4">
        <w:rPr>
          <w:rFonts w:ascii="Times New Roman" w:hAnsi="Times New Roman" w:cs="Times New Roman"/>
          <w:sz w:val="24"/>
          <w:szCs w:val="24"/>
          <w:lang w:val="en-US"/>
        </w:rPr>
        <w:t xml:space="preserve">LRT (2016), </w:t>
      </w:r>
      <w:proofErr w:type="spellStart"/>
      <w:r w:rsidRPr="00A841D4">
        <w:rPr>
          <w:rFonts w:ascii="Times New Roman" w:hAnsi="Times New Roman" w:cs="Times New Roman"/>
          <w:sz w:val="24"/>
          <w:szCs w:val="24"/>
          <w:lang w:val="en-US"/>
        </w:rPr>
        <w:t>Ekspertai</w:t>
      </w:r>
      <w:proofErr w:type="spellEnd"/>
      <w:r w:rsidRPr="00A841D4">
        <w:rPr>
          <w:rFonts w:ascii="Times New Roman" w:hAnsi="Times New Roman" w:cs="Times New Roman"/>
          <w:sz w:val="24"/>
          <w:szCs w:val="24"/>
          <w:lang w:val="en-US"/>
        </w:rPr>
        <w:t xml:space="preserve">: </w:t>
      </w:r>
      <w:proofErr w:type="spellStart"/>
      <w:r w:rsidRPr="00A841D4">
        <w:rPr>
          <w:rFonts w:ascii="Times New Roman" w:hAnsi="Times New Roman" w:cs="Times New Roman"/>
          <w:sz w:val="24"/>
          <w:szCs w:val="24"/>
          <w:lang w:val="en-US"/>
        </w:rPr>
        <w:t>Lietuva</w:t>
      </w:r>
      <w:proofErr w:type="spellEnd"/>
      <w:r w:rsidRPr="00A841D4">
        <w:rPr>
          <w:rFonts w:ascii="Times New Roman" w:hAnsi="Times New Roman" w:cs="Times New Roman"/>
          <w:sz w:val="24"/>
          <w:szCs w:val="24"/>
          <w:lang w:val="en-US"/>
        </w:rPr>
        <w:t xml:space="preserve"> </w:t>
      </w:r>
      <w:proofErr w:type="spellStart"/>
      <w:r w:rsidRPr="00A841D4">
        <w:rPr>
          <w:rFonts w:ascii="Times New Roman" w:hAnsi="Times New Roman" w:cs="Times New Roman"/>
          <w:sz w:val="24"/>
          <w:szCs w:val="24"/>
          <w:lang w:val="en-US"/>
        </w:rPr>
        <w:t>atsilaikė</w:t>
      </w:r>
      <w:proofErr w:type="spellEnd"/>
      <w:r w:rsidRPr="00A841D4">
        <w:rPr>
          <w:rFonts w:ascii="Times New Roman" w:hAnsi="Times New Roman" w:cs="Times New Roman"/>
          <w:sz w:val="24"/>
          <w:szCs w:val="24"/>
          <w:lang w:val="en-US"/>
        </w:rPr>
        <w:t xml:space="preserve"> </w:t>
      </w:r>
      <w:proofErr w:type="spellStart"/>
      <w:r w:rsidRPr="00A841D4">
        <w:rPr>
          <w:rFonts w:ascii="Times New Roman" w:hAnsi="Times New Roman" w:cs="Times New Roman"/>
          <w:sz w:val="24"/>
          <w:szCs w:val="24"/>
          <w:lang w:val="en-US"/>
        </w:rPr>
        <w:t>prieš</w:t>
      </w:r>
      <w:proofErr w:type="spellEnd"/>
      <w:r w:rsidRPr="00A841D4">
        <w:rPr>
          <w:rFonts w:ascii="Times New Roman" w:hAnsi="Times New Roman" w:cs="Times New Roman"/>
          <w:sz w:val="24"/>
          <w:szCs w:val="24"/>
          <w:lang w:val="en-US"/>
        </w:rPr>
        <w:t xml:space="preserve"> </w:t>
      </w:r>
      <w:proofErr w:type="spellStart"/>
      <w:r w:rsidRPr="00A841D4">
        <w:rPr>
          <w:rFonts w:ascii="Times New Roman" w:hAnsi="Times New Roman" w:cs="Times New Roman"/>
          <w:sz w:val="24"/>
          <w:szCs w:val="24"/>
          <w:lang w:val="en-US"/>
        </w:rPr>
        <w:t>Rusijos</w:t>
      </w:r>
      <w:proofErr w:type="spellEnd"/>
      <w:r w:rsidRPr="00A841D4">
        <w:rPr>
          <w:rFonts w:ascii="Times New Roman" w:hAnsi="Times New Roman" w:cs="Times New Roman"/>
          <w:sz w:val="24"/>
          <w:szCs w:val="24"/>
          <w:lang w:val="en-US"/>
        </w:rPr>
        <w:t xml:space="preserve"> </w:t>
      </w:r>
      <w:proofErr w:type="spellStart"/>
      <w:r w:rsidRPr="00A841D4">
        <w:rPr>
          <w:rFonts w:ascii="Times New Roman" w:hAnsi="Times New Roman" w:cs="Times New Roman"/>
          <w:sz w:val="24"/>
          <w:szCs w:val="24"/>
          <w:lang w:val="en-US"/>
        </w:rPr>
        <w:t>embargą</w:t>
      </w:r>
      <w:proofErr w:type="spellEnd"/>
      <w:r w:rsidRPr="00A841D4">
        <w:rPr>
          <w:rFonts w:ascii="Times New Roman" w:hAnsi="Times New Roman" w:cs="Times New Roman"/>
          <w:sz w:val="24"/>
          <w:szCs w:val="24"/>
          <w:lang w:val="en-US"/>
        </w:rPr>
        <w:t xml:space="preserve"> (translation: Experts: Lithuania resisted the Russian embargo), </w:t>
      </w:r>
      <w:hyperlink r:id="rId24" w:history="1">
        <w:r w:rsidRPr="00A841D4">
          <w:rPr>
            <w:rStyle w:val="Hyperlink"/>
            <w:rFonts w:ascii="Times New Roman" w:hAnsi="Times New Roman" w:cs="Times New Roman"/>
            <w:sz w:val="24"/>
            <w:szCs w:val="24"/>
            <w:lang w:val="en-US"/>
          </w:rPr>
          <w:t>https://www.lrt.lt/naujienos/verslas/4/153902/ekspertai-lietuva-atsilaike-pries-rusijos-embarga</w:t>
        </w:r>
      </w:hyperlink>
    </w:p>
    <w:p w14:paraId="3A7CCEEA" w14:textId="2D4176FF" w:rsidR="00C654ED" w:rsidRPr="00A841D4" w:rsidRDefault="00C654ED" w:rsidP="00E2205F">
      <w:pPr>
        <w:jc w:val="both"/>
        <w:rPr>
          <w:rFonts w:ascii="Times New Roman" w:eastAsia="Times New Roman" w:hAnsi="Times New Roman" w:cs="Times New Roman"/>
          <w:lang w:val="en-US"/>
        </w:rPr>
      </w:pPr>
      <w:proofErr w:type="spellStart"/>
      <w:r w:rsidRPr="00A841D4">
        <w:rPr>
          <w:rFonts w:ascii="Times New Roman" w:hAnsi="Times New Roman" w:cs="Times New Roman"/>
          <w:lang w:val="en-US"/>
        </w:rPr>
        <w:t>Markovic</w:t>
      </w:r>
      <w:proofErr w:type="spellEnd"/>
      <w:r w:rsidRPr="00A841D4">
        <w:rPr>
          <w:rFonts w:ascii="Times New Roman" w:hAnsi="Times New Roman" w:cs="Times New Roman"/>
          <w:lang w:val="en-US"/>
        </w:rPr>
        <w:t xml:space="preserve">, B. et al. 2014. The impact on the EBRD region of Russia’s food ban. EBRD. </w:t>
      </w:r>
      <w:hyperlink r:id="rId25" w:history="1">
        <w:r w:rsidRPr="00A841D4">
          <w:rPr>
            <w:rFonts w:ascii="Times New Roman" w:eastAsia="Times New Roman" w:hAnsi="Times New Roman" w:cs="Times New Roman"/>
            <w:color w:val="0000FF"/>
            <w:u w:val="single"/>
            <w:lang w:val="en-US"/>
          </w:rPr>
          <w:t>https://www.ebrd.com/news/2014/the-impact-on-the-ebrd-region-of-russias-food-ban.html</w:t>
        </w:r>
      </w:hyperlink>
    </w:p>
    <w:p w14:paraId="437EDA65" w14:textId="04BAA689" w:rsidR="00713656" w:rsidRPr="00A841D4" w:rsidRDefault="00713656" w:rsidP="00E2205F">
      <w:pPr>
        <w:jc w:val="both"/>
        <w:rPr>
          <w:rStyle w:val="Hyperlink"/>
          <w:rFonts w:ascii="Times New Roman" w:eastAsia="Times New Roman" w:hAnsi="Times New Roman" w:cs="Times New Roman"/>
          <w:lang w:val="en-US"/>
        </w:rPr>
      </w:pPr>
      <w:proofErr w:type="spellStart"/>
      <w:r w:rsidRPr="00A841D4">
        <w:rPr>
          <w:rFonts w:ascii="Times New Roman" w:eastAsia="Times New Roman" w:hAnsi="Times New Roman" w:cs="Times New Roman"/>
          <w:lang w:val="en-US"/>
        </w:rPr>
        <w:t>Mauricas</w:t>
      </w:r>
      <w:proofErr w:type="spellEnd"/>
      <w:r w:rsidRPr="00A841D4">
        <w:rPr>
          <w:rFonts w:ascii="Times New Roman" w:eastAsia="Times New Roman" w:hAnsi="Times New Roman" w:cs="Times New Roman"/>
          <w:lang w:val="en-US"/>
        </w:rPr>
        <w:t xml:space="preserve">, Z. (2015). Baltics: </w:t>
      </w:r>
      <w:proofErr w:type="gramStart"/>
      <w:r w:rsidRPr="00A841D4">
        <w:rPr>
          <w:rFonts w:ascii="Times New Roman" w:eastAsia="Times New Roman" w:hAnsi="Times New Roman" w:cs="Times New Roman"/>
          <w:lang w:val="en-US"/>
        </w:rPr>
        <w:t>Yes</w:t>
      </w:r>
      <w:proofErr w:type="gramEnd"/>
      <w:r w:rsidRPr="00A841D4">
        <w:rPr>
          <w:rFonts w:ascii="Times New Roman" w:eastAsia="Times New Roman" w:hAnsi="Times New Roman" w:cs="Times New Roman"/>
          <w:lang w:val="en-US"/>
        </w:rPr>
        <w:t xml:space="preserve"> We Can! …Live without Russia, Retrieved from </w:t>
      </w:r>
      <w:hyperlink r:id="rId26" w:anchor="!/article/21499/undefined" w:history="1">
        <w:r w:rsidRPr="00A841D4">
          <w:rPr>
            <w:rStyle w:val="Hyperlink"/>
            <w:rFonts w:ascii="Times New Roman" w:eastAsia="Times New Roman" w:hAnsi="Times New Roman" w:cs="Times New Roman"/>
            <w:lang w:val="en-US"/>
          </w:rPr>
          <w:t>https://e-markets.nordea.com/api#!/article/21499/undefined</w:t>
        </w:r>
      </w:hyperlink>
    </w:p>
    <w:p w14:paraId="07937C36" w14:textId="1E0242D7" w:rsidR="00F516B3" w:rsidRPr="00A841D4" w:rsidRDefault="00F516B3" w:rsidP="00E2205F">
      <w:pPr>
        <w:jc w:val="both"/>
        <w:rPr>
          <w:rFonts w:ascii="Times New Roman" w:eastAsia="Times New Roman" w:hAnsi="Times New Roman" w:cs="Times New Roman"/>
          <w:lang w:val="en-US"/>
        </w:rPr>
      </w:pPr>
      <w:proofErr w:type="spellStart"/>
      <w:r w:rsidRPr="00A841D4">
        <w:rPr>
          <w:rFonts w:ascii="Times New Roman" w:eastAsia="Times New Roman" w:hAnsi="Times New Roman" w:cs="Times New Roman"/>
          <w:lang w:val="en-US"/>
        </w:rPr>
        <w:t>Mauricas</w:t>
      </w:r>
      <w:proofErr w:type="spellEnd"/>
      <w:r w:rsidRPr="00A841D4">
        <w:rPr>
          <w:rFonts w:ascii="Times New Roman" w:eastAsia="Times New Roman" w:hAnsi="Times New Roman" w:cs="Times New Roman"/>
          <w:lang w:val="en-US"/>
        </w:rPr>
        <w:t>, Z. (2014) The effect of Russian economic sanctions on Baltic States, Retrieved from https://e-markets.nordea.com/api#!/article/11743/undefined</w:t>
      </w:r>
    </w:p>
    <w:p w14:paraId="16A7B7D3" w14:textId="65C5EC7A" w:rsidR="004C2D07" w:rsidRPr="00A841D4" w:rsidRDefault="004C2D07" w:rsidP="00E2205F">
      <w:pPr>
        <w:pStyle w:val="BodyA"/>
        <w:spacing w:after="0"/>
        <w:jc w:val="both"/>
        <w:rPr>
          <w:rFonts w:ascii="Times New Roman" w:hAnsi="Times New Roman" w:cs="Times New Roman"/>
          <w:sz w:val="24"/>
          <w:szCs w:val="24"/>
          <w:lang w:val="en-US"/>
        </w:rPr>
      </w:pPr>
      <w:r w:rsidRPr="00A841D4">
        <w:rPr>
          <w:rFonts w:ascii="Times New Roman" w:hAnsi="Times New Roman" w:cs="Times New Roman"/>
          <w:sz w:val="24"/>
          <w:szCs w:val="24"/>
          <w:lang w:val="en-US"/>
        </w:rPr>
        <w:t>Nye, J.S. (2011) The Future of Power, New York: Public Affairs.</w:t>
      </w:r>
    </w:p>
    <w:p w14:paraId="55BB1268" w14:textId="28887971" w:rsidR="00780AD6" w:rsidRPr="00A841D4" w:rsidRDefault="00780AD6" w:rsidP="00E2205F">
      <w:pPr>
        <w:pStyle w:val="BodyA"/>
        <w:spacing w:after="0"/>
        <w:jc w:val="both"/>
        <w:rPr>
          <w:rFonts w:ascii="Times New Roman" w:hAnsi="Times New Roman" w:cs="Times New Roman"/>
          <w:sz w:val="24"/>
          <w:szCs w:val="24"/>
          <w:lang w:val="en-US"/>
        </w:rPr>
      </w:pPr>
      <w:proofErr w:type="spellStart"/>
      <w:r w:rsidRPr="00A841D4">
        <w:rPr>
          <w:rFonts w:ascii="Times New Roman" w:hAnsi="Times New Roman" w:cs="Times New Roman"/>
          <w:sz w:val="24"/>
          <w:szCs w:val="24"/>
          <w:lang w:val="en-US"/>
        </w:rPr>
        <w:t>Thorhallsson</w:t>
      </w:r>
      <w:proofErr w:type="spellEnd"/>
      <w:r w:rsidRPr="00A841D4">
        <w:rPr>
          <w:rFonts w:ascii="Times New Roman" w:hAnsi="Times New Roman" w:cs="Times New Roman"/>
          <w:sz w:val="24"/>
          <w:szCs w:val="24"/>
          <w:lang w:val="en-US"/>
        </w:rPr>
        <w:t xml:space="preserve">, B. and </w:t>
      </w:r>
      <w:proofErr w:type="spellStart"/>
      <w:r w:rsidRPr="00A841D4">
        <w:rPr>
          <w:rFonts w:ascii="Times New Roman" w:hAnsi="Times New Roman" w:cs="Times New Roman"/>
          <w:sz w:val="24"/>
          <w:szCs w:val="24"/>
          <w:lang w:val="en-US"/>
        </w:rPr>
        <w:t>Kattel</w:t>
      </w:r>
      <w:proofErr w:type="spellEnd"/>
      <w:r w:rsidRPr="00A841D4">
        <w:rPr>
          <w:rFonts w:ascii="Times New Roman" w:hAnsi="Times New Roman" w:cs="Times New Roman"/>
          <w:sz w:val="24"/>
          <w:szCs w:val="24"/>
          <w:lang w:val="en-US"/>
        </w:rPr>
        <w:t xml:space="preserve">, R. (2013). Neo-Liberal Small States and Economic Crisis: Lessons for Democratic Corporatism. </w:t>
      </w:r>
      <w:r w:rsidRPr="00A841D4">
        <w:rPr>
          <w:rFonts w:ascii="Times New Roman" w:hAnsi="Times New Roman" w:cs="Times New Roman"/>
          <w:i/>
          <w:sz w:val="24"/>
          <w:szCs w:val="24"/>
          <w:lang w:val="en-US"/>
        </w:rPr>
        <w:t>Journal of Baltic Studies</w:t>
      </w:r>
      <w:r w:rsidRPr="00A841D4">
        <w:rPr>
          <w:rFonts w:ascii="Times New Roman" w:hAnsi="Times New Roman" w:cs="Times New Roman"/>
          <w:sz w:val="24"/>
          <w:szCs w:val="24"/>
          <w:lang w:val="en-US"/>
        </w:rPr>
        <w:t>, 44 (1), 83-103.</w:t>
      </w:r>
    </w:p>
    <w:p w14:paraId="5E6DFDE1" w14:textId="67761436" w:rsidR="004603DF" w:rsidRPr="00A841D4" w:rsidRDefault="004603DF" w:rsidP="00E2205F">
      <w:pPr>
        <w:jc w:val="both"/>
        <w:rPr>
          <w:rFonts w:ascii="Times New Roman" w:hAnsi="Times New Roman" w:cs="Times New Roman"/>
          <w:lang w:val="en-US"/>
        </w:rPr>
      </w:pPr>
      <w:proofErr w:type="spellStart"/>
      <w:r w:rsidRPr="00A841D4">
        <w:rPr>
          <w:rFonts w:ascii="Times New Roman" w:hAnsi="Times New Roman" w:cs="Times New Roman"/>
          <w:lang w:val="en-US"/>
        </w:rPr>
        <w:t>Thorhallsson</w:t>
      </w:r>
      <w:proofErr w:type="spellEnd"/>
      <w:r w:rsidRPr="00A841D4">
        <w:rPr>
          <w:rFonts w:ascii="Times New Roman" w:hAnsi="Times New Roman" w:cs="Times New Roman"/>
          <w:lang w:val="en-US"/>
        </w:rPr>
        <w:t xml:space="preserve">, B. and </w:t>
      </w:r>
      <w:proofErr w:type="spellStart"/>
      <w:r w:rsidRPr="00A841D4">
        <w:rPr>
          <w:rFonts w:ascii="Times New Roman" w:hAnsi="Times New Roman" w:cs="Times New Roman"/>
          <w:lang w:val="en-US"/>
        </w:rPr>
        <w:t>Steinsson</w:t>
      </w:r>
      <w:proofErr w:type="spellEnd"/>
      <w:r w:rsidRPr="00A841D4">
        <w:rPr>
          <w:rFonts w:ascii="Times New Roman" w:hAnsi="Times New Roman" w:cs="Times New Roman"/>
          <w:lang w:val="en-US"/>
        </w:rPr>
        <w:t xml:space="preserve">, S. (2017). Small state foreign policy. </w:t>
      </w:r>
      <w:r w:rsidRPr="00A841D4">
        <w:rPr>
          <w:rFonts w:ascii="Times New Roman" w:hAnsi="Times New Roman" w:cs="Times New Roman"/>
          <w:i/>
          <w:lang w:val="en-US"/>
        </w:rPr>
        <w:t xml:space="preserve">Oxford Research </w:t>
      </w:r>
      <w:proofErr w:type="spellStart"/>
      <w:r w:rsidRPr="00A841D4">
        <w:rPr>
          <w:rFonts w:ascii="Times New Roman" w:hAnsi="Times New Roman" w:cs="Times New Roman"/>
          <w:i/>
          <w:lang w:val="en-US"/>
        </w:rPr>
        <w:t>Encyclopaedia</w:t>
      </w:r>
      <w:proofErr w:type="spellEnd"/>
      <w:r w:rsidRPr="00A841D4">
        <w:rPr>
          <w:rFonts w:ascii="Times New Roman" w:hAnsi="Times New Roman" w:cs="Times New Roman"/>
          <w:i/>
          <w:lang w:val="en-US"/>
        </w:rPr>
        <w:t xml:space="preserve"> of Politics</w:t>
      </w:r>
      <w:r w:rsidRPr="00A841D4">
        <w:rPr>
          <w:rFonts w:ascii="Times New Roman" w:hAnsi="Times New Roman" w:cs="Times New Roman"/>
          <w:lang w:val="en-US"/>
        </w:rPr>
        <w:t>. Oxford: Oxford University Press.</w:t>
      </w:r>
    </w:p>
    <w:p w14:paraId="37F24C63" w14:textId="330E6650" w:rsidR="00B45466" w:rsidRPr="00A841D4" w:rsidRDefault="00B45466" w:rsidP="00E2205F">
      <w:pPr>
        <w:jc w:val="both"/>
        <w:rPr>
          <w:rFonts w:ascii="Times New Roman" w:hAnsi="Times New Roman" w:cs="Times New Roman"/>
          <w:lang w:val="en-US"/>
        </w:rPr>
      </w:pPr>
      <w:r w:rsidRPr="00A841D4">
        <w:rPr>
          <w:rFonts w:ascii="Times New Roman" w:hAnsi="Times New Roman" w:cs="Times New Roman"/>
          <w:lang w:val="en-US"/>
        </w:rPr>
        <w:t>Vilpišauskas, R. (2014) Lithuania’s double transition after the re-establishment of independence in 1990: coping with uncertai</w:t>
      </w:r>
      <w:r w:rsidR="0001195D" w:rsidRPr="00A841D4">
        <w:rPr>
          <w:rFonts w:ascii="Times New Roman" w:hAnsi="Times New Roman" w:cs="Times New Roman"/>
          <w:lang w:val="en-US"/>
        </w:rPr>
        <w:t>nty domestically and externally</w:t>
      </w:r>
      <w:r w:rsidRPr="00A841D4">
        <w:rPr>
          <w:rFonts w:ascii="Times New Roman" w:hAnsi="Times New Roman" w:cs="Times New Roman"/>
          <w:lang w:val="en-US"/>
        </w:rPr>
        <w:t xml:space="preserve">, in </w:t>
      </w:r>
      <w:r w:rsidRPr="00A841D4">
        <w:rPr>
          <w:rFonts w:ascii="Times New Roman" w:hAnsi="Times New Roman" w:cs="Times New Roman"/>
          <w:i/>
          <w:lang w:val="en-US"/>
        </w:rPr>
        <w:t>Oxford Review of Economic Policy</w:t>
      </w:r>
      <w:r w:rsidRPr="00A841D4">
        <w:rPr>
          <w:rFonts w:ascii="Times New Roman" w:hAnsi="Times New Roman" w:cs="Times New Roman"/>
          <w:lang w:val="en-US"/>
        </w:rPr>
        <w:t>, Summer 2014, vol. 30, no. 2, pp.  223-236.</w:t>
      </w:r>
    </w:p>
    <w:p w14:paraId="0EB40A83" w14:textId="77777777" w:rsidR="00933D81" w:rsidRPr="00A841D4" w:rsidRDefault="00933D81" w:rsidP="00E2205F">
      <w:pPr>
        <w:jc w:val="both"/>
        <w:rPr>
          <w:rFonts w:ascii="Times New Roman" w:hAnsi="Times New Roman" w:cs="Times New Roman"/>
          <w:lang w:val="en-US"/>
        </w:rPr>
      </w:pPr>
      <w:r w:rsidRPr="00A841D4">
        <w:rPr>
          <w:rFonts w:ascii="Times New Roman" w:hAnsi="Times New Roman" w:cs="Times New Roman"/>
          <w:lang w:val="en-US"/>
        </w:rPr>
        <w:t>Vilpišauskas, R. (2019</w:t>
      </w:r>
      <w:proofErr w:type="gramStart"/>
      <w:r w:rsidRPr="00A841D4">
        <w:rPr>
          <w:rFonts w:ascii="Times New Roman" w:hAnsi="Times New Roman" w:cs="Times New Roman"/>
          <w:lang w:val="en-US"/>
        </w:rPr>
        <w:t>) ”Lithuania</w:t>
      </w:r>
      <w:proofErr w:type="gramEnd"/>
      <w:r w:rsidRPr="00A841D4">
        <w:rPr>
          <w:rFonts w:ascii="Times New Roman" w:hAnsi="Times New Roman" w:cs="Times New Roman"/>
          <w:lang w:val="en-US"/>
        </w:rPr>
        <w:t xml:space="preserve"> and the European Union”. (forthcoming) In </w:t>
      </w:r>
      <w:r w:rsidRPr="00A841D4">
        <w:rPr>
          <w:rFonts w:ascii="Times New Roman" w:hAnsi="Times New Roman" w:cs="Times New Roman"/>
          <w:i/>
          <w:lang w:val="en-US"/>
        </w:rPr>
        <w:t>Oxford Encyclopedia of European Union Politics</w:t>
      </w:r>
      <w:r w:rsidRPr="00A841D4">
        <w:rPr>
          <w:rFonts w:ascii="Times New Roman" w:hAnsi="Times New Roman" w:cs="Times New Roman"/>
          <w:lang w:val="en-US"/>
        </w:rPr>
        <w:t>. Oxford University Press. doi:10.1093/</w:t>
      </w:r>
      <w:proofErr w:type="spellStart"/>
      <w:r w:rsidRPr="00A841D4">
        <w:rPr>
          <w:rFonts w:ascii="Times New Roman" w:hAnsi="Times New Roman" w:cs="Times New Roman"/>
          <w:lang w:val="en-US"/>
        </w:rPr>
        <w:t>acrefore</w:t>
      </w:r>
      <w:proofErr w:type="spellEnd"/>
      <w:r w:rsidRPr="00A841D4">
        <w:rPr>
          <w:rFonts w:ascii="Times New Roman" w:hAnsi="Times New Roman" w:cs="Times New Roman"/>
          <w:lang w:val="en-US"/>
        </w:rPr>
        <w:t>/9780190228637.013.1113.</w:t>
      </w:r>
    </w:p>
    <w:p w14:paraId="06A8EFBD" w14:textId="39AF8D4F" w:rsidR="00500D37" w:rsidRPr="00A841D4" w:rsidRDefault="00500D37" w:rsidP="00E2205F">
      <w:pPr>
        <w:jc w:val="both"/>
        <w:rPr>
          <w:rFonts w:ascii="Times New Roman" w:hAnsi="Times New Roman" w:cs="Times New Roman"/>
          <w:lang w:val="en-US"/>
        </w:rPr>
      </w:pPr>
    </w:p>
    <w:p w14:paraId="08951E69" w14:textId="47D451EB" w:rsidR="00C540E8" w:rsidRPr="00A841D4" w:rsidRDefault="00C540E8" w:rsidP="00E2205F">
      <w:pPr>
        <w:jc w:val="both"/>
        <w:rPr>
          <w:rFonts w:ascii="Times New Roman" w:hAnsi="Times New Roman" w:cs="Times New Roman"/>
          <w:lang w:val="en-US"/>
        </w:rPr>
      </w:pPr>
    </w:p>
    <w:sectPr w:rsidR="00C540E8" w:rsidRPr="00A841D4" w:rsidSect="00E710CA">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A74BD" w16cid:durableId="2076A966"/>
  <w16cid:commentId w16cid:paraId="616EDB6B" w16cid:durableId="2076B060"/>
  <w16cid:commentId w16cid:paraId="7685971D" w16cid:durableId="2076A967"/>
  <w16cid:commentId w16cid:paraId="371AF2FD" w16cid:durableId="2076AB76"/>
  <w16cid:commentId w16cid:paraId="7C111C5E" w16cid:durableId="2076ABC4"/>
  <w16cid:commentId w16cid:paraId="35AFBD6B" w16cid:durableId="2076A968"/>
  <w16cid:commentId w16cid:paraId="336C4418" w16cid:durableId="2076AC0F"/>
  <w16cid:commentId w16cid:paraId="775B7E9D" w16cid:durableId="2076A969"/>
  <w16cid:commentId w16cid:paraId="0AE8F190" w16cid:durableId="2076A96A"/>
  <w16cid:commentId w16cid:paraId="77FD7AF6" w16cid:durableId="2076C013"/>
  <w16cid:commentId w16cid:paraId="471F0C52" w16cid:durableId="2076A96B"/>
  <w16cid:commentId w16cid:paraId="4F0F87F9" w16cid:durableId="2076A96C"/>
  <w16cid:commentId w16cid:paraId="26BAD7ED" w16cid:durableId="2076C64E"/>
  <w16cid:commentId w16cid:paraId="78456EE8" w16cid:durableId="2076A96D"/>
  <w16cid:commentId w16cid:paraId="70F4E527" w16cid:durableId="2076A96E"/>
  <w16cid:commentId w16cid:paraId="176FE6E3" w16cid:durableId="2076C6D3"/>
  <w16cid:commentId w16cid:paraId="1C5DA505" w16cid:durableId="2076A96F"/>
  <w16cid:commentId w16cid:paraId="3492D9C9" w16cid:durableId="2076C3F2"/>
  <w16cid:commentId w16cid:paraId="1DBCED27" w16cid:durableId="2076A970"/>
  <w16cid:commentId w16cid:paraId="68B71299" w16cid:durableId="2076C747"/>
  <w16cid:commentId w16cid:paraId="18BE87C9" w16cid:durableId="2076A971"/>
  <w16cid:commentId w16cid:paraId="02848C27" w16cid:durableId="2076A972"/>
  <w16cid:commentId w16cid:paraId="6E2B152C" w16cid:durableId="2076C43D"/>
  <w16cid:commentId w16cid:paraId="68A6C221" w16cid:durableId="2076A973"/>
  <w16cid:commentId w16cid:paraId="020603DE" w16cid:durableId="2076B74D"/>
  <w16cid:commentId w16cid:paraId="1C1D7136" w16cid:durableId="2076A974"/>
  <w16cid:commentId w16cid:paraId="79890212" w16cid:durableId="2076C48A"/>
  <w16cid:commentId w16cid:paraId="68944049" w16cid:durableId="2076A975"/>
  <w16cid:commentId w16cid:paraId="48F218D5" w16cid:durableId="2076C4D1"/>
  <w16cid:commentId w16cid:paraId="2B71FCA2" w16cid:durableId="2076C779"/>
  <w16cid:commentId w16cid:paraId="570D2AB7" w16cid:durableId="2076A976"/>
  <w16cid:commentId w16cid:paraId="5F3428FF" w16cid:durableId="2076C7AC"/>
  <w16cid:commentId w16cid:paraId="438FBA64" w16cid:durableId="2076A977"/>
  <w16cid:commentId w16cid:paraId="0CF8FCAE" w16cid:durableId="2076C7F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5316F" w14:textId="77777777" w:rsidR="00251892" w:rsidRDefault="00251892" w:rsidP="005D131C">
      <w:r>
        <w:separator/>
      </w:r>
    </w:p>
  </w:endnote>
  <w:endnote w:type="continuationSeparator" w:id="0">
    <w:p w14:paraId="035E2ABA" w14:textId="77777777" w:rsidR="00251892" w:rsidRDefault="00251892" w:rsidP="005D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32B92" w14:textId="77777777" w:rsidR="00251892" w:rsidRDefault="00251892" w:rsidP="005D131C">
      <w:r>
        <w:separator/>
      </w:r>
    </w:p>
  </w:footnote>
  <w:footnote w:type="continuationSeparator" w:id="0">
    <w:p w14:paraId="29BCAEC6" w14:textId="77777777" w:rsidR="00251892" w:rsidRDefault="00251892" w:rsidP="005D131C">
      <w:r>
        <w:continuationSeparator/>
      </w:r>
    </w:p>
  </w:footnote>
  <w:footnote w:id="1">
    <w:p w14:paraId="79CD68F1" w14:textId="689EC985" w:rsidR="005D131C" w:rsidRPr="00A841D4" w:rsidRDefault="005D131C" w:rsidP="00A841D4">
      <w:pPr>
        <w:pStyle w:val="FootnoteText"/>
        <w:jc w:val="both"/>
        <w:rPr>
          <w:lang w:val="en-US"/>
        </w:rPr>
      </w:pPr>
      <w:r w:rsidRPr="00A841D4">
        <w:rPr>
          <w:rStyle w:val="FootnoteReference"/>
          <w:lang w:val="en-US"/>
        </w:rPr>
        <w:footnoteRef/>
      </w:r>
      <w:r w:rsidRPr="00A841D4">
        <w:rPr>
          <w:lang w:val="en-US"/>
        </w:rPr>
        <w:t xml:space="preserve"> Vytautas </w:t>
      </w:r>
      <w:r w:rsidR="00476CE0" w:rsidRPr="00A841D4">
        <w:rPr>
          <w:lang w:val="en-US"/>
        </w:rPr>
        <w:t xml:space="preserve">Kuokštis and Ramūnas Vilpišauskas are professors at the Institute of International Relations and Political Science, Vilnius University, Algirdas Bieliūnas is a Master student of International relations and Diplomacy at the same Institute. </w:t>
      </w:r>
      <w:r w:rsidRPr="00A841D4">
        <w:rPr>
          <w:lang w:val="en-US"/>
        </w:rPr>
        <w:t xml:space="preserve">This paper is part of the Jean Monnet Network project “Navigating the Storm: </w:t>
      </w:r>
      <w:proofErr w:type="gramStart"/>
      <w:r w:rsidRPr="00A841D4">
        <w:rPr>
          <w:lang w:val="en-US"/>
        </w:rPr>
        <w:t>the</w:t>
      </w:r>
      <w:proofErr w:type="gramEnd"/>
      <w:r w:rsidRPr="00A841D4">
        <w:rPr>
          <w:lang w:val="en-US"/>
        </w:rPr>
        <w:t xml:space="preserve"> Challenges of Small States in Europe”.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DA"/>
    <w:rsid w:val="00003CA2"/>
    <w:rsid w:val="000115A8"/>
    <w:rsid w:val="000115E2"/>
    <w:rsid w:val="0001195D"/>
    <w:rsid w:val="000205E9"/>
    <w:rsid w:val="00020F39"/>
    <w:rsid w:val="0002511A"/>
    <w:rsid w:val="00026C13"/>
    <w:rsid w:val="000350FF"/>
    <w:rsid w:val="00035C39"/>
    <w:rsid w:val="0004697B"/>
    <w:rsid w:val="000773A0"/>
    <w:rsid w:val="000803FB"/>
    <w:rsid w:val="00082266"/>
    <w:rsid w:val="000B525A"/>
    <w:rsid w:val="000C082D"/>
    <w:rsid w:val="000F180A"/>
    <w:rsid w:val="00127CF0"/>
    <w:rsid w:val="00133D37"/>
    <w:rsid w:val="00157409"/>
    <w:rsid w:val="00170EAF"/>
    <w:rsid w:val="00182E40"/>
    <w:rsid w:val="00185016"/>
    <w:rsid w:val="001C2E13"/>
    <w:rsid w:val="001E5AF8"/>
    <w:rsid w:val="00213A13"/>
    <w:rsid w:val="00221841"/>
    <w:rsid w:val="002413C9"/>
    <w:rsid w:val="00251892"/>
    <w:rsid w:val="00252FEC"/>
    <w:rsid w:val="002736D7"/>
    <w:rsid w:val="0028217C"/>
    <w:rsid w:val="0029535F"/>
    <w:rsid w:val="00295C19"/>
    <w:rsid w:val="002A5210"/>
    <w:rsid w:val="002F7044"/>
    <w:rsid w:val="0034053E"/>
    <w:rsid w:val="003625CF"/>
    <w:rsid w:val="00386DD2"/>
    <w:rsid w:val="003A2BD0"/>
    <w:rsid w:val="003B1EA2"/>
    <w:rsid w:val="003E43BF"/>
    <w:rsid w:val="003F3B5E"/>
    <w:rsid w:val="004603DF"/>
    <w:rsid w:val="00476CE0"/>
    <w:rsid w:val="00496856"/>
    <w:rsid w:val="00497516"/>
    <w:rsid w:val="004B4A23"/>
    <w:rsid w:val="004C2D07"/>
    <w:rsid w:val="00500D37"/>
    <w:rsid w:val="00505E3B"/>
    <w:rsid w:val="005101AE"/>
    <w:rsid w:val="005149F1"/>
    <w:rsid w:val="005551DB"/>
    <w:rsid w:val="00562C3D"/>
    <w:rsid w:val="005777C7"/>
    <w:rsid w:val="00581427"/>
    <w:rsid w:val="005A20BC"/>
    <w:rsid w:val="005B318C"/>
    <w:rsid w:val="005B51CA"/>
    <w:rsid w:val="005C4685"/>
    <w:rsid w:val="005D131C"/>
    <w:rsid w:val="005D37F2"/>
    <w:rsid w:val="00602AEB"/>
    <w:rsid w:val="006052DF"/>
    <w:rsid w:val="006058C6"/>
    <w:rsid w:val="0064329A"/>
    <w:rsid w:val="0068762C"/>
    <w:rsid w:val="006B0BC0"/>
    <w:rsid w:val="006E0E13"/>
    <w:rsid w:val="00704FBB"/>
    <w:rsid w:val="00713656"/>
    <w:rsid w:val="00715CE5"/>
    <w:rsid w:val="00741A0C"/>
    <w:rsid w:val="007764F4"/>
    <w:rsid w:val="00780AD6"/>
    <w:rsid w:val="007A2C08"/>
    <w:rsid w:val="007B2633"/>
    <w:rsid w:val="007B2A71"/>
    <w:rsid w:val="007B4B31"/>
    <w:rsid w:val="007B4D61"/>
    <w:rsid w:val="007E5451"/>
    <w:rsid w:val="007E5833"/>
    <w:rsid w:val="00801738"/>
    <w:rsid w:val="008017D2"/>
    <w:rsid w:val="008304AA"/>
    <w:rsid w:val="008614C3"/>
    <w:rsid w:val="00863FA7"/>
    <w:rsid w:val="00866E21"/>
    <w:rsid w:val="00867D56"/>
    <w:rsid w:val="00884F59"/>
    <w:rsid w:val="008A3B48"/>
    <w:rsid w:val="008F0CCA"/>
    <w:rsid w:val="008F5730"/>
    <w:rsid w:val="008F6857"/>
    <w:rsid w:val="009065A8"/>
    <w:rsid w:val="00915D08"/>
    <w:rsid w:val="00927DE6"/>
    <w:rsid w:val="00933D81"/>
    <w:rsid w:val="00946A25"/>
    <w:rsid w:val="00973F20"/>
    <w:rsid w:val="00982C43"/>
    <w:rsid w:val="00997B50"/>
    <w:rsid w:val="009A16EE"/>
    <w:rsid w:val="009A7044"/>
    <w:rsid w:val="009B5CDA"/>
    <w:rsid w:val="009C1BD2"/>
    <w:rsid w:val="009C26D7"/>
    <w:rsid w:val="009D2A9A"/>
    <w:rsid w:val="009F6EBA"/>
    <w:rsid w:val="00A32D95"/>
    <w:rsid w:val="00A473C5"/>
    <w:rsid w:val="00A614FF"/>
    <w:rsid w:val="00A841D4"/>
    <w:rsid w:val="00A93D8E"/>
    <w:rsid w:val="00AB4E83"/>
    <w:rsid w:val="00AD2BBB"/>
    <w:rsid w:val="00AD6284"/>
    <w:rsid w:val="00AE2911"/>
    <w:rsid w:val="00AF7019"/>
    <w:rsid w:val="00B33277"/>
    <w:rsid w:val="00B3653F"/>
    <w:rsid w:val="00B45466"/>
    <w:rsid w:val="00B65E62"/>
    <w:rsid w:val="00B84DB7"/>
    <w:rsid w:val="00BE5FAB"/>
    <w:rsid w:val="00C21E31"/>
    <w:rsid w:val="00C540E8"/>
    <w:rsid w:val="00C57918"/>
    <w:rsid w:val="00C654ED"/>
    <w:rsid w:val="00C91614"/>
    <w:rsid w:val="00C93524"/>
    <w:rsid w:val="00CD2924"/>
    <w:rsid w:val="00CD4864"/>
    <w:rsid w:val="00CE39D7"/>
    <w:rsid w:val="00CF3AA4"/>
    <w:rsid w:val="00D00AEA"/>
    <w:rsid w:val="00D06AC3"/>
    <w:rsid w:val="00D26EE0"/>
    <w:rsid w:val="00D43245"/>
    <w:rsid w:val="00D51809"/>
    <w:rsid w:val="00D83124"/>
    <w:rsid w:val="00D85707"/>
    <w:rsid w:val="00DA3833"/>
    <w:rsid w:val="00DA3861"/>
    <w:rsid w:val="00DB17D7"/>
    <w:rsid w:val="00DC02A5"/>
    <w:rsid w:val="00DD4E91"/>
    <w:rsid w:val="00E129EF"/>
    <w:rsid w:val="00E2205F"/>
    <w:rsid w:val="00E32F31"/>
    <w:rsid w:val="00E3552E"/>
    <w:rsid w:val="00E46AA3"/>
    <w:rsid w:val="00E710CA"/>
    <w:rsid w:val="00E851DF"/>
    <w:rsid w:val="00EA0BE5"/>
    <w:rsid w:val="00EA521B"/>
    <w:rsid w:val="00EA6493"/>
    <w:rsid w:val="00EE2D6E"/>
    <w:rsid w:val="00EE33DE"/>
    <w:rsid w:val="00F01F32"/>
    <w:rsid w:val="00F022CC"/>
    <w:rsid w:val="00F06136"/>
    <w:rsid w:val="00F06844"/>
    <w:rsid w:val="00F12E58"/>
    <w:rsid w:val="00F25148"/>
    <w:rsid w:val="00F2611A"/>
    <w:rsid w:val="00F330B7"/>
    <w:rsid w:val="00F46386"/>
    <w:rsid w:val="00F516B3"/>
    <w:rsid w:val="00F60F05"/>
    <w:rsid w:val="00F65C03"/>
    <w:rsid w:val="00F76F73"/>
    <w:rsid w:val="00F87A42"/>
    <w:rsid w:val="00F976B7"/>
    <w:rsid w:val="00FC1935"/>
    <w:rsid w:val="00FD0D3E"/>
    <w:rsid w:val="00FD31AE"/>
    <w:rsid w:val="00FE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C4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54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67D5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F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4F59"/>
    <w:rPr>
      <w:rFonts w:ascii="Times New Roman" w:hAnsi="Times New Roman" w:cs="Times New Roman"/>
      <w:sz w:val="18"/>
      <w:szCs w:val="18"/>
    </w:rPr>
  </w:style>
  <w:style w:type="character" w:customStyle="1" w:styleId="Heading1Char">
    <w:name w:val="Heading 1 Char"/>
    <w:basedOn w:val="DefaultParagraphFont"/>
    <w:link w:val="Heading1"/>
    <w:uiPriority w:val="9"/>
    <w:rsid w:val="00C654E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654ED"/>
    <w:rPr>
      <w:color w:val="0000FF"/>
      <w:u w:val="single"/>
    </w:rPr>
  </w:style>
  <w:style w:type="character" w:customStyle="1" w:styleId="Heading3Char">
    <w:name w:val="Heading 3 Char"/>
    <w:basedOn w:val="DefaultParagraphFont"/>
    <w:link w:val="Heading3"/>
    <w:uiPriority w:val="9"/>
    <w:semiHidden/>
    <w:rsid w:val="00867D56"/>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221841"/>
    <w:rPr>
      <w:sz w:val="18"/>
      <w:szCs w:val="18"/>
    </w:rPr>
  </w:style>
  <w:style w:type="paragraph" w:styleId="CommentText">
    <w:name w:val="annotation text"/>
    <w:basedOn w:val="Normal"/>
    <w:link w:val="CommentTextChar"/>
    <w:uiPriority w:val="99"/>
    <w:semiHidden/>
    <w:unhideWhenUsed/>
    <w:rsid w:val="00221841"/>
  </w:style>
  <w:style w:type="character" w:customStyle="1" w:styleId="CommentTextChar">
    <w:name w:val="Comment Text Char"/>
    <w:basedOn w:val="DefaultParagraphFont"/>
    <w:link w:val="CommentText"/>
    <w:uiPriority w:val="99"/>
    <w:semiHidden/>
    <w:rsid w:val="00221841"/>
  </w:style>
  <w:style w:type="paragraph" w:styleId="CommentSubject">
    <w:name w:val="annotation subject"/>
    <w:basedOn w:val="CommentText"/>
    <w:next w:val="CommentText"/>
    <w:link w:val="CommentSubjectChar"/>
    <w:uiPriority w:val="99"/>
    <w:semiHidden/>
    <w:unhideWhenUsed/>
    <w:rsid w:val="00221841"/>
    <w:rPr>
      <w:b/>
      <w:bCs/>
      <w:sz w:val="20"/>
      <w:szCs w:val="20"/>
    </w:rPr>
  </w:style>
  <w:style w:type="character" w:customStyle="1" w:styleId="CommentSubjectChar">
    <w:name w:val="Comment Subject Char"/>
    <w:basedOn w:val="CommentTextChar"/>
    <w:link w:val="CommentSubject"/>
    <w:uiPriority w:val="99"/>
    <w:semiHidden/>
    <w:rsid w:val="00221841"/>
    <w:rPr>
      <w:b/>
      <w:bCs/>
      <w:sz w:val="20"/>
      <w:szCs w:val="20"/>
    </w:rPr>
  </w:style>
  <w:style w:type="character" w:customStyle="1" w:styleId="UnresolvedMention1">
    <w:name w:val="Unresolved Mention1"/>
    <w:basedOn w:val="DefaultParagraphFont"/>
    <w:uiPriority w:val="99"/>
    <w:rsid w:val="00713656"/>
    <w:rPr>
      <w:color w:val="605E5C"/>
      <w:shd w:val="clear" w:color="auto" w:fill="E1DFDD"/>
    </w:rPr>
  </w:style>
  <w:style w:type="paragraph" w:styleId="NormalWeb">
    <w:name w:val="Normal (Web)"/>
    <w:basedOn w:val="Normal"/>
    <w:uiPriority w:val="99"/>
    <w:semiHidden/>
    <w:unhideWhenUsed/>
    <w:rsid w:val="005D37F2"/>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
    <w:name w:val="Unresolved Mention"/>
    <w:basedOn w:val="DefaultParagraphFont"/>
    <w:uiPriority w:val="99"/>
    <w:semiHidden/>
    <w:unhideWhenUsed/>
    <w:rsid w:val="009065A8"/>
    <w:rPr>
      <w:color w:val="605E5C"/>
      <w:shd w:val="clear" w:color="auto" w:fill="E1DFDD"/>
    </w:rPr>
  </w:style>
  <w:style w:type="paragraph" w:customStyle="1" w:styleId="BodyA">
    <w:name w:val="Body A"/>
    <w:rsid w:val="004603DF"/>
    <w:pPr>
      <w:pBdr>
        <w:top w:val="nil"/>
        <w:left w:val="nil"/>
        <w:bottom w:val="nil"/>
        <w:right w:val="nil"/>
        <w:between w:val="nil"/>
        <w:bar w:val="nil"/>
      </w:pBdr>
      <w:spacing w:after="200"/>
    </w:pPr>
    <w:rPr>
      <w:rFonts w:ascii="Calibri" w:eastAsia="Calibri" w:hAnsi="Calibri" w:cs="Calibri"/>
      <w:color w:val="000000"/>
      <w:sz w:val="22"/>
      <w:szCs w:val="22"/>
      <w:u w:color="000000"/>
      <w:bdr w:val="nil"/>
      <w:lang w:val="fr-FR" w:eastAsia="en-GB"/>
    </w:rPr>
  </w:style>
  <w:style w:type="paragraph" w:styleId="FootnoteText">
    <w:name w:val="footnote text"/>
    <w:basedOn w:val="Normal"/>
    <w:link w:val="FootnoteTextChar"/>
    <w:uiPriority w:val="99"/>
    <w:semiHidden/>
    <w:unhideWhenUsed/>
    <w:rsid w:val="005D131C"/>
    <w:rPr>
      <w:sz w:val="20"/>
      <w:szCs w:val="20"/>
    </w:rPr>
  </w:style>
  <w:style w:type="character" w:customStyle="1" w:styleId="FootnoteTextChar">
    <w:name w:val="Footnote Text Char"/>
    <w:basedOn w:val="DefaultParagraphFont"/>
    <w:link w:val="FootnoteText"/>
    <w:uiPriority w:val="99"/>
    <w:semiHidden/>
    <w:rsid w:val="005D131C"/>
    <w:rPr>
      <w:sz w:val="20"/>
      <w:szCs w:val="20"/>
    </w:rPr>
  </w:style>
  <w:style w:type="character" w:styleId="FootnoteReference">
    <w:name w:val="footnote reference"/>
    <w:basedOn w:val="DefaultParagraphFont"/>
    <w:uiPriority w:val="99"/>
    <w:semiHidden/>
    <w:unhideWhenUsed/>
    <w:rsid w:val="005D1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855">
      <w:bodyDiv w:val="1"/>
      <w:marLeft w:val="0"/>
      <w:marRight w:val="0"/>
      <w:marTop w:val="0"/>
      <w:marBottom w:val="0"/>
      <w:divBdr>
        <w:top w:val="none" w:sz="0" w:space="0" w:color="auto"/>
        <w:left w:val="none" w:sz="0" w:space="0" w:color="auto"/>
        <w:bottom w:val="none" w:sz="0" w:space="0" w:color="auto"/>
        <w:right w:val="none" w:sz="0" w:space="0" w:color="auto"/>
      </w:divBdr>
    </w:div>
    <w:div w:id="176506639">
      <w:bodyDiv w:val="1"/>
      <w:marLeft w:val="0"/>
      <w:marRight w:val="0"/>
      <w:marTop w:val="0"/>
      <w:marBottom w:val="0"/>
      <w:divBdr>
        <w:top w:val="none" w:sz="0" w:space="0" w:color="auto"/>
        <w:left w:val="none" w:sz="0" w:space="0" w:color="auto"/>
        <w:bottom w:val="none" w:sz="0" w:space="0" w:color="auto"/>
        <w:right w:val="none" w:sz="0" w:space="0" w:color="auto"/>
      </w:divBdr>
    </w:div>
    <w:div w:id="203254381">
      <w:bodyDiv w:val="1"/>
      <w:marLeft w:val="0"/>
      <w:marRight w:val="0"/>
      <w:marTop w:val="0"/>
      <w:marBottom w:val="0"/>
      <w:divBdr>
        <w:top w:val="none" w:sz="0" w:space="0" w:color="auto"/>
        <w:left w:val="none" w:sz="0" w:space="0" w:color="auto"/>
        <w:bottom w:val="none" w:sz="0" w:space="0" w:color="auto"/>
        <w:right w:val="none" w:sz="0" w:space="0" w:color="auto"/>
      </w:divBdr>
    </w:div>
    <w:div w:id="204174353">
      <w:bodyDiv w:val="1"/>
      <w:marLeft w:val="0"/>
      <w:marRight w:val="0"/>
      <w:marTop w:val="0"/>
      <w:marBottom w:val="0"/>
      <w:divBdr>
        <w:top w:val="none" w:sz="0" w:space="0" w:color="auto"/>
        <w:left w:val="none" w:sz="0" w:space="0" w:color="auto"/>
        <w:bottom w:val="none" w:sz="0" w:space="0" w:color="auto"/>
        <w:right w:val="none" w:sz="0" w:space="0" w:color="auto"/>
      </w:divBdr>
    </w:div>
    <w:div w:id="215514090">
      <w:bodyDiv w:val="1"/>
      <w:marLeft w:val="0"/>
      <w:marRight w:val="0"/>
      <w:marTop w:val="0"/>
      <w:marBottom w:val="0"/>
      <w:divBdr>
        <w:top w:val="none" w:sz="0" w:space="0" w:color="auto"/>
        <w:left w:val="none" w:sz="0" w:space="0" w:color="auto"/>
        <w:bottom w:val="none" w:sz="0" w:space="0" w:color="auto"/>
        <w:right w:val="none" w:sz="0" w:space="0" w:color="auto"/>
      </w:divBdr>
    </w:div>
    <w:div w:id="239753886">
      <w:bodyDiv w:val="1"/>
      <w:marLeft w:val="0"/>
      <w:marRight w:val="0"/>
      <w:marTop w:val="0"/>
      <w:marBottom w:val="0"/>
      <w:divBdr>
        <w:top w:val="none" w:sz="0" w:space="0" w:color="auto"/>
        <w:left w:val="none" w:sz="0" w:space="0" w:color="auto"/>
        <w:bottom w:val="none" w:sz="0" w:space="0" w:color="auto"/>
        <w:right w:val="none" w:sz="0" w:space="0" w:color="auto"/>
      </w:divBdr>
    </w:div>
    <w:div w:id="415906467">
      <w:bodyDiv w:val="1"/>
      <w:marLeft w:val="0"/>
      <w:marRight w:val="0"/>
      <w:marTop w:val="0"/>
      <w:marBottom w:val="0"/>
      <w:divBdr>
        <w:top w:val="none" w:sz="0" w:space="0" w:color="auto"/>
        <w:left w:val="none" w:sz="0" w:space="0" w:color="auto"/>
        <w:bottom w:val="none" w:sz="0" w:space="0" w:color="auto"/>
        <w:right w:val="none" w:sz="0" w:space="0" w:color="auto"/>
      </w:divBdr>
    </w:div>
    <w:div w:id="640884095">
      <w:bodyDiv w:val="1"/>
      <w:marLeft w:val="0"/>
      <w:marRight w:val="0"/>
      <w:marTop w:val="0"/>
      <w:marBottom w:val="0"/>
      <w:divBdr>
        <w:top w:val="none" w:sz="0" w:space="0" w:color="auto"/>
        <w:left w:val="none" w:sz="0" w:space="0" w:color="auto"/>
        <w:bottom w:val="none" w:sz="0" w:space="0" w:color="auto"/>
        <w:right w:val="none" w:sz="0" w:space="0" w:color="auto"/>
      </w:divBdr>
    </w:div>
    <w:div w:id="698891996">
      <w:bodyDiv w:val="1"/>
      <w:marLeft w:val="0"/>
      <w:marRight w:val="0"/>
      <w:marTop w:val="0"/>
      <w:marBottom w:val="0"/>
      <w:divBdr>
        <w:top w:val="none" w:sz="0" w:space="0" w:color="auto"/>
        <w:left w:val="none" w:sz="0" w:space="0" w:color="auto"/>
        <w:bottom w:val="none" w:sz="0" w:space="0" w:color="auto"/>
        <w:right w:val="none" w:sz="0" w:space="0" w:color="auto"/>
      </w:divBdr>
    </w:div>
    <w:div w:id="740254146">
      <w:bodyDiv w:val="1"/>
      <w:marLeft w:val="0"/>
      <w:marRight w:val="0"/>
      <w:marTop w:val="0"/>
      <w:marBottom w:val="0"/>
      <w:divBdr>
        <w:top w:val="none" w:sz="0" w:space="0" w:color="auto"/>
        <w:left w:val="none" w:sz="0" w:space="0" w:color="auto"/>
        <w:bottom w:val="none" w:sz="0" w:space="0" w:color="auto"/>
        <w:right w:val="none" w:sz="0" w:space="0" w:color="auto"/>
      </w:divBdr>
    </w:div>
    <w:div w:id="925767299">
      <w:bodyDiv w:val="1"/>
      <w:marLeft w:val="0"/>
      <w:marRight w:val="0"/>
      <w:marTop w:val="0"/>
      <w:marBottom w:val="0"/>
      <w:divBdr>
        <w:top w:val="none" w:sz="0" w:space="0" w:color="auto"/>
        <w:left w:val="none" w:sz="0" w:space="0" w:color="auto"/>
        <w:bottom w:val="none" w:sz="0" w:space="0" w:color="auto"/>
        <w:right w:val="none" w:sz="0" w:space="0" w:color="auto"/>
      </w:divBdr>
    </w:div>
    <w:div w:id="929237405">
      <w:bodyDiv w:val="1"/>
      <w:marLeft w:val="0"/>
      <w:marRight w:val="0"/>
      <w:marTop w:val="0"/>
      <w:marBottom w:val="0"/>
      <w:divBdr>
        <w:top w:val="none" w:sz="0" w:space="0" w:color="auto"/>
        <w:left w:val="none" w:sz="0" w:space="0" w:color="auto"/>
        <w:bottom w:val="none" w:sz="0" w:space="0" w:color="auto"/>
        <w:right w:val="none" w:sz="0" w:space="0" w:color="auto"/>
      </w:divBdr>
    </w:div>
    <w:div w:id="953901643">
      <w:bodyDiv w:val="1"/>
      <w:marLeft w:val="0"/>
      <w:marRight w:val="0"/>
      <w:marTop w:val="0"/>
      <w:marBottom w:val="0"/>
      <w:divBdr>
        <w:top w:val="none" w:sz="0" w:space="0" w:color="auto"/>
        <w:left w:val="none" w:sz="0" w:space="0" w:color="auto"/>
        <w:bottom w:val="none" w:sz="0" w:space="0" w:color="auto"/>
        <w:right w:val="none" w:sz="0" w:space="0" w:color="auto"/>
      </w:divBdr>
    </w:div>
    <w:div w:id="1019889977">
      <w:bodyDiv w:val="1"/>
      <w:marLeft w:val="0"/>
      <w:marRight w:val="0"/>
      <w:marTop w:val="0"/>
      <w:marBottom w:val="0"/>
      <w:divBdr>
        <w:top w:val="none" w:sz="0" w:space="0" w:color="auto"/>
        <w:left w:val="none" w:sz="0" w:space="0" w:color="auto"/>
        <w:bottom w:val="none" w:sz="0" w:space="0" w:color="auto"/>
        <w:right w:val="none" w:sz="0" w:space="0" w:color="auto"/>
      </w:divBdr>
    </w:div>
    <w:div w:id="1200896832">
      <w:bodyDiv w:val="1"/>
      <w:marLeft w:val="0"/>
      <w:marRight w:val="0"/>
      <w:marTop w:val="0"/>
      <w:marBottom w:val="0"/>
      <w:divBdr>
        <w:top w:val="none" w:sz="0" w:space="0" w:color="auto"/>
        <w:left w:val="none" w:sz="0" w:space="0" w:color="auto"/>
        <w:bottom w:val="none" w:sz="0" w:space="0" w:color="auto"/>
        <w:right w:val="none" w:sz="0" w:space="0" w:color="auto"/>
      </w:divBdr>
    </w:div>
    <w:div w:id="1202085703">
      <w:bodyDiv w:val="1"/>
      <w:marLeft w:val="0"/>
      <w:marRight w:val="0"/>
      <w:marTop w:val="0"/>
      <w:marBottom w:val="0"/>
      <w:divBdr>
        <w:top w:val="none" w:sz="0" w:space="0" w:color="auto"/>
        <w:left w:val="none" w:sz="0" w:space="0" w:color="auto"/>
        <w:bottom w:val="none" w:sz="0" w:space="0" w:color="auto"/>
        <w:right w:val="none" w:sz="0" w:space="0" w:color="auto"/>
      </w:divBdr>
    </w:div>
    <w:div w:id="1251889663">
      <w:bodyDiv w:val="1"/>
      <w:marLeft w:val="0"/>
      <w:marRight w:val="0"/>
      <w:marTop w:val="0"/>
      <w:marBottom w:val="0"/>
      <w:divBdr>
        <w:top w:val="none" w:sz="0" w:space="0" w:color="auto"/>
        <w:left w:val="none" w:sz="0" w:space="0" w:color="auto"/>
        <w:bottom w:val="none" w:sz="0" w:space="0" w:color="auto"/>
        <w:right w:val="none" w:sz="0" w:space="0" w:color="auto"/>
      </w:divBdr>
    </w:div>
    <w:div w:id="1477575702">
      <w:bodyDiv w:val="1"/>
      <w:marLeft w:val="0"/>
      <w:marRight w:val="0"/>
      <w:marTop w:val="0"/>
      <w:marBottom w:val="0"/>
      <w:divBdr>
        <w:top w:val="none" w:sz="0" w:space="0" w:color="auto"/>
        <w:left w:val="none" w:sz="0" w:space="0" w:color="auto"/>
        <w:bottom w:val="none" w:sz="0" w:space="0" w:color="auto"/>
        <w:right w:val="none" w:sz="0" w:space="0" w:color="auto"/>
      </w:divBdr>
    </w:div>
    <w:div w:id="1727339467">
      <w:bodyDiv w:val="1"/>
      <w:marLeft w:val="0"/>
      <w:marRight w:val="0"/>
      <w:marTop w:val="0"/>
      <w:marBottom w:val="0"/>
      <w:divBdr>
        <w:top w:val="none" w:sz="0" w:space="0" w:color="auto"/>
        <w:left w:val="none" w:sz="0" w:space="0" w:color="auto"/>
        <w:bottom w:val="none" w:sz="0" w:space="0" w:color="auto"/>
        <w:right w:val="none" w:sz="0" w:space="0" w:color="auto"/>
      </w:divBdr>
    </w:div>
    <w:div w:id="1789660806">
      <w:bodyDiv w:val="1"/>
      <w:marLeft w:val="0"/>
      <w:marRight w:val="0"/>
      <w:marTop w:val="0"/>
      <w:marBottom w:val="0"/>
      <w:divBdr>
        <w:top w:val="none" w:sz="0" w:space="0" w:color="auto"/>
        <w:left w:val="none" w:sz="0" w:space="0" w:color="auto"/>
        <w:bottom w:val="none" w:sz="0" w:space="0" w:color="auto"/>
        <w:right w:val="none" w:sz="0" w:space="0" w:color="auto"/>
      </w:divBdr>
    </w:div>
    <w:div w:id="2056079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20" Type="http://schemas.openxmlformats.org/officeDocument/2006/relationships/chart" Target="charts/chart14.xml"/><Relationship Id="rId21" Type="http://schemas.openxmlformats.org/officeDocument/2006/relationships/hyperlink" Target="https://www.verslilietuva.lt/uploads/media/582c0fb0962fa/2016.11.16_Rusija_EN.pdf" TargetMode="External"/><Relationship Id="rId22" Type="http://schemas.openxmlformats.org/officeDocument/2006/relationships/hyperlink" Target="https://akademiai.com/doi/abs/10.1556/032.65.2015.S1.4" TargetMode="External"/><Relationship Id="rId23" Type="http://schemas.openxmlformats.org/officeDocument/2006/relationships/hyperlink" Target="https://sumin.lrv.lt/uploads/sumin/documents/files/2016%20m_%20Transporto%20rinkos%20ap%C5%BEvalga%20SM%20talpinimui(2).pdf" TargetMode="External"/><Relationship Id="rId24" Type="http://schemas.openxmlformats.org/officeDocument/2006/relationships/hyperlink" Target="https://www.lrt.lt/naujienos/verslas/4/153902/ekspertai-lietuva-atsilaike-pries-rusijos-embarga" TargetMode="External"/><Relationship Id="rId25" Type="http://schemas.openxmlformats.org/officeDocument/2006/relationships/hyperlink" Target="https://www.ebrd.com/news/2014/the-impact-on-the-ebrd-region-of-russias-food-ban.html" TargetMode="External"/><Relationship Id="rId26" Type="http://schemas.openxmlformats.org/officeDocument/2006/relationships/hyperlink" Target="https://e-markets.nordea.com/api" TargetMode="External"/><Relationship Id="rId27" Type="http://schemas.openxmlformats.org/officeDocument/2006/relationships/fontTable" Target="fontTable.xml"/><Relationship Id="rId28" Type="http://schemas.openxmlformats.org/officeDocument/2006/relationships/theme" Target="theme/theme1.xml"/><Relationship Id="rId41" Type="http://schemas.microsoft.com/office/2016/09/relationships/commentsIds" Target="commentsIds.xml"/><Relationship Id="rId10" Type="http://schemas.openxmlformats.org/officeDocument/2006/relationships/chart" Target="charts/chart4.xml"/><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chart" Target="charts/chart9.xml"/><Relationship Id="rId16" Type="http://schemas.openxmlformats.org/officeDocument/2006/relationships/chart" Target="charts/chart10.xml"/><Relationship Id="rId17" Type="http://schemas.openxmlformats.org/officeDocument/2006/relationships/chart" Target="charts/chart11.xml"/><Relationship Id="rId18" Type="http://schemas.openxmlformats.org/officeDocument/2006/relationships/chart" Target="charts/chart12.xml"/><Relationship Id="rId19" Type="http://schemas.openxmlformats.org/officeDocument/2006/relationships/chart" Target="charts/chart13.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Algirdas\Desktop\Failai\Small%20states\Lenteles.xlsx" TargetMode="External"/></Relationships>
</file>

<file path=word/charts/_rels/chart10.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file:///C:\Users\Algirdas\Downloads\nrg_pc_205_c.xls" TargetMode="External"/></Relationships>
</file>

<file path=word/charts/_rels/chart11.xml.rels><?xml version="1.0" encoding="UTF-8" standalone="yes"?>
<Relationships xmlns="http://schemas.openxmlformats.org/package/2006/relationships"><Relationship Id="rId1" Type="http://schemas.microsoft.com/office/2011/relationships/chartStyle" Target="style11.xml"/><Relationship Id="rId2" Type="http://schemas.microsoft.com/office/2011/relationships/chartColorStyle" Target="colors11.xml"/><Relationship Id="rId3" Type="http://schemas.openxmlformats.org/officeDocument/2006/relationships/oleObject" Target="file:///C:\Users\Algirdas\Downloads\nrg_pc_204_c.xls" TargetMode="External"/></Relationships>
</file>

<file path=word/charts/_rels/chart12.xml.rels><?xml version="1.0" encoding="UTF-8" standalone="yes"?>
<Relationships xmlns="http://schemas.openxmlformats.org/package/2006/relationships"><Relationship Id="rId1" Type="http://schemas.microsoft.com/office/2011/relationships/chartStyle" Target="style12.xml"/><Relationship Id="rId2" Type="http://schemas.microsoft.com/office/2011/relationships/chartColorStyle" Target="colors12.xml"/><Relationship Id="rId3" Type="http://schemas.openxmlformats.org/officeDocument/2006/relationships/oleObject" Target="file:///C:\Users\Algirdas\Downloads\data-table%20(9).xlsx" TargetMode="External"/></Relationships>
</file>

<file path=word/charts/_rels/chart13.xml.rels><?xml version="1.0" encoding="UTF-8" standalone="yes"?>
<Relationships xmlns="http://schemas.openxmlformats.org/package/2006/relationships"><Relationship Id="rId1" Type="http://schemas.microsoft.com/office/2011/relationships/chartStyle" Target="style13.xml"/><Relationship Id="rId2" Type="http://schemas.microsoft.com/office/2011/relationships/chartColorStyle" Target="colors13.xml"/><Relationship Id="rId3" Type="http://schemas.openxmlformats.org/officeDocument/2006/relationships/oleObject" Target="file:///C:\Users\Algirdas\Desktop\Failai\Small%20states\Magistras\Trade\Lenteles.xlsx" TargetMode="External"/></Relationships>
</file>

<file path=word/charts/_rels/chart14.xml.rels><?xml version="1.0" encoding="UTF-8" standalone="yes"?>
<Relationships xmlns="http://schemas.openxmlformats.org/package/2006/relationships"><Relationship Id="rId1" Type="http://schemas.microsoft.com/office/2011/relationships/chartStyle" Target="style14.xml"/><Relationship Id="rId2" Type="http://schemas.microsoft.com/office/2011/relationships/chartColorStyle" Target="colors14.xml"/><Relationship Id="rId3" Type="http://schemas.openxmlformats.org/officeDocument/2006/relationships/oleObject" Target="file:///C:\Users\Algirdas\Downloads\Trade_Map_-_List_of_importing_markets_for_a_service_exported_by_Lithuania%20(14).xls"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Algirdas\Desktop\Failai\Small%20states\Vilpisauskas\Trade%20Data.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Algirdas\Desktop\Failai\Small%20states\Vilpisauskas\Energy%20Data.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Algirdas\Desktop\Failai\Small%20states\Vilpisauskas\Energy%20Data.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C:\Users\Algirdas\Desktop\Failai\Small%20states\Vilpisauskas\Trade%20Data.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C:\Users\Algirdas\Desktop\Failai\Small%20states\Vilpisauskas\Energy%20Data.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C:\Users\Algirdas\Desktop\Failai\Small%20states\Magistras\Trade\Lenteles.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C:\Users\Algirdas\Desktop\Failai\Small%20states\Vilpisauskas\Trade%20Data.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Algirdas\Downloads\Eurostat_Table_ten00118FlagDesc_0ec1451a-3748-4eda-852e-561952129afe.xls" TargetMode="External"/><Relationship Id="rId4" Type="http://schemas.openxmlformats.org/officeDocument/2006/relationships/chartUserShapes" Target="../drawings/drawing1.xml"/><Relationship Id="rId1" Type="http://schemas.microsoft.com/office/2011/relationships/chartStyle" Target="style9.xml"/><Relationship Id="rId2" Type="http://schemas.microsoft.com/office/2011/relationships/chartColorStyle" Target="colors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Lithuania's</a:t>
            </a:r>
            <a:r>
              <a:rPr lang="en-GB" baseline="0"/>
              <a:t> t</a:t>
            </a:r>
            <a:r>
              <a:rPr lang="en-GB"/>
              <a:t>rade % of GDP (1995</a:t>
            </a:r>
            <a:r>
              <a:rPr lang="en-GB" baseline="0"/>
              <a:t> - 2017)</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0940075697059607"/>
          <c:y val="0.137059829059829"/>
          <c:w val="0.877006923047662"/>
          <c:h val="0.682586176727909"/>
        </c:manualLayout>
      </c:layout>
      <c:lineChart>
        <c:grouping val="standard"/>
        <c:varyColors val="0"/>
        <c:ser>
          <c:idx val="0"/>
          <c:order val="0"/>
          <c:tx>
            <c:strRef>
              <c:f>'Trade % of GDP'!$A$2:$B$2</c:f>
              <c:strCache>
                <c:ptCount val="2"/>
                <c:pt idx="0">
                  <c:v>Latvia</c:v>
                </c:pt>
                <c:pt idx="1">
                  <c:v>LVA</c:v>
                </c:pt>
              </c:strCache>
            </c:strRef>
          </c:tx>
          <c:spPr>
            <a:ln w="28575" cap="rnd">
              <a:solidFill>
                <a:schemeClr val="accent1"/>
              </a:solidFill>
              <a:round/>
            </a:ln>
            <a:effectLst/>
          </c:spPr>
          <c:marker>
            <c:symbol val="none"/>
          </c:marker>
          <c:cat>
            <c:strRef>
              <c:f>'Trade % of GDP'!$C$1:$Y$1</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'Trade % of GDP'!$C$2:$Y$2</c:f>
              <c:numCache>
                <c:formatCode>0.00</c:formatCode>
                <c:ptCount val="23"/>
                <c:pt idx="0">
                  <c:v>73.87676271137998</c:v>
                </c:pt>
                <c:pt idx="1">
                  <c:v>89.91709716303127</c:v>
                </c:pt>
                <c:pt idx="2">
                  <c:v>88.47112153891902</c:v>
                </c:pt>
                <c:pt idx="3">
                  <c:v>90.4436508681137</c:v>
                </c:pt>
                <c:pt idx="4">
                  <c:v>79.87143765469219</c:v>
                </c:pt>
                <c:pt idx="5">
                  <c:v>81.75290783479691</c:v>
                </c:pt>
                <c:pt idx="6">
                  <c:v>86.49397676926206</c:v>
                </c:pt>
                <c:pt idx="7">
                  <c:v>83.29865845743443</c:v>
                </c:pt>
                <c:pt idx="8">
                  <c:v>84.78074829699104</c:v>
                </c:pt>
                <c:pt idx="9">
                  <c:v>93.7133509981055</c:v>
                </c:pt>
                <c:pt idx="10">
                  <c:v>100.833397562092</c:v>
                </c:pt>
                <c:pt idx="11">
                  <c:v>100.6185995612757</c:v>
                </c:pt>
                <c:pt idx="12">
                  <c:v>95.92301934316344</c:v>
                </c:pt>
                <c:pt idx="13">
                  <c:v>92.00137898550115</c:v>
                </c:pt>
                <c:pt idx="14">
                  <c:v>86.82642154106161</c:v>
                </c:pt>
                <c:pt idx="15">
                  <c:v>108.7889868374085</c:v>
                </c:pt>
                <c:pt idx="16">
                  <c:v>120.6112508540095</c:v>
                </c:pt>
                <c:pt idx="17">
                  <c:v>127.065798888064</c:v>
                </c:pt>
                <c:pt idx="18">
                  <c:v>124.1581100250727</c:v>
                </c:pt>
                <c:pt idx="19">
                  <c:v>122.927193787256</c:v>
                </c:pt>
                <c:pt idx="20">
                  <c:v>121.3179232316148</c:v>
                </c:pt>
                <c:pt idx="21">
                  <c:v>119.1873805972386</c:v>
                </c:pt>
                <c:pt idx="22">
                  <c:v>122.262454006183</c:v>
                </c:pt>
              </c:numCache>
            </c:numRef>
          </c:val>
          <c:smooth val="0"/>
          <c:extLst xmlns:c16r2="http://schemas.microsoft.com/office/drawing/2015/06/chart">
            <c:ext xmlns:c16="http://schemas.microsoft.com/office/drawing/2014/chart" uri="{C3380CC4-5D6E-409C-BE32-E72D297353CC}">
              <c16:uniqueId val="{00000000-4962-47C4-AB4C-6EFFA82E1391}"/>
            </c:ext>
          </c:extLst>
        </c:ser>
        <c:ser>
          <c:idx val="2"/>
          <c:order val="2"/>
          <c:tx>
            <c:strRef>
              <c:f>'Trade % of GDP'!$A$4:$B$4</c:f>
              <c:strCache>
                <c:ptCount val="2"/>
                <c:pt idx="0">
                  <c:v>Estonia</c:v>
                </c:pt>
                <c:pt idx="1">
                  <c:v>EST</c:v>
                </c:pt>
              </c:strCache>
            </c:strRef>
          </c:tx>
          <c:spPr>
            <a:ln w="28575" cap="rnd">
              <a:solidFill>
                <a:schemeClr val="accent3"/>
              </a:solidFill>
              <a:round/>
            </a:ln>
            <a:effectLst/>
          </c:spPr>
          <c:marker>
            <c:symbol val="none"/>
          </c:marker>
          <c:cat>
            <c:strRef>
              <c:f>'Trade % of GDP'!$C$1:$Y$1</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'Trade % of GDP'!$C$4:$Y$4</c:f>
              <c:numCache>
                <c:formatCode>0.00</c:formatCode>
                <c:ptCount val="23"/>
                <c:pt idx="0">
                  <c:v>143.1995382419388</c:v>
                </c:pt>
                <c:pt idx="1">
                  <c:v>134.0956354230383</c:v>
                </c:pt>
                <c:pt idx="2">
                  <c:v>153.6804642997743</c:v>
                </c:pt>
                <c:pt idx="3">
                  <c:v>158.4289651103502</c:v>
                </c:pt>
                <c:pt idx="4">
                  <c:v>144.8717633133314</c:v>
                </c:pt>
                <c:pt idx="5">
                  <c:v>126.5135311931989</c:v>
                </c:pt>
                <c:pt idx="6">
                  <c:v>126.6509688122216</c:v>
                </c:pt>
                <c:pt idx="7">
                  <c:v>124.091364253749</c:v>
                </c:pt>
                <c:pt idx="8">
                  <c:v>123.2780547487191</c:v>
                </c:pt>
                <c:pt idx="9">
                  <c:v>130.9127506256144</c:v>
                </c:pt>
                <c:pt idx="10">
                  <c:v>136.9166007328026</c:v>
                </c:pt>
                <c:pt idx="11">
                  <c:v>137.1214082424736</c:v>
                </c:pt>
                <c:pt idx="12">
                  <c:v>135.2656776404206</c:v>
                </c:pt>
                <c:pt idx="13">
                  <c:v>137.5229530961368</c:v>
                </c:pt>
                <c:pt idx="14">
                  <c:v>116.649645201599</c:v>
                </c:pt>
                <c:pt idx="15">
                  <c:v>143.8001515452033</c:v>
                </c:pt>
                <c:pt idx="16">
                  <c:v>167.3499492171468</c:v>
                </c:pt>
                <c:pt idx="17">
                  <c:v>170.4283342699526</c:v>
                </c:pt>
                <c:pt idx="18">
                  <c:v>165.7945013134896</c:v>
                </c:pt>
                <c:pt idx="19">
                  <c:v>162.3141508903232</c:v>
                </c:pt>
                <c:pt idx="20">
                  <c:v>153.210232763911</c:v>
                </c:pt>
                <c:pt idx="21">
                  <c:v>154.1028496610315</c:v>
                </c:pt>
                <c:pt idx="22">
                  <c:v>151.580848491876</c:v>
                </c:pt>
              </c:numCache>
            </c:numRef>
          </c:val>
          <c:smooth val="0"/>
          <c:extLst xmlns:c16r2="http://schemas.microsoft.com/office/drawing/2015/06/chart">
            <c:ext xmlns:c16="http://schemas.microsoft.com/office/drawing/2014/chart" uri="{C3380CC4-5D6E-409C-BE32-E72D297353CC}">
              <c16:uniqueId val="{00000001-4962-47C4-AB4C-6EFFA82E1391}"/>
            </c:ext>
          </c:extLst>
        </c:ser>
        <c:ser>
          <c:idx val="3"/>
          <c:order val="3"/>
          <c:tx>
            <c:strRef>
              <c:f>'Trade % of GDP'!$A$5:$B$5</c:f>
              <c:strCache>
                <c:ptCount val="2"/>
                <c:pt idx="0">
                  <c:v>World</c:v>
                </c:pt>
                <c:pt idx="1">
                  <c:v>WLD</c:v>
                </c:pt>
              </c:strCache>
            </c:strRef>
          </c:tx>
          <c:spPr>
            <a:ln w="28575" cap="rnd">
              <a:solidFill>
                <a:schemeClr val="accent4"/>
              </a:solidFill>
              <a:round/>
            </a:ln>
            <a:effectLst/>
          </c:spPr>
          <c:marker>
            <c:symbol val="none"/>
          </c:marker>
          <c:cat>
            <c:strRef>
              <c:f>'Trade % of GDP'!$C$1:$Y$1</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'Trade % of GDP'!$C$5:$Y$5</c:f>
              <c:numCache>
                <c:formatCode>0.00</c:formatCode>
                <c:ptCount val="23"/>
                <c:pt idx="0">
                  <c:v>43.40888914392337</c:v>
                </c:pt>
                <c:pt idx="1">
                  <c:v>43.66670035834482</c:v>
                </c:pt>
                <c:pt idx="2">
                  <c:v>45.61937502222621</c:v>
                </c:pt>
                <c:pt idx="3">
                  <c:v>46.04583264062753</c:v>
                </c:pt>
                <c:pt idx="4">
                  <c:v>46.56327475631474</c:v>
                </c:pt>
                <c:pt idx="5">
                  <c:v>51.16748127819896</c:v>
                </c:pt>
                <c:pt idx="6">
                  <c:v>50.0237470986538</c:v>
                </c:pt>
                <c:pt idx="7">
                  <c:v>49.67247208180674</c:v>
                </c:pt>
                <c:pt idx="8">
                  <c:v>50.81012671282856</c:v>
                </c:pt>
                <c:pt idx="9">
                  <c:v>54.10076690962574</c:v>
                </c:pt>
                <c:pt idx="10">
                  <c:v>56.18214358550115</c:v>
                </c:pt>
                <c:pt idx="11">
                  <c:v>58.43210144936209</c:v>
                </c:pt>
                <c:pt idx="12">
                  <c:v>58.98755820395768</c:v>
                </c:pt>
                <c:pt idx="13">
                  <c:v>60.8352393695</c:v>
                </c:pt>
                <c:pt idx="14">
                  <c:v>52.32228926809881</c:v>
                </c:pt>
                <c:pt idx="15">
                  <c:v>56.92857876337635</c:v>
                </c:pt>
                <c:pt idx="16">
                  <c:v>60.51461452692081</c:v>
                </c:pt>
                <c:pt idx="17">
                  <c:v>60.59880093009368</c:v>
                </c:pt>
                <c:pt idx="18">
                  <c:v>60.14062662327154</c:v>
                </c:pt>
                <c:pt idx="19">
                  <c:v>59.85068407989746</c:v>
                </c:pt>
                <c:pt idx="20">
                  <c:v>57.82968787123801</c:v>
                </c:pt>
                <c:pt idx="21">
                  <c:v>56.21290291449213</c:v>
                </c:pt>
                <c:pt idx="22">
                  <c:v>71.70133607970271</c:v>
                </c:pt>
              </c:numCache>
            </c:numRef>
          </c:val>
          <c:smooth val="0"/>
          <c:extLst xmlns:c16r2="http://schemas.microsoft.com/office/drawing/2015/06/chart">
            <c:ext xmlns:c16="http://schemas.microsoft.com/office/drawing/2014/chart" uri="{C3380CC4-5D6E-409C-BE32-E72D297353CC}">
              <c16:uniqueId val="{00000002-4962-47C4-AB4C-6EFFA82E1391}"/>
            </c:ext>
          </c:extLst>
        </c:ser>
        <c:dLbls>
          <c:showLegendKey val="0"/>
          <c:showVal val="0"/>
          <c:showCatName val="0"/>
          <c:showSerName val="0"/>
          <c:showPercent val="0"/>
          <c:showBubbleSize val="0"/>
        </c:dLbls>
        <c:marker val="1"/>
        <c:smooth val="0"/>
        <c:axId val="-2118890368"/>
        <c:axId val="-2118887280"/>
      </c:lineChart>
      <c:lineChart>
        <c:grouping val="standard"/>
        <c:varyColors val="0"/>
        <c:ser>
          <c:idx val="1"/>
          <c:order val="1"/>
          <c:tx>
            <c:strRef>
              <c:f>'Trade % of GDP'!$A$3:$B$3</c:f>
              <c:strCache>
                <c:ptCount val="2"/>
                <c:pt idx="0">
                  <c:v>Lithuania</c:v>
                </c:pt>
                <c:pt idx="1">
                  <c:v>LTU</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'Trade % of GDP'!$C$1:$Y$1</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'Trade % of GDP'!$C$3:$Y$3</c:f>
              <c:numCache>
                <c:formatCode>0.00</c:formatCode>
                <c:ptCount val="23"/>
                <c:pt idx="0">
                  <c:v>84.91689776789613</c:v>
                </c:pt>
                <c:pt idx="1">
                  <c:v>93.17435409266118</c:v>
                </c:pt>
                <c:pt idx="2">
                  <c:v>100.0093753694238</c:v>
                </c:pt>
                <c:pt idx="3">
                  <c:v>89.65180820233167</c:v>
                </c:pt>
                <c:pt idx="4">
                  <c:v>74.81266932565457</c:v>
                </c:pt>
                <c:pt idx="5">
                  <c:v>83.2742947401989</c:v>
                </c:pt>
                <c:pt idx="6">
                  <c:v>93.55018063308935</c:v>
                </c:pt>
                <c:pt idx="7">
                  <c:v>100.3598815879341</c:v>
                </c:pt>
                <c:pt idx="8">
                  <c:v>98.12595020261136</c:v>
                </c:pt>
                <c:pt idx="9">
                  <c:v>101.7306101258545</c:v>
                </c:pt>
                <c:pt idx="10">
                  <c:v>114.916938939763</c:v>
                </c:pt>
                <c:pt idx="11">
                  <c:v>121.5041934321148</c:v>
                </c:pt>
                <c:pt idx="12">
                  <c:v>113.8414293035055</c:v>
                </c:pt>
                <c:pt idx="13">
                  <c:v>125.8494170786687</c:v>
                </c:pt>
                <c:pt idx="14">
                  <c:v>105.5585820592344</c:v>
                </c:pt>
                <c:pt idx="15">
                  <c:v>132.5617820496214</c:v>
                </c:pt>
                <c:pt idx="16">
                  <c:v>152.5412651848619</c:v>
                </c:pt>
                <c:pt idx="17">
                  <c:v>162.3860657837194</c:v>
                </c:pt>
                <c:pt idx="18">
                  <c:v>166.8737933820217</c:v>
                </c:pt>
                <c:pt idx="19">
                  <c:v>160.1292793623991</c:v>
                </c:pt>
                <c:pt idx="20">
                  <c:v>152.1532745305182</c:v>
                </c:pt>
                <c:pt idx="21">
                  <c:v>147.6101190479654</c:v>
                </c:pt>
                <c:pt idx="22">
                  <c:v>160.6015819406742</c:v>
                </c:pt>
              </c:numCache>
            </c:numRef>
          </c:val>
          <c:smooth val="0"/>
          <c:extLst xmlns:c16r2="http://schemas.microsoft.com/office/drawing/2015/06/chart">
            <c:ext xmlns:c16="http://schemas.microsoft.com/office/drawing/2014/chart" uri="{C3380CC4-5D6E-409C-BE32-E72D297353CC}">
              <c16:uniqueId val="{00000003-4962-47C4-AB4C-6EFFA82E1391}"/>
            </c:ext>
          </c:extLst>
        </c:ser>
        <c:dLbls>
          <c:showLegendKey val="0"/>
          <c:showVal val="0"/>
          <c:showCatName val="0"/>
          <c:showSerName val="0"/>
          <c:showPercent val="0"/>
          <c:showBubbleSize val="0"/>
        </c:dLbls>
        <c:marker val="1"/>
        <c:smooth val="0"/>
        <c:axId val="-2118878112"/>
        <c:axId val="-2118987648"/>
      </c:lineChart>
      <c:catAx>
        <c:axId val="-211889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887280"/>
        <c:crosses val="autoZero"/>
        <c:auto val="1"/>
        <c:lblAlgn val="ctr"/>
        <c:lblOffset val="100"/>
        <c:noMultiLvlLbl val="0"/>
      </c:catAx>
      <c:valAx>
        <c:axId val="-2118887280"/>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890368"/>
        <c:crosses val="autoZero"/>
        <c:crossBetween val="between"/>
      </c:valAx>
      <c:valAx>
        <c:axId val="-2118987648"/>
        <c:scaling>
          <c:orientation val="minMax"/>
          <c:min val="20.0"/>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878112"/>
        <c:crosses val="max"/>
        <c:crossBetween val="between"/>
      </c:valAx>
      <c:catAx>
        <c:axId val="-2118878112"/>
        <c:scaling>
          <c:orientation val="minMax"/>
        </c:scaling>
        <c:delete val="1"/>
        <c:axPos val="b"/>
        <c:numFmt formatCode="General" sourceLinked="1"/>
        <c:majorTickMark val="none"/>
        <c:minorTickMark val="none"/>
        <c:tickLblPos val="nextTo"/>
        <c:crossAx val="-21189876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Electricity prices for non-household consumers (2008-2018)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Data!$A$9</c:f>
              <c:strCache>
                <c:ptCount val="1"/>
                <c:pt idx="0">
                  <c:v>EU28 </c:v>
                </c:pt>
              </c:strCache>
            </c:strRef>
          </c:tx>
          <c:spPr>
            <a:solidFill>
              <a:schemeClr val="accent1"/>
            </a:solidFill>
            <a:ln>
              <a:noFill/>
            </a:ln>
            <a:effectLst/>
          </c:spPr>
          <c:invertIfNegative val="0"/>
          <c:cat>
            <c:strRef>
              <c:f>Data!$B$8:$L$8</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Data!$B$9:$L$9</c:f>
              <c:numCache>
                <c:formatCode>#,##0.000</c:formatCode>
                <c:ptCount val="11"/>
                <c:pt idx="0">
                  <c:v>0.0879</c:v>
                </c:pt>
                <c:pt idx="1">
                  <c:v>0.0892</c:v>
                </c:pt>
                <c:pt idx="2">
                  <c:v>0.0878</c:v>
                </c:pt>
                <c:pt idx="3">
                  <c:v>0.0908</c:v>
                </c:pt>
                <c:pt idx="4">
                  <c:v>0.089</c:v>
                </c:pt>
                <c:pt idx="5">
                  <c:v>0.0946</c:v>
                </c:pt>
                <c:pt idx="6">
                  <c:v>0.0926</c:v>
                </c:pt>
                <c:pt idx="7">
                  <c:v>0.0867</c:v>
                </c:pt>
                <c:pt idx="8">
                  <c:v>0.0765</c:v>
                </c:pt>
                <c:pt idx="9">
                  <c:v>0.0721</c:v>
                </c:pt>
                <c:pt idx="10">
                  <c:v>0.0827</c:v>
                </c:pt>
              </c:numCache>
            </c:numRef>
          </c:val>
          <c:extLst xmlns:c16r2="http://schemas.microsoft.com/office/drawing/2015/06/chart">
            <c:ext xmlns:c16="http://schemas.microsoft.com/office/drawing/2014/chart" uri="{C3380CC4-5D6E-409C-BE32-E72D297353CC}">
              <c16:uniqueId val="{00000000-B4CB-423D-BB94-F4FEC246EC90}"/>
            </c:ext>
          </c:extLst>
        </c:ser>
        <c:ser>
          <c:idx val="1"/>
          <c:order val="1"/>
          <c:tx>
            <c:strRef>
              <c:f>Data!$A$10</c:f>
              <c:strCache>
                <c:ptCount val="1"/>
                <c:pt idx="0">
                  <c:v>Lithuania</c:v>
                </c:pt>
              </c:strCache>
            </c:strRef>
          </c:tx>
          <c:spPr>
            <a:solidFill>
              <a:schemeClr val="accent2"/>
            </a:solidFill>
            <a:ln>
              <a:noFill/>
            </a:ln>
            <a:effectLst/>
          </c:spPr>
          <c:invertIfNegative val="0"/>
          <c:cat>
            <c:strRef>
              <c:f>Data!$B$8:$L$8</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Data!$B$10:$L$10</c:f>
              <c:numCache>
                <c:formatCode>#,##0.000</c:formatCode>
                <c:ptCount val="11"/>
                <c:pt idx="0">
                  <c:v>0.0367</c:v>
                </c:pt>
                <c:pt idx="1">
                  <c:v>0.0376</c:v>
                </c:pt>
                <c:pt idx="2">
                  <c:v>0.0463</c:v>
                </c:pt>
                <c:pt idx="3">
                  <c:v>0.0487</c:v>
                </c:pt>
                <c:pt idx="4">
                  <c:v>0.0492</c:v>
                </c:pt>
                <c:pt idx="5">
                  <c:v>0.0573</c:v>
                </c:pt>
                <c:pt idx="6">
                  <c:v>0.06</c:v>
                </c:pt>
                <c:pt idx="7">
                  <c:v>0.059</c:v>
                </c:pt>
                <c:pt idx="8">
                  <c:v>0.0477</c:v>
                </c:pt>
                <c:pt idx="9">
                  <c:v>0.0461</c:v>
                </c:pt>
                <c:pt idx="10">
                  <c:v>0.0488</c:v>
                </c:pt>
              </c:numCache>
            </c:numRef>
          </c:val>
          <c:extLst xmlns:c16r2="http://schemas.microsoft.com/office/drawing/2015/06/chart">
            <c:ext xmlns:c16="http://schemas.microsoft.com/office/drawing/2014/chart" uri="{C3380CC4-5D6E-409C-BE32-E72D297353CC}">
              <c16:uniqueId val="{00000001-B4CB-423D-BB94-F4FEC246EC90}"/>
            </c:ext>
          </c:extLst>
        </c:ser>
        <c:ser>
          <c:idx val="2"/>
          <c:order val="2"/>
          <c:tx>
            <c:strRef>
              <c:f>Data!$A$11</c:f>
              <c:strCache>
                <c:ptCount val="1"/>
                <c:pt idx="0">
                  <c:v>Latvia</c:v>
                </c:pt>
              </c:strCache>
            </c:strRef>
          </c:tx>
          <c:spPr>
            <a:solidFill>
              <a:schemeClr val="accent3"/>
            </a:solidFill>
            <a:ln>
              <a:noFill/>
            </a:ln>
            <a:effectLst/>
          </c:spPr>
          <c:invertIfNegative val="0"/>
          <c:cat>
            <c:strRef>
              <c:f>Data!$B$8:$L$8</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Data!$B$11:$L$11</c:f>
              <c:numCache>
                <c:formatCode>#,##0.000</c:formatCode>
                <c:ptCount val="11"/>
                <c:pt idx="0">
                  <c:v>0.0542</c:v>
                </c:pt>
                <c:pt idx="1">
                  <c:v>0.0554</c:v>
                </c:pt>
                <c:pt idx="2">
                  <c:v>0.051</c:v>
                </c:pt>
                <c:pt idx="3">
                  <c:v>0.0686</c:v>
                </c:pt>
                <c:pt idx="4">
                  <c:v>0.062</c:v>
                </c:pt>
                <c:pt idx="5">
                  <c:v>0.0514</c:v>
                </c:pt>
                <c:pt idx="6">
                  <c:v>0.0526</c:v>
                </c:pt>
                <c:pt idx="7">
                  <c:v>0.0594</c:v>
                </c:pt>
                <c:pt idx="8">
                  <c:v>0.0516</c:v>
                </c:pt>
                <c:pt idx="9">
                  <c:v>0.0515</c:v>
                </c:pt>
                <c:pt idx="10">
                  <c:v>0.054</c:v>
                </c:pt>
              </c:numCache>
            </c:numRef>
          </c:val>
          <c:extLst xmlns:c16r2="http://schemas.microsoft.com/office/drawing/2015/06/chart">
            <c:ext xmlns:c16="http://schemas.microsoft.com/office/drawing/2014/chart" uri="{C3380CC4-5D6E-409C-BE32-E72D297353CC}">
              <c16:uniqueId val="{00000002-B4CB-423D-BB94-F4FEC246EC90}"/>
            </c:ext>
          </c:extLst>
        </c:ser>
        <c:ser>
          <c:idx val="3"/>
          <c:order val="3"/>
          <c:tx>
            <c:strRef>
              <c:f>Data!$A$12</c:f>
              <c:strCache>
                <c:ptCount val="1"/>
                <c:pt idx="0">
                  <c:v>Estonia</c:v>
                </c:pt>
              </c:strCache>
            </c:strRef>
          </c:tx>
          <c:spPr>
            <a:solidFill>
              <a:schemeClr val="accent4"/>
            </a:solidFill>
            <a:ln>
              <a:noFill/>
            </a:ln>
            <a:effectLst/>
          </c:spPr>
          <c:invertIfNegative val="0"/>
          <c:cat>
            <c:strRef>
              <c:f>Data!$B$8:$L$8</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Data!$B$12:$L$12</c:f>
              <c:numCache>
                <c:formatCode>#,##0.000</c:formatCode>
                <c:ptCount val="11"/>
                <c:pt idx="0">
                  <c:v>0.0313</c:v>
                </c:pt>
                <c:pt idx="1">
                  <c:v>0.0326</c:v>
                </c:pt>
                <c:pt idx="2">
                  <c:v>0.032</c:v>
                </c:pt>
                <c:pt idx="3">
                  <c:v>0.0322</c:v>
                </c:pt>
                <c:pt idx="4">
                  <c:v>0.0417</c:v>
                </c:pt>
                <c:pt idx="5">
                  <c:v>0.0508</c:v>
                </c:pt>
                <c:pt idx="6">
                  <c:v>0.0457</c:v>
                </c:pt>
                <c:pt idx="7">
                  <c:v>0.0407</c:v>
                </c:pt>
                <c:pt idx="8">
                  <c:v>0.0418</c:v>
                </c:pt>
                <c:pt idx="9">
                  <c:v>0.0406</c:v>
                </c:pt>
                <c:pt idx="10">
                  <c:v>0.0489</c:v>
                </c:pt>
              </c:numCache>
            </c:numRef>
          </c:val>
          <c:extLst xmlns:c16r2="http://schemas.microsoft.com/office/drawing/2015/06/chart">
            <c:ext xmlns:c16="http://schemas.microsoft.com/office/drawing/2014/chart" uri="{C3380CC4-5D6E-409C-BE32-E72D297353CC}">
              <c16:uniqueId val="{00000003-B4CB-423D-BB94-F4FEC246EC90}"/>
            </c:ext>
          </c:extLst>
        </c:ser>
        <c:dLbls>
          <c:showLegendKey val="0"/>
          <c:showVal val="0"/>
          <c:showCatName val="0"/>
          <c:showSerName val="0"/>
          <c:showPercent val="0"/>
          <c:showBubbleSize val="0"/>
        </c:dLbls>
        <c:gapWidth val="219"/>
        <c:axId val="-2118742000"/>
        <c:axId val="-2118738944"/>
      </c:barChart>
      <c:lineChart>
        <c:grouping val="standard"/>
        <c:varyColors val="0"/>
        <c:ser>
          <c:idx val="4"/>
          <c:order val="4"/>
          <c:tx>
            <c:strRef>
              <c:f>Data!$A$13</c:f>
              <c:strCache>
                <c:ptCount val="1"/>
                <c:pt idx="0">
                  <c:v>EU28 increase (%)</c:v>
                </c:pt>
              </c:strCache>
            </c:strRef>
          </c:tx>
          <c:spPr>
            <a:ln w="28575" cap="rnd">
              <a:solidFill>
                <a:schemeClr val="accent5"/>
              </a:solidFill>
              <a:round/>
            </a:ln>
            <a:effectLst/>
          </c:spPr>
          <c:marker>
            <c:symbol val="none"/>
          </c:marker>
          <c:cat>
            <c:strRef>
              <c:f>Data!$B$8:$L$8</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Data!$B$13:$L$13</c:f>
              <c:numCache>
                <c:formatCode>0.0%</c:formatCode>
                <c:ptCount val="11"/>
                <c:pt idx="0">
                  <c:v>0.243281471004243</c:v>
                </c:pt>
                <c:pt idx="1">
                  <c:v>0.0147895335608645</c:v>
                </c:pt>
                <c:pt idx="2">
                  <c:v>-0.0156950672645739</c:v>
                </c:pt>
                <c:pt idx="3">
                  <c:v>0.0341685649202733</c:v>
                </c:pt>
                <c:pt idx="4">
                  <c:v>-0.0198237885462555</c:v>
                </c:pt>
                <c:pt idx="5">
                  <c:v>0.0629213483146068</c:v>
                </c:pt>
                <c:pt idx="6">
                  <c:v>-0.0211416490486259</c:v>
                </c:pt>
                <c:pt idx="7">
                  <c:v>-0.0637149028077754</c:v>
                </c:pt>
                <c:pt idx="8">
                  <c:v>-0.117647058823529</c:v>
                </c:pt>
                <c:pt idx="9">
                  <c:v>-0.057516339869281</c:v>
                </c:pt>
                <c:pt idx="10">
                  <c:v>0.147018030513176</c:v>
                </c:pt>
              </c:numCache>
            </c:numRef>
          </c:val>
          <c:smooth val="0"/>
          <c:extLst xmlns:c16r2="http://schemas.microsoft.com/office/drawing/2015/06/chart">
            <c:ext xmlns:c16="http://schemas.microsoft.com/office/drawing/2014/chart" uri="{C3380CC4-5D6E-409C-BE32-E72D297353CC}">
              <c16:uniqueId val="{00000004-B4CB-423D-BB94-F4FEC246EC90}"/>
            </c:ext>
          </c:extLst>
        </c:ser>
        <c:ser>
          <c:idx val="5"/>
          <c:order val="5"/>
          <c:tx>
            <c:strRef>
              <c:f>Data!$A$14</c:f>
              <c:strCache>
                <c:ptCount val="1"/>
                <c:pt idx="0">
                  <c:v>Lithuania increase (%)</c:v>
                </c:pt>
              </c:strCache>
            </c:strRef>
          </c:tx>
          <c:spPr>
            <a:ln w="28575" cap="rnd">
              <a:solidFill>
                <a:schemeClr val="accent6"/>
              </a:solidFill>
              <a:round/>
            </a:ln>
            <a:effectLst/>
          </c:spPr>
          <c:marker>
            <c:symbol val="none"/>
          </c:marker>
          <c:cat>
            <c:strRef>
              <c:f>Data!$B$8:$L$8</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Data!$B$14:$L$14</c:f>
              <c:numCache>
                <c:formatCode>0.0%</c:formatCode>
                <c:ptCount val="11"/>
                <c:pt idx="0">
                  <c:v>0.180064308681672</c:v>
                </c:pt>
                <c:pt idx="1">
                  <c:v>0.0245231607629428</c:v>
                </c:pt>
                <c:pt idx="2">
                  <c:v>0.231382978723404</c:v>
                </c:pt>
                <c:pt idx="3">
                  <c:v>0.0518358531317494</c:v>
                </c:pt>
                <c:pt idx="4">
                  <c:v>0.0102669404517454</c:v>
                </c:pt>
                <c:pt idx="5">
                  <c:v>0.164634146341463</c:v>
                </c:pt>
                <c:pt idx="6">
                  <c:v>0.0471204188481676</c:v>
                </c:pt>
                <c:pt idx="7">
                  <c:v>-0.0166666666666667</c:v>
                </c:pt>
                <c:pt idx="8">
                  <c:v>-0.191525423728814</c:v>
                </c:pt>
                <c:pt idx="9">
                  <c:v>-0.0335429769392033</c:v>
                </c:pt>
                <c:pt idx="10">
                  <c:v>0.0585683297180043</c:v>
                </c:pt>
              </c:numCache>
            </c:numRef>
          </c:val>
          <c:smooth val="0"/>
          <c:extLst xmlns:c16r2="http://schemas.microsoft.com/office/drawing/2015/06/chart">
            <c:ext xmlns:c16="http://schemas.microsoft.com/office/drawing/2014/chart" uri="{C3380CC4-5D6E-409C-BE32-E72D297353CC}">
              <c16:uniqueId val="{00000005-B4CB-423D-BB94-F4FEC246EC90}"/>
            </c:ext>
          </c:extLst>
        </c:ser>
        <c:dLbls>
          <c:showLegendKey val="0"/>
          <c:showVal val="0"/>
          <c:showCatName val="0"/>
          <c:showSerName val="0"/>
          <c:showPercent val="0"/>
          <c:showBubbleSize val="0"/>
        </c:dLbls>
        <c:marker val="1"/>
        <c:smooth val="0"/>
        <c:axId val="-2118733152"/>
        <c:axId val="-2118736208"/>
      </c:lineChart>
      <c:catAx>
        <c:axId val="-211874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738944"/>
        <c:crosses val="autoZero"/>
        <c:auto val="1"/>
        <c:lblAlgn val="ctr"/>
        <c:lblOffset val="100"/>
        <c:noMultiLvlLbl val="0"/>
      </c:catAx>
      <c:valAx>
        <c:axId val="-211873894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742000"/>
        <c:crosses val="autoZero"/>
        <c:crossBetween val="between"/>
      </c:valAx>
      <c:valAx>
        <c:axId val="-211873620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733152"/>
        <c:crosses val="max"/>
        <c:crossBetween val="between"/>
      </c:valAx>
      <c:catAx>
        <c:axId val="-2118733152"/>
        <c:scaling>
          <c:orientation val="minMax"/>
        </c:scaling>
        <c:delete val="1"/>
        <c:axPos val="b"/>
        <c:numFmt formatCode="General" sourceLinked="1"/>
        <c:majorTickMark val="out"/>
        <c:minorTickMark val="none"/>
        <c:tickLblPos val="nextTo"/>
        <c:crossAx val="-211873620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Electricity prices for household consumers </a:t>
            </a:r>
            <a:r>
              <a:rPr lang="en-GB" sz="1400" b="0" i="0" u="none" strike="noStrike" baseline="0">
                <a:effectLst/>
              </a:rPr>
              <a:t>(2008-2018)</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Data!$A$3</c:f>
              <c:strCache>
                <c:ptCount val="1"/>
                <c:pt idx="0">
                  <c:v>EU28</c:v>
                </c:pt>
              </c:strCache>
            </c:strRef>
          </c:tx>
          <c:spPr>
            <a:solidFill>
              <a:schemeClr val="accent1"/>
            </a:solidFill>
            <a:ln>
              <a:noFill/>
            </a:ln>
            <a:effectLst/>
          </c:spPr>
          <c:invertIfNegative val="0"/>
          <c:cat>
            <c:numRef>
              <c:f>Data!$B$2:$L$2</c:f>
              <c:numCache>
                <c:formatCode>General</c:formatCode>
                <c:ptCount val="11"/>
                <c:pt idx="0">
                  <c:v>2008.0</c:v>
                </c:pt>
                <c:pt idx="1">
                  <c:v>2009.0</c:v>
                </c:pt>
                <c:pt idx="2">
                  <c:v>2010.0</c:v>
                </c:pt>
                <c:pt idx="3">
                  <c:v>2011.0</c:v>
                </c:pt>
                <c:pt idx="4">
                  <c:v>2012.0</c:v>
                </c:pt>
                <c:pt idx="5">
                  <c:v>2013.0</c:v>
                </c:pt>
                <c:pt idx="6">
                  <c:v>2014.0</c:v>
                </c:pt>
                <c:pt idx="7">
                  <c:v>2015.0</c:v>
                </c:pt>
                <c:pt idx="8">
                  <c:v>2016.0</c:v>
                </c:pt>
                <c:pt idx="9">
                  <c:v>2017.0</c:v>
                </c:pt>
                <c:pt idx="10">
                  <c:v>2018.0</c:v>
                </c:pt>
              </c:numCache>
            </c:numRef>
          </c:cat>
          <c:val>
            <c:numRef>
              <c:f>Data!$B$3:$L$3</c:f>
              <c:numCache>
                <c:formatCode>#,##0.000</c:formatCode>
                <c:ptCount val="11"/>
                <c:pt idx="0">
                  <c:v>0.1166</c:v>
                </c:pt>
                <c:pt idx="1">
                  <c:v>0.1136</c:v>
                </c:pt>
                <c:pt idx="2">
                  <c:v>0.1111</c:v>
                </c:pt>
                <c:pt idx="3">
                  <c:v>0.1151</c:v>
                </c:pt>
                <c:pt idx="4">
                  <c:v>0.1201</c:v>
                </c:pt>
                <c:pt idx="5">
                  <c:v>0.1331</c:v>
                </c:pt>
                <c:pt idx="6">
                  <c:v>0.1359</c:v>
                </c:pt>
                <c:pt idx="7">
                  <c:v>0.1325</c:v>
                </c:pt>
                <c:pt idx="8">
                  <c:v>0.1275</c:v>
                </c:pt>
                <c:pt idx="9">
                  <c:v>0.1254</c:v>
                </c:pt>
                <c:pt idx="10">
                  <c:v>0.1404</c:v>
                </c:pt>
              </c:numCache>
            </c:numRef>
          </c:val>
          <c:extLst xmlns:c16r2="http://schemas.microsoft.com/office/drawing/2015/06/chart">
            <c:ext xmlns:c16="http://schemas.microsoft.com/office/drawing/2014/chart" uri="{C3380CC4-5D6E-409C-BE32-E72D297353CC}">
              <c16:uniqueId val="{00000000-8D9E-44C7-AD0D-00AE28359A1F}"/>
            </c:ext>
          </c:extLst>
        </c:ser>
        <c:ser>
          <c:idx val="1"/>
          <c:order val="1"/>
          <c:tx>
            <c:strRef>
              <c:f>Data!$A$4</c:f>
              <c:strCache>
                <c:ptCount val="1"/>
                <c:pt idx="0">
                  <c:v>Lithuania</c:v>
                </c:pt>
              </c:strCache>
            </c:strRef>
          </c:tx>
          <c:spPr>
            <a:solidFill>
              <a:schemeClr val="accent2"/>
            </a:solidFill>
            <a:ln>
              <a:noFill/>
            </a:ln>
            <a:effectLst/>
          </c:spPr>
          <c:invertIfNegative val="0"/>
          <c:cat>
            <c:numRef>
              <c:f>Data!$B$2:$L$2</c:f>
              <c:numCache>
                <c:formatCode>General</c:formatCode>
                <c:ptCount val="11"/>
                <c:pt idx="0">
                  <c:v>2008.0</c:v>
                </c:pt>
                <c:pt idx="1">
                  <c:v>2009.0</c:v>
                </c:pt>
                <c:pt idx="2">
                  <c:v>2010.0</c:v>
                </c:pt>
                <c:pt idx="3">
                  <c:v>2011.0</c:v>
                </c:pt>
                <c:pt idx="4">
                  <c:v>2012.0</c:v>
                </c:pt>
                <c:pt idx="5">
                  <c:v>2013.0</c:v>
                </c:pt>
                <c:pt idx="6">
                  <c:v>2014.0</c:v>
                </c:pt>
                <c:pt idx="7">
                  <c:v>2015.0</c:v>
                </c:pt>
                <c:pt idx="8">
                  <c:v>2016.0</c:v>
                </c:pt>
                <c:pt idx="9">
                  <c:v>2017.0</c:v>
                </c:pt>
                <c:pt idx="10">
                  <c:v>2018.0</c:v>
                </c:pt>
              </c:numCache>
            </c:numRef>
          </c:cat>
          <c:val>
            <c:numRef>
              <c:f>Data!$B$4:$L$4</c:f>
              <c:numCache>
                <c:formatCode>#,##0.000</c:formatCode>
                <c:ptCount val="11"/>
                <c:pt idx="0">
                  <c:v>0.038</c:v>
                </c:pt>
                <c:pt idx="1">
                  <c:v>0.0372</c:v>
                </c:pt>
                <c:pt idx="2">
                  <c:v>0.0462</c:v>
                </c:pt>
                <c:pt idx="3">
                  <c:v>0.0487</c:v>
                </c:pt>
                <c:pt idx="4">
                  <c:v>0.0491</c:v>
                </c:pt>
                <c:pt idx="5">
                  <c:v>0.0481</c:v>
                </c:pt>
                <c:pt idx="6">
                  <c:v>0.0503</c:v>
                </c:pt>
                <c:pt idx="7">
                  <c:v>0.0516</c:v>
                </c:pt>
                <c:pt idx="8">
                  <c:v>0.0403</c:v>
                </c:pt>
                <c:pt idx="9">
                  <c:v>0.0382</c:v>
                </c:pt>
                <c:pt idx="10">
                  <c:v>0.035</c:v>
                </c:pt>
              </c:numCache>
            </c:numRef>
          </c:val>
          <c:extLst xmlns:c16r2="http://schemas.microsoft.com/office/drawing/2015/06/chart">
            <c:ext xmlns:c16="http://schemas.microsoft.com/office/drawing/2014/chart" uri="{C3380CC4-5D6E-409C-BE32-E72D297353CC}">
              <c16:uniqueId val="{00000001-8D9E-44C7-AD0D-00AE28359A1F}"/>
            </c:ext>
          </c:extLst>
        </c:ser>
        <c:ser>
          <c:idx val="2"/>
          <c:order val="2"/>
          <c:tx>
            <c:strRef>
              <c:f>Data!$A$5</c:f>
              <c:strCache>
                <c:ptCount val="1"/>
                <c:pt idx="0">
                  <c:v>Latvia</c:v>
                </c:pt>
              </c:strCache>
            </c:strRef>
          </c:tx>
          <c:spPr>
            <a:solidFill>
              <a:schemeClr val="accent3"/>
            </a:solidFill>
            <a:ln>
              <a:noFill/>
            </a:ln>
            <a:effectLst/>
          </c:spPr>
          <c:invertIfNegative val="0"/>
          <c:cat>
            <c:numRef>
              <c:f>Data!$B$2:$L$2</c:f>
              <c:numCache>
                <c:formatCode>General</c:formatCode>
                <c:ptCount val="11"/>
                <c:pt idx="0">
                  <c:v>2008.0</c:v>
                </c:pt>
                <c:pt idx="1">
                  <c:v>2009.0</c:v>
                </c:pt>
                <c:pt idx="2">
                  <c:v>2010.0</c:v>
                </c:pt>
                <c:pt idx="3">
                  <c:v>2011.0</c:v>
                </c:pt>
                <c:pt idx="4">
                  <c:v>2012.0</c:v>
                </c:pt>
                <c:pt idx="5">
                  <c:v>2013.0</c:v>
                </c:pt>
                <c:pt idx="6">
                  <c:v>2014.0</c:v>
                </c:pt>
                <c:pt idx="7">
                  <c:v>2015.0</c:v>
                </c:pt>
                <c:pt idx="8">
                  <c:v>2016.0</c:v>
                </c:pt>
                <c:pt idx="9">
                  <c:v>2017.0</c:v>
                </c:pt>
                <c:pt idx="10">
                  <c:v>2018.0</c:v>
                </c:pt>
              </c:numCache>
            </c:numRef>
          </c:cat>
          <c:val>
            <c:numRef>
              <c:f>Data!$B$5:$L$5</c:f>
              <c:numCache>
                <c:formatCode>#,##0.000</c:formatCode>
                <c:ptCount val="11"/>
                <c:pt idx="0">
                  <c:v>0.0492</c:v>
                </c:pt>
                <c:pt idx="1">
                  <c:v>0.0494</c:v>
                </c:pt>
                <c:pt idx="2">
                  <c:v>0.0491</c:v>
                </c:pt>
                <c:pt idx="3">
                  <c:v>0.0401</c:v>
                </c:pt>
                <c:pt idx="4">
                  <c:v>0.023</c:v>
                </c:pt>
                <c:pt idx="5">
                  <c:v>0.013</c:v>
                </c:pt>
                <c:pt idx="6">
                  <c:v>0.0133</c:v>
                </c:pt>
                <c:pt idx="7">
                  <c:v>0.0528</c:v>
                </c:pt>
                <c:pt idx="8">
                  <c:v>0.0494</c:v>
                </c:pt>
                <c:pt idx="9">
                  <c:v>0.0487</c:v>
                </c:pt>
                <c:pt idx="10">
                  <c:v>0.0495</c:v>
                </c:pt>
              </c:numCache>
            </c:numRef>
          </c:val>
          <c:extLst xmlns:c16r2="http://schemas.microsoft.com/office/drawing/2015/06/chart">
            <c:ext xmlns:c16="http://schemas.microsoft.com/office/drawing/2014/chart" uri="{C3380CC4-5D6E-409C-BE32-E72D297353CC}">
              <c16:uniqueId val="{00000002-8D9E-44C7-AD0D-00AE28359A1F}"/>
            </c:ext>
          </c:extLst>
        </c:ser>
        <c:ser>
          <c:idx val="3"/>
          <c:order val="3"/>
          <c:tx>
            <c:strRef>
              <c:f>Data!$A$6</c:f>
              <c:strCache>
                <c:ptCount val="1"/>
                <c:pt idx="0">
                  <c:v>Estonia</c:v>
                </c:pt>
              </c:strCache>
            </c:strRef>
          </c:tx>
          <c:spPr>
            <a:solidFill>
              <a:schemeClr val="accent4"/>
            </a:solidFill>
            <a:ln>
              <a:noFill/>
            </a:ln>
            <a:effectLst/>
          </c:spPr>
          <c:invertIfNegative val="0"/>
          <c:cat>
            <c:numRef>
              <c:f>Data!$B$2:$L$2</c:f>
              <c:numCache>
                <c:formatCode>General</c:formatCode>
                <c:ptCount val="11"/>
                <c:pt idx="0">
                  <c:v>2008.0</c:v>
                </c:pt>
                <c:pt idx="1">
                  <c:v>2009.0</c:v>
                </c:pt>
                <c:pt idx="2">
                  <c:v>2010.0</c:v>
                </c:pt>
                <c:pt idx="3">
                  <c:v>2011.0</c:v>
                </c:pt>
                <c:pt idx="4">
                  <c:v>2012.0</c:v>
                </c:pt>
                <c:pt idx="5">
                  <c:v>2013.0</c:v>
                </c:pt>
                <c:pt idx="6">
                  <c:v>2014.0</c:v>
                </c:pt>
                <c:pt idx="7">
                  <c:v>2015.0</c:v>
                </c:pt>
                <c:pt idx="8">
                  <c:v>2016.0</c:v>
                </c:pt>
                <c:pt idx="9">
                  <c:v>2017.0</c:v>
                </c:pt>
                <c:pt idx="10">
                  <c:v>2018.0</c:v>
                </c:pt>
              </c:numCache>
            </c:numRef>
          </c:cat>
          <c:val>
            <c:numRef>
              <c:f>Data!$B$6:$L$6</c:f>
              <c:numCache>
                <c:formatCode>#,##0.000</c:formatCode>
                <c:ptCount val="11"/>
                <c:pt idx="0">
                  <c:v>0.0314</c:v>
                </c:pt>
                <c:pt idx="1">
                  <c:v>0.0329</c:v>
                </c:pt>
                <c:pt idx="2">
                  <c:v>0.032</c:v>
                </c:pt>
                <c:pt idx="3">
                  <c:v>0.0324</c:v>
                </c:pt>
                <c:pt idx="4">
                  <c:v>0.0503</c:v>
                </c:pt>
                <c:pt idx="5">
                  <c:v>0.0488</c:v>
                </c:pt>
                <c:pt idx="6">
                  <c:v>0.0478</c:v>
                </c:pt>
                <c:pt idx="7">
                  <c:v>0.0441</c:v>
                </c:pt>
                <c:pt idx="8">
                  <c:v>0.0456</c:v>
                </c:pt>
                <c:pt idx="9">
                  <c:v>0.043</c:v>
                </c:pt>
                <c:pt idx="10">
                  <c:v>0.0531</c:v>
                </c:pt>
              </c:numCache>
            </c:numRef>
          </c:val>
          <c:extLst xmlns:c16r2="http://schemas.microsoft.com/office/drawing/2015/06/chart">
            <c:ext xmlns:c16="http://schemas.microsoft.com/office/drawing/2014/chart" uri="{C3380CC4-5D6E-409C-BE32-E72D297353CC}">
              <c16:uniqueId val="{00000003-8D9E-44C7-AD0D-00AE28359A1F}"/>
            </c:ext>
          </c:extLst>
        </c:ser>
        <c:dLbls>
          <c:showLegendKey val="0"/>
          <c:showVal val="0"/>
          <c:showCatName val="0"/>
          <c:showSerName val="0"/>
          <c:showPercent val="0"/>
          <c:showBubbleSize val="0"/>
        </c:dLbls>
        <c:gapWidth val="219"/>
        <c:axId val="-2118677968"/>
        <c:axId val="-2118675008"/>
      </c:barChart>
      <c:lineChart>
        <c:grouping val="standard"/>
        <c:varyColors val="0"/>
        <c:ser>
          <c:idx val="4"/>
          <c:order val="4"/>
          <c:tx>
            <c:strRef>
              <c:f>Data!$A$7</c:f>
              <c:strCache>
                <c:ptCount val="1"/>
                <c:pt idx="0">
                  <c:v>EU28 increase (%)</c:v>
                </c:pt>
              </c:strCache>
            </c:strRef>
          </c:tx>
          <c:spPr>
            <a:ln w="28575" cap="rnd">
              <a:solidFill>
                <a:schemeClr val="accent5"/>
              </a:solidFill>
              <a:round/>
            </a:ln>
            <a:effectLst/>
          </c:spPr>
          <c:marker>
            <c:symbol val="none"/>
          </c:marker>
          <c:cat>
            <c:numRef>
              <c:f>Data!$B$2:$L$2</c:f>
              <c:numCache>
                <c:formatCode>General</c:formatCode>
                <c:ptCount val="11"/>
                <c:pt idx="0">
                  <c:v>2008.0</c:v>
                </c:pt>
                <c:pt idx="1">
                  <c:v>2009.0</c:v>
                </c:pt>
                <c:pt idx="2">
                  <c:v>2010.0</c:v>
                </c:pt>
                <c:pt idx="3">
                  <c:v>2011.0</c:v>
                </c:pt>
                <c:pt idx="4">
                  <c:v>2012.0</c:v>
                </c:pt>
                <c:pt idx="5">
                  <c:v>2013.0</c:v>
                </c:pt>
                <c:pt idx="6">
                  <c:v>2014.0</c:v>
                </c:pt>
                <c:pt idx="7">
                  <c:v>2015.0</c:v>
                </c:pt>
                <c:pt idx="8">
                  <c:v>2016.0</c:v>
                </c:pt>
                <c:pt idx="9">
                  <c:v>2017.0</c:v>
                </c:pt>
                <c:pt idx="10">
                  <c:v>2018.0</c:v>
                </c:pt>
              </c:numCache>
            </c:numRef>
          </c:cat>
          <c:val>
            <c:numRef>
              <c:f>Data!$B$7:$L$7</c:f>
              <c:numCache>
                <c:formatCode>0.0%</c:formatCode>
                <c:ptCount val="11"/>
                <c:pt idx="0">
                  <c:v>0.404819277108434</c:v>
                </c:pt>
                <c:pt idx="1">
                  <c:v>-0.0257289879931388</c:v>
                </c:pt>
                <c:pt idx="2">
                  <c:v>-0.0220070422535211</c:v>
                </c:pt>
                <c:pt idx="3">
                  <c:v>0.0360036003600359</c:v>
                </c:pt>
                <c:pt idx="4">
                  <c:v>0.0434404865334493</c:v>
                </c:pt>
                <c:pt idx="5">
                  <c:v>0.108243130724396</c:v>
                </c:pt>
                <c:pt idx="6">
                  <c:v>0.0210368144252442</c:v>
                </c:pt>
                <c:pt idx="7">
                  <c:v>-0.025018395879323</c:v>
                </c:pt>
                <c:pt idx="8">
                  <c:v>-0.0377358490566039</c:v>
                </c:pt>
                <c:pt idx="9">
                  <c:v>-0.0164705882352941</c:v>
                </c:pt>
                <c:pt idx="10">
                  <c:v>0.119617224880383</c:v>
                </c:pt>
              </c:numCache>
            </c:numRef>
          </c:val>
          <c:smooth val="0"/>
          <c:extLst xmlns:c16r2="http://schemas.microsoft.com/office/drawing/2015/06/chart">
            <c:ext xmlns:c16="http://schemas.microsoft.com/office/drawing/2014/chart" uri="{C3380CC4-5D6E-409C-BE32-E72D297353CC}">
              <c16:uniqueId val="{00000004-8D9E-44C7-AD0D-00AE28359A1F}"/>
            </c:ext>
          </c:extLst>
        </c:ser>
        <c:ser>
          <c:idx val="5"/>
          <c:order val="5"/>
          <c:tx>
            <c:strRef>
              <c:f>Data!$A$8</c:f>
              <c:strCache>
                <c:ptCount val="1"/>
                <c:pt idx="0">
                  <c:v>Lithuania increase (%)</c:v>
                </c:pt>
              </c:strCache>
            </c:strRef>
          </c:tx>
          <c:spPr>
            <a:ln w="28575" cap="rnd">
              <a:solidFill>
                <a:schemeClr val="accent6"/>
              </a:solidFill>
              <a:round/>
            </a:ln>
            <a:effectLst/>
          </c:spPr>
          <c:marker>
            <c:symbol val="none"/>
          </c:marker>
          <c:cat>
            <c:numRef>
              <c:f>Data!$B$2:$L$2</c:f>
              <c:numCache>
                <c:formatCode>General</c:formatCode>
                <c:ptCount val="11"/>
                <c:pt idx="0">
                  <c:v>2008.0</c:v>
                </c:pt>
                <c:pt idx="1">
                  <c:v>2009.0</c:v>
                </c:pt>
                <c:pt idx="2">
                  <c:v>2010.0</c:v>
                </c:pt>
                <c:pt idx="3">
                  <c:v>2011.0</c:v>
                </c:pt>
                <c:pt idx="4">
                  <c:v>2012.0</c:v>
                </c:pt>
                <c:pt idx="5">
                  <c:v>2013.0</c:v>
                </c:pt>
                <c:pt idx="6">
                  <c:v>2014.0</c:v>
                </c:pt>
                <c:pt idx="7">
                  <c:v>2015.0</c:v>
                </c:pt>
                <c:pt idx="8">
                  <c:v>2016.0</c:v>
                </c:pt>
                <c:pt idx="9">
                  <c:v>2017.0</c:v>
                </c:pt>
                <c:pt idx="10">
                  <c:v>2018.0</c:v>
                </c:pt>
              </c:numCache>
            </c:numRef>
          </c:cat>
          <c:val>
            <c:numRef>
              <c:f>Data!$B$8:$L$8</c:f>
              <c:numCache>
                <c:formatCode>0.0%</c:formatCode>
                <c:ptCount val="11"/>
                <c:pt idx="0">
                  <c:v>0.221864951768489</c:v>
                </c:pt>
                <c:pt idx="1">
                  <c:v>-0.0210526315789474</c:v>
                </c:pt>
                <c:pt idx="2">
                  <c:v>0.241935483870968</c:v>
                </c:pt>
                <c:pt idx="3">
                  <c:v>0.0541125541125543</c:v>
                </c:pt>
                <c:pt idx="4">
                  <c:v>0.00821355236139638</c:v>
                </c:pt>
                <c:pt idx="5">
                  <c:v>-0.0203665987780042</c:v>
                </c:pt>
                <c:pt idx="6">
                  <c:v>0.0457380457380457</c:v>
                </c:pt>
                <c:pt idx="7">
                  <c:v>0.0258449304174951</c:v>
                </c:pt>
                <c:pt idx="8">
                  <c:v>-0.218992248062015</c:v>
                </c:pt>
                <c:pt idx="9">
                  <c:v>-0.0521091811414394</c:v>
                </c:pt>
                <c:pt idx="10">
                  <c:v>-0.0837696335078532</c:v>
                </c:pt>
              </c:numCache>
            </c:numRef>
          </c:val>
          <c:smooth val="0"/>
          <c:extLst xmlns:c16r2="http://schemas.microsoft.com/office/drawing/2015/06/chart">
            <c:ext xmlns:c16="http://schemas.microsoft.com/office/drawing/2014/chart" uri="{C3380CC4-5D6E-409C-BE32-E72D297353CC}">
              <c16:uniqueId val="{00000005-8D9E-44C7-AD0D-00AE28359A1F}"/>
            </c:ext>
          </c:extLst>
        </c:ser>
        <c:dLbls>
          <c:showLegendKey val="0"/>
          <c:showVal val="0"/>
          <c:showCatName val="0"/>
          <c:showSerName val="0"/>
          <c:showPercent val="0"/>
          <c:showBubbleSize val="0"/>
        </c:dLbls>
        <c:marker val="1"/>
        <c:smooth val="0"/>
        <c:axId val="-2118669168"/>
        <c:axId val="-2118672224"/>
      </c:lineChart>
      <c:catAx>
        <c:axId val="-211867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675008"/>
        <c:crosses val="autoZero"/>
        <c:auto val="1"/>
        <c:lblAlgn val="ctr"/>
        <c:lblOffset val="100"/>
        <c:noMultiLvlLbl val="0"/>
      </c:catAx>
      <c:valAx>
        <c:axId val="-211867500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677968"/>
        <c:crosses val="autoZero"/>
        <c:crossBetween val="between"/>
      </c:valAx>
      <c:valAx>
        <c:axId val="-211867222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669168"/>
        <c:crosses val="max"/>
        <c:crossBetween val="between"/>
      </c:valAx>
      <c:catAx>
        <c:axId val="-2118669168"/>
        <c:scaling>
          <c:orientation val="minMax"/>
        </c:scaling>
        <c:delete val="1"/>
        <c:axPos val="b"/>
        <c:numFmt formatCode="General" sourceLinked="1"/>
        <c:majorTickMark val="out"/>
        <c:minorTickMark val="none"/>
        <c:tickLblPos val="nextTo"/>
        <c:crossAx val="-211867222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r>
              <a:rPr lang="en-GB"/>
              <a:t>Export of Lithuanian origin products (</a:t>
            </a:r>
            <a:r>
              <a:rPr lang="en-GB" sz="1400" b="0" i="0" u="none" strike="noStrike" baseline="0">
                <a:effectLst/>
              </a:rPr>
              <a:t>unit: EUR thousand, 2012 - 2018)</a:t>
            </a:r>
            <a:endParaRPr lang="en-GB"/>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Report!$E$105</c:f>
              <c:strCache>
                <c:ptCount val="1"/>
                <c:pt idx="0">
                  <c:v>World</c:v>
                </c:pt>
              </c:strCache>
            </c:strRef>
          </c:tx>
          <c:spPr>
            <a:solidFill>
              <a:schemeClr val="accent1"/>
            </a:solidFill>
            <a:ln>
              <a:noFill/>
            </a:ln>
            <a:effectLst/>
          </c:spPr>
          <c:invertIfNegative val="0"/>
          <c:cat>
            <c:numRef>
              <c:f>Report!$F$104:$N$104</c:f>
              <c:numCache>
                <c:formatCode>General</c:formatCode>
                <c:ptCount val="9"/>
                <c:pt idx="0">
                  <c:v>2010.0</c:v>
                </c:pt>
                <c:pt idx="1">
                  <c:v>2011.0</c:v>
                </c:pt>
                <c:pt idx="2">
                  <c:v>2012.0</c:v>
                </c:pt>
                <c:pt idx="3">
                  <c:v>2013.0</c:v>
                </c:pt>
                <c:pt idx="4">
                  <c:v>2014.0</c:v>
                </c:pt>
                <c:pt idx="5">
                  <c:v>2015.0</c:v>
                </c:pt>
                <c:pt idx="6">
                  <c:v>2016.0</c:v>
                </c:pt>
                <c:pt idx="7">
                  <c:v>2017.0</c:v>
                </c:pt>
                <c:pt idx="8">
                  <c:v>2018.0</c:v>
                </c:pt>
              </c:numCache>
            </c:numRef>
          </c:cat>
          <c:val>
            <c:numRef>
              <c:f>Report!$F$105:$N$105</c:f>
              <c:numCache>
                <c:formatCode>#,##0</c:formatCode>
                <c:ptCount val="9"/>
                <c:pt idx="0">
                  <c:v>1.06141536E7</c:v>
                </c:pt>
                <c:pt idx="1">
                  <c:v>1.32816645E7</c:v>
                </c:pt>
                <c:pt idx="2">
                  <c:v>1.4505396E7</c:v>
                </c:pt>
                <c:pt idx="3">
                  <c:v>1.48327441E7</c:v>
                </c:pt>
                <c:pt idx="4">
                  <c:v>1.38410343E7</c:v>
                </c:pt>
                <c:pt idx="5">
                  <c:v>1.35317632E7</c:v>
                </c:pt>
                <c:pt idx="6">
                  <c:v>1.3593774E7</c:v>
                </c:pt>
                <c:pt idx="7">
                  <c:v>1.56921962E7</c:v>
                </c:pt>
                <c:pt idx="8">
                  <c:v>1.72365625E7</c:v>
                </c:pt>
              </c:numCache>
            </c:numRef>
          </c:val>
          <c:extLst xmlns:c16r2="http://schemas.microsoft.com/office/drawing/2015/06/chart">
            <c:ext xmlns:c16="http://schemas.microsoft.com/office/drawing/2014/chart" uri="{C3380CC4-5D6E-409C-BE32-E72D297353CC}">
              <c16:uniqueId val="{00000000-6C15-40DD-B9D0-534C4B0810D2}"/>
            </c:ext>
          </c:extLst>
        </c:ser>
        <c:ser>
          <c:idx val="1"/>
          <c:order val="1"/>
          <c:tx>
            <c:strRef>
              <c:f>Report!$E$106</c:f>
              <c:strCache>
                <c:ptCount val="1"/>
                <c:pt idx="0">
                  <c:v>Russian Federation</c:v>
                </c:pt>
              </c:strCache>
            </c:strRef>
          </c:tx>
          <c:spPr>
            <a:solidFill>
              <a:schemeClr val="accent2"/>
            </a:solidFill>
            <a:ln>
              <a:noFill/>
            </a:ln>
            <a:effectLst/>
          </c:spPr>
          <c:invertIfNegative val="0"/>
          <c:cat>
            <c:numRef>
              <c:f>Report!$F$104:$N$104</c:f>
              <c:numCache>
                <c:formatCode>General</c:formatCode>
                <c:ptCount val="9"/>
                <c:pt idx="0">
                  <c:v>2010.0</c:v>
                </c:pt>
                <c:pt idx="1">
                  <c:v>2011.0</c:v>
                </c:pt>
                <c:pt idx="2">
                  <c:v>2012.0</c:v>
                </c:pt>
                <c:pt idx="3">
                  <c:v>2013.0</c:v>
                </c:pt>
                <c:pt idx="4">
                  <c:v>2014.0</c:v>
                </c:pt>
                <c:pt idx="5">
                  <c:v>2015.0</c:v>
                </c:pt>
                <c:pt idx="6">
                  <c:v>2016.0</c:v>
                </c:pt>
                <c:pt idx="7">
                  <c:v>2017.0</c:v>
                </c:pt>
                <c:pt idx="8">
                  <c:v>2018.0</c:v>
                </c:pt>
              </c:numCache>
            </c:numRef>
          </c:cat>
          <c:val>
            <c:numRef>
              <c:f>Report!$F$106:$N$106</c:f>
              <c:numCache>
                <c:formatCode>#,##0</c:formatCode>
                <c:ptCount val="9"/>
                <c:pt idx="0">
                  <c:v>536319.9999999997</c:v>
                </c:pt>
                <c:pt idx="1">
                  <c:v>669149.6</c:v>
                </c:pt>
                <c:pt idx="2">
                  <c:v>717982.8999999996</c:v>
                </c:pt>
                <c:pt idx="3">
                  <c:v>710059.2999999993</c:v>
                </c:pt>
                <c:pt idx="4">
                  <c:v>593757.3999999994</c:v>
                </c:pt>
                <c:pt idx="5">
                  <c:v>314647.5</c:v>
                </c:pt>
                <c:pt idx="6">
                  <c:v>270998.4000000001</c:v>
                </c:pt>
                <c:pt idx="7">
                  <c:v>305000.1</c:v>
                </c:pt>
                <c:pt idx="8">
                  <c:v>310126.9</c:v>
                </c:pt>
              </c:numCache>
            </c:numRef>
          </c:val>
          <c:extLst xmlns:c16r2="http://schemas.microsoft.com/office/drawing/2015/06/chart">
            <c:ext xmlns:c16="http://schemas.microsoft.com/office/drawing/2014/chart" uri="{C3380CC4-5D6E-409C-BE32-E72D297353CC}">
              <c16:uniqueId val="{00000001-6C15-40DD-B9D0-534C4B0810D2}"/>
            </c:ext>
          </c:extLst>
        </c:ser>
        <c:dLbls>
          <c:showLegendKey val="0"/>
          <c:showVal val="0"/>
          <c:showCatName val="0"/>
          <c:showSerName val="0"/>
          <c:showPercent val="0"/>
          <c:showBubbleSize val="0"/>
        </c:dLbls>
        <c:gapWidth val="219"/>
        <c:overlap val="-27"/>
        <c:axId val="-2118645408"/>
        <c:axId val="-2118642448"/>
      </c:barChart>
      <c:catAx>
        <c:axId val="-211864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642448"/>
        <c:crosses val="autoZero"/>
        <c:auto val="1"/>
        <c:lblAlgn val="ctr"/>
        <c:lblOffset val="100"/>
        <c:noMultiLvlLbl val="0"/>
      </c:catAx>
      <c:valAx>
        <c:axId val="-2118642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645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all" baseline="0">
                <a:solidFill>
                  <a:sysClr val="windowText" lastClr="000000"/>
                </a:solidFill>
                <a:latin typeface="+mn-lt"/>
                <a:ea typeface="+mn-ea"/>
                <a:cs typeface="+mn-cs"/>
              </a:defRPr>
            </a:pPr>
            <a:r>
              <a:rPr lang="en-GB"/>
              <a:t>Export to Russian Federation by Lithuania origin Products (2013)</a:t>
            </a:r>
          </a:p>
        </c:rich>
      </c:tx>
      <c:overlay val="0"/>
      <c:spPr>
        <a:noFill/>
        <a:ln>
          <a:noFill/>
        </a:ln>
        <a:effectLst/>
      </c:spPr>
      <c:txPr>
        <a:bodyPr rot="0" spcFirstLastPara="1" vertOverflow="ellipsis" vert="horz" wrap="square" anchor="ctr" anchorCtr="1"/>
        <a:lstStyle/>
        <a:p>
          <a:pPr>
            <a:defRPr sz="1600" b="0" i="0" u="none" strike="noStrike" kern="1200" cap="all" baseline="0">
              <a:solidFill>
                <a:sysClr val="windowText" lastClr="000000"/>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DC1-4BCD-8961-8E8A72B7C83A}"/>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DC1-4BCD-8961-8E8A72B7C83A}"/>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DC1-4BCD-8961-8E8A72B7C83A}"/>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DC1-4BCD-8961-8E8A72B7C83A}"/>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0DC1-4BCD-8961-8E8A72B7C83A}"/>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0DC1-4BCD-8961-8E8A72B7C83A}"/>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0DC1-4BCD-8961-8E8A72B7C83A}"/>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0DC1-4BCD-8961-8E8A72B7C83A}"/>
              </c:ext>
            </c:extLst>
          </c:dPt>
          <c:dLbls>
            <c:dLbl>
              <c:idx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dLbl>
            <c:dLbl>
              <c:idx val="6"/>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dLbl>
            <c:dLbl>
              <c:idx val="7"/>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dLbl>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Sheet1!$G$25:$G$32</c:f>
              <c:strCache>
                <c:ptCount val="8"/>
                <c:pt idx="0">
                  <c:v>Diary</c:v>
                </c:pt>
                <c:pt idx="1">
                  <c:v>Meat and Fish</c:v>
                </c:pt>
                <c:pt idx="2">
                  <c:v>Other food</c:v>
                </c:pt>
                <c:pt idx="3">
                  <c:v>Machinery</c:v>
                </c:pt>
                <c:pt idx="4">
                  <c:v>Transport vehicles</c:v>
                </c:pt>
                <c:pt idx="5">
                  <c:v>Plastics</c:v>
                </c:pt>
                <c:pt idx="6">
                  <c:v>Furniture</c:v>
                </c:pt>
                <c:pt idx="7">
                  <c:v>Other food</c:v>
                </c:pt>
              </c:strCache>
            </c:strRef>
          </c:cat>
          <c:val>
            <c:numRef>
              <c:f>Sheet1!$H$25:$H$32</c:f>
              <c:numCache>
                <c:formatCode>0%</c:formatCode>
                <c:ptCount val="8"/>
                <c:pt idx="0">
                  <c:v>0.2</c:v>
                </c:pt>
                <c:pt idx="1">
                  <c:v>0.1</c:v>
                </c:pt>
                <c:pt idx="2">
                  <c:v>0.13</c:v>
                </c:pt>
                <c:pt idx="3">
                  <c:v>0.12</c:v>
                </c:pt>
                <c:pt idx="4">
                  <c:v>0.09</c:v>
                </c:pt>
                <c:pt idx="5">
                  <c:v>0.06</c:v>
                </c:pt>
                <c:pt idx="6">
                  <c:v>0.05</c:v>
                </c:pt>
                <c:pt idx="7">
                  <c:v>0.25</c:v>
                </c:pt>
              </c:numCache>
            </c:numRef>
          </c:val>
          <c:extLst xmlns:c16r2="http://schemas.microsoft.com/office/drawing/2015/06/chart">
            <c:ext xmlns:c16="http://schemas.microsoft.com/office/drawing/2014/chart" uri="{C3380CC4-5D6E-409C-BE32-E72D297353CC}">
              <c16:uniqueId val="{00000010-0DC1-4BCD-8961-8E8A72B7C83A}"/>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Lithuanian export of transport services (EUR bil,</a:t>
            </a:r>
            <a:r>
              <a:rPr lang="en-GB" baseline="0"/>
              <a:t> 2005 -2017</a:t>
            </a:r>
            <a:r>
              <a:rPr lang="en-GB"/>
              <a:t>)</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3"/>
          <c:order val="3"/>
          <c:tx>
            <c:strRef>
              <c:f>'Trade_Map_-_List_of_importing_m'!$A$10</c:f>
              <c:strCache>
                <c:ptCount val="1"/>
                <c:pt idx="0">
                  <c:v>World</c:v>
                </c:pt>
              </c:strCache>
            </c:strRef>
          </c:tx>
          <c:spPr>
            <a:solidFill>
              <a:schemeClr val="accent4"/>
            </a:solidFill>
            <a:ln>
              <a:noFill/>
            </a:ln>
            <a:effectLst/>
          </c:spPr>
          <c:invertIfNegative val="0"/>
          <c:cat>
            <c:numRef>
              <c:f>'Trade_Map_-_List_of_importing_m'!$B$6:$N$6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'Trade_Map_-_List_of_importing_m'!$B$10:$N$10</c:f>
              <c:numCache>
                <c:formatCode>0.00</c:formatCode>
                <c:ptCount val="13"/>
                <c:pt idx="0">
                  <c:v>1.28</c:v>
                </c:pt>
                <c:pt idx="1">
                  <c:v>1.56</c:v>
                </c:pt>
                <c:pt idx="2">
                  <c:v>1.72</c:v>
                </c:pt>
                <c:pt idx="3">
                  <c:v>1.96</c:v>
                </c:pt>
                <c:pt idx="4">
                  <c:v>1.51</c:v>
                </c:pt>
                <c:pt idx="5">
                  <c:v>1.83</c:v>
                </c:pt>
                <c:pt idx="6">
                  <c:v>2.21</c:v>
                </c:pt>
                <c:pt idx="7">
                  <c:v>2.78</c:v>
                </c:pt>
                <c:pt idx="8">
                  <c:v>3.3</c:v>
                </c:pt>
                <c:pt idx="9">
                  <c:v>3.58</c:v>
                </c:pt>
                <c:pt idx="10">
                  <c:v>3.52</c:v>
                </c:pt>
                <c:pt idx="11">
                  <c:v>3.87</c:v>
                </c:pt>
                <c:pt idx="12">
                  <c:v>4.91</c:v>
                </c:pt>
              </c:numCache>
            </c:numRef>
          </c:val>
          <c:extLst xmlns:c16r2="http://schemas.microsoft.com/office/drawing/2015/06/chart">
            <c:ext xmlns:c16="http://schemas.microsoft.com/office/drawing/2014/chart" uri="{C3380CC4-5D6E-409C-BE32-E72D297353CC}">
              <c16:uniqueId val="{00000000-FCC2-4514-9AF6-9F8B109C1BEE}"/>
            </c:ext>
          </c:extLst>
        </c:ser>
        <c:dLbls>
          <c:showLegendKey val="0"/>
          <c:showVal val="0"/>
          <c:showCatName val="0"/>
          <c:showSerName val="0"/>
          <c:showPercent val="0"/>
          <c:showBubbleSize val="0"/>
        </c:dLbls>
        <c:gapWidth val="150"/>
        <c:axId val="-2118525392"/>
        <c:axId val="-2118528192"/>
      </c:barChart>
      <c:lineChart>
        <c:grouping val="standard"/>
        <c:varyColors val="0"/>
        <c:ser>
          <c:idx val="0"/>
          <c:order val="0"/>
          <c:tx>
            <c:strRef>
              <c:f>'Trade_Map_-_List_of_importing_m'!$A$7</c:f>
              <c:strCache>
                <c:ptCount val="1"/>
                <c:pt idx="0">
                  <c:v>EU28 (%)</c:v>
                </c:pt>
              </c:strCache>
            </c:strRef>
          </c:tx>
          <c:spPr>
            <a:ln w="28575" cap="rnd">
              <a:solidFill>
                <a:schemeClr val="accent1"/>
              </a:solidFill>
              <a:round/>
            </a:ln>
            <a:effectLst/>
          </c:spPr>
          <c:marker>
            <c:symbol val="none"/>
          </c:marker>
          <c:cat>
            <c:numRef>
              <c:f>'Trade_Map_-_List_of_importing_m'!$B$6:$N$6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'Trade_Map_-_List_of_importing_m'!$B$7:$N$7</c:f>
              <c:numCache>
                <c:formatCode>0.0%</c:formatCode>
                <c:ptCount val="13"/>
                <c:pt idx="0">
                  <c:v>0.553</c:v>
                </c:pt>
                <c:pt idx="1">
                  <c:v>0.516</c:v>
                </c:pt>
                <c:pt idx="2">
                  <c:v>0.553</c:v>
                </c:pt>
                <c:pt idx="3">
                  <c:v>0.517</c:v>
                </c:pt>
                <c:pt idx="4">
                  <c:v>0.605</c:v>
                </c:pt>
                <c:pt idx="5">
                  <c:v>0.559</c:v>
                </c:pt>
                <c:pt idx="6">
                  <c:v>0.521</c:v>
                </c:pt>
                <c:pt idx="7">
                  <c:v>0.517</c:v>
                </c:pt>
                <c:pt idx="8">
                  <c:v>0.533</c:v>
                </c:pt>
                <c:pt idx="9">
                  <c:v>0.548</c:v>
                </c:pt>
                <c:pt idx="10">
                  <c:v>0.654</c:v>
                </c:pt>
                <c:pt idx="11">
                  <c:v>0.696</c:v>
                </c:pt>
                <c:pt idx="12">
                  <c:v>0.719</c:v>
                </c:pt>
              </c:numCache>
            </c:numRef>
          </c:val>
          <c:smooth val="0"/>
          <c:extLst xmlns:c16r2="http://schemas.microsoft.com/office/drawing/2015/06/chart">
            <c:ext xmlns:c16="http://schemas.microsoft.com/office/drawing/2014/chart" uri="{C3380CC4-5D6E-409C-BE32-E72D297353CC}">
              <c16:uniqueId val="{00000001-FCC2-4514-9AF6-9F8B109C1BEE}"/>
            </c:ext>
          </c:extLst>
        </c:ser>
        <c:ser>
          <c:idx val="1"/>
          <c:order val="1"/>
          <c:tx>
            <c:strRef>
              <c:f>'Trade_Map_-_List_of_importing_m'!$A$8</c:f>
              <c:strCache>
                <c:ptCount val="1"/>
                <c:pt idx="0">
                  <c:v>Russian Federation (%)</c:v>
                </c:pt>
              </c:strCache>
            </c:strRef>
          </c:tx>
          <c:spPr>
            <a:ln w="28575" cap="rnd">
              <a:solidFill>
                <a:schemeClr val="accent2"/>
              </a:solidFill>
              <a:round/>
            </a:ln>
            <a:effectLst/>
          </c:spPr>
          <c:marker>
            <c:symbol val="none"/>
          </c:marker>
          <c:cat>
            <c:numRef>
              <c:f>'Trade_Map_-_List_of_importing_m'!$B$6:$N$6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'Trade_Map_-_List_of_importing_m'!$B$8:$N$8</c:f>
              <c:numCache>
                <c:formatCode>0.0%</c:formatCode>
                <c:ptCount val="13"/>
                <c:pt idx="0">
                  <c:v>0.259</c:v>
                </c:pt>
                <c:pt idx="1">
                  <c:v>0.256</c:v>
                </c:pt>
                <c:pt idx="2">
                  <c:v>0.261</c:v>
                </c:pt>
                <c:pt idx="3">
                  <c:v>0.268</c:v>
                </c:pt>
                <c:pt idx="4">
                  <c:v>0.189</c:v>
                </c:pt>
                <c:pt idx="5">
                  <c:v>0.221</c:v>
                </c:pt>
                <c:pt idx="6">
                  <c:v>0.245</c:v>
                </c:pt>
                <c:pt idx="7">
                  <c:v>0.294</c:v>
                </c:pt>
                <c:pt idx="8">
                  <c:v>0.282</c:v>
                </c:pt>
                <c:pt idx="9">
                  <c:v>0.244</c:v>
                </c:pt>
                <c:pt idx="10">
                  <c:v>0.151</c:v>
                </c:pt>
                <c:pt idx="11">
                  <c:v>0.132</c:v>
                </c:pt>
                <c:pt idx="12">
                  <c:v>0.134</c:v>
                </c:pt>
              </c:numCache>
            </c:numRef>
          </c:val>
          <c:smooth val="0"/>
          <c:extLst xmlns:c16r2="http://schemas.microsoft.com/office/drawing/2015/06/chart">
            <c:ext xmlns:c16="http://schemas.microsoft.com/office/drawing/2014/chart" uri="{C3380CC4-5D6E-409C-BE32-E72D297353CC}">
              <c16:uniqueId val="{00000002-FCC2-4514-9AF6-9F8B109C1BEE}"/>
            </c:ext>
          </c:extLst>
        </c:ser>
        <c:ser>
          <c:idx val="2"/>
          <c:order val="2"/>
          <c:tx>
            <c:strRef>
              <c:f>'Trade_Map_-_List_of_importing_m'!$A$9</c:f>
              <c:strCache>
                <c:ptCount val="1"/>
                <c:pt idx="0">
                  <c:v>EU28 + RU combined (%)</c:v>
                </c:pt>
              </c:strCache>
            </c:strRef>
          </c:tx>
          <c:spPr>
            <a:ln w="28575" cap="rnd">
              <a:solidFill>
                <a:schemeClr val="accent3"/>
              </a:solidFill>
              <a:round/>
            </a:ln>
            <a:effectLst/>
          </c:spPr>
          <c:marker>
            <c:symbol val="none"/>
          </c:marker>
          <c:cat>
            <c:numRef>
              <c:f>'Trade_Map_-_List_of_importing_m'!$B$6:$N$6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'Trade_Map_-_List_of_importing_m'!$B$9:$N$9</c:f>
              <c:numCache>
                <c:formatCode>0.0%</c:formatCode>
                <c:ptCount val="13"/>
                <c:pt idx="0">
                  <c:v>0.812</c:v>
                </c:pt>
                <c:pt idx="1">
                  <c:v>0.771</c:v>
                </c:pt>
                <c:pt idx="2">
                  <c:v>0.814</c:v>
                </c:pt>
                <c:pt idx="3">
                  <c:v>0.786</c:v>
                </c:pt>
                <c:pt idx="4">
                  <c:v>0.794</c:v>
                </c:pt>
                <c:pt idx="5">
                  <c:v>0.78</c:v>
                </c:pt>
                <c:pt idx="6">
                  <c:v>0.766</c:v>
                </c:pt>
                <c:pt idx="7">
                  <c:v>0.811</c:v>
                </c:pt>
                <c:pt idx="8">
                  <c:v>0.815</c:v>
                </c:pt>
                <c:pt idx="9">
                  <c:v>0.792</c:v>
                </c:pt>
                <c:pt idx="10">
                  <c:v>0.806</c:v>
                </c:pt>
                <c:pt idx="11">
                  <c:v>0.827</c:v>
                </c:pt>
                <c:pt idx="12">
                  <c:v>0.852</c:v>
                </c:pt>
              </c:numCache>
            </c:numRef>
          </c:val>
          <c:smooth val="0"/>
          <c:extLst xmlns:c16r2="http://schemas.microsoft.com/office/drawing/2015/06/chart">
            <c:ext xmlns:c16="http://schemas.microsoft.com/office/drawing/2014/chart" uri="{C3380CC4-5D6E-409C-BE32-E72D297353CC}">
              <c16:uniqueId val="{00000003-FCC2-4514-9AF6-9F8B109C1BEE}"/>
            </c:ext>
          </c:extLst>
        </c:ser>
        <c:dLbls>
          <c:showLegendKey val="0"/>
          <c:showVal val="0"/>
          <c:showCatName val="0"/>
          <c:showSerName val="0"/>
          <c:showPercent val="0"/>
          <c:showBubbleSize val="0"/>
        </c:dLbls>
        <c:marker val="1"/>
        <c:smooth val="0"/>
        <c:axId val="-2118533936"/>
        <c:axId val="-2118530976"/>
      </c:lineChart>
      <c:catAx>
        <c:axId val="-211853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530976"/>
        <c:crosses val="autoZero"/>
        <c:auto val="1"/>
        <c:lblAlgn val="ctr"/>
        <c:lblOffset val="100"/>
        <c:noMultiLvlLbl val="0"/>
      </c:catAx>
      <c:valAx>
        <c:axId val="-21185309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533936"/>
        <c:crosses val="autoZero"/>
        <c:crossBetween val="between"/>
      </c:valAx>
      <c:valAx>
        <c:axId val="-211852819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525392"/>
        <c:crosses val="max"/>
        <c:crossBetween val="between"/>
      </c:valAx>
      <c:catAx>
        <c:axId val="-2118525392"/>
        <c:scaling>
          <c:orientation val="minMax"/>
        </c:scaling>
        <c:delete val="1"/>
        <c:axPos val="b"/>
        <c:numFmt formatCode="General" sourceLinked="1"/>
        <c:majorTickMark val="out"/>
        <c:minorTickMark val="none"/>
        <c:tickLblPos val="nextTo"/>
        <c:crossAx val="-211852819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Lithuanian imports and exports share (2005-2017)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Sheet2!$C$12</c:f>
              <c:strCache>
                <c:ptCount val="1"/>
                <c:pt idx="0">
                  <c:v>EU Export</c:v>
                </c:pt>
              </c:strCache>
            </c:strRef>
          </c:tx>
          <c:spPr>
            <a:ln w="28575" cap="rnd">
              <a:solidFill>
                <a:schemeClr val="accent1"/>
              </a:solidFill>
              <a:round/>
            </a:ln>
            <a:effectLst/>
          </c:spPr>
          <c:marker>
            <c:symbol val="none"/>
          </c:marker>
          <c:cat>
            <c:numRef>
              <c:f>Sheet2!$D$11:$P$11</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Sheet2!$D$12:$P$12</c:f>
              <c:numCache>
                <c:formatCode>0%</c:formatCode>
                <c:ptCount val="13"/>
                <c:pt idx="0">
                  <c:v>0.6434999176181</c:v>
                </c:pt>
                <c:pt idx="1">
                  <c:v>0.646912066009261</c:v>
                </c:pt>
                <c:pt idx="2">
                  <c:v>0.667196100097036</c:v>
                </c:pt>
                <c:pt idx="3">
                  <c:v>0.627166715047552</c:v>
                </c:pt>
                <c:pt idx="4">
                  <c:v>0.665936490475261</c:v>
                </c:pt>
                <c:pt idx="5">
                  <c:v>0.601354602160733</c:v>
                </c:pt>
                <c:pt idx="6">
                  <c:v>0.585717085680196</c:v>
                </c:pt>
                <c:pt idx="7">
                  <c:v>0.587403265734177</c:v>
                </c:pt>
                <c:pt idx="8">
                  <c:v>0.549171045963808</c:v>
                </c:pt>
                <c:pt idx="9">
                  <c:v>0.545537140358748</c:v>
                </c:pt>
                <c:pt idx="10">
                  <c:v>0.612783155179904</c:v>
                </c:pt>
                <c:pt idx="11">
                  <c:v>0.610543716245827</c:v>
                </c:pt>
                <c:pt idx="12">
                  <c:v>0.617473152710384</c:v>
                </c:pt>
              </c:numCache>
            </c:numRef>
          </c:val>
          <c:smooth val="0"/>
          <c:extLst xmlns:c16r2="http://schemas.microsoft.com/office/drawing/2015/06/chart">
            <c:ext xmlns:c16="http://schemas.microsoft.com/office/drawing/2014/chart" uri="{C3380CC4-5D6E-409C-BE32-E72D297353CC}">
              <c16:uniqueId val="{00000000-F799-44B1-BE65-2B2FB13728DC}"/>
            </c:ext>
          </c:extLst>
        </c:ser>
        <c:ser>
          <c:idx val="1"/>
          <c:order val="1"/>
          <c:tx>
            <c:strRef>
              <c:f>Sheet2!$C$13</c:f>
              <c:strCache>
                <c:ptCount val="1"/>
                <c:pt idx="0">
                  <c:v>EU Import</c:v>
                </c:pt>
              </c:strCache>
            </c:strRef>
          </c:tx>
          <c:spPr>
            <a:ln w="28575" cap="rnd">
              <a:solidFill>
                <a:schemeClr val="accent2"/>
              </a:solidFill>
              <a:round/>
            </a:ln>
            <a:effectLst/>
          </c:spPr>
          <c:marker>
            <c:symbol val="none"/>
          </c:marker>
          <c:cat>
            <c:numRef>
              <c:f>Sheet2!$D$11:$P$11</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Sheet2!$D$13:$P$13</c:f>
              <c:numCache>
                <c:formatCode>0%</c:formatCode>
                <c:ptCount val="13"/>
                <c:pt idx="0">
                  <c:v>0.586202624748055</c:v>
                </c:pt>
                <c:pt idx="1">
                  <c:v>0.636514146353093</c:v>
                </c:pt>
                <c:pt idx="2">
                  <c:v>0.691444031892376</c:v>
                </c:pt>
                <c:pt idx="3">
                  <c:v>0.589862050252955</c:v>
                </c:pt>
                <c:pt idx="4">
                  <c:v>0.60409582943702</c:v>
                </c:pt>
                <c:pt idx="5">
                  <c:v>0.559462694749713</c:v>
                </c:pt>
                <c:pt idx="6">
                  <c:v>0.541876679602696</c:v>
                </c:pt>
                <c:pt idx="7">
                  <c:v>0.568927614871246</c:v>
                </c:pt>
                <c:pt idx="8">
                  <c:v>0.602952809122066</c:v>
                </c:pt>
                <c:pt idx="9">
                  <c:v>0.627821892900044</c:v>
                </c:pt>
                <c:pt idx="10">
                  <c:v>0.66807154704721</c:v>
                </c:pt>
                <c:pt idx="11">
                  <c:v>0.698354706735334</c:v>
                </c:pt>
                <c:pt idx="12">
                  <c:v>0.709579983842414</c:v>
                </c:pt>
              </c:numCache>
            </c:numRef>
          </c:val>
          <c:smooth val="0"/>
          <c:extLst xmlns:c16r2="http://schemas.microsoft.com/office/drawing/2015/06/chart">
            <c:ext xmlns:c16="http://schemas.microsoft.com/office/drawing/2014/chart" uri="{C3380CC4-5D6E-409C-BE32-E72D297353CC}">
              <c16:uniqueId val="{00000001-F799-44B1-BE65-2B2FB13728DC}"/>
            </c:ext>
          </c:extLst>
        </c:ser>
        <c:ser>
          <c:idx val="2"/>
          <c:order val="2"/>
          <c:tx>
            <c:strRef>
              <c:f>Sheet2!$C$14</c:f>
              <c:strCache>
                <c:ptCount val="1"/>
                <c:pt idx="0">
                  <c:v>RU Export</c:v>
                </c:pt>
              </c:strCache>
            </c:strRef>
          </c:tx>
          <c:spPr>
            <a:ln w="28575" cap="rnd">
              <a:solidFill>
                <a:schemeClr val="accent3"/>
              </a:solidFill>
              <a:round/>
            </a:ln>
            <a:effectLst/>
          </c:spPr>
          <c:marker>
            <c:symbol val="none"/>
          </c:marker>
          <c:cat>
            <c:numRef>
              <c:f>Sheet2!$D$11:$P$11</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Sheet2!$D$14:$P$14</c:f>
              <c:numCache>
                <c:formatCode>0%</c:formatCode>
                <c:ptCount val="13"/>
                <c:pt idx="0">
                  <c:v>0.146544852774676</c:v>
                </c:pt>
                <c:pt idx="1">
                  <c:v>0.155130141337826</c:v>
                </c:pt>
                <c:pt idx="2">
                  <c:v>0.171417135270589</c:v>
                </c:pt>
                <c:pt idx="3">
                  <c:v>0.174782141425277</c:v>
                </c:pt>
                <c:pt idx="4">
                  <c:v>0.142352892918118</c:v>
                </c:pt>
                <c:pt idx="5">
                  <c:v>0.158685641836133</c:v>
                </c:pt>
                <c:pt idx="6">
                  <c:v>0.171760935844319</c:v>
                </c:pt>
                <c:pt idx="7">
                  <c:v>0.198271760058104</c:v>
                </c:pt>
                <c:pt idx="8">
                  <c:v>0.20404468072811</c:v>
                </c:pt>
                <c:pt idx="9">
                  <c:v>0.208184939738149</c:v>
                </c:pt>
                <c:pt idx="10">
                  <c:v>0.137471931265644</c:v>
                </c:pt>
                <c:pt idx="11">
                  <c:v>0.132379935140111</c:v>
                </c:pt>
                <c:pt idx="12">
                  <c:v>0.150635799619931</c:v>
                </c:pt>
              </c:numCache>
            </c:numRef>
          </c:val>
          <c:smooth val="0"/>
          <c:extLst xmlns:c16r2="http://schemas.microsoft.com/office/drawing/2015/06/chart">
            <c:ext xmlns:c16="http://schemas.microsoft.com/office/drawing/2014/chart" uri="{C3380CC4-5D6E-409C-BE32-E72D297353CC}">
              <c16:uniqueId val="{00000002-F799-44B1-BE65-2B2FB13728DC}"/>
            </c:ext>
          </c:extLst>
        </c:ser>
        <c:ser>
          <c:idx val="3"/>
          <c:order val="3"/>
          <c:tx>
            <c:strRef>
              <c:f>Sheet2!$C$15</c:f>
              <c:strCache>
                <c:ptCount val="1"/>
                <c:pt idx="0">
                  <c:v>RU Import</c:v>
                </c:pt>
              </c:strCache>
            </c:strRef>
          </c:tx>
          <c:spPr>
            <a:ln w="28575" cap="rnd">
              <a:solidFill>
                <a:schemeClr val="accent4"/>
              </a:solidFill>
              <a:round/>
            </a:ln>
            <a:effectLst/>
          </c:spPr>
          <c:marker>
            <c:symbol val="none"/>
          </c:marker>
          <c:cat>
            <c:numRef>
              <c:f>Sheet2!$D$11:$P$11</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Sheet2!$D$15:$P$15</c:f>
              <c:numCache>
                <c:formatCode>0%</c:formatCode>
                <c:ptCount val="13"/>
                <c:pt idx="0">
                  <c:v>0.273911509958215</c:v>
                </c:pt>
                <c:pt idx="1">
                  <c:v>0.240225060808558</c:v>
                </c:pt>
                <c:pt idx="2">
                  <c:v>0.180295977940413</c:v>
                </c:pt>
                <c:pt idx="3">
                  <c:v>0.292973120922806</c:v>
                </c:pt>
                <c:pt idx="4">
                  <c:v>0.293414688348373</c:v>
                </c:pt>
                <c:pt idx="5">
                  <c:v>0.308869137016185</c:v>
                </c:pt>
                <c:pt idx="6">
                  <c:v>0.302126206164286</c:v>
                </c:pt>
                <c:pt idx="7">
                  <c:v>0.300231783666063</c:v>
                </c:pt>
                <c:pt idx="8">
                  <c:v>0.26193410196227</c:v>
                </c:pt>
                <c:pt idx="9">
                  <c:v>0.210412488574603</c:v>
                </c:pt>
                <c:pt idx="10">
                  <c:v>0.154852492812599</c:v>
                </c:pt>
                <c:pt idx="11">
                  <c:v>0.131772234028242</c:v>
                </c:pt>
                <c:pt idx="12">
                  <c:v>0.129832505939941</c:v>
                </c:pt>
              </c:numCache>
            </c:numRef>
          </c:val>
          <c:smooth val="0"/>
          <c:extLst xmlns:c16r2="http://schemas.microsoft.com/office/drawing/2015/06/chart">
            <c:ext xmlns:c16="http://schemas.microsoft.com/office/drawing/2014/chart" uri="{C3380CC4-5D6E-409C-BE32-E72D297353CC}">
              <c16:uniqueId val="{00000003-F799-44B1-BE65-2B2FB13728DC}"/>
            </c:ext>
          </c:extLst>
        </c:ser>
        <c:dLbls>
          <c:showLegendKey val="0"/>
          <c:showVal val="0"/>
          <c:showCatName val="0"/>
          <c:showSerName val="0"/>
          <c:showPercent val="0"/>
          <c:showBubbleSize val="0"/>
        </c:dLbls>
        <c:smooth val="0"/>
        <c:axId val="-2114503584"/>
        <c:axId val="-2114500496"/>
      </c:lineChart>
      <c:catAx>
        <c:axId val="-211450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4500496"/>
        <c:crosses val="autoZero"/>
        <c:auto val="1"/>
        <c:lblAlgn val="ctr"/>
        <c:lblOffset val="100"/>
        <c:noMultiLvlLbl val="0"/>
      </c:catAx>
      <c:valAx>
        <c:axId val="-2114500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4503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Lithuania</a:t>
            </a:r>
            <a:r>
              <a:rPr lang="lt-LT"/>
              <a:t>n</a:t>
            </a:r>
            <a:r>
              <a:rPr lang="en-GB"/>
              <a:t> SITC HS4 - 27 import (2005-2017)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'Charts (EUR)'!$A$3</c:f>
              <c:strCache>
                <c:ptCount val="1"/>
                <c:pt idx="0">
                  <c:v>World</c:v>
                </c:pt>
              </c:strCache>
            </c:strRef>
          </c:tx>
          <c:spPr>
            <a:solidFill>
              <a:schemeClr val="accent1"/>
            </a:solidFill>
            <a:ln>
              <a:noFill/>
            </a:ln>
            <a:effectLst/>
          </c:spPr>
          <c:invertIfNegative val="0"/>
          <c:cat>
            <c:numRef>
              <c:f>'Charts (EUR)'!$B$2:$N$2</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'Charts (EUR)'!$B$3:$N$3</c:f>
              <c:numCache>
                <c:formatCode>#,##0</c:formatCode>
                <c:ptCount val="13"/>
                <c:pt idx="0">
                  <c:v>3.048855E6</c:v>
                </c:pt>
                <c:pt idx="1">
                  <c:v>3.455785E6</c:v>
                </c:pt>
                <c:pt idx="2">
                  <c:v>2.891306E6</c:v>
                </c:pt>
                <c:pt idx="3">
                  <c:v>5.893203E6</c:v>
                </c:pt>
                <c:pt idx="4">
                  <c:v>3.642743E6</c:v>
                </c:pt>
                <c:pt idx="5">
                  <c:v>5.644791E6</c:v>
                </c:pt>
                <c:pt idx="6">
                  <c:v>7.517208E6</c:v>
                </c:pt>
                <c:pt idx="7">
                  <c:v>8.475717E6</c:v>
                </c:pt>
                <c:pt idx="8">
                  <c:v>7.852895E6</c:v>
                </c:pt>
                <c:pt idx="9">
                  <c:v>6.460393E6</c:v>
                </c:pt>
                <c:pt idx="10">
                  <c:v>5.125257E6</c:v>
                </c:pt>
                <c:pt idx="11">
                  <c:v>4.174747E6</c:v>
                </c:pt>
                <c:pt idx="12">
                  <c:v>5.168583E6</c:v>
                </c:pt>
              </c:numCache>
            </c:numRef>
          </c:val>
          <c:extLst xmlns:c16r2="http://schemas.microsoft.com/office/drawing/2015/06/chart">
            <c:ext xmlns:c16="http://schemas.microsoft.com/office/drawing/2014/chart" uri="{C3380CC4-5D6E-409C-BE32-E72D297353CC}">
              <c16:uniqueId val="{00000000-FDA0-4513-9453-7A4A4FDB0162}"/>
            </c:ext>
          </c:extLst>
        </c:ser>
        <c:ser>
          <c:idx val="1"/>
          <c:order val="1"/>
          <c:tx>
            <c:strRef>
              <c:f>'Charts (EUR)'!$A$4</c:f>
              <c:strCache>
                <c:ptCount val="1"/>
                <c:pt idx="0">
                  <c:v>Russian Federation</c:v>
                </c:pt>
              </c:strCache>
            </c:strRef>
          </c:tx>
          <c:spPr>
            <a:solidFill>
              <a:schemeClr val="accent2"/>
            </a:solidFill>
            <a:ln>
              <a:noFill/>
            </a:ln>
            <a:effectLst/>
          </c:spPr>
          <c:invertIfNegative val="0"/>
          <c:cat>
            <c:numRef>
              <c:f>'Charts (EUR)'!$B$2:$N$2</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'Charts (EUR)'!$B$4:$N$4</c:f>
              <c:numCache>
                <c:formatCode>#,##0</c:formatCode>
                <c:ptCount val="13"/>
                <c:pt idx="0">
                  <c:v>2.913523E6</c:v>
                </c:pt>
                <c:pt idx="1">
                  <c:v>3.214286E6</c:v>
                </c:pt>
                <c:pt idx="2">
                  <c:v>2.60965E6</c:v>
                </c:pt>
                <c:pt idx="3">
                  <c:v>5.563855E6</c:v>
                </c:pt>
                <c:pt idx="4">
                  <c:v>3.475748E6</c:v>
                </c:pt>
                <c:pt idx="5">
                  <c:v>5.247936E6</c:v>
                </c:pt>
                <c:pt idx="6">
                  <c:v>6.658949E6</c:v>
                </c:pt>
                <c:pt idx="7">
                  <c:v>7.365901E6</c:v>
                </c:pt>
                <c:pt idx="8">
                  <c:v>6.641846E6</c:v>
                </c:pt>
                <c:pt idx="9">
                  <c:v>5.071291E6</c:v>
                </c:pt>
                <c:pt idx="10">
                  <c:v>3.371472E6</c:v>
                </c:pt>
                <c:pt idx="11">
                  <c:v>2.662552E6</c:v>
                </c:pt>
                <c:pt idx="12">
                  <c:v>2.767962E6</c:v>
                </c:pt>
              </c:numCache>
            </c:numRef>
          </c:val>
          <c:extLst xmlns:c16r2="http://schemas.microsoft.com/office/drawing/2015/06/chart">
            <c:ext xmlns:c16="http://schemas.microsoft.com/office/drawing/2014/chart" uri="{C3380CC4-5D6E-409C-BE32-E72D297353CC}">
              <c16:uniqueId val="{00000001-FDA0-4513-9453-7A4A4FDB0162}"/>
            </c:ext>
          </c:extLst>
        </c:ser>
        <c:dLbls>
          <c:showLegendKey val="0"/>
          <c:showVal val="0"/>
          <c:showCatName val="0"/>
          <c:showSerName val="0"/>
          <c:showPercent val="0"/>
          <c:showBubbleSize val="0"/>
        </c:dLbls>
        <c:gapWidth val="219"/>
        <c:axId val="-2115062608"/>
        <c:axId val="-2115059584"/>
      </c:barChart>
      <c:lineChart>
        <c:grouping val="standard"/>
        <c:varyColors val="0"/>
        <c:ser>
          <c:idx val="2"/>
          <c:order val="2"/>
          <c:tx>
            <c:strRef>
              <c:f>'Charts (EUR)'!$A$5</c:f>
              <c:strCache>
                <c:ptCount val="1"/>
                <c:pt idx="0">
                  <c:v>Russian Federation share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 (EUR)'!$B$2:$N$2</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'Charts (EUR)'!$B$5:$N$5</c:f>
              <c:numCache>
                <c:formatCode>0.00</c:formatCode>
                <c:ptCount val="13"/>
                <c:pt idx="0">
                  <c:v>95.5612188838105</c:v>
                </c:pt>
                <c:pt idx="1">
                  <c:v>93.0117469692125</c:v>
                </c:pt>
                <c:pt idx="2">
                  <c:v>90.25851985227435</c:v>
                </c:pt>
                <c:pt idx="3">
                  <c:v>94.41139224289405</c:v>
                </c:pt>
                <c:pt idx="4">
                  <c:v>95.41567988738157</c:v>
                </c:pt>
                <c:pt idx="5">
                  <c:v>92.96953598459181</c:v>
                </c:pt>
                <c:pt idx="6">
                  <c:v>88.58274242245253</c:v>
                </c:pt>
                <c:pt idx="7">
                  <c:v>86.90593373988301</c:v>
                </c:pt>
                <c:pt idx="8">
                  <c:v>84.57831156535265</c:v>
                </c:pt>
                <c:pt idx="9">
                  <c:v>78.49818114780321</c:v>
                </c:pt>
                <c:pt idx="10">
                  <c:v>65.78152080959061</c:v>
                </c:pt>
                <c:pt idx="11">
                  <c:v>63.77756544288792</c:v>
                </c:pt>
                <c:pt idx="12">
                  <c:v>53.55359486342775</c:v>
                </c:pt>
              </c:numCache>
            </c:numRef>
          </c:val>
          <c:smooth val="0"/>
          <c:extLst xmlns:c16r2="http://schemas.microsoft.com/office/drawing/2015/06/chart">
            <c:ext xmlns:c16="http://schemas.microsoft.com/office/drawing/2014/chart" uri="{C3380CC4-5D6E-409C-BE32-E72D297353CC}">
              <c16:uniqueId val="{00000002-FDA0-4513-9453-7A4A4FDB0162}"/>
            </c:ext>
          </c:extLst>
        </c:ser>
        <c:dLbls>
          <c:showLegendKey val="0"/>
          <c:showVal val="0"/>
          <c:showCatName val="0"/>
          <c:showSerName val="0"/>
          <c:showPercent val="0"/>
          <c:showBubbleSize val="0"/>
        </c:dLbls>
        <c:marker val="1"/>
        <c:smooth val="0"/>
        <c:axId val="-2115054000"/>
        <c:axId val="-2115056800"/>
      </c:lineChart>
      <c:catAx>
        <c:axId val="-211506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5059584"/>
        <c:crosses val="autoZero"/>
        <c:auto val="1"/>
        <c:lblAlgn val="ctr"/>
        <c:lblOffset val="100"/>
        <c:noMultiLvlLbl val="0"/>
      </c:catAx>
      <c:valAx>
        <c:axId val="-2115059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5062608"/>
        <c:crosses val="autoZero"/>
        <c:crossBetween val="between"/>
      </c:valAx>
      <c:valAx>
        <c:axId val="-2115056800"/>
        <c:scaling>
          <c:orientation val="minMax"/>
          <c:max val="100.0"/>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5054000"/>
        <c:crosses val="max"/>
        <c:crossBetween val="between"/>
      </c:valAx>
      <c:catAx>
        <c:axId val="-2115054000"/>
        <c:scaling>
          <c:orientation val="minMax"/>
        </c:scaling>
        <c:delete val="1"/>
        <c:axPos val="b"/>
        <c:numFmt formatCode="General" sourceLinked="1"/>
        <c:majorTickMark val="out"/>
        <c:minorTickMark val="none"/>
        <c:tickLblPos val="nextTo"/>
        <c:crossAx val="-2115056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SITC HS4 - 27 share of total import from Russian Federation (2005-2017)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'Charts (EUR)'!$A$43</c:f>
              <c:strCache>
                <c:ptCount val="1"/>
                <c:pt idx="0">
                  <c:v>Russian Federation</c:v>
                </c:pt>
              </c:strCache>
            </c:strRef>
          </c:tx>
          <c:spPr>
            <a:solidFill>
              <a:schemeClr val="accent1"/>
            </a:solidFill>
            <a:ln>
              <a:noFill/>
            </a:ln>
            <a:effectLst/>
          </c:spPr>
          <c:invertIfNegative val="0"/>
          <c:cat>
            <c:numRef>
              <c:f>'Charts (EUR)'!$B$42:$N$42</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'Charts (EUR)'!$B$43:$N$43</c:f>
              <c:numCache>
                <c:formatCode>#,##0</c:formatCode>
                <c:ptCount val="13"/>
                <c:pt idx="0">
                  <c:v>3.82706158E6</c:v>
                </c:pt>
                <c:pt idx="1">
                  <c:v>4.10549665E6</c:v>
                </c:pt>
                <c:pt idx="2">
                  <c:v>3.59050651E6</c:v>
                </c:pt>
                <c:pt idx="3">
                  <c:v>6.88322103E6</c:v>
                </c:pt>
                <c:pt idx="4">
                  <c:v>4.3318173E6</c:v>
                </c:pt>
                <c:pt idx="5">
                  <c:v>6.12725445E6</c:v>
                </c:pt>
                <c:pt idx="6">
                  <c:v>7.71364732E6</c:v>
                </c:pt>
                <c:pt idx="7">
                  <c:v>8.51975622E6</c:v>
                </c:pt>
                <c:pt idx="8">
                  <c:v>7.89627273E6</c:v>
                </c:pt>
                <c:pt idx="9">
                  <c:v>6.4383592E6</c:v>
                </c:pt>
                <c:pt idx="10">
                  <c:v>4.57550737E6</c:v>
                </c:pt>
                <c:pt idx="11">
                  <c:v>3.84351779E6</c:v>
                </c:pt>
                <c:pt idx="12">
                  <c:v>4.07928628E6</c:v>
                </c:pt>
              </c:numCache>
            </c:numRef>
          </c:val>
          <c:extLst xmlns:c16r2="http://schemas.microsoft.com/office/drawing/2015/06/chart">
            <c:ext xmlns:c16="http://schemas.microsoft.com/office/drawing/2014/chart" uri="{C3380CC4-5D6E-409C-BE32-E72D297353CC}">
              <c16:uniqueId val="{00000000-79E7-410A-8B75-68D915B5D12C}"/>
            </c:ext>
          </c:extLst>
        </c:ser>
        <c:ser>
          <c:idx val="1"/>
          <c:order val="1"/>
          <c:tx>
            <c:strRef>
              <c:f>'Charts (EUR)'!$A$44</c:f>
              <c:strCache>
                <c:ptCount val="1"/>
                <c:pt idx="0">
                  <c:v>Russian Federation (HS4 - 27)</c:v>
                </c:pt>
              </c:strCache>
            </c:strRef>
          </c:tx>
          <c:spPr>
            <a:solidFill>
              <a:schemeClr val="accent2"/>
            </a:solidFill>
            <a:ln>
              <a:noFill/>
            </a:ln>
            <a:effectLst/>
          </c:spPr>
          <c:invertIfNegative val="0"/>
          <c:cat>
            <c:numRef>
              <c:f>'Charts (EUR)'!$B$42:$N$42</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'Charts (EUR)'!$B$44:$N$44</c:f>
              <c:numCache>
                <c:formatCode>#,##0</c:formatCode>
                <c:ptCount val="13"/>
                <c:pt idx="0">
                  <c:v>2.913523E6</c:v>
                </c:pt>
                <c:pt idx="1">
                  <c:v>3.214286E6</c:v>
                </c:pt>
                <c:pt idx="2">
                  <c:v>2.60965E6</c:v>
                </c:pt>
                <c:pt idx="3">
                  <c:v>5.563855E6</c:v>
                </c:pt>
                <c:pt idx="4">
                  <c:v>3.475748E6</c:v>
                </c:pt>
                <c:pt idx="5">
                  <c:v>5.247936E6</c:v>
                </c:pt>
                <c:pt idx="6">
                  <c:v>6.658949E6</c:v>
                </c:pt>
                <c:pt idx="7">
                  <c:v>7.365901E6</c:v>
                </c:pt>
                <c:pt idx="8">
                  <c:v>6.641846E6</c:v>
                </c:pt>
                <c:pt idx="9">
                  <c:v>5.071291E6</c:v>
                </c:pt>
                <c:pt idx="10">
                  <c:v>3.371472E6</c:v>
                </c:pt>
                <c:pt idx="11">
                  <c:v>2.662552E6</c:v>
                </c:pt>
                <c:pt idx="12">
                  <c:v>2.767962E6</c:v>
                </c:pt>
              </c:numCache>
            </c:numRef>
          </c:val>
          <c:extLst xmlns:c16r2="http://schemas.microsoft.com/office/drawing/2015/06/chart">
            <c:ext xmlns:c16="http://schemas.microsoft.com/office/drawing/2014/chart" uri="{C3380CC4-5D6E-409C-BE32-E72D297353CC}">
              <c16:uniqueId val="{00000001-79E7-410A-8B75-68D915B5D12C}"/>
            </c:ext>
          </c:extLst>
        </c:ser>
        <c:dLbls>
          <c:showLegendKey val="0"/>
          <c:showVal val="0"/>
          <c:showCatName val="0"/>
          <c:showSerName val="0"/>
          <c:showPercent val="0"/>
          <c:showBubbleSize val="0"/>
        </c:dLbls>
        <c:gapWidth val="219"/>
        <c:axId val="2144802576"/>
        <c:axId val="2144923904"/>
      </c:barChart>
      <c:lineChart>
        <c:grouping val="standard"/>
        <c:varyColors val="0"/>
        <c:ser>
          <c:idx val="2"/>
          <c:order val="2"/>
          <c:tx>
            <c:strRef>
              <c:f>'Charts (EUR)'!$A$45</c:f>
              <c:strCache>
                <c:ptCount val="1"/>
                <c:pt idx="0">
                  <c:v>HS4 - 27 share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 (EUR)'!$B$42:$N$42</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'Charts (EUR)'!$B$45:$N$45</c:f>
              <c:numCache>
                <c:formatCode>0.00</c:formatCode>
                <c:ptCount val="13"/>
                <c:pt idx="0">
                  <c:v>76.12950403583524</c:v>
                </c:pt>
                <c:pt idx="1">
                  <c:v>78.29225728390257</c:v>
                </c:pt>
                <c:pt idx="2">
                  <c:v>72.6819459241142</c:v>
                </c:pt>
                <c:pt idx="3">
                  <c:v>80.83214204149996</c:v>
                </c:pt>
                <c:pt idx="4">
                  <c:v>80.23764067796676</c:v>
                </c:pt>
                <c:pt idx="5">
                  <c:v>85.6490626074783</c:v>
                </c:pt>
                <c:pt idx="6">
                  <c:v>86.32685322201118</c:v>
                </c:pt>
                <c:pt idx="7">
                  <c:v>86.45671084706224</c:v>
                </c:pt>
                <c:pt idx="8">
                  <c:v>84.11368536912226</c:v>
                </c:pt>
                <c:pt idx="9">
                  <c:v>78.76682307504682</c:v>
                </c:pt>
                <c:pt idx="10">
                  <c:v>73.68520531964521</c:v>
                </c:pt>
                <c:pt idx="11">
                  <c:v>69.27383052388574</c:v>
                </c:pt>
                <c:pt idx="12">
                  <c:v>67.85407568894626</c:v>
                </c:pt>
              </c:numCache>
            </c:numRef>
          </c:val>
          <c:smooth val="0"/>
          <c:extLst xmlns:c16r2="http://schemas.microsoft.com/office/drawing/2015/06/chart">
            <c:ext xmlns:c16="http://schemas.microsoft.com/office/drawing/2014/chart" uri="{C3380CC4-5D6E-409C-BE32-E72D297353CC}">
              <c16:uniqueId val="{00000002-79E7-410A-8B75-68D915B5D12C}"/>
            </c:ext>
          </c:extLst>
        </c:ser>
        <c:dLbls>
          <c:showLegendKey val="0"/>
          <c:showVal val="0"/>
          <c:showCatName val="0"/>
          <c:showSerName val="0"/>
          <c:showPercent val="0"/>
          <c:showBubbleSize val="0"/>
        </c:dLbls>
        <c:marker val="1"/>
        <c:smooth val="0"/>
        <c:axId val="-2114472240"/>
        <c:axId val="-2114475040"/>
      </c:lineChart>
      <c:catAx>
        <c:axId val="214480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44923904"/>
        <c:crosses val="autoZero"/>
        <c:auto val="1"/>
        <c:lblAlgn val="ctr"/>
        <c:lblOffset val="100"/>
        <c:noMultiLvlLbl val="0"/>
      </c:catAx>
      <c:valAx>
        <c:axId val="2144923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44802576"/>
        <c:crosses val="autoZero"/>
        <c:crossBetween val="between"/>
      </c:valAx>
      <c:valAx>
        <c:axId val="-211447504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4472240"/>
        <c:crosses val="max"/>
        <c:crossBetween val="between"/>
      </c:valAx>
      <c:catAx>
        <c:axId val="-2114472240"/>
        <c:scaling>
          <c:orientation val="minMax"/>
        </c:scaling>
        <c:delete val="1"/>
        <c:axPos val="b"/>
        <c:numFmt formatCode="General" sourceLinked="1"/>
        <c:majorTickMark val="out"/>
        <c:minorTickMark val="none"/>
        <c:tickLblPos val="nextTo"/>
        <c:crossAx val="-21144750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Lithuanian exports (EUR bil,</a:t>
            </a:r>
            <a:r>
              <a:rPr lang="en-GB" baseline="0"/>
              <a:t> 2006-2017</a:t>
            </a:r>
            <a:r>
              <a:rPr lang="en-GB"/>
              <a:t>)</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'Sorted (2017)'!$B$234</c:f>
              <c:strCache>
                <c:ptCount val="1"/>
                <c:pt idx="0">
                  <c:v>LT Total</c:v>
                </c:pt>
              </c:strCache>
            </c:strRef>
          </c:tx>
          <c:spPr>
            <a:solidFill>
              <a:schemeClr val="accent1"/>
            </a:solidFill>
            <a:ln>
              <a:noFill/>
            </a:ln>
            <a:effectLst/>
          </c:spPr>
          <c:invertIfNegative val="0"/>
          <c:cat>
            <c:numRef>
              <c:f>'Sorted (2017)'!$C$233:$N$233</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'Sorted (2017)'!$C$234:$N$234</c:f>
              <c:numCache>
                <c:formatCode>General</c:formatCode>
                <c:ptCount val="12"/>
                <c:pt idx="0">
                  <c:v>13.71</c:v>
                </c:pt>
                <c:pt idx="1">
                  <c:v>15.11</c:v>
                </c:pt>
                <c:pt idx="2">
                  <c:v>19.01000000000001</c:v>
                </c:pt>
                <c:pt idx="3">
                  <c:v>14.09</c:v>
                </c:pt>
                <c:pt idx="4">
                  <c:v>19.07999999999999</c:v>
                </c:pt>
                <c:pt idx="5">
                  <c:v>24.12</c:v>
                </c:pt>
                <c:pt idx="6">
                  <c:v>27.84</c:v>
                </c:pt>
                <c:pt idx="7">
                  <c:v>29.91</c:v>
                </c:pt>
                <c:pt idx="8">
                  <c:v>30.18</c:v>
                </c:pt>
                <c:pt idx="9">
                  <c:v>28.8</c:v>
                </c:pt>
                <c:pt idx="10">
                  <c:v>29.31</c:v>
                </c:pt>
                <c:pt idx="11">
                  <c:v>32.85</c:v>
                </c:pt>
              </c:numCache>
            </c:numRef>
          </c:val>
          <c:extLst xmlns:c16r2="http://schemas.microsoft.com/office/drawing/2015/06/chart">
            <c:ext xmlns:c16="http://schemas.microsoft.com/office/drawing/2014/chart" uri="{C3380CC4-5D6E-409C-BE32-E72D297353CC}">
              <c16:uniqueId val="{00000000-2CB0-45C1-998B-069B62618AF9}"/>
            </c:ext>
          </c:extLst>
        </c:ser>
        <c:dLbls>
          <c:showLegendKey val="0"/>
          <c:showVal val="0"/>
          <c:showCatName val="0"/>
          <c:showSerName val="0"/>
          <c:showPercent val="0"/>
          <c:showBubbleSize val="0"/>
        </c:dLbls>
        <c:gapWidth val="219"/>
        <c:axId val="-2114410544"/>
        <c:axId val="-2114407392"/>
      </c:barChart>
      <c:lineChart>
        <c:grouping val="standard"/>
        <c:varyColors val="0"/>
        <c:ser>
          <c:idx val="1"/>
          <c:order val="1"/>
          <c:tx>
            <c:strRef>
              <c:f>'Sorted (2017)'!$B$235</c:f>
              <c:strCache>
                <c:ptCount val="1"/>
                <c:pt idx="0">
                  <c:v>LT Increase (%)</c:v>
                </c:pt>
              </c:strCache>
            </c:strRef>
          </c:tx>
          <c:spPr>
            <a:ln w="28575" cap="rnd">
              <a:solidFill>
                <a:schemeClr val="accent2"/>
              </a:solidFill>
              <a:round/>
            </a:ln>
            <a:effectLst/>
          </c:spPr>
          <c:marker>
            <c:symbol val="none"/>
          </c:marker>
          <c:cat>
            <c:numRef>
              <c:f>'Sorted (2017)'!$C$233:$N$233</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'Sorted (2017)'!$C$235:$N$235</c:f>
              <c:numCache>
                <c:formatCode>0.0%</c:formatCode>
                <c:ptCount val="12"/>
                <c:pt idx="0">
                  <c:v>0.165039725887557</c:v>
                </c:pt>
                <c:pt idx="1">
                  <c:v>0.101887678668121</c:v>
                </c:pt>
                <c:pt idx="2">
                  <c:v>0.258427640229055</c:v>
                </c:pt>
                <c:pt idx="3">
                  <c:v>-0.259131552217312</c:v>
                </c:pt>
                <c:pt idx="4">
                  <c:v>0.354495218641427</c:v>
                </c:pt>
                <c:pt idx="5">
                  <c:v>0.26675564989868</c:v>
                </c:pt>
                <c:pt idx="6">
                  <c:v>0.151885821937814</c:v>
                </c:pt>
                <c:pt idx="7">
                  <c:v>0.074481028773513</c:v>
                </c:pt>
                <c:pt idx="8">
                  <c:v>0.0091502506732607</c:v>
                </c:pt>
                <c:pt idx="9">
                  <c:v>-0.0458128701313805</c:v>
                </c:pt>
                <c:pt idx="10">
                  <c:v>0.0176511334181896</c:v>
                </c:pt>
                <c:pt idx="11">
                  <c:v>0.120768041359128</c:v>
                </c:pt>
              </c:numCache>
            </c:numRef>
          </c:val>
          <c:smooth val="0"/>
          <c:extLst xmlns:c16r2="http://schemas.microsoft.com/office/drawing/2015/06/chart">
            <c:ext xmlns:c16="http://schemas.microsoft.com/office/drawing/2014/chart" uri="{C3380CC4-5D6E-409C-BE32-E72D297353CC}">
              <c16:uniqueId val="{00000001-2CB0-45C1-998B-069B62618AF9}"/>
            </c:ext>
          </c:extLst>
        </c:ser>
        <c:ser>
          <c:idx val="2"/>
          <c:order val="2"/>
          <c:tx>
            <c:strRef>
              <c:f>'Sorted (2017)'!$B$236</c:f>
              <c:strCache>
                <c:ptCount val="1"/>
                <c:pt idx="0">
                  <c:v>World increase (%)</c:v>
                </c:pt>
              </c:strCache>
            </c:strRef>
          </c:tx>
          <c:spPr>
            <a:ln w="28575" cap="rnd">
              <a:solidFill>
                <a:schemeClr val="accent3"/>
              </a:solidFill>
              <a:round/>
            </a:ln>
            <a:effectLst/>
          </c:spPr>
          <c:marker>
            <c:symbol val="none"/>
          </c:marker>
          <c:cat>
            <c:numRef>
              <c:f>'Sorted (2017)'!$C$233:$N$233</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'Sorted (2017)'!$C$236:$N$236</c:f>
              <c:numCache>
                <c:formatCode>0.0%</c:formatCode>
                <c:ptCount val="12"/>
                <c:pt idx="0">
                  <c:v>0.151253884406263</c:v>
                </c:pt>
                <c:pt idx="1">
                  <c:v>0.164388055582058</c:v>
                </c:pt>
                <c:pt idx="2">
                  <c:v>0.148431175058226</c:v>
                </c:pt>
                <c:pt idx="3">
                  <c:v>-0.204185219821608</c:v>
                </c:pt>
                <c:pt idx="4">
                  <c:v>0.205926431335885</c:v>
                </c:pt>
                <c:pt idx="5">
                  <c:v>0.182417601465369</c:v>
                </c:pt>
                <c:pt idx="6">
                  <c:v>0.0190664023816075</c:v>
                </c:pt>
                <c:pt idx="7">
                  <c:v>0.0338291357377768</c:v>
                </c:pt>
                <c:pt idx="8">
                  <c:v>0.0205413738359259</c:v>
                </c:pt>
                <c:pt idx="9">
                  <c:v>-0.111607402647694</c:v>
                </c:pt>
                <c:pt idx="10">
                  <c:v>-0.0232552101851306</c:v>
                </c:pt>
                <c:pt idx="11">
                  <c:v>0.0973803135116081</c:v>
                </c:pt>
              </c:numCache>
            </c:numRef>
          </c:val>
          <c:smooth val="0"/>
          <c:extLst xmlns:c16r2="http://schemas.microsoft.com/office/drawing/2015/06/chart">
            <c:ext xmlns:c16="http://schemas.microsoft.com/office/drawing/2014/chart" uri="{C3380CC4-5D6E-409C-BE32-E72D297353CC}">
              <c16:uniqueId val="{00000002-2CB0-45C1-998B-069B62618AF9}"/>
            </c:ext>
          </c:extLst>
        </c:ser>
        <c:dLbls>
          <c:showLegendKey val="0"/>
          <c:showVal val="0"/>
          <c:showCatName val="0"/>
          <c:showSerName val="0"/>
          <c:showPercent val="0"/>
          <c:showBubbleSize val="0"/>
        </c:dLbls>
        <c:marker val="1"/>
        <c:smooth val="0"/>
        <c:axId val="-2114401808"/>
        <c:axId val="-2114404608"/>
      </c:lineChart>
      <c:catAx>
        <c:axId val="-211441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4407392"/>
        <c:crosses val="autoZero"/>
        <c:auto val="1"/>
        <c:lblAlgn val="ctr"/>
        <c:lblOffset val="100"/>
        <c:noMultiLvlLbl val="0"/>
      </c:catAx>
      <c:valAx>
        <c:axId val="-211440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4410544"/>
        <c:crosses val="autoZero"/>
        <c:crossBetween val="between"/>
      </c:valAx>
      <c:valAx>
        <c:axId val="-211440460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4401808"/>
        <c:crosses val="max"/>
        <c:crossBetween val="between"/>
      </c:valAx>
      <c:catAx>
        <c:axId val="-2114401808"/>
        <c:scaling>
          <c:orientation val="minMax"/>
        </c:scaling>
        <c:delete val="1"/>
        <c:axPos val="b"/>
        <c:numFmt formatCode="General" sourceLinked="1"/>
        <c:majorTickMark val="out"/>
        <c:minorTickMark val="none"/>
        <c:tickLblPos val="nextTo"/>
        <c:crossAx val="-211440460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sz="1400" b="0" i="0" baseline="0">
                <a:effectLst/>
              </a:rPr>
              <a:t>Lithuanian imports (EUR bil, 2006-2017)</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Sheet3!$F$6</c:f>
              <c:strCache>
                <c:ptCount val="1"/>
                <c:pt idx="0">
                  <c:v>LT Total</c:v>
                </c:pt>
              </c:strCache>
            </c:strRef>
          </c:tx>
          <c:spPr>
            <a:solidFill>
              <a:schemeClr val="accent1"/>
            </a:solidFill>
            <a:ln>
              <a:noFill/>
            </a:ln>
            <a:effectLst/>
          </c:spPr>
          <c:invertIfNegative val="0"/>
          <c:cat>
            <c:numRef>
              <c:f>Sheet3!$G$5:$R$5</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Sheet3!$G$6:$R$6</c:f>
              <c:numCache>
                <c:formatCode>0.00</c:formatCode>
                <c:ptCount val="12"/>
                <c:pt idx="0">
                  <c:v>17.09</c:v>
                </c:pt>
                <c:pt idx="1">
                  <c:v>19.91</c:v>
                </c:pt>
                <c:pt idx="2">
                  <c:v>23.49</c:v>
                </c:pt>
                <c:pt idx="3">
                  <c:v>14.76</c:v>
                </c:pt>
                <c:pt idx="4">
                  <c:v>19.84</c:v>
                </c:pt>
                <c:pt idx="5">
                  <c:v>25.53</c:v>
                </c:pt>
                <c:pt idx="6">
                  <c:v>28.38</c:v>
                </c:pt>
                <c:pt idx="7">
                  <c:v>30.15</c:v>
                </c:pt>
                <c:pt idx="8">
                  <c:v>20.6</c:v>
                </c:pt>
                <c:pt idx="9">
                  <c:v>29.55</c:v>
                </c:pt>
                <c:pt idx="10">
                  <c:v>29.17</c:v>
                </c:pt>
                <c:pt idx="11">
                  <c:v>31.42</c:v>
                </c:pt>
              </c:numCache>
            </c:numRef>
          </c:val>
          <c:extLst xmlns:c16r2="http://schemas.microsoft.com/office/drawing/2015/06/chart">
            <c:ext xmlns:c16="http://schemas.microsoft.com/office/drawing/2014/chart" uri="{C3380CC4-5D6E-409C-BE32-E72D297353CC}">
              <c16:uniqueId val="{00000000-8D04-4823-B647-BBDA60497028}"/>
            </c:ext>
          </c:extLst>
        </c:ser>
        <c:dLbls>
          <c:showLegendKey val="0"/>
          <c:showVal val="0"/>
          <c:showCatName val="0"/>
          <c:showSerName val="0"/>
          <c:showPercent val="0"/>
          <c:showBubbleSize val="0"/>
        </c:dLbls>
        <c:gapWidth val="219"/>
        <c:axId val="-2114543216"/>
        <c:axId val="-2114540064"/>
      </c:barChart>
      <c:lineChart>
        <c:grouping val="standard"/>
        <c:varyColors val="0"/>
        <c:ser>
          <c:idx val="1"/>
          <c:order val="1"/>
          <c:tx>
            <c:strRef>
              <c:f>Sheet3!$F$7</c:f>
              <c:strCache>
                <c:ptCount val="1"/>
                <c:pt idx="0">
                  <c:v>LT Increase (%)</c:v>
                </c:pt>
              </c:strCache>
            </c:strRef>
          </c:tx>
          <c:spPr>
            <a:ln w="28575" cap="rnd">
              <a:solidFill>
                <a:schemeClr val="accent2"/>
              </a:solidFill>
              <a:round/>
            </a:ln>
            <a:effectLst/>
          </c:spPr>
          <c:marker>
            <c:symbol val="none"/>
          </c:marker>
          <c:cat>
            <c:numRef>
              <c:f>Sheet3!$G$5:$R$5</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Sheet3!$G$7:$R$7</c:f>
              <c:numCache>
                <c:formatCode>0.0%</c:formatCode>
                <c:ptCount val="12"/>
                <c:pt idx="0">
                  <c:v>0.223185211457936</c:v>
                </c:pt>
                <c:pt idx="1">
                  <c:v>0.165258527513299</c:v>
                </c:pt>
                <c:pt idx="2">
                  <c:v>0.17976160533203</c:v>
                </c:pt>
                <c:pt idx="3">
                  <c:v>-0.371617122828136</c:v>
                </c:pt>
                <c:pt idx="4">
                  <c:v>0.343702486042101</c:v>
                </c:pt>
                <c:pt idx="5">
                  <c:v>0.28700424657364</c:v>
                </c:pt>
                <c:pt idx="6">
                  <c:v>0.11147352081018</c:v>
                </c:pt>
                <c:pt idx="7">
                  <c:v>0.062330361941977</c:v>
                </c:pt>
                <c:pt idx="8">
                  <c:v>0.0150176491709892</c:v>
                </c:pt>
                <c:pt idx="9">
                  <c:v>-0.0343552837730252</c:v>
                </c:pt>
                <c:pt idx="10">
                  <c:v>-0.0128482302391799</c:v>
                </c:pt>
                <c:pt idx="11">
                  <c:v>0.0771985456938225</c:v>
                </c:pt>
              </c:numCache>
            </c:numRef>
          </c:val>
          <c:smooth val="0"/>
          <c:extLst xmlns:c16r2="http://schemas.microsoft.com/office/drawing/2015/06/chart">
            <c:ext xmlns:c16="http://schemas.microsoft.com/office/drawing/2014/chart" uri="{C3380CC4-5D6E-409C-BE32-E72D297353CC}">
              <c16:uniqueId val="{00000001-8D04-4823-B647-BBDA60497028}"/>
            </c:ext>
          </c:extLst>
        </c:ser>
        <c:ser>
          <c:idx val="2"/>
          <c:order val="2"/>
          <c:tx>
            <c:strRef>
              <c:f>Sheet3!$F$8</c:f>
              <c:strCache>
                <c:ptCount val="1"/>
                <c:pt idx="0">
                  <c:v>Worl Increase (%)</c:v>
                </c:pt>
              </c:strCache>
            </c:strRef>
          </c:tx>
          <c:spPr>
            <a:ln w="28575" cap="rnd">
              <a:solidFill>
                <a:schemeClr val="accent3"/>
              </a:solidFill>
              <a:round/>
            </a:ln>
            <a:effectLst/>
          </c:spPr>
          <c:marker>
            <c:symbol val="none"/>
          </c:marker>
          <c:cat>
            <c:numRef>
              <c:f>Sheet3!$G$5:$R$5</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Sheet3!$G$8:$R$8</c:f>
              <c:numCache>
                <c:formatCode>0.0%</c:formatCode>
                <c:ptCount val="12"/>
                <c:pt idx="0">
                  <c:v>0.151253884406263</c:v>
                </c:pt>
                <c:pt idx="1">
                  <c:v>0.164388055582058</c:v>
                </c:pt>
                <c:pt idx="2">
                  <c:v>0.148431175058226</c:v>
                </c:pt>
                <c:pt idx="3">
                  <c:v>-0.204185219821608</c:v>
                </c:pt>
                <c:pt idx="4">
                  <c:v>0.205926431335885</c:v>
                </c:pt>
                <c:pt idx="5">
                  <c:v>0.182417601465369</c:v>
                </c:pt>
                <c:pt idx="6">
                  <c:v>0.0190664023816075</c:v>
                </c:pt>
                <c:pt idx="7">
                  <c:v>0.0338291357377768</c:v>
                </c:pt>
                <c:pt idx="8">
                  <c:v>0.0205413738359259</c:v>
                </c:pt>
                <c:pt idx="9">
                  <c:v>-0.111607402647694</c:v>
                </c:pt>
                <c:pt idx="10">
                  <c:v>-0.0232552101851306</c:v>
                </c:pt>
                <c:pt idx="11">
                  <c:v>0.0973803135116081</c:v>
                </c:pt>
              </c:numCache>
            </c:numRef>
          </c:val>
          <c:smooth val="0"/>
          <c:extLst xmlns:c16r2="http://schemas.microsoft.com/office/drawing/2015/06/chart">
            <c:ext xmlns:c16="http://schemas.microsoft.com/office/drawing/2014/chart" uri="{C3380CC4-5D6E-409C-BE32-E72D297353CC}">
              <c16:uniqueId val="{00000002-8D04-4823-B647-BBDA60497028}"/>
            </c:ext>
          </c:extLst>
        </c:ser>
        <c:dLbls>
          <c:showLegendKey val="0"/>
          <c:showVal val="0"/>
          <c:showCatName val="0"/>
          <c:showSerName val="0"/>
          <c:showPercent val="0"/>
          <c:showBubbleSize val="0"/>
        </c:dLbls>
        <c:marker val="1"/>
        <c:smooth val="0"/>
        <c:axId val="-2114534480"/>
        <c:axId val="-2114537280"/>
      </c:lineChart>
      <c:catAx>
        <c:axId val="-211454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4540064"/>
        <c:crosses val="autoZero"/>
        <c:auto val="1"/>
        <c:lblAlgn val="ctr"/>
        <c:lblOffset val="100"/>
        <c:noMultiLvlLbl val="0"/>
      </c:catAx>
      <c:valAx>
        <c:axId val="-2114540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4543216"/>
        <c:crosses val="autoZero"/>
        <c:crossBetween val="between"/>
      </c:valAx>
      <c:valAx>
        <c:axId val="-211453728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4534480"/>
        <c:crosses val="max"/>
        <c:crossBetween val="between"/>
      </c:valAx>
      <c:catAx>
        <c:axId val="-2114534480"/>
        <c:scaling>
          <c:orientation val="minMax"/>
        </c:scaling>
        <c:delete val="1"/>
        <c:axPos val="b"/>
        <c:numFmt formatCode="General" sourceLinked="1"/>
        <c:majorTickMark val="out"/>
        <c:minorTickMark val="none"/>
        <c:tickLblPos val="nextTo"/>
        <c:crossAx val="-211453728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t-LT"/>
              <a:t>Lithuania</a:t>
            </a:r>
            <a:r>
              <a:rPr lang="en-GB"/>
              <a:t>n</a:t>
            </a:r>
            <a:r>
              <a:rPr lang="lt-LT"/>
              <a:t> real GDP growth</a:t>
            </a:r>
            <a:r>
              <a:rPr lang="en-GB"/>
              <a:t> </a:t>
            </a:r>
            <a:r>
              <a:rPr lang="lt-LT"/>
              <a:t>and unemployment rate</a:t>
            </a:r>
            <a:r>
              <a:rPr lang="en-GB"/>
              <a:t> (percentage, 2008- 2018)</a:t>
            </a:r>
            <a:r>
              <a:rPr lang="lt-LT"/>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'GDP n Unemployment rate'!$A$46</c:f>
              <c:strCache>
                <c:ptCount val="1"/>
                <c:pt idx="0">
                  <c:v>Real GDP growth rate</c:v>
                </c:pt>
              </c:strCache>
            </c:strRef>
          </c:tx>
          <c:spPr>
            <a:ln w="28575" cap="rnd">
              <a:solidFill>
                <a:schemeClr val="accent1"/>
              </a:solidFill>
              <a:round/>
            </a:ln>
            <a:effectLst/>
          </c:spPr>
          <c:marker>
            <c:symbol val="none"/>
          </c:marker>
          <c:cat>
            <c:strRef>
              <c:f>'GDP n Unemployment rate'!$B$45:$L$45</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'GDP n Unemployment rate'!$B$46:$L$46</c:f>
              <c:numCache>
                <c:formatCode>0.0%</c:formatCode>
                <c:ptCount val="11"/>
                <c:pt idx="0">
                  <c:v>0.026</c:v>
                </c:pt>
                <c:pt idx="1">
                  <c:v>-0.148</c:v>
                </c:pt>
                <c:pt idx="2">
                  <c:v>0.016</c:v>
                </c:pt>
                <c:pt idx="3">
                  <c:v>0.06</c:v>
                </c:pt>
                <c:pt idx="4">
                  <c:v>0.038</c:v>
                </c:pt>
                <c:pt idx="5">
                  <c:v>0.035</c:v>
                </c:pt>
                <c:pt idx="6">
                  <c:v>0.035</c:v>
                </c:pt>
                <c:pt idx="7">
                  <c:v>0.02</c:v>
                </c:pt>
                <c:pt idx="8">
                  <c:v>0.024</c:v>
                </c:pt>
                <c:pt idx="9">
                  <c:v>0.041</c:v>
                </c:pt>
                <c:pt idx="10">
                  <c:v>0.034</c:v>
                </c:pt>
              </c:numCache>
            </c:numRef>
          </c:val>
          <c:smooth val="0"/>
          <c:extLst xmlns:c16r2="http://schemas.microsoft.com/office/drawing/2015/06/chart">
            <c:ext xmlns:c16="http://schemas.microsoft.com/office/drawing/2014/chart" uri="{C3380CC4-5D6E-409C-BE32-E72D297353CC}">
              <c16:uniqueId val="{00000000-C6B4-47CD-9107-9A89E5B4F76C}"/>
            </c:ext>
          </c:extLst>
        </c:ser>
        <c:dLbls>
          <c:showLegendKey val="0"/>
          <c:showVal val="0"/>
          <c:showCatName val="0"/>
          <c:showSerName val="0"/>
          <c:showPercent val="0"/>
          <c:showBubbleSize val="0"/>
        </c:dLbls>
        <c:marker val="1"/>
        <c:smooth val="0"/>
        <c:axId val="-2114510352"/>
        <c:axId val="-2115836144"/>
      </c:lineChart>
      <c:lineChart>
        <c:grouping val="standard"/>
        <c:varyColors val="0"/>
        <c:ser>
          <c:idx val="1"/>
          <c:order val="1"/>
          <c:tx>
            <c:strRef>
              <c:f>'GDP n Unemployment rate'!$A$47</c:f>
              <c:strCache>
                <c:ptCount val="1"/>
                <c:pt idx="0">
                  <c:v>Unemployment rate </c:v>
                </c:pt>
              </c:strCache>
            </c:strRef>
          </c:tx>
          <c:spPr>
            <a:ln w="28575" cap="rnd">
              <a:solidFill>
                <a:schemeClr val="accent2"/>
              </a:solidFill>
              <a:round/>
            </a:ln>
            <a:effectLst/>
          </c:spPr>
          <c:marker>
            <c:symbol val="none"/>
          </c:marker>
          <c:cat>
            <c:strRef>
              <c:f>'GDP n Unemployment rate'!$B$45:$L$45</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'GDP n Unemployment rate'!$B$47:$L$47</c:f>
              <c:numCache>
                <c:formatCode>0.0%</c:formatCode>
                <c:ptCount val="11"/>
                <c:pt idx="0">
                  <c:v>0.058</c:v>
                </c:pt>
                <c:pt idx="1">
                  <c:v>0.138</c:v>
                </c:pt>
                <c:pt idx="2">
                  <c:v>0.178</c:v>
                </c:pt>
                <c:pt idx="3">
                  <c:v>0.154</c:v>
                </c:pt>
                <c:pt idx="4">
                  <c:v>0.134</c:v>
                </c:pt>
                <c:pt idx="5">
                  <c:v>0.118</c:v>
                </c:pt>
                <c:pt idx="6">
                  <c:v>0.107</c:v>
                </c:pt>
                <c:pt idx="7">
                  <c:v>0.091</c:v>
                </c:pt>
                <c:pt idx="8">
                  <c:v>0.079</c:v>
                </c:pt>
                <c:pt idx="9">
                  <c:v>0.071</c:v>
                </c:pt>
                <c:pt idx="10">
                  <c:v>0.062</c:v>
                </c:pt>
              </c:numCache>
            </c:numRef>
          </c:val>
          <c:smooth val="0"/>
          <c:extLst xmlns:c16r2="http://schemas.microsoft.com/office/drawing/2015/06/chart">
            <c:ext xmlns:c16="http://schemas.microsoft.com/office/drawing/2014/chart" uri="{C3380CC4-5D6E-409C-BE32-E72D297353CC}">
              <c16:uniqueId val="{00000001-C6B4-47CD-9107-9A89E5B4F76C}"/>
            </c:ext>
          </c:extLst>
        </c:ser>
        <c:dLbls>
          <c:showLegendKey val="0"/>
          <c:showVal val="0"/>
          <c:showCatName val="0"/>
          <c:showSerName val="0"/>
          <c:showPercent val="0"/>
          <c:showBubbleSize val="0"/>
        </c:dLbls>
        <c:marker val="1"/>
        <c:smooth val="0"/>
        <c:axId val="2142612752"/>
        <c:axId val="2144867232"/>
      </c:lineChart>
      <c:catAx>
        <c:axId val="-211451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5836144"/>
        <c:crosses val="autoZero"/>
        <c:auto val="1"/>
        <c:lblAlgn val="ctr"/>
        <c:lblOffset val="100"/>
        <c:noMultiLvlLbl val="0"/>
      </c:catAx>
      <c:valAx>
        <c:axId val="-21158361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4510352"/>
        <c:crosses val="autoZero"/>
        <c:crossBetween val="between"/>
      </c:valAx>
      <c:valAx>
        <c:axId val="2144867232"/>
        <c:scaling>
          <c:orientation val="minMax"/>
          <c:min val="-20.0"/>
        </c:scaling>
        <c:delete val="1"/>
        <c:axPos val="r"/>
        <c:numFmt formatCode="0.0%" sourceLinked="1"/>
        <c:majorTickMark val="out"/>
        <c:minorTickMark val="none"/>
        <c:tickLblPos val="nextTo"/>
        <c:crossAx val="2142612752"/>
        <c:crosses val="max"/>
        <c:crossBetween val="between"/>
      </c:valAx>
      <c:catAx>
        <c:axId val="2142612752"/>
        <c:scaling>
          <c:orientation val="minMax"/>
        </c:scaling>
        <c:delete val="1"/>
        <c:axPos val="b"/>
        <c:numFmt formatCode="General" sourceLinked="1"/>
        <c:majorTickMark val="out"/>
        <c:minorTickMark val="none"/>
        <c:tickLblPos val="nextTo"/>
        <c:crossAx val="214486723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Lithuanian export and import to Russia  (EUR bil, 2006</a:t>
            </a:r>
            <a:r>
              <a:rPr lang="en-GB" baseline="0"/>
              <a:t>-2018)</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Sheet2!$C$48</c:f>
              <c:strCache>
                <c:ptCount val="1"/>
                <c:pt idx="0">
                  <c:v>Export</c:v>
                </c:pt>
              </c:strCache>
            </c:strRef>
          </c:tx>
          <c:spPr>
            <a:solidFill>
              <a:schemeClr val="accent1"/>
            </a:solidFill>
            <a:ln>
              <a:noFill/>
            </a:ln>
            <a:effectLst/>
          </c:spPr>
          <c:invertIfNegative val="0"/>
          <c:cat>
            <c:numRef>
              <c:f>Sheet2!$D$47:$O$47</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Sheet2!$D$48:$O$48</c:f>
              <c:numCache>
                <c:formatCode>General</c:formatCode>
                <c:ptCount val="12"/>
                <c:pt idx="0">
                  <c:v>2.13</c:v>
                </c:pt>
                <c:pt idx="1">
                  <c:v>2.59</c:v>
                </c:pt>
                <c:pt idx="2">
                  <c:v>3.22</c:v>
                </c:pt>
                <c:pt idx="3" formatCode="#,##0.00">
                  <c:v>2.0</c:v>
                </c:pt>
                <c:pt idx="4" formatCode="#,##0.00">
                  <c:v>3.03</c:v>
                </c:pt>
                <c:pt idx="5" formatCode="#,##0.00">
                  <c:v>4.149999999999999</c:v>
                </c:pt>
                <c:pt idx="6" formatCode="#,##0.00">
                  <c:v>5.52</c:v>
                </c:pt>
                <c:pt idx="7" formatCode="#,##0.00">
                  <c:v>6.1</c:v>
                </c:pt>
                <c:pt idx="8" formatCode="#,##0.00">
                  <c:v>6.28</c:v>
                </c:pt>
                <c:pt idx="9" formatCode="#,##0.00">
                  <c:v>3.96</c:v>
                </c:pt>
                <c:pt idx="10" formatCode="#,##0.00">
                  <c:v>3.88</c:v>
                </c:pt>
                <c:pt idx="11" formatCode="#,##0.00">
                  <c:v>4.95</c:v>
                </c:pt>
              </c:numCache>
            </c:numRef>
          </c:val>
          <c:extLst xmlns:c16r2="http://schemas.microsoft.com/office/drawing/2015/06/chart">
            <c:ext xmlns:c16="http://schemas.microsoft.com/office/drawing/2014/chart" uri="{C3380CC4-5D6E-409C-BE32-E72D297353CC}">
              <c16:uniqueId val="{00000000-CE0B-4EB7-99FF-1073B4CC4F5C}"/>
            </c:ext>
          </c:extLst>
        </c:ser>
        <c:ser>
          <c:idx val="1"/>
          <c:order val="1"/>
          <c:tx>
            <c:strRef>
              <c:f>Sheet2!$C$49</c:f>
              <c:strCache>
                <c:ptCount val="1"/>
                <c:pt idx="0">
                  <c:v>Import</c:v>
                </c:pt>
              </c:strCache>
            </c:strRef>
          </c:tx>
          <c:spPr>
            <a:solidFill>
              <a:schemeClr val="accent2"/>
            </a:solidFill>
            <a:ln>
              <a:noFill/>
            </a:ln>
            <a:effectLst/>
          </c:spPr>
          <c:invertIfNegative val="0"/>
          <c:cat>
            <c:numRef>
              <c:f>Sheet2!$D$47:$O$47</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Sheet2!$D$49:$O$49</c:f>
              <c:numCache>
                <c:formatCode>General</c:formatCode>
                <c:ptCount val="12"/>
                <c:pt idx="0">
                  <c:v>4.109999999999999</c:v>
                </c:pt>
                <c:pt idx="1">
                  <c:v>3.59</c:v>
                </c:pt>
                <c:pt idx="2">
                  <c:v>6.88</c:v>
                </c:pt>
                <c:pt idx="3">
                  <c:v>4.33</c:v>
                </c:pt>
                <c:pt idx="4">
                  <c:v>6.13</c:v>
                </c:pt>
                <c:pt idx="5">
                  <c:v>7.71</c:v>
                </c:pt>
                <c:pt idx="6">
                  <c:v>8.52</c:v>
                </c:pt>
                <c:pt idx="7">
                  <c:v>7.89</c:v>
                </c:pt>
                <c:pt idx="8">
                  <c:v>6.44</c:v>
                </c:pt>
                <c:pt idx="9">
                  <c:v>4.58</c:v>
                </c:pt>
                <c:pt idx="10">
                  <c:v>3.84</c:v>
                </c:pt>
                <c:pt idx="11">
                  <c:v>4.08</c:v>
                </c:pt>
              </c:numCache>
            </c:numRef>
          </c:val>
          <c:extLst xmlns:c16r2="http://schemas.microsoft.com/office/drawing/2015/06/chart">
            <c:ext xmlns:c16="http://schemas.microsoft.com/office/drawing/2014/chart" uri="{C3380CC4-5D6E-409C-BE32-E72D297353CC}">
              <c16:uniqueId val="{00000001-CE0B-4EB7-99FF-1073B4CC4F5C}"/>
            </c:ext>
          </c:extLst>
        </c:ser>
        <c:dLbls>
          <c:showLegendKey val="0"/>
          <c:showVal val="0"/>
          <c:showCatName val="0"/>
          <c:showSerName val="0"/>
          <c:showPercent val="0"/>
          <c:showBubbleSize val="0"/>
        </c:dLbls>
        <c:gapWidth val="219"/>
        <c:axId val="-2119151280"/>
        <c:axId val="-2119148336"/>
      </c:barChart>
      <c:lineChart>
        <c:grouping val="standard"/>
        <c:varyColors val="0"/>
        <c:ser>
          <c:idx val="2"/>
          <c:order val="2"/>
          <c:tx>
            <c:strRef>
              <c:f>Sheet2!$C$50</c:f>
              <c:strCache>
                <c:ptCount val="1"/>
                <c:pt idx="0">
                  <c:v>Total export share (%)</c:v>
                </c:pt>
              </c:strCache>
            </c:strRef>
          </c:tx>
          <c:spPr>
            <a:ln w="28575" cap="rnd">
              <a:solidFill>
                <a:schemeClr val="accent3"/>
              </a:solidFill>
              <a:round/>
            </a:ln>
            <a:effectLst/>
          </c:spPr>
          <c:marker>
            <c:symbol val="none"/>
          </c:marker>
          <c:cat>
            <c:numRef>
              <c:f>Sheet2!$D$47:$O$47</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Sheet2!$D$50:$O$50</c:f>
              <c:numCache>
                <c:formatCode>0%</c:formatCode>
                <c:ptCount val="12"/>
                <c:pt idx="0">
                  <c:v>0.146544852774676</c:v>
                </c:pt>
                <c:pt idx="1">
                  <c:v>0.155130141337826</c:v>
                </c:pt>
                <c:pt idx="2">
                  <c:v>0.171417135270589</c:v>
                </c:pt>
                <c:pt idx="3">
                  <c:v>0.174782141425277</c:v>
                </c:pt>
                <c:pt idx="4">
                  <c:v>0.142352892918118</c:v>
                </c:pt>
                <c:pt idx="5">
                  <c:v>0.158685641836133</c:v>
                </c:pt>
                <c:pt idx="6">
                  <c:v>0.171760935844319</c:v>
                </c:pt>
                <c:pt idx="7">
                  <c:v>0.198271760058104</c:v>
                </c:pt>
                <c:pt idx="8">
                  <c:v>0.20404468072811</c:v>
                </c:pt>
                <c:pt idx="9">
                  <c:v>0.208184939738149</c:v>
                </c:pt>
                <c:pt idx="10">
                  <c:v>0.137471931265644</c:v>
                </c:pt>
                <c:pt idx="11">
                  <c:v>0.132379935140111</c:v>
                </c:pt>
              </c:numCache>
            </c:numRef>
          </c:val>
          <c:smooth val="0"/>
          <c:extLst xmlns:c16r2="http://schemas.microsoft.com/office/drawing/2015/06/chart">
            <c:ext xmlns:c16="http://schemas.microsoft.com/office/drawing/2014/chart" uri="{C3380CC4-5D6E-409C-BE32-E72D297353CC}">
              <c16:uniqueId val="{00000002-CE0B-4EB7-99FF-1073B4CC4F5C}"/>
            </c:ext>
          </c:extLst>
        </c:ser>
        <c:ser>
          <c:idx val="3"/>
          <c:order val="3"/>
          <c:tx>
            <c:strRef>
              <c:f>Sheet2!$C$51</c:f>
              <c:strCache>
                <c:ptCount val="1"/>
                <c:pt idx="0">
                  <c:v>Total import share (%)</c:v>
                </c:pt>
              </c:strCache>
            </c:strRef>
          </c:tx>
          <c:spPr>
            <a:ln w="28575" cap="rnd">
              <a:solidFill>
                <a:schemeClr val="accent4"/>
              </a:solidFill>
              <a:round/>
            </a:ln>
            <a:effectLst/>
          </c:spPr>
          <c:marker>
            <c:symbol val="none"/>
          </c:marker>
          <c:cat>
            <c:numRef>
              <c:f>Sheet2!$D$47:$O$47</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Sheet2!$D$51:$O$51</c:f>
              <c:numCache>
                <c:formatCode>0%</c:formatCode>
                <c:ptCount val="12"/>
                <c:pt idx="0">
                  <c:v>0.273911509958215</c:v>
                </c:pt>
                <c:pt idx="1">
                  <c:v>0.240225060808558</c:v>
                </c:pt>
                <c:pt idx="2">
                  <c:v>0.180295977940413</c:v>
                </c:pt>
                <c:pt idx="3">
                  <c:v>0.292973120922806</c:v>
                </c:pt>
                <c:pt idx="4">
                  <c:v>0.293414688348373</c:v>
                </c:pt>
                <c:pt idx="5">
                  <c:v>0.308869137016185</c:v>
                </c:pt>
                <c:pt idx="6">
                  <c:v>0.302126206164286</c:v>
                </c:pt>
                <c:pt idx="7">
                  <c:v>0.300231783666063</c:v>
                </c:pt>
                <c:pt idx="8">
                  <c:v>0.26193410196227</c:v>
                </c:pt>
                <c:pt idx="9">
                  <c:v>0.210412488574603</c:v>
                </c:pt>
                <c:pt idx="10">
                  <c:v>0.154852492812599</c:v>
                </c:pt>
                <c:pt idx="11">
                  <c:v>0.131772234028242</c:v>
                </c:pt>
              </c:numCache>
            </c:numRef>
          </c:val>
          <c:smooth val="0"/>
          <c:extLst xmlns:c16r2="http://schemas.microsoft.com/office/drawing/2015/06/chart">
            <c:ext xmlns:c16="http://schemas.microsoft.com/office/drawing/2014/chart" uri="{C3380CC4-5D6E-409C-BE32-E72D297353CC}">
              <c16:uniqueId val="{00000003-CE0B-4EB7-99FF-1073B4CC4F5C}"/>
            </c:ext>
          </c:extLst>
        </c:ser>
        <c:dLbls>
          <c:showLegendKey val="0"/>
          <c:showVal val="0"/>
          <c:showCatName val="0"/>
          <c:showSerName val="0"/>
          <c:showPercent val="0"/>
          <c:showBubbleSize val="0"/>
        </c:dLbls>
        <c:marker val="1"/>
        <c:smooth val="0"/>
        <c:axId val="-2118991520"/>
        <c:axId val="-2119145552"/>
      </c:lineChart>
      <c:catAx>
        <c:axId val="-211915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9148336"/>
        <c:crosses val="autoZero"/>
        <c:auto val="1"/>
        <c:lblAlgn val="ctr"/>
        <c:lblOffset val="100"/>
        <c:noMultiLvlLbl val="0"/>
      </c:catAx>
      <c:valAx>
        <c:axId val="-211914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9151280"/>
        <c:crosses val="autoZero"/>
        <c:crossBetween val="between"/>
      </c:valAx>
      <c:valAx>
        <c:axId val="-211914555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991520"/>
        <c:crosses val="max"/>
        <c:crossBetween val="between"/>
      </c:valAx>
      <c:catAx>
        <c:axId val="-2118991520"/>
        <c:scaling>
          <c:orientation val="minMax"/>
        </c:scaling>
        <c:delete val="1"/>
        <c:axPos val="b"/>
        <c:numFmt formatCode="General" sourceLinked="1"/>
        <c:majorTickMark val="out"/>
        <c:minorTickMark val="none"/>
        <c:tickLblPos val="nextTo"/>
        <c:crossAx val="-211914555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Gas prices: Medium size industries (EUR per gigajoule, 2008-2017).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Sheet0!$A$5</c:f>
              <c:strCache>
                <c:ptCount val="1"/>
                <c:pt idx="0">
                  <c:v>EU (28 countries)</c:v>
                </c:pt>
              </c:strCache>
            </c:strRef>
          </c:tx>
          <c:spPr>
            <a:ln w="28575" cap="rnd">
              <a:solidFill>
                <a:schemeClr val="accent1"/>
              </a:solidFill>
              <a:round/>
            </a:ln>
            <a:effectLst/>
          </c:spPr>
          <c:marker>
            <c:symbol val="none"/>
          </c:marker>
          <c:cat>
            <c:strRef>
              <c:f>Sheet0!$B$4:$K$4</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Sheet0!$B$5:$K$5</c:f>
              <c:numCache>
                <c:formatCode>0.00</c:formatCode>
                <c:ptCount val="10"/>
                <c:pt idx="0">
                  <c:v>8.904200000000001</c:v>
                </c:pt>
                <c:pt idx="1">
                  <c:v>9.3404</c:v>
                </c:pt>
                <c:pt idx="2">
                  <c:v>7.9028</c:v>
                </c:pt>
                <c:pt idx="3">
                  <c:v>8.5599</c:v>
                </c:pt>
                <c:pt idx="4">
                  <c:v>9.573300000000001</c:v>
                </c:pt>
                <c:pt idx="5">
                  <c:v>10.5277</c:v>
                </c:pt>
                <c:pt idx="6">
                  <c:v>9.9964</c:v>
                </c:pt>
                <c:pt idx="7">
                  <c:v>9.196800000000001</c:v>
                </c:pt>
                <c:pt idx="8">
                  <c:v>7.653099999999998</c:v>
                </c:pt>
                <c:pt idx="9">
                  <c:v>7.0634</c:v>
                </c:pt>
              </c:numCache>
            </c:numRef>
          </c:val>
          <c:smooth val="0"/>
          <c:extLst xmlns:c16r2="http://schemas.microsoft.com/office/drawing/2015/06/chart">
            <c:ext xmlns:c16="http://schemas.microsoft.com/office/drawing/2014/chart" uri="{C3380CC4-5D6E-409C-BE32-E72D297353CC}">
              <c16:uniqueId val="{00000000-4B54-4449-9CB6-230FFC641FB8}"/>
            </c:ext>
          </c:extLst>
        </c:ser>
        <c:ser>
          <c:idx val="1"/>
          <c:order val="1"/>
          <c:tx>
            <c:strRef>
              <c:f>Sheet0!$A$6</c:f>
              <c:strCache>
                <c:ptCount val="1"/>
                <c:pt idx="0">
                  <c:v>Lithuania</c:v>
                </c:pt>
              </c:strCache>
            </c:strRef>
          </c:tx>
          <c:spPr>
            <a:ln w="28575" cap="rnd">
              <a:solidFill>
                <a:schemeClr val="accent2"/>
              </a:solidFill>
              <a:round/>
            </a:ln>
            <a:effectLst/>
          </c:spPr>
          <c:marker>
            <c:symbol val="none"/>
          </c:marker>
          <c:cat>
            <c:strRef>
              <c:f>Sheet0!$B$4:$K$4</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Sheet0!$B$6:$K$6</c:f>
              <c:numCache>
                <c:formatCode>0.00</c:formatCode>
                <c:ptCount val="10"/>
                <c:pt idx="0">
                  <c:v>8.7871</c:v>
                </c:pt>
                <c:pt idx="1">
                  <c:v>8.7301</c:v>
                </c:pt>
                <c:pt idx="2">
                  <c:v>8.9116</c:v>
                </c:pt>
                <c:pt idx="3">
                  <c:v>9.7399</c:v>
                </c:pt>
                <c:pt idx="4">
                  <c:v>12.4768</c:v>
                </c:pt>
                <c:pt idx="5">
                  <c:v>12.2335</c:v>
                </c:pt>
                <c:pt idx="6">
                  <c:v>11.4979</c:v>
                </c:pt>
                <c:pt idx="7">
                  <c:v>7.79</c:v>
                </c:pt>
                <c:pt idx="8">
                  <c:v>7.45</c:v>
                </c:pt>
                <c:pt idx="9">
                  <c:v>6.7</c:v>
                </c:pt>
              </c:numCache>
            </c:numRef>
          </c:val>
          <c:smooth val="0"/>
          <c:extLst xmlns:c16r2="http://schemas.microsoft.com/office/drawing/2015/06/chart">
            <c:ext xmlns:c16="http://schemas.microsoft.com/office/drawing/2014/chart" uri="{C3380CC4-5D6E-409C-BE32-E72D297353CC}">
              <c16:uniqueId val="{00000001-4B54-4449-9CB6-230FFC641FB8}"/>
            </c:ext>
          </c:extLst>
        </c:ser>
        <c:ser>
          <c:idx val="2"/>
          <c:order val="2"/>
          <c:tx>
            <c:strRef>
              <c:f>Sheet0!$A$7</c:f>
              <c:strCache>
                <c:ptCount val="1"/>
                <c:pt idx="0">
                  <c:v>Latvia</c:v>
                </c:pt>
              </c:strCache>
            </c:strRef>
          </c:tx>
          <c:spPr>
            <a:ln w="28575" cap="rnd">
              <a:solidFill>
                <a:schemeClr val="accent3"/>
              </a:solidFill>
              <a:round/>
            </a:ln>
            <a:effectLst/>
          </c:spPr>
          <c:marker>
            <c:symbol val="none"/>
          </c:marker>
          <c:val>
            <c:numRef>
              <c:f>Sheet0!$B$7:$K$7</c:f>
              <c:numCache>
                <c:formatCode>0.00</c:formatCode>
                <c:ptCount val="10"/>
                <c:pt idx="0">
                  <c:v>7.9026</c:v>
                </c:pt>
                <c:pt idx="1">
                  <c:v>10.8594</c:v>
                </c:pt>
                <c:pt idx="2">
                  <c:v>7.158499999999998</c:v>
                </c:pt>
                <c:pt idx="3">
                  <c:v>8.1182</c:v>
                </c:pt>
                <c:pt idx="4">
                  <c:v>9.9384</c:v>
                </c:pt>
                <c:pt idx="5">
                  <c:v>9.939300000000001</c:v>
                </c:pt>
                <c:pt idx="6">
                  <c:v>9.24</c:v>
                </c:pt>
                <c:pt idx="7">
                  <c:v>9.16</c:v>
                </c:pt>
                <c:pt idx="8">
                  <c:v>6.96</c:v>
                </c:pt>
                <c:pt idx="9">
                  <c:v>7.09</c:v>
                </c:pt>
              </c:numCache>
            </c:numRef>
          </c:val>
          <c:smooth val="0"/>
          <c:extLst xmlns:c16r2="http://schemas.microsoft.com/office/drawing/2015/06/chart">
            <c:ext xmlns:c16="http://schemas.microsoft.com/office/drawing/2014/chart" uri="{C3380CC4-5D6E-409C-BE32-E72D297353CC}">
              <c16:uniqueId val="{00000002-4B54-4449-9CB6-230FFC641FB8}"/>
            </c:ext>
          </c:extLst>
        </c:ser>
        <c:dLbls>
          <c:showLegendKey val="0"/>
          <c:showVal val="0"/>
          <c:showCatName val="0"/>
          <c:showSerName val="0"/>
          <c:showPercent val="0"/>
          <c:showBubbleSize val="0"/>
        </c:dLbls>
        <c:smooth val="0"/>
        <c:axId val="-2111381760"/>
        <c:axId val="-2119158096"/>
      </c:lineChart>
      <c:catAx>
        <c:axId val="-211138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9158096"/>
        <c:crosses val="autoZero"/>
        <c:auto val="1"/>
        <c:lblAlgn val="ctr"/>
        <c:lblOffset val="100"/>
        <c:noMultiLvlLbl val="0"/>
      </c:catAx>
      <c:valAx>
        <c:axId val="-2119158096"/>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1381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legend>
      <c:legendPos val="b"/>
      <c:layout>
        <c:manualLayout>
          <c:xMode val="edge"/>
          <c:yMode val="edge"/>
          <c:x val="0.0299766363145569"/>
          <c:y val="0.924011454950428"/>
          <c:w val="0.578271679935104"/>
          <c:h val="0.075125721324566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0.74652</cdr:x>
      <cdr:y>0.24055</cdr:y>
    </cdr:from>
    <cdr:to>
      <cdr:x>0.75986</cdr:x>
      <cdr:y>0.62834</cdr:y>
    </cdr:to>
    <cdr:sp macro="" textlink="">
      <cdr:nvSpPr>
        <cdr:cNvPr id="4" name="Rectangle 3">
          <a:extLst xmlns:a="http://schemas.openxmlformats.org/drawingml/2006/main">
            <a:ext uri="{FF2B5EF4-FFF2-40B4-BE49-F238E27FC236}">
              <a16:creationId xmlns="" xmlns:a16="http://schemas.microsoft.com/office/drawing/2014/main" id="{FDBEFA31-679E-4E81-AF8E-8A51A2E7A146}"/>
            </a:ext>
          </a:extLst>
        </cdr:cNvPr>
        <cdr:cNvSpPr/>
      </cdr:nvSpPr>
      <cdr:spPr>
        <a:xfrm xmlns:a="http://schemas.openxmlformats.org/drawingml/2006/main">
          <a:off x="4431828" y="692246"/>
          <a:ext cx="79195" cy="1116000"/>
        </a:xfrm>
        <a:prstGeom xmlns:a="http://schemas.openxmlformats.org/drawingml/2006/main" prst="rect">
          <a:avLst/>
        </a:prstGeom>
        <a:solidFill xmlns:a="http://schemas.openxmlformats.org/drawingml/2006/main">
          <a:schemeClr val="accent6">
            <a:alpha val="50000"/>
          </a:schemeClr>
        </a:solidFill>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0.60473</cdr:x>
      <cdr:y>0.94789</cdr:y>
    </cdr:from>
    <cdr:to>
      <cdr:x>0.6314</cdr:x>
      <cdr:y>0.97062</cdr:y>
    </cdr:to>
    <cdr:sp macro="" textlink="">
      <cdr:nvSpPr>
        <cdr:cNvPr id="5" name="Rectangle 4">
          <a:extLst xmlns:a="http://schemas.openxmlformats.org/drawingml/2006/main">
            <a:ext uri="{FF2B5EF4-FFF2-40B4-BE49-F238E27FC236}">
              <a16:creationId xmlns="" xmlns:a16="http://schemas.microsoft.com/office/drawing/2014/main" id="{3D2C2090-3AD2-4F13-9A60-D4FF64835554}"/>
            </a:ext>
          </a:extLst>
        </cdr:cNvPr>
        <cdr:cNvSpPr/>
      </cdr:nvSpPr>
      <cdr:spPr>
        <a:xfrm xmlns:a="http://schemas.openxmlformats.org/drawingml/2006/main">
          <a:off x="3265179" y="3753509"/>
          <a:ext cx="144000" cy="90000"/>
        </a:xfrm>
        <a:prstGeom xmlns:a="http://schemas.openxmlformats.org/drawingml/2006/main" prst="rect">
          <a:avLst/>
        </a:prstGeom>
        <a:solidFill xmlns:a="http://schemas.openxmlformats.org/drawingml/2006/main">
          <a:schemeClr val="accent6">
            <a:alpha val="50000"/>
          </a:schemeClr>
        </a:solidFill>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0.74098</cdr:x>
      <cdr:y>0.89292</cdr:y>
    </cdr:from>
    <cdr:to>
      <cdr:x>0.80799</cdr:x>
      <cdr:y>0.96891</cdr:y>
    </cdr:to>
    <cdr:sp macro="" textlink="">
      <cdr:nvSpPr>
        <cdr:cNvPr id="6" name="TextBox 5">
          <a:extLst xmlns:a="http://schemas.openxmlformats.org/drawingml/2006/main">
            <a:ext uri="{FF2B5EF4-FFF2-40B4-BE49-F238E27FC236}">
              <a16:creationId xmlns="" xmlns:a16="http://schemas.microsoft.com/office/drawing/2014/main" id="{F6631E22-298A-4386-8B1A-25CAA5BD7FD2}"/>
            </a:ext>
          </a:extLst>
        </cdr:cNvPr>
        <cdr:cNvSpPr txBox="1"/>
      </cdr:nvSpPr>
      <cdr:spPr>
        <a:xfrm xmlns:a="http://schemas.openxmlformats.org/drawingml/2006/main">
          <a:off x="5476876" y="2462213"/>
          <a:ext cx="49530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0.622</cdr:x>
      <cdr:y>0.90953</cdr:y>
    </cdr:from>
    <cdr:to>
      <cdr:x>0.97353</cdr:x>
      <cdr:y>0.97204</cdr:y>
    </cdr:to>
    <cdr:sp macro="" textlink="">
      <cdr:nvSpPr>
        <cdr:cNvPr id="7" name="TextBox 6">
          <a:extLst xmlns:a="http://schemas.openxmlformats.org/drawingml/2006/main">
            <a:ext uri="{FF2B5EF4-FFF2-40B4-BE49-F238E27FC236}">
              <a16:creationId xmlns="" xmlns:a16="http://schemas.microsoft.com/office/drawing/2014/main" id="{9C351E13-2B38-4247-89AE-09A09C4DE0B9}"/>
            </a:ext>
          </a:extLst>
        </cdr:cNvPr>
        <cdr:cNvSpPr txBox="1"/>
      </cdr:nvSpPr>
      <cdr:spPr>
        <a:xfrm xmlns:a="http://schemas.openxmlformats.org/drawingml/2006/main">
          <a:off x="3694554" y="2619202"/>
          <a:ext cx="2088000" cy="180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Klaip</a:t>
          </a:r>
          <a:r>
            <a:rPr lang="lt-LT" sz="1000"/>
            <a:t>ėda</a:t>
          </a:r>
          <a:r>
            <a:rPr lang="lt-LT" sz="1000" baseline="0"/>
            <a:t> LNG FSRU operational start</a:t>
          </a:r>
          <a:endParaRPr lang="en-GB" sz="1000"/>
        </a:p>
      </cdr:txBody>
    </cdr:sp>
  </cdr:relSizeAnchor>
</c:userShape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F080-8A26-5144-8ADF-BC95D240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7528</Words>
  <Characters>42915</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2019-05-07T10:00:00Z</dcterms:created>
  <dcterms:modified xsi:type="dcterms:W3CDTF">2019-05-07T10:00:00Z</dcterms:modified>
</cp:coreProperties>
</file>