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98" w:rsidRPr="00DF5227" w:rsidRDefault="004E3198" w:rsidP="00BC5346">
      <w:pPr>
        <w:spacing w:line="360" w:lineRule="auto"/>
        <w:jc w:val="center"/>
        <w:rPr>
          <w:rFonts w:ascii="Times New Roman" w:hAnsi="Times New Roman" w:cs="Times New Roman"/>
          <w:b/>
          <w:sz w:val="32"/>
          <w:szCs w:val="32"/>
          <w:lang w:val="en-GB"/>
        </w:rPr>
      </w:pPr>
      <w:r w:rsidRPr="00DF5227">
        <w:rPr>
          <w:rFonts w:ascii="Times New Roman" w:hAnsi="Times New Roman" w:cs="Times New Roman"/>
          <w:b/>
          <w:sz w:val="32"/>
          <w:szCs w:val="32"/>
          <w:lang w:val="en-GB"/>
        </w:rPr>
        <w:t>The Pan-European Union Interpretation of Symbols and Myths</w:t>
      </w:r>
      <w:r w:rsidR="00A00D46" w:rsidRPr="00DF5227">
        <w:rPr>
          <w:rFonts w:ascii="Times New Roman" w:hAnsi="Times New Roman" w:cs="Times New Roman"/>
          <w:b/>
          <w:sz w:val="32"/>
          <w:szCs w:val="32"/>
          <w:lang w:val="en-GB"/>
        </w:rPr>
        <w:t>*</w:t>
      </w:r>
    </w:p>
    <w:p w:rsidR="000E1BA9" w:rsidRPr="00DF5227" w:rsidRDefault="000E1BA9" w:rsidP="00BC5346">
      <w:pPr>
        <w:spacing w:line="360" w:lineRule="auto"/>
        <w:jc w:val="center"/>
        <w:rPr>
          <w:rFonts w:ascii="Times New Roman" w:hAnsi="Times New Roman" w:cs="Times New Roman"/>
          <w:sz w:val="24"/>
          <w:szCs w:val="24"/>
          <w:lang w:val="en-GB"/>
        </w:rPr>
      </w:pPr>
    </w:p>
    <w:p w:rsidR="004E3198" w:rsidRPr="00DF5227" w:rsidRDefault="004E3198" w:rsidP="00BC5346">
      <w:pPr>
        <w:spacing w:line="360" w:lineRule="auto"/>
        <w:jc w:val="center"/>
        <w:rPr>
          <w:rFonts w:ascii="Times New Roman" w:hAnsi="Times New Roman" w:cs="Times New Roman"/>
          <w:sz w:val="24"/>
          <w:szCs w:val="24"/>
          <w:lang w:val="en-GB"/>
        </w:rPr>
      </w:pPr>
      <w:r w:rsidRPr="00DF5227">
        <w:rPr>
          <w:rFonts w:ascii="Times New Roman" w:hAnsi="Times New Roman" w:cs="Times New Roman"/>
          <w:sz w:val="24"/>
          <w:szCs w:val="24"/>
          <w:lang w:val="en-GB"/>
        </w:rPr>
        <w:t>Kennet Lynggaard, Roskilde University</w:t>
      </w:r>
    </w:p>
    <w:p w:rsidR="00660CB6" w:rsidRPr="00DF5227" w:rsidRDefault="00AC3D60" w:rsidP="00BC5346">
      <w:pPr>
        <w:spacing w:line="360" w:lineRule="auto"/>
        <w:jc w:val="center"/>
        <w:rPr>
          <w:rFonts w:ascii="Times New Roman" w:hAnsi="Times New Roman" w:cs="Times New Roman"/>
          <w:sz w:val="24"/>
          <w:szCs w:val="24"/>
          <w:lang w:val="en-GB"/>
        </w:rPr>
      </w:pPr>
      <w:hyperlink r:id="rId9" w:history="1">
        <w:r w:rsidR="004E3198" w:rsidRPr="00DF5227">
          <w:rPr>
            <w:rStyle w:val="Hyperlink"/>
            <w:rFonts w:ascii="Times New Roman" w:hAnsi="Times New Roman" w:cs="Times New Roman"/>
            <w:sz w:val="24"/>
            <w:szCs w:val="24"/>
            <w:lang w:val="en-GB"/>
          </w:rPr>
          <w:t>kennetl@ruc.dk</w:t>
        </w:r>
      </w:hyperlink>
    </w:p>
    <w:p w:rsidR="000E1BA9" w:rsidRPr="00DF5227" w:rsidRDefault="000E1BA9" w:rsidP="00BC5346">
      <w:pPr>
        <w:spacing w:line="360" w:lineRule="auto"/>
        <w:jc w:val="center"/>
        <w:rPr>
          <w:rFonts w:ascii="Times New Roman" w:hAnsi="Times New Roman" w:cs="Times New Roman"/>
          <w:sz w:val="24"/>
          <w:szCs w:val="24"/>
          <w:lang w:val="en-GB"/>
        </w:rPr>
      </w:pPr>
    </w:p>
    <w:p w:rsidR="00A75FC3" w:rsidRPr="00DF5227" w:rsidRDefault="00B16693" w:rsidP="00BC5346">
      <w:pPr>
        <w:jc w:val="center"/>
        <w:rPr>
          <w:rFonts w:ascii="Times New Roman" w:hAnsi="Times New Roman" w:cs="Times New Roman"/>
          <w:sz w:val="24"/>
          <w:szCs w:val="24"/>
          <w:lang w:val="en-GB"/>
        </w:rPr>
      </w:pPr>
      <w:r w:rsidRPr="00DF5227">
        <w:rPr>
          <w:rFonts w:ascii="Times New Roman" w:hAnsi="Times New Roman" w:cs="Times New Roman"/>
          <w:sz w:val="24"/>
          <w:szCs w:val="24"/>
          <w:lang w:val="en-GB"/>
        </w:rPr>
        <w:t>Paper prepared for</w:t>
      </w:r>
    </w:p>
    <w:p w:rsidR="00A75FC3" w:rsidRPr="00DF5227" w:rsidRDefault="00A75FC3" w:rsidP="00BC5346">
      <w:pPr>
        <w:jc w:val="center"/>
        <w:rPr>
          <w:rFonts w:ascii="Times New Roman" w:hAnsi="Times New Roman" w:cs="Times New Roman"/>
          <w:lang w:val="en-GB"/>
        </w:rPr>
      </w:pPr>
      <w:r w:rsidRPr="00DF5227">
        <w:rPr>
          <w:rFonts w:ascii="Times New Roman" w:hAnsi="Times New Roman" w:cs="Times New Roman"/>
          <w:lang w:val="en-GB"/>
        </w:rPr>
        <w:t>2015 Biennial Conference of the European Union Studies Association,</w:t>
      </w:r>
    </w:p>
    <w:p w:rsidR="00A75FC3" w:rsidRPr="00DF5227" w:rsidRDefault="00A75FC3" w:rsidP="00BC5346">
      <w:pPr>
        <w:jc w:val="center"/>
        <w:rPr>
          <w:rFonts w:ascii="Times New Roman" w:hAnsi="Times New Roman" w:cs="Times New Roman"/>
          <w:lang w:val="en-GB"/>
        </w:rPr>
      </w:pPr>
      <w:r w:rsidRPr="00DF5227">
        <w:rPr>
          <w:rFonts w:ascii="Times New Roman" w:hAnsi="Times New Roman" w:cs="Times New Roman"/>
          <w:lang w:val="en-GB"/>
        </w:rPr>
        <w:t>March 5-7, Boston, Massachusetts</w:t>
      </w:r>
    </w:p>
    <w:p w:rsidR="00B16693" w:rsidRPr="00DF5227" w:rsidRDefault="00B16693" w:rsidP="00BC5346">
      <w:pPr>
        <w:spacing w:line="360" w:lineRule="auto"/>
        <w:jc w:val="both"/>
        <w:rPr>
          <w:rFonts w:ascii="Times New Roman" w:hAnsi="Times New Roman" w:cs="Times New Roman"/>
          <w:sz w:val="24"/>
          <w:szCs w:val="24"/>
          <w:lang w:val="en-GB"/>
        </w:rPr>
      </w:pPr>
    </w:p>
    <w:p w:rsidR="00B16693" w:rsidRPr="00DF5227" w:rsidRDefault="00B16693"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0E1BA9" w:rsidRPr="00DF5227" w:rsidRDefault="000E1BA9" w:rsidP="00BC5346">
      <w:pPr>
        <w:spacing w:line="360" w:lineRule="auto"/>
        <w:jc w:val="both"/>
        <w:rPr>
          <w:rFonts w:ascii="Times New Roman" w:hAnsi="Times New Roman" w:cs="Times New Roman"/>
          <w:sz w:val="24"/>
          <w:szCs w:val="24"/>
          <w:lang w:val="en-GB"/>
        </w:rPr>
      </w:pPr>
    </w:p>
    <w:p w:rsidR="00B12743" w:rsidRPr="00DF5227" w:rsidRDefault="00B12743" w:rsidP="00BC5346">
      <w:pPr>
        <w:spacing w:line="360" w:lineRule="auto"/>
        <w:jc w:val="both"/>
        <w:rPr>
          <w:rFonts w:ascii="Times New Roman" w:hAnsi="Times New Roman" w:cs="Times New Roman"/>
          <w:sz w:val="24"/>
          <w:szCs w:val="24"/>
          <w:lang w:val="en-GB"/>
        </w:rPr>
      </w:pPr>
    </w:p>
    <w:p w:rsidR="00E85E17" w:rsidRPr="00DF5227" w:rsidRDefault="00A00D46" w:rsidP="00BC5346">
      <w:pPr>
        <w:jc w:val="both"/>
        <w:rPr>
          <w:rFonts w:ascii="Times New Roman" w:hAnsi="Times New Roman" w:cs="Times New Roman"/>
          <w:sz w:val="20"/>
          <w:szCs w:val="20"/>
          <w:lang w:val="en-GB"/>
        </w:rPr>
      </w:pPr>
      <w:r w:rsidRPr="00DF5227">
        <w:rPr>
          <w:rFonts w:ascii="Times New Roman" w:hAnsi="Times New Roman" w:cs="Times New Roman"/>
          <w:b/>
          <w:sz w:val="24"/>
          <w:szCs w:val="24"/>
          <w:lang w:val="en-GB"/>
        </w:rPr>
        <w:t>*</w:t>
      </w:r>
      <w:r w:rsidR="00E85E17" w:rsidRPr="00DF5227">
        <w:rPr>
          <w:rFonts w:ascii="Times New Roman" w:hAnsi="Times New Roman" w:cs="Times New Roman"/>
          <w:sz w:val="20"/>
          <w:szCs w:val="20"/>
          <w:lang w:val="en-GB"/>
        </w:rPr>
        <w:t xml:space="preserve"> This paper is part of the research project “Symbols and Myths in European Integration” funded by the Danish Council for Independent Research. </w:t>
      </w:r>
    </w:p>
    <w:p w:rsidR="000E1BA9" w:rsidRPr="00DF5227" w:rsidRDefault="004E3198"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lastRenderedPageBreak/>
        <w:t xml:space="preserve">Abstract: </w:t>
      </w:r>
      <w:r w:rsidR="00DC1594" w:rsidRPr="00DF5227">
        <w:rPr>
          <w:rFonts w:ascii="Times New Roman" w:hAnsi="Times New Roman" w:cs="Times New Roman"/>
          <w:sz w:val="24"/>
          <w:szCs w:val="24"/>
          <w:lang w:val="en-GB"/>
        </w:rPr>
        <w:t>This paper ask the question: What roles do the interpretation and use of symbols and myths by pan-E</w:t>
      </w:r>
      <w:r w:rsidR="000E1BA9" w:rsidRPr="00DF5227">
        <w:rPr>
          <w:rFonts w:ascii="Times New Roman" w:hAnsi="Times New Roman" w:cs="Times New Roman"/>
          <w:sz w:val="24"/>
          <w:szCs w:val="24"/>
          <w:lang w:val="en-GB"/>
        </w:rPr>
        <w:t>uropean</w:t>
      </w:r>
      <w:r w:rsidR="00DC1594" w:rsidRPr="00DF5227">
        <w:rPr>
          <w:rFonts w:ascii="Times New Roman" w:hAnsi="Times New Roman" w:cs="Times New Roman"/>
          <w:sz w:val="24"/>
          <w:szCs w:val="24"/>
          <w:lang w:val="en-GB"/>
        </w:rPr>
        <w:t xml:space="preserve"> non-state actors and organisations play in the processes of European integration? </w:t>
      </w:r>
      <w:r w:rsidR="000E1BA9" w:rsidRPr="00DF5227">
        <w:rPr>
          <w:rFonts w:ascii="Times New Roman" w:hAnsi="Times New Roman" w:cs="Times New Roman"/>
          <w:sz w:val="24"/>
          <w:szCs w:val="24"/>
          <w:lang w:val="en-GB"/>
        </w:rPr>
        <w:t>The</w:t>
      </w:r>
      <w:r w:rsidR="00DC1594" w:rsidRPr="00DF5227">
        <w:rPr>
          <w:rFonts w:ascii="Times New Roman" w:hAnsi="Times New Roman" w:cs="Times New Roman"/>
          <w:sz w:val="24"/>
          <w:szCs w:val="24"/>
          <w:lang w:val="en-GB"/>
        </w:rPr>
        <w:t xml:space="preserve"> point of departure is that the roles of symbols and myths are crucial for our understanding of both how the E</w:t>
      </w:r>
      <w:r w:rsidR="000E1BA9" w:rsidRPr="00DF5227">
        <w:rPr>
          <w:rFonts w:ascii="Times New Roman" w:hAnsi="Times New Roman" w:cs="Times New Roman"/>
          <w:sz w:val="24"/>
          <w:szCs w:val="24"/>
          <w:lang w:val="en-GB"/>
        </w:rPr>
        <w:t xml:space="preserve">uropean </w:t>
      </w:r>
      <w:r w:rsidR="00DC1594" w:rsidRPr="00DF5227">
        <w:rPr>
          <w:rFonts w:ascii="Times New Roman" w:hAnsi="Times New Roman" w:cs="Times New Roman"/>
          <w:sz w:val="24"/>
          <w:szCs w:val="24"/>
          <w:lang w:val="en-GB"/>
        </w:rPr>
        <w:t>U</w:t>
      </w:r>
      <w:r w:rsidR="000E1BA9" w:rsidRPr="00DF5227">
        <w:rPr>
          <w:rFonts w:ascii="Times New Roman" w:hAnsi="Times New Roman" w:cs="Times New Roman"/>
          <w:sz w:val="24"/>
          <w:szCs w:val="24"/>
          <w:lang w:val="en-GB"/>
        </w:rPr>
        <w:t>nion (EU)</w:t>
      </w:r>
      <w:r w:rsidR="00DC1594" w:rsidRPr="00DF5227">
        <w:rPr>
          <w:rFonts w:ascii="Times New Roman" w:hAnsi="Times New Roman" w:cs="Times New Roman"/>
          <w:sz w:val="24"/>
          <w:szCs w:val="24"/>
          <w:lang w:val="en-GB"/>
        </w:rPr>
        <w:t xml:space="preserve"> becomes constituted as a political reality and how the integration process itself occurs. European integration research has traditionally been dominated by the study of how rational political-economic choices of national and supranational political elites feed into EU institution building. Yet, this paper aims to advance European integration research by investigating how both symbolic and mythical constructions in European societies feed into European integration. Almost certainly, collective European symbols and myths are fundamental to our understanding of issues such as European social solidarity, citizens feeling of belonging to the EU, political advocacy for and resistance to European integration, and concrete political actions. For the purpose of this paper, </w:t>
      </w:r>
      <w:r w:rsidR="006251FA" w:rsidRPr="00DF5227">
        <w:rPr>
          <w:rFonts w:ascii="Times New Roman" w:hAnsi="Times New Roman" w:cs="Times New Roman"/>
          <w:sz w:val="24"/>
          <w:szCs w:val="24"/>
          <w:lang w:val="en-GB"/>
        </w:rPr>
        <w:t xml:space="preserve">I </w:t>
      </w:r>
      <w:r w:rsidR="00DC1594" w:rsidRPr="00DF5227">
        <w:rPr>
          <w:rFonts w:ascii="Times New Roman" w:hAnsi="Times New Roman" w:cs="Times New Roman"/>
          <w:sz w:val="24"/>
          <w:szCs w:val="24"/>
          <w:lang w:val="en-GB"/>
        </w:rPr>
        <w:t>explore myths and symbols associated with the ‘EUROPE 2020: A European strategy for smart, sustainable and inclusive growth’ (Commission 2010</w:t>
      </w:r>
      <w:r w:rsidR="00D54C64" w:rsidRPr="00DF5227">
        <w:rPr>
          <w:rFonts w:ascii="Times New Roman" w:hAnsi="Times New Roman" w:cs="Times New Roman"/>
          <w:sz w:val="24"/>
          <w:szCs w:val="24"/>
          <w:lang w:val="en-GB"/>
        </w:rPr>
        <w:t xml:space="preserve"> -</w:t>
      </w:r>
      <w:r w:rsidR="000530D8" w:rsidRPr="00DF5227">
        <w:rPr>
          <w:rFonts w:ascii="Times New Roman" w:hAnsi="Times New Roman" w:cs="Times New Roman"/>
          <w:sz w:val="24"/>
          <w:szCs w:val="24"/>
          <w:lang w:val="en-GB"/>
        </w:rPr>
        <w:t xml:space="preserve"> hereafter Europe 2020</w:t>
      </w:r>
      <w:r w:rsidR="00DC1594" w:rsidRPr="00DF5227">
        <w:rPr>
          <w:rFonts w:ascii="Times New Roman" w:hAnsi="Times New Roman" w:cs="Times New Roman"/>
          <w:sz w:val="24"/>
          <w:szCs w:val="24"/>
          <w:lang w:val="en-GB"/>
        </w:rPr>
        <w:t xml:space="preserve">), adopted in early 2010. The significance and potential of the </w:t>
      </w:r>
      <w:r w:rsidR="00606A1F" w:rsidRPr="00DF5227">
        <w:rPr>
          <w:rFonts w:ascii="Times New Roman" w:hAnsi="Times New Roman" w:cs="Times New Roman"/>
          <w:sz w:val="24"/>
          <w:szCs w:val="24"/>
          <w:lang w:val="en-GB"/>
        </w:rPr>
        <w:t xml:space="preserve">Europe </w:t>
      </w:r>
      <w:r w:rsidR="00DC1594" w:rsidRPr="00DF5227">
        <w:rPr>
          <w:rFonts w:ascii="Times New Roman" w:hAnsi="Times New Roman" w:cs="Times New Roman"/>
          <w:sz w:val="24"/>
          <w:szCs w:val="24"/>
          <w:lang w:val="en-GB"/>
        </w:rPr>
        <w:t xml:space="preserve">2020 for the EU’s political economy is clear. What makes </w:t>
      </w:r>
      <w:r w:rsidR="000530D8" w:rsidRPr="00DF5227">
        <w:rPr>
          <w:rFonts w:ascii="Times New Roman" w:hAnsi="Times New Roman" w:cs="Times New Roman"/>
          <w:sz w:val="24"/>
          <w:szCs w:val="24"/>
          <w:lang w:val="en-GB"/>
        </w:rPr>
        <w:t xml:space="preserve">Europe 2020 </w:t>
      </w:r>
      <w:r w:rsidR="00DC1594" w:rsidRPr="00DF5227">
        <w:rPr>
          <w:rFonts w:ascii="Times New Roman" w:hAnsi="Times New Roman" w:cs="Times New Roman"/>
          <w:sz w:val="24"/>
          <w:szCs w:val="24"/>
          <w:lang w:val="en-GB"/>
        </w:rPr>
        <w:t>especially interesting for this study is that it draws upon and feed into a number of symbols and myths about European integration including ‘green Europe’</w:t>
      </w:r>
      <w:r w:rsidR="00DD5DAD" w:rsidRPr="00DF5227">
        <w:rPr>
          <w:rFonts w:ascii="Times New Roman" w:hAnsi="Times New Roman" w:cs="Times New Roman"/>
          <w:sz w:val="24"/>
          <w:szCs w:val="24"/>
          <w:lang w:val="en-GB"/>
        </w:rPr>
        <w:t>,</w:t>
      </w:r>
      <w:r w:rsidR="00DC1594" w:rsidRPr="00DF5227">
        <w:rPr>
          <w:rFonts w:ascii="Times New Roman" w:hAnsi="Times New Roman" w:cs="Times New Roman"/>
          <w:sz w:val="24"/>
          <w:szCs w:val="24"/>
          <w:lang w:val="en-GB"/>
        </w:rPr>
        <w:t xml:space="preserve"> ‘social Europe</w:t>
      </w:r>
      <w:r w:rsidR="00DD5DAD" w:rsidRPr="00DF5227">
        <w:rPr>
          <w:rFonts w:ascii="Times New Roman" w:hAnsi="Times New Roman" w:cs="Times New Roman"/>
          <w:sz w:val="24"/>
          <w:szCs w:val="24"/>
          <w:lang w:val="en-GB"/>
        </w:rPr>
        <w:t>’ and ‘Economic Europe’</w:t>
      </w:r>
      <w:r w:rsidR="00DC1594" w:rsidRPr="00DF5227">
        <w:rPr>
          <w:rFonts w:ascii="Times New Roman" w:hAnsi="Times New Roman" w:cs="Times New Roman"/>
          <w:sz w:val="24"/>
          <w:szCs w:val="24"/>
          <w:lang w:val="en-GB"/>
        </w:rPr>
        <w:t xml:space="preserve">. In </w:t>
      </w:r>
      <w:r w:rsidR="006251FA" w:rsidRPr="00DF5227">
        <w:rPr>
          <w:rFonts w:ascii="Times New Roman" w:hAnsi="Times New Roman" w:cs="Times New Roman"/>
          <w:sz w:val="24"/>
          <w:szCs w:val="24"/>
          <w:lang w:val="en-GB"/>
        </w:rPr>
        <w:t xml:space="preserve">the </w:t>
      </w:r>
      <w:r w:rsidR="00DC1594" w:rsidRPr="00DF5227">
        <w:rPr>
          <w:rFonts w:ascii="Times New Roman" w:hAnsi="Times New Roman" w:cs="Times New Roman"/>
          <w:sz w:val="24"/>
          <w:szCs w:val="24"/>
          <w:lang w:val="en-GB"/>
        </w:rPr>
        <w:t>exploration of how pan-E</w:t>
      </w:r>
      <w:r w:rsidR="00C62CAA" w:rsidRPr="00DF5227">
        <w:rPr>
          <w:rFonts w:ascii="Times New Roman" w:hAnsi="Times New Roman" w:cs="Times New Roman"/>
          <w:sz w:val="24"/>
          <w:szCs w:val="24"/>
          <w:lang w:val="en-GB"/>
        </w:rPr>
        <w:t>uropean</w:t>
      </w:r>
      <w:r w:rsidR="00DC1594" w:rsidRPr="00DF5227">
        <w:rPr>
          <w:rFonts w:ascii="Times New Roman" w:hAnsi="Times New Roman" w:cs="Times New Roman"/>
          <w:sz w:val="24"/>
          <w:szCs w:val="24"/>
          <w:lang w:val="en-GB"/>
        </w:rPr>
        <w:t xml:space="preserve"> non-state actors and organisations </w:t>
      </w:r>
      <w:r w:rsidR="00C62CAA" w:rsidRPr="00DF5227">
        <w:rPr>
          <w:rFonts w:ascii="Times New Roman" w:hAnsi="Times New Roman" w:cs="Times New Roman"/>
          <w:sz w:val="24"/>
          <w:szCs w:val="24"/>
          <w:lang w:val="en-GB"/>
        </w:rPr>
        <w:t>(</w:t>
      </w:r>
      <w:r w:rsidR="00D54C64" w:rsidRPr="00DF5227">
        <w:rPr>
          <w:rFonts w:ascii="Times New Roman" w:hAnsi="Times New Roman" w:cs="Times New Roman"/>
          <w:sz w:val="24"/>
          <w:szCs w:val="24"/>
          <w:lang w:val="en-GB"/>
        </w:rPr>
        <w:t xml:space="preserve">hereafter </w:t>
      </w:r>
      <w:r w:rsidR="00C62CAA" w:rsidRPr="00DF5227">
        <w:rPr>
          <w:rFonts w:ascii="Times New Roman" w:hAnsi="Times New Roman" w:cs="Times New Roman"/>
          <w:sz w:val="24"/>
          <w:szCs w:val="24"/>
          <w:lang w:val="en-GB"/>
        </w:rPr>
        <w:t xml:space="preserve">pan-EU NGOs) </w:t>
      </w:r>
      <w:r w:rsidR="00DC1594" w:rsidRPr="00DF5227">
        <w:rPr>
          <w:rFonts w:ascii="Times New Roman" w:hAnsi="Times New Roman" w:cs="Times New Roman"/>
          <w:sz w:val="24"/>
          <w:szCs w:val="24"/>
          <w:lang w:val="en-GB"/>
        </w:rPr>
        <w:t xml:space="preserve">outside of EU institutions feed into and receive symbols and myths about European integration, </w:t>
      </w:r>
      <w:r w:rsidR="006251FA" w:rsidRPr="00DF5227">
        <w:rPr>
          <w:rFonts w:ascii="Times New Roman" w:hAnsi="Times New Roman" w:cs="Times New Roman"/>
          <w:sz w:val="24"/>
          <w:szCs w:val="24"/>
          <w:lang w:val="en-GB"/>
        </w:rPr>
        <w:t xml:space="preserve">I </w:t>
      </w:r>
      <w:r w:rsidR="00DC1594" w:rsidRPr="00DF5227">
        <w:rPr>
          <w:rFonts w:ascii="Times New Roman" w:hAnsi="Times New Roman" w:cs="Times New Roman"/>
          <w:sz w:val="24"/>
          <w:szCs w:val="24"/>
          <w:lang w:val="en-GB"/>
        </w:rPr>
        <w:t xml:space="preserve">have a special focus on members of the social policy coalition known as the Platform of the European Social NGOs </w:t>
      </w:r>
      <w:r w:rsidR="00DD5DAD" w:rsidRPr="00DF5227">
        <w:rPr>
          <w:rFonts w:ascii="Times New Roman" w:hAnsi="Times New Roman" w:cs="Times New Roman"/>
          <w:sz w:val="24"/>
          <w:szCs w:val="24"/>
          <w:lang w:val="en-GB"/>
        </w:rPr>
        <w:t>(Social</w:t>
      </w:r>
      <w:r w:rsidR="00073DD9" w:rsidRPr="00DF5227">
        <w:rPr>
          <w:rFonts w:ascii="Times New Roman" w:hAnsi="Times New Roman" w:cs="Times New Roman"/>
          <w:sz w:val="24"/>
          <w:szCs w:val="24"/>
          <w:lang w:val="en-GB"/>
        </w:rPr>
        <w:t xml:space="preserve"> P</w:t>
      </w:r>
      <w:r w:rsidR="00DD5DAD" w:rsidRPr="00DF5227">
        <w:rPr>
          <w:rFonts w:ascii="Times New Roman" w:hAnsi="Times New Roman" w:cs="Times New Roman"/>
          <w:sz w:val="24"/>
          <w:szCs w:val="24"/>
          <w:lang w:val="en-GB"/>
        </w:rPr>
        <w:t>latform)</w:t>
      </w:r>
      <w:r w:rsidR="000E1BA9" w:rsidRPr="00DF5227">
        <w:rPr>
          <w:rFonts w:ascii="Times New Roman" w:hAnsi="Times New Roman" w:cs="Times New Roman"/>
          <w:sz w:val="24"/>
          <w:szCs w:val="24"/>
          <w:lang w:val="en-GB"/>
        </w:rPr>
        <w:t>,</w:t>
      </w:r>
      <w:r w:rsidR="00DD5DAD" w:rsidRPr="00DF5227">
        <w:rPr>
          <w:rFonts w:ascii="Times New Roman" w:hAnsi="Times New Roman" w:cs="Times New Roman"/>
          <w:sz w:val="24"/>
          <w:szCs w:val="24"/>
          <w:lang w:val="en-GB"/>
        </w:rPr>
        <w:t xml:space="preserve"> </w:t>
      </w:r>
      <w:r w:rsidR="00DC1594" w:rsidRPr="00DF5227">
        <w:rPr>
          <w:rFonts w:ascii="Times New Roman" w:hAnsi="Times New Roman" w:cs="Times New Roman"/>
          <w:sz w:val="24"/>
          <w:szCs w:val="24"/>
          <w:lang w:val="en-GB"/>
        </w:rPr>
        <w:t>the European Environmental Bureau</w:t>
      </w:r>
      <w:r w:rsidR="0045736F" w:rsidRPr="00DF5227">
        <w:rPr>
          <w:rFonts w:ascii="Times New Roman" w:hAnsi="Times New Roman" w:cs="Times New Roman"/>
          <w:sz w:val="24"/>
          <w:szCs w:val="24"/>
          <w:lang w:val="en-GB"/>
        </w:rPr>
        <w:t xml:space="preserve"> (EEB)</w:t>
      </w:r>
      <w:r w:rsidR="00D57963" w:rsidRPr="00DF5227">
        <w:rPr>
          <w:rFonts w:ascii="Times New Roman" w:hAnsi="Times New Roman" w:cs="Times New Roman"/>
          <w:sz w:val="24"/>
          <w:szCs w:val="24"/>
          <w:lang w:val="en-GB"/>
        </w:rPr>
        <w:t xml:space="preserve">, </w:t>
      </w:r>
      <w:r w:rsidR="000E1BA9" w:rsidRPr="00DF5227">
        <w:rPr>
          <w:rFonts w:ascii="Times New Roman" w:hAnsi="Times New Roman" w:cs="Times New Roman"/>
          <w:sz w:val="24"/>
          <w:szCs w:val="24"/>
          <w:lang w:val="en-GB"/>
        </w:rPr>
        <w:t xml:space="preserve">the </w:t>
      </w:r>
      <w:r w:rsidR="00D57963" w:rsidRPr="00DF5227">
        <w:rPr>
          <w:rFonts w:ascii="Times New Roman" w:hAnsi="Times New Roman" w:cs="Times New Roman"/>
          <w:sz w:val="24"/>
          <w:szCs w:val="24"/>
          <w:lang w:val="en-GB"/>
        </w:rPr>
        <w:t>European Trade Union Confederation (ETUC) and Businesseurope</w:t>
      </w:r>
      <w:r w:rsidR="00D53E92" w:rsidRPr="00DF5227">
        <w:rPr>
          <w:rFonts w:ascii="Times New Roman" w:hAnsi="Times New Roman" w:cs="Times New Roman"/>
          <w:sz w:val="24"/>
          <w:szCs w:val="24"/>
          <w:lang w:val="en-GB"/>
        </w:rPr>
        <w:t xml:space="preserve"> (renamed in early 2007, previous ‘Union of Industrial and Employer’s Confederations of Europe </w:t>
      </w:r>
      <w:r w:rsidR="00D53E92" w:rsidRPr="00DF5227">
        <w:rPr>
          <w:rFonts w:ascii="Times New Roman" w:hAnsi="Times New Roman" w:cs="Times New Roman"/>
          <w:iCs/>
          <w:sz w:val="24"/>
          <w:szCs w:val="24"/>
          <w:lang w:val="en-GB"/>
        </w:rPr>
        <w:t>(UNICE))</w:t>
      </w:r>
      <w:r w:rsidR="0042467A" w:rsidRPr="00DF5227">
        <w:rPr>
          <w:rFonts w:ascii="Times New Roman" w:hAnsi="Times New Roman" w:cs="Times New Roman"/>
          <w:sz w:val="24"/>
          <w:szCs w:val="24"/>
          <w:lang w:val="en-GB"/>
        </w:rPr>
        <w:t>.</w:t>
      </w:r>
      <w:r w:rsidR="00D2662D" w:rsidRPr="00DF5227">
        <w:rPr>
          <w:rFonts w:ascii="Times New Roman" w:hAnsi="Times New Roman" w:cs="Times New Roman"/>
          <w:sz w:val="24"/>
          <w:szCs w:val="24"/>
          <w:lang w:val="en-GB"/>
        </w:rPr>
        <w:t xml:space="preserve"> </w:t>
      </w:r>
      <w:r w:rsidR="00B07CD5" w:rsidRPr="00DF5227">
        <w:rPr>
          <w:rFonts w:ascii="Times New Roman" w:hAnsi="Times New Roman" w:cs="Times New Roman"/>
          <w:sz w:val="24"/>
          <w:szCs w:val="24"/>
          <w:lang w:val="en-GB"/>
        </w:rPr>
        <w:t xml:space="preserve">The paper argues that </w:t>
      </w:r>
      <w:r w:rsidR="00422001" w:rsidRPr="00DF5227">
        <w:rPr>
          <w:rFonts w:ascii="Times New Roman" w:hAnsi="Times New Roman" w:cs="Times New Roman"/>
          <w:sz w:val="24"/>
          <w:szCs w:val="24"/>
          <w:lang w:val="en-GB"/>
        </w:rPr>
        <w:t>(1)</w:t>
      </w:r>
      <w:r w:rsidR="00B74DE0" w:rsidRPr="00DF5227">
        <w:rPr>
          <w:rFonts w:ascii="Times New Roman" w:hAnsi="Times New Roman" w:cs="Times New Roman"/>
          <w:sz w:val="24"/>
          <w:szCs w:val="24"/>
          <w:lang w:val="en-GB"/>
        </w:rPr>
        <w:t xml:space="preserve"> pan-EU NGOs are indeed receptive to political myths, also in the short term, (2) pan-EU NGOs contributes to the reproduction of myths</w:t>
      </w:r>
      <w:r w:rsidR="00D54C64" w:rsidRPr="00DF5227">
        <w:rPr>
          <w:rFonts w:ascii="Times New Roman" w:hAnsi="Times New Roman" w:cs="Times New Roman"/>
          <w:sz w:val="24"/>
          <w:szCs w:val="24"/>
          <w:lang w:val="en-GB"/>
        </w:rPr>
        <w:t xml:space="preserve">, especially already institutionalised myths and those myth particularly relevant for their </w:t>
      </w:r>
      <w:r w:rsidR="00B74DE0" w:rsidRPr="00DF5227">
        <w:rPr>
          <w:rFonts w:ascii="Times New Roman" w:hAnsi="Times New Roman" w:cs="Times New Roman"/>
          <w:sz w:val="24"/>
          <w:szCs w:val="24"/>
          <w:lang w:val="en-GB"/>
        </w:rPr>
        <w:t xml:space="preserve">sectoral </w:t>
      </w:r>
      <w:r w:rsidR="00D54C64" w:rsidRPr="00DF5227">
        <w:rPr>
          <w:rFonts w:ascii="Times New Roman" w:hAnsi="Times New Roman" w:cs="Times New Roman"/>
          <w:sz w:val="24"/>
          <w:szCs w:val="24"/>
          <w:lang w:val="en-GB"/>
        </w:rPr>
        <w:t xml:space="preserve">activities </w:t>
      </w:r>
      <w:r w:rsidR="00B74DE0" w:rsidRPr="00DF5227">
        <w:rPr>
          <w:rFonts w:ascii="Times New Roman" w:hAnsi="Times New Roman" w:cs="Times New Roman"/>
          <w:sz w:val="24"/>
          <w:szCs w:val="24"/>
          <w:lang w:val="en-GB"/>
        </w:rPr>
        <w:t>and (3)</w:t>
      </w:r>
      <w:r w:rsidR="00D54C64" w:rsidRPr="00DF5227">
        <w:rPr>
          <w:rFonts w:ascii="Times New Roman" w:hAnsi="Times New Roman" w:cs="Times New Roman"/>
          <w:sz w:val="24"/>
          <w:szCs w:val="24"/>
          <w:lang w:val="en-GB"/>
        </w:rPr>
        <w:t xml:space="preserve"> in this process</w:t>
      </w:r>
      <w:r w:rsidR="00B74DE0" w:rsidRPr="00DF5227">
        <w:rPr>
          <w:rFonts w:ascii="Times New Roman" w:hAnsi="Times New Roman" w:cs="Times New Roman"/>
          <w:sz w:val="24"/>
          <w:szCs w:val="24"/>
          <w:lang w:val="en-GB"/>
        </w:rPr>
        <w:t xml:space="preserve"> pan-EU NGOs </w:t>
      </w:r>
      <w:r w:rsidR="00D8128C" w:rsidRPr="00DF5227">
        <w:rPr>
          <w:rFonts w:ascii="Times New Roman" w:hAnsi="Times New Roman" w:cs="Times New Roman"/>
          <w:sz w:val="24"/>
          <w:szCs w:val="24"/>
          <w:lang w:val="en-GB"/>
        </w:rPr>
        <w:t xml:space="preserve">translate and </w:t>
      </w:r>
      <w:r w:rsidR="00B74DE0" w:rsidRPr="00DF5227">
        <w:rPr>
          <w:rFonts w:ascii="Times New Roman" w:hAnsi="Times New Roman" w:cs="Times New Roman"/>
          <w:sz w:val="24"/>
          <w:szCs w:val="24"/>
          <w:lang w:val="en-GB"/>
        </w:rPr>
        <w:t xml:space="preserve">strategically use political myths to justify </w:t>
      </w:r>
      <w:r w:rsidR="00D8128C" w:rsidRPr="00DF5227">
        <w:rPr>
          <w:rFonts w:ascii="Times New Roman" w:hAnsi="Times New Roman" w:cs="Times New Roman"/>
          <w:sz w:val="24"/>
          <w:szCs w:val="24"/>
          <w:lang w:val="en-GB"/>
        </w:rPr>
        <w:t xml:space="preserve">their </w:t>
      </w:r>
      <w:r w:rsidR="00D54C64" w:rsidRPr="00DF5227">
        <w:rPr>
          <w:rFonts w:ascii="Times New Roman" w:hAnsi="Times New Roman" w:cs="Times New Roman"/>
          <w:sz w:val="24"/>
          <w:szCs w:val="24"/>
          <w:lang w:val="en-GB"/>
        </w:rPr>
        <w:t>policy positions</w:t>
      </w:r>
      <w:r w:rsidR="007815A2" w:rsidRPr="00DF5227">
        <w:rPr>
          <w:rFonts w:ascii="Times New Roman" w:hAnsi="Times New Roman" w:cs="Times New Roman"/>
          <w:sz w:val="24"/>
          <w:szCs w:val="24"/>
          <w:lang w:val="en-GB"/>
        </w:rPr>
        <w:t xml:space="preserve">. </w:t>
      </w:r>
    </w:p>
    <w:p w:rsidR="00E43AEC" w:rsidRPr="00DF5227" w:rsidRDefault="00E43AEC" w:rsidP="00BC5346">
      <w:pPr>
        <w:spacing w:line="360" w:lineRule="auto"/>
        <w:jc w:val="both"/>
        <w:rPr>
          <w:rFonts w:ascii="Times New Roman" w:hAnsi="Times New Roman" w:cs="Times New Roman"/>
          <w:sz w:val="24"/>
          <w:szCs w:val="24"/>
          <w:lang w:val="en-GB"/>
        </w:rPr>
      </w:pPr>
    </w:p>
    <w:p w:rsidR="006251FA" w:rsidRPr="00DF5227" w:rsidRDefault="006251FA" w:rsidP="00BC5346">
      <w:pPr>
        <w:spacing w:line="360" w:lineRule="auto"/>
        <w:jc w:val="both"/>
        <w:rPr>
          <w:rFonts w:ascii="Times New Roman" w:hAnsi="Times New Roman" w:cs="Times New Roman"/>
          <w:sz w:val="24"/>
          <w:szCs w:val="24"/>
          <w:lang w:val="en-GB"/>
        </w:rPr>
      </w:pPr>
    </w:p>
    <w:p w:rsidR="006251FA" w:rsidRPr="00DF5227" w:rsidRDefault="006251FA" w:rsidP="00BC5346">
      <w:pPr>
        <w:spacing w:line="360" w:lineRule="auto"/>
        <w:jc w:val="both"/>
        <w:rPr>
          <w:rFonts w:ascii="Times New Roman" w:hAnsi="Times New Roman" w:cs="Times New Roman"/>
          <w:sz w:val="24"/>
          <w:szCs w:val="24"/>
          <w:lang w:val="en-GB"/>
        </w:rPr>
      </w:pPr>
    </w:p>
    <w:p w:rsidR="00B16693" w:rsidRPr="00DF5227" w:rsidRDefault="00B16693"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lastRenderedPageBreak/>
        <w:t>I. Introduction</w:t>
      </w:r>
    </w:p>
    <w:p w:rsidR="00505AA0" w:rsidRPr="00DF5227" w:rsidRDefault="005E2303"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Th</w:t>
      </w:r>
      <w:r w:rsidR="00317661" w:rsidRPr="00DF5227">
        <w:rPr>
          <w:rFonts w:ascii="Times New Roman" w:hAnsi="Times New Roman" w:cs="Times New Roman"/>
          <w:sz w:val="24"/>
          <w:szCs w:val="24"/>
          <w:lang w:val="en-GB"/>
        </w:rPr>
        <w:t>is</w:t>
      </w:r>
      <w:r w:rsidRPr="00DF5227">
        <w:rPr>
          <w:rFonts w:ascii="Times New Roman" w:hAnsi="Times New Roman" w:cs="Times New Roman"/>
          <w:sz w:val="24"/>
          <w:szCs w:val="24"/>
          <w:lang w:val="en-GB"/>
        </w:rPr>
        <w:t xml:space="preserve"> paper examines the interpretation and use of symbols and myths by </w:t>
      </w:r>
      <w:r w:rsidR="00C62CAA" w:rsidRPr="00DF5227">
        <w:rPr>
          <w:rFonts w:ascii="Times New Roman" w:hAnsi="Times New Roman" w:cs="Times New Roman"/>
          <w:sz w:val="24"/>
          <w:szCs w:val="24"/>
          <w:lang w:val="en-GB"/>
        </w:rPr>
        <w:t>pan-EU NGOs</w:t>
      </w:r>
      <w:r w:rsidRPr="00DF5227">
        <w:rPr>
          <w:rFonts w:ascii="Times New Roman" w:hAnsi="Times New Roman" w:cs="Times New Roman"/>
          <w:sz w:val="24"/>
          <w:szCs w:val="24"/>
          <w:lang w:val="en-GB"/>
        </w:rPr>
        <w:t xml:space="preserve"> in the processes of European integration. </w:t>
      </w:r>
      <w:r w:rsidR="00916DA9" w:rsidRPr="00DF5227">
        <w:rPr>
          <w:rFonts w:ascii="Times New Roman" w:hAnsi="Times New Roman" w:cs="Times New Roman"/>
          <w:sz w:val="24"/>
          <w:szCs w:val="24"/>
          <w:lang w:val="en-GB"/>
        </w:rPr>
        <w:t xml:space="preserve">The </w:t>
      </w:r>
      <w:r w:rsidR="00B36DF0" w:rsidRPr="00DF5227">
        <w:rPr>
          <w:rFonts w:ascii="Times New Roman" w:hAnsi="Times New Roman" w:cs="Times New Roman"/>
          <w:sz w:val="24"/>
          <w:szCs w:val="24"/>
          <w:lang w:val="en-GB"/>
        </w:rPr>
        <w:t>point of departure is that t</w:t>
      </w:r>
      <w:r w:rsidR="00505AA0" w:rsidRPr="00DF5227">
        <w:rPr>
          <w:rFonts w:ascii="Times New Roman" w:hAnsi="Times New Roman" w:cs="Times New Roman"/>
          <w:sz w:val="24"/>
          <w:szCs w:val="24"/>
          <w:lang w:val="en-GB"/>
        </w:rPr>
        <w:t>he role</w:t>
      </w:r>
      <w:r w:rsidR="00B36DF0" w:rsidRPr="00DF5227">
        <w:rPr>
          <w:rFonts w:ascii="Times New Roman" w:hAnsi="Times New Roman" w:cs="Times New Roman"/>
          <w:sz w:val="24"/>
          <w:szCs w:val="24"/>
          <w:lang w:val="en-GB"/>
        </w:rPr>
        <w:t>s</w:t>
      </w:r>
      <w:r w:rsidR="00505AA0" w:rsidRPr="00DF5227">
        <w:rPr>
          <w:rFonts w:ascii="Times New Roman" w:hAnsi="Times New Roman" w:cs="Times New Roman"/>
          <w:sz w:val="24"/>
          <w:szCs w:val="24"/>
          <w:lang w:val="en-GB"/>
        </w:rPr>
        <w:t xml:space="preserve"> of symbols and myths are crucial for our understanding of both how the EU becomes constituted as a political reality and how the integration process itself occurs. European integration research has traditionally been dominated by the study of how rational political-economic choices of national and supranational political elites feed into EU institution building</w:t>
      </w:r>
      <w:r w:rsidR="004F2508" w:rsidRPr="00DF5227">
        <w:rPr>
          <w:rFonts w:ascii="Times New Roman" w:hAnsi="Times New Roman" w:cs="Times New Roman"/>
          <w:sz w:val="24"/>
          <w:szCs w:val="24"/>
          <w:lang w:val="en-GB"/>
        </w:rPr>
        <w:t xml:space="preserve"> (e.g. Moravcsik 1998; Pollack 2003; Tsebelis and Kreppel 1998)</w:t>
      </w:r>
      <w:r w:rsidR="00505AA0" w:rsidRPr="00DF5227">
        <w:rPr>
          <w:rFonts w:ascii="Times New Roman" w:hAnsi="Times New Roman" w:cs="Times New Roman"/>
          <w:sz w:val="24"/>
          <w:szCs w:val="24"/>
          <w:lang w:val="en-GB"/>
        </w:rPr>
        <w:t xml:space="preserve">. Yet, this </w:t>
      </w:r>
      <w:r w:rsidR="00B36DF0" w:rsidRPr="00DF5227">
        <w:rPr>
          <w:rFonts w:ascii="Times New Roman" w:hAnsi="Times New Roman" w:cs="Times New Roman"/>
          <w:sz w:val="24"/>
          <w:szCs w:val="24"/>
          <w:lang w:val="en-GB"/>
        </w:rPr>
        <w:t>paper</w:t>
      </w:r>
      <w:r w:rsidR="00505AA0" w:rsidRPr="00DF5227">
        <w:rPr>
          <w:rFonts w:ascii="Times New Roman" w:hAnsi="Times New Roman" w:cs="Times New Roman"/>
          <w:sz w:val="24"/>
          <w:szCs w:val="24"/>
          <w:lang w:val="en-GB"/>
        </w:rPr>
        <w:t xml:space="preserve"> aims to advance European integration research by investigating how both symbolic and mythical constructions in European societies feed into European integration. Almost certainly, collective European symbols and myths are fundamental to our understanding of issues such as European social solidarity, citizens feeling of belonging to the EU, political advocacy for and resistance to European integration, and concrete political actions. </w:t>
      </w:r>
    </w:p>
    <w:p w:rsidR="00EF6E53" w:rsidRPr="00DF5227" w:rsidRDefault="00BE202F"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For the purpose of this p</w:t>
      </w:r>
      <w:r w:rsidR="00BE30B4" w:rsidRPr="00DF5227">
        <w:rPr>
          <w:rFonts w:ascii="Times New Roman" w:hAnsi="Times New Roman" w:cs="Times New Roman"/>
          <w:sz w:val="24"/>
          <w:szCs w:val="24"/>
          <w:lang w:val="en-GB"/>
        </w:rPr>
        <w:t xml:space="preserve">aper, </w:t>
      </w:r>
      <w:r w:rsidR="006251FA" w:rsidRPr="00DF5227">
        <w:rPr>
          <w:rFonts w:ascii="Times New Roman" w:hAnsi="Times New Roman" w:cs="Times New Roman"/>
          <w:sz w:val="24"/>
          <w:szCs w:val="24"/>
          <w:lang w:val="en-GB"/>
        </w:rPr>
        <w:t xml:space="preserve">I </w:t>
      </w:r>
      <w:r w:rsidR="00BE30B4" w:rsidRPr="00DF5227">
        <w:rPr>
          <w:rFonts w:ascii="Times New Roman" w:hAnsi="Times New Roman" w:cs="Times New Roman"/>
          <w:sz w:val="24"/>
          <w:szCs w:val="24"/>
          <w:lang w:val="en-GB"/>
        </w:rPr>
        <w:t xml:space="preserve">explore </w:t>
      </w:r>
      <w:r w:rsidRPr="00DF5227">
        <w:rPr>
          <w:rFonts w:ascii="Times New Roman" w:hAnsi="Times New Roman" w:cs="Times New Roman"/>
          <w:sz w:val="24"/>
          <w:szCs w:val="24"/>
          <w:lang w:val="en-GB"/>
        </w:rPr>
        <w:t xml:space="preserve">myths and symbols associated with the </w:t>
      </w:r>
      <w:r w:rsidR="00F578B8" w:rsidRPr="00DF5227">
        <w:rPr>
          <w:rFonts w:ascii="Times New Roman" w:hAnsi="Times New Roman" w:cs="Times New Roman"/>
          <w:sz w:val="24"/>
          <w:szCs w:val="24"/>
          <w:lang w:val="en-GB"/>
        </w:rPr>
        <w:t xml:space="preserve">‘EUROPE </w:t>
      </w:r>
      <w:r w:rsidRPr="00DF5227">
        <w:rPr>
          <w:rFonts w:ascii="Times New Roman" w:hAnsi="Times New Roman" w:cs="Times New Roman"/>
          <w:sz w:val="24"/>
          <w:szCs w:val="24"/>
          <w:lang w:val="en-GB"/>
        </w:rPr>
        <w:t>2020</w:t>
      </w:r>
      <w:r w:rsidR="00F578B8" w:rsidRPr="00DF5227">
        <w:rPr>
          <w:rFonts w:ascii="Times New Roman" w:hAnsi="Times New Roman" w:cs="Times New Roman"/>
          <w:sz w:val="24"/>
          <w:szCs w:val="24"/>
          <w:lang w:val="en-GB"/>
        </w:rPr>
        <w:t>:</w:t>
      </w:r>
      <w:r w:rsidRPr="00DF5227">
        <w:rPr>
          <w:rFonts w:ascii="Times New Roman" w:hAnsi="Times New Roman" w:cs="Times New Roman"/>
          <w:sz w:val="24"/>
          <w:szCs w:val="24"/>
          <w:lang w:val="en-GB"/>
        </w:rPr>
        <w:t xml:space="preserve"> </w:t>
      </w:r>
      <w:r w:rsidR="00F578B8" w:rsidRPr="00DF5227">
        <w:rPr>
          <w:rFonts w:ascii="Times New Roman" w:hAnsi="Times New Roman" w:cs="Times New Roman"/>
          <w:sz w:val="24"/>
          <w:szCs w:val="24"/>
          <w:lang w:val="en-GB"/>
        </w:rPr>
        <w:t xml:space="preserve">A European </w:t>
      </w:r>
      <w:r w:rsidRPr="00DF5227">
        <w:rPr>
          <w:rFonts w:ascii="Times New Roman" w:hAnsi="Times New Roman" w:cs="Times New Roman"/>
          <w:sz w:val="24"/>
          <w:szCs w:val="24"/>
          <w:lang w:val="en-GB"/>
        </w:rPr>
        <w:t>strategy</w:t>
      </w:r>
      <w:r w:rsidR="00F578B8" w:rsidRPr="00DF5227">
        <w:rPr>
          <w:rFonts w:ascii="Times New Roman" w:hAnsi="Times New Roman" w:cs="Times New Roman"/>
          <w:sz w:val="24"/>
          <w:szCs w:val="24"/>
          <w:lang w:val="en-GB"/>
        </w:rPr>
        <w:t xml:space="preserve"> for smart, sustainable and inclusive growth (Commission 2010)</w:t>
      </w:r>
      <w:r w:rsidR="000530D8" w:rsidRPr="00DF5227">
        <w:rPr>
          <w:rFonts w:ascii="Times New Roman" w:hAnsi="Times New Roman" w:cs="Times New Roman"/>
          <w:sz w:val="24"/>
          <w:szCs w:val="24"/>
          <w:lang w:val="en-GB"/>
        </w:rPr>
        <w:t>’</w:t>
      </w:r>
      <w:r w:rsidR="00BE30B4" w:rsidRPr="00DF5227">
        <w:rPr>
          <w:rFonts w:ascii="Times New Roman" w:hAnsi="Times New Roman" w:cs="Times New Roman"/>
          <w:sz w:val="24"/>
          <w:szCs w:val="24"/>
          <w:lang w:val="en-GB"/>
        </w:rPr>
        <w:t>, adopted in early 2010</w:t>
      </w:r>
      <w:r w:rsidRPr="00DF5227">
        <w:rPr>
          <w:rFonts w:ascii="Times New Roman" w:hAnsi="Times New Roman" w:cs="Times New Roman"/>
          <w:sz w:val="24"/>
          <w:szCs w:val="24"/>
          <w:lang w:val="en-GB"/>
        </w:rPr>
        <w:t xml:space="preserve">. </w:t>
      </w:r>
      <w:r w:rsidR="002B77A9" w:rsidRPr="00DF5227">
        <w:rPr>
          <w:rFonts w:ascii="Times New Roman" w:hAnsi="Times New Roman" w:cs="Times New Roman"/>
          <w:sz w:val="24"/>
          <w:szCs w:val="24"/>
          <w:lang w:val="en-GB"/>
        </w:rPr>
        <w:t xml:space="preserve">The significance and potential of the </w:t>
      </w:r>
      <w:r w:rsidR="00C873D6" w:rsidRPr="00DF5227">
        <w:rPr>
          <w:rFonts w:ascii="Times New Roman" w:hAnsi="Times New Roman" w:cs="Times New Roman"/>
          <w:sz w:val="24"/>
          <w:szCs w:val="24"/>
          <w:lang w:val="en-GB"/>
        </w:rPr>
        <w:t xml:space="preserve">Europe </w:t>
      </w:r>
      <w:r w:rsidR="002B77A9" w:rsidRPr="00DF5227">
        <w:rPr>
          <w:rFonts w:ascii="Times New Roman" w:hAnsi="Times New Roman" w:cs="Times New Roman"/>
          <w:sz w:val="24"/>
          <w:szCs w:val="24"/>
          <w:lang w:val="en-GB"/>
        </w:rPr>
        <w:t>2020 strategy for the EU</w:t>
      </w:r>
      <w:r w:rsidR="00024E6F" w:rsidRPr="00DF5227">
        <w:rPr>
          <w:rFonts w:ascii="Times New Roman" w:hAnsi="Times New Roman" w:cs="Times New Roman"/>
          <w:sz w:val="24"/>
          <w:szCs w:val="24"/>
          <w:lang w:val="en-GB"/>
        </w:rPr>
        <w:t xml:space="preserve">’s </w:t>
      </w:r>
      <w:r w:rsidR="002B77A9" w:rsidRPr="00DF5227">
        <w:rPr>
          <w:rFonts w:ascii="Times New Roman" w:hAnsi="Times New Roman" w:cs="Times New Roman"/>
          <w:sz w:val="24"/>
          <w:szCs w:val="24"/>
          <w:lang w:val="en-GB"/>
        </w:rPr>
        <w:t xml:space="preserve">political economy is clear. </w:t>
      </w:r>
      <w:r w:rsidR="00B64F11" w:rsidRPr="00DF5227">
        <w:rPr>
          <w:rFonts w:ascii="Times New Roman" w:hAnsi="Times New Roman" w:cs="Times New Roman"/>
          <w:sz w:val="24"/>
          <w:szCs w:val="24"/>
          <w:lang w:val="en-GB"/>
        </w:rPr>
        <w:t>W</w:t>
      </w:r>
      <w:r w:rsidR="002B77A9" w:rsidRPr="00DF5227">
        <w:rPr>
          <w:rFonts w:ascii="Times New Roman" w:hAnsi="Times New Roman" w:cs="Times New Roman"/>
          <w:sz w:val="24"/>
          <w:szCs w:val="24"/>
          <w:lang w:val="en-GB"/>
        </w:rPr>
        <w:t xml:space="preserve">hat makes </w:t>
      </w:r>
      <w:r w:rsidR="000530D8" w:rsidRPr="00DF5227">
        <w:rPr>
          <w:rFonts w:ascii="Times New Roman" w:hAnsi="Times New Roman" w:cs="Times New Roman"/>
          <w:sz w:val="24"/>
          <w:szCs w:val="24"/>
          <w:lang w:val="en-GB"/>
        </w:rPr>
        <w:t xml:space="preserve">Europe 2020 </w:t>
      </w:r>
      <w:r w:rsidR="002B77A9" w:rsidRPr="00DF5227">
        <w:rPr>
          <w:rFonts w:ascii="Times New Roman" w:hAnsi="Times New Roman" w:cs="Times New Roman"/>
          <w:sz w:val="24"/>
          <w:szCs w:val="24"/>
          <w:lang w:val="en-GB"/>
        </w:rPr>
        <w:t>especially interesting for th</w:t>
      </w:r>
      <w:r w:rsidR="00B64F11" w:rsidRPr="00DF5227">
        <w:rPr>
          <w:rFonts w:ascii="Times New Roman" w:hAnsi="Times New Roman" w:cs="Times New Roman"/>
          <w:sz w:val="24"/>
          <w:szCs w:val="24"/>
          <w:lang w:val="en-GB"/>
        </w:rPr>
        <w:t>is</w:t>
      </w:r>
      <w:r w:rsidR="002B77A9" w:rsidRPr="00DF5227">
        <w:rPr>
          <w:rFonts w:ascii="Times New Roman" w:hAnsi="Times New Roman" w:cs="Times New Roman"/>
          <w:sz w:val="24"/>
          <w:szCs w:val="24"/>
          <w:lang w:val="en-GB"/>
        </w:rPr>
        <w:t xml:space="preserve"> study </w:t>
      </w:r>
      <w:r w:rsidR="00B64F11" w:rsidRPr="00DF5227">
        <w:rPr>
          <w:rFonts w:ascii="Times New Roman" w:hAnsi="Times New Roman" w:cs="Times New Roman"/>
          <w:sz w:val="24"/>
          <w:szCs w:val="24"/>
          <w:lang w:val="en-GB"/>
        </w:rPr>
        <w:t xml:space="preserve">is that it </w:t>
      </w:r>
      <w:r w:rsidR="00912D8E" w:rsidRPr="00DF5227">
        <w:rPr>
          <w:rFonts w:ascii="Times New Roman" w:hAnsi="Times New Roman" w:cs="Times New Roman"/>
          <w:sz w:val="24"/>
          <w:szCs w:val="24"/>
          <w:lang w:val="en-GB"/>
        </w:rPr>
        <w:t>d</w:t>
      </w:r>
      <w:r w:rsidR="002B77A9" w:rsidRPr="00DF5227">
        <w:rPr>
          <w:rFonts w:ascii="Times New Roman" w:hAnsi="Times New Roman" w:cs="Times New Roman"/>
          <w:sz w:val="24"/>
          <w:szCs w:val="24"/>
          <w:lang w:val="en-GB"/>
        </w:rPr>
        <w:t>raw</w:t>
      </w:r>
      <w:r w:rsidR="00912D8E" w:rsidRPr="00DF5227">
        <w:rPr>
          <w:rFonts w:ascii="Times New Roman" w:hAnsi="Times New Roman" w:cs="Times New Roman"/>
          <w:sz w:val="24"/>
          <w:szCs w:val="24"/>
          <w:lang w:val="en-GB"/>
        </w:rPr>
        <w:t>s</w:t>
      </w:r>
      <w:r w:rsidR="002B77A9" w:rsidRPr="00DF5227">
        <w:rPr>
          <w:rFonts w:ascii="Times New Roman" w:hAnsi="Times New Roman" w:cs="Times New Roman"/>
          <w:sz w:val="24"/>
          <w:szCs w:val="24"/>
          <w:lang w:val="en-GB"/>
        </w:rPr>
        <w:t xml:space="preserve"> upon and feed into a number of </w:t>
      </w:r>
      <w:r w:rsidR="00912D8E" w:rsidRPr="00DF5227">
        <w:rPr>
          <w:rFonts w:ascii="Times New Roman" w:hAnsi="Times New Roman" w:cs="Times New Roman"/>
          <w:sz w:val="24"/>
          <w:szCs w:val="24"/>
          <w:lang w:val="en-GB"/>
        </w:rPr>
        <w:t xml:space="preserve">symbols and </w:t>
      </w:r>
      <w:r w:rsidR="00B64F11" w:rsidRPr="00DF5227">
        <w:rPr>
          <w:rFonts w:ascii="Times New Roman" w:hAnsi="Times New Roman" w:cs="Times New Roman"/>
          <w:sz w:val="24"/>
          <w:szCs w:val="24"/>
          <w:lang w:val="en-GB"/>
        </w:rPr>
        <w:t xml:space="preserve">myths about European integration. </w:t>
      </w:r>
      <w:r w:rsidR="008374E3" w:rsidRPr="00DF5227">
        <w:rPr>
          <w:rFonts w:ascii="Times New Roman" w:hAnsi="Times New Roman" w:cs="Times New Roman"/>
          <w:sz w:val="24"/>
          <w:szCs w:val="24"/>
          <w:lang w:val="en-GB"/>
        </w:rPr>
        <w:t>More specifically</w:t>
      </w:r>
      <w:r w:rsidR="00726CB2" w:rsidRPr="00DF5227">
        <w:rPr>
          <w:rFonts w:ascii="Times New Roman" w:hAnsi="Times New Roman" w:cs="Times New Roman"/>
          <w:sz w:val="24"/>
          <w:szCs w:val="24"/>
          <w:lang w:val="en-GB"/>
        </w:rPr>
        <w:t xml:space="preserve"> the strategy draws on the </w:t>
      </w:r>
      <w:r w:rsidR="0088302B" w:rsidRPr="00DF5227">
        <w:rPr>
          <w:rFonts w:ascii="Times New Roman" w:hAnsi="Times New Roman" w:cs="Times New Roman"/>
          <w:sz w:val="24"/>
          <w:szCs w:val="24"/>
          <w:lang w:val="en-GB"/>
        </w:rPr>
        <w:t xml:space="preserve">symbols and </w:t>
      </w:r>
      <w:r w:rsidR="00726CB2" w:rsidRPr="00DF5227">
        <w:rPr>
          <w:rFonts w:ascii="Times New Roman" w:hAnsi="Times New Roman" w:cs="Times New Roman"/>
          <w:sz w:val="24"/>
          <w:szCs w:val="24"/>
          <w:lang w:val="en-GB"/>
        </w:rPr>
        <w:t xml:space="preserve">myth of </w:t>
      </w:r>
      <w:r w:rsidR="00DF0BF0" w:rsidRPr="00DF5227">
        <w:rPr>
          <w:rFonts w:ascii="Times New Roman" w:hAnsi="Times New Roman" w:cs="Times New Roman"/>
          <w:sz w:val="24"/>
          <w:szCs w:val="24"/>
          <w:lang w:val="en-GB"/>
        </w:rPr>
        <w:t xml:space="preserve">what can be termed </w:t>
      </w:r>
      <w:r w:rsidR="00726CB2" w:rsidRPr="00DF5227">
        <w:rPr>
          <w:rFonts w:ascii="Times New Roman" w:hAnsi="Times New Roman" w:cs="Times New Roman"/>
          <w:sz w:val="24"/>
          <w:szCs w:val="24"/>
          <w:lang w:val="en-GB"/>
        </w:rPr>
        <w:t xml:space="preserve">‘economic Europe’ </w:t>
      </w:r>
      <w:r w:rsidR="004F11BE" w:rsidRPr="00DF5227">
        <w:rPr>
          <w:rFonts w:ascii="Times New Roman" w:hAnsi="Times New Roman" w:cs="Times New Roman"/>
          <w:sz w:val="24"/>
          <w:szCs w:val="24"/>
          <w:lang w:val="en-GB"/>
        </w:rPr>
        <w:t>(</w:t>
      </w:r>
      <w:r w:rsidR="0088302B" w:rsidRPr="00DF5227">
        <w:rPr>
          <w:rFonts w:ascii="Times New Roman" w:hAnsi="Times New Roman" w:cs="Times New Roman"/>
          <w:sz w:val="24"/>
          <w:szCs w:val="24"/>
          <w:lang w:val="en-GB"/>
        </w:rPr>
        <w:t>Kaelberer 2004</w:t>
      </w:r>
      <w:r w:rsidR="00C737D2" w:rsidRPr="00DF5227">
        <w:rPr>
          <w:rFonts w:ascii="Times New Roman" w:hAnsi="Times New Roman" w:cs="Times New Roman"/>
          <w:sz w:val="24"/>
          <w:szCs w:val="24"/>
          <w:lang w:val="en-GB"/>
        </w:rPr>
        <w:t>; Jones 2010</w:t>
      </w:r>
      <w:r w:rsidR="004F11BE" w:rsidRPr="00DF5227">
        <w:rPr>
          <w:rFonts w:ascii="Times New Roman" w:hAnsi="Times New Roman" w:cs="Times New Roman"/>
          <w:sz w:val="24"/>
          <w:szCs w:val="24"/>
          <w:lang w:val="en-GB"/>
        </w:rPr>
        <w:t>)</w:t>
      </w:r>
      <w:r w:rsidR="0037721A" w:rsidRPr="00DF5227">
        <w:rPr>
          <w:rFonts w:ascii="Times New Roman" w:hAnsi="Times New Roman" w:cs="Times New Roman"/>
          <w:sz w:val="24"/>
          <w:szCs w:val="24"/>
          <w:lang w:val="en-GB"/>
        </w:rPr>
        <w:t>,</w:t>
      </w:r>
      <w:r w:rsidR="004F11BE" w:rsidRPr="00DF5227">
        <w:rPr>
          <w:rFonts w:ascii="Times New Roman" w:hAnsi="Times New Roman" w:cs="Times New Roman"/>
          <w:sz w:val="24"/>
          <w:szCs w:val="24"/>
          <w:lang w:val="en-GB"/>
        </w:rPr>
        <w:t xml:space="preserve"> </w:t>
      </w:r>
      <w:r w:rsidR="00726CB2" w:rsidRPr="00DF5227">
        <w:rPr>
          <w:rFonts w:ascii="Times New Roman" w:hAnsi="Times New Roman" w:cs="Times New Roman"/>
          <w:color w:val="000000"/>
          <w:sz w:val="24"/>
          <w:szCs w:val="24"/>
          <w:lang w:val="en-GB"/>
        </w:rPr>
        <w:t xml:space="preserve">‘green Europe’ </w:t>
      </w:r>
      <w:r w:rsidR="00780513" w:rsidRPr="00DF5227">
        <w:rPr>
          <w:rFonts w:ascii="Times New Roman" w:hAnsi="Times New Roman" w:cs="Times New Roman"/>
          <w:sz w:val="24"/>
          <w:szCs w:val="24"/>
          <w:lang w:val="en-GB"/>
        </w:rPr>
        <w:t>(</w:t>
      </w:r>
      <w:r w:rsidR="0037721A" w:rsidRPr="00DF5227">
        <w:rPr>
          <w:rFonts w:ascii="Times New Roman" w:hAnsi="Times New Roman" w:cs="Times New Roman"/>
          <w:sz w:val="24"/>
          <w:szCs w:val="24"/>
          <w:lang w:val="en-GB"/>
        </w:rPr>
        <w:t>Baker 2007</w:t>
      </w:r>
      <w:r w:rsidR="00C737D2" w:rsidRPr="00DF5227">
        <w:rPr>
          <w:rFonts w:ascii="Times New Roman" w:hAnsi="Times New Roman" w:cs="Times New Roman"/>
          <w:sz w:val="24"/>
          <w:szCs w:val="24"/>
          <w:lang w:val="en-GB"/>
        </w:rPr>
        <w:t>; Lenschow and Sprungk 2010</w:t>
      </w:r>
      <w:r w:rsidR="00780513" w:rsidRPr="00DF5227">
        <w:rPr>
          <w:rFonts w:ascii="Times New Roman" w:hAnsi="Times New Roman" w:cs="Times New Roman"/>
          <w:sz w:val="24"/>
          <w:szCs w:val="24"/>
          <w:lang w:val="en-GB"/>
        </w:rPr>
        <w:t xml:space="preserve">) </w:t>
      </w:r>
      <w:r w:rsidR="00C873D6" w:rsidRPr="00DF5227">
        <w:rPr>
          <w:rFonts w:ascii="Times New Roman" w:hAnsi="Times New Roman" w:cs="Times New Roman"/>
          <w:sz w:val="24"/>
          <w:szCs w:val="24"/>
          <w:lang w:val="en-GB"/>
        </w:rPr>
        <w:t xml:space="preserve">and </w:t>
      </w:r>
      <w:r w:rsidR="00726CB2" w:rsidRPr="00DF5227">
        <w:rPr>
          <w:rFonts w:ascii="Times New Roman" w:hAnsi="Times New Roman" w:cs="Times New Roman"/>
          <w:color w:val="000000"/>
          <w:sz w:val="24"/>
          <w:szCs w:val="24"/>
          <w:lang w:val="en-GB"/>
        </w:rPr>
        <w:t>‘</w:t>
      </w:r>
      <w:r w:rsidR="004122B4" w:rsidRPr="00DF5227">
        <w:rPr>
          <w:rFonts w:ascii="Times New Roman" w:hAnsi="Times New Roman" w:cs="Times New Roman"/>
          <w:color w:val="000000"/>
          <w:sz w:val="24"/>
          <w:szCs w:val="24"/>
          <w:lang w:val="en-GB"/>
        </w:rPr>
        <w:t>social Europe</w:t>
      </w:r>
      <w:r w:rsidR="00726CB2" w:rsidRPr="00DF5227">
        <w:rPr>
          <w:rFonts w:ascii="Times New Roman" w:hAnsi="Times New Roman" w:cs="Times New Roman"/>
          <w:color w:val="000000"/>
          <w:sz w:val="24"/>
          <w:szCs w:val="24"/>
          <w:lang w:val="en-GB"/>
        </w:rPr>
        <w:t>’</w:t>
      </w:r>
      <w:r w:rsidR="004122B4" w:rsidRPr="00DF5227">
        <w:rPr>
          <w:rFonts w:ascii="Times New Roman" w:hAnsi="Times New Roman" w:cs="Times New Roman"/>
          <w:color w:val="000000"/>
          <w:sz w:val="24"/>
          <w:szCs w:val="24"/>
          <w:lang w:val="en-GB"/>
        </w:rPr>
        <w:t xml:space="preserve"> </w:t>
      </w:r>
      <w:r w:rsidR="004F11BE" w:rsidRPr="00DF5227">
        <w:rPr>
          <w:rFonts w:ascii="Times New Roman" w:hAnsi="Times New Roman" w:cs="Times New Roman"/>
          <w:color w:val="000000"/>
          <w:sz w:val="24"/>
          <w:szCs w:val="24"/>
          <w:lang w:val="en-GB"/>
        </w:rPr>
        <w:t>(</w:t>
      </w:r>
      <w:r w:rsidR="004F11BE" w:rsidRPr="00DF5227">
        <w:rPr>
          <w:rFonts w:ascii="Times New Roman" w:hAnsi="Times New Roman" w:cs="Times New Roman"/>
          <w:sz w:val="24"/>
          <w:szCs w:val="24"/>
          <w:lang w:val="en-GB"/>
        </w:rPr>
        <w:t xml:space="preserve">Macrae 2010; Rovisco 2010) </w:t>
      </w:r>
      <w:r w:rsidR="004122B4" w:rsidRPr="00DF5227">
        <w:rPr>
          <w:rFonts w:ascii="Times New Roman" w:hAnsi="Times New Roman" w:cs="Times New Roman"/>
          <w:color w:val="000000"/>
          <w:sz w:val="24"/>
          <w:szCs w:val="24"/>
          <w:lang w:val="en-GB"/>
        </w:rPr>
        <w:t>(</w:t>
      </w:r>
      <w:r w:rsidR="00C873D6" w:rsidRPr="00DF5227">
        <w:rPr>
          <w:rFonts w:ascii="Times New Roman" w:hAnsi="Times New Roman" w:cs="Times New Roman"/>
          <w:color w:val="000000"/>
          <w:sz w:val="24"/>
          <w:szCs w:val="24"/>
          <w:lang w:val="en-GB"/>
        </w:rPr>
        <w:t xml:space="preserve">see </w:t>
      </w:r>
      <w:r w:rsidR="004122B4" w:rsidRPr="00DF5227">
        <w:rPr>
          <w:rFonts w:ascii="Times New Roman" w:hAnsi="Times New Roman" w:cs="Times New Roman"/>
          <w:color w:val="000000"/>
          <w:sz w:val="24"/>
          <w:szCs w:val="24"/>
          <w:lang w:val="en-GB"/>
        </w:rPr>
        <w:t>Lynggaard et al. 2014: 3).</w:t>
      </w:r>
      <w:r w:rsidR="00726CB2" w:rsidRPr="00DF5227">
        <w:rPr>
          <w:rFonts w:ascii="Times New Roman" w:hAnsi="Times New Roman" w:cs="Times New Roman"/>
          <w:color w:val="000000"/>
          <w:sz w:val="24"/>
          <w:szCs w:val="24"/>
          <w:lang w:val="en-GB"/>
        </w:rPr>
        <w:t xml:space="preserve"> </w:t>
      </w:r>
      <w:r w:rsidR="00B9393D" w:rsidRPr="00DF5227">
        <w:rPr>
          <w:rFonts w:ascii="Times New Roman" w:hAnsi="Times New Roman" w:cs="Times New Roman"/>
          <w:color w:val="000000"/>
          <w:sz w:val="24"/>
          <w:szCs w:val="24"/>
          <w:lang w:val="en-GB"/>
        </w:rPr>
        <w:t>In this way t</w:t>
      </w:r>
      <w:r w:rsidR="00C873D6" w:rsidRPr="00DF5227">
        <w:rPr>
          <w:rFonts w:ascii="Times New Roman" w:hAnsi="Times New Roman" w:cs="Times New Roman"/>
          <w:color w:val="000000"/>
          <w:sz w:val="24"/>
          <w:szCs w:val="24"/>
          <w:lang w:val="en-GB"/>
        </w:rPr>
        <w:t xml:space="preserve">he Europe </w:t>
      </w:r>
      <w:r w:rsidR="00EF6E53" w:rsidRPr="00DF5227">
        <w:rPr>
          <w:rFonts w:ascii="Times New Roman" w:hAnsi="Times New Roman" w:cs="Times New Roman"/>
          <w:sz w:val="24"/>
          <w:szCs w:val="24"/>
          <w:lang w:val="en-GB"/>
        </w:rPr>
        <w:t>2020 draws both on past EU symbols and myths</w:t>
      </w:r>
      <w:r w:rsidR="00A542FB" w:rsidRPr="00DF5227">
        <w:rPr>
          <w:rFonts w:ascii="Times New Roman" w:hAnsi="Times New Roman" w:cs="Times New Roman"/>
          <w:sz w:val="24"/>
          <w:szCs w:val="24"/>
          <w:lang w:val="en-GB"/>
        </w:rPr>
        <w:t>,</w:t>
      </w:r>
      <w:r w:rsidR="00EF6E53" w:rsidRPr="00DF5227">
        <w:rPr>
          <w:rFonts w:ascii="Times New Roman" w:hAnsi="Times New Roman" w:cs="Times New Roman"/>
          <w:sz w:val="24"/>
          <w:szCs w:val="24"/>
          <w:lang w:val="en-GB"/>
        </w:rPr>
        <w:t xml:space="preserve"> </w:t>
      </w:r>
      <w:r w:rsidR="00A542FB" w:rsidRPr="00DF5227">
        <w:rPr>
          <w:rFonts w:ascii="Times New Roman" w:hAnsi="Times New Roman" w:cs="Times New Roman"/>
          <w:sz w:val="24"/>
          <w:szCs w:val="24"/>
          <w:lang w:val="en-GB"/>
        </w:rPr>
        <w:t xml:space="preserve">but arguably also </w:t>
      </w:r>
      <w:r w:rsidR="00EF6E53" w:rsidRPr="00DF5227">
        <w:rPr>
          <w:rFonts w:ascii="Times New Roman" w:hAnsi="Times New Roman" w:cs="Times New Roman"/>
          <w:sz w:val="24"/>
          <w:szCs w:val="24"/>
          <w:lang w:val="en-GB"/>
        </w:rPr>
        <w:t>create</w:t>
      </w:r>
      <w:r w:rsidR="00C873D6" w:rsidRPr="00DF5227">
        <w:rPr>
          <w:rFonts w:ascii="Times New Roman" w:hAnsi="Times New Roman" w:cs="Times New Roman"/>
          <w:sz w:val="24"/>
          <w:szCs w:val="24"/>
          <w:lang w:val="en-GB"/>
        </w:rPr>
        <w:t>s</w:t>
      </w:r>
      <w:r w:rsidR="00EF6E53" w:rsidRPr="00DF5227">
        <w:rPr>
          <w:rFonts w:ascii="Times New Roman" w:hAnsi="Times New Roman" w:cs="Times New Roman"/>
          <w:sz w:val="24"/>
          <w:szCs w:val="24"/>
          <w:lang w:val="en-GB"/>
        </w:rPr>
        <w:t xml:space="preserve"> expectations about the future of European integration. </w:t>
      </w:r>
      <w:r w:rsidR="006074C0" w:rsidRPr="00DF5227">
        <w:rPr>
          <w:rFonts w:ascii="Times New Roman" w:hAnsi="Times New Roman" w:cs="Times New Roman"/>
          <w:sz w:val="24"/>
          <w:szCs w:val="24"/>
          <w:lang w:val="en-GB"/>
        </w:rPr>
        <w:t xml:space="preserve">In that sense it represents a view on </w:t>
      </w:r>
      <w:r w:rsidR="001B49CB" w:rsidRPr="00DF5227">
        <w:rPr>
          <w:rFonts w:ascii="Times New Roman" w:hAnsi="Times New Roman" w:cs="Times New Roman"/>
          <w:sz w:val="24"/>
          <w:szCs w:val="24"/>
          <w:lang w:val="en-GB"/>
        </w:rPr>
        <w:t>‘</w:t>
      </w:r>
      <w:r w:rsidR="006074C0" w:rsidRPr="00DF5227">
        <w:rPr>
          <w:rFonts w:ascii="Times New Roman" w:hAnsi="Times New Roman" w:cs="Times New Roman"/>
          <w:sz w:val="24"/>
          <w:szCs w:val="24"/>
          <w:lang w:val="en-GB"/>
        </w:rPr>
        <w:t>past futures’, described by Stråth (2005) (u</w:t>
      </w:r>
      <w:r w:rsidR="00EF6E53" w:rsidRPr="00DF5227">
        <w:rPr>
          <w:rFonts w:ascii="Times New Roman" w:hAnsi="Times New Roman" w:cs="Times New Roman"/>
          <w:sz w:val="24"/>
          <w:szCs w:val="24"/>
          <w:lang w:val="en-GB"/>
        </w:rPr>
        <w:t xml:space="preserve">sing </w:t>
      </w:r>
      <w:r w:rsidR="006074C0" w:rsidRPr="00DF5227">
        <w:rPr>
          <w:rFonts w:ascii="Times New Roman" w:hAnsi="Times New Roman" w:cs="Times New Roman"/>
          <w:sz w:val="24"/>
          <w:szCs w:val="24"/>
          <w:lang w:val="en-GB"/>
        </w:rPr>
        <w:t>K</w:t>
      </w:r>
      <w:r w:rsidR="00EF6E53" w:rsidRPr="00DF5227">
        <w:rPr>
          <w:rFonts w:ascii="Times New Roman" w:hAnsi="Times New Roman" w:cs="Times New Roman"/>
          <w:sz w:val="24"/>
          <w:szCs w:val="24"/>
          <w:lang w:val="en-GB"/>
        </w:rPr>
        <w:t>oselleck</w:t>
      </w:r>
      <w:r w:rsidR="006074C0" w:rsidRPr="00DF5227">
        <w:rPr>
          <w:rFonts w:ascii="Times New Roman" w:hAnsi="Times New Roman" w:cs="Times New Roman"/>
          <w:sz w:val="24"/>
          <w:szCs w:val="24"/>
          <w:lang w:val="en-GB"/>
        </w:rPr>
        <w:t>) as ‘[t]</w:t>
      </w:r>
      <w:r w:rsidR="00EF6E53" w:rsidRPr="00DF5227">
        <w:rPr>
          <w:rFonts w:ascii="Times New Roman" w:hAnsi="Times New Roman" w:cs="Times New Roman"/>
          <w:sz w:val="24"/>
          <w:szCs w:val="24"/>
          <w:lang w:val="en-GB"/>
        </w:rPr>
        <w:t>he processes in which collective memories are constructed are about the horizons of future expectations as much as about past experiences (p.</w:t>
      </w:r>
      <w:r w:rsidR="001B49CB" w:rsidRPr="00DF5227">
        <w:rPr>
          <w:rFonts w:ascii="Times New Roman" w:hAnsi="Times New Roman" w:cs="Times New Roman"/>
          <w:sz w:val="24"/>
          <w:szCs w:val="24"/>
          <w:lang w:val="en-GB"/>
        </w:rPr>
        <w:t xml:space="preserve"> 2</w:t>
      </w:r>
      <w:r w:rsidR="00EF6E53" w:rsidRPr="00DF5227">
        <w:rPr>
          <w:rFonts w:ascii="Times New Roman" w:hAnsi="Times New Roman" w:cs="Times New Roman"/>
          <w:sz w:val="24"/>
          <w:szCs w:val="24"/>
          <w:lang w:val="en-GB"/>
        </w:rPr>
        <w:t>6</w:t>
      </w:r>
      <w:r w:rsidR="001B49CB" w:rsidRPr="00DF5227">
        <w:rPr>
          <w:rFonts w:ascii="Times New Roman" w:hAnsi="Times New Roman" w:cs="Times New Roman"/>
          <w:sz w:val="24"/>
          <w:szCs w:val="24"/>
          <w:lang w:val="en-GB"/>
        </w:rPr>
        <w:t>0</w:t>
      </w:r>
      <w:r w:rsidR="00EF6E53" w:rsidRPr="00DF5227">
        <w:rPr>
          <w:rFonts w:ascii="Times New Roman" w:hAnsi="Times New Roman" w:cs="Times New Roman"/>
          <w:sz w:val="24"/>
          <w:szCs w:val="24"/>
          <w:lang w:val="en-GB"/>
        </w:rPr>
        <w:t>)</w:t>
      </w:r>
      <w:r w:rsidR="006074C0" w:rsidRPr="00DF5227">
        <w:rPr>
          <w:rFonts w:ascii="Times New Roman" w:hAnsi="Times New Roman" w:cs="Times New Roman"/>
          <w:sz w:val="24"/>
          <w:szCs w:val="24"/>
          <w:lang w:val="en-GB"/>
        </w:rPr>
        <w:t>.’</w:t>
      </w:r>
    </w:p>
    <w:p w:rsidR="0005356A" w:rsidRPr="00DF5227" w:rsidRDefault="002E0BB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While the </w:t>
      </w:r>
      <w:r w:rsidR="00317661" w:rsidRPr="00DF5227">
        <w:rPr>
          <w:rFonts w:ascii="Times New Roman" w:hAnsi="Times New Roman" w:cs="Times New Roman"/>
          <w:sz w:val="24"/>
          <w:szCs w:val="24"/>
          <w:lang w:val="en-GB"/>
        </w:rPr>
        <w:t xml:space="preserve">Europe </w:t>
      </w:r>
      <w:r w:rsidRPr="00DF5227">
        <w:rPr>
          <w:rFonts w:ascii="Times New Roman" w:hAnsi="Times New Roman" w:cs="Times New Roman"/>
          <w:sz w:val="24"/>
          <w:szCs w:val="24"/>
          <w:lang w:val="en-GB"/>
        </w:rPr>
        <w:t>2020 strategy in itself creates expectations about the future trajectory of European</w:t>
      </w:r>
      <w:r w:rsidR="00024E6F"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integration, both in general and quite specifically through strategy targets, the implications of </w:t>
      </w:r>
      <w:r w:rsidR="007A48AC" w:rsidRPr="00DF5227">
        <w:rPr>
          <w:rFonts w:ascii="Times New Roman" w:hAnsi="Times New Roman" w:cs="Times New Roman"/>
          <w:sz w:val="24"/>
          <w:szCs w:val="24"/>
          <w:lang w:val="en-GB"/>
        </w:rPr>
        <w:t>Europe 2020</w:t>
      </w:r>
      <w:r w:rsidRPr="00DF5227">
        <w:rPr>
          <w:rFonts w:ascii="Times New Roman" w:hAnsi="Times New Roman" w:cs="Times New Roman"/>
          <w:sz w:val="24"/>
          <w:szCs w:val="24"/>
          <w:lang w:val="en-GB"/>
        </w:rPr>
        <w:t xml:space="preserve"> very much depend on how it is received </w:t>
      </w:r>
      <w:r w:rsidR="00C24F36" w:rsidRPr="00DF5227">
        <w:rPr>
          <w:rFonts w:ascii="Times New Roman" w:hAnsi="Times New Roman" w:cs="Times New Roman"/>
          <w:sz w:val="24"/>
          <w:szCs w:val="24"/>
          <w:lang w:val="en-GB"/>
        </w:rPr>
        <w:t>by societal actors</w:t>
      </w:r>
      <w:r w:rsidRPr="00DF5227">
        <w:rPr>
          <w:rFonts w:ascii="Times New Roman" w:hAnsi="Times New Roman" w:cs="Times New Roman"/>
          <w:sz w:val="24"/>
          <w:szCs w:val="24"/>
          <w:lang w:val="en-GB"/>
        </w:rPr>
        <w:t xml:space="preserve">. </w:t>
      </w:r>
      <w:r w:rsidR="000530D8" w:rsidRPr="00DF5227">
        <w:rPr>
          <w:rFonts w:ascii="Times New Roman" w:hAnsi="Times New Roman" w:cs="Times New Roman"/>
          <w:sz w:val="24"/>
          <w:szCs w:val="24"/>
          <w:lang w:val="en-GB"/>
        </w:rPr>
        <w:t xml:space="preserve">Europe </w:t>
      </w:r>
      <w:r w:rsidR="00BE30B4" w:rsidRPr="00DF5227">
        <w:rPr>
          <w:rFonts w:ascii="Times New Roman" w:hAnsi="Times New Roman" w:cs="Times New Roman"/>
          <w:sz w:val="24"/>
          <w:szCs w:val="24"/>
          <w:lang w:val="en-GB"/>
        </w:rPr>
        <w:t xml:space="preserve">2020 was </w:t>
      </w:r>
      <w:r w:rsidR="00CD433F" w:rsidRPr="00DF5227">
        <w:rPr>
          <w:rFonts w:ascii="Times New Roman" w:hAnsi="Times New Roman" w:cs="Times New Roman"/>
          <w:sz w:val="24"/>
          <w:szCs w:val="24"/>
          <w:lang w:val="en-GB"/>
        </w:rPr>
        <w:t xml:space="preserve">formulated as </w:t>
      </w:r>
      <w:r w:rsidR="007B4FEB" w:rsidRPr="00DF5227">
        <w:rPr>
          <w:rFonts w:ascii="Times New Roman" w:hAnsi="Times New Roman" w:cs="Times New Roman"/>
          <w:sz w:val="24"/>
          <w:szCs w:val="24"/>
          <w:lang w:val="en-GB"/>
        </w:rPr>
        <w:t>a</w:t>
      </w:r>
      <w:r w:rsidR="00CD433F" w:rsidRPr="00DF5227">
        <w:rPr>
          <w:rFonts w:ascii="Times New Roman" w:hAnsi="Times New Roman" w:cs="Times New Roman"/>
          <w:sz w:val="24"/>
          <w:szCs w:val="24"/>
          <w:lang w:val="en-GB"/>
        </w:rPr>
        <w:t xml:space="preserve"> </w:t>
      </w:r>
      <w:r w:rsidR="00BE30B4" w:rsidRPr="00DF5227">
        <w:rPr>
          <w:rFonts w:ascii="Times New Roman" w:hAnsi="Times New Roman" w:cs="Times New Roman"/>
          <w:sz w:val="24"/>
          <w:szCs w:val="24"/>
          <w:lang w:val="en-GB"/>
        </w:rPr>
        <w:t xml:space="preserve">respond to the financial and economic crisis, </w:t>
      </w:r>
      <w:r w:rsidR="00141AD7" w:rsidRPr="00DF5227">
        <w:rPr>
          <w:rFonts w:ascii="Times New Roman" w:hAnsi="Times New Roman" w:cs="Times New Roman"/>
          <w:sz w:val="24"/>
          <w:szCs w:val="24"/>
          <w:lang w:val="en-GB"/>
        </w:rPr>
        <w:t xml:space="preserve">and </w:t>
      </w:r>
      <w:r w:rsidR="00BE30B4" w:rsidRPr="00DF5227">
        <w:rPr>
          <w:rFonts w:ascii="Times New Roman" w:hAnsi="Times New Roman" w:cs="Times New Roman"/>
          <w:sz w:val="24"/>
          <w:szCs w:val="24"/>
          <w:lang w:val="en-GB"/>
        </w:rPr>
        <w:t xml:space="preserve">particularly </w:t>
      </w:r>
      <w:r w:rsidR="00141AD7" w:rsidRPr="00DF5227">
        <w:rPr>
          <w:rFonts w:ascii="Times New Roman" w:hAnsi="Times New Roman" w:cs="Times New Roman"/>
          <w:sz w:val="24"/>
          <w:szCs w:val="24"/>
          <w:lang w:val="en-GB"/>
        </w:rPr>
        <w:t xml:space="preserve">the initiative can be </w:t>
      </w:r>
      <w:r w:rsidR="00CD433F" w:rsidRPr="00DF5227">
        <w:rPr>
          <w:rFonts w:ascii="Times New Roman" w:hAnsi="Times New Roman" w:cs="Times New Roman"/>
          <w:sz w:val="24"/>
          <w:szCs w:val="24"/>
          <w:lang w:val="en-GB"/>
        </w:rPr>
        <w:t>viewed</w:t>
      </w:r>
      <w:r w:rsidR="00141AD7" w:rsidRPr="00DF5227">
        <w:rPr>
          <w:rFonts w:ascii="Times New Roman" w:hAnsi="Times New Roman" w:cs="Times New Roman"/>
          <w:sz w:val="24"/>
          <w:szCs w:val="24"/>
          <w:lang w:val="en-GB"/>
        </w:rPr>
        <w:t xml:space="preserve"> as </w:t>
      </w:r>
      <w:r w:rsidR="007B4FEB" w:rsidRPr="00DF5227">
        <w:rPr>
          <w:rFonts w:ascii="Times New Roman" w:hAnsi="Times New Roman" w:cs="Times New Roman"/>
          <w:sz w:val="24"/>
          <w:szCs w:val="24"/>
          <w:lang w:val="en-GB"/>
        </w:rPr>
        <w:t>accidence</w:t>
      </w:r>
      <w:r w:rsidR="00141AD7" w:rsidRPr="00DF5227">
        <w:rPr>
          <w:rFonts w:ascii="Times New Roman" w:hAnsi="Times New Roman" w:cs="Times New Roman"/>
          <w:sz w:val="24"/>
          <w:szCs w:val="24"/>
          <w:lang w:val="en-GB"/>
        </w:rPr>
        <w:t xml:space="preserve"> to critiques of what by some was seen as one-sided </w:t>
      </w:r>
      <w:r w:rsidR="00BE30B4" w:rsidRPr="00DF5227">
        <w:rPr>
          <w:rFonts w:ascii="Times New Roman" w:hAnsi="Times New Roman" w:cs="Times New Roman"/>
          <w:sz w:val="24"/>
          <w:szCs w:val="24"/>
          <w:lang w:val="en-GB"/>
        </w:rPr>
        <w:t xml:space="preserve">austerity </w:t>
      </w:r>
      <w:r w:rsidR="00141AD7" w:rsidRPr="00DF5227">
        <w:rPr>
          <w:rFonts w:ascii="Times New Roman" w:hAnsi="Times New Roman" w:cs="Times New Roman"/>
          <w:sz w:val="24"/>
          <w:szCs w:val="24"/>
          <w:lang w:val="en-GB"/>
        </w:rPr>
        <w:t xml:space="preserve">EU </w:t>
      </w:r>
      <w:r w:rsidR="00BE30B4" w:rsidRPr="00DF5227">
        <w:rPr>
          <w:rFonts w:ascii="Times New Roman" w:hAnsi="Times New Roman" w:cs="Times New Roman"/>
          <w:sz w:val="24"/>
          <w:szCs w:val="24"/>
          <w:lang w:val="en-GB"/>
        </w:rPr>
        <w:t>polic</w:t>
      </w:r>
      <w:r w:rsidR="00141AD7" w:rsidRPr="00DF5227">
        <w:rPr>
          <w:rFonts w:ascii="Times New Roman" w:hAnsi="Times New Roman" w:cs="Times New Roman"/>
          <w:sz w:val="24"/>
          <w:szCs w:val="24"/>
          <w:lang w:val="en-GB"/>
        </w:rPr>
        <w:t xml:space="preserve">ies at the time. </w:t>
      </w:r>
      <w:r w:rsidR="00BE30B4" w:rsidRPr="00DF5227">
        <w:rPr>
          <w:rFonts w:ascii="Times New Roman" w:hAnsi="Times New Roman" w:cs="Times New Roman"/>
          <w:sz w:val="24"/>
          <w:szCs w:val="24"/>
          <w:lang w:val="en-GB"/>
        </w:rPr>
        <w:t xml:space="preserve">Launching </w:t>
      </w:r>
      <w:r w:rsidR="000530D8" w:rsidRPr="00DF5227">
        <w:rPr>
          <w:rFonts w:ascii="Times New Roman" w:hAnsi="Times New Roman" w:cs="Times New Roman"/>
          <w:sz w:val="24"/>
          <w:szCs w:val="24"/>
          <w:lang w:val="en-GB"/>
        </w:rPr>
        <w:t xml:space="preserve">Europe 2020 </w:t>
      </w:r>
      <w:r w:rsidR="00BE30B4" w:rsidRPr="00DF5227">
        <w:rPr>
          <w:rFonts w:ascii="Times New Roman" w:hAnsi="Times New Roman" w:cs="Times New Roman"/>
          <w:sz w:val="24"/>
          <w:szCs w:val="24"/>
          <w:lang w:val="en-GB"/>
        </w:rPr>
        <w:t xml:space="preserve">the </w:t>
      </w:r>
      <w:r w:rsidR="00545806" w:rsidRPr="00DF5227">
        <w:rPr>
          <w:rFonts w:ascii="Times New Roman" w:hAnsi="Times New Roman" w:cs="Times New Roman"/>
          <w:sz w:val="24"/>
          <w:szCs w:val="24"/>
          <w:lang w:val="en-GB"/>
        </w:rPr>
        <w:t xml:space="preserve">European Commission President Barroso </w:t>
      </w:r>
      <w:r w:rsidR="00BE30B4" w:rsidRPr="00DF5227">
        <w:rPr>
          <w:rFonts w:ascii="Times New Roman" w:hAnsi="Times New Roman" w:cs="Times New Roman"/>
          <w:sz w:val="24"/>
          <w:szCs w:val="24"/>
          <w:lang w:val="en-GB"/>
        </w:rPr>
        <w:t xml:space="preserve">recognized that: </w:t>
      </w:r>
      <w:r w:rsidR="007A48AC" w:rsidRPr="00DF5227">
        <w:rPr>
          <w:rFonts w:ascii="Times New Roman" w:hAnsi="Times New Roman" w:cs="Times New Roman"/>
          <w:i/>
          <w:sz w:val="24"/>
          <w:szCs w:val="24"/>
          <w:lang w:val="en-GB"/>
        </w:rPr>
        <w:t>“</w:t>
      </w:r>
      <w:r w:rsidR="00D6187B" w:rsidRPr="00DF5227">
        <w:rPr>
          <w:rFonts w:ascii="Times New Roman" w:hAnsi="Times New Roman" w:cs="Times New Roman"/>
          <w:i/>
          <w:sz w:val="24"/>
          <w:szCs w:val="24"/>
          <w:lang w:val="en-GB"/>
        </w:rPr>
        <w:t xml:space="preserve">The condition for success is a real ownership by European leaders and institutions. Our new agenda </w:t>
      </w:r>
      <w:r w:rsidR="00D6187B" w:rsidRPr="00DF5227">
        <w:rPr>
          <w:rFonts w:ascii="Times New Roman" w:hAnsi="Times New Roman" w:cs="Times New Roman"/>
          <w:i/>
          <w:sz w:val="24"/>
          <w:szCs w:val="24"/>
          <w:lang w:val="en-GB"/>
        </w:rPr>
        <w:lastRenderedPageBreak/>
        <w:t>requires a coordinated European response, including with social partners and civil society. If we act together, then we can fight back and come out of the crisis stronger. We have the new tools and the new ambition. Now we need to make it happen (Barroso in Commission 2010: 4).</w:t>
      </w:r>
      <w:r w:rsidR="007A48AC" w:rsidRPr="00DF5227">
        <w:rPr>
          <w:rFonts w:ascii="Times New Roman" w:hAnsi="Times New Roman" w:cs="Times New Roman"/>
          <w:i/>
          <w:sz w:val="24"/>
          <w:szCs w:val="24"/>
          <w:lang w:val="en-GB"/>
        </w:rPr>
        <w:t>”</w:t>
      </w:r>
      <w:r w:rsidR="00141AD7" w:rsidRPr="00DF5227">
        <w:rPr>
          <w:rFonts w:ascii="Times New Roman" w:hAnsi="Times New Roman" w:cs="Times New Roman"/>
          <w:sz w:val="24"/>
          <w:szCs w:val="24"/>
          <w:lang w:val="en-GB"/>
        </w:rPr>
        <w:t xml:space="preserve"> </w:t>
      </w:r>
      <w:r w:rsidR="00916DA9" w:rsidRPr="00DF5227">
        <w:rPr>
          <w:rFonts w:ascii="Times New Roman" w:hAnsi="Times New Roman" w:cs="Times New Roman"/>
          <w:sz w:val="24"/>
          <w:szCs w:val="24"/>
          <w:lang w:val="en-GB"/>
        </w:rPr>
        <w:t xml:space="preserve">My </w:t>
      </w:r>
      <w:r w:rsidR="00141AD7" w:rsidRPr="00DF5227">
        <w:rPr>
          <w:rFonts w:ascii="Times New Roman" w:hAnsi="Times New Roman" w:cs="Times New Roman"/>
          <w:sz w:val="24"/>
          <w:szCs w:val="24"/>
          <w:lang w:val="en-GB"/>
        </w:rPr>
        <w:t xml:space="preserve">focus here is on </w:t>
      </w:r>
      <w:r w:rsidR="003B2A99" w:rsidRPr="00DF5227">
        <w:rPr>
          <w:rFonts w:ascii="Times New Roman" w:hAnsi="Times New Roman" w:cs="Times New Roman"/>
          <w:sz w:val="24"/>
          <w:szCs w:val="24"/>
          <w:lang w:val="en-GB"/>
        </w:rPr>
        <w:t xml:space="preserve">to what extend this ownership </w:t>
      </w:r>
      <w:r w:rsidR="00887E33" w:rsidRPr="00DF5227">
        <w:rPr>
          <w:rFonts w:ascii="Times New Roman" w:hAnsi="Times New Roman" w:cs="Times New Roman"/>
          <w:sz w:val="24"/>
          <w:szCs w:val="24"/>
          <w:lang w:val="en-GB"/>
        </w:rPr>
        <w:t xml:space="preserve">in fact has </w:t>
      </w:r>
      <w:r w:rsidR="003B2A99" w:rsidRPr="00DF5227">
        <w:rPr>
          <w:rFonts w:ascii="Times New Roman" w:hAnsi="Times New Roman" w:cs="Times New Roman"/>
          <w:sz w:val="24"/>
          <w:szCs w:val="24"/>
          <w:lang w:val="en-GB"/>
        </w:rPr>
        <w:t xml:space="preserve">materialized among </w:t>
      </w:r>
      <w:r w:rsidR="00C62CAA" w:rsidRPr="00DF5227">
        <w:rPr>
          <w:rFonts w:ascii="Times New Roman" w:hAnsi="Times New Roman" w:cs="Times New Roman"/>
          <w:sz w:val="24"/>
          <w:szCs w:val="24"/>
          <w:lang w:val="en-GB"/>
        </w:rPr>
        <w:t>pan-EU NGOs</w:t>
      </w:r>
      <w:r w:rsidR="003B2A99" w:rsidRPr="00DF5227">
        <w:rPr>
          <w:rFonts w:ascii="Times New Roman" w:hAnsi="Times New Roman" w:cs="Times New Roman"/>
          <w:sz w:val="24"/>
          <w:szCs w:val="24"/>
          <w:lang w:val="en-GB"/>
        </w:rPr>
        <w:t>, especially the role</w:t>
      </w:r>
      <w:r w:rsidR="00887E33" w:rsidRPr="00DF5227">
        <w:rPr>
          <w:rFonts w:ascii="Times New Roman" w:hAnsi="Times New Roman" w:cs="Times New Roman"/>
          <w:sz w:val="24"/>
          <w:szCs w:val="24"/>
          <w:lang w:val="en-GB"/>
        </w:rPr>
        <w:t>s</w:t>
      </w:r>
      <w:r w:rsidR="003B2A99" w:rsidRPr="00DF5227">
        <w:rPr>
          <w:rFonts w:ascii="Times New Roman" w:hAnsi="Times New Roman" w:cs="Times New Roman"/>
          <w:sz w:val="24"/>
          <w:szCs w:val="24"/>
          <w:lang w:val="en-GB"/>
        </w:rPr>
        <w:t xml:space="preserve"> of symbols and myths in the reception of the strategy. </w:t>
      </w:r>
    </w:p>
    <w:p w:rsidR="00D6187B" w:rsidRPr="00DF5227" w:rsidRDefault="00887E33"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The </w:t>
      </w:r>
      <w:r w:rsidR="00AE7CC1" w:rsidRPr="00DF5227">
        <w:rPr>
          <w:rFonts w:ascii="Times New Roman" w:hAnsi="Times New Roman" w:cs="Times New Roman"/>
          <w:sz w:val="24"/>
          <w:szCs w:val="24"/>
          <w:lang w:val="en-GB"/>
        </w:rPr>
        <w:t>remain</w:t>
      </w:r>
      <w:r w:rsidR="007A48AC" w:rsidRPr="00DF5227">
        <w:rPr>
          <w:rFonts w:ascii="Times New Roman" w:hAnsi="Times New Roman" w:cs="Times New Roman"/>
          <w:sz w:val="24"/>
          <w:szCs w:val="24"/>
          <w:lang w:val="en-GB"/>
        </w:rPr>
        <w:t>s</w:t>
      </w:r>
      <w:r w:rsidR="00AE7CC1" w:rsidRPr="00DF5227">
        <w:rPr>
          <w:rFonts w:ascii="Times New Roman" w:hAnsi="Times New Roman" w:cs="Times New Roman"/>
          <w:sz w:val="24"/>
          <w:szCs w:val="24"/>
          <w:lang w:val="en-GB"/>
        </w:rPr>
        <w:t xml:space="preserve"> of the </w:t>
      </w:r>
      <w:r w:rsidRPr="00DF5227">
        <w:rPr>
          <w:rFonts w:ascii="Times New Roman" w:hAnsi="Times New Roman" w:cs="Times New Roman"/>
          <w:sz w:val="24"/>
          <w:szCs w:val="24"/>
          <w:lang w:val="en-GB"/>
        </w:rPr>
        <w:t>paper is organised as follows:</w:t>
      </w:r>
      <w:r w:rsidR="00AE7CC1" w:rsidRPr="00DF5227">
        <w:rPr>
          <w:rFonts w:ascii="Times New Roman" w:hAnsi="Times New Roman" w:cs="Times New Roman"/>
          <w:sz w:val="24"/>
          <w:szCs w:val="24"/>
          <w:lang w:val="en-GB"/>
        </w:rPr>
        <w:t xml:space="preserve"> section II establishes a conceptual framework for ‘the politics of symbols and myths in European integration’, section III outline ‘research design and techniques’, followed by an empirical analysis in section IV. Conclusions are made in the final section V. </w:t>
      </w:r>
      <w:r w:rsidRPr="00DF5227">
        <w:rPr>
          <w:rFonts w:ascii="Times New Roman" w:hAnsi="Times New Roman" w:cs="Times New Roman"/>
          <w:sz w:val="24"/>
          <w:szCs w:val="24"/>
          <w:lang w:val="en-GB"/>
        </w:rPr>
        <w:t xml:space="preserve"> </w:t>
      </w:r>
      <w:r w:rsidR="003B2A99" w:rsidRPr="00DF5227">
        <w:rPr>
          <w:rFonts w:ascii="Times New Roman" w:hAnsi="Times New Roman" w:cs="Times New Roman"/>
          <w:sz w:val="24"/>
          <w:szCs w:val="24"/>
          <w:lang w:val="en-GB"/>
        </w:rPr>
        <w:t xml:space="preserve">  </w:t>
      </w:r>
    </w:p>
    <w:p w:rsidR="007A521C" w:rsidRPr="00DF5227" w:rsidRDefault="007A521C" w:rsidP="00BC5346">
      <w:pPr>
        <w:spacing w:line="360" w:lineRule="auto"/>
        <w:jc w:val="both"/>
        <w:rPr>
          <w:rFonts w:ascii="Times New Roman" w:hAnsi="Times New Roman" w:cs="Times New Roman"/>
          <w:b/>
          <w:sz w:val="24"/>
          <w:szCs w:val="24"/>
          <w:lang w:val="en-GB"/>
        </w:rPr>
      </w:pPr>
    </w:p>
    <w:p w:rsidR="00B16693" w:rsidRPr="00DF5227" w:rsidRDefault="00B16693"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t>II. The Politics of Symbols and Myths</w:t>
      </w:r>
      <w:r w:rsidR="00887E33" w:rsidRPr="00DF5227">
        <w:rPr>
          <w:rFonts w:ascii="Times New Roman" w:hAnsi="Times New Roman" w:cs="Times New Roman"/>
          <w:b/>
          <w:sz w:val="24"/>
          <w:szCs w:val="24"/>
          <w:lang w:val="en-GB"/>
        </w:rPr>
        <w:t xml:space="preserve"> in European integration</w:t>
      </w:r>
    </w:p>
    <w:p w:rsidR="009879E0" w:rsidRPr="00DF5227" w:rsidRDefault="005C0C9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Symbols and myths </w:t>
      </w:r>
      <w:r w:rsidR="006D356A" w:rsidRPr="00DF5227">
        <w:rPr>
          <w:rFonts w:ascii="Times New Roman" w:hAnsi="Times New Roman" w:cs="Times New Roman"/>
          <w:sz w:val="24"/>
          <w:szCs w:val="24"/>
          <w:lang w:val="en-GB"/>
        </w:rPr>
        <w:t>are</w:t>
      </w:r>
      <w:r w:rsidRPr="00DF5227">
        <w:rPr>
          <w:rFonts w:ascii="Times New Roman" w:hAnsi="Times New Roman" w:cs="Times New Roman"/>
          <w:sz w:val="24"/>
          <w:szCs w:val="24"/>
          <w:lang w:val="en-GB"/>
        </w:rPr>
        <w:t xml:space="preserve"> </w:t>
      </w:r>
      <w:r w:rsidR="002F67EE" w:rsidRPr="00DF5227">
        <w:rPr>
          <w:rFonts w:ascii="Times New Roman" w:hAnsi="Times New Roman" w:cs="Times New Roman"/>
          <w:sz w:val="24"/>
          <w:szCs w:val="24"/>
          <w:lang w:val="en-GB"/>
        </w:rPr>
        <w:t xml:space="preserve">first and foremost </w:t>
      </w:r>
      <w:r w:rsidRPr="00DF5227">
        <w:rPr>
          <w:rFonts w:ascii="Times New Roman" w:hAnsi="Times New Roman" w:cs="Times New Roman"/>
          <w:sz w:val="24"/>
          <w:szCs w:val="24"/>
          <w:lang w:val="en-GB"/>
        </w:rPr>
        <w:t>associated with the EU identity politics and political legitimacy</w:t>
      </w:r>
      <w:r w:rsidR="000D2CE5" w:rsidRPr="00DF5227">
        <w:rPr>
          <w:rFonts w:ascii="Times New Roman" w:hAnsi="Times New Roman" w:cs="Times New Roman"/>
          <w:sz w:val="24"/>
          <w:szCs w:val="24"/>
          <w:lang w:val="en-GB"/>
        </w:rPr>
        <w:t xml:space="preserve">. </w:t>
      </w:r>
      <w:r w:rsidR="00917F76" w:rsidRPr="00DF5227">
        <w:rPr>
          <w:rFonts w:ascii="Times New Roman" w:hAnsi="Times New Roman" w:cs="Times New Roman"/>
          <w:sz w:val="24"/>
          <w:szCs w:val="24"/>
          <w:lang w:val="en-GB"/>
        </w:rPr>
        <w:t xml:space="preserve">We have seen how </w:t>
      </w:r>
      <w:r w:rsidR="00B304D2" w:rsidRPr="00DF5227">
        <w:rPr>
          <w:rFonts w:ascii="Times New Roman" w:hAnsi="Times New Roman" w:cs="Times New Roman"/>
          <w:sz w:val="24"/>
          <w:szCs w:val="24"/>
          <w:lang w:val="en-GB"/>
        </w:rPr>
        <w:t xml:space="preserve">exposure to </w:t>
      </w:r>
      <w:r w:rsidR="00917F76" w:rsidRPr="00DF5227">
        <w:rPr>
          <w:rFonts w:ascii="Times New Roman" w:hAnsi="Times New Roman" w:cs="Times New Roman"/>
          <w:sz w:val="24"/>
          <w:szCs w:val="24"/>
          <w:lang w:val="en-GB"/>
        </w:rPr>
        <w:t xml:space="preserve">EU symbols such as maps of Europe, the flag, passport </w:t>
      </w:r>
      <w:r w:rsidR="00B304D2" w:rsidRPr="00DF5227">
        <w:rPr>
          <w:rFonts w:ascii="Times New Roman" w:hAnsi="Times New Roman" w:cs="Times New Roman"/>
          <w:sz w:val="24"/>
          <w:szCs w:val="24"/>
          <w:lang w:val="en-GB"/>
        </w:rPr>
        <w:t xml:space="preserve">and so on, </w:t>
      </w:r>
      <w:r w:rsidR="00917F76" w:rsidRPr="00DF5227">
        <w:rPr>
          <w:rFonts w:ascii="Times New Roman" w:hAnsi="Times New Roman" w:cs="Times New Roman"/>
          <w:sz w:val="24"/>
          <w:szCs w:val="24"/>
          <w:lang w:val="en-GB"/>
        </w:rPr>
        <w:t>ha</w:t>
      </w:r>
      <w:r w:rsidR="00B304D2" w:rsidRPr="00DF5227">
        <w:rPr>
          <w:rFonts w:ascii="Times New Roman" w:hAnsi="Times New Roman" w:cs="Times New Roman"/>
          <w:sz w:val="24"/>
          <w:szCs w:val="24"/>
          <w:lang w:val="en-GB"/>
        </w:rPr>
        <w:t>ve</w:t>
      </w:r>
      <w:r w:rsidR="00917F76" w:rsidRPr="00DF5227">
        <w:rPr>
          <w:rFonts w:ascii="Times New Roman" w:hAnsi="Times New Roman" w:cs="Times New Roman"/>
          <w:sz w:val="24"/>
          <w:szCs w:val="24"/>
          <w:lang w:val="en-GB"/>
        </w:rPr>
        <w:t xml:space="preserve"> immediate and strong effect</w:t>
      </w:r>
      <w:r w:rsidR="00B304D2" w:rsidRPr="00DF5227">
        <w:rPr>
          <w:rFonts w:ascii="Times New Roman" w:hAnsi="Times New Roman" w:cs="Times New Roman"/>
          <w:sz w:val="24"/>
          <w:szCs w:val="24"/>
          <w:lang w:val="en-GB"/>
        </w:rPr>
        <w:t>s</w:t>
      </w:r>
      <w:r w:rsidR="00917F76" w:rsidRPr="00DF5227">
        <w:rPr>
          <w:rFonts w:ascii="Times New Roman" w:hAnsi="Times New Roman" w:cs="Times New Roman"/>
          <w:sz w:val="24"/>
          <w:szCs w:val="24"/>
          <w:lang w:val="en-GB"/>
        </w:rPr>
        <w:t xml:space="preserve"> on citizens feeling of </w:t>
      </w:r>
      <w:r w:rsidR="00B304D2" w:rsidRPr="00DF5227">
        <w:rPr>
          <w:rFonts w:ascii="Times New Roman" w:hAnsi="Times New Roman" w:cs="Times New Roman"/>
          <w:sz w:val="24"/>
          <w:szCs w:val="24"/>
          <w:lang w:val="en-GB"/>
        </w:rPr>
        <w:t>belonging to Europe</w:t>
      </w:r>
      <w:r w:rsidR="00917F76" w:rsidRPr="00DF5227">
        <w:rPr>
          <w:rFonts w:ascii="Times New Roman" w:hAnsi="Times New Roman" w:cs="Times New Roman"/>
          <w:sz w:val="24"/>
          <w:szCs w:val="24"/>
          <w:lang w:val="en-GB"/>
        </w:rPr>
        <w:t xml:space="preserve"> (Bruter 2003; 2009</w:t>
      </w:r>
      <w:r w:rsidR="00B304D2" w:rsidRPr="00DF5227">
        <w:rPr>
          <w:rFonts w:ascii="Times New Roman" w:hAnsi="Times New Roman" w:cs="Times New Roman"/>
          <w:sz w:val="24"/>
          <w:szCs w:val="24"/>
          <w:lang w:val="en-GB"/>
        </w:rPr>
        <w:t>). The relationship between EU symbols and political identity is typically seen as reciprocal</w:t>
      </w:r>
      <w:r w:rsidR="00491200" w:rsidRPr="00DF5227">
        <w:rPr>
          <w:rFonts w:ascii="Times New Roman" w:hAnsi="Times New Roman" w:cs="Times New Roman"/>
          <w:sz w:val="24"/>
          <w:szCs w:val="24"/>
          <w:lang w:val="en-GB"/>
        </w:rPr>
        <w:t xml:space="preserve">; </w:t>
      </w:r>
      <w:r w:rsidR="00C62E23" w:rsidRPr="00DF5227">
        <w:rPr>
          <w:rFonts w:ascii="Times New Roman" w:hAnsi="Times New Roman" w:cs="Times New Roman"/>
          <w:sz w:val="24"/>
          <w:szCs w:val="24"/>
          <w:lang w:val="en-GB"/>
        </w:rPr>
        <w:t xml:space="preserve">while EU symbols </w:t>
      </w:r>
      <w:r w:rsidR="00B25D3B" w:rsidRPr="00DF5227">
        <w:rPr>
          <w:rFonts w:ascii="Times New Roman" w:hAnsi="Times New Roman" w:cs="Times New Roman"/>
          <w:sz w:val="24"/>
          <w:szCs w:val="24"/>
          <w:lang w:val="en-GB"/>
        </w:rPr>
        <w:t xml:space="preserve">are tools in the construction of European identity, </w:t>
      </w:r>
      <w:r w:rsidR="00805D96" w:rsidRPr="00DF5227">
        <w:rPr>
          <w:rFonts w:ascii="Times New Roman" w:hAnsi="Times New Roman" w:cs="Times New Roman"/>
          <w:sz w:val="24"/>
          <w:szCs w:val="24"/>
          <w:lang w:val="en-GB"/>
        </w:rPr>
        <w:t xml:space="preserve">some level of collective identity </w:t>
      </w:r>
      <w:r w:rsidR="00C62E23" w:rsidRPr="00DF5227">
        <w:rPr>
          <w:rFonts w:ascii="Times New Roman" w:hAnsi="Times New Roman" w:cs="Times New Roman"/>
          <w:sz w:val="24"/>
          <w:szCs w:val="24"/>
          <w:lang w:val="en-GB"/>
        </w:rPr>
        <w:t xml:space="preserve">and institutional trust </w:t>
      </w:r>
      <w:r w:rsidR="00805D96" w:rsidRPr="00DF5227">
        <w:rPr>
          <w:rFonts w:ascii="Times New Roman" w:hAnsi="Times New Roman" w:cs="Times New Roman"/>
          <w:sz w:val="24"/>
          <w:szCs w:val="24"/>
          <w:lang w:val="en-GB"/>
        </w:rPr>
        <w:t xml:space="preserve">is required for symbols to take effect </w:t>
      </w:r>
      <w:r w:rsidR="000D2CE5" w:rsidRPr="00DF5227">
        <w:rPr>
          <w:rFonts w:ascii="Times New Roman" w:hAnsi="Times New Roman" w:cs="Times New Roman"/>
          <w:sz w:val="24"/>
          <w:szCs w:val="24"/>
          <w:lang w:val="en-GB"/>
        </w:rPr>
        <w:t>(Kaelberer 2004</w:t>
      </w:r>
      <w:r w:rsidR="00F36CA2" w:rsidRPr="00DF5227">
        <w:rPr>
          <w:rFonts w:ascii="Times New Roman" w:hAnsi="Times New Roman" w:cs="Times New Roman"/>
          <w:sz w:val="24"/>
          <w:szCs w:val="24"/>
          <w:lang w:val="en-GB"/>
        </w:rPr>
        <w:t>:</w:t>
      </w:r>
      <w:r w:rsidR="00805D96" w:rsidRPr="00DF5227">
        <w:rPr>
          <w:rFonts w:ascii="Times New Roman" w:hAnsi="Times New Roman" w:cs="Times New Roman"/>
          <w:sz w:val="24"/>
          <w:szCs w:val="24"/>
          <w:lang w:val="en-GB"/>
        </w:rPr>
        <w:t xml:space="preserve"> 177</w:t>
      </w:r>
      <w:r w:rsidR="000D2CE5" w:rsidRPr="00DF5227">
        <w:rPr>
          <w:rFonts w:ascii="Times New Roman" w:hAnsi="Times New Roman" w:cs="Times New Roman"/>
          <w:sz w:val="24"/>
          <w:szCs w:val="24"/>
          <w:lang w:val="en-GB"/>
        </w:rPr>
        <w:t>)</w:t>
      </w:r>
      <w:r w:rsidR="00805D96" w:rsidRPr="00DF5227">
        <w:rPr>
          <w:rFonts w:ascii="Times New Roman" w:hAnsi="Times New Roman" w:cs="Times New Roman"/>
          <w:sz w:val="24"/>
          <w:szCs w:val="24"/>
          <w:lang w:val="en-GB"/>
        </w:rPr>
        <w:t xml:space="preserve">. </w:t>
      </w:r>
      <w:r w:rsidR="009879E0" w:rsidRPr="00DF5227">
        <w:rPr>
          <w:rFonts w:ascii="Times New Roman" w:hAnsi="Times New Roman" w:cs="Times New Roman"/>
          <w:sz w:val="24"/>
          <w:szCs w:val="24"/>
          <w:lang w:val="en-GB"/>
        </w:rPr>
        <w:t xml:space="preserve">Myths are commonly seen as essential for the political legitimacy. In the broadest sense myths are shared ideas supplying citizens with a sense of ‘origin, continuity, historical memories, collective remembrance, common heritage and tradition, as well as a common destiny (Obradovic 1996: 196).’ Such foundational myths are the carriers of social solidarity and crucial for popular support to political institutions and </w:t>
      </w:r>
      <w:r w:rsidR="00B243AF" w:rsidRPr="00DF5227">
        <w:rPr>
          <w:rFonts w:ascii="Times New Roman" w:hAnsi="Times New Roman" w:cs="Times New Roman"/>
          <w:sz w:val="24"/>
          <w:szCs w:val="24"/>
          <w:lang w:val="en-GB"/>
        </w:rPr>
        <w:t>output</w:t>
      </w:r>
      <w:r w:rsidR="009879E0" w:rsidRPr="00DF5227">
        <w:rPr>
          <w:rFonts w:ascii="Times New Roman" w:hAnsi="Times New Roman" w:cs="Times New Roman"/>
          <w:sz w:val="24"/>
          <w:szCs w:val="24"/>
          <w:lang w:val="en-GB"/>
        </w:rPr>
        <w:t>. Views on the existence of foundational myths in Europe range from those arguing not only their absence, but also near impossibility among</w:t>
      </w:r>
      <w:r w:rsidR="006342FE" w:rsidRPr="00DF5227">
        <w:rPr>
          <w:rFonts w:ascii="Times New Roman" w:hAnsi="Times New Roman" w:cs="Times New Roman"/>
          <w:sz w:val="24"/>
          <w:szCs w:val="24"/>
          <w:lang w:val="en-GB"/>
        </w:rPr>
        <w:t>st</w:t>
      </w:r>
      <w:r w:rsidR="009879E0" w:rsidRPr="00DF5227">
        <w:rPr>
          <w:rFonts w:ascii="Times New Roman" w:hAnsi="Times New Roman" w:cs="Times New Roman"/>
          <w:sz w:val="24"/>
          <w:szCs w:val="24"/>
          <w:lang w:val="en-GB"/>
        </w:rPr>
        <w:t xml:space="preserve"> others due to the indistinctiveness of Europe as a geographical and cultural unity (Obradovic 1996); to those arguing that the successful construction of European integration as a rational, non-political and inevitable process is one such myth, and a powerful one, at the heart of Europe (Hansen and Williams 1999). This </w:t>
      </w:r>
      <w:r w:rsidR="006A4724" w:rsidRPr="00DF5227">
        <w:rPr>
          <w:rFonts w:ascii="Times New Roman" w:hAnsi="Times New Roman" w:cs="Times New Roman"/>
          <w:sz w:val="24"/>
          <w:szCs w:val="24"/>
          <w:lang w:val="en-GB"/>
        </w:rPr>
        <w:t xml:space="preserve">type </w:t>
      </w:r>
      <w:r w:rsidR="009879E0" w:rsidRPr="00DF5227">
        <w:rPr>
          <w:rFonts w:ascii="Times New Roman" w:hAnsi="Times New Roman" w:cs="Times New Roman"/>
          <w:sz w:val="24"/>
          <w:szCs w:val="24"/>
          <w:lang w:val="en-GB"/>
        </w:rPr>
        <w:t xml:space="preserve">discussion </w:t>
      </w:r>
      <w:r w:rsidR="006A4724" w:rsidRPr="00DF5227">
        <w:rPr>
          <w:rFonts w:ascii="Times New Roman" w:hAnsi="Times New Roman" w:cs="Times New Roman"/>
          <w:sz w:val="24"/>
          <w:szCs w:val="24"/>
          <w:lang w:val="en-GB"/>
        </w:rPr>
        <w:t xml:space="preserve">and literature </w:t>
      </w:r>
      <w:r w:rsidR="009879E0" w:rsidRPr="00DF5227">
        <w:rPr>
          <w:rFonts w:ascii="Times New Roman" w:hAnsi="Times New Roman" w:cs="Times New Roman"/>
          <w:sz w:val="24"/>
          <w:szCs w:val="24"/>
          <w:lang w:val="en-GB"/>
        </w:rPr>
        <w:t xml:space="preserve">is as relevant as ever. However, </w:t>
      </w:r>
      <w:r w:rsidR="000D3B7A" w:rsidRPr="00DF5227">
        <w:rPr>
          <w:rFonts w:ascii="Times New Roman" w:hAnsi="Times New Roman" w:cs="Times New Roman"/>
          <w:sz w:val="24"/>
          <w:szCs w:val="24"/>
          <w:lang w:val="en-GB"/>
        </w:rPr>
        <w:t>what it lacks</w:t>
      </w:r>
      <w:r w:rsidR="00C703EE" w:rsidRPr="00DF5227">
        <w:rPr>
          <w:rFonts w:ascii="Times New Roman" w:hAnsi="Times New Roman" w:cs="Times New Roman"/>
          <w:sz w:val="24"/>
          <w:szCs w:val="24"/>
          <w:lang w:val="en-GB"/>
        </w:rPr>
        <w:t xml:space="preserve">, and </w:t>
      </w:r>
      <w:r w:rsidR="00FD79E7" w:rsidRPr="00DF5227">
        <w:rPr>
          <w:rFonts w:ascii="Times New Roman" w:hAnsi="Times New Roman" w:cs="Times New Roman"/>
          <w:sz w:val="24"/>
          <w:szCs w:val="24"/>
          <w:lang w:val="en-GB"/>
        </w:rPr>
        <w:t xml:space="preserve">for that matter </w:t>
      </w:r>
      <w:r w:rsidR="00C703EE" w:rsidRPr="00DF5227">
        <w:rPr>
          <w:rFonts w:ascii="Times New Roman" w:hAnsi="Times New Roman" w:cs="Times New Roman"/>
          <w:sz w:val="24"/>
          <w:szCs w:val="24"/>
          <w:lang w:val="en-GB"/>
        </w:rPr>
        <w:t>allow</w:t>
      </w:r>
      <w:r w:rsidR="00FD79E7" w:rsidRPr="00DF5227">
        <w:rPr>
          <w:rFonts w:ascii="Times New Roman" w:hAnsi="Times New Roman" w:cs="Times New Roman"/>
          <w:sz w:val="24"/>
          <w:szCs w:val="24"/>
          <w:lang w:val="en-GB"/>
        </w:rPr>
        <w:t>s for</w:t>
      </w:r>
      <w:r w:rsidR="00C703EE" w:rsidRPr="00DF5227">
        <w:rPr>
          <w:rFonts w:ascii="Times New Roman" w:hAnsi="Times New Roman" w:cs="Times New Roman"/>
          <w:sz w:val="24"/>
          <w:szCs w:val="24"/>
          <w:lang w:val="en-GB"/>
        </w:rPr>
        <w:t>,</w:t>
      </w:r>
      <w:r w:rsidR="001D6450" w:rsidRPr="00DF5227">
        <w:rPr>
          <w:rFonts w:ascii="Times New Roman" w:hAnsi="Times New Roman" w:cs="Times New Roman"/>
          <w:sz w:val="24"/>
          <w:szCs w:val="24"/>
          <w:lang w:val="en-GB"/>
        </w:rPr>
        <w:t xml:space="preserve"> is </w:t>
      </w:r>
      <w:r w:rsidR="000D3B7A" w:rsidRPr="00DF5227">
        <w:rPr>
          <w:rFonts w:ascii="Times New Roman" w:hAnsi="Times New Roman" w:cs="Times New Roman"/>
          <w:sz w:val="24"/>
          <w:szCs w:val="24"/>
          <w:lang w:val="en-GB"/>
        </w:rPr>
        <w:t>a view to the role of symbols and myths in more mundane EU decision making</w:t>
      </w:r>
      <w:r w:rsidR="00A6571D" w:rsidRPr="00DF5227">
        <w:rPr>
          <w:rFonts w:ascii="Times New Roman" w:hAnsi="Times New Roman" w:cs="Times New Roman"/>
          <w:sz w:val="24"/>
          <w:szCs w:val="24"/>
          <w:lang w:val="en-GB"/>
        </w:rPr>
        <w:t xml:space="preserve"> or, as </w:t>
      </w:r>
      <w:r w:rsidR="006251FA" w:rsidRPr="00DF5227">
        <w:rPr>
          <w:rFonts w:ascii="Times New Roman" w:hAnsi="Times New Roman" w:cs="Times New Roman"/>
          <w:sz w:val="24"/>
          <w:szCs w:val="24"/>
          <w:lang w:val="en-GB"/>
        </w:rPr>
        <w:t xml:space="preserve">I </w:t>
      </w:r>
      <w:r w:rsidR="00A6571D" w:rsidRPr="00DF5227">
        <w:rPr>
          <w:rFonts w:ascii="Times New Roman" w:hAnsi="Times New Roman" w:cs="Times New Roman"/>
          <w:sz w:val="24"/>
          <w:szCs w:val="24"/>
          <w:lang w:val="en-GB"/>
        </w:rPr>
        <w:t xml:space="preserve">will </w:t>
      </w:r>
      <w:r w:rsidR="006251FA" w:rsidRPr="00DF5227">
        <w:rPr>
          <w:rFonts w:ascii="Times New Roman" w:hAnsi="Times New Roman" w:cs="Times New Roman"/>
          <w:sz w:val="24"/>
          <w:szCs w:val="24"/>
          <w:lang w:val="en-GB"/>
        </w:rPr>
        <w:t xml:space="preserve">return </w:t>
      </w:r>
      <w:r w:rsidR="00A6571D" w:rsidRPr="00DF5227">
        <w:rPr>
          <w:rFonts w:ascii="Times New Roman" w:hAnsi="Times New Roman" w:cs="Times New Roman"/>
          <w:sz w:val="24"/>
          <w:szCs w:val="24"/>
          <w:lang w:val="en-GB"/>
        </w:rPr>
        <w:t xml:space="preserve">to below, </w:t>
      </w:r>
      <w:r w:rsidR="00AE57ED" w:rsidRPr="00DF5227">
        <w:rPr>
          <w:rFonts w:ascii="Times New Roman" w:hAnsi="Times New Roman" w:cs="Times New Roman"/>
          <w:sz w:val="24"/>
          <w:szCs w:val="24"/>
          <w:lang w:val="en-GB"/>
        </w:rPr>
        <w:t xml:space="preserve">what may be termed </w:t>
      </w:r>
      <w:r w:rsidR="00A6571D" w:rsidRPr="00DF5227">
        <w:rPr>
          <w:rFonts w:ascii="Times New Roman" w:hAnsi="Times New Roman" w:cs="Times New Roman"/>
          <w:sz w:val="24"/>
          <w:szCs w:val="24"/>
          <w:lang w:val="en-GB"/>
        </w:rPr>
        <w:t>functional symbols and myths</w:t>
      </w:r>
      <w:r w:rsidR="000D3B7A" w:rsidRPr="00DF5227">
        <w:rPr>
          <w:rFonts w:ascii="Times New Roman" w:hAnsi="Times New Roman" w:cs="Times New Roman"/>
          <w:sz w:val="24"/>
          <w:szCs w:val="24"/>
          <w:lang w:val="en-GB"/>
        </w:rPr>
        <w:t xml:space="preserve">.  </w:t>
      </w:r>
      <w:r w:rsidR="006A4724" w:rsidRPr="00DF5227">
        <w:rPr>
          <w:rFonts w:ascii="Times New Roman" w:hAnsi="Times New Roman" w:cs="Times New Roman"/>
          <w:sz w:val="24"/>
          <w:szCs w:val="24"/>
          <w:lang w:val="en-GB"/>
        </w:rPr>
        <w:t xml:space="preserve"> </w:t>
      </w:r>
    </w:p>
    <w:p w:rsidR="00E62727" w:rsidRPr="00DF5227" w:rsidRDefault="00916DA9"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The </w:t>
      </w:r>
      <w:r w:rsidR="001E026D" w:rsidRPr="00DF5227">
        <w:rPr>
          <w:rFonts w:ascii="Times New Roman" w:hAnsi="Times New Roman" w:cs="Times New Roman"/>
          <w:sz w:val="24"/>
          <w:szCs w:val="24"/>
          <w:lang w:val="en-GB"/>
        </w:rPr>
        <w:t xml:space="preserve">perspective </w:t>
      </w:r>
      <w:r w:rsidRPr="00DF5227">
        <w:rPr>
          <w:rFonts w:ascii="Times New Roman" w:hAnsi="Times New Roman" w:cs="Times New Roman"/>
          <w:sz w:val="24"/>
          <w:szCs w:val="24"/>
          <w:lang w:val="en-GB"/>
        </w:rPr>
        <w:t xml:space="preserve">here </w:t>
      </w:r>
      <w:r w:rsidR="001E026D" w:rsidRPr="00DF5227">
        <w:rPr>
          <w:rFonts w:ascii="Times New Roman" w:hAnsi="Times New Roman" w:cs="Times New Roman"/>
          <w:sz w:val="24"/>
          <w:szCs w:val="24"/>
          <w:lang w:val="en-GB"/>
        </w:rPr>
        <w:t xml:space="preserve">on the politics of European integration is a broad institutional one. This perspective is especially chosen for a number of reasons. First, the institutionalist view on European integration has very much become and established itself as mainstream at least since the early 1990s (Saurugger 2014). In that sense, the institutional perspective allow us to link up the more marginal symbols and myths research agenda with some of the most well-developed and sophisticated conceptualisations of EU politics. Second, while now firmly located in mainstream political science, the institutional perspective has its origin in and draws on a range of disciplines including politics, economics, sociology and history. In its inclusiveness, institutionalism thus enables and aspires to cross-disciplinarity and a holistic view on European integration. Third, </w:t>
      </w:r>
      <w:r w:rsidRPr="00DF5227">
        <w:rPr>
          <w:rFonts w:ascii="Times New Roman" w:hAnsi="Times New Roman" w:cs="Times New Roman"/>
          <w:sz w:val="24"/>
          <w:szCs w:val="24"/>
          <w:lang w:val="en-GB"/>
        </w:rPr>
        <w:t xml:space="preserve">my </w:t>
      </w:r>
      <w:r w:rsidR="001E026D" w:rsidRPr="00DF5227">
        <w:rPr>
          <w:rFonts w:ascii="Times New Roman" w:hAnsi="Times New Roman" w:cs="Times New Roman"/>
          <w:sz w:val="24"/>
          <w:szCs w:val="24"/>
          <w:lang w:val="en-GB"/>
        </w:rPr>
        <w:t xml:space="preserve">interest is both on the ‘high politics’, or grand bargaining, of European integration and on ‘day-to-day’ institutional politics. Institutional theory serves well for those purposes by supplying conceptualisations of both short term grand </w:t>
      </w:r>
      <w:r w:rsidR="00C06627" w:rsidRPr="00DF5227">
        <w:rPr>
          <w:rFonts w:ascii="Times New Roman" w:hAnsi="Times New Roman" w:cs="Times New Roman"/>
          <w:sz w:val="24"/>
          <w:szCs w:val="24"/>
          <w:lang w:val="en-GB"/>
        </w:rPr>
        <w:t xml:space="preserve">bargaining </w:t>
      </w:r>
      <w:r w:rsidR="001E026D" w:rsidRPr="00DF5227">
        <w:rPr>
          <w:rFonts w:ascii="Times New Roman" w:hAnsi="Times New Roman" w:cs="Times New Roman"/>
          <w:sz w:val="24"/>
          <w:szCs w:val="24"/>
          <w:lang w:val="en-GB"/>
        </w:rPr>
        <w:t xml:space="preserve">and the medium- to long term EU politics. In sum, </w:t>
      </w:r>
      <w:r w:rsidR="006251FA" w:rsidRPr="00DF5227">
        <w:rPr>
          <w:rFonts w:ascii="Times New Roman" w:hAnsi="Times New Roman" w:cs="Times New Roman"/>
          <w:sz w:val="24"/>
          <w:szCs w:val="24"/>
          <w:lang w:val="en-GB"/>
        </w:rPr>
        <w:t>I</w:t>
      </w:r>
      <w:r w:rsidR="001E026D" w:rsidRPr="00DF5227">
        <w:rPr>
          <w:rFonts w:ascii="Times New Roman" w:hAnsi="Times New Roman" w:cs="Times New Roman"/>
          <w:sz w:val="24"/>
          <w:szCs w:val="24"/>
          <w:lang w:val="en-GB"/>
        </w:rPr>
        <w:t xml:space="preserve"> wish to carry the study of political myths and symbols into the field of institutional theory.</w:t>
      </w:r>
      <w:r w:rsidR="00B86140" w:rsidRPr="00DF5227">
        <w:rPr>
          <w:rFonts w:ascii="Times New Roman" w:hAnsi="Times New Roman" w:cs="Times New Roman"/>
          <w:sz w:val="24"/>
          <w:szCs w:val="24"/>
          <w:lang w:val="en-GB"/>
        </w:rPr>
        <w:t xml:space="preserve"> </w:t>
      </w:r>
    </w:p>
    <w:p w:rsidR="00237C56" w:rsidRPr="00DF5227" w:rsidRDefault="006251FA"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My </w:t>
      </w:r>
      <w:r w:rsidR="00952AE4" w:rsidRPr="00DF5227">
        <w:rPr>
          <w:rFonts w:ascii="Times New Roman" w:hAnsi="Times New Roman" w:cs="Times New Roman"/>
          <w:sz w:val="24"/>
          <w:szCs w:val="24"/>
          <w:lang w:val="en-GB"/>
        </w:rPr>
        <w:t xml:space="preserve">perspective further highlights </w:t>
      </w:r>
      <w:r w:rsidR="009613A7" w:rsidRPr="00DF5227">
        <w:rPr>
          <w:rFonts w:ascii="Times New Roman" w:hAnsi="Times New Roman" w:cs="Times New Roman"/>
          <w:sz w:val="24"/>
          <w:szCs w:val="24"/>
          <w:lang w:val="en-GB"/>
        </w:rPr>
        <w:t>symbols and myths as elements in political discourse.</w:t>
      </w:r>
      <w:r w:rsidR="00952AE4" w:rsidRPr="00DF5227">
        <w:rPr>
          <w:rFonts w:ascii="Times New Roman" w:hAnsi="Times New Roman" w:cs="Times New Roman"/>
          <w:sz w:val="24"/>
          <w:szCs w:val="24"/>
          <w:lang w:val="en-GB"/>
        </w:rPr>
        <w:t xml:space="preserve"> </w:t>
      </w:r>
      <w:r w:rsidR="00333C3A" w:rsidRPr="00DF5227">
        <w:rPr>
          <w:rFonts w:ascii="Times New Roman" w:hAnsi="Times New Roman" w:cs="Times New Roman"/>
          <w:sz w:val="24"/>
          <w:szCs w:val="24"/>
          <w:lang w:val="en-GB"/>
        </w:rPr>
        <w:t xml:space="preserve">From this perspective </w:t>
      </w:r>
      <w:r w:rsidR="009613A7" w:rsidRPr="00DF5227">
        <w:rPr>
          <w:rFonts w:ascii="Times New Roman" w:hAnsi="Times New Roman" w:cs="Times New Roman"/>
          <w:sz w:val="24"/>
          <w:szCs w:val="24"/>
          <w:lang w:val="en-GB"/>
        </w:rPr>
        <w:t xml:space="preserve">symbols and myths </w:t>
      </w:r>
      <w:r w:rsidR="00333C3A" w:rsidRPr="00DF5227">
        <w:rPr>
          <w:rFonts w:ascii="Times New Roman" w:hAnsi="Times New Roman" w:cs="Times New Roman"/>
          <w:sz w:val="24"/>
          <w:szCs w:val="24"/>
          <w:lang w:val="en-GB"/>
        </w:rPr>
        <w:t xml:space="preserve">are viewed </w:t>
      </w:r>
      <w:r w:rsidR="009613A7" w:rsidRPr="00DF5227">
        <w:rPr>
          <w:rFonts w:ascii="Times New Roman" w:hAnsi="Times New Roman" w:cs="Times New Roman"/>
          <w:sz w:val="24"/>
          <w:szCs w:val="24"/>
          <w:lang w:val="en-GB"/>
        </w:rPr>
        <w:t xml:space="preserve">as providing order to </w:t>
      </w:r>
      <w:r w:rsidR="00333C3A" w:rsidRPr="00DF5227">
        <w:rPr>
          <w:rFonts w:ascii="Times New Roman" w:hAnsi="Times New Roman" w:cs="Times New Roman"/>
          <w:sz w:val="24"/>
          <w:szCs w:val="24"/>
          <w:lang w:val="en-GB"/>
        </w:rPr>
        <w:t xml:space="preserve">political </w:t>
      </w:r>
      <w:r w:rsidR="009613A7" w:rsidRPr="00DF5227">
        <w:rPr>
          <w:rFonts w:ascii="Times New Roman" w:hAnsi="Times New Roman" w:cs="Times New Roman"/>
          <w:sz w:val="24"/>
          <w:szCs w:val="24"/>
          <w:lang w:val="en-GB"/>
        </w:rPr>
        <w:t xml:space="preserve">life. Symbols and myths establish rules for who we are and what is acceptable and, especially, who are we not and what is not acceptable in </w:t>
      </w:r>
      <w:r w:rsidR="004E3BDE" w:rsidRPr="00DF5227">
        <w:rPr>
          <w:rFonts w:ascii="Times New Roman" w:hAnsi="Times New Roman" w:cs="Times New Roman"/>
          <w:sz w:val="24"/>
          <w:szCs w:val="24"/>
          <w:lang w:val="en-GB"/>
        </w:rPr>
        <w:t>political</w:t>
      </w:r>
      <w:r w:rsidR="009613A7" w:rsidRPr="00DF5227">
        <w:rPr>
          <w:rFonts w:ascii="Times New Roman" w:hAnsi="Times New Roman" w:cs="Times New Roman"/>
          <w:sz w:val="24"/>
          <w:szCs w:val="24"/>
          <w:lang w:val="en-GB"/>
        </w:rPr>
        <w:t xml:space="preserve"> life. </w:t>
      </w:r>
      <w:r w:rsidR="00102122" w:rsidRPr="00DF5227">
        <w:rPr>
          <w:rFonts w:ascii="Times New Roman" w:hAnsi="Times New Roman" w:cs="Times New Roman"/>
          <w:sz w:val="24"/>
          <w:szCs w:val="24"/>
          <w:lang w:val="en-GB"/>
        </w:rPr>
        <w:t>In that sense, s</w:t>
      </w:r>
      <w:r w:rsidR="009613A7" w:rsidRPr="00DF5227">
        <w:rPr>
          <w:rFonts w:ascii="Times New Roman" w:hAnsi="Times New Roman" w:cs="Times New Roman"/>
          <w:sz w:val="24"/>
          <w:szCs w:val="24"/>
          <w:lang w:val="en-GB"/>
        </w:rPr>
        <w:t xml:space="preserve">ymbols and myths affect the inclusion/exclusion of actors and ideas in </w:t>
      </w:r>
      <w:r w:rsidR="004E3BDE" w:rsidRPr="00DF5227">
        <w:rPr>
          <w:rFonts w:ascii="Times New Roman" w:hAnsi="Times New Roman" w:cs="Times New Roman"/>
          <w:sz w:val="24"/>
          <w:szCs w:val="24"/>
          <w:lang w:val="en-GB"/>
        </w:rPr>
        <w:t xml:space="preserve">political </w:t>
      </w:r>
      <w:r w:rsidR="009613A7" w:rsidRPr="00DF5227">
        <w:rPr>
          <w:rFonts w:ascii="Times New Roman" w:hAnsi="Times New Roman" w:cs="Times New Roman"/>
          <w:sz w:val="24"/>
          <w:szCs w:val="24"/>
          <w:lang w:val="en-GB"/>
        </w:rPr>
        <w:t>life.</w:t>
      </w:r>
      <w:r w:rsidR="004E3BDE" w:rsidRPr="00DF5227">
        <w:rPr>
          <w:rFonts w:ascii="Times New Roman" w:hAnsi="Times New Roman" w:cs="Times New Roman"/>
          <w:sz w:val="24"/>
          <w:szCs w:val="24"/>
          <w:lang w:val="en-GB"/>
        </w:rPr>
        <w:t xml:space="preserve"> </w:t>
      </w:r>
      <w:r w:rsidR="00333C3A" w:rsidRPr="00DF5227">
        <w:rPr>
          <w:rFonts w:ascii="Times New Roman" w:hAnsi="Times New Roman" w:cs="Times New Roman"/>
          <w:sz w:val="24"/>
          <w:szCs w:val="24"/>
          <w:lang w:val="en-GB"/>
        </w:rPr>
        <w:t xml:space="preserve">While symbols and myths are elements in political discourse, they are not equivalent to </w:t>
      </w:r>
      <w:r w:rsidR="0065086A" w:rsidRPr="00DF5227">
        <w:rPr>
          <w:rFonts w:ascii="Times New Roman" w:hAnsi="Times New Roman" w:cs="Times New Roman"/>
          <w:sz w:val="24"/>
          <w:szCs w:val="24"/>
          <w:lang w:val="en-GB"/>
        </w:rPr>
        <w:t xml:space="preserve">any </w:t>
      </w:r>
      <w:r w:rsidR="00333C3A" w:rsidRPr="00DF5227">
        <w:rPr>
          <w:rFonts w:ascii="Times New Roman" w:hAnsi="Times New Roman" w:cs="Times New Roman"/>
          <w:sz w:val="24"/>
          <w:szCs w:val="24"/>
          <w:lang w:val="en-GB"/>
        </w:rPr>
        <w:t>political discourse.</w:t>
      </w:r>
      <w:r w:rsidR="00930F3F" w:rsidRPr="00DF5227">
        <w:rPr>
          <w:rFonts w:ascii="Times New Roman" w:hAnsi="Times New Roman" w:cs="Times New Roman"/>
          <w:sz w:val="24"/>
          <w:szCs w:val="24"/>
          <w:lang w:val="en-GB"/>
        </w:rPr>
        <w:t xml:space="preserve"> </w:t>
      </w:r>
      <w:r w:rsidR="00102122" w:rsidRPr="00DF5227">
        <w:rPr>
          <w:rFonts w:ascii="Times New Roman" w:hAnsi="Times New Roman" w:cs="Times New Roman"/>
          <w:sz w:val="24"/>
          <w:szCs w:val="24"/>
          <w:lang w:val="en-GB"/>
        </w:rPr>
        <w:t xml:space="preserve">Rather, for a start, </w:t>
      </w:r>
      <w:r w:rsidR="00EB25AF" w:rsidRPr="00DF5227">
        <w:rPr>
          <w:rFonts w:ascii="Times New Roman" w:hAnsi="Times New Roman" w:cs="Times New Roman"/>
          <w:sz w:val="24"/>
          <w:szCs w:val="24"/>
          <w:lang w:val="en-GB"/>
        </w:rPr>
        <w:t>we</w:t>
      </w:r>
      <w:r w:rsidR="0065086A" w:rsidRPr="00DF5227">
        <w:rPr>
          <w:rFonts w:ascii="Times New Roman" w:hAnsi="Times New Roman" w:cs="Times New Roman"/>
          <w:sz w:val="24"/>
          <w:szCs w:val="24"/>
          <w:lang w:val="en-GB"/>
        </w:rPr>
        <w:t xml:space="preserve"> </w:t>
      </w:r>
      <w:r w:rsidR="00EB25AF" w:rsidRPr="00DF5227">
        <w:rPr>
          <w:rFonts w:ascii="Times New Roman" w:hAnsi="Times New Roman" w:cs="Times New Roman"/>
          <w:sz w:val="24"/>
          <w:szCs w:val="24"/>
          <w:lang w:val="en-GB"/>
        </w:rPr>
        <w:t xml:space="preserve">may </w:t>
      </w:r>
      <w:r w:rsidR="00102122" w:rsidRPr="00DF5227">
        <w:rPr>
          <w:rFonts w:ascii="Times New Roman" w:hAnsi="Times New Roman" w:cs="Times New Roman"/>
          <w:sz w:val="24"/>
          <w:szCs w:val="24"/>
          <w:lang w:val="en-GB"/>
        </w:rPr>
        <w:t xml:space="preserve">understand </w:t>
      </w:r>
      <w:r w:rsidR="0065086A" w:rsidRPr="00DF5227">
        <w:rPr>
          <w:rFonts w:ascii="Times New Roman" w:hAnsi="Times New Roman" w:cs="Times New Roman"/>
          <w:sz w:val="24"/>
          <w:szCs w:val="24"/>
          <w:lang w:val="en-GB"/>
        </w:rPr>
        <w:t xml:space="preserve">symbols and myths </w:t>
      </w:r>
      <w:r w:rsidR="00EB25AF" w:rsidRPr="00DF5227">
        <w:rPr>
          <w:rFonts w:ascii="Times New Roman" w:hAnsi="Times New Roman" w:cs="Times New Roman"/>
          <w:sz w:val="24"/>
          <w:szCs w:val="24"/>
          <w:lang w:val="en-GB"/>
        </w:rPr>
        <w:t xml:space="preserve">as </w:t>
      </w:r>
      <w:r w:rsidR="0065086A" w:rsidRPr="00DF5227">
        <w:rPr>
          <w:rFonts w:ascii="Times New Roman" w:hAnsi="Times New Roman" w:cs="Times New Roman"/>
          <w:sz w:val="24"/>
          <w:szCs w:val="24"/>
          <w:lang w:val="en-GB"/>
        </w:rPr>
        <w:t xml:space="preserve">especially emotionally appealing </w:t>
      </w:r>
      <w:r w:rsidR="00102122" w:rsidRPr="00DF5227">
        <w:rPr>
          <w:rFonts w:ascii="Times New Roman" w:hAnsi="Times New Roman" w:cs="Times New Roman"/>
          <w:sz w:val="24"/>
          <w:szCs w:val="24"/>
          <w:lang w:val="en-GB"/>
        </w:rPr>
        <w:t xml:space="preserve">elements of </w:t>
      </w:r>
      <w:r w:rsidR="00EB25AF" w:rsidRPr="00DF5227">
        <w:rPr>
          <w:rFonts w:ascii="Times New Roman" w:hAnsi="Times New Roman" w:cs="Times New Roman"/>
          <w:sz w:val="24"/>
          <w:szCs w:val="24"/>
          <w:lang w:val="en-GB"/>
        </w:rPr>
        <w:t>political discourse</w:t>
      </w:r>
      <w:r w:rsidR="00102122" w:rsidRPr="00DF5227">
        <w:rPr>
          <w:rFonts w:ascii="Times New Roman" w:hAnsi="Times New Roman" w:cs="Times New Roman"/>
          <w:sz w:val="24"/>
          <w:szCs w:val="24"/>
          <w:lang w:val="en-GB"/>
        </w:rPr>
        <w:t xml:space="preserve"> </w:t>
      </w:r>
      <w:r w:rsidR="0065086A" w:rsidRPr="00DF5227">
        <w:rPr>
          <w:rFonts w:ascii="Times New Roman" w:hAnsi="Times New Roman" w:cs="Times New Roman"/>
          <w:sz w:val="24"/>
          <w:szCs w:val="24"/>
          <w:lang w:val="en-GB"/>
        </w:rPr>
        <w:t>(</w:t>
      </w:r>
      <w:r w:rsidR="00930F3F" w:rsidRPr="00DF5227">
        <w:rPr>
          <w:rFonts w:ascii="Times New Roman" w:hAnsi="Times New Roman" w:cs="Times New Roman"/>
          <w:sz w:val="24"/>
          <w:szCs w:val="24"/>
          <w:lang w:val="en-GB"/>
        </w:rPr>
        <w:t>Sears 1993: 120</w:t>
      </w:r>
      <w:r w:rsidR="00102122" w:rsidRPr="00DF5227">
        <w:rPr>
          <w:rFonts w:ascii="Times New Roman" w:hAnsi="Times New Roman" w:cs="Times New Roman"/>
          <w:sz w:val="24"/>
          <w:szCs w:val="24"/>
          <w:lang w:val="en-GB"/>
        </w:rPr>
        <w:t>; Lieberman and Gray 2007: 378</w:t>
      </w:r>
      <w:r w:rsidR="00930F3F" w:rsidRPr="00DF5227">
        <w:rPr>
          <w:rFonts w:ascii="Times New Roman" w:hAnsi="Times New Roman" w:cs="Times New Roman"/>
          <w:sz w:val="24"/>
          <w:szCs w:val="24"/>
          <w:lang w:val="en-GB"/>
        </w:rPr>
        <w:t>)</w:t>
      </w:r>
      <w:r w:rsidR="0065086A" w:rsidRPr="00DF5227">
        <w:rPr>
          <w:rFonts w:ascii="Times New Roman" w:hAnsi="Times New Roman" w:cs="Times New Roman"/>
          <w:sz w:val="24"/>
          <w:szCs w:val="24"/>
          <w:lang w:val="en-GB"/>
        </w:rPr>
        <w:t>.</w:t>
      </w:r>
      <w:r w:rsidR="005E695A" w:rsidRPr="00DF5227">
        <w:rPr>
          <w:rFonts w:ascii="Times New Roman" w:hAnsi="Times New Roman" w:cs="Times New Roman"/>
          <w:sz w:val="24"/>
          <w:szCs w:val="24"/>
          <w:lang w:val="en-GB"/>
        </w:rPr>
        <w:t xml:space="preserve"> </w:t>
      </w:r>
    </w:p>
    <w:p w:rsidR="00566EC2" w:rsidRPr="00DF5227" w:rsidRDefault="002A5C7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The study of emotions is typically associated with political </w:t>
      </w:r>
      <w:r w:rsidR="00AE1566" w:rsidRPr="00DF5227">
        <w:rPr>
          <w:rFonts w:ascii="Times New Roman" w:hAnsi="Times New Roman" w:cs="Times New Roman"/>
          <w:sz w:val="24"/>
          <w:szCs w:val="24"/>
          <w:lang w:val="en-GB"/>
        </w:rPr>
        <w:t>psychology</w:t>
      </w:r>
      <w:r w:rsidRPr="00DF5227">
        <w:rPr>
          <w:rFonts w:ascii="Times New Roman" w:hAnsi="Times New Roman" w:cs="Times New Roman"/>
          <w:sz w:val="24"/>
          <w:szCs w:val="24"/>
          <w:lang w:val="en-GB"/>
        </w:rPr>
        <w:t>.</w:t>
      </w:r>
      <w:r w:rsidR="00237C56"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From this perspective </w:t>
      </w:r>
      <w:r w:rsidR="00237C56" w:rsidRPr="00DF5227">
        <w:rPr>
          <w:rFonts w:ascii="Times New Roman" w:hAnsi="Times New Roman" w:cs="Times New Roman"/>
          <w:sz w:val="24"/>
          <w:szCs w:val="24"/>
          <w:lang w:val="en-GB"/>
        </w:rPr>
        <w:t xml:space="preserve">political </w:t>
      </w:r>
      <w:r w:rsidR="008B33E3" w:rsidRPr="00DF5227">
        <w:rPr>
          <w:rFonts w:ascii="Times New Roman" w:hAnsi="Times New Roman" w:cs="Times New Roman"/>
          <w:sz w:val="24"/>
          <w:szCs w:val="24"/>
          <w:lang w:val="en-GB"/>
        </w:rPr>
        <w:t xml:space="preserve">emotions can </w:t>
      </w:r>
      <w:r w:rsidR="00237C56" w:rsidRPr="00DF5227">
        <w:rPr>
          <w:rFonts w:ascii="Times New Roman" w:hAnsi="Times New Roman" w:cs="Times New Roman"/>
          <w:sz w:val="24"/>
          <w:szCs w:val="24"/>
          <w:lang w:val="en-GB"/>
        </w:rPr>
        <w:t xml:space="preserve">be viewed as guided by two types of </w:t>
      </w:r>
      <w:r w:rsidR="008B33E3" w:rsidRPr="00DF5227">
        <w:rPr>
          <w:rFonts w:ascii="Times New Roman" w:hAnsi="Times New Roman" w:cs="Times New Roman"/>
          <w:sz w:val="24"/>
          <w:szCs w:val="24"/>
          <w:lang w:val="en-GB"/>
        </w:rPr>
        <w:t>emotional systems; the disposition system and the surveillance system</w:t>
      </w:r>
      <w:r w:rsidR="008151B4" w:rsidRPr="00DF5227">
        <w:rPr>
          <w:rFonts w:ascii="Times New Roman" w:hAnsi="Times New Roman" w:cs="Times New Roman"/>
          <w:sz w:val="24"/>
          <w:szCs w:val="24"/>
          <w:lang w:val="en-GB"/>
        </w:rPr>
        <w:t xml:space="preserve"> (Marcus 2003)</w:t>
      </w:r>
      <w:r w:rsidR="008B33E3" w:rsidRPr="00DF5227">
        <w:rPr>
          <w:rFonts w:ascii="Times New Roman" w:hAnsi="Times New Roman" w:cs="Times New Roman"/>
          <w:sz w:val="24"/>
          <w:szCs w:val="24"/>
          <w:lang w:val="en-GB"/>
        </w:rPr>
        <w:t xml:space="preserve">. Whereas appeals to the former activate already internalized </w:t>
      </w:r>
      <w:r w:rsidR="009B279F" w:rsidRPr="00DF5227">
        <w:rPr>
          <w:rFonts w:ascii="Times New Roman" w:hAnsi="Times New Roman" w:cs="Times New Roman"/>
          <w:sz w:val="24"/>
          <w:szCs w:val="24"/>
          <w:lang w:val="en-GB"/>
        </w:rPr>
        <w:t>behaviour</w:t>
      </w:r>
      <w:r w:rsidR="008B33E3" w:rsidRPr="00DF5227">
        <w:rPr>
          <w:rFonts w:ascii="Times New Roman" w:hAnsi="Times New Roman" w:cs="Times New Roman"/>
          <w:sz w:val="24"/>
          <w:szCs w:val="24"/>
          <w:lang w:val="en-GB"/>
        </w:rPr>
        <w:t xml:space="preserve"> without much </w:t>
      </w:r>
      <w:r w:rsidR="00727EF2" w:rsidRPr="00DF5227">
        <w:rPr>
          <w:rFonts w:ascii="Times New Roman" w:hAnsi="Times New Roman" w:cs="Times New Roman"/>
          <w:sz w:val="24"/>
          <w:szCs w:val="24"/>
          <w:lang w:val="en-GB"/>
        </w:rPr>
        <w:t>thought</w:t>
      </w:r>
      <w:r w:rsidR="008B33E3" w:rsidRPr="00DF5227">
        <w:rPr>
          <w:rFonts w:ascii="Times New Roman" w:hAnsi="Times New Roman" w:cs="Times New Roman"/>
          <w:sz w:val="24"/>
          <w:szCs w:val="24"/>
          <w:lang w:val="en-GB"/>
        </w:rPr>
        <w:t xml:space="preserve">, the latter </w:t>
      </w:r>
      <w:r w:rsidR="00727EF2" w:rsidRPr="00DF5227">
        <w:rPr>
          <w:rFonts w:ascii="Times New Roman" w:hAnsi="Times New Roman" w:cs="Times New Roman"/>
          <w:sz w:val="24"/>
          <w:szCs w:val="24"/>
          <w:lang w:val="en-GB"/>
        </w:rPr>
        <w:t xml:space="preserve">rather appeals to reflection and possibly strategic behaviour by warning us </w:t>
      </w:r>
      <w:r w:rsidR="008B33E3" w:rsidRPr="00DF5227">
        <w:rPr>
          <w:rFonts w:ascii="Times New Roman" w:hAnsi="Times New Roman" w:cs="Times New Roman"/>
          <w:sz w:val="24"/>
          <w:szCs w:val="24"/>
          <w:lang w:val="en-GB"/>
        </w:rPr>
        <w:t xml:space="preserve">of </w:t>
      </w:r>
      <w:r w:rsidR="00727EF2" w:rsidRPr="00DF5227">
        <w:rPr>
          <w:rFonts w:ascii="Times New Roman" w:hAnsi="Times New Roman" w:cs="Times New Roman"/>
          <w:sz w:val="24"/>
          <w:szCs w:val="24"/>
          <w:lang w:val="en-GB"/>
        </w:rPr>
        <w:t>‘</w:t>
      </w:r>
      <w:r w:rsidR="008B33E3" w:rsidRPr="00DF5227">
        <w:rPr>
          <w:rFonts w:ascii="Times New Roman" w:hAnsi="Times New Roman" w:cs="Times New Roman"/>
          <w:sz w:val="24"/>
          <w:szCs w:val="24"/>
          <w:lang w:val="en-GB"/>
        </w:rPr>
        <w:t>unusual and/or threatening circumstances (</w:t>
      </w:r>
      <w:r w:rsidR="008151B4" w:rsidRPr="00DF5227">
        <w:rPr>
          <w:rFonts w:ascii="Times New Roman" w:hAnsi="Times New Roman" w:cs="Times New Roman"/>
          <w:sz w:val="24"/>
          <w:szCs w:val="24"/>
          <w:lang w:val="en-GB"/>
        </w:rPr>
        <w:t xml:space="preserve">ibid: </w:t>
      </w:r>
      <w:r w:rsidR="008B33E3" w:rsidRPr="00DF5227">
        <w:rPr>
          <w:rFonts w:ascii="Times New Roman" w:hAnsi="Times New Roman" w:cs="Times New Roman"/>
          <w:sz w:val="24"/>
          <w:szCs w:val="24"/>
          <w:lang w:val="en-GB"/>
        </w:rPr>
        <w:t xml:space="preserve">203)’. </w:t>
      </w:r>
      <w:r w:rsidR="00727EF2" w:rsidRPr="00DF5227">
        <w:rPr>
          <w:rFonts w:ascii="Times New Roman" w:hAnsi="Times New Roman" w:cs="Times New Roman"/>
          <w:sz w:val="24"/>
          <w:szCs w:val="24"/>
          <w:lang w:val="en-GB"/>
        </w:rPr>
        <w:t>Marcus (2003) further argues that  emotions: ‘</w:t>
      </w:r>
      <w:r w:rsidR="00727EF2" w:rsidRPr="00DF5227">
        <w:rPr>
          <w:rFonts w:ascii="Times New Roman" w:hAnsi="Times New Roman" w:cs="Times New Roman"/>
          <w:i/>
          <w:sz w:val="24"/>
          <w:szCs w:val="24"/>
          <w:lang w:val="en-GB"/>
        </w:rPr>
        <w:t>is intimately involved not only in habits, prejudices, and other instances of reliance of learned behavior but in the recruitment of reason and the full display of cognitive activities</w:t>
      </w:r>
      <w:r w:rsidR="00727EF2" w:rsidRPr="00DF5227">
        <w:rPr>
          <w:rFonts w:ascii="Times New Roman" w:hAnsi="Times New Roman" w:cs="Times New Roman"/>
          <w:sz w:val="24"/>
          <w:szCs w:val="24"/>
          <w:lang w:val="en-GB"/>
        </w:rPr>
        <w:t xml:space="preserve"> (Marcus 2003: 204)’. Together this </w:t>
      </w:r>
      <w:r w:rsidR="008B33E3" w:rsidRPr="00DF5227">
        <w:rPr>
          <w:rFonts w:ascii="Times New Roman" w:hAnsi="Times New Roman" w:cs="Times New Roman"/>
          <w:sz w:val="24"/>
          <w:szCs w:val="24"/>
          <w:lang w:val="en-GB"/>
        </w:rPr>
        <w:t xml:space="preserve">means that emotions is neither something that should - or indeed can - be eliminated from political decision making, nor should political emotions be conceived as opposite to political reason or rationality. Rather the two are interrelated </w:t>
      </w:r>
      <w:r w:rsidR="008B33E3" w:rsidRPr="00DF5227">
        <w:rPr>
          <w:rFonts w:ascii="Times New Roman" w:hAnsi="Times New Roman" w:cs="Times New Roman"/>
          <w:sz w:val="24"/>
          <w:szCs w:val="24"/>
          <w:lang w:val="en-GB"/>
        </w:rPr>
        <w:lastRenderedPageBreak/>
        <w:t xml:space="preserve">and </w:t>
      </w:r>
      <w:r w:rsidR="009147EE" w:rsidRPr="00DF5227">
        <w:rPr>
          <w:rFonts w:ascii="Times New Roman" w:hAnsi="Times New Roman" w:cs="Times New Roman"/>
          <w:sz w:val="24"/>
          <w:szCs w:val="24"/>
          <w:lang w:val="en-GB"/>
        </w:rPr>
        <w:t xml:space="preserve">political </w:t>
      </w:r>
      <w:r w:rsidR="008B33E3" w:rsidRPr="00DF5227">
        <w:rPr>
          <w:rFonts w:ascii="Times New Roman" w:hAnsi="Times New Roman" w:cs="Times New Roman"/>
          <w:sz w:val="24"/>
          <w:szCs w:val="24"/>
          <w:lang w:val="en-GB"/>
        </w:rPr>
        <w:t>rationality depend</w:t>
      </w:r>
      <w:r w:rsidR="00675007" w:rsidRPr="00DF5227">
        <w:rPr>
          <w:rFonts w:ascii="Times New Roman" w:hAnsi="Times New Roman" w:cs="Times New Roman"/>
          <w:sz w:val="24"/>
          <w:szCs w:val="24"/>
          <w:lang w:val="en-GB"/>
        </w:rPr>
        <w:t>s</w:t>
      </w:r>
      <w:r w:rsidR="008B33E3" w:rsidRPr="00DF5227">
        <w:rPr>
          <w:rFonts w:ascii="Times New Roman" w:hAnsi="Times New Roman" w:cs="Times New Roman"/>
          <w:sz w:val="24"/>
          <w:szCs w:val="24"/>
          <w:lang w:val="en-GB"/>
        </w:rPr>
        <w:t xml:space="preserve"> on political emotion. </w:t>
      </w:r>
      <w:r w:rsidR="00B04C44" w:rsidRPr="00DF5227">
        <w:rPr>
          <w:rFonts w:ascii="Times New Roman" w:hAnsi="Times New Roman" w:cs="Times New Roman"/>
          <w:sz w:val="24"/>
          <w:szCs w:val="24"/>
          <w:lang w:val="en-GB"/>
        </w:rPr>
        <w:t>Furthermore the emotional appeal of symbols and myths not only allow for routine political activity, but also for swift evaluation and reactions by political agents to political challenges (Marcus 2000: 222).</w:t>
      </w:r>
      <w:r w:rsidR="00727EF2" w:rsidRPr="00DF5227">
        <w:rPr>
          <w:rFonts w:ascii="Times New Roman" w:hAnsi="Times New Roman" w:cs="Times New Roman"/>
          <w:sz w:val="24"/>
          <w:szCs w:val="24"/>
          <w:lang w:val="en-GB"/>
        </w:rPr>
        <w:t xml:space="preserve"> </w:t>
      </w:r>
      <w:r w:rsidR="00B04C44" w:rsidRPr="00DF5227">
        <w:rPr>
          <w:rFonts w:ascii="Times New Roman" w:hAnsi="Times New Roman" w:cs="Times New Roman"/>
          <w:sz w:val="24"/>
          <w:szCs w:val="24"/>
          <w:lang w:val="en-GB"/>
        </w:rPr>
        <w:t xml:space="preserve"> </w:t>
      </w:r>
    </w:p>
    <w:p w:rsidR="00952AE4" w:rsidRPr="00DF5227" w:rsidRDefault="00952AE4"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Against this background, I suggest that, at the heart of the study of the role of symbols and myths in politics are two mechanisms</w:t>
      </w:r>
      <w:r w:rsidR="00D37354" w:rsidRPr="00DF5227">
        <w:rPr>
          <w:rFonts w:ascii="Times New Roman" w:hAnsi="Times New Roman" w:cs="Times New Roman"/>
          <w:sz w:val="24"/>
          <w:szCs w:val="24"/>
          <w:lang w:val="en-GB"/>
        </w:rPr>
        <w:t xml:space="preserve"> highlighting respectively </w:t>
      </w:r>
      <w:r w:rsidRPr="00DF5227">
        <w:rPr>
          <w:rFonts w:ascii="Times New Roman" w:hAnsi="Times New Roman" w:cs="Times New Roman"/>
          <w:sz w:val="24"/>
          <w:szCs w:val="24"/>
          <w:lang w:val="en-GB"/>
        </w:rPr>
        <w:t>(1) symbols and myths as code and (2)</w:t>
      </w:r>
      <w:r w:rsidR="00D37354"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symbols and myths as conduct. </w:t>
      </w:r>
    </w:p>
    <w:p w:rsidR="00952AE4" w:rsidRPr="00DF5227" w:rsidRDefault="00952AE4" w:rsidP="00BC5346">
      <w:pPr>
        <w:spacing w:line="360" w:lineRule="auto"/>
        <w:jc w:val="both"/>
        <w:rPr>
          <w:rFonts w:ascii="Times New Roman" w:hAnsi="Times New Roman" w:cs="Times New Roman"/>
          <w:sz w:val="24"/>
          <w:szCs w:val="24"/>
          <w:lang w:val="en-GB"/>
        </w:rPr>
      </w:pPr>
    </w:p>
    <w:p w:rsidR="00E62727" w:rsidRPr="00DF5227" w:rsidRDefault="00E62727"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i/>
          <w:sz w:val="24"/>
          <w:szCs w:val="24"/>
          <w:lang w:val="en-GB"/>
        </w:rPr>
        <w:t>Myths and symbols as code</w:t>
      </w:r>
    </w:p>
    <w:p w:rsidR="001E026D" w:rsidRPr="00DF5227" w:rsidRDefault="00B84B0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Symbols and myths as code highlight their </w:t>
      </w:r>
      <w:r w:rsidR="00E567E1" w:rsidRPr="00DF5227">
        <w:rPr>
          <w:rFonts w:ascii="Times New Roman" w:hAnsi="Times New Roman" w:cs="Times New Roman"/>
          <w:sz w:val="24"/>
          <w:szCs w:val="24"/>
          <w:lang w:val="en-GB"/>
        </w:rPr>
        <w:t xml:space="preserve">discursive </w:t>
      </w:r>
      <w:r w:rsidRPr="00DF5227">
        <w:rPr>
          <w:rFonts w:ascii="Times New Roman" w:hAnsi="Times New Roman" w:cs="Times New Roman"/>
          <w:sz w:val="24"/>
          <w:szCs w:val="24"/>
          <w:lang w:val="en-GB"/>
        </w:rPr>
        <w:t>structur</w:t>
      </w:r>
      <w:r w:rsidR="00E567E1" w:rsidRPr="00DF5227">
        <w:rPr>
          <w:rFonts w:ascii="Times New Roman" w:hAnsi="Times New Roman" w:cs="Times New Roman"/>
          <w:sz w:val="24"/>
          <w:szCs w:val="24"/>
          <w:lang w:val="en-GB"/>
        </w:rPr>
        <w:t>al</w:t>
      </w:r>
      <w:r w:rsidRPr="00DF5227">
        <w:rPr>
          <w:rFonts w:ascii="Times New Roman" w:hAnsi="Times New Roman" w:cs="Times New Roman"/>
          <w:sz w:val="24"/>
          <w:szCs w:val="24"/>
          <w:lang w:val="en-GB"/>
        </w:rPr>
        <w:t xml:space="preserve"> features</w:t>
      </w:r>
      <w:r w:rsidR="00E567E1" w:rsidRPr="00DF5227">
        <w:rPr>
          <w:rFonts w:ascii="Times New Roman" w:hAnsi="Times New Roman" w:cs="Times New Roman"/>
          <w:sz w:val="24"/>
          <w:szCs w:val="24"/>
          <w:lang w:val="en-GB"/>
        </w:rPr>
        <w:t>, which can be described in terms of subject matter</w:t>
      </w:r>
      <w:r w:rsidR="00501FBA" w:rsidRPr="00DF5227">
        <w:rPr>
          <w:rFonts w:ascii="Times New Roman" w:hAnsi="Times New Roman" w:cs="Times New Roman"/>
          <w:sz w:val="24"/>
          <w:szCs w:val="24"/>
          <w:lang w:val="en-GB"/>
        </w:rPr>
        <w:t xml:space="preserve"> and</w:t>
      </w:r>
      <w:r w:rsidR="00E567E1" w:rsidRPr="00DF5227">
        <w:rPr>
          <w:rFonts w:ascii="Times New Roman" w:hAnsi="Times New Roman" w:cs="Times New Roman"/>
          <w:sz w:val="24"/>
          <w:szCs w:val="24"/>
          <w:lang w:val="en-GB"/>
        </w:rPr>
        <w:t xml:space="preserve"> </w:t>
      </w:r>
      <w:r w:rsidR="00501FBA" w:rsidRPr="00DF5227">
        <w:rPr>
          <w:rFonts w:ascii="Times New Roman" w:hAnsi="Times New Roman" w:cs="Times New Roman"/>
          <w:sz w:val="24"/>
          <w:szCs w:val="24"/>
          <w:lang w:val="en-GB"/>
        </w:rPr>
        <w:t>structural firmness, or level of institutionalisation</w:t>
      </w:r>
      <w:r w:rsidRPr="00DF5227">
        <w:rPr>
          <w:rFonts w:ascii="Times New Roman" w:hAnsi="Times New Roman" w:cs="Times New Roman"/>
          <w:sz w:val="24"/>
          <w:szCs w:val="24"/>
          <w:lang w:val="en-GB"/>
        </w:rPr>
        <w:t>.</w:t>
      </w:r>
      <w:r w:rsidR="00DC5EAE" w:rsidRPr="00DF5227">
        <w:rPr>
          <w:rFonts w:ascii="Times New Roman" w:hAnsi="Times New Roman" w:cs="Times New Roman"/>
          <w:sz w:val="24"/>
          <w:szCs w:val="24"/>
          <w:lang w:val="en-GB"/>
        </w:rPr>
        <w:t xml:space="preserve"> </w:t>
      </w:r>
      <w:r w:rsidR="00FD79E7" w:rsidRPr="00DF5227">
        <w:rPr>
          <w:rFonts w:ascii="Times New Roman" w:hAnsi="Times New Roman" w:cs="Times New Roman"/>
          <w:sz w:val="24"/>
          <w:szCs w:val="24"/>
          <w:lang w:val="en-GB"/>
        </w:rPr>
        <w:t>In terms of subject matter</w:t>
      </w:r>
      <w:r w:rsidR="00DC5EAE" w:rsidRPr="00DF5227">
        <w:rPr>
          <w:rFonts w:ascii="Times New Roman" w:hAnsi="Times New Roman" w:cs="Times New Roman"/>
          <w:sz w:val="24"/>
          <w:szCs w:val="24"/>
          <w:lang w:val="en-GB"/>
        </w:rPr>
        <w:t xml:space="preserve"> ‘[s]ymbols refer to a body of social values, knowledge and practices which offer guidance for interpreting, processing and coping with specific issues or situations (Blühdorn 2007:  255)’. </w:t>
      </w:r>
      <w:r w:rsidR="00501860" w:rsidRPr="00DF5227">
        <w:rPr>
          <w:rFonts w:ascii="Times New Roman" w:hAnsi="Times New Roman" w:cs="Times New Roman"/>
          <w:sz w:val="24"/>
          <w:szCs w:val="24"/>
          <w:lang w:val="en-GB"/>
        </w:rPr>
        <w:t>Symbolic manifestations include icons (</w:t>
      </w:r>
      <w:r w:rsidR="00F30E3C" w:rsidRPr="00DF5227">
        <w:rPr>
          <w:rFonts w:ascii="Times New Roman" w:hAnsi="Times New Roman" w:cs="Times New Roman"/>
          <w:sz w:val="24"/>
          <w:szCs w:val="24"/>
          <w:lang w:val="en-GB"/>
        </w:rPr>
        <w:t xml:space="preserve">e.g. </w:t>
      </w:r>
      <w:r w:rsidR="00501860" w:rsidRPr="00DF5227">
        <w:rPr>
          <w:rFonts w:ascii="Times New Roman" w:hAnsi="Times New Roman" w:cs="Times New Roman"/>
          <w:sz w:val="24"/>
          <w:szCs w:val="24"/>
          <w:lang w:val="en-GB"/>
        </w:rPr>
        <w:t>maps), rituals (</w:t>
      </w:r>
      <w:r w:rsidR="00F30E3C" w:rsidRPr="00DF5227">
        <w:rPr>
          <w:rFonts w:ascii="Times New Roman" w:hAnsi="Times New Roman" w:cs="Times New Roman"/>
          <w:sz w:val="24"/>
          <w:szCs w:val="24"/>
          <w:lang w:val="en-GB"/>
        </w:rPr>
        <w:t xml:space="preserve">e.g. </w:t>
      </w:r>
      <w:r w:rsidR="00501860" w:rsidRPr="00DF5227">
        <w:rPr>
          <w:rFonts w:ascii="Times New Roman" w:hAnsi="Times New Roman" w:cs="Times New Roman"/>
          <w:sz w:val="24"/>
          <w:szCs w:val="24"/>
          <w:lang w:val="en-GB"/>
        </w:rPr>
        <w:t>joint acts of remembrance) and taboos</w:t>
      </w:r>
      <w:r w:rsidR="00A73423" w:rsidRPr="00DF5227">
        <w:rPr>
          <w:rFonts w:ascii="Times New Roman" w:hAnsi="Times New Roman" w:cs="Times New Roman"/>
          <w:sz w:val="24"/>
          <w:szCs w:val="24"/>
          <w:lang w:val="en-GB"/>
        </w:rPr>
        <w:t xml:space="preserve"> (</w:t>
      </w:r>
      <w:r w:rsidR="009A1F35" w:rsidRPr="00DF5227">
        <w:rPr>
          <w:rFonts w:ascii="Times New Roman" w:hAnsi="Times New Roman" w:cs="Times New Roman"/>
          <w:sz w:val="24"/>
          <w:szCs w:val="24"/>
          <w:lang w:val="en-GB"/>
        </w:rPr>
        <w:t xml:space="preserve">e.g. phases referring to the practice European integration </w:t>
      </w:r>
      <w:r w:rsidR="00C44151" w:rsidRPr="00DF5227">
        <w:rPr>
          <w:rFonts w:ascii="Times New Roman" w:hAnsi="Times New Roman" w:cs="Times New Roman"/>
          <w:sz w:val="24"/>
          <w:szCs w:val="24"/>
          <w:lang w:val="en-GB"/>
        </w:rPr>
        <w:t xml:space="preserve">for instance </w:t>
      </w:r>
      <w:r w:rsidR="009A1F35" w:rsidRPr="00DF5227">
        <w:rPr>
          <w:rFonts w:ascii="Times New Roman" w:hAnsi="Times New Roman" w:cs="Times New Roman"/>
          <w:sz w:val="24"/>
          <w:szCs w:val="24"/>
          <w:lang w:val="en-GB"/>
        </w:rPr>
        <w:t xml:space="preserve">in </w:t>
      </w:r>
      <w:r w:rsidR="00C44151" w:rsidRPr="00DF5227">
        <w:rPr>
          <w:rFonts w:ascii="Times New Roman" w:hAnsi="Times New Roman" w:cs="Times New Roman"/>
          <w:sz w:val="24"/>
          <w:szCs w:val="24"/>
          <w:lang w:val="en-GB"/>
        </w:rPr>
        <w:t>national political debate</w:t>
      </w:r>
      <w:r w:rsidR="00A73423" w:rsidRPr="00DF5227">
        <w:rPr>
          <w:rFonts w:ascii="Times New Roman" w:hAnsi="Times New Roman" w:cs="Times New Roman"/>
          <w:sz w:val="24"/>
          <w:szCs w:val="24"/>
          <w:lang w:val="en-GB"/>
        </w:rPr>
        <w:t xml:space="preserve">) </w:t>
      </w:r>
      <w:r w:rsidR="00501860" w:rsidRPr="00DF5227">
        <w:rPr>
          <w:rFonts w:ascii="Times New Roman" w:hAnsi="Times New Roman" w:cs="Times New Roman"/>
          <w:sz w:val="24"/>
          <w:szCs w:val="24"/>
          <w:lang w:val="en-GB"/>
        </w:rPr>
        <w:t>(Manners 2011)</w:t>
      </w:r>
      <w:r w:rsidR="00A73423" w:rsidRPr="00DF5227">
        <w:rPr>
          <w:rFonts w:ascii="Times New Roman" w:hAnsi="Times New Roman" w:cs="Times New Roman"/>
          <w:sz w:val="24"/>
          <w:szCs w:val="24"/>
          <w:lang w:val="en-GB"/>
        </w:rPr>
        <w:t xml:space="preserve">. </w:t>
      </w:r>
      <w:r w:rsidR="00FD79E7" w:rsidRPr="00DF5227">
        <w:rPr>
          <w:rFonts w:ascii="Times New Roman" w:hAnsi="Times New Roman" w:cs="Times New Roman"/>
          <w:sz w:val="24"/>
          <w:szCs w:val="24"/>
          <w:lang w:val="en-GB"/>
        </w:rPr>
        <w:t xml:space="preserve">Symbols typically have a physical form, which for phrases may be a particular typography, and ‘is about something’. While symbols offer guidance for understanding specific issues and situations, it is also clear that the nature of symbols allow for, if not multiple, then a range of interpretations and political activities. </w:t>
      </w:r>
      <w:r w:rsidR="00A73423" w:rsidRPr="00DF5227">
        <w:rPr>
          <w:rFonts w:ascii="Times New Roman" w:hAnsi="Times New Roman" w:cs="Times New Roman"/>
          <w:sz w:val="24"/>
          <w:szCs w:val="24"/>
          <w:lang w:val="en-GB"/>
        </w:rPr>
        <w:t>Similarly myths</w:t>
      </w:r>
      <w:r w:rsidR="00676734" w:rsidRPr="00DF5227">
        <w:rPr>
          <w:rFonts w:ascii="Times New Roman" w:hAnsi="Times New Roman" w:cs="Times New Roman"/>
          <w:sz w:val="24"/>
          <w:szCs w:val="24"/>
          <w:lang w:val="en-GB"/>
        </w:rPr>
        <w:t xml:space="preserve"> have a subject matter</w:t>
      </w:r>
      <w:r w:rsidR="00A11C1A" w:rsidRPr="00DF5227">
        <w:rPr>
          <w:rFonts w:ascii="Times New Roman" w:hAnsi="Times New Roman" w:cs="Times New Roman"/>
          <w:sz w:val="24"/>
          <w:szCs w:val="24"/>
          <w:lang w:val="en-GB"/>
        </w:rPr>
        <w:t xml:space="preserve">. In this sense, a </w:t>
      </w:r>
      <w:r w:rsidR="008F30E8" w:rsidRPr="00DF5227">
        <w:rPr>
          <w:rFonts w:ascii="Times New Roman" w:hAnsi="Times New Roman" w:cs="Times New Roman"/>
          <w:sz w:val="24"/>
          <w:szCs w:val="24"/>
          <w:lang w:val="en-GB"/>
        </w:rPr>
        <w:t>‘</w:t>
      </w:r>
      <w:r w:rsidR="008F30E8" w:rsidRPr="00DF5227">
        <w:rPr>
          <w:rFonts w:ascii="Times New Roman" w:hAnsi="Times New Roman" w:cs="Times New Roman"/>
          <w:i/>
          <w:sz w:val="24"/>
          <w:szCs w:val="24"/>
          <w:lang w:val="en-GB"/>
        </w:rPr>
        <w:t>political</w:t>
      </w:r>
      <w:r w:rsidR="008F30E8" w:rsidRPr="00DF5227">
        <w:rPr>
          <w:rFonts w:ascii="Times New Roman" w:hAnsi="Times New Roman" w:cs="Times New Roman"/>
          <w:sz w:val="24"/>
          <w:szCs w:val="24"/>
          <w:lang w:val="en-GB"/>
        </w:rPr>
        <w:t xml:space="preserve"> myth is the work on a common narrative that grants significance to the political conditions and experiences of a social group (Bottici and Challand 2013</w:t>
      </w:r>
      <w:r w:rsidR="00FD79E7" w:rsidRPr="00DF5227">
        <w:rPr>
          <w:rFonts w:ascii="Times New Roman" w:hAnsi="Times New Roman" w:cs="Times New Roman"/>
          <w:sz w:val="24"/>
          <w:szCs w:val="24"/>
          <w:lang w:val="en-GB"/>
        </w:rPr>
        <w:t xml:space="preserve">: </w:t>
      </w:r>
      <w:r w:rsidR="008F30E8" w:rsidRPr="00DF5227">
        <w:rPr>
          <w:rFonts w:ascii="Times New Roman" w:hAnsi="Times New Roman" w:cs="Times New Roman"/>
          <w:sz w:val="24"/>
          <w:szCs w:val="24"/>
          <w:lang w:val="en-GB"/>
        </w:rPr>
        <w:t>92)’. Further, myths in politics ‘arises out of a narrative because it (a) coagulates and reproduces significance, (b) is shared by a given group, and (c) can address the specifically political conditions in which a given group lives (Bottici and Challand 2013</w:t>
      </w:r>
      <w:r w:rsidR="00FD79E7" w:rsidRPr="00DF5227">
        <w:rPr>
          <w:rFonts w:ascii="Times New Roman" w:hAnsi="Times New Roman" w:cs="Times New Roman"/>
          <w:sz w:val="24"/>
          <w:szCs w:val="24"/>
          <w:lang w:val="en-GB"/>
        </w:rPr>
        <w:t>:</w:t>
      </w:r>
      <w:r w:rsidR="008F30E8" w:rsidRPr="00DF5227">
        <w:rPr>
          <w:rFonts w:ascii="Times New Roman" w:hAnsi="Times New Roman" w:cs="Times New Roman"/>
          <w:sz w:val="24"/>
          <w:szCs w:val="24"/>
          <w:lang w:val="en-GB"/>
        </w:rPr>
        <w:t xml:space="preserve"> 92)’.</w:t>
      </w:r>
      <w:r w:rsidR="001E026D" w:rsidRPr="00DF5227">
        <w:rPr>
          <w:rFonts w:ascii="Times New Roman" w:hAnsi="Times New Roman" w:cs="Times New Roman"/>
          <w:sz w:val="24"/>
          <w:szCs w:val="24"/>
          <w:lang w:val="en-GB"/>
        </w:rPr>
        <w:t xml:space="preserve"> </w:t>
      </w:r>
    </w:p>
    <w:p w:rsidR="003317C5" w:rsidRPr="00DF5227" w:rsidRDefault="00E54202"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We may </w:t>
      </w:r>
      <w:r w:rsidR="001E026D" w:rsidRPr="00DF5227">
        <w:rPr>
          <w:rFonts w:ascii="Times New Roman" w:hAnsi="Times New Roman" w:cs="Times New Roman"/>
          <w:sz w:val="24"/>
          <w:szCs w:val="24"/>
          <w:lang w:val="en-GB"/>
        </w:rPr>
        <w:t xml:space="preserve">also </w:t>
      </w:r>
      <w:r w:rsidRPr="00DF5227">
        <w:rPr>
          <w:rFonts w:ascii="Times New Roman" w:hAnsi="Times New Roman" w:cs="Times New Roman"/>
          <w:sz w:val="24"/>
          <w:szCs w:val="24"/>
          <w:lang w:val="en-GB"/>
        </w:rPr>
        <w:t>expect that t</w:t>
      </w:r>
      <w:r w:rsidR="002923CF" w:rsidRPr="00DF5227">
        <w:rPr>
          <w:rFonts w:ascii="Times New Roman" w:hAnsi="Times New Roman" w:cs="Times New Roman"/>
          <w:sz w:val="24"/>
          <w:szCs w:val="24"/>
          <w:lang w:val="en-GB"/>
        </w:rPr>
        <w:t>he structural firmness, or level of institutionalisation, of symbols and myths matters</w:t>
      </w:r>
      <w:r w:rsidR="008F30E8" w:rsidRPr="00DF5227">
        <w:rPr>
          <w:rFonts w:ascii="Times New Roman" w:hAnsi="Times New Roman" w:cs="Times New Roman"/>
          <w:sz w:val="24"/>
          <w:szCs w:val="24"/>
          <w:lang w:val="en-GB"/>
        </w:rPr>
        <w:t xml:space="preserve"> </w:t>
      </w:r>
      <w:r w:rsidR="002923CF" w:rsidRPr="00DF5227">
        <w:rPr>
          <w:rFonts w:ascii="Times New Roman" w:hAnsi="Times New Roman" w:cs="Times New Roman"/>
          <w:sz w:val="24"/>
          <w:szCs w:val="24"/>
          <w:lang w:val="en-GB"/>
        </w:rPr>
        <w:t xml:space="preserve">for their impact on politics. </w:t>
      </w:r>
      <w:r w:rsidR="00625D23" w:rsidRPr="00DF5227">
        <w:rPr>
          <w:rFonts w:ascii="Times New Roman" w:hAnsi="Times New Roman" w:cs="Times New Roman"/>
          <w:sz w:val="24"/>
          <w:szCs w:val="24"/>
          <w:lang w:val="en-GB"/>
        </w:rPr>
        <w:t>Compare</w:t>
      </w:r>
      <w:r w:rsidR="002923CF" w:rsidRPr="00DF5227">
        <w:rPr>
          <w:rFonts w:ascii="Times New Roman" w:hAnsi="Times New Roman" w:cs="Times New Roman"/>
          <w:sz w:val="24"/>
          <w:szCs w:val="24"/>
          <w:lang w:val="en-GB"/>
        </w:rPr>
        <w:t xml:space="preserve">, for instance, </w:t>
      </w:r>
      <w:r w:rsidR="00625D23" w:rsidRPr="00DF5227">
        <w:rPr>
          <w:rFonts w:ascii="Times New Roman" w:hAnsi="Times New Roman" w:cs="Times New Roman"/>
          <w:sz w:val="24"/>
          <w:szCs w:val="24"/>
          <w:lang w:val="en-GB"/>
        </w:rPr>
        <w:t xml:space="preserve">the institutionalisation of symbols and myths associated with </w:t>
      </w:r>
      <w:r w:rsidR="002923CF" w:rsidRPr="00DF5227">
        <w:rPr>
          <w:rFonts w:ascii="Times New Roman" w:hAnsi="Times New Roman" w:cs="Times New Roman"/>
          <w:sz w:val="24"/>
          <w:szCs w:val="24"/>
          <w:lang w:val="en-GB"/>
        </w:rPr>
        <w:t>economic Europe</w:t>
      </w:r>
      <w:r w:rsidR="00625D23" w:rsidRPr="00DF5227">
        <w:rPr>
          <w:rFonts w:ascii="Times New Roman" w:hAnsi="Times New Roman" w:cs="Times New Roman"/>
          <w:sz w:val="24"/>
          <w:szCs w:val="24"/>
          <w:lang w:val="en-GB"/>
        </w:rPr>
        <w:t xml:space="preserve"> with those of social Europe. </w:t>
      </w:r>
      <w:r w:rsidR="00F15455" w:rsidRPr="00DF5227">
        <w:rPr>
          <w:rFonts w:ascii="Times New Roman" w:hAnsi="Times New Roman" w:cs="Times New Roman"/>
          <w:sz w:val="24"/>
          <w:szCs w:val="24"/>
          <w:lang w:val="en-GB"/>
        </w:rPr>
        <w:t>T</w:t>
      </w:r>
      <w:r w:rsidR="00625D23" w:rsidRPr="00DF5227">
        <w:rPr>
          <w:rFonts w:ascii="Times New Roman" w:hAnsi="Times New Roman" w:cs="Times New Roman"/>
          <w:sz w:val="24"/>
          <w:szCs w:val="24"/>
          <w:lang w:val="en-GB"/>
        </w:rPr>
        <w:t xml:space="preserve">he myth of economic Europe include the notions that economic integration was </w:t>
      </w:r>
      <w:r w:rsidR="00625D23" w:rsidRPr="00DF5227">
        <w:rPr>
          <w:rFonts w:ascii="Times New Roman" w:hAnsi="Times New Roman" w:cs="Times New Roman"/>
          <w:i/>
          <w:sz w:val="24"/>
          <w:szCs w:val="24"/>
          <w:lang w:val="en-GB"/>
        </w:rPr>
        <w:t>the</w:t>
      </w:r>
      <w:r w:rsidR="00625D23" w:rsidRPr="00DF5227">
        <w:rPr>
          <w:rFonts w:ascii="Times New Roman" w:hAnsi="Times New Roman" w:cs="Times New Roman"/>
          <w:sz w:val="24"/>
          <w:szCs w:val="24"/>
          <w:lang w:val="en-GB"/>
        </w:rPr>
        <w:t xml:space="preserve"> historical starting point for European integration, that European integration is driven by economic interests (whether institutional or states), economic ideas about the relationship between state and market (which may be manipulated by political elites), the irreversibility of economic integration, economic interdependence as the </w:t>
      </w:r>
      <w:r w:rsidR="00625D23" w:rsidRPr="00DF5227">
        <w:rPr>
          <w:rFonts w:ascii="Times New Roman" w:hAnsi="Times New Roman" w:cs="Times New Roman"/>
          <w:sz w:val="24"/>
          <w:szCs w:val="24"/>
          <w:lang w:val="en-GB"/>
        </w:rPr>
        <w:lastRenderedPageBreak/>
        <w:t>safeguard for peace in Europe and that there are winners and loser of economic Europe</w:t>
      </w:r>
      <w:r w:rsidR="00F15455" w:rsidRPr="00DF5227">
        <w:rPr>
          <w:rFonts w:ascii="Times New Roman" w:hAnsi="Times New Roman" w:cs="Times New Roman"/>
          <w:sz w:val="24"/>
          <w:szCs w:val="24"/>
          <w:lang w:val="en-GB"/>
        </w:rPr>
        <w:t xml:space="preserve"> (Jones 2010: 96-102)</w:t>
      </w:r>
      <w:r w:rsidR="00625D23" w:rsidRPr="00DF5227">
        <w:rPr>
          <w:rFonts w:ascii="Times New Roman" w:hAnsi="Times New Roman" w:cs="Times New Roman"/>
          <w:sz w:val="24"/>
          <w:szCs w:val="24"/>
          <w:lang w:val="en-GB"/>
        </w:rPr>
        <w:t xml:space="preserve">. The Euro – the coins and notes – is the most obvious symbol associated with economic Europe, but there are numerous others symbolic manifestations including phrases such as ‘multiannual financial framework’ and the recent introduction of macro-economic coordination through ‘The European Semester’. </w:t>
      </w:r>
      <w:r w:rsidRPr="00DF5227">
        <w:rPr>
          <w:rFonts w:ascii="Times New Roman" w:hAnsi="Times New Roman" w:cs="Times New Roman"/>
          <w:sz w:val="24"/>
          <w:szCs w:val="24"/>
          <w:lang w:val="en-GB"/>
        </w:rPr>
        <w:t xml:space="preserve">Compare to </w:t>
      </w:r>
      <w:r w:rsidR="00625D23" w:rsidRPr="00DF5227">
        <w:rPr>
          <w:rFonts w:ascii="Times New Roman" w:hAnsi="Times New Roman" w:cs="Times New Roman"/>
          <w:sz w:val="24"/>
          <w:szCs w:val="24"/>
          <w:lang w:val="en-GB"/>
        </w:rPr>
        <w:t>social Europe</w:t>
      </w:r>
      <w:r w:rsidRPr="00DF5227">
        <w:rPr>
          <w:rFonts w:ascii="Times New Roman" w:hAnsi="Times New Roman" w:cs="Times New Roman"/>
          <w:sz w:val="24"/>
          <w:szCs w:val="24"/>
          <w:lang w:val="en-GB"/>
        </w:rPr>
        <w:t xml:space="preserve">, where central to this </w:t>
      </w:r>
      <w:r w:rsidR="00625D23" w:rsidRPr="00DF5227">
        <w:rPr>
          <w:rFonts w:ascii="Times New Roman" w:hAnsi="Times New Roman" w:cs="Times New Roman"/>
          <w:sz w:val="24"/>
          <w:szCs w:val="24"/>
          <w:lang w:val="en-GB"/>
        </w:rPr>
        <w:t>myth is the idea of a ‘European Social Model’</w:t>
      </w:r>
      <w:r w:rsidRPr="00DF5227">
        <w:rPr>
          <w:rFonts w:ascii="Times New Roman" w:hAnsi="Times New Roman" w:cs="Times New Roman"/>
          <w:sz w:val="24"/>
          <w:szCs w:val="24"/>
          <w:lang w:val="en-GB"/>
        </w:rPr>
        <w:t>,</w:t>
      </w:r>
      <w:r w:rsidR="00625D23" w:rsidRPr="00DF5227">
        <w:rPr>
          <w:rFonts w:ascii="Times New Roman" w:hAnsi="Times New Roman" w:cs="Times New Roman"/>
          <w:sz w:val="24"/>
          <w:szCs w:val="24"/>
          <w:lang w:val="en-GB"/>
        </w:rPr>
        <w:t xml:space="preserve"> which is typically constituted by a mixture of liberal and social democratic values where economic growth and competitiveness goes hand in hand with socially just labour market policies and institutions. Social Europe is illustrated in phrases such as ‘social dialogue’, ‘flexicurity’, and ‘gender equality’ (Rovisco 2010: 252; Macrae 2010). Symbolic manifestations include the Commissions biannual publication ‘Social Europe</w:t>
      </w:r>
      <w:r w:rsidR="000B07CB" w:rsidRPr="00DF5227">
        <w:rPr>
          <w:rFonts w:ascii="Times New Roman" w:hAnsi="Times New Roman" w:cs="Times New Roman"/>
          <w:sz w:val="24"/>
          <w:szCs w:val="24"/>
          <w:lang w:val="en-GB"/>
        </w:rPr>
        <w:t>’</w:t>
      </w:r>
      <w:r w:rsidR="00625D23" w:rsidRPr="00DF5227">
        <w:rPr>
          <w:rFonts w:ascii="Times New Roman" w:hAnsi="Times New Roman" w:cs="Times New Roman"/>
          <w:sz w:val="24"/>
          <w:szCs w:val="24"/>
          <w:lang w:val="en-GB"/>
        </w:rPr>
        <w:t xml:space="preserve"> </w:t>
      </w:r>
      <w:r w:rsidR="000B07CB" w:rsidRPr="00DF5227">
        <w:rPr>
          <w:rFonts w:ascii="Times New Roman" w:hAnsi="Times New Roman" w:cs="Times New Roman"/>
          <w:sz w:val="24"/>
          <w:szCs w:val="24"/>
          <w:lang w:val="en-GB"/>
        </w:rPr>
        <w:t>(since 2011 ‘</w:t>
      </w:r>
      <w:r w:rsidR="000B07CB" w:rsidRPr="00DF5227">
        <w:rPr>
          <w:rFonts w:ascii="Times New Roman" w:hAnsi="Times New Roman" w:cs="Times New Roman"/>
          <w:lang w:val="en-GB"/>
        </w:rPr>
        <w:t xml:space="preserve">Social Europe </w:t>
      </w:r>
      <w:r w:rsidR="00625D23" w:rsidRPr="00DF5227">
        <w:rPr>
          <w:rFonts w:ascii="Times New Roman" w:hAnsi="Times New Roman" w:cs="Times New Roman"/>
          <w:sz w:val="24"/>
          <w:szCs w:val="24"/>
          <w:lang w:val="en-GB"/>
        </w:rPr>
        <w:t xml:space="preserve">guide’. </w:t>
      </w:r>
      <w:r w:rsidR="00B522CB" w:rsidRPr="00DF5227">
        <w:rPr>
          <w:rFonts w:ascii="Times New Roman" w:hAnsi="Times New Roman" w:cs="Times New Roman"/>
          <w:sz w:val="24"/>
          <w:szCs w:val="24"/>
          <w:lang w:val="en-GB"/>
        </w:rPr>
        <w:t xml:space="preserve">Clearly social </w:t>
      </w:r>
      <w:r w:rsidR="003317C5" w:rsidRPr="00DF5227">
        <w:rPr>
          <w:rFonts w:ascii="Times New Roman" w:hAnsi="Times New Roman" w:cs="Times New Roman"/>
          <w:sz w:val="24"/>
          <w:szCs w:val="24"/>
          <w:lang w:val="en-GB"/>
        </w:rPr>
        <w:t xml:space="preserve">Europe </w:t>
      </w:r>
      <w:r w:rsidR="00B522CB" w:rsidRPr="00DF5227">
        <w:rPr>
          <w:rFonts w:ascii="Times New Roman" w:hAnsi="Times New Roman" w:cs="Times New Roman"/>
          <w:sz w:val="24"/>
          <w:szCs w:val="24"/>
          <w:lang w:val="en-GB"/>
        </w:rPr>
        <w:t>and economic Europe are both constitutive parts of the EU as a political reality, but</w:t>
      </w:r>
      <w:r w:rsidR="003317C5" w:rsidRPr="00DF5227">
        <w:rPr>
          <w:rFonts w:ascii="Times New Roman" w:hAnsi="Times New Roman" w:cs="Times New Roman"/>
          <w:sz w:val="24"/>
          <w:szCs w:val="24"/>
          <w:lang w:val="en-GB"/>
        </w:rPr>
        <w:t xml:space="preserve"> also </w:t>
      </w:r>
      <w:r w:rsidR="00B9393D" w:rsidRPr="00DF5227">
        <w:rPr>
          <w:rFonts w:ascii="Times New Roman" w:hAnsi="Times New Roman" w:cs="Times New Roman"/>
          <w:sz w:val="24"/>
          <w:szCs w:val="24"/>
          <w:lang w:val="en-GB"/>
        </w:rPr>
        <w:t>al</w:t>
      </w:r>
      <w:r w:rsidR="003317C5" w:rsidRPr="00DF5227">
        <w:rPr>
          <w:rFonts w:ascii="Times New Roman" w:hAnsi="Times New Roman" w:cs="Times New Roman"/>
          <w:sz w:val="24"/>
          <w:szCs w:val="24"/>
          <w:lang w:val="en-GB"/>
        </w:rPr>
        <w:t xml:space="preserve">most certainly the latter has more reach and depth in EU policy making. How the level of institutionalisation of symbols and myths matters is </w:t>
      </w:r>
      <w:r w:rsidR="009A61E6" w:rsidRPr="00DF5227">
        <w:rPr>
          <w:rFonts w:ascii="Times New Roman" w:hAnsi="Times New Roman" w:cs="Times New Roman"/>
          <w:sz w:val="24"/>
          <w:szCs w:val="24"/>
          <w:lang w:val="en-GB"/>
        </w:rPr>
        <w:t xml:space="preserve">treated as </w:t>
      </w:r>
      <w:r w:rsidR="003317C5" w:rsidRPr="00DF5227">
        <w:rPr>
          <w:rFonts w:ascii="Times New Roman" w:hAnsi="Times New Roman" w:cs="Times New Roman"/>
          <w:sz w:val="24"/>
          <w:szCs w:val="24"/>
          <w:lang w:val="en-GB"/>
        </w:rPr>
        <w:t xml:space="preserve">an open and empirical questions.   </w:t>
      </w:r>
    </w:p>
    <w:p w:rsidR="00880A66" w:rsidRPr="00DF5227" w:rsidRDefault="00880A6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If we see institutions are authorised and sanctioned discourse, then processes of institutionalisation of symbols and myths progress through authorisations and the establishment of some sort of sanctions (</w:t>
      </w:r>
      <w:r w:rsidR="004F2BFA" w:rsidRPr="00DF5227">
        <w:rPr>
          <w:rFonts w:ascii="Times New Roman" w:hAnsi="Times New Roman" w:cs="Times New Roman"/>
          <w:sz w:val="24"/>
          <w:szCs w:val="24"/>
          <w:lang w:val="en-GB"/>
        </w:rPr>
        <w:t xml:space="preserve">see </w:t>
      </w:r>
      <w:r w:rsidRPr="00DF5227">
        <w:rPr>
          <w:rFonts w:ascii="Times New Roman" w:hAnsi="Times New Roman" w:cs="Times New Roman"/>
          <w:sz w:val="24"/>
          <w:szCs w:val="24"/>
          <w:lang w:val="en-GB"/>
        </w:rPr>
        <w:t xml:space="preserve">Lynggaard 2006). </w:t>
      </w:r>
      <w:r w:rsidR="004F2BFA" w:rsidRPr="00DF5227">
        <w:rPr>
          <w:rFonts w:ascii="Times New Roman" w:hAnsi="Times New Roman" w:cs="Times New Roman"/>
          <w:sz w:val="24"/>
          <w:szCs w:val="24"/>
          <w:lang w:val="en-GB"/>
        </w:rPr>
        <w:t xml:space="preserve">Authorisation and sanctions can </w:t>
      </w:r>
      <w:r w:rsidR="00C5043B" w:rsidRPr="00DF5227">
        <w:rPr>
          <w:rFonts w:ascii="Times New Roman" w:hAnsi="Times New Roman" w:cs="Times New Roman"/>
          <w:sz w:val="24"/>
          <w:szCs w:val="24"/>
          <w:lang w:val="en-GB"/>
        </w:rPr>
        <w:t>range from being</w:t>
      </w:r>
      <w:r w:rsidR="004F2BFA" w:rsidRPr="00DF5227">
        <w:rPr>
          <w:rFonts w:ascii="Times New Roman" w:hAnsi="Times New Roman" w:cs="Times New Roman"/>
          <w:sz w:val="24"/>
          <w:szCs w:val="24"/>
          <w:lang w:val="en-GB"/>
        </w:rPr>
        <w:t xml:space="preserve"> instituted by EU law </w:t>
      </w:r>
      <w:r w:rsidR="00C5043B" w:rsidRPr="00DF5227">
        <w:rPr>
          <w:rFonts w:ascii="Times New Roman" w:hAnsi="Times New Roman" w:cs="Times New Roman"/>
          <w:sz w:val="24"/>
          <w:szCs w:val="24"/>
          <w:lang w:val="en-GB"/>
        </w:rPr>
        <w:t>to being more informal</w:t>
      </w:r>
      <w:r w:rsidR="00CE2C44" w:rsidRPr="00DF5227">
        <w:rPr>
          <w:rFonts w:ascii="Times New Roman" w:hAnsi="Times New Roman" w:cs="Times New Roman"/>
          <w:sz w:val="24"/>
          <w:szCs w:val="24"/>
          <w:lang w:val="en-GB"/>
        </w:rPr>
        <w:t xml:space="preserve"> political mechanisms setting out boundaries for relevant and legitimate political issues and political actors from those that are not in EU politics. Symbols and myths may also to be institutionalised </w:t>
      </w:r>
      <w:r w:rsidR="00B7770E" w:rsidRPr="00DF5227">
        <w:rPr>
          <w:rFonts w:ascii="Times New Roman" w:hAnsi="Times New Roman" w:cs="Times New Roman"/>
          <w:sz w:val="24"/>
          <w:szCs w:val="24"/>
          <w:lang w:val="en-GB"/>
        </w:rPr>
        <w:t>among larger or smaller groups of actors.</w:t>
      </w:r>
      <w:r w:rsidRPr="00DF5227">
        <w:rPr>
          <w:rFonts w:ascii="Times New Roman" w:hAnsi="Times New Roman" w:cs="Times New Roman"/>
          <w:sz w:val="24"/>
          <w:szCs w:val="24"/>
          <w:lang w:val="en-GB"/>
        </w:rPr>
        <w:t xml:space="preserve"> </w:t>
      </w:r>
      <w:r w:rsidR="00063618" w:rsidRPr="00DF5227">
        <w:rPr>
          <w:rFonts w:ascii="Times New Roman" w:hAnsi="Times New Roman" w:cs="Times New Roman"/>
          <w:sz w:val="24"/>
          <w:szCs w:val="24"/>
          <w:lang w:val="en-GB"/>
        </w:rPr>
        <w:t>Whereas f</w:t>
      </w:r>
      <w:r w:rsidRPr="00DF5227">
        <w:rPr>
          <w:rFonts w:ascii="Times New Roman" w:hAnsi="Times New Roman" w:cs="Times New Roman"/>
          <w:sz w:val="24"/>
          <w:szCs w:val="24"/>
          <w:lang w:val="en-GB"/>
        </w:rPr>
        <w:t xml:space="preserve">oundational myths </w:t>
      </w:r>
      <w:r w:rsidR="00063618" w:rsidRPr="00DF5227">
        <w:rPr>
          <w:rFonts w:ascii="Times New Roman" w:hAnsi="Times New Roman" w:cs="Times New Roman"/>
          <w:sz w:val="24"/>
          <w:szCs w:val="24"/>
          <w:lang w:val="en-GB"/>
        </w:rPr>
        <w:t xml:space="preserve">and </w:t>
      </w:r>
      <w:r w:rsidRPr="00DF5227">
        <w:rPr>
          <w:rFonts w:ascii="Times New Roman" w:hAnsi="Times New Roman" w:cs="Times New Roman"/>
          <w:sz w:val="24"/>
          <w:szCs w:val="24"/>
          <w:lang w:val="en-GB"/>
        </w:rPr>
        <w:t>symbols</w:t>
      </w:r>
      <w:r w:rsidR="00063618" w:rsidRPr="00DF5227">
        <w:rPr>
          <w:rFonts w:ascii="Times New Roman" w:hAnsi="Times New Roman" w:cs="Times New Roman"/>
          <w:sz w:val="24"/>
          <w:szCs w:val="24"/>
          <w:lang w:val="en-GB"/>
        </w:rPr>
        <w:t xml:space="preserve"> about e.g. ‘nation’ and ‘state’ concerns the largest groups</w:t>
      </w:r>
      <w:r w:rsidRPr="00DF5227">
        <w:rPr>
          <w:rFonts w:ascii="Times New Roman" w:hAnsi="Times New Roman" w:cs="Times New Roman"/>
          <w:sz w:val="24"/>
          <w:szCs w:val="24"/>
          <w:lang w:val="en-GB"/>
        </w:rPr>
        <w:t xml:space="preserve">, </w:t>
      </w:r>
      <w:r w:rsidR="00063618" w:rsidRPr="00DF5227">
        <w:rPr>
          <w:rFonts w:ascii="Times New Roman" w:hAnsi="Times New Roman" w:cs="Times New Roman"/>
          <w:sz w:val="24"/>
          <w:szCs w:val="24"/>
          <w:lang w:val="en-GB"/>
        </w:rPr>
        <w:t xml:space="preserve">we may expect that </w:t>
      </w:r>
      <w:r w:rsidRPr="00DF5227">
        <w:rPr>
          <w:rFonts w:ascii="Times New Roman" w:hAnsi="Times New Roman" w:cs="Times New Roman"/>
          <w:sz w:val="24"/>
          <w:szCs w:val="24"/>
          <w:lang w:val="en-GB"/>
        </w:rPr>
        <w:t>myths</w:t>
      </w:r>
      <w:r w:rsidR="00063618" w:rsidRPr="00DF5227">
        <w:rPr>
          <w:rFonts w:ascii="Times New Roman" w:hAnsi="Times New Roman" w:cs="Times New Roman"/>
          <w:sz w:val="24"/>
          <w:szCs w:val="24"/>
          <w:lang w:val="en-GB"/>
        </w:rPr>
        <w:t xml:space="preserve"> such as </w:t>
      </w:r>
      <w:r w:rsidR="00010A3E" w:rsidRPr="00DF5227">
        <w:rPr>
          <w:rFonts w:ascii="Times New Roman" w:hAnsi="Times New Roman" w:cs="Times New Roman"/>
          <w:sz w:val="24"/>
          <w:szCs w:val="24"/>
          <w:lang w:val="en-GB"/>
        </w:rPr>
        <w:t xml:space="preserve">economic, </w:t>
      </w:r>
      <w:r w:rsidR="00063618" w:rsidRPr="00DF5227">
        <w:rPr>
          <w:rFonts w:ascii="Times New Roman" w:hAnsi="Times New Roman" w:cs="Times New Roman"/>
          <w:sz w:val="24"/>
          <w:szCs w:val="24"/>
          <w:lang w:val="en-GB"/>
        </w:rPr>
        <w:t>social</w:t>
      </w:r>
      <w:r w:rsidR="00010A3E" w:rsidRPr="00DF5227">
        <w:rPr>
          <w:rFonts w:ascii="Times New Roman" w:hAnsi="Times New Roman" w:cs="Times New Roman"/>
          <w:sz w:val="24"/>
          <w:szCs w:val="24"/>
          <w:lang w:val="en-GB"/>
        </w:rPr>
        <w:t>,</w:t>
      </w:r>
      <w:r w:rsidR="00063618" w:rsidRPr="00DF5227">
        <w:rPr>
          <w:rFonts w:ascii="Times New Roman" w:hAnsi="Times New Roman" w:cs="Times New Roman"/>
          <w:sz w:val="24"/>
          <w:szCs w:val="24"/>
          <w:lang w:val="en-GB"/>
        </w:rPr>
        <w:t xml:space="preserve"> </w:t>
      </w:r>
      <w:r w:rsidR="00010A3E" w:rsidRPr="00DF5227">
        <w:rPr>
          <w:rFonts w:ascii="Times New Roman" w:hAnsi="Times New Roman" w:cs="Times New Roman"/>
          <w:sz w:val="24"/>
          <w:szCs w:val="24"/>
          <w:lang w:val="en-GB"/>
        </w:rPr>
        <w:t xml:space="preserve">and green </w:t>
      </w:r>
      <w:r w:rsidR="00063618" w:rsidRPr="00DF5227">
        <w:rPr>
          <w:rFonts w:ascii="Times New Roman" w:hAnsi="Times New Roman" w:cs="Times New Roman"/>
          <w:sz w:val="24"/>
          <w:szCs w:val="24"/>
          <w:lang w:val="en-GB"/>
        </w:rPr>
        <w:t>Europe</w:t>
      </w:r>
      <w:r w:rsidR="00010A3E" w:rsidRPr="00DF5227">
        <w:rPr>
          <w:rFonts w:ascii="Times New Roman" w:hAnsi="Times New Roman" w:cs="Times New Roman"/>
          <w:sz w:val="24"/>
          <w:szCs w:val="24"/>
          <w:lang w:val="en-GB"/>
        </w:rPr>
        <w:t xml:space="preserve"> concerns smaller more specialised groups</w:t>
      </w:r>
      <w:r w:rsidRPr="00DF5227">
        <w:rPr>
          <w:rFonts w:ascii="Times New Roman" w:hAnsi="Times New Roman" w:cs="Times New Roman"/>
          <w:sz w:val="24"/>
          <w:szCs w:val="24"/>
          <w:lang w:val="en-GB"/>
        </w:rPr>
        <w:t xml:space="preserve">. </w:t>
      </w:r>
      <w:r w:rsidR="00010A3E" w:rsidRPr="00DF5227">
        <w:rPr>
          <w:rFonts w:ascii="Times New Roman" w:hAnsi="Times New Roman" w:cs="Times New Roman"/>
          <w:sz w:val="24"/>
          <w:szCs w:val="24"/>
          <w:lang w:val="en-GB"/>
        </w:rPr>
        <w:t xml:space="preserve">Myths of economic, social, and green Europe may be termed </w:t>
      </w:r>
      <w:r w:rsidRPr="00DF5227">
        <w:rPr>
          <w:rFonts w:ascii="Times New Roman" w:hAnsi="Times New Roman" w:cs="Times New Roman"/>
          <w:sz w:val="24"/>
          <w:szCs w:val="24"/>
          <w:lang w:val="en-GB"/>
        </w:rPr>
        <w:t>functional myth</w:t>
      </w:r>
      <w:r w:rsidR="00010A3E" w:rsidRPr="00DF5227">
        <w:rPr>
          <w:rFonts w:ascii="Times New Roman" w:hAnsi="Times New Roman" w:cs="Times New Roman"/>
          <w:sz w:val="24"/>
          <w:szCs w:val="24"/>
          <w:lang w:val="en-GB"/>
        </w:rPr>
        <w:t>s</w:t>
      </w:r>
      <w:r w:rsidRPr="00DF5227">
        <w:rPr>
          <w:rFonts w:ascii="Times New Roman" w:hAnsi="Times New Roman" w:cs="Times New Roman"/>
          <w:sz w:val="24"/>
          <w:szCs w:val="24"/>
          <w:lang w:val="en-GB"/>
        </w:rPr>
        <w:t xml:space="preserve"> </w:t>
      </w:r>
      <w:r w:rsidR="00010A3E" w:rsidRPr="00DF5227">
        <w:rPr>
          <w:rFonts w:ascii="Times New Roman" w:hAnsi="Times New Roman" w:cs="Times New Roman"/>
          <w:sz w:val="24"/>
          <w:szCs w:val="24"/>
          <w:lang w:val="en-GB"/>
        </w:rPr>
        <w:t xml:space="preserve">and may each </w:t>
      </w:r>
      <w:r w:rsidRPr="00DF5227">
        <w:rPr>
          <w:rFonts w:ascii="Times New Roman" w:hAnsi="Times New Roman" w:cs="Times New Roman"/>
          <w:sz w:val="24"/>
          <w:szCs w:val="24"/>
          <w:lang w:val="en-GB"/>
        </w:rPr>
        <w:t xml:space="preserve">be viewed as ‘a “brand attribute” of Europe, a particular feature that distinguishes Europe from other political entities and that adds to a common identity (Lenshow and Sprungk 2010: 136)’. Functional myths are </w:t>
      </w:r>
      <w:r w:rsidR="007B0BE0" w:rsidRPr="00DF5227">
        <w:rPr>
          <w:rFonts w:ascii="Times New Roman" w:hAnsi="Times New Roman" w:cs="Times New Roman"/>
          <w:sz w:val="24"/>
          <w:szCs w:val="24"/>
          <w:lang w:val="en-GB"/>
        </w:rPr>
        <w:t xml:space="preserve">from </w:t>
      </w:r>
      <w:r w:rsidR="006251FA" w:rsidRPr="00DF5227">
        <w:rPr>
          <w:rFonts w:ascii="Times New Roman" w:hAnsi="Times New Roman" w:cs="Times New Roman"/>
          <w:sz w:val="24"/>
          <w:szCs w:val="24"/>
          <w:lang w:val="en-GB"/>
        </w:rPr>
        <w:t xml:space="preserve">my </w:t>
      </w:r>
      <w:r w:rsidR="007B0BE0" w:rsidRPr="00DF5227">
        <w:rPr>
          <w:rFonts w:ascii="Times New Roman" w:hAnsi="Times New Roman" w:cs="Times New Roman"/>
          <w:sz w:val="24"/>
          <w:szCs w:val="24"/>
          <w:lang w:val="en-GB"/>
        </w:rPr>
        <w:t xml:space="preserve">perspective </w:t>
      </w:r>
      <w:r w:rsidRPr="00DF5227">
        <w:rPr>
          <w:rFonts w:ascii="Times New Roman" w:hAnsi="Times New Roman" w:cs="Times New Roman"/>
          <w:sz w:val="24"/>
          <w:szCs w:val="24"/>
          <w:lang w:val="en-GB"/>
        </w:rPr>
        <w:t xml:space="preserve">neither more nor less real than foundational myths, but they </w:t>
      </w:r>
      <w:r w:rsidR="007B0BE0" w:rsidRPr="00DF5227">
        <w:rPr>
          <w:rFonts w:ascii="Times New Roman" w:hAnsi="Times New Roman" w:cs="Times New Roman"/>
          <w:sz w:val="24"/>
          <w:szCs w:val="24"/>
          <w:lang w:val="en-GB"/>
        </w:rPr>
        <w:t xml:space="preserve">tend to </w:t>
      </w:r>
      <w:r w:rsidRPr="00DF5227">
        <w:rPr>
          <w:rFonts w:ascii="Times New Roman" w:hAnsi="Times New Roman" w:cs="Times New Roman"/>
          <w:sz w:val="24"/>
          <w:szCs w:val="24"/>
          <w:lang w:val="en-GB"/>
        </w:rPr>
        <w:t xml:space="preserve">draw on </w:t>
      </w:r>
      <w:r w:rsidR="007B0BE0" w:rsidRPr="00DF5227">
        <w:rPr>
          <w:rFonts w:ascii="Times New Roman" w:hAnsi="Times New Roman" w:cs="Times New Roman"/>
          <w:sz w:val="24"/>
          <w:szCs w:val="24"/>
          <w:lang w:val="en-GB"/>
        </w:rPr>
        <w:t xml:space="preserve">specified </w:t>
      </w:r>
      <w:r w:rsidRPr="00DF5227">
        <w:rPr>
          <w:rFonts w:ascii="Times New Roman" w:hAnsi="Times New Roman" w:cs="Times New Roman"/>
          <w:sz w:val="24"/>
          <w:szCs w:val="24"/>
          <w:lang w:val="en-GB"/>
        </w:rPr>
        <w:t xml:space="preserve">historical events and people. </w:t>
      </w:r>
      <w:r w:rsidR="007B0BE0" w:rsidRPr="00DF5227">
        <w:rPr>
          <w:rFonts w:ascii="Times New Roman" w:hAnsi="Times New Roman" w:cs="Times New Roman"/>
          <w:sz w:val="24"/>
          <w:szCs w:val="24"/>
          <w:lang w:val="en-GB"/>
        </w:rPr>
        <w:t>F</w:t>
      </w:r>
      <w:r w:rsidRPr="00DF5227">
        <w:rPr>
          <w:rFonts w:ascii="Times New Roman" w:hAnsi="Times New Roman" w:cs="Times New Roman"/>
          <w:sz w:val="24"/>
          <w:szCs w:val="24"/>
          <w:lang w:val="en-GB"/>
        </w:rPr>
        <w:t xml:space="preserve">unctional myths are then located between the </w:t>
      </w:r>
      <w:r w:rsidR="007B0BE0" w:rsidRPr="00DF5227">
        <w:rPr>
          <w:rFonts w:ascii="Times New Roman" w:hAnsi="Times New Roman" w:cs="Times New Roman"/>
          <w:sz w:val="24"/>
          <w:szCs w:val="24"/>
          <w:lang w:val="en-GB"/>
        </w:rPr>
        <w:t xml:space="preserve">often </w:t>
      </w:r>
      <w:r w:rsidRPr="00DF5227">
        <w:rPr>
          <w:rFonts w:ascii="Times New Roman" w:hAnsi="Times New Roman" w:cs="Times New Roman"/>
          <w:sz w:val="24"/>
          <w:szCs w:val="24"/>
          <w:lang w:val="en-GB"/>
        </w:rPr>
        <w:t xml:space="preserve">more grand and elusive nation-like foundational myths and specific policy ideas. It has been argued that the weakness European - compared to national - foundational myths highlights the importance of European functional myths (Della Sala 2010). While it may be so, is suffice here to acknowledge some type of relationship between European foundational and functional myths and for the time being </w:t>
      </w:r>
      <w:r w:rsidR="006251FA" w:rsidRPr="00DF5227">
        <w:rPr>
          <w:rFonts w:ascii="Times New Roman" w:hAnsi="Times New Roman" w:cs="Times New Roman"/>
          <w:sz w:val="24"/>
          <w:szCs w:val="24"/>
          <w:lang w:val="en-GB"/>
        </w:rPr>
        <w:t>I am</w:t>
      </w:r>
      <w:r w:rsidRPr="00DF5227">
        <w:rPr>
          <w:rFonts w:ascii="Times New Roman" w:hAnsi="Times New Roman" w:cs="Times New Roman"/>
          <w:sz w:val="24"/>
          <w:szCs w:val="24"/>
          <w:lang w:val="en-GB"/>
        </w:rPr>
        <w:t xml:space="preserve"> more concerned with the latter.   </w:t>
      </w:r>
    </w:p>
    <w:p w:rsidR="00C75A5D" w:rsidRPr="00DF5227" w:rsidRDefault="00E54202"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Finally, </w:t>
      </w:r>
      <w:r w:rsidR="00E62727" w:rsidRPr="00DF5227">
        <w:rPr>
          <w:rFonts w:ascii="Times New Roman" w:hAnsi="Times New Roman" w:cs="Times New Roman"/>
          <w:sz w:val="24"/>
          <w:szCs w:val="24"/>
          <w:lang w:val="en-GB"/>
        </w:rPr>
        <w:t>about the relationships between myths and symbols; m</w:t>
      </w:r>
      <w:r w:rsidR="00C75A5D" w:rsidRPr="00DF5227">
        <w:rPr>
          <w:rFonts w:ascii="Times New Roman" w:hAnsi="Times New Roman" w:cs="Times New Roman"/>
          <w:sz w:val="24"/>
          <w:szCs w:val="24"/>
          <w:lang w:val="en-GB"/>
        </w:rPr>
        <w:t>yths often draw on associated symbols. Think</w:t>
      </w:r>
      <w:r w:rsidR="00501FBA" w:rsidRPr="00DF5227">
        <w:rPr>
          <w:rFonts w:ascii="Times New Roman" w:hAnsi="Times New Roman" w:cs="Times New Roman"/>
          <w:sz w:val="24"/>
          <w:szCs w:val="24"/>
          <w:lang w:val="en-GB"/>
        </w:rPr>
        <w:t>,</w:t>
      </w:r>
      <w:r w:rsidR="00C75A5D" w:rsidRPr="00DF5227">
        <w:rPr>
          <w:rFonts w:ascii="Times New Roman" w:hAnsi="Times New Roman" w:cs="Times New Roman"/>
          <w:sz w:val="24"/>
          <w:szCs w:val="24"/>
          <w:lang w:val="en-GB"/>
        </w:rPr>
        <w:t xml:space="preserve"> for instance</w:t>
      </w:r>
      <w:r w:rsidR="00501FBA" w:rsidRPr="00DF5227">
        <w:rPr>
          <w:rFonts w:ascii="Times New Roman" w:hAnsi="Times New Roman" w:cs="Times New Roman"/>
          <w:sz w:val="24"/>
          <w:szCs w:val="24"/>
          <w:lang w:val="en-GB"/>
        </w:rPr>
        <w:t>,</w:t>
      </w:r>
      <w:r w:rsidR="00C75A5D" w:rsidRPr="00DF5227">
        <w:rPr>
          <w:rFonts w:ascii="Times New Roman" w:hAnsi="Times New Roman" w:cs="Times New Roman"/>
          <w:sz w:val="24"/>
          <w:szCs w:val="24"/>
          <w:lang w:val="en-GB"/>
        </w:rPr>
        <w:t xml:space="preserve"> </w:t>
      </w:r>
      <w:r w:rsidR="007B0BE0" w:rsidRPr="00DF5227">
        <w:rPr>
          <w:rFonts w:ascii="Times New Roman" w:hAnsi="Times New Roman" w:cs="Times New Roman"/>
          <w:sz w:val="24"/>
          <w:szCs w:val="24"/>
          <w:lang w:val="en-GB"/>
        </w:rPr>
        <w:t xml:space="preserve">green Europe. ‘Sustainability’ and ‘ecological modernisation’ are terms at the heart of the green Europe myth, but also </w:t>
      </w:r>
      <w:r w:rsidR="00847723" w:rsidRPr="00DF5227">
        <w:rPr>
          <w:rFonts w:ascii="Times New Roman" w:hAnsi="Times New Roman" w:cs="Times New Roman"/>
          <w:sz w:val="24"/>
          <w:szCs w:val="24"/>
          <w:lang w:val="en-GB"/>
        </w:rPr>
        <w:t xml:space="preserve">the </w:t>
      </w:r>
      <w:r w:rsidR="00B20F2E" w:rsidRPr="00DF5227">
        <w:rPr>
          <w:rFonts w:ascii="Times New Roman" w:hAnsi="Times New Roman" w:cs="Times New Roman"/>
          <w:sz w:val="24"/>
          <w:szCs w:val="24"/>
          <w:lang w:val="en-GB"/>
        </w:rPr>
        <w:t xml:space="preserve">idea </w:t>
      </w:r>
      <w:r w:rsidR="00847723" w:rsidRPr="00DF5227">
        <w:rPr>
          <w:rFonts w:ascii="Times New Roman" w:hAnsi="Times New Roman" w:cs="Times New Roman"/>
          <w:sz w:val="24"/>
          <w:szCs w:val="24"/>
          <w:lang w:val="en-GB"/>
        </w:rPr>
        <w:t xml:space="preserve">that </w:t>
      </w:r>
      <w:r w:rsidR="00B20F2E" w:rsidRPr="00DF5227">
        <w:rPr>
          <w:rFonts w:ascii="Times New Roman" w:hAnsi="Times New Roman" w:cs="Times New Roman"/>
          <w:sz w:val="24"/>
          <w:szCs w:val="24"/>
          <w:lang w:val="en-GB"/>
        </w:rPr>
        <w:t>the EU exercise l</w:t>
      </w:r>
      <w:r w:rsidR="007B0BE0" w:rsidRPr="00DF5227">
        <w:rPr>
          <w:rFonts w:ascii="Times New Roman" w:hAnsi="Times New Roman" w:cs="Times New Roman"/>
          <w:sz w:val="24"/>
          <w:szCs w:val="24"/>
          <w:lang w:val="en-GB"/>
        </w:rPr>
        <w:t xml:space="preserve">eadership in promoting climate policies globally (Baker 2007). </w:t>
      </w:r>
      <w:r w:rsidR="00B20F2E" w:rsidRPr="00DF5227">
        <w:rPr>
          <w:rFonts w:ascii="Times New Roman" w:hAnsi="Times New Roman" w:cs="Times New Roman"/>
          <w:sz w:val="24"/>
          <w:szCs w:val="24"/>
          <w:lang w:val="en-GB"/>
        </w:rPr>
        <w:t>S</w:t>
      </w:r>
      <w:r w:rsidR="00E31BF0" w:rsidRPr="00DF5227">
        <w:rPr>
          <w:rFonts w:ascii="Times New Roman" w:hAnsi="Times New Roman" w:cs="Times New Roman"/>
          <w:sz w:val="24"/>
          <w:szCs w:val="24"/>
          <w:lang w:val="en-GB"/>
        </w:rPr>
        <w:t xml:space="preserve">ymbolic manifestations of the </w:t>
      </w:r>
      <w:r w:rsidR="00C75A5D" w:rsidRPr="00DF5227">
        <w:rPr>
          <w:rFonts w:ascii="Times New Roman" w:hAnsi="Times New Roman" w:cs="Times New Roman"/>
          <w:sz w:val="24"/>
          <w:szCs w:val="24"/>
          <w:lang w:val="en-GB"/>
        </w:rPr>
        <w:t>green Europe</w:t>
      </w:r>
      <w:r w:rsidR="00E31BF0" w:rsidRPr="00DF5227">
        <w:rPr>
          <w:rFonts w:ascii="Times New Roman" w:hAnsi="Times New Roman" w:cs="Times New Roman"/>
          <w:sz w:val="24"/>
          <w:szCs w:val="24"/>
          <w:lang w:val="en-GB"/>
        </w:rPr>
        <w:t xml:space="preserve"> </w:t>
      </w:r>
      <w:r w:rsidR="009A61E6" w:rsidRPr="00DF5227">
        <w:rPr>
          <w:rFonts w:ascii="Times New Roman" w:hAnsi="Times New Roman" w:cs="Times New Roman"/>
          <w:sz w:val="24"/>
          <w:szCs w:val="24"/>
          <w:lang w:val="en-GB"/>
        </w:rPr>
        <w:t xml:space="preserve">myth </w:t>
      </w:r>
      <w:r w:rsidR="00B20F2E" w:rsidRPr="00DF5227">
        <w:rPr>
          <w:rFonts w:ascii="Times New Roman" w:hAnsi="Times New Roman" w:cs="Times New Roman"/>
          <w:sz w:val="24"/>
          <w:szCs w:val="24"/>
          <w:lang w:val="en-GB"/>
        </w:rPr>
        <w:t xml:space="preserve">most obvious include </w:t>
      </w:r>
      <w:r w:rsidR="00E31BF0" w:rsidRPr="00DF5227">
        <w:rPr>
          <w:rFonts w:ascii="Times New Roman" w:hAnsi="Times New Roman" w:cs="Times New Roman"/>
          <w:sz w:val="24"/>
          <w:szCs w:val="24"/>
          <w:lang w:val="en-GB"/>
        </w:rPr>
        <w:t xml:space="preserve">the colour green, but </w:t>
      </w:r>
      <w:r w:rsidR="00B20F2E" w:rsidRPr="00DF5227">
        <w:rPr>
          <w:rFonts w:ascii="Times New Roman" w:hAnsi="Times New Roman" w:cs="Times New Roman"/>
          <w:sz w:val="24"/>
          <w:szCs w:val="24"/>
          <w:lang w:val="en-GB"/>
        </w:rPr>
        <w:t xml:space="preserve">typically </w:t>
      </w:r>
      <w:r w:rsidR="00E31BF0" w:rsidRPr="00DF5227">
        <w:rPr>
          <w:rFonts w:ascii="Times New Roman" w:hAnsi="Times New Roman" w:cs="Times New Roman"/>
          <w:sz w:val="24"/>
          <w:szCs w:val="24"/>
          <w:lang w:val="en-GB"/>
        </w:rPr>
        <w:t xml:space="preserve">also images of European landscapes and ‘green technologies’. </w:t>
      </w:r>
      <w:r w:rsidR="00501FBA" w:rsidRPr="00DF5227">
        <w:rPr>
          <w:rFonts w:ascii="Times New Roman" w:hAnsi="Times New Roman" w:cs="Times New Roman"/>
          <w:sz w:val="24"/>
          <w:szCs w:val="24"/>
          <w:lang w:val="en-GB"/>
        </w:rPr>
        <w:t xml:space="preserve">In a similar way </w:t>
      </w:r>
      <w:r w:rsidR="009A61E6" w:rsidRPr="00DF5227">
        <w:rPr>
          <w:rFonts w:ascii="Times New Roman" w:hAnsi="Times New Roman" w:cs="Times New Roman"/>
          <w:sz w:val="24"/>
          <w:szCs w:val="24"/>
          <w:lang w:val="en-GB"/>
        </w:rPr>
        <w:t xml:space="preserve">the </w:t>
      </w:r>
      <w:r w:rsidR="00501FBA" w:rsidRPr="00DF5227">
        <w:rPr>
          <w:rFonts w:ascii="Times New Roman" w:hAnsi="Times New Roman" w:cs="Times New Roman"/>
          <w:sz w:val="24"/>
          <w:szCs w:val="24"/>
          <w:lang w:val="en-GB"/>
        </w:rPr>
        <w:t>s</w:t>
      </w:r>
      <w:r w:rsidR="00E31BF0" w:rsidRPr="00DF5227">
        <w:rPr>
          <w:rFonts w:ascii="Times New Roman" w:hAnsi="Times New Roman" w:cs="Times New Roman"/>
          <w:sz w:val="24"/>
          <w:szCs w:val="24"/>
          <w:lang w:val="en-GB"/>
        </w:rPr>
        <w:t xml:space="preserve">ocial Europe </w:t>
      </w:r>
      <w:r w:rsidR="009A61E6" w:rsidRPr="00DF5227">
        <w:rPr>
          <w:rFonts w:ascii="Times New Roman" w:hAnsi="Times New Roman" w:cs="Times New Roman"/>
          <w:sz w:val="24"/>
          <w:szCs w:val="24"/>
          <w:lang w:val="en-GB"/>
        </w:rPr>
        <w:t xml:space="preserve">myth </w:t>
      </w:r>
      <w:r w:rsidR="00E31BF0" w:rsidRPr="00DF5227">
        <w:rPr>
          <w:rFonts w:ascii="Times New Roman" w:hAnsi="Times New Roman" w:cs="Times New Roman"/>
          <w:sz w:val="24"/>
          <w:szCs w:val="24"/>
          <w:lang w:val="en-GB"/>
        </w:rPr>
        <w:t>may</w:t>
      </w:r>
      <w:r w:rsidR="00501FBA" w:rsidRPr="00DF5227">
        <w:rPr>
          <w:rFonts w:ascii="Times New Roman" w:hAnsi="Times New Roman" w:cs="Times New Roman"/>
          <w:sz w:val="24"/>
          <w:szCs w:val="24"/>
          <w:lang w:val="en-GB"/>
        </w:rPr>
        <w:t xml:space="preserve"> be associated with images of people, possibly of women and men, visibly different ethnicities</w:t>
      </w:r>
      <w:r w:rsidR="00FD79E7" w:rsidRPr="00DF5227">
        <w:rPr>
          <w:rFonts w:ascii="Times New Roman" w:hAnsi="Times New Roman" w:cs="Times New Roman"/>
          <w:sz w:val="24"/>
          <w:szCs w:val="24"/>
          <w:lang w:val="en-GB"/>
        </w:rPr>
        <w:t xml:space="preserve">, </w:t>
      </w:r>
      <w:r w:rsidR="00847723" w:rsidRPr="00DF5227">
        <w:rPr>
          <w:rFonts w:ascii="Times New Roman" w:hAnsi="Times New Roman" w:cs="Times New Roman"/>
          <w:sz w:val="24"/>
          <w:szCs w:val="24"/>
          <w:lang w:val="en-GB"/>
        </w:rPr>
        <w:t>whom</w:t>
      </w:r>
      <w:r w:rsidR="009A61E6" w:rsidRPr="00DF5227">
        <w:rPr>
          <w:rFonts w:ascii="Times New Roman" w:hAnsi="Times New Roman" w:cs="Times New Roman"/>
          <w:sz w:val="24"/>
          <w:szCs w:val="24"/>
          <w:lang w:val="en-GB"/>
        </w:rPr>
        <w:t xml:space="preserve"> </w:t>
      </w:r>
      <w:r w:rsidR="00FD79E7" w:rsidRPr="00DF5227">
        <w:rPr>
          <w:rFonts w:ascii="Times New Roman" w:hAnsi="Times New Roman" w:cs="Times New Roman"/>
          <w:sz w:val="24"/>
          <w:szCs w:val="24"/>
          <w:lang w:val="en-GB"/>
        </w:rPr>
        <w:t>may</w:t>
      </w:r>
      <w:r w:rsidR="00847723" w:rsidRPr="00DF5227">
        <w:rPr>
          <w:rFonts w:ascii="Times New Roman" w:hAnsi="Times New Roman" w:cs="Times New Roman"/>
          <w:sz w:val="24"/>
          <w:szCs w:val="24"/>
          <w:lang w:val="en-GB"/>
        </w:rPr>
        <w:t xml:space="preserve"> </w:t>
      </w:r>
      <w:r w:rsidR="00FD79E7" w:rsidRPr="00DF5227">
        <w:rPr>
          <w:rFonts w:ascii="Times New Roman" w:hAnsi="Times New Roman" w:cs="Times New Roman"/>
          <w:sz w:val="24"/>
          <w:szCs w:val="24"/>
          <w:lang w:val="en-GB"/>
        </w:rPr>
        <w:t>be</w:t>
      </w:r>
      <w:r w:rsidR="00501FBA" w:rsidRPr="00DF5227">
        <w:rPr>
          <w:rFonts w:ascii="Times New Roman" w:hAnsi="Times New Roman" w:cs="Times New Roman"/>
          <w:sz w:val="24"/>
          <w:szCs w:val="24"/>
          <w:lang w:val="en-GB"/>
        </w:rPr>
        <w:t xml:space="preserve"> united around a particular </w:t>
      </w:r>
      <w:r w:rsidR="00847723" w:rsidRPr="00DF5227">
        <w:rPr>
          <w:rFonts w:ascii="Times New Roman" w:hAnsi="Times New Roman" w:cs="Times New Roman"/>
          <w:sz w:val="24"/>
          <w:szCs w:val="24"/>
          <w:lang w:val="en-GB"/>
        </w:rPr>
        <w:t xml:space="preserve">common </w:t>
      </w:r>
      <w:r w:rsidR="00501FBA" w:rsidRPr="00DF5227">
        <w:rPr>
          <w:rFonts w:ascii="Times New Roman" w:hAnsi="Times New Roman" w:cs="Times New Roman"/>
          <w:sz w:val="24"/>
          <w:szCs w:val="24"/>
          <w:lang w:val="en-GB"/>
        </w:rPr>
        <w:t xml:space="preserve">task. </w:t>
      </w:r>
      <w:r w:rsidR="007C26A0" w:rsidRPr="00DF5227">
        <w:rPr>
          <w:rFonts w:ascii="Times New Roman" w:hAnsi="Times New Roman" w:cs="Times New Roman"/>
          <w:sz w:val="24"/>
          <w:szCs w:val="24"/>
          <w:lang w:val="en-GB"/>
        </w:rPr>
        <w:t xml:space="preserve">At the same time, </w:t>
      </w:r>
      <w:r w:rsidR="00916DA9" w:rsidRPr="00DF5227">
        <w:rPr>
          <w:rFonts w:ascii="Times New Roman" w:hAnsi="Times New Roman" w:cs="Times New Roman"/>
          <w:sz w:val="24"/>
          <w:szCs w:val="24"/>
          <w:lang w:val="en-GB"/>
        </w:rPr>
        <w:t xml:space="preserve">we may </w:t>
      </w:r>
      <w:r w:rsidR="0077188F" w:rsidRPr="00DF5227">
        <w:rPr>
          <w:rFonts w:ascii="Times New Roman" w:hAnsi="Times New Roman" w:cs="Times New Roman"/>
          <w:sz w:val="24"/>
          <w:szCs w:val="24"/>
          <w:lang w:val="en-GB"/>
        </w:rPr>
        <w:t xml:space="preserve">expect that, whereas symbols may very well give associations to particular myths, the range of possible interpretations and usages of symbols exceeds that of myths. </w:t>
      </w:r>
      <w:r w:rsidR="00780B16" w:rsidRPr="00DF5227">
        <w:rPr>
          <w:rFonts w:ascii="Times New Roman" w:hAnsi="Times New Roman" w:cs="Times New Roman"/>
          <w:sz w:val="24"/>
          <w:szCs w:val="24"/>
          <w:lang w:val="en-GB"/>
        </w:rPr>
        <w:t>Although s</w:t>
      </w:r>
      <w:r w:rsidR="00E31BF0" w:rsidRPr="00DF5227">
        <w:rPr>
          <w:rFonts w:ascii="Times New Roman" w:hAnsi="Times New Roman" w:cs="Times New Roman"/>
          <w:sz w:val="24"/>
          <w:szCs w:val="24"/>
          <w:lang w:val="en-GB"/>
        </w:rPr>
        <w:t>ymbols and myths</w:t>
      </w:r>
      <w:r w:rsidR="00780B16" w:rsidRPr="00DF5227">
        <w:rPr>
          <w:rFonts w:ascii="Times New Roman" w:hAnsi="Times New Roman" w:cs="Times New Roman"/>
          <w:sz w:val="24"/>
          <w:szCs w:val="24"/>
          <w:lang w:val="en-GB"/>
        </w:rPr>
        <w:t xml:space="preserve"> </w:t>
      </w:r>
      <w:r w:rsidR="007C26A0" w:rsidRPr="00DF5227">
        <w:rPr>
          <w:rFonts w:ascii="Times New Roman" w:hAnsi="Times New Roman" w:cs="Times New Roman"/>
          <w:sz w:val="24"/>
          <w:szCs w:val="24"/>
          <w:lang w:val="en-GB"/>
        </w:rPr>
        <w:t xml:space="preserve">are </w:t>
      </w:r>
      <w:r w:rsidR="00780B16" w:rsidRPr="00DF5227">
        <w:rPr>
          <w:rFonts w:ascii="Times New Roman" w:hAnsi="Times New Roman" w:cs="Times New Roman"/>
          <w:sz w:val="24"/>
          <w:szCs w:val="24"/>
          <w:lang w:val="en-GB"/>
        </w:rPr>
        <w:t>sometimes closely associated, we may also suspect they have distinct roles in EU politics</w:t>
      </w:r>
      <w:r w:rsidR="007C26A0" w:rsidRPr="00DF5227">
        <w:rPr>
          <w:rFonts w:ascii="Times New Roman" w:hAnsi="Times New Roman" w:cs="Times New Roman"/>
          <w:sz w:val="24"/>
          <w:szCs w:val="24"/>
          <w:lang w:val="en-GB"/>
        </w:rPr>
        <w:t>; i</w:t>
      </w:r>
      <w:r w:rsidR="00780B16" w:rsidRPr="00DF5227">
        <w:rPr>
          <w:rFonts w:ascii="Times New Roman" w:hAnsi="Times New Roman" w:cs="Times New Roman"/>
          <w:sz w:val="24"/>
          <w:szCs w:val="24"/>
          <w:lang w:val="en-GB"/>
        </w:rPr>
        <w:t xml:space="preserve">f </w:t>
      </w:r>
      <w:r w:rsidR="007C26A0" w:rsidRPr="00DF5227">
        <w:rPr>
          <w:rFonts w:ascii="Times New Roman" w:hAnsi="Times New Roman" w:cs="Times New Roman"/>
          <w:sz w:val="24"/>
          <w:szCs w:val="24"/>
          <w:lang w:val="en-GB"/>
        </w:rPr>
        <w:t xml:space="preserve">for no other reason due to </w:t>
      </w:r>
      <w:r w:rsidR="00E62727" w:rsidRPr="00DF5227">
        <w:rPr>
          <w:rFonts w:ascii="Times New Roman" w:hAnsi="Times New Roman" w:cs="Times New Roman"/>
          <w:sz w:val="24"/>
          <w:szCs w:val="24"/>
          <w:lang w:val="en-GB"/>
        </w:rPr>
        <w:t>symbols</w:t>
      </w:r>
      <w:r w:rsidR="00780B16" w:rsidRPr="00DF5227">
        <w:rPr>
          <w:rFonts w:ascii="Times New Roman" w:hAnsi="Times New Roman" w:cs="Times New Roman"/>
          <w:sz w:val="24"/>
          <w:szCs w:val="24"/>
          <w:lang w:val="en-GB"/>
        </w:rPr>
        <w:t xml:space="preserve"> often </w:t>
      </w:r>
      <w:r w:rsidR="007C26A0" w:rsidRPr="00DF5227">
        <w:rPr>
          <w:rFonts w:ascii="Times New Roman" w:hAnsi="Times New Roman" w:cs="Times New Roman"/>
          <w:sz w:val="24"/>
          <w:szCs w:val="24"/>
          <w:lang w:val="en-GB"/>
        </w:rPr>
        <w:t xml:space="preserve">being </w:t>
      </w:r>
      <w:r w:rsidR="00780B16" w:rsidRPr="00DF5227">
        <w:rPr>
          <w:rFonts w:ascii="Times New Roman" w:hAnsi="Times New Roman" w:cs="Times New Roman"/>
          <w:sz w:val="24"/>
          <w:szCs w:val="24"/>
          <w:lang w:val="en-GB"/>
        </w:rPr>
        <w:t>non-verbal</w:t>
      </w:r>
      <w:r w:rsidR="00E62727" w:rsidRPr="00DF5227">
        <w:rPr>
          <w:rFonts w:ascii="Times New Roman" w:hAnsi="Times New Roman" w:cs="Times New Roman"/>
          <w:sz w:val="24"/>
          <w:szCs w:val="24"/>
          <w:lang w:val="en-GB"/>
        </w:rPr>
        <w:t xml:space="preserve">. </w:t>
      </w:r>
      <w:r w:rsidR="00780B16" w:rsidRPr="00DF5227">
        <w:rPr>
          <w:rFonts w:ascii="Times New Roman" w:hAnsi="Times New Roman" w:cs="Times New Roman"/>
          <w:sz w:val="24"/>
          <w:szCs w:val="24"/>
          <w:lang w:val="en-GB"/>
        </w:rPr>
        <w:t xml:space="preserve"> </w:t>
      </w:r>
      <w:r w:rsidR="00E31BF0" w:rsidRPr="00DF5227">
        <w:rPr>
          <w:rFonts w:ascii="Times New Roman" w:hAnsi="Times New Roman" w:cs="Times New Roman"/>
          <w:sz w:val="24"/>
          <w:szCs w:val="24"/>
          <w:lang w:val="en-GB"/>
        </w:rPr>
        <w:t xml:space="preserve"> </w:t>
      </w:r>
    </w:p>
    <w:p w:rsidR="00E62727" w:rsidRPr="00DF5227" w:rsidRDefault="00E62727" w:rsidP="00BC5346">
      <w:pPr>
        <w:spacing w:line="360" w:lineRule="auto"/>
        <w:jc w:val="both"/>
        <w:rPr>
          <w:rFonts w:ascii="Times New Roman" w:hAnsi="Times New Roman" w:cs="Times New Roman"/>
          <w:sz w:val="24"/>
          <w:szCs w:val="24"/>
          <w:lang w:val="en-GB"/>
        </w:rPr>
      </w:pPr>
    </w:p>
    <w:p w:rsidR="00E62727" w:rsidRPr="00DF5227" w:rsidRDefault="00E62727" w:rsidP="00BC5346">
      <w:pPr>
        <w:spacing w:line="360" w:lineRule="auto"/>
        <w:jc w:val="both"/>
        <w:rPr>
          <w:rFonts w:ascii="Times New Roman" w:hAnsi="Times New Roman" w:cs="Times New Roman"/>
          <w:i/>
          <w:sz w:val="24"/>
          <w:szCs w:val="24"/>
          <w:lang w:val="en-GB"/>
        </w:rPr>
      </w:pPr>
      <w:r w:rsidRPr="00DF5227">
        <w:rPr>
          <w:rFonts w:ascii="Times New Roman" w:hAnsi="Times New Roman" w:cs="Times New Roman"/>
          <w:i/>
          <w:sz w:val="24"/>
          <w:szCs w:val="24"/>
          <w:lang w:val="en-GB"/>
        </w:rPr>
        <w:t>Myths and symbols as conduct</w:t>
      </w:r>
    </w:p>
    <w:p w:rsidR="00B86140" w:rsidRPr="00DF5227" w:rsidRDefault="0096630A"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Symbols and myths as conduct highlight agency, which can be described in terms their usage in EU politics. </w:t>
      </w:r>
      <w:r w:rsidR="001E026D" w:rsidRPr="00DF5227">
        <w:rPr>
          <w:rFonts w:ascii="Times New Roman" w:hAnsi="Times New Roman" w:cs="Times New Roman"/>
          <w:sz w:val="24"/>
          <w:szCs w:val="24"/>
          <w:lang w:val="en-GB"/>
        </w:rPr>
        <w:t>Della Sala (2010: 6) suggest</w:t>
      </w:r>
      <w:r w:rsidR="003317C5" w:rsidRPr="00DF5227">
        <w:rPr>
          <w:rFonts w:ascii="Times New Roman" w:hAnsi="Times New Roman" w:cs="Times New Roman"/>
          <w:sz w:val="24"/>
          <w:szCs w:val="24"/>
          <w:lang w:val="en-GB"/>
        </w:rPr>
        <w:t>s</w:t>
      </w:r>
      <w:r w:rsidR="001E026D" w:rsidRPr="00DF5227">
        <w:rPr>
          <w:rFonts w:ascii="Times New Roman" w:hAnsi="Times New Roman" w:cs="Times New Roman"/>
          <w:sz w:val="24"/>
          <w:szCs w:val="24"/>
          <w:lang w:val="en-GB"/>
        </w:rPr>
        <w:t xml:space="preserve"> </w:t>
      </w:r>
      <w:r w:rsidR="009A61E6" w:rsidRPr="00DF5227">
        <w:rPr>
          <w:rFonts w:ascii="Times New Roman" w:hAnsi="Times New Roman" w:cs="Times New Roman"/>
          <w:sz w:val="24"/>
          <w:szCs w:val="24"/>
          <w:lang w:val="en-GB"/>
        </w:rPr>
        <w:t xml:space="preserve">that </w:t>
      </w:r>
      <w:r w:rsidR="001E026D" w:rsidRPr="00DF5227">
        <w:rPr>
          <w:rFonts w:ascii="Times New Roman" w:hAnsi="Times New Roman" w:cs="Times New Roman"/>
          <w:sz w:val="24"/>
          <w:szCs w:val="24"/>
          <w:lang w:val="en-GB"/>
        </w:rPr>
        <w:t xml:space="preserve">political myths ‘are political instruments that may or may not be successful in their appeal’. </w:t>
      </w:r>
      <w:r w:rsidR="009A61E6" w:rsidRPr="00DF5227">
        <w:rPr>
          <w:rFonts w:ascii="Times New Roman" w:hAnsi="Times New Roman" w:cs="Times New Roman"/>
          <w:sz w:val="24"/>
          <w:szCs w:val="24"/>
          <w:lang w:val="en-GB"/>
        </w:rPr>
        <w:t>Although</w:t>
      </w:r>
      <w:r w:rsidR="00C02824" w:rsidRPr="00DF5227">
        <w:rPr>
          <w:rFonts w:ascii="Times New Roman" w:hAnsi="Times New Roman" w:cs="Times New Roman"/>
          <w:sz w:val="24"/>
          <w:szCs w:val="24"/>
          <w:lang w:val="en-GB"/>
        </w:rPr>
        <w:t xml:space="preserve"> the historical point of creation of political myths</w:t>
      </w:r>
      <w:r w:rsidR="00AE57ED" w:rsidRPr="00DF5227">
        <w:rPr>
          <w:rFonts w:ascii="Times New Roman" w:hAnsi="Times New Roman" w:cs="Times New Roman"/>
          <w:sz w:val="24"/>
          <w:szCs w:val="24"/>
          <w:lang w:val="en-GB"/>
        </w:rPr>
        <w:t xml:space="preserve"> may well be</w:t>
      </w:r>
      <w:r w:rsidR="00C02824" w:rsidRPr="00DF5227">
        <w:rPr>
          <w:rFonts w:ascii="Times New Roman" w:hAnsi="Times New Roman" w:cs="Times New Roman"/>
          <w:sz w:val="24"/>
          <w:szCs w:val="24"/>
          <w:lang w:val="en-GB"/>
        </w:rPr>
        <w:t xml:space="preserve"> blurred or abstract</w:t>
      </w:r>
      <w:r w:rsidR="00AE57ED" w:rsidRPr="00DF5227">
        <w:rPr>
          <w:rFonts w:ascii="Times New Roman" w:hAnsi="Times New Roman" w:cs="Times New Roman"/>
          <w:sz w:val="24"/>
          <w:szCs w:val="24"/>
          <w:lang w:val="en-GB"/>
        </w:rPr>
        <w:t xml:space="preserve">, </w:t>
      </w:r>
      <w:r w:rsidR="00366877" w:rsidRPr="00DF5227">
        <w:rPr>
          <w:rFonts w:ascii="Times New Roman" w:hAnsi="Times New Roman" w:cs="Times New Roman"/>
          <w:sz w:val="24"/>
          <w:szCs w:val="24"/>
          <w:lang w:val="en-GB"/>
        </w:rPr>
        <w:t>b</w:t>
      </w:r>
      <w:r w:rsidR="00C02824" w:rsidRPr="00DF5227">
        <w:rPr>
          <w:rFonts w:ascii="Times New Roman" w:hAnsi="Times New Roman" w:cs="Times New Roman"/>
          <w:sz w:val="24"/>
          <w:szCs w:val="24"/>
          <w:lang w:val="en-GB"/>
        </w:rPr>
        <w:t>y no</w:t>
      </w:r>
      <w:r w:rsidR="00AE57ED" w:rsidRPr="00DF5227">
        <w:rPr>
          <w:rFonts w:ascii="Times New Roman" w:hAnsi="Times New Roman" w:cs="Times New Roman"/>
          <w:sz w:val="24"/>
          <w:szCs w:val="24"/>
          <w:lang w:val="en-GB"/>
        </w:rPr>
        <w:t xml:space="preserve"> </w:t>
      </w:r>
      <w:r w:rsidR="00C02824" w:rsidRPr="00DF5227">
        <w:rPr>
          <w:rFonts w:ascii="Times New Roman" w:hAnsi="Times New Roman" w:cs="Times New Roman"/>
          <w:sz w:val="24"/>
          <w:szCs w:val="24"/>
          <w:lang w:val="en-GB"/>
        </w:rPr>
        <w:t xml:space="preserve">means follow that political myths cannot be used strategically by political actors. </w:t>
      </w:r>
      <w:r w:rsidR="00366877" w:rsidRPr="00DF5227">
        <w:rPr>
          <w:rFonts w:ascii="Times New Roman" w:hAnsi="Times New Roman" w:cs="Times New Roman"/>
          <w:sz w:val="24"/>
          <w:szCs w:val="24"/>
          <w:lang w:val="en-GB"/>
        </w:rPr>
        <w:t xml:space="preserve">Symbols </w:t>
      </w:r>
      <w:r w:rsidR="0012204F" w:rsidRPr="00DF5227">
        <w:rPr>
          <w:rFonts w:ascii="Times New Roman" w:hAnsi="Times New Roman" w:cs="Times New Roman"/>
          <w:sz w:val="24"/>
          <w:szCs w:val="24"/>
          <w:lang w:val="en-GB"/>
        </w:rPr>
        <w:t xml:space="preserve">as physical representations </w:t>
      </w:r>
      <w:r w:rsidR="00366877" w:rsidRPr="00DF5227">
        <w:rPr>
          <w:rFonts w:ascii="Times New Roman" w:hAnsi="Times New Roman" w:cs="Times New Roman"/>
          <w:sz w:val="24"/>
          <w:szCs w:val="24"/>
          <w:lang w:val="en-GB"/>
        </w:rPr>
        <w:t xml:space="preserve">may more often have a concrete and historical origin, but may also be subject to strategic use. </w:t>
      </w:r>
      <w:r w:rsidR="00C02824" w:rsidRPr="00DF5227">
        <w:rPr>
          <w:rFonts w:ascii="Times New Roman" w:hAnsi="Times New Roman" w:cs="Times New Roman"/>
          <w:sz w:val="24"/>
          <w:szCs w:val="24"/>
          <w:lang w:val="en-GB"/>
        </w:rPr>
        <w:t>But h</w:t>
      </w:r>
      <w:r w:rsidR="0002005C" w:rsidRPr="00DF5227">
        <w:rPr>
          <w:rFonts w:ascii="Times New Roman" w:hAnsi="Times New Roman" w:cs="Times New Roman"/>
          <w:sz w:val="24"/>
          <w:szCs w:val="24"/>
          <w:lang w:val="en-GB"/>
        </w:rPr>
        <w:t>ow can we know if when decision makers invoke symbols and myths strategically as opposed to merely reiterate already internalised symbols and myths</w:t>
      </w:r>
      <w:r w:rsidR="000A6DC0" w:rsidRPr="00DF5227">
        <w:rPr>
          <w:rFonts w:ascii="Times New Roman" w:hAnsi="Times New Roman" w:cs="Times New Roman"/>
          <w:sz w:val="24"/>
          <w:szCs w:val="24"/>
          <w:lang w:val="en-GB"/>
        </w:rPr>
        <w:t xml:space="preserve"> without much reflection and purpose? In other words, </w:t>
      </w:r>
      <w:r w:rsidR="0002005C" w:rsidRPr="00DF5227">
        <w:rPr>
          <w:rFonts w:ascii="Times New Roman" w:hAnsi="Times New Roman" w:cs="Times New Roman"/>
          <w:sz w:val="24"/>
          <w:szCs w:val="24"/>
          <w:lang w:val="en-GB"/>
        </w:rPr>
        <w:t xml:space="preserve">how can we differentiate between symbols and myths respectively as ‘code’ and as ‘conduct’? </w:t>
      </w:r>
    </w:p>
    <w:p w:rsidR="009607E7" w:rsidRPr="00DF5227" w:rsidRDefault="0002005C"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Assuming a mutually constitutive relation between structure and agency essentially makes this an analytical decision, yet not a random one. First, the time dimension is of particular importance. While decision makers are likely to become less reflexive and strategic in course of time of the development and possible institutionalisation of European symbols and myths, a more sudden articulation of ‘new’, or previously downplayed, symbols and myths suggests a more reflective and strategic choice. Second, decision making elites are </w:t>
      </w:r>
      <w:r w:rsidR="0012204F" w:rsidRPr="00DF5227">
        <w:rPr>
          <w:rFonts w:ascii="Times New Roman" w:hAnsi="Times New Roman" w:cs="Times New Roman"/>
          <w:sz w:val="24"/>
          <w:szCs w:val="24"/>
          <w:lang w:val="en-GB"/>
        </w:rPr>
        <w:t xml:space="preserve">arguably </w:t>
      </w:r>
      <w:r w:rsidRPr="00DF5227">
        <w:rPr>
          <w:rFonts w:ascii="Times New Roman" w:hAnsi="Times New Roman" w:cs="Times New Roman"/>
          <w:sz w:val="24"/>
          <w:szCs w:val="24"/>
          <w:lang w:val="en-GB"/>
        </w:rPr>
        <w:t xml:space="preserve">more likely to be reflexive and strategic users of symbols and myths. Decision making elites are likely to be – perhaps often </w:t>
      </w:r>
      <w:r w:rsidRPr="00DF5227">
        <w:rPr>
          <w:rFonts w:ascii="Times New Roman" w:hAnsi="Times New Roman" w:cs="Times New Roman"/>
          <w:sz w:val="24"/>
          <w:szCs w:val="24"/>
          <w:lang w:val="en-GB"/>
        </w:rPr>
        <w:lastRenderedPageBreak/>
        <w:t xml:space="preserve">acutely – aware of the presence of alternative and competing symbols and myths both domestically and internationally. </w:t>
      </w:r>
      <w:r w:rsidR="00B7371A" w:rsidRPr="00DF5227">
        <w:rPr>
          <w:rFonts w:ascii="Times New Roman" w:hAnsi="Times New Roman" w:cs="Times New Roman"/>
          <w:sz w:val="24"/>
          <w:szCs w:val="24"/>
          <w:lang w:val="en-GB"/>
        </w:rPr>
        <w:t>One example of this awareness is highlighted by the French and Dutch rejection of the ‘Constitution for Europe’ at their 2005 referenda. The Co</w:t>
      </w:r>
      <w:r w:rsidR="006A384E" w:rsidRPr="00DF5227">
        <w:rPr>
          <w:rFonts w:ascii="Times New Roman" w:hAnsi="Times New Roman" w:cs="Times New Roman"/>
          <w:sz w:val="24"/>
          <w:szCs w:val="24"/>
          <w:lang w:val="en-GB"/>
        </w:rPr>
        <w:t xml:space="preserve">nstitutions for Europe promoted a series EU symbols – including </w:t>
      </w:r>
      <w:r w:rsidR="00456522" w:rsidRPr="00DF5227">
        <w:rPr>
          <w:rFonts w:ascii="Times New Roman" w:hAnsi="Times New Roman" w:cs="Times New Roman"/>
          <w:sz w:val="24"/>
          <w:szCs w:val="24"/>
          <w:lang w:val="en-GB"/>
        </w:rPr>
        <w:t xml:space="preserve">the EU flag, anthem, day and motto - </w:t>
      </w:r>
      <w:r w:rsidR="006A384E" w:rsidRPr="00DF5227">
        <w:rPr>
          <w:rFonts w:ascii="Times New Roman" w:hAnsi="Times New Roman" w:cs="Times New Roman"/>
          <w:sz w:val="24"/>
          <w:szCs w:val="24"/>
          <w:lang w:val="en-GB"/>
        </w:rPr>
        <w:t>which, a</w:t>
      </w:r>
      <w:r w:rsidR="00B7371A" w:rsidRPr="00DF5227">
        <w:rPr>
          <w:rFonts w:ascii="Times New Roman" w:hAnsi="Times New Roman" w:cs="Times New Roman"/>
          <w:sz w:val="24"/>
          <w:szCs w:val="24"/>
          <w:lang w:val="en-GB"/>
        </w:rPr>
        <w:t>ccording to Manners (2011: 244-245</w:t>
      </w:r>
      <w:r w:rsidR="00456522" w:rsidRPr="00DF5227">
        <w:rPr>
          <w:rFonts w:ascii="Times New Roman" w:hAnsi="Times New Roman" w:cs="Times New Roman"/>
          <w:sz w:val="24"/>
          <w:szCs w:val="24"/>
          <w:lang w:val="en-GB"/>
        </w:rPr>
        <w:t xml:space="preserve">; </w:t>
      </w:r>
      <w:r w:rsidR="00277C89" w:rsidRPr="00DF5227">
        <w:rPr>
          <w:rFonts w:ascii="Times New Roman" w:hAnsi="Times New Roman" w:cs="Times New Roman"/>
          <w:sz w:val="24"/>
          <w:szCs w:val="24"/>
          <w:lang w:val="en-GB"/>
        </w:rPr>
        <w:t>252</w:t>
      </w:r>
      <w:r w:rsidR="00456522" w:rsidRPr="00DF5227">
        <w:rPr>
          <w:rFonts w:ascii="Times New Roman" w:hAnsi="Times New Roman" w:cs="Times New Roman"/>
          <w:sz w:val="24"/>
          <w:szCs w:val="24"/>
          <w:lang w:val="en-GB"/>
        </w:rPr>
        <w:t xml:space="preserve"> ff.</w:t>
      </w:r>
      <w:r w:rsidR="00B7371A" w:rsidRPr="00DF5227">
        <w:rPr>
          <w:rFonts w:ascii="Times New Roman" w:hAnsi="Times New Roman" w:cs="Times New Roman"/>
          <w:sz w:val="24"/>
          <w:szCs w:val="24"/>
          <w:lang w:val="en-GB"/>
        </w:rPr>
        <w:t>)</w:t>
      </w:r>
      <w:r w:rsidR="006A384E" w:rsidRPr="00DF5227">
        <w:rPr>
          <w:rFonts w:ascii="Times New Roman" w:hAnsi="Times New Roman" w:cs="Times New Roman"/>
          <w:sz w:val="24"/>
          <w:szCs w:val="24"/>
          <w:lang w:val="en-GB"/>
        </w:rPr>
        <w:t xml:space="preserve">, </w:t>
      </w:r>
      <w:r w:rsidR="00456522" w:rsidRPr="00DF5227">
        <w:rPr>
          <w:rFonts w:ascii="Times New Roman" w:hAnsi="Times New Roman" w:cs="Times New Roman"/>
          <w:sz w:val="24"/>
          <w:szCs w:val="24"/>
          <w:lang w:val="en-GB"/>
        </w:rPr>
        <w:t xml:space="preserve">was ‘too federal’ and bared too much </w:t>
      </w:r>
      <w:r w:rsidR="006A384E" w:rsidRPr="00DF5227">
        <w:rPr>
          <w:rFonts w:ascii="Times New Roman" w:hAnsi="Times New Roman" w:cs="Times New Roman"/>
          <w:sz w:val="24"/>
          <w:szCs w:val="24"/>
          <w:lang w:val="en-GB"/>
        </w:rPr>
        <w:t xml:space="preserve">resemblance of </w:t>
      </w:r>
      <w:r w:rsidR="00456522" w:rsidRPr="00DF5227">
        <w:rPr>
          <w:rFonts w:ascii="Times New Roman" w:hAnsi="Times New Roman" w:cs="Times New Roman"/>
          <w:sz w:val="24"/>
          <w:szCs w:val="24"/>
          <w:lang w:val="en-GB"/>
        </w:rPr>
        <w:t xml:space="preserve">the establishment of a European </w:t>
      </w:r>
      <w:r w:rsidR="006A384E" w:rsidRPr="00DF5227">
        <w:rPr>
          <w:rFonts w:ascii="Times New Roman" w:hAnsi="Times New Roman" w:cs="Times New Roman"/>
          <w:sz w:val="24"/>
          <w:szCs w:val="24"/>
          <w:lang w:val="en-GB"/>
        </w:rPr>
        <w:t>statehood to pass a popular vote</w:t>
      </w:r>
      <w:r w:rsidR="00456522" w:rsidRPr="00DF5227">
        <w:rPr>
          <w:rFonts w:ascii="Times New Roman" w:hAnsi="Times New Roman" w:cs="Times New Roman"/>
          <w:sz w:val="24"/>
          <w:szCs w:val="24"/>
          <w:lang w:val="en-GB"/>
        </w:rPr>
        <w:t>. T</w:t>
      </w:r>
      <w:r w:rsidR="006A384E" w:rsidRPr="00DF5227">
        <w:rPr>
          <w:rFonts w:ascii="Times New Roman" w:hAnsi="Times New Roman" w:cs="Times New Roman"/>
          <w:sz w:val="24"/>
          <w:szCs w:val="24"/>
          <w:lang w:val="en-GB"/>
        </w:rPr>
        <w:t>he EU symbols w</w:t>
      </w:r>
      <w:r w:rsidR="00456522" w:rsidRPr="00DF5227">
        <w:rPr>
          <w:rFonts w:ascii="Times New Roman" w:hAnsi="Times New Roman" w:cs="Times New Roman"/>
          <w:sz w:val="24"/>
          <w:szCs w:val="24"/>
          <w:lang w:val="en-GB"/>
        </w:rPr>
        <w:t>ere</w:t>
      </w:r>
      <w:r w:rsidR="006A384E" w:rsidRPr="00DF5227">
        <w:rPr>
          <w:rFonts w:ascii="Times New Roman" w:hAnsi="Times New Roman" w:cs="Times New Roman"/>
          <w:sz w:val="24"/>
          <w:szCs w:val="24"/>
          <w:lang w:val="en-GB"/>
        </w:rPr>
        <w:t xml:space="preserve"> subsequently removed from </w:t>
      </w:r>
      <w:r w:rsidR="00456522" w:rsidRPr="00DF5227">
        <w:rPr>
          <w:rFonts w:ascii="Times New Roman" w:hAnsi="Times New Roman" w:cs="Times New Roman"/>
          <w:sz w:val="24"/>
          <w:szCs w:val="24"/>
          <w:lang w:val="en-GB"/>
        </w:rPr>
        <w:t xml:space="preserve">what became </w:t>
      </w:r>
      <w:r w:rsidR="006A384E" w:rsidRPr="00DF5227">
        <w:rPr>
          <w:rFonts w:ascii="Times New Roman" w:hAnsi="Times New Roman" w:cs="Times New Roman"/>
          <w:sz w:val="24"/>
          <w:szCs w:val="24"/>
          <w:lang w:val="en-GB"/>
        </w:rPr>
        <w:t xml:space="preserve">the </w:t>
      </w:r>
      <w:r w:rsidR="00456522" w:rsidRPr="00DF5227">
        <w:rPr>
          <w:rFonts w:ascii="Times New Roman" w:hAnsi="Times New Roman" w:cs="Times New Roman"/>
          <w:sz w:val="24"/>
          <w:szCs w:val="24"/>
          <w:lang w:val="en-GB"/>
        </w:rPr>
        <w:t xml:space="preserve">Lisbon </w:t>
      </w:r>
      <w:r w:rsidR="006A384E" w:rsidRPr="00DF5227">
        <w:rPr>
          <w:rFonts w:ascii="Times New Roman" w:hAnsi="Times New Roman" w:cs="Times New Roman"/>
          <w:sz w:val="24"/>
          <w:szCs w:val="24"/>
          <w:lang w:val="en-GB"/>
        </w:rPr>
        <w:t xml:space="preserve">Treaty. </w:t>
      </w:r>
      <w:r w:rsidRPr="00DF5227">
        <w:rPr>
          <w:rFonts w:ascii="Times New Roman" w:hAnsi="Times New Roman" w:cs="Times New Roman"/>
          <w:sz w:val="24"/>
          <w:szCs w:val="24"/>
          <w:lang w:val="en-GB"/>
        </w:rPr>
        <w:t>In other words, decision makers are faced with the task of articulating European symbols and myths</w:t>
      </w:r>
      <w:r w:rsidRPr="00DF5227">
        <w:rPr>
          <w:rFonts w:ascii="Times New Roman" w:hAnsi="Times New Roman" w:cs="Times New Roman"/>
          <w:i/>
          <w:sz w:val="24"/>
          <w:szCs w:val="24"/>
          <w:lang w:val="en-GB"/>
        </w:rPr>
        <w:t xml:space="preserve"> as opposed to</w:t>
      </w:r>
      <w:r w:rsidRPr="00DF5227">
        <w:rPr>
          <w:rFonts w:ascii="Times New Roman" w:hAnsi="Times New Roman" w:cs="Times New Roman"/>
          <w:sz w:val="24"/>
          <w:szCs w:val="24"/>
          <w:lang w:val="en-GB"/>
        </w:rPr>
        <w:t xml:space="preserve"> alternative symbols and myths, suggesting at the very least some level of strategic reflection. Third, symbols and myths associated with specified and possibly </w:t>
      </w:r>
      <w:r w:rsidR="00A63A31" w:rsidRPr="00DF5227">
        <w:rPr>
          <w:rFonts w:ascii="Times New Roman" w:hAnsi="Times New Roman" w:cs="Times New Roman"/>
          <w:sz w:val="24"/>
          <w:szCs w:val="24"/>
          <w:lang w:val="en-GB"/>
        </w:rPr>
        <w:t>presented a</w:t>
      </w:r>
      <w:r w:rsidRPr="00DF5227">
        <w:rPr>
          <w:rFonts w:ascii="Times New Roman" w:hAnsi="Times New Roman" w:cs="Times New Roman"/>
          <w:sz w:val="24"/>
          <w:szCs w:val="24"/>
          <w:lang w:val="en-GB"/>
        </w:rPr>
        <w:t>s necessitating certain courses of action suggest that such are invoked strategically. Fourth, the extent to which decision makers invoke different symbols and myths for consumption in different types of fora - e.g. more or less private/public or domestic/international ones – indicates strategic reflections.</w:t>
      </w:r>
      <w:r w:rsidR="00A63A31" w:rsidRPr="00DF5227">
        <w:rPr>
          <w:rFonts w:ascii="Times New Roman" w:hAnsi="Times New Roman" w:cs="Times New Roman"/>
          <w:sz w:val="24"/>
          <w:szCs w:val="24"/>
          <w:lang w:val="en-GB"/>
        </w:rPr>
        <w:t xml:space="preserve"> </w:t>
      </w:r>
    </w:p>
    <w:p w:rsidR="00A63A31" w:rsidRPr="00DF5227" w:rsidRDefault="00A63A31" w:rsidP="00BC5346">
      <w:pPr>
        <w:spacing w:line="360" w:lineRule="auto"/>
        <w:jc w:val="both"/>
        <w:rPr>
          <w:rFonts w:ascii="Times New Roman" w:hAnsi="Times New Roman" w:cs="Times New Roman"/>
          <w:sz w:val="24"/>
          <w:szCs w:val="24"/>
          <w:lang w:val="en-GB"/>
        </w:rPr>
      </w:pPr>
    </w:p>
    <w:p w:rsidR="00B16693" w:rsidRPr="00DF5227" w:rsidRDefault="00B16693"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t xml:space="preserve">III. </w:t>
      </w:r>
      <w:r w:rsidR="008E3FFB" w:rsidRPr="00DF5227">
        <w:rPr>
          <w:rFonts w:ascii="Times New Roman" w:hAnsi="Times New Roman" w:cs="Times New Roman"/>
          <w:b/>
          <w:sz w:val="24"/>
          <w:szCs w:val="24"/>
          <w:lang w:val="en-GB"/>
        </w:rPr>
        <w:t xml:space="preserve">Research Design and Techniques </w:t>
      </w:r>
    </w:p>
    <w:p w:rsidR="00A778A7" w:rsidRPr="00DF5227" w:rsidRDefault="008E3FFB" w:rsidP="00BC5346">
      <w:pPr>
        <w:autoSpaceDE w:val="0"/>
        <w:autoSpaceDN w:val="0"/>
        <w:adjustRightInd w:val="0"/>
        <w:spacing w:after="0" w:line="360" w:lineRule="auto"/>
        <w:jc w:val="both"/>
        <w:rPr>
          <w:rFonts w:ascii="Times New Roman" w:hAnsi="Times New Roman" w:cs="Times New Roman"/>
          <w:iCs/>
          <w:sz w:val="24"/>
          <w:szCs w:val="24"/>
          <w:lang w:val="en-GB"/>
        </w:rPr>
      </w:pPr>
      <w:r w:rsidRPr="00DF5227">
        <w:rPr>
          <w:rFonts w:ascii="Times New Roman" w:hAnsi="Times New Roman" w:cs="Times New Roman"/>
          <w:sz w:val="24"/>
          <w:szCs w:val="24"/>
          <w:lang w:val="en-GB"/>
        </w:rPr>
        <w:t xml:space="preserve">In </w:t>
      </w:r>
      <w:r w:rsidR="006251FA" w:rsidRPr="00DF5227">
        <w:rPr>
          <w:rFonts w:ascii="Times New Roman" w:hAnsi="Times New Roman" w:cs="Times New Roman"/>
          <w:sz w:val="24"/>
          <w:szCs w:val="24"/>
          <w:lang w:val="en-GB"/>
        </w:rPr>
        <w:t xml:space="preserve">my </w:t>
      </w:r>
      <w:r w:rsidRPr="00DF5227">
        <w:rPr>
          <w:rFonts w:ascii="Times New Roman" w:hAnsi="Times New Roman" w:cs="Times New Roman"/>
          <w:sz w:val="24"/>
          <w:szCs w:val="24"/>
          <w:lang w:val="en-GB"/>
        </w:rPr>
        <w:t xml:space="preserve">study of the reception </w:t>
      </w:r>
      <w:r w:rsidR="002A1A4D" w:rsidRPr="00DF5227">
        <w:rPr>
          <w:rFonts w:ascii="Times New Roman" w:hAnsi="Times New Roman" w:cs="Times New Roman"/>
          <w:sz w:val="24"/>
          <w:szCs w:val="24"/>
          <w:lang w:val="en-GB"/>
        </w:rPr>
        <w:t xml:space="preserve">among </w:t>
      </w:r>
      <w:r w:rsidR="00C62CAA" w:rsidRPr="00DF5227">
        <w:rPr>
          <w:rFonts w:ascii="Times New Roman" w:hAnsi="Times New Roman" w:cs="Times New Roman"/>
          <w:sz w:val="24"/>
          <w:szCs w:val="24"/>
          <w:lang w:val="en-GB"/>
        </w:rPr>
        <w:t xml:space="preserve">pan-EU NGOs </w:t>
      </w:r>
      <w:r w:rsidRPr="00DF5227">
        <w:rPr>
          <w:rFonts w:ascii="Times New Roman" w:hAnsi="Times New Roman" w:cs="Times New Roman"/>
          <w:sz w:val="24"/>
          <w:szCs w:val="24"/>
          <w:lang w:val="en-GB"/>
        </w:rPr>
        <w:t xml:space="preserve">of symbols and myths associated with </w:t>
      </w:r>
      <w:r w:rsidR="000530D8" w:rsidRPr="00DF5227">
        <w:rPr>
          <w:rFonts w:ascii="Times New Roman" w:hAnsi="Times New Roman" w:cs="Times New Roman"/>
          <w:sz w:val="24"/>
          <w:szCs w:val="24"/>
          <w:lang w:val="en-GB"/>
        </w:rPr>
        <w:t>Europe 2020</w:t>
      </w:r>
      <w:r w:rsidR="002A1A4D" w:rsidRPr="00DF5227">
        <w:rPr>
          <w:rFonts w:ascii="Times New Roman" w:hAnsi="Times New Roman" w:cs="Times New Roman"/>
          <w:sz w:val="24"/>
          <w:szCs w:val="24"/>
          <w:lang w:val="en-GB"/>
        </w:rPr>
        <w:t xml:space="preserve"> </w:t>
      </w:r>
      <w:r w:rsidR="006251FA" w:rsidRPr="00DF5227">
        <w:rPr>
          <w:rFonts w:ascii="Times New Roman" w:hAnsi="Times New Roman" w:cs="Times New Roman"/>
          <w:sz w:val="24"/>
          <w:szCs w:val="24"/>
          <w:lang w:val="en-GB"/>
        </w:rPr>
        <w:t xml:space="preserve">I </w:t>
      </w:r>
      <w:r w:rsidR="002A1A4D" w:rsidRPr="00DF5227">
        <w:rPr>
          <w:rFonts w:ascii="Times New Roman" w:hAnsi="Times New Roman" w:cs="Times New Roman"/>
          <w:sz w:val="24"/>
          <w:szCs w:val="24"/>
          <w:lang w:val="en-GB"/>
        </w:rPr>
        <w:t>will first identify the symbols and myths in use. To be sure</w:t>
      </w:r>
      <w:r w:rsidR="000D0076" w:rsidRPr="00DF5227">
        <w:rPr>
          <w:rFonts w:ascii="Times New Roman" w:hAnsi="Times New Roman" w:cs="Times New Roman"/>
          <w:sz w:val="24"/>
          <w:szCs w:val="24"/>
          <w:lang w:val="en-GB"/>
        </w:rPr>
        <w:t>,</w:t>
      </w:r>
      <w:r w:rsidR="002A1A4D" w:rsidRPr="00DF5227">
        <w:rPr>
          <w:rFonts w:ascii="Times New Roman" w:hAnsi="Times New Roman" w:cs="Times New Roman"/>
          <w:sz w:val="24"/>
          <w:szCs w:val="24"/>
          <w:lang w:val="en-GB"/>
        </w:rPr>
        <w:t xml:space="preserve"> the use of symbols and myths is not conceived as a one-way linear sender-recipient process, but rather as an interactive process involving EU institutional actors, most notably the Commission and Commission services, and various </w:t>
      </w:r>
      <w:r w:rsidR="00C62CAA" w:rsidRPr="00DF5227">
        <w:rPr>
          <w:rFonts w:ascii="Times New Roman" w:hAnsi="Times New Roman" w:cs="Times New Roman"/>
          <w:sz w:val="24"/>
          <w:szCs w:val="24"/>
          <w:lang w:val="en-GB"/>
        </w:rPr>
        <w:t>pan-EU NGOs</w:t>
      </w:r>
      <w:r w:rsidR="002A1A4D" w:rsidRPr="00DF5227">
        <w:rPr>
          <w:rFonts w:ascii="Times New Roman" w:hAnsi="Times New Roman" w:cs="Times New Roman"/>
          <w:sz w:val="24"/>
          <w:szCs w:val="24"/>
          <w:lang w:val="en-GB"/>
        </w:rPr>
        <w:t xml:space="preserve">. </w:t>
      </w:r>
      <w:r w:rsidR="00D72F2B" w:rsidRPr="00DF5227">
        <w:rPr>
          <w:rFonts w:ascii="Times New Roman" w:hAnsi="Times New Roman" w:cs="Times New Roman"/>
          <w:sz w:val="24"/>
          <w:szCs w:val="24"/>
          <w:lang w:val="en-GB"/>
        </w:rPr>
        <w:t xml:space="preserve">The </w:t>
      </w:r>
      <w:r w:rsidR="000530D8" w:rsidRPr="00DF5227">
        <w:rPr>
          <w:rFonts w:ascii="Times New Roman" w:hAnsi="Times New Roman" w:cs="Times New Roman"/>
          <w:sz w:val="24"/>
          <w:szCs w:val="24"/>
          <w:lang w:val="en-GB"/>
        </w:rPr>
        <w:t xml:space="preserve">Europe 2020 </w:t>
      </w:r>
      <w:r w:rsidR="00D72F2B" w:rsidRPr="00DF5227">
        <w:rPr>
          <w:rFonts w:ascii="Times New Roman" w:hAnsi="Times New Roman" w:cs="Times New Roman"/>
          <w:sz w:val="24"/>
          <w:szCs w:val="24"/>
          <w:lang w:val="en-GB"/>
        </w:rPr>
        <w:t xml:space="preserve">strategy is used a point of return to identify symbols and myths in use, but </w:t>
      </w:r>
      <w:r w:rsidR="00916DA9" w:rsidRPr="00DF5227">
        <w:rPr>
          <w:rFonts w:ascii="Times New Roman" w:hAnsi="Times New Roman" w:cs="Times New Roman"/>
          <w:sz w:val="24"/>
          <w:szCs w:val="24"/>
          <w:lang w:val="en-GB"/>
        </w:rPr>
        <w:t>I</w:t>
      </w:r>
      <w:r w:rsidR="00D72F2B" w:rsidRPr="00DF5227">
        <w:rPr>
          <w:rFonts w:ascii="Times New Roman" w:hAnsi="Times New Roman" w:cs="Times New Roman"/>
          <w:sz w:val="24"/>
          <w:szCs w:val="24"/>
          <w:lang w:val="en-GB"/>
        </w:rPr>
        <w:t xml:space="preserve"> move beyond this document, both in time and types of data. </w:t>
      </w:r>
      <w:r w:rsidR="00280457" w:rsidRPr="00DF5227">
        <w:rPr>
          <w:rFonts w:ascii="Times New Roman" w:hAnsi="Times New Roman" w:cs="Times New Roman"/>
          <w:sz w:val="24"/>
          <w:szCs w:val="24"/>
          <w:lang w:val="en-GB"/>
        </w:rPr>
        <w:t xml:space="preserve">The analysis </w:t>
      </w:r>
      <w:r w:rsidR="000530D8" w:rsidRPr="00DF5227">
        <w:rPr>
          <w:rFonts w:ascii="Times New Roman" w:hAnsi="Times New Roman" w:cs="Times New Roman"/>
          <w:sz w:val="24"/>
          <w:szCs w:val="24"/>
          <w:lang w:val="en-GB"/>
        </w:rPr>
        <w:t xml:space="preserve">not only </w:t>
      </w:r>
      <w:r w:rsidR="00D72F2B" w:rsidRPr="00DF5227">
        <w:rPr>
          <w:rFonts w:ascii="Times New Roman" w:hAnsi="Times New Roman" w:cs="Times New Roman"/>
          <w:sz w:val="24"/>
          <w:szCs w:val="24"/>
          <w:lang w:val="en-GB"/>
        </w:rPr>
        <w:t>cover</w:t>
      </w:r>
      <w:r w:rsidR="00280457" w:rsidRPr="00DF5227">
        <w:rPr>
          <w:rFonts w:ascii="Times New Roman" w:hAnsi="Times New Roman" w:cs="Times New Roman"/>
          <w:sz w:val="24"/>
          <w:szCs w:val="24"/>
          <w:lang w:val="en-GB"/>
        </w:rPr>
        <w:t>s</w:t>
      </w:r>
      <w:r w:rsidR="00D72F2B" w:rsidRPr="00DF5227">
        <w:rPr>
          <w:rFonts w:ascii="Times New Roman" w:hAnsi="Times New Roman" w:cs="Times New Roman"/>
          <w:sz w:val="24"/>
          <w:szCs w:val="24"/>
          <w:lang w:val="en-GB"/>
        </w:rPr>
        <w:t xml:space="preserve"> the process of elaboration, adoption and implementation </w:t>
      </w:r>
      <w:r w:rsidR="000530D8" w:rsidRPr="00DF5227">
        <w:rPr>
          <w:rFonts w:ascii="Times New Roman" w:hAnsi="Times New Roman" w:cs="Times New Roman"/>
          <w:sz w:val="24"/>
          <w:szCs w:val="24"/>
          <w:lang w:val="en-GB"/>
        </w:rPr>
        <w:t>Europe 2020</w:t>
      </w:r>
      <w:r w:rsidR="00D72F2B" w:rsidRPr="00DF5227">
        <w:rPr>
          <w:rFonts w:ascii="Times New Roman" w:hAnsi="Times New Roman" w:cs="Times New Roman"/>
          <w:sz w:val="24"/>
          <w:szCs w:val="24"/>
          <w:lang w:val="en-GB"/>
        </w:rPr>
        <w:t xml:space="preserve">, </w:t>
      </w:r>
      <w:r w:rsidR="000530D8" w:rsidRPr="00DF5227">
        <w:rPr>
          <w:rFonts w:ascii="Times New Roman" w:hAnsi="Times New Roman" w:cs="Times New Roman"/>
          <w:sz w:val="24"/>
          <w:szCs w:val="24"/>
          <w:lang w:val="en-GB"/>
        </w:rPr>
        <w:t xml:space="preserve">but </w:t>
      </w:r>
      <w:r w:rsidR="00A63A31" w:rsidRPr="00DF5227">
        <w:rPr>
          <w:rFonts w:ascii="Times New Roman" w:hAnsi="Times New Roman" w:cs="Times New Roman"/>
          <w:sz w:val="24"/>
          <w:szCs w:val="24"/>
          <w:lang w:val="en-GB"/>
        </w:rPr>
        <w:t xml:space="preserve">roughly </w:t>
      </w:r>
      <w:r w:rsidR="00D72F2B" w:rsidRPr="00DF5227">
        <w:rPr>
          <w:rFonts w:ascii="Times New Roman" w:hAnsi="Times New Roman" w:cs="Times New Roman"/>
          <w:sz w:val="24"/>
          <w:szCs w:val="24"/>
          <w:lang w:val="en-GB"/>
        </w:rPr>
        <w:t xml:space="preserve">the period </w:t>
      </w:r>
      <w:r w:rsidR="00213A92" w:rsidRPr="00DF5227">
        <w:rPr>
          <w:rFonts w:ascii="Times New Roman" w:hAnsi="Times New Roman" w:cs="Times New Roman"/>
          <w:sz w:val="24"/>
          <w:szCs w:val="24"/>
          <w:lang w:val="en-GB"/>
        </w:rPr>
        <w:t>2000-2014</w:t>
      </w:r>
      <w:r w:rsidR="00D72F2B" w:rsidRPr="00DF5227">
        <w:rPr>
          <w:rFonts w:ascii="Times New Roman" w:hAnsi="Times New Roman" w:cs="Times New Roman"/>
          <w:sz w:val="24"/>
          <w:szCs w:val="24"/>
          <w:lang w:val="en-GB"/>
        </w:rPr>
        <w:t>.</w:t>
      </w:r>
      <w:r w:rsidR="006F510C" w:rsidRPr="00DF5227">
        <w:rPr>
          <w:rFonts w:ascii="Times New Roman" w:hAnsi="Times New Roman" w:cs="Times New Roman"/>
          <w:sz w:val="24"/>
          <w:szCs w:val="24"/>
          <w:lang w:val="en-GB"/>
        </w:rPr>
        <w:t xml:space="preserve"> </w:t>
      </w:r>
      <w:r w:rsidR="00212AF8" w:rsidRPr="00DF5227">
        <w:rPr>
          <w:rFonts w:ascii="Times New Roman" w:hAnsi="Times New Roman" w:cs="Times New Roman"/>
          <w:sz w:val="24"/>
          <w:szCs w:val="24"/>
          <w:lang w:val="en-GB"/>
        </w:rPr>
        <w:t>‘</w:t>
      </w:r>
      <w:r w:rsidR="004754C8" w:rsidRPr="00DF5227">
        <w:rPr>
          <w:rFonts w:ascii="Times New Roman" w:hAnsi="Times New Roman" w:cs="Times New Roman"/>
          <w:sz w:val="24"/>
          <w:szCs w:val="24"/>
          <w:lang w:val="en-GB"/>
        </w:rPr>
        <w:t>Archives of documents</w:t>
      </w:r>
      <w:r w:rsidR="00212AF8" w:rsidRPr="00DF5227">
        <w:rPr>
          <w:rFonts w:ascii="Times New Roman" w:hAnsi="Times New Roman" w:cs="Times New Roman"/>
          <w:sz w:val="24"/>
          <w:szCs w:val="24"/>
          <w:lang w:val="en-GB"/>
        </w:rPr>
        <w:t>’</w:t>
      </w:r>
      <w:r w:rsidR="004754C8" w:rsidRPr="00DF5227">
        <w:rPr>
          <w:rFonts w:ascii="Times New Roman" w:hAnsi="Times New Roman" w:cs="Times New Roman"/>
          <w:sz w:val="24"/>
          <w:szCs w:val="24"/>
          <w:lang w:val="en-GB"/>
        </w:rPr>
        <w:t xml:space="preserve"> ha</w:t>
      </w:r>
      <w:r w:rsidR="00212AF8" w:rsidRPr="00DF5227">
        <w:rPr>
          <w:rFonts w:ascii="Times New Roman" w:hAnsi="Times New Roman" w:cs="Times New Roman"/>
          <w:sz w:val="24"/>
          <w:szCs w:val="24"/>
          <w:lang w:val="en-GB"/>
        </w:rPr>
        <w:t>ve</w:t>
      </w:r>
      <w:r w:rsidR="004754C8" w:rsidRPr="00DF5227">
        <w:rPr>
          <w:rFonts w:ascii="Times New Roman" w:hAnsi="Times New Roman" w:cs="Times New Roman"/>
          <w:sz w:val="24"/>
          <w:szCs w:val="24"/>
          <w:lang w:val="en-GB"/>
        </w:rPr>
        <w:t xml:space="preserve"> been put together </w:t>
      </w:r>
      <w:r w:rsidR="00212AF8" w:rsidRPr="00DF5227">
        <w:rPr>
          <w:rFonts w:ascii="Times New Roman" w:hAnsi="Times New Roman" w:cs="Times New Roman"/>
          <w:sz w:val="24"/>
          <w:szCs w:val="24"/>
          <w:lang w:val="en-GB"/>
        </w:rPr>
        <w:t xml:space="preserve">in each case area </w:t>
      </w:r>
      <w:r w:rsidR="004754C8" w:rsidRPr="00DF5227">
        <w:rPr>
          <w:rFonts w:ascii="Times New Roman" w:hAnsi="Times New Roman" w:cs="Times New Roman"/>
          <w:sz w:val="24"/>
          <w:szCs w:val="24"/>
          <w:lang w:val="en-GB"/>
        </w:rPr>
        <w:t xml:space="preserve">so to allow for </w:t>
      </w:r>
      <w:r w:rsidR="00D850A9" w:rsidRPr="00DF5227">
        <w:rPr>
          <w:rFonts w:ascii="Times New Roman" w:hAnsi="Times New Roman" w:cs="Times New Roman"/>
          <w:sz w:val="24"/>
          <w:szCs w:val="24"/>
          <w:lang w:val="en-GB"/>
        </w:rPr>
        <w:t xml:space="preserve">both within and across cases temporal </w:t>
      </w:r>
      <w:r w:rsidR="004754C8" w:rsidRPr="00DF5227">
        <w:rPr>
          <w:rFonts w:ascii="Times New Roman" w:hAnsi="Times New Roman" w:cs="Times New Roman"/>
          <w:sz w:val="24"/>
          <w:szCs w:val="24"/>
          <w:lang w:val="en-GB"/>
        </w:rPr>
        <w:t>comparisons</w:t>
      </w:r>
      <w:r w:rsidR="00D850A9" w:rsidRPr="00DF5227">
        <w:rPr>
          <w:rFonts w:ascii="Times New Roman" w:hAnsi="Times New Roman" w:cs="Times New Roman"/>
          <w:sz w:val="24"/>
          <w:szCs w:val="24"/>
          <w:lang w:val="en-GB"/>
        </w:rPr>
        <w:t xml:space="preserve">. </w:t>
      </w:r>
      <w:r w:rsidR="00280457" w:rsidRPr="00DF5227">
        <w:rPr>
          <w:rFonts w:ascii="Times New Roman" w:hAnsi="Times New Roman" w:cs="Times New Roman"/>
          <w:sz w:val="24"/>
          <w:szCs w:val="24"/>
          <w:lang w:val="en-GB"/>
        </w:rPr>
        <w:t>The</w:t>
      </w:r>
      <w:r w:rsidR="00073DD9" w:rsidRPr="00DF5227">
        <w:rPr>
          <w:rFonts w:ascii="Times New Roman" w:hAnsi="Times New Roman" w:cs="Times New Roman"/>
          <w:sz w:val="24"/>
          <w:szCs w:val="24"/>
          <w:lang w:val="en-GB"/>
        </w:rPr>
        <w:t xml:space="preserve"> data material consists of </w:t>
      </w:r>
      <w:r w:rsidR="00DD5DAD" w:rsidRPr="00DF5227">
        <w:rPr>
          <w:rFonts w:ascii="Times New Roman" w:hAnsi="Times New Roman" w:cs="Times New Roman"/>
          <w:sz w:val="24"/>
          <w:szCs w:val="24"/>
          <w:lang w:val="en-GB"/>
        </w:rPr>
        <w:t xml:space="preserve">documents published by the EEB, the </w:t>
      </w:r>
      <w:r w:rsidR="00073DD9" w:rsidRPr="00DF5227">
        <w:rPr>
          <w:rFonts w:ascii="Times New Roman" w:hAnsi="Times New Roman" w:cs="Times New Roman"/>
          <w:sz w:val="24"/>
          <w:szCs w:val="24"/>
          <w:lang w:val="en-GB"/>
        </w:rPr>
        <w:t xml:space="preserve">Social Platform, </w:t>
      </w:r>
      <w:r w:rsidR="00D57963" w:rsidRPr="00DF5227">
        <w:rPr>
          <w:rFonts w:ascii="Times New Roman" w:hAnsi="Times New Roman" w:cs="Times New Roman"/>
          <w:sz w:val="24"/>
          <w:szCs w:val="24"/>
          <w:lang w:val="en-GB"/>
        </w:rPr>
        <w:t>ETUC and Businesseurope</w:t>
      </w:r>
      <w:r w:rsidR="005B0B9E" w:rsidRPr="00DF5227">
        <w:rPr>
          <w:rFonts w:ascii="Times New Roman" w:hAnsi="Times New Roman" w:cs="Times New Roman"/>
          <w:iCs/>
          <w:sz w:val="24"/>
          <w:szCs w:val="24"/>
          <w:lang w:val="en-GB"/>
        </w:rPr>
        <w:t>.</w:t>
      </w:r>
      <w:r w:rsidR="00A778A7" w:rsidRPr="00DF5227">
        <w:rPr>
          <w:rFonts w:ascii="Times New Roman" w:hAnsi="Times New Roman" w:cs="Times New Roman"/>
          <w:iCs/>
          <w:sz w:val="24"/>
          <w:szCs w:val="24"/>
          <w:lang w:val="en-GB"/>
        </w:rPr>
        <w:t xml:space="preserve"> </w:t>
      </w:r>
      <w:r w:rsidR="00E4540D" w:rsidRPr="00DF5227">
        <w:rPr>
          <w:rFonts w:ascii="Times New Roman" w:hAnsi="Times New Roman" w:cs="Times New Roman"/>
          <w:iCs/>
          <w:sz w:val="24"/>
          <w:szCs w:val="24"/>
          <w:lang w:val="en-GB"/>
        </w:rPr>
        <w:t xml:space="preserve">Tabel 1 provides an overview of the documents conferred. </w:t>
      </w:r>
    </w:p>
    <w:p w:rsidR="0079747E" w:rsidRDefault="0079747E" w:rsidP="00BC5346">
      <w:pPr>
        <w:spacing w:line="360" w:lineRule="auto"/>
        <w:jc w:val="both"/>
        <w:rPr>
          <w:rFonts w:ascii="Times New Roman" w:hAnsi="Times New Roman" w:cs="Times New Roman"/>
          <w:iCs/>
          <w:sz w:val="24"/>
          <w:szCs w:val="24"/>
          <w:lang w:val="en-GB"/>
        </w:rPr>
      </w:pPr>
    </w:p>
    <w:p w:rsidR="00BC5346" w:rsidRDefault="00BC5346" w:rsidP="00BC5346">
      <w:pPr>
        <w:spacing w:line="360" w:lineRule="auto"/>
        <w:jc w:val="both"/>
        <w:rPr>
          <w:rFonts w:ascii="Times New Roman" w:hAnsi="Times New Roman" w:cs="Times New Roman"/>
          <w:iCs/>
          <w:sz w:val="24"/>
          <w:szCs w:val="24"/>
          <w:lang w:val="en-GB"/>
        </w:rPr>
      </w:pPr>
    </w:p>
    <w:p w:rsidR="00BC5346" w:rsidRPr="00DF5227" w:rsidRDefault="00BC5346" w:rsidP="00BC5346">
      <w:pPr>
        <w:spacing w:line="360" w:lineRule="auto"/>
        <w:jc w:val="both"/>
        <w:rPr>
          <w:rFonts w:ascii="Times New Roman" w:hAnsi="Times New Roman" w:cs="Times New Roman"/>
          <w:iCs/>
          <w:sz w:val="24"/>
          <w:szCs w:val="24"/>
          <w:lang w:val="en-GB"/>
        </w:rPr>
      </w:pPr>
    </w:p>
    <w:p w:rsidR="006C3B1B" w:rsidRPr="00DF5227" w:rsidRDefault="006C3B1B" w:rsidP="00BC5346">
      <w:pPr>
        <w:spacing w:line="360" w:lineRule="auto"/>
        <w:jc w:val="both"/>
        <w:rPr>
          <w:rFonts w:ascii="Times New Roman" w:hAnsi="Times New Roman" w:cs="Times New Roman"/>
          <w:b/>
          <w:iCs/>
          <w:sz w:val="24"/>
          <w:szCs w:val="24"/>
          <w:lang w:val="en-GB"/>
        </w:rPr>
      </w:pPr>
      <w:r w:rsidRPr="00DF5227">
        <w:rPr>
          <w:rFonts w:ascii="Times New Roman" w:hAnsi="Times New Roman" w:cs="Times New Roman"/>
          <w:b/>
          <w:iCs/>
          <w:sz w:val="24"/>
          <w:szCs w:val="24"/>
          <w:lang w:val="en-GB"/>
        </w:rPr>
        <w:lastRenderedPageBreak/>
        <w:t>Table 1: Type</w:t>
      </w:r>
      <w:r w:rsidR="0079747E" w:rsidRPr="00DF5227">
        <w:rPr>
          <w:rFonts w:ascii="Times New Roman" w:hAnsi="Times New Roman" w:cs="Times New Roman"/>
          <w:b/>
          <w:iCs/>
          <w:sz w:val="24"/>
          <w:szCs w:val="24"/>
          <w:lang w:val="en-GB"/>
        </w:rPr>
        <w:t>s</w:t>
      </w:r>
      <w:r w:rsidRPr="00DF5227">
        <w:rPr>
          <w:rFonts w:ascii="Times New Roman" w:hAnsi="Times New Roman" w:cs="Times New Roman"/>
          <w:b/>
          <w:iCs/>
          <w:sz w:val="24"/>
          <w:szCs w:val="24"/>
          <w:lang w:val="en-GB"/>
        </w:rPr>
        <w:t xml:space="preserve"> and total number of conferred documents</w:t>
      </w:r>
    </w:p>
    <w:tbl>
      <w:tblPr>
        <w:tblStyle w:val="Tabel-Gitter"/>
        <w:tblW w:w="5000" w:type="pct"/>
        <w:tblLook w:val="04A0" w:firstRow="1" w:lastRow="0" w:firstColumn="1" w:lastColumn="0" w:noHBand="0" w:noVBand="1"/>
      </w:tblPr>
      <w:tblGrid>
        <w:gridCol w:w="2093"/>
        <w:gridCol w:w="4381"/>
        <w:gridCol w:w="3380"/>
      </w:tblGrid>
      <w:tr w:rsidR="0086193C" w:rsidRPr="00DF5227" w:rsidTr="00210017">
        <w:tc>
          <w:tcPr>
            <w:tcW w:w="1062" w:type="pct"/>
          </w:tcPr>
          <w:p w:rsidR="00210017" w:rsidRPr="00BC5346" w:rsidRDefault="00210017" w:rsidP="00BC5346">
            <w:pPr>
              <w:jc w:val="both"/>
              <w:rPr>
                <w:rFonts w:ascii="Times New Roman" w:hAnsi="Times New Roman" w:cs="Times New Roman"/>
                <w:b/>
                <w:iCs/>
                <w:sz w:val="24"/>
                <w:szCs w:val="24"/>
                <w:lang w:val="en-GB"/>
              </w:rPr>
            </w:pPr>
          </w:p>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Sources</w:t>
            </w:r>
          </w:p>
        </w:tc>
        <w:tc>
          <w:tcPr>
            <w:tcW w:w="2223" w:type="pct"/>
          </w:tcPr>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Types of documents</w:t>
            </w:r>
          </w:p>
        </w:tc>
        <w:tc>
          <w:tcPr>
            <w:tcW w:w="1715" w:type="pct"/>
          </w:tcPr>
          <w:p w:rsidR="00402992"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 xml:space="preserve">No. of documents per </w:t>
            </w:r>
          </w:p>
          <w:p w:rsidR="0086193C" w:rsidRPr="00BC5346" w:rsidRDefault="00280457"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S</w:t>
            </w:r>
            <w:r w:rsidR="0086193C" w:rsidRPr="00BC5346">
              <w:rPr>
                <w:rFonts w:ascii="Times New Roman" w:hAnsi="Times New Roman" w:cs="Times New Roman"/>
                <w:b/>
                <w:iCs/>
                <w:sz w:val="24"/>
                <w:szCs w:val="24"/>
                <w:lang w:val="en-GB"/>
              </w:rPr>
              <w:t>ource</w:t>
            </w:r>
          </w:p>
        </w:tc>
      </w:tr>
      <w:tr w:rsidR="0086193C" w:rsidRPr="00DF5227" w:rsidTr="00210017">
        <w:tc>
          <w:tcPr>
            <w:tcW w:w="1062" w:type="pct"/>
          </w:tcPr>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EEB</w:t>
            </w:r>
          </w:p>
        </w:tc>
        <w:tc>
          <w:tcPr>
            <w:tcW w:w="2223" w:type="pct"/>
          </w:tcPr>
          <w:p w:rsidR="0086193C" w:rsidRPr="00DF5227" w:rsidRDefault="004C448B" w:rsidP="00BC5346">
            <w:pPr>
              <w:jc w:val="both"/>
              <w:rPr>
                <w:rFonts w:ascii="Times New Roman" w:hAnsi="Times New Roman" w:cs="Times New Roman"/>
                <w:iCs/>
                <w:sz w:val="20"/>
                <w:szCs w:val="20"/>
                <w:lang w:val="en-GB"/>
              </w:rPr>
            </w:pPr>
            <w:r w:rsidRPr="00DF5227">
              <w:rPr>
                <w:rFonts w:ascii="Times New Roman" w:hAnsi="Times New Roman" w:cs="Times New Roman"/>
                <w:sz w:val="20"/>
                <w:szCs w:val="20"/>
                <w:lang w:val="en-GB"/>
              </w:rPr>
              <w:t>B</w:t>
            </w:r>
            <w:r w:rsidR="0086193C" w:rsidRPr="00DF5227">
              <w:rPr>
                <w:rFonts w:ascii="Times New Roman" w:hAnsi="Times New Roman" w:cs="Times New Roman"/>
                <w:sz w:val="20"/>
                <w:szCs w:val="20"/>
                <w:lang w:val="en-GB"/>
              </w:rPr>
              <w:t xml:space="preserve">iannual memorandums </w:t>
            </w:r>
            <w:r w:rsidRPr="00DF5227">
              <w:rPr>
                <w:rFonts w:ascii="Times New Roman" w:hAnsi="Times New Roman" w:cs="Times New Roman"/>
                <w:sz w:val="20"/>
                <w:szCs w:val="20"/>
                <w:lang w:val="en-GB"/>
              </w:rPr>
              <w:t xml:space="preserve">2005-2014, </w:t>
            </w:r>
            <w:r w:rsidR="00280457" w:rsidRPr="00DF5227">
              <w:rPr>
                <w:rFonts w:ascii="Times New Roman" w:hAnsi="Times New Roman" w:cs="Times New Roman"/>
                <w:sz w:val="20"/>
                <w:szCs w:val="20"/>
                <w:lang w:val="en-GB"/>
              </w:rPr>
              <w:t xml:space="preserve">each </w:t>
            </w:r>
            <w:r w:rsidR="008A4757" w:rsidRPr="00DF5227">
              <w:rPr>
                <w:rFonts w:ascii="Times New Roman" w:hAnsi="Times New Roman" w:cs="Times New Roman"/>
                <w:sz w:val="20"/>
                <w:szCs w:val="20"/>
                <w:lang w:val="en-GB"/>
              </w:rPr>
              <w:t xml:space="preserve">approx. </w:t>
            </w:r>
            <w:r w:rsidR="0086193C" w:rsidRPr="00DF5227">
              <w:rPr>
                <w:rFonts w:ascii="Times New Roman" w:hAnsi="Times New Roman" w:cs="Times New Roman"/>
                <w:sz w:val="20"/>
                <w:szCs w:val="20"/>
                <w:lang w:val="en-GB"/>
              </w:rPr>
              <w:t>40-70 p</w:t>
            </w:r>
            <w:r w:rsidRPr="00DF5227">
              <w:rPr>
                <w:rFonts w:ascii="Times New Roman" w:hAnsi="Times New Roman" w:cs="Times New Roman"/>
                <w:sz w:val="20"/>
                <w:szCs w:val="20"/>
                <w:lang w:val="en-GB"/>
              </w:rPr>
              <w:t xml:space="preserve">p. </w:t>
            </w:r>
          </w:p>
        </w:tc>
        <w:tc>
          <w:tcPr>
            <w:tcW w:w="1715" w:type="pct"/>
          </w:tcPr>
          <w:p w:rsidR="0086193C" w:rsidRPr="00DF5227" w:rsidRDefault="00402992" w:rsidP="00BC5346">
            <w:pPr>
              <w:jc w:val="both"/>
              <w:rPr>
                <w:rFonts w:ascii="Times New Roman" w:hAnsi="Times New Roman" w:cs="Times New Roman"/>
                <w:iCs/>
                <w:sz w:val="20"/>
                <w:szCs w:val="20"/>
                <w:lang w:val="en-GB"/>
              </w:rPr>
            </w:pPr>
            <w:r w:rsidRPr="00DF5227">
              <w:rPr>
                <w:rFonts w:ascii="Times New Roman" w:hAnsi="Times New Roman" w:cs="Times New Roman"/>
                <w:iCs/>
                <w:sz w:val="20"/>
                <w:szCs w:val="20"/>
                <w:lang w:val="en-GB"/>
              </w:rPr>
              <w:t>N= 20</w:t>
            </w:r>
          </w:p>
        </w:tc>
      </w:tr>
      <w:tr w:rsidR="0086193C" w:rsidRPr="00DF5227" w:rsidTr="00210017">
        <w:tc>
          <w:tcPr>
            <w:tcW w:w="1062" w:type="pct"/>
          </w:tcPr>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Social Platform</w:t>
            </w:r>
          </w:p>
        </w:tc>
        <w:tc>
          <w:tcPr>
            <w:tcW w:w="2223" w:type="pct"/>
          </w:tcPr>
          <w:p w:rsidR="0086193C" w:rsidRPr="00DF5227" w:rsidRDefault="00402992" w:rsidP="00BC5346">
            <w:pPr>
              <w:jc w:val="both"/>
              <w:rPr>
                <w:rFonts w:ascii="Times New Roman" w:hAnsi="Times New Roman" w:cs="Times New Roman"/>
                <w:iCs/>
                <w:sz w:val="20"/>
                <w:szCs w:val="20"/>
                <w:lang w:val="en-GB"/>
              </w:rPr>
            </w:pPr>
            <w:r w:rsidRPr="00DF5227">
              <w:rPr>
                <w:rFonts w:ascii="Times New Roman" w:hAnsi="Times New Roman" w:cs="Times New Roman"/>
                <w:sz w:val="20"/>
                <w:szCs w:val="20"/>
                <w:lang w:val="en-GB"/>
              </w:rPr>
              <w:t xml:space="preserve">Annual reports 2002-2012, </w:t>
            </w:r>
            <w:r w:rsidR="00280457" w:rsidRPr="00DF5227">
              <w:rPr>
                <w:rFonts w:ascii="Times New Roman" w:hAnsi="Times New Roman" w:cs="Times New Roman"/>
                <w:sz w:val="20"/>
                <w:szCs w:val="20"/>
                <w:lang w:val="en-GB"/>
              </w:rPr>
              <w:t xml:space="preserve">each </w:t>
            </w:r>
            <w:r w:rsidRPr="00DF5227">
              <w:rPr>
                <w:rFonts w:ascii="Times New Roman" w:hAnsi="Times New Roman" w:cs="Times New Roman"/>
                <w:sz w:val="20"/>
                <w:szCs w:val="20"/>
                <w:lang w:val="en-GB"/>
              </w:rPr>
              <w:t>approx. 20-40 p</w:t>
            </w:r>
            <w:r w:rsidR="008A4757" w:rsidRPr="00DF5227">
              <w:rPr>
                <w:rFonts w:ascii="Times New Roman" w:hAnsi="Times New Roman" w:cs="Times New Roman"/>
                <w:sz w:val="20"/>
                <w:szCs w:val="20"/>
                <w:lang w:val="en-GB"/>
              </w:rPr>
              <w:t xml:space="preserve">p. </w:t>
            </w:r>
            <w:r w:rsidRPr="00DF5227">
              <w:rPr>
                <w:rFonts w:ascii="Times New Roman" w:hAnsi="Times New Roman" w:cs="Times New Roman"/>
                <w:sz w:val="20"/>
                <w:szCs w:val="20"/>
                <w:lang w:val="en-GB"/>
              </w:rPr>
              <w:t>(</w:t>
            </w:r>
            <w:r w:rsidR="008A4757" w:rsidRPr="00DF5227">
              <w:rPr>
                <w:rFonts w:ascii="Times New Roman" w:hAnsi="Times New Roman" w:cs="Times New Roman"/>
                <w:sz w:val="20"/>
                <w:szCs w:val="20"/>
                <w:lang w:val="en-GB"/>
              </w:rPr>
              <w:t>except</w:t>
            </w:r>
            <w:r w:rsidRPr="00DF5227">
              <w:rPr>
                <w:rFonts w:ascii="Times New Roman" w:hAnsi="Times New Roman" w:cs="Times New Roman"/>
                <w:sz w:val="20"/>
                <w:szCs w:val="20"/>
                <w:lang w:val="en-GB"/>
              </w:rPr>
              <w:t xml:space="preserve"> briefer 2008-2010). Work programs 200</w:t>
            </w:r>
            <w:r w:rsidR="0081136C" w:rsidRPr="00DF5227">
              <w:rPr>
                <w:rFonts w:ascii="Times New Roman" w:hAnsi="Times New Roman" w:cs="Times New Roman"/>
                <w:sz w:val="20"/>
                <w:szCs w:val="20"/>
                <w:lang w:val="en-GB"/>
              </w:rPr>
              <w:t>2</w:t>
            </w:r>
            <w:r w:rsidRPr="00DF5227">
              <w:rPr>
                <w:rFonts w:ascii="Times New Roman" w:hAnsi="Times New Roman" w:cs="Times New Roman"/>
                <w:sz w:val="20"/>
                <w:szCs w:val="20"/>
                <w:lang w:val="en-GB"/>
              </w:rPr>
              <w:t>-2012,</w:t>
            </w:r>
            <w:r w:rsidR="008A4757" w:rsidRPr="00DF5227">
              <w:rPr>
                <w:rFonts w:ascii="Times New Roman" w:hAnsi="Times New Roman" w:cs="Times New Roman"/>
                <w:sz w:val="20"/>
                <w:szCs w:val="20"/>
                <w:lang w:val="en-GB"/>
              </w:rPr>
              <w:t xml:space="preserve"> </w:t>
            </w:r>
            <w:r w:rsidR="00280457" w:rsidRPr="00DF5227">
              <w:rPr>
                <w:rFonts w:ascii="Times New Roman" w:hAnsi="Times New Roman" w:cs="Times New Roman"/>
                <w:sz w:val="20"/>
                <w:szCs w:val="20"/>
                <w:lang w:val="en-GB"/>
              </w:rPr>
              <w:t xml:space="preserve">each </w:t>
            </w:r>
            <w:r w:rsidR="008A4757" w:rsidRPr="00DF5227">
              <w:rPr>
                <w:rFonts w:ascii="Times New Roman" w:hAnsi="Times New Roman" w:cs="Times New Roman"/>
                <w:sz w:val="20"/>
                <w:szCs w:val="20"/>
                <w:lang w:val="en-GB"/>
              </w:rPr>
              <w:t xml:space="preserve">approx. 15-25 pp. </w:t>
            </w:r>
          </w:p>
        </w:tc>
        <w:tc>
          <w:tcPr>
            <w:tcW w:w="1715" w:type="pct"/>
          </w:tcPr>
          <w:p w:rsidR="0086193C" w:rsidRPr="00DF5227" w:rsidRDefault="00332CC2" w:rsidP="00BC5346">
            <w:pPr>
              <w:jc w:val="both"/>
              <w:rPr>
                <w:rFonts w:ascii="Times New Roman" w:hAnsi="Times New Roman" w:cs="Times New Roman"/>
                <w:iCs/>
                <w:sz w:val="20"/>
                <w:szCs w:val="20"/>
                <w:lang w:val="en-GB"/>
              </w:rPr>
            </w:pPr>
            <w:r w:rsidRPr="00DF5227">
              <w:rPr>
                <w:rFonts w:ascii="Times New Roman" w:hAnsi="Times New Roman" w:cs="Times New Roman"/>
                <w:iCs/>
                <w:sz w:val="20"/>
                <w:szCs w:val="20"/>
                <w:lang w:val="en-GB"/>
              </w:rPr>
              <w:t>N=2</w:t>
            </w:r>
            <w:r w:rsidR="0081136C" w:rsidRPr="00DF5227">
              <w:rPr>
                <w:rFonts w:ascii="Times New Roman" w:hAnsi="Times New Roman" w:cs="Times New Roman"/>
                <w:iCs/>
                <w:sz w:val="20"/>
                <w:szCs w:val="20"/>
                <w:lang w:val="en-GB"/>
              </w:rPr>
              <w:t>3</w:t>
            </w:r>
          </w:p>
        </w:tc>
      </w:tr>
      <w:tr w:rsidR="0086193C" w:rsidRPr="00DF5227" w:rsidTr="00210017">
        <w:tc>
          <w:tcPr>
            <w:tcW w:w="1062" w:type="pct"/>
          </w:tcPr>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ETUC</w:t>
            </w:r>
          </w:p>
        </w:tc>
        <w:tc>
          <w:tcPr>
            <w:tcW w:w="2223" w:type="pct"/>
          </w:tcPr>
          <w:p w:rsidR="0086193C" w:rsidRPr="00DF5227" w:rsidRDefault="00210017" w:rsidP="00BC5346">
            <w:pPr>
              <w:jc w:val="both"/>
              <w:rPr>
                <w:rFonts w:ascii="Times New Roman" w:hAnsi="Times New Roman" w:cs="Times New Roman"/>
                <w:iCs/>
                <w:sz w:val="20"/>
                <w:szCs w:val="20"/>
                <w:lang w:val="en-GB"/>
              </w:rPr>
            </w:pPr>
            <w:r w:rsidRPr="00DF5227">
              <w:rPr>
                <w:rFonts w:ascii="Times New Roman" w:hAnsi="Times New Roman" w:cs="Times New Roman"/>
                <w:sz w:val="20"/>
                <w:szCs w:val="20"/>
                <w:lang w:val="en-GB"/>
              </w:rPr>
              <w:t>Annual r</w:t>
            </w:r>
            <w:r w:rsidR="00B136C0" w:rsidRPr="00DF5227">
              <w:rPr>
                <w:rFonts w:ascii="Times New Roman" w:hAnsi="Times New Roman" w:cs="Times New Roman"/>
                <w:sz w:val="20"/>
                <w:szCs w:val="20"/>
                <w:lang w:val="en-GB"/>
              </w:rPr>
              <w:t>esolutions 2000–2013</w:t>
            </w:r>
            <w:r w:rsidRPr="00DF5227">
              <w:rPr>
                <w:rFonts w:ascii="Times New Roman" w:hAnsi="Times New Roman" w:cs="Times New Roman"/>
                <w:sz w:val="20"/>
                <w:szCs w:val="20"/>
                <w:lang w:val="en-GB"/>
              </w:rPr>
              <w:t>,</w:t>
            </w:r>
            <w:r w:rsidR="00B136C0" w:rsidRPr="00DF5227">
              <w:rPr>
                <w:rFonts w:ascii="Times New Roman" w:hAnsi="Times New Roman" w:cs="Times New Roman"/>
                <w:sz w:val="20"/>
                <w:szCs w:val="20"/>
                <w:lang w:val="en-GB"/>
              </w:rPr>
              <w:t xml:space="preserve"> </w:t>
            </w:r>
            <w:r w:rsidR="00280457" w:rsidRPr="00DF5227">
              <w:rPr>
                <w:rFonts w:ascii="Times New Roman" w:hAnsi="Times New Roman" w:cs="Times New Roman"/>
                <w:sz w:val="20"/>
                <w:szCs w:val="20"/>
                <w:lang w:val="en-GB"/>
              </w:rPr>
              <w:t xml:space="preserve">each </w:t>
            </w:r>
            <w:r w:rsidR="00B136C0" w:rsidRPr="00DF5227">
              <w:rPr>
                <w:rFonts w:ascii="Times New Roman" w:hAnsi="Times New Roman" w:cs="Times New Roman"/>
                <w:sz w:val="20"/>
                <w:szCs w:val="20"/>
                <w:lang w:val="en-GB"/>
              </w:rPr>
              <w:t xml:space="preserve">approx. 100-200 pp. </w:t>
            </w:r>
          </w:p>
        </w:tc>
        <w:tc>
          <w:tcPr>
            <w:tcW w:w="1715" w:type="pct"/>
          </w:tcPr>
          <w:p w:rsidR="0086193C" w:rsidRPr="00DF5227" w:rsidRDefault="0081136C" w:rsidP="00BC5346">
            <w:pPr>
              <w:jc w:val="both"/>
              <w:rPr>
                <w:rFonts w:ascii="Times New Roman" w:hAnsi="Times New Roman" w:cs="Times New Roman"/>
                <w:iCs/>
                <w:sz w:val="20"/>
                <w:szCs w:val="20"/>
                <w:lang w:val="en-GB"/>
              </w:rPr>
            </w:pPr>
            <w:r w:rsidRPr="00DF5227">
              <w:rPr>
                <w:rFonts w:ascii="Times New Roman" w:hAnsi="Times New Roman" w:cs="Times New Roman"/>
                <w:iCs/>
                <w:sz w:val="20"/>
                <w:szCs w:val="20"/>
                <w:lang w:val="en-GB"/>
              </w:rPr>
              <w:t>N=13</w:t>
            </w:r>
          </w:p>
        </w:tc>
      </w:tr>
      <w:tr w:rsidR="0086193C" w:rsidRPr="00DF5227" w:rsidTr="00210017">
        <w:tc>
          <w:tcPr>
            <w:tcW w:w="1062" w:type="pct"/>
          </w:tcPr>
          <w:p w:rsidR="0086193C" w:rsidRPr="00BC5346" w:rsidRDefault="0086193C" w:rsidP="00BC5346">
            <w:pPr>
              <w:jc w:val="both"/>
              <w:rPr>
                <w:rFonts w:ascii="Times New Roman" w:hAnsi="Times New Roman" w:cs="Times New Roman"/>
                <w:b/>
                <w:iCs/>
                <w:sz w:val="24"/>
                <w:szCs w:val="24"/>
                <w:lang w:val="en-GB"/>
              </w:rPr>
            </w:pPr>
            <w:r w:rsidRPr="00BC5346">
              <w:rPr>
                <w:rFonts w:ascii="Times New Roman" w:hAnsi="Times New Roman" w:cs="Times New Roman"/>
                <w:b/>
                <w:iCs/>
                <w:sz w:val="24"/>
                <w:szCs w:val="24"/>
                <w:lang w:val="en-GB"/>
              </w:rPr>
              <w:t>Businesseurope</w:t>
            </w:r>
          </w:p>
        </w:tc>
        <w:tc>
          <w:tcPr>
            <w:tcW w:w="2223" w:type="pct"/>
          </w:tcPr>
          <w:p w:rsidR="0086193C" w:rsidRPr="00DF5227" w:rsidRDefault="00B136C0" w:rsidP="00BC5346">
            <w:pPr>
              <w:jc w:val="both"/>
              <w:rPr>
                <w:rFonts w:ascii="Times New Roman" w:hAnsi="Times New Roman" w:cs="Times New Roman"/>
                <w:iCs/>
                <w:sz w:val="20"/>
                <w:szCs w:val="20"/>
                <w:lang w:val="en-GB"/>
              </w:rPr>
            </w:pPr>
            <w:r w:rsidRPr="00DF5227">
              <w:rPr>
                <w:rFonts w:ascii="Times New Roman" w:hAnsi="Times New Roman" w:cs="Times New Roman"/>
                <w:iCs/>
                <w:sz w:val="20"/>
                <w:szCs w:val="20"/>
                <w:lang w:val="en-GB"/>
              </w:rPr>
              <w:t xml:space="preserve">Biannual economic outlooks </w:t>
            </w:r>
            <w:r w:rsidR="00210017" w:rsidRPr="00DF5227">
              <w:rPr>
                <w:rFonts w:ascii="Times New Roman" w:hAnsi="Times New Roman" w:cs="Times New Roman"/>
                <w:iCs/>
                <w:sz w:val="20"/>
                <w:szCs w:val="20"/>
                <w:lang w:val="en-GB"/>
              </w:rPr>
              <w:t xml:space="preserve">1999-2014, </w:t>
            </w:r>
            <w:r w:rsidR="00280457" w:rsidRPr="00DF5227">
              <w:rPr>
                <w:rFonts w:ascii="Times New Roman" w:hAnsi="Times New Roman" w:cs="Times New Roman"/>
                <w:iCs/>
                <w:sz w:val="20"/>
                <w:szCs w:val="20"/>
                <w:lang w:val="en-GB"/>
              </w:rPr>
              <w:t xml:space="preserve">each </w:t>
            </w:r>
            <w:r w:rsidR="00210017" w:rsidRPr="00DF5227">
              <w:rPr>
                <w:rFonts w:ascii="Times New Roman" w:hAnsi="Times New Roman" w:cs="Times New Roman"/>
                <w:iCs/>
                <w:sz w:val="20"/>
                <w:szCs w:val="20"/>
                <w:lang w:val="en-GB"/>
              </w:rPr>
              <w:t>approx. 10-30 pp.</w:t>
            </w:r>
          </w:p>
        </w:tc>
        <w:tc>
          <w:tcPr>
            <w:tcW w:w="1715" w:type="pct"/>
          </w:tcPr>
          <w:p w:rsidR="0086193C" w:rsidRPr="00DF5227" w:rsidRDefault="00210017" w:rsidP="00BC5346">
            <w:pPr>
              <w:jc w:val="both"/>
              <w:rPr>
                <w:rFonts w:ascii="Times New Roman" w:hAnsi="Times New Roman" w:cs="Times New Roman"/>
                <w:iCs/>
                <w:sz w:val="20"/>
                <w:szCs w:val="20"/>
                <w:lang w:val="en-GB"/>
              </w:rPr>
            </w:pPr>
            <w:r w:rsidRPr="00DF5227">
              <w:rPr>
                <w:rFonts w:ascii="Times New Roman" w:hAnsi="Times New Roman" w:cs="Times New Roman"/>
                <w:iCs/>
                <w:sz w:val="20"/>
                <w:szCs w:val="20"/>
                <w:lang w:val="en-GB"/>
              </w:rPr>
              <w:t>N=32</w:t>
            </w:r>
          </w:p>
        </w:tc>
      </w:tr>
    </w:tbl>
    <w:p w:rsidR="00E4540D" w:rsidRPr="00DF5227" w:rsidRDefault="00E4540D" w:rsidP="00BC5346">
      <w:pPr>
        <w:spacing w:line="360" w:lineRule="auto"/>
        <w:jc w:val="both"/>
        <w:rPr>
          <w:rFonts w:ascii="Times New Roman" w:hAnsi="Times New Roman" w:cs="Times New Roman"/>
          <w:iCs/>
          <w:sz w:val="24"/>
          <w:szCs w:val="24"/>
          <w:lang w:val="en-GB"/>
        </w:rPr>
      </w:pPr>
    </w:p>
    <w:p w:rsidR="00A95B31" w:rsidRPr="00DF5227" w:rsidRDefault="003152D1"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Some variation exists </w:t>
      </w:r>
      <w:r w:rsidR="00A95B31" w:rsidRPr="00DF5227">
        <w:rPr>
          <w:rFonts w:ascii="Times New Roman" w:hAnsi="Times New Roman" w:cs="Times New Roman"/>
          <w:sz w:val="24"/>
          <w:szCs w:val="24"/>
          <w:lang w:val="en-GB"/>
        </w:rPr>
        <w:t>in the scope of documents (in terms of number of pages/word counts) both within and across the sources. T</w:t>
      </w:r>
      <w:r w:rsidRPr="00DF5227">
        <w:rPr>
          <w:rFonts w:ascii="Times New Roman" w:hAnsi="Times New Roman" w:cs="Times New Roman"/>
          <w:sz w:val="24"/>
          <w:szCs w:val="24"/>
          <w:lang w:val="en-GB"/>
        </w:rPr>
        <w:t xml:space="preserve">ypes of sources may </w:t>
      </w:r>
      <w:r w:rsidR="00A95B31" w:rsidRPr="00DF5227">
        <w:rPr>
          <w:rFonts w:ascii="Times New Roman" w:hAnsi="Times New Roman" w:cs="Times New Roman"/>
          <w:sz w:val="24"/>
          <w:szCs w:val="24"/>
          <w:lang w:val="en-GB"/>
        </w:rPr>
        <w:t xml:space="preserve">thus </w:t>
      </w:r>
      <w:r w:rsidRPr="00DF5227">
        <w:rPr>
          <w:rFonts w:ascii="Times New Roman" w:hAnsi="Times New Roman" w:cs="Times New Roman"/>
          <w:sz w:val="24"/>
          <w:szCs w:val="24"/>
          <w:lang w:val="en-GB"/>
        </w:rPr>
        <w:t>not be straight forward comparable, particularly in quantitative terms. Yet,</w:t>
      </w:r>
      <w:r w:rsidR="00A95B31" w:rsidRPr="00DF5227">
        <w:rPr>
          <w:rFonts w:ascii="Times New Roman" w:hAnsi="Times New Roman" w:cs="Times New Roman"/>
          <w:sz w:val="24"/>
          <w:szCs w:val="24"/>
          <w:lang w:val="en-GB"/>
        </w:rPr>
        <w:t xml:space="preserve"> the scope of each source is typically quite similar over time</w:t>
      </w:r>
      <w:r w:rsidR="007D49AD" w:rsidRPr="00DF5227">
        <w:rPr>
          <w:rFonts w:ascii="Times New Roman" w:hAnsi="Times New Roman" w:cs="Times New Roman"/>
          <w:sz w:val="24"/>
          <w:szCs w:val="24"/>
          <w:lang w:val="en-GB"/>
        </w:rPr>
        <w:t xml:space="preserve"> with a few exceptions, where </w:t>
      </w:r>
      <w:r w:rsidR="00280457" w:rsidRPr="00DF5227">
        <w:rPr>
          <w:rFonts w:ascii="Times New Roman" w:hAnsi="Times New Roman" w:cs="Times New Roman"/>
          <w:sz w:val="24"/>
          <w:szCs w:val="24"/>
          <w:lang w:val="en-GB"/>
        </w:rPr>
        <w:t xml:space="preserve">a few </w:t>
      </w:r>
      <w:r w:rsidR="007D49AD" w:rsidRPr="00DF5227">
        <w:rPr>
          <w:rFonts w:ascii="Times New Roman" w:hAnsi="Times New Roman" w:cs="Times New Roman"/>
          <w:sz w:val="24"/>
          <w:szCs w:val="24"/>
          <w:lang w:val="en-GB"/>
        </w:rPr>
        <w:t xml:space="preserve">additional documents </w:t>
      </w:r>
      <w:r w:rsidR="0086193C" w:rsidRPr="00DF5227">
        <w:rPr>
          <w:rFonts w:ascii="Times New Roman" w:hAnsi="Times New Roman" w:cs="Times New Roman"/>
          <w:sz w:val="24"/>
          <w:szCs w:val="24"/>
          <w:lang w:val="en-GB"/>
        </w:rPr>
        <w:t xml:space="preserve">have been included </w:t>
      </w:r>
      <w:r w:rsidR="00280457" w:rsidRPr="00DF5227">
        <w:rPr>
          <w:rFonts w:ascii="Times New Roman" w:hAnsi="Times New Roman" w:cs="Times New Roman"/>
          <w:sz w:val="24"/>
          <w:szCs w:val="24"/>
          <w:lang w:val="en-GB"/>
        </w:rPr>
        <w:t xml:space="preserve">to </w:t>
      </w:r>
      <w:r w:rsidR="0086193C" w:rsidRPr="00DF5227">
        <w:rPr>
          <w:rFonts w:ascii="Times New Roman" w:hAnsi="Times New Roman" w:cs="Times New Roman"/>
          <w:sz w:val="24"/>
          <w:szCs w:val="24"/>
          <w:lang w:val="en-GB"/>
        </w:rPr>
        <w:t xml:space="preserve">compensate for </w:t>
      </w:r>
      <w:r w:rsidR="007D49AD" w:rsidRPr="00DF5227">
        <w:rPr>
          <w:rFonts w:ascii="Times New Roman" w:hAnsi="Times New Roman" w:cs="Times New Roman"/>
          <w:sz w:val="24"/>
          <w:szCs w:val="24"/>
          <w:lang w:val="en-GB"/>
        </w:rPr>
        <w:t xml:space="preserve">e.g. a </w:t>
      </w:r>
      <w:r w:rsidR="00A63A31" w:rsidRPr="00DF5227">
        <w:rPr>
          <w:rFonts w:ascii="Times New Roman" w:hAnsi="Times New Roman" w:cs="Times New Roman"/>
          <w:sz w:val="24"/>
          <w:szCs w:val="24"/>
          <w:lang w:val="en-GB"/>
        </w:rPr>
        <w:t xml:space="preserve">few </w:t>
      </w:r>
      <w:r w:rsidR="007D49AD" w:rsidRPr="00DF5227">
        <w:rPr>
          <w:rFonts w:ascii="Times New Roman" w:hAnsi="Times New Roman" w:cs="Times New Roman"/>
          <w:sz w:val="24"/>
          <w:szCs w:val="24"/>
          <w:lang w:val="en-GB"/>
        </w:rPr>
        <w:t>very brief annual report</w:t>
      </w:r>
      <w:r w:rsidR="00A63A31" w:rsidRPr="00DF5227">
        <w:rPr>
          <w:rFonts w:ascii="Times New Roman" w:hAnsi="Times New Roman" w:cs="Times New Roman"/>
          <w:sz w:val="24"/>
          <w:szCs w:val="24"/>
          <w:lang w:val="en-GB"/>
        </w:rPr>
        <w:t>s</w:t>
      </w:r>
      <w:r w:rsidR="007D49AD" w:rsidRPr="00DF5227">
        <w:rPr>
          <w:rFonts w:ascii="Times New Roman" w:hAnsi="Times New Roman" w:cs="Times New Roman"/>
          <w:sz w:val="24"/>
          <w:szCs w:val="24"/>
          <w:lang w:val="en-GB"/>
        </w:rPr>
        <w:t xml:space="preserve">. </w:t>
      </w:r>
      <w:r w:rsidR="00E66189" w:rsidRPr="00DF5227">
        <w:rPr>
          <w:rFonts w:ascii="Times New Roman" w:hAnsi="Times New Roman" w:cs="Times New Roman"/>
          <w:sz w:val="24"/>
          <w:szCs w:val="24"/>
          <w:lang w:val="en-GB"/>
        </w:rPr>
        <w:t xml:space="preserve">Using Nvivo </w:t>
      </w:r>
      <w:r w:rsidR="00916DA9" w:rsidRPr="00DF5227">
        <w:rPr>
          <w:rFonts w:ascii="Times New Roman" w:hAnsi="Times New Roman" w:cs="Times New Roman"/>
          <w:sz w:val="24"/>
          <w:szCs w:val="24"/>
          <w:lang w:val="en-GB"/>
        </w:rPr>
        <w:t xml:space="preserve">I </w:t>
      </w:r>
      <w:r w:rsidR="00E66189" w:rsidRPr="00DF5227">
        <w:rPr>
          <w:rFonts w:ascii="Times New Roman" w:hAnsi="Times New Roman" w:cs="Times New Roman"/>
          <w:sz w:val="24"/>
          <w:szCs w:val="24"/>
          <w:lang w:val="en-GB"/>
        </w:rPr>
        <w:t xml:space="preserve">make use of a series quantitative indicators accompanied with illustrative quotations in the following. </w:t>
      </w:r>
      <w:r w:rsidR="005B0B9E" w:rsidRPr="00DF5227">
        <w:rPr>
          <w:rFonts w:ascii="Times New Roman" w:hAnsi="Times New Roman" w:cs="Times New Roman"/>
          <w:sz w:val="24"/>
          <w:szCs w:val="24"/>
          <w:lang w:val="en-GB"/>
        </w:rPr>
        <w:t>W</w:t>
      </w:r>
      <w:r w:rsidR="007D49AD" w:rsidRPr="00DF5227">
        <w:rPr>
          <w:rFonts w:ascii="Times New Roman" w:hAnsi="Times New Roman" w:cs="Times New Roman"/>
          <w:sz w:val="24"/>
          <w:szCs w:val="24"/>
          <w:lang w:val="en-GB"/>
        </w:rPr>
        <w:t>hile quantitative comparisons across sources should be done with caution, p</w:t>
      </w:r>
      <w:r w:rsidRPr="00DF5227">
        <w:rPr>
          <w:rFonts w:ascii="Times New Roman" w:hAnsi="Times New Roman" w:cs="Times New Roman"/>
          <w:sz w:val="24"/>
          <w:szCs w:val="24"/>
          <w:lang w:val="en-GB"/>
        </w:rPr>
        <w:t>atterns may still be identified and compared over time.</w:t>
      </w:r>
      <w:r w:rsidR="00A95B31"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 </w:t>
      </w:r>
    </w:p>
    <w:p w:rsidR="00463F75" w:rsidRPr="00DF5227" w:rsidRDefault="00AA79AD" w:rsidP="00BC5346">
      <w:pPr>
        <w:pStyle w:val="NormalWeb"/>
        <w:spacing w:line="360" w:lineRule="auto"/>
        <w:jc w:val="both"/>
        <w:rPr>
          <w:lang w:val="en-GB"/>
        </w:rPr>
      </w:pPr>
      <w:r w:rsidRPr="00DF5227">
        <w:rPr>
          <w:lang w:val="en-GB"/>
        </w:rPr>
        <w:t xml:space="preserve">It is notoriously difficult to measure political emotional appeals. Some of the techniques available </w:t>
      </w:r>
      <w:r w:rsidR="00566EC2" w:rsidRPr="00DF5227">
        <w:rPr>
          <w:lang w:val="en-GB"/>
        </w:rPr>
        <w:t xml:space="preserve">from political psychology </w:t>
      </w:r>
      <w:r w:rsidRPr="00DF5227">
        <w:rPr>
          <w:lang w:val="en-GB"/>
        </w:rPr>
        <w:t>are actors emotional self-reporting, experimental research</w:t>
      </w:r>
      <w:r w:rsidR="00F301B4" w:rsidRPr="00DF5227">
        <w:rPr>
          <w:lang w:val="en-GB"/>
        </w:rPr>
        <w:t xml:space="preserve">, </w:t>
      </w:r>
      <w:r w:rsidR="006D4694" w:rsidRPr="00DF5227">
        <w:rPr>
          <w:lang w:val="en-GB"/>
        </w:rPr>
        <w:t xml:space="preserve">and </w:t>
      </w:r>
      <w:r w:rsidR="00F301B4" w:rsidRPr="00DF5227">
        <w:rPr>
          <w:lang w:val="en-GB"/>
        </w:rPr>
        <w:t xml:space="preserve">interpretation of facial and other physical expressions. </w:t>
      </w:r>
      <w:r w:rsidRPr="00DF5227">
        <w:rPr>
          <w:lang w:val="en-GB"/>
        </w:rPr>
        <w:t xml:space="preserve">For </w:t>
      </w:r>
      <w:r w:rsidR="006251FA" w:rsidRPr="00DF5227">
        <w:rPr>
          <w:lang w:val="en-GB"/>
        </w:rPr>
        <w:t xml:space="preserve">my </w:t>
      </w:r>
      <w:r w:rsidRPr="00DF5227">
        <w:rPr>
          <w:lang w:val="en-GB"/>
        </w:rPr>
        <w:t xml:space="preserve">purpose, </w:t>
      </w:r>
      <w:r w:rsidR="0041646E" w:rsidRPr="00DF5227">
        <w:rPr>
          <w:lang w:val="en-GB"/>
        </w:rPr>
        <w:t xml:space="preserve">however, </w:t>
      </w:r>
      <w:r w:rsidR="006251FA" w:rsidRPr="00DF5227">
        <w:rPr>
          <w:lang w:val="en-GB"/>
        </w:rPr>
        <w:t>I am</w:t>
      </w:r>
      <w:r w:rsidRPr="00DF5227">
        <w:rPr>
          <w:lang w:val="en-GB"/>
        </w:rPr>
        <w:t xml:space="preserve"> not so much concerned with the </w:t>
      </w:r>
      <w:r w:rsidR="00F301B4" w:rsidRPr="00DF5227">
        <w:rPr>
          <w:lang w:val="en-GB"/>
        </w:rPr>
        <w:t xml:space="preserve">deeper sentiment and </w:t>
      </w:r>
      <w:r w:rsidRPr="00DF5227">
        <w:rPr>
          <w:lang w:val="en-GB"/>
        </w:rPr>
        <w:t xml:space="preserve">structure </w:t>
      </w:r>
      <w:r w:rsidR="0041646E" w:rsidRPr="00DF5227">
        <w:rPr>
          <w:lang w:val="en-GB"/>
        </w:rPr>
        <w:t xml:space="preserve">of </w:t>
      </w:r>
      <w:r w:rsidRPr="00DF5227">
        <w:rPr>
          <w:lang w:val="en-GB"/>
        </w:rPr>
        <w:t xml:space="preserve">political emotions, but rather </w:t>
      </w:r>
      <w:r w:rsidR="006251FA" w:rsidRPr="00DF5227">
        <w:rPr>
          <w:lang w:val="en-GB"/>
        </w:rPr>
        <w:t>my</w:t>
      </w:r>
      <w:r w:rsidRPr="00DF5227">
        <w:rPr>
          <w:lang w:val="en-GB"/>
        </w:rPr>
        <w:t xml:space="preserve"> concern is </w:t>
      </w:r>
      <w:r w:rsidR="0010771F" w:rsidRPr="00DF5227">
        <w:rPr>
          <w:lang w:val="en-GB"/>
        </w:rPr>
        <w:t xml:space="preserve">the </w:t>
      </w:r>
      <w:r w:rsidRPr="00DF5227">
        <w:rPr>
          <w:lang w:val="en-GB"/>
        </w:rPr>
        <w:t>emotional appeal as a characteristic of political myths</w:t>
      </w:r>
      <w:r w:rsidR="0041646E" w:rsidRPr="00DF5227">
        <w:rPr>
          <w:lang w:val="en-GB"/>
        </w:rPr>
        <w:t xml:space="preserve"> and symbols</w:t>
      </w:r>
      <w:r w:rsidRPr="00DF5227">
        <w:rPr>
          <w:lang w:val="en-GB"/>
        </w:rPr>
        <w:t xml:space="preserve">. </w:t>
      </w:r>
      <w:r w:rsidR="00916DA9" w:rsidRPr="00DF5227">
        <w:rPr>
          <w:lang w:val="en-GB"/>
        </w:rPr>
        <w:t xml:space="preserve">I </w:t>
      </w:r>
      <w:r w:rsidR="00F301B4" w:rsidRPr="00DF5227">
        <w:rPr>
          <w:lang w:val="en-GB"/>
        </w:rPr>
        <w:t xml:space="preserve">rely on admittedly less </w:t>
      </w:r>
      <w:r w:rsidR="0010771F" w:rsidRPr="00DF5227">
        <w:rPr>
          <w:lang w:val="en-GB"/>
        </w:rPr>
        <w:t>sophisticated, but more readily available and still useful</w:t>
      </w:r>
      <w:r w:rsidR="00F301B4" w:rsidRPr="00DF5227">
        <w:rPr>
          <w:lang w:val="en-GB"/>
        </w:rPr>
        <w:t xml:space="preserve"> techniques</w:t>
      </w:r>
      <w:r w:rsidR="0010771F" w:rsidRPr="00DF5227">
        <w:rPr>
          <w:lang w:val="en-GB"/>
        </w:rPr>
        <w:t xml:space="preserve">. </w:t>
      </w:r>
      <w:r w:rsidR="00916DA9" w:rsidRPr="00DF5227">
        <w:rPr>
          <w:lang w:val="en-GB"/>
        </w:rPr>
        <w:t xml:space="preserve">I </w:t>
      </w:r>
      <w:r w:rsidR="0041646E" w:rsidRPr="00DF5227">
        <w:rPr>
          <w:lang w:val="en-GB"/>
        </w:rPr>
        <w:t xml:space="preserve">thus </w:t>
      </w:r>
      <w:r w:rsidR="0010771F" w:rsidRPr="00DF5227">
        <w:rPr>
          <w:lang w:val="en-GB"/>
        </w:rPr>
        <w:t xml:space="preserve">focus on how European myths </w:t>
      </w:r>
      <w:r w:rsidR="00F30C5E" w:rsidRPr="00DF5227">
        <w:rPr>
          <w:lang w:val="en-GB"/>
        </w:rPr>
        <w:t xml:space="preserve">and symbols </w:t>
      </w:r>
      <w:r w:rsidR="0010771F" w:rsidRPr="00DF5227">
        <w:rPr>
          <w:lang w:val="en-GB"/>
        </w:rPr>
        <w:t xml:space="preserve">are being </w:t>
      </w:r>
      <w:r w:rsidR="00F30C5E" w:rsidRPr="00DF5227">
        <w:rPr>
          <w:lang w:val="en-GB"/>
        </w:rPr>
        <w:t>reconstructed by means of emotional</w:t>
      </w:r>
      <w:r w:rsidR="0041646E" w:rsidRPr="00DF5227">
        <w:rPr>
          <w:lang w:val="en-GB"/>
        </w:rPr>
        <w:t xml:space="preserve"> </w:t>
      </w:r>
      <w:r w:rsidR="00F31A5D" w:rsidRPr="00DF5227">
        <w:rPr>
          <w:lang w:val="en-GB"/>
        </w:rPr>
        <w:t xml:space="preserve">political </w:t>
      </w:r>
      <w:r w:rsidR="0041646E" w:rsidRPr="00DF5227">
        <w:rPr>
          <w:lang w:val="en-GB"/>
        </w:rPr>
        <w:t>discourse</w:t>
      </w:r>
      <w:r w:rsidR="00F30C5E" w:rsidRPr="00DF5227">
        <w:rPr>
          <w:lang w:val="en-GB"/>
        </w:rPr>
        <w:t>, rather than cogniti</w:t>
      </w:r>
      <w:r w:rsidR="00F31A5D" w:rsidRPr="00DF5227">
        <w:rPr>
          <w:lang w:val="en-GB"/>
        </w:rPr>
        <w:t>on and</w:t>
      </w:r>
      <w:r w:rsidR="00F30C5E" w:rsidRPr="00DF5227">
        <w:rPr>
          <w:lang w:val="en-GB"/>
        </w:rPr>
        <w:t xml:space="preserve"> information processing. </w:t>
      </w:r>
      <w:r w:rsidR="00F31A5D" w:rsidRPr="00DF5227">
        <w:rPr>
          <w:lang w:val="en-GB"/>
        </w:rPr>
        <w:t xml:space="preserve">Attention is given to the </w:t>
      </w:r>
      <w:r w:rsidR="006D4694" w:rsidRPr="00DF5227">
        <w:rPr>
          <w:lang w:val="en-GB"/>
        </w:rPr>
        <w:t xml:space="preserve">argumentations associated green, social and economic Europe emphasising the usage of emotional language. </w:t>
      </w:r>
      <w:r w:rsidR="00F31A5D" w:rsidRPr="00DF5227">
        <w:rPr>
          <w:lang w:val="en-GB"/>
        </w:rPr>
        <w:t>It is worth noting that t</w:t>
      </w:r>
      <w:r w:rsidR="00DC4083" w:rsidRPr="00DF5227">
        <w:rPr>
          <w:lang w:val="en-GB"/>
        </w:rPr>
        <w:t>he language of emotions among EU political elites must be expected to be fairly subtle</w:t>
      </w:r>
      <w:r w:rsidR="006D4694" w:rsidRPr="00DF5227">
        <w:rPr>
          <w:lang w:val="en-GB"/>
        </w:rPr>
        <w:t xml:space="preserve"> – e.g. opposed to the language associated with severe political aggression and violence</w:t>
      </w:r>
      <w:r w:rsidR="00500620" w:rsidRPr="00DF5227">
        <w:rPr>
          <w:lang w:val="en-GB"/>
        </w:rPr>
        <w:t xml:space="preserve"> (</w:t>
      </w:r>
      <w:r w:rsidR="006D4694" w:rsidRPr="00DF5227">
        <w:rPr>
          <w:lang w:val="en-GB"/>
        </w:rPr>
        <w:t xml:space="preserve">see </w:t>
      </w:r>
      <w:r w:rsidR="00500620" w:rsidRPr="00DF5227">
        <w:rPr>
          <w:lang w:val="en-GB"/>
        </w:rPr>
        <w:t xml:space="preserve">Matsumoto </w:t>
      </w:r>
      <w:r w:rsidR="00500620" w:rsidRPr="00DF5227">
        <w:rPr>
          <w:i/>
          <w:lang w:val="en-GB"/>
        </w:rPr>
        <w:t>et al.</w:t>
      </w:r>
      <w:r w:rsidR="00500620" w:rsidRPr="00DF5227">
        <w:rPr>
          <w:lang w:val="en-GB"/>
        </w:rPr>
        <w:t xml:space="preserve"> 2013)</w:t>
      </w:r>
      <w:r w:rsidR="00DC4083" w:rsidRPr="00DF5227">
        <w:rPr>
          <w:lang w:val="en-GB"/>
        </w:rPr>
        <w:t xml:space="preserve">. </w:t>
      </w:r>
      <w:r w:rsidR="00500620" w:rsidRPr="00DF5227">
        <w:rPr>
          <w:lang w:val="en-GB"/>
        </w:rPr>
        <w:t>‘</w:t>
      </w:r>
      <w:r w:rsidR="00294087" w:rsidRPr="00DF5227">
        <w:rPr>
          <w:lang w:val="en-GB"/>
        </w:rPr>
        <w:t>S</w:t>
      </w:r>
      <w:r w:rsidR="00500620" w:rsidRPr="00DF5227">
        <w:rPr>
          <w:lang w:val="en-GB"/>
        </w:rPr>
        <w:t xml:space="preserve">ustainable development’ and ‘social model’ as </w:t>
      </w:r>
      <w:r w:rsidR="00294087" w:rsidRPr="00DF5227">
        <w:rPr>
          <w:lang w:val="en-GB"/>
        </w:rPr>
        <w:t xml:space="preserve">linked </w:t>
      </w:r>
      <w:r w:rsidR="00500620" w:rsidRPr="00DF5227">
        <w:rPr>
          <w:lang w:val="en-GB"/>
        </w:rPr>
        <w:t xml:space="preserve">with respectively green and social Europe may in itself be viewed as wordings with emotional appeals. However, also when pan-EU NGO’s ‘urges’ EU institutions to take political action or point to ‘real’ development, often </w:t>
      </w:r>
      <w:r w:rsidR="00500620" w:rsidRPr="00DF5227">
        <w:rPr>
          <w:lang w:val="en-GB"/>
        </w:rPr>
        <w:lastRenderedPageBreak/>
        <w:t xml:space="preserve">with a negative </w:t>
      </w:r>
      <w:r w:rsidR="00465443" w:rsidRPr="00DF5227">
        <w:rPr>
          <w:lang w:val="en-GB"/>
        </w:rPr>
        <w:t xml:space="preserve">outlook and creating a need for action, can be seen as appealing to </w:t>
      </w:r>
      <w:r w:rsidR="001A241E" w:rsidRPr="00DF5227">
        <w:rPr>
          <w:lang w:val="en-GB"/>
        </w:rPr>
        <w:t xml:space="preserve">political </w:t>
      </w:r>
      <w:r w:rsidR="00465443" w:rsidRPr="00DF5227">
        <w:rPr>
          <w:lang w:val="en-GB"/>
        </w:rPr>
        <w:t xml:space="preserve">emotions. </w:t>
      </w:r>
      <w:r w:rsidR="00500620" w:rsidRPr="00DF5227">
        <w:rPr>
          <w:lang w:val="en-GB"/>
        </w:rPr>
        <w:t xml:space="preserve"> </w:t>
      </w:r>
      <w:r w:rsidR="00DC4083" w:rsidRPr="00DF5227">
        <w:rPr>
          <w:lang w:val="en-GB"/>
        </w:rPr>
        <w:t xml:space="preserve">  </w:t>
      </w:r>
    </w:p>
    <w:p w:rsidR="00D72F2B" w:rsidRPr="00DF5227" w:rsidRDefault="00463F75"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  </w:t>
      </w:r>
      <w:r w:rsidR="00D72F2B" w:rsidRPr="00DF5227">
        <w:rPr>
          <w:rFonts w:ascii="Times New Roman" w:hAnsi="Times New Roman" w:cs="Times New Roman"/>
          <w:sz w:val="24"/>
          <w:szCs w:val="24"/>
          <w:lang w:val="en-GB"/>
        </w:rPr>
        <w:t xml:space="preserve">  </w:t>
      </w:r>
    </w:p>
    <w:p w:rsidR="001439FB" w:rsidRPr="00DF5227" w:rsidRDefault="00CE0CD9"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t xml:space="preserve">IV. </w:t>
      </w:r>
      <w:r w:rsidR="00CA3B26" w:rsidRPr="00DF5227">
        <w:rPr>
          <w:rFonts w:ascii="Times New Roman" w:hAnsi="Times New Roman" w:cs="Times New Roman"/>
          <w:b/>
          <w:sz w:val="24"/>
          <w:szCs w:val="24"/>
          <w:lang w:val="en-GB"/>
        </w:rPr>
        <w:t>Analysis</w:t>
      </w:r>
    </w:p>
    <w:p w:rsidR="00095D4D" w:rsidRPr="00DF5227" w:rsidRDefault="00FC7F93"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The nature of myths makes detecting their </w:t>
      </w:r>
      <w:r w:rsidR="002B7190" w:rsidRPr="00DF5227">
        <w:rPr>
          <w:rFonts w:ascii="Times New Roman" w:hAnsi="Times New Roman" w:cs="Times New Roman"/>
          <w:sz w:val="24"/>
          <w:szCs w:val="24"/>
          <w:lang w:val="en-GB"/>
        </w:rPr>
        <w:t xml:space="preserve">historical origin </w:t>
      </w:r>
      <w:r w:rsidRPr="00DF5227">
        <w:rPr>
          <w:rFonts w:ascii="Times New Roman" w:hAnsi="Times New Roman" w:cs="Times New Roman"/>
          <w:sz w:val="24"/>
          <w:szCs w:val="24"/>
          <w:lang w:val="en-GB"/>
        </w:rPr>
        <w:t xml:space="preserve">inconceivable. </w:t>
      </w:r>
      <w:r w:rsidR="00E1307B" w:rsidRPr="00DF5227">
        <w:rPr>
          <w:rFonts w:ascii="Times New Roman" w:hAnsi="Times New Roman" w:cs="Times New Roman"/>
          <w:sz w:val="24"/>
          <w:szCs w:val="24"/>
          <w:lang w:val="en-GB"/>
        </w:rPr>
        <w:t>A m</w:t>
      </w:r>
      <w:r w:rsidRPr="00DF5227">
        <w:rPr>
          <w:rFonts w:ascii="Times New Roman" w:hAnsi="Times New Roman" w:cs="Times New Roman"/>
          <w:sz w:val="24"/>
          <w:szCs w:val="24"/>
          <w:lang w:val="en-GB"/>
        </w:rPr>
        <w:t xml:space="preserve">yths </w:t>
      </w:r>
      <w:r w:rsidR="00E1307B" w:rsidRPr="00DF5227">
        <w:rPr>
          <w:rFonts w:ascii="Times New Roman" w:hAnsi="Times New Roman" w:cs="Times New Roman"/>
          <w:sz w:val="24"/>
          <w:szCs w:val="24"/>
          <w:lang w:val="en-GB"/>
        </w:rPr>
        <w:t xml:space="preserve">is rather something that is continuously reconstructed, or if not the myth cease to exist. </w:t>
      </w:r>
      <w:r w:rsidR="004C521A" w:rsidRPr="00DF5227">
        <w:rPr>
          <w:rFonts w:ascii="Times New Roman" w:hAnsi="Times New Roman" w:cs="Times New Roman"/>
          <w:sz w:val="24"/>
          <w:szCs w:val="24"/>
          <w:lang w:val="en-GB"/>
        </w:rPr>
        <w:t xml:space="preserve">Highlighting the continuous reconstruction of myths is especially important when </w:t>
      </w:r>
      <w:r w:rsidR="006251FA" w:rsidRPr="00DF5227">
        <w:rPr>
          <w:rFonts w:ascii="Times New Roman" w:hAnsi="Times New Roman" w:cs="Times New Roman"/>
          <w:sz w:val="24"/>
          <w:szCs w:val="24"/>
          <w:lang w:val="en-GB"/>
        </w:rPr>
        <w:t>the</w:t>
      </w:r>
      <w:r w:rsidR="004C521A" w:rsidRPr="00DF5227">
        <w:rPr>
          <w:rFonts w:ascii="Times New Roman" w:hAnsi="Times New Roman" w:cs="Times New Roman"/>
          <w:sz w:val="24"/>
          <w:szCs w:val="24"/>
          <w:lang w:val="en-GB"/>
        </w:rPr>
        <w:t xml:space="preserve"> focus is on short- or medium-term policy making. </w:t>
      </w:r>
      <w:r w:rsidR="00AE7CAF" w:rsidRPr="00DF5227">
        <w:rPr>
          <w:rFonts w:ascii="Times New Roman" w:hAnsi="Times New Roman" w:cs="Times New Roman"/>
          <w:sz w:val="24"/>
          <w:szCs w:val="24"/>
          <w:lang w:val="en-GB"/>
        </w:rPr>
        <w:t>Acknowledging th</w:t>
      </w:r>
      <w:r w:rsidR="00E84CBA" w:rsidRPr="00DF5227">
        <w:rPr>
          <w:rFonts w:ascii="Times New Roman" w:hAnsi="Times New Roman" w:cs="Times New Roman"/>
          <w:sz w:val="24"/>
          <w:szCs w:val="24"/>
          <w:lang w:val="en-GB"/>
        </w:rPr>
        <w:t xml:space="preserve">is, </w:t>
      </w:r>
      <w:r w:rsidR="00504B33" w:rsidRPr="00DF5227">
        <w:rPr>
          <w:rFonts w:ascii="Times New Roman" w:hAnsi="Times New Roman" w:cs="Times New Roman"/>
          <w:sz w:val="24"/>
          <w:szCs w:val="24"/>
          <w:lang w:val="en-GB"/>
        </w:rPr>
        <w:t xml:space="preserve">I </w:t>
      </w:r>
      <w:r w:rsidR="00AE7CAF" w:rsidRPr="00DF5227">
        <w:rPr>
          <w:rFonts w:ascii="Times New Roman" w:hAnsi="Times New Roman" w:cs="Times New Roman"/>
          <w:sz w:val="24"/>
          <w:szCs w:val="24"/>
          <w:lang w:val="en-GB"/>
        </w:rPr>
        <w:t xml:space="preserve">follow Bottici and Challand </w:t>
      </w:r>
      <w:r w:rsidR="0064243E" w:rsidRPr="00DF5227">
        <w:rPr>
          <w:rFonts w:ascii="Times New Roman" w:hAnsi="Times New Roman" w:cs="Times New Roman"/>
          <w:sz w:val="24"/>
          <w:szCs w:val="24"/>
          <w:lang w:val="en-GB"/>
        </w:rPr>
        <w:t xml:space="preserve">(2013) that </w:t>
      </w:r>
      <w:r w:rsidR="00E84CBA" w:rsidRPr="00DF5227">
        <w:rPr>
          <w:rFonts w:ascii="Times New Roman" w:hAnsi="Times New Roman" w:cs="Times New Roman"/>
          <w:sz w:val="24"/>
          <w:szCs w:val="24"/>
          <w:lang w:val="en-GB"/>
        </w:rPr>
        <w:t xml:space="preserve">– </w:t>
      </w:r>
      <w:r w:rsidR="0064243E" w:rsidRPr="00DF5227">
        <w:rPr>
          <w:rFonts w:ascii="Times New Roman" w:hAnsi="Times New Roman" w:cs="Times New Roman"/>
          <w:sz w:val="24"/>
          <w:szCs w:val="24"/>
          <w:lang w:val="en-GB"/>
        </w:rPr>
        <w:t>analytically</w:t>
      </w:r>
      <w:r w:rsidR="00E84CBA" w:rsidRPr="00DF5227">
        <w:rPr>
          <w:rFonts w:ascii="Times New Roman" w:hAnsi="Times New Roman" w:cs="Times New Roman"/>
          <w:sz w:val="24"/>
          <w:szCs w:val="24"/>
          <w:lang w:val="en-GB"/>
        </w:rPr>
        <w:t xml:space="preserve"> – </w:t>
      </w:r>
      <w:r w:rsidR="0064243E" w:rsidRPr="00DF5227">
        <w:rPr>
          <w:rFonts w:ascii="Times New Roman" w:hAnsi="Times New Roman" w:cs="Times New Roman"/>
          <w:sz w:val="24"/>
          <w:szCs w:val="24"/>
          <w:lang w:val="en-GB"/>
        </w:rPr>
        <w:t>the</w:t>
      </w:r>
      <w:r w:rsidR="00AE7CAF" w:rsidRPr="00DF5227">
        <w:rPr>
          <w:rFonts w:ascii="Times New Roman" w:hAnsi="Times New Roman" w:cs="Times New Roman"/>
          <w:sz w:val="24"/>
          <w:szCs w:val="24"/>
          <w:lang w:val="en-GB"/>
        </w:rPr>
        <w:t xml:space="preserve"> </w:t>
      </w:r>
      <w:r w:rsidR="0064243E" w:rsidRPr="00DF5227">
        <w:rPr>
          <w:rFonts w:ascii="Times New Roman" w:hAnsi="Times New Roman" w:cs="Times New Roman"/>
          <w:sz w:val="24"/>
          <w:szCs w:val="24"/>
          <w:lang w:val="en-GB"/>
        </w:rPr>
        <w:t>‘</w:t>
      </w:r>
      <w:r w:rsidR="00AE7CAF" w:rsidRPr="00DF5227">
        <w:rPr>
          <w:rFonts w:ascii="Times New Roman" w:hAnsi="Times New Roman" w:cs="Times New Roman"/>
          <w:sz w:val="24"/>
          <w:szCs w:val="24"/>
          <w:lang w:val="en-GB"/>
        </w:rPr>
        <w:t>reconstruction of myths can be seen as consisting of three elements: production, reception and reproduction (</w:t>
      </w:r>
      <w:r w:rsidR="0064243E" w:rsidRPr="00DF5227">
        <w:rPr>
          <w:rFonts w:ascii="Times New Roman" w:hAnsi="Times New Roman" w:cs="Times New Roman"/>
          <w:sz w:val="24"/>
          <w:szCs w:val="24"/>
          <w:lang w:val="en-GB"/>
        </w:rPr>
        <w:t>201</w:t>
      </w:r>
      <w:r w:rsidR="00C3080A">
        <w:rPr>
          <w:rFonts w:ascii="Times New Roman" w:hAnsi="Times New Roman" w:cs="Times New Roman"/>
          <w:sz w:val="24"/>
          <w:szCs w:val="24"/>
          <w:lang w:val="en-GB"/>
        </w:rPr>
        <w:t>3</w:t>
      </w:r>
      <w:r w:rsidR="0064243E" w:rsidRPr="00DF5227">
        <w:rPr>
          <w:rFonts w:ascii="Times New Roman" w:hAnsi="Times New Roman" w:cs="Times New Roman"/>
          <w:sz w:val="24"/>
          <w:szCs w:val="24"/>
          <w:lang w:val="en-GB"/>
        </w:rPr>
        <w:t>:</w:t>
      </w:r>
      <w:r w:rsidR="00AE7CAF" w:rsidRPr="00DF5227">
        <w:rPr>
          <w:rFonts w:ascii="Times New Roman" w:hAnsi="Times New Roman" w:cs="Times New Roman"/>
          <w:sz w:val="24"/>
          <w:szCs w:val="24"/>
          <w:lang w:val="en-GB"/>
        </w:rPr>
        <w:t xml:space="preserve"> 90)</w:t>
      </w:r>
      <w:r w:rsidR="0064243E" w:rsidRPr="00DF5227">
        <w:rPr>
          <w:rFonts w:ascii="Times New Roman" w:hAnsi="Times New Roman" w:cs="Times New Roman"/>
          <w:sz w:val="24"/>
          <w:szCs w:val="24"/>
          <w:lang w:val="en-GB"/>
        </w:rPr>
        <w:t>’</w:t>
      </w:r>
      <w:r w:rsidR="00AE7CAF" w:rsidRPr="00DF5227">
        <w:rPr>
          <w:rFonts w:ascii="Times New Roman" w:hAnsi="Times New Roman" w:cs="Times New Roman"/>
          <w:sz w:val="24"/>
          <w:szCs w:val="24"/>
          <w:lang w:val="en-GB"/>
        </w:rPr>
        <w:t xml:space="preserve">. </w:t>
      </w:r>
    </w:p>
    <w:p w:rsidR="00823233" w:rsidRPr="00302AD6" w:rsidRDefault="00823233" w:rsidP="00BC5346">
      <w:pPr>
        <w:spacing w:line="360" w:lineRule="auto"/>
        <w:jc w:val="both"/>
        <w:rPr>
          <w:rFonts w:ascii="Times New Roman" w:hAnsi="Times New Roman" w:cs="Times New Roman"/>
          <w:sz w:val="24"/>
          <w:szCs w:val="24"/>
          <w:lang w:val="en-GB"/>
        </w:rPr>
      </w:pPr>
    </w:p>
    <w:p w:rsidR="00FE12A6" w:rsidRPr="00DF5227" w:rsidRDefault="00FE12A6" w:rsidP="00BC5346">
      <w:pPr>
        <w:spacing w:line="360" w:lineRule="auto"/>
        <w:jc w:val="both"/>
        <w:rPr>
          <w:rFonts w:ascii="Times New Roman" w:hAnsi="Times New Roman" w:cs="Times New Roman"/>
          <w:i/>
          <w:sz w:val="24"/>
          <w:szCs w:val="24"/>
          <w:lang w:val="en-GB"/>
        </w:rPr>
      </w:pPr>
      <w:r w:rsidRPr="00DF5227">
        <w:rPr>
          <w:rFonts w:ascii="Times New Roman" w:hAnsi="Times New Roman" w:cs="Times New Roman"/>
          <w:i/>
          <w:sz w:val="24"/>
          <w:szCs w:val="24"/>
          <w:lang w:val="en-GB"/>
        </w:rPr>
        <w:t>Production</w:t>
      </w:r>
      <w:r w:rsidR="00947569" w:rsidRPr="00DF5227">
        <w:rPr>
          <w:rFonts w:ascii="Times New Roman" w:hAnsi="Times New Roman" w:cs="Times New Roman"/>
          <w:i/>
          <w:sz w:val="24"/>
          <w:szCs w:val="24"/>
          <w:lang w:val="en-GB"/>
        </w:rPr>
        <w:t xml:space="preserve"> of Europe 2020</w:t>
      </w:r>
    </w:p>
    <w:p w:rsidR="00FE12A6" w:rsidRPr="00DF5227" w:rsidRDefault="00823233"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Europe 2020 set</w:t>
      </w:r>
      <w:r w:rsidR="001068BB" w:rsidRPr="00DF5227">
        <w:rPr>
          <w:rFonts w:ascii="Times New Roman" w:hAnsi="Times New Roman" w:cs="Times New Roman"/>
          <w:sz w:val="24"/>
          <w:szCs w:val="24"/>
          <w:lang w:val="en-GB"/>
        </w:rPr>
        <w:t>s</w:t>
      </w:r>
      <w:r w:rsidRPr="00DF5227">
        <w:rPr>
          <w:rFonts w:ascii="Times New Roman" w:hAnsi="Times New Roman" w:cs="Times New Roman"/>
          <w:sz w:val="24"/>
          <w:szCs w:val="24"/>
          <w:lang w:val="en-GB"/>
        </w:rPr>
        <w:t xml:space="preserve"> out three strategic priorities for the EU namely; what is termed ‘smart growth’ emphasizing ‘knowledge and innovation’ as key for developing the economy, ‘sustainable growth’ involving ‘a more resource efficient, greener and more competitive economy’ and ‘inclusive growth’ aiming at ‘a high-employment economy delivering social and territorial cohesion’. The strategy further set out five ‘headline targets’ for the overall strategy, and each of the priorities is accompanied with two-three ‘flagship initiatives’ and specified targets, all to be realized by 2020 (targets are typically measured in absolute figures and/or in % compared to a default position).</w:t>
      </w:r>
    </w:p>
    <w:p w:rsidR="00B9393D" w:rsidRPr="00DF5227" w:rsidRDefault="00B9393D"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Europe 2020 was explicitly adopted </w:t>
      </w:r>
      <w:r w:rsidR="00525D5E" w:rsidRPr="00DF5227">
        <w:rPr>
          <w:rFonts w:ascii="Times New Roman" w:hAnsi="Times New Roman" w:cs="Times New Roman"/>
          <w:sz w:val="24"/>
          <w:szCs w:val="24"/>
          <w:lang w:val="en-GB"/>
        </w:rPr>
        <w:t>as a responds to the financial and economic crisis</w:t>
      </w:r>
      <w:r w:rsidR="006347F2" w:rsidRPr="00DF5227">
        <w:rPr>
          <w:rFonts w:ascii="Times New Roman" w:hAnsi="Times New Roman" w:cs="Times New Roman"/>
          <w:sz w:val="24"/>
          <w:szCs w:val="24"/>
          <w:lang w:val="en-GB"/>
        </w:rPr>
        <w:t xml:space="preserve">. At the same time it may be viewed as a contribution to the reconstruction of the myths of green, social and economic Europe. </w:t>
      </w:r>
      <w:r w:rsidR="006251FA" w:rsidRPr="00DF5227">
        <w:rPr>
          <w:rFonts w:ascii="Times New Roman" w:hAnsi="Times New Roman" w:cs="Times New Roman"/>
          <w:sz w:val="24"/>
          <w:szCs w:val="24"/>
          <w:lang w:val="en-GB"/>
        </w:rPr>
        <w:t xml:space="preserve">My </w:t>
      </w:r>
      <w:r w:rsidR="00170D87" w:rsidRPr="00DF5227">
        <w:rPr>
          <w:rFonts w:ascii="Times New Roman" w:hAnsi="Times New Roman" w:cs="Times New Roman"/>
          <w:sz w:val="24"/>
          <w:szCs w:val="24"/>
          <w:lang w:val="en-GB"/>
        </w:rPr>
        <w:t xml:space="preserve">concern here is not if the production of Europe 2020 </w:t>
      </w:r>
      <w:r w:rsidR="00F6110C" w:rsidRPr="00DF5227">
        <w:rPr>
          <w:rFonts w:ascii="Times New Roman" w:hAnsi="Times New Roman" w:cs="Times New Roman"/>
          <w:sz w:val="24"/>
          <w:szCs w:val="24"/>
          <w:lang w:val="en-GB"/>
        </w:rPr>
        <w:t xml:space="preserve">represents </w:t>
      </w:r>
      <w:r w:rsidR="002763A8" w:rsidRPr="00DF5227">
        <w:rPr>
          <w:rFonts w:ascii="Times New Roman" w:hAnsi="Times New Roman" w:cs="Times New Roman"/>
          <w:sz w:val="24"/>
          <w:szCs w:val="24"/>
          <w:lang w:val="en-GB"/>
        </w:rPr>
        <w:t xml:space="preserve">a </w:t>
      </w:r>
      <w:r w:rsidR="00F6110C" w:rsidRPr="00DF5227">
        <w:rPr>
          <w:rFonts w:ascii="Times New Roman" w:hAnsi="Times New Roman" w:cs="Times New Roman"/>
          <w:sz w:val="24"/>
          <w:szCs w:val="24"/>
          <w:lang w:val="en-GB"/>
        </w:rPr>
        <w:t xml:space="preserve">sterile continuation of more or less institutionalised European </w:t>
      </w:r>
      <w:r w:rsidR="00B048B8" w:rsidRPr="00DF5227">
        <w:rPr>
          <w:rFonts w:ascii="Times New Roman" w:hAnsi="Times New Roman" w:cs="Times New Roman"/>
          <w:sz w:val="24"/>
          <w:szCs w:val="24"/>
          <w:lang w:val="en-GB"/>
        </w:rPr>
        <w:t xml:space="preserve">symbols and </w:t>
      </w:r>
      <w:r w:rsidR="00F6110C" w:rsidRPr="00DF5227">
        <w:rPr>
          <w:rFonts w:ascii="Times New Roman" w:hAnsi="Times New Roman" w:cs="Times New Roman"/>
          <w:sz w:val="24"/>
          <w:szCs w:val="24"/>
          <w:lang w:val="en-GB"/>
        </w:rPr>
        <w:t>myths</w:t>
      </w:r>
      <w:r w:rsidR="00894238" w:rsidRPr="00DF5227">
        <w:rPr>
          <w:rFonts w:ascii="Times New Roman" w:hAnsi="Times New Roman" w:cs="Times New Roman"/>
          <w:sz w:val="24"/>
          <w:szCs w:val="24"/>
          <w:lang w:val="en-GB"/>
        </w:rPr>
        <w:t xml:space="preserve"> </w:t>
      </w:r>
      <w:r w:rsidR="00F6110C" w:rsidRPr="00DF5227">
        <w:rPr>
          <w:rFonts w:ascii="Times New Roman" w:hAnsi="Times New Roman" w:cs="Times New Roman"/>
          <w:sz w:val="24"/>
          <w:szCs w:val="24"/>
          <w:lang w:val="en-GB"/>
        </w:rPr>
        <w:t>or possibly a</w:t>
      </w:r>
      <w:r w:rsidR="00894238" w:rsidRPr="00DF5227">
        <w:rPr>
          <w:rFonts w:ascii="Times New Roman" w:hAnsi="Times New Roman" w:cs="Times New Roman"/>
          <w:sz w:val="24"/>
          <w:szCs w:val="24"/>
          <w:lang w:val="en-GB"/>
        </w:rPr>
        <w:t xml:space="preserve"> subtle discursive change involving a</w:t>
      </w:r>
      <w:r w:rsidR="00F6110C" w:rsidRPr="00DF5227">
        <w:rPr>
          <w:rFonts w:ascii="Times New Roman" w:hAnsi="Times New Roman" w:cs="Times New Roman"/>
          <w:sz w:val="24"/>
          <w:szCs w:val="24"/>
          <w:lang w:val="en-GB"/>
        </w:rPr>
        <w:t xml:space="preserve"> </w:t>
      </w:r>
      <w:r w:rsidR="00894238" w:rsidRPr="00DF5227">
        <w:rPr>
          <w:rFonts w:ascii="Times New Roman" w:hAnsi="Times New Roman" w:cs="Times New Roman"/>
          <w:sz w:val="24"/>
          <w:szCs w:val="24"/>
          <w:lang w:val="en-GB"/>
        </w:rPr>
        <w:t xml:space="preserve">‘rehabilitation, or even reinforcement, of neoliberalism’ </w:t>
      </w:r>
      <w:r w:rsidR="00F6110C" w:rsidRPr="00DF5227">
        <w:rPr>
          <w:rFonts w:ascii="Times New Roman" w:hAnsi="Times New Roman" w:cs="Times New Roman"/>
          <w:sz w:val="24"/>
          <w:szCs w:val="24"/>
          <w:lang w:val="en-GB"/>
        </w:rPr>
        <w:t xml:space="preserve">as suggested bv </w:t>
      </w:r>
      <w:r w:rsidR="00894238" w:rsidRPr="00DF5227">
        <w:rPr>
          <w:rFonts w:ascii="Times New Roman" w:hAnsi="Times New Roman" w:cs="Times New Roman"/>
          <w:sz w:val="24"/>
          <w:szCs w:val="24"/>
          <w:lang w:val="en-GB"/>
        </w:rPr>
        <w:t xml:space="preserve">De Ville and Orbie </w:t>
      </w:r>
      <w:r w:rsidR="00736EF9" w:rsidRPr="00DF5227">
        <w:rPr>
          <w:rFonts w:ascii="Times New Roman" w:hAnsi="Times New Roman" w:cs="Times New Roman"/>
          <w:sz w:val="24"/>
          <w:szCs w:val="24"/>
          <w:lang w:val="en-GB"/>
        </w:rPr>
        <w:t>(</w:t>
      </w:r>
      <w:r w:rsidR="00894238" w:rsidRPr="00DF5227">
        <w:rPr>
          <w:rFonts w:ascii="Times New Roman" w:hAnsi="Times New Roman" w:cs="Times New Roman"/>
          <w:sz w:val="24"/>
          <w:szCs w:val="24"/>
          <w:lang w:val="en-GB"/>
        </w:rPr>
        <w:t>2014:</w:t>
      </w:r>
      <w:r w:rsidR="002763A8" w:rsidRPr="00DF5227">
        <w:rPr>
          <w:rFonts w:ascii="Times New Roman" w:hAnsi="Times New Roman" w:cs="Times New Roman"/>
          <w:sz w:val="24"/>
          <w:szCs w:val="24"/>
          <w:lang w:val="en-GB"/>
        </w:rPr>
        <w:t xml:space="preserve"> </w:t>
      </w:r>
      <w:r w:rsidR="00894238" w:rsidRPr="00DF5227">
        <w:rPr>
          <w:rFonts w:ascii="Times New Roman" w:hAnsi="Times New Roman" w:cs="Times New Roman"/>
          <w:sz w:val="24"/>
          <w:szCs w:val="24"/>
          <w:lang w:val="en-GB"/>
        </w:rPr>
        <w:t>150</w:t>
      </w:r>
      <w:r w:rsidR="00F6110C" w:rsidRPr="00DF5227">
        <w:rPr>
          <w:rFonts w:ascii="Times New Roman" w:hAnsi="Times New Roman" w:cs="Times New Roman"/>
          <w:sz w:val="24"/>
          <w:szCs w:val="24"/>
          <w:lang w:val="en-GB"/>
        </w:rPr>
        <w:t xml:space="preserve">). </w:t>
      </w:r>
      <w:r w:rsidR="006251FA" w:rsidRPr="00DF5227">
        <w:rPr>
          <w:rFonts w:ascii="Times New Roman" w:hAnsi="Times New Roman" w:cs="Times New Roman"/>
          <w:sz w:val="24"/>
          <w:szCs w:val="24"/>
          <w:lang w:val="en-GB"/>
        </w:rPr>
        <w:t xml:space="preserve">My </w:t>
      </w:r>
      <w:r w:rsidR="003B5E95" w:rsidRPr="00DF5227">
        <w:rPr>
          <w:rFonts w:ascii="Times New Roman" w:hAnsi="Times New Roman" w:cs="Times New Roman"/>
          <w:sz w:val="24"/>
          <w:szCs w:val="24"/>
          <w:lang w:val="en-GB"/>
        </w:rPr>
        <w:t xml:space="preserve">concern is </w:t>
      </w:r>
      <w:r w:rsidR="00F6110C" w:rsidRPr="00DF5227">
        <w:rPr>
          <w:rFonts w:ascii="Times New Roman" w:hAnsi="Times New Roman" w:cs="Times New Roman"/>
          <w:sz w:val="24"/>
          <w:szCs w:val="24"/>
          <w:lang w:val="en-GB"/>
        </w:rPr>
        <w:t xml:space="preserve">rather to </w:t>
      </w:r>
      <w:r w:rsidR="003B5E95" w:rsidRPr="00DF5227">
        <w:rPr>
          <w:rFonts w:ascii="Times New Roman" w:hAnsi="Times New Roman" w:cs="Times New Roman"/>
          <w:sz w:val="24"/>
          <w:szCs w:val="24"/>
          <w:lang w:val="en-GB"/>
        </w:rPr>
        <w:t xml:space="preserve">what extent and how myths </w:t>
      </w:r>
      <w:r w:rsidR="006F510C" w:rsidRPr="00DF5227">
        <w:rPr>
          <w:rFonts w:ascii="Times New Roman" w:hAnsi="Times New Roman" w:cs="Times New Roman"/>
          <w:sz w:val="24"/>
          <w:szCs w:val="24"/>
          <w:lang w:val="en-GB"/>
        </w:rPr>
        <w:t xml:space="preserve">associated with Europe 2020 </w:t>
      </w:r>
      <w:r w:rsidR="003B5E95" w:rsidRPr="00DF5227">
        <w:rPr>
          <w:rFonts w:ascii="Times New Roman" w:hAnsi="Times New Roman" w:cs="Times New Roman"/>
          <w:sz w:val="24"/>
          <w:szCs w:val="24"/>
          <w:lang w:val="en-GB"/>
        </w:rPr>
        <w:t xml:space="preserve">are received </w:t>
      </w:r>
      <w:r w:rsidR="005440A9" w:rsidRPr="00DF5227">
        <w:rPr>
          <w:rFonts w:ascii="Times New Roman" w:hAnsi="Times New Roman" w:cs="Times New Roman"/>
          <w:sz w:val="24"/>
          <w:szCs w:val="24"/>
          <w:lang w:val="en-GB"/>
        </w:rPr>
        <w:t xml:space="preserve">and reproduced </w:t>
      </w:r>
      <w:r w:rsidR="003B5E95" w:rsidRPr="00DF5227">
        <w:rPr>
          <w:rFonts w:ascii="Times New Roman" w:hAnsi="Times New Roman" w:cs="Times New Roman"/>
          <w:sz w:val="24"/>
          <w:szCs w:val="24"/>
          <w:lang w:val="en-GB"/>
        </w:rPr>
        <w:t xml:space="preserve">among </w:t>
      </w:r>
      <w:r w:rsidR="00C62CAA" w:rsidRPr="00DF5227">
        <w:rPr>
          <w:rFonts w:ascii="Times New Roman" w:hAnsi="Times New Roman" w:cs="Times New Roman"/>
          <w:sz w:val="24"/>
          <w:szCs w:val="24"/>
          <w:lang w:val="en-GB"/>
        </w:rPr>
        <w:t>pan-EU NGOs</w:t>
      </w:r>
      <w:r w:rsidR="003B5E95" w:rsidRPr="00DF5227">
        <w:rPr>
          <w:rFonts w:ascii="Times New Roman" w:hAnsi="Times New Roman" w:cs="Times New Roman"/>
          <w:sz w:val="24"/>
          <w:szCs w:val="24"/>
          <w:lang w:val="en-GB"/>
        </w:rPr>
        <w:t xml:space="preserve">. </w:t>
      </w:r>
      <w:r w:rsidR="00202B0A" w:rsidRPr="00DF5227">
        <w:rPr>
          <w:rFonts w:ascii="Times New Roman" w:hAnsi="Times New Roman" w:cs="Times New Roman"/>
          <w:sz w:val="24"/>
          <w:szCs w:val="24"/>
          <w:lang w:val="en-GB"/>
        </w:rPr>
        <w:t xml:space="preserve">Are the myths of green, social and economic Europe </w:t>
      </w:r>
      <w:r w:rsidR="002763A8" w:rsidRPr="00DF5227">
        <w:rPr>
          <w:rFonts w:ascii="Times New Roman" w:hAnsi="Times New Roman" w:cs="Times New Roman"/>
          <w:sz w:val="24"/>
          <w:szCs w:val="24"/>
          <w:lang w:val="en-GB"/>
        </w:rPr>
        <w:t>received and reproduced</w:t>
      </w:r>
      <w:r w:rsidR="00202B0A" w:rsidRPr="00DF5227">
        <w:rPr>
          <w:rFonts w:ascii="Times New Roman" w:hAnsi="Times New Roman" w:cs="Times New Roman"/>
          <w:sz w:val="24"/>
          <w:szCs w:val="24"/>
          <w:lang w:val="en-GB"/>
        </w:rPr>
        <w:t xml:space="preserve"> in continuations of their representation in Europe 2020? Are </w:t>
      </w:r>
      <w:r w:rsidR="002763A8" w:rsidRPr="00DF5227">
        <w:rPr>
          <w:rFonts w:ascii="Times New Roman" w:hAnsi="Times New Roman" w:cs="Times New Roman"/>
          <w:sz w:val="24"/>
          <w:szCs w:val="24"/>
          <w:lang w:val="en-GB"/>
        </w:rPr>
        <w:t xml:space="preserve">green, social and economic European myths </w:t>
      </w:r>
      <w:r w:rsidR="00202B0A" w:rsidRPr="00DF5227">
        <w:rPr>
          <w:rFonts w:ascii="Times New Roman" w:hAnsi="Times New Roman" w:cs="Times New Roman"/>
          <w:sz w:val="24"/>
          <w:szCs w:val="24"/>
          <w:lang w:val="en-GB"/>
        </w:rPr>
        <w:t xml:space="preserve">equally </w:t>
      </w:r>
      <w:r w:rsidR="002763A8" w:rsidRPr="00DF5227">
        <w:rPr>
          <w:rFonts w:ascii="Times New Roman" w:hAnsi="Times New Roman" w:cs="Times New Roman"/>
          <w:sz w:val="24"/>
          <w:szCs w:val="24"/>
          <w:lang w:val="en-GB"/>
        </w:rPr>
        <w:t>received and reproduced</w:t>
      </w:r>
      <w:r w:rsidR="00882D2C" w:rsidRPr="00DF5227">
        <w:rPr>
          <w:rFonts w:ascii="Times New Roman" w:hAnsi="Times New Roman" w:cs="Times New Roman"/>
          <w:sz w:val="24"/>
          <w:szCs w:val="24"/>
          <w:lang w:val="en-GB"/>
        </w:rPr>
        <w:t xml:space="preserve"> by </w:t>
      </w:r>
      <w:r w:rsidR="00C62CAA" w:rsidRPr="00DF5227">
        <w:rPr>
          <w:rFonts w:ascii="Times New Roman" w:hAnsi="Times New Roman" w:cs="Times New Roman"/>
          <w:sz w:val="24"/>
          <w:szCs w:val="24"/>
          <w:lang w:val="en-GB"/>
        </w:rPr>
        <w:t>pan-EU NGOs</w:t>
      </w:r>
      <w:r w:rsidR="00202B0A" w:rsidRPr="00DF5227">
        <w:rPr>
          <w:rFonts w:ascii="Times New Roman" w:hAnsi="Times New Roman" w:cs="Times New Roman"/>
          <w:sz w:val="24"/>
          <w:szCs w:val="24"/>
          <w:lang w:val="en-GB"/>
        </w:rPr>
        <w:t>? These are the questions</w:t>
      </w:r>
      <w:r w:rsidR="002763A8" w:rsidRPr="00DF5227">
        <w:rPr>
          <w:rFonts w:ascii="Times New Roman" w:hAnsi="Times New Roman" w:cs="Times New Roman"/>
          <w:sz w:val="24"/>
          <w:szCs w:val="24"/>
          <w:lang w:val="en-GB"/>
        </w:rPr>
        <w:t xml:space="preserve"> </w:t>
      </w:r>
      <w:r w:rsidR="00504B33" w:rsidRPr="00DF5227">
        <w:rPr>
          <w:rFonts w:ascii="Times New Roman" w:hAnsi="Times New Roman" w:cs="Times New Roman"/>
          <w:sz w:val="24"/>
          <w:szCs w:val="24"/>
          <w:lang w:val="en-GB"/>
        </w:rPr>
        <w:t>I</w:t>
      </w:r>
      <w:r w:rsidR="002763A8" w:rsidRPr="00DF5227">
        <w:rPr>
          <w:rFonts w:ascii="Times New Roman" w:hAnsi="Times New Roman" w:cs="Times New Roman"/>
          <w:sz w:val="24"/>
          <w:szCs w:val="24"/>
          <w:lang w:val="en-GB"/>
        </w:rPr>
        <w:t xml:space="preserve"> turn to now. </w:t>
      </w:r>
      <w:r w:rsidR="006347F2" w:rsidRPr="00DF5227">
        <w:rPr>
          <w:rFonts w:ascii="Times New Roman" w:hAnsi="Times New Roman" w:cs="Times New Roman"/>
          <w:sz w:val="24"/>
          <w:szCs w:val="24"/>
          <w:lang w:val="en-GB"/>
        </w:rPr>
        <w:t xml:space="preserve"> </w:t>
      </w:r>
      <w:r w:rsidR="00525D5E"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 </w:t>
      </w:r>
    </w:p>
    <w:p w:rsidR="00B9393D" w:rsidRPr="00DF5227" w:rsidRDefault="00B9393D"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 </w:t>
      </w:r>
    </w:p>
    <w:p w:rsidR="0021128E" w:rsidRPr="00DF5227" w:rsidRDefault="00FE12A6" w:rsidP="00BC5346">
      <w:pPr>
        <w:spacing w:line="360" w:lineRule="auto"/>
        <w:jc w:val="both"/>
        <w:rPr>
          <w:rFonts w:ascii="Times New Roman" w:hAnsi="Times New Roman" w:cs="Times New Roman"/>
          <w:i/>
          <w:sz w:val="24"/>
          <w:szCs w:val="24"/>
          <w:lang w:val="en-GB"/>
        </w:rPr>
      </w:pPr>
      <w:r w:rsidRPr="00DF5227">
        <w:rPr>
          <w:rFonts w:ascii="Times New Roman" w:hAnsi="Times New Roman" w:cs="Times New Roman"/>
          <w:i/>
          <w:sz w:val="24"/>
          <w:szCs w:val="24"/>
          <w:lang w:val="en-GB"/>
        </w:rPr>
        <w:t>Reception</w:t>
      </w:r>
      <w:r w:rsidR="0021128E" w:rsidRPr="00DF5227">
        <w:rPr>
          <w:rFonts w:ascii="Times New Roman" w:hAnsi="Times New Roman" w:cs="Times New Roman"/>
          <w:i/>
          <w:sz w:val="24"/>
          <w:szCs w:val="24"/>
          <w:lang w:val="en-GB"/>
        </w:rPr>
        <w:t xml:space="preserve"> of Europe 2020 among </w:t>
      </w:r>
      <w:r w:rsidR="00C62CAA" w:rsidRPr="00DF5227">
        <w:rPr>
          <w:rFonts w:ascii="Times New Roman" w:hAnsi="Times New Roman" w:cs="Times New Roman"/>
          <w:i/>
          <w:sz w:val="24"/>
          <w:szCs w:val="24"/>
          <w:lang w:val="en-GB"/>
        </w:rPr>
        <w:t>pan-EU NGOs</w:t>
      </w:r>
      <w:r w:rsidR="0021128E" w:rsidRPr="00DF5227">
        <w:rPr>
          <w:rFonts w:ascii="Times New Roman" w:hAnsi="Times New Roman" w:cs="Times New Roman"/>
          <w:i/>
          <w:sz w:val="24"/>
          <w:szCs w:val="24"/>
          <w:lang w:val="en-GB"/>
        </w:rPr>
        <w:t xml:space="preserve"> </w:t>
      </w:r>
    </w:p>
    <w:p w:rsidR="0021128E" w:rsidRPr="00DF5227" w:rsidRDefault="00E37E84"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Figure 1 is a</w:t>
      </w:r>
      <w:r w:rsidR="00914EB9" w:rsidRPr="00DF5227">
        <w:rPr>
          <w:rFonts w:ascii="Times New Roman" w:hAnsi="Times New Roman" w:cs="Times New Roman"/>
          <w:sz w:val="24"/>
          <w:szCs w:val="24"/>
          <w:lang w:val="en-GB"/>
        </w:rPr>
        <w:t xml:space="preserve"> simple word count</w:t>
      </w:r>
      <w:r w:rsidR="0021128E"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of</w:t>
      </w:r>
      <w:r w:rsidR="00914EB9" w:rsidRPr="00DF5227">
        <w:rPr>
          <w:rFonts w:ascii="Times New Roman" w:hAnsi="Times New Roman" w:cs="Times New Roman"/>
          <w:sz w:val="24"/>
          <w:szCs w:val="24"/>
          <w:lang w:val="en-GB"/>
        </w:rPr>
        <w:t xml:space="preserve"> references made to ‘Europe 2020’</w:t>
      </w:r>
      <w:r w:rsidRPr="00DF5227">
        <w:rPr>
          <w:rFonts w:ascii="Times New Roman" w:hAnsi="Times New Roman" w:cs="Times New Roman"/>
          <w:sz w:val="24"/>
          <w:szCs w:val="24"/>
          <w:lang w:val="en-GB"/>
        </w:rPr>
        <w:t xml:space="preserve"> by the EEB, the Social Platform, ETUC and Businesseurope. </w:t>
      </w:r>
      <w:r w:rsidR="008C533E" w:rsidRPr="00DF5227">
        <w:rPr>
          <w:rFonts w:ascii="Times New Roman" w:hAnsi="Times New Roman" w:cs="Times New Roman"/>
          <w:lang w:val="en-GB"/>
        </w:rPr>
        <w:t xml:space="preserve">Searches were conducted on the terms ’Europe’ and ’2020’ within a five words distance. </w:t>
      </w:r>
      <w:r w:rsidR="00525D5E" w:rsidRPr="00DF5227">
        <w:rPr>
          <w:rFonts w:ascii="Times New Roman" w:hAnsi="Times New Roman" w:cs="Times New Roman"/>
          <w:sz w:val="24"/>
          <w:szCs w:val="24"/>
          <w:lang w:val="en-GB"/>
        </w:rPr>
        <w:t>This is used as a</w:t>
      </w:r>
      <w:r w:rsidR="00620009" w:rsidRPr="00DF5227">
        <w:rPr>
          <w:rFonts w:ascii="Times New Roman" w:hAnsi="Times New Roman" w:cs="Times New Roman"/>
          <w:sz w:val="24"/>
          <w:szCs w:val="24"/>
          <w:lang w:val="en-GB"/>
        </w:rPr>
        <w:t>n</w:t>
      </w:r>
      <w:r w:rsidR="00525D5E" w:rsidRPr="00DF5227">
        <w:rPr>
          <w:rFonts w:ascii="Times New Roman" w:hAnsi="Times New Roman" w:cs="Times New Roman"/>
          <w:sz w:val="24"/>
          <w:szCs w:val="24"/>
          <w:lang w:val="en-GB"/>
        </w:rPr>
        <w:t xml:space="preserve"> indicator of if</w:t>
      </w:r>
      <w:r w:rsidR="006347F2" w:rsidRPr="00DF5227">
        <w:rPr>
          <w:rFonts w:ascii="Times New Roman" w:hAnsi="Times New Roman" w:cs="Times New Roman"/>
          <w:sz w:val="24"/>
          <w:szCs w:val="24"/>
          <w:lang w:val="en-GB"/>
        </w:rPr>
        <w:t>,</w:t>
      </w:r>
      <w:r w:rsidR="00525D5E" w:rsidRPr="00DF5227">
        <w:rPr>
          <w:rFonts w:ascii="Times New Roman" w:hAnsi="Times New Roman" w:cs="Times New Roman"/>
          <w:sz w:val="24"/>
          <w:szCs w:val="24"/>
          <w:lang w:val="en-GB"/>
        </w:rPr>
        <w:t xml:space="preserve"> and to what extent, Europe 2020 is adopted as a concern </w:t>
      </w:r>
      <w:r w:rsidR="006347F2" w:rsidRPr="00DF5227">
        <w:rPr>
          <w:rFonts w:ascii="Times New Roman" w:hAnsi="Times New Roman" w:cs="Times New Roman"/>
          <w:sz w:val="24"/>
          <w:szCs w:val="24"/>
          <w:lang w:val="en-GB"/>
        </w:rPr>
        <w:t xml:space="preserve">among </w:t>
      </w:r>
      <w:r w:rsidR="00C62CAA" w:rsidRPr="00DF5227">
        <w:rPr>
          <w:rFonts w:ascii="Times New Roman" w:hAnsi="Times New Roman" w:cs="Times New Roman"/>
          <w:sz w:val="24"/>
          <w:szCs w:val="24"/>
          <w:lang w:val="en-GB"/>
        </w:rPr>
        <w:t>pan-EU NGOs</w:t>
      </w:r>
      <w:r w:rsidR="006347F2" w:rsidRPr="00DF5227">
        <w:rPr>
          <w:rFonts w:ascii="Times New Roman" w:hAnsi="Times New Roman" w:cs="Times New Roman"/>
          <w:sz w:val="24"/>
          <w:szCs w:val="24"/>
          <w:lang w:val="en-GB"/>
        </w:rPr>
        <w:t>.</w:t>
      </w:r>
      <w:r w:rsidR="00620009" w:rsidRPr="00DF5227">
        <w:rPr>
          <w:rFonts w:ascii="Times New Roman" w:hAnsi="Times New Roman" w:cs="Times New Roman"/>
          <w:sz w:val="24"/>
          <w:szCs w:val="24"/>
          <w:lang w:val="en-GB"/>
        </w:rPr>
        <w:t xml:space="preserve"> </w:t>
      </w:r>
    </w:p>
    <w:p w:rsidR="00736EF9" w:rsidRPr="00DF5227" w:rsidRDefault="00736EF9" w:rsidP="00BC5346">
      <w:pPr>
        <w:spacing w:line="360" w:lineRule="auto"/>
        <w:jc w:val="both"/>
        <w:rPr>
          <w:rFonts w:ascii="Times New Roman" w:hAnsi="Times New Roman" w:cs="Times New Roman"/>
          <w:sz w:val="24"/>
          <w:szCs w:val="24"/>
          <w:lang w:val="en-GB"/>
        </w:rPr>
      </w:pPr>
    </w:p>
    <w:p w:rsidR="00BC7E0F" w:rsidRPr="00DF5227" w:rsidRDefault="0021128E"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b/>
          <w:sz w:val="24"/>
          <w:szCs w:val="24"/>
          <w:lang w:val="en-GB"/>
        </w:rPr>
        <w:t xml:space="preserve">Figure 1: </w:t>
      </w:r>
      <w:r w:rsidR="00C62CAA" w:rsidRPr="00DF5227">
        <w:rPr>
          <w:rFonts w:ascii="Times New Roman" w:hAnsi="Times New Roman" w:cs="Times New Roman"/>
          <w:b/>
          <w:sz w:val="24"/>
          <w:szCs w:val="24"/>
          <w:lang w:val="en-GB"/>
        </w:rPr>
        <w:t>pan-EU NGOs</w:t>
      </w:r>
      <w:r w:rsidR="00461360" w:rsidRPr="00DF5227">
        <w:rPr>
          <w:rFonts w:ascii="Times New Roman" w:hAnsi="Times New Roman" w:cs="Times New Roman"/>
          <w:b/>
          <w:sz w:val="24"/>
          <w:szCs w:val="24"/>
          <w:lang w:val="en-GB"/>
        </w:rPr>
        <w:t xml:space="preserve"> </w:t>
      </w:r>
      <w:r w:rsidRPr="00DF5227">
        <w:rPr>
          <w:rFonts w:ascii="Times New Roman" w:hAnsi="Times New Roman" w:cs="Times New Roman"/>
          <w:b/>
          <w:sz w:val="24"/>
          <w:szCs w:val="24"/>
          <w:lang w:val="en-GB"/>
        </w:rPr>
        <w:t>references to ‘Europe 2020’ 2005-201</w:t>
      </w:r>
      <w:r w:rsidR="006E4FAB" w:rsidRPr="00DF5227">
        <w:rPr>
          <w:rFonts w:ascii="Times New Roman" w:hAnsi="Times New Roman" w:cs="Times New Roman"/>
          <w:b/>
          <w:sz w:val="24"/>
          <w:szCs w:val="24"/>
          <w:lang w:val="en-GB"/>
        </w:rPr>
        <w:t>2/1</w:t>
      </w:r>
      <w:r w:rsidRPr="00DF5227">
        <w:rPr>
          <w:rFonts w:ascii="Times New Roman" w:hAnsi="Times New Roman" w:cs="Times New Roman"/>
          <w:b/>
          <w:sz w:val="24"/>
          <w:szCs w:val="24"/>
          <w:lang w:val="en-GB"/>
        </w:rPr>
        <w:t>4</w:t>
      </w:r>
    </w:p>
    <w:p w:rsidR="006E4FAB" w:rsidRPr="00DF5227" w:rsidRDefault="0046136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noProof/>
          <w:color w:val="92D050"/>
          <w:sz w:val="24"/>
          <w:szCs w:val="24"/>
          <w:lang w:val="en-GB" w:eastAsia="da-DK"/>
        </w:rPr>
        <w:drawing>
          <wp:inline distT="0" distB="0" distL="0" distR="0" wp14:anchorId="50FEE7ED" wp14:editId="5E146196">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41AB" w:rsidRPr="00DF5227" w:rsidRDefault="00914EB9" w:rsidP="00BC5346">
      <w:pPr>
        <w:spacing w:line="360" w:lineRule="auto"/>
        <w:jc w:val="both"/>
        <w:rPr>
          <w:rFonts w:ascii="Times New Roman" w:hAnsi="Times New Roman" w:cs="Times New Roman"/>
          <w:sz w:val="20"/>
          <w:szCs w:val="20"/>
          <w:lang w:val="en-GB"/>
        </w:rPr>
      </w:pPr>
      <w:r w:rsidRPr="00DF5227">
        <w:rPr>
          <w:rFonts w:ascii="Times New Roman" w:hAnsi="Times New Roman" w:cs="Times New Roman"/>
          <w:sz w:val="20"/>
          <w:szCs w:val="20"/>
          <w:lang w:val="en-GB"/>
        </w:rPr>
        <w:t>Source</w:t>
      </w:r>
      <w:r w:rsidR="006E4FAB" w:rsidRPr="00DF5227">
        <w:rPr>
          <w:rFonts w:ascii="Times New Roman" w:hAnsi="Times New Roman" w:cs="Times New Roman"/>
          <w:sz w:val="20"/>
          <w:szCs w:val="20"/>
          <w:lang w:val="en-GB"/>
        </w:rPr>
        <w:t>s</w:t>
      </w:r>
      <w:r w:rsidRPr="00DF5227">
        <w:rPr>
          <w:rFonts w:ascii="Times New Roman" w:hAnsi="Times New Roman" w:cs="Times New Roman"/>
          <w:sz w:val="20"/>
          <w:szCs w:val="20"/>
          <w:lang w:val="en-GB"/>
        </w:rPr>
        <w:t>: EEB Biannual memorandums 2005-2014</w:t>
      </w:r>
      <w:r w:rsidR="006E4FAB" w:rsidRPr="00DF5227">
        <w:rPr>
          <w:rFonts w:ascii="Times New Roman" w:hAnsi="Times New Roman" w:cs="Times New Roman"/>
          <w:sz w:val="20"/>
          <w:szCs w:val="20"/>
          <w:lang w:val="en-GB"/>
        </w:rPr>
        <w:t xml:space="preserve">; </w:t>
      </w:r>
      <w:r w:rsidR="0036659A" w:rsidRPr="00DF5227">
        <w:rPr>
          <w:rFonts w:ascii="Times New Roman" w:hAnsi="Times New Roman" w:cs="Times New Roman"/>
          <w:sz w:val="20"/>
          <w:szCs w:val="20"/>
          <w:lang w:val="en-GB"/>
        </w:rPr>
        <w:t xml:space="preserve">Social Platform </w:t>
      </w:r>
      <w:r w:rsidR="006E4FAB" w:rsidRPr="00DF5227">
        <w:rPr>
          <w:rFonts w:ascii="Times New Roman" w:hAnsi="Times New Roman" w:cs="Times New Roman"/>
          <w:sz w:val="20"/>
          <w:szCs w:val="20"/>
          <w:lang w:val="en-GB"/>
        </w:rPr>
        <w:t>a</w:t>
      </w:r>
      <w:r w:rsidR="0036659A" w:rsidRPr="00DF5227">
        <w:rPr>
          <w:rFonts w:ascii="Times New Roman" w:hAnsi="Times New Roman" w:cs="Times New Roman"/>
          <w:sz w:val="20"/>
          <w:szCs w:val="20"/>
          <w:lang w:val="en-GB"/>
        </w:rPr>
        <w:t xml:space="preserve">nnual reports 2005-2012 &amp; Social Platform </w:t>
      </w:r>
      <w:r w:rsidR="006E4FAB" w:rsidRPr="00DF5227">
        <w:rPr>
          <w:rFonts w:ascii="Times New Roman" w:hAnsi="Times New Roman" w:cs="Times New Roman"/>
          <w:sz w:val="20"/>
          <w:szCs w:val="20"/>
          <w:lang w:val="en-GB"/>
        </w:rPr>
        <w:t>w</w:t>
      </w:r>
      <w:r w:rsidR="0036659A" w:rsidRPr="00DF5227">
        <w:rPr>
          <w:rFonts w:ascii="Times New Roman" w:hAnsi="Times New Roman" w:cs="Times New Roman"/>
          <w:sz w:val="20"/>
          <w:szCs w:val="20"/>
          <w:lang w:val="en-GB"/>
        </w:rPr>
        <w:t>ork programs 2005-2012</w:t>
      </w:r>
      <w:r w:rsidR="006E4FAB" w:rsidRPr="00DF5227">
        <w:rPr>
          <w:rFonts w:ascii="Times New Roman" w:hAnsi="Times New Roman" w:cs="Times New Roman"/>
          <w:sz w:val="20"/>
          <w:szCs w:val="20"/>
          <w:lang w:val="en-GB"/>
        </w:rPr>
        <w:t xml:space="preserve">; </w:t>
      </w:r>
      <w:r w:rsidR="00C341AB" w:rsidRPr="00DF5227">
        <w:rPr>
          <w:rFonts w:ascii="Times New Roman" w:hAnsi="Times New Roman" w:cs="Times New Roman"/>
          <w:sz w:val="20"/>
          <w:szCs w:val="20"/>
          <w:lang w:val="en-GB"/>
        </w:rPr>
        <w:t xml:space="preserve">ETUC </w:t>
      </w:r>
      <w:r w:rsidR="006E4FAB" w:rsidRPr="00DF5227">
        <w:rPr>
          <w:rFonts w:ascii="Times New Roman" w:hAnsi="Times New Roman" w:cs="Times New Roman"/>
          <w:sz w:val="20"/>
          <w:szCs w:val="20"/>
          <w:lang w:val="en-GB"/>
        </w:rPr>
        <w:t>a</w:t>
      </w:r>
      <w:r w:rsidR="00C341AB" w:rsidRPr="00DF5227">
        <w:rPr>
          <w:rFonts w:ascii="Times New Roman" w:hAnsi="Times New Roman" w:cs="Times New Roman"/>
          <w:sz w:val="20"/>
          <w:szCs w:val="20"/>
          <w:lang w:val="en-GB"/>
        </w:rPr>
        <w:t>nnual resolutions 200</w:t>
      </w:r>
      <w:r w:rsidR="006E4FAB" w:rsidRPr="00DF5227">
        <w:rPr>
          <w:rFonts w:ascii="Times New Roman" w:hAnsi="Times New Roman" w:cs="Times New Roman"/>
          <w:sz w:val="20"/>
          <w:szCs w:val="20"/>
          <w:lang w:val="en-GB"/>
        </w:rPr>
        <w:t>5</w:t>
      </w:r>
      <w:r w:rsidR="00C341AB" w:rsidRPr="00DF5227">
        <w:rPr>
          <w:rFonts w:ascii="Times New Roman" w:hAnsi="Times New Roman" w:cs="Times New Roman"/>
          <w:sz w:val="20"/>
          <w:szCs w:val="20"/>
          <w:lang w:val="en-GB"/>
        </w:rPr>
        <w:t>–2012</w:t>
      </w:r>
      <w:r w:rsidR="006E4FAB" w:rsidRPr="00DF5227">
        <w:rPr>
          <w:rFonts w:ascii="Times New Roman" w:hAnsi="Times New Roman" w:cs="Times New Roman"/>
          <w:sz w:val="20"/>
          <w:szCs w:val="20"/>
          <w:lang w:val="en-GB"/>
        </w:rPr>
        <w:t>; Businesseurope b</w:t>
      </w:r>
      <w:r w:rsidR="006E4FAB" w:rsidRPr="00DF5227">
        <w:rPr>
          <w:rFonts w:ascii="Times New Roman" w:hAnsi="Times New Roman" w:cs="Times New Roman"/>
          <w:iCs/>
          <w:sz w:val="20"/>
          <w:szCs w:val="20"/>
          <w:lang w:val="en-GB"/>
        </w:rPr>
        <w:t>iannual economic outlooks 2005-2014.</w:t>
      </w:r>
      <w:r w:rsidR="006C3B1B" w:rsidRPr="00DF5227">
        <w:rPr>
          <w:rFonts w:ascii="Times New Roman" w:hAnsi="Times New Roman" w:cs="Times New Roman"/>
          <w:iCs/>
          <w:sz w:val="20"/>
          <w:szCs w:val="20"/>
          <w:lang w:val="en-GB"/>
        </w:rPr>
        <w:t xml:space="preserve"> </w:t>
      </w:r>
    </w:p>
    <w:p w:rsidR="002979CF" w:rsidRPr="00DF5227" w:rsidRDefault="002979CF" w:rsidP="00BC5346">
      <w:pPr>
        <w:spacing w:line="360" w:lineRule="auto"/>
        <w:jc w:val="both"/>
        <w:rPr>
          <w:rFonts w:ascii="Times New Roman" w:hAnsi="Times New Roman" w:cs="Times New Roman"/>
          <w:sz w:val="24"/>
          <w:szCs w:val="24"/>
          <w:lang w:val="en-GB"/>
        </w:rPr>
      </w:pPr>
    </w:p>
    <w:p w:rsidR="003B5E95" w:rsidRPr="00DF5227" w:rsidRDefault="00620009"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Businesseurope stands out by </w:t>
      </w:r>
      <w:r w:rsidR="00736EF9" w:rsidRPr="00DF5227">
        <w:rPr>
          <w:rFonts w:ascii="Times New Roman" w:hAnsi="Times New Roman" w:cs="Times New Roman"/>
          <w:sz w:val="24"/>
          <w:szCs w:val="24"/>
          <w:lang w:val="en-GB"/>
        </w:rPr>
        <w:t>a</w:t>
      </w:r>
      <w:r w:rsidRPr="00DF5227">
        <w:rPr>
          <w:rFonts w:ascii="Times New Roman" w:hAnsi="Times New Roman" w:cs="Times New Roman"/>
          <w:sz w:val="24"/>
          <w:szCs w:val="24"/>
          <w:lang w:val="en-GB"/>
        </w:rPr>
        <w:t xml:space="preserve"> close to absence of references to Europe 2020. This may mean that Businesseurope is much less concern</w:t>
      </w:r>
      <w:r w:rsidR="00736EF9" w:rsidRPr="00DF5227">
        <w:rPr>
          <w:rFonts w:ascii="Times New Roman" w:hAnsi="Times New Roman" w:cs="Times New Roman"/>
          <w:sz w:val="24"/>
          <w:szCs w:val="24"/>
          <w:lang w:val="en-GB"/>
        </w:rPr>
        <w:t xml:space="preserve">ed </w:t>
      </w:r>
      <w:r w:rsidRPr="00DF5227">
        <w:rPr>
          <w:rFonts w:ascii="Times New Roman" w:hAnsi="Times New Roman" w:cs="Times New Roman"/>
          <w:sz w:val="24"/>
          <w:szCs w:val="24"/>
          <w:lang w:val="en-GB"/>
        </w:rPr>
        <w:t xml:space="preserve">with the </w:t>
      </w:r>
      <w:r w:rsidR="001068BB" w:rsidRPr="00DF5227">
        <w:rPr>
          <w:rFonts w:ascii="Times New Roman" w:hAnsi="Times New Roman" w:cs="Times New Roman"/>
          <w:sz w:val="24"/>
          <w:szCs w:val="24"/>
          <w:lang w:val="en-GB"/>
        </w:rPr>
        <w:t xml:space="preserve">Europe 2020 </w:t>
      </w:r>
      <w:r w:rsidR="00736EF9" w:rsidRPr="00DF5227">
        <w:rPr>
          <w:rFonts w:ascii="Times New Roman" w:hAnsi="Times New Roman" w:cs="Times New Roman"/>
          <w:sz w:val="24"/>
          <w:szCs w:val="24"/>
          <w:lang w:val="en-GB"/>
        </w:rPr>
        <w:t>than the EEB, the Social Platform, and ETUC. H</w:t>
      </w:r>
      <w:r w:rsidRPr="00DF5227">
        <w:rPr>
          <w:rFonts w:ascii="Times New Roman" w:hAnsi="Times New Roman" w:cs="Times New Roman"/>
          <w:sz w:val="24"/>
          <w:szCs w:val="24"/>
          <w:lang w:val="en-GB"/>
        </w:rPr>
        <w:t xml:space="preserve">owever, </w:t>
      </w:r>
      <w:r w:rsidR="00E11212" w:rsidRPr="00DF5227">
        <w:rPr>
          <w:rFonts w:ascii="Times New Roman" w:hAnsi="Times New Roman" w:cs="Times New Roman"/>
          <w:sz w:val="24"/>
          <w:szCs w:val="24"/>
          <w:lang w:val="en-GB"/>
        </w:rPr>
        <w:t xml:space="preserve">as </w:t>
      </w:r>
      <w:r w:rsidRPr="00DF5227">
        <w:rPr>
          <w:rFonts w:ascii="Times New Roman" w:hAnsi="Times New Roman" w:cs="Times New Roman"/>
          <w:sz w:val="24"/>
          <w:szCs w:val="24"/>
          <w:lang w:val="en-GB"/>
        </w:rPr>
        <w:t>we shall see</w:t>
      </w:r>
      <w:r w:rsidR="00736EF9" w:rsidRPr="00DF5227">
        <w:rPr>
          <w:rFonts w:ascii="Times New Roman" w:hAnsi="Times New Roman" w:cs="Times New Roman"/>
          <w:sz w:val="24"/>
          <w:szCs w:val="24"/>
          <w:lang w:val="en-GB"/>
        </w:rPr>
        <w:t>,</w:t>
      </w:r>
      <w:r w:rsidRPr="00DF5227">
        <w:rPr>
          <w:rFonts w:ascii="Times New Roman" w:hAnsi="Times New Roman" w:cs="Times New Roman"/>
          <w:sz w:val="24"/>
          <w:szCs w:val="24"/>
          <w:lang w:val="en-GB"/>
        </w:rPr>
        <w:t xml:space="preserve"> Businesseurope </w:t>
      </w:r>
      <w:r w:rsidR="00736EF9" w:rsidRPr="00DF5227">
        <w:rPr>
          <w:rFonts w:ascii="Times New Roman" w:hAnsi="Times New Roman" w:cs="Times New Roman"/>
          <w:sz w:val="24"/>
          <w:szCs w:val="24"/>
          <w:lang w:val="en-GB"/>
        </w:rPr>
        <w:t>is indeed</w:t>
      </w:r>
      <w:r w:rsidRPr="00DF5227">
        <w:rPr>
          <w:rFonts w:ascii="Times New Roman" w:hAnsi="Times New Roman" w:cs="Times New Roman"/>
          <w:sz w:val="24"/>
          <w:szCs w:val="24"/>
          <w:lang w:val="en-GB"/>
        </w:rPr>
        <w:t xml:space="preserve"> receptive to some of the key issues in </w:t>
      </w:r>
      <w:r w:rsidR="001068BB" w:rsidRPr="00DF5227">
        <w:rPr>
          <w:rFonts w:ascii="Times New Roman" w:hAnsi="Times New Roman" w:cs="Times New Roman"/>
          <w:sz w:val="24"/>
          <w:szCs w:val="24"/>
          <w:lang w:val="en-GB"/>
        </w:rPr>
        <w:t>Europe 2020</w:t>
      </w:r>
      <w:r w:rsidRPr="00DF5227">
        <w:rPr>
          <w:rFonts w:ascii="Times New Roman" w:hAnsi="Times New Roman" w:cs="Times New Roman"/>
          <w:sz w:val="24"/>
          <w:szCs w:val="24"/>
          <w:lang w:val="en-GB"/>
        </w:rPr>
        <w:t xml:space="preserve">. </w:t>
      </w:r>
      <w:r w:rsidR="003B5E95" w:rsidRPr="00DF5227">
        <w:rPr>
          <w:rFonts w:ascii="Times New Roman" w:hAnsi="Times New Roman" w:cs="Times New Roman"/>
          <w:sz w:val="24"/>
          <w:szCs w:val="24"/>
          <w:lang w:val="en-GB"/>
        </w:rPr>
        <w:t>Starting at a low level the EEB, the Social Platform, and ETUC all show a steep increase in references made to Europe 2020 during 2010, the year of the adoption of the strategy. In the year following the adoption of Europe 2020 we see a continu</w:t>
      </w:r>
      <w:r w:rsidR="00736EF9" w:rsidRPr="00DF5227">
        <w:rPr>
          <w:rFonts w:ascii="Times New Roman" w:hAnsi="Times New Roman" w:cs="Times New Roman"/>
          <w:sz w:val="24"/>
          <w:szCs w:val="24"/>
          <w:lang w:val="en-GB"/>
        </w:rPr>
        <w:t>ed</w:t>
      </w:r>
      <w:r w:rsidR="003B5E95" w:rsidRPr="00DF5227">
        <w:rPr>
          <w:rFonts w:ascii="Times New Roman" w:hAnsi="Times New Roman" w:cs="Times New Roman"/>
          <w:sz w:val="24"/>
          <w:szCs w:val="24"/>
          <w:lang w:val="en-GB"/>
        </w:rPr>
        <w:t xml:space="preserve"> increase </w:t>
      </w:r>
      <w:r w:rsidR="00736EF9" w:rsidRPr="00DF5227">
        <w:rPr>
          <w:rFonts w:ascii="Times New Roman" w:hAnsi="Times New Roman" w:cs="Times New Roman"/>
          <w:sz w:val="24"/>
          <w:szCs w:val="24"/>
          <w:lang w:val="en-GB"/>
        </w:rPr>
        <w:t xml:space="preserve">in </w:t>
      </w:r>
      <w:r w:rsidR="00D6184C" w:rsidRPr="00DF5227">
        <w:rPr>
          <w:rFonts w:ascii="Times New Roman" w:hAnsi="Times New Roman" w:cs="Times New Roman"/>
          <w:sz w:val="24"/>
          <w:szCs w:val="24"/>
          <w:lang w:val="en-GB"/>
        </w:rPr>
        <w:t xml:space="preserve">Europe 2020 </w:t>
      </w:r>
      <w:r w:rsidR="003B5E95" w:rsidRPr="00DF5227">
        <w:rPr>
          <w:rFonts w:ascii="Times New Roman" w:hAnsi="Times New Roman" w:cs="Times New Roman"/>
          <w:sz w:val="24"/>
          <w:szCs w:val="24"/>
          <w:lang w:val="en-GB"/>
        </w:rPr>
        <w:t xml:space="preserve">references made the EEB, a small increase by ETUC and a decrease by the Social Platform. The </w:t>
      </w:r>
      <w:r w:rsidR="003B5E95" w:rsidRPr="00DF5227">
        <w:rPr>
          <w:rFonts w:ascii="Times New Roman" w:hAnsi="Times New Roman" w:cs="Times New Roman"/>
          <w:sz w:val="24"/>
          <w:szCs w:val="24"/>
          <w:lang w:val="en-GB"/>
        </w:rPr>
        <w:lastRenderedPageBreak/>
        <w:t xml:space="preserve">EEB, the Social Platform and the ETUC all show a decrease in 2012, leaving the number of references at </w:t>
      </w:r>
      <w:r w:rsidR="00D6184C" w:rsidRPr="00DF5227">
        <w:rPr>
          <w:rFonts w:ascii="Times New Roman" w:hAnsi="Times New Roman" w:cs="Times New Roman"/>
          <w:sz w:val="24"/>
          <w:szCs w:val="24"/>
          <w:lang w:val="en-GB"/>
        </w:rPr>
        <w:t xml:space="preserve">an even </w:t>
      </w:r>
      <w:r w:rsidR="003B5E95" w:rsidRPr="00DF5227">
        <w:rPr>
          <w:rFonts w:ascii="Times New Roman" w:hAnsi="Times New Roman" w:cs="Times New Roman"/>
          <w:sz w:val="24"/>
          <w:szCs w:val="24"/>
          <w:lang w:val="en-GB"/>
        </w:rPr>
        <w:t xml:space="preserve">or lower level than by the end of 2010. Data available only for the EEB show a renewed </w:t>
      </w:r>
      <w:r w:rsidR="00D6184C" w:rsidRPr="00DF5227">
        <w:rPr>
          <w:rFonts w:ascii="Times New Roman" w:hAnsi="Times New Roman" w:cs="Times New Roman"/>
          <w:sz w:val="24"/>
          <w:szCs w:val="24"/>
          <w:lang w:val="en-GB"/>
        </w:rPr>
        <w:t xml:space="preserve">and </w:t>
      </w:r>
      <w:r w:rsidR="003B5E95" w:rsidRPr="00DF5227">
        <w:rPr>
          <w:rFonts w:ascii="Times New Roman" w:hAnsi="Times New Roman" w:cs="Times New Roman"/>
          <w:sz w:val="24"/>
          <w:szCs w:val="24"/>
          <w:lang w:val="en-GB"/>
        </w:rPr>
        <w:t xml:space="preserve">steep increase </w:t>
      </w:r>
      <w:r w:rsidR="00D6184C" w:rsidRPr="00DF5227">
        <w:rPr>
          <w:rFonts w:ascii="Times New Roman" w:hAnsi="Times New Roman" w:cs="Times New Roman"/>
          <w:sz w:val="24"/>
          <w:szCs w:val="24"/>
          <w:lang w:val="en-GB"/>
        </w:rPr>
        <w:t xml:space="preserve">in Europe 2020 </w:t>
      </w:r>
      <w:r w:rsidR="003B5E95" w:rsidRPr="00DF5227">
        <w:rPr>
          <w:rFonts w:ascii="Times New Roman" w:hAnsi="Times New Roman" w:cs="Times New Roman"/>
          <w:sz w:val="24"/>
          <w:szCs w:val="24"/>
          <w:lang w:val="en-GB"/>
        </w:rPr>
        <w:t xml:space="preserve">references in 2013 and 2014. While these </w:t>
      </w:r>
      <w:r w:rsidR="00D6184C" w:rsidRPr="00DF5227">
        <w:rPr>
          <w:rFonts w:ascii="Times New Roman" w:hAnsi="Times New Roman" w:cs="Times New Roman"/>
          <w:sz w:val="24"/>
          <w:szCs w:val="24"/>
          <w:lang w:val="en-GB"/>
        </w:rPr>
        <w:t xml:space="preserve">observations </w:t>
      </w:r>
      <w:r w:rsidR="003B5E95" w:rsidRPr="00DF5227">
        <w:rPr>
          <w:rFonts w:ascii="Times New Roman" w:hAnsi="Times New Roman" w:cs="Times New Roman"/>
          <w:sz w:val="24"/>
          <w:szCs w:val="24"/>
          <w:lang w:val="en-GB"/>
        </w:rPr>
        <w:t xml:space="preserve">should be treated with some caution, a </w:t>
      </w:r>
      <w:r w:rsidR="00C84E9A" w:rsidRPr="00DF5227">
        <w:rPr>
          <w:rFonts w:ascii="Times New Roman" w:hAnsi="Times New Roman" w:cs="Times New Roman"/>
          <w:sz w:val="24"/>
          <w:szCs w:val="24"/>
          <w:lang w:val="en-GB"/>
        </w:rPr>
        <w:t xml:space="preserve">few </w:t>
      </w:r>
      <w:r w:rsidR="003B5E95" w:rsidRPr="00DF5227">
        <w:rPr>
          <w:rFonts w:ascii="Times New Roman" w:hAnsi="Times New Roman" w:cs="Times New Roman"/>
          <w:sz w:val="24"/>
          <w:szCs w:val="24"/>
          <w:lang w:val="en-GB"/>
        </w:rPr>
        <w:t xml:space="preserve">preliminary interpretations </w:t>
      </w:r>
      <w:r w:rsidR="00C25917" w:rsidRPr="00DF5227">
        <w:rPr>
          <w:rFonts w:ascii="Times New Roman" w:hAnsi="Times New Roman" w:cs="Times New Roman"/>
          <w:sz w:val="24"/>
          <w:szCs w:val="24"/>
          <w:lang w:val="en-GB"/>
        </w:rPr>
        <w:t>can</w:t>
      </w:r>
      <w:r w:rsidR="003B5E95" w:rsidRPr="00DF5227">
        <w:rPr>
          <w:rFonts w:ascii="Times New Roman" w:hAnsi="Times New Roman" w:cs="Times New Roman"/>
          <w:sz w:val="24"/>
          <w:szCs w:val="24"/>
          <w:lang w:val="en-GB"/>
        </w:rPr>
        <w:t xml:space="preserve"> be made. </w:t>
      </w:r>
    </w:p>
    <w:p w:rsidR="00507535" w:rsidRPr="00DF5227" w:rsidRDefault="00507535"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F</w:t>
      </w:r>
      <w:r w:rsidR="003B5E95" w:rsidRPr="00DF5227">
        <w:rPr>
          <w:rFonts w:ascii="Times New Roman" w:hAnsi="Times New Roman" w:cs="Times New Roman"/>
          <w:sz w:val="24"/>
          <w:szCs w:val="24"/>
          <w:lang w:val="en-GB"/>
        </w:rPr>
        <w:t xml:space="preserve">irst, and possibly not so surprising, </w:t>
      </w:r>
      <w:r w:rsidR="00C62CAA" w:rsidRPr="00DF5227">
        <w:rPr>
          <w:rFonts w:ascii="Times New Roman" w:hAnsi="Times New Roman" w:cs="Times New Roman"/>
          <w:sz w:val="24"/>
          <w:szCs w:val="24"/>
          <w:lang w:val="en-GB"/>
        </w:rPr>
        <w:t>pan-EU NGOs</w:t>
      </w:r>
      <w:r w:rsidR="003B5E95" w:rsidRPr="00DF5227">
        <w:rPr>
          <w:rFonts w:ascii="Times New Roman" w:hAnsi="Times New Roman" w:cs="Times New Roman"/>
          <w:sz w:val="24"/>
          <w:szCs w:val="24"/>
          <w:lang w:val="en-GB"/>
        </w:rPr>
        <w:t xml:space="preserve"> </w:t>
      </w:r>
      <w:r w:rsidR="001B5163" w:rsidRPr="00DF5227">
        <w:rPr>
          <w:rFonts w:ascii="Times New Roman" w:hAnsi="Times New Roman" w:cs="Times New Roman"/>
          <w:sz w:val="24"/>
          <w:szCs w:val="24"/>
          <w:lang w:val="en-GB"/>
        </w:rPr>
        <w:t xml:space="preserve">does in fact adopt </w:t>
      </w:r>
      <w:r w:rsidR="001068BB" w:rsidRPr="00DF5227">
        <w:rPr>
          <w:rFonts w:ascii="Times New Roman" w:hAnsi="Times New Roman" w:cs="Times New Roman"/>
          <w:sz w:val="24"/>
          <w:szCs w:val="24"/>
          <w:lang w:val="en-GB"/>
        </w:rPr>
        <w:t>Europe 2020</w:t>
      </w:r>
      <w:r w:rsidR="003B5E95" w:rsidRPr="00DF5227">
        <w:rPr>
          <w:rFonts w:ascii="Times New Roman" w:hAnsi="Times New Roman" w:cs="Times New Roman"/>
          <w:sz w:val="24"/>
          <w:szCs w:val="24"/>
          <w:lang w:val="en-GB"/>
        </w:rPr>
        <w:t xml:space="preserve"> </w:t>
      </w:r>
      <w:r w:rsidR="001B5163" w:rsidRPr="00DF5227">
        <w:rPr>
          <w:rFonts w:ascii="Times New Roman" w:hAnsi="Times New Roman" w:cs="Times New Roman"/>
          <w:sz w:val="24"/>
          <w:szCs w:val="24"/>
          <w:lang w:val="en-GB"/>
        </w:rPr>
        <w:t xml:space="preserve">as a concern </w:t>
      </w:r>
      <w:r w:rsidR="003B5E95" w:rsidRPr="00DF5227">
        <w:rPr>
          <w:rFonts w:ascii="Times New Roman" w:hAnsi="Times New Roman" w:cs="Times New Roman"/>
          <w:sz w:val="24"/>
          <w:szCs w:val="24"/>
          <w:lang w:val="en-GB"/>
        </w:rPr>
        <w:t xml:space="preserve">in their policy papers. Second, </w:t>
      </w:r>
      <w:r w:rsidRPr="00DF5227">
        <w:rPr>
          <w:rFonts w:ascii="Times New Roman" w:hAnsi="Times New Roman" w:cs="Times New Roman"/>
          <w:sz w:val="24"/>
          <w:szCs w:val="24"/>
          <w:lang w:val="en-GB"/>
        </w:rPr>
        <w:t xml:space="preserve">based on the data </w:t>
      </w:r>
      <w:r w:rsidR="00846998" w:rsidRPr="00DF5227">
        <w:rPr>
          <w:rFonts w:ascii="Times New Roman" w:hAnsi="Times New Roman" w:cs="Times New Roman"/>
          <w:sz w:val="24"/>
          <w:szCs w:val="24"/>
          <w:lang w:val="en-GB"/>
        </w:rPr>
        <w:t xml:space="preserve">presented </w:t>
      </w:r>
      <w:r w:rsidRPr="00DF5227">
        <w:rPr>
          <w:rFonts w:ascii="Times New Roman" w:hAnsi="Times New Roman" w:cs="Times New Roman"/>
          <w:sz w:val="24"/>
          <w:szCs w:val="24"/>
          <w:lang w:val="en-GB"/>
        </w:rPr>
        <w:t xml:space="preserve">here, </w:t>
      </w:r>
      <w:r w:rsidR="00C62CAA" w:rsidRPr="00DF5227">
        <w:rPr>
          <w:rFonts w:ascii="Times New Roman" w:hAnsi="Times New Roman" w:cs="Times New Roman"/>
          <w:sz w:val="24"/>
          <w:szCs w:val="24"/>
          <w:lang w:val="en-GB"/>
        </w:rPr>
        <w:t xml:space="preserve">pan-EU NGOs </w:t>
      </w:r>
      <w:r w:rsidR="00C84E9A" w:rsidRPr="00DF5227">
        <w:rPr>
          <w:rFonts w:ascii="Times New Roman" w:hAnsi="Times New Roman" w:cs="Times New Roman"/>
          <w:sz w:val="24"/>
          <w:szCs w:val="24"/>
          <w:lang w:val="en-GB"/>
        </w:rPr>
        <w:t xml:space="preserve">appear to react immediately to the adoption of the </w:t>
      </w:r>
      <w:r w:rsidR="001068BB" w:rsidRPr="00DF5227">
        <w:rPr>
          <w:rFonts w:ascii="Times New Roman" w:hAnsi="Times New Roman" w:cs="Times New Roman"/>
          <w:sz w:val="24"/>
          <w:szCs w:val="24"/>
          <w:lang w:val="en-GB"/>
        </w:rPr>
        <w:t>Europe 2020</w:t>
      </w:r>
      <w:r w:rsidR="007815A2" w:rsidRPr="00DF5227">
        <w:rPr>
          <w:rFonts w:ascii="Times New Roman" w:hAnsi="Times New Roman" w:cs="Times New Roman"/>
          <w:sz w:val="24"/>
          <w:szCs w:val="24"/>
          <w:lang w:val="en-GB"/>
        </w:rPr>
        <w:t xml:space="preserve">. Pan-EU NGOs </w:t>
      </w:r>
      <w:r w:rsidRPr="00DF5227">
        <w:rPr>
          <w:rFonts w:ascii="Times New Roman" w:hAnsi="Times New Roman" w:cs="Times New Roman"/>
          <w:sz w:val="24"/>
          <w:szCs w:val="24"/>
          <w:lang w:val="en-GB"/>
        </w:rPr>
        <w:t xml:space="preserve">do </w:t>
      </w:r>
      <w:r w:rsidR="007815A2" w:rsidRPr="00DF5227">
        <w:rPr>
          <w:rFonts w:ascii="Times New Roman" w:hAnsi="Times New Roman" w:cs="Times New Roman"/>
          <w:sz w:val="24"/>
          <w:szCs w:val="24"/>
          <w:lang w:val="en-GB"/>
        </w:rPr>
        <w:t xml:space="preserve">not actively refer to Europe 2020 </w:t>
      </w:r>
      <w:r w:rsidR="000C0D53" w:rsidRPr="00DF5227">
        <w:rPr>
          <w:rFonts w:ascii="Times New Roman" w:hAnsi="Times New Roman" w:cs="Times New Roman"/>
          <w:sz w:val="24"/>
          <w:szCs w:val="24"/>
          <w:lang w:val="en-GB"/>
        </w:rPr>
        <w:t xml:space="preserve">during </w:t>
      </w:r>
      <w:r w:rsidR="007815A2" w:rsidRPr="00DF5227">
        <w:rPr>
          <w:rFonts w:ascii="Times New Roman" w:hAnsi="Times New Roman" w:cs="Times New Roman"/>
          <w:sz w:val="24"/>
          <w:szCs w:val="24"/>
          <w:lang w:val="en-GB"/>
        </w:rPr>
        <w:t>its</w:t>
      </w:r>
      <w:r w:rsidR="000C0D53" w:rsidRPr="00DF5227">
        <w:rPr>
          <w:rFonts w:ascii="Times New Roman" w:hAnsi="Times New Roman" w:cs="Times New Roman"/>
          <w:sz w:val="24"/>
          <w:szCs w:val="24"/>
          <w:lang w:val="en-GB"/>
        </w:rPr>
        <w:t xml:space="preserve"> elaboration</w:t>
      </w:r>
      <w:r w:rsidR="00846998" w:rsidRPr="00DF5227">
        <w:rPr>
          <w:rFonts w:ascii="Times New Roman" w:hAnsi="Times New Roman" w:cs="Times New Roman"/>
          <w:sz w:val="24"/>
          <w:szCs w:val="24"/>
          <w:lang w:val="en-GB"/>
        </w:rPr>
        <w:t xml:space="preserve"> but, as we shall see, they do appear to be </w:t>
      </w:r>
      <w:r w:rsidR="007815A2" w:rsidRPr="00DF5227">
        <w:rPr>
          <w:rFonts w:ascii="Times New Roman" w:hAnsi="Times New Roman" w:cs="Times New Roman"/>
          <w:sz w:val="24"/>
          <w:szCs w:val="24"/>
          <w:lang w:val="en-GB"/>
        </w:rPr>
        <w:t xml:space="preserve">proactive on the substance </w:t>
      </w:r>
      <w:r w:rsidR="000C0D53" w:rsidRPr="00DF5227">
        <w:rPr>
          <w:rFonts w:ascii="Times New Roman" w:hAnsi="Times New Roman" w:cs="Times New Roman"/>
          <w:sz w:val="24"/>
          <w:szCs w:val="24"/>
          <w:lang w:val="en-GB"/>
        </w:rPr>
        <w:t>of</w:t>
      </w:r>
      <w:r w:rsidR="004947BB" w:rsidRPr="00DF5227">
        <w:rPr>
          <w:rFonts w:ascii="Times New Roman" w:hAnsi="Times New Roman" w:cs="Times New Roman"/>
          <w:sz w:val="24"/>
          <w:szCs w:val="24"/>
          <w:lang w:val="en-GB"/>
        </w:rPr>
        <w:t xml:space="preserve"> Europe 2020</w:t>
      </w:r>
      <w:r w:rsidR="007815A2" w:rsidRPr="00DF5227">
        <w:rPr>
          <w:rFonts w:ascii="Times New Roman" w:hAnsi="Times New Roman" w:cs="Times New Roman"/>
          <w:sz w:val="24"/>
          <w:szCs w:val="24"/>
          <w:lang w:val="en-GB"/>
        </w:rPr>
        <w:t xml:space="preserve"> prior to 2010.</w:t>
      </w:r>
      <w:r w:rsidR="009769BC" w:rsidRPr="00DF5227">
        <w:rPr>
          <w:rFonts w:ascii="Times New Roman" w:hAnsi="Times New Roman" w:cs="Times New Roman"/>
          <w:sz w:val="24"/>
          <w:szCs w:val="24"/>
          <w:lang w:val="en-GB"/>
        </w:rPr>
        <w:t>Third, t</w:t>
      </w:r>
      <w:r w:rsidR="000C0D53" w:rsidRPr="00DF5227">
        <w:rPr>
          <w:rFonts w:ascii="Times New Roman" w:hAnsi="Times New Roman" w:cs="Times New Roman"/>
          <w:sz w:val="24"/>
          <w:szCs w:val="24"/>
          <w:lang w:val="en-GB"/>
        </w:rPr>
        <w:t xml:space="preserve">he EEB’s concern with Europe 2020 seems to be </w:t>
      </w:r>
      <w:r w:rsidR="00C84E9A" w:rsidRPr="00DF5227">
        <w:rPr>
          <w:rFonts w:ascii="Times New Roman" w:hAnsi="Times New Roman" w:cs="Times New Roman"/>
          <w:sz w:val="24"/>
          <w:szCs w:val="24"/>
          <w:lang w:val="en-GB"/>
        </w:rPr>
        <w:t xml:space="preserve">actualised by the </w:t>
      </w:r>
      <w:r w:rsidR="000C0D53" w:rsidRPr="00DF5227">
        <w:rPr>
          <w:rFonts w:ascii="Times New Roman" w:hAnsi="Times New Roman" w:cs="Times New Roman"/>
          <w:sz w:val="24"/>
          <w:szCs w:val="24"/>
          <w:lang w:val="en-GB"/>
        </w:rPr>
        <w:t xml:space="preserve">agreement (early 2013) and adoption (end 2013) </w:t>
      </w:r>
      <w:r w:rsidR="007D7E48" w:rsidRPr="00DF5227">
        <w:rPr>
          <w:rFonts w:ascii="Times New Roman" w:hAnsi="Times New Roman" w:cs="Times New Roman"/>
          <w:sz w:val="24"/>
          <w:szCs w:val="24"/>
          <w:lang w:val="en-GB"/>
        </w:rPr>
        <w:t xml:space="preserve">of </w:t>
      </w:r>
      <w:r w:rsidR="000C0D53" w:rsidRPr="00DF5227">
        <w:rPr>
          <w:rFonts w:ascii="Times New Roman" w:hAnsi="Times New Roman" w:cs="Times New Roman"/>
          <w:sz w:val="24"/>
          <w:szCs w:val="24"/>
          <w:lang w:val="en-GB"/>
        </w:rPr>
        <w:t xml:space="preserve">the </w:t>
      </w:r>
      <w:r w:rsidR="00C84E9A" w:rsidRPr="00DF5227">
        <w:rPr>
          <w:rFonts w:ascii="Times New Roman" w:hAnsi="Times New Roman" w:cs="Times New Roman"/>
          <w:sz w:val="24"/>
          <w:szCs w:val="24"/>
          <w:lang w:val="en-GB"/>
        </w:rPr>
        <w:t>multiannual financial framework 2014-2020</w:t>
      </w:r>
      <w:r w:rsidR="00A77D3A" w:rsidRPr="00DF5227">
        <w:rPr>
          <w:rFonts w:ascii="Times New Roman" w:hAnsi="Times New Roman" w:cs="Times New Roman"/>
          <w:sz w:val="24"/>
          <w:szCs w:val="24"/>
          <w:lang w:val="en-GB"/>
        </w:rPr>
        <w:t>.</w:t>
      </w:r>
      <w:r w:rsidR="00D2460E" w:rsidRPr="00DF5227">
        <w:rPr>
          <w:rFonts w:ascii="Times New Roman" w:hAnsi="Times New Roman" w:cs="Times New Roman"/>
          <w:sz w:val="24"/>
          <w:szCs w:val="24"/>
          <w:lang w:val="en-GB"/>
        </w:rPr>
        <w:t xml:space="preserve"> </w:t>
      </w:r>
      <w:r w:rsidR="007D7E48" w:rsidRPr="00DF5227">
        <w:rPr>
          <w:rFonts w:ascii="Times New Roman" w:hAnsi="Times New Roman" w:cs="Times New Roman"/>
          <w:sz w:val="24"/>
          <w:szCs w:val="24"/>
          <w:lang w:val="en-GB"/>
        </w:rPr>
        <w:t xml:space="preserve">Whether the </w:t>
      </w:r>
      <w:r w:rsidR="00A77D3A" w:rsidRPr="00DF5227">
        <w:rPr>
          <w:rFonts w:ascii="Times New Roman" w:hAnsi="Times New Roman" w:cs="Times New Roman"/>
          <w:sz w:val="24"/>
          <w:szCs w:val="24"/>
          <w:lang w:val="en-GB"/>
        </w:rPr>
        <w:t xml:space="preserve">adoption of multiannual financial priorities and ceilings </w:t>
      </w:r>
      <w:r w:rsidR="009769BC" w:rsidRPr="00DF5227">
        <w:rPr>
          <w:rFonts w:ascii="Times New Roman" w:hAnsi="Times New Roman" w:cs="Times New Roman"/>
          <w:sz w:val="24"/>
          <w:szCs w:val="24"/>
          <w:lang w:val="en-GB"/>
        </w:rPr>
        <w:t xml:space="preserve">generally boost concerns with Europe 2020 among </w:t>
      </w:r>
      <w:r w:rsidR="00C62CAA" w:rsidRPr="00DF5227">
        <w:rPr>
          <w:rFonts w:ascii="Times New Roman" w:hAnsi="Times New Roman" w:cs="Times New Roman"/>
          <w:sz w:val="24"/>
          <w:szCs w:val="24"/>
          <w:lang w:val="en-GB"/>
        </w:rPr>
        <w:t>pan-EU NGOs</w:t>
      </w:r>
      <w:r w:rsidR="00ED2A47" w:rsidRPr="00DF5227">
        <w:rPr>
          <w:rFonts w:ascii="Times New Roman" w:hAnsi="Times New Roman" w:cs="Times New Roman"/>
          <w:sz w:val="24"/>
          <w:szCs w:val="24"/>
          <w:lang w:val="en-GB"/>
        </w:rPr>
        <w:t>,</w:t>
      </w:r>
      <w:r w:rsidR="009769BC" w:rsidRPr="00DF5227">
        <w:rPr>
          <w:rFonts w:ascii="Times New Roman" w:hAnsi="Times New Roman" w:cs="Times New Roman"/>
          <w:sz w:val="24"/>
          <w:szCs w:val="24"/>
          <w:lang w:val="en-GB"/>
        </w:rPr>
        <w:t xml:space="preserve"> </w:t>
      </w:r>
      <w:r w:rsidR="00ED2A47" w:rsidRPr="00DF5227">
        <w:rPr>
          <w:rFonts w:ascii="Times New Roman" w:hAnsi="Times New Roman" w:cs="Times New Roman"/>
          <w:sz w:val="24"/>
          <w:szCs w:val="24"/>
          <w:lang w:val="en-GB"/>
        </w:rPr>
        <w:t xml:space="preserve">should be </w:t>
      </w:r>
      <w:r w:rsidR="009769BC" w:rsidRPr="00DF5227">
        <w:rPr>
          <w:rFonts w:ascii="Times New Roman" w:hAnsi="Times New Roman" w:cs="Times New Roman"/>
          <w:sz w:val="24"/>
          <w:szCs w:val="24"/>
          <w:lang w:val="en-GB"/>
        </w:rPr>
        <w:t>looked</w:t>
      </w:r>
      <w:r w:rsidR="00ED2A47" w:rsidRPr="00DF5227">
        <w:rPr>
          <w:rFonts w:ascii="Times New Roman" w:hAnsi="Times New Roman" w:cs="Times New Roman"/>
          <w:sz w:val="24"/>
          <w:szCs w:val="24"/>
          <w:lang w:val="en-GB"/>
        </w:rPr>
        <w:t xml:space="preserve"> into as data for 2013 and 2014 becomes more systematically available from the Social Platform, ETUC and Businesseurope</w:t>
      </w:r>
      <w:r w:rsidR="009769BC" w:rsidRPr="00DF5227">
        <w:rPr>
          <w:rFonts w:ascii="Times New Roman" w:hAnsi="Times New Roman" w:cs="Times New Roman"/>
          <w:sz w:val="24"/>
          <w:szCs w:val="24"/>
          <w:lang w:val="en-GB"/>
        </w:rPr>
        <w:t xml:space="preserve">. </w:t>
      </w:r>
      <w:r w:rsidRPr="00DF5227">
        <w:rPr>
          <w:rFonts w:ascii="Times New Roman" w:hAnsi="Times New Roman" w:cs="Times New Roman"/>
          <w:sz w:val="24"/>
          <w:szCs w:val="24"/>
          <w:lang w:val="en-GB"/>
        </w:rPr>
        <w:t xml:space="preserve">But let us have a closer look at the </w:t>
      </w:r>
      <w:r w:rsidR="00C25917" w:rsidRPr="00DF5227">
        <w:rPr>
          <w:rFonts w:ascii="Times New Roman" w:hAnsi="Times New Roman" w:cs="Times New Roman"/>
          <w:sz w:val="24"/>
          <w:szCs w:val="24"/>
          <w:lang w:val="en-GB"/>
        </w:rPr>
        <w:t xml:space="preserve">reception of </w:t>
      </w:r>
      <w:r w:rsidR="00ED2A47" w:rsidRPr="00DF5227">
        <w:rPr>
          <w:rFonts w:ascii="Times New Roman" w:hAnsi="Times New Roman" w:cs="Times New Roman"/>
          <w:sz w:val="24"/>
          <w:szCs w:val="24"/>
          <w:lang w:val="en-GB"/>
        </w:rPr>
        <w:t xml:space="preserve">the </w:t>
      </w:r>
      <w:r w:rsidRPr="00DF5227">
        <w:rPr>
          <w:rFonts w:ascii="Times New Roman" w:hAnsi="Times New Roman" w:cs="Times New Roman"/>
          <w:sz w:val="24"/>
          <w:szCs w:val="24"/>
          <w:lang w:val="en-GB"/>
        </w:rPr>
        <w:t xml:space="preserve">substance of Europe 2020. </w:t>
      </w:r>
    </w:p>
    <w:p w:rsidR="00EB4409" w:rsidRPr="00DF5227" w:rsidRDefault="00C3062A" w:rsidP="00BC5346">
      <w:pPr>
        <w:spacing w:line="360" w:lineRule="auto"/>
        <w:jc w:val="both"/>
        <w:rPr>
          <w:rFonts w:ascii="Times New Roman" w:hAnsi="Times New Roman" w:cs="Times New Roman"/>
          <w:noProof/>
          <w:sz w:val="24"/>
          <w:szCs w:val="24"/>
          <w:lang w:val="en-GB" w:eastAsia="da-DK"/>
        </w:rPr>
      </w:pPr>
      <w:r w:rsidRPr="00DF5227">
        <w:rPr>
          <w:rFonts w:ascii="Times New Roman" w:hAnsi="Times New Roman" w:cs="Times New Roman"/>
          <w:sz w:val="24"/>
          <w:szCs w:val="24"/>
          <w:lang w:val="en-GB"/>
        </w:rPr>
        <w:t>Figure 2</w:t>
      </w:r>
      <w:r w:rsidR="00407D52" w:rsidRPr="00DF5227">
        <w:rPr>
          <w:rFonts w:ascii="Times New Roman" w:hAnsi="Times New Roman" w:cs="Times New Roman"/>
          <w:sz w:val="24"/>
          <w:szCs w:val="24"/>
          <w:lang w:val="en-GB"/>
        </w:rPr>
        <w:t xml:space="preserve">, 3, 4 and 5 are simple word counts of references </w:t>
      </w:r>
      <w:r w:rsidR="00407D52" w:rsidRPr="00DF5227">
        <w:rPr>
          <w:rFonts w:ascii="Times New Roman" w:hAnsi="Times New Roman" w:cs="Times New Roman"/>
          <w:noProof/>
          <w:sz w:val="24"/>
          <w:szCs w:val="24"/>
          <w:lang w:val="en-GB" w:eastAsia="da-DK"/>
        </w:rPr>
        <w:t xml:space="preserve">to </w:t>
      </w:r>
      <w:r w:rsidR="00846998" w:rsidRPr="00DF5227">
        <w:rPr>
          <w:rFonts w:ascii="Times New Roman" w:hAnsi="Times New Roman" w:cs="Times New Roman"/>
          <w:noProof/>
          <w:sz w:val="24"/>
          <w:szCs w:val="24"/>
          <w:lang w:val="en-GB" w:eastAsia="da-DK"/>
        </w:rPr>
        <w:t xml:space="preserve">the terms </w:t>
      </w:r>
      <w:r w:rsidR="00407D52" w:rsidRPr="00DF5227">
        <w:rPr>
          <w:rFonts w:ascii="Times New Roman" w:hAnsi="Times New Roman" w:cs="Times New Roman"/>
          <w:noProof/>
          <w:sz w:val="24"/>
          <w:szCs w:val="24"/>
          <w:lang w:val="en-GB" w:eastAsia="da-DK"/>
        </w:rPr>
        <w:t>‘smart’, ‘un-’/‘sustainable’ and ‘inclusive’/’exclusive’</w:t>
      </w:r>
      <w:r w:rsidR="00450541" w:rsidRPr="00DF5227">
        <w:rPr>
          <w:rFonts w:ascii="Times New Roman" w:hAnsi="Times New Roman" w:cs="Times New Roman"/>
          <w:noProof/>
          <w:sz w:val="24"/>
          <w:szCs w:val="24"/>
          <w:lang w:val="en-GB" w:eastAsia="da-DK"/>
        </w:rPr>
        <w:t xml:space="preserve"> </w:t>
      </w:r>
      <w:r w:rsidR="000424AB" w:rsidRPr="00DF5227">
        <w:rPr>
          <w:rFonts w:ascii="Times New Roman" w:hAnsi="Times New Roman" w:cs="Times New Roman"/>
          <w:noProof/>
          <w:sz w:val="24"/>
          <w:szCs w:val="24"/>
          <w:lang w:val="en-GB" w:eastAsia="da-DK"/>
        </w:rPr>
        <w:t>by the EEB, the Social Platform, ETUC and Businesseurope respectively.</w:t>
      </w:r>
      <w:r w:rsidR="008F4527" w:rsidRPr="00DF5227">
        <w:rPr>
          <w:rFonts w:ascii="Times New Roman" w:hAnsi="Times New Roman" w:cs="Times New Roman"/>
          <w:noProof/>
          <w:sz w:val="24"/>
          <w:szCs w:val="24"/>
          <w:lang w:val="en-GB" w:eastAsia="da-DK"/>
        </w:rPr>
        <w:t xml:space="preserve"> </w:t>
      </w:r>
      <w:r w:rsidR="008C533E" w:rsidRPr="00DF5227">
        <w:rPr>
          <w:rFonts w:ascii="Times New Roman" w:hAnsi="Times New Roman" w:cs="Times New Roman"/>
          <w:lang w:val="en-GB"/>
        </w:rPr>
        <w:t xml:space="preserve">’ In order to capture all forms and their negations searches were conducted on the terms ‘smart*’, ‘inclusi*’ and ‘exclusi*’, ‘sustainab*’ and ‘unsustainab*’.  </w:t>
      </w:r>
      <w:r w:rsidR="008F4527" w:rsidRPr="00DF5227">
        <w:rPr>
          <w:rFonts w:ascii="Times New Roman" w:hAnsi="Times New Roman" w:cs="Times New Roman"/>
          <w:noProof/>
          <w:sz w:val="24"/>
          <w:szCs w:val="24"/>
          <w:lang w:val="en-GB" w:eastAsia="da-DK"/>
        </w:rPr>
        <w:t>Th</w:t>
      </w:r>
      <w:r w:rsidR="00D71624" w:rsidRPr="00DF5227">
        <w:rPr>
          <w:rFonts w:ascii="Times New Roman" w:hAnsi="Times New Roman" w:cs="Times New Roman"/>
          <w:noProof/>
          <w:sz w:val="24"/>
          <w:szCs w:val="24"/>
          <w:lang w:val="en-GB" w:eastAsia="da-DK"/>
        </w:rPr>
        <w:t>is</w:t>
      </w:r>
      <w:r w:rsidR="008F4527" w:rsidRPr="00DF5227">
        <w:rPr>
          <w:rFonts w:ascii="Times New Roman" w:hAnsi="Times New Roman" w:cs="Times New Roman"/>
          <w:noProof/>
          <w:sz w:val="24"/>
          <w:szCs w:val="24"/>
          <w:lang w:val="en-GB" w:eastAsia="da-DK"/>
        </w:rPr>
        <w:t xml:space="preserve"> </w:t>
      </w:r>
      <w:r w:rsidR="00D71624" w:rsidRPr="00DF5227">
        <w:rPr>
          <w:rFonts w:ascii="Times New Roman" w:hAnsi="Times New Roman" w:cs="Times New Roman"/>
          <w:noProof/>
          <w:sz w:val="24"/>
          <w:szCs w:val="24"/>
          <w:lang w:val="en-GB" w:eastAsia="da-DK"/>
        </w:rPr>
        <w:t>is</w:t>
      </w:r>
      <w:r w:rsidR="008F4527" w:rsidRPr="00DF5227">
        <w:rPr>
          <w:rFonts w:ascii="Times New Roman" w:hAnsi="Times New Roman" w:cs="Times New Roman"/>
          <w:noProof/>
          <w:sz w:val="24"/>
          <w:szCs w:val="24"/>
          <w:lang w:val="en-GB" w:eastAsia="da-DK"/>
        </w:rPr>
        <w:t xml:space="preserve"> used as quantitative indicators of the reception of </w:t>
      </w:r>
      <w:r w:rsidR="00865FCB" w:rsidRPr="00DF5227">
        <w:rPr>
          <w:rFonts w:ascii="Times New Roman" w:hAnsi="Times New Roman" w:cs="Times New Roman"/>
          <w:noProof/>
          <w:sz w:val="24"/>
          <w:szCs w:val="24"/>
          <w:lang w:val="en-GB" w:eastAsia="da-DK"/>
        </w:rPr>
        <w:t>the three key objective</w:t>
      </w:r>
      <w:r w:rsidR="00F90330" w:rsidRPr="00DF5227">
        <w:rPr>
          <w:rFonts w:ascii="Times New Roman" w:hAnsi="Times New Roman" w:cs="Times New Roman"/>
          <w:noProof/>
          <w:sz w:val="24"/>
          <w:szCs w:val="24"/>
          <w:lang w:val="en-GB" w:eastAsia="da-DK"/>
        </w:rPr>
        <w:t>s</w:t>
      </w:r>
      <w:r w:rsidR="00865FCB" w:rsidRPr="00DF5227">
        <w:rPr>
          <w:rFonts w:ascii="Times New Roman" w:hAnsi="Times New Roman" w:cs="Times New Roman"/>
          <w:noProof/>
          <w:sz w:val="24"/>
          <w:szCs w:val="24"/>
          <w:lang w:val="en-GB" w:eastAsia="da-DK"/>
        </w:rPr>
        <w:t xml:space="preserve"> of Europe</w:t>
      </w:r>
      <w:r w:rsidR="00F90330" w:rsidRPr="00DF5227">
        <w:rPr>
          <w:rFonts w:ascii="Times New Roman" w:hAnsi="Times New Roman" w:cs="Times New Roman"/>
          <w:noProof/>
          <w:sz w:val="24"/>
          <w:szCs w:val="24"/>
          <w:lang w:val="en-GB" w:eastAsia="da-DK"/>
        </w:rPr>
        <w:t xml:space="preserve"> 2020, smart, sustainable and inclusive</w:t>
      </w:r>
      <w:r w:rsidR="00865FCB" w:rsidRPr="00DF5227">
        <w:rPr>
          <w:rFonts w:ascii="Times New Roman" w:hAnsi="Times New Roman" w:cs="Times New Roman"/>
          <w:noProof/>
          <w:sz w:val="24"/>
          <w:szCs w:val="24"/>
          <w:lang w:val="en-GB" w:eastAsia="da-DK"/>
        </w:rPr>
        <w:t xml:space="preserve"> </w:t>
      </w:r>
      <w:r w:rsidR="00F90330" w:rsidRPr="00DF5227">
        <w:rPr>
          <w:rFonts w:ascii="Times New Roman" w:hAnsi="Times New Roman" w:cs="Times New Roman"/>
          <w:noProof/>
          <w:sz w:val="24"/>
          <w:szCs w:val="24"/>
          <w:lang w:val="en-GB" w:eastAsia="da-DK"/>
        </w:rPr>
        <w:t>growth</w:t>
      </w:r>
      <w:r w:rsidR="00865FCB" w:rsidRPr="00DF5227">
        <w:rPr>
          <w:rFonts w:ascii="Times New Roman" w:hAnsi="Times New Roman" w:cs="Times New Roman"/>
          <w:noProof/>
          <w:sz w:val="24"/>
          <w:szCs w:val="24"/>
          <w:lang w:val="en-GB" w:eastAsia="da-DK"/>
        </w:rPr>
        <w:t>.</w:t>
      </w:r>
      <w:r w:rsidR="00593ABE" w:rsidRPr="00DF5227">
        <w:rPr>
          <w:rFonts w:ascii="Times New Roman" w:hAnsi="Times New Roman" w:cs="Times New Roman"/>
          <w:noProof/>
          <w:sz w:val="24"/>
          <w:szCs w:val="24"/>
          <w:lang w:val="en-GB" w:eastAsia="da-DK"/>
        </w:rPr>
        <w:t xml:space="preserve"> </w:t>
      </w:r>
      <w:r w:rsidR="00F90330" w:rsidRPr="00DF5227">
        <w:rPr>
          <w:rFonts w:ascii="Times New Roman" w:hAnsi="Times New Roman" w:cs="Times New Roman"/>
          <w:noProof/>
          <w:sz w:val="24"/>
          <w:szCs w:val="24"/>
          <w:lang w:val="en-GB" w:eastAsia="da-DK"/>
        </w:rPr>
        <w:t>T</w:t>
      </w:r>
      <w:r w:rsidR="00593ABE" w:rsidRPr="00DF5227">
        <w:rPr>
          <w:rFonts w:ascii="Times New Roman" w:hAnsi="Times New Roman" w:cs="Times New Roman"/>
          <w:noProof/>
          <w:sz w:val="24"/>
          <w:szCs w:val="24"/>
          <w:lang w:val="en-GB" w:eastAsia="da-DK"/>
        </w:rPr>
        <w:t xml:space="preserve">he indicators </w:t>
      </w:r>
      <w:r w:rsidR="00593ABE" w:rsidRPr="00DF5227">
        <w:rPr>
          <w:rFonts w:ascii="Times New Roman" w:hAnsi="Times New Roman" w:cs="Times New Roman"/>
          <w:sz w:val="24"/>
          <w:szCs w:val="24"/>
          <w:lang w:val="en-GB"/>
        </w:rPr>
        <w:t>should all be treated with some caution. Also,</w:t>
      </w:r>
      <w:r w:rsidR="00EB4409" w:rsidRPr="00DF5227">
        <w:rPr>
          <w:rFonts w:ascii="Times New Roman" w:hAnsi="Times New Roman" w:cs="Times New Roman"/>
          <w:noProof/>
          <w:sz w:val="24"/>
          <w:szCs w:val="24"/>
          <w:lang w:val="en-GB" w:eastAsia="da-DK"/>
        </w:rPr>
        <w:t xml:space="preserve"> ‘un-’/‘sustainable’ and ‘inclusive’/’exclusive’ are not straightforward indicators for respectively green and social Europe myths – e.g. ‘sustainable’</w:t>
      </w:r>
      <w:r w:rsidR="002D5B50" w:rsidRPr="00DF5227">
        <w:rPr>
          <w:rFonts w:ascii="Times New Roman" w:hAnsi="Times New Roman" w:cs="Times New Roman"/>
          <w:noProof/>
          <w:sz w:val="24"/>
          <w:szCs w:val="24"/>
          <w:lang w:val="en-GB" w:eastAsia="da-DK"/>
        </w:rPr>
        <w:t xml:space="preserve"> </w:t>
      </w:r>
      <w:r w:rsidR="00EB4409" w:rsidRPr="00DF5227">
        <w:rPr>
          <w:rFonts w:ascii="Times New Roman" w:hAnsi="Times New Roman" w:cs="Times New Roman"/>
          <w:noProof/>
          <w:sz w:val="24"/>
          <w:szCs w:val="24"/>
          <w:lang w:val="en-GB" w:eastAsia="da-DK"/>
        </w:rPr>
        <w:t xml:space="preserve">may well be used to </w:t>
      </w:r>
      <w:r w:rsidR="00956B81" w:rsidRPr="00DF5227">
        <w:rPr>
          <w:rFonts w:ascii="Times New Roman" w:hAnsi="Times New Roman" w:cs="Times New Roman"/>
          <w:noProof/>
          <w:sz w:val="24"/>
          <w:szCs w:val="24"/>
          <w:lang w:val="en-GB" w:eastAsia="da-DK"/>
        </w:rPr>
        <w:t>characterise</w:t>
      </w:r>
      <w:r w:rsidR="002D5B50" w:rsidRPr="00DF5227">
        <w:rPr>
          <w:rFonts w:ascii="Times New Roman" w:hAnsi="Times New Roman" w:cs="Times New Roman"/>
          <w:noProof/>
          <w:sz w:val="24"/>
          <w:szCs w:val="24"/>
          <w:lang w:val="en-GB" w:eastAsia="da-DK"/>
        </w:rPr>
        <w:t xml:space="preserve"> </w:t>
      </w:r>
      <w:r w:rsidR="00585B9E" w:rsidRPr="00DF5227">
        <w:rPr>
          <w:rFonts w:ascii="Times New Roman" w:hAnsi="Times New Roman" w:cs="Times New Roman"/>
          <w:noProof/>
          <w:sz w:val="24"/>
          <w:szCs w:val="24"/>
          <w:lang w:val="en-GB" w:eastAsia="da-DK"/>
        </w:rPr>
        <w:t>societal and</w:t>
      </w:r>
      <w:r w:rsidR="00EB4409" w:rsidRPr="00DF5227">
        <w:rPr>
          <w:rFonts w:ascii="Times New Roman" w:hAnsi="Times New Roman" w:cs="Times New Roman"/>
          <w:noProof/>
          <w:sz w:val="24"/>
          <w:szCs w:val="24"/>
          <w:lang w:val="en-GB" w:eastAsia="da-DK"/>
        </w:rPr>
        <w:t xml:space="preserve"> economic development</w:t>
      </w:r>
      <w:r w:rsidR="00585B9E" w:rsidRPr="00DF5227">
        <w:rPr>
          <w:rFonts w:ascii="Times New Roman" w:hAnsi="Times New Roman" w:cs="Times New Roman"/>
          <w:noProof/>
          <w:sz w:val="24"/>
          <w:szCs w:val="24"/>
          <w:lang w:val="en-GB" w:eastAsia="da-DK"/>
        </w:rPr>
        <w:t>s</w:t>
      </w:r>
      <w:r w:rsidR="00EB4409" w:rsidRPr="00DF5227">
        <w:rPr>
          <w:rFonts w:ascii="Times New Roman" w:hAnsi="Times New Roman" w:cs="Times New Roman"/>
          <w:noProof/>
          <w:sz w:val="24"/>
          <w:szCs w:val="24"/>
          <w:lang w:val="en-GB" w:eastAsia="da-DK"/>
        </w:rPr>
        <w:t xml:space="preserve"> </w:t>
      </w:r>
      <w:r w:rsidR="00BC3550" w:rsidRPr="00DF5227">
        <w:rPr>
          <w:rFonts w:ascii="Times New Roman" w:hAnsi="Times New Roman" w:cs="Times New Roman"/>
          <w:noProof/>
          <w:sz w:val="24"/>
          <w:szCs w:val="24"/>
          <w:lang w:val="en-GB" w:eastAsia="da-DK"/>
        </w:rPr>
        <w:t xml:space="preserve">or the status of fiscal policies </w:t>
      </w:r>
      <w:r w:rsidR="00EB4409" w:rsidRPr="00DF5227">
        <w:rPr>
          <w:rFonts w:ascii="Times New Roman" w:hAnsi="Times New Roman" w:cs="Times New Roman"/>
          <w:noProof/>
          <w:sz w:val="24"/>
          <w:szCs w:val="24"/>
          <w:lang w:val="en-GB" w:eastAsia="da-DK"/>
        </w:rPr>
        <w:t xml:space="preserve">– and ‘smart’ should certainly not be used as an indicator of </w:t>
      </w:r>
      <w:r w:rsidR="007D7E48" w:rsidRPr="00DF5227">
        <w:rPr>
          <w:rFonts w:ascii="Times New Roman" w:hAnsi="Times New Roman" w:cs="Times New Roman"/>
          <w:noProof/>
          <w:sz w:val="24"/>
          <w:szCs w:val="24"/>
          <w:lang w:val="en-GB" w:eastAsia="da-DK"/>
        </w:rPr>
        <w:t xml:space="preserve">the myth of </w:t>
      </w:r>
      <w:r w:rsidR="00EB4409" w:rsidRPr="00DF5227">
        <w:rPr>
          <w:rFonts w:ascii="Times New Roman" w:hAnsi="Times New Roman" w:cs="Times New Roman"/>
          <w:noProof/>
          <w:sz w:val="24"/>
          <w:szCs w:val="24"/>
          <w:lang w:val="en-GB" w:eastAsia="da-DK"/>
        </w:rPr>
        <w:t>economic Europe. However, treated with causion we may make a fe</w:t>
      </w:r>
      <w:r w:rsidR="00EB4409" w:rsidRPr="00DF5227">
        <w:rPr>
          <w:rFonts w:ascii="Times New Roman" w:hAnsi="Times New Roman" w:cs="Times New Roman"/>
          <w:sz w:val="24"/>
          <w:szCs w:val="24"/>
          <w:lang w:val="en-GB"/>
        </w:rPr>
        <w:t>w preliminary observations and interpretations.</w:t>
      </w:r>
    </w:p>
    <w:p w:rsidR="0067060E" w:rsidRDefault="0067060E" w:rsidP="00BC5346">
      <w:pPr>
        <w:spacing w:line="360" w:lineRule="auto"/>
        <w:jc w:val="both"/>
        <w:rPr>
          <w:rFonts w:ascii="Times New Roman" w:hAnsi="Times New Roman" w:cs="Times New Roman"/>
          <w:b/>
          <w:sz w:val="24"/>
          <w:szCs w:val="24"/>
          <w:lang w:val="en-GB"/>
        </w:rPr>
      </w:pPr>
    </w:p>
    <w:p w:rsidR="00BC5346" w:rsidRDefault="00BC5346" w:rsidP="00BC5346">
      <w:pPr>
        <w:spacing w:line="360" w:lineRule="auto"/>
        <w:jc w:val="both"/>
        <w:rPr>
          <w:rFonts w:ascii="Times New Roman" w:hAnsi="Times New Roman" w:cs="Times New Roman"/>
          <w:b/>
          <w:sz w:val="24"/>
          <w:szCs w:val="24"/>
          <w:lang w:val="en-GB"/>
        </w:rPr>
      </w:pPr>
    </w:p>
    <w:p w:rsidR="00BC5346" w:rsidRDefault="00BC5346" w:rsidP="00BC5346">
      <w:pPr>
        <w:spacing w:line="360" w:lineRule="auto"/>
        <w:jc w:val="both"/>
        <w:rPr>
          <w:rFonts w:ascii="Times New Roman" w:hAnsi="Times New Roman" w:cs="Times New Roman"/>
          <w:b/>
          <w:sz w:val="24"/>
          <w:szCs w:val="24"/>
          <w:lang w:val="en-GB"/>
        </w:rPr>
      </w:pPr>
    </w:p>
    <w:p w:rsidR="00BC5346" w:rsidRPr="00DF5227" w:rsidRDefault="00BC5346" w:rsidP="00BC5346">
      <w:pPr>
        <w:spacing w:line="360" w:lineRule="auto"/>
        <w:jc w:val="both"/>
        <w:rPr>
          <w:rFonts w:ascii="Times New Roman" w:hAnsi="Times New Roman" w:cs="Times New Roman"/>
          <w:b/>
          <w:sz w:val="24"/>
          <w:szCs w:val="24"/>
          <w:lang w:val="en-GB"/>
        </w:rPr>
      </w:pPr>
    </w:p>
    <w:p w:rsidR="00FB125E" w:rsidRPr="00DF5227" w:rsidRDefault="00FB125E"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lastRenderedPageBreak/>
        <w:t xml:space="preserve">Figure 2: EEB </w:t>
      </w:r>
      <w:r w:rsidRPr="00DF5227">
        <w:rPr>
          <w:rFonts w:ascii="Times New Roman" w:hAnsi="Times New Roman" w:cs="Times New Roman"/>
          <w:b/>
          <w:noProof/>
          <w:sz w:val="24"/>
          <w:szCs w:val="24"/>
          <w:lang w:val="en-GB" w:eastAsia="da-DK"/>
        </w:rPr>
        <w:t xml:space="preserve">references </w:t>
      </w:r>
      <w:r w:rsidR="00407D52" w:rsidRPr="00DF5227">
        <w:rPr>
          <w:rFonts w:ascii="Times New Roman" w:hAnsi="Times New Roman" w:cs="Times New Roman"/>
          <w:b/>
          <w:noProof/>
          <w:sz w:val="24"/>
          <w:szCs w:val="24"/>
          <w:lang w:val="en-GB" w:eastAsia="da-DK"/>
        </w:rPr>
        <w:t xml:space="preserve">to ‘smart’, ‘un-’/‘sustainable’ and ‘inclusive’/’exclusive’ </w:t>
      </w:r>
      <w:r w:rsidRPr="00DF5227">
        <w:rPr>
          <w:rFonts w:ascii="Times New Roman" w:hAnsi="Times New Roman" w:cs="Times New Roman"/>
          <w:b/>
          <w:noProof/>
          <w:sz w:val="24"/>
          <w:szCs w:val="24"/>
          <w:lang w:val="en-GB" w:eastAsia="da-DK"/>
        </w:rPr>
        <w:t>200</w:t>
      </w:r>
      <w:r w:rsidR="005C1FCC" w:rsidRPr="00DF5227">
        <w:rPr>
          <w:rFonts w:ascii="Times New Roman" w:hAnsi="Times New Roman" w:cs="Times New Roman"/>
          <w:b/>
          <w:noProof/>
          <w:sz w:val="24"/>
          <w:szCs w:val="24"/>
          <w:lang w:val="en-GB" w:eastAsia="da-DK"/>
        </w:rPr>
        <w:t>5</w:t>
      </w:r>
      <w:r w:rsidRPr="00DF5227">
        <w:rPr>
          <w:rFonts w:ascii="Times New Roman" w:hAnsi="Times New Roman" w:cs="Times New Roman"/>
          <w:b/>
          <w:noProof/>
          <w:sz w:val="24"/>
          <w:szCs w:val="24"/>
          <w:lang w:val="en-GB" w:eastAsia="da-DK"/>
        </w:rPr>
        <w:t>-201</w:t>
      </w:r>
      <w:r w:rsidR="005C1FCC" w:rsidRPr="00DF5227">
        <w:rPr>
          <w:rFonts w:ascii="Times New Roman" w:hAnsi="Times New Roman" w:cs="Times New Roman"/>
          <w:b/>
          <w:noProof/>
          <w:sz w:val="24"/>
          <w:szCs w:val="24"/>
          <w:lang w:val="en-GB" w:eastAsia="da-DK"/>
        </w:rPr>
        <w:t>4</w:t>
      </w:r>
    </w:p>
    <w:p w:rsidR="00C3062A" w:rsidRPr="00DF5227" w:rsidRDefault="00507535" w:rsidP="00BC5346">
      <w:pPr>
        <w:spacing w:line="360" w:lineRule="auto"/>
        <w:jc w:val="both"/>
        <w:rPr>
          <w:rFonts w:ascii="Times New Roman" w:hAnsi="Times New Roman" w:cs="Times New Roman"/>
          <w:noProof/>
          <w:sz w:val="24"/>
          <w:szCs w:val="24"/>
          <w:lang w:val="en-GB" w:eastAsia="da-DK"/>
        </w:rPr>
      </w:pPr>
      <w:r w:rsidRPr="00DF5227">
        <w:rPr>
          <w:rFonts w:ascii="Times New Roman" w:hAnsi="Times New Roman" w:cs="Times New Roman"/>
          <w:noProof/>
          <w:sz w:val="24"/>
          <w:szCs w:val="24"/>
          <w:lang w:val="en-GB" w:eastAsia="da-DK"/>
        </w:rPr>
        <w:drawing>
          <wp:inline distT="0" distB="0" distL="0" distR="0" wp14:anchorId="4EF0A64F" wp14:editId="01291758">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CB8" w:rsidRPr="00DF5227" w:rsidRDefault="00753CB8" w:rsidP="00BC5346">
      <w:pPr>
        <w:spacing w:line="360" w:lineRule="auto"/>
        <w:jc w:val="both"/>
        <w:rPr>
          <w:rFonts w:ascii="Times New Roman" w:hAnsi="Times New Roman" w:cs="Times New Roman"/>
          <w:sz w:val="20"/>
          <w:szCs w:val="20"/>
          <w:lang w:val="en-GB"/>
        </w:rPr>
      </w:pPr>
      <w:r w:rsidRPr="00DF5227">
        <w:rPr>
          <w:rFonts w:ascii="Times New Roman" w:hAnsi="Times New Roman" w:cs="Times New Roman"/>
          <w:sz w:val="20"/>
          <w:szCs w:val="20"/>
          <w:lang w:val="en-GB"/>
        </w:rPr>
        <w:t>Source: EEB Biannual memorandums 2005-2014</w:t>
      </w:r>
      <w:r w:rsidRPr="00DF5227">
        <w:rPr>
          <w:rFonts w:ascii="Times New Roman" w:hAnsi="Times New Roman" w:cs="Times New Roman"/>
          <w:iCs/>
          <w:sz w:val="20"/>
          <w:szCs w:val="20"/>
          <w:lang w:val="en-GB"/>
        </w:rPr>
        <w:t xml:space="preserve">. </w:t>
      </w:r>
    </w:p>
    <w:p w:rsidR="00783D96" w:rsidRPr="00DF5227" w:rsidRDefault="00783D96" w:rsidP="00BC5346">
      <w:pPr>
        <w:spacing w:line="360" w:lineRule="auto"/>
        <w:jc w:val="both"/>
        <w:rPr>
          <w:rFonts w:ascii="Times New Roman" w:hAnsi="Times New Roman" w:cs="Times New Roman"/>
          <w:noProof/>
          <w:sz w:val="24"/>
          <w:szCs w:val="24"/>
          <w:lang w:val="en-GB" w:eastAsia="da-DK"/>
        </w:rPr>
      </w:pPr>
    </w:p>
    <w:p w:rsidR="00783D96" w:rsidRPr="00DF5227" w:rsidRDefault="00783D96" w:rsidP="00BC5346">
      <w:pPr>
        <w:spacing w:line="360" w:lineRule="auto"/>
        <w:jc w:val="both"/>
        <w:rPr>
          <w:rFonts w:ascii="Times New Roman" w:hAnsi="Times New Roman" w:cs="Times New Roman"/>
          <w:b/>
          <w:noProof/>
          <w:sz w:val="24"/>
          <w:szCs w:val="24"/>
          <w:lang w:val="en-GB" w:eastAsia="da-DK"/>
        </w:rPr>
      </w:pPr>
      <w:r w:rsidRPr="00DF5227">
        <w:rPr>
          <w:rFonts w:ascii="Times New Roman" w:hAnsi="Times New Roman" w:cs="Times New Roman"/>
          <w:b/>
          <w:noProof/>
          <w:sz w:val="24"/>
          <w:szCs w:val="24"/>
          <w:lang w:val="en-GB" w:eastAsia="da-DK"/>
        </w:rPr>
        <w:t>Figure 3: Social Platform references to ‘smart’, ‘un-’/‘sustainable’ and ‘inclusive’/’exclusive’ 2005-2012</w:t>
      </w:r>
    </w:p>
    <w:p w:rsidR="00783D96" w:rsidRPr="00DF5227" w:rsidRDefault="008C533E"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noProof/>
          <w:lang w:val="en-GB" w:eastAsia="da-DK"/>
        </w:rPr>
        <w:drawing>
          <wp:inline distT="0" distB="0" distL="0" distR="0" wp14:anchorId="20713B00" wp14:editId="32F1330A">
            <wp:extent cx="4572000" cy="27432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3D96" w:rsidRPr="00DF5227" w:rsidRDefault="00783D96" w:rsidP="00BC5346">
      <w:pPr>
        <w:spacing w:line="360" w:lineRule="auto"/>
        <w:jc w:val="both"/>
        <w:rPr>
          <w:rFonts w:ascii="Times New Roman" w:hAnsi="Times New Roman" w:cs="Times New Roman"/>
          <w:sz w:val="20"/>
          <w:szCs w:val="20"/>
          <w:lang w:val="en-GB"/>
        </w:rPr>
      </w:pPr>
      <w:r w:rsidRPr="00DF5227">
        <w:rPr>
          <w:rFonts w:ascii="Times New Roman" w:hAnsi="Times New Roman" w:cs="Times New Roman"/>
          <w:sz w:val="20"/>
          <w:szCs w:val="20"/>
          <w:lang w:val="en-GB"/>
        </w:rPr>
        <w:t>Source: Social Platform annual reports 2005-2012 &amp; Social Platform work programs 2005-2012.</w:t>
      </w:r>
    </w:p>
    <w:p w:rsidR="00783D96" w:rsidRPr="00DF5227" w:rsidRDefault="00783D96" w:rsidP="00BC5346">
      <w:pPr>
        <w:spacing w:line="360" w:lineRule="auto"/>
        <w:jc w:val="both"/>
        <w:rPr>
          <w:rFonts w:ascii="Times New Roman" w:hAnsi="Times New Roman" w:cs="Times New Roman"/>
          <w:noProof/>
          <w:sz w:val="24"/>
          <w:szCs w:val="24"/>
          <w:lang w:val="en-GB" w:eastAsia="da-DK"/>
        </w:rPr>
      </w:pPr>
    </w:p>
    <w:p w:rsidR="00783D96" w:rsidRPr="00DF5227" w:rsidRDefault="00783D96" w:rsidP="00BC5346">
      <w:pPr>
        <w:spacing w:line="360" w:lineRule="auto"/>
        <w:jc w:val="both"/>
        <w:rPr>
          <w:rFonts w:ascii="Times New Roman" w:hAnsi="Times New Roman" w:cs="Times New Roman"/>
          <w:b/>
          <w:noProof/>
          <w:sz w:val="24"/>
          <w:szCs w:val="24"/>
          <w:lang w:val="en-GB" w:eastAsia="da-DK"/>
        </w:rPr>
      </w:pPr>
      <w:r w:rsidRPr="00DF5227">
        <w:rPr>
          <w:rFonts w:ascii="Times New Roman" w:hAnsi="Times New Roman" w:cs="Times New Roman"/>
          <w:b/>
          <w:noProof/>
          <w:sz w:val="24"/>
          <w:szCs w:val="24"/>
          <w:lang w:val="en-GB" w:eastAsia="da-DK"/>
        </w:rPr>
        <w:lastRenderedPageBreak/>
        <w:t>Figure 4: ETUC references to ‘smart’, ‘un-’/‘sustainable’ and ‘inclusive’/’exclusive’ 2005-2012</w:t>
      </w:r>
    </w:p>
    <w:p w:rsidR="00783D96" w:rsidRPr="00DF5227" w:rsidRDefault="00783D9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noProof/>
          <w:sz w:val="24"/>
          <w:szCs w:val="24"/>
          <w:lang w:val="en-GB" w:eastAsia="da-DK"/>
        </w:rPr>
        <w:drawing>
          <wp:inline distT="0" distB="0" distL="0" distR="0" wp14:anchorId="6A3FC2E9" wp14:editId="2B2556A6">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3D96" w:rsidRPr="00DF5227" w:rsidRDefault="00783D96" w:rsidP="00BC5346">
      <w:pPr>
        <w:spacing w:line="360" w:lineRule="auto"/>
        <w:jc w:val="both"/>
        <w:rPr>
          <w:rFonts w:ascii="Times New Roman" w:hAnsi="Times New Roman" w:cs="Times New Roman"/>
          <w:sz w:val="20"/>
          <w:szCs w:val="20"/>
          <w:lang w:val="en-GB"/>
        </w:rPr>
      </w:pPr>
      <w:r w:rsidRPr="00DF5227">
        <w:rPr>
          <w:rFonts w:ascii="Times New Roman" w:hAnsi="Times New Roman" w:cs="Times New Roman"/>
          <w:sz w:val="20"/>
          <w:szCs w:val="20"/>
          <w:lang w:val="en-GB"/>
        </w:rPr>
        <w:t>Source: ETUC annual resolutions 2005–2012.</w:t>
      </w:r>
      <w:r w:rsidRPr="00DF5227">
        <w:rPr>
          <w:rFonts w:ascii="Times New Roman" w:hAnsi="Times New Roman" w:cs="Times New Roman"/>
          <w:iCs/>
          <w:sz w:val="20"/>
          <w:szCs w:val="20"/>
          <w:lang w:val="en-GB"/>
        </w:rPr>
        <w:t xml:space="preserve"> </w:t>
      </w:r>
    </w:p>
    <w:p w:rsidR="00783D96" w:rsidRPr="00DF5227" w:rsidRDefault="00783D96" w:rsidP="00BC5346">
      <w:pPr>
        <w:spacing w:line="360" w:lineRule="auto"/>
        <w:jc w:val="both"/>
        <w:rPr>
          <w:rFonts w:ascii="Times New Roman" w:hAnsi="Times New Roman" w:cs="Times New Roman"/>
          <w:sz w:val="24"/>
          <w:szCs w:val="24"/>
          <w:lang w:val="en-GB"/>
        </w:rPr>
      </w:pPr>
    </w:p>
    <w:p w:rsidR="00783D96" w:rsidRPr="00DF5227" w:rsidRDefault="00783D96" w:rsidP="00BC5346">
      <w:pPr>
        <w:spacing w:line="360" w:lineRule="auto"/>
        <w:jc w:val="both"/>
        <w:rPr>
          <w:rFonts w:ascii="Times New Roman" w:hAnsi="Times New Roman" w:cs="Times New Roman"/>
          <w:b/>
          <w:noProof/>
          <w:sz w:val="24"/>
          <w:szCs w:val="24"/>
          <w:lang w:val="en-GB" w:eastAsia="da-DK"/>
        </w:rPr>
      </w:pPr>
      <w:r w:rsidRPr="00DF5227">
        <w:rPr>
          <w:rFonts w:ascii="Times New Roman" w:hAnsi="Times New Roman" w:cs="Times New Roman"/>
          <w:b/>
          <w:noProof/>
          <w:sz w:val="24"/>
          <w:szCs w:val="24"/>
          <w:lang w:val="en-GB" w:eastAsia="da-DK"/>
        </w:rPr>
        <w:t>Figure 5: Businesseurope references to ‘smart’, ‘un-’/‘sustainable’ and ‘inclusive’/’exclusive’ 2005-2014</w:t>
      </w:r>
    </w:p>
    <w:p w:rsidR="00783D96" w:rsidRPr="00DF5227" w:rsidRDefault="00783D96"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noProof/>
          <w:sz w:val="24"/>
          <w:szCs w:val="24"/>
          <w:lang w:val="en-GB" w:eastAsia="da-DK"/>
        </w:rPr>
        <w:drawing>
          <wp:inline distT="0" distB="0" distL="0" distR="0" wp14:anchorId="5279F30C" wp14:editId="2B6DFDE9">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3D96" w:rsidRPr="00DF5227" w:rsidRDefault="00783D96" w:rsidP="00BC5346">
      <w:pPr>
        <w:spacing w:line="360" w:lineRule="auto"/>
        <w:jc w:val="both"/>
        <w:rPr>
          <w:rFonts w:ascii="Times New Roman" w:hAnsi="Times New Roman" w:cs="Times New Roman"/>
          <w:sz w:val="20"/>
          <w:szCs w:val="20"/>
          <w:lang w:val="en-GB"/>
        </w:rPr>
      </w:pPr>
      <w:r w:rsidRPr="00DF5227">
        <w:rPr>
          <w:rFonts w:ascii="Times New Roman" w:hAnsi="Times New Roman" w:cs="Times New Roman"/>
          <w:sz w:val="20"/>
          <w:szCs w:val="20"/>
          <w:lang w:val="en-GB"/>
        </w:rPr>
        <w:t>Source: Businesseurope b</w:t>
      </w:r>
      <w:r w:rsidRPr="00DF5227">
        <w:rPr>
          <w:rFonts w:ascii="Times New Roman" w:hAnsi="Times New Roman" w:cs="Times New Roman"/>
          <w:iCs/>
          <w:sz w:val="20"/>
          <w:szCs w:val="20"/>
          <w:lang w:val="en-GB"/>
        </w:rPr>
        <w:t xml:space="preserve">iannual economic outlooks 2005-2014. </w:t>
      </w:r>
    </w:p>
    <w:p w:rsidR="00783D96" w:rsidRPr="00DF5227" w:rsidRDefault="00783D96" w:rsidP="00BC5346">
      <w:pPr>
        <w:spacing w:line="360" w:lineRule="auto"/>
        <w:jc w:val="both"/>
        <w:rPr>
          <w:rFonts w:ascii="Times New Roman" w:hAnsi="Times New Roman" w:cs="Times New Roman"/>
          <w:sz w:val="24"/>
          <w:szCs w:val="24"/>
          <w:lang w:val="en-GB"/>
        </w:rPr>
      </w:pPr>
    </w:p>
    <w:p w:rsidR="00783D96" w:rsidRPr="00DF5227" w:rsidRDefault="00783D96" w:rsidP="00BC5346">
      <w:pPr>
        <w:spacing w:line="360" w:lineRule="auto"/>
        <w:jc w:val="both"/>
        <w:rPr>
          <w:rFonts w:ascii="Times New Roman" w:hAnsi="Times New Roman" w:cs="Times New Roman"/>
          <w:noProof/>
          <w:sz w:val="24"/>
          <w:szCs w:val="24"/>
          <w:lang w:val="en-GB" w:eastAsia="da-DK"/>
        </w:rPr>
      </w:pPr>
      <w:r w:rsidRPr="00DF5227">
        <w:rPr>
          <w:rFonts w:ascii="Times New Roman" w:hAnsi="Times New Roman" w:cs="Times New Roman"/>
          <w:sz w:val="24"/>
          <w:szCs w:val="24"/>
          <w:lang w:val="en-GB"/>
        </w:rPr>
        <w:lastRenderedPageBreak/>
        <w:t>First, across the board there is a decrease in the total number of references from 2005 to 2007, except from Businesseurope, where 2006 stands out with a high total number of references. Second, across the board there is a fairly steep increase on the total number of references from 2009 to 2010, except from the EEB where the steep increase is delayed and appears from 2010 to 2011. This suggests that the pan-EU NGOs are not only relating to the Europe 2020 in general terms, Europe 2020 is also boosting discourse on substance. Third, there appear to be variations as to the type of references made by different pan-EU NGOs. Most apparent is the Social Platforms high number of references to ‘inclusive’/’exclusive’, whereas the EEB also, unsurprisingly, may be seen as having a particular emphasis on ‘un-‘/sustainability. This suggests not only a sectoral emphasis on myths by pan-EU NGOs, but also that Europe 2020 has boosted the reconstruction of the myth of green and social Europe. We need better indicators to assess whether this also the case for economic Europe. Fourth,</w:t>
      </w:r>
      <w:r w:rsidRPr="00DF5227">
        <w:rPr>
          <w:rFonts w:ascii="Times New Roman" w:hAnsi="Times New Roman" w:cs="Times New Roman"/>
          <w:noProof/>
          <w:sz w:val="24"/>
          <w:szCs w:val="24"/>
          <w:lang w:val="en-GB" w:eastAsia="da-DK"/>
        </w:rPr>
        <w:t xml:space="preserve"> ‘un-’/‘sustainable’ receives the largest number of references with a large margin to inclusive’/ ’exclsive’, except from the Social Platform, where this is reversed. References to ‘smart’ is very limited, peaking around 2010/11 among all </w:t>
      </w:r>
      <w:r w:rsidRPr="00DF5227">
        <w:rPr>
          <w:rFonts w:ascii="Times New Roman" w:hAnsi="Times New Roman" w:cs="Times New Roman"/>
          <w:sz w:val="24"/>
          <w:szCs w:val="24"/>
          <w:lang w:val="en-GB"/>
        </w:rPr>
        <w:t>pan-EU NGOs</w:t>
      </w:r>
      <w:r w:rsidRPr="00DF5227">
        <w:rPr>
          <w:rFonts w:ascii="Times New Roman" w:hAnsi="Times New Roman" w:cs="Times New Roman"/>
          <w:noProof/>
          <w:sz w:val="24"/>
          <w:szCs w:val="24"/>
          <w:lang w:val="en-GB" w:eastAsia="da-DK"/>
        </w:rPr>
        <w:t xml:space="preserve">. Searches on the terms </w:t>
      </w:r>
      <w:r w:rsidRPr="00DF5227">
        <w:rPr>
          <w:rFonts w:ascii="Times New Roman" w:hAnsi="Times New Roman" w:cs="Times New Roman"/>
          <w:sz w:val="24"/>
          <w:szCs w:val="24"/>
          <w:lang w:val="en-GB"/>
        </w:rPr>
        <w:t xml:space="preserve">‘knowledge’ and ‘innovation’, which are viewed as key to ‘smart growth’ in Europe 2020, confirm that this is the least referred issue over time and the objective that pan-EU NGOs are the least receptive to. </w:t>
      </w:r>
      <w:r w:rsidRPr="00DF5227">
        <w:rPr>
          <w:rFonts w:ascii="Times New Roman" w:hAnsi="Times New Roman" w:cs="Times New Roman"/>
          <w:noProof/>
          <w:sz w:val="24"/>
          <w:szCs w:val="24"/>
          <w:lang w:val="en-GB" w:eastAsia="da-DK"/>
        </w:rPr>
        <w:t xml:space="preserve">This suggest that </w:t>
      </w:r>
      <w:r w:rsidRPr="00DF5227">
        <w:rPr>
          <w:rFonts w:ascii="Times New Roman" w:hAnsi="Times New Roman" w:cs="Times New Roman"/>
          <w:sz w:val="24"/>
          <w:szCs w:val="24"/>
          <w:lang w:val="en-GB"/>
        </w:rPr>
        <w:t xml:space="preserve">pan-EU NGOs are the most receptive to already institutionalised myths. Moreover, whereas pan-EU NGOs are not unresponsive, they are less receptive to issues outside of the existing terminology, issues which also wears off more quickly. </w:t>
      </w:r>
      <w:r w:rsidRPr="00DF5227">
        <w:rPr>
          <w:rFonts w:ascii="Times New Roman" w:hAnsi="Times New Roman" w:cs="Times New Roman"/>
          <w:noProof/>
          <w:sz w:val="24"/>
          <w:szCs w:val="24"/>
          <w:lang w:val="en-GB" w:eastAsia="da-DK"/>
        </w:rPr>
        <w:t xml:space="preserve">   </w:t>
      </w:r>
    </w:p>
    <w:p w:rsidR="00783D96" w:rsidRPr="00DF5227" w:rsidRDefault="00783D96" w:rsidP="00BC5346">
      <w:pPr>
        <w:spacing w:line="360" w:lineRule="auto"/>
        <w:jc w:val="both"/>
        <w:rPr>
          <w:rFonts w:ascii="Times New Roman" w:hAnsi="Times New Roman" w:cs="Times New Roman"/>
          <w:noProof/>
          <w:sz w:val="24"/>
          <w:szCs w:val="24"/>
          <w:lang w:val="en-GB" w:eastAsia="da-DK"/>
        </w:rPr>
      </w:pPr>
    </w:p>
    <w:p w:rsidR="00A25718" w:rsidRPr="00DF5227" w:rsidRDefault="00A25718" w:rsidP="00BC5346">
      <w:pPr>
        <w:spacing w:line="360" w:lineRule="auto"/>
        <w:jc w:val="both"/>
        <w:rPr>
          <w:rFonts w:ascii="Times New Roman" w:hAnsi="Times New Roman" w:cs="Times New Roman"/>
          <w:i/>
          <w:sz w:val="24"/>
          <w:szCs w:val="24"/>
          <w:lang w:val="en-GB"/>
        </w:rPr>
      </w:pPr>
      <w:r w:rsidRPr="00DF5227">
        <w:rPr>
          <w:rFonts w:ascii="Times New Roman" w:hAnsi="Times New Roman" w:cs="Times New Roman"/>
          <w:i/>
          <w:sz w:val="24"/>
          <w:szCs w:val="24"/>
          <w:lang w:val="en-GB"/>
        </w:rPr>
        <w:t>Reproduction of Europe 2020</w:t>
      </w:r>
    </w:p>
    <w:p w:rsidR="007651DC" w:rsidRDefault="007651DC" w:rsidP="00BC5346">
      <w:pPr>
        <w:spacing w:line="360" w:lineRule="auto"/>
        <w:jc w:val="both"/>
        <w:rPr>
          <w:rFonts w:ascii="Times New Roman" w:hAnsi="Times New Roman" w:cs="Times New Roman"/>
          <w:noProof/>
          <w:sz w:val="24"/>
          <w:szCs w:val="24"/>
          <w:lang w:val="en-GB" w:eastAsia="da-DK"/>
        </w:rPr>
      </w:pPr>
      <w:r>
        <w:rPr>
          <w:rFonts w:ascii="Times New Roman" w:hAnsi="Times New Roman" w:cs="Times New Roman"/>
          <w:noProof/>
          <w:sz w:val="24"/>
          <w:szCs w:val="24"/>
          <w:lang w:val="en-GB" w:eastAsia="da-DK"/>
        </w:rPr>
        <w:t>We seen how pan-EU NGO’s appear receptive to myths associated with the Europe 2020 strategy, but how do they contribute to their reproduction? Are pan-EU NGO’s mer</w:t>
      </w:r>
      <w:r w:rsidR="00F551FE">
        <w:rPr>
          <w:rFonts w:ascii="Times New Roman" w:hAnsi="Times New Roman" w:cs="Times New Roman"/>
          <w:noProof/>
          <w:sz w:val="24"/>
          <w:szCs w:val="24"/>
          <w:lang w:val="en-GB" w:eastAsia="da-DK"/>
        </w:rPr>
        <w:t>e</w:t>
      </w:r>
      <w:r>
        <w:rPr>
          <w:rFonts w:ascii="Times New Roman" w:hAnsi="Times New Roman" w:cs="Times New Roman"/>
          <w:noProof/>
          <w:sz w:val="24"/>
          <w:szCs w:val="24"/>
          <w:lang w:val="en-GB" w:eastAsia="da-DK"/>
        </w:rPr>
        <w:t>ly reitating already institutionalised myths as represented by the Commission? Or</w:t>
      </w:r>
      <w:r w:rsidR="00F551FE">
        <w:rPr>
          <w:rFonts w:ascii="Times New Roman" w:hAnsi="Times New Roman" w:cs="Times New Roman"/>
          <w:noProof/>
          <w:sz w:val="24"/>
          <w:szCs w:val="24"/>
          <w:lang w:val="en-GB" w:eastAsia="da-DK"/>
        </w:rPr>
        <w:t xml:space="preserve"> to what extend does </w:t>
      </w:r>
      <w:r w:rsidR="00F551FE">
        <w:rPr>
          <w:rFonts w:ascii="Times New Roman" w:hAnsi="Times New Roman" w:cs="Times New Roman"/>
          <w:noProof/>
          <w:sz w:val="24"/>
          <w:szCs w:val="24"/>
          <w:lang w:val="en-GB" w:eastAsia="da-DK"/>
        </w:rPr>
        <w:t>pan-EU NGO’s</w:t>
      </w:r>
      <w:r w:rsidR="00F551FE">
        <w:rPr>
          <w:rFonts w:ascii="Times New Roman" w:hAnsi="Times New Roman" w:cs="Times New Roman"/>
          <w:noProof/>
          <w:sz w:val="24"/>
          <w:szCs w:val="24"/>
          <w:lang w:val="en-GB" w:eastAsia="da-DK"/>
        </w:rPr>
        <w:t xml:space="preserve"> have an independent role in articulating EU myths? In order to have a first look at this, I turn to a more qualitative reading of how </w:t>
      </w:r>
      <w:r w:rsidR="00F551FE">
        <w:rPr>
          <w:rFonts w:ascii="Times New Roman" w:hAnsi="Times New Roman" w:cs="Times New Roman"/>
          <w:noProof/>
          <w:sz w:val="24"/>
          <w:szCs w:val="24"/>
          <w:lang w:val="en-GB" w:eastAsia="da-DK"/>
        </w:rPr>
        <w:t>pan-EU NGO’s</w:t>
      </w:r>
      <w:r w:rsidR="00F551FE">
        <w:rPr>
          <w:rFonts w:ascii="Times New Roman" w:hAnsi="Times New Roman" w:cs="Times New Roman"/>
          <w:noProof/>
          <w:sz w:val="24"/>
          <w:szCs w:val="24"/>
          <w:lang w:val="en-GB" w:eastAsia="da-DK"/>
        </w:rPr>
        <w:t xml:space="preserve"> reception of Europe 2020. </w:t>
      </w:r>
      <w:r>
        <w:rPr>
          <w:rFonts w:ascii="Times New Roman" w:hAnsi="Times New Roman" w:cs="Times New Roman"/>
          <w:noProof/>
          <w:sz w:val="24"/>
          <w:szCs w:val="24"/>
          <w:lang w:val="en-GB" w:eastAsia="da-DK"/>
        </w:rPr>
        <w:t xml:space="preserve">      </w:t>
      </w:r>
    </w:p>
    <w:p w:rsidR="00B5494A" w:rsidRPr="00DF5227" w:rsidRDefault="00A23726" w:rsidP="00BC5346">
      <w:pPr>
        <w:spacing w:line="360" w:lineRule="auto"/>
        <w:jc w:val="both"/>
        <w:rPr>
          <w:rFonts w:ascii="Times New Roman" w:hAnsi="Times New Roman" w:cs="Times New Roman"/>
          <w:i/>
          <w:color w:val="000000"/>
          <w:sz w:val="24"/>
          <w:szCs w:val="24"/>
          <w:lang w:val="en-GB"/>
        </w:rPr>
      </w:pPr>
      <w:r w:rsidRPr="00DF5227">
        <w:rPr>
          <w:rFonts w:ascii="Times New Roman" w:hAnsi="Times New Roman" w:cs="Times New Roman"/>
          <w:noProof/>
          <w:sz w:val="24"/>
          <w:szCs w:val="24"/>
          <w:lang w:val="en-GB" w:eastAsia="da-DK"/>
        </w:rPr>
        <w:t>A closer look a</w:t>
      </w:r>
      <w:r w:rsidR="00165BDB" w:rsidRPr="00DF5227">
        <w:rPr>
          <w:rFonts w:ascii="Times New Roman" w:hAnsi="Times New Roman" w:cs="Times New Roman"/>
          <w:noProof/>
          <w:sz w:val="24"/>
          <w:szCs w:val="24"/>
          <w:lang w:val="en-GB" w:eastAsia="da-DK"/>
        </w:rPr>
        <w:t>t</w:t>
      </w:r>
      <w:r w:rsidRPr="00DF5227">
        <w:rPr>
          <w:rFonts w:ascii="Times New Roman" w:hAnsi="Times New Roman" w:cs="Times New Roman"/>
          <w:noProof/>
          <w:sz w:val="24"/>
          <w:szCs w:val="24"/>
          <w:lang w:val="en-GB" w:eastAsia="da-DK"/>
        </w:rPr>
        <w:t xml:space="preserve"> </w:t>
      </w:r>
      <w:r w:rsidR="00815A9C" w:rsidRPr="00DF5227">
        <w:rPr>
          <w:rFonts w:ascii="Times New Roman" w:hAnsi="Times New Roman" w:cs="Times New Roman"/>
          <w:noProof/>
          <w:sz w:val="24"/>
          <w:szCs w:val="24"/>
          <w:lang w:val="en-GB" w:eastAsia="da-DK"/>
        </w:rPr>
        <w:t xml:space="preserve">the </w:t>
      </w:r>
      <w:r w:rsidR="00F63AEA" w:rsidRPr="00DF5227">
        <w:rPr>
          <w:rFonts w:ascii="Times New Roman" w:hAnsi="Times New Roman" w:cs="Times New Roman"/>
          <w:noProof/>
          <w:sz w:val="24"/>
          <w:szCs w:val="24"/>
          <w:lang w:val="en-GB" w:eastAsia="da-DK"/>
        </w:rPr>
        <w:t xml:space="preserve">EEB’s </w:t>
      </w:r>
      <w:r w:rsidRPr="00DF5227">
        <w:rPr>
          <w:rFonts w:ascii="Times New Roman" w:hAnsi="Times New Roman" w:cs="Times New Roman"/>
          <w:noProof/>
          <w:sz w:val="24"/>
          <w:szCs w:val="24"/>
          <w:lang w:val="en-GB" w:eastAsia="da-DK"/>
        </w:rPr>
        <w:t xml:space="preserve">reception of Europe 2020 show </w:t>
      </w:r>
      <w:r w:rsidR="00585B9E" w:rsidRPr="00DF5227">
        <w:rPr>
          <w:rFonts w:ascii="Times New Roman" w:hAnsi="Times New Roman" w:cs="Times New Roman"/>
          <w:noProof/>
          <w:sz w:val="24"/>
          <w:szCs w:val="24"/>
          <w:lang w:val="en-GB" w:eastAsia="da-DK"/>
        </w:rPr>
        <w:t xml:space="preserve">a </w:t>
      </w:r>
      <w:r w:rsidR="00E10645" w:rsidRPr="00DF5227">
        <w:rPr>
          <w:rFonts w:ascii="Times New Roman" w:hAnsi="Times New Roman" w:cs="Times New Roman"/>
          <w:noProof/>
          <w:sz w:val="24"/>
          <w:szCs w:val="24"/>
          <w:lang w:val="en-GB" w:eastAsia="da-DK"/>
        </w:rPr>
        <w:t>reluctance to treating sustainability and growth on par</w:t>
      </w:r>
      <w:r w:rsidR="00555030" w:rsidRPr="00DF5227">
        <w:rPr>
          <w:rFonts w:ascii="Times New Roman" w:hAnsi="Times New Roman" w:cs="Times New Roman"/>
          <w:noProof/>
          <w:sz w:val="24"/>
          <w:szCs w:val="24"/>
          <w:lang w:val="en-GB" w:eastAsia="da-DK"/>
        </w:rPr>
        <w:t>.</w:t>
      </w:r>
      <w:r w:rsidR="00565A15" w:rsidRPr="00DF5227">
        <w:rPr>
          <w:rFonts w:ascii="Times New Roman" w:hAnsi="Times New Roman" w:cs="Times New Roman"/>
          <w:noProof/>
          <w:sz w:val="24"/>
          <w:szCs w:val="24"/>
          <w:lang w:val="en-GB" w:eastAsia="da-DK"/>
        </w:rPr>
        <w:t xml:space="preserve"> </w:t>
      </w:r>
      <w:r w:rsidR="00B5494A" w:rsidRPr="00DF5227">
        <w:rPr>
          <w:rFonts w:ascii="Times New Roman" w:hAnsi="Times New Roman" w:cs="Times New Roman"/>
          <w:noProof/>
          <w:sz w:val="24"/>
          <w:szCs w:val="24"/>
          <w:lang w:val="en-GB" w:eastAsia="da-DK"/>
        </w:rPr>
        <w:t>For instance, in 2012 a</w:t>
      </w:r>
      <w:r w:rsidR="00565A15" w:rsidRPr="00DF5227">
        <w:rPr>
          <w:rFonts w:ascii="Times New Roman" w:hAnsi="Times New Roman" w:cs="Times New Roman"/>
          <w:noProof/>
          <w:sz w:val="24"/>
          <w:szCs w:val="24"/>
          <w:lang w:val="en-GB" w:eastAsia="da-DK"/>
        </w:rPr>
        <w:t xml:space="preserve">t the expiry of </w:t>
      </w:r>
      <w:r w:rsidR="00B5494A" w:rsidRPr="00DF5227">
        <w:rPr>
          <w:rFonts w:ascii="Times New Roman" w:hAnsi="Times New Roman" w:cs="Times New Roman"/>
          <w:color w:val="000000"/>
          <w:sz w:val="24"/>
          <w:szCs w:val="24"/>
          <w:lang w:val="en-GB"/>
        </w:rPr>
        <w:t>EU’s Sustainable Development Strategy (SDS), which was first adopted in 2001 and extended in 2006, the EEB note</w:t>
      </w:r>
      <w:r w:rsidR="008951E1" w:rsidRPr="00DF5227">
        <w:rPr>
          <w:rFonts w:ascii="Times New Roman" w:hAnsi="Times New Roman" w:cs="Times New Roman"/>
          <w:color w:val="000000"/>
          <w:sz w:val="24"/>
          <w:szCs w:val="24"/>
          <w:lang w:val="en-GB"/>
        </w:rPr>
        <w:t>s</w:t>
      </w:r>
      <w:r w:rsidR="00B5494A" w:rsidRPr="00DF5227">
        <w:rPr>
          <w:rFonts w:ascii="Times New Roman" w:hAnsi="Times New Roman" w:cs="Times New Roman"/>
          <w:color w:val="000000"/>
          <w:sz w:val="24"/>
          <w:szCs w:val="24"/>
          <w:lang w:val="en-GB"/>
        </w:rPr>
        <w:t xml:space="preserve"> that: </w:t>
      </w:r>
      <w:r w:rsidR="00CF4058" w:rsidRPr="00DF5227">
        <w:rPr>
          <w:rFonts w:ascii="Times New Roman" w:hAnsi="Times New Roman" w:cs="Times New Roman"/>
          <w:i/>
          <w:color w:val="000000"/>
          <w:sz w:val="24"/>
          <w:szCs w:val="24"/>
          <w:lang w:val="en-GB"/>
        </w:rPr>
        <w:t xml:space="preserve">“So far there has been little sign of intention to extend or renew the SDS, with this reluctance being attributed to the </w:t>
      </w:r>
      <w:r w:rsidR="00CF4058" w:rsidRPr="00DF5227">
        <w:rPr>
          <w:rFonts w:ascii="Times New Roman" w:hAnsi="Times New Roman" w:cs="Times New Roman"/>
          <w:i/>
          <w:color w:val="000000"/>
          <w:sz w:val="24"/>
          <w:szCs w:val="24"/>
          <w:lang w:val="en-GB"/>
        </w:rPr>
        <w:lastRenderedPageBreak/>
        <w:t>existence of the Europe 2020 Strategy. However, the focus of Europe 2020 is competitivity, growth and jobs. The fact that the growth is supposed to be smart, sustainable and inclusive does not make Europe 2020 a sustainable development strategy (</w:t>
      </w:r>
      <w:r w:rsidR="00CF4058" w:rsidRPr="00DF5227">
        <w:rPr>
          <w:rFonts w:ascii="Times New Roman" w:hAnsi="Times New Roman" w:cs="Times New Roman"/>
          <w:i/>
          <w:sz w:val="24"/>
          <w:szCs w:val="24"/>
          <w:lang w:val="en-GB"/>
        </w:rPr>
        <w:t xml:space="preserve">EEB Biannual memorandum 2012a: </w:t>
      </w:r>
      <w:r w:rsidR="00CF4058" w:rsidRPr="00DF5227">
        <w:rPr>
          <w:rFonts w:ascii="Times New Roman" w:hAnsi="Times New Roman" w:cs="Times New Roman"/>
          <w:i/>
          <w:color w:val="000000"/>
          <w:sz w:val="24"/>
          <w:szCs w:val="24"/>
          <w:lang w:val="en-GB"/>
        </w:rPr>
        <w:t>9).”</w:t>
      </w:r>
      <w:r w:rsidR="00B5494A" w:rsidRPr="00DF5227">
        <w:rPr>
          <w:rFonts w:ascii="Times New Roman" w:hAnsi="Times New Roman" w:cs="Times New Roman"/>
          <w:color w:val="000000"/>
          <w:sz w:val="24"/>
          <w:szCs w:val="24"/>
          <w:lang w:val="en-GB"/>
        </w:rPr>
        <w:t xml:space="preserve"> </w:t>
      </w:r>
      <w:r w:rsidR="00B5494A" w:rsidRPr="00DF5227">
        <w:rPr>
          <w:rFonts w:ascii="Times New Roman" w:hAnsi="Times New Roman" w:cs="Times New Roman"/>
          <w:noProof/>
          <w:sz w:val="24"/>
          <w:szCs w:val="24"/>
          <w:lang w:val="en-GB"/>
        </w:rPr>
        <w:t>And:  “</w:t>
      </w:r>
      <w:r w:rsidR="00B5494A" w:rsidRPr="00DF5227">
        <w:rPr>
          <w:rFonts w:ascii="Times New Roman" w:hAnsi="Times New Roman" w:cs="Times New Roman"/>
          <w:i/>
          <w:color w:val="000000"/>
          <w:sz w:val="24"/>
          <w:szCs w:val="24"/>
          <w:lang w:val="en-GB"/>
        </w:rPr>
        <w:t>While Europe 2020 has potential, EEB believes it will not lead the way to sustainable development in Europe. Therefore we need to work with a real EU Sustainable Development Strategy (SDS) which sets out the main direction under which Europe 2020 can play a role (</w:t>
      </w:r>
      <w:r w:rsidR="00B5494A" w:rsidRPr="00DF5227">
        <w:rPr>
          <w:rFonts w:ascii="Times New Roman" w:hAnsi="Times New Roman" w:cs="Times New Roman"/>
          <w:i/>
          <w:sz w:val="24"/>
          <w:szCs w:val="24"/>
          <w:lang w:val="en-GB"/>
        </w:rPr>
        <w:t xml:space="preserve">EEB Biannual memorandum 2010b: </w:t>
      </w:r>
      <w:r w:rsidR="00B5494A" w:rsidRPr="00DF5227">
        <w:rPr>
          <w:rFonts w:ascii="Times New Roman" w:hAnsi="Times New Roman" w:cs="Times New Roman"/>
          <w:i/>
          <w:color w:val="000000"/>
          <w:sz w:val="24"/>
          <w:szCs w:val="24"/>
          <w:lang w:val="en-GB"/>
        </w:rPr>
        <w:t>8).”</w:t>
      </w:r>
    </w:p>
    <w:p w:rsidR="003B1447" w:rsidRPr="00DF5227" w:rsidRDefault="00565A15" w:rsidP="00BC5346">
      <w:pPr>
        <w:spacing w:line="360" w:lineRule="auto"/>
        <w:jc w:val="both"/>
        <w:rPr>
          <w:rFonts w:ascii="Times New Roman" w:hAnsi="Times New Roman" w:cs="Times New Roman"/>
          <w:noProof/>
          <w:sz w:val="24"/>
          <w:szCs w:val="24"/>
          <w:lang w:val="en-GB" w:eastAsia="da-DK"/>
        </w:rPr>
      </w:pPr>
      <w:r w:rsidRPr="00DF5227">
        <w:rPr>
          <w:rFonts w:ascii="Times New Roman" w:hAnsi="Times New Roman" w:cs="Times New Roman"/>
          <w:noProof/>
          <w:sz w:val="24"/>
          <w:szCs w:val="24"/>
          <w:lang w:val="en-GB" w:eastAsia="da-DK"/>
        </w:rPr>
        <w:t>At the same time</w:t>
      </w:r>
      <w:r w:rsidR="008951E1" w:rsidRPr="00DF5227">
        <w:rPr>
          <w:rFonts w:ascii="Times New Roman" w:hAnsi="Times New Roman" w:cs="Times New Roman"/>
          <w:noProof/>
          <w:sz w:val="24"/>
          <w:szCs w:val="24"/>
          <w:lang w:val="en-GB" w:eastAsia="da-DK"/>
        </w:rPr>
        <w:t>,</w:t>
      </w:r>
      <w:r w:rsidRPr="00DF5227">
        <w:rPr>
          <w:rFonts w:ascii="Times New Roman" w:hAnsi="Times New Roman" w:cs="Times New Roman"/>
          <w:noProof/>
          <w:sz w:val="24"/>
          <w:szCs w:val="24"/>
          <w:lang w:val="en-GB" w:eastAsia="da-DK"/>
        </w:rPr>
        <w:t xml:space="preserve"> </w:t>
      </w:r>
      <w:r w:rsidR="008951E1" w:rsidRPr="00DF5227">
        <w:rPr>
          <w:rFonts w:ascii="Times New Roman" w:hAnsi="Times New Roman" w:cs="Times New Roman"/>
          <w:noProof/>
          <w:sz w:val="24"/>
          <w:szCs w:val="24"/>
          <w:lang w:val="en-GB" w:eastAsia="da-DK"/>
        </w:rPr>
        <w:t xml:space="preserve">the EEB conceived of </w:t>
      </w:r>
      <w:r w:rsidRPr="00DF5227">
        <w:rPr>
          <w:rFonts w:ascii="Times New Roman" w:hAnsi="Times New Roman" w:cs="Times New Roman"/>
          <w:noProof/>
          <w:sz w:val="24"/>
          <w:szCs w:val="24"/>
          <w:lang w:val="en-GB" w:eastAsia="da-DK"/>
        </w:rPr>
        <w:t>sustainable development (rather than ‘growth’ which, when at all used, typically has negative connotations) as serving both European competitiveness and jobcreation.</w:t>
      </w:r>
      <w:r w:rsidR="00B5494A" w:rsidRPr="00DF5227">
        <w:rPr>
          <w:rFonts w:ascii="Times New Roman" w:hAnsi="Times New Roman" w:cs="Times New Roman"/>
          <w:noProof/>
          <w:sz w:val="24"/>
          <w:szCs w:val="24"/>
          <w:lang w:val="en-GB" w:eastAsia="da-DK"/>
        </w:rPr>
        <w:t xml:space="preserve"> The EEB argue</w:t>
      </w:r>
      <w:r w:rsidR="008951E1" w:rsidRPr="00DF5227">
        <w:rPr>
          <w:rFonts w:ascii="Times New Roman" w:hAnsi="Times New Roman" w:cs="Times New Roman"/>
          <w:noProof/>
          <w:sz w:val="24"/>
          <w:szCs w:val="24"/>
          <w:lang w:val="en-GB" w:eastAsia="da-DK"/>
        </w:rPr>
        <w:t>s</w:t>
      </w:r>
      <w:r w:rsidR="00B5494A" w:rsidRPr="00DF5227">
        <w:rPr>
          <w:rFonts w:ascii="Times New Roman" w:hAnsi="Times New Roman" w:cs="Times New Roman"/>
          <w:noProof/>
          <w:sz w:val="24"/>
          <w:szCs w:val="24"/>
          <w:lang w:val="en-GB" w:eastAsia="da-DK"/>
        </w:rPr>
        <w:t xml:space="preserve"> that: </w:t>
      </w:r>
      <w:r w:rsidR="00882D2C" w:rsidRPr="00DF5227">
        <w:rPr>
          <w:rFonts w:ascii="Times New Roman" w:hAnsi="Times New Roman" w:cs="Times New Roman"/>
          <w:i/>
          <w:noProof/>
          <w:sz w:val="24"/>
          <w:szCs w:val="24"/>
          <w:lang w:val="en-GB"/>
        </w:rPr>
        <w:t>“</w:t>
      </w:r>
      <w:r w:rsidR="00882D2C" w:rsidRPr="00DF5227">
        <w:rPr>
          <w:rFonts w:ascii="Times New Roman" w:hAnsi="Times New Roman" w:cs="Times New Roman"/>
          <w:i/>
          <w:color w:val="000000"/>
          <w:sz w:val="24"/>
          <w:szCs w:val="24"/>
          <w:lang w:val="en-GB"/>
        </w:rPr>
        <w:t>If Europe does not take steps to invest in its own green technology base, to secure a greener economy, it risks losing out to others. By investing in efforts to meet a more ambitious target, the EU will also invest in its own sustainable future, creating new, local and long term jobs, driving innovation and technological change (</w:t>
      </w:r>
      <w:r w:rsidR="00882D2C" w:rsidRPr="00DF5227">
        <w:rPr>
          <w:rFonts w:ascii="Times New Roman" w:hAnsi="Times New Roman" w:cs="Times New Roman"/>
          <w:i/>
          <w:sz w:val="24"/>
          <w:szCs w:val="24"/>
          <w:lang w:val="en-GB"/>
        </w:rPr>
        <w:t xml:space="preserve">EEB Biannual memorandum 2010b: </w:t>
      </w:r>
      <w:r w:rsidR="00882D2C" w:rsidRPr="00DF5227">
        <w:rPr>
          <w:rFonts w:ascii="Times New Roman" w:hAnsi="Times New Roman" w:cs="Times New Roman"/>
          <w:i/>
          <w:color w:val="000000"/>
          <w:sz w:val="24"/>
          <w:szCs w:val="24"/>
          <w:lang w:val="en-GB"/>
        </w:rPr>
        <w:t>9).”</w:t>
      </w:r>
      <w:r w:rsidR="00DE6E5B" w:rsidRPr="00DF5227">
        <w:rPr>
          <w:rFonts w:ascii="Times New Roman" w:hAnsi="Times New Roman" w:cs="Times New Roman"/>
          <w:color w:val="000000"/>
          <w:sz w:val="24"/>
          <w:szCs w:val="24"/>
          <w:lang w:val="en-GB"/>
        </w:rPr>
        <w:t xml:space="preserve"> </w:t>
      </w:r>
      <w:r w:rsidR="00E0152F" w:rsidRPr="00DF5227">
        <w:rPr>
          <w:rFonts w:ascii="Times New Roman" w:hAnsi="Times New Roman" w:cs="Times New Roman"/>
          <w:noProof/>
          <w:sz w:val="24"/>
          <w:szCs w:val="24"/>
          <w:lang w:val="en-GB" w:eastAsia="da-DK"/>
        </w:rPr>
        <w:t>This suggest</w:t>
      </w:r>
      <w:r w:rsidR="00F52177" w:rsidRPr="00DF5227">
        <w:rPr>
          <w:rFonts w:ascii="Times New Roman" w:hAnsi="Times New Roman" w:cs="Times New Roman"/>
          <w:noProof/>
          <w:sz w:val="24"/>
          <w:szCs w:val="24"/>
          <w:lang w:val="en-GB" w:eastAsia="da-DK"/>
        </w:rPr>
        <w:t>s</w:t>
      </w:r>
      <w:r w:rsidR="00E0152F" w:rsidRPr="00DF5227">
        <w:rPr>
          <w:rFonts w:ascii="Times New Roman" w:hAnsi="Times New Roman" w:cs="Times New Roman"/>
          <w:noProof/>
          <w:sz w:val="24"/>
          <w:szCs w:val="24"/>
          <w:lang w:val="en-GB" w:eastAsia="da-DK"/>
        </w:rPr>
        <w:t xml:space="preserve"> that, while Europe 2020 has boosed the myth of green Europe</w:t>
      </w:r>
      <w:r w:rsidR="00464CE2" w:rsidRPr="00DF5227">
        <w:rPr>
          <w:rFonts w:ascii="Times New Roman" w:hAnsi="Times New Roman" w:cs="Times New Roman"/>
          <w:noProof/>
          <w:sz w:val="24"/>
          <w:szCs w:val="24"/>
          <w:lang w:val="en-GB" w:eastAsia="da-DK"/>
        </w:rPr>
        <w:t xml:space="preserve"> and</w:t>
      </w:r>
      <w:r w:rsidR="00E0152F" w:rsidRPr="00DF5227">
        <w:rPr>
          <w:rFonts w:ascii="Times New Roman" w:hAnsi="Times New Roman" w:cs="Times New Roman"/>
          <w:noProof/>
          <w:sz w:val="24"/>
          <w:szCs w:val="24"/>
          <w:lang w:val="en-GB" w:eastAsia="da-DK"/>
        </w:rPr>
        <w:t xml:space="preserve"> the EEB</w:t>
      </w:r>
      <w:r w:rsidR="00464CE2" w:rsidRPr="00DF5227">
        <w:rPr>
          <w:rFonts w:ascii="Times New Roman" w:hAnsi="Times New Roman" w:cs="Times New Roman"/>
          <w:noProof/>
          <w:sz w:val="24"/>
          <w:szCs w:val="24"/>
          <w:lang w:val="en-GB" w:eastAsia="da-DK"/>
        </w:rPr>
        <w:t xml:space="preserve"> does associate sustain</w:t>
      </w:r>
      <w:r w:rsidR="003A0109" w:rsidRPr="00DF5227">
        <w:rPr>
          <w:rFonts w:ascii="Times New Roman" w:hAnsi="Times New Roman" w:cs="Times New Roman"/>
          <w:noProof/>
          <w:sz w:val="24"/>
          <w:szCs w:val="24"/>
          <w:lang w:val="en-GB" w:eastAsia="da-DK"/>
        </w:rPr>
        <w:t>a</w:t>
      </w:r>
      <w:r w:rsidR="00464CE2" w:rsidRPr="00DF5227">
        <w:rPr>
          <w:rFonts w:ascii="Times New Roman" w:hAnsi="Times New Roman" w:cs="Times New Roman"/>
          <w:noProof/>
          <w:sz w:val="24"/>
          <w:szCs w:val="24"/>
          <w:lang w:val="en-GB" w:eastAsia="da-DK"/>
        </w:rPr>
        <w:t xml:space="preserve">bility with competitiveness and jobcreation, </w:t>
      </w:r>
      <w:r w:rsidR="009C67BD" w:rsidRPr="00DF5227">
        <w:rPr>
          <w:rFonts w:ascii="Times New Roman" w:hAnsi="Times New Roman" w:cs="Times New Roman"/>
          <w:noProof/>
          <w:sz w:val="24"/>
          <w:szCs w:val="24"/>
          <w:lang w:val="en-GB" w:eastAsia="da-DK"/>
        </w:rPr>
        <w:t xml:space="preserve">for the EEB the latter follow from a sustainable development path, not the other way around or as eaqually important objectives. </w:t>
      </w:r>
    </w:p>
    <w:p w:rsidR="00650555" w:rsidRPr="00DF5227" w:rsidRDefault="00DE6E5B" w:rsidP="00BC5346">
      <w:pPr>
        <w:pStyle w:val="NormalWeb"/>
        <w:spacing w:line="360" w:lineRule="auto"/>
        <w:jc w:val="both"/>
        <w:rPr>
          <w:lang w:val="en-GB"/>
        </w:rPr>
      </w:pPr>
      <w:r w:rsidRPr="00DF5227">
        <w:rPr>
          <w:color w:val="000000"/>
          <w:lang w:val="en-GB"/>
        </w:rPr>
        <w:t xml:space="preserve">A closer look at the Social Platforms </w:t>
      </w:r>
      <w:r w:rsidRPr="00DF5227">
        <w:rPr>
          <w:noProof/>
          <w:lang w:val="en-GB"/>
        </w:rPr>
        <w:t xml:space="preserve">reception of Europe 2020 suggests that they conceive of inclusive growth as a respond to exsisting and failed EU macro-economic policies. Not without an amount of sarkasm </w:t>
      </w:r>
      <w:r w:rsidRPr="00DF5227">
        <w:rPr>
          <w:color w:val="000000"/>
          <w:lang w:val="en-GB"/>
        </w:rPr>
        <w:t xml:space="preserve">the Social Platform claims that: </w:t>
      </w:r>
      <w:r w:rsidRPr="00DF5227">
        <w:rPr>
          <w:i/>
          <w:color w:val="000000"/>
          <w:lang w:val="en-GB"/>
        </w:rPr>
        <w:t>“The new motto for the EU has become “budget consolidation and austerity measures” in response to the demands of the ﬁnancial markets. Alerted by our members to the situation on the ground we instead proposed a Social Pact to achieve an inclusive recovery (</w:t>
      </w:r>
      <w:r w:rsidRPr="00DF5227">
        <w:rPr>
          <w:i/>
          <w:lang w:val="en-GB"/>
        </w:rPr>
        <w:t xml:space="preserve">Social Platform annual report 2011: </w:t>
      </w:r>
      <w:r w:rsidRPr="00DF5227">
        <w:rPr>
          <w:i/>
          <w:color w:val="000000"/>
          <w:lang w:val="en-GB"/>
        </w:rPr>
        <w:t>1).”</w:t>
      </w:r>
      <w:r w:rsidRPr="00DF5227">
        <w:rPr>
          <w:color w:val="000000"/>
          <w:lang w:val="en-GB"/>
        </w:rPr>
        <w:t xml:space="preserve"> And: </w:t>
      </w:r>
      <w:r w:rsidRPr="00DF5227">
        <w:rPr>
          <w:i/>
          <w:color w:val="000000"/>
          <w:lang w:val="en-GB"/>
        </w:rPr>
        <w:t>“The EU is back once again to the growth and jobs agenda that was not successful in the past. The reason - growth at any cost is not what people want, they want an inclusive growth based on solidarity and social justice (</w:t>
      </w:r>
      <w:r w:rsidRPr="00DF5227">
        <w:rPr>
          <w:i/>
          <w:lang w:val="en-GB"/>
        </w:rPr>
        <w:t xml:space="preserve">Social Platform annual report 2011: </w:t>
      </w:r>
      <w:r w:rsidRPr="00DF5227">
        <w:rPr>
          <w:i/>
          <w:color w:val="000000"/>
          <w:lang w:val="en-GB"/>
        </w:rPr>
        <w:t>1).”</w:t>
      </w:r>
      <w:r w:rsidR="00783D96" w:rsidRPr="00DF5227">
        <w:rPr>
          <w:color w:val="000000"/>
          <w:lang w:val="en-GB"/>
        </w:rPr>
        <w:t xml:space="preserve"> </w:t>
      </w:r>
      <w:r w:rsidR="00447FFE" w:rsidRPr="00DF5227">
        <w:rPr>
          <w:color w:val="000000"/>
          <w:lang w:val="en-GB"/>
        </w:rPr>
        <w:t>While the Social Platform makes use of the phrase ‘inclusive recovery’</w:t>
      </w:r>
      <w:r w:rsidR="007260B5" w:rsidRPr="00DF5227">
        <w:rPr>
          <w:color w:val="000000"/>
          <w:lang w:val="en-GB"/>
        </w:rPr>
        <w:t xml:space="preserve"> and distance themselves from a ‘growth and jobs agenda’</w:t>
      </w:r>
      <w:r w:rsidR="00447FFE" w:rsidRPr="00DF5227">
        <w:rPr>
          <w:color w:val="000000"/>
          <w:lang w:val="en-GB"/>
        </w:rPr>
        <w:t xml:space="preserve">, they are not reluctant to </w:t>
      </w:r>
      <w:r w:rsidR="007260B5" w:rsidRPr="00DF5227">
        <w:rPr>
          <w:color w:val="000000"/>
          <w:lang w:val="en-GB"/>
        </w:rPr>
        <w:t xml:space="preserve">associate societal and labour market inclusiveness with growth. </w:t>
      </w:r>
      <w:r w:rsidR="00562BB6" w:rsidRPr="00DF5227">
        <w:rPr>
          <w:color w:val="000000"/>
          <w:lang w:val="en-GB"/>
        </w:rPr>
        <w:t xml:space="preserve">As an </w:t>
      </w:r>
      <w:r w:rsidR="00585B9E" w:rsidRPr="00DF5227">
        <w:rPr>
          <w:color w:val="000000"/>
          <w:lang w:val="en-GB"/>
        </w:rPr>
        <w:t>example</w:t>
      </w:r>
      <w:r w:rsidR="007260B5" w:rsidRPr="00DF5227">
        <w:rPr>
          <w:color w:val="000000"/>
          <w:lang w:val="en-GB"/>
        </w:rPr>
        <w:t>,</w:t>
      </w:r>
      <w:r w:rsidR="00585B9E" w:rsidRPr="00DF5227">
        <w:rPr>
          <w:color w:val="000000"/>
          <w:lang w:val="en-GB"/>
        </w:rPr>
        <w:t xml:space="preserve"> </w:t>
      </w:r>
      <w:r w:rsidR="00562BB6" w:rsidRPr="00DF5227">
        <w:rPr>
          <w:color w:val="000000"/>
          <w:lang w:val="en-GB"/>
        </w:rPr>
        <w:t>the Social Platform argue</w:t>
      </w:r>
      <w:r w:rsidR="007260B5" w:rsidRPr="00DF5227">
        <w:rPr>
          <w:color w:val="000000"/>
          <w:lang w:val="en-GB"/>
        </w:rPr>
        <w:t>s</w:t>
      </w:r>
      <w:r w:rsidR="00562BB6" w:rsidRPr="00DF5227">
        <w:rPr>
          <w:color w:val="000000"/>
          <w:lang w:val="en-GB"/>
        </w:rPr>
        <w:t xml:space="preserve"> specifically </w:t>
      </w:r>
      <w:r w:rsidR="007260B5" w:rsidRPr="00DF5227">
        <w:rPr>
          <w:color w:val="000000"/>
          <w:lang w:val="en-GB"/>
        </w:rPr>
        <w:t xml:space="preserve">that </w:t>
      </w:r>
      <w:r w:rsidR="00562BB6" w:rsidRPr="00DF5227">
        <w:rPr>
          <w:color w:val="000000"/>
          <w:lang w:val="en-GB"/>
        </w:rPr>
        <w:t xml:space="preserve">care policies and services: </w:t>
      </w:r>
      <w:r w:rsidR="007260B5" w:rsidRPr="00DF5227">
        <w:rPr>
          <w:i/>
          <w:color w:val="000000"/>
          <w:lang w:val="en-GB"/>
        </w:rPr>
        <w:t>“</w:t>
      </w:r>
      <w:r w:rsidR="00F9745C" w:rsidRPr="00DF5227">
        <w:rPr>
          <w:i/>
          <w:color w:val="000000"/>
          <w:lang w:val="en-GB"/>
        </w:rPr>
        <w:t xml:space="preserve">are not a cost as they are generally perceived but are a social investment for the sustainability of European societies and an under exploited source of employment. Our starting point - not only is care a human right but it also beneﬁts our </w:t>
      </w:r>
      <w:r w:rsidR="00F9745C" w:rsidRPr="00DF5227">
        <w:rPr>
          <w:i/>
          <w:color w:val="000000"/>
          <w:lang w:val="en-GB"/>
        </w:rPr>
        <w:lastRenderedPageBreak/>
        <w:t>societies (</w:t>
      </w:r>
      <w:r w:rsidR="00F9745C" w:rsidRPr="00DF5227">
        <w:rPr>
          <w:i/>
          <w:lang w:val="en-GB"/>
        </w:rPr>
        <w:t>Social Platform annual report 2011: 2</w:t>
      </w:r>
      <w:r w:rsidR="00F9745C" w:rsidRPr="00DF5227">
        <w:rPr>
          <w:i/>
          <w:color w:val="000000"/>
          <w:lang w:val="en-GB"/>
        </w:rPr>
        <w:t>)</w:t>
      </w:r>
      <w:r w:rsidR="00562BB6" w:rsidRPr="00DF5227">
        <w:rPr>
          <w:i/>
          <w:color w:val="000000"/>
          <w:lang w:val="en-GB"/>
        </w:rPr>
        <w:t>.</w:t>
      </w:r>
      <w:r w:rsidR="00F9745C" w:rsidRPr="00DF5227">
        <w:rPr>
          <w:i/>
          <w:color w:val="000000"/>
          <w:lang w:val="en-GB"/>
        </w:rPr>
        <w:t>”</w:t>
      </w:r>
      <w:r w:rsidRPr="00DF5227">
        <w:rPr>
          <w:color w:val="000000"/>
          <w:lang w:val="en-GB"/>
        </w:rPr>
        <w:t xml:space="preserve"> </w:t>
      </w:r>
      <w:r w:rsidR="00650555" w:rsidRPr="00DF5227">
        <w:rPr>
          <w:lang w:val="en-GB"/>
        </w:rPr>
        <w:t>Together this suggests that Europe 2020 has boosted the myth of social Europe</w:t>
      </w:r>
      <w:r w:rsidR="00562BB6" w:rsidRPr="00DF5227">
        <w:rPr>
          <w:lang w:val="en-GB"/>
        </w:rPr>
        <w:t xml:space="preserve"> but also that</w:t>
      </w:r>
      <w:r w:rsidR="007260B5" w:rsidRPr="00DF5227">
        <w:rPr>
          <w:lang w:val="en-GB"/>
        </w:rPr>
        <w:t>,</w:t>
      </w:r>
      <w:r w:rsidR="00562BB6" w:rsidRPr="00DF5227">
        <w:rPr>
          <w:lang w:val="en-GB"/>
        </w:rPr>
        <w:t xml:space="preserve"> while </w:t>
      </w:r>
      <w:r w:rsidR="00650555" w:rsidRPr="00DF5227">
        <w:rPr>
          <w:lang w:val="en-GB"/>
        </w:rPr>
        <w:t xml:space="preserve">the Social Platform </w:t>
      </w:r>
      <w:r w:rsidR="00A65147" w:rsidRPr="00DF5227">
        <w:rPr>
          <w:lang w:val="en-GB"/>
        </w:rPr>
        <w:t xml:space="preserve">give more emphasis to social justice, they are </w:t>
      </w:r>
      <w:r w:rsidR="00650555" w:rsidRPr="00DF5227">
        <w:rPr>
          <w:lang w:val="en-GB"/>
        </w:rPr>
        <w:t xml:space="preserve">possibly more in line with </w:t>
      </w:r>
      <w:r w:rsidR="007260B5" w:rsidRPr="00DF5227">
        <w:rPr>
          <w:lang w:val="en-GB"/>
        </w:rPr>
        <w:t>the social Europe</w:t>
      </w:r>
      <w:r w:rsidR="00A65147" w:rsidRPr="00DF5227">
        <w:rPr>
          <w:lang w:val="en-GB"/>
        </w:rPr>
        <w:t xml:space="preserve"> myth</w:t>
      </w:r>
      <w:r w:rsidR="007260B5" w:rsidRPr="00DF5227">
        <w:rPr>
          <w:lang w:val="en-GB"/>
        </w:rPr>
        <w:t>, than the EEB is with the green Europe</w:t>
      </w:r>
      <w:r w:rsidR="00A65147" w:rsidRPr="00DF5227">
        <w:rPr>
          <w:lang w:val="en-GB"/>
        </w:rPr>
        <w:t xml:space="preserve"> myth, both as represented by Europe 2020</w:t>
      </w:r>
      <w:r w:rsidR="007260B5" w:rsidRPr="00DF5227">
        <w:rPr>
          <w:lang w:val="en-GB"/>
        </w:rPr>
        <w:t xml:space="preserve">.  </w:t>
      </w:r>
    </w:p>
    <w:p w:rsidR="00DE6E5B" w:rsidRPr="00DF5227" w:rsidRDefault="00DE6E5B" w:rsidP="00BC5346">
      <w:pPr>
        <w:pStyle w:val="NormalWeb"/>
        <w:spacing w:line="360" w:lineRule="auto"/>
        <w:jc w:val="both"/>
        <w:rPr>
          <w:i/>
          <w:color w:val="000000"/>
          <w:lang w:val="en-GB"/>
        </w:rPr>
      </w:pPr>
      <w:r w:rsidRPr="00DF5227">
        <w:rPr>
          <w:lang w:val="en-GB"/>
        </w:rPr>
        <w:t>The ETUC highlights the link</w:t>
      </w:r>
      <w:r w:rsidR="009757E1" w:rsidRPr="00DF5227">
        <w:rPr>
          <w:lang w:val="en-GB"/>
        </w:rPr>
        <w:t>s</w:t>
      </w:r>
      <w:r w:rsidRPr="00DF5227">
        <w:rPr>
          <w:lang w:val="en-GB"/>
        </w:rPr>
        <w:t xml:space="preserve"> between</w:t>
      </w:r>
      <w:r w:rsidR="009757E1" w:rsidRPr="00DF5227">
        <w:rPr>
          <w:lang w:val="en-GB"/>
        </w:rPr>
        <w:t>,</w:t>
      </w:r>
      <w:r w:rsidRPr="00DF5227">
        <w:rPr>
          <w:lang w:val="en-GB"/>
        </w:rPr>
        <w:t xml:space="preserve"> and need for</w:t>
      </w:r>
      <w:r w:rsidR="009757E1" w:rsidRPr="00DF5227">
        <w:rPr>
          <w:lang w:val="en-GB"/>
        </w:rPr>
        <w:t>,</w:t>
      </w:r>
      <w:r w:rsidRPr="00DF5227">
        <w:rPr>
          <w:lang w:val="en-GB"/>
        </w:rPr>
        <w:t xml:space="preserve"> investments in public services </w:t>
      </w:r>
      <w:r w:rsidR="009757E1" w:rsidRPr="00DF5227">
        <w:rPr>
          <w:lang w:val="en-GB"/>
        </w:rPr>
        <w:t xml:space="preserve">on the one hand and, on the other hand, </w:t>
      </w:r>
      <w:r w:rsidRPr="00DF5227">
        <w:rPr>
          <w:lang w:val="en-GB"/>
        </w:rPr>
        <w:t xml:space="preserve">the </w:t>
      </w:r>
      <w:r w:rsidR="009757E1" w:rsidRPr="00DF5227">
        <w:rPr>
          <w:lang w:val="en-GB"/>
        </w:rPr>
        <w:t xml:space="preserve">defence of the </w:t>
      </w:r>
      <w:r w:rsidRPr="00DF5227">
        <w:rPr>
          <w:lang w:val="en-GB"/>
        </w:rPr>
        <w:t xml:space="preserve">‘European social model’ and </w:t>
      </w:r>
      <w:r w:rsidR="009757E1" w:rsidRPr="00DF5227">
        <w:rPr>
          <w:lang w:val="en-GB"/>
        </w:rPr>
        <w:t xml:space="preserve">promotion of </w:t>
      </w:r>
      <w:r w:rsidRPr="00DF5227">
        <w:rPr>
          <w:lang w:val="en-GB"/>
        </w:rPr>
        <w:t xml:space="preserve">sustainability </w:t>
      </w:r>
      <w:r w:rsidRPr="00DF5227">
        <w:rPr>
          <w:color w:val="000000"/>
          <w:lang w:val="en-GB"/>
        </w:rPr>
        <w:t xml:space="preserve">(e.g. </w:t>
      </w:r>
      <w:r w:rsidRPr="00DF5227">
        <w:rPr>
          <w:lang w:val="en-GB"/>
        </w:rPr>
        <w:t xml:space="preserve">ETUC annual resolutions 2010: 16). At the same time, ETUC’s reception is possibly the most in line with Europe 2020. Specific in relation to the Common Agricultural Policy, the ETUC state that: </w:t>
      </w:r>
      <w:r w:rsidR="00783D96" w:rsidRPr="00DF5227">
        <w:rPr>
          <w:i/>
          <w:lang w:val="en-GB"/>
        </w:rPr>
        <w:t>“</w:t>
      </w:r>
      <w:r w:rsidRPr="00DF5227">
        <w:rPr>
          <w:i/>
          <w:color w:val="000000"/>
          <w:lang w:val="en-GB"/>
        </w:rPr>
        <w:t xml:space="preserve">The CAP must follow the logic of the EU 2020 Strategy and contribute to the ﬁnancing of its implementation, and not on the contrary. The beneﬁciary enterprises have to respect, in particular, social and labour standards. Consequently, in future, the connection between the CAP and the sustainable and inclusive development objectives (creation of quality jobs, social cohesion, </w:t>
      </w:r>
      <w:proofErr w:type="gramStart"/>
      <w:r w:rsidRPr="00DF5227">
        <w:rPr>
          <w:i/>
          <w:color w:val="000000"/>
          <w:lang w:val="en-GB"/>
        </w:rPr>
        <w:t>environmental</w:t>
      </w:r>
      <w:proofErr w:type="gramEnd"/>
      <w:r w:rsidRPr="00DF5227">
        <w:rPr>
          <w:i/>
          <w:color w:val="000000"/>
          <w:lang w:val="en-GB"/>
        </w:rPr>
        <w:t xml:space="preserve"> protection) must be consolidated and strengthened (</w:t>
      </w:r>
      <w:r w:rsidRPr="00DF5227">
        <w:rPr>
          <w:i/>
          <w:lang w:val="en-GB"/>
        </w:rPr>
        <w:t>ETUC annual resolutions 2010: 34)</w:t>
      </w:r>
      <w:r w:rsidRPr="00DF5227">
        <w:rPr>
          <w:i/>
          <w:color w:val="000000"/>
          <w:lang w:val="en-GB"/>
        </w:rPr>
        <w:t>.”</w:t>
      </w:r>
      <w:r w:rsidR="00F551FE">
        <w:rPr>
          <w:color w:val="000000"/>
          <w:lang w:val="en-GB"/>
        </w:rPr>
        <w:t xml:space="preserve"> </w:t>
      </w:r>
      <w:r w:rsidRPr="00DF5227">
        <w:rPr>
          <w:i/>
          <w:color w:val="000000"/>
          <w:lang w:val="en-GB"/>
        </w:rPr>
        <w:t xml:space="preserve"> </w:t>
      </w:r>
    </w:p>
    <w:p w:rsidR="00590F70" w:rsidRPr="00DF5227" w:rsidRDefault="00590F70" w:rsidP="00BC5346">
      <w:pPr>
        <w:spacing w:line="360" w:lineRule="auto"/>
        <w:jc w:val="both"/>
        <w:rPr>
          <w:rFonts w:ascii="Times New Roman" w:hAnsi="Times New Roman" w:cs="Times New Roman"/>
          <w:color w:val="000000"/>
          <w:sz w:val="24"/>
          <w:szCs w:val="24"/>
          <w:lang w:val="en-GB"/>
        </w:rPr>
      </w:pPr>
      <w:r w:rsidRPr="00DF5227">
        <w:rPr>
          <w:rFonts w:ascii="Times New Roman" w:hAnsi="Times New Roman" w:cs="Times New Roman"/>
          <w:sz w:val="24"/>
          <w:szCs w:val="24"/>
          <w:lang w:val="en-GB"/>
        </w:rPr>
        <w:t xml:space="preserve">The quantitative indicators suggest the Businesseurope is the most concern with ‘smart growth’. A closer look show that Businesseurope links both ‘smart’ and ‘sustainable’ growth with structural reform and </w:t>
      </w:r>
      <w:r w:rsidRPr="00DF5227">
        <w:rPr>
          <w:rFonts w:ascii="Times New Roman" w:hAnsi="Times New Roman" w:cs="Times New Roman"/>
          <w:color w:val="000000"/>
          <w:sz w:val="24"/>
          <w:szCs w:val="24"/>
          <w:lang w:val="en-GB"/>
        </w:rPr>
        <w:t>austerity</w:t>
      </w:r>
      <w:r w:rsidRPr="00DF5227">
        <w:rPr>
          <w:rFonts w:ascii="Times New Roman" w:hAnsi="Times New Roman" w:cs="Times New Roman"/>
          <w:sz w:val="24"/>
          <w:szCs w:val="24"/>
          <w:lang w:val="en-GB"/>
        </w:rPr>
        <w:t xml:space="preserve"> measures. Illustrative of this Businesseurope argues that: </w:t>
      </w:r>
      <w:r w:rsidRPr="00DF5227">
        <w:rPr>
          <w:rFonts w:ascii="Times New Roman" w:hAnsi="Times New Roman" w:cs="Times New Roman"/>
          <w:i/>
          <w:color w:val="000000"/>
          <w:sz w:val="24"/>
          <w:szCs w:val="24"/>
          <w:lang w:val="en-GB"/>
        </w:rPr>
        <w:t>“A reform agenda for a smart consolidation of public finances should focus on expenditure cuts while preserving productive public investments in education, innovation and infrastructure, and undertaking growth-enhancing tax reforms. The fear of a tax-driven budgetary consolidation underlines the necessity to combine fiscal sustainability and growth, and this can only be achieved through far-reaching structural reforms (</w:t>
      </w:r>
      <w:r w:rsidRPr="00DF5227">
        <w:rPr>
          <w:rFonts w:ascii="Times New Roman" w:hAnsi="Times New Roman" w:cs="Times New Roman"/>
          <w:i/>
          <w:sz w:val="24"/>
          <w:szCs w:val="24"/>
          <w:lang w:val="en-GB"/>
        </w:rPr>
        <w:t>Businesseurope b</w:t>
      </w:r>
      <w:r w:rsidRPr="00DF5227">
        <w:rPr>
          <w:rFonts w:ascii="Times New Roman" w:hAnsi="Times New Roman" w:cs="Times New Roman"/>
          <w:i/>
          <w:iCs/>
          <w:sz w:val="24"/>
          <w:szCs w:val="24"/>
          <w:lang w:val="en-GB"/>
        </w:rPr>
        <w:t xml:space="preserve">iannual economic outlook 2011a: </w:t>
      </w:r>
      <w:r w:rsidRPr="00DF5227">
        <w:rPr>
          <w:rFonts w:ascii="Times New Roman" w:hAnsi="Times New Roman" w:cs="Times New Roman"/>
          <w:i/>
          <w:color w:val="000000"/>
          <w:sz w:val="24"/>
          <w:szCs w:val="24"/>
          <w:lang w:val="en-GB"/>
        </w:rPr>
        <w:t>13)</w:t>
      </w:r>
      <w:r w:rsidR="003164E1" w:rsidRPr="00DF5227">
        <w:rPr>
          <w:rFonts w:ascii="Times New Roman" w:hAnsi="Times New Roman" w:cs="Times New Roman"/>
          <w:i/>
          <w:color w:val="000000"/>
          <w:sz w:val="24"/>
          <w:szCs w:val="24"/>
          <w:lang w:val="en-GB"/>
        </w:rPr>
        <w:t>.</w:t>
      </w:r>
      <w:r w:rsidRPr="00DF5227">
        <w:rPr>
          <w:rFonts w:ascii="Times New Roman" w:hAnsi="Times New Roman" w:cs="Times New Roman"/>
          <w:i/>
          <w:color w:val="000000"/>
          <w:sz w:val="24"/>
          <w:szCs w:val="24"/>
          <w:lang w:val="en-GB"/>
        </w:rPr>
        <w:t>”</w:t>
      </w:r>
      <w:r w:rsidR="003164E1" w:rsidRPr="00DF5227">
        <w:rPr>
          <w:rFonts w:ascii="Times New Roman" w:hAnsi="Times New Roman" w:cs="Times New Roman"/>
          <w:color w:val="000000"/>
          <w:sz w:val="24"/>
          <w:szCs w:val="24"/>
          <w:lang w:val="en-GB"/>
        </w:rPr>
        <w:t xml:space="preserve"> </w:t>
      </w:r>
      <w:r w:rsidR="00463F75" w:rsidRPr="00DF5227">
        <w:rPr>
          <w:rFonts w:ascii="Times New Roman" w:hAnsi="Times New Roman" w:cs="Times New Roman"/>
          <w:color w:val="000000"/>
          <w:sz w:val="24"/>
          <w:szCs w:val="24"/>
          <w:lang w:val="en-GB"/>
        </w:rPr>
        <w:t xml:space="preserve">Opposed to the EEB, Socialplatform, and ETUC, </w:t>
      </w:r>
      <w:r w:rsidR="003164E1" w:rsidRPr="00DF5227">
        <w:rPr>
          <w:rFonts w:ascii="Times New Roman" w:hAnsi="Times New Roman" w:cs="Times New Roman"/>
          <w:color w:val="000000"/>
          <w:sz w:val="24"/>
          <w:szCs w:val="24"/>
          <w:lang w:val="en-GB"/>
        </w:rPr>
        <w:t xml:space="preserve">Businesseurope is </w:t>
      </w:r>
      <w:r w:rsidR="00DD6380" w:rsidRPr="00DF5227">
        <w:rPr>
          <w:rFonts w:ascii="Times New Roman" w:hAnsi="Times New Roman" w:cs="Times New Roman"/>
          <w:color w:val="000000"/>
          <w:sz w:val="24"/>
          <w:szCs w:val="24"/>
          <w:lang w:val="en-GB"/>
        </w:rPr>
        <w:t xml:space="preserve">thus </w:t>
      </w:r>
      <w:r w:rsidR="00463F75" w:rsidRPr="00DF5227">
        <w:rPr>
          <w:rFonts w:ascii="Times New Roman" w:hAnsi="Times New Roman" w:cs="Times New Roman"/>
          <w:color w:val="000000"/>
          <w:sz w:val="24"/>
          <w:szCs w:val="24"/>
          <w:lang w:val="en-GB"/>
        </w:rPr>
        <w:t>associat</w:t>
      </w:r>
      <w:r w:rsidR="008117A4" w:rsidRPr="00DF5227">
        <w:rPr>
          <w:rFonts w:ascii="Times New Roman" w:hAnsi="Times New Roman" w:cs="Times New Roman"/>
          <w:color w:val="000000"/>
          <w:sz w:val="24"/>
          <w:szCs w:val="24"/>
          <w:lang w:val="en-GB"/>
        </w:rPr>
        <w:t>ing</w:t>
      </w:r>
      <w:r w:rsidR="00DB24F1" w:rsidRPr="00DF5227">
        <w:rPr>
          <w:rFonts w:ascii="Times New Roman" w:hAnsi="Times New Roman" w:cs="Times New Roman"/>
          <w:color w:val="000000"/>
          <w:sz w:val="24"/>
          <w:szCs w:val="24"/>
          <w:lang w:val="en-GB"/>
        </w:rPr>
        <w:t xml:space="preserve"> sustainability</w:t>
      </w:r>
      <w:r w:rsidR="00463F75" w:rsidRPr="00DF5227">
        <w:rPr>
          <w:rFonts w:ascii="Times New Roman" w:hAnsi="Times New Roman" w:cs="Times New Roman"/>
          <w:color w:val="000000"/>
          <w:sz w:val="24"/>
          <w:szCs w:val="24"/>
          <w:lang w:val="en-GB"/>
        </w:rPr>
        <w:t xml:space="preserve"> with </w:t>
      </w:r>
      <w:r w:rsidR="00DB24F1" w:rsidRPr="00DF5227">
        <w:rPr>
          <w:rFonts w:ascii="Times New Roman" w:hAnsi="Times New Roman" w:cs="Times New Roman"/>
          <w:color w:val="000000"/>
          <w:sz w:val="24"/>
          <w:szCs w:val="24"/>
          <w:lang w:val="en-GB"/>
        </w:rPr>
        <w:t xml:space="preserve">public finances, public debts, fiscal policies and stability </w:t>
      </w:r>
      <w:r w:rsidR="00DD6380" w:rsidRPr="00DF5227">
        <w:rPr>
          <w:rFonts w:ascii="Times New Roman" w:hAnsi="Times New Roman" w:cs="Times New Roman"/>
          <w:color w:val="000000"/>
          <w:sz w:val="24"/>
          <w:szCs w:val="24"/>
          <w:lang w:val="en-GB"/>
        </w:rPr>
        <w:t>(i</w:t>
      </w:r>
      <w:r w:rsidR="00DB24F1" w:rsidRPr="00DF5227">
        <w:rPr>
          <w:rFonts w:ascii="Times New Roman" w:hAnsi="Times New Roman" w:cs="Times New Roman"/>
          <w:color w:val="000000"/>
          <w:sz w:val="24"/>
          <w:szCs w:val="24"/>
          <w:lang w:val="en-GB"/>
        </w:rPr>
        <w:t xml:space="preserve">n fact more than 40% of all mentions </w:t>
      </w:r>
      <w:r w:rsidR="00DD6380" w:rsidRPr="00DF5227">
        <w:rPr>
          <w:rFonts w:ascii="Times New Roman" w:hAnsi="Times New Roman" w:cs="Times New Roman"/>
          <w:color w:val="000000"/>
          <w:sz w:val="24"/>
          <w:szCs w:val="24"/>
          <w:lang w:val="en-GB"/>
        </w:rPr>
        <w:t xml:space="preserve">by Businesseurope </w:t>
      </w:r>
      <w:r w:rsidR="00DB24F1" w:rsidRPr="00DF5227">
        <w:rPr>
          <w:rFonts w:ascii="Times New Roman" w:hAnsi="Times New Roman" w:cs="Times New Roman"/>
          <w:color w:val="000000"/>
          <w:sz w:val="24"/>
          <w:szCs w:val="24"/>
          <w:lang w:val="en-GB"/>
        </w:rPr>
        <w:t xml:space="preserve">of ‘un-‘/‘sustainability </w:t>
      </w:r>
      <w:r w:rsidR="00DD6380" w:rsidRPr="00DF5227">
        <w:rPr>
          <w:rFonts w:ascii="Times New Roman" w:hAnsi="Times New Roman" w:cs="Times New Roman"/>
          <w:color w:val="000000"/>
          <w:sz w:val="24"/>
          <w:szCs w:val="24"/>
          <w:lang w:val="en-GB"/>
        </w:rPr>
        <w:t xml:space="preserve">2005-2014 </w:t>
      </w:r>
      <w:r w:rsidR="00DB24F1" w:rsidRPr="00DF5227">
        <w:rPr>
          <w:rFonts w:ascii="Times New Roman" w:hAnsi="Times New Roman" w:cs="Times New Roman"/>
          <w:color w:val="000000"/>
          <w:sz w:val="24"/>
          <w:szCs w:val="24"/>
          <w:lang w:val="en-GB"/>
        </w:rPr>
        <w:t>appear</w:t>
      </w:r>
      <w:r w:rsidR="00DD6380" w:rsidRPr="00DF5227">
        <w:rPr>
          <w:rFonts w:ascii="Times New Roman" w:hAnsi="Times New Roman" w:cs="Times New Roman"/>
          <w:color w:val="000000"/>
          <w:sz w:val="24"/>
          <w:szCs w:val="24"/>
          <w:lang w:val="en-GB"/>
        </w:rPr>
        <w:t>s</w:t>
      </w:r>
      <w:r w:rsidR="00DB24F1" w:rsidRPr="00DF5227">
        <w:rPr>
          <w:rFonts w:ascii="Times New Roman" w:hAnsi="Times New Roman" w:cs="Times New Roman"/>
          <w:color w:val="000000"/>
          <w:sz w:val="24"/>
          <w:szCs w:val="24"/>
          <w:lang w:val="en-GB"/>
        </w:rPr>
        <w:t xml:space="preserve"> within a distance of 5 o</w:t>
      </w:r>
      <w:r w:rsidR="00DD6380" w:rsidRPr="00DF5227">
        <w:rPr>
          <w:rFonts w:ascii="Times New Roman" w:hAnsi="Times New Roman" w:cs="Times New Roman"/>
          <w:color w:val="000000"/>
          <w:sz w:val="24"/>
          <w:szCs w:val="24"/>
          <w:lang w:val="en-GB"/>
        </w:rPr>
        <w:t>r</w:t>
      </w:r>
      <w:r w:rsidR="00DB24F1" w:rsidRPr="00DF5227">
        <w:rPr>
          <w:rFonts w:ascii="Times New Roman" w:hAnsi="Times New Roman" w:cs="Times New Roman"/>
          <w:color w:val="000000"/>
          <w:sz w:val="24"/>
          <w:szCs w:val="24"/>
          <w:lang w:val="en-GB"/>
        </w:rPr>
        <w:t xml:space="preserve"> less words from such terms</w:t>
      </w:r>
      <w:r w:rsidR="00DD6380" w:rsidRPr="00DF5227">
        <w:rPr>
          <w:rFonts w:ascii="Times New Roman" w:hAnsi="Times New Roman" w:cs="Times New Roman"/>
          <w:color w:val="000000"/>
          <w:sz w:val="24"/>
          <w:szCs w:val="24"/>
          <w:lang w:val="en-GB"/>
        </w:rPr>
        <w:t>).</w:t>
      </w:r>
    </w:p>
    <w:p w:rsidR="003B1447" w:rsidRPr="00DF5227" w:rsidRDefault="003B1447" w:rsidP="00BC5346">
      <w:pPr>
        <w:spacing w:line="360" w:lineRule="auto"/>
        <w:jc w:val="both"/>
        <w:rPr>
          <w:rFonts w:ascii="Times New Roman" w:hAnsi="Times New Roman" w:cs="Times New Roman"/>
          <w:b/>
          <w:sz w:val="24"/>
          <w:szCs w:val="24"/>
          <w:lang w:val="en-GB"/>
        </w:rPr>
      </w:pPr>
    </w:p>
    <w:p w:rsidR="00B16693" w:rsidRPr="00DF5227" w:rsidRDefault="00B16693"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t xml:space="preserve">V. </w:t>
      </w:r>
      <w:r w:rsidR="0054151D" w:rsidRPr="00DF5227">
        <w:rPr>
          <w:rFonts w:ascii="Times New Roman" w:hAnsi="Times New Roman" w:cs="Times New Roman"/>
          <w:b/>
          <w:sz w:val="24"/>
          <w:szCs w:val="24"/>
          <w:lang w:val="en-GB"/>
        </w:rPr>
        <w:t xml:space="preserve">Preliminary </w:t>
      </w:r>
      <w:r w:rsidRPr="00DF5227">
        <w:rPr>
          <w:rFonts w:ascii="Times New Roman" w:hAnsi="Times New Roman" w:cs="Times New Roman"/>
          <w:b/>
          <w:sz w:val="24"/>
          <w:szCs w:val="24"/>
          <w:lang w:val="en-GB"/>
        </w:rPr>
        <w:t>Conclusions</w:t>
      </w:r>
    </w:p>
    <w:p w:rsidR="00DE6E5B" w:rsidRPr="001B5D41" w:rsidRDefault="00570CE8" w:rsidP="006005C4">
      <w:pPr>
        <w:spacing w:line="360" w:lineRule="auto"/>
        <w:jc w:val="both"/>
        <w:rPr>
          <w:rFonts w:ascii="Times New Roman" w:hAnsi="Times New Roman" w:cs="Times New Roman"/>
          <w:noProof/>
          <w:sz w:val="24"/>
          <w:szCs w:val="24"/>
          <w:lang w:val="en-GB" w:eastAsia="da-DK"/>
        </w:rPr>
      </w:pPr>
      <w:r w:rsidRPr="00DF5227">
        <w:rPr>
          <w:rFonts w:ascii="Times New Roman" w:hAnsi="Times New Roman" w:cs="Times New Roman"/>
          <w:sz w:val="24"/>
          <w:szCs w:val="24"/>
          <w:lang w:val="en-GB"/>
        </w:rPr>
        <w:t>This is clearly work-in-progress</w:t>
      </w:r>
      <w:r w:rsidR="00C634C4">
        <w:rPr>
          <w:rFonts w:ascii="Times New Roman" w:hAnsi="Times New Roman" w:cs="Times New Roman"/>
          <w:sz w:val="24"/>
          <w:szCs w:val="24"/>
          <w:lang w:val="en-GB"/>
        </w:rPr>
        <w:t xml:space="preserve"> and explorative</w:t>
      </w:r>
      <w:r w:rsidRPr="00DF5227">
        <w:rPr>
          <w:rFonts w:ascii="Times New Roman" w:hAnsi="Times New Roman" w:cs="Times New Roman"/>
          <w:sz w:val="24"/>
          <w:szCs w:val="24"/>
          <w:lang w:val="en-GB"/>
        </w:rPr>
        <w:t xml:space="preserve">. However, a few preliminary </w:t>
      </w:r>
      <w:r w:rsidR="006251FA" w:rsidRPr="00DF5227">
        <w:rPr>
          <w:rFonts w:ascii="Times New Roman" w:hAnsi="Times New Roman" w:cs="Times New Roman"/>
          <w:sz w:val="24"/>
          <w:szCs w:val="24"/>
          <w:lang w:val="en-GB"/>
        </w:rPr>
        <w:t xml:space="preserve">analytical conclusions appear from the investigation of </w:t>
      </w:r>
      <w:r w:rsidR="00DF5227">
        <w:rPr>
          <w:rFonts w:ascii="Times New Roman" w:hAnsi="Times New Roman" w:cs="Times New Roman"/>
          <w:sz w:val="24"/>
          <w:szCs w:val="24"/>
          <w:lang w:val="en-GB"/>
        </w:rPr>
        <w:t>w</w:t>
      </w:r>
      <w:r w:rsidR="00DF5227" w:rsidRPr="00DF5227">
        <w:rPr>
          <w:rFonts w:ascii="Times New Roman" w:hAnsi="Times New Roman" w:cs="Times New Roman"/>
          <w:sz w:val="24"/>
          <w:szCs w:val="24"/>
          <w:lang w:val="en-GB"/>
        </w:rPr>
        <w:t>hat roles do the interpretation and use of symbols and myths by pan-European non-state actors and organisations play in the processes of European integration</w:t>
      </w:r>
      <w:r w:rsidR="00DF5227">
        <w:rPr>
          <w:rFonts w:ascii="Times New Roman" w:hAnsi="Times New Roman" w:cs="Times New Roman"/>
          <w:sz w:val="24"/>
          <w:szCs w:val="24"/>
          <w:lang w:val="en-GB"/>
        </w:rPr>
        <w:t>?</w:t>
      </w:r>
      <w:r w:rsidR="006251FA" w:rsidRPr="00DF5227">
        <w:rPr>
          <w:rFonts w:ascii="Times New Roman" w:hAnsi="Times New Roman" w:cs="Times New Roman"/>
          <w:sz w:val="24"/>
          <w:szCs w:val="24"/>
          <w:lang w:val="en-GB"/>
        </w:rPr>
        <w:t xml:space="preserve"> First, </w:t>
      </w:r>
      <w:r w:rsidR="0054151D" w:rsidRPr="00DF5227">
        <w:rPr>
          <w:rFonts w:ascii="Times New Roman" w:hAnsi="Times New Roman" w:cs="Times New Roman"/>
          <w:sz w:val="24"/>
          <w:szCs w:val="24"/>
          <w:lang w:val="en-GB"/>
        </w:rPr>
        <w:t>P</w:t>
      </w:r>
      <w:r w:rsidR="00EB40E2" w:rsidRPr="00DF5227">
        <w:rPr>
          <w:rFonts w:ascii="Times New Roman" w:hAnsi="Times New Roman" w:cs="Times New Roman"/>
          <w:sz w:val="24"/>
          <w:szCs w:val="24"/>
          <w:lang w:val="en-GB"/>
        </w:rPr>
        <w:t>an-EU NGOs does in fact adopt Europe 2020 as a concern in their policy papers</w:t>
      </w:r>
      <w:r w:rsidR="0054151D" w:rsidRPr="00DF5227">
        <w:rPr>
          <w:rFonts w:ascii="Times New Roman" w:hAnsi="Times New Roman" w:cs="Times New Roman"/>
          <w:sz w:val="24"/>
          <w:szCs w:val="24"/>
          <w:lang w:val="en-GB"/>
        </w:rPr>
        <w:t xml:space="preserve">, not only in </w:t>
      </w:r>
      <w:r w:rsidR="0054151D" w:rsidRPr="00DF5227">
        <w:rPr>
          <w:rFonts w:ascii="Times New Roman" w:hAnsi="Times New Roman" w:cs="Times New Roman"/>
          <w:sz w:val="24"/>
          <w:szCs w:val="24"/>
          <w:lang w:val="en-GB"/>
        </w:rPr>
        <w:lastRenderedPageBreak/>
        <w:t xml:space="preserve">general terms, Europe 2020 is also boost discourse on substance. </w:t>
      </w:r>
      <w:r w:rsidR="006251FA" w:rsidRPr="00DF5227">
        <w:rPr>
          <w:rFonts w:ascii="Times New Roman" w:hAnsi="Times New Roman" w:cs="Times New Roman"/>
          <w:sz w:val="24"/>
          <w:szCs w:val="24"/>
          <w:lang w:val="en-GB"/>
        </w:rPr>
        <w:t xml:space="preserve">Second, </w:t>
      </w:r>
      <w:r w:rsidR="0054151D" w:rsidRPr="00DF5227">
        <w:rPr>
          <w:rFonts w:ascii="Times New Roman" w:hAnsi="Times New Roman" w:cs="Times New Roman"/>
          <w:sz w:val="24"/>
          <w:szCs w:val="24"/>
          <w:lang w:val="en-GB"/>
        </w:rPr>
        <w:t>P</w:t>
      </w:r>
      <w:r w:rsidR="00EB40E2" w:rsidRPr="00DF5227">
        <w:rPr>
          <w:rFonts w:ascii="Times New Roman" w:hAnsi="Times New Roman" w:cs="Times New Roman"/>
          <w:sz w:val="24"/>
          <w:szCs w:val="24"/>
          <w:lang w:val="en-GB"/>
        </w:rPr>
        <w:t xml:space="preserve">an-EU NGOs appear to react immediately to the adoption of the Europe 2020, </w:t>
      </w:r>
      <w:r w:rsidR="00241DC9" w:rsidRPr="00DF5227">
        <w:rPr>
          <w:rFonts w:ascii="Times New Roman" w:hAnsi="Times New Roman" w:cs="Times New Roman"/>
          <w:sz w:val="24"/>
          <w:szCs w:val="24"/>
          <w:lang w:val="en-GB"/>
        </w:rPr>
        <w:t>and in the reproduction of (mythical) substance all pan-EU NGO’s appear to be proactive</w:t>
      </w:r>
      <w:r w:rsidR="007E18E8" w:rsidRPr="00DF5227">
        <w:rPr>
          <w:rFonts w:ascii="Times New Roman" w:hAnsi="Times New Roman" w:cs="Times New Roman"/>
          <w:sz w:val="24"/>
          <w:szCs w:val="24"/>
          <w:lang w:val="en-GB"/>
        </w:rPr>
        <w:t>. Third, n</w:t>
      </w:r>
      <w:r w:rsidR="00EB40E2" w:rsidRPr="00DF5227">
        <w:rPr>
          <w:rFonts w:ascii="Times New Roman" w:hAnsi="Times New Roman" w:cs="Times New Roman"/>
          <w:sz w:val="24"/>
          <w:szCs w:val="24"/>
          <w:lang w:val="en-GB"/>
        </w:rPr>
        <w:t xml:space="preserve">egotiations on, and adoption of, the multiannual financial priorities and ceilings </w:t>
      </w:r>
      <w:r w:rsidR="0054151D" w:rsidRPr="00DF5227">
        <w:rPr>
          <w:rFonts w:ascii="Times New Roman" w:hAnsi="Times New Roman" w:cs="Times New Roman"/>
          <w:i/>
          <w:sz w:val="24"/>
          <w:szCs w:val="24"/>
          <w:lang w:val="en-GB"/>
        </w:rPr>
        <w:t>may</w:t>
      </w:r>
      <w:r w:rsidR="0054151D" w:rsidRPr="00DF5227">
        <w:rPr>
          <w:rFonts w:ascii="Times New Roman" w:hAnsi="Times New Roman" w:cs="Times New Roman"/>
          <w:sz w:val="24"/>
          <w:szCs w:val="24"/>
          <w:lang w:val="en-GB"/>
        </w:rPr>
        <w:t xml:space="preserve"> </w:t>
      </w:r>
      <w:r w:rsidR="00EB40E2" w:rsidRPr="00DF5227">
        <w:rPr>
          <w:rFonts w:ascii="Times New Roman" w:hAnsi="Times New Roman" w:cs="Times New Roman"/>
          <w:sz w:val="24"/>
          <w:szCs w:val="24"/>
          <w:lang w:val="en-GB"/>
        </w:rPr>
        <w:t>generally boost concerns with Europe 2020</w:t>
      </w:r>
      <w:r w:rsidR="0023375F" w:rsidRPr="00DF5227">
        <w:rPr>
          <w:rFonts w:ascii="Times New Roman" w:hAnsi="Times New Roman" w:cs="Times New Roman"/>
          <w:sz w:val="24"/>
          <w:szCs w:val="24"/>
          <w:lang w:val="en-GB"/>
        </w:rPr>
        <w:t xml:space="preserve">. </w:t>
      </w:r>
      <w:r w:rsidR="00241DC9" w:rsidRPr="00DF5227">
        <w:rPr>
          <w:rFonts w:ascii="Times New Roman" w:hAnsi="Times New Roman" w:cs="Times New Roman"/>
          <w:sz w:val="24"/>
          <w:szCs w:val="24"/>
          <w:lang w:val="en-GB"/>
        </w:rPr>
        <w:t>Or it may be caused by mid-term review of Europe 2020.</w:t>
      </w:r>
      <w:r w:rsidR="00EB40E2" w:rsidRPr="00DF5227">
        <w:rPr>
          <w:rFonts w:ascii="Times New Roman" w:hAnsi="Times New Roman" w:cs="Times New Roman"/>
          <w:sz w:val="24"/>
          <w:szCs w:val="24"/>
          <w:lang w:val="en-GB"/>
        </w:rPr>
        <w:t xml:space="preserve"> </w:t>
      </w:r>
      <w:r w:rsidR="007E18E8" w:rsidRPr="00DF5227">
        <w:rPr>
          <w:rFonts w:ascii="Times New Roman" w:hAnsi="Times New Roman" w:cs="Times New Roman"/>
          <w:sz w:val="24"/>
          <w:szCs w:val="24"/>
          <w:lang w:val="en-GB"/>
        </w:rPr>
        <w:t>Fourth, t</w:t>
      </w:r>
      <w:r w:rsidR="008951E1" w:rsidRPr="00DF5227">
        <w:rPr>
          <w:rFonts w:ascii="Times New Roman" w:hAnsi="Times New Roman" w:cs="Times New Roman"/>
          <w:sz w:val="24"/>
          <w:szCs w:val="24"/>
          <w:lang w:val="en-GB"/>
        </w:rPr>
        <w:t xml:space="preserve">here appear to be not only a sectoral emphasis on myths by pan-EU NGOs, but </w:t>
      </w:r>
      <w:r w:rsidR="0054151D" w:rsidRPr="00DF5227">
        <w:rPr>
          <w:rFonts w:ascii="Times New Roman" w:hAnsi="Times New Roman" w:cs="Times New Roman"/>
          <w:sz w:val="24"/>
          <w:szCs w:val="24"/>
          <w:lang w:val="en-GB"/>
        </w:rPr>
        <w:t xml:space="preserve">also </w:t>
      </w:r>
      <w:r w:rsidR="008951E1" w:rsidRPr="00DF5227">
        <w:rPr>
          <w:rFonts w:ascii="Times New Roman" w:hAnsi="Times New Roman" w:cs="Times New Roman"/>
          <w:sz w:val="24"/>
          <w:szCs w:val="24"/>
          <w:lang w:val="en-GB"/>
        </w:rPr>
        <w:t>that Europe 2020 has boosted the reconstruction of the myth of green and social Europe. We need better indicators to assess whether this also the case for economic Europe.</w:t>
      </w:r>
      <w:r w:rsidR="007E18E8" w:rsidRPr="00DF5227">
        <w:rPr>
          <w:rFonts w:ascii="Times New Roman" w:hAnsi="Times New Roman" w:cs="Times New Roman"/>
          <w:sz w:val="24"/>
          <w:szCs w:val="24"/>
          <w:lang w:val="en-GB"/>
        </w:rPr>
        <w:t xml:space="preserve"> </w:t>
      </w:r>
      <w:r w:rsidR="007E18E8" w:rsidRPr="001B5D41">
        <w:rPr>
          <w:rFonts w:ascii="Times New Roman" w:hAnsi="Times New Roman" w:cs="Times New Roman"/>
          <w:sz w:val="24"/>
          <w:szCs w:val="24"/>
          <w:lang w:val="en-GB"/>
        </w:rPr>
        <w:t xml:space="preserve">Fifth, </w:t>
      </w:r>
      <w:r w:rsidR="0054151D" w:rsidRPr="001B5D41">
        <w:rPr>
          <w:rFonts w:ascii="Times New Roman" w:hAnsi="Times New Roman" w:cs="Times New Roman"/>
          <w:sz w:val="24"/>
          <w:szCs w:val="24"/>
          <w:lang w:val="en-GB"/>
        </w:rPr>
        <w:t>P</w:t>
      </w:r>
      <w:r w:rsidR="008951E1" w:rsidRPr="001B5D41">
        <w:rPr>
          <w:rFonts w:ascii="Times New Roman" w:hAnsi="Times New Roman" w:cs="Times New Roman"/>
          <w:sz w:val="24"/>
          <w:szCs w:val="24"/>
          <w:lang w:val="en-GB"/>
        </w:rPr>
        <w:t xml:space="preserve">an-EU NGOs </w:t>
      </w:r>
      <w:r w:rsidR="0054151D" w:rsidRPr="001B5D41">
        <w:rPr>
          <w:rFonts w:ascii="Times New Roman" w:hAnsi="Times New Roman" w:cs="Times New Roman"/>
          <w:sz w:val="24"/>
          <w:szCs w:val="24"/>
          <w:lang w:val="en-GB"/>
        </w:rPr>
        <w:t xml:space="preserve">seem to be </w:t>
      </w:r>
      <w:r w:rsidR="008951E1" w:rsidRPr="001B5D41">
        <w:rPr>
          <w:rFonts w:ascii="Times New Roman" w:hAnsi="Times New Roman" w:cs="Times New Roman"/>
          <w:sz w:val="24"/>
          <w:szCs w:val="24"/>
          <w:lang w:val="en-GB"/>
        </w:rPr>
        <w:t xml:space="preserve">the most receptive to </w:t>
      </w:r>
      <w:r w:rsidR="007E18E8" w:rsidRPr="001B5D41">
        <w:rPr>
          <w:rFonts w:ascii="Times New Roman" w:hAnsi="Times New Roman" w:cs="Times New Roman"/>
          <w:sz w:val="24"/>
          <w:szCs w:val="24"/>
          <w:lang w:val="en-GB"/>
        </w:rPr>
        <w:t xml:space="preserve">already institutionalised myths. Especially </w:t>
      </w:r>
      <w:r w:rsidR="007E18E8" w:rsidRPr="001B5D41">
        <w:rPr>
          <w:rFonts w:ascii="Times New Roman" w:hAnsi="Times New Roman" w:cs="Times New Roman"/>
          <w:noProof/>
          <w:sz w:val="24"/>
          <w:szCs w:val="24"/>
          <w:lang w:val="en-GB" w:eastAsia="da-DK"/>
        </w:rPr>
        <w:t>sustainability</w:t>
      </w:r>
      <w:r w:rsidR="007E18E8" w:rsidRPr="001B5D41">
        <w:rPr>
          <w:rFonts w:ascii="Times New Roman" w:hAnsi="Times New Roman" w:cs="Times New Roman"/>
          <w:noProof/>
          <w:sz w:val="24"/>
          <w:szCs w:val="24"/>
          <w:lang w:val="en-GB" w:eastAsia="da-DK"/>
        </w:rPr>
        <w:t xml:space="preserve"> a</w:t>
      </w:r>
      <w:r w:rsidR="00DE6E5B" w:rsidRPr="001B5D41">
        <w:rPr>
          <w:rFonts w:ascii="Times New Roman" w:hAnsi="Times New Roman" w:cs="Times New Roman"/>
          <w:noProof/>
          <w:sz w:val="24"/>
          <w:szCs w:val="24"/>
          <w:lang w:val="en-GB" w:eastAsia="da-DK"/>
        </w:rPr>
        <w:t>s a feature of the myth of green Europe, come across as a discourse that can take on a great number of meanings</w:t>
      </w:r>
      <w:r w:rsidR="007E18E8" w:rsidRPr="001B5D41">
        <w:rPr>
          <w:rFonts w:ascii="Times New Roman" w:hAnsi="Times New Roman" w:cs="Times New Roman"/>
          <w:noProof/>
          <w:sz w:val="24"/>
          <w:szCs w:val="24"/>
          <w:lang w:val="en-GB" w:eastAsia="da-DK"/>
        </w:rPr>
        <w:t xml:space="preserve"> and as such </w:t>
      </w:r>
      <w:r w:rsidR="007E18E8" w:rsidRPr="001B5D41">
        <w:rPr>
          <w:rFonts w:ascii="Times New Roman" w:hAnsi="Times New Roman" w:cs="Times New Roman"/>
          <w:sz w:val="24"/>
          <w:szCs w:val="24"/>
          <w:lang w:val="en-GB"/>
        </w:rPr>
        <w:t>Pan-EU NGOs</w:t>
      </w:r>
      <w:r w:rsidR="007E18E8" w:rsidRPr="001B5D41">
        <w:rPr>
          <w:rFonts w:ascii="Times New Roman" w:hAnsi="Times New Roman" w:cs="Times New Roman"/>
          <w:sz w:val="24"/>
          <w:szCs w:val="24"/>
          <w:lang w:val="en-GB"/>
        </w:rPr>
        <w:t xml:space="preserve"> almost effortless – it seems – activates this myth for any ‘pet’ issues they may care for at any given point in time</w:t>
      </w:r>
      <w:r w:rsidR="00DE6E5B" w:rsidRPr="001B5D41">
        <w:rPr>
          <w:rFonts w:ascii="Times New Roman" w:hAnsi="Times New Roman" w:cs="Times New Roman"/>
          <w:noProof/>
          <w:sz w:val="24"/>
          <w:szCs w:val="24"/>
          <w:lang w:val="en-GB" w:eastAsia="da-DK"/>
        </w:rPr>
        <w:t xml:space="preserve">. </w:t>
      </w:r>
    </w:p>
    <w:p w:rsidR="00000000" w:rsidRPr="001B5D41" w:rsidRDefault="00C634C4" w:rsidP="006005C4">
      <w:pPr>
        <w:spacing w:line="360" w:lineRule="auto"/>
        <w:jc w:val="both"/>
        <w:rPr>
          <w:rFonts w:ascii="Times New Roman" w:hAnsi="Times New Roman" w:cs="Times New Roman"/>
          <w:sz w:val="24"/>
          <w:szCs w:val="24"/>
          <w:lang w:val="en-GB"/>
        </w:rPr>
      </w:pPr>
      <w:r w:rsidRPr="001B5D41">
        <w:rPr>
          <w:rFonts w:ascii="Times New Roman" w:hAnsi="Times New Roman" w:cs="Times New Roman"/>
          <w:sz w:val="24"/>
          <w:szCs w:val="24"/>
          <w:lang w:val="en-GB"/>
        </w:rPr>
        <w:t xml:space="preserve">There are clearly a series of both theoretical and empirical issues which needs further attention. </w:t>
      </w:r>
      <w:proofErr w:type="gramStart"/>
      <w:r w:rsidRPr="001B5D41">
        <w:rPr>
          <w:rFonts w:ascii="Times New Roman" w:hAnsi="Times New Roman" w:cs="Times New Roman"/>
          <w:sz w:val="24"/>
          <w:szCs w:val="24"/>
          <w:lang w:val="en-GB"/>
        </w:rPr>
        <w:t>This include</w:t>
      </w:r>
      <w:proofErr w:type="gramEnd"/>
      <w:r w:rsidRPr="001B5D41">
        <w:rPr>
          <w:rFonts w:ascii="Times New Roman" w:hAnsi="Times New Roman" w:cs="Times New Roman"/>
          <w:sz w:val="24"/>
          <w:szCs w:val="24"/>
          <w:lang w:val="en-GB"/>
        </w:rPr>
        <w:t xml:space="preserve"> a</w:t>
      </w:r>
      <w:r w:rsidR="006005C4" w:rsidRPr="001B5D41">
        <w:rPr>
          <w:rFonts w:ascii="Times New Roman" w:hAnsi="Times New Roman" w:cs="Times New Roman"/>
          <w:sz w:val="24"/>
          <w:szCs w:val="24"/>
          <w:lang w:val="en-GB"/>
        </w:rPr>
        <w:t xml:space="preserve"> systematic and</w:t>
      </w:r>
      <w:r w:rsidR="006005C4" w:rsidRPr="001B5D41">
        <w:rPr>
          <w:rFonts w:ascii="Times New Roman" w:eastAsiaTheme="minorEastAsia" w:hAnsi="Times New Roman" w:cs="Times New Roman"/>
          <w:iCs/>
          <w:color w:val="000000" w:themeColor="text1"/>
          <w:kern w:val="24"/>
          <w:sz w:val="24"/>
          <w:szCs w:val="24"/>
          <w:lang w:val="en-GB" w:eastAsia="da-DK"/>
        </w:rPr>
        <w:t xml:space="preserve"> </w:t>
      </w:r>
      <w:r w:rsidR="00AC3D60" w:rsidRPr="001B5D41">
        <w:rPr>
          <w:rFonts w:ascii="Times New Roman" w:hAnsi="Times New Roman" w:cs="Times New Roman"/>
          <w:iCs/>
          <w:sz w:val="24"/>
          <w:szCs w:val="24"/>
          <w:lang w:val="en-GB"/>
        </w:rPr>
        <w:t>empirical study of symbols associated with Europe 2020</w:t>
      </w:r>
      <w:r w:rsidR="001B5D41">
        <w:rPr>
          <w:rFonts w:ascii="Times New Roman" w:hAnsi="Times New Roman" w:cs="Times New Roman"/>
          <w:iCs/>
          <w:sz w:val="24"/>
          <w:szCs w:val="24"/>
          <w:lang w:val="en-GB"/>
        </w:rPr>
        <w:t xml:space="preserve">. I intend to commence this by </w:t>
      </w:r>
      <w:r w:rsidR="001B5D41" w:rsidRPr="00DF5227">
        <w:rPr>
          <w:rFonts w:ascii="Times New Roman" w:hAnsi="Times New Roman" w:cs="Times New Roman"/>
          <w:sz w:val="24"/>
          <w:szCs w:val="24"/>
          <w:lang w:val="en-GB"/>
        </w:rPr>
        <w:t>mak</w:t>
      </w:r>
      <w:r w:rsidR="001B5D41">
        <w:rPr>
          <w:rFonts w:ascii="Times New Roman" w:hAnsi="Times New Roman" w:cs="Times New Roman"/>
          <w:sz w:val="24"/>
          <w:szCs w:val="24"/>
          <w:lang w:val="en-GB"/>
        </w:rPr>
        <w:t>ing</w:t>
      </w:r>
      <w:r w:rsidR="001B5D41" w:rsidRPr="00DF5227">
        <w:rPr>
          <w:rFonts w:ascii="Times New Roman" w:hAnsi="Times New Roman" w:cs="Times New Roman"/>
          <w:sz w:val="24"/>
          <w:szCs w:val="24"/>
          <w:lang w:val="en-GB"/>
        </w:rPr>
        <w:t xml:space="preserve"> used of images as found e.g. on the Commissions Europe 2020 and pan-EU NGOs webpages</w:t>
      </w:r>
      <w:r w:rsidR="001B5D41">
        <w:rPr>
          <w:rFonts w:ascii="Times New Roman" w:hAnsi="Times New Roman" w:cs="Times New Roman"/>
          <w:sz w:val="24"/>
          <w:szCs w:val="24"/>
          <w:lang w:val="en-GB"/>
        </w:rPr>
        <w:t>. F</w:t>
      </w:r>
      <w:r w:rsidR="006005C4" w:rsidRPr="001B5D41">
        <w:rPr>
          <w:rFonts w:ascii="Times New Roman" w:hAnsi="Times New Roman" w:cs="Times New Roman"/>
          <w:iCs/>
          <w:sz w:val="24"/>
          <w:szCs w:val="24"/>
          <w:lang w:val="en-GB"/>
        </w:rPr>
        <w:t xml:space="preserve">urther </w:t>
      </w:r>
      <w:r w:rsidR="001B5D41">
        <w:rPr>
          <w:rFonts w:ascii="Times New Roman" w:hAnsi="Times New Roman" w:cs="Times New Roman"/>
          <w:iCs/>
          <w:sz w:val="24"/>
          <w:szCs w:val="24"/>
          <w:lang w:val="en-GB"/>
        </w:rPr>
        <w:t xml:space="preserve">need is </w:t>
      </w:r>
      <w:r w:rsidR="00AC3D60" w:rsidRPr="001B5D41">
        <w:rPr>
          <w:rFonts w:ascii="Times New Roman" w:hAnsi="Times New Roman" w:cs="Times New Roman"/>
          <w:sz w:val="24"/>
          <w:szCs w:val="24"/>
          <w:lang w:val="en-GB"/>
        </w:rPr>
        <w:t xml:space="preserve">qualitative analysis of </w:t>
      </w:r>
      <w:r w:rsidR="006005C4" w:rsidRPr="001B5D41">
        <w:rPr>
          <w:rFonts w:ascii="Times New Roman" w:hAnsi="Times New Roman" w:cs="Times New Roman"/>
          <w:sz w:val="24"/>
          <w:szCs w:val="24"/>
          <w:lang w:val="en-GB"/>
        </w:rPr>
        <w:t xml:space="preserve">pan-EU NGO’s reproduction of </w:t>
      </w:r>
      <w:r w:rsidR="00AC3D60" w:rsidRPr="001B5D41">
        <w:rPr>
          <w:rFonts w:ascii="Times New Roman" w:hAnsi="Times New Roman" w:cs="Times New Roman"/>
          <w:sz w:val="24"/>
          <w:szCs w:val="24"/>
          <w:lang w:val="en-GB"/>
        </w:rPr>
        <w:t>myths</w:t>
      </w:r>
      <w:r w:rsidR="006005C4" w:rsidRPr="001B5D41">
        <w:rPr>
          <w:rFonts w:ascii="Times New Roman" w:hAnsi="Times New Roman" w:cs="Times New Roman"/>
          <w:sz w:val="24"/>
          <w:szCs w:val="24"/>
          <w:lang w:val="en-GB"/>
        </w:rPr>
        <w:t>, conceptual and research design considerations on h</w:t>
      </w:r>
      <w:r w:rsidR="00AC3D60" w:rsidRPr="001B5D41">
        <w:rPr>
          <w:rFonts w:ascii="Times New Roman" w:hAnsi="Times New Roman" w:cs="Times New Roman"/>
          <w:sz w:val="24"/>
          <w:szCs w:val="24"/>
          <w:lang w:val="en-GB"/>
        </w:rPr>
        <w:t xml:space="preserve">ow to differentiate between </w:t>
      </w:r>
      <w:r w:rsidR="006005C4" w:rsidRPr="001B5D41">
        <w:rPr>
          <w:rFonts w:ascii="Times New Roman" w:hAnsi="Times New Roman" w:cs="Times New Roman"/>
          <w:sz w:val="24"/>
          <w:szCs w:val="24"/>
          <w:lang w:val="en-GB"/>
        </w:rPr>
        <w:t xml:space="preserve">the </w:t>
      </w:r>
      <w:r w:rsidR="00AC3D60" w:rsidRPr="001B5D41">
        <w:rPr>
          <w:rFonts w:ascii="Times New Roman" w:hAnsi="Times New Roman" w:cs="Times New Roman"/>
          <w:sz w:val="24"/>
          <w:szCs w:val="24"/>
          <w:lang w:val="en-GB"/>
        </w:rPr>
        <w:t xml:space="preserve">reception </w:t>
      </w:r>
      <w:r w:rsidR="006005C4" w:rsidRPr="001B5D41">
        <w:rPr>
          <w:rFonts w:ascii="Times New Roman" w:hAnsi="Times New Roman" w:cs="Times New Roman"/>
          <w:sz w:val="24"/>
          <w:szCs w:val="24"/>
          <w:lang w:val="en-GB"/>
        </w:rPr>
        <w:t xml:space="preserve">and </w:t>
      </w:r>
      <w:r w:rsidR="00AC3D60" w:rsidRPr="001B5D41">
        <w:rPr>
          <w:rFonts w:ascii="Times New Roman" w:hAnsi="Times New Roman" w:cs="Times New Roman"/>
          <w:sz w:val="24"/>
          <w:szCs w:val="24"/>
          <w:lang w:val="en-GB"/>
        </w:rPr>
        <w:t xml:space="preserve">reproduction of symbols </w:t>
      </w:r>
      <w:r w:rsidR="006005C4" w:rsidRPr="001B5D41">
        <w:rPr>
          <w:rFonts w:ascii="Times New Roman" w:hAnsi="Times New Roman" w:cs="Times New Roman"/>
          <w:sz w:val="24"/>
          <w:szCs w:val="24"/>
          <w:lang w:val="en-GB"/>
        </w:rPr>
        <w:t>and</w:t>
      </w:r>
      <w:r w:rsidR="00AC3D60" w:rsidRPr="001B5D41">
        <w:rPr>
          <w:rFonts w:ascii="Times New Roman" w:hAnsi="Times New Roman" w:cs="Times New Roman"/>
          <w:sz w:val="24"/>
          <w:szCs w:val="24"/>
          <w:lang w:val="en-GB"/>
        </w:rPr>
        <w:t xml:space="preserve"> myths</w:t>
      </w:r>
      <w:r w:rsidR="003873D1">
        <w:rPr>
          <w:rFonts w:ascii="Times New Roman" w:hAnsi="Times New Roman" w:cs="Times New Roman"/>
          <w:sz w:val="24"/>
          <w:szCs w:val="24"/>
          <w:lang w:val="en-GB"/>
        </w:rPr>
        <w:t xml:space="preserve"> and,</w:t>
      </w:r>
      <w:r w:rsidR="006005C4" w:rsidRPr="001B5D41">
        <w:rPr>
          <w:rFonts w:ascii="Times New Roman" w:hAnsi="Times New Roman" w:cs="Times New Roman"/>
          <w:sz w:val="24"/>
          <w:szCs w:val="24"/>
          <w:lang w:val="en-GB"/>
        </w:rPr>
        <w:t xml:space="preserve"> </w:t>
      </w:r>
      <w:r w:rsidR="003873D1">
        <w:rPr>
          <w:rFonts w:ascii="Times New Roman" w:hAnsi="Times New Roman" w:cs="Times New Roman"/>
          <w:sz w:val="24"/>
          <w:szCs w:val="24"/>
          <w:lang w:val="en-GB"/>
        </w:rPr>
        <w:t>f</w:t>
      </w:r>
      <w:r w:rsidR="006005C4" w:rsidRPr="001B5D41">
        <w:rPr>
          <w:rFonts w:ascii="Times New Roman" w:hAnsi="Times New Roman" w:cs="Times New Roman"/>
          <w:sz w:val="24"/>
          <w:szCs w:val="24"/>
          <w:lang w:val="en-GB"/>
        </w:rPr>
        <w:t xml:space="preserve">inally, </w:t>
      </w:r>
      <w:r w:rsidR="00AC3D60" w:rsidRPr="001B5D41">
        <w:rPr>
          <w:rFonts w:ascii="Times New Roman" w:hAnsi="Times New Roman" w:cs="Times New Roman"/>
          <w:sz w:val="24"/>
          <w:szCs w:val="24"/>
          <w:lang w:val="en-GB"/>
        </w:rPr>
        <w:t>additional thoughts are needed to conceptually distinguish political myths from any other discourse</w:t>
      </w:r>
      <w:r w:rsidR="006005C4" w:rsidRPr="001B5D41">
        <w:rPr>
          <w:rFonts w:ascii="Times New Roman" w:hAnsi="Times New Roman" w:cs="Times New Roman"/>
          <w:sz w:val="24"/>
          <w:szCs w:val="24"/>
          <w:lang w:val="en-GB"/>
        </w:rPr>
        <w:t>.</w:t>
      </w:r>
    </w:p>
    <w:p w:rsidR="00C634C4" w:rsidRPr="006005C4" w:rsidRDefault="00C634C4" w:rsidP="006005C4">
      <w:pPr>
        <w:spacing w:line="360" w:lineRule="auto"/>
        <w:jc w:val="both"/>
        <w:rPr>
          <w:rFonts w:ascii="Times New Roman" w:hAnsi="Times New Roman" w:cs="Times New Roman"/>
          <w:sz w:val="24"/>
          <w:szCs w:val="24"/>
          <w:lang w:val="en-US"/>
        </w:rPr>
      </w:pPr>
    </w:p>
    <w:p w:rsidR="00B16693" w:rsidRPr="00DF5227" w:rsidRDefault="00B16693" w:rsidP="00BC5346">
      <w:pPr>
        <w:spacing w:line="360" w:lineRule="auto"/>
        <w:jc w:val="both"/>
        <w:rPr>
          <w:rFonts w:ascii="Times New Roman" w:hAnsi="Times New Roman" w:cs="Times New Roman"/>
          <w:b/>
          <w:sz w:val="24"/>
          <w:szCs w:val="24"/>
          <w:lang w:val="en-GB"/>
        </w:rPr>
      </w:pPr>
      <w:r w:rsidRPr="00DF5227">
        <w:rPr>
          <w:rFonts w:ascii="Times New Roman" w:hAnsi="Times New Roman" w:cs="Times New Roman"/>
          <w:b/>
          <w:sz w:val="24"/>
          <w:szCs w:val="24"/>
          <w:lang w:val="en-GB"/>
        </w:rPr>
        <w:t>References</w:t>
      </w:r>
    </w:p>
    <w:p w:rsidR="00780513" w:rsidRPr="00DF5227" w:rsidRDefault="00780513"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Baker, S. (2007) Sustainable development as symbolic commitment: Declaratory politics and the seductive appeal of ecological modernisation in the European Union, </w:t>
      </w:r>
      <w:r w:rsidRPr="00DF5227">
        <w:rPr>
          <w:rFonts w:ascii="Times New Roman" w:hAnsi="Times New Roman" w:cs="Times New Roman"/>
          <w:i/>
          <w:iCs/>
          <w:sz w:val="24"/>
          <w:szCs w:val="24"/>
          <w:lang w:val="en-GB"/>
        </w:rPr>
        <w:t>Environmental Politics</w:t>
      </w:r>
      <w:r w:rsidRPr="00DF5227">
        <w:rPr>
          <w:rFonts w:ascii="Times New Roman" w:hAnsi="Times New Roman" w:cs="Times New Roman"/>
          <w:sz w:val="24"/>
          <w:szCs w:val="24"/>
          <w:lang w:val="en-GB"/>
        </w:rPr>
        <w:t>, Vol. 16, No. 2, pp. 297-317.</w:t>
      </w:r>
    </w:p>
    <w:p w:rsidR="0088609B" w:rsidRPr="00DF5227" w:rsidRDefault="0088609B"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Bottici, Chiara and Challand, Benoit (2013) </w:t>
      </w:r>
      <w:r w:rsidRPr="00BE5896">
        <w:rPr>
          <w:rFonts w:ascii="Times New Roman" w:hAnsi="Times New Roman" w:cs="Times New Roman"/>
          <w:i/>
          <w:sz w:val="24"/>
          <w:szCs w:val="24"/>
          <w:lang w:val="en-GB"/>
        </w:rPr>
        <w:t>Imagining Europe: Myths, Memory, and Identity</w:t>
      </w:r>
      <w:r w:rsidRPr="00DF5227">
        <w:rPr>
          <w:rFonts w:ascii="Times New Roman" w:hAnsi="Times New Roman" w:cs="Times New Roman"/>
          <w:sz w:val="24"/>
          <w:szCs w:val="24"/>
          <w:lang w:val="en-GB"/>
        </w:rPr>
        <w:t xml:space="preserve"> (Cambridge: Cambridge University Press). </w:t>
      </w:r>
    </w:p>
    <w:p w:rsidR="0088302B" w:rsidRPr="00DF5227" w:rsidRDefault="0088302B" w:rsidP="00BC5346">
      <w:pPr>
        <w:spacing w:line="360" w:lineRule="auto"/>
        <w:jc w:val="both"/>
        <w:rPr>
          <w:rFonts w:ascii="Times New Roman" w:hAnsi="Times New Roman" w:cs="Times New Roman"/>
          <w:sz w:val="24"/>
          <w:szCs w:val="24"/>
          <w:lang w:val="en-GB"/>
        </w:rPr>
      </w:pPr>
      <w:proofErr w:type="gramStart"/>
      <w:r w:rsidRPr="00DF5227">
        <w:rPr>
          <w:rFonts w:ascii="Times New Roman" w:hAnsi="Times New Roman" w:cs="Times New Roman"/>
          <w:sz w:val="24"/>
          <w:szCs w:val="24"/>
          <w:lang w:val="en-GB"/>
        </w:rPr>
        <w:t xml:space="preserve">Blühdorn, Ingolfur (2007) Sustaining the unsustainable: Symbolic politics and the politics of simulation, </w:t>
      </w:r>
      <w:r w:rsidRPr="00BE5896">
        <w:rPr>
          <w:rFonts w:ascii="Times New Roman" w:hAnsi="Times New Roman" w:cs="Times New Roman"/>
          <w:i/>
          <w:sz w:val="24"/>
          <w:szCs w:val="24"/>
          <w:lang w:val="en-GB"/>
        </w:rPr>
        <w:t>Environmental Politics</w:t>
      </w:r>
      <w:r w:rsidRPr="00DF5227">
        <w:rPr>
          <w:rFonts w:ascii="Times New Roman" w:hAnsi="Times New Roman" w:cs="Times New Roman"/>
          <w:sz w:val="24"/>
          <w:szCs w:val="24"/>
          <w:lang w:val="en-GB"/>
        </w:rPr>
        <w:t>, 16:2, 251-275.</w:t>
      </w:r>
      <w:proofErr w:type="gramEnd"/>
    </w:p>
    <w:p w:rsidR="002C320D" w:rsidRPr="00DF5227" w:rsidRDefault="002C320D"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Bruter, Michael (2003) Winning Hearts and Minds for Europe: The Impact of News and Symbols on Civic and Cultural European Identity, </w:t>
      </w:r>
      <w:r w:rsidRPr="00BE5896">
        <w:rPr>
          <w:rFonts w:ascii="Times New Roman" w:hAnsi="Times New Roman" w:cs="Times New Roman"/>
          <w:i/>
          <w:sz w:val="24"/>
          <w:szCs w:val="24"/>
          <w:lang w:val="en-GB"/>
        </w:rPr>
        <w:t>Comparative Political Studies</w:t>
      </w:r>
      <w:r w:rsidR="00BE5896">
        <w:rPr>
          <w:rFonts w:ascii="Times New Roman" w:hAnsi="Times New Roman" w:cs="Times New Roman"/>
          <w:sz w:val="24"/>
          <w:szCs w:val="24"/>
          <w:lang w:val="en-GB"/>
        </w:rPr>
        <w:t>,</w:t>
      </w:r>
      <w:r w:rsidRPr="00DF5227">
        <w:rPr>
          <w:rFonts w:ascii="Times New Roman" w:hAnsi="Times New Roman" w:cs="Times New Roman"/>
          <w:sz w:val="24"/>
          <w:szCs w:val="24"/>
          <w:lang w:val="en-GB"/>
        </w:rPr>
        <w:t xml:space="preserve"> vol. 36, no. 10, 1148-1179.</w:t>
      </w:r>
    </w:p>
    <w:p w:rsidR="006D356A" w:rsidRPr="00DF5227" w:rsidRDefault="006D356A"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Bruter, Michael (2009) Time Bomb? The Dynamic Effect of News and Symbols on the Political Identity of European Citizens, </w:t>
      </w:r>
      <w:r w:rsidRPr="00BE5896">
        <w:rPr>
          <w:rFonts w:ascii="Times New Roman" w:hAnsi="Times New Roman" w:cs="Times New Roman"/>
          <w:i/>
          <w:sz w:val="24"/>
          <w:szCs w:val="24"/>
          <w:lang w:val="en-GB"/>
        </w:rPr>
        <w:t>Comparative political studies</w:t>
      </w:r>
      <w:r w:rsidRPr="00DF5227">
        <w:rPr>
          <w:rFonts w:ascii="Times New Roman" w:hAnsi="Times New Roman" w:cs="Times New Roman"/>
          <w:sz w:val="24"/>
          <w:szCs w:val="24"/>
          <w:lang w:val="en-GB"/>
        </w:rPr>
        <w:t>, 42 (12): pp. 1498-1536</w:t>
      </w:r>
    </w:p>
    <w:p w:rsidR="00461360" w:rsidRPr="00DF5227" w:rsidRDefault="00461360" w:rsidP="00BE589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Businesseurope (</w:t>
      </w:r>
      <w:r w:rsidRPr="00DF5227">
        <w:rPr>
          <w:rFonts w:ascii="Times New Roman" w:hAnsi="Times New Roman" w:cs="Times New Roman"/>
          <w:iCs/>
          <w:sz w:val="24"/>
          <w:szCs w:val="24"/>
          <w:lang w:val="en-GB"/>
        </w:rPr>
        <w:t xml:space="preserve">1999-2014) 32 </w:t>
      </w:r>
      <w:proofErr w:type="gramStart"/>
      <w:r w:rsidRPr="00DF5227">
        <w:rPr>
          <w:rFonts w:ascii="Times New Roman" w:hAnsi="Times New Roman" w:cs="Times New Roman"/>
          <w:iCs/>
          <w:sz w:val="24"/>
          <w:szCs w:val="24"/>
          <w:lang w:val="en-GB"/>
        </w:rPr>
        <w:t>Biannual</w:t>
      </w:r>
      <w:proofErr w:type="gramEnd"/>
      <w:r w:rsidRPr="00DF5227">
        <w:rPr>
          <w:rFonts w:ascii="Times New Roman" w:hAnsi="Times New Roman" w:cs="Times New Roman"/>
          <w:iCs/>
          <w:sz w:val="24"/>
          <w:szCs w:val="24"/>
          <w:lang w:val="en-GB"/>
        </w:rPr>
        <w:t xml:space="preserve"> </w:t>
      </w:r>
      <w:r w:rsidRPr="00BE5896">
        <w:rPr>
          <w:rFonts w:ascii="Times New Roman" w:hAnsi="Times New Roman" w:cs="Times New Roman"/>
          <w:i/>
          <w:iCs/>
          <w:sz w:val="24"/>
          <w:szCs w:val="24"/>
          <w:lang w:val="en-GB"/>
        </w:rPr>
        <w:t>economic outlook</w:t>
      </w:r>
      <w:r w:rsidRPr="00DF5227">
        <w:rPr>
          <w:rFonts w:ascii="Times New Roman" w:hAnsi="Times New Roman" w:cs="Times New Roman"/>
          <w:iCs/>
          <w:sz w:val="24"/>
          <w:szCs w:val="24"/>
          <w:lang w:val="en-GB"/>
        </w:rPr>
        <w:t xml:space="preserve"> 1999-2014 (</w:t>
      </w:r>
      <w:proofErr w:type="spellStart"/>
      <w:r w:rsidRPr="00DF5227">
        <w:rPr>
          <w:rFonts w:ascii="Times New Roman" w:hAnsi="Times New Roman" w:cs="Times New Roman"/>
          <w:iCs/>
          <w:sz w:val="24"/>
          <w:szCs w:val="24"/>
          <w:lang w:val="en-GB"/>
        </w:rPr>
        <w:t>Bruxelles</w:t>
      </w:r>
      <w:proofErr w:type="spellEnd"/>
      <w:r w:rsidRPr="00DF5227">
        <w:rPr>
          <w:rFonts w:ascii="Times New Roman" w:hAnsi="Times New Roman" w:cs="Times New Roman"/>
          <w:iCs/>
          <w:sz w:val="24"/>
          <w:szCs w:val="24"/>
          <w:lang w:val="en-GB"/>
        </w:rPr>
        <w:t xml:space="preserve">: </w:t>
      </w:r>
      <w:proofErr w:type="spellStart"/>
      <w:r w:rsidRPr="00DF5227">
        <w:rPr>
          <w:rFonts w:ascii="Times New Roman" w:hAnsi="Times New Roman" w:cs="Times New Roman"/>
          <w:sz w:val="24"/>
          <w:szCs w:val="24"/>
          <w:lang w:val="en-GB"/>
        </w:rPr>
        <w:t>Businesseurope</w:t>
      </w:r>
      <w:proofErr w:type="spellEnd"/>
      <w:r w:rsidRPr="00DF5227">
        <w:rPr>
          <w:rFonts w:ascii="Times New Roman" w:hAnsi="Times New Roman" w:cs="Times New Roman"/>
          <w:sz w:val="24"/>
          <w:szCs w:val="24"/>
          <w:lang w:val="en-GB"/>
        </w:rPr>
        <w:t>).</w:t>
      </w:r>
    </w:p>
    <w:p w:rsidR="00FE12A6" w:rsidRPr="00DF5227" w:rsidRDefault="00FE12A6" w:rsidP="00BE589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Commission (2010) </w:t>
      </w:r>
      <w:r w:rsidRPr="00BE5896">
        <w:rPr>
          <w:rFonts w:ascii="Times New Roman" w:hAnsi="Times New Roman" w:cs="Times New Roman"/>
          <w:i/>
          <w:sz w:val="24"/>
          <w:szCs w:val="24"/>
          <w:lang w:val="en-GB"/>
        </w:rPr>
        <w:t>EUROPE 2020: A strategy for smart, sustainable and inclusive growth</w:t>
      </w:r>
      <w:r w:rsidRPr="00DF5227">
        <w:rPr>
          <w:rFonts w:ascii="Times New Roman" w:hAnsi="Times New Roman" w:cs="Times New Roman"/>
          <w:sz w:val="24"/>
          <w:szCs w:val="24"/>
          <w:lang w:val="en-GB"/>
        </w:rPr>
        <w:t>, Communication from the Commission. Brussels, 3.3.2010.</w:t>
      </w:r>
    </w:p>
    <w:p w:rsidR="00894238" w:rsidRPr="00DF5227" w:rsidRDefault="00894238" w:rsidP="00BE589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De Ville, </w:t>
      </w:r>
      <w:proofErr w:type="spellStart"/>
      <w:r w:rsidRPr="00DF5227">
        <w:rPr>
          <w:rFonts w:ascii="Times New Roman" w:hAnsi="Times New Roman" w:cs="Times New Roman"/>
          <w:sz w:val="24"/>
          <w:szCs w:val="24"/>
          <w:lang w:val="en-GB"/>
        </w:rPr>
        <w:t>Ferdi</w:t>
      </w:r>
      <w:proofErr w:type="spellEnd"/>
      <w:r w:rsidRPr="00DF5227">
        <w:rPr>
          <w:rFonts w:ascii="Times New Roman" w:hAnsi="Times New Roman" w:cs="Times New Roman"/>
          <w:sz w:val="24"/>
          <w:szCs w:val="24"/>
          <w:lang w:val="en-GB"/>
        </w:rPr>
        <w:t xml:space="preserve"> and </w:t>
      </w:r>
      <w:proofErr w:type="spellStart"/>
      <w:r w:rsidRPr="00DF5227">
        <w:rPr>
          <w:rFonts w:ascii="Times New Roman" w:hAnsi="Times New Roman" w:cs="Times New Roman"/>
          <w:sz w:val="24"/>
          <w:szCs w:val="24"/>
          <w:lang w:val="en-GB"/>
        </w:rPr>
        <w:t>Orbie</w:t>
      </w:r>
      <w:proofErr w:type="spellEnd"/>
      <w:r w:rsidRPr="00DF5227">
        <w:rPr>
          <w:rFonts w:ascii="Times New Roman" w:hAnsi="Times New Roman" w:cs="Times New Roman"/>
          <w:sz w:val="24"/>
          <w:szCs w:val="24"/>
          <w:lang w:val="en-GB"/>
        </w:rPr>
        <w:t xml:space="preserve">, Jan (2014) The European Commission’s Neoliberal Trade Discourse Since the Crisis: Legitimizing Continuity through Subtle Discursive Change, </w:t>
      </w:r>
      <w:r w:rsidR="00BE5896" w:rsidRPr="00BE5896">
        <w:rPr>
          <w:rFonts w:ascii="Times New Roman" w:hAnsi="Times New Roman" w:cs="Times New Roman"/>
          <w:i/>
          <w:sz w:val="24"/>
          <w:szCs w:val="24"/>
          <w:lang w:val="en-GB"/>
        </w:rPr>
        <w:t xml:space="preserve">The </w:t>
      </w:r>
      <w:r w:rsidR="00BE5896" w:rsidRPr="00BE5896">
        <w:rPr>
          <w:rFonts w:ascii="Times New Roman" w:hAnsi="Times New Roman" w:cs="Times New Roman"/>
          <w:i/>
          <w:sz w:val="24"/>
          <w:szCs w:val="24"/>
          <w:lang w:val="en-US"/>
        </w:rPr>
        <w:t>British Journal of Politics &amp; International Relations</w:t>
      </w:r>
      <w:r w:rsidR="00BE5896">
        <w:rPr>
          <w:rFonts w:ascii="Times New Roman" w:hAnsi="Times New Roman" w:cs="Times New Roman"/>
          <w:sz w:val="24"/>
          <w:szCs w:val="24"/>
          <w:lang w:val="en-US"/>
        </w:rPr>
        <w:t xml:space="preserve">, </w:t>
      </w:r>
      <w:r w:rsidRPr="00DF5227">
        <w:rPr>
          <w:rFonts w:ascii="Times New Roman" w:hAnsi="Times New Roman" w:cs="Times New Roman"/>
          <w:sz w:val="24"/>
          <w:szCs w:val="24"/>
          <w:lang w:val="en-GB"/>
        </w:rPr>
        <w:t>16(1): 149-167.</w:t>
      </w:r>
    </w:p>
    <w:p w:rsidR="00461360" w:rsidRPr="00DF5227" w:rsidRDefault="00461360" w:rsidP="00BE589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European Environmental Bureau (2005-2014) 20 </w:t>
      </w:r>
      <w:proofErr w:type="gramStart"/>
      <w:r w:rsidRPr="00BE5896">
        <w:rPr>
          <w:rFonts w:ascii="Times New Roman" w:hAnsi="Times New Roman" w:cs="Times New Roman"/>
          <w:i/>
          <w:sz w:val="24"/>
          <w:szCs w:val="24"/>
          <w:lang w:val="en-GB"/>
        </w:rPr>
        <w:t>Biannual</w:t>
      </w:r>
      <w:proofErr w:type="gramEnd"/>
      <w:r w:rsidRPr="00BE5896">
        <w:rPr>
          <w:rFonts w:ascii="Times New Roman" w:hAnsi="Times New Roman" w:cs="Times New Roman"/>
          <w:i/>
          <w:sz w:val="24"/>
          <w:szCs w:val="24"/>
          <w:lang w:val="en-GB"/>
        </w:rPr>
        <w:t xml:space="preserve"> memorandum</w:t>
      </w:r>
      <w:r w:rsidRPr="00DF5227">
        <w:rPr>
          <w:rFonts w:ascii="Times New Roman" w:hAnsi="Times New Roman" w:cs="Times New Roman"/>
          <w:sz w:val="24"/>
          <w:szCs w:val="24"/>
          <w:lang w:val="en-GB"/>
        </w:rPr>
        <w:t xml:space="preserve"> 2005-2014 (</w:t>
      </w:r>
      <w:proofErr w:type="spellStart"/>
      <w:r w:rsidRPr="00DF5227">
        <w:rPr>
          <w:rFonts w:ascii="Times New Roman" w:hAnsi="Times New Roman" w:cs="Times New Roman"/>
          <w:sz w:val="24"/>
          <w:szCs w:val="24"/>
          <w:lang w:val="en-GB"/>
        </w:rPr>
        <w:t>Bruxelles</w:t>
      </w:r>
      <w:proofErr w:type="spellEnd"/>
      <w:r w:rsidRPr="00DF5227">
        <w:rPr>
          <w:rFonts w:ascii="Times New Roman" w:hAnsi="Times New Roman" w:cs="Times New Roman"/>
          <w:sz w:val="24"/>
          <w:szCs w:val="24"/>
          <w:lang w:val="en-GB"/>
        </w:rPr>
        <w:t>: European Environmental Bureau).</w:t>
      </w:r>
    </w:p>
    <w:p w:rsidR="00461360" w:rsidRPr="00DF5227" w:rsidRDefault="0046136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European Trade Union Confederation (2000-2013) 13 </w:t>
      </w:r>
      <w:r w:rsidRPr="00BE5896">
        <w:rPr>
          <w:rFonts w:ascii="Times New Roman" w:hAnsi="Times New Roman" w:cs="Times New Roman"/>
          <w:i/>
          <w:sz w:val="24"/>
          <w:szCs w:val="24"/>
          <w:lang w:val="en-GB"/>
        </w:rPr>
        <w:t xml:space="preserve">Annual </w:t>
      </w:r>
      <w:proofErr w:type="gramStart"/>
      <w:r w:rsidRPr="00BE5896">
        <w:rPr>
          <w:rFonts w:ascii="Times New Roman" w:hAnsi="Times New Roman" w:cs="Times New Roman"/>
          <w:i/>
          <w:sz w:val="24"/>
          <w:szCs w:val="24"/>
          <w:lang w:val="en-GB"/>
        </w:rPr>
        <w:t>resolution</w:t>
      </w:r>
      <w:proofErr w:type="gramEnd"/>
      <w:r w:rsidRPr="00DF5227">
        <w:rPr>
          <w:rFonts w:ascii="Times New Roman" w:hAnsi="Times New Roman" w:cs="Times New Roman"/>
          <w:sz w:val="24"/>
          <w:szCs w:val="24"/>
          <w:lang w:val="en-GB"/>
        </w:rPr>
        <w:t xml:space="preserve"> 2000–2013 (Bruxelles: European Trade Union Confederation).</w:t>
      </w:r>
    </w:p>
    <w:p w:rsidR="0010104F" w:rsidRPr="00DF5227" w:rsidRDefault="0010104F"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Hansen, Lene and Williams, Michael C. (1999) The Myth of Europe: Legitimacy, Community and the ‘Crisis’ of the EU, </w:t>
      </w:r>
      <w:r w:rsidRPr="00BE5896">
        <w:rPr>
          <w:rFonts w:ascii="Times New Roman" w:hAnsi="Times New Roman" w:cs="Times New Roman"/>
          <w:i/>
          <w:sz w:val="24"/>
          <w:szCs w:val="24"/>
          <w:lang w:val="en-GB"/>
        </w:rPr>
        <w:t>Journal of Common market Studies</w:t>
      </w:r>
      <w:r w:rsidRPr="00DF5227">
        <w:rPr>
          <w:rFonts w:ascii="Times New Roman" w:hAnsi="Times New Roman" w:cs="Times New Roman"/>
          <w:sz w:val="24"/>
          <w:szCs w:val="24"/>
          <w:lang w:val="en-GB"/>
        </w:rPr>
        <w:t>, Vol. 37, No. 2, pp. 233-49.</w:t>
      </w:r>
    </w:p>
    <w:p w:rsidR="004F11BE" w:rsidRPr="00DF5227" w:rsidRDefault="004F11BE"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Jones, E. (2010) The Economic Mythology of European Integration, </w:t>
      </w:r>
      <w:r w:rsidRPr="00DF5227">
        <w:rPr>
          <w:rFonts w:ascii="Times New Roman" w:hAnsi="Times New Roman" w:cs="Times New Roman"/>
          <w:i/>
          <w:iCs/>
          <w:sz w:val="24"/>
          <w:szCs w:val="24"/>
          <w:lang w:val="en-GB"/>
        </w:rPr>
        <w:t>Journal of Common Market Studies</w:t>
      </w:r>
      <w:r w:rsidRPr="00DF5227">
        <w:rPr>
          <w:rFonts w:ascii="Times New Roman" w:hAnsi="Times New Roman" w:cs="Times New Roman"/>
          <w:sz w:val="24"/>
          <w:szCs w:val="24"/>
          <w:lang w:val="en-GB"/>
        </w:rPr>
        <w:t>, Vol. 48, No. 1, pp. 89-109.</w:t>
      </w:r>
    </w:p>
    <w:p w:rsidR="003225F5" w:rsidRPr="00DF5227" w:rsidRDefault="003225F5"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Kaelberer, Matthias (2004) The euro and European identity: symbols, power and the politics of European monetary union, </w:t>
      </w:r>
      <w:r w:rsidRPr="00BE5896">
        <w:rPr>
          <w:rFonts w:ascii="Times New Roman" w:hAnsi="Times New Roman" w:cs="Times New Roman"/>
          <w:i/>
          <w:sz w:val="24"/>
          <w:szCs w:val="24"/>
          <w:lang w:val="en-GB"/>
        </w:rPr>
        <w:t>Review of International Studies</w:t>
      </w:r>
      <w:r w:rsidRPr="00DF5227">
        <w:rPr>
          <w:rFonts w:ascii="Times New Roman" w:hAnsi="Times New Roman" w:cs="Times New Roman"/>
          <w:sz w:val="24"/>
          <w:szCs w:val="24"/>
          <w:lang w:val="en-GB"/>
        </w:rPr>
        <w:t>,  Vol. 30, Issue 02, pp 161 – 178.</w:t>
      </w:r>
    </w:p>
    <w:p w:rsidR="00780513" w:rsidRPr="00DF5227" w:rsidRDefault="00780513"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Lenschow, A. and C. Sprungk (2010) The Myth of a Green Europe, </w:t>
      </w:r>
      <w:r w:rsidRPr="00DF5227">
        <w:rPr>
          <w:rFonts w:ascii="Times New Roman" w:hAnsi="Times New Roman" w:cs="Times New Roman"/>
          <w:i/>
          <w:iCs/>
          <w:sz w:val="24"/>
          <w:szCs w:val="24"/>
          <w:lang w:val="en-GB"/>
        </w:rPr>
        <w:t>Journal of Common Market Studies</w:t>
      </w:r>
      <w:r w:rsidRPr="00DF5227">
        <w:rPr>
          <w:rFonts w:ascii="Times New Roman" w:hAnsi="Times New Roman" w:cs="Times New Roman"/>
          <w:sz w:val="24"/>
          <w:szCs w:val="24"/>
          <w:lang w:val="en-GB"/>
        </w:rPr>
        <w:t>, Vol. 48, No. 1, pp. 133-154.</w:t>
      </w:r>
    </w:p>
    <w:p w:rsidR="00102122" w:rsidRPr="00DF5227" w:rsidRDefault="00102122" w:rsidP="00BC5346">
      <w:pPr>
        <w:spacing w:after="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Lieberman, S. and T. Gray (2007) The Role of Political Myth in the International Conflict Over Genetically Modified Foods and Crops, </w:t>
      </w:r>
      <w:r w:rsidRPr="00BE5896">
        <w:rPr>
          <w:rFonts w:ascii="Times New Roman" w:hAnsi="Times New Roman" w:cs="Times New Roman"/>
          <w:i/>
          <w:sz w:val="24"/>
          <w:szCs w:val="24"/>
          <w:lang w:val="en-GB"/>
        </w:rPr>
        <w:t>European Environment</w:t>
      </w:r>
      <w:r w:rsidRPr="00DF5227">
        <w:rPr>
          <w:rFonts w:ascii="Times New Roman" w:hAnsi="Times New Roman" w:cs="Times New Roman"/>
          <w:sz w:val="24"/>
          <w:szCs w:val="24"/>
          <w:lang w:val="en-GB"/>
        </w:rPr>
        <w:t>, Vol. 17, pp. 376-386.</w:t>
      </w:r>
    </w:p>
    <w:p w:rsidR="00880A66" w:rsidRPr="00DF5227" w:rsidRDefault="00880A66" w:rsidP="00BC5346">
      <w:pPr>
        <w:spacing w:after="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Lynggaard, K. (2006) </w:t>
      </w:r>
      <w:proofErr w:type="gramStart"/>
      <w:r w:rsidRPr="00BE5896">
        <w:rPr>
          <w:rFonts w:ascii="Times New Roman" w:hAnsi="Times New Roman" w:cs="Times New Roman"/>
          <w:i/>
          <w:sz w:val="24"/>
          <w:szCs w:val="24"/>
          <w:lang w:val="en-GB"/>
        </w:rPr>
        <w:t>The</w:t>
      </w:r>
      <w:proofErr w:type="gramEnd"/>
      <w:r w:rsidRPr="00BE5896">
        <w:rPr>
          <w:rFonts w:ascii="Times New Roman" w:hAnsi="Times New Roman" w:cs="Times New Roman"/>
          <w:i/>
          <w:sz w:val="24"/>
          <w:szCs w:val="24"/>
          <w:lang w:val="en-GB"/>
        </w:rPr>
        <w:t xml:space="preserve"> Common Agricultural Policy and Organic Farming: An Institutional Perspective on Continuity and Change</w:t>
      </w:r>
      <w:r w:rsidRPr="00DF5227">
        <w:rPr>
          <w:rFonts w:ascii="Times New Roman" w:hAnsi="Times New Roman" w:cs="Times New Roman"/>
          <w:sz w:val="24"/>
          <w:szCs w:val="24"/>
          <w:lang w:val="en-GB"/>
        </w:rPr>
        <w:t xml:space="preserve"> (UK/Wallingford: CAB International).</w:t>
      </w:r>
    </w:p>
    <w:p w:rsidR="006F5CFE" w:rsidRPr="00DF5227" w:rsidRDefault="006F5CFE"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Lynggaard, Kennet, Ian Manners and Christine Søby (2014) </w:t>
      </w:r>
      <w:r w:rsidRPr="00BE5896">
        <w:rPr>
          <w:rFonts w:ascii="Times New Roman" w:hAnsi="Times New Roman" w:cs="Times New Roman"/>
          <w:i/>
          <w:sz w:val="24"/>
          <w:szCs w:val="24"/>
          <w:lang w:val="en-GB"/>
        </w:rPr>
        <w:t>Symbols and Myths in European Integration</w:t>
      </w:r>
      <w:r w:rsidRPr="00DF5227">
        <w:rPr>
          <w:rFonts w:ascii="Times New Roman" w:hAnsi="Times New Roman" w:cs="Times New Roman"/>
          <w:sz w:val="24"/>
          <w:szCs w:val="24"/>
          <w:lang w:val="en-GB"/>
        </w:rPr>
        <w:t xml:space="preserve">, paper presented at 7th Pan-European Conference on the European Union, 5-7 June 2014, The Hague, </w:t>
      </w:r>
      <w:proofErr w:type="gramStart"/>
      <w:r w:rsidRPr="00DF5227">
        <w:rPr>
          <w:rFonts w:ascii="Times New Roman" w:hAnsi="Times New Roman" w:cs="Times New Roman"/>
          <w:sz w:val="24"/>
          <w:szCs w:val="24"/>
          <w:lang w:val="en-GB"/>
        </w:rPr>
        <w:t>the</w:t>
      </w:r>
      <w:proofErr w:type="gramEnd"/>
      <w:r w:rsidRPr="00DF5227">
        <w:rPr>
          <w:rFonts w:ascii="Times New Roman" w:hAnsi="Times New Roman" w:cs="Times New Roman"/>
          <w:sz w:val="24"/>
          <w:szCs w:val="24"/>
          <w:lang w:val="en-GB"/>
        </w:rPr>
        <w:t xml:space="preserve"> Netherlands.</w:t>
      </w:r>
    </w:p>
    <w:p w:rsidR="004F11BE" w:rsidRPr="00DF5227" w:rsidRDefault="004F11BE"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Macrae, H. (2010) The EU as a Gender Equal Polity: Myths and Realities, </w:t>
      </w:r>
      <w:r w:rsidRPr="00DF5227">
        <w:rPr>
          <w:rFonts w:ascii="Times New Roman" w:hAnsi="Times New Roman" w:cs="Times New Roman"/>
          <w:i/>
          <w:iCs/>
          <w:sz w:val="24"/>
          <w:szCs w:val="24"/>
          <w:lang w:val="en-GB"/>
        </w:rPr>
        <w:t>Journal of Common Market Studies</w:t>
      </w:r>
      <w:r w:rsidRPr="00DF5227">
        <w:rPr>
          <w:rFonts w:ascii="Times New Roman" w:hAnsi="Times New Roman" w:cs="Times New Roman"/>
          <w:sz w:val="24"/>
          <w:szCs w:val="24"/>
          <w:lang w:val="en-GB"/>
        </w:rPr>
        <w:t>, Vol. 48, No. 1, pp. 155-174.</w:t>
      </w:r>
    </w:p>
    <w:p w:rsidR="00780513" w:rsidRPr="00DF5227" w:rsidRDefault="00780513"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Manners, I. (2010) ‘Global Europa: the Mythology of the European Union in World Politics’, in Vincent Della Sala (ed.) Mythologizing the European Union, </w:t>
      </w:r>
      <w:r w:rsidRPr="00DF5227">
        <w:rPr>
          <w:rFonts w:ascii="Times New Roman" w:hAnsi="Times New Roman" w:cs="Times New Roman"/>
          <w:i/>
          <w:iCs/>
          <w:sz w:val="24"/>
          <w:szCs w:val="24"/>
          <w:lang w:val="en-GB"/>
        </w:rPr>
        <w:t>Special Issue of Journal of Common Market Studies</w:t>
      </w:r>
      <w:r w:rsidRPr="00DF5227">
        <w:rPr>
          <w:rFonts w:ascii="Times New Roman" w:hAnsi="Times New Roman" w:cs="Times New Roman"/>
          <w:sz w:val="24"/>
          <w:szCs w:val="24"/>
          <w:lang w:val="en-GB"/>
        </w:rPr>
        <w:t>, Vol. 48, No. 1. pp. 67-87.</w:t>
      </w:r>
    </w:p>
    <w:p w:rsidR="00501860" w:rsidRPr="00DF5227" w:rsidRDefault="0050186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Manners, I (2011) Symbolism in European integration, </w:t>
      </w:r>
      <w:r w:rsidRPr="00BE5896">
        <w:rPr>
          <w:rFonts w:ascii="Times New Roman" w:hAnsi="Times New Roman" w:cs="Times New Roman"/>
          <w:i/>
          <w:sz w:val="24"/>
          <w:szCs w:val="24"/>
          <w:lang w:val="en-GB"/>
        </w:rPr>
        <w:t>Comparative European Politics</w:t>
      </w:r>
      <w:r w:rsidRPr="00DF5227">
        <w:rPr>
          <w:rFonts w:ascii="Times New Roman" w:hAnsi="Times New Roman" w:cs="Times New Roman"/>
          <w:sz w:val="24"/>
          <w:szCs w:val="24"/>
          <w:lang w:val="en-GB"/>
        </w:rPr>
        <w:t>, 9(3): 243–268.</w:t>
      </w:r>
    </w:p>
    <w:p w:rsidR="00C060CF" w:rsidRPr="00DF5227" w:rsidRDefault="00C060CF"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Marcus, George E</w:t>
      </w:r>
      <w:r w:rsidR="00B04C44" w:rsidRPr="00DF5227">
        <w:rPr>
          <w:rFonts w:ascii="Times New Roman" w:hAnsi="Times New Roman" w:cs="Times New Roman"/>
          <w:sz w:val="24"/>
          <w:szCs w:val="24"/>
          <w:lang w:val="en-GB"/>
        </w:rPr>
        <w:t>.</w:t>
      </w:r>
      <w:r w:rsidRPr="00DF5227">
        <w:rPr>
          <w:rFonts w:ascii="Times New Roman" w:hAnsi="Times New Roman" w:cs="Times New Roman"/>
          <w:sz w:val="24"/>
          <w:szCs w:val="24"/>
          <w:lang w:val="en-GB"/>
        </w:rPr>
        <w:t xml:space="preserve"> (2003) ‘The Psychology of Emotion and Politics’, pp. 182-221 in Huddy, Leonie, Sears, David and Jervis, Robert (eds.) </w:t>
      </w:r>
      <w:r w:rsidRPr="00DF5227">
        <w:rPr>
          <w:rFonts w:ascii="Times New Roman" w:hAnsi="Times New Roman" w:cs="Times New Roman"/>
          <w:i/>
          <w:sz w:val="24"/>
          <w:szCs w:val="24"/>
          <w:lang w:val="en-GB"/>
        </w:rPr>
        <w:t>Oxford Handbook of Political Psychology</w:t>
      </w:r>
      <w:r w:rsidRPr="00DF5227">
        <w:rPr>
          <w:rFonts w:ascii="Times New Roman" w:hAnsi="Times New Roman" w:cs="Times New Roman"/>
          <w:sz w:val="24"/>
          <w:szCs w:val="24"/>
          <w:lang w:val="en-GB"/>
        </w:rPr>
        <w:t xml:space="preserve"> (Oxford: Oxford University Press).</w:t>
      </w:r>
    </w:p>
    <w:p w:rsidR="00B04C44" w:rsidRPr="00DF5227" w:rsidRDefault="00B04C44"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Marcus, George E. (2000) ‘Emotions in Politics’, pp. 221-250 in Polsby, Nelson (</w:t>
      </w:r>
      <w:r w:rsidR="0059287E" w:rsidRPr="00DF5227">
        <w:rPr>
          <w:rFonts w:ascii="Times New Roman" w:hAnsi="Times New Roman" w:cs="Times New Roman"/>
          <w:sz w:val="24"/>
          <w:szCs w:val="24"/>
          <w:lang w:val="en-GB"/>
        </w:rPr>
        <w:t>e</w:t>
      </w:r>
      <w:r w:rsidRPr="00DF5227">
        <w:rPr>
          <w:rFonts w:ascii="Times New Roman" w:hAnsi="Times New Roman" w:cs="Times New Roman"/>
          <w:sz w:val="24"/>
          <w:szCs w:val="24"/>
          <w:lang w:val="en-GB"/>
        </w:rPr>
        <w:t xml:space="preserve">d.) </w:t>
      </w:r>
      <w:r w:rsidRPr="00DF5227">
        <w:rPr>
          <w:rFonts w:ascii="Times New Roman" w:hAnsi="Times New Roman" w:cs="Times New Roman"/>
          <w:i/>
          <w:sz w:val="24"/>
          <w:szCs w:val="24"/>
          <w:lang w:val="en-GB"/>
        </w:rPr>
        <w:t xml:space="preserve">Annual Review of Political Science </w:t>
      </w:r>
      <w:r w:rsidR="0059287E" w:rsidRPr="00DF5227">
        <w:rPr>
          <w:rFonts w:ascii="Times New Roman" w:hAnsi="Times New Roman" w:cs="Times New Roman"/>
          <w:i/>
          <w:sz w:val="24"/>
          <w:szCs w:val="24"/>
          <w:lang w:val="en-GB"/>
        </w:rPr>
        <w:t>2000</w:t>
      </w:r>
      <w:r w:rsidR="0059287E" w:rsidRPr="00DF5227">
        <w:rPr>
          <w:rFonts w:ascii="Times New Roman" w:hAnsi="Times New Roman" w:cs="Times New Roman"/>
          <w:sz w:val="24"/>
          <w:szCs w:val="24"/>
          <w:lang w:val="en-GB"/>
        </w:rPr>
        <w:t xml:space="preserve"> (Palo Alto, CA: Annual Reviews).</w:t>
      </w:r>
    </w:p>
    <w:p w:rsidR="00500620" w:rsidRPr="00DF5227" w:rsidRDefault="0050062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Matsumoto, David, Hwang, Hyisung C. and Frank, Mark G. (2013) Emotional Language and Political Aggression, </w:t>
      </w:r>
      <w:r w:rsidRPr="00DF5227">
        <w:rPr>
          <w:rFonts w:ascii="Times New Roman" w:hAnsi="Times New Roman" w:cs="Times New Roman"/>
          <w:i/>
          <w:sz w:val="24"/>
          <w:szCs w:val="24"/>
          <w:lang w:val="en-GB"/>
        </w:rPr>
        <w:t>Journal of Language and Social Psychology</w:t>
      </w:r>
      <w:r w:rsidRPr="00DF5227">
        <w:rPr>
          <w:rFonts w:ascii="Times New Roman" w:hAnsi="Times New Roman" w:cs="Times New Roman"/>
          <w:sz w:val="24"/>
          <w:szCs w:val="24"/>
          <w:lang w:val="en-GB"/>
        </w:rPr>
        <w:t xml:space="preserve">, XX(X): 1-17, </w:t>
      </w:r>
    </w:p>
    <w:p w:rsidR="00500620" w:rsidRPr="00DF5227" w:rsidRDefault="0050062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DOI: 10.1177/0261927X12474654</w:t>
      </w:r>
    </w:p>
    <w:p w:rsidR="004F2508" w:rsidRPr="00DF5227" w:rsidRDefault="004F2508" w:rsidP="00BC5346">
      <w:pPr>
        <w:autoSpaceDE w:val="0"/>
        <w:autoSpaceDN w:val="0"/>
        <w:adjustRightInd w:val="0"/>
        <w:spacing w:after="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Moravcsik, A. (1998) </w:t>
      </w:r>
      <w:r w:rsidRPr="00DF5227">
        <w:rPr>
          <w:rFonts w:ascii="Times New Roman" w:hAnsi="Times New Roman" w:cs="Times New Roman"/>
          <w:i/>
          <w:iCs/>
          <w:sz w:val="24"/>
          <w:szCs w:val="24"/>
          <w:lang w:val="en-GB"/>
        </w:rPr>
        <w:t xml:space="preserve">The Choice for Europe: Social Purpose and State Power From Messina to Maastricht </w:t>
      </w:r>
      <w:r w:rsidRPr="00DF5227">
        <w:rPr>
          <w:rFonts w:ascii="Times New Roman" w:hAnsi="Times New Roman" w:cs="Times New Roman"/>
          <w:sz w:val="24"/>
          <w:szCs w:val="24"/>
          <w:lang w:val="en-GB"/>
        </w:rPr>
        <w:t>(London: Routledge/UCL Press).</w:t>
      </w:r>
    </w:p>
    <w:p w:rsidR="004F2508" w:rsidRPr="00DF5227" w:rsidRDefault="004F2508" w:rsidP="00BC5346">
      <w:pPr>
        <w:autoSpaceDE w:val="0"/>
        <w:autoSpaceDN w:val="0"/>
        <w:adjustRightInd w:val="0"/>
        <w:spacing w:after="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Pollack, M.A. (2003) </w:t>
      </w:r>
      <w:r w:rsidRPr="00DF5227">
        <w:rPr>
          <w:rFonts w:ascii="Times New Roman" w:hAnsi="Times New Roman" w:cs="Times New Roman"/>
          <w:i/>
          <w:iCs/>
          <w:sz w:val="24"/>
          <w:szCs w:val="24"/>
          <w:lang w:val="en-GB"/>
        </w:rPr>
        <w:t xml:space="preserve">The Engines of European Integration: Delegation, Agency and Agenda Setting in the EU </w:t>
      </w:r>
      <w:r w:rsidRPr="00DF5227">
        <w:rPr>
          <w:rFonts w:ascii="Times New Roman" w:hAnsi="Times New Roman" w:cs="Times New Roman"/>
          <w:sz w:val="24"/>
          <w:szCs w:val="24"/>
          <w:lang w:val="en-GB"/>
        </w:rPr>
        <w:t>(New York: Oxford University Press).</w:t>
      </w:r>
    </w:p>
    <w:p w:rsidR="00B51B80" w:rsidRPr="00DF5227" w:rsidRDefault="00B51B8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Obradovic, Daniela (1996) Policy Legitimacy and the European Union, </w:t>
      </w:r>
      <w:r w:rsidR="00BE5896" w:rsidRPr="00BE5896">
        <w:rPr>
          <w:rFonts w:ascii="Times New Roman" w:hAnsi="Times New Roman" w:cs="Times New Roman"/>
          <w:i/>
          <w:sz w:val="24"/>
          <w:szCs w:val="24"/>
          <w:lang w:val="en-GB"/>
        </w:rPr>
        <w:t>J</w:t>
      </w:r>
      <w:r w:rsidRPr="00BE5896">
        <w:rPr>
          <w:rFonts w:ascii="Times New Roman" w:hAnsi="Times New Roman" w:cs="Times New Roman"/>
          <w:i/>
          <w:sz w:val="24"/>
          <w:szCs w:val="24"/>
          <w:lang w:val="en-GB"/>
        </w:rPr>
        <w:t xml:space="preserve">ournal of </w:t>
      </w:r>
      <w:r w:rsidR="00BE5896" w:rsidRPr="00BE5896">
        <w:rPr>
          <w:rFonts w:ascii="Times New Roman" w:hAnsi="Times New Roman" w:cs="Times New Roman"/>
          <w:i/>
          <w:sz w:val="24"/>
          <w:szCs w:val="24"/>
          <w:lang w:val="en-GB"/>
        </w:rPr>
        <w:t>C</w:t>
      </w:r>
      <w:r w:rsidRPr="00BE5896">
        <w:rPr>
          <w:rFonts w:ascii="Times New Roman" w:hAnsi="Times New Roman" w:cs="Times New Roman"/>
          <w:i/>
          <w:sz w:val="24"/>
          <w:szCs w:val="24"/>
          <w:lang w:val="en-GB"/>
        </w:rPr>
        <w:t xml:space="preserve">ommon </w:t>
      </w:r>
      <w:r w:rsidR="00BE5896" w:rsidRPr="00BE5896">
        <w:rPr>
          <w:rFonts w:ascii="Times New Roman" w:hAnsi="Times New Roman" w:cs="Times New Roman"/>
          <w:i/>
          <w:sz w:val="24"/>
          <w:szCs w:val="24"/>
          <w:lang w:val="en-GB"/>
        </w:rPr>
        <w:t>M</w:t>
      </w:r>
      <w:r w:rsidRPr="00BE5896">
        <w:rPr>
          <w:rFonts w:ascii="Times New Roman" w:hAnsi="Times New Roman" w:cs="Times New Roman"/>
          <w:i/>
          <w:sz w:val="24"/>
          <w:szCs w:val="24"/>
          <w:lang w:val="en-GB"/>
        </w:rPr>
        <w:t xml:space="preserve">arket </w:t>
      </w:r>
      <w:r w:rsidR="00BE5896" w:rsidRPr="00BE5896">
        <w:rPr>
          <w:rFonts w:ascii="Times New Roman" w:hAnsi="Times New Roman" w:cs="Times New Roman"/>
          <w:i/>
          <w:sz w:val="24"/>
          <w:szCs w:val="24"/>
          <w:lang w:val="en-GB"/>
        </w:rPr>
        <w:t>S</w:t>
      </w:r>
      <w:r w:rsidRPr="00BE5896">
        <w:rPr>
          <w:rFonts w:ascii="Times New Roman" w:hAnsi="Times New Roman" w:cs="Times New Roman"/>
          <w:i/>
          <w:sz w:val="24"/>
          <w:szCs w:val="24"/>
          <w:lang w:val="en-GB"/>
        </w:rPr>
        <w:t>tudies</w:t>
      </w:r>
      <w:r w:rsidRPr="00DF5227">
        <w:rPr>
          <w:rFonts w:ascii="Times New Roman" w:hAnsi="Times New Roman" w:cs="Times New Roman"/>
          <w:sz w:val="24"/>
          <w:szCs w:val="24"/>
          <w:lang w:val="en-GB"/>
        </w:rPr>
        <w:t>, Vol. 34, No. 2, pp. 191-221.</w:t>
      </w:r>
    </w:p>
    <w:p w:rsidR="00461360" w:rsidRPr="00DF5227" w:rsidRDefault="0046136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Platform of European Social NGOs (2002-2012a) 11 </w:t>
      </w:r>
      <w:r w:rsidR="00BE5896">
        <w:rPr>
          <w:rFonts w:ascii="Times New Roman" w:hAnsi="Times New Roman" w:cs="Times New Roman"/>
          <w:i/>
          <w:sz w:val="24"/>
          <w:szCs w:val="24"/>
          <w:lang w:val="en-GB"/>
        </w:rPr>
        <w:t xml:space="preserve">Annual </w:t>
      </w:r>
      <w:proofErr w:type="gramStart"/>
      <w:r w:rsidR="00BE5896">
        <w:rPr>
          <w:rFonts w:ascii="Times New Roman" w:hAnsi="Times New Roman" w:cs="Times New Roman"/>
          <w:i/>
          <w:sz w:val="24"/>
          <w:szCs w:val="24"/>
          <w:lang w:val="en-GB"/>
        </w:rPr>
        <w:t>report</w:t>
      </w:r>
      <w:proofErr w:type="gramEnd"/>
      <w:r w:rsidRPr="00DF5227">
        <w:rPr>
          <w:rFonts w:ascii="Times New Roman" w:hAnsi="Times New Roman" w:cs="Times New Roman"/>
          <w:sz w:val="24"/>
          <w:szCs w:val="24"/>
          <w:lang w:val="en-GB"/>
        </w:rPr>
        <w:t xml:space="preserve"> 2002-2012 (Bruxelles: Platform of European Social NGOs).</w:t>
      </w:r>
    </w:p>
    <w:p w:rsidR="00461360" w:rsidRPr="00DF5227" w:rsidRDefault="0046136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lastRenderedPageBreak/>
        <w:t xml:space="preserve">Platform of European Social NGOs (2002-2012b) 11 </w:t>
      </w:r>
      <w:r w:rsidR="00BE5896">
        <w:rPr>
          <w:rFonts w:ascii="Times New Roman" w:hAnsi="Times New Roman" w:cs="Times New Roman"/>
          <w:i/>
          <w:sz w:val="24"/>
          <w:szCs w:val="24"/>
          <w:lang w:val="en-GB"/>
        </w:rPr>
        <w:t>Work program</w:t>
      </w:r>
      <w:r w:rsidRPr="00DF5227">
        <w:rPr>
          <w:rFonts w:ascii="Times New Roman" w:hAnsi="Times New Roman" w:cs="Times New Roman"/>
          <w:sz w:val="24"/>
          <w:szCs w:val="24"/>
          <w:lang w:val="en-GB"/>
        </w:rPr>
        <w:t xml:space="preserve"> 2000-2012 (Bruxelles: Platform of European Social NGOs).</w:t>
      </w:r>
    </w:p>
    <w:p w:rsidR="00780513" w:rsidRPr="00DF5227" w:rsidRDefault="00780513"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Rosamond, B. and O. Parker (2013) ‘‘Normative power Europe’ meets economic liberalism: Complicating cosmopolitanism inside/outside the EU’, </w:t>
      </w:r>
      <w:r w:rsidRPr="00DF5227">
        <w:rPr>
          <w:rFonts w:ascii="Times New Roman" w:hAnsi="Times New Roman" w:cs="Times New Roman"/>
          <w:i/>
          <w:sz w:val="24"/>
          <w:szCs w:val="24"/>
          <w:lang w:val="en-GB"/>
        </w:rPr>
        <w:t>Cooperation and Conflict</w:t>
      </w:r>
      <w:r w:rsidRPr="00DF5227">
        <w:rPr>
          <w:rFonts w:ascii="Times New Roman" w:hAnsi="Times New Roman" w:cs="Times New Roman"/>
          <w:sz w:val="24"/>
          <w:szCs w:val="24"/>
          <w:lang w:val="en-GB"/>
        </w:rPr>
        <w:t>, Vol. 48, No. 2,  pp. 229-46.</w:t>
      </w:r>
    </w:p>
    <w:p w:rsidR="00780513" w:rsidRPr="00DF5227" w:rsidRDefault="00780513" w:rsidP="00BC5346">
      <w:pPr>
        <w:spacing w:after="24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Rovisco, M. (2010) One Europe or several Europes? The cultural logic of narratives of Europe – views from France and Britain, </w:t>
      </w:r>
      <w:r w:rsidRPr="00DF5227">
        <w:rPr>
          <w:rFonts w:ascii="Times New Roman" w:hAnsi="Times New Roman" w:cs="Times New Roman"/>
          <w:i/>
          <w:iCs/>
          <w:sz w:val="24"/>
          <w:szCs w:val="24"/>
          <w:lang w:val="en-GB"/>
        </w:rPr>
        <w:t>Social Science Information</w:t>
      </w:r>
      <w:r w:rsidRPr="00DF5227">
        <w:rPr>
          <w:rFonts w:ascii="Times New Roman" w:hAnsi="Times New Roman" w:cs="Times New Roman"/>
          <w:sz w:val="24"/>
          <w:szCs w:val="24"/>
          <w:lang w:val="en-GB"/>
        </w:rPr>
        <w:t>, Vol. 49, No. 2, pp. 241–266.</w:t>
      </w:r>
    </w:p>
    <w:p w:rsidR="00AA23D4" w:rsidRPr="00DF5227" w:rsidRDefault="00AA23D4"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Saurugger, Sabine (2014) </w:t>
      </w:r>
      <w:r w:rsidRPr="00BE5896">
        <w:rPr>
          <w:rFonts w:ascii="Times New Roman" w:hAnsi="Times New Roman" w:cs="Times New Roman"/>
          <w:i/>
          <w:sz w:val="24"/>
          <w:szCs w:val="24"/>
          <w:lang w:val="en-GB"/>
        </w:rPr>
        <w:t>Theoretical Approaches to European Integration</w:t>
      </w:r>
      <w:r w:rsidRPr="00DF5227">
        <w:rPr>
          <w:rFonts w:ascii="Times New Roman" w:hAnsi="Times New Roman" w:cs="Times New Roman"/>
          <w:sz w:val="24"/>
          <w:szCs w:val="24"/>
          <w:lang w:val="en-GB"/>
        </w:rPr>
        <w:t xml:space="preserve"> (UK: Palgrave-MacMillan).</w:t>
      </w:r>
    </w:p>
    <w:p w:rsidR="003164E1" w:rsidRPr="00DF5227" w:rsidRDefault="003164E1"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Sears, David O (1993) Symbolic Politics: A Socio-Psychological Theory. Pp. 113–49 in Iyengar, Shanto and McGuire, William J. (eds) </w:t>
      </w:r>
      <w:r w:rsidRPr="00DF5227">
        <w:rPr>
          <w:rFonts w:ascii="Times New Roman" w:hAnsi="Times New Roman" w:cs="Times New Roman"/>
          <w:i/>
          <w:sz w:val="24"/>
          <w:szCs w:val="24"/>
          <w:lang w:val="en-GB"/>
        </w:rPr>
        <w:t>Explorations in Political Psychology</w:t>
      </w:r>
      <w:r w:rsidRPr="00DF5227">
        <w:rPr>
          <w:rFonts w:ascii="Times New Roman" w:hAnsi="Times New Roman" w:cs="Times New Roman"/>
          <w:sz w:val="24"/>
          <w:szCs w:val="24"/>
          <w:lang w:val="en-GB"/>
        </w:rPr>
        <w:t xml:space="preserve">  (Durham: Duke University Press). </w:t>
      </w:r>
    </w:p>
    <w:p w:rsidR="006074C0" w:rsidRPr="00DF5227" w:rsidRDefault="006074C0"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Stråth, B. (2005) Methodological and Substantive Remarks on Myth, Memory and History in the Construction of a European, Community, </w:t>
      </w:r>
      <w:r w:rsidRPr="00BE5896">
        <w:rPr>
          <w:rFonts w:ascii="Times New Roman" w:hAnsi="Times New Roman" w:cs="Times New Roman"/>
          <w:i/>
          <w:sz w:val="24"/>
          <w:szCs w:val="24"/>
          <w:lang w:val="en-GB"/>
        </w:rPr>
        <w:t>German Law Journal</w:t>
      </w:r>
      <w:r w:rsidRPr="00DF5227">
        <w:rPr>
          <w:rFonts w:ascii="Times New Roman" w:hAnsi="Times New Roman" w:cs="Times New Roman"/>
          <w:sz w:val="24"/>
          <w:szCs w:val="24"/>
          <w:lang w:val="en-GB"/>
        </w:rPr>
        <w:t xml:space="preserve">, </w:t>
      </w:r>
      <w:r w:rsidR="001B49CB" w:rsidRPr="00DF5227">
        <w:rPr>
          <w:rFonts w:ascii="Times New Roman" w:hAnsi="Times New Roman" w:cs="Times New Roman"/>
          <w:sz w:val="24"/>
          <w:szCs w:val="24"/>
          <w:lang w:val="en-GB"/>
        </w:rPr>
        <w:t xml:space="preserve">Vol. 6, </w:t>
      </w:r>
      <w:r w:rsidRPr="00DF5227">
        <w:rPr>
          <w:rFonts w:ascii="Times New Roman" w:hAnsi="Times New Roman" w:cs="Times New Roman"/>
          <w:sz w:val="24"/>
          <w:szCs w:val="24"/>
          <w:lang w:val="en-GB"/>
        </w:rPr>
        <w:t>pp. 255-271.</w:t>
      </w:r>
    </w:p>
    <w:p w:rsidR="004F2508" w:rsidRPr="00DF5227" w:rsidRDefault="004F2508" w:rsidP="00BC5346">
      <w:pPr>
        <w:autoSpaceDE w:val="0"/>
        <w:autoSpaceDN w:val="0"/>
        <w:adjustRightInd w:val="0"/>
        <w:spacing w:after="0"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Tsebelis, G. and A. Kreppel (1998) The history of conditional agenda setting in European</w:t>
      </w:r>
    </w:p>
    <w:p w:rsidR="00114081" w:rsidRDefault="004F2508" w:rsidP="00BC5346">
      <w:pPr>
        <w:spacing w:line="360" w:lineRule="auto"/>
        <w:jc w:val="both"/>
        <w:rPr>
          <w:rFonts w:ascii="Times New Roman" w:hAnsi="Times New Roman" w:cs="Times New Roman"/>
          <w:sz w:val="24"/>
          <w:szCs w:val="24"/>
          <w:lang w:val="en-GB"/>
        </w:rPr>
      </w:pPr>
      <w:r w:rsidRPr="00DF5227">
        <w:rPr>
          <w:rFonts w:ascii="Times New Roman" w:hAnsi="Times New Roman" w:cs="Times New Roman"/>
          <w:sz w:val="24"/>
          <w:szCs w:val="24"/>
          <w:lang w:val="en-GB"/>
        </w:rPr>
        <w:t xml:space="preserve">institutions, </w:t>
      </w:r>
      <w:r w:rsidRPr="00DF5227">
        <w:rPr>
          <w:rFonts w:ascii="Times New Roman" w:hAnsi="Times New Roman" w:cs="Times New Roman"/>
          <w:i/>
          <w:iCs/>
          <w:sz w:val="24"/>
          <w:szCs w:val="24"/>
          <w:lang w:val="en-GB"/>
        </w:rPr>
        <w:t>European Journal of Political Research</w:t>
      </w:r>
      <w:r w:rsidRPr="00DF5227">
        <w:rPr>
          <w:rFonts w:ascii="Times New Roman" w:hAnsi="Times New Roman" w:cs="Times New Roman"/>
          <w:sz w:val="24"/>
          <w:szCs w:val="24"/>
          <w:lang w:val="en-GB"/>
        </w:rPr>
        <w:t>, Vol. 33, no. 1, pp. 41–71.</w:t>
      </w:r>
    </w:p>
    <w:p w:rsidR="00DB3689" w:rsidRDefault="00DB3689" w:rsidP="00BC5346">
      <w:pPr>
        <w:spacing w:line="360" w:lineRule="auto"/>
        <w:jc w:val="both"/>
        <w:rPr>
          <w:rFonts w:ascii="Times New Roman" w:hAnsi="Times New Roman" w:cs="Times New Roman"/>
          <w:sz w:val="24"/>
          <w:szCs w:val="24"/>
          <w:lang w:val="en-GB"/>
        </w:rPr>
      </w:pPr>
    </w:p>
    <w:p w:rsidR="00DB3689" w:rsidRPr="00DF5227" w:rsidRDefault="00DB3689" w:rsidP="00BC5346">
      <w:pPr>
        <w:spacing w:line="36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Words: 7042</w:t>
      </w:r>
      <w:bookmarkStart w:id="0" w:name="_GoBack"/>
      <w:bookmarkEnd w:id="0"/>
    </w:p>
    <w:sectPr w:rsidR="00DB3689" w:rsidRPr="00DF5227">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60" w:rsidRDefault="00AC3D60" w:rsidP="006C3B1B">
      <w:pPr>
        <w:spacing w:after="0" w:line="240" w:lineRule="auto"/>
      </w:pPr>
      <w:r>
        <w:separator/>
      </w:r>
    </w:p>
  </w:endnote>
  <w:endnote w:type="continuationSeparator" w:id="0">
    <w:p w:rsidR="00AC3D60" w:rsidRDefault="00AC3D60" w:rsidP="006C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73065"/>
      <w:docPartObj>
        <w:docPartGallery w:val="Page Numbers (Bottom of Page)"/>
        <w:docPartUnique/>
      </w:docPartObj>
    </w:sdtPr>
    <w:sdtEndPr/>
    <w:sdtContent>
      <w:p w:rsidR="007A48AC" w:rsidRDefault="007A48AC">
        <w:pPr>
          <w:pStyle w:val="Sidefod"/>
          <w:jc w:val="center"/>
        </w:pPr>
        <w:r>
          <w:fldChar w:fldCharType="begin"/>
        </w:r>
        <w:r>
          <w:instrText>PAGE   \* MERGEFORMAT</w:instrText>
        </w:r>
        <w:r>
          <w:fldChar w:fldCharType="separate"/>
        </w:r>
        <w:r w:rsidR="00DB3689">
          <w:rPr>
            <w:noProof/>
          </w:rPr>
          <w:t>22</w:t>
        </w:r>
        <w:r>
          <w:fldChar w:fldCharType="end"/>
        </w:r>
      </w:p>
    </w:sdtContent>
  </w:sdt>
  <w:p w:rsidR="007A48AC" w:rsidRDefault="007A48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60" w:rsidRDefault="00AC3D60" w:rsidP="006C3B1B">
      <w:pPr>
        <w:spacing w:after="0" w:line="240" w:lineRule="auto"/>
      </w:pPr>
      <w:r>
        <w:separator/>
      </w:r>
    </w:p>
  </w:footnote>
  <w:footnote w:type="continuationSeparator" w:id="0">
    <w:p w:rsidR="00AC3D60" w:rsidRDefault="00AC3D60" w:rsidP="006C3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B3C"/>
    <w:multiLevelType w:val="hybridMultilevel"/>
    <w:tmpl w:val="0F72F88C"/>
    <w:lvl w:ilvl="0" w:tplc="65A6F5B6">
      <w:start w:val="1"/>
      <w:numFmt w:val="decimal"/>
      <w:lvlText w:val="(%1)"/>
      <w:lvlJc w:val="center"/>
      <w:pPr>
        <w:ind w:left="720" w:hanging="360"/>
      </w:pPr>
      <w:rPr>
        <w:rFonts w:cs="Times New Roman" w:hint="default"/>
      </w:rPr>
    </w:lvl>
    <w:lvl w:ilvl="1" w:tplc="04060019">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27726ED3"/>
    <w:multiLevelType w:val="hybridMultilevel"/>
    <w:tmpl w:val="EC6EF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1EC3937"/>
    <w:multiLevelType w:val="hybridMultilevel"/>
    <w:tmpl w:val="C9741236"/>
    <w:lvl w:ilvl="0" w:tplc="7F1491E0">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B22212C"/>
    <w:multiLevelType w:val="hybridMultilevel"/>
    <w:tmpl w:val="76B8C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7566F3"/>
    <w:multiLevelType w:val="hybridMultilevel"/>
    <w:tmpl w:val="A41AE1A8"/>
    <w:lvl w:ilvl="0" w:tplc="9754EC76">
      <w:start w:val="1"/>
      <w:numFmt w:val="bullet"/>
      <w:lvlText w:val=""/>
      <w:lvlJc w:val="left"/>
      <w:pPr>
        <w:tabs>
          <w:tab w:val="num" w:pos="720"/>
        </w:tabs>
        <w:ind w:left="720" w:hanging="360"/>
      </w:pPr>
      <w:rPr>
        <w:rFonts w:ascii="Wingdings 2" w:hAnsi="Wingdings 2" w:hint="default"/>
      </w:rPr>
    </w:lvl>
    <w:lvl w:ilvl="1" w:tplc="21BED21E" w:tentative="1">
      <w:start w:val="1"/>
      <w:numFmt w:val="bullet"/>
      <w:lvlText w:val=""/>
      <w:lvlJc w:val="left"/>
      <w:pPr>
        <w:tabs>
          <w:tab w:val="num" w:pos="1440"/>
        </w:tabs>
        <w:ind w:left="1440" w:hanging="360"/>
      </w:pPr>
      <w:rPr>
        <w:rFonts w:ascii="Wingdings 2" w:hAnsi="Wingdings 2" w:hint="default"/>
      </w:rPr>
    </w:lvl>
    <w:lvl w:ilvl="2" w:tplc="4FBA2AFE" w:tentative="1">
      <w:start w:val="1"/>
      <w:numFmt w:val="bullet"/>
      <w:lvlText w:val=""/>
      <w:lvlJc w:val="left"/>
      <w:pPr>
        <w:tabs>
          <w:tab w:val="num" w:pos="2160"/>
        </w:tabs>
        <w:ind w:left="2160" w:hanging="360"/>
      </w:pPr>
      <w:rPr>
        <w:rFonts w:ascii="Wingdings 2" w:hAnsi="Wingdings 2" w:hint="default"/>
      </w:rPr>
    </w:lvl>
    <w:lvl w:ilvl="3" w:tplc="A0A68FD4" w:tentative="1">
      <w:start w:val="1"/>
      <w:numFmt w:val="bullet"/>
      <w:lvlText w:val=""/>
      <w:lvlJc w:val="left"/>
      <w:pPr>
        <w:tabs>
          <w:tab w:val="num" w:pos="2880"/>
        </w:tabs>
        <w:ind w:left="2880" w:hanging="360"/>
      </w:pPr>
      <w:rPr>
        <w:rFonts w:ascii="Wingdings 2" w:hAnsi="Wingdings 2" w:hint="default"/>
      </w:rPr>
    </w:lvl>
    <w:lvl w:ilvl="4" w:tplc="52841D5A" w:tentative="1">
      <w:start w:val="1"/>
      <w:numFmt w:val="bullet"/>
      <w:lvlText w:val=""/>
      <w:lvlJc w:val="left"/>
      <w:pPr>
        <w:tabs>
          <w:tab w:val="num" w:pos="3600"/>
        </w:tabs>
        <w:ind w:left="3600" w:hanging="360"/>
      </w:pPr>
      <w:rPr>
        <w:rFonts w:ascii="Wingdings 2" w:hAnsi="Wingdings 2" w:hint="default"/>
      </w:rPr>
    </w:lvl>
    <w:lvl w:ilvl="5" w:tplc="8C980988" w:tentative="1">
      <w:start w:val="1"/>
      <w:numFmt w:val="bullet"/>
      <w:lvlText w:val=""/>
      <w:lvlJc w:val="left"/>
      <w:pPr>
        <w:tabs>
          <w:tab w:val="num" w:pos="4320"/>
        </w:tabs>
        <w:ind w:left="4320" w:hanging="360"/>
      </w:pPr>
      <w:rPr>
        <w:rFonts w:ascii="Wingdings 2" w:hAnsi="Wingdings 2" w:hint="default"/>
      </w:rPr>
    </w:lvl>
    <w:lvl w:ilvl="6" w:tplc="E8C2EE2C" w:tentative="1">
      <w:start w:val="1"/>
      <w:numFmt w:val="bullet"/>
      <w:lvlText w:val=""/>
      <w:lvlJc w:val="left"/>
      <w:pPr>
        <w:tabs>
          <w:tab w:val="num" w:pos="5040"/>
        </w:tabs>
        <w:ind w:left="5040" w:hanging="360"/>
      </w:pPr>
      <w:rPr>
        <w:rFonts w:ascii="Wingdings 2" w:hAnsi="Wingdings 2" w:hint="default"/>
      </w:rPr>
    </w:lvl>
    <w:lvl w:ilvl="7" w:tplc="CC0095BE" w:tentative="1">
      <w:start w:val="1"/>
      <w:numFmt w:val="bullet"/>
      <w:lvlText w:val=""/>
      <w:lvlJc w:val="left"/>
      <w:pPr>
        <w:tabs>
          <w:tab w:val="num" w:pos="5760"/>
        </w:tabs>
        <w:ind w:left="5760" w:hanging="360"/>
      </w:pPr>
      <w:rPr>
        <w:rFonts w:ascii="Wingdings 2" w:hAnsi="Wingdings 2" w:hint="default"/>
      </w:rPr>
    </w:lvl>
    <w:lvl w:ilvl="8" w:tplc="2C4245D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98"/>
    <w:rsid w:val="000045A4"/>
    <w:rsid w:val="00006D95"/>
    <w:rsid w:val="00010A3E"/>
    <w:rsid w:val="0002005C"/>
    <w:rsid w:val="000227FC"/>
    <w:rsid w:val="00023990"/>
    <w:rsid w:val="00024E6F"/>
    <w:rsid w:val="000315F9"/>
    <w:rsid w:val="000375AF"/>
    <w:rsid w:val="000424AB"/>
    <w:rsid w:val="0005048F"/>
    <w:rsid w:val="000515C6"/>
    <w:rsid w:val="000530D8"/>
    <w:rsid w:val="0005356A"/>
    <w:rsid w:val="00057712"/>
    <w:rsid w:val="00063618"/>
    <w:rsid w:val="00064AAD"/>
    <w:rsid w:val="00073DD9"/>
    <w:rsid w:val="00084A88"/>
    <w:rsid w:val="00086F71"/>
    <w:rsid w:val="00090AD9"/>
    <w:rsid w:val="00091DB1"/>
    <w:rsid w:val="000943F9"/>
    <w:rsid w:val="00095D4D"/>
    <w:rsid w:val="00096524"/>
    <w:rsid w:val="000973DA"/>
    <w:rsid w:val="000A6DC0"/>
    <w:rsid w:val="000B07CB"/>
    <w:rsid w:val="000B3F25"/>
    <w:rsid w:val="000B4644"/>
    <w:rsid w:val="000B47E8"/>
    <w:rsid w:val="000C0D53"/>
    <w:rsid w:val="000C2224"/>
    <w:rsid w:val="000C36BE"/>
    <w:rsid w:val="000D0076"/>
    <w:rsid w:val="000D2CE5"/>
    <w:rsid w:val="000D3B7A"/>
    <w:rsid w:val="000D4BBC"/>
    <w:rsid w:val="000D634B"/>
    <w:rsid w:val="000E1BA9"/>
    <w:rsid w:val="000E310E"/>
    <w:rsid w:val="000E3993"/>
    <w:rsid w:val="000E3B03"/>
    <w:rsid w:val="000F575C"/>
    <w:rsid w:val="0010104F"/>
    <w:rsid w:val="00102122"/>
    <w:rsid w:val="001068BB"/>
    <w:rsid w:val="0010771F"/>
    <w:rsid w:val="00114081"/>
    <w:rsid w:val="0011467F"/>
    <w:rsid w:val="0012204F"/>
    <w:rsid w:val="00125A87"/>
    <w:rsid w:val="0012756E"/>
    <w:rsid w:val="00133E0A"/>
    <w:rsid w:val="00141AD7"/>
    <w:rsid w:val="001439FB"/>
    <w:rsid w:val="001470DD"/>
    <w:rsid w:val="0015107B"/>
    <w:rsid w:val="0015181E"/>
    <w:rsid w:val="00151E1F"/>
    <w:rsid w:val="00165BDB"/>
    <w:rsid w:val="00170D87"/>
    <w:rsid w:val="00176408"/>
    <w:rsid w:val="00180F24"/>
    <w:rsid w:val="00187F78"/>
    <w:rsid w:val="0019122D"/>
    <w:rsid w:val="001923C5"/>
    <w:rsid w:val="001A241E"/>
    <w:rsid w:val="001A2A9B"/>
    <w:rsid w:val="001A4469"/>
    <w:rsid w:val="001B3720"/>
    <w:rsid w:val="001B3840"/>
    <w:rsid w:val="001B49CB"/>
    <w:rsid w:val="001B5163"/>
    <w:rsid w:val="001B5D41"/>
    <w:rsid w:val="001C00D8"/>
    <w:rsid w:val="001C70AA"/>
    <w:rsid w:val="001D3F1B"/>
    <w:rsid w:val="001D6450"/>
    <w:rsid w:val="001E026D"/>
    <w:rsid w:val="001E3D56"/>
    <w:rsid w:val="001E715E"/>
    <w:rsid w:val="001F1759"/>
    <w:rsid w:val="00202B0A"/>
    <w:rsid w:val="00210017"/>
    <w:rsid w:val="0021128E"/>
    <w:rsid w:val="00212AF8"/>
    <w:rsid w:val="00213A92"/>
    <w:rsid w:val="00217679"/>
    <w:rsid w:val="002203F1"/>
    <w:rsid w:val="002214AA"/>
    <w:rsid w:val="00222801"/>
    <w:rsid w:val="002255AE"/>
    <w:rsid w:val="0023375F"/>
    <w:rsid w:val="00234D13"/>
    <w:rsid w:val="002372DE"/>
    <w:rsid w:val="00237C56"/>
    <w:rsid w:val="00241DC9"/>
    <w:rsid w:val="002470C9"/>
    <w:rsid w:val="00247253"/>
    <w:rsid w:val="00261833"/>
    <w:rsid w:val="002763A8"/>
    <w:rsid w:val="00277C89"/>
    <w:rsid w:val="00280457"/>
    <w:rsid w:val="002923CF"/>
    <w:rsid w:val="00294087"/>
    <w:rsid w:val="00294BDD"/>
    <w:rsid w:val="002979CF"/>
    <w:rsid w:val="002A1A4D"/>
    <w:rsid w:val="002A2BCA"/>
    <w:rsid w:val="002A5BF7"/>
    <w:rsid w:val="002A5C76"/>
    <w:rsid w:val="002B2803"/>
    <w:rsid w:val="002B7190"/>
    <w:rsid w:val="002B77A9"/>
    <w:rsid w:val="002C1AD8"/>
    <w:rsid w:val="002C22CB"/>
    <w:rsid w:val="002C2E57"/>
    <w:rsid w:val="002C320D"/>
    <w:rsid w:val="002C3AD4"/>
    <w:rsid w:val="002C4E2D"/>
    <w:rsid w:val="002C6049"/>
    <w:rsid w:val="002C64F1"/>
    <w:rsid w:val="002D5B50"/>
    <w:rsid w:val="002E04AB"/>
    <w:rsid w:val="002E0BB6"/>
    <w:rsid w:val="002E3204"/>
    <w:rsid w:val="002E5E73"/>
    <w:rsid w:val="002F67EE"/>
    <w:rsid w:val="00302AD6"/>
    <w:rsid w:val="00302FA9"/>
    <w:rsid w:val="003152D1"/>
    <w:rsid w:val="003164E1"/>
    <w:rsid w:val="003173FE"/>
    <w:rsid w:val="00317661"/>
    <w:rsid w:val="003225F5"/>
    <w:rsid w:val="00323E29"/>
    <w:rsid w:val="003317C5"/>
    <w:rsid w:val="00332CC2"/>
    <w:rsid w:val="003333EB"/>
    <w:rsid w:val="00333C3A"/>
    <w:rsid w:val="0034218F"/>
    <w:rsid w:val="00352466"/>
    <w:rsid w:val="0036110B"/>
    <w:rsid w:val="003622BD"/>
    <w:rsid w:val="00362DE7"/>
    <w:rsid w:val="0036659A"/>
    <w:rsid w:val="00366877"/>
    <w:rsid w:val="003718FB"/>
    <w:rsid w:val="0037439E"/>
    <w:rsid w:val="0037721A"/>
    <w:rsid w:val="003873D1"/>
    <w:rsid w:val="00390C4A"/>
    <w:rsid w:val="0039446C"/>
    <w:rsid w:val="00397D61"/>
    <w:rsid w:val="003A0109"/>
    <w:rsid w:val="003B1447"/>
    <w:rsid w:val="003B2A99"/>
    <w:rsid w:val="003B5E95"/>
    <w:rsid w:val="003B6311"/>
    <w:rsid w:val="003B65AE"/>
    <w:rsid w:val="003C6A50"/>
    <w:rsid w:val="003C7770"/>
    <w:rsid w:val="003C7CE4"/>
    <w:rsid w:val="003D1952"/>
    <w:rsid w:val="003D4C3C"/>
    <w:rsid w:val="003F40D0"/>
    <w:rsid w:val="003F41B4"/>
    <w:rsid w:val="00402992"/>
    <w:rsid w:val="004052D9"/>
    <w:rsid w:val="00407D52"/>
    <w:rsid w:val="004122B4"/>
    <w:rsid w:val="0041646E"/>
    <w:rsid w:val="00422001"/>
    <w:rsid w:val="0042467A"/>
    <w:rsid w:val="0043134B"/>
    <w:rsid w:val="00432443"/>
    <w:rsid w:val="00447FFE"/>
    <w:rsid w:val="00450541"/>
    <w:rsid w:val="00454439"/>
    <w:rsid w:val="00454B72"/>
    <w:rsid w:val="00456522"/>
    <w:rsid w:val="0045736F"/>
    <w:rsid w:val="00461360"/>
    <w:rsid w:val="00463F75"/>
    <w:rsid w:val="00464CE2"/>
    <w:rsid w:val="00465443"/>
    <w:rsid w:val="0047424C"/>
    <w:rsid w:val="004754C8"/>
    <w:rsid w:val="00491200"/>
    <w:rsid w:val="00492627"/>
    <w:rsid w:val="004947BB"/>
    <w:rsid w:val="00496443"/>
    <w:rsid w:val="00497692"/>
    <w:rsid w:val="0049798E"/>
    <w:rsid w:val="004A3A2E"/>
    <w:rsid w:val="004A7CDA"/>
    <w:rsid w:val="004A7F5B"/>
    <w:rsid w:val="004B0936"/>
    <w:rsid w:val="004B5044"/>
    <w:rsid w:val="004B7CB1"/>
    <w:rsid w:val="004C29C2"/>
    <w:rsid w:val="004C448B"/>
    <w:rsid w:val="004C521A"/>
    <w:rsid w:val="004C6F09"/>
    <w:rsid w:val="004D16EB"/>
    <w:rsid w:val="004E1A89"/>
    <w:rsid w:val="004E2C9B"/>
    <w:rsid w:val="004E3198"/>
    <w:rsid w:val="004E3BDE"/>
    <w:rsid w:val="004F11BE"/>
    <w:rsid w:val="004F2508"/>
    <w:rsid w:val="004F2561"/>
    <w:rsid w:val="004F2BFA"/>
    <w:rsid w:val="004F69B0"/>
    <w:rsid w:val="00500620"/>
    <w:rsid w:val="00501860"/>
    <w:rsid w:val="00501FBA"/>
    <w:rsid w:val="00504B33"/>
    <w:rsid w:val="005051D5"/>
    <w:rsid w:val="00505AA0"/>
    <w:rsid w:val="00507535"/>
    <w:rsid w:val="00512D71"/>
    <w:rsid w:val="00515B0A"/>
    <w:rsid w:val="00520B1D"/>
    <w:rsid w:val="00525D5E"/>
    <w:rsid w:val="005275A1"/>
    <w:rsid w:val="00530FCE"/>
    <w:rsid w:val="00533334"/>
    <w:rsid w:val="0054151D"/>
    <w:rsid w:val="005440A9"/>
    <w:rsid w:val="00545806"/>
    <w:rsid w:val="00546DD5"/>
    <w:rsid w:val="00550824"/>
    <w:rsid w:val="00555030"/>
    <w:rsid w:val="00556817"/>
    <w:rsid w:val="0056017C"/>
    <w:rsid w:val="00562BB6"/>
    <w:rsid w:val="00563227"/>
    <w:rsid w:val="005649A4"/>
    <w:rsid w:val="00565A15"/>
    <w:rsid w:val="00566EC2"/>
    <w:rsid w:val="005702F3"/>
    <w:rsid w:val="00570CE8"/>
    <w:rsid w:val="00585B9E"/>
    <w:rsid w:val="00585FCA"/>
    <w:rsid w:val="00590F70"/>
    <w:rsid w:val="0059287E"/>
    <w:rsid w:val="00592C07"/>
    <w:rsid w:val="00593ABE"/>
    <w:rsid w:val="005977E6"/>
    <w:rsid w:val="005A24DA"/>
    <w:rsid w:val="005B0B9E"/>
    <w:rsid w:val="005B4165"/>
    <w:rsid w:val="005B5978"/>
    <w:rsid w:val="005C0C90"/>
    <w:rsid w:val="005C1FCC"/>
    <w:rsid w:val="005E2303"/>
    <w:rsid w:val="005E695A"/>
    <w:rsid w:val="005F4899"/>
    <w:rsid w:val="006005C4"/>
    <w:rsid w:val="00606A1F"/>
    <w:rsid w:val="006074C0"/>
    <w:rsid w:val="00617DF4"/>
    <w:rsid w:val="00620009"/>
    <w:rsid w:val="006218DF"/>
    <w:rsid w:val="006251FA"/>
    <w:rsid w:val="00625D23"/>
    <w:rsid w:val="006342FE"/>
    <w:rsid w:val="006347F2"/>
    <w:rsid w:val="0064204D"/>
    <w:rsid w:val="0064243E"/>
    <w:rsid w:val="0064569B"/>
    <w:rsid w:val="00650555"/>
    <w:rsid w:val="0065086A"/>
    <w:rsid w:val="0065145C"/>
    <w:rsid w:val="006545C8"/>
    <w:rsid w:val="00660CB6"/>
    <w:rsid w:val="00661198"/>
    <w:rsid w:val="00665C19"/>
    <w:rsid w:val="0067060E"/>
    <w:rsid w:val="00675007"/>
    <w:rsid w:val="006764B3"/>
    <w:rsid w:val="00676734"/>
    <w:rsid w:val="00683DBC"/>
    <w:rsid w:val="00693564"/>
    <w:rsid w:val="006A384E"/>
    <w:rsid w:val="006A4724"/>
    <w:rsid w:val="006B3951"/>
    <w:rsid w:val="006C09EE"/>
    <w:rsid w:val="006C2EEE"/>
    <w:rsid w:val="006C3B1B"/>
    <w:rsid w:val="006C50E2"/>
    <w:rsid w:val="006D04EA"/>
    <w:rsid w:val="006D0B56"/>
    <w:rsid w:val="006D1E97"/>
    <w:rsid w:val="006D356A"/>
    <w:rsid w:val="006D4694"/>
    <w:rsid w:val="006D730E"/>
    <w:rsid w:val="006E40DD"/>
    <w:rsid w:val="006E4FAB"/>
    <w:rsid w:val="006F510C"/>
    <w:rsid w:val="006F5CFE"/>
    <w:rsid w:val="006F6D53"/>
    <w:rsid w:val="0070060E"/>
    <w:rsid w:val="007007D5"/>
    <w:rsid w:val="00704CEC"/>
    <w:rsid w:val="007112FE"/>
    <w:rsid w:val="00715BF3"/>
    <w:rsid w:val="00715DCE"/>
    <w:rsid w:val="00717A89"/>
    <w:rsid w:val="00724597"/>
    <w:rsid w:val="00725E52"/>
    <w:rsid w:val="007260B5"/>
    <w:rsid w:val="00726CB2"/>
    <w:rsid w:val="00727EF2"/>
    <w:rsid w:val="007314E0"/>
    <w:rsid w:val="00736EF9"/>
    <w:rsid w:val="007453A5"/>
    <w:rsid w:val="00753CB8"/>
    <w:rsid w:val="00756A15"/>
    <w:rsid w:val="00757C6A"/>
    <w:rsid w:val="007651DC"/>
    <w:rsid w:val="00770978"/>
    <w:rsid w:val="0077188F"/>
    <w:rsid w:val="00773B63"/>
    <w:rsid w:val="00780434"/>
    <w:rsid w:val="00780513"/>
    <w:rsid w:val="00780B16"/>
    <w:rsid w:val="007815A2"/>
    <w:rsid w:val="00783D96"/>
    <w:rsid w:val="0078715F"/>
    <w:rsid w:val="007906E1"/>
    <w:rsid w:val="00792D06"/>
    <w:rsid w:val="0079626E"/>
    <w:rsid w:val="0079747E"/>
    <w:rsid w:val="007A09BD"/>
    <w:rsid w:val="007A436B"/>
    <w:rsid w:val="007A48AC"/>
    <w:rsid w:val="007A521C"/>
    <w:rsid w:val="007A64B6"/>
    <w:rsid w:val="007B0BE0"/>
    <w:rsid w:val="007B4FEB"/>
    <w:rsid w:val="007B558C"/>
    <w:rsid w:val="007C1B6F"/>
    <w:rsid w:val="007C26A0"/>
    <w:rsid w:val="007C43F7"/>
    <w:rsid w:val="007D3685"/>
    <w:rsid w:val="007D49AD"/>
    <w:rsid w:val="007D7E48"/>
    <w:rsid w:val="007E18E8"/>
    <w:rsid w:val="007E2F2E"/>
    <w:rsid w:val="007E5D78"/>
    <w:rsid w:val="007F148B"/>
    <w:rsid w:val="007F5851"/>
    <w:rsid w:val="00804926"/>
    <w:rsid w:val="00805D96"/>
    <w:rsid w:val="0081136C"/>
    <w:rsid w:val="008117A4"/>
    <w:rsid w:val="00811838"/>
    <w:rsid w:val="008151B4"/>
    <w:rsid w:val="00815A9C"/>
    <w:rsid w:val="00823233"/>
    <w:rsid w:val="0082357E"/>
    <w:rsid w:val="00832EE4"/>
    <w:rsid w:val="008374E3"/>
    <w:rsid w:val="00844FC1"/>
    <w:rsid w:val="00845807"/>
    <w:rsid w:val="00846998"/>
    <w:rsid w:val="00847723"/>
    <w:rsid w:val="00850092"/>
    <w:rsid w:val="00854080"/>
    <w:rsid w:val="0086193C"/>
    <w:rsid w:val="008619EF"/>
    <w:rsid w:val="00862A9B"/>
    <w:rsid w:val="008634D1"/>
    <w:rsid w:val="00863DB2"/>
    <w:rsid w:val="00865FCB"/>
    <w:rsid w:val="00876724"/>
    <w:rsid w:val="008803C9"/>
    <w:rsid w:val="00880A66"/>
    <w:rsid w:val="00882056"/>
    <w:rsid w:val="00882D2C"/>
    <w:rsid w:val="0088302B"/>
    <w:rsid w:val="0088609B"/>
    <w:rsid w:val="00887E33"/>
    <w:rsid w:val="0089002D"/>
    <w:rsid w:val="00894238"/>
    <w:rsid w:val="008951E1"/>
    <w:rsid w:val="008A4757"/>
    <w:rsid w:val="008A517A"/>
    <w:rsid w:val="008B0F33"/>
    <w:rsid w:val="008B33E3"/>
    <w:rsid w:val="008B6D4A"/>
    <w:rsid w:val="008C195A"/>
    <w:rsid w:val="008C533E"/>
    <w:rsid w:val="008C62EB"/>
    <w:rsid w:val="008D60B6"/>
    <w:rsid w:val="008E3FFB"/>
    <w:rsid w:val="008F30E8"/>
    <w:rsid w:val="008F4527"/>
    <w:rsid w:val="008F5C59"/>
    <w:rsid w:val="00902437"/>
    <w:rsid w:val="0090655A"/>
    <w:rsid w:val="0091219F"/>
    <w:rsid w:val="00912D8E"/>
    <w:rsid w:val="00913526"/>
    <w:rsid w:val="00914050"/>
    <w:rsid w:val="009147EE"/>
    <w:rsid w:val="00914EB9"/>
    <w:rsid w:val="00916DA9"/>
    <w:rsid w:val="00917F76"/>
    <w:rsid w:val="00930F3F"/>
    <w:rsid w:val="00931ED1"/>
    <w:rsid w:val="00932614"/>
    <w:rsid w:val="0093333D"/>
    <w:rsid w:val="00936454"/>
    <w:rsid w:val="009416BE"/>
    <w:rsid w:val="0094177D"/>
    <w:rsid w:val="00947569"/>
    <w:rsid w:val="00952AE4"/>
    <w:rsid w:val="009551A0"/>
    <w:rsid w:val="00956B81"/>
    <w:rsid w:val="009607E7"/>
    <w:rsid w:val="009612CA"/>
    <w:rsid w:val="009613A7"/>
    <w:rsid w:val="0096630A"/>
    <w:rsid w:val="00967495"/>
    <w:rsid w:val="00971AE5"/>
    <w:rsid w:val="009757E1"/>
    <w:rsid w:val="009769BC"/>
    <w:rsid w:val="009876B9"/>
    <w:rsid w:val="009879E0"/>
    <w:rsid w:val="009A1F35"/>
    <w:rsid w:val="009A61E6"/>
    <w:rsid w:val="009B279F"/>
    <w:rsid w:val="009B364B"/>
    <w:rsid w:val="009C0486"/>
    <w:rsid w:val="009C2039"/>
    <w:rsid w:val="009C4B2F"/>
    <w:rsid w:val="009C5E13"/>
    <w:rsid w:val="009C67BD"/>
    <w:rsid w:val="009C6F15"/>
    <w:rsid w:val="009D1D21"/>
    <w:rsid w:val="009D6315"/>
    <w:rsid w:val="009D7371"/>
    <w:rsid w:val="009E2281"/>
    <w:rsid w:val="009F1ABD"/>
    <w:rsid w:val="00A00D46"/>
    <w:rsid w:val="00A02894"/>
    <w:rsid w:val="00A04288"/>
    <w:rsid w:val="00A11C1A"/>
    <w:rsid w:val="00A16D7E"/>
    <w:rsid w:val="00A216DA"/>
    <w:rsid w:val="00A23726"/>
    <w:rsid w:val="00A25718"/>
    <w:rsid w:val="00A34F61"/>
    <w:rsid w:val="00A422AB"/>
    <w:rsid w:val="00A43914"/>
    <w:rsid w:val="00A43F83"/>
    <w:rsid w:val="00A511C5"/>
    <w:rsid w:val="00A542FB"/>
    <w:rsid w:val="00A56B83"/>
    <w:rsid w:val="00A629AB"/>
    <w:rsid w:val="00A63A31"/>
    <w:rsid w:val="00A6490C"/>
    <w:rsid w:val="00A65147"/>
    <w:rsid w:val="00A6571D"/>
    <w:rsid w:val="00A73423"/>
    <w:rsid w:val="00A753AD"/>
    <w:rsid w:val="00A7574F"/>
    <w:rsid w:val="00A75890"/>
    <w:rsid w:val="00A75FC3"/>
    <w:rsid w:val="00A778A7"/>
    <w:rsid w:val="00A77D3A"/>
    <w:rsid w:val="00A93EBC"/>
    <w:rsid w:val="00A93F93"/>
    <w:rsid w:val="00A95B31"/>
    <w:rsid w:val="00A95E10"/>
    <w:rsid w:val="00AA23D4"/>
    <w:rsid w:val="00AA79AD"/>
    <w:rsid w:val="00AA7B4C"/>
    <w:rsid w:val="00AB4527"/>
    <w:rsid w:val="00AB70C8"/>
    <w:rsid w:val="00AB7102"/>
    <w:rsid w:val="00AC3D60"/>
    <w:rsid w:val="00AC6E1D"/>
    <w:rsid w:val="00AD370D"/>
    <w:rsid w:val="00AD4D0C"/>
    <w:rsid w:val="00AE1566"/>
    <w:rsid w:val="00AE2DD8"/>
    <w:rsid w:val="00AE3830"/>
    <w:rsid w:val="00AE57ED"/>
    <w:rsid w:val="00AE7367"/>
    <w:rsid w:val="00AE7CAF"/>
    <w:rsid w:val="00AE7CC1"/>
    <w:rsid w:val="00AF0B7E"/>
    <w:rsid w:val="00AF11CE"/>
    <w:rsid w:val="00AF16A3"/>
    <w:rsid w:val="00B048B8"/>
    <w:rsid w:val="00B04C44"/>
    <w:rsid w:val="00B07CD5"/>
    <w:rsid w:val="00B12743"/>
    <w:rsid w:val="00B136C0"/>
    <w:rsid w:val="00B163C0"/>
    <w:rsid w:val="00B16693"/>
    <w:rsid w:val="00B20F2E"/>
    <w:rsid w:val="00B24294"/>
    <w:rsid w:val="00B243AF"/>
    <w:rsid w:val="00B25D3B"/>
    <w:rsid w:val="00B304D2"/>
    <w:rsid w:val="00B32522"/>
    <w:rsid w:val="00B35039"/>
    <w:rsid w:val="00B354CF"/>
    <w:rsid w:val="00B36DF0"/>
    <w:rsid w:val="00B51B80"/>
    <w:rsid w:val="00B522CB"/>
    <w:rsid w:val="00B5494A"/>
    <w:rsid w:val="00B55BA7"/>
    <w:rsid w:val="00B56858"/>
    <w:rsid w:val="00B6312F"/>
    <w:rsid w:val="00B64F11"/>
    <w:rsid w:val="00B72061"/>
    <w:rsid w:val="00B7371A"/>
    <w:rsid w:val="00B74DE0"/>
    <w:rsid w:val="00B7528D"/>
    <w:rsid w:val="00B7770E"/>
    <w:rsid w:val="00B83208"/>
    <w:rsid w:val="00B83A91"/>
    <w:rsid w:val="00B84B06"/>
    <w:rsid w:val="00B84C7C"/>
    <w:rsid w:val="00B86140"/>
    <w:rsid w:val="00B874CB"/>
    <w:rsid w:val="00B902F1"/>
    <w:rsid w:val="00B9393D"/>
    <w:rsid w:val="00B976BD"/>
    <w:rsid w:val="00BA0887"/>
    <w:rsid w:val="00BA7C0A"/>
    <w:rsid w:val="00BC0BA5"/>
    <w:rsid w:val="00BC3550"/>
    <w:rsid w:val="00BC5346"/>
    <w:rsid w:val="00BC70CD"/>
    <w:rsid w:val="00BC7E0F"/>
    <w:rsid w:val="00BD0D20"/>
    <w:rsid w:val="00BD7443"/>
    <w:rsid w:val="00BE202F"/>
    <w:rsid w:val="00BE2D00"/>
    <w:rsid w:val="00BE30B4"/>
    <w:rsid w:val="00BE5896"/>
    <w:rsid w:val="00C02824"/>
    <w:rsid w:val="00C02D04"/>
    <w:rsid w:val="00C060CF"/>
    <w:rsid w:val="00C06627"/>
    <w:rsid w:val="00C114D9"/>
    <w:rsid w:val="00C14C61"/>
    <w:rsid w:val="00C15A7E"/>
    <w:rsid w:val="00C1693A"/>
    <w:rsid w:val="00C24F36"/>
    <w:rsid w:val="00C25917"/>
    <w:rsid w:val="00C265DD"/>
    <w:rsid w:val="00C270C6"/>
    <w:rsid w:val="00C3062A"/>
    <w:rsid w:val="00C3080A"/>
    <w:rsid w:val="00C30E6A"/>
    <w:rsid w:val="00C341AB"/>
    <w:rsid w:val="00C44151"/>
    <w:rsid w:val="00C5043B"/>
    <w:rsid w:val="00C51E14"/>
    <w:rsid w:val="00C551D5"/>
    <w:rsid w:val="00C565C1"/>
    <w:rsid w:val="00C62CAA"/>
    <w:rsid w:val="00C62E23"/>
    <w:rsid w:val="00C634C4"/>
    <w:rsid w:val="00C703EE"/>
    <w:rsid w:val="00C737D2"/>
    <w:rsid w:val="00C75A5D"/>
    <w:rsid w:val="00C81814"/>
    <w:rsid w:val="00C84E9A"/>
    <w:rsid w:val="00C873D6"/>
    <w:rsid w:val="00C9121D"/>
    <w:rsid w:val="00C937BE"/>
    <w:rsid w:val="00C95FD0"/>
    <w:rsid w:val="00C9645F"/>
    <w:rsid w:val="00CA3B26"/>
    <w:rsid w:val="00CB448C"/>
    <w:rsid w:val="00CC150B"/>
    <w:rsid w:val="00CD1645"/>
    <w:rsid w:val="00CD433F"/>
    <w:rsid w:val="00CE0CD9"/>
    <w:rsid w:val="00CE1775"/>
    <w:rsid w:val="00CE1953"/>
    <w:rsid w:val="00CE2C44"/>
    <w:rsid w:val="00CF4058"/>
    <w:rsid w:val="00CF558E"/>
    <w:rsid w:val="00D03AB0"/>
    <w:rsid w:val="00D23B86"/>
    <w:rsid w:val="00D2460E"/>
    <w:rsid w:val="00D2662D"/>
    <w:rsid w:val="00D268C5"/>
    <w:rsid w:val="00D37354"/>
    <w:rsid w:val="00D41772"/>
    <w:rsid w:val="00D53AE7"/>
    <w:rsid w:val="00D53E92"/>
    <w:rsid w:val="00D54C64"/>
    <w:rsid w:val="00D554DF"/>
    <w:rsid w:val="00D57963"/>
    <w:rsid w:val="00D6184C"/>
    <w:rsid w:val="00D6187B"/>
    <w:rsid w:val="00D63ED3"/>
    <w:rsid w:val="00D65150"/>
    <w:rsid w:val="00D652B7"/>
    <w:rsid w:val="00D66E64"/>
    <w:rsid w:val="00D71624"/>
    <w:rsid w:val="00D72F2B"/>
    <w:rsid w:val="00D758C1"/>
    <w:rsid w:val="00D8128C"/>
    <w:rsid w:val="00D81ADD"/>
    <w:rsid w:val="00D841B9"/>
    <w:rsid w:val="00D850A9"/>
    <w:rsid w:val="00D87AF2"/>
    <w:rsid w:val="00DA0E3F"/>
    <w:rsid w:val="00DA3739"/>
    <w:rsid w:val="00DB060E"/>
    <w:rsid w:val="00DB24F1"/>
    <w:rsid w:val="00DB3689"/>
    <w:rsid w:val="00DC0321"/>
    <w:rsid w:val="00DC1594"/>
    <w:rsid w:val="00DC4083"/>
    <w:rsid w:val="00DC5EAE"/>
    <w:rsid w:val="00DD42FD"/>
    <w:rsid w:val="00DD5DAD"/>
    <w:rsid w:val="00DD6380"/>
    <w:rsid w:val="00DE4C69"/>
    <w:rsid w:val="00DE6E5B"/>
    <w:rsid w:val="00DF0BF0"/>
    <w:rsid w:val="00DF0BFC"/>
    <w:rsid w:val="00DF5227"/>
    <w:rsid w:val="00DF76C1"/>
    <w:rsid w:val="00E0152F"/>
    <w:rsid w:val="00E10645"/>
    <w:rsid w:val="00E11212"/>
    <w:rsid w:val="00E1307B"/>
    <w:rsid w:val="00E233D7"/>
    <w:rsid w:val="00E2796D"/>
    <w:rsid w:val="00E31BF0"/>
    <w:rsid w:val="00E31E82"/>
    <w:rsid w:val="00E35387"/>
    <w:rsid w:val="00E37E84"/>
    <w:rsid w:val="00E43AEC"/>
    <w:rsid w:val="00E44922"/>
    <w:rsid w:val="00E4540D"/>
    <w:rsid w:val="00E51762"/>
    <w:rsid w:val="00E54202"/>
    <w:rsid w:val="00E567E1"/>
    <w:rsid w:val="00E62727"/>
    <w:rsid w:val="00E66189"/>
    <w:rsid w:val="00E6646F"/>
    <w:rsid w:val="00E6736D"/>
    <w:rsid w:val="00E705F0"/>
    <w:rsid w:val="00E71B6E"/>
    <w:rsid w:val="00E7492C"/>
    <w:rsid w:val="00E767EE"/>
    <w:rsid w:val="00E81777"/>
    <w:rsid w:val="00E84CBA"/>
    <w:rsid w:val="00E85E17"/>
    <w:rsid w:val="00E862EB"/>
    <w:rsid w:val="00E97341"/>
    <w:rsid w:val="00EA1AAE"/>
    <w:rsid w:val="00EB25AF"/>
    <w:rsid w:val="00EB40E2"/>
    <w:rsid w:val="00EB4409"/>
    <w:rsid w:val="00EC771F"/>
    <w:rsid w:val="00ED2A47"/>
    <w:rsid w:val="00EE462C"/>
    <w:rsid w:val="00EE54E4"/>
    <w:rsid w:val="00EF2AAA"/>
    <w:rsid w:val="00EF52E8"/>
    <w:rsid w:val="00EF6A47"/>
    <w:rsid w:val="00EF6E53"/>
    <w:rsid w:val="00EF7452"/>
    <w:rsid w:val="00F058D4"/>
    <w:rsid w:val="00F1100F"/>
    <w:rsid w:val="00F11278"/>
    <w:rsid w:val="00F15455"/>
    <w:rsid w:val="00F162B5"/>
    <w:rsid w:val="00F2204E"/>
    <w:rsid w:val="00F22757"/>
    <w:rsid w:val="00F22F71"/>
    <w:rsid w:val="00F23CA6"/>
    <w:rsid w:val="00F23E8A"/>
    <w:rsid w:val="00F23FB7"/>
    <w:rsid w:val="00F259B5"/>
    <w:rsid w:val="00F301B4"/>
    <w:rsid w:val="00F30C5E"/>
    <w:rsid w:val="00F30E3C"/>
    <w:rsid w:val="00F31A5D"/>
    <w:rsid w:val="00F32360"/>
    <w:rsid w:val="00F36CA2"/>
    <w:rsid w:val="00F437F9"/>
    <w:rsid w:val="00F52069"/>
    <w:rsid w:val="00F52177"/>
    <w:rsid w:val="00F551FE"/>
    <w:rsid w:val="00F566F4"/>
    <w:rsid w:val="00F578B8"/>
    <w:rsid w:val="00F6110C"/>
    <w:rsid w:val="00F63AEA"/>
    <w:rsid w:val="00F66F4A"/>
    <w:rsid w:val="00F72508"/>
    <w:rsid w:val="00F76697"/>
    <w:rsid w:val="00F76A18"/>
    <w:rsid w:val="00F833CA"/>
    <w:rsid w:val="00F90330"/>
    <w:rsid w:val="00F931B9"/>
    <w:rsid w:val="00F9745C"/>
    <w:rsid w:val="00FA09FE"/>
    <w:rsid w:val="00FB125E"/>
    <w:rsid w:val="00FB3491"/>
    <w:rsid w:val="00FB4496"/>
    <w:rsid w:val="00FC2BA6"/>
    <w:rsid w:val="00FC7F93"/>
    <w:rsid w:val="00FD22B9"/>
    <w:rsid w:val="00FD79E7"/>
    <w:rsid w:val="00FE12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E31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4E3198"/>
    <w:rPr>
      <w:color w:val="0000FF" w:themeColor="hyperlink"/>
      <w:u w:val="single"/>
    </w:rPr>
  </w:style>
  <w:style w:type="paragraph" w:styleId="Listeafsnit">
    <w:name w:val="List Paragraph"/>
    <w:basedOn w:val="Normal"/>
    <w:uiPriority w:val="34"/>
    <w:qFormat/>
    <w:rsid w:val="00B16693"/>
    <w:pPr>
      <w:ind w:left="720"/>
      <w:contextualSpacing/>
    </w:pPr>
  </w:style>
  <w:style w:type="character" w:customStyle="1" w:styleId="inline-anchor-surrounding-text">
    <w:name w:val="inline-anchor-surrounding-text"/>
    <w:basedOn w:val="Standardskrifttypeiafsnit"/>
    <w:rsid w:val="001C70AA"/>
  </w:style>
  <w:style w:type="table" w:styleId="Tabel-Gitter">
    <w:name w:val="Table Grid"/>
    <w:basedOn w:val="Tabel-Normal"/>
    <w:uiPriority w:val="59"/>
    <w:rsid w:val="00E4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14E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9"/>
    <w:rPr>
      <w:rFonts w:ascii="Tahoma" w:hAnsi="Tahoma" w:cs="Tahoma"/>
      <w:sz w:val="16"/>
      <w:szCs w:val="16"/>
    </w:rPr>
  </w:style>
  <w:style w:type="paragraph" w:styleId="Sidehoved">
    <w:name w:val="header"/>
    <w:basedOn w:val="Normal"/>
    <w:link w:val="SidehovedTegn"/>
    <w:uiPriority w:val="99"/>
    <w:unhideWhenUsed/>
    <w:rsid w:val="006C3B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B1B"/>
  </w:style>
  <w:style w:type="paragraph" w:styleId="Sidefod">
    <w:name w:val="footer"/>
    <w:basedOn w:val="Normal"/>
    <w:link w:val="SidefodTegn"/>
    <w:uiPriority w:val="99"/>
    <w:unhideWhenUsed/>
    <w:rsid w:val="006C3B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B1B"/>
  </w:style>
  <w:style w:type="paragraph" w:styleId="Fodnotetekst">
    <w:name w:val="footnote text"/>
    <w:basedOn w:val="Normal"/>
    <w:link w:val="FodnotetekstTegn"/>
    <w:uiPriority w:val="99"/>
    <w:semiHidden/>
    <w:unhideWhenUsed/>
    <w:rsid w:val="006C3B1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3B1B"/>
    <w:rPr>
      <w:sz w:val="20"/>
      <w:szCs w:val="20"/>
    </w:rPr>
  </w:style>
  <w:style w:type="character" w:styleId="Fodnotehenvisning">
    <w:name w:val="footnote reference"/>
    <w:basedOn w:val="Standardskrifttypeiafsnit"/>
    <w:uiPriority w:val="99"/>
    <w:semiHidden/>
    <w:unhideWhenUsed/>
    <w:rsid w:val="006C3B1B"/>
    <w:rPr>
      <w:vertAlign w:val="superscript"/>
    </w:rPr>
  </w:style>
  <w:style w:type="paragraph" w:styleId="NormalWeb">
    <w:name w:val="Normal (Web)"/>
    <w:basedOn w:val="Normal"/>
    <w:uiPriority w:val="99"/>
    <w:unhideWhenUsed/>
    <w:rsid w:val="00882D2C"/>
    <w:pPr>
      <w:spacing w:after="0" w:line="240" w:lineRule="auto"/>
    </w:pPr>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E31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4E3198"/>
    <w:rPr>
      <w:color w:val="0000FF" w:themeColor="hyperlink"/>
      <w:u w:val="single"/>
    </w:rPr>
  </w:style>
  <w:style w:type="paragraph" w:styleId="Listeafsnit">
    <w:name w:val="List Paragraph"/>
    <w:basedOn w:val="Normal"/>
    <w:uiPriority w:val="34"/>
    <w:qFormat/>
    <w:rsid w:val="00B16693"/>
    <w:pPr>
      <w:ind w:left="720"/>
      <w:contextualSpacing/>
    </w:pPr>
  </w:style>
  <w:style w:type="character" w:customStyle="1" w:styleId="inline-anchor-surrounding-text">
    <w:name w:val="inline-anchor-surrounding-text"/>
    <w:basedOn w:val="Standardskrifttypeiafsnit"/>
    <w:rsid w:val="001C70AA"/>
  </w:style>
  <w:style w:type="table" w:styleId="Tabel-Gitter">
    <w:name w:val="Table Grid"/>
    <w:basedOn w:val="Tabel-Normal"/>
    <w:uiPriority w:val="59"/>
    <w:rsid w:val="00E4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14E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4EB9"/>
    <w:rPr>
      <w:rFonts w:ascii="Tahoma" w:hAnsi="Tahoma" w:cs="Tahoma"/>
      <w:sz w:val="16"/>
      <w:szCs w:val="16"/>
    </w:rPr>
  </w:style>
  <w:style w:type="paragraph" w:styleId="Sidehoved">
    <w:name w:val="header"/>
    <w:basedOn w:val="Normal"/>
    <w:link w:val="SidehovedTegn"/>
    <w:uiPriority w:val="99"/>
    <w:unhideWhenUsed/>
    <w:rsid w:val="006C3B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B1B"/>
  </w:style>
  <w:style w:type="paragraph" w:styleId="Sidefod">
    <w:name w:val="footer"/>
    <w:basedOn w:val="Normal"/>
    <w:link w:val="SidefodTegn"/>
    <w:uiPriority w:val="99"/>
    <w:unhideWhenUsed/>
    <w:rsid w:val="006C3B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B1B"/>
  </w:style>
  <w:style w:type="paragraph" w:styleId="Fodnotetekst">
    <w:name w:val="footnote text"/>
    <w:basedOn w:val="Normal"/>
    <w:link w:val="FodnotetekstTegn"/>
    <w:uiPriority w:val="99"/>
    <w:semiHidden/>
    <w:unhideWhenUsed/>
    <w:rsid w:val="006C3B1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3B1B"/>
    <w:rPr>
      <w:sz w:val="20"/>
      <w:szCs w:val="20"/>
    </w:rPr>
  </w:style>
  <w:style w:type="character" w:styleId="Fodnotehenvisning">
    <w:name w:val="footnote reference"/>
    <w:basedOn w:val="Standardskrifttypeiafsnit"/>
    <w:uiPriority w:val="99"/>
    <w:semiHidden/>
    <w:unhideWhenUsed/>
    <w:rsid w:val="006C3B1B"/>
    <w:rPr>
      <w:vertAlign w:val="superscript"/>
    </w:rPr>
  </w:style>
  <w:style w:type="paragraph" w:styleId="NormalWeb">
    <w:name w:val="Normal (Web)"/>
    <w:basedOn w:val="Normal"/>
    <w:uiPriority w:val="99"/>
    <w:unhideWhenUsed/>
    <w:rsid w:val="00882D2C"/>
    <w:pPr>
      <w:spacing w:after="0"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808">
      <w:bodyDiv w:val="1"/>
      <w:marLeft w:val="0"/>
      <w:marRight w:val="0"/>
      <w:marTop w:val="0"/>
      <w:marBottom w:val="0"/>
      <w:divBdr>
        <w:top w:val="none" w:sz="0" w:space="0" w:color="auto"/>
        <w:left w:val="none" w:sz="0" w:space="0" w:color="auto"/>
        <w:bottom w:val="none" w:sz="0" w:space="0" w:color="auto"/>
        <w:right w:val="none" w:sz="0" w:space="0" w:color="auto"/>
      </w:divBdr>
    </w:div>
    <w:div w:id="403994086">
      <w:bodyDiv w:val="1"/>
      <w:marLeft w:val="0"/>
      <w:marRight w:val="0"/>
      <w:marTop w:val="0"/>
      <w:marBottom w:val="0"/>
      <w:divBdr>
        <w:top w:val="none" w:sz="0" w:space="0" w:color="auto"/>
        <w:left w:val="none" w:sz="0" w:space="0" w:color="auto"/>
        <w:bottom w:val="none" w:sz="0" w:space="0" w:color="auto"/>
        <w:right w:val="none" w:sz="0" w:space="0" w:color="auto"/>
      </w:divBdr>
    </w:div>
    <w:div w:id="904411324">
      <w:bodyDiv w:val="1"/>
      <w:marLeft w:val="0"/>
      <w:marRight w:val="0"/>
      <w:marTop w:val="0"/>
      <w:marBottom w:val="0"/>
      <w:divBdr>
        <w:top w:val="none" w:sz="0" w:space="0" w:color="auto"/>
        <w:left w:val="none" w:sz="0" w:space="0" w:color="auto"/>
        <w:bottom w:val="none" w:sz="0" w:space="0" w:color="auto"/>
        <w:right w:val="none" w:sz="0" w:space="0" w:color="auto"/>
      </w:divBdr>
    </w:div>
    <w:div w:id="905185575">
      <w:bodyDiv w:val="1"/>
      <w:marLeft w:val="0"/>
      <w:marRight w:val="0"/>
      <w:marTop w:val="0"/>
      <w:marBottom w:val="0"/>
      <w:divBdr>
        <w:top w:val="none" w:sz="0" w:space="0" w:color="auto"/>
        <w:left w:val="none" w:sz="0" w:space="0" w:color="auto"/>
        <w:bottom w:val="none" w:sz="0" w:space="0" w:color="auto"/>
        <w:right w:val="none" w:sz="0" w:space="0" w:color="auto"/>
      </w:divBdr>
    </w:div>
    <w:div w:id="940139414">
      <w:bodyDiv w:val="1"/>
      <w:marLeft w:val="0"/>
      <w:marRight w:val="0"/>
      <w:marTop w:val="0"/>
      <w:marBottom w:val="0"/>
      <w:divBdr>
        <w:top w:val="none" w:sz="0" w:space="0" w:color="auto"/>
        <w:left w:val="none" w:sz="0" w:space="0" w:color="auto"/>
        <w:bottom w:val="none" w:sz="0" w:space="0" w:color="auto"/>
        <w:right w:val="none" w:sz="0" w:space="0" w:color="auto"/>
      </w:divBdr>
    </w:div>
    <w:div w:id="974801457">
      <w:bodyDiv w:val="1"/>
      <w:marLeft w:val="0"/>
      <w:marRight w:val="0"/>
      <w:marTop w:val="0"/>
      <w:marBottom w:val="0"/>
      <w:divBdr>
        <w:top w:val="none" w:sz="0" w:space="0" w:color="auto"/>
        <w:left w:val="none" w:sz="0" w:space="0" w:color="auto"/>
        <w:bottom w:val="none" w:sz="0" w:space="0" w:color="auto"/>
        <w:right w:val="none" w:sz="0" w:space="0" w:color="auto"/>
      </w:divBdr>
    </w:div>
    <w:div w:id="1055349957">
      <w:bodyDiv w:val="1"/>
      <w:marLeft w:val="0"/>
      <w:marRight w:val="0"/>
      <w:marTop w:val="0"/>
      <w:marBottom w:val="0"/>
      <w:divBdr>
        <w:top w:val="none" w:sz="0" w:space="0" w:color="auto"/>
        <w:left w:val="none" w:sz="0" w:space="0" w:color="auto"/>
        <w:bottom w:val="none" w:sz="0" w:space="0" w:color="auto"/>
        <w:right w:val="none" w:sz="0" w:space="0" w:color="auto"/>
      </w:divBdr>
    </w:div>
    <w:div w:id="1612200598">
      <w:bodyDiv w:val="1"/>
      <w:marLeft w:val="0"/>
      <w:marRight w:val="0"/>
      <w:marTop w:val="0"/>
      <w:marBottom w:val="0"/>
      <w:divBdr>
        <w:top w:val="none" w:sz="0" w:space="0" w:color="auto"/>
        <w:left w:val="none" w:sz="0" w:space="0" w:color="auto"/>
        <w:bottom w:val="none" w:sz="0" w:space="0" w:color="auto"/>
        <w:right w:val="none" w:sz="0" w:space="0" w:color="auto"/>
      </w:divBdr>
    </w:div>
    <w:div w:id="1847866487">
      <w:bodyDiv w:val="1"/>
      <w:marLeft w:val="0"/>
      <w:marRight w:val="0"/>
      <w:marTop w:val="0"/>
      <w:marBottom w:val="0"/>
      <w:divBdr>
        <w:top w:val="none" w:sz="0" w:space="0" w:color="auto"/>
        <w:left w:val="none" w:sz="0" w:space="0" w:color="auto"/>
        <w:bottom w:val="none" w:sz="0" w:space="0" w:color="auto"/>
        <w:right w:val="none" w:sz="0" w:space="0" w:color="auto"/>
      </w:divBdr>
      <w:divsChild>
        <w:div w:id="973678503">
          <w:marLeft w:val="432"/>
          <w:marRight w:val="0"/>
          <w:marTop w:val="115"/>
          <w:marBottom w:val="0"/>
          <w:divBdr>
            <w:top w:val="none" w:sz="0" w:space="0" w:color="auto"/>
            <w:left w:val="none" w:sz="0" w:space="0" w:color="auto"/>
            <w:bottom w:val="none" w:sz="0" w:space="0" w:color="auto"/>
            <w:right w:val="none" w:sz="0" w:space="0" w:color="auto"/>
          </w:divBdr>
        </w:div>
        <w:div w:id="1351562152">
          <w:marLeft w:val="432"/>
          <w:marRight w:val="0"/>
          <w:marTop w:val="115"/>
          <w:marBottom w:val="0"/>
          <w:divBdr>
            <w:top w:val="none" w:sz="0" w:space="0" w:color="auto"/>
            <w:left w:val="none" w:sz="0" w:space="0" w:color="auto"/>
            <w:bottom w:val="none" w:sz="0" w:space="0" w:color="auto"/>
            <w:right w:val="none" w:sz="0" w:space="0" w:color="auto"/>
          </w:divBdr>
        </w:div>
        <w:div w:id="5520368">
          <w:marLeft w:val="432"/>
          <w:marRight w:val="0"/>
          <w:marTop w:val="115"/>
          <w:marBottom w:val="0"/>
          <w:divBdr>
            <w:top w:val="none" w:sz="0" w:space="0" w:color="auto"/>
            <w:left w:val="none" w:sz="0" w:space="0" w:color="auto"/>
            <w:bottom w:val="none" w:sz="0" w:space="0" w:color="auto"/>
            <w:right w:val="none" w:sz="0" w:space="0" w:color="auto"/>
          </w:divBdr>
        </w:div>
        <w:div w:id="15929601">
          <w:marLeft w:val="432"/>
          <w:marRight w:val="0"/>
          <w:marTop w:val="115"/>
          <w:marBottom w:val="0"/>
          <w:divBdr>
            <w:top w:val="none" w:sz="0" w:space="0" w:color="auto"/>
            <w:left w:val="none" w:sz="0" w:space="0" w:color="auto"/>
            <w:bottom w:val="none" w:sz="0" w:space="0" w:color="auto"/>
            <w:right w:val="none" w:sz="0" w:space="0" w:color="auto"/>
          </w:divBdr>
        </w:div>
      </w:divsChild>
    </w:div>
    <w:div w:id="1949585273">
      <w:bodyDiv w:val="1"/>
      <w:marLeft w:val="0"/>
      <w:marRight w:val="0"/>
      <w:marTop w:val="0"/>
      <w:marBottom w:val="0"/>
      <w:divBdr>
        <w:top w:val="none" w:sz="0" w:space="0" w:color="auto"/>
        <w:left w:val="none" w:sz="0" w:space="0" w:color="auto"/>
        <w:bottom w:val="none" w:sz="0" w:space="0" w:color="auto"/>
        <w:right w:val="none" w:sz="0" w:space="0" w:color="auto"/>
      </w:divBdr>
    </w:div>
    <w:div w:id="2046825154">
      <w:bodyDiv w:val="1"/>
      <w:marLeft w:val="0"/>
      <w:marRight w:val="0"/>
      <w:marTop w:val="0"/>
      <w:marBottom w:val="0"/>
      <w:divBdr>
        <w:top w:val="none" w:sz="0" w:space="0" w:color="auto"/>
        <w:left w:val="none" w:sz="0" w:space="0" w:color="auto"/>
        <w:bottom w:val="none" w:sz="0" w:space="0" w:color="auto"/>
        <w:right w:val="none" w:sz="0" w:space="0" w:color="auto"/>
      </w:divBdr>
    </w:div>
    <w:div w:id="21315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kennetl@ruc.dk"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LY-RUC\Documents\Project%20symbols%20&amp;%20myths\papers\ESA\Figure1(0511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LY-RUC\Documents\Project%20symbols%20&amp;%20myths\EEB3SprYea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nnetl\Documents\Project%20symbols%20&amp;%20myths\papers\Kopi%20af%20SP3SprYearFrom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LY-RUC\Documents\Project%20symbols%20&amp;%20myths\ETUC3SprYearFrom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LY-RUC\Documents\Project%20symbols%20&amp;%20myths\BEOutlook3SprYearfrom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EEB</c:v>
                </c:pt>
              </c:strCache>
            </c:strRef>
          </c:tx>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0</c:v>
                </c:pt>
                <c:pt idx="1">
                  <c:v>1</c:v>
                </c:pt>
                <c:pt idx="2">
                  <c:v>0</c:v>
                </c:pt>
                <c:pt idx="3">
                  <c:v>0</c:v>
                </c:pt>
                <c:pt idx="4">
                  <c:v>0</c:v>
                </c:pt>
                <c:pt idx="5">
                  <c:v>28</c:v>
                </c:pt>
                <c:pt idx="6">
                  <c:v>38</c:v>
                </c:pt>
                <c:pt idx="7">
                  <c:v>26</c:v>
                </c:pt>
                <c:pt idx="8">
                  <c:v>36</c:v>
                </c:pt>
                <c:pt idx="9">
                  <c:v>44</c:v>
                </c:pt>
              </c:numCache>
            </c:numRef>
          </c:val>
          <c:smooth val="0"/>
        </c:ser>
        <c:ser>
          <c:idx val="1"/>
          <c:order val="1"/>
          <c:tx>
            <c:strRef>
              <c:f>Sheet1!$C$1</c:f>
              <c:strCache>
                <c:ptCount val="1"/>
                <c:pt idx="0">
                  <c:v>Social Platform</c:v>
                </c:pt>
              </c:strCache>
            </c:strRef>
          </c:tx>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0</c:v>
                </c:pt>
                <c:pt idx="1">
                  <c:v>0</c:v>
                </c:pt>
                <c:pt idx="2">
                  <c:v>0</c:v>
                </c:pt>
                <c:pt idx="3">
                  <c:v>0</c:v>
                </c:pt>
                <c:pt idx="4">
                  <c:v>1</c:v>
                </c:pt>
                <c:pt idx="5">
                  <c:v>23</c:v>
                </c:pt>
                <c:pt idx="6">
                  <c:v>14</c:v>
                </c:pt>
                <c:pt idx="7">
                  <c:v>11</c:v>
                </c:pt>
              </c:numCache>
            </c:numRef>
          </c:val>
          <c:smooth val="0"/>
        </c:ser>
        <c:ser>
          <c:idx val="2"/>
          <c:order val="2"/>
          <c:tx>
            <c:strRef>
              <c:f>Sheet1!$D$1</c:f>
              <c:strCache>
                <c:ptCount val="1"/>
                <c:pt idx="0">
                  <c:v>ETUC</c:v>
                </c:pt>
              </c:strCache>
            </c:strRef>
          </c:tx>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Sheet1!$D$2:$D$11</c:f>
              <c:numCache>
                <c:formatCode>General</c:formatCode>
                <c:ptCount val="10"/>
                <c:pt idx="0">
                  <c:v>0</c:v>
                </c:pt>
                <c:pt idx="1">
                  <c:v>0</c:v>
                </c:pt>
                <c:pt idx="2">
                  <c:v>0</c:v>
                </c:pt>
                <c:pt idx="3">
                  <c:v>0</c:v>
                </c:pt>
                <c:pt idx="4">
                  <c:v>1</c:v>
                </c:pt>
                <c:pt idx="5">
                  <c:v>15</c:v>
                </c:pt>
                <c:pt idx="6">
                  <c:v>17</c:v>
                </c:pt>
                <c:pt idx="7">
                  <c:v>16</c:v>
                </c:pt>
              </c:numCache>
            </c:numRef>
          </c:val>
          <c:smooth val="0"/>
        </c:ser>
        <c:ser>
          <c:idx val="3"/>
          <c:order val="3"/>
          <c:tx>
            <c:strRef>
              <c:f>Sheet1!$E$1</c:f>
              <c:strCache>
                <c:ptCount val="1"/>
                <c:pt idx="0">
                  <c:v>Businesseurope</c:v>
                </c:pt>
              </c:strCache>
            </c:strRef>
          </c:tx>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Sheet1!$E$2:$E$11</c:f>
              <c:numCache>
                <c:formatCode>General</c:formatCode>
                <c:ptCount val="10"/>
                <c:pt idx="0">
                  <c:v>0</c:v>
                </c:pt>
                <c:pt idx="1">
                  <c:v>0</c:v>
                </c:pt>
                <c:pt idx="2">
                  <c:v>0</c:v>
                </c:pt>
                <c:pt idx="3">
                  <c:v>0</c:v>
                </c:pt>
                <c:pt idx="4">
                  <c:v>0</c:v>
                </c:pt>
                <c:pt idx="5">
                  <c:v>0</c:v>
                </c:pt>
                <c:pt idx="6">
                  <c:v>0</c:v>
                </c:pt>
                <c:pt idx="7">
                  <c:v>0</c:v>
                </c:pt>
                <c:pt idx="8">
                  <c:v>0</c:v>
                </c:pt>
                <c:pt idx="9">
                  <c:v>1</c:v>
                </c:pt>
              </c:numCache>
            </c:numRef>
          </c:val>
          <c:smooth val="0"/>
        </c:ser>
        <c:dLbls>
          <c:showLegendKey val="0"/>
          <c:showVal val="0"/>
          <c:showCatName val="0"/>
          <c:showSerName val="0"/>
          <c:showPercent val="0"/>
          <c:showBubbleSize val="0"/>
        </c:dLbls>
        <c:marker val="1"/>
        <c:smooth val="0"/>
        <c:axId val="107988480"/>
        <c:axId val="107990016"/>
      </c:lineChart>
      <c:catAx>
        <c:axId val="107988480"/>
        <c:scaling>
          <c:orientation val="minMax"/>
        </c:scaling>
        <c:delete val="0"/>
        <c:axPos val="b"/>
        <c:numFmt formatCode="General" sourceLinked="1"/>
        <c:majorTickMark val="none"/>
        <c:minorTickMark val="none"/>
        <c:tickLblPos val="nextTo"/>
        <c:txPr>
          <a:bodyPr rot="-5400000" vert="horz"/>
          <a:lstStyle/>
          <a:p>
            <a:pPr>
              <a:defRPr/>
            </a:pPr>
            <a:endParaRPr lang="da-DK"/>
          </a:p>
        </c:txPr>
        <c:crossAx val="107990016"/>
        <c:crosses val="autoZero"/>
        <c:auto val="1"/>
        <c:lblAlgn val="ctr"/>
        <c:lblOffset val="100"/>
        <c:noMultiLvlLbl val="0"/>
      </c:catAx>
      <c:valAx>
        <c:axId val="107990016"/>
        <c:scaling>
          <c:orientation val="minMax"/>
        </c:scaling>
        <c:delete val="0"/>
        <c:axPos val="l"/>
        <c:majorGridlines/>
        <c:numFmt formatCode="General" sourceLinked="1"/>
        <c:majorTickMark val="none"/>
        <c:minorTickMark val="none"/>
        <c:tickLblPos val="nextTo"/>
        <c:crossAx val="107988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Sheet1!$B$1</c:f>
              <c:strCache>
                <c:ptCount val="1"/>
                <c:pt idx="0">
                  <c:v> 'smart'</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0</c:v>
                </c:pt>
                <c:pt idx="1">
                  <c:v>0</c:v>
                </c:pt>
                <c:pt idx="2">
                  <c:v>0</c:v>
                </c:pt>
                <c:pt idx="3">
                  <c:v>4</c:v>
                </c:pt>
                <c:pt idx="4">
                  <c:v>8</c:v>
                </c:pt>
                <c:pt idx="5">
                  <c:v>14</c:v>
                </c:pt>
                <c:pt idx="6">
                  <c:v>10</c:v>
                </c:pt>
                <c:pt idx="7">
                  <c:v>12</c:v>
                </c:pt>
                <c:pt idx="8">
                  <c:v>4</c:v>
                </c:pt>
                <c:pt idx="9">
                  <c:v>2</c:v>
                </c:pt>
              </c:numCache>
            </c:numRef>
          </c:val>
        </c:ser>
        <c:ser>
          <c:idx val="1"/>
          <c:order val="1"/>
          <c:tx>
            <c:strRef>
              <c:f>Sheet1!$C$1</c:f>
              <c:strCache>
                <c:ptCount val="1"/>
                <c:pt idx="0">
                  <c:v> 'un-'/'sustainable'</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120</c:v>
                </c:pt>
                <c:pt idx="1">
                  <c:v>107</c:v>
                </c:pt>
                <c:pt idx="2">
                  <c:v>73</c:v>
                </c:pt>
                <c:pt idx="3">
                  <c:v>83</c:v>
                </c:pt>
                <c:pt idx="4">
                  <c:v>38</c:v>
                </c:pt>
                <c:pt idx="5">
                  <c:v>84</c:v>
                </c:pt>
                <c:pt idx="6">
                  <c:v>95</c:v>
                </c:pt>
                <c:pt idx="7">
                  <c:v>118</c:v>
                </c:pt>
                <c:pt idx="8">
                  <c:v>125</c:v>
                </c:pt>
                <c:pt idx="9">
                  <c:v>153</c:v>
                </c:pt>
              </c:numCache>
            </c:numRef>
          </c:val>
        </c:ser>
        <c:ser>
          <c:idx val="2"/>
          <c:order val="2"/>
          <c:tx>
            <c:strRef>
              <c:f>Sheet1!$D$1</c:f>
              <c:strCache>
                <c:ptCount val="1"/>
                <c:pt idx="0">
                  <c:v> 'inclusive'/'exclusive'</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Sheet1!$D$2:$D$11</c:f>
              <c:numCache>
                <c:formatCode>General</c:formatCode>
                <c:ptCount val="10"/>
                <c:pt idx="0">
                  <c:v>5</c:v>
                </c:pt>
                <c:pt idx="1">
                  <c:v>12</c:v>
                </c:pt>
                <c:pt idx="2">
                  <c:v>8</c:v>
                </c:pt>
                <c:pt idx="3">
                  <c:v>9</c:v>
                </c:pt>
                <c:pt idx="4">
                  <c:v>9</c:v>
                </c:pt>
                <c:pt idx="5">
                  <c:v>10</c:v>
                </c:pt>
                <c:pt idx="6">
                  <c:v>16</c:v>
                </c:pt>
                <c:pt idx="7">
                  <c:v>15</c:v>
                </c:pt>
                <c:pt idx="8">
                  <c:v>15</c:v>
                </c:pt>
                <c:pt idx="9">
                  <c:v>21</c:v>
                </c:pt>
              </c:numCache>
            </c:numRef>
          </c:val>
        </c:ser>
        <c:dLbls>
          <c:showLegendKey val="0"/>
          <c:showVal val="0"/>
          <c:showCatName val="0"/>
          <c:showSerName val="0"/>
          <c:showPercent val="0"/>
          <c:showBubbleSize val="0"/>
        </c:dLbls>
        <c:gapWidth val="150"/>
        <c:overlap val="100"/>
        <c:axId val="108503424"/>
        <c:axId val="108504960"/>
      </c:barChart>
      <c:catAx>
        <c:axId val="108503424"/>
        <c:scaling>
          <c:orientation val="minMax"/>
        </c:scaling>
        <c:delete val="0"/>
        <c:axPos val="b"/>
        <c:numFmt formatCode="General" sourceLinked="1"/>
        <c:majorTickMark val="out"/>
        <c:minorTickMark val="none"/>
        <c:tickLblPos val="nextTo"/>
        <c:txPr>
          <a:bodyPr rot="-5400000" vert="horz"/>
          <a:lstStyle/>
          <a:p>
            <a:pPr>
              <a:defRPr/>
            </a:pPr>
            <a:endParaRPr lang="da-DK"/>
          </a:p>
        </c:txPr>
        <c:crossAx val="108504960"/>
        <c:crosses val="autoZero"/>
        <c:auto val="1"/>
        <c:lblAlgn val="ctr"/>
        <c:lblOffset val="100"/>
        <c:noMultiLvlLbl val="0"/>
      </c:catAx>
      <c:valAx>
        <c:axId val="108504960"/>
        <c:scaling>
          <c:orientation val="minMax"/>
        </c:scaling>
        <c:delete val="0"/>
        <c:axPos val="l"/>
        <c:majorGridlines/>
        <c:numFmt formatCode="General" sourceLinked="1"/>
        <c:majorTickMark val="out"/>
        <c:minorTickMark val="none"/>
        <c:tickLblPos val="nextTo"/>
        <c:crossAx val="1085034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Sheet1!$B$1</c:f>
              <c:strCache>
                <c:ptCount val="1"/>
                <c:pt idx="0">
                  <c:v> 'smart'</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Sheet1!$B$2:$B$9</c:f>
              <c:numCache>
                <c:formatCode>General</c:formatCode>
                <c:ptCount val="8"/>
                <c:pt idx="0">
                  <c:v>0</c:v>
                </c:pt>
                <c:pt idx="1">
                  <c:v>0</c:v>
                </c:pt>
                <c:pt idx="2">
                  <c:v>0</c:v>
                </c:pt>
                <c:pt idx="3">
                  <c:v>0</c:v>
                </c:pt>
                <c:pt idx="4">
                  <c:v>1</c:v>
                </c:pt>
                <c:pt idx="5">
                  <c:v>2</c:v>
                </c:pt>
                <c:pt idx="6">
                  <c:v>2</c:v>
                </c:pt>
                <c:pt idx="7">
                  <c:v>1</c:v>
                </c:pt>
              </c:numCache>
            </c:numRef>
          </c:val>
        </c:ser>
        <c:ser>
          <c:idx val="1"/>
          <c:order val="1"/>
          <c:tx>
            <c:strRef>
              <c:f>Sheet1!$C$1</c:f>
              <c:strCache>
                <c:ptCount val="1"/>
                <c:pt idx="0">
                  <c:v> 'un-'/'sustainable'</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Sheet1!$C$2:$C$9</c:f>
              <c:numCache>
                <c:formatCode>General</c:formatCode>
                <c:ptCount val="8"/>
                <c:pt idx="0">
                  <c:v>7</c:v>
                </c:pt>
                <c:pt idx="1">
                  <c:v>5</c:v>
                </c:pt>
                <c:pt idx="2">
                  <c:v>13</c:v>
                </c:pt>
                <c:pt idx="3">
                  <c:v>4</c:v>
                </c:pt>
                <c:pt idx="4">
                  <c:v>13</c:v>
                </c:pt>
                <c:pt idx="5">
                  <c:v>9</c:v>
                </c:pt>
                <c:pt idx="6">
                  <c:v>19</c:v>
                </c:pt>
                <c:pt idx="7">
                  <c:v>14</c:v>
                </c:pt>
              </c:numCache>
            </c:numRef>
          </c:val>
        </c:ser>
        <c:ser>
          <c:idx val="2"/>
          <c:order val="2"/>
          <c:tx>
            <c:strRef>
              <c:f>Sheet1!$D$1</c:f>
              <c:strCache>
                <c:ptCount val="1"/>
                <c:pt idx="0">
                  <c:v> 'inclusive'/'exclusive'</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Sheet1!$D$2:$D$9</c:f>
              <c:numCache>
                <c:formatCode>General</c:formatCode>
                <c:ptCount val="8"/>
                <c:pt idx="0">
                  <c:v>40</c:v>
                </c:pt>
                <c:pt idx="1">
                  <c:v>31</c:v>
                </c:pt>
                <c:pt idx="2">
                  <c:v>19</c:v>
                </c:pt>
                <c:pt idx="3">
                  <c:v>19</c:v>
                </c:pt>
                <c:pt idx="4">
                  <c:v>18</c:v>
                </c:pt>
                <c:pt idx="5">
                  <c:v>27</c:v>
                </c:pt>
                <c:pt idx="6">
                  <c:v>58</c:v>
                </c:pt>
                <c:pt idx="7">
                  <c:v>46</c:v>
                </c:pt>
              </c:numCache>
            </c:numRef>
          </c:val>
        </c:ser>
        <c:dLbls>
          <c:showLegendKey val="0"/>
          <c:showVal val="0"/>
          <c:showCatName val="0"/>
          <c:showSerName val="0"/>
          <c:showPercent val="0"/>
          <c:showBubbleSize val="0"/>
        </c:dLbls>
        <c:gapWidth val="150"/>
        <c:overlap val="100"/>
        <c:axId val="108608512"/>
        <c:axId val="108614400"/>
      </c:barChart>
      <c:catAx>
        <c:axId val="108608512"/>
        <c:scaling>
          <c:orientation val="minMax"/>
        </c:scaling>
        <c:delete val="0"/>
        <c:axPos val="b"/>
        <c:numFmt formatCode="General" sourceLinked="1"/>
        <c:majorTickMark val="out"/>
        <c:minorTickMark val="none"/>
        <c:tickLblPos val="nextTo"/>
        <c:txPr>
          <a:bodyPr rot="-5400000" vert="horz"/>
          <a:lstStyle/>
          <a:p>
            <a:pPr>
              <a:defRPr/>
            </a:pPr>
            <a:endParaRPr lang="da-DK"/>
          </a:p>
        </c:txPr>
        <c:crossAx val="108614400"/>
        <c:crosses val="autoZero"/>
        <c:auto val="1"/>
        <c:lblAlgn val="ctr"/>
        <c:lblOffset val="100"/>
        <c:noMultiLvlLbl val="0"/>
      </c:catAx>
      <c:valAx>
        <c:axId val="108614400"/>
        <c:scaling>
          <c:orientation val="minMax"/>
        </c:scaling>
        <c:delete val="0"/>
        <c:axPos val="l"/>
        <c:majorGridlines/>
        <c:numFmt formatCode="General" sourceLinked="1"/>
        <c:majorTickMark val="out"/>
        <c:minorTickMark val="none"/>
        <c:tickLblPos val="nextTo"/>
        <c:crossAx val="108608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Sheet1!$B$1</c:f>
              <c:strCache>
                <c:ptCount val="1"/>
                <c:pt idx="0">
                  <c:v> 'smart'</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Sheet1!$B$2:$B$9</c:f>
              <c:numCache>
                <c:formatCode>General</c:formatCode>
                <c:ptCount val="8"/>
                <c:pt idx="0">
                  <c:v>0</c:v>
                </c:pt>
                <c:pt idx="1">
                  <c:v>2</c:v>
                </c:pt>
                <c:pt idx="2">
                  <c:v>1</c:v>
                </c:pt>
                <c:pt idx="3">
                  <c:v>6</c:v>
                </c:pt>
                <c:pt idx="4">
                  <c:v>0</c:v>
                </c:pt>
                <c:pt idx="5">
                  <c:v>12</c:v>
                </c:pt>
                <c:pt idx="6">
                  <c:v>6</c:v>
                </c:pt>
                <c:pt idx="7">
                  <c:v>3</c:v>
                </c:pt>
              </c:numCache>
            </c:numRef>
          </c:val>
        </c:ser>
        <c:ser>
          <c:idx val="1"/>
          <c:order val="1"/>
          <c:tx>
            <c:strRef>
              <c:f>Sheet1!$C$1</c:f>
              <c:strCache>
                <c:ptCount val="1"/>
                <c:pt idx="0">
                  <c:v> 'un-'/'sustainable'</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Sheet1!$C$2:$C$9</c:f>
              <c:numCache>
                <c:formatCode>General</c:formatCode>
                <c:ptCount val="8"/>
                <c:pt idx="0">
                  <c:v>67</c:v>
                </c:pt>
                <c:pt idx="1">
                  <c:v>27</c:v>
                </c:pt>
                <c:pt idx="2">
                  <c:v>18</c:v>
                </c:pt>
                <c:pt idx="3">
                  <c:v>56</c:v>
                </c:pt>
                <c:pt idx="4">
                  <c:v>39</c:v>
                </c:pt>
                <c:pt idx="5">
                  <c:v>89</c:v>
                </c:pt>
                <c:pt idx="6">
                  <c:v>154</c:v>
                </c:pt>
                <c:pt idx="7">
                  <c:v>77</c:v>
                </c:pt>
              </c:numCache>
            </c:numRef>
          </c:val>
        </c:ser>
        <c:ser>
          <c:idx val="2"/>
          <c:order val="2"/>
          <c:tx>
            <c:strRef>
              <c:f>Sheet1!$D$1</c:f>
              <c:strCache>
                <c:ptCount val="1"/>
                <c:pt idx="0">
                  <c:v> 'inclusive'/'exclusive'</c:v>
                </c:pt>
              </c:strCache>
            </c:strRef>
          </c:tx>
          <c:invertIfNegative val="0"/>
          <c:cat>
            <c:numRef>
              <c:f>Sheet1!$A$2:$A$9</c:f>
              <c:numCache>
                <c:formatCode>General</c:formatCode>
                <c:ptCount val="8"/>
                <c:pt idx="0">
                  <c:v>2005</c:v>
                </c:pt>
                <c:pt idx="1">
                  <c:v>2006</c:v>
                </c:pt>
                <c:pt idx="2">
                  <c:v>2007</c:v>
                </c:pt>
                <c:pt idx="3">
                  <c:v>2008</c:v>
                </c:pt>
                <c:pt idx="4">
                  <c:v>2009</c:v>
                </c:pt>
                <c:pt idx="5">
                  <c:v>2010</c:v>
                </c:pt>
                <c:pt idx="6">
                  <c:v>2011</c:v>
                </c:pt>
                <c:pt idx="7">
                  <c:v>2012</c:v>
                </c:pt>
              </c:numCache>
            </c:numRef>
          </c:cat>
          <c:val>
            <c:numRef>
              <c:f>Sheet1!$D$2:$D$9</c:f>
              <c:numCache>
                <c:formatCode>General</c:formatCode>
                <c:ptCount val="8"/>
                <c:pt idx="0">
                  <c:v>17</c:v>
                </c:pt>
                <c:pt idx="1">
                  <c:v>31</c:v>
                </c:pt>
                <c:pt idx="2">
                  <c:v>18</c:v>
                </c:pt>
                <c:pt idx="3">
                  <c:v>14</c:v>
                </c:pt>
                <c:pt idx="4">
                  <c:v>20</c:v>
                </c:pt>
                <c:pt idx="5">
                  <c:v>23</c:v>
                </c:pt>
                <c:pt idx="6">
                  <c:v>16</c:v>
                </c:pt>
                <c:pt idx="7">
                  <c:v>20</c:v>
                </c:pt>
              </c:numCache>
            </c:numRef>
          </c:val>
        </c:ser>
        <c:dLbls>
          <c:showLegendKey val="0"/>
          <c:showVal val="0"/>
          <c:showCatName val="0"/>
          <c:showSerName val="0"/>
          <c:showPercent val="0"/>
          <c:showBubbleSize val="0"/>
        </c:dLbls>
        <c:gapWidth val="150"/>
        <c:overlap val="100"/>
        <c:axId val="111679360"/>
        <c:axId val="111680896"/>
      </c:barChart>
      <c:catAx>
        <c:axId val="111679360"/>
        <c:scaling>
          <c:orientation val="minMax"/>
        </c:scaling>
        <c:delete val="0"/>
        <c:axPos val="b"/>
        <c:numFmt formatCode="General" sourceLinked="1"/>
        <c:majorTickMark val="out"/>
        <c:minorTickMark val="none"/>
        <c:tickLblPos val="nextTo"/>
        <c:txPr>
          <a:bodyPr rot="-5400000" vert="horz"/>
          <a:lstStyle/>
          <a:p>
            <a:pPr>
              <a:defRPr/>
            </a:pPr>
            <a:endParaRPr lang="da-DK"/>
          </a:p>
        </c:txPr>
        <c:crossAx val="111680896"/>
        <c:crosses val="autoZero"/>
        <c:auto val="1"/>
        <c:lblAlgn val="ctr"/>
        <c:lblOffset val="100"/>
        <c:noMultiLvlLbl val="0"/>
      </c:catAx>
      <c:valAx>
        <c:axId val="111680896"/>
        <c:scaling>
          <c:orientation val="minMax"/>
        </c:scaling>
        <c:delete val="0"/>
        <c:axPos val="l"/>
        <c:majorGridlines/>
        <c:numFmt formatCode="General" sourceLinked="1"/>
        <c:majorTickMark val="out"/>
        <c:minorTickMark val="none"/>
        <c:tickLblPos val="nextTo"/>
        <c:crossAx val="1116793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Sheet1!$B$1</c:f>
              <c:strCache>
                <c:ptCount val="1"/>
                <c:pt idx="0">
                  <c:v> 'smart'</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Sheet1!$B$2:$B$11</c:f>
              <c:numCache>
                <c:formatCode>General</c:formatCode>
                <c:ptCount val="10"/>
                <c:pt idx="0">
                  <c:v>0</c:v>
                </c:pt>
                <c:pt idx="1">
                  <c:v>0</c:v>
                </c:pt>
                <c:pt idx="2">
                  <c:v>0</c:v>
                </c:pt>
                <c:pt idx="3">
                  <c:v>0</c:v>
                </c:pt>
                <c:pt idx="4">
                  <c:v>1</c:v>
                </c:pt>
                <c:pt idx="5">
                  <c:v>4</c:v>
                </c:pt>
                <c:pt idx="6">
                  <c:v>3</c:v>
                </c:pt>
                <c:pt idx="7">
                  <c:v>0</c:v>
                </c:pt>
                <c:pt idx="8">
                  <c:v>0</c:v>
                </c:pt>
                <c:pt idx="9">
                  <c:v>0</c:v>
                </c:pt>
              </c:numCache>
            </c:numRef>
          </c:val>
        </c:ser>
        <c:ser>
          <c:idx val="1"/>
          <c:order val="1"/>
          <c:tx>
            <c:strRef>
              <c:f>Sheet1!$C$1</c:f>
              <c:strCache>
                <c:ptCount val="1"/>
                <c:pt idx="0">
                  <c:v> 'un-'/'sustainable'</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Sheet1!$C$2:$C$11</c:f>
              <c:numCache>
                <c:formatCode>General</c:formatCode>
                <c:ptCount val="10"/>
                <c:pt idx="0">
                  <c:v>9</c:v>
                </c:pt>
                <c:pt idx="1">
                  <c:v>19</c:v>
                </c:pt>
                <c:pt idx="2">
                  <c:v>8</c:v>
                </c:pt>
                <c:pt idx="3">
                  <c:v>2</c:v>
                </c:pt>
                <c:pt idx="4">
                  <c:v>12</c:v>
                </c:pt>
                <c:pt idx="5">
                  <c:v>18</c:v>
                </c:pt>
                <c:pt idx="6">
                  <c:v>9</c:v>
                </c:pt>
                <c:pt idx="7">
                  <c:v>9</c:v>
                </c:pt>
                <c:pt idx="8">
                  <c:v>6</c:v>
                </c:pt>
                <c:pt idx="9">
                  <c:v>2</c:v>
                </c:pt>
              </c:numCache>
            </c:numRef>
          </c:val>
        </c:ser>
        <c:ser>
          <c:idx val="2"/>
          <c:order val="2"/>
          <c:tx>
            <c:strRef>
              <c:f>Sheet1!$D$1</c:f>
              <c:strCache>
                <c:ptCount val="1"/>
                <c:pt idx="0">
                  <c:v> 'inclusive'/'exclusive</c:v>
                </c:pt>
              </c:strCache>
            </c:strRef>
          </c:tx>
          <c:invertIfNegative val="0"/>
          <c:cat>
            <c:numRef>
              <c:f>Sheet1!$A$2:$A$11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Sheet1!$D$2:$D$11</c:f>
              <c:numCache>
                <c:formatCode>General</c:formatCode>
                <c:ptCount val="10"/>
                <c:pt idx="0">
                  <c:v>1</c:v>
                </c:pt>
                <c:pt idx="1">
                  <c:v>3</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overlap val="100"/>
        <c:axId val="111719168"/>
        <c:axId val="111720704"/>
      </c:barChart>
      <c:catAx>
        <c:axId val="111719168"/>
        <c:scaling>
          <c:orientation val="minMax"/>
        </c:scaling>
        <c:delete val="0"/>
        <c:axPos val="b"/>
        <c:numFmt formatCode="General" sourceLinked="1"/>
        <c:majorTickMark val="out"/>
        <c:minorTickMark val="none"/>
        <c:tickLblPos val="nextTo"/>
        <c:txPr>
          <a:bodyPr rot="-5400000" vert="horz"/>
          <a:lstStyle/>
          <a:p>
            <a:pPr>
              <a:defRPr/>
            </a:pPr>
            <a:endParaRPr lang="da-DK"/>
          </a:p>
        </c:txPr>
        <c:crossAx val="111720704"/>
        <c:crosses val="autoZero"/>
        <c:auto val="1"/>
        <c:lblAlgn val="ctr"/>
        <c:lblOffset val="100"/>
        <c:noMultiLvlLbl val="0"/>
      </c:catAx>
      <c:valAx>
        <c:axId val="111720704"/>
        <c:scaling>
          <c:orientation val="minMax"/>
        </c:scaling>
        <c:delete val="0"/>
        <c:axPos val="l"/>
        <c:majorGridlines/>
        <c:numFmt formatCode="General" sourceLinked="1"/>
        <c:majorTickMark val="out"/>
        <c:minorTickMark val="none"/>
        <c:tickLblPos val="nextTo"/>
        <c:crossAx val="1117191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DBFD-6ACC-4E43-83AF-591CA12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6520</Words>
  <Characters>39778</Characters>
  <Application>Microsoft Office Word</Application>
  <DocSecurity>0</DocSecurity>
  <Lines>331</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46206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kennetl</dc:creator>
  <cp:lastModifiedBy>kennetl</cp:lastModifiedBy>
  <cp:revision>3</cp:revision>
  <dcterms:created xsi:type="dcterms:W3CDTF">2015-02-26T15:37:00Z</dcterms:created>
  <dcterms:modified xsi:type="dcterms:W3CDTF">2015-02-26T15:39:00Z</dcterms:modified>
</cp:coreProperties>
</file>