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36CE8" w14:textId="77777777" w:rsidR="00F05454" w:rsidRDefault="0041601E" w:rsidP="00C7604D">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It takes two to tango: </w:t>
      </w:r>
    </w:p>
    <w:p w14:paraId="5CCF46DB" w14:textId="2CA5C0DE" w:rsidR="00DE7CA5" w:rsidRPr="005D6662" w:rsidRDefault="0041601E" w:rsidP="00C7604D">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Mortgage markets, labor markets and</w:t>
      </w:r>
      <w:r w:rsidR="000C277A">
        <w:rPr>
          <w:rFonts w:ascii="Times New Roman" w:hAnsi="Times New Roman" w:cs="Times New Roman"/>
          <w:b/>
          <w:sz w:val="28"/>
          <w:szCs w:val="28"/>
        </w:rPr>
        <w:t xml:space="preserve"> rising</w:t>
      </w:r>
      <w:r>
        <w:rPr>
          <w:rFonts w:ascii="Times New Roman" w:hAnsi="Times New Roman" w:cs="Times New Roman"/>
          <w:b/>
          <w:sz w:val="28"/>
          <w:szCs w:val="28"/>
        </w:rPr>
        <w:t xml:space="preserve"> household </w:t>
      </w:r>
      <w:r w:rsidR="009A520A">
        <w:rPr>
          <w:rFonts w:ascii="Times New Roman" w:hAnsi="Times New Roman" w:cs="Times New Roman"/>
          <w:b/>
          <w:sz w:val="28"/>
          <w:szCs w:val="28"/>
        </w:rPr>
        <w:t>debt</w:t>
      </w:r>
      <w:r>
        <w:rPr>
          <w:rFonts w:ascii="Times New Roman" w:hAnsi="Times New Roman" w:cs="Times New Roman"/>
          <w:b/>
          <w:sz w:val="28"/>
          <w:szCs w:val="28"/>
        </w:rPr>
        <w:t xml:space="preserve"> in Europe</w:t>
      </w:r>
    </w:p>
    <w:p w14:paraId="16DE1534" w14:textId="77777777" w:rsidR="00DE7CA5" w:rsidRPr="005D6662" w:rsidRDefault="00DE7CA5" w:rsidP="00C7604D">
      <w:pPr>
        <w:spacing w:before="100" w:beforeAutospacing="1" w:after="100" w:afterAutospacing="1" w:line="240" w:lineRule="auto"/>
        <w:jc w:val="center"/>
        <w:rPr>
          <w:rFonts w:ascii="Times New Roman" w:hAnsi="Times New Roman" w:cs="Times New Roman"/>
          <w:sz w:val="24"/>
          <w:szCs w:val="24"/>
        </w:rPr>
      </w:pPr>
    </w:p>
    <w:p w14:paraId="60E036F8" w14:textId="32202660" w:rsidR="00DE7CA5" w:rsidRPr="005D6662" w:rsidRDefault="00DE7CA5" w:rsidP="00C7604D">
      <w:pPr>
        <w:spacing w:before="100" w:beforeAutospacing="1" w:after="100" w:afterAutospacing="1" w:line="240" w:lineRule="auto"/>
        <w:jc w:val="center"/>
        <w:rPr>
          <w:rFonts w:ascii="Times New Roman" w:hAnsi="Times New Roman" w:cs="Times New Roman"/>
          <w:sz w:val="24"/>
          <w:szCs w:val="24"/>
        </w:rPr>
      </w:pPr>
      <w:r w:rsidRPr="005D6662">
        <w:rPr>
          <w:rFonts w:ascii="Times New Roman" w:hAnsi="Times New Roman" w:cs="Times New Roman"/>
          <w:sz w:val="24"/>
          <w:szCs w:val="24"/>
        </w:rPr>
        <w:t>Greg</w:t>
      </w:r>
      <w:r w:rsidR="009B0895">
        <w:rPr>
          <w:rFonts w:ascii="Times New Roman" w:hAnsi="Times New Roman" w:cs="Times New Roman"/>
          <w:sz w:val="24"/>
          <w:szCs w:val="24"/>
        </w:rPr>
        <w:t>ory W.</w:t>
      </w:r>
      <w:r w:rsidRPr="005D6662">
        <w:rPr>
          <w:rFonts w:ascii="Times New Roman" w:hAnsi="Times New Roman" w:cs="Times New Roman"/>
          <w:sz w:val="24"/>
          <w:szCs w:val="24"/>
        </w:rPr>
        <w:t xml:space="preserve"> Fuller</w:t>
      </w:r>
      <w:r w:rsidRPr="005D6662">
        <w:rPr>
          <w:rStyle w:val="FootnoteReference"/>
          <w:rFonts w:ascii="Times New Roman" w:hAnsi="Times New Roman" w:cs="Times New Roman"/>
          <w:sz w:val="24"/>
          <w:szCs w:val="24"/>
        </w:rPr>
        <w:footnoteReference w:id="1"/>
      </w:r>
      <w:r w:rsidRPr="005D6662">
        <w:rPr>
          <w:rFonts w:ascii="Times New Roman" w:hAnsi="Times New Roman" w:cs="Times New Roman"/>
          <w:sz w:val="24"/>
          <w:szCs w:val="24"/>
        </w:rPr>
        <w:t>, Alison Johnston</w:t>
      </w:r>
      <w:r w:rsidRPr="005D6662">
        <w:rPr>
          <w:rStyle w:val="FootnoteReference"/>
          <w:rFonts w:ascii="Times New Roman" w:hAnsi="Times New Roman" w:cs="Times New Roman"/>
          <w:sz w:val="24"/>
          <w:szCs w:val="24"/>
        </w:rPr>
        <w:footnoteReference w:id="2"/>
      </w:r>
      <w:r w:rsidRPr="005D6662">
        <w:rPr>
          <w:rFonts w:ascii="Times New Roman" w:hAnsi="Times New Roman" w:cs="Times New Roman"/>
          <w:sz w:val="24"/>
          <w:szCs w:val="24"/>
        </w:rPr>
        <w:t xml:space="preserve"> and Aidan Regan</w:t>
      </w:r>
      <w:r w:rsidRPr="005D6662">
        <w:rPr>
          <w:rStyle w:val="FootnoteReference"/>
          <w:rFonts w:ascii="Times New Roman" w:hAnsi="Times New Roman" w:cs="Times New Roman"/>
          <w:sz w:val="24"/>
          <w:szCs w:val="24"/>
        </w:rPr>
        <w:footnoteReference w:id="3"/>
      </w:r>
    </w:p>
    <w:p w14:paraId="03D2C307" w14:textId="77777777" w:rsidR="003E1CF7" w:rsidRPr="005D6662" w:rsidRDefault="003E1CF7" w:rsidP="00C7604D">
      <w:pPr>
        <w:spacing w:before="100" w:beforeAutospacing="1" w:after="100" w:afterAutospacing="1" w:line="240" w:lineRule="auto"/>
        <w:jc w:val="center"/>
        <w:rPr>
          <w:rFonts w:ascii="Times New Roman" w:hAnsi="Times New Roman" w:cs="Times New Roman"/>
          <w:sz w:val="24"/>
          <w:szCs w:val="24"/>
        </w:rPr>
      </w:pPr>
    </w:p>
    <w:p w14:paraId="4ABBDF3D" w14:textId="5670DC47" w:rsidR="00DE7CA5" w:rsidRPr="00CF4E7E" w:rsidRDefault="00DE7CA5" w:rsidP="00714FAC">
      <w:pPr>
        <w:spacing w:before="100" w:beforeAutospacing="1" w:after="100" w:afterAutospacing="1" w:line="360" w:lineRule="auto"/>
        <w:contextualSpacing/>
        <w:jc w:val="both"/>
        <w:rPr>
          <w:rFonts w:ascii="Times New Roman" w:hAnsi="Times New Roman" w:cs="Times New Roman"/>
          <w:sz w:val="24"/>
          <w:szCs w:val="24"/>
        </w:rPr>
      </w:pPr>
      <w:r w:rsidRPr="00CF4E7E">
        <w:rPr>
          <w:rFonts w:ascii="Times New Roman" w:hAnsi="Times New Roman" w:cs="Times New Roman"/>
          <w:b/>
          <w:sz w:val="24"/>
          <w:szCs w:val="24"/>
        </w:rPr>
        <w:t>Abstract</w:t>
      </w:r>
      <w:r w:rsidRPr="00CF4E7E">
        <w:rPr>
          <w:rFonts w:ascii="Times New Roman" w:hAnsi="Times New Roman" w:cs="Times New Roman"/>
          <w:sz w:val="24"/>
          <w:szCs w:val="24"/>
        </w:rPr>
        <w:t xml:space="preserve">: </w:t>
      </w:r>
      <w:r w:rsidR="00BF147D">
        <w:rPr>
          <w:rFonts w:ascii="Times New Roman" w:hAnsi="Times New Roman" w:cs="Times New Roman"/>
          <w:color w:val="000000"/>
          <w:sz w:val="24"/>
          <w:szCs w:val="24"/>
          <w:shd w:val="clear" w:color="auto" w:fill="FFFFFF"/>
        </w:rPr>
        <w:t>Household</w:t>
      </w:r>
      <w:r w:rsidR="00CF4E7E" w:rsidRPr="00CF4E7E">
        <w:rPr>
          <w:rFonts w:ascii="Times New Roman" w:hAnsi="Times New Roman" w:cs="Times New Roman"/>
          <w:color w:val="000000"/>
          <w:sz w:val="24"/>
          <w:szCs w:val="24"/>
          <w:shd w:val="clear" w:color="auto" w:fill="FFFFFF"/>
        </w:rPr>
        <w:t xml:space="preserve"> </w:t>
      </w:r>
      <w:r w:rsidR="00BF147D">
        <w:rPr>
          <w:rFonts w:ascii="Times New Roman" w:hAnsi="Times New Roman" w:cs="Times New Roman"/>
          <w:color w:val="000000"/>
          <w:sz w:val="24"/>
          <w:szCs w:val="24"/>
          <w:shd w:val="clear" w:color="auto" w:fill="FFFFFF"/>
        </w:rPr>
        <w:t xml:space="preserve">mortgage </w:t>
      </w:r>
      <w:r w:rsidR="00CF4E7E" w:rsidRPr="00CF4E7E">
        <w:rPr>
          <w:rFonts w:ascii="Times New Roman" w:hAnsi="Times New Roman" w:cs="Times New Roman"/>
          <w:color w:val="000000"/>
          <w:sz w:val="24"/>
          <w:szCs w:val="24"/>
          <w:shd w:val="clear" w:color="auto" w:fill="FFFFFF"/>
        </w:rPr>
        <w:t xml:space="preserve">debt unleashed devastating consequences for the international financial system in 2007-2008.  Yet, despite the growing importance of household (mortgage) debt </w:t>
      </w:r>
      <w:r w:rsidR="00714FAC">
        <w:rPr>
          <w:rFonts w:ascii="Times New Roman" w:hAnsi="Times New Roman" w:cs="Times New Roman"/>
          <w:color w:val="000000"/>
          <w:sz w:val="24"/>
          <w:szCs w:val="24"/>
          <w:shd w:val="clear" w:color="auto" w:fill="FFFFFF"/>
        </w:rPr>
        <w:t>in domestic and international financial markets</w:t>
      </w:r>
      <w:r w:rsidR="00BF147D">
        <w:rPr>
          <w:rFonts w:ascii="Times New Roman" w:hAnsi="Times New Roman" w:cs="Times New Roman"/>
          <w:color w:val="000000"/>
          <w:sz w:val="24"/>
          <w:szCs w:val="24"/>
          <w:shd w:val="clear" w:color="auto" w:fill="FFFFFF"/>
        </w:rPr>
        <w:t>, IPE and CPE have not theorized why</w:t>
      </w:r>
      <w:r w:rsidR="00CF4E7E" w:rsidRPr="00CF4E7E">
        <w:rPr>
          <w:rFonts w:ascii="Times New Roman" w:hAnsi="Times New Roman" w:cs="Times New Roman"/>
          <w:color w:val="000000"/>
          <w:sz w:val="24"/>
          <w:szCs w:val="24"/>
          <w:shd w:val="clear" w:color="auto" w:fill="FFFFFF"/>
        </w:rPr>
        <w:t xml:space="preserve"> household indebtedness is so different across </w:t>
      </w:r>
      <w:r w:rsidR="002C28F7">
        <w:rPr>
          <w:rFonts w:ascii="Times New Roman" w:hAnsi="Times New Roman" w:cs="Times New Roman"/>
          <w:color w:val="000000"/>
          <w:sz w:val="24"/>
          <w:szCs w:val="24"/>
          <w:shd w:val="clear" w:color="auto" w:fill="FFFFFF"/>
        </w:rPr>
        <w:t>Europe</w:t>
      </w:r>
      <w:r w:rsidR="00CF4E7E" w:rsidRPr="00CF4E7E">
        <w:rPr>
          <w:rFonts w:ascii="Times New Roman" w:hAnsi="Times New Roman" w:cs="Times New Roman"/>
          <w:color w:val="000000"/>
          <w:sz w:val="24"/>
          <w:szCs w:val="24"/>
          <w:shd w:val="clear" w:color="auto" w:fill="FFFFFF"/>
        </w:rPr>
        <w:t>. </w:t>
      </w:r>
      <w:r w:rsidR="00CF4E7E">
        <w:rPr>
          <w:rFonts w:ascii="Times New Roman" w:hAnsi="Times New Roman" w:cs="Times New Roman"/>
          <w:sz w:val="24"/>
          <w:szCs w:val="24"/>
        </w:rPr>
        <w:t xml:space="preserve">In this paper, we argue that </w:t>
      </w:r>
      <w:r w:rsidR="00714FAC">
        <w:rPr>
          <w:rFonts w:ascii="Times New Roman" w:hAnsi="Times New Roman" w:cs="Times New Roman"/>
          <w:sz w:val="24"/>
          <w:szCs w:val="24"/>
        </w:rPr>
        <w:t xml:space="preserve">variation in </w:t>
      </w:r>
      <w:r w:rsidR="00CF4E7E" w:rsidRPr="000F6059">
        <w:rPr>
          <w:rFonts w:ascii="Times New Roman" w:hAnsi="Times New Roman" w:cs="Times New Roman"/>
          <w:sz w:val="24"/>
          <w:szCs w:val="24"/>
        </w:rPr>
        <w:t>household debt can be explained by the intersection</w:t>
      </w:r>
      <w:r w:rsidR="00CF4E7E" w:rsidRPr="00EC1231">
        <w:rPr>
          <w:rFonts w:ascii="Times New Roman" w:hAnsi="Times New Roman" w:cs="Times New Roman"/>
          <w:sz w:val="24"/>
          <w:szCs w:val="24"/>
        </w:rPr>
        <w:t xml:space="preserve"> of two</w:t>
      </w:r>
      <w:r w:rsidR="00CF4E7E">
        <w:rPr>
          <w:rFonts w:ascii="Times New Roman" w:hAnsi="Times New Roman" w:cs="Times New Roman"/>
          <w:sz w:val="24"/>
          <w:szCs w:val="24"/>
        </w:rPr>
        <w:t xml:space="preserve"> domestic political </w:t>
      </w:r>
      <w:r w:rsidR="00CF4E7E" w:rsidRPr="00EC1231">
        <w:rPr>
          <w:rFonts w:ascii="Times New Roman" w:hAnsi="Times New Roman" w:cs="Times New Roman"/>
          <w:sz w:val="24"/>
          <w:szCs w:val="24"/>
        </w:rPr>
        <w:t>institution</w:t>
      </w:r>
      <w:r w:rsidR="006767E6">
        <w:rPr>
          <w:rFonts w:ascii="Times New Roman" w:hAnsi="Times New Roman" w:cs="Times New Roman"/>
          <w:sz w:val="24"/>
          <w:szCs w:val="24"/>
        </w:rPr>
        <w:t xml:space="preserve">s; </w:t>
      </w:r>
      <w:r w:rsidR="00CF4E7E">
        <w:rPr>
          <w:rFonts w:ascii="Times New Roman" w:hAnsi="Times New Roman" w:cs="Times New Roman"/>
          <w:sz w:val="24"/>
          <w:szCs w:val="24"/>
        </w:rPr>
        <w:t>labor market institutions (and by extension welfare state institutions) that govern households’ income and employment security,</w:t>
      </w:r>
      <w:r w:rsidR="00CF4E7E" w:rsidRPr="00EC1231">
        <w:rPr>
          <w:rFonts w:ascii="Times New Roman" w:hAnsi="Times New Roman" w:cs="Times New Roman"/>
          <w:sz w:val="24"/>
          <w:szCs w:val="24"/>
        </w:rPr>
        <w:t xml:space="preserve"> and </w:t>
      </w:r>
      <w:r w:rsidR="00CF4E7E">
        <w:rPr>
          <w:rFonts w:ascii="Times New Roman" w:hAnsi="Times New Roman" w:cs="Times New Roman"/>
          <w:sz w:val="24"/>
          <w:szCs w:val="24"/>
        </w:rPr>
        <w:t>mortgage</w:t>
      </w:r>
      <w:r w:rsidR="00CF4E7E" w:rsidRPr="00EC1231">
        <w:rPr>
          <w:rFonts w:ascii="Times New Roman" w:hAnsi="Times New Roman" w:cs="Times New Roman"/>
          <w:sz w:val="24"/>
          <w:szCs w:val="24"/>
        </w:rPr>
        <w:t xml:space="preserve"> </w:t>
      </w:r>
      <w:r w:rsidR="00CF4E7E">
        <w:rPr>
          <w:rFonts w:ascii="Times New Roman" w:hAnsi="Times New Roman" w:cs="Times New Roman"/>
          <w:sz w:val="24"/>
          <w:szCs w:val="24"/>
        </w:rPr>
        <w:t xml:space="preserve">finance </w:t>
      </w:r>
      <w:r w:rsidR="00CF4E7E" w:rsidRPr="00EC1231">
        <w:rPr>
          <w:rFonts w:ascii="Times New Roman" w:hAnsi="Times New Roman" w:cs="Times New Roman"/>
          <w:sz w:val="24"/>
          <w:szCs w:val="24"/>
        </w:rPr>
        <w:t xml:space="preserve">institutions that </w:t>
      </w:r>
      <w:r w:rsidR="00CF4E7E">
        <w:rPr>
          <w:rFonts w:ascii="Times New Roman" w:hAnsi="Times New Roman" w:cs="Times New Roman"/>
          <w:sz w:val="24"/>
          <w:szCs w:val="24"/>
        </w:rPr>
        <w:t xml:space="preserve">govern households’ credit access.  We postulate, and empirically demonstrate via a panel analysis of 17 developed economies, </w:t>
      </w:r>
      <w:r w:rsidR="006767E6">
        <w:rPr>
          <w:rFonts w:ascii="Times New Roman" w:hAnsi="Times New Roman" w:cs="Times New Roman"/>
          <w:sz w:val="24"/>
          <w:szCs w:val="24"/>
        </w:rPr>
        <w:t xml:space="preserve">that the impact of these institutions on household debt is </w:t>
      </w:r>
      <w:r w:rsidR="006767E6" w:rsidRPr="00714FAC">
        <w:rPr>
          <w:rFonts w:ascii="Times New Roman" w:hAnsi="Times New Roman" w:cs="Times New Roman"/>
          <w:i/>
          <w:sz w:val="24"/>
          <w:szCs w:val="24"/>
        </w:rPr>
        <w:t>co-dependent</w:t>
      </w:r>
      <w:r w:rsidR="00714FAC">
        <w:rPr>
          <w:rFonts w:ascii="Times New Roman" w:hAnsi="Times New Roman" w:cs="Times New Roman"/>
          <w:sz w:val="24"/>
          <w:szCs w:val="24"/>
        </w:rPr>
        <w:t xml:space="preserve">. </w:t>
      </w:r>
      <w:r w:rsidR="006767E6">
        <w:rPr>
          <w:rFonts w:ascii="Times New Roman" w:hAnsi="Times New Roman" w:cs="Times New Roman"/>
          <w:sz w:val="24"/>
          <w:szCs w:val="24"/>
        </w:rPr>
        <w:t xml:space="preserve"> </w:t>
      </w:r>
      <w:r w:rsidR="00714FAC">
        <w:rPr>
          <w:rFonts w:ascii="Times New Roman" w:hAnsi="Times New Roman" w:cs="Times New Roman"/>
          <w:sz w:val="24"/>
          <w:szCs w:val="24"/>
        </w:rPr>
        <w:t xml:space="preserve">Household </w:t>
      </w:r>
      <w:proofErr w:type="gramStart"/>
      <w:r w:rsidR="00714FAC">
        <w:rPr>
          <w:rFonts w:ascii="Times New Roman" w:hAnsi="Times New Roman" w:cs="Times New Roman"/>
          <w:sz w:val="24"/>
          <w:szCs w:val="24"/>
        </w:rPr>
        <w:t>i</w:t>
      </w:r>
      <w:r w:rsidR="006767E6">
        <w:rPr>
          <w:rFonts w:ascii="Times New Roman" w:hAnsi="Times New Roman" w:cs="Times New Roman"/>
          <w:sz w:val="24"/>
          <w:szCs w:val="24"/>
        </w:rPr>
        <w:t>ndebtedness</w:t>
      </w:r>
      <w:proofErr w:type="gramEnd"/>
      <w:r w:rsidR="006767E6">
        <w:rPr>
          <w:rFonts w:ascii="Times New Roman" w:hAnsi="Times New Roman" w:cs="Times New Roman"/>
          <w:sz w:val="24"/>
          <w:szCs w:val="24"/>
        </w:rPr>
        <w:t xml:space="preserve"> is highest </w:t>
      </w:r>
      <w:r w:rsidR="006767E6" w:rsidRPr="00220B52">
        <w:rPr>
          <w:rFonts w:ascii="Times New Roman" w:hAnsi="Times New Roman" w:cs="Times New Roman"/>
          <w:sz w:val="24"/>
          <w:szCs w:val="24"/>
        </w:rPr>
        <w:t xml:space="preserve">in </w:t>
      </w:r>
      <w:r w:rsidR="006767E6">
        <w:rPr>
          <w:rFonts w:ascii="Times New Roman" w:hAnsi="Times New Roman" w:cs="Times New Roman"/>
          <w:sz w:val="24"/>
          <w:szCs w:val="24"/>
        </w:rPr>
        <w:t>European countries where</w:t>
      </w:r>
      <w:r w:rsidR="006767E6" w:rsidRPr="004654A8">
        <w:rPr>
          <w:rFonts w:ascii="Times New Roman" w:hAnsi="Times New Roman" w:cs="Times New Roman"/>
          <w:sz w:val="24"/>
          <w:szCs w:val="24"/>
        </w:rPr>
        <w:t xml:space="preserve"> housing finance institutions</w:t>
      </w:r>
      <w:r w:rsidR="006767E6">
        <w:rPr>
          <w:rFonts w:ascii="Times New Roman" w:hAnsi="Times New Roman" w:cs="Times New Roman"/>
          <w:sz w:val="24"/>
          <w:szCs w:val="24"/>
        </w:rPr>
        <w:t xml:space="preserve"> </w:t>
      </w:r>
      <w:r w:rsidR="006767E6" w:rsidRPr="004654A8">
        <w:rPr>
          <w:rFonts w:ascii="Times New Roman" w:hAnsi="Times New Roman" w:cs="Times New Roman"/>
          <w:sz w:val="24"/>
          <w:szCs w:val="24"/>
        </w:rPr>
        <w:t xml:space="preserve">encourage mortgage </w:t>
      </w:r>
      <w:r w:rsidR="00BF27B7">
        <w:rPr>
          <w:rFonts w:ascii="Times New Roman" w:hAnsi="Times New Roman" w:cs="Times New Roman"/>
          <w:sz w:val="24"/>
          <w:szCs w:val="24"/>
        </w:rPr>
        <w:t xml:space="preserve">formation </w:t>
      </w:r>
      <w:r w:rsidR="006767E6" w:rsidRPr="006767E6">
        <w:rPr>
          <w:rFonts w:ascii="Times New Roman" w:hAnsi="Times New Roman" w:cs="Times New Roman"/>
          <w:i/>
          <w:sz w:val="24"/>
          <w:szCs w:val="24"/>
        </w:rPr>
        <w:t xml:space="preserve">and </w:t>
      </w:r>
      <w:r w:rsidR="006767E6">
        <w:rPr>
          <w:rFonts w:ascii="Times New Roman" w:hAnsi="Times New Roman" w:cs="Times New Roman"/>
          <w:sz w:val="24"/>
          <w:szCs w:val="24"/>
        </w:rPr>
        <w:t>where collective bargaining provide income security</w:t>
      </w:r>
      <w:r w:rsidR="00714FAC">
        <w:rPr>
          <w:rFonts w:ascii="Times New Roman" w:hAnsi="Times New Roman" w:cs="Times New Roman"/>
          <w:sz w:val="24"/>
          <w:szCs w:val="24"/>
        </w:rPr>
        <w:t xml:space="preserve"> to borrowers</w:t>
      </w:r>
      <w:r w:rsidR="006767E6">
        <w:rPr>
          <w:rFonts w:ascii="Times New Roman" w:hAnsi="Times New Roman" w:cs="Times New Roman"/>
          <w:sz w:val="24"/>
          <w:szCs w:val="24"/>
        </w:rPr>
        <w:t xml:space="preserve"> (i.e. Scandinavia and the Netherlands)</w:t>
      </w:r>
      <w:r w:rsidR="002C28F7">
        <w:rPr>
          <w:rFonts w:ascii="Times New Roman" w:hAnsi="Times New Roman" w:cs="Times New Roman"/>
          <w:sz w:val="24"/>
          <w:szCs w:val="24"/>
        </w:rPr>
        <w:t xml:space="preserve">, </w:t>
      </w:r>
      <w:r w:rsidR="00BF147D">
        <w:rPr>
          <w:rFonts w:ascii="Times New Roman" w:hAnsi="Times New Roman" w:cs="Times New Roman"/>
          <w:sz w:val="24"/>
          <w:szCs w:val="24"/>
        </w:rPr>
        <w:t xml:space="preserve">and </w:t>
      </w:r>
      <w:r w:rsidR="002C28F7">
        <w:rPr>
          <w:rFonts w:ascii="Times New Roman" w:hAnsi="Times New Roman" w:cs="Times New Roman"/>
          <w:sz w:val="24"/>
          <w:szCs w:val="24"/>
        </w:rPr>
        <w:t xml:space="preserve">not in </w:t>
      </w:r>
      <w:r w:rsidR="00714FAC">
        <w:rPr>
          <w:rFonts w:ascii="Times New Roman" w:hAnsi="Times New Roman" w:cs="Times New Roman"/>
          <w:sz w:val="24"/>
          <w:szCs w:val="24"/>
        </w:rPr>
        <w:t xml:space="preserve">Anglo-Saxon </w:t>
      </w:r>
      <w:r w:rsidR="006767E6">
        <w:rPr>
          <w:rFonts w:ascii="Times New Roman" w:hAnsi="Times New Roman" w:cs="Times New Roman"/>
          <w:sz w:val="24"/>
          <w:szCs w:val="24"/>
        </w:rPr>
        <w:t xml:space="preserve">financialized regimes that inhibit stable income </w:t>
      </w:r>
      <w:r w:rsidR="002C28F7">
        <w:rPr>
          <w:rFonts w:ascii="Times New Roman" w:hAnsi="Times New Roman" w:cs="Times New Roman"/>
          <w:sz w:val="24"/>
          <w:szCs w:val="24"/>
        </w:rPr>
        <w:t>streams</w:t>
      </w:r>
      <w:r w:rsidR="006767E6">
        <w:rPr>
          <w:rFonts w:ascii="Times New Roman" w:hAnsi="Times New Roman" w:cs="Times New Roman"/>
          <w:sz w:val="24"/>
          <w:szCs w:val="24"/>
        </w:rPr>
        <w:t>.  As household debt bec</w:t>
      </w:r>
      <w:r w:rsidR="00714FAC">
        <w:rPr>
          <w:rFonts w:ascii="Times New Roman" w:hAnsi="Times New Roman" w:cs="Times New Roman"/>
          <w:sz w:val="24"/>
          <w:szCs w:val="24"/>
        </w:rPr>
        <w:t>omes an ever greater share of developed countries</w:t>
      </w:r>
      <w:r w:rsidR="002C28F7">
        <w:rPr>
          <w:rFonts w:ascii="Times New Roman" w:hAnsi="Times New Roman" w:cs="Times New Roman"/>
          <w:sz w:val="24"/>
          <w:szCs w:val="24"/>
        </w:rPr>
        <w:t>’</w:t>
      </w:r>
      <w:r w:rsidR="006767E6">
        <w:rPr>
          <w:rFonts w:ascii="Times New Roman" w:hAnsi="Times New Roman" w:cs="Times New Roman"/>
          <w:sz w:val="24"/>
          <w:szCs w:val="24"/>
        </w:rPr>
        <w:t xml:space="preserve"> total debt profile, our findings highlight that </w:t>
      </w:r>
      <w:r w:rsidR="00714FAC">
        <w:rPr>
          <w:rFonts w:ascii="Times New Roman" w:eastAsiaTheme="minorEastAsia" w:hAnsi="Times New Roman" w:cs="Times New Roman"/>
          <w:sz w:val="24"/>
          <w:szCs w:val="24"/>
        </w:rPr>
        <w:t>finance research</w:t>
      </w:r>
      <w:r w:rsidR="00714FAC" w:rsidRPr="009346C1">
        <w:rPr>
          <w:rFonts w:ascii="Times New Roman" w:eastAsiaTheme="minorEastAsia" w:hAnsi="Times New Roman" w:cs="Times New Roman"/>
          <w:sz w:val="24"/>
          <w:szCs w:val="24"/>
        </w:rPr>
        <w:t xml:space="preserve"> </w:t>
      </w:r>
      <w:r w:rsidR="00714FAC">
        <w:rPr>
          <w:rFonts w:ascii="Times New Roman" w:eastAsiaTheme="minorEastAsia" w:hAnsi="Times New Roman" w:cs="Times New Roman"/>
          <w:sz w:val="24"/>
          <w:szCs w:val="24"/>
        </w:rPr>
        <w:t>needs to</w:t>
      </w:r>
      <w:r w:rsidR="00714FAC" w:rsidRPr="009346C1">
        <w:rPr>
          <w:rFonts w:ascii="Times New Roman" w:eastAsiaTheme="minorEastAsia" w:hAnsi="Times New Roman" w:cs="Times New Roman"/>
          <w:sz w:val="24"/>
          <w:szCs w:val="24"/>
        </w:rPr>
        <w:t xml:space="preserve"> integrate labor market (and welfare state) institutions into </w:t>
      </w:r>
      <w:r w:rsidR="00714FAC">
        <w:rPr>
          <w:rFonts w:ascii="Times New Roman" w:eastAsiaTheme="minorEastAsia" w:hAnsi="Times New Roman" w:cs="Times New Roman"/>
          <w:sz w:val="24"/>
          <w:szCs w:val="24"/>
        </w:rPr>
        <w:t>their</w:t>
      </w:r>
      <w:r w:rsidR="00714FAC" w:rsidRPr="009346C1">
        <w:rPr>
          <w:rFonts w:ascii="Times New Roman" w:eastAsiaTheme="minorEastAsia" w:hAnsi="Times New Roman" w:cs="Times New Roman"/>
          <w:sz w:val="24"/>
          <w:szCs w:val="24"/>
        </w:rPr>
        <w:t xml:space="preserve"> analysis to understand how </w:t>
      </w:r>
      <w:r w:rsidR="00714FAC">
        <w:rPr>
          <w:rFonts w:ascii="Times New Roman" w:eastAsiaTheme="minorEastAsia" w:hAnsi="Times New Roman" w:cs="Times New Roman"/>
          <w:sz w:val="24"/>
          <w:szCs w:val="24"/>
        </w:rPr>
        <w:t xml:space="preserve">domestic </w:t>
      </w:r>
      <w:r w:rsidR="00714FAC" w:rsidRPr="009346C1">
        <w:rPr>
          <w:rFonts w:ascii="Times New Roman" w:eastAsiaTheme="minorEastAsia" w:hAnsi="Times New Roman" w:cs="Times New Roman"/>
          <w:sz w:val="24"/>
          <w:szCs w:val="24"/>
        </w:rPr>
        <w:t>financial system</w:t>
      </w:r>
      <w:r w:rsidR="00714FAC">
        <w:rPr>
          <w:rFonts w:ascii="Times New Roman" w:eastAsiaTheme="minorEastAsia" w:hAnsi="Times New Roman" w:cs="Times New Roman"/>
          <w:sz w:val="24"/>
          <w:szCs w:val="24"/>
        </w:rPr>
        <w:t>s</w:t>
      </w:r>
      <w:r w:rsidR="00714FAC" w:rsidRPr="009346C1">
        <w:rPr>
          <w:rFonts w:ascii="Times New Roman" w:eastAsiaTheme="minorEastAsia" w:hAnsi="Times New Roman" w:cs="Times New Roman"/>
          <w:sz w:val="24"/>
          <w:szCs w:val="24"/>
        </w:rPr>
        <w:t xml:space="preserve"> function.</w:t>
      </w:r>
    </w:p>
    <w:p w14:paraId="03D6EBE4" w14:textId="14BD9744" w:rsidR="00C7604D" w:rsidRPr="00441055" w:rsidRDefault="00C7604D" w:rsidP="00175033">
      <w:pPr>
        <w:rPr>
          <w:rFonts w:ascii="Times New Roman" w:hAnsi="Times New Roman" w:cs="Times New Roman"/>
        </w:rPr>
      </w:pPr>
    </w:p>
    <w:p w14:paraId="34E2E8D1" w14:textId="04214E49" w:rsidR="000339BD" w:rsidRPr="00441055" w:rsidRDefault="00441055" w:rsidP="00175033">
      <w:pPr>
        <w:rPr>
          <w:rFonts w:ascii="Times New Roman" w:hAnsi="Times New Roman" w:cs="Times New Roman"/>
          <w:sz w:val="24"/>
          <w:szCs w:val="24"/>
        </w:rPr>
      </w:pPr>
      <w:r w:rsidRPr="00441055">
        <w:rPr>
          <w:rFonts w:ascii="Times New Roman" w:hAnsi="Times New Roman" w:cs="Times New Roman"/>
          <w:b/>
          <w:sz w:val="24"/>
          <w:szCs w:val="24"/>
        </w:rPr>
        <w:t>Word Count</w:t>
      </w:r>
      <w:r w:rsidR="00E8671D">
        <w:rPr>
          <w:rFonts w:ascii="Times New Roman" w:hAnsi="Times New Roman" w:cs="Times New Roman"/>
          <w:b/>
          <w:sz w:val="24"/>
          <w:szCs w:val="24"/>
        </w:rPr>
        <w:t xml:space="preserve"> (excluding title page)</w:t>
      </w:r>
      <w:r w:rsidRPr="00441055">
        <w:rPr>
          <w:rFonts w:ascii="Times New Roman" w:hAnsi="Times New Roman" w:cs="Times New Roman"/>
          <w:b/>
          <w:sz w:val="24"/>
          <w:szCs w:val="24"/>
        </w:rPr>
        <w:t>:</w:t>
      </w:r>
      <w:r w:rsidRPr="00441055">
        <w:rPr>
          <w:rFonts w:ascii="Times New Roman" w:hAnsi="Times New Roman" w:cs="Times New Roman"/>
          <w:sz w:val="24"/>
          <w:szCs w:val="24"/>
        </w:rPr>
        <w:t xml:space="preserve"> 9,</w:t>
      </w:r>
      <w:r w:rsidR="00E8671D">
        <w:rPr>
          <w:rFonts w:ascii="Times New Roman" w:hAnsi="Times New Roman" w:cs="Times New Roman"/>
          <w:sz w:val="24"/>
          <w:szCs w:val="24"/>
        </w:rPr>
        <w:t>852</w:t>
      </w:r>
    </w:p>
    <w:p w14:paraId="461B7582" w14:textId="77777777" w:rsidR="00C85A57" w:rsidRDefault="00C85A57" w:rsidP="00175033">
      <w:pPr>
        <w:rPr>
          <w:rFonts w:ascii="Times New Roman" w:hAnsi="Times New Roman" w:cs="Times New Roman"/>
          <w:highlight w:val="yellow"/>
        </w:rPr>
      </w:pPr>
    </w:p>
    <w:p w14:paraId="0F4D68C5" w14:textId="77777777" w:rsidR="00DE7CA5" w:rsidRPr="000339BD" w:rsidRDefault="00DE7CA5" w:rsidP="00C7604D">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sidRPr="000339BD">
        <w:rPr>
          <w:rFonts w:ascii="Times New Roman" w:hAnsi="Times New Roman" w:cs="Times New Roman"/>
          <w:b/>
          <w:sz w:val="24"/>
          <w:szCs w:val="24"/>
        </w:rPr>
        <w:lastRenderedPageBreak/>
        <w:t>Introduction</w:t>
      </w:r>
      <w:r w:rsidR="009940E7" w:rsidRPr="000339BD">
        <w:rPr>
          <w:rFonts w:ascii="Times New Roman" w:hAnsi="Times New Roman" w:cs="Times New Roman"/>
          <w:b/>
          <w:sz w:val="24"/>
          <w:szCs w:val="24"/>
        </w:rPr>
        <w:t>:</w:t>
      </w:r>
      <w:r w:rsidRPr="000339BD">
        <w:rPr>
          <w:rFonts w:ascii="Times New Roman" w:hAnsi="Times New Roman" w:cs="Times New Roman"/>
          <w:b/>
          <w:sz w:val="24"/>
          <w:szCs w:val="24"/>
        </w:rPr>
        <w:t xml:space="preserve"> </w:t>
      </w:r>
    </w:p>
    <w:p w14:paraId="2A9248B0" w14:textId="448C1A4A" w:rsidR="000339BD" w:rsidRDefault="000339BD" w:rsidP="00F7699B">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International political economy (IPE) and European political economy (EPE) have long examined how banks </w:t>
      </w:r>
      <w:r w:rsidR="00F81193">
        <w:rPr>
          <w:rFonts w:ascii="Times New Roman" w:hAnsi="Times New Roman" w:cs="Times New Roman"/>
          <w:sz w:val="24"/>
          <w:szCs w:val="24"/>
        </w:rPr>
        <w:t xml:space="preserve">and other international financial actors </w:t>
      </w:r>
      <w:r w:rsidR="002C0F14">
        <w:rPr>
          <w:rFonts w:ascii="Times New Roman" w:hAnsi="Times New Roman" w:cs="Times New Roman"/>
          <w:sz w:val="24"/>
          <w:szCs w:val="24"/>
        </w:rPr>
        <w:t xml:space="preserve">shape the regulatory </w:t>
      </w:r>
      <w:r w:rsidR="006967DC">
        <w:rPr>
          <w:rFonts w:ascii="Times New Roman" w:hAnsi="Times New Roman" w:cs="Times New Roman"/>
          <w:sz w:val="24"/>
          <w:szCs w:val="24"/>
        </w:rPr>
        <w:t xml:space="preserve">and policy </w:t>
      </w:r>
      <w:r w:rsidR="002C0F14">
        <w:rPr>
          <w:rFonts w:ascii="Times New Roman" w:hAnsi="Times New Roman" w:cs="Times New Roman"/>
          <w:sz w:val="24"/>
          <w:szCs w:val="24"/>
        </w:rPr>
        <w:t>preference</w:t>
      </w:r>
      <w:r w:rsidR="006967DC">
        <w:rPr>
          <w:rFonts w:ascii="Times New Roman" w:hAnsi="Times New Roman" w:cs="Times New Roman"/>
          <w:sz w:val="24"/>
          <w:szCs w:val="24"/>
        </w:rPr>
        <w:t>s</w:t>
      </w:r>
      <w:r w:rsidR="002C0F14">
        <w:rPr>
          <w:rFonts w:ascii="Times New Roman" w:hAnsi="Times New Roman" w:cs="Times New Roman"/>
          <w:sz w:val="24"/>
          <w:szCs w:val="24"/>
        </w:rPr>
        <w:t xml:space="preserve"> of national governments</w:t>
      </w:r>
      <w:r w:rsidR="005009E7">
        <w:rPr>
          <w:rFonts w:ascii="Times New Roman" w:hAnsi="Times New Roman" w:cs="Times New Roman"/>
          <w:sz w:val="24"/>
          <w:szCs w:val="24"/>
        </w:rPr>
        <w:t xml:space="preserve"> (</w:t>
      </w:r>
      <w:proofErr w:type="spellStart"/>
      <w:r w:rsidR="00E9233A">
        <w:rPr>
          <w:rFonts w:ascii="Times New Roman" w:hAnsi="Times New Roman" w:cs="Times New Roman"/>
          <w:sz w:val="24"/>
          <w:szCs w:val="24"/>
        </w:rPr>
        <w:t>Woll</w:t>
      </w:r>
      <w:proofErr w:type="spellEnd"/>
      <w:r w:rsidR="006A0963">
        <w:rPr>
          <w:rFonts w:ascii="Times New Roman" w:hAnsi="Times New Roman" w:cs="Times New Roman"/>
          <w:sz w:val="24"/>
          <w:szCs w:val="24"/>
        </w:rPr>
        <w:t xml:space="preserve"> 2008</w:t>
      </w:r>
      <w:r w:rsidR="007E6FEB">
        <w:rPr>
          <w:rFonts w:ascii="Times New Roman" w:hAnsi="Times New Roman" w:cs="Times New Roman"/>
          <w:sz w:val="24"/>
          <w:szCs w:val="24"/>
        </w:rPr>
        <w:t xml:space="preserve">; </w:t>
      </w:r>
      <w:proofErr w:type="spellStart"/>
      <w:r w:rsidR="007E6FEB">
        <w:rPr>
          <w:rFonts w:ascii="Times New Roman" w:hAnsi="Times New Roman" w:cs="Times New Roman"/>
          <w:sz w:val="24"/>
          <w:szCs w:val="24"/>
        </w:rPr>
        <w:t>Bouwen</w:t>
      </w:r>
      <w:proofErr w:type="spellEnd"/>
      <w:r w:rsidR="007E6FEB">
        <w:rPr>
          <w:rFonts w:ascii="Times New Roman" w:hAnsi="Times New Roman" w:cs="Times New Roman"/>
          <w:sz w:val="24"/>
          <w:szCs w:val="24"/>
        </w:rPr>
        <w:t xml:space="preserve"> 2002</w:t>
      </w:r>
      <w:r w:rsidR="00F32673">
        <w:rPr>
          <w:rFonts w:ascii="Times New Roman" w:hAnsi="Times New Roman" w:cs="Times New Roman"/>
          <w:sz w:val="24"/>
          <w:szCs w:val="24"/>
        </w:rPr>
        <w:t>; Culpepper 2010)</w:t>
      </w:r>
      <w:r>
        <w:rPr>
          <w:rFonts w:ascii="Times New Roman" w:hAnsi="Times New Roman" w:cs="Times New Roman"/>
          <w:sz w:val="24"/>
          <w:szCs w:val="24"/>
        </w:rPr>
        <w:t xml:space="preserve">.  While there is not a universal consensus as to how financial actors constrain or are constrained by </w:t>
      </w:r>
      <w:r w:rsidR="005D5002">
        <w:rPr>
          <w:rFonts w:ascii="Times New Roman" w:hAnsi="Times New Roman" w:cs="Times New Roman"/>
          <w:sz w:val="24"/>
          <w:szCs w:val="24"/>
        </w:rPr>
        <w:t>government</w:t>
      </w:r>
      <w:r w:rsidR="00E91C96">
        <w:rPr>
          <w:rFonts w:ascii="Times New Roman" w:hAnsi="Times New Roman" w:cs="Times New Roman"/>
          <w:sz w:val="24"/>
          <w:szCs w:val="24"/>
        </w:rPr>
        <w:t>s</w:t>
      </w:r>
      <w:r w:rsidR="00F747E4">
        <w:rPr>
          <w:rFonts w:ascii="Times New Roman" w:hAnsi="Times New Roman" w:cs="Times New Roman"/>
          <w:sz w:val="24"/>
          <w:szCs w:val="24"/>
        </w:rPr>
        <w:t>, financial liberalization</w:t>
      </w:r>
      <w:r w:rsidR="005D5002">
        <w:rPr>
          <w:rFonts w:ascii="Times New Roman" w:hAnsi="Times New Roman" w:cs="Times New Roman"/>
          <w:sz w:val="24"/>
          <w:szCs w:val="24"/>
        </w:rPr>
        <w:t xml:space="preserve"> </w:t>
      </w:r>
      <w:r w:rsidR="008C115B">
        <w:rPr>
          <w:rFonts w:ascii="Times New Roman" w:hAnsi="Times New Roman" w:cs="Times New Roman"/>
          <w:sz w:val="24"/>
          <w:szCs w:val="24"/>
        </w:rPr>
        <w:t>(</w:t>
      </w:r>
      <w:r w:rsidR="00F747E4">
        <w:rPr>
          <w:rFonts w:ascii="Times New Roman" w:hAnsi="Times New Roman" w:cs="Times New Roman"/>
          <w:sz w:val="24"/>
          <w:szCs w:val="24"/>
        </w:rPr>
        <w:t xml:space="preserve">and </w:t>
      </w:r>
      <w:r w:rsidR="00F32673">
        <w:rPr>
          <w:rFonts w:ascii="Times New Roman" w:hAnsi="Times New Roman" w:cs="Times New Roman"/>
          <w:sz w:val="24"/>
          <w:szCs w:val="24"/>
        </w:rPr>
        <w:t xml:space="preserve">the associated </w:t>
      </w:r>
      <w:r w:rsidR="00F747E4">
        <w:rPr>
          <w:rFonts w:ascii="Times New Roman" w:hAnsi="Times New Roman" w:cs="Times New Roman"/>
          <w:sz w:val="24"/>
          <w:szCs w:val="24"/>
        </w:rPr>
        <w:t>increase</w:t>
      </w:r>
      <w:r w:rsidR="00F32673">
        <w:rPr>
          <w:rFonts w:ascii="Times New Roman" w:hAnsi="Times New Roman" w:cs="Times New Roman"/>
          <w:sz w:val="24"/>
          <w:szCs w:val="24"/>
        </w:rPr>
        <w:t xml:space="preserve"> in</w:t>
      </w:r>
      <w:r w:rsidR="00F747E4">
        <w:rPr>
          <w:rFonts w:ascii="Times New Roman" w:hAnsi="Times New Roman" w:cs="Times New Roman"/>
          <w:sz w:val="24"/>
          <w:szCs w:val="24"/>
        </w:rPr>
        <w:t xml:space="preserve"> capital mobility</w:t>
      </w:r>
      <w:r w:rsidR="008C115B">
        <w:rPr>
          <w:rFonts w:ascii="Times New Roman" w:hAnsi="Times New Roman" w:cs="Times New Roman"/>
          <w:sz w:val="24"/>
          <w:szCs w:val="24"/>
        </w:rPr>
        <w:t>)</w:t>
      </w:r>
      <w:r w:rsidR="005D5002">
        <w:rPr>
          <w:rFonts w:ascii="Times New Roman" w:hAnsi="Times New Roman" w:cs="Times New Roman"/>
          <w:sz w:val="24"/>
          <w:szCs w:val="24"/>
        </w:rPr>
        <w:t xml:space="preserve"> </w:t>
      </w:r>
      <w:proofErr w:type="gramStart"/>
      <w:r w:rsidR="00F747E4">
        <w:rPr>
          <w:rFonts w:ascii="Times New Roman" w:hAnsi="Times New Roman" w:cs="Times New Roman"/>
          <w:sz w:val="24"/>
          <w:szCs w:val="24"/>
        </w:rPr>
        <w:t>have</w:t>
      </w:r>
      <w:proofErr w:type="gramEnd"/>
      <w:r w:rsidR="00F747E4">
        <w:rPr>
          <w:rFonts w:ascii="Times New Roman" w:hAnsi="Times New Roman" w:cs="Times New Roman"/>
          <w:sz w:val="24"/>
          <w:szCs w:val="24"/>
        </w:rPr>
        <w:t xml:space="preserve"> </w:t>
      </w:r>
      <w:r w:rsidR="00ED4EA2">
        <w:rPr>
          <w:rFonts w:ascii="Times New Roman" w:hAnsi="Times New Roman" w:cs="Times New Roman"/>
          <w:sz w:val="24"/>
          <w:szCs w:val="24"/>
        </w:rPr>
        <w:t xml:space="preserve">tipped the balance of power </w:t>
      </w:r>
      <w:r w:rsidR="00E9233A">
        <w:rPr>
          <w:rFonts w:ascii="Times New Roman" w:hAnsi="Times New Roman" w:cs="Times New Roman"/>
          <w:sz w:val="24"/>
          <w:szCs w:val="24"/>
        </w:rPr>
        <w:t xml:space="preserve">in favor of mobile banks and international financial actors </w:t>
      </w:r>
      <w:r w:rsidR="00ED4EA2">
        <w:rPr>
          <w:rFonts w:ascii="Times New Roman" w:hAnsi="Times New Roman" w:cs="Times New Roman"/>
          <w:sz w:val="24"/>
          <w:szCs w:val="24"/>
        </w:rPr>
        <w:t xml:space="preserve">in the determination of national regulatory policy </w:t>
      </w:r>
      <w:r w:rsidR="00F747E4">
        <w:rPr>
          <w:rFonts w:ascii="Times New Roman" w:hAnsi="Times New Roman" w:cs="Times New Roman"/>
          <w:sz w:val="24"/>
          <w:szCs w:val="24"/>
        </w:rPr>
        <w:t>(</w:t>
      </w:r>
      <w:r w:rsidR="00ED4EA2">
        <w:rPr>
          <w:rFonts w:ascii="Times New Roman" w:hAnsi="Times New Roman" w:cs="Times New Roman"/>
          <w:sz w:val="24"/>
          <w:szCs w:val="24"/>
        </w:rPr>
        <w:t>Obstfeld, 1998; Mosley, 2003</w:t>
      </w:r>
      <w:r w:rsidR="000F0ED1">
        <w:rPr>
          <w:rFonts w:ascii="Times New Roman" w:hAnsi="Times New Roman" w:cs="Times New Roman"/>
          <w:sz w:val="24"/>
          <w:szCs w:val="24"/>
        </w:rPr>
        <w:t xml:space="preserve">; Johnson and </w:t>
      </w:r>
      <w:proofErr w:type="spellStart"/>
      <w:r w:rsidR="000F0ED1">
        <w:rPr>
          <w:rFonts w:ascii="Times New Roman" w:hAnsi="Times New Roman" w:cs="Times New Roman"/>
          <w:sz w:val="24"/>
          <w:szCs w:val="24"/>
        </w:rPr>
        <w:t>Kwak</w:t>
      </w:r>
      <w:proofErr w:type="spellEnd"/>
      <w:r w:rsidR="000F0ED1">
        <w:rPr>
          <w:rFonts w:ascii="Times New Roman" w:hAnsi="Times New Roman" w:cs="Times New Roman"/>
          <w:sz w:val="24"/>
          <w:szCs w:val="24"/>
        </w:rPr>
        <w:t xml:space="preserve"> 2010</w:t>
      </w:r>
      <w:r w:rsidR="00F747E4">
        <w:rPr>
          <w:rFonts w:ascii="Times New Roman" w:hAnsi="Times New Roman" w:cs="Times New Roman"/>
          <w:sz w:val="24"/>
          <w:szCs w:val="24"/>
        </w:rPr>
        <w:t>).</w:t>
      </w:r>
      <w:r w:rsidR="00F81193">
        <w:rPr>
          <w:rStyle w:val="FootnoteReference"/>
          <w:rFonts w:ascii="Times New Roman" w:hAnsi="Times New Roman" w:cs="Times New Roman"/>
          <w:sz w:val="24"/>
          <w:szCs w:val="24"/>
        </w:rPr>
        <w:footnoteReference w:id="4"/>
      </w:r>
      <w:r w:rsidR="00F747E4">
        <w:rPr>
          <w:rFonts w:ascii="Times New Roman" w:hAnsi="Times New Roman" w:cs="Times New Roman"/>
          <w:sz w:val="24"/>
          <w:szCs w:val="24"/>
        </w:rPr>
        <w:t xml:space="preserve">  </w:t>
      </w:r>
      <w:r w:rsidR="000F0ED1">
        <w:rPr>
          <w:rFonts w:ascii="Times New Roman" w:hAnsi="Times New Roman" w:cs="Times New Roman"/>
          <w:sz w:val="24"/>
          <w:szCs w:val="24"/>
        </w:rPr>
        <w:t>R</w:t>
      </w:r>
      <w:r w:rsidR="00F747E4">
        <w:rPr>
          <w:rFonts w:ascii="Times New Roman" w:hAnsi="Times New Roman" w:cs="Times New Roman"/>
          <w:sz w:val="24"/>
          <w:szCs w:val="24"/>
        </w:rPr>
        <w:t xml:space="preserve">ules governing capital, particularly </w:t>
      </w:r>
      <w:r w:rsidR="002A2E08">
        <w:rPr>
          <w:rFonts w:ascii="Times New Roman" w:hAnsi="Times New Roman" w:cs="Times New Roman"/>
          <w:sz w:val="24"/>
          <w:szCs w:val="24"/>
        </w:rPr>
        <w:t>those covering</w:t>
      </w:r>
      <w:r w:rsidR="00C85A57">
        <w:rPr>
          <w:rFonts w:ascii="Times New Roman" w:hAnsi="Times New Roman" w:cs="Times New Roman"/>
          <w:sz w:val="24"/>
          <w:szCs w:val="24"/>
        </w:rPr>
        <w:t xml:space="preserve"> </w:t>
      </w:r>
      <w:r w:rsidR="00F747E4">
        <w:rPr>
          <w:rFonts w:ascii="Times New Roman" w:hAnsi="Times New Roman" w:cs="Times New Roman"/>
          <w:sz w:val="24"/>
          <w:szCs w:val="24"/>
        </w:rPr>
        <w:t>capital controls</w:t>
      </w:r>
      <w:r w:rsidR="00C85A57">
        <w:rPr>
          <w:rFonts w:ascii="Times New Roman" w:hAnsi="Times New Roman" w:cs="Times New Roman"/>
          <w:sz w:val="24"/>
          <w:szCs w:val="24"/>
        </w:rPr>
        <w:t xml:space="preserve"> and restrictions,</w:t>
      </w:r>
      <w:r w:rsidR="00F747E4">
        <w:rPr>
          <w:rFonts w:ascii="Times New Roman" w:hAnsi="Times New Roman" w:cs="Times New Roman"/>
          <w:sz w:val="24"/>
          <w:szCs w:val="24"/>
        </w:rPr>
        <w:t xml:space="preserve"> </w:t>
      </w:r>
      <w:r w:rsidR="000F0ED1">
        <w:rPr>
          <w:rFonts w:ascii="Times New Roman" w:hAnsi="Times New Roman" w:cs="Times New Roman"/>
          <w:sz w:val="24"/>
          <w:szCs w:val="24"/>
        </w:rPr>
        <w:t>have increasingly converged</w:t>
      </w:r>
      <w:r w:rsidR="00C85A57">
        <w:rPr>
          <w:rFonts w:ascii="Times New Roman" w:hAnsi="Times New Roman" w:cs="Times New Roman"/>
          <w:sz w:val="24"/>
          <w:szCs w:val="24"/>
        </w:rPr>
        <w:t xml:space="preserve"> across</w:t>
      </w:r>
      <w:r w:rsidR="00F747E4">
        <w:rPr>
          <w:rFonts w:ascii="Times New Roman" w:hAnsi="Times New Roman" w:cs="Times New Roman"/>
          <w:sz w:val="24"/>
          <w:szCs w:val="24"/>
        </w:rPr>
        <w:t xml:space="preserve"> </w:t>
      </w:r>
      <w:r w:rsidR="00B56F2B">
        <w:rPr>
          <w:rFonts w:ascii="Times New Roman" w:hAnsi="Times New Roman" w:cs="Times New Roman"/>
          <w:sz w:val="24"/>
          <w:szCs w:val="24"/>
        </w:rPr>
        <w:t>advanced capitalist economies</w:t>
      </w:r>
      <w:r w:rsidR="000F0ED1">
        <w:rPr>
          <w:rFonts w:ascii="Times New Roman" w:hAnsi="Times New Roman" w:cs="Times New Roman"/>
          <w:sz w:val="24"/>
          <w:szCs w:val="24"/>
        </w:rPr>
        <w:t xml:space="preserve"> – </w:t>
      </w:r>
      <w:r w:rsidR="00BF27B7">
        <w:rPr>
          <w:rFonts w:ascii="Times New Roman" w:hAnsi="Times New Roman" w:cs="Times New Roman"/>
          <w:sz w:val="24"/>
          <w:szCs w:val="24"/>
        </w:rPr>
        <w:t xml:space="preserve">and </w:t>
      </w:r>
      <w:r w:rsidR="000F0ED1">
        <w:rPr>
          <w:rFonts w:ascii="Times New Roman" w:hAnsi="Times New Roman" w:cs="Times New Roman"/>
          <w:sz w:val="24"/>
          <w:szCs w:val="24"/>
        </w:rPr>
        <w:t xml:space="preserve">nowhere has this been more evident than in the </w:t>
      </w:r>
      <w:r w:rsidR="00F747E4">
        <w:rPr>
          <w:rFonts w:ascii="Times New Roman" w:hAnsi="Times New Roman" w:cs="Times New Roman"/>
          <w:sz w:val="24"/>
          <w:szCs w:val="24"/>
        </w:rPr>
        <w:t>creation of a “single market” for capital in the European Union</w:t>
      </w:r>
      <w:r w:rsidR="00AF5C2B">
        <w:rPr>
          <w:rFonts w:ascii="Times New Roman" w:hAnsi="Times New Roman" w:cs="Times New Roman"/>
          <w:sz w:val="24"/>
          <w:szCs w:val="24"/>
        </w:rPr>
        <w:t xml:space="preserve"> (EU)</w:t>
      </w:r>
      <w:r w:rsidR="000F0ED1">
        <w:rPr>
          <w:rFonts w:ascii="Times New Roman" w:hAnsi="Times New Roman" w:cs="Times New Roman"/>
          <w:sz w:val="24"/>
          <w:szCs w:val="24"/>
        </w:rPr>
        <w:t xml:space="preserve"> (</w:t>
      </w:r>
      <w:proofErr w:type="spellStart"/>
      <w:r w:rsidR="000F0ED1">
        <w:rPr>
          <w:rFonts w:ascii="Times New Roman" w:hAnsi="Times New Roman" w:cs="Times New Roman"/>
          <w:sz w:val="24"/>
          <w:szCs w:val="24"/>
        </w:rPr>
        <w:t>Abdelal</w:t>
      </w:r>
      <w:proofErr w:type="spellEnd"/>
      <w:r w:rsidR="000F0ED1">
        <w:rPr>
          <w:rFonts w:ascii="Times New Roman" w:hAnsi="Times New Roman" w:cs="Times New Roman"/>
          <w:sz w:val="24"/>
          <w:szCs w:val="24"/>
        </w:rPr>
        <w:t xml:space="preserve"> 2007)</w:t>
      </w:r>
      <w:r w:rsidR="00F747E4">
        <w:rPr>
          <w:rFonts w:ascii="Times New Roman" w:hAnsi="Times New Roman" w:cs="Times New Roman"/>
          <w:sz w:val="24"/>
          <w:szCs w:val="24"/>
        </w:rPr>
        <w:t xml:space="preserve">. </w:t>
      </w:r>
    </w:p>
    <w:p w14:paraId="08578E7F" w14:textId="77777777" w:rsidR="00F747E4" w:rsidRDefault="00F747E4" w:rsidP="00F7699B">
      <w:pPr>
        <w:spacing w:before="100" w:beforeAutospacing="1" w:after="100" w:afterAutospacing="1" w:line="360" w:lineRule="auto"/>
        <w:contextualSpacing/>
        <w:jc w:val="both"/>
        <w:rPr>
          <w:rFonts w:ascii="Times New Roman" w:hAnsi="Times New Roman" w:cs="Times New Roman"/>
          <w:sz w:val="24"/>
          <w:szCs w:val="24"/>
        </w:rPr>
      </w:pPr>
    </w:p>
    <w:p w14:paraId="5366C17F" w14:textId="1896F684" w:rsidR="00F747E4" w:rsidRDefault="00F747E4" w:rsidP="00F7699B">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One </w:t>
      </w:r>
      <w:r w:rsidR="002C0F14">
        <w:rPr>
          <w:rFonts w:ascii="Times New Roman" w:hAnsi="Times New Roman" w:cs="Times New Roman"/>
          <w:sz w:val="24"/>
          <w:szCs w:val="24"/>
        </w:rPr>
        <w:t>market actor</w:t>
      </w:r>
      <w:r>
        <w:rPr>
          <w:rFonts w:ascii="Times New Roman" w:hAnsi="Times New Roman" w:cs="Times New Roman"/>
          <w:sz w:val="24"/>
          <w:szCs w:val="24"/>
        </w:rPr>
        <w:t>, how</w:t>
      </w:r>
      <w:r w:rsidR="00C85A57">
        <w:rPr>
          <w:rFonts w:ascii="Times New Roman" w:hAnsi="Times New Roman" w:cs="Times New Roman"/>
          <w:sz w:val="24"/>
          <w:szCs w:val="24"/>
        </w:rPr>
        <w:t>ever, has received short shrift in</w:t>
      </w:r>
      <w:r w:rsidR="0063406D">
        <w:rPr>
          <w:rFonts w:ascii="Times New Roman" w:hAnsi="Times New Roman" w:cs="Times New Roman"/>
          <w:sz w:val="24"/>
          <w:szCs w:val="24"/>
        </w:rPr>
        <w:t xml:space="preserve"> major IPE and EPE debates</w:t>
      </w:r>
      <w:r w:rsidR="006967DC">
        <w:rPr>
          <w:rFonts w:ascii="Times New Roman" w:hAnsi="Times New Roman" w:cs="Times New Roman"/>
          <w:sz w:val="24"/>
          <w:szCs w:val="24"/>
        </w:rPr>
        <w:t xml:space="preserve"> on global finance</w:t>
      </w:r>
      <w:r w:rsidR="000F0ED1">
        <w:rPr>
          <w:rFonts w:ascii="Times New Roman" w:hAnsi="Times New Roman" w:cs="Times New Roman"/>
          <w:sz w:val="24"/>
          <w:szCs w:val="24"/>
        </w:rPr>
        <w:t>:</w:t>
      </w:r>
      <w:r w:rsidR="0063406D">
        <w:rPr>
          <w:rFonts w:ascii="Times New Roman" w:hAnsi="Times New Roman" w:cs="Times New Roman"/>
          <w:sz w:val="24"/>
          <w:szCs w:val="24"/>
        </w:rPr>
        <w:t xml:space="preserve"> </w:t>
      </w:r>
      <w:r w:rsidR="00146DFD">
        <w:rPr>
          <w:rFonts w:ascii="Times New Roman" w:hAnsi="Times New Roman" w:cs="Times New Roman"/>
          <w:sz w:val="24"/>
          <w:szCs w:val="24"/>
        </w:rPr>
        <w:t>households</w:t>
      </w:r>
      <w:r w:rsidR="0063406D">
        <w:rPr>
          <w:rFonts w:ascii="Times New Roman" w:hAnsi="Times New Roman" w:cs="Times New Roman"/>
          <w:sz w:val="24"/>
          <w:szCs w:val="24"/>
        </w:rPr>
        <w:t xml:space="preserve">.  </w:t>
      </w:r>
      <w:r w:rsidR="00F32673">
        <w:rPr>
          <w:rFonts w:ascii="Times New Roman" w:hAnsi="Times New Roman" w:cs="Times New Roman"/>
          <w:sz w:val="24"/>
          <w:szCs w:val="24"/>
        </w:rPr>
        <w:t>In general, political</w:t>
      </w:r>
      <w:r w:rsidR="0063406D">
        <w:rPr>
          <w:rFonts w:ascii="Times New Roman" w:hAnsi="Times New Roman" w:cs="Times New Roman"/>
          <w:sz w:val="24"/>
          <w:szCs w:val="24"/>
        </w:rPr>
        <w:t xml:space="preserve"> economy </w:t>
      </w:r>
      <w:r w:rsidR="00F32673">
        <w:rPr>
          <w:rFonts w:ascii="Times New Roman" w:hAnsi="Times New Roman" w:cs="Times New Roman"/>
          <w:sz w:val="24"/>
          <w:szCs w:val="24"/>
        </w:rPr>
        <w:t xml:space="preserve">scholars </w:t>
      </w:r>
      <w:r w:rsidR="0063406D">
        <w:rPr>
          <w:rFonts w:ascii="Times New Roman" w:hAnsi="Times New Roman" w:cs="Times New Roman"/>
          <w:sz w:val="24"/>
          <w:szCs w:val="24"/>
        </w:rPr>
        <w:t xml:space="preserve">do </w:t>
      </w:r>
      <w:r w:rsidR="00E9233A">
        <w:rPr>
          <w:rFonts w:ascii="Times New Roman" w:hAnsi="Times New Roman" w:cs="Times New Roman"/>
          <w:sz w:val="24"/>
          <w:szCs w:val="24"/>
        </w:rPr>
        <w:t xml:space="preserve">not </w:t>
      </w:r>
      <w:r w:rsidR="00C85A57">
        <w:rPr>
          <w:rFonts w:ascii="Times New Roman" w:hAnsi="Times New Roman" w:cs="Times New Roman"/>
          <w:sz w:val="24"/>
          <w:szCs w:val="24"/>
        </w:rPr>
        <w:t>perceive</w:t>
      </w:r>
      <w:r w:rsidR="0063406D">
        <w:rPr>
          <w:rFonts w:ascii="Times New Roman" w:hAnsi="Times New Roman" w:cs="Times New Roman"/>
          <w:sz w:val="24"/>
          <w:szCs w:val="24"/>
        </w:rPr>
        <w:t xml:space="preserve"> households</w:t>
      </w:r>
      <w:r w:rsidR="00C85A57">
        <w:rPr>
          <w:rFonts w:ascii="Times New Roman" w:hAnsi="Times New Roman" w:cs="Times New Roman"/>
          <w:sz w:val="24"/>
          <w:szCs w:val="24"/>
        </w:rPr>
        <w:t xml:space="preserve"> as capital, but rather as labor</w:t>
      </w:r>
      <w:r w:rsidR="0063406D">
        <w:rPr>
          <w:rFonts w:ascii="Times New Roman" w:hAnsi="Times New Roman" w:cs="Times New Roman"/>
          <w:sz w:val="24"/>
          <w:szCs w:val="24"/>
        </w:rPr>
        <w:t xml:space="preserve">.  </w:t>
      </w:r>
      <w:r w:rsidR="00C85A57">
        <w:rPr>
          <w:rFonts w:ascii="Times New Roman" w:hAnsi="Times New Roman" w:cs="Times New Roman"/>
          <w:sz w:val="24"/>
          <w:szCs w:val="24"/>
        </w:rPr>
        <w:t>Yet</w:t>
      </w:r>
      <w:r w:rsidR="00F32673">
        <w:rPr>
          <w:rFonts w:ascii="Times New Roman" w:hAnsi="Times New Roman" w:cs="Times New Roman"/>
          <w:sz w:val="24"/>
          <w:szCs w:val="24"/>
        </w:rPr>
        <w:t>,</w:t>
      </w:r>
      <w:r w:rsidR="000F0ED1">
        <w:rPr>
          <w:rFonts w:ascii="Times New Roman" w:hAnsi="Times New Roman" w:cs="Times New Roman"/>
          <w:sz w:val="24"/>
          <w:szCs w:val="24"/>
        </w:rPr>
        <w:t xml:space="preserve"> with the</w:t>
      </w:r>
      <w:r w:rsidR="00C85A57">
        <w:rPr>
          <w:rFonts w:ascii="Times New Roman" w:hAnsi="Times New Roman" w:cs="Times New Roman"/>
          <w:sz w:val="24"/>
          <w:szCs w:val="24"/>
        </w:rPr>
        <w:t xml:space="preserve"> </w:t>
      </w:r>
      <w:r w:rsidR="000F0ED1">
        <w:rPr>
          <w:rFonts w:ascii="Times New Roman" w:hAnsi="Times New Roman" w:cs="Times New Roman"/>
          <w:sz w:val="24"/>
          <w:szCs w:val="24"/>
        </w:rPr>
        <w:t>advent</w:t>
      </w:r>
      <w:r w:rsidR="0063406D">
        <w:rPr>
          <w:rFonts w:ascii="Times New Roman" w:hAnsi="Times New Roman" w:cs="Times New Roman"/>
          <w:sz w:val="24"/>
          <w:szCs w:val="24"/>
        </w:rPr>
        <w:t xml:space="preserve"> of securitization</w:t>
      </w:r>
      <w:r w:rsidR="000F0ED1">
        <w:rPr>
          <w:rFonts w:ascii="Times New Roman" w:hAnsi="Times New Roman" w:cs="Times New Roman"/>
          <w:sz w:val="24"/>
          <w:szCs w:val="24"/>
        </w:rPr>
        <w:t>,</w:t>
      </w:r>
      <w:r w:rsidR="0063406D">
        <w:rPr>
          <w:rFonts w:ascii="Times New Roman" w:hAnsi="Times New Roman" w:cs="Times New Roman"/>
          <w:sz w:val="24"/>
          <w:szCs w:val="24"/>
        </w:rPr>
        <w:t xml:space="preserve"> households </w:t>
      </w:r>
      <w:r w:rsidR="000F0ED1">
        <w:rPr>
          <w:rFonts w:ascii="Times New Roman" w:hAnsi="Times New Roman" w:cs="Times New Roman"/>
          <w:sz w:val="24"/>
          <w:szCs w:val="24"/>
        </w:rPr>
        <w:t xml:space="preserve">have grown ever-more </w:t>
      </w:r>
      <w:r w:rsidR="00146DFD">
        <w:rPr>
          <w:rFonts w:ascii="Times New Roman" w:hAnsi="Times New Roman" w:cs="Times New Roman"/>
          <w:sz w:val="24"/>
          <w:szCs w:val="24"/>
        </w:rPr>
        <w:t xml:space="preserve">entangled </w:t>
      </w:r>
      <w:r w:rsidR="002E3EB2">
        <w:rPr>
          <w:rFonts w:ascii="Times New Roman" w:hAnsi="Times New Roman" w:cs="Times New Roman"/>
          <w:sz w:val="24"/>
          <w:szCs w:val="24"/>
        </w:rPr>
        <w:t>with</w:t>
      </w:r>
      <w:r w:rsidR="0063406D">
        <w:rPr>
          <w:rFonts w:ascii="Times New Roman" w:hAnsi="Times New Roman" w:cs="Times New Roman"/>
          <w:sz w:val="24"/>
          <w:szCs w:val="24"/>
        </w:rPr>
        <w:t xml:space="preserve"> the international financial system through their largest financial liability –</w:t>
      </w:r>
      <w:r w:rsidR="00FA030B">
        <w:rPr>
          <w:rFonts w:ascii="Times New Roman" w:hAnsi="Times New Roman" w:cs="Times New Roman"/>
          <w:sz w:val="24"/>
          <w:szCs w:val="24"/>
        </w:rPr>
        <w:t xml:space="preserve"> </w:t>
      </w:r>
      <w:r w:rsidR="00146DFD">
        <w:rPr>
          <w:rFonts w:ascii="Times New Roman" w:hAnsi="Times New Roman" w:cs="Times New Roman"/>
          <w:sz w:val="24"/>
          <w:szCs w:val="24"/>
        </w:rPr>
        <w:t xml:space="preserve">the </w:t>
      </w:r>
      <w:r w:rsidR="0063406D">
        <w:rPr>
          <w:rFonts w:ascii="Times New Roman" w:hAnsi="Times New Roman" w:cs="Times New Roman"/>
          <w:sz w:val="24"/>
          <w:szCs w:val="24"/>
        </w:rPr>
        <w:t>mortgage</w:t>
      </w:r>
      <w:r w:rsidR="00FA030B">
        <w:rPr>
          <w:rFonts w:ascii="Times New Roman" w:hAnsi="Times New Roman" w:cs="Times New Roman"/>
          <w:sz w:val="24"/>
          <w:szCs w:val="24"/>
        </w:rPr>
        <w:t>s</w:t>
      </w:r>
      <w:r w:rsidR="00146DFD">
        <w:rPr>
          <w:rFonts w:ascii="Times New Roman" w:hAnsi="Times New Roman" w:cs="Times New Roman"/>
          <w:sz w:val="24"/>
          <w:szCs w:val="24"/>
        </w:rPr>
        <w:t xml:space="preserve"> on their homes</w:t>
      </w:r>
      <w:r w:rsidR="0063406D">
        <w:rPr>
          <w:rFonts w:ascii="Times New Roman" w:hAnsi="Times New Roman" w:cs="Times New Roman"/>
          <w:sz w:val="24"/>
          <w:szCs w:val="24"/>
        </w:rPr>
        <w:t xml:space="preserve">.  The importance of households </w:t>
      </w:r>
      <w:r w:rsidR="00C85A57">
        <w:rPr>
          <w:rFonts w:ascii="Times New Roman" w:hAnsi="Times New Roman" w:cs="Times New Roman"/>
          <w:sz w:val="24"/>
          <w:szCs w:val="24"/>
        </w:rPr>
        <w:t>in</w:t>
      </w:r>
      <w:r w:rsidR="0063406D">
        <w:rPr>
          <w:rFonts w:ascii="Times New Roman" w:hAnsi="Times New Roman" w:cs="Times New Roman"/>
          <w:sz w:val="24"/>
          <w:szCs w:val="24"/>
        </w:rPr>
        <w:t xml:space="preserve"> </w:t>
      </w:r>
      <w:r w:rsidR="00C85A57">
        <w:rPr>
          <w:rFonts w:ascii="Times New Roman" w:hAnsi="Times New Roman" w:cs="Times New Roman"/>
          <w:sz w:val="24"/>
          <w:szCs w:val="24"/>
        </w:rPr>
        <w:t>financial markets</w:t>
      </w:r>
      <w:r w:rsidR="0063406D">
        <w:rPr>
          <w:rFonts w:ascii="Times New Roman" w:hAnsi="Times New Roman" w:cs="Times New Roman"/>
          <w:sz w:val="24"/>
          <w:szCs w:val="24"/>
        </w:rPr>
        <w:t xml:space="preserve"> was emphatically demonstrated by the</w:t>
      </w:r>
      <w:r w:rsidR="00FA030B">
        <w:rPr>
          <w:rFonts w:ascii="Times New Roman" w:hAnsi="Times New Roman" w:cs="Times New Roman"/>
          <w:sz w:val="24"/>
          <w:szCs w:val="24"/>
        </w:rPr>
        <w:t xml:space="preserve"> </w:t>
      </w:r>
      <w:r w:rsidR="0063406D">
        <w:rPr>
          <w:rFonts w:ascii="Times New Roman" w:hAnsi="Times New Roman" w:cs="Times New Roman"/>
          <w:sz w:val="24"/>
          <w:szCs w:val="24"/>
        </w:rPr>
        <w:t>US subprime mortgage crisis</w:t>
      </w:r>
      <w:r w:rsidR="00FA030B">
        <w:rPr>
          <w:rFonts w:ascii="Times New Roman" w:hAnsi="Times New Roman" w:cs="Times New Roman"/>
          <w:sz w:val="24"/>
          <w:szCs w:val="24"/>
        </w:rPr>
        <w:t xml:space="preserve"> </w:t>
      </w:r>
      <w:r w:rsidR="000F0ED1">
        <w:rPr>
          <w:rFonts w:ascii="Times New Roman" w:hAnsi="Times New Roman" w:cs="Times New Roman"/>
          <w:sz w:val="24"/>
          <w:szCs w:val="24"/>
        </w:rPr>
        <w:t>when</w:t>
      </w:r>
      <w:r w:rsidR="00FA030B">
        <w:rPr>
          <w:rFonts w:ascii="Times New Roman" w:hAnsi="Times New Roman" w:cs="Times New Roman"/>
          <w:sz w:val="24"/>
          <w:szCs w:val="24"/>
        </w:rPr>
        <w:t xml:space="preserve"> </w:t>
      </w:r>
      <w:r w:rsidR="0063406D">
        <w:rPr>
          <w:rFonts w:ascii="Times New Roman" w:hAnsi="Times New Roman" w:cs="Times New Roman"/>
          <w:sz w:val="24"/>
          <w:szCs w:val="24"/>
        </w:rPr>
        <w:t>“toxic</w:t>
      </w:r>
      <w:r w:rsidR="00FA030B">
        <w:rPr>
          <w:rFonts w:ascii="Times New Roman" w:hAnsi="Times New Roman" w:cs="Times New Roman"/>
          <w:sz w:val="24"/>
          <w:szCs w:val="24"/>
        </w:rPr>
        <w:t>”</w:t>
      </w:r>
      <w:r w:rsidR="0063406D">
        <w:rPr>
          <w:rFonts w:ascii="Times New Roman" w:hAnsi="Times New Roman" w:cs="Times New Roman"/>
          <w:sz w:val="24"/>
          <w:szCs w:val="24"/>
        </w:rPr>
        <w:t xml:space="preserve"> </w:t>
      </w:r>
      <w:r w:rsidR="00FA030B">
        <w:rPr>
          <w:rFonts w:ascii="Times New Roman" w:hAnsi="Times New Roman" w:cs="Times New Roman"/>
          <w:sz w:val="24"/>
          <w:szCs w:val="24"/>
        </w:rPr>
        <w:t xml:space="preserve">subprime </w:t>
      </w:r>
      <w:r w:rsidR="0063406D">
        <w:rPr>
          <w:rFonts w:ascii="Times New Roman" w:hAnsi="Times New Roman" w:cs="Times New Roman"/>
          <w:sz w:val="24"/>
          <w:szCs w:val="24"/>
        </w:rPr>
        <w:t xml:space="preserve">mortgages </w:t>
      </w:r>
      <w:r w:rsidR="00FA030B">
        <w:rPr>
          <w:rFonts w:ascii="Times New Roman" w:hAnsi="Times New Roman" w:cs="Times New Roman"/>
          <w:sz w:val="24"/>
          <w:szCs w:val="24"/>
        </w:rPr>
        <w:t>jeopardized the integrity of</w:t>
      </w:r>
      <w:r w:rsidR="0011232E">
        <w:rPr>
          <w:rFonts w:ascii="Times New Roman" w:hAnsi="Times New Roman" w:cs="Times New Roman"/>
          <w:sz w:val="24"/>
          <w:szCs w:val="24"/>
        </w:rPr>
        <w:t xml:space="preserve"> the global financial system in which they were circulating</w:t>
      </w:r>
      <w:r w:rsidR="0063406D">
        <w:rPr>
          <w:rFonts w:ascii="Times New Roman" w:hAnsi="Times New Roman" w:cs="Times New Roman"/>
          <w:sz w:val="24"/>
          <w:szCs w:val="24"/>
        </w:rPr>
        <w:t>.</w:t>
      </w:r>
      <w:r w:rsidR="00ED4EA2">
        <w:rPr>
          <w:rStyle w:val="FootnoteReference"/>
          <w:rFonts w:ascii="Times New Roman" w:hAnsi="Times New Roman" w:cs="Times New Roman"/>
          <w:sz w:val="24"/>
          <w:szCs w:val="24"/>
        </w:rPr>
        <w:footnoteReference w:id="5"/>
      </w:r>
      <w:r w:rsidR="0063406D">
        <w:rPr>
          <w:rFonts w:ascii="Times New Roman" w:hAnsi="Times New Roman" w:cs="Times New Roman"/>
          <w:sz w:val="24"/>
          <w:szCs w:val="24"/>
        </w:rPr>
        <w:t xml:space="preserve">  Indeed, </w:t>
      </w:r>
      <w:proofErr w:type="spellStart"/>
      <w:r w:rsidR="0063406D">
        <w:rPr>
          <w:rFonts w:ascii="Times New Roman" w:hAnsi="Times New Roman" w:cs="Times New Roman"/>
          <w:sz w:val="24"/>
          <w:szCs w:val="24"/>
        </w:rPr>
        <w:t>Helliner</w:t>
      </w:r>
      <w:proofErr w:type="spellEnd"/>
      <w:r w:rsidR="0063406D">
        <w:rPr>
          <w:rFonts w:ascii="Times New Roman" w:hAnsi="Times New Roman" w:cs="Times New Roman"/>
          <w:sz w:val="24"/>
          <w:szCs w:val="24"/>
        </w:rPr>
        <w:t xml:space="preserve"> (2011; p69), </w:t>
      </w:r>
      <w:proofErr w:type="spellStart"/>
      <w:r w:rsidR="0063406D">
        <w:rPr>
          <w:rFonts w:ascii="Times New Roman" w:hAnsi="Times New Roman" w:cs="Times New Roman"/>
          <w:sz w:val="24"/>
          <w:szCs w:val="24"/>
        </w:rPr>
        <w:t>Aalbers</w:t>
      </w:r>
      <w:proofErr w:type="spellEnd"/>
      <w:r w:rsidR="0063406D">
        <w:rPr>
          <w:rFonts w:ascii="Times New Roman" w:hAnsi="Times New Roman" w:cs="Times New Roman"/>
          <w:sz w:val="24"/>
          <w:szCs w:val="24"/>
        </w:rPr>
        <w:t xml:space="preserve"> (</w:t>
      </w:r>
      <w:r w:rsidR="00163A25" w:rsidRPr="00163A25">
        <w:rPr>
          <w:rFonts w:ascii="Times New Roman" w:hAnsi="Times New Roman" w:cs="Times New Roman"/>
          <w:sz w:val="24"/>
          <w:szCs w:val="24"/>
        </w:rPr>
        <w:t>2016</w:t>
      </w:r>
      <w:r w:rsidR="0063406D">
        <w:rPr>
          <w:rFonts w:ascii="Times New Roman" w:hAnsi="Times New Roman" w:cs="Times New Roman"/>
          <w:sz w:val="24"/>
          <w:szCs w:val="24"/>
        </w:rPr>
        <w:t>) and Schwartz (</w:t>
      </w:r>
      <w:r w:rsidR="00040AEF">
        <w:rPr>
          <w:rFonts w:ascii="Times New Roman" w:hAnsi="Times New Roman" w:cs="Times New Roman"/>
          <w:sz w:val="24"/>
          <w:szCs w:val="24"/>
        </w:rPr>
        <w:t>2009</w:t>
      </w:r>
      <w:r w:rsidR="0063406D">
        <w:rPr>
          <w:rFonts w:ascii="Times New Roman" w:hAnsi="Times New Roman" w:cs="Times New Roman"/>
          <w:sz w:val="24"/>
          <w:szCs w:val="24"/>
        </w:rPr>
        <w:t>) go so far as to blame 2008 Global Financial Crisis</w:t>
      </w:r>
      <w:r w:rsidR="00E91C96">
        <w:rPr>
          <w:rFonts w:ascii="Times New Roman" w:hAnsi="Times New Roman" w:cs="Times New Roman"/>
          <w:sz w:val="24"/>
          <w:szCs w:val="24"/>
        </w:rPr>
        <w:t xml:space="preserve"> on the US subprime mortgage crisis</w:t>
      </w:r>
      <w:r w:rsidR="0063406D">
        <w:rPr>
          <w:rFonts w:ascii="Times New Roman" w:hAnsi="Times New Roman" w:cs="Times New Roman"/>
          <w:sz w:val="24"/>
          <w:szCs w:val="24"/>
        </w:rPr>
        <w:t>.</w:t>
      </w:r>
      <w:r w:rsidR="00FA030B">
        <w:rPr>
          <w:rFonts w:ascii="Times New Roman" w:hAnsi="Times New Roman" w:cs="Times New Roman"/>
          <w:sz w:val="24"/>
          <w:szCs w:val="24"/>
        </w:rPr>
        <w:t xml:space="preserve">  Unsustainable mortgage debt also proved catastrophic for Europe, pushing countries like Ireland and Spain into sovereign debt crises</w:t>
      </w:r>
      <w:r w:rsidR="005F3F38">
        <w:rPr>
          <w:rFonts w:ascii="Times New Roman" w:hAnsi="Times New Roman" w:cs="Times New Roman"/>
          <w:sz w:val="24"/>
          <w:szCs w:val="24"/>
        </w:rPr>
        <w:t xml:space="preserve"> in the late 2000s</w:t>
      </w:r>
      <w:r w:rsidR="00F32673">
        <w:rPr>
          <w:rFonts w:ascii="Times New Roman" w:hAnsi="Times New Roman" w:cs="Times New Roman"/>
          <w:sz w:val="24"/>
          <w:szCs w:val="24"/>
        </w:rPr>
        <w:t>.</w:t>
      </w:r>
    </w:p>
    <w:p w14:paraId="042E3A4A" w14:textId="77777777" w:rsidR="003F1E31" w:rsidRDefault="003F1E31" w:rsidP="00F7699B">
      <w:pPr>
        <w:spacing w:before="100" w:beforeAutospacing="1" w:after="100" w:afterAutospacing="1" w:line="360" w:lineRule="auto"/>
        <w:contextualSpacing/>
        <w:jc w:val="both"/>
        <w:rPr>
          <w:rFonts w:ascii="Times New Roman" w:hAnsi="Times New Roman" w:cs="Times New Roman"/>
          <w:sz w:val="24"/>
          <w:szCs w:val="24"/>
        </w:rPr>
      </w:pPr>
    </w:p>
    <w:p w14:paraId="1BFFAAFF" w14:textId="59EC256D" w:rsidR="00812AEA" w:rsidRDefault="005D5002">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This paper tries to fill a gap in IPE through analyzing the politic</w:t>
      </w:r>
      <w:r w:rsidR="008C115B">
        <w:rPr>
          <w:rFonts w:ascii="Times New Roman" w:hAnsi="Times New Roman" w:cs="Times New Roman"/>
          <w:sz w:val="24"/>
          <w:szCs w:val="24"/>
        </w:rPr>
        <w:t>al and institutional determinants</w:t>
      </w:r>
      <w:r>
        <w:rPr>
          <w:rFonts w:ascii="Times New Roman" w:hAnsi="Times New Roman" w:cs="Times New Roman"/>
          <w:sz w:val="24"/>
          <w:szCs w:val="24"/>
        </w:rPr>
        <w:t xml:space="preserve"> of </w:t>
      </w:r>
      <w:r w:rsidR="0063614E">
        <w:rPr>
          <w:rFonts w:ascii="Times New Roman" w:hAnsi="Times New Roman" w:cs="Times New Roman"/>
          <w:sz w:val="24"/>
          <w:szCs w:val="24"/>
        </w:rPr>
        <w:t>household debt.</w:t>
      </w:r>
      <w:r w:rsidR="00E91C96">
        <w:rPr>
          <w:rFonts w:ascii="Times New Roman" w:hAnsi="Times New Roman" w:cs="Times New Roman"/>
          <w:sz w:val="24"/>
          <w:szCs w:val="24"/>
        </w:rPr>
        <w:t xml:space="preserve"> </w:t>
      </w:r>
      <w:r w:rsidR="003F1E31">
        <w:rPr>
          <w:rFonts w:ascii="Times New Roman" w:hAnsi="Times New Roman" w:cs="Times New Roman"/>
          <w:sz w:val="24"/>
          <w:szCs w:val="24"/>
        </w:rPr>
        <w:t>In contrast to banks</w:t>
      </w:r>
      <w:r w:rsidR="00B73BBF">
        <w:rPr>
          <w:rFonts w:ascii="Times New Roman" w:hAnsi="Times New Roman" w:cs="Times New Roman"/>
          <w:sz w:val="24"/>
          <w:szCs w:val="24"/>
        </w:rPr>
        <w:t>, sovereigns</w:t>
      </w:r>
      <w:r w:rsidR="003F1E31">
        <w:rPr>
          <w:rFonts w:ascii="Times New Roman" w:hAnsi="Times New Roman" w:cs="Times New Roman"/>
          <w:sz w:val="24"/>
          <w:szCs w:val="24"/>
        </w:rPr>
        <w:t xml:space="preserve"> and international </w:t>
      </w:r>
      <w:r w:rsidR="00B10D63">
        <w:rPr>
          <w:rFonts w:ascii="Times New Roman" w:hAnsi="Times New Roman" w:cs="Times New Roman"/>
          <w:sz w:val="24"/>
          <w:szCs w:val="24"/>
        </w:rPr>
        <w:t>firms</w:t>
      </w:r>
      <w:r w:rsidR="003F1E31">
        <w:rPr>
          <w:rFonts w:ascii="Times New Roman" w:hAnsi="Times New Roman" w:cs="Times New Roman"/>
          <w:sz w:val="24"/>
          <w:szCs w:val="24"/>
        </w:rPr>
        <w:t xml:space="preserve">, households </w:t>
      </w:r>
      <w:r w:rsidR="00B10D63">
        <w:rPr>
          <w:rFonts w:ascii="Times New Roman" w:hAnsi="Times New Roman" w:cs="Times New Roman"/>
          <w:sz w:val="24"/>
          <w:szCs w:val="24"/>
        </w:rPr>
        <w:t xml:space="preserve">lack access to multiple markets. A multinational corporation like Unilever is listed on both the New </w:t>
      </w:r>
      <w:r w:rsidR="00B10D63">
        <w:rPr>
          <w:rFonts w:ascii="Times New Roman" w:hAnsi="Times New Roman" w:cs="Times New Roman"/>
          <w:sz w:val="24"/>
          <w:szCs w:val="24"/>
        </w:rPr>
        <w:lastRenderedPageBreak/>
        <w:t>York Stock Exchange and the Euronext exchange</w:t>
      </w:r>
      <w:r w:rsidR="008C115B">
        <w:rPr>
          <w:rFonts w:ascii="Times New Roman" w:hAnsi="Times New Roman" w:cs="Times New Roman"/>
          <w:sz w:val="24"/>
          <w:szCs w:val="24"/>
        </w:rPr>
        <w:t>,</w:t>
      </w:r>
      <w:r w:rsidR="00B10D63">
        <w:rPr>
          <w:rFonts w:ascii="Times New Roman" w:hAnsi="Times New Roman" w:cs="Times New Roman"/>
          <w:sz w:val="24"/>
          <w:szCs w:val="24"/>
        </w:rPr>
        <w:t xml:space="preserve"> and can raise capital in either jurisdiction (and in either currency). Banks </w:t>
      </w:r>
      <w:r w:rsidR="00E9233A">
        <w:rPr>
          <w:rFonts w:ascii="Times New Roman" w:hAnsi="Times New Roman" w:cs="Times New Roman"/>
          <w:sz w:val="24"/>
          <w:szCs w:val="24"/>
        </w:rPr>
        <w:t xml:space="preserve">that are </w:t>
      </w:r>
      <w:r w:rsidR="00B10D63">
        <w:rPr>
          <w:rFonts w:ascii="Times New Roman" w:hAnsi="Times New Roman" w:cs="Times New Roman"/>
          <w:sz w:val="24"/>
          <w:szCs w:val="24"/>
        </w:rPr>
        <w:t xml:space="preserve">restricted from activities in one jurisdiction can </w:t>
      </w:r>
      <w:r w:rsidR="0063614E">
        <w:rPr>
          <w:rFonts w:ascii="Times New Roman" w:hAnsi="Times New Roman" w:cs="Times New Roman"/>
          <w:sz w:val="24"/>
          <w:szCs w:val="24"/>
        </w:rPr>
        <w:t xml:space="preserve">easily </w:t>
      </w:r>
      <w:r w:rsidR="00B10D63">
        <w:rPr>
          <w:rFonts w:ascii="Times New Roman" w:hAnsi="Times New Roman" w:cs="Times New Roman"/>
          <w:sz w:val="24"/>
          <w:szCs w:val="24"/>
        </w:rPr>
        <w:t>move them to another. Households</w:t>
      </w:r>
      <w:r w:rsidR="00E91C96">
        <w:rPr>
          <w:rFonts w:ascii="Times New Roman" w:hAnsi="Times New Roman" w:cs="Times New Roman"/>
          <w:sz w:val="24"/>
          <w:szCs w:val="24"/>
        </w:rPr>
        <w:t>’</w:t>
      </w:r>
      <w:r w:rsidR="003F1E31">
        <w:rPr>
          <w:rFonts w:ascii="Times New Roman" w:hAnsi="Times New Roman" w:cs="Times New Roman"/>
          <w:sz w:val="24"/>
          <w:szCs w:val="24"/>
        </w:rPr>
        <w:t xml:space="preserve"> economic activity tends to be rooted i</w:t>
      </w:r>
      <w:r w:rsidR="00C85A57">
        <w:rPr>
          <w:rFonts w:ascii="Times New Roman" w:hAnsi="Times New Roman" w:cs="Times New Roman"/>
          <w:sz w:val="24"/>
          <w:szCs w:val="24"/>
        </w:rPr>
        <w:t xml:space="preserve">n </w:t>
      </w:r>
      <w:r w:rsidR="00B73BBF">
        <w:rPr>
          <w:rFonts w:ascii="Times New Roman" w:hAnsi="Times New Roman" w:cs="Times New Roman"/>
          <w:sz w:val="24"/>
          <w:szCs w:val="24"/>
        </w:rPr>
        <w:t>domestic markets</w:t>
      </w:r>
      <w:r w:rsidR="00B10D63">
        <w:rPr>
          <w:rFonts w:ascii="Times New Roman" w:hAnsi="Times New Roman" w:cs="Times New Roman"/>
          <w:sz w:val="24"/>
          <w:szCs w:val="24"/>
        </w:rPr>
        <w:t>, and built around</w:t>
      </w:r>
      <w:r w:rsidR="003F1E31">
        <w:rPr>
          <w:rFonts w:ascii="Times New Roman" w:hAnsi="Times New Roman" w:cs="Times New Roman"/>
          <w:sz w:val="24"/>
          <w:szCs w:val="24"/>
        </w:rPr>
        <w:t xml:space="preserve"> asset</w:t>
      </w:r>
      <w:r w:rsidR="00C85A57">
        <w:rPr>
          <w:rFonts w:ascii="Times New Roman" w:hAnsi="Times New Roman" w:cs="Times New Roman"/>
          <w:sz w:val="24"/>
          <w:szCs w:val="24"/>
        </w:rPr>
        <w:t>s</w:t>
      </w:r>
      <w:r w:rsidR="003F1E31">
        <w:rPr>
          <w:rFonts w:ascii="Times New Roman" w:hAnsi="Times New Roman" w:cs="Times New Roman"/>
          <w:sz w:val="24"/>
          <w:szCs w:val="24"/>
        </w:rPr>
        <w:t xml:space="preserve"> (their home</w:t>
      </w:r>
      <w:r w:rsidR="00C85A57">
        <w:rPr>
          <w:rFonts w:ascii="Times New Roman" w:hAnsi="Times New Roman" w:cs="Times New Roman"/>
          <w:sz w:val="24"/>
          <w:szCs w:val="24"/>
        </w:rPr>
        <w:t xml:space="preserve">s) </w:t>
      </w:r>
      <w:r w:rsidR="00B10D63">
        <w:rPr>
          <w:rFonts w:ascii="Times New Roman" w:hAnsi="Times New Roman" w:cs="Times New Roman"/>
          <w:sz w:val="24"/>
          <w:szCs w:val="24"/>
        </w:rPr>
        <w:t xml:space="preserve">that </w:t>
      </w:r>
      <w:r w:rsidR="00C85A57">
        <w:rPr>
          <w:rFonts w:ascii="Times New Roman" w:hAnsi="Times New Roman" w:cs="Times New Roman"/>
          <w:sz w:val="24"/>
          <w:szCs w:val="24"/>
        </w:rPr>
        <w:t>are</w:t>
      </w:r>
      <w:r w:rsidR="003F1E31">
        <w:rPr>
          <w:rFonts w:ascii="Times New Roman" w:hAnsi="Times New Roman" w:cs="Times New Roman"/>
          <w:sz w:val="24"/>
          <w:szCs w:val="24"/>
        </w:rPr>
        <w:t xml:space="preserve"> </w:t>
      </w:r>
      <w:r w:rsidR="00146DFD">
        <w:rPr>
          <w:rFonts w:ascii="Times New Roman" w:hAnsi="Times New Roman" w:cs="Times New Roman"/>
          <w:sz w:val="24"/>
          <w:szCs w:val="24"/>
        </w:rPr>
        <w:t xml:space="preserve">relatively </w:t>
      </w:r>
      <w:r w:rsidR="00C85A57">
        <w:rPr>
          <w:rFonts w:ascii="Times New Roman" w:hAnsi="Times New Roman" w:cs="Times New Roman"/>
          <w:sz w:val="24"/>
          <w:szCs w:val="24"/>
        </w:rPr>
        <w:t>illiquid.  B</w:t>
      </w:r>
      <w:r w:rsidR="003F1E31">
        <w:rPr>
          <w:rFonts w:ascii="Times New Roman" w:hAnsi="Times New Roman" w:cs="Times New Roman"/>
          <w:sz w:val="24"/>
          <w:szCs w:val="24"/>
        </w:rPr>
        <w:t xml:space="preserve">ecause of this, national governments and </w:t>
      </w:r>
      <w:r w:rsidR="000C277A">
        <w:rPr>
          <w:rFonts w:ascii="Times New Roman" w:hAnsi="Times New Roman" w:cs="Times New Roman"/>
          <w:sz w:val="24"/>
          <w:szCs w:val="24"/>
        </w:rPr>
        <w:t>central bank</w:t>
      </w:r>
      <w:r w:rsidR="00E91C96">
        <w:rPr>
          <w:rFonts w:ascii="Times New Roman" w:hAnsi="Times New Roman" w:cs="Times New Roman"/>
          <w:sz w:val="24"/>
          <w:szCs w:val="24"/>
        </w:rPr>
        <w:t>s</w:t>
      </w:r>
      <w:r w:rsidR="003F1E31">
        <w:rPr>
          <w:rFonts w:ascii="Times New Roman" w:hAnsi="Times New Roman" w:cs="Times New Roman"/>
          <w:sz w:val="24"/>
          <w:szCs w:val="24"/>
        </w:rPr>
        <w:t xml:space="preserve"> still have significant sway over households’ capacity to consume credit.  While </w:t>
      </w:r>
      <w:r w:rsidR="00AF5C2B">
        <w:rPr>
          <w:rFonts w:ascii="Times New Roman" w:hAnsi="Times New Roman" w:cs="Times New Roman"/>
          <w:sz w:val="24"/>
          <w:szCs w:val="24"/>
        </w:rPr>
        <w:t>EU</w:t>
      </w:r>
      <w:r w:rsidR="003F1E31" w:rsidRPr="00B17860">
        <w:rPr>
          <w:rFonts w:ascii="Times New Roman" w:hAnsi="Times New Roman" w:cs="Times New Roman"/>
          <w:sz w:val="24"/>
          <w:szCs w:val="24"/>
        </w:rPr>
        <w:t xml:space="preserve"> rules govern capital reserve requirements and liquidity ratios, </w:t>
      </w:r>
      <w:r w:rsidR="00C85A57" w:rsidRPr="00B17860">
        <w:rPr>
          <w:rFonts w:ascii="Times New Roman" w:hAnsi="Times New Roman" w:cs="Times New Roman"/>
          <w:sz w:val="24"/>
          <w:szCs w:val="24"/>
        </w:rPr>
        <w:t>it has</w:t>
      </w:r>
      <w:r w:rsidR="003F1E31" w:rsidRPr="00B17860">
        <w:rPr>
          <w:rFonts w:ascii="Times New Roman" w:hAnsi="Times New Roman" w:cs="Times New Roman"/>
          <w:sz w:val="24"/>
          <w:szCs w:val="24"/>
        </w:rPr>
        <w:t xml:space="preserve"> not created</w:t>
      </w:r>
      <w:r w:rsidR="003F1E31">
        <w:rPr>
          <w:rFonts w:ascii="Times New Roman" w:hAnsi="Times New Roman" w:cs="Times New Roman"/>
          <w:sz w:val="24"/>
          <w:szCs w:val="24"/>
        </w:rPr>
        <w:t xml:space="preserve"> common re</w:t>
      </w:r>
      <w:r w:rsidR="00B17860">
        <w:rPr>
          <w:rFonts w:ascii="Times New Roman" w:hAnsi="Times New Roman" w:cs="Times New Roman"/>
          <w:sz w:val="24"/>
          <w:szCs w:val="24"/>
        </w:rPr>
        <w:t xml:space="preserve">gulations governing households’ </w:t>
      </w:r>
      <w:r w:rsidR="003F1E31">
        <w:rPr>
          <w:rFonts w:ascii="Times New Roman" w:hAnsi="Times New Roman" w:cs="Times New Roman"/>
          <w:sz w:val="24"/>
          <w:szCs w:val="24"/>
        </w:rPr>
        <w:t>consumption of credit</w:t>
      </w:r>
      <w:r w:rsidR="00C21830">
        <w:rPr>
          <w:rFonts w:ascii="Times New Roman" w:hAnsi="Times New Roman" w:cs="Times New Roman"/>
          <w:sz w:val="24"/>
          <w:szCs w:val="24"/>
        </w:rPr>
        <w:t xml:space="preserve"> or </w:t>
      </w:r>
      <w:r w:rsidR="000C277A">
        <w:rPr>
          <w:rFonts w:ascii="Times New Roman" w:hAnsi="Times New Roman" w:cs="Times New Roman"/>
          <w:sz w:val="24"/>
          <w:szCs w:val="24"/>
        </w:rPr>
        <w:t>mortgage lending</w:t>
      </w:r>
      <w:r w:rsidR="003F1E31">
        <w:rPr>
          <w:rFonts w:ascii="Times New Roman" w:hAnsi="Times New Roman" w:cs="Times New Roman"/>
          <w:sz w:val="24"/>
          <w:szCs w:val="24"/>
        </w:rPr>
        <w:t xml:space="preserve">.  </w:t>
      </w:r>
      <w:r w:rsidR="00040AEF">
        <w:rPr>
          <w:rFonts w:ascii="Times New Roman" w:hAnsi="Times New Roman" w:cs="Times New Roman"/>
          <w:sz w:val="24"/>
          <w:szCs w:val="24"/>
        </w:rPr>
        <w:t xml:space="preserve">Perhaps </w:t>
      </w:r>
      <w:r w:rsidR="00E9233A">
        <w:rPr>
          <w:rFonts w:ascii="Times New Roman" w:hAnsi="Times New Roman" w:cs="Times New Roman"/>
          <w:sz w:val="24"/>
          <w:szCs w:val="24"/>
        </w:rPr>
        <w:t>because of</w:t>
      </w:r>
      <w:r w:rsidR="00040AEF">
        <w:rPr>
          <w:rFonts w:ascii="Times New Roman" w:hAnsi="Times New Roman" w:cs="Times New Roman"/>
          <w:sz w:val="24"/>
          <w:szCs w:val="24"/>
        </w:rPr>
        <w:t xml:space="preserve"> this</w:t>
      </w:r>
      <w:r w:rsidR="003F1E31">
        <w:rPr>
          <w:rFonts w:ascii="Times New Roman" w:hAnsi="Times New Roman" w:cs="Times New Roman"/>
          <w:sz w:val="24"/>
          <w:szCs w:val="24"/>
        </w:rPr>
        <w:t xml:space="preserve">, household </w:t>
      </w:r>
      <w:r>
        <w:rPr>
          <w:rFonts w:ascii="Times New Roman" w:hAnsi="Times New Roman" w:cs="Times New Roman"/>
          <w:sz w:val="24"/>
          <w:szCs w:val="24"/>
        </w:rPr>
        <w:t>debt level</w:t>
      </w:r>
      <w:r w:rsidR="0086044F">
        <w:rPr>
          <w:rFonts w:ascii="Times New Roman" w:hAnsi="Times New Roman" w:cs="Times New Roman"/>
          <w:sz w:val="24"/>
          <w:szCs w:val="24"/>
        </w:rPr>
        <w:t>s</w:t>
      </w:r>
      <w:r w:rsidR="001D1DFB">
        <w:rPr>
          <w:rFonts w:ascii="Times New Roman" w:hAnsi="Times New Roman" w:cs="Times New Roman"/>
          <w:sz w:val="24"/>
          <w:szCs w:val="24"/>
        </w:rPr>
        <w:t xml:space="preserve"> </w:t>
      </w:r>
      <w:r w:rsidR="00A62BD8">
        <w:rPr>
          <w:rFonts w:ascii="Times New Roman" w:hAnsi="Times New Roman" w:cs="Times New Roman"/>
          <w:sz w:val="24"/>
          <w:szCs w:val="24"/>
        </w:rPr>
        <w:t>remain</w:t>
      </w:r>
      <w:r w:rsidR="001D1DFB">
        <w:rPr>
          <w:rFonts w:ascii="Times New Roman" w:hAnsi="Times New Roman" w:cs="Times New Roman"/>
          <w:sz w:val="24"/>
          <w:szCs w:val="24"/>
        </w:rPr>
        <w:t xml:space="preserve"> heterogeneous throughout Europe and the </w:t>
      </w:r>
      <w:r w:rsidR="002A2E08">
        <w:rPr>
          <w:rFonts w:ascii="Times New Roman" w:hAnsi="Times New Roman" w:cs="Times New Roman"/>
          <w:sz w:val="24"/>
          <w:szCs w:val="24"/>
        </w:rPr>
        <w:t>OECD</w:t>
      </w:r>
      <w:r w:rsidR="001D1DFB">
        <w:rPr>
          <w:rFonts w:ascii="Times New Roman" w:hAnsi="Times New Roman" w:cs="Times New Roman"/>
          <w:sz w:val="24"/>
          <w:szCs w:val="24"/>
        </w:rPr>
        <w:t xml:space="preserve"> (see Figure 1).</w:t>
      </w:r>
      <w:r w:rsidR="00812AEA">
        <w:rPr>
          <w:rFonts w:ascii="Times New Roman" w:hAnsi="Times New Roman" w:cs="Times New Roman"/>
          <w:sz w:val="24"/>
          <w:szCs w:val="24"/>
        </w:rPr>
        <w:t xml:space="preserve">  </w:t>
      </w:r>
    </w:p>
    <w:p w14:paraId="1F061523" w14:textId="77777777" w:rsidR="00812AEA" w:rsidRDefault="00812AEA" w:rsidP="00F7699B">
      <w:pPr>
        <w:spacing w:before="100" w:beforeAutospacing="1" w:after="100" w:afterAutospacing="1" w:line="360" w:lineRule="auto"/>
        <w:contextualSpacing/>
        <w:jc w:val="both"/>
        <w:rPr>
          <w:rFonts w:ascii="Times New Roman" w:hAnsi="Times New Roman" w:cs="Times New Roman"/>
          <w:sz w:val="24"/>
          <w:szCs w:val="24"/>
        </w:rPr>
      </w:pPr>
    </w:p>
    <w:p w14:paraId="2EB90539" w14:textId="09A738CC" w:rsidR="00812AEA" w:rsidRPr="00812AEA" w:rsidRDefault="00812AEA" w:rsidP="005B68FF">
      <w:pPr>
        <w:keepNext/>
        <w:spacing w:after="0" w:line="360" w:lineRule="auto"/>
        <w:ind w:firstLine="720"/>
        <w:jc w:val="center"/>
        <w:rPr>
          <w:rFonts w:ascii="Times New Roman" w:hAnsi="Times New Roman" w:cs="Times New Roman"/>
          <w:b/>
          <w:sz w:val="24"/>
          <w:szCs w:val="24"/>
        </w:rPr>
      </w:pPr>
      <w:r w:rsidRPr="00812AEA">
        <w:rPr>
          <w:rFonts w:ascii="Times New Roman" w:hAnsi="Times New Roman" w:cs="Times New Roman"/>
          <w:b/>
          <w:sz w:val="24"/>
          <w:szCs w:val="24"/>
        </w:rPr>
        <w:t xml:space="preserve">Figure 1: Household debt (average levels and growth </w:t>
      </w:r>
      <w:proofErr w:type="gramStart"/>
      <w:r w:rsidRPr="00812AEA">
        <w:rPr>
          <w:rFonts w:ascii="Times New Roman" w:hAnsi="Times New Roman" w:cs="Times New Roman"/>
          <w:b/>
          <w:sz w:val="24"/>
          <w:szCs w:val="24"/>
        </w:rPr>
        <w:t>between 2000-2015</w:t>
      </w:r>
      <w:proofErr w:type="gramEnd"/>
      <w:r w:rsidRPr="00812AEA">
        <w:rPr>
          <w:rFonts w:ascii="Times New Roman" w:hAnsi="Times New Roman" w:cs="Times New Roman"/>
          <w:b/>
          <w:sz w:val="24"/>
          <w:szCs w:val="24"/>
        </w:rPr>
        <w:t>)</w:t>
      </w:r>
    </w:p>
    <w:p w14:paraId="0B0A3181" w14:textId="4A1C6D1D" w:rsidR="00812AEA" w:rsidRPr="00812AEA" w:rsidRDefault="00812AEA" w:rsidP="00812AEA">
      <w:pPr>
        <w:spacing w:after="0" w:line="240" w:lineRule="auto"/>
        <w:ind w:firstLine="720"/>
        <w:rPr>
          <w:rFonts w:ascii="Times New Roman" w:hAnsi="Times New Roman" w:cs="Times New Roman"/>
          <w:sz w:val="24"/>
          <w:szCs w:val="24"/>
        </w:rPr>
      </w:pPr>
      <w:r w:rsidRPr="00812AEA">
        <w:rPr>
          <w:rFonts w:ascii="Times New Roman" w:hAnsi="Times New Roman" w:cs="Times New Roman"/>
          <w:b/>
          <w:noProof/>
          <w:sz w:val="24"/>
          <w:szCs w:val="24"/>
        </w:rPr>
        <w:drawing>
          <wp:inline distT="0" distB="0" distL="0" distR="0" wp14:anchorId="3F92BB57" wp14:editId="7B29CF38">
            <wp:extent cx="5229225" cy="3826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9225" cy="3826975"/>
                    </a:xfrm>
                    <a:prstGeom prst="rect">
                      <a:avLst/>
                    </a:prstGeom>
                    <a:noFill/>
                    <a:ln>
                      <a:noFill/>
                    </a:ln>
                  </pic:spPr>
                </pic:pic>
              </a:graphicData>
            </a:graphic>
          </wp:inline>
        </w:drawing>
      </w:r>
    </w:p>
    <w:p w14:paraId="2119D484" w14:textId="566E9A3B" w:rsidR="00812AEA" w:rsidRPr="00812AEA" w:rsidRDefault="00812AEA" w:rsidP="00812AEA">
      <w:pPr>
        <w:spacing w:after="0" w:line="240" w:lineRule="auto"/>
        <w:ind w:left="720"/>
        <w:rPr>
          <w:rFonts w:ascii="Times New Roman" w:hAnsi="Times New Roman" w:cs="Times New Roman"/>
          <w:sz w:val="20"/>
          <w:szCs w:val="20"/>
        </w:rPr>
      </w:pPr>
      <w:proofErr w:type="gramStart"/>
      <w:r w:rsidRPr="00812AEA">
        <w:rPr>
          <w:rFonts w:ascii="Times New Roman" w:hAnsi="Times New Roman" w:cs="Times New Roman"/>
          <w:sz w:val="20"/>
          <w:szCs w:val="20"/>
        </w:rPr>
        <w:t>Housing debt data from the OECD (201</w:t>
      </w:r>
      <w:r w:rsidR="00E34E4F">
        <w:rPr>
          <w:rFonts w:ascii="Times New Roman" w:hAnsi="Times New Roman" w:cs="Times New Roman"/>
          <w:sz w:val="20"/>
          <w:szCs w:val="20"/>
        </w:rPr>
        <w:t>8</w:t>
      </w:r>
      <w:r w:rsidRPr="00812AEA">
        <w:rPr>
          <w:rFonts w:ascii="Times New Roman" w:hAnsi="Times New Roman" w:cs="Times New Roman"/>
          <w:sz w:val="20"/>
          <w:szCs w:val="20"/>
        </w:rPr>
        <w:t>).</w:t>
      </w:r>
      <w:proofErr w:type="gramEnd"/>
      <w:r w:rsidRPr="00812AEA">
        <w:rPr>
          <w:rFonts w:ascii="Times New Roman" w:hAnsi="Times New Roman" w:cs="Times New Roman"/>
          <w:sz w:val="20"/>
          <w:szCs w:val="20"/>
        </w:rPr>
        <w:t xml:space="preserve">  </w:t>
      </w:r>
    </w:p>
    <w:p w14:paraId="6A5DE221" w14:textId="77777777" w:rsidR="00812AEA" w:rsidRDefault="00812AEA" w:rsidP="00F7699B">
      <w:pPr>
        <w:spacing w:before="100" w:beforeAutospacing="1" w:after="100" w:afterAutospacing="1" w:line="360" w:lineRule="auto"/>
        <w:contextualSpacing/>
        <w:jc w:val="both"/>
        <w:rPr>
          <w:rFonts w:ascii="Times New Roman" w:hAnsi="Times New Roman" w:cs="Times New Roman"/>
          <w:sz w:val="24"/>
          <w:szCs w:val="24"/>
        </w:rPr>
      </w:pPr>
    </w:p>
    <w:p w14:paraId="2AB2FD44" w14:textId="10B491C8" w:rsidR="003F1E31" w:rsidRDefault="00812AEA" w:rsidP="00F7699B">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How can we explain the </w:t>
      </w:r>
      <w:r w:rsidR="00FF0D5B">
        <w:rPr>
          <w:rFonts w:ascii="Times New Roman" w:hAnsi="Times New Roman" w:cs="Times New Roman"/>
          <w:sz w:val="24"/>
          <w:szCs w:val="24"/>
        </w:rPr>
        <w:t>variation</w:t>
      </w:r>
      <w:r>
        <w:rPr>
          <w:rFonts w:ascii="Times New Roman" w:hAnsi="Times New Roman" w:cs="Times New Roman"/>
          <w:sz w:val="24"/>
          <w:szCs w:val="24"/>
        </w:rPr>
        <w:t xml:space="preserve"> in household debt accumulation across Western </w:t>
      </w:r>
      <w:proofErr w:type="gramStart"/>
      <w:r>
        <w:rPr>
          <w:rFonts w:ascii="Times New Roman" w:hAnsi="Times New Roman" w:cs="Times New Roman"/>
          <w:sz w:val="24"/>
          <w:szCs w:val="24"/>
        </w:rPr>
        <w:t>Europe,</w:t>
      </w:r>
      <w:proofErr w:type="gramEnd"/>
      <w:r>
        <w:rPr>
          <w:rFonts w:ascii="Times New Roman" w:hAnsi="Times New Roman" w:cs="Times New Roman"/>
          <w:sz w:val="24"/>
          <w:szCs w:val="24"/>
        </w:rPr>
        <w:t xml:space="preserve"> and throughout the OECD more broadly?</w:t>
      </w:r>
      <w:r w:rsidR="00FF0D5B">
        <w:rPr>
          <w:rFonts w:ascii="Times New Roman" w:hAnsi="Times New Roman" w:cs="Times New Roman"/>
          <w:sz w:val="24"/>
          <w:szCs w:val="24"/>
        </w:rPr>
        <w:t xml:space="preserve"> </w:t>
      </w:r>
      <w:r w:rsidR="00FD3778">
        <w:rPr>
          <w:rFonts w:ascii="Times New Roman" w:hAnsi="Times New Roman" w:cs="Times New Roman"/>
          <w:sz w:val="24"/>
          <w:szCs w:val="24"/>
        </w:rPr>
        <w:t xml:space="preserve">How is this related to the political economy of housing? </w:t>
      </w:r>
      <w:r w:rsidR="00FF0D5B">
        <w:rPr>
          <w:rFonts w:ascii="Times New Roman" w:hAnsi="Times New Roman" w:cs="Times New Roman"/>
          <w:sz w:val="24"/>
          <w:szCs w:val="24"/>
        </w:rPr>
        <w:t>IPE would argue that financial liberalizatio</w:t>
      </w:r>
      <w:r w:rsidR="00A62BD8">
        <w:rPr>
          <w:rFonts w:ascii="Times New Roman" w:hAnsi="Times New Roman" w:cs="Times New Roman"/>
          <w:sz w:val="24"/>
          <w:szCs w:val="24"/>
        </w:rPr>
        <w:t>n, greater capital mobility,</w:t>
      </w:r>
      <w:r w:rsidR="00FF0D5B">
        <w:rPr>
          <w:rFonts w:ascii="Times New Roman" w:hAnsi="Times New Roman" w:cs="Times New Roman"/>
          <w:sz w:val="24"/>
          <w:szCs w:val="24"/>
        </w:rPr>
        <w:t xml:space="preserve"> </w:t>
      </w:r>
      <w:r w:rsidR="00146DFD">
        <w:rPr>
          <w:rFonts w:ascii="Times New Roman" w:hAnsi="Times New Roman" w:cs="Times New Roman"/>
          <w:sz w:val="24"/>
          <w:szCs w:val="24"/>
        </w:rPr>
        <w:t xml:space="preserve">and </w:t>
      </w:r>
      <w:r w:rsidR="00FF0D5B">
        <w:rPr>
          <w:rFonts w:ascii="Times New Roman" w:hAnsi="Times New Roman" w:cs="Times New Roman"/>
          <w:sz w:val="24"/>
          <w:szCs w:val="24"/>
        </w:rPr>
        <w:t>declines in nominal interest rates</w:t>
      </w:r>
      <w:r w:rsidR="00146DFD">
        <w:rPr>
          <w:rFonts w:ascii="Times New Roman" w:hAnsi="Times New Roman" w:cs="Times New Roman"/>
          <w:sz w:val="24"/>
          <w:szCs w:val="24"/>
        </w:rPr>
        <w:t xml:space="preserve"> have made (cheaper) credit more widely available to households.</w:t>
      </w:r>
      <w:r w:rsidR="00A62BD8">
        <w:rPr>
          <w:rFonts w:ascii="Times New Roman" w:hAnsi="Times New Roman" w:cs="Times New Roman"/>
          <w:sz w:val="24"/>
          <w:szCs w:val="24"/>
        </w:rPr>
        <w:t xml:space="preserve"> </w:t>
      </w:r>
      <w:r w:rsidR="00FF0D5B">
        <w:rPr>
          <w:rFonts w:ascii="Times New Roman" w:hAnsi="Times New Roman" w:cs="Times New Roman"/>
          <w:sz w:val="24"/>
          <w:szCs w:val="24"/>
        </w:rPr>
        <w:t xml:space="preserve">However, these </w:t>
      </w:r>
      <w:r w:rsidR="001B1B41">
        <w:rPr>
          <w:rFonts w:ascii="Times New Roman" w:hAnsi="Times New Roman" w:cs="Times New Roman"/>
          <w:sz w:val="24"/>
          <w:szCs w:val="24"/>
        </w:rPr>
        <w:lastRenderedPageBreak/>
        <w:t xml:space="preserve">common </w:t>
      </w:r>
      <w:r w:rsidR="00FF0D5B">
        <w:rPr>
          <w:rFonts w:ascii="Times New Roman" w:hAnsi="Times New Roman" w:cs="Times New Roman"/>
          <w:sz w:val="24"/>
          <w:szCs w:val="24"/>
        </w:rPr>
        <w:t xml:space="preserve">developments were relatively “constant” across </w:t>
      </w:r>
      <w:r w:rsidR="00C21830">
        <w:rPr>
          <w:rFonts w:ascii="Times New Roman" w:hAnsi="Times New Roman" w:cs="Times New Roman"/>
          <w:sz w:val="24"/>
          <w:szCs w:val="24"/>
        </w:rPr>
        <w:t xml:space="preserve">advanced </w:t>
      </w:r>
      <w:r w:rsidR="00EF6593">
        <w:rPr>
          <w:rFonts w:ascii="Times New Roman" w:hAnsi="Times New Roman" w:cs="Times New Roman"/>
          <w:sz w:val="24"/>
          <w:szCs w:val="24"/>
        </w:rPr>
        <w:t>market economies</w:t>
      </w:r>
      <w:r w:rsidR="00FF0D5B">
        <w:rPr>
          <w:rFonts w:ascii="Times New Roman" w:hAnsi="Times New Roman" w:cs="Times New Roman"/>
          <w:sz w:val="24"/>
          <w:szCs w:val="24"/>
        </w:rPr>
        <w:t>, particularly from the late 1990s onwards</w:t>
      </w:r>
      <w:r w:rsidR="00A62BD8">
        <w:rPr>
          <w:rFonts w:ascii="Times New Roman" w:hAnsi="Times New Roman" w:cs="Times New Roman"/>
          <w:sz w:val="24"/>
          <w:szCs w:val="24"/>
        </w:rPr>
        <w:t xml:space="preserve">, meaning that they cannot account for </w:t>
      </w:r>
      <w:r w:rsidR="0086044F">
        <w:rPr>
          <w:rFonts w:ascii="Times New Roman" w:hAnsi="Times New Roman" w:cs="Times New Roman"/>
          <w:sz w:val="24"/>
          <w:szCs w:val="24"/>
        </w:rPr>
        <w:t xml:space="preserve">the </w:t>
      </w:r>
      <w:r w:rsidR="00FD3778">
        <w:rPr>
          <w:rFonts w:ascii="Times New Roman" w:hAnsi="Times New Roman" w:cs="Times New Roman"/>
          <w:sz w:val="24"/>
          <w:szCs w:val="24"/>
        </w:rPr>
        <w:t xml:space="preserve">significant </w:t>
      </w:r>
      <w:r w:rsidR="00A62BD8" w:rsidRPr="006967DC">
        <w:rPr>
          <w:rFonts w:ascii="Times New Roman" w:hAnsi="Times New Roman" w:cs="Times New Roman"/>
          <w:i/>
          <w:sz w:val="24"/>
          <w:szCs w:val="24"/>
        </w:rPr>
        <w:t>divergences</w:t>
      </w:r>
      <w:r w:rsidR="00A62BD8">
        <w:rPr>
          <w:rFonts w:ascii="Times New Roman" w:hAnsi="Times New Roman" w:cs="Times New Roman"/>
          <w:sz w:val="24"/>
          <w:szCs w:val="24"/>
        </w:rPr>
        <w:t xml:space="preserve"> in household debt levels amongst EU and OECD countries</w:t>
      </w:r>
      <w:r w:rsidR="00FF0D5B">
        <w:rPr>
          <w:rFonts w:ascii="Times New Roman" w:hAnsi="Times New Roman" w:cs="Times New Roman"/>
          <w:sz w:val="24"/>
          <w:szCs w:val="24"/>
        </w:rPr>
        <w:t xml:space="preserve">.  </w:t>
      </w:r>
      <w:r w:rsidR="00146DFD">
        <w:rPr>
          <w:rFonts w:ascii="Times New Roman" w:hAnsi="Times New Roman" w:cs="Times New Roman"/>
          <w:sz w:val="24"/>
          <w:szCs w:val="24"/>
        </w:rPr>
        <w:t>This is especially puzzling within the European context, where the integration of capital markets runs deeper than in the world at large – and where virtually all financial markets are regulated through a bricolage of supranational and domestic rules. Solving puzzles like this, in short, calls for a specific political economy of Europe – what this issue calls a European Political Economy (EPE)</w:t>
      </w:r>
    </w:p>
    <w:p w14:paraId="07D49867" w14:textId="77777777" w:rsidR="00FF0D5B" w:rsidRDefault="00FF0D5B" w:rsidP="00F7699B">
      <w:pPr>
        <w:spacing w:before="100" w:beforeAutospacing="1" w:after="100" w:afterAutospacing="1" w:line="360" w:lineRule="auto"/>
        <w:contextualSpacing/>
        <w:jc w:val="both"/>
        <w:rPr>
          <w:rFonts w:ascii="Times New Roman" w:hAnsi="Times New Roman" w:cs="Times New Roman"/>
          <w:sz w:val="24"/>
          <w:szCs w:val="24"/>
        </w:rPr>
      </w:pPr>
    </w:p>
    <w:p w14:paraId="0AD62E6D" w14:textId="4DEA89AA" w:rsidR="005F3F38" w:rsidRDefault="00146DFD" w:rsidP="00F7699B">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W</w:t>
      </w:r>
      <w:r w:rsidR="000D2EE5" w:rsidRPr="00EC1231">
        <w:rPr>
          <w:rFonts w:ascii="Times New Roman" w:hAnsi="Times New Roman" w:cs="Times New Roman"/>
          <w:sz w:val="24"/>
          <w:szCs w:val="24"/>
        </w:rPr>
        <w:t xml:space="preserve">e </w:t>
      </w:r>
      <w:r>
        <w:rPr>
          <w:rFonts w:ascii="Times New Roman" w:hAnsi="Times New Roman" w:cs="Times New Roman"/>
          <w:sz w:val="24"/>
          <w:szCs w:val="24"/>
        </w:rPr>
        <w:t xml:space="preserve">therefore </w:t>
      </w:r>
      <w:r w:rsidR="000D2EE5" w:rsidRPr="00EC1231">
        <w:rPr>
          <w:rFonts w:ascii="Times New Roman" w:hAnsi="Times New Roman" w:cs="Times New Roman"/>
          <w:sz w:val="24"/>
          <w:szCs w:val="24"/>
        </w:rPr>
        <w:t xml:space="preserve">aim to provide a </w:t>
      </w:r>
      <w:r w:rsidR="000D2EE5" w:rsidRPr="008D0356">
        <w:rPr>
          <w:rFonts w:ascii="Times New Roman" w:hAnsi="Times New Roman" w:cs="Times New Roman"/>
          <w:i/>
          <w:sz w:val="24"/>
          <w:szCs w:val="24"/>
        </w:rPr>
        <w:t>comparative</w:t>
      </w:r>
      <w:r w:rsidR="000D2EE5" w:rsidRPr="005B68FF">
        <w:rPr>
          <w:rFonts w:ascii="Times New Roman" w:hAnsi="Times New Roman" w:cs="Times New Roman"/>
          <w:i/>
          <w:sz w:val="24"/>
          <w:szCs w:val="24"/>
        </w:rPr>
        <w:t xml:space="preserve"> European</w:t>
      </w:r>
      <w:r w:rsidR="000D2EE5" w:rsidRPr="00EC1231">
        <w:rPr>
          <w:rFonts w:ascii="Times New Roman" w:hAnsi="Times New Roman" w:cs="Times New Roman"/>
          <w:sz w:val="24"/>
          <w:szCs w:val="24"/>
        </w:rPr>
        <w:t xml:space="preserve"> lens for understanding household debt accumulation.</w:t>
      </w:r>
      <w:r w:rsidR="0095507D" w:rsidRPr="00EC1231">
        <w:rPr>
          <w:rFonts w:ascii="Times New Roman" w:hAnsi="Times New Roman" w:cs="Times New Roman"/>
          <w:sz w:val="24"/>
          <w:szCs w:val="24"/>
        </w:rPr>
        <w:t xml:space="preserve">  Our theoretical argument merges insights from three </w:t>
      </w:r>
      <w:r w:rsidR="00A86786">
        <w:rPr>
          <w:rFonts w:ascii="Times New Roman" w:hAnsi="Times New Roman" w:cs="Times New Roman"/>
          <w:sz w:val="24"/>
          <w:szCs w:val="24"/>
        </w:rPr>
        <w:t>fields of scholarly research</w:t>
      </w:r>
      <w:r w:rsidR="0095507D" w:rsidRPr="00EC1231">
        <w:rPr>
          <w:rFonts w:ascii="Times New Roman" w:hAnsi="Times New Roman" w:cs="Times New Roman"/>
          <w:sz w:val="24"/>
          <w:szCs w:val="24"/>
        </w:rPr>
        <w:t xml:space="preserve">: the </w:t>
      </w:r>
      <w:r w:rsidR="00A86786">
        <w:rPr>
          <w:rFonts w:ascii="Times New Roman" w:hAnsi="Times New Roman" w:cs="Times New Roman"/>
          <w:sz w:val="24"/>
          <w:szCs w:val="24"/>
        </w:rPr>
        <w:t xml:space="preserve">political economy of </w:t>
      </w:r>
      <w:r w:rsidR="0095507D" w:rsidRPr="00EC1231">
        <w:rPr>
          <w:rFonts w:ascii="Times New Roman" w:hAnsi="Times New Roman" w:cs="Times New Roman"/>
          <w:sz w:val="24"/>
          <w:szCs w:val="24"/>
        </w:rPr>
        <w:t xml:space="preserve">housing literature, particularly </w:t>
      </w:r>
      <w:r w:rsidR="00A62BD8">
        <w:rPr>
          <w:rFonts w:ascii="Times New Roman" w:hAnsi="Times New Roman" w:cs="Times New Roman"/>
          <w:sz w:val="24"/>
          <w:szCs w:val="24"/>
        </w:rPr>
        <w:t>those that focus</w:t>
      </w:r>
      <w:r w:rsidR="0095507D" w:rsidRPr="00EC1231">
        <w:rPr>
          <w:rFonts w:ascii="Times New Roman" w:hAnsi="Times New Roman" w:cs="Times New Roman"/>
          <w:sz w:val="24"/>
          <w:szCs w:val="24"/>
        </w:rPr>
        <w:t xml:space="preserve"> on </w:t>
      </w:r>
      <w:proofErr w:type="spellStart"/>
      <w:r w:rsidR="0095507D" w:rsidRPr="00EC1231">
        <w:rPr>
          <w:rFonts w:ascii="Times New Roman" w:hAnsi="Times New Roman" w:cs="Times New Roman"/>
          <w:sz w:val="24"/>
          <w:szCs w:val="24"/>
        </w:rPr>
        <w:t>financialization</w:t>
      </w:r>
      <w:proofErr w:type="spellEnd"/>
      <w:r w:rsidR="00142ADE">
        <w:rPr>
          <w:rFonts w:ascii="Times New Roman" w:hAnsi="Times New Roman" w:cs="Times New Roman"/>
          <w:sz w:val="24"/>
          <w:szCs w:val="24"/>
        </w:rPr>
        <w:t xml:space="preserve"> and housing regimes</w:t>
      </w:r>
      <w:r w:rsidR="0095507D" w:rsidRPr="00EC1231">
        <w:rPr>
          <w:rFonts w:ascii="Times New Roman" w:hAnsi="Times New Roman" w:cs="Times New Roman"/>
          <w:sz w:val="24"/>
          <w:szCs w:val="24"/>
        </w:rPr>
        <w:t xml:space="preserve"> (</w:t>
      </w:r>
      <w:proofErr w:type="spellStart"/>
      <w:r w:rsidR="00142ADE">
        <w:rPr>
          <w:rFonts w:ascii="Times New Roman" w:hAnsi="Times New Roman" w:cs="Times New Roman"/>
          <w:sz w:val="24"/>
          <w:szCs w:val="24"/>
        </w:rPr>
        <w:t>Kemeny</w:t>
      </w:r>
      <w:proofErr w:type="spellEnd"/>
      <w:r w:rsidR="00142ADE">
        <w:rPr>
          <w:rFonts w:ascii="Times New Roman" w:hAnsi="Times New Roman" w:cs="Times New Roman"/>
          <w:sz w:val="24"/>
          <w:szCs w:val="24"/>
        </w:rPr>
        <w:t xml:space="preserve">, 2006; </w:t>
      </w:r>
      <w:r w:rsidR="00BD5094">
        <w:rPr>
          <w:rFonts w:ascii="Times New Roman" w:hAnsi="Times New Roman" w:cs="Times New Roman"/>
          <w:sz w:val="24"/>
          <w:szCs w:val="24"/>
        </w:rPr>
        <w:t>Schwartz and Seabrooke, 2008;</w:t>
      </w:r>
      <w:r w:rsidR="00142ADE">
        <w:rPr>
          <w:rFonts w:ascii="Times New Roman" w:hAnsi="Times New Roman" w:cs="Times New Roman"/>
          <w:sz w:val="24"/>
          <w:szCs w:val="24"/>
        </w:rPr>
        <w:t xml:space="preserve"> </w:t>
      </w:r>
      <w:proofErr w:type="spellStart"/>
      <w:r w:rsidR="00142ADE">
        <w:rPr>
          <w:rFonts w:ascii="Times New Roman" w:hAnsi="Times New Roman" w:cs="Times New Roman"/>
          <w:sz w:val="24"/>
          <w:szCs w:val="24"/>
        </w:rPr>
        <w:t>Aalbers</w:t>
      </w:r>
      <w:proofErr w:type="spellEnd"/>
      <w:r w:rsidR="00142ADE">
        <w:rPr>
          <w:rFonts w:ascii="Times New Roman" w:hAnsi="Times New Roman" w:cs="Times New Roman"/>
          <w:sz w:val="24"/>
          <w:szCs w:val="24"/>
        </w:rPr>
        <w:t xml:space="preserve"> and </w:t>
      </w:r>
      <w:proofErr w:type="spellStart"/>
      <w:r w:rsidR="00142ADE">
        <w:rPr>
          <w:rFonts w:ascii="Times New Roman" w:hAnsi="Times New Roman" w:cs="Times New Roman"/>
          <w:sz w:val="24"/>
          <w:szCs w:val="24"/>
        </w:rPr>
        <w:t>Christophers</w:t>
      </w:r>
      <w:proofErr w:type="spellEnd"/>
      <w:r w:rsidR="00142ADE">
        <w:rPr>
          <w:rFonts w:ascii="Times New Roman" w:hAnsi="Times New Roman" w:cs="Times New Roman"/>
          <w:sz w:val="24"/>
          <w:szCs w:val="24"/>
        </w:rPr>
        <w:t xml:space="preserve">, 2014; </w:t>
      </w:r>
      <w:r w:rsidR="00AF5C2B">
        <w:rPr>
          <w:rFonts w:ascii="Times New Roman" w:hAnsi="Times New Roman" w:cs="Times New Roman"/>
          <w:sz w:val="24"/>
          <w:szCs w:val="24"/>
        </w:rPr>
        <w:t>Bohle, 2014</w:t>
      </w:r>
      <w:r w:rsidR="0095507D" w:rsidRPr="00EC1231">
        <w:rPr>
          <w:rFonts w:ascii="Times New Roman" w:hAnsi="Times New Roman" w:cs="Times New Roman"/>
          <w:sz w:val="24"/>
          <w:szCs w:val="24"/>
        </w:rPr>
        <w:t>)</w:t>
      </w:r>
      <w:r w:rsidR="00AF5C2B">
        <w:rPr>
          <w:rFonts w:ascii="Times New Roman" w:hAnsi="Times New Roman" w:cs="Times New Roman"/>
          <w:sz w:val="24"/>
          <w:szCs w:val="24"/>
        </w:rPr>
        <w:t>;</w:t>
      </w:r>
      <w:r w:rsidR="0095507D" w:rsidRPr="00EC1231">
        <w:rPr>
          <w:rFonts w:ascii="Times New Roman" w:hAnsi="Times New Roman" w:cs="Times New Roman"/>
          <w:sz w:val="24"/>
          <w:szCs w:val="24"/>
        </w:rPr>
        <w:t xml:space="preserve"> </w:t>
      </w:r>
      <w:r w:rsidR="00EC1231" w:rsidRPr="00EC1231">
        <w:rPr>
          <w:rFonts w:ascii="Times New Roman" w:hAnsi="Times New Roman" w:cs="Times New Roman"/>
          <w:sz w:val="24"/>
          <w:szCs w:val="24"/>
        </w:rPr>
        <w:t>comparative political economy</w:t>
      </w:r>
      <w:r w:rsidR="0095507D" w:rsidRPr="00EC1231">
        <w:rPr>
          <w:rFonts w:ascii="Times New Roman" w:hAnsi="Times New Roman" w:cs="Times New Roman"/>
          <w:sz w:val="24"/>
          <w:szCs w:val="24"/>
        </w:rPr>
        <w:t xml:space="preserve"> literature</w:t>
      </w:r>
      <w:r w:rsidR="00A86786">
        <w:rPr>
          <w:rFonts w:ascii="Times New Roman" w:hAnsi="Times New Roman" w:cs="Times New Roman"/>
          <w:sz w:val="24"/>
          <w:szCs w:val="24"/>
        </w:rPr>
        <w:t xml:space="preserve"> that</w:t>
      </w:r>
      <w:r w:rsidR="0095507D" w:rsidRPr="00EC1231">
        <w:rPr>
          <w:rFonts w:ascii="Times New Roman" w:hAnsi="Times New Roman" w:cs="Times New Roman"/>
          <w:sz w:val="24"/>
          <w:szCs w:val="24"/>
        </w:rPr>
        <w:t xml:space="preserve"> focuses on</w:t>
      </w:r>
      <w:r w:rsidR="00F41DAD">
        <w:rPr>
          <w:rFonts w:ascii="Times New Roman" w:hAnsi="Times New Roman" w:cs="Times New Roman"/>
          <w:sz w:val="24"/>
          <w:szCs w:val="24"/>
        </w:rPr>
        <w:t xml:space="preserve"> how the organization of the labor market impacts</w:t>
      </w:r>
      <w:r w:rsidR="0095507D" w:rsidRPr="00EC1231">
        <w:rPr>
          <w:rFonts w:ascii="Times New Roman" w:hAnsi="Times New Roman" w:cs="Times New Roman"/>
          <w:sz w:val="24"/>
          <w:szCs w:val="24"/>
        </w:rPr>
        <w:t xml:space="preserve"> employment and income security (</w:t>
      </w:r>
      <w:proofErr w:type="spellStart"/>
      <w:r w:rsidR="00F41DAD">
        <w:rPr>
          <w:rFonts w:ascii="Times New Roman" w:hAnsi="Times New Roman" w:cs="Times New Roman"/>
          <w:sz w:val="24"/>
          <w:szCs w:val="24"/>
        </w:rPr>
        <w:t>Esping</w:t>
      </w:r>
      <w:proofErr w:type="spellEnd"/>
      <w:r w:rsidR="00F41DAD">
        <w:rPr>
          <w:rFonts w:ascii="Times New Roman" w:hAnsi="Times New Roman" w:cs="Times New Roman"/>
          <w:sz w:val="24"/>
          <w:szCs w:val="24"/>
        </w:rPr>
        <w:t>-Anderse</w:t>
      </w:r>
      <w:r w:rsidR="00EC1231" w:rsidRPr="00EC1231">
        <w:rPr>
          <w:rFonts w:ascii="Times New Roman" w:hAnsi="Times New Roman" w:cs="Times New Roman"/>
          <w:sz w:val="24"/>
          <w:szCs w:val="24"/>
        </w:rPr>
        <w:t>n, 1990</w:t>
      </w:r>
      <w:r w:rsidR="001F5F60">
        <w:rPr>
          <w:rFonts w:ascii="Times New Roman" w:hAnsi="Times New Roman" w:cs="Times New Roman"/>
          <w:sz w:val="24"/>
          <w:szCs w:val="24"/>
        </w:rPr>
        <w:t xml:space="preserve">; </w:t>
      </w:r>
      <w:r w:rsidR="00142ADE">
        <w:rPr>
          <w:rFonts w:ascii="Times New Roman" w:hAnsi="Times New Roman" w:cs="Times New Roman"/>
          <w:sz w:val="24"/>
          <w:szCs w:val="24"/>
        </w:rPr>
        <w:t>Hall and Soskice, 2001;</w:t>
      </w:r>
      <w:r w:rsidR="00F41DAD">
        <w:rPr>
          <w:rFonts w:ascii="Times New Roman" w:hAnsi="Times New Roman" w:cs="Times New Roman"/>
          <w:sz w:val="24"/>
          <w:szCs w:val="24"/>
        </w:rPr>
        <w:t xml:space="preserve"> </w:t>
      </w:r>
      <w:proofErr w:type="spellStart"/>
      <w:r w:rsidR="001F5F60">
        <w:rPr>
          <w:rFonts w:ascii="Times New Roman" w:hAnsi="Times New Roman" w:cs="Times New Roman"/>
          <w:sz w:val="24"/>
          <w:szCs w:val="24"/>
        </w:rPr>
        <w:t>Pontusson</w:t>
      </w:r>
      <w:proofErr w:type="spellEnd"/>
      <w:r w:rsidR="001F5F60">
        <w:rPr>
          <w:rFonts w:ascii="Times New Roman" w:hAnsi="Times New Roman" w:cs="Times New Roman"/>
          <w:sz w:val="24"/>
          <w:szCs w:val="24"/>
        </w:rPr>
        <w:t xml:space="preserve"> et al 2002; </w:t>
      </w:r>
      <w:proofErr w:type="spellStart"/>
      <w:r w:rsidR="001F5F60">
        <w:rPr>
          <w:rFonts w:ascii="Times New Roman" w:hAnsi="Times New Roman" w:cs="Times New Roman"/>
          <w:sz w:val="24"/>
          <w:szCs w:val="24"/>
        </w:rPr>
        <w:t>Korpi</w:t>
      </w:r>
      <w:proofErr w:type="spellEnd"/>
      <w:r w:rsidR="001F5F60">
        <w:rPr>
          <w:rFonts w:ascii="Times New Roman" w:hAnsi="Times New Roman" w:cs="Times New Roman"/>
          <w:sz w:val="24"/>
          <w:szCs w:val="24"/>
        </w:rPr>
        <w:t xml:space="preserve"> 2003)</w:t>
      </w:r>
      <w:r w:rsidR="001B1B41">
        <w:rPr>
          <w:rFonts w:ascii="Times New Roman" w:hAnsi="Times New Roman" w:cs="Times New Roman"/>
          <w:sz w:val="24"/>
          <w:szCs w:val="24"/>
        </w:rPr>
        <w:t>,</w:t>
      </w:r>
      <w:r w:rsidR="001F5F60">
        <w:rPr>
          <w:rFonts w:ascii="Times New Roman" w:hAnsi="Times New Roman" w:cs="Times New Roman"/>
          <w:sz w:val="24"/>
          <w:szCs w:val="24"/>
        </w:rPr>
        <w:t xml:space="preserve"> </w:t>
      </w:r>
      <w:r w:rsidR="0095507D" w:rsidRPr="00EC1231">
        <w:rPr>
          <w:rFonts w:ascii="Times New Roman" w:hAnsi="Times New Roman" w:cs="Times New Roman"/>
          <w:sz w:val="24"/>
          <w:szCs w:val="24"/>
        </w:rPr>
        <w:t>and</w:t>
      </w:r>
      <w:r w:rsidR="001B1B41">
        <w:rPr>
          <w:rFonts w:ascii="Times New Roman" w:hAnsi="Times New Roman" w:cs="Times New Roman"/>
          <w:sz w:val="24"/>
          <w:szCs w:val="24"/>
        </w:rPr>
        <w:t xml:space="preserve"> the</w:t>
      </w:r>
      <w:r w:rsidR="0095507D" w:rsidRPr="00EC1231">
        <w:rPr>
          <w:rFonts w:ascii="Times New Roman" w:hAnsi="Times New Roman" w:cs="Times New Roman"/>
          <w:sz w:val="24"/>
          <w:szCs w:val="24"/>
        </w:rPr>
        <w:t xml:space="preserve"> comparative finance literature </w:t>
      </w:r>
      <w:r w:rsidR="00A62BD8">
        <w:rPr>
          <w:rFonts w:ascii="Times New Roman" w:hAnsi="Times New Roman" w:cs="Times New Roman"/>
          <w:sz w:val="24"/>
          <w:szCs w:val="24"/>
        </w:rPr>
        <w:t xml:space="preserve">that </w:t>
      </w:r>
      <w:r w:rsidR="0095507D" w:rsidRPr="00EC1231">
        <w:rPr>
          <w:rFonts w:ascii="Times New Roman" w:hAnsi="Times New Roman" w:cs="Times New Roman"/>
          <w:sz w:val="24"/>
          <w:szCs w:val="24"/>
        </w:rPr>
        <w:t xml:space="preserve">examines </w:t>
      </w:r>
      <w:r w:rsidR="00EC1231" w:rsidRPr="00EC1231">
        <w:rPr>
          <w:rFonts w:ascii="Times New Roman" w:hAnsi="Times New Roman" w:cs="Times New Roman"/>
          <w:sz w:val="24"/>
          <w:szCs w:val="24"/>
        </w:rPr>
        <w:t>how domestic</w:t>
      </w:r>
      <w:r w:rsidR="0095507D" w:rsidRPr="00EC1231">
        <w:rPr>
          <w:rFonts w:ascii="Times New Roman" w:hAnsi="Times New Roman" w:cs="Times New Roman"/>
          <w:sz w:val="24"/>
          <w:szCs w:val="24"/>
        </w:rPr>
        <w:t xml:space="preserve"> rules govern credit consumption (</w:t>
      </w:r>
      <w:proofErr w:type="spellStart"/>
      <w:r w:rsidR="00C675F4">
        <w:rPr>
          <w:rFonts w:ascii="Times New Roman" w:hAnsi="Times New Roman" w:cs="Times New Roman"/>
          <w:sz w:val="24"/>
          <w:szCs w:val="24"/>
        </w:rPr>
        <w:t>Schelkle</w:t>
      </w:r>
      <w:proofErr w:type="spellEnd"/>
      <w:r w:rsidR="00C675F4">
        <w:rPr>
          <w:rFonts w:ascii="Times New Roman" w:hAnsi="Times New Roman" w:cs="Times New Roman"/>
          <w:sz w:val="24"/>
          <w:szCs w:val="24"/>
        </w:rPr>
        <w:t xml:space="preserve">, 2012; </w:t>
      </w:r>
      <w:r w:rsidR="00F41DAD">
        <w:rPr>
          <w:rFonts w:ascii="Times New Roman" w:hAnsi="Times New Roman" w:cs="Times New Roman"/>
          <w:sz w:val="24"/>
          <w:szCs w:val="24"/>
        </w:rPr>
        <w:t xml:space="preserve">Fuller, 2015; </w:t>
      </w:r>
      <w:r w:rsidR="003134F0">
        <w:rPr>
          <w:rFonts w:ascii="Times New Roman" w:hAnsi="Times New Roman" w:cs="Times New Roman"/>
          <w:sz w:val="24"/>
          <w:szCs w:val="24"/>
        </w:rPr>
        <w:t xml:space="preserve">van </w:t>
      </w:r>
      <w:proofErr w:type="spellStart"/>
      <w:r w:rsidR="003134F0">
        <w:rPr>
          <w:rFonts w:ascii="Times New Roman" w:hAnsi="Times New Roman" w:cs="Times New Roman"/>
          <w:sz w:val="24"/>
          <w:szCs w:val="24"/>
        </w:rPr>
        <w:t>Gunten</w:t>
      </w:r>
      <w:proofErr w:type="spellEnd"/>
      <w:r w:rsidR="003134F0">
        <w:rPr>
          <w:rFonts w:ascii="Times New Roman" w:hAnsi="Times New Roman" w:cs="Times New Roman"/>
          <w:sz w:val="24"/>
          <w:szCs w:val="24"/>
        </w:rPr>
        <w:t xml:space="preserve"> and </w:t>
      </w:r>
      <w:proofErr w:type="spellStart"/>
      <w:r w:rsidR="003134F0">
        <w:rPr>
          <w:rFonts w:ascii="Times New Roman" w:hAnsi="Times New Roman" w:cs="Times New Roman"/>
          <w:sz w:val="24"/>
          <w:szCs w:val="24"/>
        </w:rPr>
        <w:t>Navot</w:t>
      </w:r>
      <w:proofErr w:type="spellEnd"/>
      <w:r w:rsidR="003134F0">
        <w:rPr>
          <w:rFonts w:ascii="Times New Roman" w:hAnsi="Times New Roman" w:cs="Times New Roman"/>
          <w:sz w:val="24"/>
          <w:szCs w:val="24"/>
        </w:rPr>
        <w:t xml:space="preserve"> 2018</w:t>
      </w:r>
      <w:r w:rsidR="009F4876">
        <w:rPr>
          <w:rFonts w:ascii="Times New Roman" w:hAnsi="Times New Roman" w:cs="Times New Roman"/>
          <w:sz w:val="24"/>
          <w:szCs w:val="24"/>
        </w:rPr>
        <w:t>; Blackwell and Kohl 2018</w:t>
      </w:r>
      <w:r w:rsidR="0095507D" w:rsidRPr="000F6059">
        <w:rPr>
          <w:rFonts w:ascii="Times New Roman" w:hAnsi="Times New Roman" w:cs="Times New Roman"/>
          <w:sz w:val="24"/>
          <w:szCs w:val="24"/>
        </w:rPr>
        <w:t xml:space="preserve">).  </w:t>
      </w:r>
      <w:r w:rsidR="000F6059" w:rsidRPr="000F6059">
        <w:rPr>
          <w:rFonts w:ascii="Times New Roman" w:hAnsi="Times New Roman" w:cs="Times New Roman"/>
          <w:sz w:val="24"/>
          <w:szCs w:val="24"/>
        </w:rPr>
        <w:t xml:space="preserve">We propose a </w:t>
      </w:r>
      <w:r w:rsidR="005B68FF">
        <w:rPr>
          <w:rFonts w:ascii="Times New Roman" w:hAnsi="Times New Roman" w:cs="Times New Roman"/>
          <w:sz w:val="24"/>
          <w:szCs w:val="24"/>
        </w:rPr>
        <w:t xml:space="preserve">political institutional </w:t>
      </w:r>
      <w:r w:rsidR="000F6059" w:rsidRPr="000F6059">
        <w:rPr>
          <w:rFonts w:ascii="Times New Roman" w:hAnsi="Times New Roman" w:cs="Times New Roman"/>
          <w:sz w:val="24"/>
          <w:szCs w:val="24"/>
        </w:rPr>
        <w:t xml:space="preserve">framework for understanding </w:t>
      </w:r>
      <w:r w:rsidR="00A86786">
        <w:rPr>
          <w:rFonts w:ascii="Times New Roman" w:hAnsi="Times New Roman" w:cs="Times New Roman"/>
          <w:sz w:val="24"/>
          <w:szCs w:val="24"/>
        </w:rPr>
        <w:t xml:space="preserve">the </w:t>
      </w:r>
      <w:r w:rsidR="00792781">
        <w:rPr>
          <w:rFonts w:ascii="Times New Roman" w:hAnsi="Times New Roman" w:cs="Times New Roman"/>
          <w:sz w:val="24"/>
          <w:szCs w:val="24"/>
        </w:rPr>
        <w:t>variation in</w:t>
      </w:r>
      <w:r w:rsidR="00A86786">
        <w:rPr>
          <w:rFonts w:ascii="Times New Roman" w:hAnsi="Times New Roman" w:cs="Times New Roman"/>
          <w:sz w:val="24"/>
          <w:szCs w:val="24"/>
        </w:rPr>
        <w:t xml:space="preserve"> </w:t>
      </w:r>
      <w:r w:rsidR="00A62BD8">
        <w:rPr>
          <w:rFonts w:ascii="Times New Roman" w:hAnsi="Times New Roman" w:cs="Times New Roman"/>
          <w:sz w:val="24"/>
          <w:szCs w:val="24"/>
        </w:rPr>
        <w:t>household debt</w:t>
      </w:r>
      <w:r w:rsidR="000F6059" w:rsidRPr="000F6059">
        <w:rPr>
          <w:rFonts w:ascii="Times New Roman" w:hAnsi="Times New Roman" w:cs="Times New Roman"/>
          <w:sz w:val="24"/>
          <w:szCs w:val="24"/>
        </w:rPr>
        <w:t xml:space="preserve"> that integrates both capital (</w:t>
      </w:r>
      <w:r w:rsidR="00AF5C2B">
        <w:rPr>
          <w:rFonts w:ascii="Times New Roman" w:hAnsi="Times New Roman" w:cs="Times New Roman"/>
          <w:sz w:val="24"/>
          <w:szCs w:val="24"/>
        </w:rPr>
        <w:t>mortgage finance</w:t>
      </w:r>
      <w:r w:rsidR="000F6059" w:rsidRPr="000F6059">
        <w:rPr>
          <w:rFonts w:ascii="Times New Roman" w:hAnsi="Times New Roman" w:cs="Times New Roman"/>
          <w:sz w:val="24"/>
          <w:szCs w:val="24"/>
        </w:rPr>
        <w:t xml:space="preserve">) </w:t>
      </w:r>
      <w:r w:rsidR="00417A80">
        <w:rPr>
          <w:rFonts w:ascii="Times New Roman" w:hAnsi="Times New Roman" w:cs="Times New Roman"/>
          <w:sz w:val="24"/>
          <w:szCs w:val="24"/>
        </w:rPr>
        <w:t>and labo</w:t>
      </w:r>
      <w:r w:rsidR="000F6059" w:rsidRPr="000F6059">
        <w:rPr>
          <w:rFonts w:ascii="Times New Roman" w:hAnsi="Times New Roman" w:cs="Times New Roman"/>
          <w:sz w:val="24"/>
          <w:szCs w:val="24"/>
        </w:rPr>
        <w:t xml:space="preserve">r (income) markets. </w:t>
      </w:r>
      <w:r w:rsidR="00C21830">
        <w:rPr>
          <w:rFonts w:ascii="Times New Roman" w:hAnsi="Times New Roman" w:cs="Times New Roman"/>
          <w:sz w:val="24"/>
          <w:szCs w:val="24"/>
        </w:rPr>
        <w:t>Our claim is</w:t>
      </w:r>
      <w:r w:rsidR="0095507D" w:rsidRPr="000F6059">
        <w:rPr>
          <w:rFonts w:ascii="Times New Roman" w:hAnsi="Times New Roman" w:cs="Times New Roman"/>
          <w:sz w:val="24"/>
          <w:szCs w:val="24"/>
        </w:rPr>
        <w:t xml:space="preserve"> that household debt can be explained by the intersection</w:t>
      </w:r>
      <w:r w:rsidR="0095507D" w:rsidRPr="00EC1231">
        <w:rPr>
          <w:rFonts w:ascii="Times New Roman" w:hAnsi="Times New Roman" w:cs="Times New Roman"/>
          <w:sz w:val="24"/>
          <w:szCs w:val="24"/>
        </w:rPr>
        <w:t xml:space="preserve"> of two</w:t>
      </w:r>
      <w:r w:rsidR="001B1B41">
        <w:rPr>
          <w:rFonts w:ascii="Times New Roman" w:hAnsi="Times New Roman" w:cs="Times New Roman"/>
          <w:sz w:val="24"/>
          <w:szCs w:val="24"/>
        </w:rPr>
        <w:t xml:space="preserve"> </w:t>
      </w:r>
      <w:r w:rsidR="00A86786">
        <w:rPr>
          <w:rFonts w:ascii="Times New Roman" w:hAnsi="Times New Roman" w:cs="Times New Roman"/>
          <w:sz w:val="24"/>
          <w:szCs w:val="24"/>
        </w:rPr>
        <w:t>crucial domestic political economy</w:t>
      </w:r>
      <w:r w:rsidR="0095507D" w:rsidRPr="00EC1231">
        <w:rPr>
          <w:rFonts w:ascii="Times New Roman" w:hAnsi="Times New Roman" w:cs="Times New Roman"/>
          <w:sz w:val="24"/>
          <w:szCs w:val="24"/>
        </w:rPr>
        <w:t xml:space="preserve"> institution</w:t>
      </w:r>
      <w:r w:rsidR="00EC1231">
        <w:rPr>
          <w:rFonts w:ascii="Times New Roman" w:hAnsi="Times New Roman" w:cs="Times New Roman"/>
          <w:sz w:val="24"/>
          <w:szCs w:val="24"/>
        </w:rPr>
        <w:t>s – labor market</w:t>
      </w:r>
      <w:r w:rsidR="005B68FF">
        <w:rPr>
          <w:rFonts w:ascii="Times New Roman" w:hAnsi="Times New Roman" w:cs="Times New Roman"/>
          <w:sz w:val="24"/>
          <w:szCs w:val="24"/>
        </w:rPr>
        <w:t xml:space="preserve"> institutions</w:t>
      </w:r>
      <w:r w:rsidR="00660935">
        <w:rPr>
          <w:rStyle w:val="FootnoteReference"/>
          <w:rFonts w:ascii="Times New Roman" w:hAnsi="Times New Roman" w:cs="Times New Roman"/>
          <w:sz w:val="24"/>
          <w:szCs w:val="24"/>
        </w:rPr>
        <w:footnoteReference w:id="6"/>
      </w:r>
      <w:r w:rsidR="00EC1231">
        <w:rPr>
          <w:rFonts w:ascii="Times New Roman" w:hAnsi="Times New Roman" w:cs="Times New Roman"/>
          <w:sz w:val="24"/>
          <w:szCs w:val="24"/>
        </w:rPr>
        <w:t xml:space="preserve"> (and by </w:t>
      </w:r>
      <w:r w:rsidR="00417A80">
        <w:rPr>
          <w:rFonts w:ascii="Times New Roman" w:hAnsi="Times New Roman" w:cs="Times New Roman"/>
          <w:sz w:val="24"/>
          <w:szCs w:val="24"/>
        </w:rPr>
        <w:t>extension</w:t>
      </w:r>
      <w:r w:rsidR="00EC1231">
        <w:rPr>
          <w:rFonts w:ascii="Times New Roman" w:hAnsi="Times New Roman" w:cs="Times New Roman"/>
          <w:sz w:val="24"/>
          <w:szCs w:val="24"/>
        </w:rPr>
        <w:t xml:space="preserve"> welfare state institutions) that govern</w:t>
      </w:r>
      <w:r w:rsidR="000F6059">
        <w:rPr>
          <w:rFonts w:ascii="Times New Roman" w:hAnsi="Times New Roman" w:cs="Times New Roman"/>
          <w:sz w:val="24"/>
          <w:szCs w:val="24"/>
        </w:rPr>
        <w:t xml:space="preserve"> households’</w:t>
      </w:r>
      <w:r w:rsidR="00EC1231">
        <w:rPr>
          <w:rFonts w:ascii="Times New Roman" w:hAnsi="Times New Roman" w:cs="Times New Roman"/>
          <w:sz w:val="24"/>
          <w:szCs w:val="24"/>
        </w:rPr>
        <w:t xml:space="preserve"> income and employment security,</w:t>
      </w:r>
      <w:r w:rsidR="0095507D" w:rsidRPr="00EC1231">
        <w:rPr>
          <w:rFonts w:ascii="Times New Roman" w:hAnsi="Times New Roman" w:cs="Times New Roman"/>
          <w:sz w:val="24"/>
          <w:szCs w:val="24"/>
        </w:rPr>
        <w:t xml:space="preserve"> and </w:t>
      </w:r>
      <w:r w:rsidR="00EC1231">
        <w:rPr>
          <w:rFonts w:ascii="Times New Roman" w:hAnsi="Times New Roman" w:cs="Times New Roman"/>
          <w:sz w:val="24"/>
          <w:szCs w:val="24"/>
        </w:rPr>
        <w:t>mortgage</w:t>
      </w:r>
      <w:r w:rsidR="0095507D" w:rsidRPr="00EC1231">
        <w:rPr>
          <w:rFonts w:ascii="Times New Roman" w:hAnsi="Times New Roman" w:cs="Times New Roman"/>
          <w:sz w:val="24"/>
          <w:szCs w:val="24"/>
        </w:rPr>
        <w:t xml:space="preserve"> </w:t>
      </w:r>
      <w:r w:rsidR="00214491">
        <w:rPr>
          <w:rFonts w:ascii="Times New Roman" w:hAnsi="Times New Roman" w:cs="Times New Roman"/>
          <w:sz w:val="24"/>
          <w:szCs w:val="24"/>
        </w:rPr>
        <w:t xml:space="preserve">finance </w:t>
      </w:r>
      <w:r w:rsidR="0095507D" w:rsidRPr="00EC1231">
        <w:rPr>
          <w:rFonts w:ascii="Times New Roman" w:hAnsi="Times New Roman" w:cs="Times New Roman"/>
          <w:sz w:val="24"/>
          <w:szCs w:val="24"/>
        </w:rPr>
        <w:t>institutions</w:t>
      </w:r>
      <w:r w:rsidR="00D51262">
        <w:rPr>
          <w:rStyle w:val="FootnoteReference"/>
          <w:rFonts w:ascii="Times New Roman" w:hAnsi="Times New Roman" w:cs="Times New Roman"/>
          <w:sz w:val="24"/>
          <w:szCs w:val="24"/>
        </w:rPr>
        <w:footnoteReference w:id="7"/>
      </w:r>
      <w:r w:rsidR="0095507D" w:rsidRPr="00EC1231">
        <w:rPr>
          <w:rFonts w:ascii="Times New Roman" w:hAnsi="Times New Roman" w:cs="Times New Roman"/>
          <w:sz w:val="24"/>
          <w:szCs w:val="24"/>
        </w:rPr>
        <w:t xml:space="preserve"> that </w:t>
      </w:r>
      <w:r w:rsidR="00EC1231">
        <w:rPr>
          <w:rFonts w:ascii="Times New Roman" w:hAnsi="Times New Roman" w:cs="Times New Roman"/>
          <w:sz w:val="24"/>
          <w:szCs w:val="24"/>
        </w:rPr>
        <w:t xml:space="preserve">govern </w:t>
      </w:r>
      <w:r w:rsidR="000F6059">
        <w:rPr>
          <w:rFonts w:ascii="Times New Roman" w:hAnsi="Times New Roman" w:cs="Times New Roman"/>
          <w:sz w:val="24"/>
          <w:szCs w:val="24"/>
        </w:rPr>
        <w:t>households’ credit</w:t>
      </w:r>
      <w:r w:rsidR="00EC1231">
        <w:rPr>
          <w:rFonts w:ascii="Times New Roman" w:hAnsi="Times New Roman" w:cs="Times New Roman"/>
          <w:sz w:val="24"/>
          <w:szCs w:val="24"/>
        </w:rPr>
        <w:t xml:space="preserve"> access.  </w:t>
      </w:r>
    </w:p>
    <w:p w14:paraId="3A709249" w14:textId="77777777" w:rsidR="005F3F38" w:rsidRDefault="005F3F38" w:rsidP="00F7699B">
      <w:pPr>
        <w:spacing w:before="100" w:beforeAutospacing="1" w:after="100" w:afterAutospacing="1" w:line="360" w:lineRule="auto"/>
        <w:contextualSpacing/>
        <w:jc w:val="both"/>
        <w:rPr>
          <w:rFonts w:ascii="Times New Roman" w:hAnsi="Times New Roman" w:cs="Times New Roman"/>
          <w:sz w:val="24"/>
          <w:szCs w:val="24"/>
        </w:rPr>
      </w:pPr>
    </w:p>
    <w:p w14:paraId="07C4BE09" w14:textId="52BA8A73" w:rsidR="00A86786" w:rsidRDefault="00EC1231" w:rsidP="0095601D">
      <w:pPr>
        <w:spacing w:before="100" w:beforeAutospacing="1" w:after="100" w:afterAutospacing="1" w:line="360" w:lineRule="auto"/>
        <w:contextualSpacing/>
        <w:jc w:val="both"/>
        <w:rPr>
          <w:rFonts w:ascii="Times New Roman" w:hAnsi="Times New Roman" w:cs="Times New Roman"/>
          <w:sz w:val="24"/>
          <w:szCs w:val="24"/>
        </w:rPr>
      </w:pPr>
      <w:r w:rsidRPr="00EC1231">
        <w:rPr>
          <w:rFonts w:ascii="Times New Roman" w:hAnsi="Times New Roman" w:cs="Times New Roman"/>
          <w:color w:val="000000"/>
          <w:sz w:val="24"/>
          <w:szCs w:val="24"/>
          <w:shd w:val="clear" w:color="auto" w:fill="FFFFFF"/>
        </w:rPr>
        <w:t xml:space="preserve">Exploiting the institutional heterogeneity </w:t>
      </w:r>
      <w:r w:rsidR="001F5F60">
        <w:rPr>
          <w:rFonts w:ascii="Times New Roman" w:hAnsi="Times New Roman" w:cs="Times New Roman"/>
          <w:color w:val="000000"/>
          <w:sz w:val="24"/>
          <w:szCs w:val="24"/>
          <w:shd w:val="clear" w:color="auto" w:fill="FFFFFF"/>
        </w:rPr>
        <w:t xml:space="preserve">of </w:t>
      </w:r>
      <w:r w:rsidR="005B68FF">
        <w:rPr>
          <w:rFonts w:ascii="Times New Roman" w:hAnsi="Times New Roman" w:cs="Times New Roman"/>
          <w:color w:val="000000"/>
          <w:sz w:val="24"/>
          <w:szCs w:val="24"/>
          <w:shd w:val="clear" w:color="auto" w:fill="FFFFFF"/>
        </w:rPr>
        <w:t xml:space="preserve">institutional </w:t>
      </w:r>
      <w:r w:rsidR="001F5F60">
        <w:rPr>
          <w:rFonts w:ascii="Times New Roman" w:hAnsi="Times New Roman" w:cs="Times New Roman"/>
          <w:color w:val="000000"/>
          <w:sz w:val="24"/>
          <w:szCs w:val="24"/>
          <w:shd w:val="clear" w:color="auto" w:fill="FFFFFF"/>
        </w:rPr>
        <w:t>diversity in Europe</w:t>
      </w:r>
      <w:r w:rsidRPr="00EC1231">
        <w:rPr>
          <w:rFonts w:ascii="Times New Roman" w:hAnsi="Times New Roman" w:cs="Times New Roman"/>
          <w:color w:val="000000"/>
          <w:sz w:val="24"/>
          <w:szCs w:val="24"/>
          <w:shd w:val="clear" w:color="auto" w:fill="FFFFFF"/>
        </w:rPr>
        <w:t>,</w:t>
      </w:r>
      <w:r w:rsidR="0095507D" w:rsidRPr="00EC1231">
        <w:rPr>
          <w:rFonts w:ascii="Times New Roman" w:hAnsi="Times New Roman" w:cs="Times New Roman"/>
          <w:sz w:val="24"/>
          <w:szCs w:val="24"/>
        </w:rPr>
        <w:t> </w:t>
      </w:r>
      <w:r>
        <w:rPr>
          <w:rFonts w:ascii="Times New Roman" w:hAnsi="Times New Roman" w:cs="Times New Roman"/>
          <w:sz w:val="24"/>
          <w:szCs w:val="24"/>
        </w:rPr>
        <w:t xml:space="preserve">we </w:t>
      </w:r>
      <w:r w:rsidR="00F15B12">
        <w:rPr>
          <w:rFonts w:ascii="Times New Roman" w:hAnsi="Times New Roman" w:cs="Times New Roman"/>
          <w:sz w:val="24"/>
          <w:szCs w:val="24"/>
        </w:rPr>
        <w:t>use a</w:t>
      </w:r>
      <w:r w:rsidR="004654A8">
        <w:rPr>
          <w:rFonts w:ascii="Times New Roman" w:hAnsi="Times New Roman" w:cs="Times New Roman"/>
          <w:sz w:val="24"/>
          <w:szCs w:val="24"/>
        </w:rPr>
        <w:t xml:space="preserve"> distributive lagged panel analysis </w:t>
      </w:r>
      <w:r>
        <w:rPr>
          <w:rFonts w:ascii="Times New Roman" w:hAnsi="Times New Roman" w:cs="Times New Roman"/>
          <w:sz w:val="24"/>
          <w:szCs w:val="24"/>
        </w:rPr>
        <w:t>t</w:t>
      </w:r>
      <w:r w:rsidR="00F15B12">
        <w:rPr>
          <w:rFonts w:ascii="Times New Roman" w:hAnsi="Times New Roman" w:cs="Times New Roman"/>
          <w:sz w:val="24"/>
          <w:szCs w:val="24"/>
        </w:rPr>
        <w:t>o assess</w:t>
      </w:r>
      <w:r>
        <w:rPr>
          <w:rFonts w:ascii="Times New Roman" w:hAnsi="Times New Roman" w:cs="Times New Roman"/>
          <w:sz w:val="24"/>
          <w:szCs w:val="24"/>
        </w:rPr>
        <w:t xml:space="preserve"> </w:t>
      </w:r>
      <w:r w:rsidR="00417A80">
        <w:rPr>
          <w:rFonts w:ascii="Times New Roman" w:hAnsi="Times New Roman" w:cs="Times New Roman"/>
          <w:sz w:val="24"/>
          <w:szCs w:val="24"/>
        </w:rPr>
        <w:t>the impact of labor market and housing finance</w:t>
      </w:r>
      <w:r>
        <w:rPr>
          <w:rFonts w:ascii="Times New Roman" w:hAnsi="Times New Roman" w:cs="Times New Roman"/>
          <w:sz w:val="24"/>
          <w:szCs w:val="24"/>
        </w:rPr>
        <w:t xml:space="preserve"> </w:t>
      </w:r>
      <w:r w:rsidR="00417A80">
        <w:rPr>
          <w:rFonts w:ascii="Times New Roman" w:hAnsi="Times New Roman" w:cs="Times New Roman"/>
          <w:sz w:val="24"/>
          <w:szCs w:val="24"/>
        </w:rPr>
        <w:t>institutions on household debt accumulation</w:t>
      </w:r>
      <w:r w:rsidR="00F15B12">
        <w:rPr>
          <w:rFonts w:ascii="Times New Roman" w:hAnsi="Times New Roman" w:cs="Times New Roman"/>
          <w:sz w:val="24"/>
          <w:szCs w:val="24"/>
        </w:rPr>
        <w:t xml:space="preserve">. Our </w:t>
      </w:r>
      <w:r w:rsidR="005B68FF">
        <w:rPr>
          <w:rFonts w:ascii="Times New Roman" w:hAnsi="Times New Roman" w:cs="Times New Roman"/>
          <w:sz w:val="24"/>
          <w:szCs w:val="24"/>
        </w:rPr>
        <w:t xml:space="preserve">main argument is </w:t>
      </w:r>
      <w:r w:rsidR="00F15B12">
        <w:rPr>
          <w:rFonts w:ascii="Times New Roman" w:hAnsi="Times New Roman" w:cs="Times New Roman"/>
          <w:sz w:val="24"/>
          <w:szCs w:val="24"/>
        </w:rPr>
        <w:t xml:space="preserve">that </w:t>
      </w:r>
      <w:r w:rsidR="009F4876">
        <w:rPr>
          <w:rFonts w:ascii="Times New Roman" w:hAnsi="Times New Roman" w:cs="Times New Roman"/>
          <w:sz w:val="24"/>
          <w:szCs w:val="24"/>
        </w:rPr>
        <w:t>these two</w:t>
      </w:r>
      <w:r w:rsidR="005B68FF">
        <w:rPr>
          <w:rFonts w:ascii="Times New Roman" w:hAnsi="Times New Roman" w:cs="Times New Roman"/>
          <w:sz w:val="24"/>
          <w:szCs w:val="24"/>
        </w:rPr>
        <w:t xml:space="preserve"> sets of</w:t>
      </w:r>
      <w:r w:rsidR="009F4876">
        <w:rPr>
          <w:rFonts w:ascii="Times New Roman" w:hAnsi="Times New Roman" w:cs="Times New Roman"/>
          <w:sz w:val="24"/>
          <w:szCs w:val="24"/>
        </w:rPr>
        <w:t xml:space="preserve"> </w:t>
      </w:r>
      <w:r w:rsidR="005B68FF">
        <w:rPr>
          <w:rFonts w:ascii="Times New Roman" w:hAnsi="Times New Roman" w:cs="Times New Roman"/>
          <w:sz w:val="24"/>
          <w:szCs w:val="24"/>
        </w:rPr>
        <w:lastRenderedPageBreak/>
        <w:t xml:space="preserve">institutions </w:t>
      </w:r>
      <w:r w:rsidR="009F4876">
        <w:rPr>
          <w:rFonts w:ascii="Times New Roman" w:hAnsi="Times New Roman" w:cs="Times New Roman"/>
          <w:sz w:val="24"/>
          <w:szCs w:val="24"/>
        </w:rPr>
        <w:t xml:space="preserve">have a </w:t>
      </w:r>
      <w:r w:rsidR="009F4876">
        <w:rPr>
          <w:rFonts w:ascii="Times New Roman" w:hAnsi="Times New Roman" w:cs="Times New Roman"/>
          <w:i/>
          <w:sz w:val="24"/>
          <w:szCs w:val="24"/>
        </w:rPr>
        <w:t>co-dependent</w:t>
      </w:r>
      <w:r w:rsidR="009F4876">
        <w:rPr>
          <w:rFonts w:ascii="Times New Roman" w:hAnsi="Times New Roman" w:cs="Times New Roman"/>
          <w:sz w:val="24"/>
          <w:szCs w:val="24"/>
        </w:rPr>
        <w:t xml:space="preserve"> impact </w:t>
      </w:r>
      <w:r w:rsidR="003D0E4A">
        <w:rPr>
          <w:rFonts w:ascii="Times New Roman" w:hAnsi="Times New Roman" w:cs="Times New Roman"/>
          <w:sz w:val="24"/>
          <w:szCs w:val="24"/>
        </w:rPr>
        <w:t xml:space="preserve">on household </w:t>
      </w:r>
      <w:r w:rsidR="00B17860">
        <w:rPr>
          <w:rFonts w:ascii="Times New Roman" w:hAnsi="Times New Roman" w:cs="Times New Roman"/>
          <w:sz w:val="24"/>
          <w:szCs w:val="24"/>
        </w:rPr>
        <w:t>in</w:t>
      </w:r>
      <w:r w:rsidR="003D0E4A">
        <w:rPr>
          <w:rFonts w:ascii="Times New Roman" w:hAnsi="Times New Roman" w:cs="Times New Roman"/>
          <w:sz w:val="24"/>
          <w:szCs w:val="24"/>
        </w:rPr>
        <w:t>debt</w:t>
      </w:r>
      <w:r w:rsidR="00B17860">
        <w:rPr>
          <w:rFonts w:ascii="Times New Roman" w:hAnsi="Times New Roman" w:cs="Times New Roman"/>
          <w:sz w:val="24"/>
          <w:szCs w:val="24"/>
        </w:rPr>
        <w:t>edness</w:t>
      </w:r>
      <w:r w:rsidR="00417A80">
        <w:rPr>
          <w:rFonts w:ascii="Times New Roman" w:hAnsi="Times New Roman" w:cs="Times New Roman"/>
          <w:sz w:val="24"/>
          <w:szCs w:val="24"/>
        </w:rPr>
        <w:t xml:space="preserve">.  Strong </w:t>
      </w:r>
      <w:r w:rsidR="00C433F7">
        <w:rPr>
          <w:rFonts w:ascii="Times New Roman" w:hAnsi="Times New Roman" w:cs="Times New Roman"/>
          <w:sz w:val="24"/>
          <w:szCs w:val="24"/>
        </w:rPr>
        <w:t>trade unions and</w:t>
      </w:r>
      <w:r w:rsidR="00417A80">
        <w:rPr>
          <w:rFonts w:ascii="Times New Roman" w:hAnsi="Times New Roman" w:cs="Times New Roman"/>
          <w:sz w:val="24"/>
          <w:szCs w:val="24"/>
        </w:rPr>
        <w:t xml:space="preserve"> collective bargaining institutions (and robust welfare states) </w:t>
      </w:r>
      <w:r w:rsidR="009F4876">
        <w:rPr>
          <w:rFonts w:ascii="Times New Roman" w:hAnsi="Times New Roman" w:cs="Times New Roman"/>
          <w:sz w:val="24"/>
          <w:szCs w:val="24"/>
        </w:rPr>
        <w:t>enable</w:t>
      </w:r>
      <w:r w:rsidR="00417A80">
        <w:rPr>
          <w:rFonts w:ascii="Times New Roman" w:hAnsi="Times New Roman" w:cs="Times New Roman"/>
          <w:sz w:val="24"/>
          <w:szCs w:val="24"/>
        </w:rPr>
        <w:t xml:space="preserve"> households to engage in debt accumulation due to the income and employm</w:t>
      </w:r>
      <w:r w:rsidR="004654A8">
        <w:rPr>
          <w:rFonts w:ascii="Times New Roman" w:hAnsi="Times New Roman" w:cs="Times New Roman"/>
          <w:sz w:val="24"/>
          <w:szCs w:val="24"/>
        </w:rPr>
        <w:t>ent security they provide</w:t>
      </w:r>
      <w:r w:rsidR="009F4876">
        <w:rPr>
          <w:rFonts w:ascii="Times New Roman" w:hAnsi="Times New Roman" w:cs="Times New Roman"/>
          <w:sz w:val="24"/>
          <w:szCs w:val="24"/>
        </w:rPr>
        <w:t>. That is,</w:t>
      </w:r>
      <w:r w:rsidR="003D0E4A">
        <w:rPr>
          <w:rFonts w:ascii="Times New Roman" w:hAnsi="Times New Roman" w:cs="Times New Roman"/>
          <w:sz w:val="24"/>
          <w:szCs w:val="24"/>
        </w:rPr>
        <w:t xml:space="preserve"> if households enjoy insurance mechanisms that will protect them from adverse economic risks, they (and the banks that lend to them) will be willing to assume greater amounts of debt.  </w:t>
      </w:r>
      <w:r w:rsidR="00DA12C4">
        <w:rPr>
          <w:rFonts w:ascii="Times New Roman" w:hAnsi="Times New Roman" w:cs="Times New Roman"/>
          <w:sz w:val="24"/>
          <w:szCs w:val="24"/>
        </w:rPr>
        <w:t>For this to happen</w:t>
      </w:r>
      <w:r w:rsidR="003D0E4A">
        <w:rPr>
          <w:rFonts w:ascii="Times New Roman" w:hAnsi="Times New Roman" w:cs="Times New Roman"/>
          <w:sz w:val="24"/>
          <w:szCs w:val="24"/>
        </w:rPr>
        <w:t xml:space="preserve">, </w:t>
      </w:r>
      <w:r w:rsidR="00DA12C4">
        <w:rPr>
          <w:rFonts w:ascii="Times New Roman" w:hAnsi="Times New Roman" w:cs="Times New Roman"/>
          <w:sz w:val="24"/>
          <w:szCs w:val="24"/>
        </w:rPr>
        <w:t xml:space="preserve">however, </w:t>
      </w:r>
      <w:r w:rsidR="003D0E4A">
        <w:rPr>
          <w:rFonts w:ascii="Times New Roman" w:hAnsi="Times New Roman" w:cs="Times New Roman"/>
          <w:sz w:val="24"/>
          <w:szCs w:val="24"/>
        </w:rPr>
        <w:t xml:space="preserve">credit </w:t>
      </w:r>
      <w:r w:rsidR="00DA12C4">
        <w:rPr>
          <w:rFonts w:ascii="Times New Roman" w:hAnsi="Times New Roman" w:cs="Times New Roman"/>
          <w:sz w:val="24"/>
          <w:szCs w:val="24"/>
        </w:rPr>
        <w:t>must also be</w:t>
      </w:r>
      <w:r w:rsidR="003D0E4A">
        <w:rPr>
          <w:rFonts w:ascii="Times New Roman" w:hAnsi="Times New Roman" w:cs="Times New Roman"/>
          <w:sz w:val="24"/>
          <w:szCs w:val="24"/>
        </w:rPr>
        <w:t xml:space="preserve"> </w:t>
      </w:r>
      <w:r w:rsidR="00660935">
        <w:rPr>
          <w:rFonts w:ascii="Times New Roman" w:hAnsi="Times New Roman" w:cs="Times New Roman"/>
          <w:sz w:val="24"/>
          <w:szCs w:val="24"/>
        </w:rPr>
        <w:t xml:space="preserve">widely </w:t>
      </w:r>
      <w:r w:rsidR="003D0E4A">
        <w:rPr>
          <w:rFonts w:ascii="Times New Roman" w:hAnsi="Times New Roman" w:cs="Times New Roman"/>
          <w:sz w:val="24"/>
          <w:szCs w:val="24"/>
        </w:rPr>
        <w:t>available</w:t>
      </w:r>
      <w:r w:rsidR="00660935">
        <w:rPr>
          <w:rFonts w:ascii="Times New Roman" w:hAnsi="Times New Roman" w:cs="Times New Roman"/>
          <w:sz w:val="24"/>
          <w:szCs w:val="24"/>
        </w:rPr>
        <w:t>.</w:t>
      </w:r>
      <w:r w:rsidR="00220B52">
        <w:rPr>
          <w:rFonts w:ascii="Times New Roman" w:hAnsi="Times New Roman" w:cs="Times New Roman"/>
          <w:sz w:val="24"/>
          <w:szCs w:val="24"/>
        </w:rPr>
        <w:t xml:space="preserve">  In other words, household indebtedness in Europe will be highest in countries that possess both </w:t>
      </w:r>
      <w:r w:rsidR="00A047A8">
        <w:rPr>
          <w:rFonts w:ascii="Times New Roman" w:hAnsi="Times New Roman" w:cs="Times New Roman"/>
          <w:sz w:val="24"/>
          <w:szCs w:val="24"/>
        </w:rPr>
        <w:t>strong collective bargaining</w:t>
      </w:r>
      <w:r w:rsidR="00220B52">
        <w:rPr>
          <w:rFonts w:ascii="Times New Roman" w:hAnsi="Times New Roman" w:cs="Times New Roman"/>
          <w:sz w:val="24"/>
          <w:szCs w:val="24"/>
        </w:rPr>
        <w:t xml:space="preserve"> </w:t>
      </w:r>
      <w:r w:rsidR="00220B52" w:rsidRPr="000300E1">
        <w:rPr>
          <w:rFonts w:ascii="Times New Roman" w:hAnsi="Times New Roman" w:cs="Times New Roman"/>
          <w:i/>
          <w:sz w:val="24"/>
          <w:szCs w:val="24"/>
        </w:rPr>
        <w:t>and</w:t>
      </w:r>
      <w:r w:rsidR="00220B52">
        <w:rPr>
          <w:rFonts w:ascii="Times New Roman" w:hAnsi="Times New Roman" w:cs="Times New Roman"/>
          <w:sz w:val="24"/>
          <w:szCs w:val="24"/>
        </w:rPr>
        <w:t xml:space="preserve"> permissive credit institutions. </w:t>
      </w:r>
      <w:r w:rsidR="001B1B41">
        <w:rPr>
          <w:rFonts w:ascii="Times New Roman" w:hAnsi="Times New Roman" w:cs="Times New Roman"/>
          <w:sz w:val="24"/>
          <w:szCs w:val="24"/>
        </w:rPr>
        <w:t>O</w:t>
      </w:r>
      <w:r w:rsidR="00826EC9">
        <w:rPr>
          <w:rFonts w:ascii="Times New Roman" w:hAnsi="Times New Roman" w:cs="Times New Roman"/>
          <w:sz w:val="24"/>
          <w:szCs w:val="24"/>
        </w:rPr>
        <w:t xml:space="preserve">ur empirical results </w:t>
      </w:r>
      <w:r w:rsidR="001D7DCE">
        <w:rPr>
          <w:rFonts w:ascii="Times New Roman" w:hAnsi="Times New Roman" w:cs="Times New Roman"/>
          <w:sz w:val="24"/>
          <w:szCs w:val="24"/>
        </w:rPr>
        <w:t xml:space="preserve">support this argument. They show </w:t>
      </w:r>
      <w:r w:rsidR="00826EC9">
        <w:rPr>
          <w:rFonts w:ascii="Times New Roman" w:hAnsi="Times New Roman" w:cs="Times New Roman"/>
          <w:sz w:val="24"/>
          <w:szCs w:val="24"/>
        </w:rPr>
        <w:t xml:space="preserve">that household indebtedness is highest </w:t>
      </w:r>
      <w:r w:rsidR="00660935">
        <w:rPr>
          <w:rFonts w:ascii="Times New Roman" w:hAnsi="Times New Roman" w:cs="Times New Roman"/>
          <w:sz w:val="24"/>
          <w:szCs w:val="24"/>
        </w:rPr>
        <w:t>not in financialized liberal market economies like the US or UK, but</w:t>
      </w:r>
      <w:r w:rsidR="00826EC9">
        <w:rPr>
          <w:rFonts w:ascii="Times New Roman" w:hAnsi="Times New Roman" w:cs="Times New Roman"/>
          <w:sz w:val="24"/>
          <w:szCs w:val="24"/>
        </w:rPr>
        <w:t xml:space="preserve"> </w:t>
      </w:r>
      <w:r w:rsidR="00DA12C4" w:rsidRPr="00220B52">
        <w:rPr>
          <w:rFonts w:ascii="Times New Roman" w:hAnsi="Times New Roman" w:cs="Times New Roman"/>
          <w:sz w:val="24"/>
          <w:szCs w:val="24"/>
        </w:rPr>
        <w:t>rather</w:t>
      </w:r>
      <w:r w:rsidR="00660935" w:rsidRPr="00220B52">
        <w:rPr>
          <w:rFonts w:ascii="Times New Roman" w:hAnsi="Times New Roman" w:cs="Times New Roman"/>
          <w:sz w:val="24"/>
          <w:szCs w:val="24"/>
        </w:rPr>
        <w:t xml:space="preserve"> in </w:t>
      </w:r>
      <w:r w:rsidR="008F53AC">
        <w:rPr>
          <w:rFonts w:ascii="Times New Roman" w:hAnsi="Times New Roman" w:cs="Times New Roman"/>
          <w:sz w:val="24"/>
          <w:szCs w:val="24"/>
        </w:rPr>
        <w:t xml:space="preserve">those </w:t>
      </w:r>
      <w:r w:rsidR="001B1B41">
        <w:rPr>
          <w:rFonts w:ascii="Times New Roman" w:hAnsi="Times New Roman" w:cs="Times New Roman"/>
          <w:sz w:val="24"/>
          <w:szCs w:val="24"/>
        </w:rPr>
        <w:t>economies</w:t>
      </w:r>
      <w:r w:rsidR="00660935">
        <w:rPr>
          <w:rFonts w:ascii="Times New Roman" w:hAnsi="Times New Roman" w:cs="Times New Roman"/>
          <w:sz w:val="24"/>
          <w:szCs w:val="24"/>
        </w:rPr>
        <w:t xml:space="preserve"> </w:t>
      </w:r>
      <w:r w:rsidR="00DA12C4">
        <w:rPr>
          <w:rFonts w:ascii="Times New Roman" w:hAnsi="Times New Roman" w:cs="Times New Roman"/>
          <w:sz w:val="24"/>
          <w:szCs w:val="24"/>
        </w:rPr>
        <w:t>where</w:t>
      </w:r>
      <w:r w:rsidR="004654A8" w:rsidRPr="004654A8">
        <w:rPr>
          <w:rFonts w:ascii="Times New Roman" w:hAnsi="Times New Roman" w:cs="Times New Roman"/>
          <w:sz w:val="24"/>
          <w:szCs w:val="24"/>
        </w:rPr>
        <w:t xml:space="preserve"> housing finance institutions</w:t>
      </w:r>
      <w:r w:rsidR="00B17860">
        <w:rPr>
          <w:rFonts w:ascii="Times New Roman" w:hAnsi="Times New Roman" w:cs="Times New Roman"/>
          <w:sz w:val="24"/>
          <w:szCs w:val="24"/>
        </w:rPr>
        <w:t xml:space="preserve"> </w:t>
      </w:r>
      <w:r w:rsidR="004654A8" w:rsidRPr="004654A8">
        <w:rPr>
          <w:rFonts w:ascii="Times New Roman" w:hAnsi="Times New Roman" w:cs="Times New Roman"/>
          <w:sz w:val="24"/>
          <w:szCs w:val="24"/>
        </w:rPr>
        <w:t>encourage mortgage formation</w:t>
      </w:r>
      <w:r w:rsidR="00660935">
        <w:rPr>
          <w:rFonts w:ascii="Times New Roman" w:hAnsi="Times New Roman" w:cs="Times New Roman"/>
          <w:sz w:val="24"/>
          <w:szCs w:val="24"/>
        </w:rPr>
        <w:t xml:space="preserve"> </w:t>
      </w:r>
      <w:r w:rsidR="00654B2C" w:rsidRPr="000300E1">
        <w:rPr>
          <w:rFonts w:ascii="Times New Roman" w:hAnsi="Times New Roman" w:cs="Times New Roman"/>
          <w:i/>
          <w:sz w:val="24"/>
          <w:szCs w:val="24"/>
        </w:rPr>
        <w:t xml:space="preserve">and </w:t>
      </w:r>
      <w:r w:rsidR="00654B2C">
        <w:rPr>
          <w:rFonts w:ascii="Times New Roman" w:hAnsi="Times New Roman" w:cs="Times New Roman"/>
          <w:sz w:val="24"/>
          <w:szCs w:val="24"/>
        </w:rPr>
        <w:t xml:space="preserve">where </w:t>
      </w:r>
      <w:r w:rsidR="009A7CFB">
        <w:rPr>
          <w:rFonts w:ascii="Times New Roman" w:hAnsi="Times New Roman" w:cs="Times New Roman"/>
          <w:sz w:val="24"/>
          <w:szCs w:val="24"/>
        </w:rPr>
        <w:t>collective bargaining</w:t>
      </w:r>
      <w:r w:rsidR="00654B2C">
        <w:rPr>
          <w:rFonts w:ascii="Times New Roman" w:hAnsi="Times New Roman" w:cs="Times New Roman"/>
          <w:sz w:val="24"/>
          <w:szCs w:val="24"/>
        </w:rPr>
        <w:t xml:space="preserve"> is strongest</w:t>
      </w:r>
      <w:r w:rsidR="00220B52">
        <w:rPr>
          <w:rFonts w:ascii="Times New Roman" w:hAnsi="Times New Roman" w:cs="Times New Roman"/>
          <w:sz w:val="24"/>
          <w:szCs w:val="24"/>
        </w:rPr>
        <w:t xml:space="preserve"> (the Scandinavian countries and the Netherlands)</w:t>
      </w:r>
      <w:r w:rsidR="00654B2C">
        <w:rPr>
          <w:rFonts w:ascii="Times New Roman" w:hAnsi="Times New Roman" w:cs="Times New Roman"/>
          <w:sz w:val="24"/>
          <w:szCs w:val="24"/>
        </w:rPr>
        <w:t xml:space="preserve">. We suggest that this relationship is not coincidental. Contrary to the argument </w:t>
      </w:r>
      <w:r w:rsidR="00F57342">
        <w:rPr>
          <w:rFonts w:ascii="Times New Roman" w:hAnsi="Times New Roman" w:cs="Times New Roman"/>
          <w:sz w:val="24"/>
          <w:szCs w:val="24"/>
        </w:rPr>
        <w:t>that</w:t>
      </w:r>
      <w:r w:rsidR="00654B2C">
        <w:rPr>
          <w:rFonts w:ascii="Times New Roman" w:hAnsi="Times New Roman" w:cs="Times New Roman"/>
          <w:sz w:val="24"/>
          <w:szCs w:val="24"/>
        </w:rPr>
        <w:t xml:space="preserve"> households take on more debt to compensate for </w:t>
      </w:r>
      <w:r w:rsidR="00F57342">
        <w:rPr>
          <w:rFonts w:ascii="Times New Roman" w:hAnsi="Times New Roman" w:cs="Times New Roman"/>
          <w:sz w:val="24"/>
          <w:szCs w:val="24"/>
        </w:rPr>
        <w:t>precarious income (USA)</w:t>
      </w:r>
      <w:r w:rsidR="00654B2C">
        <w:rPr>
          <w:rFonts w:ascii="Times New Roman" w:hAnsi="Times New Roman" w:cs="Times New Roman"/>
          <w:sz w:val="24"/>
          <w:szCs w:val="24"/>
        </w:rPr>
        <w:t>, we suggest that in Europe, strong</w:t>
      </w:r>
      <w:r w:rsidR="008549D9">
        <w:rPr>
          <w:rFonts w:ascii="Times New Roman" w:hAnsi="Times New Roman" w:cs="Times New Roman"/>
          <w:sz w:val="24"/>
          <w:szCs w:val="24"/>
        </w:rPr>
        <w:t>er income security encourages households to borrow more</w:t>
      </w:r>
      <w:r w:rsidR="00654B2C">
        <w:rPr>
          <w:rFonts w:ascii="Times New Roman" w:hAnsi="Times New Roman" w:cs="Times New Roman"/>
          <w:sz w:val="24"/>
          <w:szCs w:val="24"/>
        </w:rPr>
        <w:t>.</w:t>
      </w:r>
    </w:p>
    <w:p w14:paraId="60F0627A" w14:textId="77777777" w:rsidR="0095601D" w:rsidRDefault="0095601D" w:rsidP="0095601D">
      <w:pPr>
        <w:spacing w:before="100" w:beforeAutospacing="1" w:after="100" w:afterAutospacing="1" w:line="360" w:lineRule="auto"/>
        <w:contextualSpacing/>
        <w:jc w:val="both"/>
        <w:rPr>
          <w:rFonts w:ascii="Times New Roman" w:hAnsi="Times New Roman" w:cs="Times New Roman"/>
          <w:sz w:val="24"/>
          <w:szCs w:val="24"/>
          <w:highlight w:val="yellow"/>
        </w:rPr>
      </w:pPr>
    </w:p>
    <w:p w14:paraId="1A1E0670" w14:textId="3DB4DE3B" w:rsidR="00A86786" w:rsidRDefault="0041601E" w:rsidP="00C821BC">
      <w:pPr>
        <w:spacing w:before="100" w:beforeAutospacing="1" w:after="100" w:afterAutospacing="1" w:line="360" w:lineRule="auto"/>
        <w:contextualSpacing/>
        <w:jc w:val="both"/>
        <w:rPr>
          <w:rFonts w:ascii="Times New Roman" w:hAnsi="Times New Roman" w:cs="Times New Roman"/>
          <w:sz w:val="24"/>
          <w:szCs w:val="24"/>
        </w:rPr>
      </w:pPr>
      <w:r w:rsidRPr="0041601E">
        <w:rPr>
          <w:rFonts w:ascii="Times New Roman" w:hAnsi="Times New Roman" w:cs="Times New Roman"/>
          <w:sz w:val="24"/>
          <w:szCs w:val="24"/>
        </w:rPr>
        <w:t>Our findings</w:t>
      </w:r>
      <w:r>
        <w:rPr>
          <w:rFonts w:ascii="Times New Roman" w:hAnsi="Times New Roman" w:cs="Times New Roman"/>
          <w:sz w:val="24"/>
          <w:szCs w:val="24"/>
        </w:rPr>
        <w:t xml:space="preserve"> have </w:t>
      </w:r>
      <w:r w:rsidR="008F53AC">
        <w:rPr>
          <w:rFonts w:ascii="Times New Roman" w:hAnsi="Times New Roman" w:cs="Times New Roman"/>
          <w:sz w:val="24"/>
          <w:szCs w:val="24"/>
        </w:rPr>
        <w:t>several</w:t>
      </w:r>
      <w:r>
        <w:rPr>
          <w:rFonts w:ascii="Times New Roman" w:hAnsi="Times New Roman" w:cs="Times New Roman"/>
          <w:sz w:val="24"/>
          <w:szCs w:val="24"/>
        </w:rPr>
        <w:t xml:space="preserve"> i</w:t>
      </w:r>
      <w:r w:rsidR="0098627E">
        <w:rPr>
          <w:rFonts w:ascii="Times New Roman" w:hAnsi="Times New Roman" w:cs="Times New Roman"/>
          <w:sz w:val="24"/>
          <w:szCs w:val="24"/>
        </w:rPr>
        <w:t xml:space="preserve">mplications for </w:t>
      </w:r>
      <w:r w:rsidR="00233480">
        <w:rPr>
          <w:rFonts w:ascii="Times New Roman" w:hAnsi="Times New Roman" w:cs="Times New Roman"/>
          <w:sz w:val="24"/>
          <w:szCs w:val="24"/>
        </w:rPr>
        <w:t>political economy</w:t>
      </w:r>
      <w:r w:rsidR="00220B52">
        <w:rPr>
          <w:rFonts w:ascii="Times New Roman" w:hAnsi="Times New Roman" w:cs="Times New Roman"/>
          <w:sz w:val="24"/>
          <w:szCs w:val="24"/>
        </w:rPr>
        <w:t xml:space="preserve"> of finance</w:t>
      </w:r>
      <w:r w:rsidR="006A01A6">
        <w:rPr>
          <w:rFonts w:ascii="Times New Roman" w:hAnsi="Times New Roman" w:cs="Times New Roman"/>
          <w:sz w:val="24"/>
          <w:szCs w:val="24"/>
        </w:rPr>
        <w:t xml:space="preserve"> – in Europe, in particular</w:t>
      </w:r>
      <w:r w:rsidR="0098627E">
        <w:rPr>
          <w:rFonts w:ascii="Times New Roman" w:hAnsi="Times New Roman" w:cs="Times New Roman"/>
          <w:sz w:val="24"/>
          <w:szCs w:val="24"/>
        </w:rPr>
        <w:t>.  First, echoing several in the housing literature (</w:t>
      </w:r>
      <w:r w:rsidR="00B04110">
        <w:rPr>
          <w:rFonts w:ascii="Times New Roman" w:hAnsi="Times New Roman" w:cs="Times New Roman"/>
          <w:sz w:val="24"/>
          <w:szCs w:val="24"/>
        </w:rPr>
        <w:t xml:space="preserve">Schwartz and Seabrooke, 2008; </w:t>
      </w:r>
      <w:proofErr w:type="spellStart"/>
      <w:r w:rsidR="00B04110">
        <w:rPr>
          <w:rFonts w:ascii="Times New Roman" w:hAnsi="Times New Roman" w:cs="Times New Roman"/>
          <w:sz w:val="24"/>
          <w:szCs w:val="24"/>
        </w:rPr>
        <w:t>Christophers</w:t>
      </w:r>
      <w:proofErr w:type="spellEnd"/>
      <w:r w:rsidR="00B04110">
        <w:rPr>
          <w:rFonts w:ascii="Times New Roman" w:hAnsi="Times New Roman" w:cs="Times New Roman"/>
          <w:sz w:val="24"/>
          <w:szCs w:val="24"/>
        </w:rPr>
        <w:t>, 2013</w:t>
      </w:r>
      <w:r w:rsidR="00AF5C2B">
        <w:rPr>
          <w:rFonts w:ascii="Times New Roman" w:hAnsi="Times New Roman" w:cs="Times New Roman"/>
          <w:sz w:val="24"/>
          <w:szCs w:val="24"/>
        </w:rPr>
        <w:t xml:space="preserve">; Anderson and </w:t>
      </w:r>
      <w:proofErr w:type="spellStart"/>
      <w:r w:rsidR="00AF5C2B">
        <w:rPr>
          <w:rFonts w:ascii="Times New Roman" w:hAnsi="Times New Roman" w:cs="Times New Roman"/>
          <w:sz w:val="24"/>
          <w:szCs w:val="24"/>
        </w:rPr>
        <w:t>Kurzer</w:t>
      </w:r>
      <w:proofErr w:type="spellEnd"/>
      <w:r w:rsidR="00AF5C2B">
        <w:rPr>
          <w:rFonts w:ascii="Times New Roman" w:hAnsi="Times New Roman" w:cs="Times New Roman"/>
          <w:sz w:val="24"/>
          <w:szCs w:val="24"/>
        </w:rPr>
        <w:t>, 2016</w:t>
      </w:r>
      <w:r w:rsidR="0098627E">
        <w:rPr>
          <w:rFonts w:ascii="Times New Roman" w:hAnsi="Times New Roman" w:cs="Times New Roman"/>
          <w:sz w:val="24"/>
          <w:szCs w:val="24"/>
        </w:rPr>
        <w:t xml:space="preserve">), </w:t>
      </w:r>
      <w:r w:rsidR="00792781">
        <w:rPr>
          <w:rFonts w:ascii="Times New Roman" w:hAnsi="Times New Roman" w:cs="Times New Roman"/>
          <w:sz w:val="24"/>
          <w:szCs w:val="24"/>
        </w:rPr>
        <w:t xml:space="preserve">our results show that </w:t>
      </w:r>
      <w:r w:rsidR="006A01A6">
        <w:rPr>
          <w:rFonts w:ascii="Times New Roman" w:hAnsi="Times New Roman" w:cs="Times New Roman"/>
          <w:sz w:val="24"/>
          <w:szCs w:val="24"/>
        </w:rPr>
        <w:t>the conventionally “financialized” Anglo-American growth models are not those with</w:t>
      </w:r>
      <w:r w:rsidR="00792781">
        <w:rPr>
          <w:rFonts w:ascii="Times New Roman" w:hAnsi="Times New Roman" w:cs="Times New Roman"/>
          <w:sz w:val="24"/>
          <w:szCs w:val="24"/>
        </w:rPr>
        <w:t xml:space="preserve"> institutions that enable</w:t>
      </w:r>
      <w:r w:rsidR="006A01A6">
        <w:rPr>
          <w:rFonts w:ascii="Times New Roman" w:hAnsi="Times New Roman" w:cs="Times New Roman"/>
          <w:sz w:val="24"/>
          <w:szCs w:val="24"/>
        </w:rPr>
        <w:t xml:space="preserve"> the highest levels of household debt </w:t>
      </w:r>
      <w:r w:rsidR="00792781">
        <w:rPr>
          <w:rFonts w:ascii="Times New Roman" w:hAnsi="Times New Roman" w:cs="Times New Roman"/>
          <w:sz w:val="24"/>
          <w:szCs w:val="24"/>
        </w:rPr>
        <w:t xml:space="preserve">accumulation </w:t>
      </w:r>
      <w:r w:rsidR="006A01A6">
        <w:rPr>
          <w:rFonts w:ascii="Times New Roman" w:hAnsi="Times New Roman" w:cs="Times New Roman"/>
          <w:sz w:val="24"/>
          <w:szCs w:val="24"/>
        </w:rPr>
        <w:t xml:space="preserve">(the US and UK most notably – see Epstein, 2005, Thompson, 2013, and </w:t>
      </w:r>
      <w:proofErr w:type="spellStart"/>
      <w:r w:rsidR="006A01A6">
        <w:rPr>
          <w:rFonts w:ascii="Times New Roman" w:hAnsi="Times New Roman" w:cs="Times New Roman"/>
          <w:sz w:val="24"/>
          <w:szCs w:val="24"/>
        </w:rPr>
        <w:t>Baccaro</w:t>
      </w:r>
      <w:proofErr w:type="spellEnd"/>
      <w:r w:rsidR="006A01A6">
        <w:rPr>
          <w:rFonts w:ascii="Times New Roman" w:hAnsi="Times New Roman" w:cs="Times New Roman"/>
          <w:sz w:val="24"/>
          <w:szCs w:val="24"/>
        </w:rPr>
        <w:t xml:space="preserve"> and </w:t>
      </w:r>
      <w:proofErr w:type="spellStart"/>
      <w:r w:rsidR="006A01A6">
        <w:rPr>
          <w:rFonts w:ascii="Times New Roman" w:hAnsi="Times New Roman" w:cs="Times New Roman"/>
          <w:sz w:val="24"/>
          <w:szCs w:val="24"/>
        </w:rPr>
        <w:t>Pontusson</w:t>
      </w:r>
      <w:proofErr w:type="spellEnd"/>
      <w:r w:rsidR="006A01A6">
        <w:rPr>
          <w:rFonts w:ascii="Times New Roman" w:hAnsi="Times New Roman" w:cs="Times New Roman"/>
          <w:sz w:val="24"/>
          <w:szCs w:val="24"/>
        </w:rPr>
        <w:t xml:space="preserve">, 2016). </w:t>
      </w:r>
      <w:r w:rsidR="0098627E">
        <w:rPr>
          <w:rFonts w:ascii="Times New Roman" w:hAnsi="Times New Roman" w:cs="Times New Roman"/>
          <w:sz w:val="24"/>
          <w:szCs w:val="24"/>
        </w:rPr>
        <w:t xml:space="preserve">While households in the US and UK enjoy permissive mortgage </w:t>
      </w:r>
      <w:r w:rsidR="00214491">
        <w:rPr>
          <w:rFonts w:ascii="Times New Roman" w:hAnsi="Times New Roman" w:cs="Times New Roman"/>
          <w:sz w:val="24"/>
          <w:szCs w:val="24"/>
        </w:rPr>
        <w:t xml:space="preserve">market </w:t>
      </w:r>
      <w:r w:rsidR="0098627E">
        <w:rPr>
          <w:rFonts w:ascii="Times New Roman" w:hAnsi="Times New Roman" w:cs="Times New Roman"/>
          <w:sz w:val="24"/>
          <w:szCs w:val="24"/>
        </w:rPr>
        <w:t xml:space="preserve">institutions, they </w:t>
      </w:r>
      <w:r w:rsidR="00D51262">
        <w:rPr>
          <w:rFonts w:ascii="Times New Roman" w:hAnsi="Times New Roman" w:cs="Times New Roman"/>
          <w:sz w:val="24"/>
          <w:szCs w:val="24"/>
        </w:rPr>
        <w:t xml:space="preserve">possess more </w:t>
      </w:r>
      <w:r w:rsidR="0098627E">
        <w:rPr>
          <w:rFonts w:ascii="Times New Roman" w:hAnsi="Times New Roman" w:cs="Times New Roman"/>
          <w:sz w:val="24"/>
          <w:szCs w:val="24"/>
        </w:rPr>
        <w:t>precarious labor market (and welfare state) institutions, which limit income and employment security</w:t>
      </w:r>
      <w:r w:rsidR="00B17860">
        <w:rPr>
          <w:rFonts w:ascii="Times New Roman" w:hAnsi="Times New Roman" w:cs="Times New Roman"/>
          <w:sz w:val="24"/>
          <w:szCs w:val="24"/>
        </w:rPr>
        <w:t xml:space="preserve">, </w:t>
      </w:r>
      <w:r w:rsidR="00DD5BB3">
        <w:rPr>
          <w:rFonts w:ascii="Times New Roman" w:hAnsi="Times New Roman" w:cs="Times New Roman"/>
          <w:sz w:val="24"/>
          <w:szCs w:val="24"/>
        </w:rPr>
        <w:t>mak</w:t>
      </w:r>
      <w:r w:rsidR="00B17860">
        <w:rPr>
          <w:rFonts w:ascii="Times New Roman" w:hAnsi="Times New Roman" w:cs="Times New Roman"/>
          <w:sz w:val="24"/>
          <w:szCs w:val="24"/>
        </w:rPr>
        <w:t>ing</w:t>
      </w:r>
      <w:r w:rsidR="00DD5BB3">
        <w:rPr>
          <w:rFonts w:ascii="Times New Roman" w:hAnsi="Times New Roman" w:cs="Times New Roman"/>
          <w:sz w:val="24"/>
          <w:szCs w:val="24"/>
        </w:rPr>
        <w:t xml:space="preserve"> it difficult </w:t>
      </w:r>
      <w:r w:rsidR="00B17860">
        <w:rPr>
          <w:rFonts w:ascii="Times New Roman" w:hAnsi="Times New Roman" w:cs="Times New Roman"/>
          <w:sz w:val="24"/>
          <w:szCs w:val="24"/>
        </w:rPr>
        <w:t>for</w:t>
      </w:r>
      <w:r w:rsidR="00DD5BB3">
        <w:rPr>
          <w:rFonts w:ascii="Times New Roman" w:hAnsi="Times New Roman" w:cs="Times New Roman"/>
          <w:sz w:val="24"/>
          <w:szCs w:val="24"/>
        </w:rPr>
        <w:t xml:space="preserve"> </w:t>
      </w:r>
      <w:r w:rsidR="00D51262">
        <w:rPr>
          <w:rFonts w:ascii="Times New Roman" w:hAnsi="Times New Roman" w:cs="Times New Roman"/>
          <w:sz w:val="24"/>
          <w:szCs w:val="24"/>
        </w:rPr>
        <w:t>(</w:t>
      </w:r>
      <w:r w:rsidR="00DD5BB3">
        <w:rPr>
          <w:rFonts w:ascii="Times New Roman" w:hAnsi="Times New Roman" w:cs="Times New Roman"/>
          <w:sz w:val="24"/>
          <w:szCs w:val="24"/>
        </w:rPr>
        <w:t>low</w:t>
      </w:r>
      <w:r w:rsidR="00EF6593">
        <w:rPr>
          <w:rFonts w:ascii="Times New Roman" w:hAnsi="Times New Roman" w:cs="Times New Roman"/>
          <w:sz w:val="24"/>
          <w:szCs w:val="24"/>
        </w:rPr>
        <w:t>er</w:t>
      </w:r>
      <w:r w:rsidR="00DD5BB3">
        <w:rPr>
          <w:rFonts w:ascii="Times New Roman" w:hAnsi="Times New Roman" w:cs="Times New Roman"/>
          <w:sz w:val="24"/>
          <w:szCs w:val="24"/>
        </w:rPr>
        <w:t xml:space="preserve"> income</w:t>
      </w:r>
      <w:r w:rsidR="00D51262">
        <w:rPr>
          <w:rFonts w:ascii="Times New Roman" w:hAnsi="Times New Roman" w:cs="Times New Roman"/>
          <w:sz w:val="24"/>
          <w:szCs w:val="24"/>
        </w:rPr>
        <w:t>)</w:t>
      </w:r>
      <w:r w:rsidR="00DD5BB3">
        <w:rPr>
          <w:rFonts w:ascii="Times New Roman" w:hAnsi="Times New Roman" w:cs="Times New Roman"/>
          <w:sz w:val="24"/>
          <w:szCs w:val="24"/>
        </w:rPr>
        <w:t xml:space="preserve"> households</w:t>
      </w:r>
      <w:r w:rsidR="00B17860">
        <w:rPr>
          <w:rFonts w:ascii="Times New Roman" w:hAnsi="Times New Roman" w:cs="Times New Roman"/>
          <w:sz w:val="24"/>
          <w:szCs w:val="24"/>
        </w:rPr>
        <w:t xml:space="preserve"> to </w:t>
      </w:r>
      <w:r w:rsidR="00DD5BB3">
        <w:rPr>
          <w:rFonts w:ascii="Times New Roman" w:hAnsi="Times New Roman" w:cs="Times New Roman"/>
          <w:sz w:val="24"/>
          <w:szCs w:val="24"/>
        </w:rPr>
        <w:t>secure loans.</w:t>
      </w:r>
      <w:r w:rsidR="00AF5C2B">
        <w:rPr>
          <w:rStyle w:val="FootnoteReference"/>
          <w:rFonts w:ascii="Times New Roman" w:hAnsi="Times New Roman" w:cs="Times New Roman"/>
          <w:sz w:val="24"/>
          <w:szCs w:val="24"/>
        </w:rPr>
        <w:footnoteReference w:id="8"/>
      </w:r>
      <w:r w:rsidR="00DD5BB3">
        <w:rPr>
          <w:rFonts w:ascii="Times New Roman" w:hAnsi="Times New Roman" w:cs="Times New Roman"/>
          <w:sz w:val="24"/>
          <w:szCs w:val="24"/>
        </w:rPr>
        <w:t xml:space="preserve"> </w:t>
      </w:r>
      <w:r w:rsidR="00B17860">
        <w:rPr>
          <w:rFonts w:ascii="Times New Roman" w:hAnsi="Times New Roman" w:cs="Times New Roman"/>
          <w:sz w:val="24"/>
          <w:szCs w:val="24"/>
        </w:rPr>
        <w:t>In contrast</w:t>
      </w:r>
      <w:r w:rsidR="0098627E">
        <w:rPr>
          <w:rFonts w:ascii="Times New Roman" w:hAnsi="Times New Roman" w:cs="Times New Roman"/>
          <w:sz w:val="24"/>
          <w:szCs w:val="24"/>
        </w:rPr>
        <w:t xml:space="preserve">, the “egalitarian” Scandinavian countries (and the Netherlands) </w:t>
      </w:r>
      <w:r w:rsidR="00A64D40">
        <w:rPr>
          <w:rFonts w:ascii="Times New Roman" w:hAnsi="Times New Roman" w:cs="Times New Roman"/>
          <w:sz w:val="24"/>
          <w:szCs w:val="24"/>
        </w:rPr>
        <w:t xml:space="preserve">possess </w:t>
      </w:r>
      <w:r w:rsidR="0098627E">
        <w:rPr>
          <w:rFonts w:ascii="Times New Roman" w:hAnsi="Times New Roman" w:cs="Times New Roman"/>
          <w:sz w:val="24"/>
          <w:szCs w:val="24"/>
        </w:rPr>
        <w:t xml:space="preserve">both </w:t>
      </w:r>
      <w:r w:rsidR="00A64D40">
        <w:rPr>
          <w:rFonts w:ascii="Times New Roman" w:hAnsi="Times New Roman" w:cs="Times New Roman"/>
          <w:sz w:val="24"/>
          <w:szCs w:val="24"/>
        </w:rPr>
        <w:t>mortgage</w:t>
      </w:r>
      <w:r w:rsidR="00D51262">
        <w:rPr>
          <w:rFonts w:ascii="Times New Roman" w:hAnsi="Times New Roman" w:cs="Times New Roman"/>
          <w:sz w:val="24"/>
          <w:szCs w:val="24"/>
        </w:rPr>
        <w:t xml:space="preserve"> and labor market institutions</w:t>
      </w:r>
      <w:r w:rsidR="0098627E">
        <w:rPr>
          <w:rFonts w:ascii="Times New Roman" w:hAnsi="Times New Roman" w:cs="Times New Roman"/>
          <w:sz w:val="24"/>
          <w:szCs w:val="24"/>
        </w:rPr>
        <w:t xml:space="preserve"> that enable </w:t>
      </w:r>
      <w:r w:rsidR="00DD5BB3">
        <w:rPr>
          <w:rFonts w:ascii="Times New Roman" w:hAnsi="Times New Roman" w:cs="Times New Roman"/>
          <w:sz w:val="24"/>
          <w:szCs w:val="24"/>
        </w:rPr>
        <w:t xml:space="preserve">higher </w:t>
      </w:r>
      <w:r w:rsidR="0098627E">
        <w:rPr>
          <w:rFonts w:ascii="Times New Roman" w:hAnsi="Times New Roman" w:cs="Times New Roman"/>
          <w:sz w:val="24"/>
          <w:szCs w:val="24"/>
        </w:rPr>
        <w:t>household indebtedness</w:t>
      </w:r>
      <w:r w:rsidR="00F57342">
        <w:rPr>
          <w:rFonts w:ascii="Times New Roman" w:hAnsi="Times New Roman" w:cs="Times New Roman"/>
          <w:sz w:val="24"/>
          <w:szCs w:val="24"/>
        </w:rPr>
        <w:t>.</w:t>
      </w:r>
    </w:p>
    <w:p w14:paraId="7B038505" w14:textId="77777777" w:rsidR="00A86786" w:rsidRDefault="00A86786" w:rsidP="0095601D">
      <w:pPr>
        <w:spacing w:before="100" w:beforeAutospacing="1" w:after="100" w:afterAutospacing="1" w:line="360" w:lineRule="auto"/>
        <w:contextualSpacing/>
        <w:jc w:val="both"/>
        <w:rPr>
          <w:rFonts w:ascii="Times New Roman" w:hAnsi="Times New Roman" w:cs="Times New Roman"/>
          <w:sz w:val="24"/>
          <w:szCs w:val="24"/>
        </w:rPr>
      </w:pPr>
    </w:p>
    <w:p w14:paraId="6C5B6ACD" w14:textId="43DCAFFE" w:rsidR="0098627E" w:rsidRDefault="00EE592C" w:rsidP="0095601D">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Second, speaking to </w:t>
      </w:r>
      <w:r w:rsidR="00C433F7">
        <w:rPr>
          <w:rFonts w:ascii="Times New Roman" w:hAnsi="Times New Roman" w:cs="Times New Roman"/>
          <w:sz w:val="24"/>
          <w:szCs w:val="24"/>
        </w:rPr>
        <w:t>an emergent</w:t>
      </w:r>
      <w:r>
        <w:rPr>
          <w:rFonts w:ascii="Times New Roman" w:hAnsi="Times New Roman" w:cs="Times New Roman"/>
          <w:sz w:val="24"/>
          <w:szCs w:val="24"/>
        </w:rPr>
        <w:t xml:space="preserve"> comparative capitalism and growth model literature, our findings identify why “coordinated market economies” (CMEs) can pursue different growth </w:t>
      </w:r>
      <w:r>
        <w:rPr>
          <w:rFonts w:ascii="Times New Roman" w:hAnsi="Times New Roman" w:cs="Times New Roman"/>
          <w:sz w:val="24"/>
          <w:szCs w:val="24"/>
        </w:rPr>
        <w:lastRenderedPageBreak/>
        <w:t xml:space="preserve">strategies and different levels of </w:t>
      </w:r>
      <w:r w:rsidR="00A62BD8">
        <w:rPr>
          <w:rFonts w:ascii="Times New Roman" w:hAnsi="Times New Roman" w:cs="Times New Roman"/>
          <w:sz w:val="24"/>
          <w:szCs w:val="24"/>
        </w:rPr>
        <w:t>domestic consumption</w:t>
      </w:r>
      <w:r>
        <w:rPr>
          <w:rFonts w:ascii="Times New Roman" w:hAnsi="Times New Roman" w:cs="Times New Roman"/>
          <w:sz w:val="24"/>
          <w:szCs w:val="24"/>
        </w:rPr>
        <w:t xml:space="preserve">.  In contrast to export-led CMEs like Germany, the Scandinavian countries </w:t>
      </w:r>
      <w:r w:rsidR="00DD5BB3">
        <w:rPr>
          <w:rFonts w:ascii="Times New Roman" w:hAnsi="Times New Roman" w:cs="Times New Roman"/>
          <w:sz w:val="24"/>
          <w:szCs w:val="24"/>
        </w:rPr>
        <w:t>can</w:t>
      </w:r>
      <w:r>
        <w:rPr>
          <w:rFonts w:ascii="Times New Roman" w:hAnsi="Times New Roman" w:cs="Times New Roman"/>
          <w:sz w:val="24"/>
          <w:szCs w:val="24"/>
        </w:rPr>
        <w:t xml:space="preserve"> pursue “balanced growth models” because they </w:t>
      </w:r>
      <w:r w:rsidR="002315E9">
        <w:rPr>
          <w:rFonts w:ascii="Times New Roman" w:hAnsi="Times New Roman" w:cs="Times New Roman"/>
          <w:sz w:val="24"/>
          <w:szCs w:val="24"/>
        </w:rPr>
        <w:t>possess</w:t>
      </w:r>
      <w:r w:rsidR="008549D9">
        <w:rPr>
          <w:rFonts w:ascii="Times New Roman" w:hAnsi="Times New Roman" w:cs="Times New Roman"/>
          <w:sz w:val="24"/>
          <w:szCs w:val="24"/>
        </w:rPr>
        <w:t xml:space="preserve"> </w:t>
      </w:r>
      <w:r>
        <w:rPr>
          <w:rFonts w:ascii="Times New Roman" w:hAnsi="Times New Roman" w:cs="Times New Roman"/>
          <w:sz w:val="24"/>
          <w:szCs w:val="24"/>
        </w:rPr>
        <w:t xml:space="preserve">financial institutions that </w:t>
      </w:r>
      <w:r w:rsidR="00DD5BB3">
        <w:rPr>
          <w:rFonts w:ascii="Times New Roman" w:hAnsi="Times New Roman" w:cs="Times New Roman"/>
          <w:sz w:val="24"/>
          <w:szCs w:val="24"/>
        </w:rPr>
        <w:t>encourage</w:t>
      </w:r>
      <w:r>
        <w:rPr>
          <w:rFonts w:ascii="Times New Roman" w:hAnsi="Times New Roman" w:cs="Times New Roman"/>
          <w:sz w:val="24"/>
          <w:szCs w:val="24"/>
        </w:rPr>
        <w:t xml:space="preserve"> </w:t>
      </w:r>
      <w:r w:rsidR="00C564A8">
        <w:rPr>
          <w:rFonts w:ascii="Times New Roman" w:hAnsi="Times New Roman" w:cs="Times New Roman"/>
          <w:sz w:val="24"/>
          <w:szCs w:val="24"/>
        </w:rPr>
        <w:t xml:space="preserve">households </w:t>
      </w:r>
      <w:r>
        <w:rPr>
          <w:rFonts w:ascii="Times New Roman" w:hAnsi="Times New Roman" w:cs="Times New Roman"/>
          <w:sz w:val="24"/>
          <w:szCs w:val="24"/>
        </w:rPr>
        <w:t xml:space="preserve">to </w:t>
      </w:r>
      <w:r w:rsidR="0036446A">
        <w:rPr>
          <w:rFonts w:ascii="Times New Roman" w:hAnsi="Times New Roman" w:cs="Times New Roman"/>
          <w:sz w:val="24"/>
          <w:szCs w:val="24"/>
        </w:rPr>
        <w:t xml:space="preserve">accumulate </w:t>
      </w:r>
      <w:r w:rsidR="00220B52">
        <w:rPr>
          <w:rFonts w:ascii="Times New Roman" w:hAnsi="Times New Roman" w:cs="Times New Roman"/>
          <w:sz w:val="24"/>
          <w:szCs w:val="24"/>
        </w:rPr>
        <w:t>(</w:t>
      </w:r>
      <w:r w:rsidR="0036446A">
        <w:rPr>
          <w:rFonts w:ascii="Times New Roman" w:hAnsi="Times New Roman" w:cs="Times New Roman"/>
          <w:sz w:val="24"/>
          <w:szCs w:val="24"/>
        </w:rPr>
        <w:t>mortgage</w:t>
      </w:r>
      <w:r w:rsidR="00220B52">
        <w:rPr>
          <w:rFonts w:ascii="Times New Roman" w:hAnsi="Times New Roman" w:cs="Times New Roman"/>
          <w:sz w:val="24"/>
          <w:szCs w:val="24"/>
        </w:rPr>
        <w:t>)</w:t>
      </w:r>
      <w:r w:rsidR="0036446A">
        <w:rPr>
          <w:rFonts w:ascii="Times New Roman" w:hAnsi="Times New Roman" w:cs="Times New Roman"/>
          <w:sz w:val="24"/>
          <w:szCs w:val="24"/>
        </w:rPr>
        <w:t xml:space="preserve"> debt</w:t>
      </w:r>
      <w:r>
        <w:rPr>
          <w:rFonts w:ascii="Times New Roman" w:hAnsi="Times New Roman" w:cs="Times New Roman"/>
          <w:sz w:val="24"/>
          <w:szCs w:val="24"/>
        </w:rPr>
        <w:t>.</w:t>
      </w:r>
      <w:r w:rsidR="00A86786">
        <w:rPr>
          <w:rFonts w:ascii="Times New Roman" w:hAnsi="Times New Roman" w:cs="Times New Roman"/>
          <w:sz w:val="24"/>
          <w:szCs w:val="24"/>
        </w:rPr>
        <w:t xml:space="preserve"> T</w:t>
      </w:r>
      <w:r w:rsidR="002B0A2B">
        <w:rPr>
          <w:rFonts w:ascii="Times New Roman" w:hAnsi="Times New Roman" w:cs="Times New Roman"/>
          <w:sz w:val="24"/>
          <w:szCs w:val="24"/>
        </w:rPr>
        <w:t>h</w:t>
      </w:r>
      <w:r w:rsidR="002315E9">
        <w:rPr>
          <w:rFonts w:ascii="Times New Roman" w:hAnsi="Times New Roman" w:cs="Times New Roman"/>
          <w:sz w:val="24"/>
          <w:szCs w:val="24"/>
        </w:rPr>
        <w:t>is</w:t>
      </w:r>
      <w:r w:rsidR="00A86786">
        <w:rPr>
          <w:rFonts w:ascii="Times New Roman" w:hAnsi="Times New Roman" w:cs="Times New Roman"/>
          <w:sz w:val="24"/>
          <w:szCs w:val="24"/>
        </w:rPr>
        <w:t xml:space="preserve"> </w:t>
      </w:r>
      <w:r w:rsidR="002B0A2B">
        <w:rPr>
          <w:rFonts w:ascii="Times New Roman" w:hAnsi="Times New Roman" w:cs="Times New Roman"/>
          <w:sz w:val="24"/>
          <w:szCs w:val="24"/>
        </w:rPr>
        <w:t xml:space="preserve">politics of </w:t>
      </w:r>
      <w:r w:rsidR="00220B52">
        <w:rPr>
          <w:rFonts w:ascii="Times New Roman" w:hAnsi="Times New Roman" w:cs="Times New Roman"/>
          <w:i/>
          <w:sz w:val="24"/>
          <w:szCs w:val="24"/>
        </w:rPr>
        <w:t>household debt accumulation</w:t>
      </w:r>
      <w:r w:rsidR="00A86786">
        <w:rPr>
          <w:rFonts w:ascii="Times New Roman" w:hAnsi="Times New Roman" w:cs="Times New Roman"/>
          <w:sz w:val="24"/>
          <w:szCs w:val="24"/>
        </w:rPr>
        <w:t xml:space="preserve">, and how it impacts domestic </w:t>
      </w:r>
      <w:r w:rsidR="002315E9">
        <w:rPr>
          <w:rFonts w:ascii="Times New Roman" w:hAnsi="Times New Roman" w:cs="Times New Roman"/>
          <w:sz w:val="24"/>
          <w:szCs w:val="24"/>
        </w:rPr>
        <w:t>consumption</w:t>
      </w:r>
      <w:r w:rsidR="00A86786">
        <w:rPr>
          <w:rFonts w:ascii="Times New Roman" w:hAnsi="Times New Roman" w:cs="Times New Roman"/>
          <w:sz w:val="24"/>
          <w:szCs w:val="24"/>
        </w:rPr>
        <w:t xml:space="preserve">, has been largely overlooked in comparative </w:t>
      </w:r>
      <w:r w:rsidR="002315E9">
        <w:rPr>
          <w:rFonts w:ascii="Times New Roman" w:hAnsi="Times New Roman" w:cs="Times New Roman"/>
          <w:sz w:val="24"/>
          <w:szCs w:val="24"/>
        </w:rPr>
        <w:t>capitalism</w:t>
      </w:r>
      <w:r w:rsidR="00A86786">
        <w:rPr>
          <w:rFonts w:ascii="Times New Roman" w:hAnsi="Times New Roman" w:cs="Times New Roman"/>
          <w:sz w:val="24"/>
          <w:szCs w:val="24"/>
        </w:rPr>
        <w:t>.</w:t>
      </w:r>
      <w:r w:rsidR="000F73F9">
        <w:rPr>
          <w:rFonts w:ascii="Times New Roman" w:hAnsi="Times New Roman" w:cs="Times New Roman"/>
          <w:sz w:val="24"/>
          <w:szCs w:val="24"/>
        </w:rPr>
        <w:t xml:space="preserve"> Our argument is that a </w:t>
      </w:r>
      <w:r w:rsidR="0063614E">
        <w:rPr>
          <w:rFonts w:ascii="Times New Roman" w:hAnsi="Times New Roman" w:cs="Times New Roman"/>
          <w:sz w:val="24"/>
          <w:szCs w:val="24"/>
        </w:rPr>
        <w:t>“</w:t>
      </w:r>
      <w:r w:rsidR="000F73F9">
        <w:rPr>
          <w:rFonts w:ascii="Times New Roman" w:hAnsi="Times New Roman" w:cs="Times New Roman"/>
          <w:sz w:val="24"/>
          <w:szCs w:val="24"/>
        </w:rPr>
        <w:t>balanced growth path</w:t>
      </w:r>
      <w:r w:rsidR="0063614E">
        <w:rPr>
          <w:rFonts w:ascii="Times New Roman" w:hAnsi="Times New Roman" w:cs="Times New Roman"/>
          <w:sz w:val="24"/>
          <w:szCs w:val="24"/>
        </w:rPr>
        <w:t>”</w:t>
      </w:r>
      <w:r w:rsidR="002B0A2B">
        <w:rPr>
          <w:rFonts w:ascii="Times New Roman" w:hAnsi="Times New Roman" w:cs="Times New Roman"/>
          <w:sz w:val="24"/>
          <w:szCs w:val="24"/>
        </w:rPr>
        <w:t xml:space="preserve"> </w:t>
      </w:r>
      <w:r w:rsidR="002315E9">
        <w:rPr>
          <w:rFonts w:ascii="Times New Roman" w:hAnsi="Times New Roman" w:cs="Times New Roman"/>
          <w:sz w:val="24"/>
          <w:szCs w:val="24"/>
        </w:rPr>
        <w:t xml:space="preserve">is made possible in </w:t>
      </w:r>
      <w:r w:rsidR="00220B52">
        <w:rPr>
          <w:rFonts w:ascii="Times New Roman" w:hAnsi="Times New Roman" w:cs="Times New Roman"/>
          <w:sz w:val="24"/>
          <w:szCs w:val="24"/>
        </w:rPr>
        <w:t>Scandinavia</w:t>
      </w:r>
      <w:r w:rsidR="002315E9">
        <w:rPr>
          <w:rFonts w:ascii="Times New Roman" w:hAnsi="Times New Roman" w:cs="Times New Roman"/>
          <w:sz w:val="24"/>
          <w:szCs w:val="24"/>
        </w:rPr>
        <w:t xml:space="preserve"> because o</w:t>
      </w:r>
      <w:r w:rsidR="00792781">
        <w:rPr>
          <w:rFonts w:ascii="Times New Roman" w:hAnsi="Times New Roman" w:cs="Times New Roman"/>
          <w:sz w:val="24"/>
          <w:szCs w:val="24"/>
        </w:rPr>
        <w:t>f the intersection between labo</w:t>
      </w:r>
      <w:r w:rsidR="002315E9">
        <w:rPr>
          <w:rFonts w:ascii="Times New Roman" w:hAnsi="Times New Roman" w:cs="Times New Roman"/>
          <w:sz w:val="24"/>
          <w:szCs w:val="24"/>
        </w:rPr>
        <w:t>r and mortgage markets</w:t>
      </w:r>
      <w:r w:rsidR="00220B52">
        <w:rPr>
          <w:rFonts w:ascii="Times New Roman" w:hAnsi="Times New Roman" w:cs="Times New Roman"/>
          <w:sz w:val="24"/>
          <w:szCs w:val="24"/>
        </w:rPr>
        <w:t>/</w:t>
      </w:r>
      <w:r w:rsidR="001C4311">
        <w:rPr>
          <w:rFonts w:ascii="Times New Roman" w:hAnsi="Times New Roman" w:cs="Times New Roman"/>
          <w:sz w:val="24"/>
          <w:szCs w:val="24"/>
        </w:rPr>
        <w:t>homeownership.</w:t>
      </w:r>
    </w:p>
    <w:p w14:paraId="00FECC59" w14:textId="77777777" w:rsidR="0095601D" w:rsidRPr="00E96680" w:rsidRDefault="0095601D" w:rsidP="0095601D">
      <w:pPr>
        <w:spacing w:before="100" w:beforeAutospacing="1" w:after="100" w:afterAutospacing="1" w:line="360" w:lineRule="auto"/>
        <w:contextualSpacing/>
        <w:jc w:val="both"/>
        <w:rPr>
          <w:rFonts w:ascii="Times New Roman" w:hAnsi="Times New Roman" w:cs="Times New Roman"/>
          <w:sz w:val="24"/>
          <w:szCs w:val="24"/>
          <w:highlight w:val="yellow"/>
        </w:rPr>
      </w:pPr>
    </w:p>
    <w:p w14:paraId="775C7C55" w14:textId="463E3D2D" w:rsidR="00C32E28" w:rsidRPr="00BB2429" w:rsidRDefault="001962BC" w:rsidP="00BB2429">
      <w:pPr>
        <w:spacing w:before="100" w:beforeAutospacing="1" w:after="100" w:afterAutospacing="1" w:line="360" w:lineRule="auto"/>
        <w:contextualSpacing/>
        <w:jc w:val="both"/>
        <w:rPr>
          <w:rFonts w:ascii="Times New Roman" w:hAnsi="Times New Roman" w:cs="Times New Roman"/>
          <w:sz w:val="24"/>
          <w:szCs w:val="24"/>
        </w:rPr>
      </w:pPr>
      <w:r w:rsidRPr="00FC6CD6">
        <w:rPr>
          <w:rFonts w:ascii="Times New Roman" w:hAnsi="Times New Roman" w:cs="Times New Roman"/>
          <w:sz w:val="24"/>
          <w:szCs w:val="24"/>
        </w:rPr>
        <w:t>The remainder of the paper is structured as follows</w:t>
      </w:r>
      <w:r w:rsidR="00FC6CD6" w:rsidRPr="00FC6CD6">
        <w:rPr>
          <w:rFonts w:ascii="Times New Roman" w:hAnsi="Times New Roman" w:cs="Times New Roman"/>
          <w:sz w:val="24"/>
          <w:szCs w:val="24"/>
        </w:rPr>
        <w:t>:</w:t>
      </w:r>
      <w:r w:rsidR="00345E2C" w:rsidRPr="00FC6CD6">
        <w:rPr>
          <w:rFonts w:ascii="Times New Roman" w:hAnsi="Times New Roman" w:cs="Times New Roman"/>
          <w:sz w:val="24"/>
          <w:szCs w:val="24"/>
        </w:rPr>
        <w:t xml:space="preserve"> first,</w:t>
      </w:r>
      <w:r w:rsidR="00FC6CD6" w:rsidRPr="00FC6CD6">
        <w:rPr>
          <w:rFonts w:ascii="Times New Roman" w:hAnsi="Times New Roman" w:cs="Times New Roman"/>
          <w:sz w:val="24"/>
          <w:szCs w:val="24"/>
        </w:rPr>
        <w:t xml:space="preserve"> speaking to the scope of the special issue,</w:t>
      </w:r>
      <w:r w:rsidR="00345E2C" w:rsidRPr="00FC6CD6">
        <w:rPr>
          <w:rFonts w:ascii="Times New Roman" w:hAnsi="Times New Roman" w:cs="Times New Roman"/>
          <w:sz w:val="24"/>
          <w:szCs w:val="24"/>
        </w:rPr>
        <w:t xml:space="preserve"> we i</w:t>
      </w:r>
      <w:r w:rsidR="006A3AC2" w:rsidRPr="00FC6CD6">
        <w:rPr>
          <w:rFonts w:ascii="Times New Roman" w:hAnsi="Times New Roman" w:cs="Times New Roman"/>
          <w:sz w:val="24"/>
          <w:szCs w:val="24"/>
        </w:rPr>
        <w:t>dentify</w:t>
      </w:r>
      <w:r w:rsidR="00345E2C" w:rsidRPr="00FC6CD6">
        <w:rPr>
          <w:rFonts w:ascii="Times New Roman" w:hAnsi="Times New Roman" w:cs="Times New Roman"/>
          <w:sz w:val="24"/>
          <w:szCs w:val="24"/>
        </w:rPr>
        <w:t xml:space="preserve"> </w:t>
      </w:r>
      <w:r w:rsidR="00FC6CD6">
        <w:rPr>
          <w:rFonts w:ascii="Times New Roman" w:hAnsi="Times New Roman" w:cs="Times New Roman"/>
          <w:sz w:val="24"/>
          <w:szCs w:val="24"/>
        </w:rPr>
        <w:t>why household</w:t>
      </w:r>
      <w:r w:rsidR="00FC6CD6" w:rsidRPr="00FC6CD6">
        <w:rPr>
          <w:rFonts w:ascii="Times New Roman" w:hAnsi="Times New Roman" w:cs="Times New Roman"/>
          <w:sz w:val="24"/>
          <w:szCs w:val="24"/>
        </w:rPr>
        <w:t xml:space="preserve"> </w:t>
      </w:r>
      <w:r w:rsidR="00DD5BB3">
        <w:rPr>
          <w:rFonts w:ascii="Times New Roman" w:hAnsi="Times New Roman" w:cs="Times New Roman"/>
          <w:sz w:val="24"/>
          <w:szCs w:val="24"/>
        </w:rPr>
        <w:t>borrowing</w:t>
      </w:r>
      <w:r w:rsidR="00DD5BB3" w:rsidRPr="00FC6CD6">
        <w:rPr>
          <w:rFonts w:ascii="Times New Roman" w:hAnsi="Times New Roman" w:cs="Times New Roman"/>
          <w:sz w:val="24"/>
          <w:szCs w:val="24"/>
        </w:rPr>
        <w:t xml:space="preserve"> </w:t>
      </w:r>
      <w:r w:rsidR="00826EC9">
        <w:rPr>
          <w:rFonts w:ascii="Times New Roman" w:hAnsi="Times New Roman" w:cs="Times New Roman"/>
          <w:sz w:val="24"/>
          <w:szCs w:val="24"/>
        </w:rPr>
        <w:t>is</w:t>
      </w:r>
      <w:r w:rsidR="00FC6CD6" w:rsidRPr="00FC6CD6">
        <w:rPr>
          <w:rFonts w:ascii="Times New Roman" w:hAnsi="Times New Roman" w:cs="Times New Roman"/>
          <w:sz w:val="24"/>
          <w:szCs w:val="24"/>
        </w:rPr>
        <w:t xml:space="preserve"> important for European political economy</w:t>
      </w:r>
      <w:r w:rsidR="00FC6CD6">
        <w:rPr>
          <w:rFonts w:ascii="Times New Roman" w:hAnsi="Times New Roman" w:cs="Times New Roman"/>
          <w:sz w:val="24"/>
          <w:szCs w:val="24"/>
        </w:rPr>
        <w:t xml:space="preserve">, and how, in some European countries, </w:t>
      </w:r>
      <w:r w:rsidR="00B17860">
        <w:rPr>
          <w:rFonts w:ascii="Times New Roman" w:hAnsi="Times New Roman" w:cs="Times New Roman"/>
          <w:sz w:val="24"/>
          <w:szCs w:val="24"/>
        </w:rPr>
        <w:t xml:space="preserve">total </w:t>
      </w:r>
      <w:r w:rsidR="00FC6CD6">
        <w:rPr>
          <w:rFonts w:ascii="Times New Roman" w:hAnsi="Times New Roman" w:cs="Times New Roman"/>
          <w:sz w:val="24"/>
          <w:szCs w:val="24"/>
        </w:rPr>
        <w:t xml:space="preserve">household </w:t>
      </w:r>
      <w:r w:rsidR="00DD5BB3">
        <w:rPr>
          <w:rFonts w:ascii="Times New Roman" w:hAnsi="Times New Roman" w:cs="Times New Roman"/>
          <w:sz w:val="24"/>
          <w:szCs w:val="24"/>
        </w:rPr>
        <w:t>debt</w:t>
      </w:r>
      <w:r w:rsidR="00FC6CD6">
        <w:rPr>
          <w:rFonts w:ascii="Times New Roman" w:hAnsi="Times New Roman" w:cs="Times New Roman"/>
          <w:sz w:val="24"/>
          <w:szCs w:val="24"/>
        </w:rPr>
        <w:t xml:space="preserve"> even rival</w:t>
      </w:r>
      <w:r w:rsidR="00823E8F">
        <w:rPr>
          <w:rFonts w:ascii="Times New Roman" w:hAnsi="Times New Roman" w:cs="Times New Roman"/>
          <w:sz w:val="24"/>
          <w:szCs w:val="24"/>
        </w:rPr>
        <w:t>s</w:t>
      </w:r>
      <w:r w:rsidR="00FC6CD6">
        <w:rPr>
          <w:rFonts w:ascii="Times New Roman" w:hAnsi="Times New Roman" w:cs="Times New Roman"/>
          <w:sz w:val="24"/>
          <w:szCs w:val="24"/>
        </w:rPr>
        <w:t xml:space="preserve"> that of government</w:t>
      </w:r>
      <w:r w:rsidR="001C4311">
        <w:rPr>
          <w:rFonts w:ascii="Times New Roman" w:hAnsi="Times New Roman" w:cs="Times New Roman"/>
          <w:sz w:val="24"/>
          <w:szCs w:val="24"/>
        </w:rPr>
        <w:t xml:space="preserve"> debt</w:t>
      </w:r>
      <w:r w:rsidR="00345E2C" w:rsidRPr="00FC6CD6">
        <w:rPr>
          <w:rFonts w:ascii="Times New Roman" w:hAnsi="Times New Roman" w:cs="Times New Roman"/>
          <w:sz w:val="24"/>
          <w:szCs w:val="24"/>
        </w:rPr>
        <w:t>. Second, we outline a theoretical fra</w:t>
      </w:r>
      <w:r w:rsidR="00FC6CD6" w:rsidRPr="00FC6CD6">
        <w:rPr>
          <w:rFonts w:ascii="Times New Roman" w:hAnsi="Times New Roman" w:cs="Times New Roman"/>
          <w:sz w:val="24"/>
          <w:szCs w:val="24"/>
        </w:rPr>
        <w:t>mework that integrates the labo</w:t>
      </w:r>
      <w:r w:rsidR="00345E2C" w:rsidRPr="00FC6CD6">
        <w:rPr>
          <w:rFonts w:ascii="Times New Roman" w:hAnsi="Times New Roman" w:cs="Times New Roman"/>
          <w:sz w:val="24"/>
          <w:szCs w:val="24"/>
        </w:rPr>
        <w:t>r market (</w:t>
      </w:r>
      <w:r w:rsidR="007B62B6" w:rsidRPr="00FC6CD6">
        <w:rPr>
          <w:rFonts w:ascii="Times New Roman" w:hAnsi="Times New Roman" w:cs="Times New Roman"/>
          <w:sz w:val="24"/>
          <w:szCs w:val="24"/>
        </w:rPr>
        <w:t xml:space="preserve">which </w:t>
      </w:r>
      <w:r w:rsidR="00FC6CD6" w:rsidRPr="00FC6CD6">
        <w:rPr>
          <w:rFonts w:ascii="Times New Roman" w:hAnsi="Times New Roman" w:cs="Times New Roman"/>
          <w:sz w:val="24"/>
          <w:szCs w:val="24"/>
        </w:rPr>
        <w:t>governs income and employment security</w:t>
      </w:r>
      <w:r w:rsidR="00345E2C" w:rsidRPr="00FC6CD6">
        <w:rPr>
          <w:rFonts w:ascii="Times New Roman" w:hAnsi="Times New Roman" w:cs="Times New Roman"/>
          <w:sz w:val="24"/>
          <w:szCs w:val="24"/>
        </w:rPr>
        <w:t xml:space="preserve">) and </w:t>
      </w:r>
      <w:r w:rsidR="00C3716D" w:rsidRPr="00FC6CD6">
        <w:rPr>
          <w:rFonts w:ascii="Times New Roman" w:hAnsi="Times New Roman" w:cs="Times New Roman"/>
          <w:sz w:val="24"/>
          <w:szCs w:val="24"/>
        </w:rPr>
        <w:t xml:space="preserve">the </w:t>
      </w:r>
      <w:r w:rsidR="006A3AC2" w:rsidRPr="00FC6CD6">
        <w:rPr>
          <w:rFonts w:ascii="Times New Roman" w:hAnsi="Times New Roman" w:cs="Times New Roman"/>
          <w:sz w:val="24"/>
          <w:szCs w:val="24"/>
        </w:rPr>
        <w:t>housing finance</w:t>
      </w:r>
      <w:r w:rsidR="00345E2C" w:rsidRPr="00FC6CD6">
        <w:rPr>
          <w:rFonts w:ascii="Times New Roman" w:hAnsi="Times New Roman" w:cs="Times New Roman"/>
          <w:sz w:val="24"/>
          <w:szCs w:val="24"/>
        </w:rPr>
        <w:t xml:space="preserve"> market (</w:t>
      </w:r>
      <w:r w:rsidR="007B62B6" w:rsidRPr="00FC6CD6">
        <w:rPr>
          <w:rFonts w:ascii="Times New Roman" w:hAnsi="Times New Roman" w:cs="Times New Roman"/>
          <w:sz w:val="24"/>
          <w:szCs w:val="24"/>
        </w:rPr>
        <w:t>which governs</w:t>
      </w:r>
      <w:r w:rsidR="00C3716D" w:rsidRPr="00FC6CD6">
        <w:rPr>
          <w:rFonts w:ascii="Times New Roman" w:hAnsi="Times New Roman" w:cs="Times New Roman"/>
          <w:sz w:val="24"/>
          <w:szCs w:val="24"/>
        </w:rPr>
        <w:t xml:space="preserve"> households’</w:t>
      </w:r>
      <w:r w:rsidR="007B62B6" w:rsidRPr="00FC6CD6">
        <w:rPr>
          <w:rFonts w:ascii="Times New Roman" w:hAnsi="Times New Roman" w:cs="Times New Roman"/>
          <w:sz w:val="24"/>
          <w:szCs w:val="24"/>
        </w:rPr>
        <w:t xml:space="preserve"> </w:t>
      </w:r>
      <w:r w:rsidR="006A3AC2" w:rsidRPr="00FC6CD6">
        <w:rPr>
          <w:rFonts w:ascii="Times New Roman" w:hAnsi="Times New Roman" w:cs="Times New Roman"/>
          <w:sz w:val="24"/>
          <w:szCs w:val="24"/>
        </w:rPr>
        <w:t>credit</w:t>
      </w:r>
      <w:r w:rsidR="007B62B6" w:rsidRPr="00FC6CD6">
        <w:rPr>
          <w:rFonts w:ascii="Times New Roman" w:hAnsi="Times New Roman" w:cs="Times New Roman"/>
          <w:sz w:val="24"/>
          <w:szCs w:val="24"/>
        </w:rPr>
        <w:t xml:space="preserve"> access</w:t>
      </w:r>
      <w:r w:rsidR="00345E2C" w:rsidRPr="00FC6CD6">
        <w:rPr>
          <w:rFonts w:ascii="Times New Roman" w:hAnsi="Times New Roman" w:cs="Times New Roman"/>
          <w:sz w:val="24"/>
          <w:szCs w:val="24"/>
        </w:rPr>
        <w:t xml:space="preserve">), to explain </w:t>
      </w:r>
      <w:r w:rsidR="00585F8D" w:rsidRPr="00FC6CD6">
        <w:rPr>
          <w:rFonts w:ascii="Times New Roman" w:hAnsi="Times New Roman" w:cs="Times New Roman"/>
          <w:sz w:val="24"/>
          <w:szCs w:val="24"/>
        </w:rPr>
        <w:t xml:space="preserve">cross-national variation in </w:t>
      </w:r>
      <w:r w:rsidR="00FC6CD6" w:rsidRPr="00FC6CD6">
        <w:rPr>
          <w:rFonts w:ascii="Times New Roman" w:hAnsi="Times New Roman" w:cs="Times New Roman"/>
          <w:sz w:val="24"/>
          <w:szCs w:val="24"/>
        </w:rPr>
        <w:t>household debt</w:t>
      </w:r>
      <w:r w:rsidR="00345E2C" w:rsidRPr="00FC6CD6">
        <w:rPr>
          <w:rFonts w:ascii="Times New Roman" w:hAnsi="Times New Roman" w:cs="Times New Roman"/>
          <w:sz w:val="24"/>
          <w:szCs w:val="24"/>
        </w:rPr>
        <w:t xml:space="preserve">. Third, we present our empirical findings </w:t>
      </w:r>
      <w:r w:rsidR="007B62B6" w:rsidRPr="00FC6CD6">
        <w:rPr>
          <w:rFonts w:ascii="Times New Roman" w:hAnsi="Times New Roman" w:cs="Times New Roman"/>
          <w:sz w:val="24"/>
          <w:szCs w:val="24"/>
        </w:rPr>
        <w:t>that demonstrate the interaction effects</w:t>
      </w:r>
      <w:r w:rsidR="00345E2C" w:rsidRPr="00FC6CD6">
        <w:rPr>
          <w:rFonts w:ascii="Times New Roman" w:hAnsi="Times New Roman" w:cs="Times New Roman"/>
          <w:sz w:val="24"/>
          <w:szCs w:val="24"/>
        </w:rPr>
        <w:t xml:space="preserve"> of </w:t>
      </w:r>
      <w:r w:rsidR="00FC6CD6">
        <w:rPr>
          <w:rFonts w:ascii="Times New Roman" w:hAnsi="Times New Roman" w:cs="Times New Roman"/>
          <w:sz w:val="24"/>
          <w:szCs w:val="24"/>
        </w:rPr>
        <w:t>labor market</w:t>
      </w:r>
      <w:r w:rsidR="00345E2C" w:rsidRPr="00FC6CD6">
        <w:rPr>
          <w:rFonts w:ascii="Times New Roman" w:hAnsi="Times New Roman" w:cs="Times New Roman"/>
          <w:sz w:val="24"/>
          <w:szCs w:val="24"/>
        </w:rPr>
        <w:t xml:space="preserve"> and mortgage-market institutions on </w:t>
      </w:r>
      <w:r w:rsidR="00FC6CD6" w:rsidRPr="00FC6CD6">
        <w:rPr>
          <w:rFonts w:ascii="Times New Roman" w:hAnsi="Times New Roman" w:cs="Times New Roman"/>
          <w:sz w:val="24"/>
          <w:szCs w:val="24"/>
        </w:rPr>
        <w:t>household debt accumulation</w:t>
      </w:r>
      <w:r w:rsidR="00345E2C" w:rsidRPr="00FC6CD6">
        <w:rPr>
          <w:rFonts w:ascii="Times New Roman" w:hAnsi="Times New Roman" w:cs="Times New Roman"/>
          <w:sz w:val="24"/>
          <w:szCs w:val="24"/>
        </w:rPr>
        <w:t>. We conclude with a discussion</w:t>
      </w:r>
      <w:r w:rsidR="00F169AA" w:rsidRPr="00FC6CD6">
        <w:rPr>
          <w:rFonts w:ascii="Times New Roman" w:hAnsi="Times New Roman" w:cs="Times New Roman"/>
          <w:sz w:val="24"/>
          <w:szCs w:val="24"/>
        </w:rPr>
        <w:t xml:space="preserve"> on </w:t>
      </w:r>
      <w:r w:rsidR="00345E2C" w:rsidRPr="00FC6CD6">
        <w:rPr>
          <w:rFonts w:ascii="Times New Roman" w:hAnsi="Times New Roman" w:cs="Times New Roman"/>
          <w:sz w:val="24"/>
          <w:szCs w:val="24"/>
        </w:rPr>
        <w:t xml:space="preserve">the implication </w:t>
      </w:r>
      <w:r w:rsidR="00F169AA" w:rsidRPr="00FC6CD6">
        <w:rPr>
          <w:rFonts w:ascii="Times New Roman" w:hAnsi="Times New Roman" w:cs="Times New Roman"/>
          <w:sz w:val="24"/>
          <w:szCs w:val="24"/>
        </w:rPr>
        <w:t>of our findings</w:t>
      </w:r>
      <w:r w:rsidR="00DD5BB3">
        <w:rPr>
          <w:rFonts w:ascii="Times New Roman" w:hAnsi="Times New Roman" w:cs="Times New Roman"/>
          <w:sz w:val="24"/>
          <w:szCs w:val="24"/>
        </w:rPr>
        <w:t xml:space="preserve"> for the study of political economy</w:t>
      </w:r>
      <w:r w:rsidR="00B87081">
        <w:rPr>
          <w:rFonts w:ascii="Times New Roman" w:hAnsi="Times New Roman" w:cs="Times New Roman"/>
          <w:sz w:val="24"/>
          <w:szCs w:val="24"/>
        </w:rPr>
        <w:t xml:space="preserve"> in Europe</w:t>
      </w:r>
      <w:r w:rsidR="00DD5BB3">
        <w:rPr>
          <w:rFonts w:ascii="Times New Roman" w:hAnsi="Times New Roman" w:cs="Times New Roman"/>
          <w:sz w:val="24"/>
          <w:szCs w:val="24"/>
        </w:rPr>
        <w:t>.</w:t>
      </w:r>
    </w:p>
    <w:p w14:paraId="3B4A43C2" w14:textId="4C84E735" w:rsidR="006C328B" w:rsidRPr="00FC6CD6" w:rsidRDefault="00FC6CD6" w:rsidP="00FC6CD6">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sidRPr="00FC6CD6">
        <w:rPr>
          <w:rFonts w:ascii="Times New Roman" w:hAnsi="Times New Roman" w:cs="Times New Roman"/>
          <w:b/>
          <w:sz w:val="24"/>
          <w:szCs w:val="24"/>
        </w:rPr>
        <w:t>Putting households at the c</w:t>
      </w:r>
      <w:r w:rsidR="00B81449" w:rsidRPr="00FC6CD6">
        <w:rPr>
          <w:rFonts w:ascii="Times New Roman" w:hAnsi="Times New Roman" w:cs="Times New Roman"/>
          <w:b/>
          <w:sz w:val="24"/>
          <w:szCs w:val="24"/>
        </w:rPr>
        <w:t>enter</w:t>
      </w:r>
      <w:r w:rsidR="00F6193A" w:rsidRPr="00FC6CD6">
        <w:rPr>
          <w:rFonts w:ascii="Times New Roman" w:hAnsi="Times New Roman" w:cs="Times New Roman"/>
          <w:b/>
          <w:sz w:val="24"/>
          <w:szCs w:val="24"/>
        </w:rPr>
        <w:t xml:space="preserve"> of</w:t>
      </w:r>
      <w:r w:rsidRPr="00FC6CD6">
        <w:rPr>
          <w:rFonts w:ascii="Times New Roman" w:hAnsi="Times New Roman" w:cs="Times New Roman"/>
          <w:b/>
          <w:sz w:val="24"/>
          <w:szCs w:val="24"/>
        </w:rPr>
        <w:t xml:space="preserve"> European</w:t>
      </w:r>
      <w:r w:rsidR="00F6193A" w:rsidRPr="00FC6CD6">
        <w:rPr>
          <w:rFonts w:ascii="Times New Roman" w:hAnsi="Times New Roman" w:cs="Times New Roman"/>
          <w:b/>
          <w:sz w:val="24"/>
          <w:szCs w:val="24"/>
        </w:rPr>
        <w:t xml:space="preserve"> </w:t>
      </w:r>
      <w:r w:rsidRPr="00FC6CD6">
        <w:rPr>
          <w:rFonts w:ascii="Times New Roman" w:hAnsi="Times New Roman" w:cs="Times New Roman"/>
          <w:b/>
          <w:sz w:val="24"/>
          <w:szCs w:val="24"/>
        </w:rPr>
        <w:t>political economy</w:t>
      </w:r>
    </w:p>
    <w:p w14:paraId="556B5E78" w14:textId="45970325" w:rsidR="006C328B" w:rsidRPr="00FC6CD6" w:rsidRDefault="00233D3C" w:rsidP="005E53E8">
      <w:pPr>
        <w:spacing w:after="0" w:line="360" w:lineRule="auto"/>
        <w:jc w:val="both"/>
        <w:rPr>
          <w:rFonts w:ascii="Times New Roman" w:hAnsi="Times New Roman" w:cs="Times New Roman"/>
          <w:sz w:val="24"/>
          <w:szCs w:val="24"/>
        </w:rPr>
      </w:pPr>
      <w:r w:rsidRPr="00FC6CD6">
        <w:rPr>
          <w:rFonts w:ascii="Times New Roman" w:hAnsi="Times New Roman" w:cs="Times New Roman"/>
          <w:sz w:val="24"/>
          <w:szCs w:val="24"/>
        </w:rPr>
        <w:t xml:space="preserve">The </w:t>
      </w:r>
      <w:r w:rsidR="00B74736" w:rsidRPr="00FC6CD6">
        <w:rPr>
          <w:rFonts w:ascii="Times New Roman" w:hAnsi="Times New Roman" w:cs="Times New Roman"/>
          <w:sz w:val="24"/>
          <w:szCs w:val="24"/>
        </w:rPr>
        <w:t xml:space="preserve">growing </w:t>
      </w:r>
      <w:r w:rsidR="00835FF2" w:rsidRPr="00FC6CD6">
        <w:rPr>
          <w:rFonts w:ascii="Times New Roman" w:hAnsi="Times New Roman" w:cs="Times New Roman"/>
          <w:sz w:val="24"/>
          <w:szCs w:val="24"/>
        </w:rPr>
        <w:t>centrality</w:t>
      </w:r>
      <w:r w:rsidRPr="00FC6CD6">
        <w:rPr>
          <w:rFonts w:ascii="Times New Roman" w:hAnsi="Times New Roman" w:cs="Times New Roman"/>
          <w:sz w:val="24"/>
          <w:szCs w:val="24"/>
        </w:rPr>
        <w:t xml:space="preserve"> of the household </w:t>
      </w:r>
      <w:r w:rsidR="00835FF2" w:rsidRPr="00FC6CD6">
        <w:rPr>
          <w:rFonts w:ascii="Times New Roman" w:hAnsi="Times New Roman" w:cs="Times New Roman"/>
          <w:sz w:val="24"/>
          <w:szCs w:val="24"/>
        </w:rPr>
        <w:t xml:space="preserve">in contemporary </w:t>
      </w:r>
      <w:r w:rsidR="00FC6CD6" w:rsidRPr="00FC6CD6">
        <w:rPr>
          <w:rFonts w:ascii="Times New Roman" w:hAnsi="Times New Roman" w:cs="Times New Roman"/>
          <w:sz w:val="24"/>
          <w:szCs w:val="24"/>
        </w:rPr>
        <w:t xml:space="preserve">(European) </w:t>
      </w:r>
      <w:r w:rsidR="00835FF2" w:rsidRPr="00FC6CD6">
        <w:rPr>
          <w:rFonts w:ascii="Times New Roman" w:hAnsi="Times New Roman" w:cs="Times New Roman"/>
          <w:sz w:val="24"/>
          <w:szCs w:val="24"/>
        </w:rPr>
        <w:t xml:space="preserve">finance </w:t>
      </w:r>
      <w:r w:rsidR="00B74736" w:rsidRPr="00FC6CD6">
        <w:rPr>
          <w:rFonts w:ascii="Times New Roman" w:hAnsi="Times New Roman" w:cs="Times New Roman"/>
          <w:sz w:val="24"/>
          <w:szCs w:val="24"/>
        </w:rPr>
        <w:t xml:space="preserve">matters because </w:t>
      </w:r>
      <w:r w:rsidR="00B74736" w:rsidRPr="00FC6CD6">
        <w:rPr>
          <w:rFonts w:ascii="Times New Roman" w:hAnsi="Times New Roman" w:cs="Times New Roman"/>
          <w:i/>
          <w:sz w:val="24"/>
          <w:szCs w:val="24"/>
        </w:rPr>
        <w:t xml:space="preserve">who borrows matters. </w:t>
      </w:r>
      <w:r w:rsidR="006A0E14" w:rsidRPr="00FC6CD6">
        <w:rPr>
          <w:rFonts w:ascii="Times New Roman" w:hAnsi="Times New Roman" w:cs="Times New Roman"/>
          <w:sz w:val="24"/>
          <w:szCs w:val="24"/>
        </w:rPr>
        <w:t>In a country like Greece, the government absorbed a large share of capital inflows in the years following the launch of E</w:t>
      </w:r>
      <w:r w:rsidR="00287FFC">
        <w:rPr>
          <w:rFonts w:ascii="Times New Roman" w:hAnsi="Times New Roman" w:cs="Times New Roman"/>
          <w:sz w:val="24"/>
          <w:szCs w:val="24"/>
        </w:rPr>
        <w:t xml:space="preserve">uropean </w:t>
      </w:r>
      <w:r w:rsidR="006A0E14" w:rsidRPr="00FC6CD6">
        <w:rPr>
          <w:rFonts w:ascii="Times New Roman" w:hAnsi="Times New Roman" w:cs="Times New Roman"/>
          <w:sz w:val="24"/>
          <w:szCs w:val="24"/>
        </w:rPr>
        <w:t>M</w:t>
      </w:r>
      <w:r w:rsidR="00287FFC">
        <w:rPr>
          <w:rFonts w:ascii="Times New Roman" w:hAnsi="Times New Roman" w:cs="Times New Roman"/>
          <w:sz w:val="24"/>
          <w:szCs w:val="24"/>
        </w:rPr>
        <w:t xml:space="preserve">onetary </w:t>
      </w:r>
      <w:r w:rsidR="006A0E14" w:rsidRPr="00FC6CD6">
        <w:rPr>
          <w:rFonts w:ascii="Times New Roman" w:hAnsi="Times New Roman" w:cs="Times New Roman"/>
          <w:sz w:val="24"/>
          <w:szCs w:val="24"/>
        </w:rPr>
        <w:t>U</w:t>
      </w:r>
      <w:r w:rsidR="00287FFC">
        <w:rPr>
          <w:rFonts w:ascii="Times New Roman" w:hAnsi="Times New Roman" w:cs="Times New Roman"/>
          <w:sz w:val="24"/>
          <w:szCs w:val="24"/>
        </w:rPr>
        <w:t>nion (EMU)</w:t>
      </w:r>
      <w:r w:rsidR="006A0E14" w:rsidRPr="00FC6CD6">
        <w:rPr>
          <w:rFonts w:ascii="Times New Roman" w:hAnsi="Times New Roman" w:cs="Times New Roman"/>
          <w:sz w:val="24"/>
          <w:szCs w:val="24"/>
        </w:rPr>
        <w:t>. In Ireland, the domestic banking sector filled this role. In Spain, it was the regional savings banks and local governments</w:t>
      </w:r>
      <w:r w:rsidR="005E53E8" w:rsidRPr="00FC6CD6">
        <w:rPr>
          <w:rFonts w:ascii="Times New Roman" w:hAnsi="Times New Roman" w:cs="Times New Roman"/>
          <w:sz w:val="24"/>
          <w:szCs w:val="24"/>
        </w:rPr>
        <w:t xml:space="preserve"> (Fuller and Jones 2015)</w:t>
      </w:r>
      <w:r w:rsidR="006A0E14" w:rsidRPr="00FC6CD6">
        <w:rPr>
          <w:rFonts w:ascii="Times New Roman" w:hAnsi="Times New Roman" w:cs="Times New Roman"/>
          <w:sz w:val="24"/>
          <w:szCs w:val="24"/>
        </w:rPr>
        <w:t xml:space="preserve">. The stability of a financial </w:t>
      </w:r>
      <w:r w:rsidR="003773ED" w:rsidRPr="00FC6CD6">
        <w:rPr>
          <w:rFonts w:ascii="Times New Roman" w:hAnsi="Times New Roman" w:cs="Times New Roman"/>
          <w:sz w:val="24"/>
          <w:szCs w:val="24"/>
        </w:rPr>
        <w:t>system</w:t>
      </w:r>
      <w:r w:rsidR="006A0E14" w:rsidRPr="00FC6CD6">
        <w:rPr>
          <w:rFonts w:ascii="Times New Roman" w:hAnsi="Times New Roman" w:cs="Times New Roman"/>
          <w:sz w:val="24"/>
          <w:szCs w:val="24"/>
        </w:rPr>
        <w:t xml:space="preserve"> relies on the capacity of indebted sectors to manage their repayments</w:t>
      </w:r>
      <w:r w:rsidR="005E53E8" w:rsidRPr="00FC6CD6">
        <w:rPr>
          <w:rFonts w:ascii="Times New Roman" w:hAnsi="Times New Roman" w:cs="Times New Roman"/>
          <w:sz w:val="24"/>
          <w:szCs w:val="24"/>
        </w:rPr>
        <w:t xml:space="preserve"> adequately;</w:t>
      </w:r>
      <w:r w:rsidR="003773ED" w:rsidRPr="00FC6CD6">
        <w:rPr>
          <w:rFonts w:ascii="Times New Roman" w:hAnsi="Times New Roman" w:cs="Times New Roman"/>
          <w:sz w:val="24"/>
          <w:szCs w:val="24"/>
        </w:rPr>
        <w:t xml:space="preserve"> </w:t>
      </w:r>
      <w:r w:rsidR="005E53E8" w:rsidRPr="00FC6CD6">
        <w:rPr>
          <w:rFonts w:ascii="Times New Roman" w:hAnsi="Times New Roman" w:cs="Times New Roman"/>
          <w:sz w:val="24"/>
          <w:szCs w:val="24"/>
        </w:rPr>
        <w:t>h</w:t>
      </w:r>
      <w:r w:rsidR="003773ED" w:rsidRPr="00FC6CD6">
        <w:rPr>
          <w:rFonts w:ascii="Times New Roman" w:hAnsi="Times New Roman" w:cs="Times New Roman"/>
          <w:sz w:val="24"/>
          <w:szCs w:val="24"/>
        </w:rPr>
        <w:t xml:space="preserve">owever, that capacity and the factors that modify it differ from sector to sector. For example, wage </w:t>
      </w:r>
      <w:r w:rsidR="00BE5A2A">
        <w:rPr>
          <w:rFonts w:ascii="Times New Roman" w:hAnsi="Times New Roman" w:cs="Times New Roman"/>
          <w:sz w:val="24"/>
          <w:szCs w:val="24"/>
        </w:rPr>
        <w:t>stagnation</w:t>
      </w:r>
      <w:r w:rsidR="00BE5A2A" w:rsidRPr="00FC6CD6">
        <w:rPr>
          <w:rFonts w:ascii="Times New Roman" w:hAnsi="Times New Roman" w:cs="Times New Roman"/>
          <w:sz w:val="24"/>
          <w:szCs w:val="24"/>
        </w:rPr>
        <w:t xml:space="preserve"> </w:t>
      </w:r>
      <w:r w:rsidR="003773ED" w:rsidRPr="00FC6CD6">
        <w:rPr>
          <w:rFonts w:ascii="Times New Roman" w:hAnsi="Times New Roman" w:cs="Times New Roman"/>
          <w:sz w:val="24"/>
          <w:szCs w:val="24"/>
        </w:rPr>
        <w:t xml:space="preserve">in a country with heavy household borrowing </w:t>
      </w:r>
      <w:r w:rsidR="004937F5">
        <w:rPr>
          <w:rFonts w:ascii="Times New Roman" w:hAnsi="Times New Roman" w:cs="Times New Roman"/>
          <w:sz w:val="24"/>
          <w:szCs w:val="24"/>
        </w:rPr>
        <w:t>will probably</w:t>
      </w:r>
      <w:r w:rsidR="004937F5" w:rsidRPr="00FC6CD6">
        <w:rPr>
          <w:rFonts w:ascii="Times New Roman" w:hAnsi="Times New Roman" w:cs="Times New Roman"/>
          <w:sz w:val="24"/>
          <w:szCs w:val="24"/>
        </w:rPr>
        <w:t xml:space="preserve"> </w:t>
      </w:r>
      <w:r w:rsidR="003773ED" w:rsidRPr="00FC6CD6">
        <w:rPr>
          <w:rFonts w:ascii="Times New Roman" w:hAnsi="Times New Roman" w:cs="Times New Roman"/>
          <w:sz w:val="24"/>
          <w:szCs w:val="24"/>
        </w:rPr>
        <w:t>lead to non-performing loan problems and</w:t>
      </w:r>
      <w:r w:rsidR="00287FFC">
        <w:rPr>
          <w:rFonts w:ascii="Times New Roman" w:hAnsi="Times New Roman" w:cs="Times New Roman"/>
          <w:sz w:val="24"/>
          <w:szCs w:val="24"/>
        </w:rPr>
        <w:t xml:space="preserve"> potential</w:t>
      </w:r>
      <w:r w:rsidR="003773ED" w:rsidRPr="00FC6CD6">
        <w:rPr>
          <w:rFonts w:ascii="Times New Roman" w:hAnsi="Times New Roman" w:cs="Times New Roman"/>
          <w:sz w:val="24"/>
          <w:szCs w:val="24"/>
        </w:rPr>
        <w:t xml:space="preserve"> </w:t>
      </w:r>
      <w:r w:rsidR="00287FFC">
        <w:rPr>
          <w:rFonts w:ascii="Times New Roman" w:hAnsi="Times New Roman" w:cs="Times New Roman"/>
          <w:sz w:val="24"/>
          <w:szCs w:val="24"/>
        </w:rPr>
        <w:t>macroeconomic risks</w:t>
      </w:r>
      <w:r w:rsidR="002B0A2B">
        <w:rPr>
          <w:rFonts w:ascii="Times New Roman" w:hAnsi="Times New Roman" w:cs="Times New Roman"/>
          <w:sz w:val="24"/>
          <w:szCs w:val="24"/>
        </w:rPr>
        <w:t xml:space="preserve"> (USA)</w:t>
      </w:r>
      <w:r w:rsidR="003773ED" w:rsidRPr="00FC6CD6">
        <w:rPr>
          <w:rFonts w:ascii="Times New Roman" w:hAnsi="Times New Roman" w:cs="Times New Roman"/>
          <w:sz w:val="24"/>
          <w:szCs w:val="24"/>
        </w:rPr>
        <w:t xml:space="preserve">. The same wage </w:t>
      </w:r>
      <w:r w:rsidR="00BE5A2A">
        <w:rPr>
          <w:rFonts w:ascii="Times New Roman" w:hAnsi="Times New Roman" w:cs="Times New Roman"/>
          <w:sz w:val="24"/>
          <w:szCs w:val="24"/>
        </w:rPr>
        <w:t>stagnation</w:t>
      </w:r>
      <w:r w:rsidR="003773ED" w:rsidRPr="00FC6CD6">
        <w:rPr>
          <w:rFonts w:ascii="Times New Roman" w:hAnsi="Times New Roman" w:cs="Times New Roman"/>
          <w:sz w:val="24"/>
          <w:szCs w:val="24"/>
        </w:rPr>
        <w:t xml:space="preserve"> in a more traditional </w:t>
      </w:r>
      <w:r w:rsidR="00BE5A2A">
        <w:rPr>
          <w:rFonts w:ascii="Times New Roman" w:hAnsi="Times New Roman" w:cs="Times New Roman"/>
          <w:sz w:val="24"/>
          <w:szCs w:val="24"/>
        </w:rPr>
        <w:t xml:space="preserve">banking </w:t>
      </w:r>
      <w:r w:rsidR="003773ED" w:rsidRPr="00FC6CD6">
        <w:rPr>
          <w:rFonts w:ascii="Times New Roman" w:hAnsi="Times New Roman" w:cs="Times New Roman"/>
          <w:sz w:val="24"/>
          <w:szCs w:val="24"/>
        </w:rPr>
        <w:t xml:space="preserve">system, where non-financial corporations borrow extensively and households do not, would pose less </w:t>
      </w:r>
      <w:r w:rsidR="007834F3" w:rsidRPr="00FC6CD6">
        <w:rPr>
          <w:rFonts w:ascii="Times New Roman" w:hAnsi="Times New Roman" w:cs="Times New Roman"/>
          <w:sz w:val="24"/>
          <w:szCs w:val="24"/>
        </w:rPr>
        <w:t>macroeconomic risk</w:t>
      </w:r>
      <w:r w:rsidR="008C115B">
        <w:rPr>
          <w:rFonts w:ascii="Times New Roman" w:hAnsi="Times New Roman" w:cs="Times New Roman"/>
          <w:sz w:val="24"/>
          <w:szCs w:val="24"/>
        </w:rPr>
        <w:t xml:space="preserve"> (Germany)</w:t>
      </w:r>
      <w:r w:rsidR="003773ED" w:rsidRPr="00FC6CD6">
        <w:rPr>
          <w:rFonts w:ascii="Times New Roman" w:hAnsi="Times New Roman" w:cs="Times New Roman"/>
          <w:sz w:val="24"/>
          <w:szCs w:val="24"/>
        </w:rPr>
        <w:t>.</w:t>
      </w:r>
    </w:p>
    <w:p w14:paraId="790DEF15" w14:textId="77777777" w:rsidR="0095601D" w:rsidRPr="00E96680" w:rsidRDefault="0095601D" w:rsidP="0095601D">
      <w:pPr>
        <w:spacing w:after="0" w:line="360" w:lineRule="auto"/>
        <w:jc w:val="both"/>
        <w:rPr>
          <w:rFonts w:ascii="Times New Roman" w:hAnsi="Times New Roman" w:cs="Times New Roman"/>
          <w:sz w:val="24"/>
          <w:szCs w:val="24"/>
          <w:highlight w:val="yellow"/>
        </w:rPr>
      </w:pPr>
    </w:p>
    <w:p w14:paraId="7602679B" w14:textId="554DADE7" w:rsidR="00BB2429" w:rsidRPr="00BB2429" w:rsidRDefault="002644C6" w:rsidP="00BB2429">
      <w:pPr>
        <w:spacing w:after="0" w:line="360" w:lineRule="auto"/>
        <w:jc w:val="both"/>
        <w:rPr>
          <w:rFonts w:ascii="Times New Roman" w:hAnsi="Times New Roman" w:cs="Times New Roman"/>
          <w:sz w:val="24"/>
          <w:szCs w:val="24"/>
        </w:rPr>
      </w:pPr>
      <w:r w:rsidRPr="00FC6CD6">
        <w:rPr>
          <w:rFonts w:ascii="Times New Roman" w:hAnsi="Times New Roman" w:cs="Times New Roman"/>
          <w:sz w:val="24"/>
          <w:szCs w:val="24"/>
        </w:rPr>
        <w:lastRenderedPageBreak/>
        <w:t>H</w:t>
      </w:r>
      <w:r w:rsidR="003773ED" w:rsidRPr="00FC6CD6">
        <w:rPr>
          <w:rFonts w:ascii="Times New Roman" w:hAnsi="Times New Roman" w:cs="Times New Roman"/>
          <w:sz w:val="24"/>
          <w:szCs w:val="24"/>
        </w:rPr>
        <w:t>ousehold borrowing generally gr</w:t>
      </w:r>
      <w:r w:rsidR="001A18B7" w:rsidRPr="00FC6CD6">
        <w:rPr>
          <w:rFonts w:ascii="Times New Roman" w:hAnsi="Times New Roman" w:cs="Times New Roman"/>
          <w:sz w:val="24"/>
          <w:szCs w:val="24"/>
        </w:rPr>
        <w:t>e</w:t>
      </w:r>
      <w:r w:rsidR="003773ED" w:rsidRPr="00FC6CD6">
        <w:rPr>
          <w:rFonts w:ascii="Times New Roman" w:hAnsi="Times New Roman" w:cs="Times New Roman"/>
          <w:sz w:val="24"/>
          <w:szCs w:val="24"/>
        </w:rPr>
        <w:t xml:space="preserve">w faster </w:t>
      </w:r>
      <w:r w:rsidR="001A18B7" w:rsidRPr="00FC6CD6">
        <w:rPr>
          <w:rFonts w:ascii="Times New Roman" w:hAnsi="Times New Roman" w:cs="Times New Roman"/>
          <w:sz w:val="24"/>
          <w:szCs w:val="24"/>
        </w:rPr>
        <w:t>than borrowing in the non-financial and government sectors in the years leading up to the global financial crisis. The average OECD economy saw the household share of liabilities rise</w:t>
      </w:r>
      <w:r w:rsidR="008B5552" w:rsidRPr="00FC6CD6">
        <w:rPr>
          <w:rFonts w:ascii="Times New Roman" w:hAnsi="Times New Roman" w:cs="Times New Roman"/>
          <w:sz w:val="24"/>
          <w:szCs w:val="24"/>
        </w:rPr>
        <w:t>,</w:t>
      </w:r>
      <w:r w:rsidR="001A18B7" w:rsidRPr="00FC6CD6">
        <w:rPr>
          <w:rFonts w:ascii="Times New Roman" w:hAnsi="Times New Roman" w:cs="Times New Roman"/>
          <w:sz w:val="24"/>
          <w:szCs w:val="24"/>
        </w:rPr>
        <w:t xml:space="preserve"> from just </w:t>
      </w:r>
      <w:proofErr w:type="gramStart"/>
      <w:r w:rsidR="001A18B7" w:rsidRPr="00FC6CD6">
        <w:rPr>
          <w:rFonts w:ascii="Times New Roman" w:hAnsi="Times New Roman" w:cs="Times New Roman"/>
          <w:sz w:val="24"/>
          <w:szCs w:val="24"/>
        </w:rPr>
        <w:t>under</w:t>
      </w:r>
      <w:proofErr w:type="gramEnd"/>
      <w:r w:rsidR="001A18B7" w:rsidRPr="00FC6CD6">
        <w:rPr>
          <w:rFonts w:ascii="Times New Roman" w:hAnsi="Times New Roman" w:cs="Times New Roman"/>
          <w:sz w:val="24"/>
          <w:szCs w:val="24"/>
        </w:rPr>
        <w:t xml:space="preserve"> seven percent of all liabilities to over eight percent between 1995 and the crisis. That may sound insignificant; however, that is comparable with the overall debt load of most OECD </w:t>
      </w:r>
      <w:r w:rsidR="001A18B7" w:rsidRPr="00FC6CD6">
        <w:rPr>
          <w:rFonts w:ascii="Times New Roman" w:hAnsi="Times New Roman" w:cs="Times New Roman"/>
          <w:i/>
          <w:sz w:val="24"/>
          <w:szCs w:val="24"/>
        </w:rPr>
        <w:t>governments</w:t>
      </w:r>
      <w:r w:rsidR="001A18B7" w:rsidRPr="00FC6CD6">
        <w:rPr>
          <w:rFonts w:ascii="Times New Roman" w:hAnsi="Times New Roman" w:cs="Times New Roman"/>
          <w:sz w:val="24"/>
          <w:szCs w:val="24"/>
        </w:rPr>
        <w:t xml:space="preserve">. In fact, the typical government went from accounting for 15 percent of borrowing in 1995 to just over </w:t>
      </w:r>
      <w:r w:rsidRPr="00FC6CD6">
        <w:rPr>
          <w:rFonts w:ascii="Times New Roman" w:hAnsi="Times New Roman" w:cs="Times New Roman"/>
          <w:sz w:val="24"/>
          <w:szCs w:val="24"/>
        </w:rPr>
        <w:t xml:space="preserve">9 </w:t>
      </w:r>
      <w:r w:rsidR="001A18B7" w:rsidRPr="00FC6CD6">
        <w:rPr>
          <w:rFonts w:ascii="Times New Roman" w:hAnsi="Times New Roman" w:cs="Times New Roman"/>
          <w:sz w:val="24"/>
          <w:szCs w:val="24"/>
        </w:rPr>
        <w:t>percent by 2007. Figure</w:t>
      </w:r>
      <w:r w:rsidR="00023361" w:rsidRPr="00FC6CD6">
        <w:rPr>
          <w:rFonts w:ascii="Times New Roman" w:hAnsi="Times New Roman" w:cs="Times New Roman"/>
          <w:sz w:val="24"/>
          <w:szCs w:val="24"/>
        </w:rPr>
        <w:t xml:space="preserve"> 2</w:t>
      </w:r>
      <w:r w:rsidR="001A18B7" w:rsidRPr="00FC6CD6">
        <w:rPr>
          <w:rFonts w:ascii="Times New Roman" w:hAnsi="Times New Roman" w:cs="Times New Roman"/>
          <w:sz w:val="24"/>
          <w:szCs w:val="24"/>
        </w:rPr>
        <w:t xml:space="preserve"> </w:t>
      </w:r>
      <w:r w:rsidR="005D75DC" w:rsidRPr="00FC6CD6">
        <w:rPr>
          <w:rFonts w:ascii="Times New Roman" w:hAnsi="Times New Roman" w:cs="Times New Roman"/>
          <w:sz w:val="24"/>
          <w:szCs w:val="24"/>
        </w:rPr>
        <w:t>show</w:t>
      </w:r>
      <w:r w:rsidR="00023361" w:rsidRPr="00FC6CD6">
        <w:rPr>
          <w:rFonts w:ascii="Times New Roman" w:hAnsi="Times New Roman" w:cs="Times New Roman"/>
          <w:sz w:val="24"/>
          <w:szCs w:val="24"/>
        </w:rPr>
        <w:t>s</w:t>
      </w:r>
      <w:r w:rsidR="005D75DC" w:rsidRPr="00FC6CD6">
        <w:rPr>
          <w:rFonts w:ascii="Times New Roman" w:hAnsi="Times New Roman" w:cs="Times New Roman"/>
          <w:sz w:val="24"/>
          <w:szCs w:val="24"/>
        </w:rPr>
        <w:t xml:space="preserve"> the OECD-average ratio of household to non-financial</w:t>
      </w:r>
      <w:r w:rsidR="00CA045F" w:rsidRPr="00FC6CD6">
        <w:rPr>
          <w:rFonts w:ascii="Times New Roman" w:hAnsi="Times New Roman" w:cs="Times New Roman"/>
          <w:sz w:val="24"/>
          <w:szCs w:val="24"/>
        </w:rPr>
        <w:t xml:space="preserve"> (dotted line)</w:t>
      </w:r>
      <w:r w:rsidR="005D75DC" w:rsidRPr="00FC6CD6">
        <w:rPr>
          <w:rFonts w:ascii="Times New Roman" w:hAnsi="Times New Roman" w:cs="Times New Roman"/>
          <w:sz w:val="24"/>
          <w:szCs w:val="24"/>
        </w:rPr>
        <w:t xml:space="preserve"> and government </w:t>
      </w:r>
      <w:r w:rsidR="00CA045F" w:rsidRPr="00FC6CD6">
        <w:rPr>
          <w:rFonts w:ascii="Times New Roman" w:hAnsi="Times New Roman" w:cs="Times New Roman"/>
          <w:sz w:val="24"/>
          <w:szCs w:val="24"/>
        </w:rPr>
        <w:t xml:space="preserve">(solid line) </w:t>
      </w:r>
      <w:r w:rsidR="005D75DC" w:rsidRPr="00FC6CD6">
        <w:rPr>
          <w:rFonts w:ascii="Times New Roman" w:hAnsi="Times New Roman" w:cs="Times New Roman"/>
          <w:sz w:val="24"/>
          <w:szCs w:val="24"/>
        </w:rPr>
        <w:t xml:space="preserve">sector liabilities, illustrating a </w:t>
      </w:r>
      <w:r w:rsidR="008B5552" w:rsidRPr="00FC6CD6">
        <w:rPr>
          <w:rFonts w:ascii="Times New Roman" w:hAnsi="Times New Roman" w:cs="Times New Roman"/>
          <w:sz w:val="24"/>
          <w:szCs w:val="24"/>
        </w:rPr>
        <w:t xml:space="preserve">pronounced </w:t>
      </w:r>
      <w:r w:rsidR="005D75DC" w:rsidRPr="00FC6CD6">
        <w:rPr>
          <w:rFonts w:ascii="Times New Roman" w:hAnsi="Times New Roman" w:cs="Times New Roman"/>
          <w:sz w:val="24"/>
          <w:szCs w:val="24"/>
        </w:rPr>
        <w:t xml:space="preserve">relative increase in household debt. This trend halts </w:t>
      </w:r>
      <w:r w:rsidR="008B5552" w:rsidRPr="00FC6CD6">
        <w:rPr>
          <w:rFonts w:ascii="Times New Roman" w:hAnsi="Times New Roman" w:cs="Times New Roman"/>
          <w:sz w:val="24"/>
          <w:szCs w:val="24"/>
        </w:rPr>
        <w:t>but is not fully reversed in the post-crisis period.</w:t>
      </w:r>
      <w:r w:rsidR="005D75DC" w:rsidRPr="00FC6CD6">
        <w:rPr>
          <w:rFonts w:ascii="Times New Roman" w:hAnsi="Times New Roman" w:cs="Times New Roman"/>
          <w:sz w:val="24"/>
          <w:szCs w:val="24"/>
        </w:rPr>
        <w:t xml:space="preserve"> </w:t>
      </w:r>
      <w:r w:rsidR="008B5552" w:rsidRPr="00FC6CD6">
        <w:rPr>
          <w:rFonts w:ascii="Times New Roman" w:hAnsi="Times New Roman" w:cs="Times New Roman"/>
          <w:sz w:val="24"/>
          <w:szCs w:val="24"/>
        </w:rPr>
        <w:t>T</w:t>
      </w:r>
      <w:r w:rsidR="005D75DC" w:rsidRPr="00FC6CD6">
        <w:rPr>
          <w:rFonts w:ascii="Times New Roman" w:hAnsi="Times New Roman" w:cs="Times New Roman"/>
          <w:sz w:val="24"/>
          <w:szCs w:val="24"/>
        </w:rPr>
        <w:t xml:space="preserve">his data </w:t>
      </w:r>
      <w:r w:rsidRPr="00FC6CD6">
        <w:rPr>
          <w:rFonts w:ascii="Times New Roman" w:hAnsi="Times New Roman" w:cs="Times New Roman"/>
          <w:sz w:val="24"/>
          <w:szCs w:val="24"/>
        </w:rPr>
        <w:t>suggests</w:t>
      </w:r>
      <w:r w:rsidR="005D75DC" w:rsidRPr="00FC6CD6">
        <w:rPr>
          <w:rFonts w:ascii="Times New Roman" w:hAnsi="Times New Roman" w:cs="Times New Roman"/>
          <w:sz w:val="24"/>
          <w:szCs w:val="24"/>
        </w:rPr>
        <w:t xml:space="preserve"> that </w:t>
      </w:r>
      <w:r w:rsidRPr="00FC6CD6">
        <w:rPr>
          <w:rFonts w:ascii="Times New Roman" w:hAnsi="Times New Roman" w:cs="Times New Roman"/>
          <w:sz w:val="24"/>
          <w:szCs w:val="24"/>
        </w:rPr>
        <w:t>OECD</w:t>
      </w:r>
      <w:r w:rsidR="005D75DC" w:rsidRPr="00FC6CD6">
        <w:rPr>
          <w:rFonts w:ascii="Times New Roman" w:hAnsi="Times New Roman" w:cs="Times New Roman"/>
          <w:sz w:val="24"/>
          <w:szCs w:val="24"/>
        </w:rPr>
        <w:t xml:space="preserve"> economies have become relatively more </w:t>
      </w:r>
      <w:r w:rsidR="008B5552" w:rsidRPr="00435440">
        <w:rPr>
          <w:rFonts w:ascii="Times New Roman" w:hAnsi="Times New Roman" w:cs="Times New Roman"/>
          <w:sz w:val="24"/>
          <w:szCs w:val="24"/>
        </w:rPr>
        <w:t>exposed to</w:t>
      </w:r>
      <w:r w:rsidR="005D75DC" w:rsidRPr="00435440">
        <w:rPr>
          <w:rFonts w:ascii="Times New Roman" w:hAnsi="Times New Roman" w:cs="Times New Roman"/>
          <w:sz w:val="24"/>
          <w:szCs w:val="24"/>
        </w:rPr>
        <w:t xml:space="preserve"> the financial management of households – displacing businesses and governments to </w:t>
      </w:r>
      <w:r w:rsidR="008B5552" w:rsidRPr="00435440">
        <w:rPr>
          <w:rFonts w:ascii="Times New Roman" w:hAnsi="Times New Roman" w:cs="Times New Roman"/>
          <w:sz w:val="24"/>
          <w:szCs w:val="24"/>
        </w:rPr>
        <w:t xml:space="preserve">some </w:t>
      </w:r>
      <w:r w:rsidR="005D75DC" w:rsidRPr="00435440">
        <w:rPr>
          <w:rFonts w:ascii="Times New Roman" w:hAnsi="Times New Roman" w:cs="Times New Roman"/>
          <w:sz w:val="24"/>
          <w:szCs w:val="24"/>
        </w:rPr>
        <w:t>extent</w:t>
      </w:r>
      <w:r w:rsidR="00381DB7">
        <w:rPr>
          <w:rFonts w:ascii="Times New Roman" w:hAnsi="Times New Roman" w:cs="Times New Roman"/>
          <w:sz w:val="24"/>
          <w:szCs w:val="24"/>
        </w:rPr>
        <w:t xml:space="preserve"> (</w:t>
      </w:r>
      <w:r w:rsidR="005C3AF2">
        <w:rPr>
          <w:rFonts w:ascii="Times New Roman" w:hAnsi="Times New Roman" w:cs="Times New Roman"/>
          <w:sz w:val="24"/>
          <w:szCs w:val="24"/>
        </w:rPr>
        <w:t>on</w:t>
      </w:r>
      <w:r w:rsidR="00BE5A2A">
        <w:rPr>
          <w:rFonts w:ascii="Times New Roman" w:hAnsi="Times New Roman" w:cs="Times New Roman"/>
          <w:sz w:val="24"/>
          <w:szCs w:val="24"/>
        </w:rPr>
        <w:t xml:space="preserve"> “privatized Keynesianism” </w:t>
      </w:r>
      <w:r w:rsidR="00381DB7">
        <w:rPr>
          <w:rFonts w:ascii="Times New Roman" w:hAnsi="Times New Roman" w:cs="Times New Roman"/>
          <w:sz w:val="24"/>
          <w:szCs w:val="24"/>
        </w:rPr>
        <w:t>see Crouch 20</w:t>
      </w:r>
      <w:r w:rsidR="005C3AF2">
        <w:rPr>
          <w:rFonts w:ascii="Times New Roman" w:hAnsi="Times New Roman" w:cs="Times New Roman"/>
          <w:sz w:val="24"/>
          <w:szCs w:val="24"/>
        </w:rPr>
        <w:t>09</w:t>
      </w:r>
      <w:r w:rsidR="00381DB7">
        <w:rPr>
          <w:rFonts w:ascii="Times New Roman" w:hAnsi="Times New Roman" w:cs="Times New Roman"/>
          <w:sz w:val="24"/>
          <w:szCs w:val="24"/>
        </w:rPr>
        <w:t>).</w:t>
      </w:r>
    </w:p>
    <w:p w14:paraId="27C676C2" w14:textId="77777777" w:rsidR="00BB2429" w:rsidRPr="00435440" w:rsidRDefault="00BB2429" w:rsidP="00023361">
      <w:pPr>
        <w:spacing w:after="0" w:line="240" w:lineRule="auto"/>
        <w:ind w:firstLine="720"/>
        <w:jc w:val="center"/>
        <w:rPr>
          <w:rFonts w:ascii="Times New Roman" w:hAnsi="Times New Roman" w:cs="Times New Roman"/>
          <w:b/>
        </w:rPr>
      </w:pPr>
    </w:p>
    <w:p w14:paraId="62957A57" w14:textId="06DAC6DF" w:rsidR="00023361" w:rsidRPr="00435440" w:rsidRDefault="00023361" w:rsidP="00023361">
      <w:pPr>
        <w:spacing w:after="0" w:line="240" w:lineRule="auto"/>
        <w:ind w:firstLine="720"/>
        <w:jc w:val="center"/>
        <w:rPr>
          <w:rFonts w:ascii="Times New Roman" w:hAnsi="Times New Roman" w:cs="Times New Roman"/>
          <w:b/>
        </w:rPr>
      </w:pPr>
      <w:r w:rsidRPr="00435440">
        <w:rPr>
          <w:rFonts w:ascii="Times New Roman" w:hAnsi="Times New Roman" w:cs="Times New Roman"/>
          <w:b/>
        </w:rPr>
        <w:t>Figure 2: Household Debt relative to Non-Financial Sector and Government Debt (OECD Average, 1995-</w:t>
      </w:r>
      <w:r w:rsidR="001346C8" w:rsidRPr="00435440">
        <w:rPr>
          <w:rFonts w:ascii="Times New Roman" w:hAnsi="Times New Roman" w:cs="Times New Roman"/>
          <w:b/>
        </w:rPr>
        <w:t>201</w:t>
      </w:r>
      <w:r w:rsidR="001346C8">
        <w:rPr>
          <w:rFonts w:ascii="Times New Roman" w:hAnsi="Times New Roman" w:cs="Times New Roman"/>
          <w:b/>
        </w:rPr>
        <w:t>7</w:t>
      </w:r>
      <w:r w:rsidRPr="00435440">
        <w:rPr>
          <w:rFonts w:ascii="Times New Roman" w:hAnsi="Times New Roman" w:cs="Times New Roman"/>
          <w:b/>
        </w:rPr>
        <w:t>)</w:t>
      </w:r>
    </w:p>
    <w:p w14:paraId="22A5A9AC" w14:textId="581693E7" w:rsidR="00023361" w:rsidRPr="00435440" w:rsidRDefault="00A115D0" w:rsidP="00380E9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862DF5" wp14:editId="26E91D52">
            <wp:extent cx="5114925" cy="3743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3F45E7C7" w14:textId="77777777" w:rsidR="00023361" w:rsidRPr="00435440" w:rsidRDefault="00023361" w:rsidP="00380E9E">
      <w:pPr>
        <w:spacing w:after="0" w:line="240" w:lineRule="auto"/>
        <w:ind w:left="720"/>
        <w:jc w:val="both"/>
        <w:rPr>
          <w:rFonts w:ascii="Times New Roman" w:hAnsi="Times New Roman" w:cs="Times New Roman"/>
          <w:sz w:val="20"/>
          <w:szCs w:val="20"/>
        </w:rPr>
      </w:pPr>
      <w:r w:rsidRPr="00435440">
        <w:rPr>
          <w:rFonts w:ascii="Times New Roman" w:hAnsi="Times New Roman" w:cs="Times New Roman"/>
          <w:sz w:val="20"/>
          <w:szCs w:val="20"/>
        </w:rPr>
        <w:t xml:space="preserve">  Vertical axis is the ratio of household (HH) debt to non-financial sector (NFS) debt (for the dotted line)    </w:t>
      </w:r>
    </w:p>
    <w:p w14:paraId="055567BE" w14:textId="456E64FB" w:rsidR="00023361" w:rsidRPr="00435440" w:rsidRDefault="00023361" w:rsidP="00380E9E">
      <w:pPr>
        <w:spacing w:after="0" w:line="240" w:lineRule="auto"/>
        <w:ind w:left="720"/>
        <w:jc w:val="both"/>
        <w:rPr>
          <w:rFonts w:ascii="Times New Roman" w:hAnsi="Times New Roman" w:cs="Times New Roman"/>
          <w:sz w:val="20"/>
          <w:szCs w:val="20"/>
        </w:rPr>
      </w:pPr>
      <w:r w:rsidRPr="00435440">
        <w:rPr>
          <w:rFonts w:ascii="Times New Roman" w:hAnsi="Times New Roman" w:cs="Times New Roman"/>
          <w:sz w:val="20"/>
          <w:szCs w:val="20"/>
        </w:rPr>
        <w:t xml:space="preserve">  </w:t>
      </w:r>
      <w:proofErr w:type="gramStart"/>
      <w:r w:rsidRPr="00435440">
        <w:rPr>
          <w:rFonts w:ascii="Times New Roman" w:hAnsi="Times New Roman" w:cs="Times New Roman"/>
          <w:sz w:val="20"/>
          <w:szCs w:val="20"/>
        </w:rPr>
        <w:t>and</w:t>
      </w:r>
      <w:proofErr w:type="gramEnd"/>
      <w:r w:rsidRPr="00435440">
        <w:rPr>
          <w:rFonts w:ascii="Times New Roman" w:hAnsi="Times New Roman" w:cs="Times New Roman"/>
          <w:sz w:val="20"/>
          <w:szCs w:val="20"/>
        </w:rPr>
        <w:t xml:space="preserve"> the ratio of household debt to government debt (for the solid line).  </w:t>
      </w:r>
      <w:proofErr w:type="gramStart"/>
      <w:r w:rsidRPr="00435440">
        <w:rPr>
          <w:rFonts w:ascii="Times New Roman" w:hAnsi="Times New Roman" w:cs="Times New Roman"/>
          <w:sz w:val="20"/>
          <w:szCs w:val="20"/>
        </w:rPr>
        <w:t>Data from the OECD</w:t>
      </w:r>
      <w:r w:rsidR="00692C65" w:rsidRPr="00435440">
        <w:rPr>
          <w:rFonts w:ascii="Times New Roman" w:hAnsi="Times New Roman" w:cs="Times New Roman"/>
          <w:sz w:val="20"/>
          <w:szCs w:val="20"/>
        </w:rPr>
        <w:t xml:space="preserve"> (201</w:t>
      </w:r>
      <w:r w:rsidR="005C3AF2">
        <w:rPr>
          <w:rFonts w:ascii="Times New Roman" w:hAnsi="Times New Roman" w:cs="Times New Roman"/>
          <w:sz w:val="20"/>
          <w:szCs w:val="20"/>
        </w:rPr>
        <w:t>7</w:t>
      </w:r>
      <w:r w:rsidR="00692C65" w:rsidRPr="00435440">
        <w:rPr>
          <w:rFonts w:ascii="Times New Roman" w:hAnsi="Times New Roman" w:cs="Times New Roman"/>
          <w:sz w:val="20"/>
          <w:szCs w:val="20"/>
        </w:rPr>
        <w:t>)</w:t>
      </w:r>
      <w:r w:rsidRPr="00435440">
        <w:rPr>
          <w:rFonts w:ascii="Times New Roman" w:hAnsi="Times New Roman" w:cs="Times New Roman"/>
          <w:sz w:val="20"/>
          <w:szCs w:val="20"/>
        </w:rPr>
        <w:t>.</w:t>
      </w:r>
      <w:proofErr w:type="gramEnd"/>
    </w:p>
    <w:p w14:paraId="37228968" w14:textId="77777777" w:rsidR="00023361" w:rsidRPr="00435440" w:rsidRDefault="00023361" w:rsidP="00023361">
      <w:pPr>
        <w:spacing w:after="0" w:line="360" w:lineRule="auto"/>
        <w:jc w:val="both"/>
        <w:rPr>
          <w:rFonts w:ascii="Times New Roman" w:hAnsi="Times New Roman" w:cs="Times New Roman"/>
          <w:sz w:val="24"/>
          <w:szCs w:val="24"/>
        </w:rPr>
      </w:pPr>
    </w:p>
    <w:p w14:paraId="79AD566A" w14:textId="77777777" w:rsidR="00236C84" w:rsidRPr="00435440" w:rsidRDefault="00236C84" w:rsidP="00023361">
      <w:pPr>
        <w:spacing w:after="0" w:line="360" w:lineRule="auto"/>
        <w:jc w:val="both"/>
        <w:rPr>
          <w:rFonts w:ascii="Times New Roman" w:hAnsi="Times New Roman" w:cs="Times New Roman"/>
          <w:sz w:val="24"/>
          <w:szCs w:val="24"/>
        </w:rPr>
      </w:pPr>
    </w:p>
    <w:p w14:paraId="2B5B66BB" w14:textId="6279D5AB" w:rsidR="00BE5A2A" w:rsidRPr="00435440" w:rsidRDefault="00785A32" w:rsidP="0095601D">
      <w:pPr>
        <w:spacing w:after="0" w:line="360" w:lineRule="auto"/>
        <w:jc w:val="both"/>
        <w:rPr>
          <w:rFonts w:ascii="Times New Roman" w:hAnsi="Times New Roman" w:cs="Times New Roman"/>
          <w:sz w:val="24"/>
          <w:szCs w:val="24"/>
        </w:rPr>
      </w:pPr>
      <w:r w:rsidRPr="00435440">
        <w:rPr>
          <w:rFonts w:ascii="Times New Roman" w:hAnsi="Times New Roman" w:cs="Times New Roman"/>
          <w:sz w:val="24"/>
          <w:szCs w:val="24"/>
        </w:rPr>
        <w:lastRenderedPageBreak/>
        <w:t xml:space="preserve">Despite this general trend, </w:t>
      </w:r>
      <w:r w:rsidR="00023361" w:rsidRPr="00435440">
        <w:rPr>
          <w:rFonts w:ascii="Times New Roman" w:hAnsi="Times New Roman" w:cs="Times New Roman"/>
          <w:sz w:val="24"/>
          <w:szCs w:val="24"/>
        </w:rPr>
        <w:t>Figure 3</w:t>
      </w:r>
      <w:r w:rsidR="008B6D81" w:rsidRPr="00435440">
        <w:rPr>
          <w:rFonts w:ascii="Times New Roman" w:hAnsi="Times New Roman" w:cs="Times New Roman"/>
          <w:sz w:val="24"/>
          <w:szCs w:val="24"/>
        </w:rPr>
        <w:t xml:space="preserve"> – which shows the ratio of household debt to government liabilities –</w:t>
      </w:r>
      <w:r w:rsidR="00023361" w:rsidRPr="00435440">
        <w:rPr>
          <w:rFonts w:ascii="Times New Roman" w:hAnsi="Times New Roman" w:cs="Times New Roman"/>
          <w:sz w:val="24"/>
          <w:szCs w:val="24"/>
        </w:rPr>
        <w:t xml:space="preserve"> </w:t>
      </w:r>
      <w:r w:rsidRPr="00435440">
        <w:rPr>
          <w:rFonts w:ascii="Times New Roman" w:hAnsi="Times New Roman" w:cs="Times New Roman"/>
          <w:sz w:val="24"/>
          <w:szCs w:val="24"/>
        </w:rPr>
        <w:t xml:space="preserve">provides an impression of how much national variation remains. Germany </w:t>
      </w:r>
      <w:r w:rsidR="001346C8">
        <w:rPr>
          <w:rFonts w:ascii="Times New Roman" w:hAnsi="Times New Roman" w:cs="Times New Roman"/>
          <w:sz w:val="24"/>
          <w:szCs w:val="24"/>
        </w:rPr>
        <w:t>and Italy – both featuring highly restrictive mortgage finance regimes – have experienced far lower (and, in Germany, declining) levels of overall borrowing. Italy and the UK</w:t>
      </w:r>
      <w:r w:rsidR="009A1E4B">
        <w:rPr>
          <w:rFonts w:ascii="Times New Roman" w:hAnsi="Times New Roman" w:cs="Times New Roman"/>
          <w:sz w:val="24"/>
          <w:szCs w:val="24"/>
        </w:rPr>
        <w:t xml:space="preserve"> </w:t>
      </w:r>
      <w:r w:rsidR="001346C8">
        <w:rPr>
          <w:rFonts w:ascii="Times New Roman" w:hAnsi="Times New Roman" w:cs="Times New Roman"/>
          <w:sz w:val="24"/>
          <w:szCs w:val="24"/>
        </w:rPr>
        <w:t>experienced similar patterns in household debt relative to government spending: in both cases, relative household debt spiked during the economic expansion of the 2000s, only to collapse as</w:t>
      </w:r>
      <w:r w:rsidR="00A115D0">
        <w:rPr>
          <w:rFonts w:ascii="Times New Roman" w:hAnsi="Times New Roman" w:cs="Times New Roman"/>
          <w:sz w:val="24"/>
          <w:szCs w:val="24"/>
        </w:rPr>
        <w:t xml:space="preserve"> their economies slowed. Sweden</w:t>
      </w:r>
      <w:r w:rsidR="001346C8">
        <w:rPr>
          <w:rFonts w:ascii="Times New Roman" w:hAnsi="Times New Roman" w:cs="Times New Roman"/>
          <w:sz w:val="24"/>
          <w:szCs w:val="24"/>
        </w:rPr>
        <w:t xml:space="preserve"> has seen debt continually rise throughout the period in question. </w:t>
      </w:r>
      <w:r w:rsidRPr="00435440">
        <w:rPr>
          <w:rFonts w:ascii="Times New Roman" w:hAnsi="Times New Roman" w:cs="Times New Roman"/>
          <w:sz w:val="24"/>
          <w:szCs w:val="24"/>
        </w:rPr>
        <w:t xml:space="preserve">Quite clearly, there is a comparative </w:t>
      </w:r>
      <w:r w:rsidR="003A5243" w:rsidRPr="00435440">
        <w:rPr>
          <w:rFonts w:ascii="Times New Roman" w:hAnsi="Times New Roman" w:cs="Times New Roman"/>
          <w:sz w:val="24"/>
          <w:szCs w:val="24"/>
        </w:rPr>
        <w:t>story to tell</w:t>
      </w:r>
      <w:r w:rsidR="00BE5A2A">
        <w:rPr>
          <w:rFonts w:ascii="Times New Roman" w:hAnsi="Times New Roman" w:cs="Times New Roman"/>
          <w:sz w:val="24"/>
          <w:szCs w:val="24"/>
        </w:rPr>
        <w:t xml:space="preserve"> about the determinants of household indebtedness in Europe</w:t>
      </w:r>
      <w:r w:rsidR="003A5243" w:rsidRPr="00435440">
        <w:rPr>
          <w:rFonts w:ascii="Times New Roman" w:hAnsi="Times New Roman" w:cs="Times New Roman"/>
          <w:sz w:val="24"/>
          <w:szCs w:val="24"/>
        </w:rPr>
        <w:t>.</w:t>
      </w:r>
    </w:p>
    <w:p w14:paraId="32BD0F19" w14:textId="77777777" w:rsidR="00236C84" w:rsidRPr="00435440" w:rsidRDefault="00236C84" w:rsidP="003A5243">
      <w:pPr>
        <w:spacing w:after="0" w:line="240" w:lineRule="auto"/>
        <w:ind w:firstLine="720"/>
        <w:jc w:val="center"/>
        <w:rPr>
          <w:rFonts w:ascii="Times New Roman" w:hAnsi="Times New Roman" w:cs="Times New Roman"/>
          <w:b/>
        </w:rPr>
      </w:pPr>
    </w:p>
    <w:p w14:paraId="7A2E479C" w14:textId="7DAD372A" w:rsidR="003A5243" w:rsidRPr="00435440" w:rsidRDefault="003A5243" w:rsidP="003A5243">
      <w:pPr>
        <w:spacing w:after="0" w:line="240" w:lineRule="auto"/>
        <w:ind w:firstLine="720"/>
        <w:jc w:val="center"/>
        <w:rPr>
          <w:rFonts w:ascii="Times New Roman" w:hAnsi="Times New Roman" w:cs="Times New Roman"/>
          <w:b/>
        </w:rPr>
      </w:pPr>
      <w:r w:rsidRPr="00435440">
        <w:rPr>
          <w:rFonts w:ascii="Times New Roman" w:hAnsi="Times New Roman" w:cs="Times New Roman"/>
          <w:b/>
        </w:rPr>
        <w:t xml:space="preserve">Figure </w:t>
      </w:r>
      <w:r w:rsidR="00A824AD" w:rsidRPr="00435440">
        <w:rPr>
          <w:rFonts w:ascii="Times New Roman" w:hAnsi="Times New Roman" w:cs="Times New Roman"/>
          <w:b/>
        </w:rPr>
        <w:t>3</w:t>
      </w:r>
      <w:r w:rsidRPr="00435440">
        <w:rPr>
          <w:rFonts w:ascii="Times New Roman" w:hAnsi="Times New Roman" w:cs="Times New Roman"/>
          <w:b/>
        </w:rPr>
        <w:t xml:space="preserve">: Household Debt relative to Government Debt for Germany, </w:t>
      </w:r>
      <w:r w:rsidR="001346C8">
        <w:rPr>
          <w:rFonts w:ascii="Times New Roman" w:hAnsi="Times New Roman" w:cs="Times New Roman"/>
          <w:b/>
        </w:rPr>
        <w:t xml:space="preserve">Sweden, Italy, </w:t>
      </w:r>
      <w:r w:rsidRPr="00435440">
        <w:rPr>
          <w:rFonts w:ascii="Times New Roman" w:hAnsi="Times New Roman" w:cs="Times New Roman"/>
          <w:b/>
        </w:rPr>
        <w:t>and the UK (1995-</w:t>
      </w:r>
      <w:r w:rsidR="001346C8" w:rsidRPr="00435440">
        <w:rPr>
          <w:rFonts w:ascii="Times New Roman" w:hAnsi="Times New Roman" w:cs="Times New Roman"/>
          <w:b/>
        </w:rPr>
        <w:t>201</w:t>
      </w:r>
      <w:r w:rsidR="001346C8">
        <w:rPr>
          <w:rFonts w:ascii="Times New Roman" w:hAnsi="Times New Roman" w:cs="Times New Roman"/>
          <w:b/>
        </w:rPr>
        <w:t>7</w:t>
      </w:r>
      <w:r w:rsidRPr="00435440">
        <w:rPr>
          <w:rFonts w:ascii="Times New Roman" w:hAnsi="Times New Roman" w:cs="Times New Roman"/>
          <w:b/>
        </w:rPr>
        <w:t>)</w:t>
      </w:r>
    </w:p>
    <w:p w14:paraId="327212F1" w14:textId="2155C7AA" w:rsidR="003A5243" w:rsidRPr="00435440" w:rsidRDefault="00A115D0" w:rsidP="003A524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E3567" wp14:editId="41241C12">
            <wp:extent cx="5114925" cy="37433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5AEA00F4" w14:textId="77777777" w:rsidR="003A5243" w:rsidRPr="00435440" w:rsidRDefault="003A5243" w:rsidP="003A5243">
      <w:pPr>
        <w:spacing w:after="0" w:line="240" w:lineRule="auto"/>
        <w:ind w:left="720"/>
        <w:jc w:val="both"/>
        <w:rPr>
          <w:rFonts w:ascii="Times New Roman" w:hAnsi="Times New Roman" w:cs="Times New Roman"/>
          <w:sz w:val="20"/>
          <w:szCs w:val="20"/>
        </w:rPr>
      </w:pPr>
      <w:r w:rsidRPr="00435440">
        <w:rPr>
          <w:rFonts w:ascii="Times New Roman" w:hAnsi="Times New Roman" w:cs="Times New Roman"/>
          <w:sz w:val="20"/>
          <w:szCs w:val="20"/>
        </w:rPr>
        <w:t xml:space="preserve">Vertical axis is the ratio of household (HH) debt to government debt (for the solid line).  </w:t>
      </w:r>
    </w:p>
    <w:p w14:paraId="76C0D56D" w14:textId="3724CBC6" w:rsidR="003A5243" w:rsidRPr="00435440" w:rsidRDefault="003A5243" w:rsidP="003A5243">
      <w:pPr>
        <w:spacing w:after="0" w:line="240" w:lineRule="auto"/>
        <w:ind w:left="720"/>
        <w:jc w:val="both"/>
        <w:rPr>
          <w:rFonts w:ascii="Times New Roman" w:hAnsi="Times New Roman" w:cs="Times New Roman"/>
          <w:sz w:val="20"/>
          <w:szCs w:val="20"/>
        </w:rPr>
      </w:pPr>
      <w:proofErr w:type="gramStart"/>
      <w:r w:rsidRPr="00435440">
        <w:rPr>
          <w:rFonts w:ascii="Times New Roman" w:hAnsi="Times New Roman" w:cs="Times New Roman"/>
          <w:sz w:val="20"/>
          <w:szCs w:val="20"/>
        </w:rPr>
        <w:t>Data from the OECD</w:t>
      </w:r>
      <w:r w:rsidR="005C3AF2">
        <w:rPr>
          <w:rFonts w:ascii="Times New Roman" w:hAnsi="Times New Roman" w:cs="Times New Roman"/>
          <w:sz w:val="20"/>
          <w:szCs w:val="20"/>
        </w:rPr>
        <w:t xml:space="preserve"> (2017)</w:t>
      </w:r>
      <w:r w:rsidRPr="00435440">
        <w:rPr>
          <w:rFonts w:ascii="Times New Roman" w:hAnsi="Times New Roman" w:cs="Times New Roman"/>
          <w:sz w:val="20"/>
          <w:szCs w:val="20"/>
        </w:rPr>
        <w:t>.</w:t>
      </w:r>
      <w:proofErr w:type="gramEnd"/>
    </w:p>
    <w:p w14:paraId="750B9E64" w14:textId="77777777" w:rsidR="003A5243" w:rsidRPr="00435440" w:rsidRDefault="003A5243" w:rsidP="003A5243">
      <w:pPr>
        <w:spacing w:after="0" w:line="360" w:lineRule="auto"/>
        <w:jc w:val="center"/>
        <w:rPr>
          <w:rFonts w:ascii="Times New Roman" w:hAnsi="Times New Roman" w:cs="Times New Roman"/>
          <w:sz w:val="24"/>
          <w:szCs w:val="24"/>
        </w:rPr>
      </w:pPr>
    </w:p>
    <w:p w14:paraId="32EE7A0E" w14:textId="54B983E1" w:rsidR="009A1E4B" w:rsidRDefault="009E69DF" w:rsidP="0095601D">
      <w:pPr>
        <w:spacing w:after="0" w:line="360" w:lineRule="auto"/>
        <w:jc w:val="both"/>
        <w:rPr>
          <w:rFonts w:ascii="Times New Roman" w:hAnsi="Times New Roman" w:cs="Times New Roman"/>
          <w:sz w:val="24"/>
          <w:szCs w:val="24"/>
        </w:rPr>
      </w:pPr>
      <w:r w:rsidRPr="00435440">
        <w:rPr>
          <w:rFonts w:ascii="Times New Roman" w:hAnsi="Times New Roman" w:cs="Times New Roman"/>
          <w:sz w:val="24"/>
          <w:szCs w:val="24"/>
        </w:rPr>
        <w:t xml:space="preserve">It is crucial to note that these figures radically </w:t>
      </w:r>
      <w:r w:rsidRPr="00435440">
        <w:rPr>
          <w:rFonts w:ascii="Times New Roman" w:hAnsi="Times New Roman" w:cs="Times New Roman"/>
          <w:i/>
          <w:sz w:val="24"/>
          <w:szCs w:val="24"/>
        </w:rPr>
        <w:t>understate</w:t>
      </w:r>
      <w:r w:rsidRPr="00435440">
        <w:rPr>
          <w:rFonts w:ascii="Times New Roman" w:hAnsi="Times New Roman" w:cs="Times New Roman"/>
          <w:sz w:val="24"/>
          <w:szCs w:val="24"/>
        </w:rPr>
        <w:t xml:space="preserve"> the importance of rising household borrowing.</w:t>
      </w:r>
      <w:r w:rsidR="00CA7D72" w:rsidRPr="00435440">
        <w:rPr>
          <w:rFonts w:ascii="Times New Roman" w:hAnsi="Times New Roman" w:cs="Times New Roman"/>
          <w:sz w:val="24"/>
          <w:szCs w:val="24"/>
        </w:rPr>
        <w:t xml:space="preserve"> </w:t>
      </w:r>
      <w:r w:rsidR="00C821BC">
        <w:rPr>
          <w:rFonts w:ascii="Times New Roman" w:hAnsi="Times New Roman" w:cs="Times New Roman"/>
          <w:sz w:val="24"/>
          <w:szCs w:val="24"/>
        </w:rPr>
        <w:t>H</w:t>
      </w:r>
      <w:r w:rsidR="00CA7D72" w:rsidRPr="00435440">
        <w:rPr>
          <w:rFonts w:ascii="Times New Roman" w:hAnsi="Times New Roman" w:cs="Times New Roman"/>
          <w:sz w:val="24"/>
          <w:szCs w:val="24"/>
        </w:rPr>
        <w:t xml:space="preserve">ousehold borrowing </w:t>
      </w:r>
      <w:r w:rsidR="00C821BC">
        <w:rPr>
          <w:rFonts w:ascii="Times New Roman" w:hAnsi="Times New Roman" w:cs="Times New Roman"/>
          <w:sz w:val="24"/>
          <w:szCs w:val="24"/>
        </w:rPr>
        <w:t>generally leads to greater indebtedness within the financial sector itself. B</w:t>
      </w:r>
      <w:r w:rsidRPr="00435440">
        <w:rPr>
          <w:rFonts w:ascii="Times New Roman" w:hAnsi="Times New Roman" w:cs="Times New Roman"/>
          <w:sz w:val="24"/>
          <w:szCs w:val="24"/>
        </w:rPr>
        <w:t>anks</w:t>
      </w:r>
      <w:r w:rsidR="00796B6B" w:rsidRPr="00435440">
        <w:rPr>
          <w:rFonts w:ascii="Times New Roman" w:hAnsi="Times New Roman" w:cs="Times New Roman"/>
          <w:sz w:val="24"/>
          <w:szCs w:val="24"/>
        </w:rPr>
        <w:t xml:space="preserve"> </w:t>
      </w:r>
      <w:r w:rsidR="00C821BC">
        <w:rPr>
          <w:rFonts w:ascii="Times New Roman" w:hAnsi="Times New Roman" w:cs="Times New Roman"/>
          <w:sz w:val="24"/>
          <w:szCs w:val="24"/>
        </w:rPr>
        <w:t>often</w:t>
      </w:r>
      <w:r w:rsidR="00796B6B" w:rsidRPr="00435440">
        <w:rPr>
          <w:rFonts w:ascii="Times New Roman" w:hAnsi="Times New Roman" w:cs="Times New Roman"/>
          <w:sz w:val="24"/>
          <w:szCs w:val="24"/>
        </w:rPr>
        <w:t xml:space="preserve"> </w:t>
      </w:r>
      <w:r w:rsidRPr="00435440">
        <w:rPr>
          <w:rFonts w:ascii="Times New Roman" w:hAnsi="Times New Roman" w:cs="Times New Roman"/>
          <w:sz w:val="24"/>
          <w:szCs w:val="24"/>
        </w:rPr>
        <w:t>borrow to create mortgages</w:t>
      </w:r>
      <w:r w:rsidR="005E53E8" w:rsidRPr="00435440">
        <w:rPr>
          <w:rFonts w:ascii="Times New Roman" w:hAnsi="Times New Roman" w:cs="Times New Roman"/>
          <w:sz w:val="24"/>
          <w:szCs w:val="24"/>
        </w:rPr>
        <w:t>;</w:t>
      </w:r>
      <w:r w:rsidR="001C2993" w:rsidRPr="00435440">
        <w:rPr>
          <w:rFonts w:ascii="Times New Roman" w:hAnsi="Times New Roman" w:cs="Times New Roman"/>
          <w:sz w:val="24"/>
          <w:szCs w:val="24"/>
        </w:rPr>
        <w:t xml:space="preserve"> </w:t>
      </w:r>
      <w:r w:rsidR="005E53E8" w:rsidRPr="00435440">
        <w:rPr>
          <w:rFonts w:ascii="Times New Roman" w:hAnsi="Times New Roman" w:cs="Times New Roman"/>
          <w:sz w:val="24"/>
          <w:szCs w:val="24"/>
        </w:rPr>
        <w:t xml:space="preserve">every time a homeowner </w:t>
      </w:r>
      <w:r w:rsidR="00B972BF" w:rsidRPr="00435440">
        <w:rPr>
          <w:rFonts w:ascii="Times New Roman" w:hAnsi="Times New Roman" w:cs="Times New Roman"/>
          <w:sz w:val="24"/>
          <w:szCs w:val="24"/>
        </w:rPr>
        <w:t>signs</w:t>
      </w:r>
      <w:r w:rsidR="005E53E8" w:rsidRPr="00435440">
        <w:rPr>
          <w:rFonts w:ascii="Times New Roman" w:hAnsi="Times New Roman" w:cs="Times New Roman"/>
          <w:sz w:val="24"/>
          <w:szCs w:val="24"/>
        </w:rPr>
        <w:t xml:space="preserve"> a mortgage</w:t>
      </w:r>
      <w:r w:rsidR="00B972BF" w:rsidRPr="00435440">
        <w:rPr>
          <w:rFonts w:ascii="Times New Roman" w:hAnsi="Times New Roman" w:cs="Times New Roman"/>
          <w:sz w:val="24"/>
          <w:szCs w:val="24"/>
        </w:rPr>
        <w:t>-debt contract</w:t>
      </w:r>
      <w:r w:rsidR="005E53E8" w:rsidRPr="00435440">
        <w:rPr>
          <w:rFonts w:ascii="Times New Roman" w:hAnsi="Times New Roman" w:cs="Times New Roman"/>
          <w:sz w:val="24"/>
          <w:szCs w:val="24"/>
        </w:rPr>
        <w:t xml:space="preserve">, they also create financial assets within the financial sector (Fuller 2016). </w:t>
      </w:r>
      <w:r w:rsidR="001C2993" w:rsidRPr="00435440">
        <w:rPr>
          <w:rFonts w:ascii="Times New Roman" w:hAnsi="Times New Roman" w:cs="Times New Roman"/>
          <w:sz w:val="24"/>
          <w:szCs w:val="24"/>
        </w:rPr>
        <w:t xml:space="preserve">In a traditional financial system – where </w:t>
      </w:r>
      <w:r w:rsidR="00CA7D72" w:rsidRPr="00435440">
        <w:rPr>
          <w:rFonts w:ascii="Times New Roman" w:hAnsi="Times New Roman" w:cs="Times New Roman"/>
          <w:sz w:val="24"/>
          <w:szCs w:val="24"/>
        </w:rPr>
        <w:t xml:space="preserve">banks </w:t>
      </w:r>
      <w:r w:rsidR="001C2993" w:rsidRPr="00435440">
        <w:rPr>
          <w:rFonts w:ascii="Times New Roman" w:hAnsi="Times New Roman" w:cs="Times New Roman"/>
          <w:sz w:val="24"/>
          <w:szCs w:val="24"/>
        </w:rPr>
        <w:t xml:space="preserve">take customer deposits and lend them out as </w:t>
      </w:r>
      <w:r w:rsidR="001C2993" w:rsidRPr="00435440">
        <w:rPr>
          <w:rFonts w:ascii="Times New Roman" w:hAnsi="Times New Roman" w:cs="Times New Roman"/>
          <w:sz w:val="24"/>
          <w:szCs w:val="24"/>
        </w:rPr>
        <w:lastRenderedPageBreak/>
        <w:t xml:space="preserve">mortgages – this is not </w:t>
      </w:r>
      <w:r w:rsidR="00CA7D72" w:rsidRPr="00435440">
        <w:rPr>
          <w:rFonts w:ascii="Times New Roman" w:hAnsi="Times New Roman" w:cs="Times New Roman"/>
          <w:sz w:val="24"/>
          <w:szCs w:val="24"/>
        </w:rPr>
        <w:t>a major issue</w:t>
      </w:r>
      <w:r w:rsidR="001C2993" w:rsidRPr="00435440">
        <w:rPr>
          <w:rFonts w:ascii="Times New Roman" w:hAnsi="Times New Roman" w:cs="Times New Roman"/>
          <w:sz w:val="24"/>
          <w:szCs w:val="24"/>
        </w:rPr>
        <w:t>. In a contemporary financial system, however, a single household transaction can underpin numerous layers of financial sector deb</w:t>
      </w:r>
      <w:r w:rsidR="002644C6" w:rsidRPr="00435440">
        <w:rPr>
          <w:rFonts w:ascii="Times New Roman" w:hAnsi="Times New Roman" w:cs="Times New Roman"/>
          <w:sz w:val="24"/>
          <w:szCs w:val="24"/>
        </w:rPr>
        <w:t>t.</w:t>
      </w:r>
      <w:r w:rsidR="00CA045F" w:rsidRPr="00435440">
        <w:rPr>
          <w:rFonts w:ascii="Times New Roman" w:hAnsi="Times New Roman" w:cs="Times New Roman"/>
          <w:sz w:val="24"/>
          <w:szCs w:val="24"/>
        </w:rPr>
        <w:t xml:space="preserve">  </w:t>
      </w:r>
    </w:p>
    <w:p w14:paraId="39312DCC" w14:textId="77777777" w:rsidR="00F57342" w:rsidRDefault="00F57342" w:rsidP="0095601D">
      <w:pPr>
        <w:spacing w:after="0" w:line="360" w:lineRule="auto"/>
        <w:jc w:val="both"/>
        <w:rPr>
          <w:rFonts w:ascii="Times New Roman" w:hAnsi="Times New Roman" w:cs="Times New Roman"/>
          <w:sz w:val="24"/>
          <w:szCs w:val="24"/>
        </w:rPr>
      </w:pPr>
    </w:p>
    <w:p w14:paraId="48709818" w14:textId="31F25CFC" w:rsidR="00E26457" w:rsidRPr="00435440" w:rsidRDefault="002644C6" w:rsidP="0095601D">
      <w:pPr>
        <w:spacing w:after="0" w:line="360" w:lineRule="auto"/>
        <w:jc w:val="both"/>
        <w:rPr>
          <w:rFonts w:ascii="Times New Roman" w:hAnsi="Times New Roman" w:cs="Times New Roman"/>
          <w:sz w:val="24"/>
          <w:szCs w:val="24"/>
        </w:rPr>
      </w:pPr>
      <w:r w:rsidRPr="00435440">
        <w:rPr>
          <w:rFonts w:ascii="Times New Roman" w:hAnsi="Times New Roman" w:cs="Times New Roman"/>
          <w:sz w:val="24"/>
          <w:szCs w:val="24"/>
        </w:rPr>
        <w:t xml:space="preserve">For </w:t>
      </w:r>
      <w:r w:rsidR="001C2993" w:rsidRPr="00435440">
        <w:rPr>
          <w:rFonts w:ascii="Times New Roman" w:hAnsi="Times New Roman" w:cs="Times New Roman"/>
          <w:sz w:val="24"/>
          <w:szCs w:val="24"/>
        </w:rPr>
        <w:t>instance, a bank might borrow from the interbank market to create a mortgage intended for securitization. That means selling the mortgage to a s</w:t>
      </w:r>
      <w:r w:rsidR="00236C84" w:rsidRPr="00435440">
        <w:rPr>
          <w:rFonts w:ascii="Times New Roman" w:hAnsi="Times New Roman" w:cs="Times New Roman"/>
          <w:sz w:val="24"/>
          <w:szCs w:val="24"/>
        </w:rPr>
        <w:t>eparate securitization vehicle,</w:t>
      </w:r>
      <w:r w:rsidR="001C2993" w:rsidRPr="00435440">
        <w:rPr>
          <w:rFonts w:ascii="Times New Roman" w:hAnsi="Times New Roman" w:cs="Times New Roman"/>
          <w:sz w:val="24"/>
          <w:szCs w:val="24"/>
        </w:rPr>
        <w:t xml:space="preserve"> which </w:t>
      </w:r>
      <w:r w:rsidR="00CA7D72" w:rsidRPr="00435440">
        <w:rPr>
          <w:rFonts w:ascii="Times New Roman" w:hAnsi="Times New Roman" w:cs="Times New Roman"/>
          <w:sz w:val="24"/>
          <w:szCs w:val="24"/>
        </w:rPr>
        <w:t>must also buy the mortgage,</w:t>
      </w:r>
      <w:r w:rsidR="001C2993" w:rsidRPr="00435440">
        <w:rPr>
          <w:rFonts w:ascii="Times New Roman" w:hAnsi="Times New Roman" w:cs="Times New Roman"/>
          <w:sz w:val="24"/>
          <w:szCs w:val="24"/>
        </w:rPr>
        <w:t xml:space="preserve"> pay</w:t>
      </w:r>
      <w:r w:rsidR="00CA7D72" w:rsidRPr="00435440">
        <w:rPr>
          <w:rFonts w:ascii="Times New Roman" w:hAnsi="Times New Roman" w:cs="Times New Roman"/>
          <w:sz w:val="24"/>
          <w:szCs w:val="24"/>
        </w:rPr>
        <w:t>ing</w:t>
      </w:r>
      <w:r w:rsidR="001C2993" w:rsidRPr="00435440">
        <w:rPr>
          <w:rFonts w:ascii="Times New Roman" w:hAnsi="Times New Roman" w:cs="Times New Roman"/>
          <w:sz w:val="24"/>
          <w:szCs w:val="24"/>
        </w:rPr>
        <w:t xml:space="preserve"> with </w:t>
      </w:r>
      <w:r w:rsidR="00CA7D72" w:rsidRPr="00435440">
        <w:rPr>
          <w:rFonts w:ascii="Times New Roman" w:hAnsi="Times New Roman" w:cs="Times New Roman"/>
          <w:sz w:val="24"/>
          <w:szCs w:val="24"/>
        </w:rPr>
        <w:t xml:space="preserve">funds raised from </w:t>
      </w:r>
      <w:r w:rsidR="001C2993" w:rsidRPr="00435440">
        <w:rPr>
          <w:rFonts w:ascii="Times New Roman" w:hAnsi="Times New Roman" w:cs="Times New Roman"/>
          <w:sz w:val="24"/>
          <w:szCs w:val="24"/>
        </w:rPr>
        <w:t xml:space="preserve">short-term bonds. </w:t>
      </w:r>
      <w:r w:rsidR="00CA7D72" w:rsidRPr="00435440">
        <w:rPr>
          <w:rFonts w:ascii="Times New Roman" w:hAnsi="Times New Roman" w:cs="Times New Roman"/>
          <w:sz w:val="24"/>
          <w:szCs w:val="24"/>
        </w:rPr>
        <w:t xml:space="preserve">Finally, an investor might also borrow </w:t>
      </w:r>
      <w:r w:rsidR="009A1E4B" w:rsidRPr="00435440">
        <w:rPr>
          <w:rFonts w:ascii="Times New Roman" w:hAnsi="Times New Roman" w:cs="Times New Roman"/>
          <w:sz w:val="24"/>
          <w:szCs w:val="24"/>
        </w:rPr>
        <w:t>to</w:t>
      </w:r>
      <w:r w:rsidR="00CA7D72" w:rsidRPr="00435440">
        <w:rPr>
          <w:rFonts w:ascii="Times New Roman" w:hAnsi="Times New Roman" w:cs="Times New Roman"/>
          <w:sz w:val="24"/>
          <w:szCs w:val="24"/>
        </w:rPr>
        <w:t xml:space="preserve"> purchase part of the resulting securitized asset (and then borrow more to pay for a credit default swap protecting their investment). </w:t>
      </w:r>
      <w:r w:rsidR="00121C89" w:rsidRPr="00435440">
        <w:rPr>
          <w:rFonts w:ascii="Times New Roman" w:hAnsi="Times New Roman" w:cs="Times New Roman"/>
          <w:sz w:val="24"/>
          <w:szCs w:val="24"/>
        </w:rPr>
        <w:t xml:space="preserve">In other words, the evolution of household finance is closely linked to </w:t>
      </w:r>
      <w:r w:rsidR="00977AEF">
        <w:rPr>
          <w:rFonts w:ascii="Times New Roman" w:hAnsi="Times New Roman" w:cs="Times New Roman"/>
          <w:sz w:val="24"/>
          <w:szCs w:val="24"/>
        </w:rPr>
        <w:t>changes in how banks manage their</w:t>
      </w:r>
      <w:r w:rsidR="00121C89" w:rsidRPr="00435440">
        <w:rPr>
          <w:rFonts w:ascii="Times New Roman" w:hAnsi="Times New Roman" w:cs="Times New Roman"/>
          <w:sz w:val="24"/>
          <w:szCs w:val="24"/>
        </w:rPr>
        <w:t xml:space="preserve"> balance sheets, which economists have long recognized would </w:t>
      </w:r>
      <w:r w:rsidR="00381DB7" w:rsidRPr="00435440">
        <w:rPr>
          <w:rFonts w:ascii="Times New Roman" w:hAnsi="Times New Roman" w:cs="Times New Roman"/>
          <w:sz w:val="24"/>
          <w:szCs w:val="24"/>
        </w:rPr>
        <w:t>influence</w:t>
      </w:r>
      <w:r w:rsidR="00121C89" w:rsidRPr="00435440">
        <w:rPr>
          <w:rFonts w:ascii="Times New Roman" w:hAnsi="Times New Roman" w:cs="Times New Roman"/>
          <w:sz w:val="24"/>
          <w:szCs w:val="24"/>
        </w:rPr>
        <w:t xml:space="preserve"> </w:t>
      </w:r>
      <w:r w:rsidR="00381DB7">
        <w:rPr>
          <w:rFonts w:ascii="Times New Roman" w:hAnsi="Times New Roman" w:cs="Times New Roman"/>
          <w:sz w:val="24"/>
          <w:szCs w:val="24"/>
        </w:rPr>
        <w:t>macro-</w:t>
      </w:r>
      <w:r w:rsidR="00381DB7" w:rsidRPr="00435440">
        <w:rPr>
          <w:rFonts w:ascii="Times New Roman" w:hAnsi="Times New Roman" w:cs="Times New Roman"/>
          <w:sz w:val="24"/>
          <w:szCs w:val="24"/>
        </w:rPr>
        <w:t>economic</w:t>
      </w:r>
      <w:r w:rsidR="00121C89" w:rsidRPr="00435440">
        <w:rPr>
          <w:rFonts w:ascii="Times New Roman" w:hAnsi="Times New Roman" w:cs="Times New Roman"/>
          <w:sz w:val="24"/>
          <w:szCs w:val="24"/>
        </w:rPr>
        <w:t xml:space="preserve"> performance (c.f. King and Levine 1993). Ultimately, t</w:t>
      </w:r>
      <w:r w:rsidR="00CA7D72" w:rsidRPr="00435440">
        <w:rPr>
          <w:rFonts w:ascii="Times New Roman" w:hAnsi="Times New Roman" w:cs="Times New Roman"/>
          <w:sz w:val="24"/>
          <w:szCs w:val="24"/>
        </w:rPr>
        <w:t xml:space="preserve">his multilayered tangle of liabilities </w:t>
      </w:r>
      <w:r w:rsidR="00121C89" w:rsidRPr="00435440">
        <w:rPr>
          <w:rFonts w:ascii="Times New Roman" w:hAnsi="Times New Roman" w:cs="Times New Roman"/>
          <w:sz w:val="24"/>
          <w:szCs w:val="24"/>
        </w:rPr>
        <w:t>remains</w:t>
      </w:r>
      <w:r w:rsidR="00CA7D72" w:rsidRPr="00435440">
        <w:rPr>
          <w:rFonts w:ascii="Times New Roman" w:hAnsi="Times New Roman" w:cs="Times New Roman"/>
          <w:sz w:val="24"/>
          <w:szCs w:val="24"/>
        </w:rPr>
        <w:t xml:space="preserve"> fundamentally relian</w:t>
      </w:r>
      <w:r w:rsidR="00796B6B" w:rsidRPr="00435440">
        <w:rPr>
          <w:rFonts w:ascii="Times New Roman" w:hAnsi="Times New Roman" w:cs="Times New Roman"/>
          <w:sz w:val="24"/>
          <w:szCs w:val="24"/>
        </w:rPr>
        <w:t>t on the ultimate end-borrower</w:t>
      </w:r>
      <w:r w:rsidR="00121C89" w:rsidRPr="00435440">
        <w:rPr>
          <w:rFonts w:ascii="Times New Roman" w:hAnsi="Times New Roman" w:cs="Times New Roman"/>
          <w:sz w:val="24"/>
          <w:szCs w:val="24"/>
        </w:rPr>
        <w:t>:</w:t>
      </w:r>
      <w:r w:rsidR="00CA7D72" w:rsidRPr="00435440">
        <w:rPr>
          <w:rFonts w:ascii="Times New Roman" w:hAnsi="Times New Roman" w:cs="Times New Roman"/>
          <w:sz w:val="24"/>
          <w:szCs w:val="24"/>
        </w:rPr>
        <w:t xml:space="preserve"> </w:t>
      </w:r>
      <w:r w:rsidR="00121C89" w:rsidRPr="00435440">
        <w:rPr>
          <w:rFonts w:ascii="Times New Roman" w:hAnsi="Times New Roman" w:cs="Times New Roman"/>
          <w:sz w:val="24"/>
          <w:szCs w:val="24"/>
        </w:rPr>
        <w:t xml:space="preserve">for the system to work, </w:t>
      </w:r>
      <w:r w:rsidR="00CA7D72" w:rsidRPr="00435440">
        <w:rPr>
          <w:rFonts w:ascii="Times New Roman" w:hAnsi="Times New Roman" w:cs="Times New Roman"/>
          <w:sz w:val="24"/>
          <w:szCs w:val="24"/>
        </w:rPr>
        <w:t>the homeowner</w:t>
      </w:r>
      <w:r w:rsidR="00121C89" w:rsidRPr="00435440">
        <w:rPr>
          <w:rFonts w:ascii="Times New Roman" w:hAnsi="Times New Roman" w:cs="Times New Roman"/>
          <w:sz w:val="24"/>
          <w:szCs w:val="24"/>
        </w:rPr>
        <w:t xml:space="preserve"> must</w:t>
      </w:r>
      <w:r w:rsidR="00CA7D72" w:rsidRPr="00435440">
        <w:rPr>
          <w:rFonts w:ascii="Times New Roman" w:hAnsi="Times New Roman" w:cs="Times New Roman"/>
          <w:sz w:val="24"/>
          <w:szCs w:val="24"/>
        </w:rPr>
        <w:t xml:space="preserve"> </w:t>
      </w:r>
      <w:r w:rsidR="00CA7D72" w:rsidRPr="00435440">
        <w:rPr>
          <w:rFonts w:ascii="Times New Roman" w:hAnsi="Times New Roman" w:cs="Times New Roman"/>
          <w:i/>
          <w:sz w:val="24"/>
          <w:szCs w:val="24"/>
        </w:rPr>
        <w:t>pay their mortgage</w:t>
      </w:r>
      <w:r w:rsidR="00CA7D72" w:rsidRPr="00435440">
        <w:rPr>
          <w:rFonts w:ascii="Times New Roman" w:hAnsi="Times New Roman" w:cs="Times New Roman"/>
          <w:sz w:val="24"/>
          <w:szCs w:val="24"/>
        </w:rPr>
        <w:t xml:space="preserve">. </w:t>
      </w:r>
      <w:r w:rsidR="00977AEF">
        <w:rPr>
          <w:rFonts w:ascii="Times New Roman" w:hAnsi="Times New Roman" w:cs="Times New Roman"/>
          <w:sz w:val="24"/>
          <w:szCs w:val="24"/>
        </w:rPr>
        <w:t>A</w:t>
      </w:r>
      <w:r w:rsidR="00CA7D72" w:rsidRPr="00435440">
        <w:rPr>
          <w:rFonts w:ascii="Times New Roman" w:hAnsi="Times New Roman" w:cs="Times New Roman"/>
          <w:sz w:val="24"/>
          <w:szCs w:val="24"/>
        </w:rPr>
        <w:t>ny instability in the mortgage market could ultimately threaten banks, their creditors,</w:t>
      </w:r>
      <w:r w:rsidR="00796B6B" w:rsidRPr="00435440">
        <w:rPr>
          <w:rFonts w:ascii="Times New Roman" w:hAnsi="Times New Roman" w:cs="Times New Roman"/>
          <w:sz w:val="24"/>
          <w:szCs w:val="24"/>
        </w:rPr>
        <w:t xml:space="preserve"> government</w:t>
      </w:r>
      <w:r w:rsidR="00CA7D72" w:rsidRPr="00435440">
        <w:rPr>
          <w:rFonts w:ascii="Times New Roman" w:hAnsi="Times New Roman" w:cs="Times New Roman"/>
          <w:sz w:val="24"/>
          <w:szCs w:val="24"/>
        </w:rPr>
        <w:t xml:space="preserve"> </w:t>
      </w:r>
      <w:r w:rsidR="00121C89" w:rsidRPr="00435440">
        <w:rPr>
          <w:rFonts w:ascii="Times New Roman" w:hAnsi="Times New Roman" w:cs="Times New Roman"/>
          <w:sz w:val="24"/>
          <w:szCs w:val="24"/>
        </w:rPr>
        <w:t xml:space="preserve">and </w:t>
      </w:r>
      <w:r w:rsidR="00B972BF" w:rsidRPr="00435440">
        <w:rPr>
          <w:rFonts w:ascii="Times New Roman" w:hAnsi="Times New Roman" w:cs="Times New Roman"/>
          <w:sz w:val="24"/>
          <w:szCs w:val="24"/>
        </w:rPr>
        <w:t>global economic</w:t>
      </w:r>
      <w:r w:rsidR="00236C84" w:rsidRPr="00435440">
        <w:rPr>
          <w:rFonts w:ascii="Times New Roman" w:hAnsi="Times New Roman" w:cs="Times New Roman"/>
          <w:sz w:val="24"/>
          <w:szCs w:val="24"/>
        </w:rPr>
        <w:t xml:space="preserve"> stability,</w:t>
      </w:r>
      <w:r w:rsidR="00121C89" w:rsidRPr="00435440">
        <w:rPr>
          <w:rFonts w:ascii="Times New Roman" w:hAnsi="Times New Roman" w:cs="Times New Roman"/>
          <w:sz w:val="24"/>
          <w:szCs w:val="24"/>
        </w:rPr>
        <w:t xml:space="preserve"> </w:t>
      </w:r>
      <w:r w:rsidR="00CA7D72" w:rsidRPr="00435440">
        <w:rPr>
          <w:rFonts w:ascii="Times New Roman" w:hAnsi="Times New Roman" w:cs="Times New Roman"/>
          <w:sz w:val="24"/>
          <w:szCs w:val="24"/>
        </w:rPr>
        <w:t>which is pre</w:t>
      </w:r>
      <w:r w:rsidR="00121C89" w:rsidRPr="00435440">
        <w:rPr>
          <w:rFonts w:ascii="Times New Roman" w:hAnsi="Times New Roman" w:cs="Times New Roman"/>
          <w:sz w:val="24"/>
          <w:szCs w:val="24"/>
        </w:rPr>
        <w:t xml:space="preserve">cisely what happened in </w:t>
      </w:r>
      <w:r w:rsidR="00BE5A2A">
        <w:rPr>
          <w:rFonts w:ascii="Times New Roman" w:hAnsi="Times New Roman" w:cs="Times New Roman"/>
          <w:sz w:val="24"/>
          <w:szCs w:val="24"/>
        </w:rPr>
        <w:t>the late 2000s</w:t>
      </w:r>
      <w:r w:rsidR="00121C89" w:rsidRPr="00435440">
        <w:rPr>
          <w:rFonts w:ascii="Times New Roman" w:hAnsi="Times New Roman" w:cs="Times New Roman"/>
          <w:sz w:val="24"/>
          <w:szCs w:val="24"/>
        </w:rPr>
        <w:t xml:space="preserve"> (Lewis 2011)</w:t>
      </w:r>
      <w:r w:rsidR="00214491">
        <w:rPr>
          <w:rFonts w:ascii="Times New Roman" w:hAnsi="Times New Roman" w:cs="Times New Roman"/>
          <w:sz w:val="24"/>
          <w:szCs w:val="24"/>
        </w:rPr>
        <w:t>.</w:t>
      </w:r>
      <w:r w:rsidRPr="00435440">
        <w:rPr>
          <w:rFonts w:ascii="Times New Roman" w:hAnsi="Times New Roman" w:cs="Times New Roman"/>
          <w:sz w:val="24"/>
          <w:szCs w:val="24"/>
        </w:rPr>
        <w:tab/>
      </w:r>
    </w:p>
    <w:p w14:paraId="7BC3C27C" w14:textId="77777777" w:rsidR="0095601D" w:rsidRPr="00435440" w:rsidRDefault="0095601D" w:rsidP="0095601D">
      <w:pPr>
        <w:spacing w:after="0" w:line="360" w:lineRule="auto"/>
        <w:jc w:val="both"/>
        <w:rPr>
          <w:rFonts w:ascii="Times New Roman" w:hAnsi="Times New Roman" w:cs="Times New Roman"/>
          <w:sz w:val="24"/>
          <w:szCs w:val="24"/>
        </w:rPr>
      </w:pPr>
    </w:p>
    <w:p w14:paraId="2008FD45" w14:textId="653AF3D4" w:rsidR="0095601D" w:rsidRDefault="00CA7D72" w:rsidP="0095601D">
      <w:pPr>
        <w:spacing w:after="0" w:line="360" w:lineRule="auto"/>
        <w:jc w:val="both"/>
        <w:rPr>
          <w:rFonts w:ascii="Times New Roman" w:hAnsi="Times New Roman" w:cs="Times New Roman"/>
          <w:sz w:val="24"/>
          <w:szCs w:val="24"/>
        </w:rPr>
      </w:pPr>
      <w:r w:rsidRPr="00435440">
        <w:rPr>
          <w:rFonts w:ascii="Times New Roman" w:hAnsi="Times New Roman" w:cs="Times New Roman"/>
          <w:sz w:val="24"/>
          <w:szCs w:val="24"/>
        </w:rPr>
        <w:t xml:space="preserve">Mortgages are indeed the </w:t>
      </w:r>
      <w:r w:rsidR="00A115D0">
        <w:rPr>
          <w:rFonts w:ascii="Times New Roman" w:hAnsi="Times New Roman" w:cs="Times New Roman"/>
          <w:sz w:val="24"/>
          <w:szCs w:val="24"/>
        </w:rPr>
        <w:t xml:space="preserve">largest </w:t>
      </w:r>
      <w:r w:rsidRPr="00435440">
        <w:rPr>
          <w:rFonts w:ascii="Times New Roman" w:hAnsi="Times New Roman" w:cs="Times New Roman"/>
          <w:sz w:val="24"/>
          <w:szCs w:val="24"/>
        </w:rPr>
        <w:t xml:space="preserve">financial product </w:t>
      </w:r>
      <w:r w:rsidR="00C821BC">
        <w:rPr>
          <w:rFonts w:ascii="Times New Roman" w:hAnsi="Times New Roman" w:cs="Times New Roman"/>
          <w:sz w:val="24"/>
          <w:szCs w:val="24"/>
        </w:rPr>
        <w:t>used</w:t>
      </w:r>
      <w:r w:rsidR="00A115D0">
        <w:rPr>
          <w:rFonts w:ascii="Times New Roman" w:hAnsi="Times New Roman" w:cs="Times New Roman"/>
          <w:sz w:val="24"/>
          <w:szCs w:val="24"/>
        </w:rPr>
        <w:t xml:space="preserve"> by</w:t>
      </w:r>
      <w:r w:rsidR="0062105F">
        <w:rPr>
          <w:rFonts w:ascii="Times New Roman" w:hAnsi="Times New Roman" w:cs="Times New Roman"/>
          <w:sz w:val="24"/>
          <w:szCs w:val="24"/>
        </w:rPr>
        <w:t xml:space="preserve"> the working and middle classes</w:t>
      </w:r>
      <w:r w:rsidRPr="00435440">
        <w:rPr>
          <w:rFonts w:ascii="Times New Roman" w:hAnsi="Times New Roman" w:cs="Times New Roman"/>
          <w:sz w:val="24"/>
          <w:szCs w:val="24"/>
        </w:rPr>
        <w:t xml:space="preserve">. </w:t>
      </w:r>
      <w:r w:rsidR="007834F3" w:rsidRPr="00435440">
        <w:rPr>
          <w:rFonts w:ascii="Times New Roman" w:hAnsi="Times New Roman" w:cs="Times New Roman"/>
          <w:sz w:val="24"/>
          <w:szCs w:val="24"/>
        </w:rPr>
        <w:t xml:space="preserve">For European and OECD </w:t>
      </w:r>
      <w:r w:rsidR="00E65406" w:rsidRPr="00435440">
        <w:rPr>
          <w:rFonts w:ascii="Times New Roman" w:hAnsi="Times New Roman" w:cs="Times New Roman"/>
          <w:sz w:val="24"/>
          <w:szCs w:val="24"/>
        </w:rPr>
        <w:t xml:space="preserve">countries </w:t>
      </w:r>
      <w:r w:rsidR="007834F3" w:rsidRPr="00435440">
        <w:rPr>
          <w:rFonts w:ascii="Times New Roman" w:hAnsi="Times New Roman" w:cs="Times New Roman"/>
          <w:sz w:val="24"/>
          <w:szCs w:val="24"/>
        </w:rPr>
        <w:t>– setting aside post-communist transition states where the housing stock was largely privatized prior to the development of a robust mortgage market</w:t>
      </w:r>
      <w:r w:rsidR="00692C65" w:rsidRPr="00435440">
        <w:rPr>
          <w:rFonts w:ascii="Times New Roman" w:hAnsi="Times New Roman" w:cs="Times New Roman"/>
          <w:sz w:val="24"/>
          <w:szCs w:val="24"/>
        </w:rPr>
        <w:t xml:space="preserve"> (see Bohle, 2014)</w:t>
      </w:r>
      <w:r w:rsidR="007834F3" w:rsidRPr="00435440">
        <w:rPr>
          <w:rFonts w:ascii="Times New Roman" w:hAnsi="Times New Roman" w:cs="Times New Roman"/>
          <w:sz w:val="24"/>
          <w:szCs w:val="24"/>
        </w:rPr>
        <w:t xml:space="preserve"> – mortgages make up the vast majority of </w:t>
      </w:r>
      <w:r w:rsidR="009A1E4B">
        <w:rPr>
          <w:rFonts w:ascii="Times New Roman" w:hAnsi="Times New Roman" w:cs="Times New Roman"/>
          <w:sz w:val="24"/>
          <w:szCs w:val="24"/>
        </w:rPr>
        <w:t>household</w:t>
      </w:r>
      <w:r w:rsidR="007834F3" w:rsidRPr="00435440">
        <w:rPr>
          <w:rFonts w:ascii="Times New Roman" w:hAnsi="Times New Roman" w:cs="Times New Roman"/>
          <w:sz w:val="24"/>
          <w:szCs w:val="24"/>
        </w:rPr>
        <w:t xml:space="preserve"> debt. </w:t>
      </w:r>
      <w:r w:rsidR="00BD0BB3">
        <w:rPr>
          <w:rFonts w:ascii="Times New Roman" w:hAnsi="Times New Roman" w:cs="Times New Roman"/>
          <w:sz w:val="24"/>
          <w:szCs w:val="24"/>
        </w:rPr>
        <w:t>L</w:t>
      </w:r>
      <w:r w:rsidR="00AA4852" w:rsidRPr="00435440">
        <w:rPr>
          <w:rFonts w:ascii="Times New Roman" w:hAnsi="Times New Roman" w:cs="Times New Roman"/>
          <w:sz w:val="24"/>
          <w:szCs w:val="24"/>
        </w:rPr>
        <w:t>ong-term</w:t>
      </w:r>
      <w:r w:rsidR="00381DB7">
        <w:rPr>
          <w:rFonts w:ascii="Times New Roman" w:hAnsi="Times New Roman" w:cs="Times New Roman"/>
          <w:sz w:val="24"/>
          <w:szCs w:val="24"/>
        </w:rPr>
        <w:t xml:space="preserve"> </w:t>
      </w:r>
      <w:r w:rsidR="00F57342">
        <w:rPr>
          <w:rFonts w:ascii="Times New Roman" w:hAnsi="Times New Roman" w:cs="Times New Roman"/>
          <w:sz w:val="24"/>
          <w:szCs w:val="24"/>
        </w:rPr>
        <w:t xml:space="preserve">mortgage </w:t>
      </w:r>
      <w:r w:rsidR="00BD0BB3">
        <w:rPr>
          <w:rFonts w:ascii="Times New Roman" w:hAnsi="Times New Roman" w:cs="Times New Roman"/>
          <w:sz w:val="24"/>
          <w:szCs w:val="24"/>
        </w:rPr>
        <w:t>loans (i.e., excluding pay-day loans</w:t>
      </w:r>
      <w:r w:rsidR="00863F8D">
        <w:rPr>
          <w:rFonts w:ascii="Times New Roman" w:hAnsi="Times New Roman" w:cs="Times New Roman"/>
          <w:sz w:val="24"/>
          <w:szCs w:val="24"/>
        </w:rPr>
        <w:t>, credit cards, home equity lines of credit and other forms of</w:t>
      </w:r>
      <w:r w:rsidR="00BD0BB3">
        <w:rPr>
          <w:rFonts w:ascii="Times New Roman" w:hAnsi="Times New Roman" w:cs="Times New Roman"/>
          <w:sz w:val="24"/>
          <w:szCs w:val="24"/>
        </w:rPr>
        <w:t xml:space="preserve"> short-term </w:t>
      </w:r>
      <w:r w:rsidR="00863F8D">
        <w:rPr>
          <w:rFonts w:ascii="Times New Roman" w:hAnsi="Times New Roman" w:cs="Times New Roman"/>
          <w:sz w:val="24"/>
          <w:szCs w:val="24"/>
        </w:rPr>
        <w:t>borrowing)</w:t>
      </w:r>
      <w:r w:rsidR="00BD0BB3">
        <w:rPr>
          <w:rFonts w:ascii="Times New Roman" w:hAnsi="Times New Roman" w:cs="Times New Roman"/>
          <w:sz w:val="24"/>
          <w:szCs w:val="24"/>
        </w:rPr>
        <w:t xml:space="preserve"> </w:t>
      </w:r>
      <w:r w:rsidR="00AA4852" w:rsidRPr="00435440">
        <w:rPr>
          <w:rFonts w:ascii="Times New Roman" w:hAnsi="Times New Roman" w:cs="Times New Roman"/>
          <w:sz w:val="24"/>
          <w:szCs w:val="24"/>
        </w:rPr>
        <w:t xml:space="preserve">account for </w:t>
      </w:r>
      <w:r w:rsidR="00BD0BB3">
        <w:rPr>
          <w:rFonts w:ascii="Times New Roman" w:hAnsi="Times New Roman" w:cs="Times New Roman"/>
          <w:sz w:val="24"/>
          <w:szCs w:val="24"/>
        </w:rPr>
        <w:t xml:space="preserve">between </w:t>
      </w:r>
      <w:r w:rsidR="00AA4852" w:rsidRPr="00435440">
        <w:rPr>
          <w:rFonts w:ascii="Times New Roman" w:hAnsi="Times New Roman" w:cs="Times New Roman"/>
          <w:sz w:val="24"/>
          <w:szCs w:val="24"/>
        </w:rPr>
        <w:t>80</w:t>
      </w:r>
      <w:r w:rsidR="00BD0BB3">
        <w:rPr>
          <w:rFonts w:ascii="Times New Roman" w:hAnsi="Times New Roman" w:cs="Times New Roman"/>
          <w:sz w:val="24"/>
          <w:szCs w:val="24"/>
        </w:rPr>
        <w:t xml:space="preserve"> and 90</w:t>
      </w:r>
      <w:r w:rsidR="00AA4852" w:rsidRPr="00435440">
        <w:rPr>
          <w:rFonts w:ascii="Times New Roman" w:hAnsi="Times New Roman" w:cs="Times New Roman"/>
          <w:sz w:val="24"/>
          <w:szCs w:val="24"/>
        </w:rPr>
        <w:t xml:space="preserve"> percent of </w:t>
      </w:r>
      <w:r w:rsidR="00BD0BB3">
        <w:rPr>
          <w:rFonts w:ascii="Times New Roman" w:hAnsi="Times New Roman" w:cs="Times New Roman"/>
          <w:sz w:val="24"/>
          <w:szCs w:val="24"/>
        </w:rPr>
        <w:t xml:space="preserve">all </w:t>
      </w:r>
      <w:r w:rsidR="00AA4852" w:rsidRPr="00435440">
        <w:rPr>
          <w:rFonts w:ascii="Times New Roman" w:hAnsi="Times New Roman" w:cs="Times New Roman"/>
          <w:sz w:val="24"/>
          <w:szCs w:val="24"/>
        </w:rPr>
        <w:t>household liabilities in</w:t>
      </w:r>
      <w:r w:rsidR="00BD0BB3">
        <w:rPr>
          <w:rFonts w:ascii="Times New Roman" w:hAnsi="Times New Roman" w:cs="Times New Roman"/>
          <w:sz w:val="24"/>
          <w:szCs w:val="24"/>
        </w:rPr>
        <w:t xml:space="preserve"> most</w:t>
      </w:r>
      <w:r w:rsidR="00AA4852" w:rsidRPr="00435440">
        <w:rPr>
          <w:rFonts w:ascii="Times New Roman" w:hAnsi="Times New Roman" w:cs="Times New Roman"/>
          <w:sz w:val="24"/>
          <w:szCs w:val="24"/>
        </w:rPr>
        <w:t xml:space="preserve"> OECD </w:t>
      </w:r>
      <w:r w:rsidR="0062105F">
        <w:rPr>
          <w:rFonts w:ascii="Times New Roman" w:hAnsi="Times New Roman" w:cs="Times New Roman"/>
          <w:sz w:val="24"/>
          <w:szCs w:val="24"/>
        </w:rPr>
        <w:t>countries</w:t>
      </w:r>
      <w:r w:rsidR="00AA4852" w:rsidRPr="00435440">
        <w:rPr>
          <w:rFonts w:ascii="Times New Roman" w:hAnsi="Times New Roman" w:cs="Times New Roman"/>
          <w:sz w:val="24"/>
          <w:szCs w:val="24"/>
        </w:rPr>
        <w:t>.</w:t>
      </w:r>
      <w:r w:rsidR="00BD0BB3">
        <w:rPr>
          <w:rStyle w:val="FootnoteReference"/>
          <w:rFonts w:ascii="Times New Roman" w:hAnsi="Times New Roman" w:cs="Times New Roman"/>
          <w:sz w:val="24"/>
          <w:szCs w:val="24"/>
        </w:rPr>
        <w:footnoteReference w:id="9"/>
      </w:r>
      <w:r w:rsidR="00AA4852" w:rsidRPr="00435440">
        <w:rPr>
          <w:rFonts w:ascii="Times New Roman" w:hAnsi="Times New Roman" w:cs="Times New Roman"/>
          <w:sz w:val="24"/>
          <w:szCs w:val="24"/>
        </w:rPr>
        <w:t xml:space="preserve"> </w:t>
      </w:r>
      <w:r w:rsidR="00BD0BB3">
        <w:rPr>
          <w:rFonts w:ascii="Times New Roman" w:hAnsi="Times New Roman" w:cs="Times New Roman"/>
          <w:sz w:val="24"/>
          <w:szCs w:val="24"/>
        </w:rPr>
        <w:t xml:space="preserve">Even in the United States, </w:t>
      </w:r>
      <w:r w:rsidR="00863F8D">
        <w:rPr>
          <w:rFonts w:ascii="Times New Roman" w:hAnsi="Times New Roman" w:cs="Times New Roman"/>
          <w:sz w:val="24"/>
          <w:szCs w:val="24"/>
        </w:rPr>
        <w:t>where student loan debt accounts for the largest share of non-mortgage household borrowing (around ten percent of the total</w:t>
      </w:r>
      <w:r w:rsidR="00F57342">
        <w:rPr>
          <w:rFonts w:ascii="Times New Roman" w:hAnsi="Times New Roman" w:cs="Times New Roman"/>
          <w:sz w:val="24"/>
          <w:szCs w:val="24"/>
        </w:rPr>
        <w:t>)</w:t>
      </w:r>
      <w:r w:rsidR="00863F8D">
        <w:rPr>
          <w:rFonts w:ascii="Times New Roman" w:hAnsi="Times New Roman" w:cs="Times New Roman"/>
          <w:sz w:val="24"/>
          <w:szCs w:val="24"/>
        </w:rPr>
        <w:t xml:space="preserve">, </w:t>
      </w:r>
      <w:r w:rsidR="00BD0BB3">
        <w:rPr>
          <w:rFonts w:ascii="Times New Roman" w:hAnsi="Times New Roman" w:cs="Times New Roman"/>
          <w:sz w:val="24"/>
          <w:szCs w:val="24"/>
        </w:rPr>
        <w:t>mortgages still account for 68 percent of all household debts.</w:t>
      </w:r>
      <w:r w:rsidR="00BD0BB3">
        <w:rPr>
          <w:rStyle w:val="FootnoteReference"/>
          <w:rFonts w:ascii="Times New Roman" w:hAnsi="Times New Roman" w:cs="Times New Roman"/>
          <w:sz w:val="24"/>
          <w:szCs w:val="24"/>
        </w:rPr>
        <w:footnoteReference w:id="10"/>
      </w:r>
      <w:r w:rsidR="00BD0BB3">
        <w:rPr>
          <w:rFonts w:ascii="Times New Roman" w:hAnsi="Times New Roman" w:cs="Times New Roman"/>
          <w:sz w:val="24"/>
          <w:szCs w:val="24"/>
        </w:rPr>
        <w:t xml:space="preserve"> </w:t>
      </w:r>
      <w:r w:rsidR="00AA4852" w:rsidRPr="00435440">
        <w:rPr>
          <w:rFonts w:ascii="Times New Roman" w:hAnsi="Times New Roman" w:cs="Times New Roman"/>
          <w:sz w:val="24"/>
          <w:szCs w:val="24"/>
        </w:rPr>
        <w:t>This means that when we talk about household debt, we are overwhelmingly talking about</w:t>
      </w:r>
      <w:r w:rsidR="00381DB7">
        <w:rPr>
          <w:rFonts w:ascii="Times New Roman" w:hAnsi="Times New Roman" w:cs="Times New Roman"/>
          <w:sz w:val="24"/>
          <w:szCs w:val="24"/>
        </w:rPr>
        <w:t xml:space="preserve"> </w:t>
      </w:r>
      <w:r w:rsidR="00AA4852" w:rsidRPr="00435440">
        <w:rPr>
          <w:rFonts w:ascii="Times New Roman" w:hAnsi="Times New Roman" w:cs="Times New Roman"/>
          <w:sz w:val="24"/>
          <w:szCs w:val="24"/>
        </w:rPr>
        <w:t xml:space="preserve">borrowing </w:t>
      </w:r>
      <w:r w:rsidR="00F57342">
        <w:rPr>
          <w:rFonts w:ascii="Times New Roman" w:hAnsi="Times New Roman" w:cs="Times New Roman"/>
          <w:sz w:val="24"/>
          <w:szCs w:val="24"/>
        </w:rPr>
        <w:t xml:space="preserve">a mortgage </w:t>
      </w:r>
      <w:r w:rsidR="00AA4852" w:rsidRPr="00435440">
        <w:rPr>
          <w:rFonts w:ascii="Times New Roman" w:hAnsi="Times New Roman" w:cs="Times New Roman"/>
          <w:sz w:val="24"/>
          <w:szCs w:val="24"/>
        </w:rPr>
        <w:t xml:space="preserve">for </w:t>
      </w:r>
      <w:r w:rsidR="00863F8D">
        <w:rPr>
          <w:rFonts w:ascii="Times New Roman" w:hAnsi="Times New Roman" w:cs="Times New Roman"/>
          <w:sz w:val="24"/>
          <w:szCs w:val="24"/>
        </w:rPr>
        <w:t>the purpose of buying</w:t>
      </w:r>
      <w:r w:rsidR="00AA4852" w:rsidRPr="00435440">
        <w:rPr>
          <w:rFonts w:ascii="Times New Roman" w:hAnsi="Times New Roman" w:cs="Times New Roman"/>
          <w:sz w:val="24"/>
          <w:szCs w:val="24"/>
        </w:rPr>
        <w:t xml:space="preserve"> a ho</w:t>
      </w:r>
      <w:r w:rsidR="00F57342">
        <w:rPr>
          <w:rFonts w:ascii="Times New Roman" w:hAnsi="Times New Roman" w:cs="Times New Roman"/>
          <w:sz w:val="24"/>
          <w:szCs w:val="24"/>
        </w:rPr>
        <w:t>me</w:t>
      </w:r>
      <w:r w:rsidR="00AA4852" w:rsidRPr="00435440">
        <w:rPr>
          <w:rFonts w:ascii="Times New Roman" w:hAnsi="Times New Roman" w:cs="Times New Roman"/>
          <w:sz w:val="24"/>
          <w:szCs w:val="24"/>
        </w:rPr>
        <w:t xml:space="preserve">. </w:t>
      </w:r>
    </w:p>
    <w:p w14:paraId="585C663C" w14:textId="77777777" w:rsidR="00E061D8" w:rsidRPr="00435440" w:rsidRDefault="00E061D8" w:rsidP="0095601D">
      <w:pPr>
        <w:spacing w:after="0" w:line="360" w:lineRule="auto"/>
        <w:jc w:val="both"/>
        <w:rPr>
          <w:rFonts w:ascii="Times New Roman" w:hAnsi="Times New Roman" w:cs="Times New Roman"/>
          <w:sz w:val="24"/>
          <w:szCs w:val="24"/>
        </w:rPr>
      </w:pPr>
    </w:p>
    <w:p w14:paraId="53BA7866" w14:textId="25D8C1F8" w:rsidR="00663CC3" w:rsidRPr="00435440" w:rsidRDefault="00663CC3" w:rsidP="0095601D">
      <w:pPr>
        <w:spacing w:after="0" w:line="360" w:lineRule="auto"/>
        <w:jc w:val="both"/>
        <w:rPr>
          <w:rFonts w:ascii="Times New Roman" w:hAnsi="Times New Roman" w:cs="Times New Roman"/>
          <w:sz w:val="24"/>
          <w:szCs w:val="24"/>
        </w:rPr>
      </w:pPr>
      <w:r w:rsidRPr="00435440">
        <w:rPr>
          <w:rFonts w:ascii="Times New Roman" w:hAnsi="Times New Roman" w:cs="Times New Roman"/>
          <w:sz w:val="24"/>
          <w:szCs w:val="24"/>
        </w:rPr>
        <w:t>In sum, looking at the origins of debt clearly reveals that households are playing a growing role in national financial systems</w:t>
      </w:r>
      <w:r w:rsidR="00863F8D">
        <w:rPr>
          <w:rFonts w:ascii="Times New Roman" w:hAnsi="Times New Roman" w:cs="Times New Roman"/>
          <w:sz w:val="24"/>
          <w:szCs w:val="24"/>
        </w:rPr>
        <w:t xml:space="preserve"> </w:t>
      </w:r>
      <w:r w:rsidR="00F50148" w:rsidRPr="00435440">
        <w:rPr>
          <w:rFonts w:ascii="Times New Roman" w:hAnsi="Times New Roman" w:cs="Times New Roman"/>
          <w:sz w:val="24"/>
          <w:szCs w:val="24"/>
        </w:rPr>
        <w:t>and</w:t>
      </w:r>
      <w:r w:rsidR="00863F8D">
        <w:rPr>
          <w:rFonts w:ascii="Times New Roman" w:hAnsi="Times New Roman" w:cs="Times New Roman"/>
          <w:sz w:val="24"/>
          <w:szCs w:val="24"/>
        </w:rPr>
        <w:t xml:space="preserve">, ultimately, </w:t>
      </w:r>
      <w:r w:rsidR="00F50148" w:rsidRPr="00435440">
        <w:rPr>
          <w:rFonts w:ascii="Times New Roman" w:hAnsi="Times New Roman" w:cs="Times New Roman"/>
          <w:sz w:val="24"/>
          <w:szCs w:val="24"/>
        </w:rPr>
        <w:t>the political economy of advanced capitalism</w:t>
      </w:r>
      <w:r w:rsidRPr="00435440">
        <w:rPr>
          <w:rFonts w:ascii="Times New Roman" w:hAnsi="Times New Roman" w:cs="Times New Roman"/>
          <w:sz w:val="24"/>
          <w:szCs w:val="24"/>
        </w:rPr>
        <w:t xml:space="preserve">. </w:t>
      </w:r>
      <w:r w:rsidR="003722C6" w:rsidRPr="00435440">
        <w:rPr>
          <w:rFonts w:ascii="Times New Roman" w:hAnsi="Times New Roman" w:cs="Times New Roman"/>
          <w:sz w:val="24"/>
          <w:szCs w:val="24"/>
        </w:rPr>
        <w:t xml:space="preserve">As </w:t>
      </w:r>
      <w:r w:rsidR="003722C6" w:rsidRPr="00435440">
        <w:rPr>
          <w:rFonts w:ascii="Times New Roman" w:hAnsi="Times New Roman" w:cs="Times New Roman"/>
          <w:sz w:val="24"/>
          <w:szCs w:val="24"/>
        </w:rPr>
        <w:lastRenderedPageBreak/>
        <w:t>noted above, one major consequence is that today’s advanced capitalist economie</w:t>
      </w:r>
      <w:r w:rsidR="00F50148" w:rsidRPr="00435440">
        <w:rPr>
          <w:rFonts w:ascii="Times New Roman" w:hAnsi="Times New Roman" w:cs="Times New Roman"/>
          <w:sz w:val="24"/>
          <w:szCs w:val="24"/>
        </w:rPr>
        <w:t xml:space="preserve">s are more reliant on the </w:t>
      </w:r>
      <w:r w:rsidR="003722C6" w:rsidRPr="00435440">
        <w:rPr>
          <w:rFonts w:ascii="Times New Roman" w:hAnsi="Times New Roman" w:cs="Times New Roman"/>
          <w:sz w:val="24"/>
          <w:szCs w:val="24"/>
        </w:rPr>
        <w:t xml:space="preserve">debt management of individual </w:t>
      </w:r>
      <w:r w:rsidR="00F50148" w:rsidRPr="00435440">
        <w:rPr>
          <w:rFonts w:ascii="Times New Roman" w:hAnsi="Times New Roman" w:cs="Times New Roman"/>
          <w:sz w:val="24"/>
          <w:szCs w:val="24"/>
        </w:rPr>
        <w:t>households</w:t>
      </w:r>
      <w:r w:rsidR="003722C6" w:rsidRPr="00435440">
        <w:rPr>
          <w:rFonts w:ascii="Times New Roman" w:hAnsi="Times New Roman" w:cs="Times New Roman"/>
          <w:sz w:val="24"/>
          <w:szCs w:val="24"/>
        </w:rPr>
        <w:t xml:space="preserve"> than they ever have been in the past. </w:t>
      </w:r>
      <w:r w:rsidR="00CA045F" w:rsidRPr="00435440">
        <w:rPr>
          <w:rFonts w:ascii="Times New Roman" w:hAnsi="Times New Roman" w:cs="Times New Roman"/>
          <w:sz w:val="24"/>
          <w:szCs w:val="24"/>
        </w:rPr>
        <w:t>Yet as</w:t>
      </w:r>
      <w:r w:rsidR="00DF58A1" w:rsidRPr="00435440">
        <w:rPr>
          <w:rFonts w:ascii="Times New Roman" w:hAnsi="Times New Roman" w:cs="Times New Roman"/>
          <w:sz w:val="24"/>
          <w:szCs w:val="24"/>
        </w:rPr>
        <w:t xml:space="preserve"> Figures 1 and 3 indicate</w:t>
      </w:r>
      <w:r w:rsidR="008B6D81" w:rsidRPr="00435440">
        <w:rPr>
          <w:rFonts w:ascii="Times New Roman" w:hAnsi="Times New Roman" w:cs="Times New Roman"/>
          <w:sz w:val="24"/>
          <w:szCs w:val="24"/>
        </w:rPr>
        <w:t xml:space="preserve">, significant variation in </w:t>
      </w:r>
      <w:r w:rsidR="00E65406" w:rsidRPr="00435440">
        <w:rPr>
          <w:rFonts w:ascii="Times New Roman" w:hAnsi="Times New Roman" w:cs="Times New Roman"/>
          <w:sz w:val="24"/>
          <w:szCs w:val="24"/>
        </w:rPr>
        <w:t>the</w:t>
      </w:r>
      <w:r w:rsidR="008B6D81" w:rsidRPr="00435440">
        <w:rPr>
          <w:rFonts w:ascii="Times New Roman" w:hAnsi="Times New Roman" w:cs="Times New Roman"/>
          <w:sz w:val="24"/>
          <w:szCs w:val="24"/>
        </w:rPr>
        <w:t xml:space="preserve"> growth </w:t>
      </w:r>
      <w:r w:rsidR="00E65406" w:rsidRPr="00435440">
        <w:rPr>
          <w:rFonts w:ascii="Times New Roman" w:hAnsi="Times New Roman" w:cs="Times New Roman"/>
          <w:sz w:val="24"/>
          <w:szCs w:val="24"/>
        </w:rPr>
        <w:t>of</w:t>
      </w:r>
      <w:r w:rsidR="008B6D81" w:rsidRPr="00435440">
        <w:rPr>
          <w:rFonts w:ascii="Times New Roman" w:hAnsi="Times New Roman" w:cs="Times New Roman"/>
          <w:sz w:val="24"/>
          <w:szCs w:val="24"/>
        </w:rPr>
        <w:t xml:space="preserve"> household debt remains </w:t>
      </w:r>
      <w:r w:rsidR="00E65406" w:rsidRPr="00435440">
        <w:rPr>
          <w:rFonts w:ascii="Times New Roman" w:hAnsi="Times New Roman" w:cs="Times New Roman"/>
          <w:sz w:val="24"/>
          <w:szCs w:val="24"/>
        </w:rPr>
        <w:t xml:space="preserve">to be </w:t>
      </w:r>
      <w:r w:rsidR="008B6D81" w:rsidRPr="00435440">
        <w:rPr>
          <w:rFonts w:ascii="Times New Roman" w:hAnsi="Times New Roman" w:cs="Times New Roman"/>
          <w:sz w:val="24"/>
          <w:szCs w:val="24"/>
        </w:rPr>
        <w:t>explained.  Below,</w:t>
      </w:r>
      <w:r w:rsidR="00DF58A1" w:rsidRPr="00435440">
        <w:rPr>
          <w:rFonts w:ascii="Times New Roman" w:hAnsi="Times New Roman" w:cs="Times New Roman"/>
          <w:sz w:val="24"/>
          <w:szCs w:val="24"/>
        </w:rPr>
        <w:t xml:space="preserve"> we </w:t>
      </w:r>
      <w:r w:rsidR="00CA045F" w:rsidRPr="00435440">
        <w:rPr>
          <w:rFonts w:ascii="Times New Roman" w:hAnsi="Times New Roman" w:cs="Times New Roman"/>
          <w:sz w:val="24"/>
          <w:szCs w:val="24"/>
        </w:rPr>
        <w:t>argue</w:t>
      </w:r>
      <w:r w:rsidR="00DF58A1" w:rsidRPr="00435440">
        <w:rPr>
          <w:rFonts w:ascii="Times New Roman" w:hAnsi="Times New Roman" w:cs="Times New Roman"/>
          <w:sz w:val="24"/>
          <w:szCs w:val="24"/>
        </w:rPr>
        <w:t xml:space="preserve"> that </w:t>
      </w:r>
      <w:r w:rsidR="00BE5A2A">
        <w:rPr>
          <w:rFonts w:ascii="Times New Roman" w:hAnsi="Times New Roman" w:cs="Times New Roman"/>
          <w:sz w:val="24"/>
          <w:szCs w:val="24"/>
        </w:rPr>
        <w:t>explaining</w:t>
      </w:r>
      <w:r w:rsidR="00BE5A2A" w:rsidRPr="00435440">
        <w:rPr>
          <w:rFonts w:ascii="Times New Roman" w:hAnsi="Times New Roman" w:cs="Times New Roman"/>
          <w:sz w:val="24"/>
          <w:szCs w:val="24"/>
        </w:rPr>
        <w:t xml:space="preserve"> </w:t>
      </w:r>
      <w:r w:rsidR="00BE5A2A">
        <w:rPr>
          <w:rFonts w:ascii="Times New Roman" w:hAnsi="Times New Roman" w:cs="Times New Roman"/>
          <w:sz w:val="24"/>
          <w:szCs w:val="24"/>
        </w:rPr>
        <w:t>different trajectories in household indebtedness across Europe</w:t>
      </w:r>
      <w:r w:rsidR="00E65406" w:rsidRPr="00435440">
        <w:rPr>
          <w:rFonts w:ascii="Times New Roman" w:hAnsi="Times New Roman" w:cs="Times New Roman"/>
          <w:sz w:val="24"/>
          <w:szCs w:val="24"/>
        </w:rPr>
        <w:t xml:space="preserve"> </w:t>
      </w:r>
      <w:r w:rsidR="00DF58A1" w:rsidRPr="00435440">
        <w:rPr>
          <w:rFonts w:ascii="Times New Roman" w:hAnsi="Times New Roman" w:cs="Times New Roman"/>
          <w:sz w:val="24"/>
          <w:szCs w:val="24"/>
        </w:rPr>
        <w:t xml:space="preserve">requires </w:t>
      </w:r>
      <w:r w:rsidR="00DC3D4D">
        <w:rPr>
          <w:rFonts w:ascii="Times New Roman" w:hAnsi="Times New Roman" w:cs="Times New Roman"/>
          <w:sz w:val="24"/>
          <w:szCs w:val="24"/>
        </w:rPr>
        <w:t xml:space="preserve">an </w:t>
      </w:r>
      <w:r w:rsidR="00DF58A1" w:rsidRPr="00435440">
        <w:rPr>
          <w:rFonts w:ascii="Times New Roman" w:hAnsi="Times New Roman" w:cs="Times New Roman"/>
          <w:sz w:val="24"/>
          <w:szCs w:val="24"/>
        </w:rPr>
        <w:t>understanding</w:t>
      </w:r>
      <w:r w:rsidR="00DC3D4D">
        <w:rPr>
          <w:rFonts w:ascii="Times New Roman" w:hAnsi="Times New Roman" w:cs="Times New Roman"/>
          <w:sz w:val="24"/>
          <w:szCs w:val="24"/>
        </w:rPr>
        <w:t xml:space="preserve"> of</w:t>
      </w:r>
      <w:r w:rsidR="00DF58A1" w:rsidRPr="00435440">
        <w:rPr>
          <w:rFonts w:ascii="Times New Roman" w:hAnsi="Times New Roman" w:cs="Times New Roman"/>
          <w:sz w:val="24"/>
          <w:szCs w:val="24"/>
        </w:rPr>
        <w:t xml:space="preserve"> two markets and how they interact: the labor market, which governs income </w:t>
      </w:r>
      <w:r w:rsidR="00DC3D4D">
        <w:rPr>
          <w:rFonts w:ascii="Times New Roman" w:hAnsi="Times New Roman" w:cs="Times New Roman"/>
          <w:sz w:val="24"/>
          <w:szCs w:val="24"/>
        </w:rPr>
        <w:t xml:space="preserve">and employment </w:t>
      </w:r>
      <w:r w:rsidR="009B589E">
        <w:rPr>
          <w:rFonts w:ascii="Times New Roman" w:hAnsi="Times New Roman" w:cs="Times New Roman"/>
          <w:sz w:val="24"/>
          <w:szCs w:val="24"/>
        </w:rPr>
        <w:t>conditions</w:t>
      </w:r>
      <w:r w:rsidR="00DF58A1" w:rsidRPr="00435440">
        <w:rPr>
          <w:rFonts w:ascii="Times New Roman" w:hAnsi="Times New Roman" w:cs="Times New Roman"/>
          <w:sz w:val="24"/>
          <w:szCs w:val="24"/>
        </w:rPr>
        <w:t>, and the mortgage market, which governs how much debt households can accumulate</w:t>
      </w:r>
      <w:r w:rsidR="00CB7FE5" w:rsidRPr="00435440">
        <w:rPr>
          <w:rFonts w:ascii="Times New Roman" w:hAnsi="Times New Roman" w:cs="Times New Roman"/>
          <w:sz w:val="24"/>
          <w:szCs w:val="24"/>
        </w:rPr>
        <w:t xml:space="preserve"> to finance home-ownership</w:t>
      </w:r>
      <w:r w:rsidR="00DF58A1" w:rsidRPr="00435440">
        <w:rPr>
          <w:rFonts w:ascii="Times New Roman" w:hAnsi="Times New Roman" w:cs="Times New Roman"/>
          <w:sz w:val="24"/>
          <w:szCs w:val="24"/>
        </w:rPr>
        <w:t xml:space="preserve">.  </w:t>
      </w:r>
    </w:p>
    <w:p w14:paraId="26EC01C5" w14:textId="77777777" w:rsidR="009940E7" w:rsidRDefault="009940E7" w:rsidP="007B62B6">
      <w:pPr>
        <w:pStyle w:val="ListParagraph"/>
        <w:spacing w:before="100" w:beforeAutospacing="1" w:after="100" w:afterAutospacing="1" w:line="360" w:lineRule="auto"/>
        <w:jc w:val="both"/>
        <w:rPr>
          <w:rFonts w:ascii="Times New Roman" w:hAnsi="Times New Roman" w:cs="Times New Roman"/>
          <w:sz w:val="24"/>
          <w:szCs w:val="24"/>
        </w:rPr>
      </w:pPr>
    </w:p>
    <w:p w14:paraId="21A8F2F8" w14:textId="77777777" w:rsidR="00A10DA4" w:rsidRPr="00435440" w:rsidRDefault="00A10DA4" w:rsidP="007B62B6">
      <w:pPr>
        <w:pStyle w:val="ListParagraph"/>
        <w:spacing w:before="100" w:beforeAutospacing="1" w:after="100" w:afterAutospacing="1" w:line="360" w:lineRule="auto"/>
        <w:jc w:val="both"/>
        <w:rPr>
          <w:rFonts w:ascii="Times New Roman" w:hAnsi="Times New Roman" w:cs="Times New Roman"/>
          <w:sz w:val="24"/>
          <w:szCs w:val="24"/>
        </w:rPr>
      </w:pPr>
    </w:p>
    <w:p w14:paraId="13E8FB0A" w14:textId="6F4E2D1D" w:rsidR="0095601D" w:rsidRPr="00A10DA4" w:rsidRDefault="00D91DF4" w:rsidP="00A10DA4">
      <w:pPr>
        <w:pStyle w:val="ListParagraph"/>
        <w:keepNext/>
        <w:numPr>
          <w:ilvl w:val="0"/>
          <w:numId w:val="2"/>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Two to tango</w:t>
      </w:r>
      <w:r w:rsidR="00CB7FE5" w:rsidRPr="00DC3D4D">
        <w:rPr>
          <w:rFonts w:ascii="Times New Roman" w:hAnsi="Times New Roman" w:cs="Times New Roman"/>
          <w:b/>
          <w:sz w:val="24"/>
          <w:szCs w:val="24"/>
        </w:rPr>
        <w:t xml:space="preserve">: </w:t>
      </w:r>
      <w:r w:rsidRPr="00DC3D4D">
        <w:rPr>
          <w:rFonts w:ascii="Times New Roman" w:hAnsi="Times New Roman" w:cs="Times New Roman"/>
          <w:b/>
          <w:sz w:val="24"/>
          <w:szCs w:val="24"/>
        </w:rPr>
        <w:t xml:space="preserve">the </w:t>
      </w:r>
      <w:r w:rsidR="00CB7FE5" w:rsidRPr="00DC3D4D">
        <w:rPr>
          <w:rFonts w:ascii="Times New Roman" w:hAnsi="Times New Roman" w:cs="Times New Roman"/>
          <w:b/>
          <w:sz w:val="24"/>
          <w:szCs w:val="24"/>
        </w:rPr>
        <w:t xml:space="preserve">impact </w:t>
      </w:r>
      <w:r w:rsidR="00A54048">
        <w:rPr>
          <w:rFonts w:ascii="Times New Roman" w:hAnsi="Times New Roman" w:cs="Times New Roman"/>
          <w:b/>
          <w:sz w:val="24"/>
          <w:szCs w:val="24"/>
        </w:rPr>
        <w:t>of labo</w:t>
      </w:r>
      <w:r w:rsidRPr="00DC3D4D">
        <w:rPr>
          <w:rFonts w:ascii="Times New Roman" w:hAnsi="Times New Roman" w:cs="Times New Roman"/>
          <w:b/>
          <w:sz w:val="24"/>
          <w:szCs w:val="24"/>
        </w:rPr>
        <w:t xml:space="preserve">r and mortgage markets on </w:t>
      </w:r>
      <w:r w:rsidR="00435440" w:rsidRPr="00DC3D4D">
        <w:rPr>
          <w:rFonts w:ascii="Times New Roman" w:hAnsi="Times New Roman" w:cs="Times New Roman"/>
          <w:b/>
          <w:sz w:val="24"/>
          <w:szCs w:val="24"/>
        </w:rPr>
        <w:t>household debt</w:t>
      </w:r>
      <w:r w:rsidR="00CB7FE5" w:rsidRPr="00DC3D4D">
        <w:rPr>
          <w:rFonts w:ascii="Times New Roman" w:hAnsi="Times New Roman" w:cs="Times New Roman"/>
          <w:b/>
          <w:sz w:val="24"/>
          <w:szCs w:val="24"/>
        </w:rPr>
        <w:t xml:space="preserve"> </w:t>
      </w:r>
    </w:p>
    <w:p w14:paraId="31A283B4" w14:textId="546DD48E" w:rsidR="001C6D43" w:rsidRPr="00DC3D4D" w:rsidRDefault="00DC3D4D" w:rsidP="0095601D">
      <w:pPr>
        <w:spacing w:after="0" w:line="360" w:lineRule="auto"/>
        <w:jc w:val="both"/>
        <w:rPr>
          <w:rFonts w:ascii="Times New Roman" w:hAnsi="Times New Roman" w:cs="Times New Roman"/>
          <w:sz w:val="24"/>
          <w:szCs w:val="24"/>
        </w:rPr>
      </w:pPr>
      <w:r w:rsidRPr="00DC3D4D">
        <w:rPr>
          <w:rFonts w:ascii="Times New Roman" w:hAnsi="Times New Roman" w:cs="Times New Roman"/>
          <w:sz w:val="24"/>
          <w:szCs w:val="24"/>
        </w:rPr>
        <w:t xml:space="preserve">We provide a </w:t>
      </w:r>
      <w:r w:rsidR="00E061D8">
        <w:rPr>
          <w:rFonts w:ascii="Times New Roman" w:hAnsi="Times New Roman" w:cs="Times New Roman"/>
          <w:sz w:val="24"/>
          <w:szCs w:val="24"/>
        </w:rPr>
        <w:t xml:space="preserve">theoretical </w:t>
      </w:r>
      <w:r w:rsidRPr="00DC3D4D">
        <w:rPr>
          <w:rFonts w:ascii="Times New Roman" w:hAnsi="Times New Roman" w:cs="Times New Roman"/>
          <w:sz w:val="24"/>
          <w:szCs w:val="24"/>
        </w:rPr>
        <w:t>framework that</w:t>
      </w:r>
      <w:r w:rsidR="00236C84" w:rsidRPr="00DC3D4D">
        <w:rPr>
          <w:rFonts w:ascii="Times New Roman" w:hAnsi="Times New Roman" w:cs="Times New Roman"/>
          <w:sz w:val="24"/>
          <w:szCs w:val="24"/>
        </w:rPr>
        <w:t xml:space="preserve"> explain</w:t>
      </w:r>
      <w:r w:rsidRPr="00DC3D4D">
        <w:rPr>
          <w:rFonts w:ascii="Times New Roman" w:hAnsi="Times New Roman" w:cs="Times New Roman"/>
          <w:sz w:val="24"/>
          <w:szCs w:val="24"/>
        </w:rPr>
        <w:t>s</w:t>
      </w:r>
      <w:r w:rsidR="00635F90" w:rsidRPr="00DC3D4D">
        <w:rPr>
          <w:rFonts w:ascii="Times New Roman" w:hAnsi="Times New Roman" w:cs="Times New Roman"/>
          <w:sz w:val="24"/>
          <w:szCs w:val="24"/>
        </w:rPr>
        <w:t xml:space="preserve"> how</w:t>
      </w:r>
      <w:r w:rsidR="00B81449" w:rsidRPr="00DC3D4D">
        <w:rPr>
          <w:rFonts w:ascii="Times New Roman" w:hAnsi="Times New Roman" w:cs="Times New Roman"/>
          <w:sz w:val="24"/>
          <w:szCs w:val="24"/>
        </w:rPr>
        <w:t xml:space="preserve"> </w:t>
      </w:r>
      <w:r w:rsidR="00635F90" w:rsidRPr="00DC3D4D">
        <w:rPr>
          <w:rFonts w:ascii="Times New Roman" w:hAnsi="Times New Roman" w:cs="Times New Roman"/>
          <w:sz w:val="24"/>
          <w:szCs w:val="24"/>
        </w:rPr>
        <w:t xml:space="preserve">two key sets of institutions – those governing income </w:t>
      </w:r>
      <w:r w:rsidR="009B589E">
        <w:rPr>
          <w:rFonts w:ascii="Times New Roman" w:hAnsi="Times New Roman" w:cs="Times New Roman"/>
          <w:sz w:val="24"/>
          <w:szCs w:val="24"/>
        </w:rPr>
        <w:t>and employment</w:t>
      </w:r>
      <w:r w:rsidR="009B589E" w:rsidRPr="00DC3D4D">
        <w:rPr>
          <w:rFonts w:ascii="Times New Roman" w:hAnsi="Times New Roman" w:cs="Times New Roman"/>
          <w:sz w:val="24"/>
          <w:szCs w:val="24"/>
        </w:rPr>
        <w:t xml:space="preserve"> </w:t>
      </w:r>
      <w:r w:rsidR="00635F90" w:rsidRPr="00DC3D4D">
        <w:rPr>
          <w:rFonts w:ascii="Times New Roman" w:hAnsi="Times New Roman" w:cs="Times New Roman"/>
          <w:sz w:val="24"/>
          <w:szCs w:val="24"/>
        </w:rPr>
        <w:t>(</w:t>
      </w:r>
      <w:r w:rsidR="00070ECE" w:rsidRPr="00DC3D4D">
        <w:rPr>
          <w:rFonts w:ascii="Times New Roman" w:hAnsi="Times New Roman" w:cs="Times New Roman"/>
          <w:sz w:val="24"/>
          <w:szCs w:val="24"/>
        </w:rPr>
        <w:t xml:space="preserve">i.e., </w:t>
      </w:r>
      <w:r w:rsidR="009B589E">
        <w:rPr>
          <w:rFonts w:ascii="Times New Roman" w:hAnsi="Times New Roman" w:cs="Times New Roman"/>
          <w:sz w:val="24"/>
          <w:szCs w:val="24"/>
        </w:rPr>
        <w:t>the organization of wage-setting and the unionization of the labor force</w:t>
      </w:r>
      <w:r w:rsidR="00635F90" w:rsidRPr="00DC3D4D">
        <w:rPr>
          <w:rFonts w:ascii="Times New Roman" w:hAnsi="Times New Roman" w:cs="Times New Roman"/>
          <w:sz w:val="24"/>
          <w:szCs w:val="24"/>
        </w:rPr>
        <w:t xml:space="preserve">) and those governing </w:t>
      </w:r>
      <w:r w:rsidR="00070ECE" w:rsidRPr="00DC3D4D">
        <w:rPr>
          <w:rFonts w:ascii="Times New Roman" w:hAnsi="Times New Roman" w:cs="Times New Roman"/>
          <w:sz w:val="24"/>
          <w:szCs w:val="24"/>
        </w:rPr>
        <w:t>housing finance (i.e., mortgage markets)</w:t>
      </w:r>
      <w:r w:rsidR="00635F90" w:rsidRPr="00DC3D4D">
        <w:rPr>
          <w:rFonts w:ascii="Times New Roman" w:hAnsi="Times New Roman" w:cs="Times New Roman"/>
          <w:sz w:val="24"/>
          <w:szCs w:val="24"/>
        </w:rPr>
        <w:t xml:space="preserve"> – interact to determine </w:t>
      </w:r>
      <w:r w:rsidR="002E3582" w:rsidRPr="00DC3D4D">
        <w:rPr>
          <w:rFonts w:ascii="Times New Roman" w:hAnsi="Times New Roman" w:cs="Times New Roman"/>
          <w:sz w:val="24"/>
          <w:szCs w:val="24"/>
        </w:rPr>
        <w:t>household debt</w:t>
      </w:r>
      <w:r w:rsidR="00635F90" w:rsidRPr="00DC3D4D">
        <w:rPr>
          <w:rFonts w:ascii="Times New Roman" w:hAnsi="Times New Roman" w:cs="Times New Roman"/>
          <w:sz w:val="24"/>
          <w:szCs w:val="24"/>
        </w:rPr>
        <w:t xml:space="preserve">. </w:t>
      </w:r>
      <w:r w:rsidR="00586085">
        <w:rPr>
          <w:rFonts w:ascii="Times New Roman" w:hAnsi="Times New Roman" w:cs="Times New Roman"/>
          <w:sz w:val="24"/>
          <w:szCs w:val="24"/>
        </w:rPr>
        <w:t>In Europe</w:t>
      </w:r>
      <w:r w:rsidR="00E061D8">
        <w:rPr>
          <w:rFonts w:ascii="Times New Roman" w:hAnsi="Times New Roman" w:cs="Times New Roman"/>
          <w:sz w:val="24"/>
          <w:szCs w:val="24"/>
        </w:rPr>
        <w:t xml:space="preserve"> and advanced market economies</w:t>
      </w:r>
      <w:r w:rsidR="00586085">
        <w:rPr>
          <w:rFonts w:ascii="Times New Roman" w:hAnsi="Times New Roman" w:cs="Times New Roman"/>
          <w:sz w:val="24"/>
          <w:szCs w:val="24"/>
        </w:rPr>
        <w:t>, l</w:t>
      </w:r>
      <w:r w:rsidR="00792781">
        <w:rPr>
          <w:rFonts w:ascii="Times New Roman" w:hAnsi="Times New Roman" w:cs="Times New Roman"/>
          <w:sz w:val="24"/>
          <w:szCs w:val="24"/>
        </w:rPr>
        <w:t>abo</w:t>
      </w:r>
      <w:r w:rsidR="00241421" w:rsidRPr="00DC3D4D">
        <w:rPr>
          <w:rFonts w:ascii="Times New Roman" w:hAnsi="Times New Roman" w:cs="Times New Roman"/>
          <w:sz w:val="24"/>
          <w:szCs w:val="24"/>
        </w:rPr>
        <w:t>r market institutions are important because they directly influence income</w:t>
      </w:r>
      <w:r>
        <w:rPr>
          <w:rFonts w:ascii="Times New Roman" w:hAnsi="Times New Roman" w:cs="Times New Roman"/>
          <w:sz w:val="24"/>
          <w:szCs w:val="24"/>
        </w:rPr>
        <w:t xml:space="preserve"> and employment</w:t>
      </w:r>
      <w:r w:rsidR="009B589E">
        <w:rPr>
          <w:rFonts w:ascii="Times New Roman" w:hAnsi="Times New Roman" w:cs="Times New Roman"/>
          <w:sz w:val="24"/>
          <w:szCs w:val="24"/>
        </w:rPr>
        <w:t xml:space="preserve"> terms</w:t>
      </w:r>
      <w:r w:rsidR="00241421" w:rsidRPr="00DC3D4D">
        <w:rPr>
          <w:rFonts w:ascii="Times New Roman" w:hAnsi="Times New Roman" w:cs="Times New Roman"/>
          <w:sz w:val="24"/>
          <w:szCs w:val="24"/>
        </w:rPr>
        <w:t xml:space="preserve">, which </w:t>
      </w:r>
      <w:r>
        <w:rPr>
          <w:rFonts w:ascii="Times New Roman" w:hAnsi="Times New Roman" w:cs="Times New Roman"/>
          <w:sz w:val="24"/>
          <w:szCs w:val="24"/>
        </w:rPr>
        <w:t>are</w:t>
      </w:r>
      <w:r w:rsidRPr="00DC3D4D">
        <w:rPr>
          <w:rFonts w:ascii="Times New Roman" w:hAnsi="Times New Roman" w:cs="Times New Roman"/>
          <w:sz w:val="24"/>
          <w:szCs w:val="24"/>
        </w:rPr>
        <w:t xml:space="preserve"> </w:t>
      </w:r>
      <w:r w:rsidR="00241421" w:rsidRPr="00DC3D4D">
        <w:rPr>
          <w:rFonts w:ascii="Times New Roman" w:hAnsi="Times New Roman" w:cs="Times New Roman"/>
          <w:sz w:val="24"/>
          <w:szCs w:val="24"/>
        </w:rPr>
        <w:t>unarguably the most important household characteristic that banks assess when issuing (prime) mortgages.</w:t>
      </w:r>
      <w:r w:rsidR="00241421" w:rsidRPr="00DC3D4D">
        <w:rPr>
          <w:rStyle w:val="FootnoteReference"/>
          <w:rFonts w:ascii="Times New Roman" w:hAnsi="Times New Roman" w:cs="Times New Roman"/>
          <w:sz w:val="24"/>
          <w:szCs w:val="24"/>
        </w:rPr>
        <w:footnoteReference w:id="11"/>
      </w:r>
      <w:r w:rsidR="00241421" w:rsidRPr="00DC3D4D">
        <w:rPr>
          <w:rFonts w:ascii="Times New Roman" w:hAnsi="Times New Roman" w:cs="Times New Roman"/>
          <w:sz w:val="24"/>
          <w:szCs w:val="24"/>
        </w:rPr>
        <w:t xml:space="preserve"> Logically, the more households earn </w:t>
      </w:r>
      <w:r>
        <w:rPr>
          <w:rFonts w:ascii="Times New Roman" w:hAnsi="Times New Roman" w:cs="Times New Roman"/>
          <w:sz w:val="24"/>
          <w:szCs w:val="24"/>
        </w:rPr>
        <w:t>and the more secure their employment status is</w:t>
      </w:r>
      <w:r w:rsidR="00241421" w:rsidRPr="00DC3D4D">
        <w:rPr>
          <w:rFonts w:ascii="Times New Roman" w:hAnsi="Times New Roman" w:cs="Times New Roman"/>
          <w:sz w:val="24"/>
          <w:szCs w:val="24"/>
        </w:rPr>
        <w:t xml:space="preserve">, the larger </w:t>
      </w:r>
      <w:r w:rsidR="009B589E">
        <w:rPr>
          <w:rFonts w:ascii="Times New Roman" w:hAnsi="Times New Roman" w:cs="Times New Roman"/>
          <w:sz w:val="24"/>
          <w:szCs w:val="24"/>
        </w:rPr>
        <w:t xml:space="preserve">the </w:t>
      </w:r>
      <w:r w:rsidR="00241421" w:rsidRPr="00DC3D4D">
        <w:rPr>
          <w:rFonts w:ascii="Times New Roman" w:hAnsi="Times New Roman" w:cs="Times New Roman"/>
          <w:sz w:val="24"/>
          <w:szCs w:val="24"/>
        </w:rPr>
        <w:t>mortgage</w:t>
      </w:r>
      <w:r w:rsidR="009B589E">
        <w:rPr>
          <w:rFonts w:ascii="Times New Roman" w:hAnsi="Times New Roman" w:cs="Times New Roman"/>
          <w:sz w:val="24"/>
          <w:szCs w:val="24"/>
        </w:rPr>
        <w:t xml:space="preserve"> they are able to service</w:t>
      </w:r>
      <w:r w:rsidR="00241421" w:rsidRPr="00DC3D4D">
        <w:rPr>
          <w:rFonts w:ascii="Times New Roman" w:hAnsi="Times New Roman" w:cs="Times New Roman"/>
          <w:sz w:val="24"/>
          <w:szCs w:val="24"/>
        </w:rPr>
        <w:t xml:space="preserve">.  </w:t>
      </w:r>
      <w:r w:rsidR="003365D8">
        <w:rPr>
          <w:rFonts w:ascii="Times New Roman" w:hAnsi="Times New Roman" w:cs="Times New Roman"/>
          <w:sz w:val="24"/>
          <w:szCs w:val="24"/>
        </w:rPr>
        <w:t xml:space="preserve">A household with secure income, and an upward trajectory </w:t>
      </w:r>
      <w:r w:rsidR="00EC219F">
        <w:rPr>
          <w:rFonts w:ascii="Times New Roman" w:hAnsi="Times New Roman" w:cs="Times New Roman"/>
          <w:sz w:val="24"/>
          <w:szCs w:val="24"/>
        </w:rPr>
        <w:t>of wage growth, is a safe</w:t>
      </w:r>
      <w:r w:rsidR="0033047A">
        <w:rPr>
          <w:rFonts w:ascii="Times New Roman" w:hAnsi="Times New Roman" w:cs="Times New Roman"/>
          <w:sz w:val="24"/>
          <w:szCs w:val="24"/>
        </w:rPr>
        <w:t>r</w:t>
      </w:r>
      <w:r w:rsidR="00EC219F">
        <w:rPr>
          <w:rFonts w:ascii="Times New Roman" w:hAnsi="Times New Roman" w:cs="Times New Roman"/>
          <w:sz w:val="24"/>
          <w:szCs w:val="24"/>
        </w:rPr>
        <w:t xml:space="preserve"> bet for mortgage lenders.</w:t>
      </w:r>
    </w:p>
    <w:p w14:paraId="6BF3603C" w14:textId="77777777" w:rsidR="0095601D" w:rsidRDefault="0095601D" w:rsidP="0095601D">
      <w:pPr>
        <w:spacing w:after="0" w:line="360" w:lineRule="auto"/>
        <w:jc w:val="both"/>
        <w:rPr>
          <w:rFonts w:ascii="Times New Roman" w:hAnsi="Times New Roman" w:cs="Times New Roman"/>
          <w:sz w:val="24"/>
          <w:szCs w:val="24"/>
        </w:rPr>
      </w:pPr>
    </w:p>
    <w:p w14:paraId="7454965A" w14:textId="3BBD60E3" w:rsidR="00944F1A" w:rsidRDefault="00DC3D4D" w:rsidP="009560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wealth of CPE literature has detailed why and how wage-setting institutions (including not only wage coordination and centralization, but also trade union density</w:t>
      </w:r>
      <w:r w:rsidR="00166552">
        <w:rPr>
          <w:rFonts w:ascii="Times New Roman" w:hAnsi="Times New Roman" w:cs="Times New Roman"/>
          <w:sz w:val="24"/>
          <w:szCs w:val="24"/>
        </w:rPr>
        <w:t xml:space="preserve"> and collective bargaining coverage</w:t>
      </w:r>
      <w:r>
        <w:rPr>
          <w:rFonts w:ascii="Times New Roman" w:hAnsi="Times New Roman" w:cs="Times New Roman"/>
          <w:sz w:val="24"/>
          <w:szCs w:val="24"/>
        </w:rPr>
        <w:t>) impact income and employment security in developed economies.  Power resource theorists would argue that strong unions</w:t>
      </w:r>
      <w:r w:rsidR="00166552">
        <w:rPr>
          <w:rFonts w:ascii="Times New Roman" w:hAnsi="Times New Roman" w:cs="Times New Roman"/>
          <w:sz w:val="24"/>
          <w:szCs w:val="24"/>
        </w:rPr>
        <w:t>, high</w:t>
      </w:r>
      <w:r w:rsidR="008722A2">
        <w:rPr>
          <w:rFonts w:ascii="Times New Roman" w:hAnsi="Times New Roman" w:cs="Times New Roman"/>
          <w:sz w:val="24"/>
          <w:szCs w:val="24"/>
        </w:rPr>
        <w:t>er</w:t>
      </w:r>
      <w:r w:rsidR="00166552">
        <w:rPr>
          <w:rFonts w:ascii="Times New Roman" w:hAnsi="Times New Roman" w:cs="Times New Roman"/>
          <w:sz w:val="24"/>
          <w:szCs w:val="24"/>
        </w:rPr>
        <w:t xml:space="preserve"> collective bargaining coverage,</w:t>
      </w:r>
      <w:r>
        <w:rPr>
          <w:rFonts w:ascii="Times New Roman" w:hAnsi="Times New Roman" w:cs="Times New Roman"/>
          <w:sz w:val="24"/>
          <w:szCs w:val="24"/>
        </w:rPr>
        <w:t xml:space="preserve"> and highly coordinated labor markets</w:t>
      </w:r>
      <w:r w:rsidR="0033047A">
        <w:rPr>
          <w:rFonts w:ascii="Times New Roman" w:hAnsi="Times New Roman" w:cs="Times New Roman"/>
          <w:sz w:val="24"/>
          <w:szCs w:val="24"/>
        </w:rPr>
        <w:t>,</w:t>
      </w:r>
      <w:r>
        <w:rPr>
          <w:rFonts w:ascii="Times New Roman" w:hAnsi="Times New Roman" w:cs="Times New Roman"/>
          <w:sz w:val="24"/>
          <w:szCs w:val="24"/>
        </w:rPr>
        <w:t xml:space="preserve"> are institutions that deliver wage and employment security, because these very institutions are the political vehicles through which labor organizes a</w:t>
      </w:r>
      <w:r w:rsidR="005C3AF2">
        <w:rPr>
          <w:rFonts w:ascii="Times New Roman" w:hAnsi="Times New Roman" w:cs="Times New Roman"/>
          <w:sz w:val="24"/>
          <w:szCs w:val="24"/>
        </w:rPr>
        <w:t>nd exerts its power (</w:t>
      </w:r>
      <w:proofErr w:type="spellStart"/>
      <w:r w:rsidR="005C3AF2">
        <w:rPr>
          <w:rFonts w:ascii="Times New Roman" w:hAnsi="Times New Roman" w:cs="Times New Roman"/>
          <w:sz w:val="24"/>
          <w:szCs w:val="24"/>
        </w:rPr>
        <w:t>Korpi</w:t>
      </w:r>
      <w:proofErr w:type="spellEnd"/>
      <w:r w:rsidR="005C3AF2">
        <w:rPr>
          <w:rFonts w:ascii="Times New Roman" w:hAnsi="Times New Roman" w:cs="Times New Roman"/>
          <w:sz w:val="24"/>
          <w:szCs w:val="24"/>
        </w:rPr>
        <w:t>, 2006</w:t>
      </w:r>
      <w:r>
        <w:rPr>
          <w:rFonts w:ascii="Times New Roman" w:hAnsi="Times New Roman" w:cs="Times New Roman"/>
          <w:sz w:val="24"/>
          <w:szCs w:val="24"/>
        </w:rPr>
        <w:t xml:space="preserve">). </w:t>
      </w:r>
      <w:r w:rsidR="00944F1A">
        <w:rPr>
          <w:rFonts w:ascii="Times New Roman" w:hAnsi="Times New Roman" w:cs="Times New Roman"/>
          <w:sz w:val="24"/>
          <w:szCs w:val="24"/>
        </w:rPr>
        <w:t xml:space="preserve">There is </w:t>
      </w:r>
      <w:r w:rsidR="008722A2">
        <w:rPr>
          <w:rFonts w:ascii="Times New Roman" w:hAnsi="Times New Roman" w:cs="Times New Roman"/>
          <w:sz w:val="24"/>
          <w:szCs w:val="24"/>
        </w:rPr>
        <w:t>now an</w:t>
      </w:r>
      <w:r w:rsidR="00944F1A">
        <w:rPr>
          <w:rFonts w:ascii="Times New Roman" w:hAnsi="Times New Roman" w:cs="Times New Roman"/>
          <w:sz w:val="24"/>
          <w:szCs w:val="24"/>
        </w:rPr>
        <w:t xml:space="preserve"> </w:t>
      </w:r>
      <w:r w:rsidR="003D23CF">
        <w:rPr>
          <w:rFonts w:ascii="Times New Roman" w:hAnsi="Times New Roman" w:cs="Times New Roman"/>
          <w:sz w:val="24"/>
          <w:szCs w:val="24"/>
        </w:rPr>
        <w:t>extensive literature</w:t>
      </w:r>
      <w:r w:rsidR="00944F1A">
        <w:rPr>
          <w:rFonts w:ascii="Times New Roman" w:hAnsi="Times New Roman" w:cs="Times New Roman"/>
          <w:sz w:val="24"/>
          <w:szCs w:val="24"/>
        </w:rPr>
        <w:t xml:space="preserve"> showing that </w:t>
      </w:r>
      <w:r w:rsidR="0033047A">
        <w:rPr>
          <w:rFonts w:ascii="Times New Roman" w:hAnsi="Times New Roman" w:cs="Times New Roman"/>
          <w:sz w:val="24"/>
          <w:szCs w:val="24"/>
        </w:rPr>
        <w:t>encompassing</w:t>
      </w:r>
      <w:r w:rsidR="00944F1A">
        <w:rPr>
          <w:rFonts w:ascii="Times New Roman" w:hAnsi="Times New Roman" w:cs="Times New Roman"/>
          <w:sz w:val="24"/>
          <w:szCs w:val="24"/>
        </w:rPr>
        <w:t xml:space="preserve"> trade unions and wider collective bargaining coverage provides a wage premium, particularly </w:t>
      </w:r>
      <w:r w:rsidR="008722A2">
        <w:rPr>
          <w:rFonts w:ascii="Times New Roman" w:hAnsi="Times New Roman" w:cs="Times New Roman"/>
          <w:sz w:val="24"/>
          <w:szCs w:val="24"/>
        </w:rPr>
        <w:t xml:space="preserve">for </w:t>
      </w:r>
      <w:r w:rsidR="008722A2">
        <w:rPr>
          <w:rFonts w:ascii="Times New Roman" w:hAnsi="Times New Roman" w:cs="Times New Roman"/>
          <w:sz w:val="24"/>
          <w:szCs w:val="24"/>
        </w:rPr>
        <w:lastRenderedPageBreak/>
        <w:t>middle</w:t>
      </w:r>
      <w:r w:rsidR="00944F1A">
        <w:rPr>
          <w:rFonts w:ascii="Times New Roman" w:hAnsi="Times New Roman" w:cs="Times New Roman"/>
          <w:sz w:val="24"/>
          <w:szCs w:val="24"/>
        </w:rPr>
        <w:t xml:space="preserve"> income households</w:t>
      </w:r>
      <w:r w:rsidR="00C76A5A">
        <w:rPr>
          <w:rFonts w:ascii="Times New Roman" w:hAnsi="Times New Roman" w:cs="Times New Roman"/>
          <w:sz w:val="24"/>
          <w:szCs w:val="24"/>
        </w:rPr>
        <w:t xml:space="preserve"> (</w:t>
      </w:r>
      <w:proofErr w:type="spellStart"/>
      <w:r w:rsidR="00715508">
        <w:rPr>
          <w:rFonts w:ascii="Times New Roman" w:hAnsi="Times New Roman" w:cs="Times New Roman"/>
          <w:sz w:val="24"/>
          <w:szCs w:val="24"/>
        </w:rPr>
        <w:t>Blanchflower</w:t>
      </w:r>
      <w:proofErr w:type="spellEnd"/>
      <w:r w:rsidR="00715508">
        <w:rPr>
          <w:rFonts w:ascii="Times New Roman" w:hAnsi="Times New Roman" w:cs="Times New Roman"/>
          <w:sz w:val="24"/>
          <w:szCs w:val="24"/>
        </w:rPr>
        <w:t xml:space="preserve"> &amp; Freeman, 1992; </w:t>
      </w:r>
      <w:r w:rsidR="00C76A5A">
        <w:rPr>
          <w:rFonts w:ascii="Times New Roman" w:hAnsi="Times New Roman" w:cs="Times New Roman"/>
          <w:sz w:val="24"/>
          <w:szCs w:val="24"/>
        </w:rPr>
        <w:t>Budd &amp; Na 2000;</w:t>
      </w:r>
      <w:r w:rsidR="00C16903">
        <w:rPr>
          <w:rFonts w:ascii="Times New Roman" w:hAnsi="Times New Roman" w:cs="Times New Roman"/>
          <w:sz w:val="24"/>
          <w:szCs w:val="24"/>
        </w:rPr>
        <w:t xml:space="preserve"> </w:t>
      </w:r>
      <w:proofErr w:type="spellStart"/>
      <w:r w:rsidR="00C16903">
        <w:rPr>
          <w:rFonts w:ascii="Times New Roman" w:hAnsi="Times New Roman" w:cs="Times New Roman"/>
          <w:sz w:val="24"/>
          <w:szCs w:val="24"/>
        </w:rPr>
        <w:t>Sto</w:t>
      </w:r>
      <w:r w:rsidR="00D67934">
        <w:rPr>
          <w:rFonts w:ascii="Times New Roman" w:hAnsi="Times New Roman" w:cs="Times New Roman"/>
          <w:sz w:val="24"/>
          <w:szCs w:val="24"/>
        </w:rPr>
        <w:t>ckhammer</w:t>
      </w:r>
      <w:proofErr w:type="spellEnd"/>
      <w:r w:rsidR="00D67934">
        <w:rPr>
          <w:rFonts w:ascii="Times New Roman" w:hAnsi="Times New Roman" w:cs="Times New Roman"/>
          <w:sz w:val="24"/>
          <w:szCs w:val="24"/>
        </w:rPr>
        <w:t>, 2017</w:t>
      </w:r>
      <w:r w:rsidR="00D81ED0">
        <w:rPr>
          <w:rFonts w:ascii="Times New Roman" w:hAnsi="Times New Roman" w:cs="Times New Roman"/>
          <w:sz w:val="24"/>
          <w:szCs w:val="24"/>
        </w:rPr>
        <w:t xml:space="preserve">; </w:t>
      </w:r>
      <w:proofErr w:type="spellStart"/>
      <w:r w:rsidR="00D81ED0">
        <w:rPr>
          <w:rFonts w:ascii="Times New Roman" w:hAnsi="Times New Roman" w:cs="Times New Roman"/>
          <w:sz w:val="24"/>
          <w:szCs w:val="24"/>
        </w:rPr>
        <w:t>Stockhammer</w:t>
      </w:r>
      <w:proofErr w:type="spellEnd"/>
      <w:r w:rsidR="00D81ED0">
        <w:rPr>
          <w:rFonts w:ascii="Times New Roman" w:hAnsi="Times New Roman" w:cs="Times New Roman"/>
          <w:sz w:val="24"/>
          <w:szCs w:val="24"/>
        </w:rPr>
        <w:t xml:space="preserve">, </w:t>
      </w:r>
      <w:proofErr w:type="spellStart"/>
      <w:r w:rsidR="00D81ED0">
        <w:rPr>
          <w:rFonts w:ascii="Times New Roman" w:hAnsi="Times New Roman" w:cs="Times New Roman"/>
          <w:sz w:val="24"/>
          <w:szCs w:val="24"/>
        </w:rPr>
        <w:t>Onaran</w:t>
      </w:r>
      <w:proofErr w:type="spellEnd"/>
      <w:r w:rsidR="00D81ED0">
        <w:rPr>
          <w:rFonts w:ascii="Times New Roman" w:hAnsi="Times New Roman" w:cs="Times New Roman"/>
          <w:sz w:val="24"/>
          <w:szCs w:val="24"/>
        </w:rPr>
        <w:t xml:space="preserve">, </w:t>
      </w:r>
      <w:proofErr w:type="spellStart"/>
      <w:r w:rsidR="00D81ED0">
        <w:rPr>
          <w:rFonts w:ascii="Times New Roman" w:hAnsi="Times New Roman" w:cs="Times New Roman"/>
          <w:sz w:val="24"/>
          <w:szCs w:val="24"/>
        </w:rPr>
        <w:t>Ederer</w:t>
      </w:r>
      <w:proofErr w:type="spellEnd"/>
      <w:r w:rsidR="00D81ED0">
        <w:rPr>
          <w:rFonts w:ascii="Times New Roman" w:hAnsi="Times New Roman" w:cs="Times New Roman"/>
          <w:sz w:val="24"/>
          <w:szCs w:val="24"/>
        </w:rPr>
        <w:t xml:space="preserve"> 2008)</w:t>
      </w:r>
      <w:r w:rsidR="00944F1A">
        <w:rPr>
          <w:rFonts w:ascii="Times New Roman" w:hAnsi="Times New Roman" w:cs="Times New Roman"/>
          <w:sz w:val="24"/>
          <w:szCs w:val="24"/>
        </w:rPr>
        <w:t xml:space="preserve">. </w:t>
      </w:r>
      <w:proofErr w:type="gramStart"/>
      <w:r w:rsidR="00944F1A">
        <w:rPr>
          <w:rFonts w:ascii="Times New Roman" w:hAnsi="Times New Roman" w:cs="Times New Roman"/>
          <w:sz w:val="24"/>
          <w:szCs w:val="24"/>
        </w:rPr>
        <w:t xml:space="preserve">Conversely, weaker unions, and </w:t>
      </w:r>
      <w:r w:rsidR="0033047A">
        <w:rPr>
          <w:rFonts w:ascii="Times New Roman" w:hAnsi="Times New Roman" w:cs="Times New Roman"/>
          <w:sz w:val="24"/>
          <w:szCs w:val="24"/>
        </w:rPr>
        <w:t>narrow</w:t>
      </w:r>
      <w:r w:rsidR="00944F1A">
        <w:rPr>
          <w:rFonts w:ascii="Times New Roman" w:hAnsi="Times New Roman" w:cs="Times New Roman"/>
          <w:sz w:val="24"/>
          <w:szCs w:val="24"/>
        </w:rPr>
        <w:t xml:space="preserve"> collective bargaining coverage </w:t>
      </w:r>
      <w:r w:rsidR="00576937">
        <w:rPr>
          <w:rFonts w:ascii="Times New Roman" w:hAnsi="Times New Roman" w:cs="Times New Roman"/>
          <w:sz w:val="24"/>
          <w:szCs w:val="24"/>
        </w:rPr>
        <w:t>results</w:t>
      </w:r>
      <w:r w:rsidR="00944F1A">
        <w:rPr>
          <w:rFonts w:ascii="Times New Roman" w:hAnsi="Times New Roman" w:cs="Times New Roman"/>
          <w:sz w:val="24"/>
          <w:szCs w:val="24"/>
        </w:rPr>
        <w:t xml:space="preserve"> in </w:t>
      </w:r>
      <w:r w:rsidR="0033047A">
        <w:rPr>
          <w:rFonts w:ascii="Times New Roman" w:hAnsi="Times New Roman" w:cs="Times New Roman"/>
          <w:sz w:val="24"/>
          <w:szCs w:val="24"/>
        </w:rPr>
        <w:t>weaker</w:t>
      </w:r>
      <w:r w:rsidR="00944F1A">
        <w:rPr>
          <w:rFonts w:ascii="Times New Roman" w:hAnsi="Times New Roman" w:cs="Times New Roman"/>
          <w:sz w:val="24"/>
          <w:szCs w:val="24"/>
        </w:rPr>
        <w:t xml:space="preserve"> wage growth</w:t>
      </w:r>
      <w:r w:rsidR="00576937">
        <w:rPr>
          <w:rFonts w:ascii="Times New Roman" w:hAnsi="Times New Roman" w:cs="Times New Roman"/>
          <w:sz w:val="24"/>
          <w:szCs w:val="24"/>
        </w:rPr>
        <w:t xml:space="preserve"> and </w:t>
      </w:r>
      <w:r w:rsidR="0033047A">
        <w:rPr>
          <w:rFonts w:ascii="Times New Roman" w:hAnsi="Times New Roman" w:cs="Times New Roman"/>
          <w:sz w:val="24"/>
          <w:szCs w:val="24"/>
        </w:rPr>
        <w:t>more precarious employment</w:t>
      </w:r>
      <w:r w:rsidR="00576937">
        <w:rPr>
          <w:rFonts w:ascii="Times New Roman" w:hAnsi="Times New Roman" w:cs="Times New Roman"/>
          <w:sz w:val="24"/>
          <w:szCs w:val="24"/>
        </w:rPr>
        <w:t>,</w:t>
      </w:r>
      <w:r w:rsidR="00C279DD">
        <w:rPr>
          <w:rFonts w:ascii="Times New Roman" w:hAnsi="Times New Roman" w:cs="Times New Roman"/>
          <w:sz w:val="24"/>
          <w:szCs w:val="24"/>
        </w:rPr>
        <w:t xml:space="preserve"> particularly</w:t>
      </w:r>
      <w:r w:rsidR="00944F1A">
        <w:rPr>
          <w:rFonts w:ascii="Times New Roman" w:hAnsi="Times New Roman" w:cs="Times New Roman"/>
          <w:sz w:val="24"/>
          <w:szCs w:val="24"/>
        </w:rPr>
        <w:t xml:space="preserve"> for lower and middle income households</w:t>
      </w:r>
      <w:r w:rsidR="00D81ED0">
        <w:rPr>
          <w:rFonts w:ascii="Times New Roman" w:hAnsi="Times New Roman" w:cs="Times New Roman"/>
          <w:sz w:val="24"/>
          <w:szCs w:val="24"/>
        </w:rPr>
        <w:t xml:space="preserve"> (</w:t>
      </w:r>
      <w:proofErr w:type="spellStart"/>
      <w:r w:rsidR="00D81ED0">
        <w:rPr>
          <w:rFonts w:ascii="Times New Roman" w:hAnsi="Times New Roman" w:cs="Times New Roman"/>
          <w:sz w:val="24"/>
          <w:szCs w:val="24"/>
        </w:rPr>
        <w:t>Baccaro</w:t>
      </w:r>
      <w:proofErr w:type="spellEnd"/>
      <w:r w:rsidR="00D81ED0">
        <w:rPr>
          <w:rFonts w:ascii="Times New Roman" w:hAnsi="Times New Roman" w:cs="Times New Roman"/>
          <w:sz w:val="24"/>
          <w:szCs w:val="24"/>
        </w:rPr>
        <w:t xml:space="preserve"> &amp; Howell 2017; </w:t>
      </w:r>
      <w:proofErr w:type="spellStart"/>
      <w:r w:rsidR="00452F50">
        <w:rPr>
          <w:rFonts w:ascii="Times New Roman" w:hAnsi="Times New Roman" w:cs="Times New Roman"/>
          <w:sz w:val="24"/>
          <w:szCs w:val="24"/>
        </w:rPr>
        <w:t>Dølvik</w:t>
      </w:r>
      <w:proofErr w:type="spellEnd"/>
      <w:r w:rsidR="00452F50">
        <w:rPr>
          <w:rFonts w:ascii="Times New Roman" w:hAnsi="Times New Roman" w:cs="Times New Roman"/>
          <w:sz w:val="24"/>
          <w:szCs w:val="24"/>
        </w:rPr>
        <w:t xml:space="preserve"> et al 2018)</w:t>
      </w:r>
      <w:r w:rsidR="00944F1A">
        <w:rPr>
          <w:rFonts w:ascii="Times New Roman" w:hAnsi="Times New Roman" w:cs="Times New Roman"/>
          <w:sz w:val="24"/>
          <w:szCs w:val="24"/>
        </w:rPr>
        <w:t>.</w:t>
      </w:r>
      <w:proofErr w:type="gramEnd"/>
      <w:r w:rsidR="00944F1A">
        <w:rPr>
          <w:rFonts w:ascii="Times New Roman" w:hAnsi="Times New Roman" w:cs="Times New Roman"/>
          <w:sz w:val="24"/>
          <w:szCs w:val="24"/>
        </w:rPr>
        <w:t xml:space="preserve"> </w:t>
      </w:r>
    </w:p>
    <w:p w14:paraId="14C5C23C" w14:textId="77777777" w:rsidR="00944F1A" w:rsidRDefault="00944F1A" w:rsidP="0095601D">
      <w:pPr>
        <w:spacing w:after="0" w:line="360" w:lineRule="auto"/>
        <w:jc w:val="both"/>
        <w:rPr>
          <w:rFonts w:ascii="Times New Roman" w:hAnsi="Times New Roman" w:cs="Times New Roman"/>
          <w:sz w:val="24"/>
          <w:szCs w:val="24"/>
        </w:rPr>
      </w:pPr>
    </w:p>
    <w:p w14:paraId="61087153" w14:textId="022FAA96" w:rsidR="00944F1A" w:rsidRDefault="00944F1A" w:rsidP="009560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EC219F">
        <w:rPr>
          <w:rFonts w:ascii="Times New Roman" w:hAnsi="Times New Roman" w:cs="Times New Roman"/>
          <w:sz w:val="24"/>
          <w:szCs w:val="24"/>
        </w:rPr>
        <w:t>t is important to note that in</w:t>
      </w:r>
      <w:r>
        <w:rPr>
          <w:rFonts w:ascii="Times New Roman" w:hAnsi="Times New Roman" w:cs="Times New Roman"/>
          <w:sz w:val="24"/>
          <w:szCs w:val="24"/>
        </w:rPr>
        <w:t xml:space="preserve"> terms of the </w:t>
      </w:r>
      <w:r w:rsidRPr="00E061D8">
        <w:rPr>
          <w:rFonts w:ascii="Times New Roman" w:hAnsi="Times New Roman" w:cs="Times New Roman"/>
          <w:i/>
          <w:sz w:val="24"/>
          <w:szCs w:val="24"/>
        </w:rPr>
        <w:t>European political economy</w:t>
      </w:r>
      <w:r>
        <w:rPr>
          <w:rFonts w:ascii="Times New Roman" w:hAnsi="Times New Roman" w:cs="Times New Roman"/>
          <w:sz w:val="24"/>
          <w:szCs w:val="24"/>
        </w:rPr>
        <w:t xml:space="preserve">, </w:t>
      </w:r>
      <w:r w:rsidR="00EC219F">
        <w:rPr>
          <w:rFonts w:ascii="Times New Roman" w:hAnsi="Times New Roman" w:cs="Times New Roman"/>
          <w:sz w:val="24"/>
          <w:szCs w:val="24"/>
        </w:rPr>
        <w:t xml:space="preserve">weak unions and shrinking collective bargaining, does not imply a decline in wage </w:t>
      </w:r>
      <w:r w:rsidR="00EC219F" w:rsidRPr="0033047A">
        <w:rPr>
          <w:rFonts w:ascii="Times New Roman" w:hAnsi="Times New Roman" w:cs="Times New Roman"/>
          <w:sz w:val="24"/>
          <w:szCs w:val="24"/>
        </w:rPr>
        <w:t>coordination</w:t>
      </w:r>
      <w:r w:rsidR="00EC219F">
        <w:rPr>
          <w:rFonts w:ascii="Times New Roman" w:hAnsi="Times New Roman" w:cs="Times New Roman"/>
          <w:sz w:val="24"/>
          <w:szCs w:val="24"/>
        </w:rPr>
        <w:t xml:space="preserve">, particularly amongst employers in core sectors of the economy. This is precisely the argument of varieties of capitalism – Germany can remain a ‘coordinated’ market economy, even </w:t>
      </w:r>
      <w:r w:rsidR="00A54048">
        <w:rPr>
          <w:rFonts w:ascii="Times New Roman" w:hAnsi="Times New Roman" w:cs="Times New Roman"/>
          <w:sz w:val="24"/>
          <w:szCs w:val="24"/>
        </w:rPr>
        <w:t>in the context of weakened labo</w:t>
      </w:r>
      <w:r w:rsidR="00EC219F">
        <w:rPr>
          <w:rFonts w:ascii="Times New Roman" w:hAnsi="Times New Roman" w:cs="Times New Roman"/>
          <w:sz w:val="24"/>
          <w:szCs w:val="24"/>
        </w:rPr>
        <w:t>r. Howev</w:t>
      </w:r>
      <w:r w:rsidR="00A54048">
        <w:rPr>
          <w:rFonts w:ascii="Times New Roman" w:hAnsi="Times New Roman" w:cs="Times New Roman"/>
          <w:sz w:val="24"/>
          <w:szCs w:val="24"/>
        </w:rPr>
        <w:t>er, this weakened role for labo</w:t>
      </w:r>
      <w:r w:rsidR="00EC219F">
        <w:rPr>
          <w:rFonts w:ascii="Times New Roman" w:hAnsi="Times New Roman" w:cs="Times New Roman"/>
          <w:sz w:val="24"/>
          <w:szCs w:val="24"/>
        </w:rPr>
        <w:t xml:space="preserve">r will translate into the real economy. For macroeconomists, it will be directly observable in lower inflation, and a lower real exchange rate. Similarly, in countries with strong trade unions capable of pushing for wage growth across the economy, it will be observed in higher </w:t>
      </w:r>
      <w:proofErr w:type="gramStart"/>
      <w:r w:rsidR="00EC219F">
        <w:rPr>
          <w:rFonts w:ascii="Times New Roman" w:hAnsi="Times New Roman" w:cs="Times New Roman"/>
          <w:sz w:val="24"/>
          <w:szCs w:val="24"/>
        </w:rPr>
        <w:t>inflation</w:t>
      </w:r>
      <w:r w:rsidR="00E061D8">
        <w:rPr>
          <w:rFonts w:ascii="Times New Roman" w:hAnsi="Times New Roman" w:cs="Times New Roman"/>
          <w:sz w:val="24"/>
          <w:szCs w:val="24"/>
        </w:rPr>
        <w:t>,</w:t>
      </w:r>
      <w:proofErr w:type="gramEnd"/>
      <w:r w:rsidR="00E061D8">
        <w:rPr>
          <w:rFonts w:ascii="Times New Roman" w:hAnsi="Times New Roman" w:cs="Times New Roman"/>
          <w:sz w:val="24"/>
          <w:szCs w:val="24"/>
        </w:rPr>
        <w:t xml:space="preserve"> and</w:t>
      </w:r>
      <w:r w:rsidR="00EC219F">
        <w:rPr>
          <w:rFonts w:ascii="Times New Roman" w:hAnsi="Times New Roman" w:cs="Times New Roman"/>
          <w:sz w:val="24"/>
          <w:szCs w:val="24"/>
        </w:rPr>
        <w:t xml:space="preserve"> growth in domestic demand. </w:t>
      </w:r>
      <w:r w:rsidR="008722A2">
        <w:rPr>
          <w:rFonts w:ascii="Times New Roman" w:hAnsi="Times New Roman" w:cs="Times New Roman"/>
          <w:sz w:val="24"/>
          <w:szCs w:val="24"/>
        </w:rPr>
        <w:t xml:space="preserve">It is our argument – and as far as we are aware, </w:t>
      </w:r>
      <w:r w:rsidR="00E061D8">
        <w:rPr>
          <w:rFonts w:ascii="Times New Roman" w:hAnsi="Times New Roman" w:cs="Times New Roman"/>
          <w:sz w:val="24"/>
          <w:szCs w:val="24"/>
        </w:rPr>
        <w:t>it has not been made before – that this</w:t>
      </w:r>
      <w:r w:rsidR="008722A2">
        <w:rPr>
          <w:rFonts w:ascii="Times New Roman" w:hAnsi="Times New Roman" w:cs="Times New Roman"/>
          <w:sz w:val="24"/>
          <w:szCs w:val="24"/>
        </w:rPr>
        <w:t xml:space="preserve"> can also be observed in the housing market. The stronger po</w:t>
      </w:r>
      <w:r w:rsidR="00A54048">
        <w:rPr>
          <w:rFonts w:ascii="Times New Roman" w:hAnsi="Times New Roman" w:cs="Times New Roman"/>
          <w:sz w:val="24"/>
          <w:szCs w:val="24"/>
        </w:rPr>
        <w:t>wer resources available to labo</w:t>
      </w:r>
      <w:r w:rsidR="008722A2">
        <w:rPr>
          <w:rFonts w:ascii="Times New Roman" w:hAnsi="Times New Roman" w:cs="Times New Roman"/>
          <w:sz w:val="24"/>
          <w:szCs w:val="24"/>
        </w:rPr>
        <w:t>r, the more this will translate into household security</w:t>
      </w:r>
      <w:r w:rsidR="00E061D8">
        <w:rPr>
          <w:rFonts w:ascii="Times New Roman" w:hAnsi="Times New Roman" w:cs="Times New Roman"/>
          <w:sz w:val="24"/>
          <w:szCs w:val="24"/>
        </w:rPr>
        <w:t>, which enhances their</w:t>
      </w:r>
      <w:r w:rsidR="008722A2">
        <w:rPr>
          <w:rFonts w:ascii="Times New Roman" w:hAnsi="Times New Roman" w:cs="Times New Roman"/>
          <w:sz w:val="24"/>
          <w:szCs w:val="24"/>
        </w:rPr>
        <w:t xml:space="preserve"> </w:t>
      </w:r>
      <w:r w:rsidR="00EC62F9">
        <w:rPr>
          <w:rFonts w:ascii="Times New Roman" w:hAnsi="Times New Roman" w:cs="Times New Roman"/>
          <w:sz w:val="24"/>
          <w:szCs w:val="24"/>
        </w:rPr>
        <w:t>access capital</w:t>
      </w:r>
      <w:r w:rsidR="008722A2">
        <w:rPr>
          <w:rFonts w:ascii="Times New Roman" w:hAnsi="Times New Roman" w:cs="Times New Roman"/>
          <w:sz w:val="24"/>
          <w:szCs w:val="24"/>
        </w:rPr>
        <w:t>. This was precisely the intention of the ‘democratic class struggle’ in Nordic social democracies – strengthen the working class,</w:t>
      </w:r>
      <w:r w:rsidR="00EC62F9">
        <w:rPr>
          <w:rFonts w:ascii="Times New Roman" w:hAnsi="Times New Roman" w:cs="Times New Roman"/>
          <w:sz w:val="24"/>
          <w:szCs w:val="24"/>
        </w:rPr>
        <w:t xml:space="preserve"> and enable the emergence of a property owning middle class</w:t>
      </w:r>
      <w:r w:rsidR="00576937">
        <w:rPr>
          <w:rFonts w:ascii="Times New Roman" w:hAnsi="Times New Roman" w:cs="Times New Roman"/>
          <w:sz w:val="24"/>
          <w:szCs w:val="24"/>
        </w:rPr>
        <w:t xml:space="preserve"> (</w:t>
      </w:r>
      <w:proofErr w:type="spellStart"/>
      <w:r w:rsidR="00576937">
        <w:rPr>
          <w:rFonts w:ascii="Times New Roman" w:hAnsi="Times New Roman" w:cs="Times New Roman"/>
          <w:sz w:val="24"/>
          <w:szCs w:val="24"/>
        </w:rPr>
        <w:t>Korpi</w:t>
      </w:r>
      <w:proofErr w:type="spellEnd"/>
      <w:r w:rsidR="00576937">
        <w:rPr>
          <w:rFonts w:ascii="Times New Roman" w:hAnsi="Times New Roman" w:cs="Times New Roman"/>
          <w:sz w:val="24"/>
          <w:szCs w:val="24"/>
        </w:rPr>
        <w:t xml:space="preserve"> </w:t>
      </w:r>
      <w:r w:rsidR="00C279DD">
        <w:rPr>
          <w:rFonts w:ascii="Times New Roman" w:hAnsi="Times New Roman" w:cs="Times New Roman"/>
          <w:sz w:val="24"/>
          <w:szCs w:val="24"/>
        </w:rPr>
        <w:t>1</w:t>
      </w:r>
      <w:r w:rsidR="00576937">
        <w:rPr>
          <w:rFonts w:ascii="Times New Roman" w:hAnsi="Times New Roman" w:cs="Times New Roman"/>
          <w:sz w:val="24"/>
          <w:szCs w:val="24"/>
        </w:rPr>
        <w:t>983).</w:t>
      </w:r>
      <w:r w:rsidR="00EC62F9">
        <w:rPr>
          <w:rFonts w:ascii="Times New Roman" w:hAnsi="Times New Roman" w:cs="Times New Roman"/>
          <w:sz w:val="24"/>
          <w:szCs w:val="24"/>
        </w:rPr>
        <w:t xml:space="preserve"> </w:t>
      </w:r>
      <w:proofErr w:type="gramStart"/>
      <w:r w:rsidR="00576937">
        <w:rPr>
          <w:rFonts w:ascii="Times New Roman" w:hAnsi="Times New Roman" w:cs="Times New Roman"/>
          <w:sz w:val="24"/>
          <w:szCs w:val="24"/>
        </w:rPr>
        <w:t>E</w:t>
      </w:r>
      <w:r w:rsidR="00EC62F9">
        <w:rPr>
          <w:rFonts w:ascii="Times New Roman" w:hAnsi="Times New Roman" w:cs="Times New Roman"/>
          <w:sz w:val="24"/>
          <w:szCs w:val="24"/>
        </w:rPr>
        <w:t>xcept, today</w:t>
      </w:r>
      <w:r w:rsidR="00576937">
        <w:rPr>
          <w:rFonts w:ascii="Times New Roman" w:hAnsi="Times New Roman" w:cs="Times New Roman"/>
          <w:sz w:val="24"/>
          <w:szCs w:val="24"/>
        </w:rPr>
        <w:t>,</w:t>
      </w:r>
      <w:r w:rsidR="00EC62F9">
        <w:rPr>
          <w:rFonts w:ascii="Times New Roman" w:hAnsi="Times New Roman" w:cs="Times New Roman"/>
          <w:sz w:val="24"/>
          <w:szCs w:val="24"/>
        </w:rPr>
        <w:t xml:space="preserve"> this means accessing and owning </w:t>
      </w:r>
      <w:r w:rsidR="00EC62F9" w:rsidRPr="00E061D8">
        <w:rPr>
          <w:rFonts w:ascii="Times New Roman" w:hAnsi="Times New Roman" w:cs="Times New Roman"/>
          <w:i/>
          <w:sz w:val="24"/>
          <w:szCs w:val="24"/>
        </w:rPr>
        <w:t>mortgage-debt</w:t>
      </w:r>
      <w:r w:rsidR="00EC62F9">
        <w:rPr>
          <w:rFonts w:ascii="Times New Roman" w:hAnsi="Times New Roman" w:cs="Times New Roman"/>
          <w:sz w:val="24"/>
          <w:szCs w:val="24"/>
        </w:rPr>
        <w:t>.</w:t>
      </w:r>
      <w:proofErr w:type="gramEnd"/>
    </w:p>
    <w:p w14:paraId="71681BDC" w14:textId="77777777" w:rsidR="00944F1A" w:rsidRDefault="00944F1A" w:rsidP="0095601D">
      <w:pPr>
        <w:spacing w:after="0" w:line="360" w:lineRule="auto"/>
        <w:jc w:val="both"/>
        <w:rPr>
          <w:rFonts w:ascii="Times New Roman" w:hAnsi="Times New Roman" w:cs="Times New Roman"/>
          <w:sz w:val="24"/>
          <w:szCs w:val="24"/>
        </w:rPr>
      </w:pPr>
    </w:p>
    <w:p w14:paraId="15259520" w14:textId="6ECC40CC" w:rsidR="00DC3D4D" w:rsidRDefault="00DC3D4D" w:rsidP="009560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proofErr w:type="spellStart"/>
      <w:r w:rsidR="002411D7">
        <w:rPr>
          <w:rFonts w:ascii="Times New Roman" w:hAnsi="Times New Roman" w:cs="Times New Roman"/>
          <w:sz w:val="24"/>
          <w:szCs w:val="24"/>
        </w:rPr>
        <w:t>Esping</w:t>
      </w:r>
      <w:proofErr w:type="spellEnd"/>
      <w:r w:rsidR="002411D7">
        <w:rPr>
          <w:rFonts w:ascii="Times New Roman" w:hAnsi="Times New Roman" w:cs="Times New Roman"/>
          <w:sz w:val="24"/>
          <w:szCs w:val="24"/>
        </w:rPr>
        <w:t>-Anderse</w:t>
      </w:r>
      <w:r>
        <w:rPr>
          <w:rFonts w:ascii="Times New Roman" w:hAnsi="Times New Roman" w:cs="Times New Roman"/>
          <w:sz w:val="24"/>
          <w:szCs w:val="24"/>
        </w:rPr>
        <w:t>n (1990) highlighted that</w:t>
      </w:r>
      <w:r w:rsidR="00576937">
        <w:rPr>
          <w:rFonts w:ascii="Times New Roman" w:hAnsi="Times New Roman" w:cs="Times New Roman"/>
          <w:sz w:val="24"/>
          <w:szCs w:val="24"/>
        </w:rPr>
        <w:t xml:space="preserve"> in Nordic social democracies</w:t>
      </w:r>
      <w:r w:rsidR="00C279DD">
        <w:rPr>
          <w:rFonts w:ascii="Times New Roman" w:hAnsi="Times New Roman" w:cs="Times New Roman"/>
          <w:sz w:val="24"/>
          <w:szCs w:val="24"/>
        </w:rPr>
        <w:t>,</w:t>
      </w:r>
      <w:r>
        <w:rPr>
          <w:rFonts w:ascii="Times New Roman" w:hAnsi="Times New Roman" w:cs="Times New Roman"/>
          <w:sz w:val="24"/>
          <w:szCs w:val="24"/>
        </w:rPr>
        <w:t xml:space="preserve"> organized labor was the crucial political actor that </w:t>
      </w:r>
      <w:r w:rsidR="00576937">
        <w:rPr>
          <w:rFonts w:ascii="Times New Roman" w:hAnsi="Times New Roman" w:cs="Times New Roman"/>
          <w:sz w:val="24"/>
          <w:szCs w:val="24"/>
        </w:rPr>
        <w:t>delivered</w:t>
      </w:r>
      <w:r>
        <w:rPr>
          <w:rFonts w:ascii="Times New Roman" w:hAnsi="Times New Roman" w:cs="Times New Roman"/>
          <w:sz w:val="24"/>
          <w:szCs w:val="24"/>
        </w:rPr>
        <w:t xml:space="preserve"> an</w:t>
      </w:r>
      <w:r w:rsidR="009B589E">
        <w:rPr>
          <w:rFonts w:ascii="Times New Roman" w:hAnsi="Times New Roman" w:cs="Times New Roman"/>
          <w:sz w:val="24"/>
          <w:szCs w:val="24"/>
        </w:rPr>
        <w:t>other insurance mechanism for a</w:t>
      </w:r>
      <w:r w:rsidR="00F2074B">
        <w:rPr>
          <w:rFonts w:ascii="Times New Roman" w:hAnsi="Times New Roman" w:cs="Times New Roman"/>
          <w:sz w:val="24"/>
          <w:szCs w:val="24"/>
        </w:rPr>
        <w:t>d</w:t>
      </w:r>
      <w:r>
        <w:rPr>
          <w:rFonts w:ascii="Times New Roman" w:hAnsi="Times New Roman" w:cs="Times New Roman"/>
          <w:sz w:val="24"/>
          <w:szCs w:val="24"/>
        </w:rPr>
        <w:t xml:space="preserve">verse employment and income shocks: the </w:t>
      </w:r>
      <w:proofErr w:type="gramStart"/>
      <w:r w:rsidR="00576937">
        <w:rPr>
          <w:rFonts w:ascii="Times New Roman" w:hAnsi="Times New Roman" w:cs="Times New Roman"/>
          <w:sz w:val="24"/>
          <w:szCs w:val="24"/>
        </w:rPr>
        <w:t>universalist</w:t>
      </w:r>
      <w:proofErr w:type="gramEnd"/>
      <w:r w:rsidR="00576937">
        <w:rPr>
          <w:rFonts w:ascii="Times New Roman" w:hAnsi="Times New Roman" w:cs="Times New Roman"/>
          <w:sz w:val="24"/>
          <w:szCs w:val="24"/>
        </w:rPr>
        <w:t xml:space="preserve"> </w:t>
      </w:r>
      <w:r>
        <w:rPr>
          <w:rFonts w:ascii="Times New Roman" w:hAnsi="Times New Roman" w:cs="Times New Roman"/>
          <w:sz w:val="24"/>
          <w:szCs w:val="24"/>
        </w:rPr>
        <w:t>welfare state.</w:t>
      </w:r>
      <w:r w:rsidR="00576937">
        <w:rPr>
          <w:rFonts w:ascii="Times New Roman" w:hAnsi="Times New Roman" w:cs="Times New Roman"/>
          <w:sz w:val="24"/>
          <w:szCs w:val="24"/>
        </w:rPr>
        <w:t xml:space="preserve"> Unlike the conservative welfare states in Germany, Italy and France, Nordic welfare states were designed to enable households</w:t>
      </w:r>
      <w:r w:rsidR="00E061D8">
        <w:rPr>
          <w:rFonts w:ascii="Times New Roman" w:hAnsi="Times New Roman" w:cs="Times New Roman"/>
          <w:sz w:val="24"/>
          <w:szCs w:val="24"/>
        </w:rPr>
        <w:t>’</w:t>
      </w:r>
      <w:r w:rsidR="00576937">
        <w:rPr>
          <w:rFonts w:ascii="Times New Roman" w:hAnsi="Times New Roman" w:cs="Times New Roman"/>
          <w:sz w:val="24"/>
          <w:szCs w:val="24"/>
        </w:rPr>
        <w:t xml:space="preserve"> access </w:t>
      </w:r>
      <w:r w:rsidR="00C279DD">
        <w:rPr>
          <w:rFonts w:ascii="Times New Roman" w:hAnsi="Times New Roman" w:cs="Times New Roman"/>
          <w:sz w:val="24"/>
          <w:szCs w:val="24"/>
        </w:rPr>
        <w:t>high replacement income</w:t>
      </w:r>
      <w:r w:rsidR="00576937">
        <w:rPr>
          <w:rFonts w:ascii="Times New Roman" w:hAnsi="Times New Roman" w:cs="Times New Roman"/>
          <w:sz w:val="24"/>
          <w:szCs w:val="24"/>
        </w:rPr>
        <w:t>, and public services, regardless of their employment status. Since the 1990’s these welfare states have undergone significant change, particularly in terms of the shift toward social</w:t>
      </w:r>
      <w:r w:rsidR="00A54048">
        <w:rPr>
          <w:rFonts w:ascii="Times New Roman" w:hAnsi="Times New Roman" w:cs="Times New Roman"/>
          <w:sz w:val="24"/>
          <w:szCs w:val="24"/>
        </w:rPr>
        <w:t xml:space="preserve"> investment and activating labo</w:t>
      </w:r>
      <w:r w:rsidR="00576937">
        <w:rPr>
          <w:rFonts w:ascii="Times New Roman" w:hAnsi="Times New Roman" w:cs="Times New Roman"/>
          <w:sz w:val="24"/>
          <w:szCs w:val="24"/>
        </w:rPr>
        <w:t>r into employment. But the core rationale remains the same: secure the incomes of households</w:t>
      </w:r>
      <w:r w:rsidR="00C279DD">
        <w:rPr>
          <w:rFonts w:ascii="Times New Roman" w:hAnsi="Times New Roman" w:cs="Times New Roman"/>
          <w:sz w:val="24"/>
          <w:szCs w:val="24"/>
        </w:rPr>
        <w:t xml:space="preserve"> throughout the business cycle</w:t>
      </w:r>
      <w:r w:rsidR="00576937">
        <w:rPr>
          <w:rFonts w:ascii="Times New Roman" w:hAnsi="Times New Roman" w:cs="Times New Roman"/>
          <w:sz w:val="24"/>
          <w:szCs w:val="24"/>
        </w:rPr>
        <w:t xml:space="preserve">. </w:t>
      </w:r>
      <w:r w:rsidR="00CC63A0">
        <w:rPr>
          <w:rFonts w:ascii="Times New Roman" w:hAnsi="Times New Roman" w:cs="Times New Roman"/>
          <w:sz w:val="24"/>
          <w:szCs w:val="24"/>
        </w:rPr>
        <w:t xml:space="preserve">By securing household income, highly unionized labor markets </w:t>
      </w:r>
      <w:r w:rsidR="00576937">
        <w:rPr>
          <w:rFonts w:ascii="Times New Roman" w:hAnsi="Times New Roman" w:cs="Times New Roman"/>
          <w:sz w:val="24"/>
          <w:szCs w:val="24"/>
        </w:rPr>
        <w:t xml:space="preserve">and encompassing collective bargaining </w:t>
      </w:r>
      <w:r w:rsidR="00CC63A0">
        <w:rPr>
          <w:rFonts w:ascii="Times New Roman" w:hAnsi="Times New Roman" w:cs="Times New Roman"/>
          <w:sz w:val="24"/>
          <w:szCs w:val="24"/>
        </w:rPr>
        <w:t xml:space="preserve">effectively make households “safer” risks for banks.  </w:t>
      </w:r>
      <w:r w:rsidR="002323E3">
        <w:rPr>
          <w:rFonts w:ascii="Times New Roman" w:hAnsi="Times New Roman" w:cs="Times New Roman"/>
          <w:sz w:val="24"/>
          <w:szCs w:val="24"/>
        </w:rPr>
        <w:t xml:space="preserve">Because households in these types of labor </w:t>
      </w:r>
      <w:r w:rsidR="002323E3">
        <w:rPr>
          <w:rFonts w:ascii="Times New Roman" w:hAnsi="Times New Roman" w:cs="Times New Roman"/>
          <w:sz w:val="24"/>
          <w:szCs w:val="24"/>
        </w:rPr>
        <w:lastRenderedPageBreak/>
        <w:t xml:space="preserve">markets are </w:t>
      </w:r>
      <w:r w:rsidR="00DB4D4B">
        <w:rPr>
          <w:rFonts w:ascii="Times New Roman" w:hAnsi="Times New Roman" w:cs="Times New Roman"/>
          <w:sz w:val="24"/>
          <w:szCs w:val="24"/>
        </w:rPr>
        <w:t xml:space="preserve">a </w:t>
      </w:r>
      <w:r w:rsidR="002323E3">
        <w:rPr>
          <w:rFonts w:ascii="Times New Roman" w:hAnsi="Times New Roman" w:cs="Times New Roman"/>
          <w:sz w:val="24"/>
          <w:szCs w:val="24"/>
        </w:rPr>
        <w:t xml:space="preserve">safer </w:t>
      </w:r>
      <w:r w:rsidR="00DB4D4B">
        <w:rPr>
          <w:rFonts w:ascii="Times New Roman" w:hAnsi="Times New Roman" w:cs="Times New Roman"/>
          <w:sz w:val="24"/>
          <w:szCs w:val="24"/>
        </w:rPr>
        <w:t>bet</w:t>
      </w:r>
      <w:r w:rsidR="002323E3">
        <w:rPr>
          <w:rFonts w:ascii="Times New Roman" w:hAnsi="Times New Roman" w:cs="Times New Roman"/>
          <w:sz w:val="24"/>
          <w:szCs w:val="24"/>
        </w:rPr>
        <w:t>, banks should be willing to grant them</w:t>
      </w:r>
      <w:r w:rsidR="009B589E">
        <w:rPr>
          <w:rFonts w:ascii="Times New Roman" w:hAnsi="Times New Roman" w:cs="Times New Roman"/>
          <w:sz w:val="24"/>
          <w:szCs w:val="24"/>
        </w:rPr>
        <w:t xml:space="preserve"> access to</w:t>
      </w:r>
      <w:r w:rsidR="002323E3">
        <w:rPr>
          <w:rFonts w:ascii="Times New Roman" w:hAnsi="Times New Roman" w:cs="Times New Roman"/>
          <w:sz w:val="24"/>
          <w:szCs w:val="24"/>
        </w:rPr>
        <w:t xml:space="preserve"> larger credit line</w:t>
      </w:r>
      <w:r w:rsidR="009B589E">
        <w:rPr>
          <w:rFonts w:ascii="Times New Roman" w:hAnsi="Times New Roman" w:cs="Times New Roman"/>
          <w:sz w:val="24"/>
          <w:szCs w:val="24"/>
        </w:rPr>
        <w:t>s, holding all else equal</w:t>
      </w:r>
      <w:r w:rsidR="002323E3">
        <w:rPr>
          <w:rFonts w:ascii="Times New Roman" w:hAnsi="Times New Roman" w:cs="Times New Roman"/>
          <w:sz w:val="24"/>
          <w:szCs w:val="24"/>
        </w:rPr>
        <w:t xml:space="preserve">. </w:t>
      </w:r>
      <w:r w:rsidR="00CC63A0">
        <w:rPr>
          <w:rFonts w:ascii="Times New Roman" w:hAnsi="Times New Roman" w:cs="Times New Roman"/>
          <w:sz w:val="24"/>
          <w:szCs w:val="24"/>
        </w:rPr>
        <w:t xml:space="preserve">   </w:t>
      </w:r>
    </w:p>
    <w:p w14:paraId="5DD6B72D" w14:textId="77777777" w:rsidR="00DC3D4D" w:rsidRPr="00DC3D4D" w:rsidRDefault="00DC3D4D" w:rsidP="0095601D">
      <w:pPr>
        <w:spacing w:after="0" w:line="360" w:lineRule="auto"/>
        <w:jc w:val="both"/>
        <w:rPr>
          <w:rFonts w:ascii="Times New Roman" w:hAnsi="Times New Roman" w:cs="Times New Roman"/>
          <w:sz w:val="24"/>
          <w:szCs w:val="24"/>
        </w:rPr>
      </w:pPr>
    </w:p>
    <w:p w14:paraId="029F2BDE" w14:textId="4DC6E038" w:rsidR="001304B3" w:rsidRDefault="008C2AB4" w:rsidP="00E06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Institutions that strengthen the </w:t>
      </w:r>
      <w:r w:rsidR="002468F5">
        <w:rPr>
          <w:rFonts w:ascii="Times New Roman" w:hAnsi="Times New Roman" w:cs="Times New Roman"/>
          <w:sz w:val="24"/>
          <w:szCs w:val="24"/>
        </w:rPr>
        <w:t xml:space="preserve">income </w:t>
      </w:r>
      <w:r w:rsidR="00A60668">
        <w:rPr>
          <w:rFonts w:ascii="Times New Roman" w:hAnsi="Times New Roman" w:cs="Times New Roman"/>
          <w:sz w:val="24"/>
          <w:szCs w:val="24"/>
        </w:rPr>
        <w:t xml:space="preserve">and employment </w:t>
      </w:r>
      <w:r w:rsidR="002468F5">
        <w:rPr>
          <w:rFonts w:ascii="Times New Roman" w:hAnsi="Times New Roman" w:cs="Times New Roman"/>
          <w:sz w:val="24"/>
          <w:szCs w:val="24"/>
        </w:rPr>
        <w:t xml:space="preserve">security of households are, </w:t>
      </w:r>
      <w:r w:rsidR="002468F5" w:rsidRPr="0088549C">
        <w:rPr>
          <w:rFonts w:ascii="Times New Roman" w:hAnsi="Times New Roman" w:cs="Times New Roman"/>
          <w:sz w:val="24"/>
          <w:szCs w:val="24"/>
        </w:rPr>
        <w:t>however</w:t>
      </w:r>
      <w:r w:rsidR="001304B3" w:rsidRPr="0088549C">
        <w:rPr>
          <w:rFonts w:ascii="Times New Roman" w:hAnsi="Times New Roman" w:cs="Times New Roman"/>
          <w:sz w:val="24"/>
          <w:szCs w:val="24"/>
        </w:rPr>
        <w:t xml:space="preserve">, only one side of the story.  Even the </w:t>
      </w:r>
      <w:r w:rsidR="002468F5">
        <w:rPr>
          <w:rFonts w:ascii="Times New Roman" w:hAnsi="Times New Roman" w:cs="Times New Roman"/>
          <w:sz w:val="24"/>
          <w:szCs w:val="24"/>
        </w:rPr>
        <w:t xml:space="preserve">richest and </w:t>
      </w:r>
      <w:r w:rsidR="001304B3" w:rsidRPr="0088549C">
        <w:rPr>
          <w:rFonts w:ascii="Times New Roman" w:hAnsi="Times New Roman" w:cs="Times New Roman"/>
          <w:sz w:val="24"/>
          <w:szCs w:val="24"/>
        </w:rPr>
        <w:t xml:space="preserve">most economically secure households cannot become indebted if banks refuse to lend.  This brings into play a different set of institutions </w:t>
      </w:r>
      <w:r w:rsidR="001304B3">
        <w:rPr>
          <w:rFonts w:ascii="Times New Roman" w:hAnsi="Times New Roman" w:cs="Times New Roman"/>
          <w:sz w:val="24"/>
          <w:szCs w:val="24"/>
        </w:rPr>
        <w:t>–</w:t>
      </w:r>
      <w:r w:rsidR="001304B3" w:rsidRPr="0088549C">
        <w:rPr>
          <w:rFonts w:ascii="Times New Roman" w:hAnsi="Times New Roman" w:cs="Times New Roman"/>
          <w:sz w:val="24"/>
          <w:szCs w:val="24"/>
        </w:rPr>
        <w:t xml:space="preserve"> </w:t>
      </w:r>
      <w:r w:rsidR="001304B3">
        <w:rPr>
          <w:rFonts w:ascii="Times New Roman" w:hAnsi="Times New Roman" w:cs="Times New Roman"/>
          <w:sz w:val="24"/>
          <w:szCs w:val="24"/>
        </w:rPr>
        <w:t xml:space="preserve">those </w:t>
      </w:r>
      <w:r w:rsidR="001304B3" w:rsidRPr="0088549C">
        <w:rPr>
          <w:rFonts w:ascii="Times New Roman" w:hAnsi="Times New Roman" w:cs="Times New Roman"/>
          <w:sz w:val="24"/>
          <w:szCs w:val="24"/>
        </w:rPr>
        <w:t>that govern households’ access to credit.</w:t>
      </w:r>
      <w:r w:rsidR="001304B3">
        <w:rPr>
          <w:rFonts w:ascii="Times New Roman" w:hAnsi="Times New Roman" w:cs="Times New Roman"/>
          <w:sz w:val="24"/>
          <w:szCs w:val="24"/>
        </w:rPr>
        <w:t xml:space="preserve"> While governments often have specific housing policies, the rules and norms governing household access to credit – especially mortgage credit – </w:t>
      </w:r>
      <w:r w:rsidR="006C28CB">
        <w:rPr>
          <w:rFonts w:ascii="Times New Roman" w:hAnsi="Times New Roman" w:cs="Times New Roman"/>
          <w:sz w:val="24"/>
          <w:szCs w:val="24"/>
        </w:rPr>
        <w:t>are heavily influenced by central bank rules, and the type of banking regime that exists within countries</w:t>
      </w:r>
      <w:r w:rsidR="00A60668">
        <w:rPr>
          <w:rFonts w:ascii="Times New Roman" w:hAnsi="Times New Roman" w:cs="Times New Roman"/>
          <w:sz w:val="24"/>
          <w:szCs w:val="24"/>
        </w:rPr>
        <w:t>.</w:t>
      </w:r>
    </w:p>
    <w:p w14:paraId="5B414899" w14:textId="593AC1FB" w:rsidR="001304B3" w:rsidRDefault="001304B3" w:rsidP="00E061D8">
      <w:pPr>
        <w:spacing w:after="0" w:line="360" w:lineRule="auto"/>
        <w:jc w:val="both"/>
        <w:rPr>
          <w:rFonts w:ascii="Times New Roman" w:hAnsi="Times New Roman" w:cs="Times New Roman"/>
          <w:sz w:val="24"/>
          <w:szCs w:val="24"/>
        </w:rPr>
      </w:pPr>
    </w:p>
    <w:p w14:paraId="728AFA82" w14:textId="1DB18E4E" w:rsidR="001304B3" w:rsidRDefault="001304B3" w:rsidP="00E06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 rules directly concern mortgage contracts themselves. These can come from governments, such as </w:t>
      </w:r>
      <w:r w:rsidR="00C821BC">
        <w:rPr>
          <w:rFonts w:ascii="Times New Roman" w:hAnsi="Times New Roman" w:cs="Times New Roman"/>
          <w:sz w:val="24"/>
          <w:szCs w:val="24"/>
        </w:rPr>
        <w:t xml:space="preserve">through </w:t>
      </w:r>
      <w:r>
        <w:rPr>
          <w:rFonts w:ascii="Times New Roman" w:hAnsi="Times New Roman" w:cs="Times New Roman"/>
          <w:sz w:val="24"/>
          <w:szCs w:val="24"/>
        </w:rPr>
        <w:t xml:space="preserve">statutory restrictions on the amount of interest banks can charge on mortgages. </w:t>
      </w:r>
      <w:r w:rsidR="0073540B">
        <w:rPr>
          <w:rFonts w:ascii="Times New Roman" w:hAnsi="Times New Roman" w:cs="Times New Roman"/>
          <w:sz w:val="24"/>
          <w:szCs w:val="24"/>
        </w:rPr>
        <w:t>Central banks</w:t>
      </w:r>
      <w:r>
        <w:rPr>
          <w:rFonts w:ascii="Times New Roman" w:hAnsi="Times New Roman" w:cs="Times New Roman"/>
          <w:sz w:val="24"/>
          <w:szCs w:val="24"/>
        </w:rPr>
        <w:t xml:space="preserve"> can explicitly limit the percentage of a home’s purchase price that a prospective buyer is permitted to borrow</w:t>
      </w:r>
      <w:r w:rsidR="00C821BC">
        <w:rPr>
          <w:rFonts w:ascii="Times New Roman" w:hAnsi="Times New Roman" w:cs="Times New Roman"/>
          <w:sz w:val="24"/>
          <w:szCs w:val="24"/>
        </w:rPr>
        <w:t>, though</w:t>
      </w:r>
      <w:r>
        <w:rPr>
          <w:rFonts w:ascii="Times New Roman" w:hAnsi="Times New Roman" w:cs="Times New Roman"/>
          <w:sz w:val="24"/>
          <w:szCs w:val="24"/>
        </w:rPr>
        <w:t xml:space="preserve"> these rules (where present) were usually </w:t>
      </w:r>
      <w:r w:rsidRPr="00B91B78">
        <w:rPr>
          <w:rFonts w:ascii="Times New Roman" w:hAnsi="Times New Roman" w:cs="Times New Roman"/>
          <w:sz w:val="24"/>
          <w:szCs w:val="24"/>
        </w:rPr>
        <w:t>self-imposed</w:t>
      </w:r>
      <w:r>
        <w:rPr>
          <w:rFonts w:ascii="Times New Roman" w:hAnsi="Times New Roman" w:cs="Times New Roman"/>
          <w:sz w:val="24"/>
          <w:szCs w:val="24"/>
        </w:rPr>
        <w:t xml:space="preserve"> by banks prior to the financial crisis</w:t>
      </w:r>
      <w:r w:rsidR="00C821BC">
        <w:rPr>
          <w:rFonts w:ascii="Times New Roman" w:hAnsi="Times New Roman" w:cs="Times New Roman"/>
          <w:sz w:val="24"/>
          <w:szCs w:val="24"/>
        </w:rPr>
        <w:t xml:space="preserve"> –</w:t>
      </w:r>
      <w:r>
        <w:rPr>
          <w:rFonts w:ascii="Times New Roman" w:hAnsi="Times New Roman" w:cs="Times New Roman"/>
          <w:sz w:val="24"/>
          <w:szCs w:val="24"/>
        </w:rPr>
        <w:t xml:space="preserve"> function more as norms. Only after the </w:t>
      </w:r>
      <w:proofErr w:type="gramStart"/>
      <w:r>
        <w:rPr>
          <w:rFonts w:ascii="Times New Roman" w:hAnsi="Times New Roman" w:cs="Times New Roman"/>
          <w:sz w:val="24"/>
          <w:szCs w:val="24"/>
        </w:rPr>
        <w:t>crisis have</w:t>
      </w:r>
      <w:proofErr w:type="gramEnd"/>
      <w:r>
        <w:rPr>
          <w:rFonts w:ascii="Times New Roman" w:hAnsi="Times New Roman" w:cs="Times New Roman"/>
          <w:sz w:val="24"/>
          <w:szCs w:val="24"/>
        </w:rPr>
        <w:t xml:space="preserve"> states like the Netherlands (2012) and Sweden (2010) written restrictions into law. Furthermore, governments and banks </w:t>
      </w:r>
      <w:r w:rsidR="00C821BC">
        <w:rPr>
          <w:rFonts w:ascii="Times New Roman" w:hAnsi="Times New Roman" w:cs="Times New Roman"/>
          <w:sz w:val="24"/>
          <w:szCs w:val="24"/>
        </w:rPr>
        <w:t xml:space="preserve">form policies that </w:t>
      </w:r>
      <w:r>
        <w:rPr>
          <w:rFonts w:ascii="Times New Roman" w:hAnsi="Times New Roman" w:cs="Times New Roman"/>
          <w:sz w:val="24"/>
          <w:szCs w:val="24"/>
        </w:rPr>
        <w:t xml:space="preserve">co-determine how mortgage markets are financed: Germany did not allow US-style mortgage securitization until 1997. Even after progressively removing those legal barriers to securitization between 1997 and 2005, German banks tended to buy securitized assets from elsewhere (often based on US lending) rather than securitize their own domestic markets. </w:t>
      </w:r>
    </w:p>
    <w:p w14:paraId="58B940C4" w14:textId="77777777" w:rsidR="001304B3" w:rsidRDefault="001304B3" w:rsidP="00E061D8">
      <w:pPr>
        <w:spacing w:after="0" w:line="360" w:lineRule="auto"/>
        <w:jc w:val="both"/>
        <w:rPr>
          <w:rFonts w:ascii="Times New Roman" w:hAnsi="Times New Roman" w:cs="Times New Roman"/>
          <w:sz w:val="24"/>
          <w:szCs w:val="24"/>
        </w:rPr>
      </w:pPr>
    </w:p>
    <w:p w14:paraId="55F67CA3" w14:textId="3FACFBE9" w:rsidR="001304B3" w:rsidRDefault="001304B3" w:rsidP="00E06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government also possesses the power to indirectly influence mortgage markets through the tax code. The best-known measure of this type takes the shape of mortgage interest deduction. While the US mortgage interest deduction might be better-known, the Dutch scheme is the costliest in the developed world, with the OECD estimating that the Dutch government surrenders 2.1 percent of GDP in foregone tax receipts through the tax break every year (that figure is only 0.5 percent in the US).</w:t>
      </w:r>
      <w:r w:rsidRPr="001304B3">
        <w:rPr>
          <w:rStyle w:val="FootnoteReference"/>
          <w:rFonts w:ascii="Times New Roman" w:hAnsi="Times New Roman" w:cs="Times New Roman"/>
          <w:sz w:val="24"/>
          <w:szCs w:val="24"/>
        </w:rPr>
        <w:footnoteReference w:id="12"/>
      </w:r>
      <w:r w:rsidRPr="00B91B78">
        <w:rPr>
          <w:rStyle w:val="FootnoteReference"/>
        </w:rPr>
        <w:t xml:space="preserve"> </w:t>
      </w:r>
      <w:r>
        <w:rPr>
          <w:rFonts w:ascii="Times New Roman" w:hAnsi="Times New Roman" w:cs="Times New Roman"/>
          <w:sz w:val="24"/>
          <w:szCs w:val="24"/>
        </w:rPr>
        <w:t xml:space="preserve">These sorts of tax breaks are effectively a subsidy to indebted homeowners, encouraging greater mortgage borrowing. Finally, and more indirectly, </w:t>
      </w:r>
      <w:r>
        <w:rPr>
          <w:rFonts w:ascii="Times New Roman" w:hAnsi="Times New Roman" w:cs="Times New Roman"/>
          <w:sz w:val="24"/>
          <w:szCs w:val="24"/>
        </w:rPr>
        <w:lastRenderedPageBreak/>
        <w:t>there is the tax regime for the sale of property itself</w:t>
      </w:r>
      <w:r w:rsidR="00DA51F7">
        <w:rPr>
          <w:rFonts w:ascii="Times New Roman" w:hAnsi="Times New Roman" w:cs="Times New Roman"/>
          <w:sz w:val="24"/>
          <w:szCs w:val="24"/>
        </w:rPr>
        <w:t xml:space="preserve">: If </w:t>
      </w:r>
      <w:r>
        <w:rPr>
          <w:rFonts w:ascii="Times New Roman" w:hAnsi="Times New Roman" w:cs="Times New Roman"/>
          <w:sz w:val="24"/>
          <w:szCs w:val="24"/>
        </w:rPr>
        <w:t xml:space="preserve">it becomes more expensive to </w:t>
      </w:r>
      <w:r w:rsidR="00DA51F7">
        <w:rPr>
          <w:rFonts w:ascii="Times New Roman" w:hAnsi="Times New Roman" w:cs="Times New Roman"/>
          <w:sz w:val="24"/>
          <w:szCs w:val="24"/>
        </w:rPr>
        <w:t>sell</w:t>
      </w:r>
      <w:r>
        <w:rPr>
          <w:rFonts w:ascii="Times New Roman" w:hAnsi="Times New Roman" w:cs="Times New Roman"/>
          <w:sz w:val="24"/>
          <w:szCs w:val="24"/>
        </w:rPr>
        <w:t xml:space="preserve"> a home, housing transactions</w:t>
      </w:r>
      <w:r w:rsidR="00B91B78">
        <w:rPr>
          <w:rFonts w:ascii="Times New Roman" w:hAnsi="Times New Roman" w:cs="Times New Roman"/>
          <w:sz w:val="24"/>
          <w:szCs w:val="24"/>
        </w:rPr>
        <w:t>,</w:t>
      </w:r>
      <w:r>
        <w:rPr>
          <w:rFonts w:ascii="Times New Roman" w:hAnsi="Times New Roman" w:cs="Times New Roman"/>
          <w:sz w:val="24"/>
          <w:szCs w:val="24"/>
        </w:rPr>
        <w:t xml:space="preserve"> </w:t>
      </w:r>
      <w:r w:rsidR="0033047A">
        <w:rPr>
          <w:rFonts w:ascii="Times New Roman" w:hAnsi="Times New Roman" w:cs="Times New Roman"/>
          <w:sz w:val="24"/>
          <w:szCs w:val="24"/>
        </w:rPr>
        <w:t xml:space="preserve">and </w:t>
      </w:r>
      <w:r w:rsidR="00B91B78">
        <w:rPr>
          <w:rFonts w:ascii="Times New Roman" w:hAnsi="Times New Roman" w:cs="Times New Roman"/>
          <w:sz w:val="24"/>
          <w:szCs w:val="24"/>
        </w:rPr>
        <w:t xml:space="preserve">in turn </w:t>
      </w:r>
      <w:r w:rsidR="0033047A">
        <w:rPr>
          <w:rFonts w:ascii="Times New Roman" w:hAnsi="Times New Roman" w:cs="Times New Roman"/>
          <w:sz w:val="24"/>
          <w:szCs w:val="24"/>
        </w:rPr>
        <w:t>domestic consumption</w:t>
      </w:r>
      <w:r w:rsidR="00B91B78">
        <w:rPr>
          <w:rFonts w:ascii="Times New Roman" w:hAnsi="Times New Roman" w:cs="Times New Roman"/>
          <w:sz w:val="24"/>
          <w:szCs w:val="24"/>
        </w:rPr>
        <w:t>,</w:t>
      </w:r>
      <w:r w:rsidR="0033047A">
        <w:rPr>
          <w:rFonts w:ascii="Times New Roman" w:hAnsi="Times New Roman" w:cs="Times New Roman"/>
          <w:sz w:val="24"/>
          <w:szCs w:val="24"/>
        </w:rPr>
        <w:t xml:space="preserve"> </w:t>
      </w:r>
      <w:r>
        <w:rPr>
          <w:rFonts w:ascii="Times New Roman" w:hAnsi="Times New Roman" w:cs="Times New Roman"/>
          <w:sz w:val="24"/>
          <w:szCs w:val="24"/>
        </w:rPr>
        <w:t xml:space="preserve">will drop. This results in less buying, selling, and borrowing. </w:t>
      </w:r>
    </w:p>
    <w:p w14:paraId="0C8C5FFD" w14:textId="177ED6FC" w:rsidR="001304B3" w:rsidRDefault="001304B3" w:rsidP="006D2C4B">
      <w:pPr>
        <w:spacing w:after="0" w:line="360" w:lineRule="auto"/>
        <w:jc w:val="both"/>
        <w:rPr>
          <w:rFonts w:ascii="Times New Roman" w:hAnsi="Times New Roman" w:cs="Times New Roman"/>
          <w:sz w:val="24"/>
          <w:szCs w:val="24"/>
        </w:rPr>
      </w:pPr>
    </w:p>
    <w:p w14:paraId="7AC82D4E" w14:textId="7B25D995" w:rsidR="004C120E" w:rsidRPr="00DC3D4D" w:rsidRDefault="004A1F9D" w:rsidP="006D2C4B">
      <w:pPr>
        <w:spacing w:after="0" w:line="360" w:lineRule="auto"/>
        <w:jc w:val="both"/>
        <w:rPr>
          <w:rFonts w:ascii="Times New Roman" w:hAnsi="Times New Roman" w:cs="Times New Roman"/>
          <w:sz w:val="24"/>
          <w:szCs w:val="24"/>
        </w:rPr>
      </w:pPr>
      <w:proofErr w:type="gramStart"/>
      <w:r w:rsidRPr="00DC3D4D">
        <w:rPr>
          <w:rFonts w:ascii="Times New Roman" w:hAnsi="Times New Roman" w:cs="Times New Roman"/>
          <w:sz w:val="24"/>
          <w:szCs w:val="24"/>
        </w:rPr>
        <w:t xml:space="preserve">If households are easily able to obtain cheap (mortgage) credit (and a lot of it), they will also </w:t>
      </w:r>
      <w:r w:rsidR="009B589E">
        <w:rPr>
          <w:rFonts w:ascii="Times New Roman" w:hAnsi="Times New Roman" w:cs="Times New Roman"/>
          <w:sz w:val="24"/>
          <w:szCs w:val="24"/>
        </w:rPr>
        <w:t>have greater capabilities to go into</w:t>
      </w:r>
      <w:r w:rsidR="002E3582" w:rsidRPr="00DC3D4D">
        <w:rPr>
          <w:rFonts w:ascii="Times New Roman" w:hAnsi="Times New Roman" w:cs="Times New Roman"/>
          <w:sz w:val="24"/>
          <w:szCs w:val="24"/>
        </w:rPr>
        <w:t xml:space="preserve"> debt</w:t>
      </w:r>
      <w:r w:rsidRPr="00DC3D4D">
        <w:rPr>
          <w:rFonts w:ascii="Times New Roman" w:hAnsi="Times New Roman" w:cs="Times New Roman"/>
          <w:sz w:val="24"/>
          <w:szCs w:val="24"/>
        </w:rPr>
        <w:t>.</w:t>
      </w:r>
      <w:proofErr w:type="gramEnd"/>
      <w:r w:rsidRPr="00DC3D4D">
        <w:rPr>
          <w:rFonts w:ascii="Times New Roman" w:hAnsi="Times New Roman" w:cs="Times New Roman"/>
          <w:sz w:val="24"/>
          <w:szCs w:val="24"/>
        </w:rPr>
        <w:t xml:space="preserve">  However, if households’ access to mortgage</w:t>
      </w:r>
      <w:r w:rsidR="00214491">
        <w:rPr>
          <w:rFonts w:ascii="Times New Roman" w:hAnsi="Times New Roman" w:cs="Times New Roman"/>
          <w:sz w:val="24"/>
          <w:szCs w:val="24"/>
        </w:rPr>
        <w:t xml:space="preserve">s </w:t>
      </w:r>
      <w:r w:rsidRPr="00DC3D4D">
        <w:rPr>
          <w:rFonts w:ascii="Times New Roman" w:hAnsi="Times New Roman" w:cs="Times New Roman"/>
          <w:sz w:val="24"/>
          <w:szCs w:val="24"/>
        </w:rPr>
        <w:t>is restricted, their</w:t>
      </w:r>
      <w:r w:rsidR="009B589E">
        <w:rPr>
          <w:rFonts w:ascii="Times New Roman" w:hAnsi="Times New Roman" w:cs="Times New Roman"/>
          <w:sz w:val="24"/>
          <w:szCs w:val="24"/>
        </w:rPr>
        <w:t xml:space="preserve"> indebtedness should be l</w:t>
      </w:r>
      <w:r w:rsidR="00BF1B53">
        <w:rPr>
          <w:rFonts w:ascii="Times New Roman" w:hAnsi="Times New Roman" w:cs="Times New Roman"/>
          <w:sz w:val="24"/>
          <w:szCs w:val="24"/>
        </w:rPr>
        <w:t>imited</w:t>
      </w:r>
      <w:r w:rsidR="00B91B78">
        <w:rPr>
          <w:rFonts w:ascii="Times New Roman" w:hAnsi="Times New Roman" w:cs="Times New Roman"/>
          <w:sz w:val="24"/>
          <w:szCs w:val="24"/>
        </w:rPr>
        <w:t xml:space="preserve">. </w:t>
      </w:r>
      <w:r w:rsidR="0033047A">
        <w:rPr>
          <w:rFonts w:ascii="Times New Roman" w:hAnsi="Times New Roman" w:cs="Times New Roman"/>
          <w:sz w:val="24"/>
          <w:szCs w:val="24"/>
        </w:rPr>
        <w:t xml:space="preserve">If households have </w:t>
      </w:r>
      <w:r w:rsidR="004F6DA2">
        <w:rPr>
          <w:rFonts w:ascii="Times New Roman" w:hAnsi="Times New Roman" w:cs="Times New Roman"/>
          <w:sz w:val="24"/>
          <w:szCs w:val="24"/>
        </w:rPr>
        <w:t>a</w:t>
      </w:r>
      <w:r w:rsidR="0033047A">
        <w:rPr>
          <w:rFonts w:ascii="Times New Roman" w:hAnsi="Times New Roman" w:cs="Times New Roman"/>
          <w:sz w:val="24"/>
          <w:szCs w:val="24"/>
        </w:rPr>
        <w:t xml:space="preserve"> secure and upward trajectory of income and easier access to credit, they ca</w:t>
      </w:r>
      <w:r w:rsidR="001A5472">
        <w:rPr>
          <w:rFonts w:ascii="Times New Roman" w:hAnsi="Times New Roman" w:cs="Times New Roman"/>
          <w:sz w:val="24"/>
          <w:szCs w:val="24"/>
        </w:rPr>
        <w:t>n borrow bigger mortgages</w:t>
      </w:r>
      <w:r w:rsidR="0073540B">
        <w:rPr>
          <w:rFonts w:ascii="Times New Roman" w:hAnsi="Times New Roman" w:cs="Times New Roman"/>
          <w:sz w:val="24"/>
          <w:szCs w:val="24"/>
        </w:rPr>
        <w:t xml:space="preserve">. </w:t>
      </w:r>
      <w:r w:rsidR="00460DA9" w:rsidRPr="00DC3D4D">
        <w:rPr>
          <w:rFonts w:ascii="Times New Roman" w:hAnsi="Times New Roman" w:cs="Times New Roman"/>
          <w:sz w:val="24"/>
          <w:szCs w:val="24"/>
        </w:rPr>
        <w:t>Tak</w:t>
      </w:r>
      <w:r w:rsidR="00BF1B53">
        <w:rPr>
          <w:rFonts w:ascii="Times New Roman" w:hAnsi="Times New Roman" w:cs="Times New Roman"/>
          <w:sz w:val="24"/>
          <w:szCs w:val="24"/>
        </w:rPr>
        <w:t xml:space="preserve">ing </w:t>
      </w:r>
      <w:r w:rsidR="00A54048">
        <w:rPr>
          <w:rFonts w:ascii="Times New Roman" w:hAnsi="Times New Roman" w:cs="Times New Roman"/>
          <w:sz w:val="24"/>
          <w:szCs w:val="24"/>
        </w:rPr>
        <w:t>labo</w:t>
      </w:r>
      <w:r w:rsidR="0073540B">
        <w:rPr>
          <w:rFonts w:ascii="Times New Roman" w:hAnsi="Times New Roman" w:cs="Times New Roman"/>
          <w:sz w:val="24"/>
          <w:szCs w:val="24"/>
        </w:rPr>
        <w:t>r and credit</w:t>
      </w:r>
      <w:r w:rsidR="00BF1B53">
        <w:rPr>
          <w:rFonts w:ascii="Times New Roman" w:hAnsi="Times New Roman" w:cs="Times New Roman"/>
          <w:sz w:val="24"/>
          <w:szCs w:val="24"/>
        </w:rPr>
        <w:t xml:space="preserve"> institutions</w:t>
      </w:r>
      <w:r w:rsidR="00460DA9" w:rsidRPr="00DC3D4D">
        <w:rPr>
          <w:rFonts w:ascii="Times New Roman" w:hAnsi="Times New Roman" w:cs="Times New Roman"/>
          <w:sz w:val="24"/>
          <w:szCs w:val="24"/>
        </w:rPr>
        <w:t xml:space="preserve"> together</w:t>
      </w:r>
      <w:r w:rsidRPr="00DC3D4D">
        <w:rPr>
          <w:rFonts w:ascii="Times New Roman" w:hAnsi="Times New Roman" w:cs="Times New Roman"/>
          <w:sz w:val="24"/>
          <w:szCs w:val="24"/>
        </w:rPr>
        <w:t xml:space="preserve">, there emerges four possible institutional “worlds” of </w:t>
      </w:r>
      <w:r w:rsidR="008E5F36">
        <w:rPr>
          <w:rFonts w:ascii="Times New Roman" w:hAnsi="Times New Roman" w:cs="Times New Roman"/>
          <w:sz w:val="24"/>
          <w:szCs w:val="24"/>
        </w:rPr>
        <w:t>household indebtedness</w:t>
      </w:r>
      <w:r w:rsidRPr="00DC3D4D">
        <w:rPr>
          <w:rFonts w:ascii="Times New Roman" w:hAnsi="Times New Roman" w:cs="Times New Roman"/>
          <w:sz w:val="24"/>
          <w:szCs w:val="24"/>
        </w:rPr>
        <w:t>:</w:t>
      </w:r>
    </w:p>
    <w:p w14:paraId="71371105" w14:textId="77777777" w:rsidR="0095601D" w:rsidRPr="00DC3D4D" w:rsidRDefault="0095601D" w:rsidP="006D2C4B">
      <w:pPr>
        <w:spacing w:after="0" w:line="360" w:lineRule="auto"/>
        <w:jc w:val="both"/>
        <w:rPr>
          <w:rFonts w:ascii="Times New Roman" w:hAnsi="Times New Roman" w:cs="Times New Roman"/>
          <w:sz w:val="24"/>
          <w:szCs w:val="24"/>
        </w:rPr>
      </w:pPr>
    </w:p>
    <w:p w14:paraId="69E6A5DB" w14:textId="3653538F" w:rsidR="004A1F9D" w:rsidRDefault="00C279DD" w:rsidP="002E556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Encompassing</w:t>
      </w:r>
      <w:r w:rsidR="00CF4FA3">
        <w:rPr>
          <w:rFonts w:ascii="Times New Roman" w:hAnsi="Times New Roman" w:cs="Times New Roman"/>
          <w:sz w:val="24"/>
          <w:szCs w:val="24"/>
        </w:rPr>
        <w:t xml:space="preserve"> and inclusive</w:t>
      </w:r>
      <w:r>
        <w:rPr>
          <w:rFonts w:ascii="Times New Roman" w:hAnsi="Times New Roman" w:cs="Times New Roman"/>
          <w:sz w:val="24"/>
          <w:szCs w:val="24"/>
        </w:rPr>
        <w:t xml:space="preserve"> collective bargaining</w:t>
      </w:r>
      <w:r w:rsidR="002E3582" w:rsidRPr="00DC3D4D">
        <w:rPr>
          <w:rFonts w:ascii="Times New Roman" w:hAnsi="Times New Roman" w:cs="Times New Roman"/>
          <w:sz w:val="24"/>
          <w:szCs w:val="24"/>
        </w:rPr>
        <w:t xml:space="preserve"> (and </w:t>
      </w:r>
      <w:r w:rsidR="00A04FA6">
        <w:rPr>
          <w:rFonts w:ascii="Times New Roman" w:hAnsi="Times New Roman" w:cs="Times New Roman"/>
          <w:sz w:val="24"/>
          <w:szCs w:val="24"/>
        </w:rPr>
        <w:t xml:space="preserve">strong </w:t>
      </w:r>
      <w:r w:rsidR="002E3582" w:rsidRPr="00DC3D4D">
        <w:rPr>
          <w:rFonts w:ascii="Times New Roman" w:hAnsi="Times New Roman" w:cs="Times New Roman"/>
          <w:sz w:val="24"/>
          <w:szCs w:val="24"/>
        </w:rPr>
        <w:t>welfare states)</w:t>
      </w:r>
      <w:r w:rsidR="004A1F9D" w:rsidRPr="00DC3D4D">
        <w:rPr>
          <w:rFonts w:ascii="Times New Roman" w:hAnsi="Times New Roman" w:cs="Times New Roman"/>
          <w:sz w:val="24"/>
          <w:szCs w:val="24"/>
        </w:rPr>
        <w:t xml:space="preserve"> combined with </w:t>
      </w:r>
      <w:r w:rsidR="004A1F9D" w:rsidRPr="00B91B78">
        <w:rPr>
          <w:rFonts w:ascii="Times New Roman" w:hAnsi="Times New Roman" w:cs="Times New Roman"/>
          <w:i/>
          <w:sz w:val="24"/>
          <w:szCs w:val="24"/>
        </w:rPr>
        <w:t xml:space="preserve">permissive </w:t>
      </w:r>
      <w:r w:rsidR="004A1F9D" w:rsidRPr="00DC3D4D">
        <w:rPr>
          <w:rFonts w:ascii="Times New Roman" w:hAnsi="Times New Roman" w:cs="Times New Roman"/>
          <w:sz w:val="24"/>
          <w:szCs w:val="24"/>
        </w:rPr>
        <w:t xml:space="preserve">mortgage institutions: </w:t>
      </w:r>
      <w:r w:rsidR="005D6662" w:rsidRPr="00DC3D4D">
        <w:rPr>
          <w:rFonts w:ascii="Times New Roman" w:hAnsi="Times New Roman" w:cs="Times New Roman"/>
          <w:sz w:val="24"/>
          <w:szCs w:val="24"/>
        </w:rPr>
        <w:t xml:space="preserve"> </w:t>
      </w:r>
      <w:r w:rsidR="004A1F9D" w:rsidRPr="00DC3D4D">
        <w:rPr>
          <w:rFonts w:ascii="Times New Roman" w:hAnsi="Times New Roman" w:cs="Times New Roman"/>
          <w:sz w:val="24"/>
          <w:szCs w:val="24"/>
        </w:rPr>
        <w:t xml:space="preserve">Under this constellation of institutions, households’ income </w:t>
      </w:r>
      <w:r w:rsidR="002E3582" w:rsidRPr="00DC3D4D">
        <w:rPr>
          <w:rFonts w:ascii="Times New Roman" w:hAnsi="Times New Roman" w:cs="Times New Roman"/>
          <w:sz w:val="24"/>
          <w:szCs w:val="24"/>
        </w:rPr>
        <w:t>and employment is made more secure</w:t>
      </w:r>
      <w:r w:rsidR="008E5F36">
        <w:rPr>
          <w:rFonts w:ascii="Times New Roman" w:hAnsi="Times New Roman" w:cs="Times New Roman"/>
          <w:sz w:val="24"/>
          <w:szCs w:val="24"/>
        </w:rPr>
        <w:t xml:space="preserve"> by collective bargaining </w:t>
      </w:r>
      <w:r w:rsidR="005338FB">
        <w:rPr>
          <w:rFonts w:ascii="Times New Roman" w:hAnsi="Times New Roman" w:cs="Times New Roman"/>
          <w:sz w:val="24"/>
          <w:szCs w:val="24"/>
        </w:rPr>
        <w:t>coverage</w:t>
      </w:r>
      <w:r w:rsidR="008E5F36">
        <w:rPr>
          <w:rFonts w:ascii="Times New Roman" w:hAnsi="Times New Roman" w:cs="Times New Roman"/>
          <w:sz w:val="24"/>
          <w:szCs w:val="24"/>
        </w:rPr>
        <w:t xml:space="preserve"> and </w:t>
      </w:r>
      <w:r w:rsidR="00AF595E">
        <w:rPr>
          <w:rFonts w:ascii="Times New Roman" w:hAnsi="Times New Roman" w:cs="Times New Roman"/>
          <w:sz w:val="24"/>
          <w:szCs w:val="24"/>
        </w:rPr>
        <w:t>strong unions</w:t>
      </w:r>
      <w:r w:rsidR="004A1F9D" w:rsidRPr="00DC3D4D">
        <w:rPr>
          <w:rFonts w:ascii="Times New Roman" w:hAnsi="Times New Roman" w:cs="Times New Roman"/>
          <w:sz w:val="24"/>
          <w:szCs w:val="24"/>
        </w:rPr>
        <w:t>,</w:t>
      </w:r>
      <w:r w:rsidR="002E3582" w:rsidRPr="00DC3D4D">
        <w:rPr>
          <w:rFonts w:ascii="Times New Roman" w:hAnsi="Times New Roman" w:cs="Times New Roman"/>
          <w:sz w:val="24"/>
          <w:szCs w:val="24"/>
        </w:rPr>
        <w:t xml:space="preserve"> </w:t>
      </w:r>
      <w:r w:rsidR="008E5F36">
        <w:rPr>
          <w:rFonts w:ascii="Times New Roman" w:hAnsi="Times New Roman" w:cs="Times New Roman"/>
          <w:sz w:val="24"/>
          <w:szCs w:val="24"/>
        </w:rPr>
        <w:t>while</w:t>
      </w:r>
      <w:r w:rsidR="004A1F9D" w:rsidRPr="00DC3D4D">
        <w:rPr>
          <w:rFonts w:ascii="Times New Roman" w:hAnsi="Times New Roman" w:cs="Times New Roman"/>
          <w:sz w:val="24"/>
          <w:szCs w:val="24"/>
        </w:rPr>
        <w:t xml:space="preserve"> their access to </w:t>
      </w:r>
      <w:r w:rsidR="008E5F36">
        <w:rPr>
          <w:rFonts w:ascii="Times New Roman" w:hAnsi="Times New Roman" w:cs="Times New Roman"/>
          <w:sz w:val="24"/>
          <w:szCs w:val="24"/>
        </w:rPr>
        <w:t>borrowing</w:t>
      </w:r>
      <w:r w:rsidR="004A1F9D" w:rsidRPr="00DC3D4D">
        <w:rPr>
          <w:rFonts w:ascii="Times New Roman" w:hAnsi="Times New Roman" w:cs="Times New Roman"/>
          <w:sz w:val="24"/>
          <w:szCs w:val="24"/>
        </w:rPr>
        <w:t xml:space="preserve"> is enhanced</w:t>
      </w:r>
      <w:r w:rsidR="008E5F36">
        <w:rPr>
          <w:rFonts w:ascii="Times New Roman" w:hAnsi="Times New Roman" w:cs="Times New Roman"/>
          <w:sz w:val="24"/>
          <w:szCs w:val="24"/>
        </w:rPr>
        <w:t xml:space="preserve"> by </w:t>
      </w:r>
      <w:r w:rsidR="00A04FA6">
        <w:rPr>
          <w:rFonts w:ascii="Times New Roman" w:hAnsi="Times New Roman" w:cs="Times New Roman"/>
          <w:sz w:val="24"/>
          <w:szCs w:val="24"/>
        </w:rPr>
        <w:t>accessible and plentiful</w:t>
      </w:r>
      <w:r w:rsidR="008E5F36">
        <w:rPr>
          <w:rFonts w:ascii="Times New Roman" w:hAnsi="Times New Roman" w:cs="Times New Roman"/>
          <w:sz w:val="24"/>
          <w:szCs w:val="24"/>
        </w:rPr>
        <w:t xml:space="preserve"> (mortgage) credit</w:t>
      </w:r>
      <w:r w:rsidR="00BA3935" w:rsidRPr="00DC3D4D">
        <w:rPr>
          <w:rFonts w:ascii="Times New Roman" w:hAnsi="Times New Roman" w:cs="Times New Roman"/>
          <w:sz w:val="24"/>
          <w:szCs w:val="24"/>
        </w:rPr>
        <w:t xml:space="preserve">.  This institutional grouping is seen in the </w:t>
      </w:r>
      <w:r w:rsidR="00D51AC0">
        <w:rPr>
          <w:rFonts w:ascii="Times New Roman" w:hAnsi="Times New Roman" w:cs="Times New Roman"/>
          <w:sz w:val="24"/>
          <w:szCs w:val="24"/>
        </w:rPr>
        <w:t>Scandinavian</w:t>
      </w:r>
      <w:r w:rsidR="00D51AC0" w:rsidRPr="00DC3D4D">
        <w:rPr>
          <w:rFonts w:ascii="Times New Roman" w:hAnsi="Times New Roman" w:cs="Times New Roman"/>
          <w:sz w:val="24"/>
          <w:szCs w:val="24"/>
        </w:rPr>
        <w:t xml:space="preserve"> </w:t>
      </w:r>
      <w:r w:rsidR="00BA3935" w:rsidRPr="00DC3D4D">
        <w:rPr>
          <w:rFonts w:ascii="Times New Roman" w:hAnsi="Times New Roman" w:cs="Times New Roman"/>
          <w:sz w:val="24"/>
          <w:szCs w:val="24"/>
        </w:rPr>
        <w:t>countries as well as the Netherlands</w:t>
      </w:r>
      <w:r w:rsidR="00A43DC8">
        <w:rPr>
          <w:rFonts w:ascii="Times New Roman" w:hAnsi="Times New Roman" w:cs="Times New Roman"/>
          <w:sz w:val="24"/>
          <w:szCs w:val="24"/>
        </w:rPr>
        <w:t>.</w:t>
      </w:r>
    </w:p>
    <w:p w14:paraId="05347D49" w14:textId="51EAD137" w:rsidR="00C279DD" w:rsidRPr="00B91B78" w:rsidRDefault="00C279DD" w:rsidP="00C279DD">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Sectoral-specific collective bargaining</w:t>
      </w:r>
      <w:r w:rsidRPr="00DC3D4D">
        <w:rPr>
          <w:rFonts w:ascii="Times New Roman" w:hAnsi="Times New Roman" w:cs="Times New Roman"/>
          <w:sz w:val="24"/>
          <w:szCs w:val="24"/>
        </w:rPr>
        <w:t xml:space="preserve"> (and</w:t>
      </w:r>
      <w:r>
        <w:rPr>
          <w:rFonts w:ascii="Times New Roman" w:hAnsi="Times New Roman" w:cs="Times New Roman"/>
          <w:sz w:val="24"/>
          <w:szCs w:val="24"/>
        </w:rPr>
        <w:t xml:space="preserve"> status oriented</w:t>
      </w:r>
      <w:r w:rsidRPr="00DC3D4D">
        <w:rPr>
          <w:rFonts w:ascii="Times New Roman" w:hAnsi="Times New Roman" w:cs="Times New Roman"/>
          <w:sz w:val="24"/>
          <w:szCs w:val="24"/>
        </w:rPr>
        <w:t xml:space="preserve"> welfare states) </w:t>
      </w:r>
      <w:r>
        <w:rPr>
          <w:rFonts w:ascii="Times New Roman" w:hAnsi="Times New Roman" w:cs="Times New Roman"/>
          <w:sz w:val="24"/>
          <w:szCs w:val="24"/>
        </w:rPr>
        <w:t xml:space="preserve">combined </w:t>
      </w:r>
      <w:r w:rsidRPr="00DC3D4D">
        <w:rPr>
          <w:rFonts w:ascii="Times New Roman" w:hAnsi="Times New Roman" w:cs="Times New Roman"/>
          <w:sz w:val="24"/>
          <w:szCs w:val="24"/>
        </w:rPr>
        <w:t xml:space="preserve">with </w:t>
      </w:r>
      <w:r w:rsidRPr="00B91B78">
        <w:rPr>
          <w:rFonts w:ascii="Times New Roman" w:hAnsi="Times New Roman" w:cs="Times New Roman"/>
          <w:i/>
          <w:sz w:val="24"/>
          <w:szCs w:val="24"/>
        </w:rPr>
        <w:t>restrictive</w:t>
      </w:r>
      <w:r w:rsidRPr="00DC3D4D">
        <w:rPr>
          <w:rFonts w:ascii="Times New Roman" w:hAnsi="Times New Roman" w:cs="Times New Roman"/>
          <w:sz w:val="24"/>
          <w:szCs w:val="24"/>
        </w:rPr>
        <w:t xml:space="preserve"> mortgage credit institutions: Under this constellation of institutions, </w:t>
      </w:r>
      <w:r>
        <w:rPr>
          <w:rFonts w:ascii="Times New Roman" w:hAnsi="Times New Roman" w:cs="Times New Roman"/>
          <w:sz w:val="24"/>
          <w:szCs w:val="24"/>
        </w:rPr>
        <w:t>income and employment security does not necessarily transpire into higher indebtedness (and home ownership)</w:t>
      </w:r>
      <w:r w:rsidR="004F6DA2">
        <w:rPr>
          <w:rFonts w:ascii="Times New Roman" w:hAnsi="Times New Roman" w:cs="Times New Roman"/>
          <w:sz w:val="24"/>
          <w:szCs w:val="24"/>
        </w:rPr>
        <w:t>,</w:t>
      </w:r>
      <w:r>
        <w:rPr>
          <w:rFonts w:ascii="Times New Roman" w:hAnsi="Times New Roman" w:cs="Times New Roman"/>
          <w:sz w:val="24"/>
          <w:szCs w:val="24"/>
        </w:rPr>
        <w:t xml:space="preserve"> primarily because of limited</w:t>
      </w:r>
      <w:r w:rsidRPr="00DC3D4D">
        <w:rPr>
          <w:rFonts w:ascii="Times New Roman" w:hAnsi="Times New Roman" w:cs="Times New Roman"/>
          <w:sz w:val="24"/>
          <w:szCs w:val="24"/>
        </w:rPr>
        <w:t xml:space="preserve"> access to mortgage loans.</w:t>
      </w:r>
      <w:r>
        <w:rPr>
          <w:rFonts w:ascii="Times New Roman" w:hAnsi="Times New Roman" w:cs="Times New Roman"/>
          <w:sz w:val="24"/>
          <w:szCs w:val="24"/>
        </w:rPr>
        <w:t xml:space="preserve">  While households in this constellation are </w:t>
      </w:r>
      <w:r w:rsidR="0011239E">
        <w:rPr>
          <w:rFonts w:ascii="Times New Roman" w:hAnsi="Times New Roman" w:cs="Times New Roman"/>
          <w:sz w:val="24"/>
          <w:szCs w:val="24"/>
        </w:rPr>
        <w:t xml:space="preserve">often </w:t>
      </w:r>
      <w:r>
        <w:rPr>
          <w:rFonts w:ascii="Times New Roman" w:hAnsi="Times New Roman" w:cs="Times New Roman"/>
          <w:sz w:val="24"/>
          <w:szCs w:val="24"/>
        </w:rPr>
        <w:t xml:space="preserve">ideal credit risks, governments make it difficult for banks to convert these low risks into higher indebtedness. </w:t>
      </w:r>
      <w:r w:rsidRPr="00DC3D4D">
        <w:rPr>
          <w:rFonts w:ascii="Times New Roman" w:hAnsi="Times New Roman" w:cs="Times New Roman"/>
          <w:sz w:val="24"/>
          <w:szCs w:val="24"/>
        </w:rPr>
        <w:t>This grouping of institutions is best seen in countries like Germany</w:t>
      </w:r>
      <w:r>
        <w:rPr>
          <w:rFonts w:ascii="Times New Roman" w:hAnsi="Times New Roman" w:cs="Times New Roman"/>
          <w:sz w:val="24"/>
          <w:szCs w:val="24"/>
        </w:rPr>
        <w:t xml:space="preserve"> and</w:t>
      </w:r>
      <w:r w:rsidRPr="00DC3D4D">
        <w:rPr>
          <w:rFonts w:ascii="Times New Roman" w:hAnsi="Times New Roman" w:cs="Times New Roman"/>
          <w:sz w:val="24"/>
          <w:szCs w:val="24"/>
        </w:rPr>
        <w:t xml:space="preserve"> Austria.   </w:t>
      </w:r>
    </w:p>
    <w:p w14:paraId="51F55B2C" w14:textId="0112A12D" w:rsidR="00BA3935" w:rsidRPr="00DC3D4D" w:rsidRDefault="00C279DD" w:rsidP="002E556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Market-led and</w:t>
      </w:r>
      <w:r w:rsidR="00CF4FA3">
        <w:rPr>
          <w:rFonts w:ascii="Times New Roman" w:hAnsi="Times New Roman" w:cs="Times New Roman"/>
          <w:sz w:val="24"/>
          <w:szCs w:val="24"/>
        </w:rPr>
        <w:t xml:space="preserve"> narrow</w:t>
      </w:r>
      <w:r>
        <w:rPr>
          <w:rFonts w:ascii="Times New Roman" w:hAnsi="Times New Roman" w:cs="Times New Roman"/>
          <w:sz w:val="24"/>
          <w:szCs w:val="24"/>
        </w:rPr>
        <w:t xml:space="preserve"> collective bargaining</w:t>
      </w:r>
      <w:r w:rsidR="00AF595E">
        <w:rPr>
          <w:rFonts w:ascii="Times New Roman" w:hAnsi="Times New Roman" w:cs="Times New Roman"/>
          <w:sz w:val="24"/>
          <w:szCs w:val="24"/>
        </w:rPr>
        <w:t xml:space="preserve"> </w:t>
      </w:r>
      <w:r w:rsidR="00352DF4" w:rsidRPr="00DC3D4D">
        <w:rPr>
          <w:rFonts w:ascii="Times New Roman" w:hAnsi="Times New Roman" w:cs="Times New Roman"/>
          <w:sz w:val="24"/>
          <w:szCs w:val="24"/>
        </w:rPr>
        <w:t>(with weaker welfare states)</w:t>
      </w:r>
      <w:r w:rsidR="00BA3935" w:rsidRPr="00DC3D4D">
        <w:rPr>
          <w:rFonts w:ascii="Times New Roman" w:hAnsi="Times New Roman" w:cs="Times New Roman"/>
          <w:sz w:val="24"/>
          <w:szCs w:val="24"/>
        </w:rPr>
        <w:t xml:space="preserve"> </w:t>
      </w:r>
      <w:r w:rsidR="00AF595E">
        <w:rPr>
          <w:rFonts w:ascii="Times New Roman" w:hAnsi="Times New Roman" w:cs="Times New Roman"/>
          <w:sz w:val="24"/>
          <w:szCs w:val="24"/>
        </w:rPr>
        <w:t xml:space="preserve">combined </w:t>
      </w:r>
      <w:r w:rsidR="00BA3935" w:rsidRPr="00DC3D4D">
        <w:rPr>
          <w:rFonts w:ascii="Times New Roman" w:hAnsi="Times New Roman" w:cs="Times New Roman"/>
          <w:sz w:val="24"/>
          <w:szCs w:val="24"/>
        </w:rPr>
        <w:t xml:space="preserve">with </w:t>
      </w:r>
      <w:r w:rsidR="00BA3935" w:rsidRPr="00B91B78">
        <w:rPr>
          <w:rFonts w:ascii="Times New Roman" w:hAnsi="Times New Roman" w:cs="Times New Roman"/>
          <w:i/>
          <w:sz w:val="24"/>
          <w:szCs w:val="24"/>
        </w:rPr>
        <w:t>permissive</w:t>
      </w:r>
      <w:r w:rsidR="00BA3935" w:rsidRPr="00DC3D4D">
        <w:rPr>
          <w:rFonts w:ascii="Times New Roman" w:hAnsi="Times New Roman" w:cs="Times New Roman"/>
          <w:sz w:val="24"/>
          <w:szCs w:val="24"/>
        </w:rPr>
        <w:t xml:space="preserve"> mortgage credit institutions:  This constellation of institutions </w:t>
      </w:r>
      <w:r w:rsidR="00AF595E">
        <w:rPr>
          <w:rFonts w:ascii="Times New Roman" w:hAnsi="Times New Roman" w:cs="Times New Roman"/>
          <w:sz w:val="24"/>
          <w:szCs w:val="24"/>
        </w:rPr>
        <w:t>pairs</w:t>
      </w:r>
      <w:r w:rsidR="00AF595E" w:rsidRPr="00DC3D4D">
        <w:rPr>
          <w:rFonts w:ascii="Times New Roman" w:hAnsi="Times New Roman" w:cs="Times New Roman"/>
          <w:sz w:val="24"/>
          <w:szCs w:val="24"/>
        </w:rPr>
        <w:t xml:space="preserve"> </w:t>
      </w:r>
      <w:r w:rsidR="00AF595E">
        <w:rPr>
          <w:rFonts w:ascii="Times New Roman" w:hAnsi="Times New Roman" w:cs="Times New Roman"/>
          <w:sz w:val="24"/>
          <w:szCs w:val="24"/>
        </w:rPr>
        <w:t xml:space="preserve">more precarious income and employment conditions </w:t>
      </w:r>
      <w:r w:rsidR="00BA3935" w:rsidRPr="00DC3D4D">
        <w:rPr>
          <w:rFonts w:ascii="Times New Roman" w:hAnsi="Times New Roman" w:cs="Times New Roman"/>
          <w:sz w:val="24"/>
          <w:szCs w:val="24"/>
        </w:rPr>
        <w:t>with generous access to mortgage</w:t>
      </w:r>
      <w:r w:rsidR="00214491">
        <w:rPr>
          <w:rFonts w:ascii="Times New Roman" w:hAnsi="Times New Roman" w:cs="Times New Roman"/>
          <w:sz w:val="24"/>
          <w:szCs w:val="24"/>
        </w:rPr>
        <w:t>s</w:t>
      </w:r>
      <w:r w:rsidR="00BA3935" w:rsidRPr="00DC3D4D">
        <w:rPr>
          <w:rFonts w:ascii="Times New Roman" w:hAnsi="Times New Roman" w:cs="Times New Roman"/>
          <w:sz w:val="24"/>
          <w:szCs w:val="24"/>
        </w:rPr>
        <w:t xml:space="preserve">.  This combination of institutions </w:t>
      </w:r>
      <w:r w:rsidR="002E3582" w:rsidRPr="00DC3D4D">
        <w:rPr>
          <w:rFonts w:ascii="Times New Roman" w:hAnsi="Times New Roman" w:cs="Times New Roman"/>
          <w:sz w:val="24"/>
          <w:szCs w:val="24"/>
        </w:rPr>
        <w:t xml:space="preserve">typically </w:t>
      </w:r>
      <w:r w:rsidR="00BA3935" w:rsidRPr="00DC3D4D">
        <w:rPr>
          <w:rFonts w:ascii="Times New Roman" w:hAnsi="Times New Roman" w:cs="Times New Roman"/>
          <w:sz w:val="24"/>
          <w:szCs w:val="24"/>
        </w:rPr>
        <w:t>exist</w:t>
      </w:r>
      <w:r w:rsidR="000C6F9E" w:rsidRPr="00DC3D4D">
        <w:rPr>
          <w:rFonts w:ascii="Times New Roman" w:hAnsi="Times New Roman" w:cs="Times New Roman"/>
          <w:sz w:val="24"/>
          <w:szCs w:val="24"/>
        </w:rPr>
        <w:t>s</w:t>
      </w:r>
      <w:r w:rsidR="00BA3935" w:rsidRPr="00DC3D4D">
        <w:rPr>
          <w:rFonts w:ascii="Times New Roman" w:hAnsi="Times New Roman" w:cs="Times New Roman"/>
          <w:sz w:val="24"/>
          <w:szCs w:val="24"/>
        </w:rPr>
        <w:t xml:space="preserve"> in the UK</w:t>
      </w:r>
      <w:r w:rsidR="00DE7982">
        <w:rPr>
          <w:rFonts w:ascii="Times New Roman" w:hAnsi="Times New Roman" w:cs="Times New Roman"/>
          <w:sz w:val="24"/>
          <w:szCs w:val="24"/>
        </w:rPr>
        <w:t>, Ireland</w:t>
      </w:r>
      <w:r w:rsidR="0011239E">
        <w:rPr>
          <w:rFonts w:ascii="Times New Roman" w:hAnsi="Times New Roman" w:cs="Times New Roman"/>
          <w:sz w:val="24"/>
          <w:szCs w:val="24"/>
        </w:rPr>
        <w:t xml:space="preserve"> (before the euro crisis)</w:t>
      </w:r>
      <w:r w:rsidR="00DE7982">
        <w:rPr>
          <w:rFonts w:ascii="Times New Roman" w:hAnsi="Times New Roman" w:cs="Times New Roman"/>
          <w:sz w:val="24"/>
          <w:szCs w:val="24"/>
        </w:rPr>
        <w:t xml:space="preserve">, </w:t>
      </w:r>
      <w:r w:rsidR="002E3582" w:rsidRPr="00DC3D4D">
        <w:rPr>
          <w:rFonts w:ascii="Times New Roman" w:hAnsi="Times New Roman" w:cs="Times New Roman"/>
          <w:sz w:val="24"/>
          <w:szCs w:val="24"/>
        </w:rPr>
        <w:t>and the USA</w:t>
      </w:r>
      <w:r w:rsidR="00AF595E">
        <w:rPr>
          <w:rFonts w:ascii="Times New Roman" w:hAnsi="Times New Roman" w:cs="Times New Roman"/>
          <w:sz w:val="24"/>
          <w:szCs w:val="24"/>
        </w:rPr>
        <w:t xml:space="preserve"> (as well Spain during the late-1990s and pre-crisis 2000s)</w:t>
      </w:r>
      <w:r w:rsidR="002E3582" w:rsidRPr="00DC3D4D">
        <w:rPr>
          <w:rFonts w:ascii="Times New Roman" w:hAnsi="Times New Roman" w:cs="Times New Roman"/>
          <w:sz w:val="24"/>
          <w:szCs w:val="24"/>
        </w:rPr>
        <w:t>.</w:t>
      </w:r>
    </w:p>
    <w:p w14:paraId="583EF4F2" w14:textId="6A48EE9C" w:rsidR="00BA3935" w:rsidRPr="00DC3D4D" w:rsidRDefault="004F6DA2" w:rsidP="002E556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Weak and </w:t>
      </w:r>
      <w:r w:rsidR="00EA542B">
        <w:rPr>
          <w:rFonts w:ascii="Times New Roman" w:hAnsi="Times New Roman" w:cs="Times New Roman"/>
          <w:sz w:val="24"/>
          <w:szCs w:val="24"/>
        </w:rPr>
        <w:t>(</w:t>
      </w:r>
      <w:r>
        <w:rPr>
          <w:rFonts w:ascii="Times New Roman" w:hAnsi="Times New Roman" w:cs="Times New Roman"/>
          <w:sz w:val="24"/>
          <w:szCs w:val="24"/>
        </w:rPr>
        <w:t>insider-oriented</w:t>
      </w:r>
      <w:r w:rsidR="00EA542B">
        <w:rPr>
          <w:rFonts w:ascii="Times New Roman" w:hAnsi="Times New Roman" w:cs="Times New Roman"/>
          <w:sz w:val="24"/>
          <w:szCs w:val="24"/>
        </w:rPr>
        <w:t>) narrow</w:t>
      </w:r>
      <w:r>
        <w:rPr>
          <w:rFonts w:ascii="Times New Roman" w:hAnsi="Times New Roman" w:cs="Times New Roman"/>
          <w:sz w:val="24"/>
          <w:szCs w:val="24"/>
        </w:rPr>
        <w:t xml:space="preserve"> </w:t>
      </w:r>
      <w:r w:rsidR="00EA542B">
        <w:rPr>
          <w:rFonts w:ascii="Times New Roman" w:hAnsi="Times New Roman" w:cs="Times New Roman"/>
          <w:sz w:val="24"/>
          <w:szCs w:val="24"/>
        </w:rPr>
        <w:t>collective bargaining</w:t>
      </w:r>
      <w:r w:rsidR="00AF595E">
        <w:rPr>
          <w:rFonts w:ascii="Times New Roman" w:hAnsi="Times New Roman" w:cs="Times New Roman"/>
          <w:sz w:val="24"/>
          <w:szCs w:val="24"/>
        </w:rPr>
        <w:t xml:space="preserve"> </w:t>
      </w:r>
      <w:r w:rsidR="00AF595E" w:rsidRPr="00DC3D4D">
        <w:rPr>
          <w:rFonts w:ascii="Times New Roman" w:hAnsi="Times New Roman" w:cs="Times New Roman"/>
          <w:sz w:val="24"/>
          <w:szCs w:val="24"/>
        </w:rPr>
        <w:t xml:space="preserve">(with weaker welfare states) </w:t>
      </w:r>
      <w:r w:rsidR="00AF595E">
        <w:rPr>
          <w:rFonts w:ascii="Times New Roman" w:hAnsi="Times New Roman" w:cs="Times New Roman"/>
          <w:sz w:val="24"/>
          <w:szCs w:val="24"/>
        </w:rPr>
        <w:t xml:space="preserve">combined </w:t>
      </w:r>
      <w:r w:rsidR="00BA3935" w:rsidRPr="00DC3D4D">
        <w:rPr>
          <w:rFonts w:ascii="Times New Roman" w:hAnsi="Times New Roman" w:cs="Times New Roman"/>
          <w:sz w:val="24"/>
          <w:szCs w:val="24"/>
        </w:rPr>
        <w:t xml:space="preserve">with </w:t>
      </w:r>
      <w:r w:rsidR="00BA3935" w:rsidRPr="00B91B78">
        <w:rPr>
          <w:rFonts w:ascii="Times New Roman" w:hAnsi="Times New Roman" w:cs="Times New Roman"/>
          <w:i/>
          <w:sz w:val="24"/>
          <w:szCs w:val="24"/>
        </w:rPr>
        <w:t>restrictive</w:t>
      </w:r>
      <w:r w:rsidR="00BA3935" w:rsidRPr="00DC3D4D">
        <w:rPr>
          <w:rFonts w:ascii="Times New Roman" w:hAnsi="Times New Roman" w:cs="Times New Roman"/>
          <w:sz w:val="24"/>
          <w:szCs w:val="24"/>
        </w:rPr>
        <w:t xml:space="preserve"> mortgage credit institutions:  This constellation of institutions can be observed in countries like Italy</w:t>
      </w:r>
      <w:r w:rsidR="00AF595E">
        <w:rPr>
          <w:rFonts w:ascii="Times New Roman" w:hAnsi="Times New Roman" w:cs="Times New Roman"/>
          <w:sz w:val="24"/>
          <w:szCs w:val="24"/>
        </w:rPr>
        <w:t xml:space="preserve"> and Greece</w:t>
      </w:r>
      <w:r w:rsidR="00BA3935" w:rsidRPr="00DC3D4D">
        <w:rPr>
          <w:rFonts w:ascii="Times New Roman" w:hAnsi="Times New Roman" w:cs="Times New Roman"/>
          <w:sz w:val="24"/>
          <w:szCs w:val="24"/>
        </w:rPr>
        <w:t xml:space="preserve">, </w:t>
      </w:r>
      <w:r w:rsidR="005338FB">
        <w:rPr>
          <w:rFonts w:ascii="Times New Roman" w:hAnsi="Times New Roman" w:cs="Times New Roman"/>
          <w:sz w:val="24"/>
          <w:szCs w:val="24"/>
        </w:rPr>
        <w:t xml:space="preserve">and </w:t>
      </w:r>
      <w:r w:rsidR="0055201E">
        <w:rPr>
          <w:rFonts w:ascii="Times New Roman" w:hAnsi="Times New Roman" w:cs="Times New Roman"/>
          <w:sz w:val="24"/>
          <w:szCs w:val="24"/>
        </w:rPr>
        <w:t>is</w:t>
      </w:r>
      <w:r w:rsidR="00AF595E">
        <w:rPr>
          <w:rFonts w:ascii="Times New Roman" w:hAnsi="Times New Roman" w:cs="Times New Roman"/>
          <w:sz w:val="24"/>
          <w:szCs w:val="24"/>
        </w:rPr>
        <w:t xml:space="preserve"> </w:t>
      </w:r>
      <w:r w:rsidR="0055201E">
        <w:rPr>
          <w:rFonts w:ascii="Times New Roman" w:hAnsi="Times New Roman" w:cs="Times New Roman"/>
          <w:sz w:val="24"/>
          <w:szCs w:val="24"/>
        </w:rPr>
        <w:t>prominent in</w:t>
      </w:r>
      <w:r w:rsidR="00AF595E">
        <w:rPr>
          <w:rFonts w:ascii="Times New Roman" w:hAnsi="Times New Roman" w:cs="Times New Roman"/>
          <w:sz w:val="24"/>
          <w:szCs w:val="24"/>
        </w:rPr>
        <w:t xml:space="preserve"> “</w:t>
      </w:r>
      <w:proofErr w:type="spellStart"/>
      <w:r w:rsidR="00AF595E">
        <w:rPr>
          <w:rFonts w:ascii="Times New Roman" w:hAnsi="Times New Roman" w:cs="Times New Roman"/>
          <w:sz w:val="24"/>
          <w:szCs w:val="24"/>
        </w:rPr>
        <w:t>fami</w:t>
      </w:r>
      <w:r w:rsidR="002F1876">
        <w:rPr>
          <w:rFonts w:ascii="Times New Roman" w:hAnsi="Times New Roman" w:cs="Times New Roman"/>
          <w:sz w:val="24"/>
          <w:szCs w:val="24"/>
        </w:rPr>
        <w:t>li</w:t>
      </w:r>
      <w:r w:rsidR="00AF595E">
        <w:rPr>
          <w:rFonts w:ascii="Times New Roman" w:hAnsi="Times New Roman" w:cs="Times New Roman"/>
          <w:sz w:val="24"/>
          <w:szCs w:val="24"/>
        </w:rPr>
        <w:t>alist</w:t>
      </w:r>
      <w:proofErr w:type="spellEnd"/>
      <w:r w:rsidR="00AF595E">
        <w:rPr>
          <w:rFonts w:ascii="Times New Roman" w:hAnsi="Times New Roman" w:cs="Times New Roman"/>
          <w:sz w:val="24"/>
          <w:szCs w:val="24"/>
        </w:rPr>
        <w:t>” housing regimes where housing is more often inherited rather than purchased</w:t>
      </w:r>
      <w:r w:rsidR="0055201E">
        <w:rPr>
          <w:rFonts w:ascii="Times New Roman" w:hAnsi="Times New Roman" w:cs="Times New Roman"/>
          <w:sz w:val="24"/>
          <w:szCs w:val="24"/>
        </w:rPr>
        <w:t xml:space="preserve"> with a mortgage</w:t>
      </w:r>
      <w:r>
        <w:rPr>
          <w:rFonts w:ascii="Times New Roman" w:hAnsi="Times New Roman" w:cs="Times New Roman"/>
          <w:sz w:val="24"/>
          <w:szCs w:val="24"/>
        </w:rPr>
        <w:t>-debt contract</w:t>
      </w:r>
      <w:r w:rsidR="0055201E">
        <w:rPr>
          <w:rFonts w:ascii="Times New Roman" w:hAnsi="Times New Roman" w:cs="Times New Roman"/>
          <w:sz w:val="24"/>
          <w:szCs w:val="24"/>
        </w:rPr>
        <w:t xml:space="preserve"> (see Schwartz ad Seabrooke, 2008).</w:t>
      </w:r>
      <w:r w:rsidR="00AF595E">
        <w:rPr>
          <w:rFonts w:ascii="Times New Roman" w:hAnsi="Times New Roman" w:cs="Times New Roman"/>
          <w:sz w:val="24"/>
          <w:szCs w:val="24"/>
        </w:rPr>
        <w:t xml:space="preserve"> </w:t>
      </w:r>
      <w:r w:rsidR="00BA3935" w:rsidRPr="00DC3D4D">
        <w:rPr>
          <w:rFonts w:ascii="Times New Roman" w:hAnsi="Times New Roman" w:cs="Times New Roman"/>
          <w:sz w:val="24"/>
          <w:szCs w:val="24"/>
        </w:rPr>
        <w:t xml:space="preserve">  </w:t>
      </w:r>
    </w:p>
    <w:p w14:paraId="34588A5C" w14:textId="77777777" w:rsidR="0095601D" w:rsidRPr="00DC3D4D" w:rsidRDefault="0095601D" w:rsidP="0095601D">
      <w:pPr>
        <w:spacing w:after="0" w:line="360" w:lineRule="auto"/>
        <w:jc w:val="both"/>
        <w:rPr>
          <w:rFonts w:ascii="Times New Roman" w:hAnsi="Times New Roman" w:cs="Times New Roman"/>
          <w:sz w:val="24"/>
          <w:szCs w:val="24"/>
        </w:rPr>
      </w:pPr>
    </w:p>
    <w:p w14:paraId="05845F58" w14:textId="51FB7A92" w:rsidR="00DA51F7" w:rsidRDefault="00460DA9" w:rsidP="0095601D">
      <w:pPr>
        <w:spacing w:after="0" w:line="360" w:lineRule="auto"/>
        <w:jc w:val="both"/>
        <w:rPr>
          <w:rFonts w:ascii="Times New Roman" w:hAnsi="Times New Roman" w:cs="Times New Roman"/>
          <w:sz w:val="24"/>
          <w:szCs w:val="24"/>
        </w:rPr>
      </w:pPr>
      <w:r w:rsidRPr="00DC3D4D">
        <w:rPr>
          <w:rFonts w:ascii="Times New Roman" w:hAnsi="Times New Roman" w:cs="Times New Roman"/>
          <w:sz w:val="24"/>
          <w:szCs w:val="24"/>
        </w:rPr>
        <w:t>T</w:t>
      </w:r>
      <w:r w:rsidR="005D6662" w:rsidRPr="00DC3D4D">
        <w:rPr>
          <w:rFonts w:ascii="Times New Roman" w:hAnsi="Times New Roman" w:cs="Times New Roman"/>
          <w:sz w:val="24"/>
          <w:szCs w:val="24"/>
        </w:rPr>
        <w:t>h</w:t>
      </w:r>
      <w:r w:rsidR="00C76753" w:rsidRPr="00DC3D4D">
        <w:rPr>
          <w:rFonts w:ascii="Times New Roman" w:hAnsi="Times New Roman" w:cs="Times New Roman"/>
          <w:sz w:val="24"/>
          <w:szCs w:val="24"/>
        </w:rPr>
        <w:t>ese institutional configurations</w:t>
      </w:r>
      <w:r w:rsidR="005D6662" w:rsidRPr="00DC3D4D">
        <w:rPr>
          <w:rFonts w:ascii="Times New Roman" w:hAnsi="Times New Roman" w:cs="Times New Roman"/>
          <w:sz w:val="24"/>
          <w:szCs w:val="24"/>
        </w:rPr>
        <w:t xml:space="preserve"> </w:t>
      </w:r>
      <w:r w:rsidR="000C6F9E" w:rsidRPr="00DC3D4D">
        <w:rPr>
          <w:rFonts w:ascii="Times New Roman" w:hAnsi="Times New Roman" w:cs="Times New Roman"/>
          <w:sz w:val="24"/>
          <w:szCs w:val="24"/>
        </w:rPr>
        <w:t>allow</w:t>
      </w:r>
      <w:r w:rsidR="005D6662" w:rsidRPr="00DC3D4D">
        <w:rPr>
          <w:rFonts w:ascii="Times New Roman" w:hAnsi="Times New Roman" w:cs="Times New Roman"/>
          <w:sz w:val="24"/>
          <w:szCs w:val="24"/>
        </w:rPr>
        <w:t xml:space="preserve"> us to </w:t>
      </w:r>
      <w:r w:rsidR="00C76753" w:rsidRPr="00DC3D4D">
        <w:rPr>
          <w:rFonts w:ascii="Times New Roman" w:hAnsi="Times New Roman" w:cs="Times New Roman"/>
          <w:sz w:val="24"/>
          <w:szCs w:val="24"/>
        </w:rPr>
        <w:t xml:space="preserve">make predictions on </w:t>
      </w:r>
      <w:r w:rsidR="00A04FA6">
        <w:rPr>
          <w:rFonts w:ascii="Times New Roman" w:hAnsi="Times New Roman" w:cs="Times New Roman"/>
          <w:sz w:val="24"/>
          <w:szCs w:val="24"/>
        </w:rPr>
        <w:t>how the structure of domestic labor and credit markets drive</w:t>
      </w:r>
      <w:r w:rsidR="00C76753" w:rsidRPr="00DC3D4D">
        <w:rPr>
          <w:rFonts w:ascii="Times New Roman" w:hAnsi="Times New Roman" w:cs="Times New Roman"/>
          <w:sz w:val="24"/>
          <w:szCs w:val="24"/>
        </w:rPr>
        <w:t xml:space="preserve"> hous</w:t>
      </w:r>
      <w:r w:rsidR="00352DF4" w:rsidRPr="00DC3D4D">
        <w:rPr>
          <w:rFonts w:ascii="Times New Roman" w:hAnsi="Times New Roman" w:cs="Times New Roman"/>
          <w:sz w:val="24"/>
          <w:szCs w:val="24"/>
        </w:rPr>
        <w:t>ehold debt accumulation</w:t>
      </w:r>
      <w:r w:rsidR="00F21E1A" w:rsidRPr="00DC3D4D">
        <w:rPr>
          <w:rFonts w:ascii="Times New Roman" w:hAnsi="Times New Roman" w:cs="Times New Roman"/>
          <w:sz w:val="24"/>
          <w:szCs w:val="24"/>
        </w:rPr>
        <w:t>.</w:t>
      </w:r>
      <w:r w:rsidR="00C76753" w:rsidRPr="00DC3D4D">
        <w:rPr>
          <w:rFonts w:ascii="Times New Roman" w:hAnsi="Times New Roman" w:cs="Times New Roman"/>
          <w:sz w:val="24"/>
          <w:szCs w:val="24"/>
        </w:rPr>
        <w:t xml:space="preserve">  For countries with</w:t>
      </w:r>
      <w:r w:rsidR="0011239E">
        <w:rPr>
          <w:rFonts w:ascii="Times New Roman" w:hAnsi="Times New Roman" w:cs="Times New Roman"/>
          <w:sz w:val="24"/>
          <w:szCs w:val="24"/>
        </w:rPr>
        <w:t xml:space="preserve"> </w:t>
      </w:r>
      <w:r w:rsidR="004F6DA2">
        <w:rPr>
          <w:rFonts w:ascii="Times New Roman" w:hAnsi="Times New Roman" w:cs="Times New Roman"/>
          <w:sz w:val="24"/>
          <w:szCs w:val="24"/>
        </w:rPr>
        <w:t>weak</w:t>
      </w:r>
      <w:r w:rsidR="0011239E">
        <w:rPr>
          <w:rFonts w:ascii="Times New Roman" w:hAnsi="Times New Roman" w:cs="Times New Roman"/>
          <w:sz w:val="24"/>
          <w:szCs w:val="24"/>
        </w:rPr>
        <w:t xml:space="preserve"> collective bargaining</w:t>
      </w:r>
      <w:r w:rsidR="00903AE3">
        <w:rPr>
          <w:rFonts w:ascii="Times New Roman" w:hAnsi="Times New Roman" w:cs="Times New Roman"/>
          <w:sz w:val="24"/>
          <w:szCs w:val="24"/>
        </w:rPr>
        <w:t xml:space="preserve"> </w:t>
      </w:r>
      <w:r w:rsidR="00C76753" w:rsidRPr="00DC3D4D">
        <w:rPr>
          <w:rFonts w:ascii="Times New Roman" w:hAnsi="Times New Roman" w:cs="Times New Roman"/>
          <w:sz w:val="24"/>
          <w:szCs w:val="24"/>
        </w:rPr>
        <w:t xml:space="preserve">and restrictive credit access, the outcome is obvious: </w:t>
      </w:r>
      <w:r w:rsidR="00903AE3">
        <w:rPr>
          <w:rFonts w:ascii="Times New Roman" w:hAnsi="Times New Roman" w:cs="Times New Roman"/>
          <w:sz w:val="24"/>
          <w:szCs w:val="24"/>
        </w:rPr>
        <w:t>both</w:t>
      </w:r>
      <w:r w:rsidR="00C76753" w:rsidRPr="00DC3D4D">
        <w:rPr>
          <w:rFonts w:ascii="Times New Roman" w:hAnsi="Times New Roman" w:cs="Times New Roman"/>
          <w:sz w:val="24"/>
          <w:szCs w:val="24"/>
        </w:rPr>
        <w:t xml:space="preserve"> institutions constrain </w:t>
      </w:r>
      <w:r w:rsidR="00903AE3">
        <w:rPr>
          <w:rFonts w:ascii="Times New Roman" w:hAnsi="Times New Roman" w:cs="Times New Roman"/>
          <w:sz w:val="24"/>
          <w:szCs w:val="24"/>
        </w:rPr>
        <w:t>households’ indebtedness</w:t>
      </w:r>
      <w:r w:rsidR="00352DF4" w:rsidRPr="00DC3D4D">
        <w:rPr>
          <w:rFonts w:ascii="Times New Roman" w:hAnsi="Times New Roman" w:cs="Times New Roman"/>
          <w:sz w:val="24"/>
          <w:szCs w:val="24"/>
        </w:rPr>
        <w:t xml:space="preserve"> </w:t>
      </w:r>
      <w:r w:rsidR="000C6F9E" w:rsidRPr="00DC3D4D">
        <w:rPr>
          <w:rFonts w:ascii="Times New Roman" w:hAnsi="Times New Roman" w:cs="Times New Roman"/>
          <w:sz w:val="24"/>
          <w:szCs w:val="24"/>
        </w:rPr>
        <w:t>(</w:t>
      </w:r>
      <w:r w:rsidR="00903AE3">
        <w:rPr>
          <w:rFonts w:ascii="Times New Roman" w:hAnsi="Times New Roman" w:cs="Times New Roman"/>
          <w:sz w:val="24"/>
          <w:szCs w:val="24"/>
        </w:rPr>
        <w:t>Italy and Greece</w:t>
      </w:r>
      <w:r w:rsidR="000C6F9E" w:rsidRPr="00DC3D4D">
        <w:rPr>
          <w:rFonts w:ascii="Times New Roman" w:hAnsi="Times New Roman" w:cs="Times New Roman"/>
          <w:sz w:val="24"/>
          <w:szCs w:val="24"/>
        </w:rPr>
        <w:t>)</w:t>
      </w:r>
      <w:r w:rsidRPr="00DC3D4D">
        <w:rPr>
          <w:rFonts w:ascii="Times New Roman" w:hAnsi="Times New Roman" w:cs="Times New Roman"/>
          <w:sz w:val="24"/>
          <w:szCs w:val="24"/>
        </w:rPr>
        <w:t xml:space="preserve">. </w:t>
      </w:r>
      <w:r w:rsidR="00C76753" w:rsidRPr="00DC3D4D">
        <w:rPr>
          <w:rFonts w:ascii="Times New Roman" w:hAnsi="Times New Roman" w:cs="Times New Roman"/>
          <w:sz w:val="24"/>
          <w:szCs w:val="24"/>
        </w:rPr>
        <w:t>Hous</w:t>
      </w:r>
      <w:r w:rsidR="00352DF4" w:rsidRPr="00DC3D4D">
        <w:rPr>
          <w:rFonts w:ascii="Times New Roman" w:hAnsi="Times New Roman" w:cs="Times New Roman"/>
          <w:sz w:val="24"/>
          <w:szCs w:val="24"/>
        </w:rPr>
        <w:t xml:space="preserve">ehold debt </w:t>
      </w:r>
      <w:r w:rsidR="004C120E" w:rsidRPr="00DC3D4D">
        <w:rPr>
          <w:rFonts w:ascii="Times New Roman" w:hAnsi="Times New Roman" w:cs="Times New Roman"/>
          <w:sz w:val="24"/>
          <w:szCs w:val="24"/>
        </w:rPr>
        <w:t>outcomes</w:t>
      </w:r>
      <w:r w:rsidR="00C76753" w:rsidRPr="00DC3D4D">
        <w:rPr>
          <w:rFonts w:ascii="Times New Roman" w:hAnsi="Times New Roman" w:cs="Times New Roman"/>
          <w:sz w:val="24"/>
          <w:szCs w:val="24"/>
        </w:rPr>
        <w:t xml:space="preserve"> </w:t>
      </w:r>
      <w:r w:rsidR="004C120E" w:rsidRPr="00DC3D4D">
        <w:rPr>
          <w:rFonts w:ascii="Times New Roman" w:hAnsi="Times New Roman" w:cs="Times New Roman"/>
          <w:sz w:val="24"/>
          <w:szCs w:val="24"/>
        </w:rPr>
        <w:t>are</w:t>
      </w:r>
      <w:r w:rsidR="000C6F9E" w:rsidRPr="00DC3D4D">
        <w:rPr>
          <w:rFonts w:ascii="Times New Roman" w:hAnsi="Times New Roman" w:cs="Times New Roman"/>
          <w:sz w:val="24"/>
          <w:szCs w:val="24"/>
        </w:rPr>
        <w:t xml:space="preserve"> also</w:t>
      </w:r>
      <w:r w:rsidR="00C76753" w:rsidRPr="00DC3D4D">
        <w:rPr>
          <w:rFonts w:ascii="Times New Roman" w:hAnsi="Times New Roman" w:cs="Times New Roman"/>
          <w:sz w:val="24"/>
          <w:szCs w:val="24"/>
        </w:rPr>
        <w:t xml:space="preserve"> obv</w:t>
      </w:r>
      <w:r w:rsidR="000C6F9E" w:rsidRPr="00DC3D4D">
        <w:rPr>
          <w:rFonts w:ascii="Times New Roman" w:hAnsi="Times New Roman" w:cs="Times New Roman"/>
          <w:sz w:val="24"/>
          <w:szCs w:val="24"/>
        </w:rPr>
        <w:t>ious in those</w:t>
      </w:r>
      <w:r w:rsidR="00C76753" w:rsidRPr="00DC3D4D">
        <w:rPr>
          <w:rFonts w:ascii="Times New Roman" w:hAnsi="Times New Roman" w:cs="Times New Roman"/>
          <w:sz w:val="24"/>
          <w:szCs w:val="24"/>
        </w:rPr>
        <w:t xml:space="preserve"> countries with </w:t>
      </w:r>
      <w:r w:rsidR="0011239E">
        <w:rPr>
          <w:rFonts w:ascii="Times New Roman" w:hAnsi="Times New Roman" w:cs="Times New Roman"/>
          <w:sz w:val="24"/>
          <w:szCs w:val="24"/>
        </w:rPr>
        <w:t>encompassing collective bargaining</w:t>
      </w:r>
      <w:r w:rsidR="00903AE3" w:rsidRPr="00DC3D4D">
        <w:rPr>
          <w:rFonts w:ascii="Times New Roman" w:hAnsi="Times New Roman" w:cs="Times New Roman"/>
          <w:sz w:val="24"/>
          <w:szCs w:val="24"/>
        </w:rPr>
        <w:t xml:space="preserve"> </w:t>
      </w:r>
      <w:r w:rsidR="00C76753" w:rsidRPr="00DC3D4D">
        <w:rPr>
          <w:rFonts w:ascii="Times New Roman" w:hAnsi="Times New Roman" w:cs="Times New Roman"/>
          <w:sz w:val="24"/>
          <w:szCs w:val="24"/>
        </w:rPr>
        <w:t xml:space="preserve">and permissive credit access: </w:t>
      </w:r>
      <w:r w:rsidR="00A04FA6">
        <w:rPr>
          <w:rFonts w:ascii="Times New Roman" w:hAnsi="Times New Roman" w:cs="Times New Roman"/>
          <w:sz w:val="24"/>
          <w:szCs w:val="24"/>
        </w:rPr>
        <w:t>b</w:t>
      </w:r>
      <w:r w:rsidR="00C76753" w:rsidRPr="00DC3D4D">
        <w:rPr>
          <w:rFonts w:ascii="Times New Roman" w:hAnsi="Times New Roman" w:cs="Times New Roman"/>
          <w:sz w:val="24"/>
          <w:szCs w:val="24"/>
        </w:rPr>
        <w:t xml:space="preserve">oth of these institutions facilitate high </w:t>
      </w:r>
      <w:r w:rsidR="00D51AC0">
        <w:rPr>
          <w:rFonts w:ascii="Times New Roman" w:hAnsi="Times New Roman" w:cs="Times New Roman"/>
          <w:sz w:val="24"/>
          <w:szCs w:val="24"/>
        </w:rPr>
        <w:t>indebtedness</w:t>
      </w:r>
      <w:r w:rsidRPr="00DC3D4D">
        <w:rPr>
          <w:rFonts w:ascii="Times New Roman" w:hAnsi="Times New Roman" w:cs="Times New Roman"/>
          <w:sz w:val="24"/>
          <w:szCs w:val="24"/>
        </w:rPr>
        <w:t xml:space="preserve"> via </w:t>
      </w:r>
      <w:r w:rsidR="00D51AC0">
        <w:rPr>
          <w:rFonts w:ascii="Times New Roman" w:hAnsi="Times New Roman" w:cs="Times New Roman"/>
          <w:sz w:val="24"/>
          <w:szCs w:val="24"/>
        </w:rPr>
        <w:t>secure income within the labor market and</w:t>
      </w:r>
      <w:r w:rsidRPr="00DC3D4D">
        <w:rPr>
          <w:rFonts w:ascii="Times New Roman" w:hAnsi="Times New Roman" w:cs="Times New Roman"/>
          <w:sz w:val="24"/>
          <w:szCs w:val="24"/>
        </w:rPr>
        <w:t xml:space="preserve"> access to generous loan terms </w:t>
      </w:r>
      <w:r w:rsidR="00D51AC0">
        <w:rPr>
          <w:rFonts w:ascii="Times New Roman" w:hAnsi="Times New Roman" w:cs="Times New Roman"/>
          <w:sz w:val="24"/>
          <w:szCs w:val="24"/>
        </w:rPr>
        <w:t xml:space="preserve">within the </w:t>
      </w:r>
      <w:r w:rsidR="00A04FA6">
        <w:rPr>
          <w:rFonts w:ascii="Times New Roman" w:hAnsi="Times New Roman" w:cs="Times New Roman"/>
          <w:sz w:val="24"/>
          <w:szCs w:val="24"/>
        </w:rPr>
        <w:t xml:space="preserve">(mortgage) </w:t>
      </w:r>
      <w:r w:rsidR="00D51AC0">
        <w:rPr>
          <w:rFonts w:ascii="Times New Roman" w:hAnsi="Times New Roman" w:cs="Times New Roman"/>
          <w:sz w:val="24"/>
          <w:szCs w:val="24"/>
        </w:rPr>
        <w:t>credit ma</w:t>
      </w:r>
      <w:r w:rsidR="00A04FA6">
        <w:rPr>
          <w:rFonts w:ascii="Times New Roman" w:hAnsi="Times New Roman" w:cs="Times New Roman"/>
          <w:sz w:val="24"/>
          <w:szCs w:val="24"/>
        </w:rPr>
        <w:t>rket</w:t>
      </w:r>
      <w:r w:rsidR="00D51AC0">
        <w:rPr>
          <w:rFonts w:ascii="Times New Roman" w:hAnsi="Times New Roman" w:cs="Times New Roman"/>
          <w:sz w:val="24"/>
          <w:szCs w:val="24"/>
        </w:rPr>
        <w:t xml:space="preserve"> </w:t>
      </w:r>
      <w:r w:rsidR="00A04FA6">
        <w:rPr>
          <w:rFonts w:ascii="Times New Roman" w:hAnsi="Times New Roman" w:cs="Times New Roman"/>
          <w:sz w:val="24"/>
          <w:szCs w:val="24"/>
        </w:rPr>
        <w:t>(Scandinavia and the Netherlands)</w:t>
      </w:r>
      <w:r w:rsidR="00C76753" w:rsidRPr="00DC3D4D">
        <w:rPr>
          <w:rFonts w:ascii="Times New Roman" w:hAnsi="Times New Roman" w:cs="Times New Roman"/>
          <w:sz w:val="24"/>
          <w:szCs w:val="24"/>
        </w:rPr>
        <w:t xml:space="preserve">.  </w:t>
      </w:r>
    </w:p>
    <w:p w14:paraId="39FE63F6" w14:textId="77777777" w:rsidR="00DA51F7" w:rsidRDefault="00DA51F7" w:rsidP="0095601D">
      <w:pPr>
        <w:spacing w:after="0" w:line="360" w:lineRule="auto"/>
        <w:jc w:val="both"/>
        <w:rPr>
          <w:rFonts w:ascii="Times New Roman" w:hAnsi="Times New Roman" w:cs="Times New Roman"/>
          <w:sz w:val="24"/>
          <w:szCs w:val="24"/>
        </w:rPr>
      </w:pPr>
    </w:p>
    <w:p w14:paraId="477CD418" w14:textId="09D450AB" w:rsidR="000C6F9E" w:rsidRPr="00DC3D4D" w:rsidRDefault="00C76753" w:rsidP="0095601D">
      <w:pPr>
        <w:spacing w:after="0" w:line="360" w:lineRule="auto"/>
        <w:jc w:val="both"/>
        <w:rPr>
          <w:rFonts w:ascii="Times New Roman" w:hAnsi="Times New Roman" w:cs="Times New Roman"/>
          <w:sz w:val="24"/>
          <w:szCs w:val="24"/>
        </w:rPr>
      </w:pPr>
      <w:r w:rsidRPr="00DC3D4D">
        <w:rPr>
          <w:rFonts w:ascii="Times New Roman" w:hAnsi="Times New Roman" w:cs="Times New Roman"/>
          <w:sz w:val="24"/>
          <w:szCs w:val="24"/>
        </w:rPr>
        <w:t>The effect of the remaining two configurations is less clear, however, as labor market and credit instit</w:t>
      </w:r>
      <w:r w:rsidR="00D51AC0">
        <w:rPr>
          <w:rFonts w:ascii="Times New Roman" w:hAnsi="Times New Roman" w:cs="Times New Roman"/>
          <w:sz w:val="24"/>
          <w:szCs w:val="24"/>
        </w:rPr>
        <w:t xml:space="preserve">utions </w:t>
      </w:r>
      <w:r w:rsidR="0011239E">
        <w:rPr>
          <w:rFonts w:ascii="Times New Roman" w:hAnsi="Times New Roman" w:cs="Times New Roman"/>
          <w:sz w:val="24"/>
          <w:szCs w:val="24"/>
        </w:rPr>
        <w:t xml:space="preserve">often </w:t>
      </w:r>
      <w:r w:rsidR="00D51AC0">
        <w:rPr>
          <w:rFonts w:ascii="Times New Roman" w:hAnsi="Times New Roman" w:cs="Times New Roman"/>
          <w:sz w:val="24"/>
          <w:szCs w:val="24"/>
        </w:rPr>
        <w:t xml:space="preserve">work against each other.  </w:t>
      </w:r>
      <w:r w:rsidRPr="00DC3D4D">
        <w:rPr>
          <w:rFonts w:ascii="Times New Roman" w:hAnsi="Times New Roman" w:cs="Times New Roman"/>
          <w:sz w:val="24"/>
          <w:szCs w:val="24"/>
        </w:rPr>
        <w:t xml:space="preserve">Countries with </w:t>
      </w:r>
      <w:r w:rsidR="0011239E">
        <w:rPr>
          <w:rFonts w:ascii="Times New Roman" w:hAnsi="Times New Roman" w:cs="Times New Roman"/>
          <w:sz w:val="24"/>
          <w:szCs w:val="24"/>
        </w:rPr>
        <w:t>sectoral-specific collective bargaining (whereby the core workforce have high incomes and secure employment)</w:t>
      </w:r>
      <w:r w:rsidRPr="00DC3D4D">
        <w:rPr>
          <w:rFonts w:ascii="Times New Roman" w:hAnsi="Times New Roman" w:cs="Times New Roman"/>
          <w:sz w:val="24"/>
          <w:szCs w:val="24"/>
        </w:rPr>
        <w:t xml:space="preserve"> but </w:t>
      </w:r>
      <w:r w:rsidR="00D51AC0">
        <w:rPr>
          <w:rFonts w:ascii="Times New Roman" w:hAnsi="Times New Roman" w:cs="Times New Roman"/>
          <w:sz w:val="24"/>
          <w:szCs w:val="24"/>
        </w:rPr>
        <w:t>restrictive</w:t>
      </w:r>
      <w:r w:rsidR="00D51AC0" w:rsidRPr="00DC3D4D">
        <w:rPr>
          <w:rFonts w:ascii="Times New Roman" w:hAnsi="Times New Roman" w:cs="Times New Roman"/>
          <w:sz w:val="24"/>
          <w:szCs w:val="24"/>
        </w:rPr>
        <w:t xml:space="preserve"> </w:t>
      </w:r>
      <w:r w:rsidRPr="00DC3D4D">
        <w:rPr>
          <w:rFonts w:ascii="Times New Roman" w:hAnsi="Times New Roman" w:cs="Times New Roman"/>
          <w:sz w:val="24"/>
          <w:szCs w:val="24"/>
        </w:rPr>
        <w:t>mortgage credit regulations</w:t>
      </w:r>
      <w:r w:rsidR="004C120E" w:rsidRPr="00DC3D4D">
        <w:rPr>
          <w:rFonts w:ascii="Times New Roman" w:hAnsi="Times New Roman" w:cs="Times New Roman"/>
          <w:sz w:val="24"/>
          <w:szCs w:val="24"/>
        </w:rPr>
        <w:t xml:space="preserve"> (</w:t>
      </w:r>
      <w:r w:rsidR="00D51AC0">
        <w:rPr>
          <w:rFonts w:ascii="Times New Roman" w:hAnsi="Times New Roman" w:cs="Times New Roman"/>
          <w:sz w:val="24"/>
          <w:szCs w:val="24"/>
        </w:rPr>
        <w:t>i.e. Germany</w:t>
      </w:r>
      <w:r w:rsidR="004C120E" w:rsidRPr="00DC3D4D">
        <w:rPr>
          <w:rFonts w:ascii="Times New Roman" w:hAnsi="Times New Roman" w:cs="Times New Roman"/>
          <w:sz w:val="24"/>
          <w:szCs w:val="24"/>
        </w:rPr>
        <w:t>)</w:t>
      </w:r>
      <w:r w:rsidRPr="00DC3D4D">
        <w:rPr>
          <w:rFonts w:ascii="Times New Roman" w:hAnsi="Times New Roman" w:cs="Times New Roman"/>
          <w:sz w:val="24"/>
          <w:szCs w:val="24"/>
        </w:rPr>
        <w:t xml:space="preserve"> are likely to exhibit </w:t>
      </w:r>
      <w:r w:rsidR="00D51AC0">
        <w:rPr>
          <w:rFonts w:ascii="Times New Roman" w:hAnsi="Times New Roman" w:cs="Times New Roman"/>
          <w:sz w:val="24"/>
          <w:szCs w:val="24"/>
        </w:rPr>
        <w:t xml:space="preserve">more limited household indebtedness than </w:t>
      </w:r>
      <w:r w:rsidR="0011239E">
        <w:rPr>
          <w:rFonts w:ascii="Times New Roman" w:hAnsi="Times New Roman" w:cs="Times New Roman"/>
          <w:sz w:val="24"/>
          <w:szCs w:val="24"/>
        </w:rPr>
        <w:t>countries with</w:t>
      </w:r>
      <w:r w:rsidR="00D51AC0">
        <w:rPr>
          <w:rFonts w:ascii="Times New Roman" w:hAnsi="Times New Roman" w:cs="Times New Roman"/>
          <w:sz w:val="24"/>
          <w:szCs w:val="24"/>
        </w:rPr>
        <w:t xml:space="preserve"> permissive finance institutions</w:t>
      </w:r>
      <w:r w:rsidR="0087767D">
        <w:rPr>
          <w:rFonts w:ascii="Times New Roman" w:hAnsi="Times New Roman" w:cs="Times New Roman"/>
          <w:sz w:val="24"/>
          <w:szCs w:val="24"/>
        </w:rPr>
        <w:t xml:space="preserve">. However, they </w:t>
      </w:r>
      <w:r w:rsidR="00D51AC0">
        <w:rPr>
          <w:rFonts w:ascii="Times New Roman" w:hAnsi="Times New Roman" w:cs="Times New Roman"/>
          <w:sz w:val="24"/>
          <w:szCs w:val="24"/>
        </w:rPr>
        <w:t xml:space="preserve">may observe higher indebtedness </w:t>
      </w:r>
      <w:r w:rsidRPr="00DC3D4D">
        <w:rPr>
          <w:rFonts w:ascii="Times New Roman" w:hAnsi="Times New Roman" w:cs="Times New Roman"/>
          <w:sz w:val="24"/>
          <w:szCs w:val="24"/>
        </w:rPr>
        <w:t xml:space="preserve">than </w:t>
      </w:r>
      <w:r w:rsidR="00D51AC0">
        <w:rPr>
          <w:rFonts w:ascii="Times New Roman" w:hAnsi="Times New Roman" w:cs="Times New Roman"/>
          <w:sz w:val="24"/>
          <w:szCs w:val="24"/>
        </w:rPr>
        <w:t xml:space="preserve">countries with similar financial institutions but </w:t>
      </w:r>
      <w:r w:rsidR="008C1D1D">
        <w:rPr>
          <w:rFonts w:ascii="Times New Roman" w:hAnsi="Times New Roman" w:cs="Times New Roman"/>
          <w:sz w:val="24"/>
          <w:szCs w:val="24"/>
        </w:rPr>
        <w:t>more precarious</w:t>
      </w:r>
      <w:r w:rsidR="00D51AC0">
        <w:rPr>
          <w:rFonts w:ascii="Times New Roman" w:hAnsi="Times New Roman" w:cs="Times New Roman"/>
          <w:sz w:val="24"/>
          <w:szCs w:val="24"/>
        </w:rPr>
        <w:t xml:space="preserve"> labor markets.</w:t>
      </w:r>
      <w:r w:rsidRPr="00DC3D4D">
        <w:rPr>
          <w:rFonts w:ascii="Times New Roman" w:hAnsi="Times New Roman" w:cs="Times New Roman"/>
          <w:sz w:val="24"/>
          <w:szCs w:val="24"/>
        </w:rPr>
        <w:t xml:space="preserve">  </w:t>
      </w:r>
      <w:r w:rsidR="00D51AC0">
        <w:rPr>
          <w:rFonts w:ascii="Times New Roman" w:hAnsi="Times New Roman" w:cs="Times New Roman"/>
          <w:sz w:val="24"/>
          <w:szCs w:val="24"/>
        </w:rPr>
        <w:t>Likewise</w:t>
      </w:r>
      <w:r w:rsidR="00A04FA6">
        <w:rPr>
          <w:rFonts w:ascii="Times New Roman" w:hAnsi="Times New Roman" w:cs="Times New Roman"/>
          <w:sz w:val="24"/>
          <w:szCs w:val="24"/>
        </w:rPr>
        <w:t xml:space="preserve">, countries with </w:t>
      </w:r>
      <w:r w:rsidR="0087767D">
        <w:rPr>
          <w:rFonts w:ascii="Times New Roman" w:hAnsi="Times New Roman" w:cs="Times New Roman"/>
          <w:sz w:val="24"/>
          <w:szCs w:val="24"/>
        </w:rPr>
        <w:t>weak collective bargaining</w:t>
      </w:r>
      <w:r w:rsidR="00D51AC0">
        <w:rPr>
          <w:rFonts w:ascii="Times New Roman" w:hAnsi="Times New Roman" w:cs="Times New Roman"/>
          <w:sz w:val="24"/>
          <w:szCs w:val="24"/>
        </w:rPr>
        <w:t xml:space="preserve"> but permissive credit institutions (the US</w:t>
      </w:r>
      <w:r w:rsidR="0087767D">
        <w:rPr>
          <w:rFonts w:ascii="Times New Roman" w:hAnsi="Times New Roman" w:cs="Times New Roman"/>
          <w:sz w:val="24"/>
          <w:szCs w:val="24"/>
        </w:rPr>
        <w:t>/</w:t>
      </w:r>
      <w:r w:rsidR="00D51AC0">
        <w:rPr>
          <w:rFonts w:ascii="Times New Roman" w:hAnsi="Times New Roman" w:cs="Times New Roman"/>
          <w:sz w:val="24"/>
          <w:szCs w:val="24"/>
        </w:rPr>
        <w:t xml:space="preserve">UK) are likely to be less indebted than </w:t>
      </w:r>
      <w:r w:rsidR="0087767D">
        <w:rPr>
          <w:rFonts w:ascii="Times New Roman" w:hAnsi="Times New Roman" w:cs="Times New Roman"/>
          <w:sz w:val="24"/>
          <w:szCs w:val="24"/>
        </w:rPr>
        <w:t>countries</w:t>
      </w:r>
      <w:r w:rsidR="00D51AC0">
        <w:rPr>
          <w:rFonts w:ascii="Times New Roman" w:hAnsi="Times New Roman" w:cs="Times New Roman"/>
          <w:sz w:val="24"/>
          <w:szCs w:val="24"/>
        </w:rPr>
        <w:t xml:space="preserve"> who share similar household finance regimes, but</w:t>
      </w:r>
      <w:r w:rsidR="002E5C2F">
        <w:rPr>
          <w:rFonts w:ascii="Times New Roman" w:hAnsi="Times New Roman" w:cs="Times New Roman"/>
          <w:sz w:val="24"/>
          <w:szCs w:val="24"/>
        </w:rPr>
        <w:t xml:space="preserve"> with encompassing collective bargaining. Likewise, they</w:t>
      </w:r>
      <w:r w:rsidR="00D51AC0">
        <w:rPr>
          <w:rFonts w:ascii="Times New Roman" w:hAnsi="Times New Roman" w:cs="Times New Roman"/>
          <w:sz w:val="24"/>
          <w:szCs w:val="24"/>
        </w:rPr>
        <w:t xml:space="preserve"> are likely to be more indebted than states with </w:t>
      </w:r>
      <w:r w:rsidR="002E5C2F">
        <w:rPr>
          <w:rFonts w:ascii="Times New Roman" w:hAnsi="Times New Roman" w:cs="Times New Roman"/>
          <w:sz w:val="24"/>
          <w:szCs w:val="24"/>
        </w:rPr>
        <w:t xml:space="preserve">similar </w:t>
      </w:r>
      <w:r w:rsidR="008C1D1D">
        <w:rPr>
          <w:rFonts w:ascii="Times New Roman" w:hAnsi="Times New Roman" w:cs="Times New Roman"/>
          <w:sz w:val="24"/>
          <w:szCs w:val="24"/>
        </w:rPr>
        <w:t>precarious</w:t>
      </w:r>
      <w:r w:rsidR="00D51AC0">
        <w:rPr>
          <w:rFonts w:ascii="Times New Roman" w:hAnsi="Times New Roman" w:cs="Times New Roman"/>
          <w:sz w:val="24"/>
          <w:szCs w:val="24"/>
        </w:rPr>
        <w:t xml:space="preserve"> labor market institutions </w:t>
      </w:r>
      <w:r w:rsidR="002E5C2F">
        <w:rPr>
          <w:rFonts w:ascii="Times New Roman" w:hAnsi="Times New Roman" w:cs="Times New Roman"/>
          <w:sz w:val="24"/>
          <w:szCs w:val="24"/>
        </w:rPr>
        <w:t>but with restrictive</w:t>
      </w:r>
      <w:r w:rsidR="00D51AC0">
        <w:rPr>
          <w:rFonts w:ascii="Times New Roman" w:hAnsi="Times New Roman" w:cs="Times New Roman"/>
          <w:sz w:val="24"/>
          <w:szCs w:val="24"/>
        </w:rPr>
        <w:t xml:space="preserve"> </w:t>
      </w:r>
      <w:r w:rsidR="002E5C2F">
        <w:rPr>
          <w:rFonts w:ascii="Times New Roman" w:hAnsi="Times New Roman" w:cs="Times New Roman"/>
          <w:sz w:val="24"/>
          <w:szCs w:val="24"/>
        </w:rPr>
        <w:t>access to credit (Italy)</w:t>
      </w:r>
      <w:r w:rsidR="00D51AC0">
        <w:rPr>
          <w:rFonts w:ascii="Times New Roman" w:hAnsi="Times New Roman" w:cs="Times New Roman"/>
          <w:sz w:val="24"/>
          <w:szCs w:val="24"/>
        </w:rPr>
        <w:t xml:space="preserve">. </w:t>
      </w:r>
      <w:r w:rsidR="00645CF4" w:rsidRPr="00DC3D4D">
        <w:rPr>
          <w:rFonts w:ascii="Times New Roman" w:hAnsi="Times New Roman" w:cs="Times New Roman"/>
          <w:sz w:val="24"/>
          <w:szCs w:val="24"/>
        </w:rPr>
        <w:t xml:space="preserve">Below we formally test the interactive effects between labor market and mortgage credit institutions on </w:t>
      </w:r>
      <w:r w:rsidR="00E240CA" w:rsidRPr="00DC3D4D">
        <w:rPr>
          <w:rFonts w:ascii="Times New Roman" w:hAnsi="Times New Roman" w:cs="Times New Roman"/>
          <w:sz w:val="24"/>
          <w:szCs w:val="24"/>
        </w:rPr>
        <w:t>household debt</w:t>
      </w:r>
      <w:r w:rsidR="00645CF4" w:rsidRPr="00DC3D4D">
        <w:rPr>
          <w:rFonts w:ascii="Times New Roman" w:hAnsi="Times New Roman" w:cs="Times New Roman"/>
          <w:sz w:val="24"/>
          <w:szCs w:val="24"/>
        </w:rPr>
        <w:t xml:space="preserve">, </w:t>
      </w:r>
      <w:r w:rsidR="001E3B89" w:rsidRPr="00DC3D4D">
        <w:rPr>
          <w:rFonts w:ascii="Times New Roman" w:hAnsi="Times New Roman" w:cs="Times New Roman"/>
          <w:sz w:val="24"/>
          <w:szCs w:val="24"/>
        </w:rPr>
        <w:t>to</w:t>
      </w:r>
      <w:r w:rsidR="00645CF4" w:rsidRPr="00DC3D4D">
        <w:rPr>
          <w:rFonts w:ascii="Times New Roman" w:hAnsi="Times New Roman" w:cs="Times New Roman"/>
          <w:sz w:val="24"/>
          <w:szCs w:val="24"/>
        </w:rPr>
        <w:t xml:space="preserve"> deter</w:t>
      </w:r>
      <w:r w:rsidR="00A50ECB" w:rsidRPr="00DC3D4D">
        <w:rPr>
          <w:rFonts w:ascii="Times New Roman" w:hAnsi="Times New Roman" w:cs="Times New Roman"/>
          <w:sz w:val="24"/>
          <w:szCs w:val="24"/>
        </w:rPr>
        <w:t>mine whether these groupings bear</w:t>
      </w:r>
      <w:r w:rsidR="00645CF4" w:rsidRPr="00DC3D4D">
        <w:rPr>
          <w:rFonts w:ascii="Times New Roman" w:hAnsi="Times New Roman" w:cs="Times New Roman"/>
          <w:sz w:val="24"/>
          <w:szCs w:val="24"/>
        </w:rPr>
        <w:t xml:space="preserve"> fruit</w:t>
      </w:r>
      <w:r w:rsidR="004C120E" w:rsidRPr="00DC3D4D">
        <w:rPr>
          <w:rFonts w:ascii="Times New Roman" w:hAnsi="Times New Roman" w:cs="Times New Roman"/>
          <w:sz w:val="24"/>
          <w:szCs w:val="24"/>
        </w:rPr>
        <w:t>.</w:t>
      </w:r>
    </w:p>
    <w:p w14:paraId="461670DC" w14:textId="77777777" w:rsidR="00380E9E" w:rsidRDefault="00380E9E" w:rsidP="00C7604D">
      <w:pPr>
        <w:pStyle w:val="ListParagraph"/>
        <w:spacing w:before="100" w:beforeAutospacing="1" w:after="100" w:afterAutospacing="1" w:line="240" w:lineRule="auto"/>
        <w:rPr>
          <w:rFonts w:ascii="Times New Roman" w:hAnsi="Times New Roman" w:cs="Times New Roman"/>
          <w:sz w:val="24"/>
          <w:szCs w:val="24"/>
          <w:highlight w:val="yellow"/>
        </w:rPr>
      </w:pPr>
    </w:p>
    <w:p w14:paraId="073A701F" w14:textId="77777777" w:rsidR="00F92FEF" w:rsidRDefault="00F92FEF" w:rsidP="00C7604D">
      <w:pPr>
        <w:pStyle w:val="ListParagraph"/>
        <w:spacing w:before="100" w:beforeAutospacing="1" w:after="100" w:afterAutospacing="1" w:line="240" w:lineRule="auto"/>
        <w:rPr>
          <w:rFonts w:ascii="Times New Roman" w:hAnsi="Times New Roman" w:cs="Times New Roman"/>
          <w:sz w:val="24"/>
          <w:szCs w:val="24"/>
          <w:highlight w:val="yellow"/>
        </w:rPr>
      </w:pPr>
    </w:p>
    <w:p w14:paraId="67EC1194" w14:textId="77777777" w:rsidR="00F92FEF" w:rsidRDefault="00F92FEF" w:rsidP="00C7604D">
      <w:pPr>
        <w:pStyle w:val="ListParagraph"/>
        <w:spacing w:before="100" w:beforeAutospacing="1" w:after="100" w:afterAutospacing="1" w:line="240" w:lineRule="auto"/>
        <w:rPr>
          <w:rFonts w:ascii="Times New Roman" w:hAnsi="Times New Roman" w:cs="Times New Roman"/>
          <w:sz w:val="24"/>
          <w:szCs w:val="24"/>
          <w:highlight w:val="yellow"/>
        </w:rPr>
      </w:pPr>
    </w:p>
    <w:p w14:paraId="666B3D12" w14:textId="77777777" w:rsidR="00F92FEF" w:rsidRDefault="00F92FEF" w:rsidP="00C7604D">
      <w:pPr>
        <w:pStyle w:val="ListParagraph"/>
        <w:spacing w:before="100" w:beforeAutospacing="1" w:after="100" w:afterAutospacing="1" w:line="240" w:lineRule="auto"/>
        <w:rPr>
          <w:rFonts w:ascii="Times New Roman" w:hAnsi="Times New Roman" w:cs="Times New Roman"/>
          <w:sz w:val="24"/>
          <w:szCs w:val="24"/>
          <w:highlight w:val="yellow"/>
        </w:rPr>
      </w:pPr>
    </w:p>
    <w:p w14:paraId="312772F5" w14:textId="77777777" w:rsidR="00EA542B" w:rsidRPr="00E96680" w:rsidRDefault="00EA542B" w:rsidP="00C7604D">
      <w:pPr>
        <w:pStyle w:val="ListParagraph"/>
        <w:spacing w:before="100" w:beforeAutospacing="1" w:after="100" w:afterAutospacing="1" w:line="240" w:lineRule="auto"/>
        <w:rPr>
          <w:rFonts w:ascii="Times New Roman" w:hAnsi="Times New Roman" w:cs="Times New Roman"/>
          <w:sz w:val="24"/>
          <w:szCs w:val="24"/>
          <w:highlight w:val="yellow"/>
        </w:rPr>
      </w:pPr>
    </w:p>
    <w:p w14:paraId="39815488" w14:textId="44F1BBC5" w:rsidR="009B6657" w:rsidRPr="00701D70" w:rsidRDefault="009B6657" w:rsidP="00C7604D">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sidRPr="00701D70">
        <w:rPr>
          <w:rFonts w:ascii="Times New Roman" w:hAnsi="Times New Roman" w:cs="Times New Roman"/>
          <w:b/>
          <w:sz w:val="24"/>
          <w:szCs w:val="24"/>
        </w:rPr>
        <w:lastRenderedPageBreak/>
        <w:t xml:space="preserve">The impact of wage-setting and mortgage credit institutions on </w:t>
      </w:r>
      <w:r w:rsidR="00A62BD8">
        <w:rPr>
          <w:rFonts w:ascii="Times New Roman" w:hAnsi="Times New Roman" w:cs="Times New Roman"/>
          <w:b/>
          <w:sz w:val="24"/>
          <w:szCs w:val="24"/>
        </w:rPr>
        <w:t>household debt</w:t>
      </w:r>
      <w:r w:rsidRPr="00701D70">
        <w:rPr>
          <w:rFonts w:ascii="Times New Roman" w:hAnsi="Times New Roman" w:cs="Times New Roman"/>
          <w:b/>
          <w:sz w:val="24"/>
          <w:szCs w:val="24"/>
        </w:rPr>
        <w:t>: Evidence from 17 OECD economies</w:t>
      </w:r>
    </w:p>
    <w:p w14:paraId="0A435509" w14:textId="0AF6D621" w:rsidR="00701D70" w:rsidRDefault="009B6657" w:rsidP="00E36909">
      <w:pPr>
        <w:spacing w:before="100" w:beforeAutospacing="1" w:after="100" w:afterAutospacing="1" w:line="360" w:lineRule="auto"/>
        <w:jc w:val="both"/>
        <w:rPr>
          <w:rFonts w:ascii="Times New Roman" w:hAnsi="Times New Roman" w:cs="Times New Roman"/>
          <w:sz w:val="24"/>
          <w:szCs w:val="24"/>
        </w:rPr>
      </w:pPr>
      <w:r w:rsidRPr="00701D70">
        <w:rPr>
          <w:rFonts w:ascii="Times New Roman" w:hAnsi="Times New Roman" w:cs="Times New Roman"/>
          <w:sz w:val="24"/>
          <w:szCs w:val="24"/>
        </w:rPr>
        <w:t xml:space="preserve">Our empirical methodology employs a distributive lag panel analysis of </w:t>
      </w:r>
      <w:r w:rsidR="00F549FF">
        <w:rPr>
          <w:rFonts w:ascii="Times New Roman" w:hAnsi="Times New Roman" w:cs="Times New Roman"/>
          <w:sz w:val="24"/>
          <w:szCs w:val="24"/>
        </w:rPr>
        <w:t xml:space="preserve">first differences in </w:t>
      </w:r>
      <w:proofErr w:type="gramStart"/>
      <w:r w:rsidR="00701D70">
        <w:rPr>
          <w:rFonts w:ascii="Times New Roman" w:hAnsi="Times New Roman" w:cs="Times New Roman"/>
          <w:sz w:val="24"/>
          <w:szCs w:val="24"/>
        </w:rPr>
        <w:t>household</w:t>
      </w:r>
      <w:proofErr w:type="gramEnd"/>
      <w:r w:rsidR="00701D70">
        <w:rPr>
          <w:rFonts w:ascii="Times New Roman" w:hAnsi="Times New Roman" w:cs="Times New Roman"/>
          <w:sz w:val="24"/>
          <w:szCs w:val="24"/>
        </w:rPr>
        <w:t xml:space="preserve"> debt (as a percentage of disposable income)</w:t>
      </w:r>
      <w:r w:rsidR="00A62BD8">
        <w:rPr>
          <w:rFonts w:ascii="Times New Roman" w:hAnsi="Times New Roman" w:cs="Times New Roman"/>
          <w:sz w:val="24"/>
          <w:szCs w:val="24"/>
        </w:rPr>
        <w:t xml:space="preserve"> for</w:t>
      </w:r>
      <w:r w:rsidRPr="00701D70">
        <w:rPr>
          <w:rFonts w:ascii="Times New Roman" w:hAnsi="Times New Roman" w:cs="Times New Roman"/>
          <w:sz w:val="24"/>
          <w:szCs w:val="24"/>
        </w:rPr>
        <w:t xml:space="preserve"> 17 OECD economies</w:t>
      </w:r>
      <w:r w:rsidRPr="00701D70">
        <w:rPr>
          <w:rStyle w:val="FootnoteReference"/>
          <w:rFonts w:ascii="Times New Roman" w:hAnsi="Times New Roman" w:cs="Times New Roman"/>
          <w:sz w:val="24"/>
          <w:szCs w:val="24"/>
        </w:rPr>
        <w:footnoteReference w:id="13"/>
      </w:r>
      <w:r w:rsidR="00701D70">
        <w:rPr>
          <w:rFonts w:ascii="Times New Roman" w:hAnsi="Times New Roman" w:cs="Times New Roman"/>
          <w:sz w:val="24"/>
          <w:szCs w:val="24"/>
        </w:rPr>
        <w:t xml:space="preserve"> between 1995</w:t>
      </w:r>
      <w:r w:rsidRPr="00701D70">
        <w:rPr>
          <w:rFonts w:ascii="Times New Roman" w:hAnsi="Times New Roman" w:cs="Times New Roman"/>
          <w:sz w:val="24"/>
          <w:szCs w:val="24"/>
        </w:rPr>
        <w:t xml:space="preserve"> and 2007.</w:t>
      </w:r>
      <w:r w:rsidR="00701D70">
        <w:rPr>
          <w:rFonts w:ascii="Times New Roman" w:hAnsi="Times New Roman" w:cs="Times New Roman"/>
          <w:sz w:val="24"/>
          <w:szCs w:val="24"/>
        </w:rPr>
        <w:t xml:space="preserve">  </w:t>
      </w:r>
      <w:r w:rsidR="00F549FF">
        <w:rPr>
          <w:rFonts w:ascii="Times New Roman" w:hAnsi="Times New Roman" w:cs="Times New Roman"/>
          <w:sz w:val="24"/>
          <w:szCs w:val="24"/>
        </w:rPr>
        <w:t xml:space="preserve">We use the first difference of household debt as our dependent variable, because household debt levels are non-stationarity across all our panels, which would result in spurious correlation with other independent variables that are rising or falling over time. </w:t>
      </w:r>
      <w:r w:rsidR="00701D70">
        <w:rPr>
          <w:rFonts w:ascii="Times New Roman" w:hAnsi="Times New Roman" w:cs="Times New Roman"/>
          <w:sz w:val="24"/>
          <w:szCs w:val="24"/>
        </w:rPr>
        <w:t xml:space="preserve">Our time period is </w:t>
      </w:r>
      <w:r w:rsidR="00A62BD8">
        <w:rPr>
          <w:rFonts w:ascii="Times New Roman" w:hAnsi="Times New Roman" w:cs="Times New Roman"/>
          <w:sz w:val="24"/>
          <w:szCs w:val="24"/>
        </w:rPr>
        <w:t>restricted</w:t>
      </w:r>
      <w:r w:rsidR="00701D70">
        <w:rPr>
          <w:rFonts w:ascii="Times New Roman" w:hAnsi="Times New Roman" w:cs="Times New Roman"/>
          <w:sz w:val="24"/>
          <w:szCs w:val="24"/>
        </w:rPr>
        <w:t xml:space="preserve"> by data availability – the OE</w:t>
      </w:r>
      <w:r w:rsidR="001B4770">
        <w:rPr>
          <w:rFonts w:ascii="Times New Roman" w:hAnsi="Times New Roman" w:cs="Times New Roman"/>
          <w:sz w:val="24"/>
          <w:szCs w:val="24"/>
        </w:rPr>
        <w:t>CD’s household accounts contain</w:t>
      </w:r>
      <w:r w:rsidR="00701D70">
        <w:rPr>
          <w:rFonts w:ascii="Times New Roman" w:hAnsi="Times New Roman" w:cs="Times New Roman"/>
          <w:sz w:val="24"/>
          <w:szCs w:val="24"/>
        </w:rPr>
        <w:t xml:space="preserve"> household debt data from 1995 onwards, whereas our credit mitigation index</w:t>
      </w:r>
      <w:r w:rsidR="001B4770" w:rsidRPr="00701D70">
        <w:rPr>
          <w:rStyle w:val="FootnoteReference"/>
          <w:rFonts w:ascii="Times New Roman" w:hAnsi="Times New Roman" w:cs="Times New Roman"/>
          <w:sz w:val="24"/>
          <w:szCs w:val="24"/>
        </w:rPr>
        <w:footnoteReference w:id="14"/>
      </w:r>
      <w:r w:rsidR="00701D70">
        <w:rPr>
          <w:rFonts w:ascii="Times New Roman" w:hAnsi="Times New Roman" w:cs="Times New Roman"/>
          <w:sz w:val="24"/>
          <w:szCs w:val="24"/>
        </w:rPr>
        <w:t xml:space="preserve"> (which we discuss below) is available until 2007.  Nevertheless, this time period provides a helpful frame of reference to observe the evolution of household debt under different domestic institutional configurations for two reasons: 1.) all countries in the sample had removed capital controls and, with (near) perfect capital mobility, their domestic financial systems were intricately connected to the global financial system, and; 2.) </w:t>
      </w:r>
      <w:proofErr w:type="gramStart"/>
      <w:r w:rsidR="00E240CA">
        <w:rPr>
          <w:rFonts w:ascii="Times New Roman" w:hAnsi="Times New Roman" w:cs="Times New Roman"/>
          <w:sz w:val="24"/>
          <w:szCs w:val="24"/>
        </w:rPr>
        <w:t>they</w:t>
      </w:r>
      <w:proofErr w:type="gramEnd"/>
      <w:r w:rsidR="00E240CA">
        <w:rPr>
          <w:rFonts w:ascii="Times New Roman" w:hAnsi="Times New Roman" w:cs="Times New Roman"/>
          <w:sz w:val="24"/>
          <w:szCs w:val="24"/>
        </w:rPr>
        <w:t xml:space="preserve"> exclude </w:t>
      </w:r>
      <w:r w:rsidR="001B4770">
        <w:rPr>
          <w:rFonts w:ascii="Times New Roman" w:hAnsi="Times New Roman" w:cs="Times New Roman"/>
          <w:sz w:val="24"/>
          <w:szCs w:val="24"/>
        </w:rPr>
        <w:t xml:space="preserve">the 2008 Global Financial Crisis and  European Sovereign Debt crisis, where domestic financial systems, along with international financial markets, encountered significant turmoil.  In other words, this time period allows us to observe the organic evolution and idiosyncratic patterns of domestic household credit institutions that were subject to similar international credit conditions but had yet to encounter serious financial stress. </w:t>
      </w:r>
    </w:p>
    <w:p w14:paraId="6EE64C49" w14:textId="10A67FD8" w:rsidR="00F549FF" w:rsidRDefault="001B4770" w:rsidP="00E3690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Ideally, our </w:t>
      </w:r>
      <w:r w:rsidR="00E07C8B">
        <w:rPr>
          <w:rFonts w:ascii="Times New Roman" w:hAnsi="Times New Roman" w:cs="Times New Roman"/>
          <w:sz w:val="24"/>
          <w:szCs w:val="24"/>
        </w:rPr>
        <w:t xml:space="preserve">dependent variable would be household </w:t>
      </w:r>
      <w:r w:rsidR="00E07C8B" w:rsidRPr="00EA542B">
        <w:rPr>
          <w:rFonts w:ascii="Times New Roman" w:hAnsi="Times New Roman" w:cs="Times New Roman"/>
          <w:i/>
          <w:sz w:val="24"/>
          <w:szCs w:val="24"/>
        </w:rPr>
        <w:t xml:space="preserve">mortgage </w:t>
      </w:r>
      <w:r w:rsidR="00E07C8B">
        <w:rPr>
          <w:rFonts w:ascii="Times New Roman" w:hAnsi="Times New Roman" w:cs="Times New Roman"/>
          <w:sz w:val="24"/>
          <w:szCs w:val="24"/>
        </w:rPr>
        <w:t>debt rather than household debt.  We rely on the latter for two reasons.  First, t</w:t>
      </w:r>
      <w:r>
        <w:rPr>
          <w:rFonts w:ascii="Times New Roman" w:hAnsi="Times New Roman" w:cs="Times New Roman"/>
          <w:sz w:val="24"/>
          <w:szCs w:val="24"/>
        </w:rPr>
        <w:t>he OECD</w:t>
      </w:r>
      <w:r w:rsidR="00E07C8B">
        <w:rPr>
          <w:rFonts w:ascii="Times New Roman" w:hAnsi="Times New Roman" w:cs="Times New Roman"/>
          <w:sz w:val="24"/>
          <w:szCs w:val="24"/>
        </w:rPr>
        <w:t xml:space="preserve"> lacks</w:t>
      </w:r>
      <w:r>
        <w:rPr>
          <w:rFonts w:ascii="Times New Roman" w:hAnsi="Times New Roman" w:cs="Times New Roman"/>
          <w:sz w:val="24"/>
          <w:szCs w:val="24"/>
        </w:rPr>
        <w:t xml:space="preserve"> data on household mortgage debt,</w:t>
      </w:r>
      <w:r w:rsidR="00E07C8B">
        <w:rPr>
          <w:rFonts w:ascii="Times New Roman" w:hAnsi="Times New Roman" w:cs="Times New Roman"/>
          <w:sz w:val="24"/>
          <w:szCs w:val="24"/>
        </w:rPr>
        <w:t xml:space="preserve"> while other databases </w:t>
      </w:r>
      <w:r w:rsidR="00C437C6">
        <w:rPr>
          <w:rFonts w:ascii="Times New Roman" w:hAnsi="Times New Roman" w:cs="Times New Roman"/>
          <w:sz w:val="24"/>
          <w:szCs w:val="24"/>
        </w:rPr>
        <w:t xml:space="preserve">with </w:t>
      </w:r>
      <w:r w:rsidR="00E07C8B">
        <w:rPr>
          <w:rFonts w:ascii="Times New Roman" w:hAnsi="Times New Roman" w:cs="Times New Roman"/>
          <w:sz w:val="24"/>
          <w:szCs w:val="24"/>
        </w:rPr>
        <w:t xml:space="preserve">mortgage debt </w:t>
      </w:r>
      <w:r w:rsidR="00C437C6">
        <w:rPr>
          <w:rFonts w:ascii="Times New Roman" w:hAnsi="Times New Roman" w:cs="Times New Roman"/>
          <w:sz w:val="24"/>
          <w:szCs w:val="24"/>
        </w:rPr>
        <w:t xml:space="preserve">time-series </w:t>
      </w:r>
      <w:r w:rsidR="00E07C8B">
        <w:rPr>
          <w:rFonts w:ascii="Times New Roman" w:hAnsi="Times New Roman" w:cs="Times New Roman"/>
          <w:sz w:val="24"/>
          <w:szCs w:val="24"/>
        </w:rPr>
        <w:t>data (the European Mortgage Federation most notably) possess it from the early 2000s onwards.  Second, mortgage debt does not include household debt that is linked to home equity</w:t>
      </w:r>
      <w:r w:rsidR="00F549FF">
        <w:rPr>
          <w:rFonts w:ascii="Times New Roman" w:hAnsi="Times New Roman" w:cs="Times New Roman"/>
          <w:sz w:val="24"/>
          <w:szCs w:val="24"/>
        </w:rPr>
        <w:t xml:space="preserve"> and the size of a household’s mortgage</w:t>
      </w:r>
      <w:r w:rsidR="00E07C8B">
        <w:rPr>
          <w:rFonts w:ascii="Times New Roman" w:hAnsi="Times New Roman" w:cs="Times New Roman"/>
          <w:sz w:val="24"/>
          <w:szCs w:val="24"/>
        </w:rPr>
        <w:t xml:space="preserve">, but </w:t>
      </w:r>
      <w:r w:rsidR="00EC07A3">
        <w:rPr>
          <w:rFonts w:ascii="Times New Roman" w:hAnsi="Times New Roman" w:cs="Times New Roman"/>
          <w:sz w:val="24"/>
          <w:szCs w:val="24"/>
        </w:rPr>
        <w:t xml:space="preserve">is </w:t>
      </w:r>
      <w:r w:rsidR="00E07C8B">
        <w:rPr>
          <w:rFonts w:ascii="Times New Roman" w:hAnsi="Times New Roman" w:cs="Times New Roman"/>
          <w:sz w:val="24"/>
          <w:szCs w:val="24"/>
        </w:rPr>
        <w:t xml:space="preserve">not directly included in </w:t>
      </w:r>
      <w:r w:rsidR="00EC07A3">
        <w:rPr>
          <w:rFonts w:ascii="Times New Roman" w:hAnsi="Times New Roman" w:cs="Times New Roman"/>
          <w:sz w:val="24"/>
          <w:szCs w:val="24"/>
        </w:rPr>
        <w:t xml:space="preserve">the </w:t>
      </w:r>
      <w:r w:rsidR="00E07C8B">
        <w:rPr>
          <w:rFonts w:ascii="Times New Roman" w:hAnsi="Times New Roman" w:cs="Times New Roman"/>
          <w:sz w:val="24"/>
          <w:szCs w:val="24"/>
        </w:rPr>
        <w:t>mortgage</w:t>
      </w:r>
      <w:r w:rsidR="00F549FF">
        <w:rPr>
          <w:rFonts w:ascii="Times New Roman" w:hAnsi="Times New Roman" w:cs="Times New Roman"/>
          <w:sz w:val="24"/>
          <w:szCs w:val="24"/>
        </w:rPr>
        <w:t xml:space="preserve"> itself</w:t>
      </w:r>
      <w:r w:rsidR="00E07C8B">
        <w:rPr>
          <w:rFonts w:ascii="Times New Roman" w:hAnsi="Times New Roman" w:cs="Times New Roman"/>
          <w:sz w:val="24"/>
          <w:szCs w:val="24"/>
        </w:rPr>
        <w:t xml:space="preserve"> (i.e. home equity lines of credit).  </w:t>
      </w:r>
      <w:r w:rsidR="0026077C">
        <w:rPr>
          <w:rFonts w:ascii="Times New Roman" w:hAnsi="Times New Roman" w:cs="Times New Roman"/>
          <w:sz w:val="24"/>
          <w:szCs w:val="24"/>
        </w:rPr>
        <w:t>Mentioned above, t</w:t>
      </w:r>
      <w:r w:rsidR="00F549FF">
        <w:rPr>
          <w:rFonts w:ascii="Times New Roman" w:hAnsi="Times New Roman" w:cs="Times New Roman"/>
          <w:sz w:val="24"/>
          <w:szCs w:val="24"/>
        </w:rPr>
        <w:t>he largest line items in households’ overall debt tends to be</w:t>
      </w:r>
      <w:r w:rsidR="00E07C8B">
        <w:rPr>
          <w:rFonts w:ascii="Times New Roman" w:hAnsi="Times New Roman" w:cs="Times New Roman"/>
          <w:sz w:val="24"/>
          <w:szCs w:val="24"/>
        </w:rPr>
        <w:t xml:space="preserve"> mortgage</w:t>
      </w:r>
      <w:r w:rsidR="00F549FF">
        <w:rPr>
          <w:rFonts w:ascii="Times New Roman" w:hAnsi="Times New Roman" w:cs="Times New Roman"/>
          <w:sz w:val="24"/>
          <w:szCs w:val="24"/>
        </w:rPr>
        <w:t>s</w:t>
      </w:r>
      <w:r w:rsidR="00E07C8B">
        <w:rPr>
          <w:rFonts w:ascii="Times New Roman" w:hAnsi="Times New Roman" w:cs="Times New Roman"/>
          <w:sz w:val="24"/>
          <w:szCs w:val="24"/>
        </w:rPr>
        <w:t xml:space="preserve"> </w:t>
      </w:r>
      <w:r w:rsidR="00F549FF">
        <w:rPr>
          <w:rFonts w:ascii="Times New Roman" w:hAnsi="Times New Roman" w:cs="Times New Roman"/>
          <w:sz w:val="24"/>
          <w:szCs w:val="24"/>
        </w:rPr>
        <w:t xml:space="preserve">debt – consequently, institutions that influence the size and growth of mortgage debt will also directly move household debt. </w:t>
      </w:r>
    </w:p>
    <w:p w14:paraId="3194C850" w14:textId="7544434B" w:rsidR="009B6657" w:rsidRPr="004359E0" w:rsidRDefault="00F549FF" w:rsidP="00E3690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Most household debt </w:t>
      </w:r>
      <w:r w:rsidR="004359E0">
        <w:rPr>
          <w:rFonts w:ascii="Times New Roman" w:hAnsi="Times New Roman" w:cs="Times New Roman"/>
          <w:sz w:val="24"/>
          <w:szCs w:val="24"/>
        </w:rPr>
        <w:t>is tied to purchases of major durable goods (homes, automobiles, etc</w:t>
      </w:r>
      <w:r w:rsidR="00E240CA">
        <w:rPr>
          <w:rFonts w:ascii="Times New Roman" w:hAnsi="Times New Roman" w:cs="Times New Roman"/>
          <w:sz w:val="24"/>
          <w:szCs w:val="24"/>
        </w:rPr>
        <w:t>.</w:t>
      </w:r>
      <w:r w:rsidR="004359E0">
        <w:rPr>
          <w:rFonts w:ascii="Times New Roman" w:hAnsi="Times New Roman" w:cs="Times New Roman"/>
          <w:sz w:val="24"/>
          <w:szCs w:val="24"/>
        </w:rPr>
        <w:t xml:space="preserve">) that require </w:t>
      </w:r>
      <w:r w:rsidR="00E240CA">
        <w:rPr>
          <w:rFonts w:ascii="Times New Roman" w:hAnsi="Times New Roman" w:cs="Times New Roman"/>
          <w:sz w:val="24"/>
          <w:szCs w:val="24"/>
        </w:rPr>
        <w:t xml:space="preserve">long </w:t>
      </w:r>
      <w:r w:rsidR="004359E0">
        <w:rPr>
          <w:rFonts w:ascii="Times New Roman" w:hAnsi="Times New Roman" w:cs="Times New Roman"/>
          <w:sz w:val="24"/>
          <w:szCs w:val="24"/>
        </w:rPr>
        <w:t>repayment periods.</w:t>
      </w:r>
      <w:r>
        <w:rPr>
          <w:rFonts w:ascii="Times New Roman" w:hAnsi="Times New Roman" w:cs="Times New Roman"/>
          <w:sz w:val="24"/>
          <w:szCs w:val="24"/>
        </w:rPr>
        <w:t xml:space="preserve"> </w:t>
      </w:r>
      <w:r w:rsidR="004359E0">
        <w:rPr>
          <w:rFonts w:ascii="Times New Roman" w:hAnsi="Times New Roman" w:cs="Times New Roman"/>
          <w:sz w:val="24"/>
          <w:szCs w:val="24"/>
        </w:rPr>
        <w:t xml:space="preserve">Because of this, our model incorporates lags, rather than present values, of </w:t>
      </w:r>
      <w:r w:rsidR="00D36477">
        <w:rPr>
          <w:rFonts w:ascii="Times New Roman" w:hAnsi="Times New Roman" w:cs="Times New Roman"/>
          <w:sz w:val="24"/>
          <w:szCs w:val="24"/>
        </w:rPr>
        <w:t>all</w:t>
      </w:r>
      <w:r w:rsidR="004359E0">
        <w:rPr>
          <w:rFonts w:ascii="Times New Roman" w:hAnsi="Times New Roman" w:cs="Times New Roman"/>
          <w:sz w:val="24"/>
          <w:szCs w:val="24"/>
        </w:rPr>
        <w:t xml:space="preserve"> our</w:t>
      </w:r>
      <w:r w:rsidR="009B6657" w:rsidRPr="00701D70">
        <w:rPr>
          <w:rFonts w:ascii="Times New Roman" w:hAnsi="Times New Roman" w:cs="Times New Roman"/>
          <w:sz w:val="24"/>
          <w:szCs w:val="24"/>
        </w:rPr>
        <w:t xml:space="preserve"> independent variables</w:t>
      </w:r>
      <w:r w:rsidR="004359E0">
        <w:rPr>
          <w:rFonts w:ascii="Times New Roman" w:hAnsi="Times New Roman" w:cs="Times New Roman"/>
          <w:sz w:val="24"/>
          <w:szCs w:val="24"/>
        </w:rPr>
        <w:t>.  M</w:t>
      </w:r>
      <w:r w:rsidR="009B6657" w:rsidRPr="00701D70">
        <w:rPr>
          <w:rFonts w:ascii="Times New Roman" w:hAnsi="Times New Roman" w:cs="Times New Roman"/>
          <w:sz w:val="24"/>
          <w:szCs w:val="24"/>
        </w:rPr>
        <w:t xml:space="preserve">arket and institutional developments are unlikely to </w:t>
      </w:r>
      <w:r w:rsidR="004359E0">
        <w:rPr>
          <w:rFonts w:ascii="Times New Roman" w:hAnsi="Times New Roman" w:cs="Times New Roman"/>
          <w:sz w:val="24"/>
          <w:szCs w:val="24"/>
        </w:rPr>
        <w:t>cause households to make</w:t>
      </w:r>
      <w:r w:rsidR="009B6657" w:rsidRPr="00701D70">
        <w:rPr>
          <w:rFonts w:ascii="Times New Roman" w:hAnsi="Times New Roman" w:cs="Times New Roman"/>
          <w:sz w:val="24"/>
          <w:szCs w:val="24"/>
        </w:rPr>
        <w:t xml:space="preserve"> instantaneous pu</w:t>
      </w:r>
      <w:r w:rsidR="004359E0">
        <w:rPr>
          <w:rFonts w:ascii="Times New Roman" w:hAnsi="Times New Roman" w:cs="Times New Roman"/>
          <w:sz w:val="24"/>
          <w:szCs w:val="24"/>
        </w:rPr>
        <w:t>rchases</w:t>
      </w:r>
      <w:r w:rsidR="00EC07A3">
        <w:rPr>
          <w:rFonts w:ascii="Times New Roman" w:hAnsi="Times New Roman" w:cs="Times New Roman"/>
          <w:sz w:val="24"/>
          <w:szCs w:val="24"/>
        </w:rPr>
        <w:t xml:space="preserve"> of major durable goods</w:t>
      </w:r>
      <w:proofErr w:type="gramStart"/>
      <w:r w:rsidR="006E5135">
        <w:rPr>
          <w:rFonts w:ascii="Times New Roman" w:hAnsi="Times New Roman" w:cs="Times New Roman"/>
          <w:sz w:val="24"/>
          <w:szCs w:val="24"/>
        </w:rPr>
        <w:t>;</w:t>
      </w:r>
      <w:r w:rsidR="009B6657" w:rsidRPr="00701D70">
        <w:rPr>
          <w:rFonts w:ascii="Times New Roman" w:hAnsi="Times New Roman" w:cs="Times New Roman"/>
          <w:sz w:val="24"/>
          <w:szCs w:val="24"/>
        </w:rPr>
        <w:t>,</w:t>
      </w:r>
      <w:proofErr w:type="gramEnd"/>
      <w:r w:rsidR="009B6657" w:rsidRPr="00701D70">
        <w:rPr>
          <w:rFonts w:ascii="Times New Roman" w:hAnsi="Times New Roman" w:cs="Times New Roman"/>
          <w:sz w:val="24"/>
          <w:szCs w:val="24"/>
        </w:rPr>
        <w:t xml:space="preserve"> if real interest rates declined tomorrow, it is unlike</w:t>
      </w:r>
      <w:r w:rsidR="00EC07A3">
        <w:rPr>
          <w:rFonts w:ascii="Times New Roman" w:hAnsi="Times New Roman" w:cs="Times New Roman"/>
          <w:sz w:val="24"/>
          <w:szCs w:val="24"/>
        </w:rPr>
        <w:t>ly</w:t>
      </w:r>
      <w:r w:rsidR="009B6657" w:rsidRPr="00701D70">
        <w:rPr>
          <w:rFonts w:ascii="Times New Roman" w:hAnsi="Times New Roman" w:cs="Times New Roman"/>
          <w:sz w:val="24"/>
          <w:szCs w:val="24"/>
        </w:rPr>
        <w:t xml:space="preserve"> that a household would immediately buy a house</w:t>
      </w:r>
      <w:r w:rsidR="004359E0">
        <w:rPr>
          <w:rFonts w:ascii="Times New Roman" w:hAnsi="Times New Roman" w:cs="Times New Roman"/>
          <w:sz w:val="24"/>
          <w:szCs w:val="24"/>
        </w:rPr>
        <w:t xml:space="preserve"> or </w:t>
      </w:r>
      <w:r w:rsidR="006E5135">
        <w:rPr>
          <w:rFonts w:ascii="Times New Roman" w:hAnsi="Times New Roman" w:cs="Times New Roman"/>
          <w:sz w:val="24"/>
          <w:szCs w:val="24"/>
        </w:rPr>
        <w:t>refinance, but they may in the future</w:t>
      </w:r>
      <w:r w:rsidR="009B6657" w:rsidRPr="00701D70">
        <w:rPr>
          <w:rFonts w:ascii="Times New Roman" w:hAnsi="Times New Roman" w:cs="Times New Roman"/>
          <w:sz w:val="24"/>
          <w:szCs w:val="24"/>
        </w:rPr>
        <w:t xml:space="preserve">.  Our baseline model incorporates one year lags of </w:t>
      </w:r>
      <w:r w:rsidR="00D36477" w:rsidRPr="00701D70">
        <w:rPr>
          <w:rFonts w:ascii="Times New Roman" w:hAnsi="Times New Roman" w:cs="Times New Roman"/>
          <w:sz w:val="24"/>
          <w:szCs w:val="24"/>
        </w:rPr>
        <w:t>all</w:t>
      </w:r>
      <w:r w:rsidR="009B6657" w:rsidRPr="00701D70">
        <w:rPr>
          <w:rFonts w:ascii="Times New Roman" w:hAnsi="Times New Roman" w:cs="Times New Roman"/>
          <w:sz w:val="24"/>
          <w:szCs w:val="24"/>
        </w:rPr>
        <w:t xml:space="preserve"> our variables, however our results</w:t>
      </w:r>
      <w:r w:rsidR="004359E0">
        <w:rPr>
          <w:rFonts w:ascii="Times New Roman" w:hAnsi="Times New Roman" w:cs="Times New Roman"/>
          <w:sz w:val="24"/>
          <w:szCs w:val="24"/>
        </w:rPr>
        <w:t xml:space="preserve"> for our institutional variables</w:t>
      </w:r>
      <w:r w:rsidR="009B6657" w:rsidRPr="00701D70">
        <w:rPr>
          <w:rFonts w:ascii="Times New Roman" w:hAnsi="Times New Roman" w:cs="Times New Roman"/>
          <w:sz w:val="24"/>
          <w:szCs w:val="24"/>
        </w:rPr>
        <w:t xml:space="preserve"> are consistent when two year </w:t>
      </w:r>
      <w:r w:rsidR="009B6657" w:rsidRPr="004359E0">
        <w:rPr>
          <w:rFonts w:ascii="Times New Roman" w:hAnsi="Times New Roman" w:cs="Times New Roman"/>
          <w:sz w:val="24"/>
          <w:szCs w:val="24"/>
        </w:rPr>
        <w:t xml:space="preserve">lags are used (these results are available in Appendix </w:t>
      </w:r>
      <w:r w:rsidR="007D1AD2">
        <w:rPr>
          <w:rFonts w:ascii="Times New Roman" w:hAnsi="Times New Roman" w:cs="Times New Roman"/>
          <w:sz w:val="24"/>
          <w:szCs w:val="24"/>
        </w:rPr>
        <w:t>B</w:t>
      </w:r>
      <w:r w:rsidR="009B6657" w:rsidRPr="004359E0">
        <w:rPr>
          <w:rFonts w:ascii="Times New Roman" w:hAnsi="Times New Roman" w:cs="Times New Roman"/>
          <w:sz w:val="24"/>
          <w:szCs w:val="24"/>
        </w:rPr>
        <w:t>).  Our baseline model is as follows:</w:t>
      </w:r>
    </w:p>
    <w:p w14:paraId="33D575E9" w14:textId="46328364" w:rsidR="009B6657" w:rsidRPr="004359E0" w:rsidRDefault="009B6657" w:rsidP="00C7604D">
      <w:pPr>
        <w:spacing w:before="100" w:beforeAutospacing="1" w:after="100" w:afterAutospacing="1" w:line="240" w:lineRule="auto"/>
        <w:rPr>
          <w:rFonts w:ascii="Times New Roman" w:hAnsi="Times New Roman" w:cs="Times New Roman"/>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LMInst</m:t>
              </m:r>
            </m:e>
            <m:sub>
              <m:r>
                <w:rPr>
                  <w:rFonts w:ascii="Cambria Math" w:eastAsiaTheme="minorEastAsia" w:hAnsi="Cambria Math" w:cs="Times New Roman"/>
                  <w:sz w:val="24"/>
                  <w:szCs w:val="24"/>
                </w:rPr>
                <m:t>i,  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MCMInst</m:t>
              </m:r>
            </m:e>
            <m:sub>
              <m:r>
                <w:rPr>
                  <w:rFonts w:ascii="Cambria Math" w:eastAsiaTheme="minorEastAsia" w:hAnsi="Cambria Math" w:cs="Times New Roman"/>
                  <w:sz w:val="24"/>
                  <w:szCs w:val="24"/>
                </w:rPr>
                <m:t>i, t-1</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LMInst</m:t>
                  </m:r>
                </m:e>
                <m:sub>
                  <m:r>
                    <w:rPr>
                      <w:rFonts w:ascii="Cambria Math" w:eastAsiaTheme="minorEastAsia" w:hAnsi="Cambria Math" w:cs="Times New Roman"/>
                      <w:sz w:val="24"/>
                      <w:szCs w:val="24"/>
                    </w:rPr>
                    <m:t>i, 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MCMInst</m:t>
                  </m:r>
                </m:e>
                <m:sub>
                  <m:r>
                    <w:rPr>
                      <w:rFonts w:ascii="Cambria Math" w:eastAsiaTheme="minorEastAsia" w:hAnsi="Cambria Math" w:cs="Times New Roman"/>
                      <w:sz w:val="24"/>
                      <w:szCs w:val="24"/>
                    </w:rPr>
                    <m:t>i, t-1</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4</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 t-1</m:t>
                  </m:r>
                </m:sub>
              </m:sSub>
            </m:e>
          </m:nary>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5</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 t-1</m:t>
                  </m:r>
                </m:sub>
              </m:sSub>
            </m:e>
          </m:nary>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6</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TE</m:t>
                  </m:r>
                </m:e>
                <m:sub>
                  <m:r>
                    <w:rPr>
                      <w:rFonts w:ascii="Cambria Math" w:eastAsiaTheme="minorEastAsia" w:hAnsi="Cambria Math" w:cs="Times New Roman"/>
                      <w:sz w:val="24"/>
                      <w:szCs w:val="24"/>
                    </w:rPr>
                    <m:t>i</m:t>
                  </m:r>
                </m:sub>
              </m:sSub>
            </m:e>
          </m:nary>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 t</m:t>
              </m:r>
            </m:sub>
          </m:sSub>
        </m:oMath>
      </m:oMathPara>
    </w:p>
    <w:p w14:paraId="1F19451C" w14:textId="72F514A7" w:rsidR="009B6657" w:rsidRPr="004359E0" w:rsidRDefault="00D36477" w:rsidP="00E36909">
      <w:pPr>
        <w:spacing w:before="100" w:beforeAutospacing="1" w:after="100" w:afterAutospacing="1" w:line="360" w:lineRule="auto"/>
        <w:jc w:val="both"/>
        <w:rPr>
          <w:rFonts w:ascii="Times New Roman" w:eastAsiaTheme="minorEastAsia" w:hAnsi="Times New Roman" w:cs="Times New Roman"/>
          <w:sz w:val="24"/>
          <w:szCs w:val="24"/>
        </w:rPr>
      </w:pPr>
      <w:r w:rsidRPr="004359E0">
        <w:rPr>
          <w:rFonts w:ascii="Times New Roman" w:hAnsi="Times New Roman" w:cs="Times New Roman"/>
          <w:sz w:val="24"/>
          <w:szCs w:val="24"/>
        </w:rPr>
        <w:t>All</w:t>
      </w:r>
      <w:r w:rsidR="009B6657" w:rsidRPr="004359E0">
        <w:rPr>
          <w:rFonts w:ascii="Times New Roman" w:hAnsi="Times New Roman" w:cs="Times New Roman"/>
          <w:sz w:val="24"/>
          <w:szCs w:val="24"/>
        </w:rPr>
        <w:t xml:space="preserve"> our </w:t>
      </w:r>
      <w:r w:rsidR="004359E0" w:rsidRPr="004359E0">
        <w:rPr>
          <w:rFonts w:ascii="Times New Roman" w:hAnsi="Times New Roman" w:cs="Times New Roman"/>
          <w:sz w:val="24"/>
          <w:szCs w:val="24"/>
        </w:rPr>
        <w:t xml:space="preserve">independent </w:t>
      </w:r>
      <w:r w:rsidR="009B6657" w:rsidRPr="004359E0">
        <w:rPr>
          <w:rFonts w:ascii="Times New Roman" w:hAnsi="Times New Roman" w:cs="Times New Roman"/>
          <w:sz w:val="24"/>
          <w:szCs w:val="24"/>
        </w:rPr>
        <w:t xml:space="preserve">variables, </w:t>
      </w:r>
      <w:r w:rsidRPr="004359E0">
        <w:rPr>
          <w:rFonts w:ascii="Times New Roman" w:hAnsi="Times New Roman" w:cs="Times New Roman"/>
          <w:sz w:val="24"/>
          <w:szCs w:val="24"/>
        </w:rPr>
        <w:t>except for</w:t>
      </w:r>
      <w:r w:rsidR="009B6657" w:rsidRPr="004359E0">
        <w:rPr>
          <w:rFonts w:ascii="Times New Roman" w:hAnsi="Times New Roman" w:cs="Times New Roman"/>
          <w:sz w:val="24"/>
          <w:szCs w:val="24"/>
        </w:rPr>
        <w:t xml:space="preserve"> our political and institutional controls</w:t>
      </w:r>
      <w:r w:rsidR="004359E0" w:rsidRPr="004359E0">
        <w:rPr>
          <w:rFonts w:ascii="Times New Roman" w:hAnsi="Times New Roman" w:cs="Times New Roman"/>
          <w:sz w:val="24"/>
          <w:szCs w:val="24"/>
        </w:rPr>
        <w:t>,</w:t>
      </w:r>
      <w:r w:rsidR="009B6657" w:rsidRPr="004359E0">
        <w:rPr>
          <w:rFonts w:ascii="Times New Roman" w:hAnsi="Times New Roman" w:cs="Times New Roman"/>
          <w:sz w:val="24"/>
          <w:szCs w:val="24"/>
        </w:rPr>
        <w:t xml:space="preserve"> are differenced </w:t>
      </w:r>
      <w:r w:rsidRPr="004359E0">
        <w:rPr>
          <w:rFonts w:ascii="Times New Roman" w:hAnsi="Times New Roman" w:cs="Times New Roman"/>
          <w:sz w:val="24"/>
          <w:szCs w:val="24"/>
        </w:rPr>
        <w:t>to</w:t>
      </w:r>
      <w:r w:rsidR="009B6657" w:rsidRPr="004359E0">
        <w:rPr>
          <w:rFonts w:ascii="Times New Roman" w:hAnsi="Times New Roman" w:cs="Times New Roman"/>
          <w:sz w:val="24"/>
          <w:szCs w:val="24"/>
        </w:rPr>
        <w:t xml:space="preserve"> rectify non-stationarity problems within our data.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009B6657" w:rsidRPr="004359E0">
        <w:rPr>
          <w:rFonts w:ascii="Times New Roman" w:eastAsiaTheme="minorEastAsia" w:hAnsi="Times New Roman" w:cs="Times New Roman"/>
          <w:sz w:val="24"/>
          <w:szCs w:val="24"/>
        </w:rPr>
        <w:t xml:space="preserve"> </w:t>
      </w:r>
      <w:proofErr w:type="gramStart"/>
      <w:r w:rsidR="009B6657" w:rsidRPr="004359E0">
        <w:rPr>
          <w:rFonts w:ascii="Times New Roman" w:eastAsiaTheme="minorEastAsia" w:hAnsi="Times New Roman" w:cs="Times New Roman"/>
          <w:sz w:val="24"/>
          <w:szCs w:val="24"/>
        </w:rPr>
        <w:t>is</w:t>
      </w:r>
      <w:proofErr w:type="gramEnd"/>
      <w:r w:rsidR="009B6657" w:rsidRPr="004359E0">
        <w:rPr>
          <w:rFonts w:ascii="Times New Roman" w:eastAsiaTheme="minorEastAsia" w:hAnsi="Times New Roman" w:cs="Times New Roman"/>
          <w:sz w:val="24"/>
          <w:szCs w:val="24"/>
        </w:rPr>
        <w:t xml:space="preserve"> the </w:t>
      </w:r>
      <w:r w:rsidR="004359E0" w:rsidRPr="004359E0">
        <w:rPr>
          <w:rFonts w:ascii="Times New Roman" w:eastAsiaTheme="minorEastAsia" w:hAnsi="Times New Roman" w:cs="Times New Roman"/>
          <w:sz w:val="24"/>
          <w:szCs w:val="24"/>
        </w:rPr>
        <w:t xml:space="preserve">first difference of household debt (as a percentage of disposable income) </w:t>
      </w:r>
      <w:r w:rsidR="009B6657" w:rsidRPr="004359E0">
        <w:rPr>
          <w:rFonts w:ascii="Times New Roman" w:eastAsiaTheme="minorEastAsia" w:hAnsi="Times New Roman" w:cs="Times New Roman"/>
          <w:sz w:val="24"/>
          <w:szCs w:val="24"/>
        </w:rPr>
        <w:t xml:space="preserve">in country i in year t.  </w:t>
      </w:r>
      <w:r w:rsidR="00717B29">
        <w:rPr>
          <w:rFonts w:ascii="Times New Roman" w:eastAsiaTheme="minorEastAsia" w:hAnsi="Times New Roman" w:cs="Times New Roman"/>
          <w:sz w:val="24"/>
          <w:szCs w:val="24"/>
        </w:rPr>
        <w:t>Household debt</w:t>
      </w:r>
      <w:r w:rsidR="00717B29" w:rsidRPr="004359E0">
        <w:rPr>
          <w:rFonts w:ascii="Times New Roman" w:eastAsiaTheme="minorEastAsia" w:hAnsi="Times New Roman" w:cs="Times New Roman"/>
          <w:sz w:val="24"/>
          <w:szCs w:val="24"/>
        </w:rPr>
        <w:t xml:space="preserve"> </w:t>
      </w:r>
      <w:r w:rsidR="009B6657" w:rsidRPr="004359E0">
        <w:rPr>
          <w:rFonts w:ascii="Times New Roman" w:eastAsiaTheme="minorEastAsia" w:hAnsi="Times New Roman" w:cs="Times New Roman"/>
          <w:sz w:val="24"/>
          <w:szCs w:val="24"/>
        </w:rPr>
        <w:t>data stems from the OECD</w:t>
      </w:r>
      <w:r w:rsidR="004359E0" w:rsidRPr="004359E0">
        <w:rPr>
          <w:rFonts w:ascii="Times New Roman" w:eastAsiaTheme="minorEastAsia" w:hAnsi="Times New Roman" w:cs="Times New Roman"/>
          <w:sz w:val="24"/>
          <w:szCs w:val="24"/>
        </w:rPr>
        <w:t xml:space="preserve">’s </w:t>
      </w:r>
      <w:r w:rsidR="00B85C36">
        <w:rPr>
          <w:rFonts w:ascii="Times New Roman" w:eastAsiaTheme="minorEastAsia" w:hAnsi="Times New Roman" w:cs="Times New Roman"/>
          <w:sz w:val="24"/>
          <w:szCs w:val="24"/>
        </w:rPr>
        <w:t>(201</w:t>
      </w:r>
      <w:r w:rsidR="00A04FA6">
        <w:rPr>
          <w:rFonts w:ascii="Times New Roman" w:eastAsiaTheme="minorEastAsia" w:hAnsi="Times New Roman" w:cs="Times New Roman"/>
          <w:sz w:val="24"/>
          <w:szCs w:val="24"/>
        </w:rPr>
        <w:t>8</w:t>
      </w:r>
      <w:r w:rsidR="004359E0" w:rsidRPr="004359E0">
        <w:rPr>
          <w:rFonts w:ascii="Times New Roman" w:eastAsiaTheme="minorEastAsia" w:hAnsi="Times New Roman" w:cs="Times New Roman"/>
          <w:sz w:val="24"/>
          <w:szCs w:val="24"/>
        </w:rPr>
        <w:t>) household accounts</w:t>
      </w:r>
      <w:r w:rsidR="009B6657" w:rsidRPr="004359E0">
        <w:rPr>
          <w:rFonts w:ascii="Times New Roman" w:eastAsiaTheme="minorEastAsia" w:hAnsi="Times New Roman" w:cs="Times New Roman"/>
          <w:sz w:val="24"/>
          <w:szCs w:val="24"/>
        </w:rPr>
        <w:t xml:space="preserve">. </w:t>
      </w:r>
    </w:p>
    <w:p w14:paraId="7C9DEEAA" w14:textId="0A3FDEE0" w:rsidR="00BA342E" w:rsidRDefault="00F92FEF" w:rsidP="00E36909">
      <w:pPr>
        <w:spacing w:before="100" w:beforeAutospacing="1" w:after="100" w:afterAutospacing="1"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LMInst</m:t>
            </m:r>
          </m:e>
          <m:sub>
            <m:r>
              <w:rPr>
                <w:rFonts w:ascii="Cambria Math" w:eastAsiaTheme="minorEastAsia" w:hAnsi="Cambria Math" w:cs="Times New Roman"/>
                <w:sz w:val="24"/>
                <w:szCs w:val="24"/>
              </w:rPr>
              <m:t>i,  t-1</m:t>
            </m:r>
          </m:sub>
        </m:sSub>
      </m:oMath>
      <w:r w:rsidR="009B6657" w:rsidRPr="004359E0">
        <w:rPr>
          <w:rFonts w:ascii="Times New Roman" w:eastAsiaTheme="minorEastAsia" w:hAnsi="Times New Roman" w:cs="Times New Roman"/>
          <w:sz w:val="24"/>
          <w:szCs w:val="24"/>
        </w:rPr>
        <w:t xml:space="preserve"> </w:t>
      </w:r>
      <w:proofErr w:type="gramStart"/>
      <w:r w:rsidR="009B6657" w:rsidRPr="004359E0">
        <w:rPr>
          <w:rFonts w:ascii="Times New Roman" w:eastAsiaTheme="minorEastAsia" w:hAnsi="Times New Roman" w:cs="Times New Roman"/>
          <w:sz w:val="24"/>
          <w:szCs w:val="24"/>
        </w:rPr>
        <w:t>is</w:t>
      </w:r>
      <w:proofErr w:type="gramEnd"/>
      <w:r w:rsidR="009B6657" w:rsidRPr="004359E0">
        <w:rPr>
          <w:rFonts w:ascii="Times New Roman" w:eastAsiaTheme="minorEastAsia" w:hAnsi="Times New Roman" w:cs="Times New Roman"/>
          <w:sz w:val="24"/>
          <w:szCs w:val="24"/>
        </w:rPr>
        <w:t xml:space="preserve"> a measure of </w:t>
      </w:r>
      <w:r w:rsidR="004359E0" w:rsidRPr="004359E0">
        <w:rPr>
          <w:rFonts w:ascii="Times New Roman" w:eastAsiaTheme="minorEastAsia" w:hAnsi="Times New Roman" w:cs="Times New Roman"/>
          <w:sz w:val="24"/>
          <w:szCs w:val="24"/>
        </w:rPr>
        <w:t>labor market</w:t>
      </w:r>
      <w:r w:rsidR="009B6657" w:rsidRPr="004359E0">
        <w:rPr>
          <w:rFonts w:ascii="Times New Roman" w:eastAsiaTheme="minorEastAsia" w:hAnsi="Times New Roman" w:cs="Times New Roman"/>
          <w:sz w:val="24"/>
          <w:szCs w:val="24"/>
        </w:rPr>
        <w:t xml:space="preserve"> institutions that </w:t>
      </w:r>
      <w:r w:rsidR="004359E0" w:rsidRPr="004359E0">
        <w:rPr>
          <w:rFonts w:ascii="Times New Roman" w:eastAsiaTheme="minorEastAsia" w:hAnsi="Times New Roman" w:cs="Times New Roman"/>
          <w:sz w:val="24"/>
          <w:szCs w:val="24"/>
        </w:rPr>
        <w:t xml:space="preserve">help (or fail to) promote income and employment </w:t>
      </w:r>
      <w:r w:rsidR="00EC07A3">
        <w:rPr>
          <w:rFonts w:ascii="Times New Roman" w:eastAsiaTheme="minorEastAsia" w:hAnsi="Times New Roman" w:cs="Times New Roman"/>
          <w:sz w:val="24"/>
          <w:szCs w:val="24"/>
        </w:rPr>
        <w:t>security</w:t>
      </w:r>
      <w:r w:rsidR="004359E0" w:rsidRPr="004359E0">
        <w:rPr>
          <w:rFonts w:ascii="Times New Roman" w:eastAsiaTheme="minorEastAsia" w:hAnsi="Times New Roman" w:cs="Times New Roman"/>
          <w:sz w:val="24"/>
          <w:szCs w:val="24"/>
        </w:rPr>
        <w:t xml:space="preserve">.  </w:t>
      </w:r>
      <w:r w:rsidR="009B6657" w:rsidRPr="004359E0">
        <w:rPr>
          <w:rFonts w:ascii="Times New Roman" w:eastAsiaTheme="minorEastAsia" w:hAnsi="Times New Roman" w:cs="Times New Roman"/>
          <w:sz w:val="24"/>
          <w:szCs w:val="24"/>
        </w:rPr>
        <w:t>We use</w:t>
      </w:r>
      <w:r w:rsidR="00AE63C5" w:rsidRPr="004359E0">
        <w:rPr>
          <w:rFonts w:ascii="Times New Roman" w:eastAsiaTheme="minorEastAsia" w:hAnsi="Times New Roman" w:cs="Times New Roman"/>
          <w:sz w:val="24"/>
          <w:szCs w:val="24"/>
        </w:rPr>
        <w:t xml:space="preserve"> </w:t>
      </w:r>
      <w:r w:rsidR="00717B29">
        <w:rPr>
          <w:rFonts w:ascii="Times New Roman" w:eastAsiaTheme="minorEastAsia" w:hAnsi="Times New Roman" w:cs="Times New Roman"/>
          <w:sz w:val="24"/>
          <w:szCs w:val="24"/>
        </w:rPr>
        <w:t>four</w:t>
      </w:r>
      <w:r w:rsidR="00717B29" w:rsidRPr="004359E0">
        <w:rPr>
          <w:rFonts w:ascii="Times New Roman" w:eastAsiaTheme="minorEastAsia" w:hAnsi="Times New Roman" w:cs="Times New Roman"/>
          <w:sz w:val="24"/>
          <w:szCs w:val="24"/>
        </w:rPr>
        <w:t xml:space="preserve"> </w:t>
      </w:r>
      <w:r w:rsidR="004359E0" w:rsidRPr="004359E0">
        <w:rPr>
          <w:rFonts w:ascii="Times New Roman" w:eastAsiaTheme="minorEastAsia" w:hAnsi="Times New Roman" w:cs="Times New Roman"/>
          <w:sz w:val="24"/>
          <w:szCs w:val="24"/>
        </w:rPr>
        <w:t>of the</w:t>
      </w:r>
      <w:r w:rsidR="009B6657" w:rsidRPr="004359E0">
        <w:rPr>
          <w:rFonts w:ascii="Times New Roman" w:eastAsiaTheme="minorEastAsia" w:hAnsi="Times New Roman" w:cs="Times New Roman"/>
          <w:sz w:val="24"/>
          <w:szCs w:val="24"/>
        </w:rPr>
        <w:t xml:space="preserve"> most popular measures of labor market institutions in comparative </w:t>
      </w:r>
      <w:r w:rsidR="004359E0" w:rsidRPr="004359E0">
        <w:rPr>
          <w:rFonts w:ascii="Times New Roman" w:eastAsiaTheme="minorEastAsia" w:hAnsi="Times New Roman" w:cs="Times New Roman"/>
          <w:sz w:val="24"/>
          <w:szCs w:val="24"/>
        </w:rPr>
        <w:t>political economy</w:t>
      </w:r>
      <w:r w:rsidR="00AE63C5" w:rsidRPr="004359E0">
        <w:rPr>
          <w:rFonts w:ascii="Times New Roman" w:eastAsiaTheme="minorEastAsia" w:hAnsi="Times New Roman" w:cs="Times New Roman"/>
          <w:sz w:val="24"/>
          <w:szCs w:val="24"/>
        </w:rPr>
        <w:t xml:space="preserve"> within our models</w:t>
      </w:r>
      <w:r w:rsidR="009B6657" w:rsidRPr="004359E0">
        <w:rPr>
          <w:rFonts w:ascii="Times New Roman" w:eastAsiaTheme="minorEastAsia" w:hAnsi="Times New Roman" w:cs="Times New Roman"/>
          <w:sz w:val="24"/>
          <w:szCs w:val="24"/>
        </w:rPr>
        <w:t xml:space="preserve">: the degree of coordination in wage-setting, based on </w:t>
      </w:r>
      <w:proofErr w:type="spellStart"/>
      <w:r w:rsidR="009B6657" w:rsidRPr="004359E0">
        <w:rPr>
          <w:rFonts w:ascii="Times New Roman" w:eastAsiaTheme="minorEastAsia" w:hAnsi="Times New Roman" w:cs="Times New Roman"/>
          <w:sz w:val="24"/>
          <w:szCs w:val="24"/>
        </w:rPr>
        <w:t>Kenworthy’s</w:t>
      </w:r>
      <w:proofErr w:type="spellEnd"/>
      <w:r w:rsidR="009B6657" w:rsidRPr="004359E0">
        <w:rPr>
          <w:rFonts w:ascii="Times New Roman" w:eastAsiaTheme="minorEastAsia" w:hAnsi="Times New Roman" w:cs="Times New Roman"/>
          <w:sz w:val="24"/>
          <w:szCs w:val="24"/>
        </w:rPr>
        <w:t xml:space="preserve"> (2001) index (values range from 1, indicating no coordination, to 5, i</w:t>
      </w:r>
      <w:r w:rsidR="00EC07A3">
        <w:rPr>
          <w:rFonts w:ascii="Times New Roman" w:eastAsiaTheme="minorEastAsia" w:hAnsi="Times New Roman" w:cs="Times New Roman"/>
          <w:sz w:val="24"/>
          <w:szCs w:val="24"/>
        </w:rPr>
        <w:t>ndicating high coordination);</w:t>
      </w:r>
      <w:r w:rsidR="009B6657" w:rsidRPr="004359E0">
        <w:rPr>
          <w:rFonts w:ascii="Times New Roman" w:eastAsiaTheme="minorEastAsia" w:hAnsi="Times New Roman" w:cs="Times New Roman"/>
          <w:sz w:val="24"/>
          <w:szCs w:val="24"/>
        </w:rPr>
        <w:t xml:space="preserve"> the centralization of wage bargaining (values range from 1, indicating that wage-setting is completely decentralized, to 5.75, indicating that wage-setting is completely centralized</w:t>
      </w:r>
      <w:r w:rsidR="009B6657" w:rsidRPr="004359E0">
        <w:rPr>
          <w:rStyle w:val="FootnoteReference"/>
          <w:rFonts w:ascii="Times New Roman" w:eastAsiaTheme="minorEastAsia" w:hAnsi="Times New Roman" w:cs="Times New Roman"/>
          <w:sz w:val="24"/>
          <w:szCs w:val="24"/>
        </w:rPr>
        <w:footnoteReference w:id="15"/>
      </w:r>
      <w:r w:rsidR="009B6657" w:rsidRPr="004359E0">
        <w:rPr>
          <w:rFonts w:ascii="Times New Roman" w:eastAsiaTheme="minorEastAsia" w:hAnsi="Times New Roman" w:cs="Times New Roman"/>
          <w:sz w:val="24"/>
          <w:szCs w:val="24"/>
        </w:rPr>
        <w:t>)</w:t>
      </w:r>
      <w:r w:rsidR="00EC07A3">
        <w:rPr>
          <w:rFonts w:ascii="Times New Roman" w:eastAsiaTheme="minorEastAsia" w:hAnsi="Times New Roman" w:cs="Times New Roman"/>
          <w:sz w:val="24"/>
          <w:szCs w:val="24"/>
        </w:rPr>
        <w:t>; trade union density (the percentage of the labor force that are trade union members)</w:t>
      </w:r>
      <w:r w:rsidR="00717B29">
        <w:rPr>
          <w:rFonts w:ascii="Times New Roman" w:eastAsiaTheme="minorEastAsia" w:hAnsi="Times New Roman" w:cs="Times New Roman"/>
          <w:sz w:val="24"/>
          <w:szCs w:val="24"/>
        </w:rPr>
        <w:t>, and; collective bargaining coverage (the percentage of the labor force whose employment terms are determined by collective agreement</w:t>
      </w:r>
      <w:r w:rsidR="007D1AD2">
        <w:rPr>
          <w:rFonts w:ascii="Times New Roman" w:eastAsiaTheme="minorEastAsia" w:hAnsi="Times New Roman" w:cs="Times New Roman"/>
          <w:sz w:val="24"/>
          <w:szCs w:val="24"/>
        </w:rPr>
        <w:t>s</w:t>
      </w:r>
      <w:r w:rsidR="00A96C63">
        <w:rPr>
          <w:rFonts w:ascii="Times New Roman" w:eastAsiaTheme="minorEastAsia" w:hAnsi="Times New Roman" w:cs="Times New Roman"/>
          <w:sz w:val="24"/>
          <w:szCs w:val="24"/>
        </w:rPr>
        <w:t xml:space="preserve"> negotiated between unions and employers</w:t>
      </w:r>
      <w:r w:rsidR="00717B29">
        <w:rPr>
          <w:rFonts w:ascii="Times New Roman" w:eastAsiaTheme="minorEastAsia" w:hAnsi="Times New Roman" w:cs="Times New Roman"/>
          <w:sz w:val="24"/>
          <w:szCs w:val="24"/>
        </w:rPr>
        <w:t>)</w:t>
      </w:r>
      <w:r w:rsidR="009B6657" w:rsidRPr="004359E0">
        <w:rPr>
          <w:rFonts w:ascii="Times New Roman" w:eastAsiaTheme="minorEastAsia" w:hAnsi="Times New Roman" w:cs="Times New Roman"/>
          <w:sz w:val="24"/>
          <w:szCs w:val="24"/>
        </w:rPr>
        <w:t>.</w:t>
      </w:r>
      <w:r w:rsidR="004359E0">
        <w:rPr>
          <w:rFonts w:ascii="Times New Roman" w:eastAsiaTheme="minorEastAsia" w:hAnsi="Times New Roman" w:cs="Times New Roman"/>
          <w:sz w:val="24"/>
          <w:szCs w:val="24"/>
        </w:rPr>
        <w:t xml:space="preserve">  </w:t>
      </w:r>
    </w:p>
    <w:p w14:paraId="277D185E" w14:textId="4970F882" w:rsidR="009B6657" w:rsidRPr="00E96680" w:rsidRDefault="006371DD" w:rsidP="00E36909">
      <w:pPr>
        <w:spacing w:before="100" w:beforeAutospacing="1" w:after="100" w:afterAutospacing="1" w:line="360" w:lineRule="auto"/>
        <w:jc w:val="both"/>
        <w:rPr>
          <w:rFonts w:ascii="Times New Roman" w:eastAsiaTheme="minorEastAsia" w:hAnsi="Times New Roman" w:cs="Times New Roman"/>
          <w:sz w:val="24"/>
          <w:szCs w:val="24"/>
          <w:highlight w:val="yellow"/>
        </w:rPr>
      </w:pPr>
      <w:r>
        <w:rPr>
          <w:rFonts w:ascii="Times New Roman" w:eastAsiaTheme="minorEastAsia" w:hAnsi="Times New Roman" w:cs="Times New Roman"/>
          <w:sz w:val="24"/>
          <w:szCs w:val="24"/>
        </w:rPr>
        <w:t>Highlighted above,</w:t>
      </w:r>
      <w:r w:rsidR="00B85C36">
        <w:rPr>
          <w:rFonts w:ascii="Times New Roman" w:eastAsiaTheme="minorEastAsia" w:hAnsi="Times New Roman" w:cs="Times New Roman"/>
          <w:sz w:val="24"/>
          <w:szCs w:val="24"/>
        </w:rPr>
        <w:t xml:space="preserve"> c</w:t>
      </w:r>
      <w:r w:rsidR="004359E0">
        <w:rPr>
          <w:rFonts w:ascii="Times New Roman" w:eastAsiaTheme="minorEastAsia" w:hAnsi="Times New Roman" w:cs="Times New Roman"/>
          <w:sz w:val="24"/>
          <w:szCs w:val="24"/>
        </w:rPr>
        <w:t xml:space="preserve">ountries </w:t>
      </w:r>
      <w:r>
        <w:rPr>
          <w:rFonts w:ascii="Times New Roman" w:eastAsiaTheme="minorEastAsia" w:hAnsi="Times New Roman" w:cs="Times New Roman"/>
          <w:sz w:val="24"/>
          <w:szCs w:val="24"/>
        </w:rPr>
        <w:t xml:space="preserve">with stronger and more coordinated </w:t>
      </w:r>
      <w:r w:rsidR="004359E0">
        <w:rPr>
          <w:rFonts w:ascii="Times New Roman" w:eastAsiaTheme="minorEastAsia" w:hAnsi="Times New Roman" w:cs="Times New Roman"/>
          <w:sz w:val="24"/>
          <w:szCs w:val="24"/>
        </w:rPr>
        <w:t>unions</w:t>
      </w:r>
      <w:r>
        <w:rPr>
          <w:rFonts w:ascii="Times New Roman" w:eastAsiaTheme="minorEastAsia" w:hAnsi="Times New Roman" w:cs="Times New Roman"/>
          <w:sz w:val="24"/>
          <w:szCs w:val="24"/>
        </w:rPr>
        <w:t xml:space="preserve"> </w:t>
      </w:r>
      <w:r w:rsidR="004359E0">
        <w:rPr>
          <w:rFonts w:ascii="Times New Roman" w:eastAsiaTheme="minorEastAsia" w:hAnsi="Times New Roman" w:cs="Times New Roman"/>
          <w:sz w:val="24"/>
          <w:szCs w:val="24"/>
        </w:rPr>
        <w:t xml:space="preserve">are </w:t>
      </w:r>
      <w:r w:rsidR="00B85C36">
        <w:rPr>
          <w:rFonts w:ascii="Times New Roman" w:eastAsiaTheme="minorEastAsia" w:hAnsi="Times New Roman" w:cs="Times New Roman"/>
          <w:sz w:val="24"/>
          <w:szCs w:val="24"/>
        </w:rPr>
        <w:t xml:space="preserve">also more likely to </w:t>
      </w:r>
      <w:r w:rsidR="00EC07A3">
        <w:rPr>
          <w:rFonts w:ascii="Times New Roman" w:eastAsiaTheme="minorEastAsia" w:hAnsi="Times New Roman" w:cs="Times New Roman"/>
          <w:sz w:val="24"/>
          <w:szCs w:val="24"/>
        </w:rPr>
        <w:t>witness</w:t>
      </w:r>
      <w:r w:rsidR="00B85C36">
        <w:rPr>
          <w:rFonts w:ascii="Times New Roman" w:eastAsiaTheme="minorEastAsia" w:hAnsi="Times New Roman" w:cs="Times New Roman"/>
          <w:sz w:val="24"/>
          <w:szCs w:val="24"/>
        </w:rPr>
        <w:t xml:space="preserve"> securer employment and wage conditions, compared to countries where employer power </w:t>
      </w:r>
      <w:r w:rsidR="00B85C36">
        <w:rPr>
          <w:rFonts w:ascii="Times New Roman" w:eastAsiaTheme="minorEastAsia" w:hAnsi="Times New Roman" w:cs="Times New Roman"/>
          <w:sz w:val="24"/>
          <w:szCs w:val="24"/>
        </w:rPr>
        <w:lastRenderedPageBreak/>
        <w:t xml:space="preserve">trumps that of labor.  Consequently, we anticipate that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oMath>
      <w:r w:rsidR="00B85C36">
        <w:rPr>
          <w:rFonts w:ascii="Times New Roman" w:eastAsiaTheme="minorEastAsia" w:hAnsi="Times New Roman" w:cs="Times New Roman"/>
          <w:sz w:val="24"/>
          <w:szCs w:val="24"/>
        </w:rPr>
        <w:t xml:space="preserve"> </w:t>
      </w:r>
      <w:r w:rsidR="00EC07A3">
        <w:rPr>
          <w:rFonts w:ascii="Times New Roman" w:eastAsiaTheme="minorEastAsia" w:hAnsi="Times New Roman" w:cs="Times New Roman"/>
          <w:sz w:val="24"/>
          <w:szCs w:val="24"/>
        </w:rPr>
        <w:t>will</w:t>
      </w:r>
      <w:r w:rsidR="00B85C36">
        <w:rPr>
          <w:rFonts w:ascii="Times New Roman" w:eastAsiaTheme="minorEastAsia" w:hAnsi="Times New Roman" w:cs="Times New Roman"/>
          <w:sz w:val="24"/>
          <w:szCs w:val="24"/>
        </w:rPr>
        <w:t xml:space="preserve"> be </w:t>
      </w:r>
      <w:r w:rsidR="00B85C36" w:rsidRPr="00B85C36">
        <w:rPr>
          <w:rFonts w:ascii="Times New Roman" w:eastAsiaTheme="minorEastAsia" w:hAnsi="Times New Roman" w:cs="Times New Roman"/>
          <w:i/>
          <w:sz w:val="24"/>
          <w:szCs w:val="24"/>
        </w:rPr>
        <w:t>positive</w:t>
      </w:r>
      <w:r w:rsidR="00B85C36">
        <w:rPr>
          <w:rFonts w:ascii="Times New Roman" w:eastAsiaTheme="minorEastAsia" w:hAnsi="Times New Roman" w:cs="Times New Roman"/>
          <w:sz w:val="24"/>
          <w:szCs w:val="24"/>
        </w:rPr>
        <w:t xml:space="preserve"> – households in countries with </w:t>
      </w:r>
      <w:r w:rsidR="00B85C36" w:rsidRPr="00B85C36">
        <w:rPr>
          <w:rFonts w:ascii="Times New Roman" w:eastAsiaTheme="minorEastAsia" w:hAnsi="Times New Roman" w:cs="Times New Roman"/>
          <w:sz w:val="24"/>
          <w:szCs w:val="24"/>
        </w:rPr>
        <w:t xml:space="preserve">strong labor market institutions are more likely to take on more debt because their income and employment stability allows it. </w:t>
      </w:r>
      <w:r w:rsidR="009B6657" w:rsidRPr="00B85C36">
        <w:rPr>
          <w:rFonts w:ascii="Times New Roman" w:eastAsiaTheme="minorEastAsia" w:hAnsi="Times New Roman" w:cs="Times New Roman"/>
          <w:sz w:val="24"/>
          <w:szCs w:val="24"/>
        </w:rPr>
        <w:t xml:space="preserve"> Data on wage coordination</w:t>
      </w:r>
      <w:r w:rsidR="00717B29">
        <w:rPr>
          <w:rFonts w:ascii="Times New Roman" w:eastAsiaTheme="minorEastAsia" w:hAnsi="Times New Roman" w:cs="Times New Roman"/>
          <w:sz w:val="24"/>
          <w:szCs w:val="24"/>
        </w:rPr>
        <w:t>,</w:t>
      </w:r>
      <w:r w:rsidR="009B6657" w:rsidRPr="00B85C36">
        <w:rPr>
          <w:rFonts w:ascii="Times New Roman" w:eastAsiaTheme="minorEastAsia" w:hAnsi="Times New Roman" w:cs="Times New Roman"/>
          <w:sz w:val="24"/>
          <w:szCs w:val="24"/>
        </w:rPr>
        <w:t xml:space="preserve"> centralization </w:t>
      </w:r>
      <w:r w:rsidR="00717B29">
        <w:rPr>
          <w:rFonts w:ascii="Times New Roman" w:eastAsiaTheme="minorEastAsia" w:hAnsi="Times New Roman" w:cs="Times New Roman"/>
          <w:sz w:val="24"/>
          <w:szCs w:val="24"/>
        </w:rPr>
        <w:t xml:space="preserve">and bargaining coverage </w:t>
      </w:r>
      <w:r w:rsidR="009B6657" w:rsidRPr="00B85C36">
        <w:rPr>
          <w:rFonts w:ascii="Times New Roman" w:eastAsiaTheme="minorEastAsia" w:hAnsi="Times New Roman" w:cs="Times New Roman"/>
          <w:sz w:val="24"/>
          <w:szCs w:val="24"/>
        </w:rPr>
        <w:t xml:space="preserve">were taken from </w:t>
      </w:r>
      <w:proofErr w:type="spellStart"/>
      <w:r w:rsidR="009B6657" w:rsidRPr="00B85C36">
        <w:rPr>
          <w:rFonts w:ascii="Times New Roman" w:eastAsiaTheme="minorEastAsia" w:hAnsi="Times New Roman" w:cs="Times New Roman"/>
          <w:sz w:val="24"/>
          <w:szCs w:val="24"/>
        </w:rPr>
        <w:t>Visser</w:t>
      </w:r>
      <w:proofErr w:type="spellEnd"/>
      <w:r w:rsidR="009B6657" w:rsidRPr="00B85C36">
        <w:rPr>
          <w:rFonts w:ascii="Times New Roman" w:eastAsiaTheme="minorEastAsia" w:hAnsi="Times New Roman" w:cs="Times New Roman"/>
          <w:sz w:val="24"/>
          <w:szCs w:val="24"/>
        </w:rPr>
        <w:t xml:space="preserve"> (2016)</w:t>
      </w:r>
      <w:r w:rsidR="00B85C36" w:rsidRPr="00B85C36">
        <w:rPr>
          <w:rFonts w:ascii="Times New Roman" w:eastAsiaTheme="minorEastAsia" w:hAnsi="Times New Roman" w:cs="Times New Roman"/>
          <w:sz w:val="24"/>
          <w:szCs w:val="24"/>
        </w:rPr>
        <w:t>, while trade union density data was taken from the OECD (2017)</w:t>
      </w:r>
      <w:r w:rsidR="009B6657" w:rsidRPr="00B85C36">
        <w:rPr>
          <w:rFonts w:ascii="Times New Roman" w:eastAsiaTheme="minorEastAsia" w:hAnsi="Times New Roman" w:cs="Times New Roman"/>
          <w:sz w:val="24"/>
          <w:szCs w:val="24"/>
        </w:rPr>
        <w:t>.</w:t>
      </w:r>
    </w:p>
    <w:p w14:paraId="051C95C9" w14:textId="017F7871" w:rsidR="009B6657" w:rsidRPr="00BC215A" w:rsidRDefault="00F92FEF" w:rsidP="00E36909">
      <w:pPr>
        <w:spacing w:before="100" w:beforeAutospacing="1" w:after="100" w:afterAutospacing="1"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MCMInst</m:t>
            </m:r>
          </m:e>
          <m:sub>
            <m:r>
              <w:rPr>
                <w:rFonts w:ascii="Cambria Math" w:eastAsiaTheme="minorEastAsia" w:hAnsi="Cambria Math" w:cs="Times New Roman"/>
                <w:sz w:val="24"/>
                <w:szCs w:val="24"/>
              </w:rPr>
              <m:t>i, t-1</m:t>
            </m:r>
          </m:sub>
        </m:sSub>
        <m:r>
          <w:rPr>
            <w:rFonts w:ascii="Cambria Math" w:eastAsiaTheme="minorEastAsia" w:hAnsi="Cambria Math" w:cs="Times New Roman"/>
            <w:sz w:val="24"/>
            <w:szCs w:val="24"/>
          </w:rPr>
          <m:t xml:space="preserve"> </m:t>
        </m:r>
      </m:oMath>
      <w:proofErr w:type="gramStart"/>
      <w:r w:rsidR="009B6657" w:rsidRPr="00BC215A">
        <w:rPr>
          <w:rFonts w:ascii="Times New Roman" w:eastAsiaTheme="minorEastAsia" w:hAnsi="Times New Roman" w:cs="Times New Roman"/>
          <w:sz w:val="24"/>
          <w:szCs w:val="24"/>
        </w:rPr>
        <w:t>is</w:t>
      </w:r>
      <w:proofErr w:type="gramEnd"/>
      <w:r w:rsidR="009B6657" w:rsidRPr="00BC215A">
        <w:rPr>
          <w:rFonts w:ascii="Times New Roman" w:eastAsiaTheme="minorEastAsia" w:hAnsi="Times New Roman" w:cs="Times New Roman"/>
          <w:sz w:val="24"/>
          <w:szCs w:val="24"/>
        </w:rPr>
        <w:t xml:space="preserve"> the (mortgage) credit mitigation index for country i at time t-1.  It reflects the extent to which national housing finance regimes encourage or mitigate the creation of household debt, ranging from 0 (systems that are highly </w:t>
      </w:r>
      <w:r w:rsidR="009B6657" w:rsidRPr="00EA542B">
        <w:rPr>
          <w:rFonts w:ascii="Times New Roman" w:eastAsiaTheme="minorEastAsia" w:hAnsi="Times New Roman" w:cs="Times New Roman"/>
          <w:i/>
          <w:sz w:val="24"/>
          <w:szCs w:val="24"/>
        </w:rPr>
        <w:t>permissive</w:t>
      </w:r>
      <w:r w:rsidR="009B6657" w:rsidRPr="00BC215A">
        <w:rPr>
          <w:rFonts w:ascii="Times New Roman" w:eastAsiaTheme="minorEastAsia" w:hAnsi="Times New Roman" w:cs="Times New Roman"/>
          <w:sz w:val="24"/>
          <w:szCs w:val="24"/>
        </w:rPr>
        <w:t xml:space="preserve"> in allowing households to accumulate mortgage debt) to 10 (systems that are highly </w:t>
      </w:r>
      <w:r w:rsidR="009B6657" w:rsidRPr="00EA542B">
        <w:rPr>
          <w:rFonts w:ascii="Times New Roman" w:eastAsiaTheme="minorEastAsia" w:hAnsi="Times New Roman" w:cs="Times New Roman"/>
          <w:i/>
          <w:sz w:val="24"/>
          <w:szCs w:val="24"/>
        </w:rPr>
        <w:t>restrictive</w:t>
      </w:r>
      <w:r w:rsidR="009B6657" w:rsidRPr="00BC215A">
        <w:rPr>
          <w:rFonts w:ascii="Times New Roman" w:eastAsiaTheme="minorEastAsia" w:hAnsi="Times New Roman" w:cs="Times New Roman"/>
          <w:sz w:val="24"/>
          <w:szCs w:val="24"/>
        </w:rPr>
        <w:t xml:space="preserve"> in allowing households to accumulate mortgage debt).</w:t>
      </w:r>
      <w:r w:rsidR="00AE63C5" w:rsidRPr="00BC215A">
        <w:rPr>
          <w:rStyle w:val="FootnoteReference"/>
          <w:rFonts w:ascii="Times New Roman" w:eastAsiaTheme="minorEastAsia" w:hAnsi="Times New Roman" w:cs="Times New Roman"/>
          <w:sz w:val="24"/>
          <w:szCs w:val="24"/>
        </w:rPr>
        <w:footnoteReference w:id="16"/>
      </w:r>
      <w:r w:rsidR="00B81449" w:rsidRPr="00BC215A">
        <w:rPr>
          <w:rFonts w:ascii="Times New Roman" w:eastAsiaTheme="minorEastAsia" w:hAnsi="Times New Roman" w:cs="Times New Roman"/>
          <w:sz w:val="24"/>
          <w:szCs w:val="24"/>
        </w:rPr>
        <w:t xml:space="preserve"> </w:t>
      </w:r>
      <w:r w:rsidR="009B6657" w:rsidRPr="00BC215A">
        <w:rPr>
          <w:rFonts w:ascii="Times New Roman" w:eastAsiaTheme="minorEastAsia" w:hAnsi="Times New Roman" w:cs="Times New Roman"/>
          <w:sz w:val="24"/>
          <w:szCs w:val="24"/>
        </w:rPr>
        <w:t>Fuller (2015) identifies five institutional characteristics – both formalized policies and informal practices – that mediate the formation of household debt. They are: (1) legal “usury” restrictions on the interest rates that lenders can charge; (2) transaction costs imposed on the transfer of personal real estate assets; (3) general willingness to extend mortgages with high loan-to-value (LTV) ratios (80 percent and above);</w:t>
      </w:r>
      <w:r w:rsidR="006D2C4B" w:rsidRPr="00BC215A">
        <w:rPr>
          <w:rStyle w:val="FootnoteReference"/>
          <w:rFonts w:ascii="Times New Roman" w:eastAsiaTheme="minorEastAsia" w:hAnsi="Times New Roman" w:cs="Times New Roman"/>
          <w:sz w:val="24"/>
          <w:szCs w:val="24"/>
        </w:rPr>
        <w:footnoteReference w:id="17"/>
      </w:r>
      <w:r w:rsidR="009B6657" w:rsidRPr="00BC215A">
        <w:rPr>
          <w:rFonts w:ascii="Times New Roman" w:eastAsiaTheme="minorEastAsia" w:hAnsi="Times New Roman" w:cs="Times New Roman"/>
          <w:sz w:val="24"/>
          <w:szCs w:val="24"/>
        </w:rPr>
        <w:t xml:space="preserve"> (4) subsidies to the mortgage market; </w:t>
      </w:r>
      <w:r w:rsidR="00B07705" w:rsidRPr="00BC215A">
        <w:rPr>
          <w:rFonts w:ascii="Times New Roman" w:eastAsiaTheme="minorEastAsia" w:hAnsi="Times New Roman" w:cs="Times New Roman"/>
          <w:sz w:val="24"/>
          <w:szCs w:val="24"/>
        </w:rPr>
        <w:t>and (5) the size of secondary (securitized)</w:t>
      </w:r>
      <w:r w:rsidR="009B6657" w:rsidRPr="00BC215A">
        <w:rPr>
          <w:rFonts w:ascii="Times New Roman" w:eastAsiaTheme="minorEastAsia" w:hAnsi="Times New Roman" w:cs="Times New Roman"/>
          <w:sz w:val="24"/>
          <w:szCs w:val="24"/>
        </w:rPr>
        <w:t xml:space="preserve"> markets for mortgages. </w:t>
      </w:r>
    </w:p>
    <w:p w14:paraId="34AAE602" w14:textId="02B4693C" w:rsidR="009B6657" w:rsidRPr="00BC215A"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BC215A">
        <w:rPr>
          <w:rFonts w:ascii="Times New Roman" w:eastAsiaTheme="minorEastAsia" w:hAnsi="Times New Roman" w:cs="Times New Roman"/>
          <w:sz w:val="24"/>
          <w:szCs w:val="24"/>
        </w:rPr>
        <w:t>For each of these five traits, countries are coded (from 0</w:t>
      </w:r>
      <w:r w:rsidR="000B47B5" w:rsidRPr="00BC215A">
        <w:rPr>
          <w:rFonts w:ascii="Times New Roman" w:eastAsiaTheme="minorEastAsia" w:hAnsi="Times New Roman" w:cs="Times New Roman"/>
          <w:sz w:val="24"/>
          <w:szCs w:val="24"/>
        </w:rPr>
        <w:t xml:space="preserve">, the most credit </w:t>
      </w:r>
      <w:r w:rsidR="000B47B5" w:rsidRPr="00BC215A">
        <w:rPr>
          <w:rFonts w:ascii="Times New Roman" w:eastAsiaTheme="minorEastAsia" w:hAnsi="Times New Roman" w:cs="Times New Roman"/>
          <w:i/>
          <w:sz w:val="24"/>
          <w:szCs w:val="24"/>
        </w:rPr>
        <w:t>encouraging</w:t>
      </w:r>
      <w:r w:rsidR="000B47B5" w:rsidRPr="00BC215A">
        <w:rPr>
          <w:rFonts w:ascii="Times New Roman" w:eastAsiaTheme="minorEastAsia" w:hAnsi="Times New Roman" w:cs="Times New Roman"/>
          <w:sz w:val="24"/>
          <w:szCs w:val="24"/>
        </w:rPr>
        <w:t>,</w:t>
      </w:r>
      <w:r w:rsidRPr="00BC215A">
        <w:rPr>
          <w:rFonts w:ascii="Times New Roman" w:eastAsiaTheme="minorEastAsia" w:hAnsi="Times New Roman" w:cs="Times New Roman"/>
          <w:sz w:val="24"/>
          <w:szCs w:val="24"/>
        </w:rPr>
        <w:t xml:space="preserve"> to 2</w:t>
      </w:r>
      <w:r w:rsidR="000B47B5" w:rsidRPr="00BC215A">
        <w:rPr>
          <w:rFonts w:ascii="Times New Roman" w:eastAsiaTheme="minorEastAsia" w:hAnsi="Times New Roman" w:cs="Times New Roman"/>
          <w:sz w:val="24"/>
          <w:szCs w:val="24"/>
        </w:rPr>
        <w:t xml:space="preserve">, the most credit </w:t>
      </w:r>
      <w:r w:rsidR="000B47B5" w:rsidRPr="00BC215A">
        <w:rPr>
          <w:rFonts w:ascii="Times New Roman" w:eastAsiaTheme="minorEastAsia" w:hAnsi="Times New Roman" w:cs="Times New Roman"/>
          <w:i/>
          <w:sz w:val="24"/>
          <w:szCs w:val="24"/>
        </w:rPr>
        <w:t>mitigating</w:t>
      </w:r>
      <w:r w:rsidR="00B07705" w:rsidRPr="00BC215A">
        <w:rPr>
          <w:rFonts w:ascii="Times New Roman" w:eastAsiaTheme="minorEastAsia" w:hAnsi="Times New Roman" w:cs="Times New Roman"/>
          <w:i/>
          <w:sz w:val="24"/>
          <w:szCs w:val="24"/>
        </w:rPr>
        <w:t xml:space="preserve">; </w:t>
      </w:r>
      <w:r w:rsidR="00B07705" w:rsidRPr="00BC215A">
        <w:rPr>
          <w:rFonts w:ascii="Times New Roman" w:eastAsiaTheme="minorEastAsia" w:hAnsi="Times New Roman" w:cs="Times New Roman"/>
          <w:sz w:val="24"/>
          <w:szCs w:val="24"/>
        </w:rPr>
        <w:t>values of 1 indicate moderate levels of credit permissiveness</w:t>
      </w:r>
      <w:r w:rsidRPr="00BC215A">
        <w:rPr>
          <w:rFonts w:ascii="Times New Roman" w:eastAsiaTheme="minorEastAsia" w:hAnsi="Times New Roman" w:cs="Times New Roman"/>
          <w:sz w:val="24"/>
          <w:szCs w:val="24"/>
        </w:rPr>
        <w:t>) for the degree to which their institutional mix favors the formation of credit.</w:t>
      </w:r>
      <w:r w:rsidRPr="00BC215A">
        <w:rPr>
          <w:rStyle w:val="FootnoteReference"/>
          <w:rFonts w:ascii="Times New Roman" w:eastAsiaTheme="minorEastAsia" w:hAnsi="Times New Roman" w:cs="Times New Roman"/>
          <w:sz w:val="24"/>
          <w:szCs w:val="24"/>
        </w:rPr>
        <w:footnoteReference w:id="18"/>
      </w:r>
      <w:r w:rsidRPr="00BC215A">
        <w:rPr>
          <w:rFonts w:ascii="Times New Roman" w:eastAsiaTheme="minorEastAsia" w:hAnsi="Times New Roman" w:cs="Times New Roman"/>
          <w:sz w:val="24"/>
          <w:szCs w:val="24"/>
        </w:rPr>
        <w:t xml:space="preserve"> The scores are then summed together to create the overall index value. This assumes, for lack of any compelling reason to do otherwise, that each of the factors play a roughly equal role in determining national approaches to mortgage credit. For </w:t>
      </w:r>
      <w:r w:rsidR="00B07705" w:rsidRPr="00BC215A">
        <w:rPr>
          <w:rFonts w:ascii="Times New Roman" w:eastAsiaTheme="minorEastAsia" w:hAnsi="Times New Roman" w:cs="Times New Roman"/>
          <w:sz w:val="24"/>
          <w:szCs w:val="24"/>
        </w:rPr>
        <w:t>interest rate restrictions, coding</w:t>
      </w:r>
      <w:r w:rsidRPr="00BC215A">
        <w:rPr>
          <w:rFonts w:ascii="Times New Roman" w:eastAsiaTheme="minorEastAsia" w:hAnsi="Times New Roman" w:cs="Times New Roman"/>
          <w:sz w:val="24"/>
          <w:szCs w:val="24"/>
        </w:rPr>
        <w:t xml:space="preserve"> varies between 0 for countries with essentially no restrictions</w:t>
      </w:r>
      <w:r w:rsidR="00B07705" w:rsidRPr="00BC215A">
        <w:rPr>
          <w:rFonts w:ascii="Times New Roman" w:eastAsiaTheme="minorEastAsia" w:hAnsi="Times New Roman" w:cs="Times New Roman"/>
          <w:sz w:val="24"/>
          <w:szCs w:val="24"/>
        </w:rPr>
        <w:t xml:space="preserve"> on the interest rates banks can apply to mortgages</w:t>
      </w:r>
      <w:r w:rsidRPr="00BC215A">
        <w:rPr>
          <w:rFonts w:ascii="Times New Roman" w:eastAsiaTheme="minorEastAsia" w:hAnsi="Times New Roman" w:cs="Times New Roman"/>
          <w:sz w:val="24"/>
          <w:szCs w:val="24"/>
        </w:rPr>
        <w:t xml:space="preserve"> (such as the United Kingdom) to 2 for those with strict caps on what lenders can cha</w:t>
      </w:r>
      <w:r w:rsidR="00BC215A">
        <w:rPr>
          <w:rFonts w:ascii="Times New Roman" w:eastAsiaTheme="minorEastAsia" w:hAnsi="Times New Roman" w:cs="Times New Roman"/>
          <w:sz w:val="24"/>
          <w:szCs w:val="24"/>
        </w:rPr>
        <w:t>rge,</w:t>
      </w:r>
      <w:r w:rsidRPr="00BC215A">
        <w:rPr>
          <w:rFonts w:ascii="Times New Roman" w:eastAsiaTheme="minorEastAsia" w:hAnsi="Times New Roman" w:cs="Times New Roman"/>
          <w:sz w:val="24"/>
          <w:szCs w:val="24"/>
        </w:rPr>
        <w:t xml:space="preserve"> such as in France, where interest rates cannot exceed 133 percent of benchmarks set by the Bank of France. </w:t>
      </w:r>
    </w:p>
    <w:p w14:paraId="1B46B817" w14:textId="104E73B6" w:rsidR="009B6657" w:rsidRPr="00BC215A"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BC215A">
        <w:rPr>
          <w:rFonts w:ascii="Times New Roman" w:eastAsiaTheme="minorEastAsia" w:hAnsi="Times New Roman" w:cs="Times New Roman"/>
          <w:sz w:val="24"/>
          <w:szCs w:val="24"/>
        </w:rPr>
        <w:lastRenderedPageBreak/>
        <w:t>Property transfer taxes are included in the index as a means of capturing how amenable a national system is to property speculation. Policies that impose high taxes on the sale of personal real estate (such as Germany, Italy, and Austria) are intended – often explicitly – to depress property speculation, placing a brake on mortgage formation</w:t>
      </w:r>
      <w:r w:rsidR="00AE63C5" w:rsidRPr="00BC215A">
        <w:rPr>
          <w:rFonts w:ascii="Times New Roman" w:eastAsiaTheme="minorEastAsia" w:hAnsi="Times New Roman" w:cs="Times New Roman"/>
          <w:sz w:val="24"/>
          <w:szCs w:val="24"/>
        </w:rPr>
        <w:t xml:space="preserve"> and the (short) selling of real-estate</w:t>
      </w:r>
      <w:r w:rsidRPr="00BC215A">
        <w:rPr>
          <w:rFonts w:ascii="Times New Roman" w:eastAsiaTheme="minorEastAsia" w:hAnsi="Times New Roman" w:cs="Times New Roman"/>
          <w:sz w:val="24"/>
          <w:szCs w:val="24"/>
        </w:rPr>
        <w:t>.</w:t>
      </w:r>
      <w:r w:rsidR="00150140" w:rsidRPr="00BC215A">
        <w:rPr>
          <w:rFonts w:ascii="Times New Roman" w:eastAsiaTheme="minorEastAsia" w:hAnsi="Times New Roman" w:cs="Times New Roman"/>
          <w:sz w:val="24"/>
          <w:szCs w:val="24"/>
        </w:rPr>
        <w:t xml:space="preserve"> Where tax exemptions are restricted to primary homes that have been owned for 5 years or longer, countries are scored as 2s. </w:t>
      </w:r>
      <w:r w:rsidRPr="00BC215A">
        <w:rPr>
          <w:rFonts w:ascii="Times New Roman" w:eastAsiaTheme="minorEastAsia" w:hAnsi="Times New Roman" w:cs="Times New Roman"/>
          <w:sz w:val="24"/>
          <w:szCs w:val="24"/>
        </w:rPr>
        <w:t>More permissive regimes, offering lower tax rates and more generous exemptions, encourage more use of property as a form of investment</w:t>
      </w:r>
      <w:r w:rsidR="00150140" w:rsidRPr="00BC215A">
        <w:rPr>
          <w:rFonts w:ascii="Times New Roman" w:eastAsiaTheme="minorEastAsia" w:hAnsi="Times New Roman" w:cs="Times New Roman"/>
          <w:sz w:val="24"/>
          <w:szCs w:val="24"/>
        </w:rPr>
        <w:t xml:space="preserve"> are scored as zeros</w:t>
      </w:r>
      <w:r w:rsidRPr="00BC215A">
        <w:rPr>
          <w:rFonts w:ascii="Times New Roman" w:eastAsiaTheme="minorEastAsia" w:hAnsi="Times New Roman" w:cs="Times New Roman"/>
          <w:sz w:val="24"/>
          <w:szCs w:val="24"/>
        </w:rPr>
        <w:t xml:space="preserve"> (like those in the Netherlands, US, and UK)</w:t>
      </w:r>
      <w:r w:rsidR="00EC2FA0" w:rsidRPr="00BC215A">
        <w:rPr>
          <w:rFonts w:ascii="Times New Roman" w:eastAsiaTheme="minorEastAsia" w:hAnsi="Times New Roman" w:cs="Times New Roman"/>
          <w:sz w:val="24"/>
          <w:szCs w:val="24"/>
        </w:rPr>
        <w:t>. Intermediate cases – such as systems with robust exemptions but higher fees</w:t>
      </w:r>
      <w:r w:rsidR="00150140" w:rsidRPr="00BC215A">
        <w:rPr>
          <w:rFonts w:ascii="Times New Roman" w:eastAsiaTheme="minorEastAsia" w:hAnsi="Times New Roman" w:cs="Times New Roman"/>
          <w:sz w:val="24"/>
          <w:szCs w:val="24"/>
        </w:rPr>
        <w:t xml:space="preserve"> (France) or low transfer costs but stricter exemptions (Sweden) receive the intermediate 1</w:t>
      </w:r>
      <w:r w:rsidRPr="00BC215A">
        <w:rPr>
          <w:rFonts w:ascii="Times New Roman" w:eastAsiaTheme="minorEastAsia" w:hAnsi="Times New Roman" w:cs="Times New Roman"/>
          <w:sz w:val="24"/>
          <w:szCs w:val="24"/>
        </w:rPr>
        <w:t>.</w:t>
      </w:r>
    </w:p>
    <w:p w14:paraId="03110A46" w14:textId="0DFA662D" w:rsidR="009B6657" w:rsidRPr="00BC215A"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BC215A">
        <w:rPr>
          <w:rFonts w:ascii="Times New Roman" w:eastAsiaTheme="minorEastAsia" w:hAnsi="Times New Roman" w:cs="Times New Roman"/>
          <w:sz w:val="24"/>
          <w:szCs w:val="24"/>
        </w:rPr>
        <w:t xml:space="preserve">Prevailing LTV ratios indicate the systemic degree to which each country is willing to accept household leverage. While formal rules concerning LTV limits have been implemented by a number of countries after the global financial crisis, there were relatively few legal restrictions on LTV ratios prior to 2008. Nevertheless, there is a clear divide between countries that generally limited </w:t>
      </w:r>
      <w:r w:rsidR="00B07705" w:rsidRPr="00BC215A">
        <w:rPr>
          <w:rFonts w:ascii="Times New Roman" w:eastAsiaTheme="minorEastAsia" w:hAnsi="Times New Roman" w:cs="Times New Roman"/>
          <w:sz w:val="24"/>
          <w:szCs w:val="24"/>
        </w:rPr>
        <w:t xml:space="preserve">maximum </w:t>
      </w:r>
      <w:r w:rsidRPr="00BC215A">
        <w:rPr>
          <w:rFonts w:ascii="Times New Roman" w:eastAsiaTheme="minorEastAsia" w:hAnsi="Times New Roman" w:cs="Times New Roman"/>
          <w:sz w:val="24"/>
          <w:szCs w:val="24"/>
        </w:rPr>
        <w:t>LTVs to 80 percent (such as Germany, Italy, Denmark) and those that did not. At the most extreme end, 125 percent LTVs were not uncommon in the pre-crisis Netherlands</w:t>
      </w:r>
      <w:r w:rsidR="00BA342E">
        <w:rPr>
          <w:rFonts w:ascii="Times New Roman" w:eastAsiaTheme="minorEastAsia" w:hAnsi="Times New Roman" w:cs="Times New Roman"/>
          <w:sz w:val="24"/>
          <w:szCs w:val="24"/>
        </w:rPr>
        <w:t xml:space="preserve"> and Ireland (although since 2010 Ireland has since introduced strict LTV </w:t>
      </w:r>
      <w:r w:rsidR="00CA20AC">
        <w:rPr>
          <w:rFonts w:ascii="Times New Roman" w:eastAsiaTheme="minorEastAsia" w:hAnsi="Times New Roman" w:cs="Times New Roman"/>
          <w:sz w:val="24"/>
          <w:szCs w:val="24"/>
        </w:rPr>
        <w:t>limits</w:t>
      </w:r>
      <w:r w:rsidR="00BA342E">
        <w:rPr>
          <w:rFonts w:ascii="Times New Roman" w:eastAsiaTheme="minorEastAsia" w:hAnsi="Times New Roman" w:cs="Times New Roman"/>
          <w:sz w:val="24"/>
          <w:szCs w:val="24"/>
        </w:rPr>
        <w:t>)</w:t>
      </w:r>
      <w:r w:rsidRPr="00BC215A">
        <w:rPr>
          <w:rFonts w:ascii="Times New Roman" w:eastAsiaTheme="minorEastAsia" w:hAnsi="Times New Roman" w:cs="Times New Roman"/>
          <w:sz w:val="24"/>
          <w:szCs w:val="24"/>
        </w:rPr>
        <w:t>.</w:t>
      </w:r>
      <w:r w:rsidR="00150140" w:rsidRPr="00BC215A">
        <w:rPr>
          <w:rFonts w:ascii="Times New Roman" w:eastAsiaTheme="minorEastAsia" w:hAnsi="Times New Roman" w:cs="Times New Roman"/>
          <w:sz w:val="24"/>
          <w:szCs w:val="24"/>
        </w:rPr>
        <w:t xml:space="preserve"> Unlike the other scores, there is no intermediate category</w:t>
      </w:r>
      <w:r w:rsidR="00CD70DE" w:rsidRPr="00BC215A">
        <w:rPr>
          <w:rFonts w:ascii="Times New Roman" w:eastAsiaTheme="minorEastAsia" w:hAnsi="Times New Roman" w:cs="Times New Roman"/>
          <w:sz w:val="24"/>
          <w:szCs w:val="24"/>
        </w:rPr>
        <w:t xml:space="preserve"> for leverage</w:t>
      </w:r>
      <w:r w:rsidR="00150140" w:rsidRPr="00BC215A">
        <w:rPr>
          <w:rFonts w:ascii="Times New Roman" w:eastAsiaTheme="minorEastAsia" w:hAnsi="Times New Roman" w:cs="Times New Roman"/>
          <w:sz w:val="24"/>
          <w:szCs w:val="24"/>
        </w:rPr>
        <w:t xml:space="preserve">: countries either receive a 2 (those that </w:t>
      </w:r>
      <w:r w:rsidR="00CD70DE" w:rsidRPr="00BC215A">
        <w:rPr>
          <w:rFonts w:ascii="Times New Roman" w:eastAsiaTheme="minorEastAsia" w:hAnsi="Times New Roman" w:cs="Times New Roman"/>
          <w:sz w:val="24"/>
          <w:szCs w:val="24"/>
        </w:rPr>
        <w:t xml:space="preserve">typically do not offer mortgages above 80%) or a 0 (for those that do). </w:t>
      </w:r>
    </w:p>
    <w:p w14:paraId="3FC3D095" w14:textId="20852D3F" w:rsidR="009B6657" w:rsidRPr="00BC215A" w:rsidRDefault="00CA20AC" w:rsidP="00E36909">
      <w:pPr>
        <w:spacing w:before="100" w:beforeAutospacing="1" w:after="100" w:afterAutospacing="1"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noted previously, governments can also </w:t>
      </w:r>
      <w:r w:rsidR="009B6657" w:rsidRPr="00BC215A">
        <w:rPr>
          <w:rFonts w:ascii="Times New Roman" w:eastAsiaTheme="minorEastAsia" w:hAnsi="Times New Roman" w:cs="Times New Roman"/>
          <w:sz w:val="24"/>
          <w:szCs w:val="24"/>
        </w:rPr>
        <w:t xml:space="preserve">encourage mortgage-formation </w:t>
      </w:r>
      <w:r>
        <w:rPr>
          <w:rFonts w:ascii="Times New Roman" w:eastAsiaTheme="minorEastAsia" w:hAnsi="Times New Roman" w:cs="Times New Roman"/>
          <w:sz w:val="24"/>
          <w:szCs w:val="24"/>
        </w:rPr>
        <w:t>by deducting</w:t>
      </w:r>
      <w:r w:rsidR="009B6657" w:rsidRPr="00BC215A">
        <w:rPr>
          <w:rFonts w:ascii="Times New Roman" w:eastAsiaTheme="minorEastAsia" w:hAnsi="Times New Roman" w:cs="Times New Roman"/>
          <w:sz w:val="24"/>
          <w:szCs w:val="24"/>
        </w:rPr>
        <w:t xml:space="preserve"> their interest payments from taxable income</w:t>
      </w:r>
      <w:r>
        <w:rPr>
          <w:rFonts w:ascii="Times New Roman" w:eastAsiaTheme="minorEastAsia" w:hAnsi="Times New Roman" w:cs="Times New Roman"/>
          <w:sz w:val="24"/>
          <w:szCs w:val="24"/>
        </w:rPr>
        <w:t xml:space="preserve">. </w:t>
      </w:r>
      <w:r w:rsidR="009B6657" w:rsidRPr="00BC215A">
        <w:rPr>
          <w:rFonts w:ascii="Times New Roman" w:eastAsiaTheme="minorEastAsia" w:hAnsi="Times New Roman" w:cs="Times New Roman"/>
          <w:sz w:val="24"/>
          <w:szCs w:val="24"/>
        </w:rPr>
        <w:t>State-backed mortgage insurance schemes, an indirect form subsidy, have a less-pronounced credit-encouraging effect. Countries that provide extensive subsidies were scored as more credit-encouraging</w:t>
      </w:r>
      <w:r w:rsidR="000B47B5" w:rsidRPr="00BC215A">
        <w:rPr>
          <w:rFonts w:ascii="Times New Roman" w:eastAsiaTheme="minorEastAsia" w:hAnsi="Times New Roman" w:cs="Times New Roman"/>
          <w:sz w:val="24"/>
          <w:szCs w:val="24"/>
        </w:rPr>
        <w:t xml:space="preserve"> (value of 0)</w:t>
      </w:r>
      <w:r w:rsidR="009B6657" w:rsidRPr="00BC215A">
        <w:rPr>
          <w:rFonts w:ascii="Times New Roman" w:eastAsiaTheme="minorEastAsia" w:hAnsi="Times New Roman" w:cs="Times New Roman"/>
          <w:sz w:val="24"/>
          <w:szCs w:val="24"/>
        </w:rPr>
        <w:t>. Those that offered no subsidies – or operate relatively small means-tested programs – were coded as credit mitigating</w:t>
      </w:r>
      <w:r w:rsidR="000B47B5" w:rsidRPr="00BC215A">
        <w:rPr>
          <w:rFonts w:ascii="Times New Roman" w:eastAsiaTheme="minorEastAsia" w:hAnsi="Times New Roman" w:cs="Times New Roman"/>
          <w:sz w:val="24"/>
          <w:szCs w:val="24"/>
        </w:rPr>
        <w:t xml:space="preserve"> (value of 2)</w:t>
      </w:r>
      <w:r w:rsidR="009B6657" w:rsidRPr="00BC215A">
        <w:rPr>
          <w:rFonts w:ascii="Times New Roman" w:eastAsiaTheme="minorEastAsia" w:hAnsi="Times New Roman" w:cs="Times New Roman"/>
          <w:sz w:val="24"/>
          <w:szCs w:val="24"/>
        </w:rPr>
        <w:t xml:space="preserve">. </w:t>
      </w:r>
    </w:p>
    <w:p w14:paraId="5625C3F7" w14:textId="7D5FF7F6" w:rsidR="009B6657" w:rsidRPr="00BC215A"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BC215A">
        <w:rPr>
          <w:rFonts w:ascii="Times New Roman" w:eastAsiaTheme="minorEastAsia" w:hAnsi="Times New Roman" w:cs="Times New Roman"/>
          <w:sz w:val="24"/>
          <w:szCs w:val="24"/>
        </w:rPr>
        <w:t>Finally, the presence of secondary mortgage markets also encourages mortgage-formation by making mortgages more liquid. In some systems, these secondary markets are dominated by covered bonds, a relatively simple form of securitization that usually requires lending institutions to keep mortgages on their own balance sheets (such as in Germany or Denmark). This encourages credit-formation in relation to places with no secondary marke</w:t>
      </w:r>
      <w:r w:rsidR="00B07705" w:rsidRPr="00BC215A">
        <w:rPr>
          <w:rFonts w:ascii="Times New Roman" w:eastAsiaTheme="minorEastAsia" w:hAnsi="Times New Roman" w:cs="Times New Roman"/>
          <w:sz w:val="24"/>
          <w:szCs w:val="24"/>
        </w:rPr>
        <w:t xml:space="preserve">ts (mostly in Eastern </w:t>
      </w:r>
      <w:r w:rsidR="00B07705" w:rsidRPr="00BC215A">
        <w:rPr>
          <w:rFonts w:ascii="Times New Roman" w:eastAsiaTheme="minorEastAsia" w:hAnsi="Times New Roman" w:cs="Times New Roman"/>
          <w:sz w:val="24"/>
          <w:szCs w:val="24"/>
        </w:rPr>
        <w:lastRenderedPageBreak/>
        <w:t xml:space="preserve">Europe). </w:t>
      </w:r>
      <w:r w:rsidR="00ED0C21">
        <w:rPr>
          <w:rFonts w:ascii="Times New Roman" w:eastAsiaTheme="minorEastAsia" w:hAnsi="Times New Roman" w:cs="Times New Roman"/>
          <w:sz w:val="24"/>
          <w:szCs w:val="24"/>
        </w:rPr>
        <w:t>M</w:t>
      </w:r>
      <w:r w:rsidRPr="00BC215A">
        <w:rPr>
          <w:rFonts w:ascii="Times New Roman" w:eastAsiaTheme="minorEastAsia" w:hAnsi="Times New Roman" w:cs="Times New Roman"/>
          <w:sz w:val="24"/>
          <w:szCs w:val="24"/>
        </w:rPr>
        <w:t xml:space="preserve">ortgage-backed securities </w:t>
      </w:r>
      <w:r w:rsidR="00ED0C21">
        <w:rPr>
          <w:rFonts w:ascii="Times New Roman" w:eastAsiaTheme="minorEastAsia" w:hAnsi="Times New Roman" w:cs="Times New Roman"/>
          <w:sz w:val="24"/>
          <w:szCs w:val="24"/>
        </w:rPr>
        <w:t>perform the same liquidity function – but also allow</w:t>
      </w:r>
      <w:r w:rsidRPr="00BC215A">
        <w:rPr>
          <w:rFonts w:ascii="Times New Roman" w:eastAsiaTheme="minorEastAsia" w:hAnsi="Times New Roman" w:cs="Times New Roman"/>
          <w:sz w:val="24"/>
          <w:szCs w:val="24"/>
        </w:rPr>
        <w:t xml:space="preserve"> lending institutions to </w:t>
      </w:r>
      <w:r w:rsidR="00ED0C21">
        <w:rPr>
          <w:rFonts w:ascii="Times New Roman" w:eastAsiaTheme="minorEastAsia" w:hAnsi="Times New Roman" w:cs="Times New Roman"/>
          <w:sz w:val="24"/>
          <w:szCs w:val="24"/>
        </w:rPr>
        <w:t>move</w:t>
      </w:r>
      <w:r w:rsidR="00ED0C21" w:rsidRPr="00BC215A">
        <w:rPr>
          <w:rFonts w:ascii="Times New Roman" w:eastAsiaTheme="minorEastAsia" w:hAnsi="Times New Roman" w:cs="Times New Roman"/>
          <w:sz w:val="24"/>
          <w:szCs w:val="24"/>
        </w:rPr>
        <w:t xml:space="preserve"> </w:t>
      </w:r>
      <w:r w:rsidRPr="00BC215A">
        <w:rPr>
          <w:rFonts w:ascii="Times New Roman" w:eastAsiaTheme="minorEastAsia" w:hAnsi="Times New Roman" w:cs="Times New Roman"/>
          <w:sz w:val="24"/>
          <w:szCs w:val="24"/>
        </w:rPr>
        <w:t xml:space="preserve">mortgages </w:t>
      </w:r>
      <w:r w:rsidR="00ED0C21">
        <w:rPr>
          <w:rFonts w:ascii="Times New Roman" w:eastAsiaTheme="minorEastAsia" w:hAnsi="Times New Roman" w:cs="Times New Roman"/>
          <w:sz w:val="24"/>
          <w:szCs w:val="24"/>
        </w:rPr>
        <w:t>off their balance sheets, creating the potential for moral hazard.</w:t>
      </w:r>
      <w:r w:rsidRPr="00BC215A">
        <w:rPr>
          <w:rFonts w:ascii="Times New Roman" w:eastAsiaTheme="minorEastAsia" w:hAnsi="Times New Roman" w:cs="Times New Roman"/>
          <w:sz w:val="24"/>
          <w:szCs w:val="24"/>
        </w:rPr>
        <w:t xml:space="preserve"> Housing systems that possessed or developed large MBS markets during the period of interest</w:t>
      </w:r>
      <w:r w:rsidR="00717B29">
        <w:rPr>
          <w:rFonts w:ascii="Times New Roman" w:eastAsiaTheme="minorEastAsia" w:hAnsi="Times New Roman" w:cs="Times New Roman"/>
          <w:sz w:val="24"/>
          <w:szCs w:val="24"/>
        </w:rPr>
        <w:t xml:space="preserve"> – </w:t>
      </w:r>
      <w:r w:rsidR="00BA342E">
        <w:rPr>
          <w:rFonts w:ascii="Times New Roman" w:eastAsiaTheme="minorEastAsia" w:hAnsi="Times New Roman" w:cs="Times New Roman"/>
          <w:sz w:val="24"/>
          <w:szCs w:val="24"/>
        </w:rPr>
        <w:t xml:space="preserve">the </w:t>
      </w:r>
      <w:r w:rsidRPr="00BC215A">
        <w:rPr>
          <w:rFonts w:ascii="Times New Roman" w:eastAsiaTheme="minorEastAsia" w:hAnsi="Times New Roman" w:cs="Times New Roman"/>
          <w:sz w:val="24"/>
          <w:szCs w:val="24"/>
        </w:rPr>
        <w:t>US, as well as Britain, Ireland, Spain, and the Netherlands – are considered the most credit-encouraging.</w:t>
      </w:r>
    </w:p>
    <w:p w14:paraId="01DBB16D" w14:textId="593B0F73" w:rsidR="009B6657" w:rsidRPr="00BC215A"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BC215A">
        <w:rPr>
          <w:rFonts w:ascii="Times New Roman" w:eastAsiaTheme="minorEastAsia" w:hAnsi="Times New Roman" w:cs="Times New Roman"/>
          <w:sz w:val="24"/>
          <w:szCs w:val="24"/>
        </w:rPr>
        <w:t>The use of an index here – rather than using each national trait separately – holistically captures national variation in credit approaches. These measures are not independent of one another: for instance, governments that find themselves encouraging credit in other areas may balk at also offering heavy mortgage subsidies (as was the case in Britain). In short, these national configurations are best considered as components of a single overall approach to mortgages, not separate drivers of mortgage-creation.</w:t>
      </w:r>
      <w:r w:rsidR="00EC07A3">
        <w:rPr>
          <w:rFonts w:ascii="Times New Roman" w:eastAsiaTheme="minorEastAsia" w:hAnsi="Times New Roman" w:cs="Times New Roman"/>
          <w:sz w:val="24"/>
          <w:szCs w:val="24"/>
        </w:rPr>
        <w:t xml:space="preserve">  </w:t>
      </w:r>
      <w:r w:rsidR="004D43F9" w:rsidRPr="004D43F9">
        <w:rPr>
          <w:rFonts w:ascii="Times New Roman" w:eastAsiaTheme="minorEastAsia" w:hAnsi="Times New Roman" w:cs="Times New Roman"/>
          <w:sz w:val="24"/>
          <w:szCs w:val="24"/>
        </w:rPr>
        <w:t xml:space="preserve">All else being equal, countries with </w:t>
      </w:r>
      <w:r w:rsidR="0010088D">
        <w:rPr>
          <w:rFonts w:ascii="Times New Roman" w:eastAsiaTheme="minorEastAsia" w:hAnsi="Times New Roman" w:cs="Times New Roman"/>
          <w:sz w:val="24"/>
          <w:szCs w:val="24"/>
        </w:rPr>
        <w:t xml:space="preserve">more </w:t>
      </w:r>
      <w:r w:rsidR="004D43F9" w:rsidRPr="004D43F9">
        <w:rPr>
          <w:rFonts w:ascii="Times New Roman" w:eastAsiaTheme="minorEastAsia" w:hAnsi="Times New Roman" w:cs="Times New Roman"/>
          <w:sz w:val="24"/>
          <w:szCs w:val="24"/>
        </w:rPr>
        <w:t>restrictive credit indices should have lower household debt accumulation</w:t>
      </w:r>
      <w:proofErr w:type="gramStart"/>
      <w:r w:rsidR="004D43F9" w:rsidRPr="004D43F9">
        <w:rPr>
          <w:rFonts w:ascii="Times New Roman" w:eastAsiaTheme="minorEastAsia" w:hAnsi="Times New Roman" w:cs="Times New Roman"/>
          <w:sz w:val="24"/>
          <w:szCs w:val="24"/>
        </w:rPr>
        <w:t xml:space="preserve">: </w:t>
      </w:r>
      <w:proofErr w:type="gramEnd"/>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2</m:t>
            </m:r>
          </m:sub>
        </m:sSub>
      </m:oMath>
      <w:r w:rsidR="004D43F9" w:rsidRPr="004D43F9">
        <w:rPr>
          <w:rFonts w:ascii="Times New Roman" w:eastAsiaTheme="minorEastAsia" w:hAnsi="Times New Roman" w:cs="Times New Roman"/>
          <w:sz w:val="24"/>
          <w:szCs w:val="24"/>
        </w:rPr>
        <w:t xml:space="preserve">, in other words, should be </w:t>
      </w:r>
      <w:r w:rsidR="004D43F9" w:rsidRPr="004D43F9">
        <w:rPr>
          <w:rFonts w:ascii="Times New Roman" w:eastAsiaTheme="minorEastAsia" w:hAnsi="Times New Roman" w:cs="Times New Roman"/>
          <w:i/>
          <w:sz w:val="24"/>
          <w:szCs w:val="24"/>
        </w:rPr>
        <w:t>negative</w:t>
      </w:r>
      <w:r w:rsidR="004D43F9" w:rsidRPr="004D43F9">
        <w:rPr>
          <w:rFonts w:ascii="Times New Roman" w:eastAsiaTheme="minorEastAsia" w:hAnsi="Times New Roman" w:cs="Times New Roman"/>
          <w:sz w:val="24"/>
          <w:szCs w:val="24"/>
        </w:rPr>
        <w:t xml:space="preserve">.  </w:t>
      </w:r>
    </w:p>
    <w:p w14:paraId="0B390CF9" w14:textId="48D94731" w:rsidR="005F0081"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BC215A">
        <w:rPr>
          <w:rFonts w:ascii="Times New Roman" w:eastAsiaTheme="minorEastAsia" w:hAnsi="Times New Roman" w:cs="Times New Roman"/>
          <w:sz w:val="24"/>
          <w:szCs w:val="24"/>
        </w:rPr>
        <w:t xml:space="preserve">Figure </w:t>
      </w:r>
      <w:r w:rsidR="00A824AD" w:rsidRPr="00BC215A">
        <w:rPr>
          <w:rFonts w:ascii="Times New Roman" w:eastAsiaTheme="minorEastAsia" w:hAnsi="Times New Roman" w:cs="Times New Roman"/>
          <w:sz w:val="24"/>
          <w:szCs w:val="24"/>
        </w:rPr>
        <w:t>4</w:t>
      </w:r>
      <w:r w:rsidR="00764B6D">
        <w:rPr>
          <w:rFonts w:ascii="Times New Roman" w:eastAsiaTheme="minorEastAsia" w:hAnsi="Times New Roman" w:cs="Times New Roman"/>
          <w:sz w:val="24"/>
          <w:szCs w:val="24"/>
        </w:rPr>
        <w:t xml:space="preserve"> presents a scatter plot</w:t>
      </w:r>
      <w:r w:rsidRPr="00BC215A">
        <w:rPr>
          <w:rFonts w:ascii="Times New Roman" w:eastAsiaTheme="minorEastAsia" w:hAnsi="Times New Roman" w:cs="Times New Roman"/>
          <w:sz w:val="24"/>
          <w:szCs w:val="24"/>
        </w:rPr>
        <w:t xml:space="preserve"> between</w:t>
      </w:r>
      <w:r w:rsidR="00BC215A" w:rsidRPr="00BC215A">
        <w:rPr>
          <w:rFonts w:ascii="Times New Roman" w:eastAsiaTheme="minorEastAsia" w:hAnsi="Times New Roman" w:cs="Times New Roman"/>
          <w:sz w:val="24"/>
          <w:szCs w:val="24"/>
        </w:rPr>
        <w:t xml:space="preserve"> growth in household debt, and the </w:t>
      </w:r>
      <w:r w:rsidR="00764B6D">
        <w:rPr>
          <w:rFonts w:ascii="Times New Roman" w:eastAsiaTheme="minorEastAsia" w:hAnsi="Times New Roman" w:cs="Times New Roman"/>
          <w:sz w:val="24"/>
          <w:szCs w:val="24"/>
        </w:rPr>
        <w:t xml:space="preserve">average </w:t>
      </w:r>
      <w:r w:rsidRPr="00BC215A">
        <w:rPr>
          <w:rFonts w:ascii="Times New Roman" w:eastAsiaTheme="minorEastAsia" w:hAnsi="Times New Roman" w:cs="Times New Roman"/>
          <w:sz w:val="24"/>
          <w:szCs w:val="24"/>
        </w:rPr>
        <w:t xml:space="preserve">credit mitigation index for our </w:t>
      </w:r>
      <w:r w:rsidR="005F0081" w:rsidRPr="00BC215A">
        <w:rPr>
          <w:rFonts w:ascii="Times New Roman" w:eastAsiaTheme="minorEastAsia" w:hAnsi="Times New Roman" w:cs="Times New Roman"/>
          <w:sz w:val="24"/>
          <w:szCs w:val="24"/>
        </w:rPr>
        <w:t>17-country</w:t>
      </w:r>
      <w:r w:rsidR="0076066F">
        <w:rPr>
          <w:rFonts w:ascii="Times New Roman" w:eastAsiaTheme="minorEastAsia" w:hAnsi="Times New Roman" w:cs="Times New Roman"/>
          <w:sz w:val="24"/>
          <w:szCs w:val="24"/>
        </w:rPr>
        <w:t xml:space="preserve"> sample</w:t>
      </w:r>
      <w:r w:rsidRPr="00BC215A">
        <w:rPr>
          <w:rFonts w:ascii="Times New Roman" w:eastAsiaTheme="minorEastAsia" w:hAnsi="Times New Roman" w:cs="Times New Roman"/>
          <w:sz w:val="24"/>
          <w:szCs w:val="24"/>
        </w:rPr>
        <w:t xml:space="preserve"> from 1995 and 2007.  </w:t>
      </w:r>
      <w:r w:rsidR="0076066F">
        <w:rPr>
          <w:rFonts w:ascii="Times New Roman" w:eastAsiaTheme="minorEastAsia" w:hAnsi="Times New Roman" w:cs="Times New Roman"/>
          <w:sz w:val="24"/>
          <w:szCs w:val="24"/>
        </w:rPr>
        <w:t>As can be seen from the best</w:t>
      </w:r>
      <w:r w:rsidR="004D43F9">
        <w:rPr>
          <w:rFonts w:ascii="Times New Roman" w:eastAsiaTheme="minorEastAsia" w:hAnsi="Times New Roman" w:cs="Times New Roman"/>
          <w:sz w:val="24"/>
          <w:szCs w:val="24"/>
        </w:rPr>
        <w:t xml:space="preserve"> fit line</w:t>
      </w:r>
      <w:r w:rsidR="0076066F">
        <w:rPr>
          <w:rFonts w:ascii="Times New Roman" w:eastAsiaTheme="minorEastAsia" w:hAnsi="Times New Roman" w:cs="Times New Roman"/>
          <w:sz w:val="24"/>
          <w:szCs w:val="24"/>
        </w:rPr>
        <w:t>, d</w:t>
      </w:r>
      <w:r w:rsidR="007D34C6">
        <w:rPr>
          <w:rFonts w:ascii="Times New Roman" w:eastAsiaTheme="minorEastAsia" w:hAnsi="Times New Roman" w:cs="Times New Roman"/>
          <w:sz w:val="24"/>
          <w:szCs w:val="24"/>
        </w:rPr>
        <w:t xml:space="preserve">ebt growth between 1995 and 2007 was </w:t>
      </w:r>
      <w:r w:rsidR="0076066F">
        <w:rPr>
          <w:rFonts w:ascii="Times New Roman" w:eastAsiaTheme="minorEastAsia" w:hAnsi="Times New Roman" w:cs="Times New Roman"/>
          <w:sz w:val="24"/>
          <w:szCs w:val="24"/>
        </w:rPr>
        <w:t>more</w:t>
      </w:r>
      <w:r w:rsidR="007321A6">
        <w:rPr>
          <w:rFonts w:ascii="Times New Roman" w:eastAsiaTheme="minorEastAsia" w:hAnsi="Times New Roman" w:cs="Times New Roman"/>
          <w:sz w:val="24"/>
          <w:szCs w:val="24"/>
        </w:rPr>
        <w:t xml:space="preserve"> pronounced in countries with permissive (mortgage) credit institutions</w:t>
      </w:r>
      <w:r w:rsidR="0076066F">
        <w:rPr>
          <w:rFonts w:ascii="Times New Roman" w:eastAsiaTheme="minorEastAsia" w:hAnsi="Times New Roman" w:cs="Times New Roman"/>
          <w:sz w:val="24"/>
          <w:szCs w:val="24"/>
        </w:rPr>
        <w:t xml:space="preserve"> (i.e.</w:t>
      </w:r>
      <w:r w:rsidR="007D34C6">
        <w:rPr>
          <w:rFonts w:ascii="Times New Roman" w:eastAsiaTheme="minorEastAsia" w:hAnsi="Times New Roman" w:cs="Times New Roman"/>
          <w:sz w:val="24"/>
          <w:szCs w:val="24"/>
        </w:rPr>
        <w:t xml:space="preserve"> Denmark, Ireland and the Netherlands</w:t>
      </w:r>
      <w:r w:rsidR="0076066F">
        <w:rPr>
          <w:rFonts w:ascii="Times New Roman" w:eastAsiaTheme="minorEastAsia" w:hAnsi="Times New Roman" w:cs="Times New Roman"/>
          <w:sz w:val="24"/>
          <w:szCs w:val="24"/>
        </w:rPr>
        <w:t xml:space="preserve">) than it was in </w:t>
      </w:r>
      <w:r w:rsidR="00EC07A3">
        <w:rPr>
          <w:rFonts w:ascii="Times New Roman" w:eastAsiaTheme="minorEastAsia" w:hAnsi="Times New Roman" w:cs="Times New Roman"/>
          <w:sz w:val="24"/>
          <w:szCs w:val="24"/>
        </w:rPr>
        <w:t>countries</w:t>
      </w:r>
      <w:r w:rsidR="004D43F9">
        <w:rPr>
          <w:rFonts w:ascii="Times New Roman" w:eastAsiaTheme="minorEastAsia" w:hAnsi="Times New Roman" w:cs="Times New Roman"/>
          <w:sz w:val="24"/>
          <w:szCs w:val="24"/>
        </w:rPr>
        <w:t xml:space="preserve"> with</w:t>
      </w:r>
      <w:r w:rsidR="0076066F">
        <w:rPr>
          <w:rFonts w:ascii="Times New Roman" w:eastAsiaTheme="minorEastAsia" w:hAnsi="Times New Roman" w:cs="Times New Roman"/>
          <w:sz w:val="24"/>
          <w:szCs w:val="24"/>
        </w:rPr>
        <w:t xml:space="preserve"> restrictive credit institutions (i.e. Germany</w:t>
      </w:r>
      <w:r w:rsidR="007D34C6">
        <w:rPr>
          <w:rFonts w:ascii="Times New Roman" w:eastAsiaTheme="minorEastAsia" w:hAnsi="Times New Roman" w:cs="Times New Roman"/>
          <w:sz w:val="24"/>
          <w:szCs w:val="24"/>
        </w:rPr>
        <w:t>,</w:t>
      </w:r>
      <w:r w:rsidR="0076066F">
        <w:rPr>
          <w:rFonts w:ascii="Times New Roman" w:eastAsiaTheme="minorEastAsia" w:hAnsi="Times New Roman" w:cs="Times New Roman"/>
          <w:sz w:val="24"/>
          <w:szCs w:val="24"/>
        </w:rPr>
        <w:t xml:space="preserve"> Austria and Japan).  What is more revealing from Figure 4, however, is that countries with </w:t>
      </w:r>
      <w:r w:rsidR="006371DD">
        <w:rPr>
          <w:rFonts w:ascii="Times New Roman" w:eastAsiaTheme="minorEastAsia" w:hAnsi="Times New Roman" w:cs="Times New Roman"/>
          <w:sz w:val="24"/>
          <w:szCs w:val="24"/>
        </w:rPr>
        <w:t xml:space="preserve">collectivist </w:t>
      </w:r>
      <w:r w:rsidR="0076066F">
        <w:rPr>
          <w:rFonts w:ascii="Times New Roman" w:eastAsiaTheme="minorEastAsia" w:hAnsi="Times New Roman" w:cs="Times New Roman"/>
          <w:sz w:val="24"/>
          <w:szCs w:val="24"/>
        </w:rPr>
        <w:t xml:space="preserve">wage-setting institutions do not </w:t>
      </w:r>
      <w:r w:rsidR="00EC07A3">
        <w:rPr>
          <w:rFonts w:ascii="Times New Roman" w:eastAsiaTheme="minorEastAsia" w:hAnsi="Times New Roman" w:cs="Times New Roman"/>
          <w:sz w:val="24"/>
          <w:szCs w:val="24"/>
        </w:rPr>
        <w:t xml:space="preserve">exhibit similar rates of </w:t>
      </w:r>
      <w:r w:rsidR="004D43F9">
        <w:rPr>
          <w:rFonts w:ascii="Times New Roman" w:eastAsiaTheme="minorEastAsia" w:hAnsi="Times New Roman" w:cs="Times New Roman"/>
          <w:sz w:val="24"/>
          <w:szCs w:val="24"/>
        </w:rPr>
        <w:t>household debt accumulation – only CMEs with credit permissive institutions witnessed notable rises in household debt</w:t>
      </w:r>
      <w:r w:rsidR="0076066F">
        <w:rPr>
          <w:rFonts w:ascii="Times New Roman" w:eastAsiaTheme="minorEastAsia" w:hAnsi="Times New Roman" w:cs="Times New Roman"/>
          <w:sz w:val="24"/>
          <w:szCs w:val="24"/>
        </w:rPr>
        <w:t>.</w:t>
      </w:r>
      <w:r w:rsidR="004D43F9">
        <w:rPr>
          <w:rFonts w:ascii="Times New Roman" w:eastAsiaTheme="minorEastAsia" w:hAnsi="Times New Roman" w:cs="Times New Roman"/>
          <w:sz w:val="24"/>
          <w:szCs w:val="24"/>
        </w:rPr>
        <w:t xml:space="preserve">  This suggests that labor market institutions’ impact on household debt growth is tempered by national </w:t>
      </w:r>
      <w:r w:rsidR="00EC07A3">
        <w:rPr>
          <w:rFonts w:ascii="Times New Roman" w:eastAsiaTheme="minorEastAsia" w:hAnsi="Times New Roman" w:cs="Times New Roman"/>
          <w:sz w:val="24"/>
          <w:szCs w:val="24"/>
        </w:rPr>
        <w:t xml:space="preserve">(mortgage) </w:t>
      </w:r>
      <w:r w:rsidR="004D43F9">
        <w:rPr>
          <w:rFonts w:ascii="Times New Roman" w:eastAsiaTheme="minorEastAsia" w:hAnsi="Times New Roman" w:cs="Times New Roman"/>
          <w:sz w:val="24"/>
          <w:szCs w:val="24"/>
        </w:rPr>
        <w:t xml:space="preserve">credit institutions. </w:t>
      </w:r>
    </w:p>
    <w:p w14:paraId="7B05BE19" w14:textId="44DDC922" w:rsidR="009B6657" w:rsidRPr="004D43F9" w:rsidRDefault="009B6657" w:rsidP="00EA542B">
      <w:pPr>
        <w:keepNext/>
        <w:spacing w:before="100" w:beforeAutospacing="1" w:after="100" w:afterAutospacing="1" w:line="240" w:lineRule="auto"/>
        <w:jc w:val="center"/>
        <w:rPr>
          <w:rFonts w:ascii="Times New Roman" w:eastAsiaTheme="minorEastAsia" w:hAnsi="Times New Roman" w:cs="Times New Roman"/>
          <w:b/>
        </w:rPr>
      </w:pPr>
      <w:r w:rsidRPr="004D43F9">
        <w:rPr>
          <w:rFonts w:ascii="Times New Roman" w:eastAsiaTheme="minorEastAsia" w:hAnsi="Times New Roman" w:cs="Times New Roman"/>
          <w:b/>
        </w:rPr>
        <w:lastRenderedPageBreak/>
        <w:t xml:space="preserve">Figure </w:t>
      </w:r>
      <w:r w:rsidR="00A824AD" w:rsidRPr="004D43F9">
        <w:rPr>
          <w:rFonts w:ascii="Times New Roman" w:eastAsiaTheme="minorEastAsia" w:hAnsi="Times New Roman" w:cs="Times New Roman"/>
          <w:b/>
        </w:rPr>
        <w:t>4</w:t>
      </w:r>
      <w:r w:rsidRPr="004D43F9">
        <w:rPr>
          <w:rFonts w:ascii="Times New Roman" w:eastAsiaTheme="minorEastAsia" w:hAnsi="Times New Roman" w:cs="Times New Roman"/>
          <w:b/>
        </w:rPr>
        <w:t xml:space="preserve">: Credit mitigation and </w:t>
      </w:r>
      <w:r w:rsidR="00764B6D" w:rsidRPr="004D43F9">
        <w:rPr>
          <w:rFonts w:ascii="Times New Roman" w:eastAsiaTheme="minorEastAsia" w:hAnsi="Times New Roman" w:cs="Times New Roman"/>
          <w:b/>
        </w:rPr>
        <w:t>household debt</w:t>
      </w:r>
      <w:r w:rsidRPr="004D43F9">
        <w:rPr>
          <w:rFonts w:ascii="Times New Roman" w:eastAsiaTheme="minorEastAsia" w:hAnsi="Times New Roman" w:cs="Times New Roman"/>
          <w:b/>
        </w:rPr>
        <w:t>, 1995-2007</w:t>
      </w:r>
    </w:p>
    <w:p w14:paraId="0AAD2D76" w14:textId="5F8ADA7C" w:rsidR="00764B6D" w:rsidRDefault="001D0903" w:rsidP="0010088D">
      <w:pPr>
        <w:spacing w:after="0" w:line="240" w:lineRule="auto"/>
        <w:jc w:val="center"/>
        <w:rPr>
          <w:rFonts w:ascii="Times New Roman" w:eastAsiaTheme="minorEastAsia" w:hAnsi="Times New Roman" w:cs="Times New Roman"/>
          <w:b/>
          <w:highlight w:val="yellow"/>
        </w:rPr>
      </w:pPr>
      <w:r>
        <w:rPr>
          <w:rFonts w:ascii="Times New Roman" w:eastAsiaTheme="minorEastAsia" w:hAnsi="Times New Roman" w:cs="Times New Roman"/>
          <w:b/>
          <w:noProof/>
        </w:rPr>
        <w:drawing>
          <wp:inline distT="0" distB="0" distL="0" distR="0" wp14:anchorId="5EE16602" wp14:editId="66A3708A">
            <wp:extent cx="4791075" cy="34998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4427" cy="3502248"/>
                    </a:xfrm>
                    <a:prstGeom prst="rect">
                      <a:avLst/>
                    </a:prstGeom>
                    <a:noFill/>
                    <a:ln>
                      <a:noFill/>
                    </a:ln>
                  </pic:spPr>
                </pic:pic>
              </a:graphicData>
            </a:graphic>
          </wp:inline>
        </w:drawing>
      </w:r>
    </w:p>
    <w:p w14:paraId="43AAE5F2" w14:textId="6011A622" w:rsidR="001D0903" w:rsidRDefault="001D0903" w:rsidP="0010088D">
      <w:pPr>
        <w:spacing w:after="0" w:line="240" w:lineRule="auto"/>
        <w:ind w:firstLine="720"/>
        <w:rPr>
          <w:rFonts w:ascii="Times New Roman" w:hAnsi="Times New Roman" w:cs="Times New Roman"/>
          <w:sz w:val="20"/>
          <w:szCs w:val="20"/>
        </w:rPr>
      </w:pPr>
      <w:r w:rsidRPr="00D32CCE">
        <w:rPr>
          <w:rFonts w:ascii="Times New Roman" w:hAnsi="Times New Roman" w:cs="Times New Roman"/>
          <w:sz w:val="20"/>
          <w:szCs w:val="20"/>
        </w:rPr>
        <w:t>*Ireland debt growth from 2001-2007. Spain debt growth from 1999-2007</w:t>
      </w:r>
    </w:p>
    <w:p w14:paraId="238D447C" w14:textId="77777777" w:rsidR="00BA342E" w:rsidRPr="00E96680" w:rsidRDefault="00BA342E" w:rsidP="0010088D">
      <w:pPr>
        <w:spacing w:after="0" w:line="240" w:lineRule="auto"/>
        <w:ind w:firstLine="720"/>
        <w:rPr>
          <w:rFonts w:ascii="Times New Roman" w:eastAsiaTheme="minorEastAsia" w:hAnsi="Times New Roman" w:cs="Times New Roman"/>
          <w:b/>
          <w:highlight w:val="yellow"/>
        </w:rPr>
      </w:pPr>
    </w:p>
    <w:p w14:paraId="5CEB4936" w14:textId="32A1E451" w:rsidR="00EA542B" w:rsidRPr="00EA542B" w:rsidRDefault="00EA542B" w:rsidP="00E36909">
      <w:pPr>
        <w:spacing w:before="100" w:beforeAutospacing="1" w:after="100" w:afterAutospacing="1" w:line="360" w:lineRule="auto"/>
        <w:jc w:val="both"/>
        <w:rPr>
          <w:rFonts w:ascii="Times New Roman" w:eastAsiaTheme="minorEastAsia" w:hAnsi="Times New Roman" w:cs="Times New Roman"/>
          <w:sz w:val="24"/>
          <w:szCs w:val="24"/>
          <w:highlight w:val="yellow"/>
        </w:rPr>
      </w:pPr>
      <w:r>
        <w:rPr>
          <w:rFonts w:ascii="Times New Roman" w:eastAsiaTheme="minorEastAsia" w:hAnsi="Times New Roman" w:cs="Times New Roman"/>
          <w:sz w:val="24"/>
          <w:szCs w:val="24"/>
        </w:rPr>
        <w:t xml:space="preserve">As argued above, we do not expect labor market institutions that provide employment and income security, on their own, to drive differences in household debt accumulation across our sample – rather, their role in shaping household debt growth is </w:t>
      </w:r>
      <w:r w:rsidRPr="004D43F9">
        <w:rPr>
          <w:rFonts w:ascii="Times New Roman" w:eastAsiaTheme="minorEastAsia" w:hAnsi="Times New Roman" w:cs="Times New Roman"/>
          <w:i/>
          <w:sz w:val="24"/>
          <w:szCs w:val="24"/>
        </w:rPr>
        <w:t>conditioned</w:t>
      </w:r>
      <w:r>
        <w:rPr>
          <w:rFonts w:ascii="Times New Roman" w:eastAsiaTheme="minorEastAsia" w:hAnsi="Times New Roman" w:cs="Times New Roman"/>
          <w:sz w:val="24"/>
          <w:szCs w:val="24"/>
        </w:rPr>
        <w:t xml:space="preserve"> on the presence of permissive (mortgage) credit institutions. In a context of permissive credit lending, households with more secure income are likely to borrow larger mortgages, and become more indebted. Consequently, we should expect the beta </w:t>
      </w:r>
      <w:r w:rsidRPr="0010088D">
        <w:rPr>
          <w:rFonts w:ascii="Times New Roman" w:eastAsiaTheme="minorEastAsia" w:hAnsi="Times New Roman" w:cs="Times New Roman"/>
          <w:sz w:val="24"/>
          <w:szCs w:val="24"/>
        </w:rPr>
        <w:t>coefficient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3</m:t>
            </m:r>
          </m:sub>
        </m:sSub>
      </m:oMath>
      <w:r w:rsidRPr="0010088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on the interaction between labor market institutions and the credit mitigation index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LMInst</m:t>
            </m:r>
          </m:e>
          <m:sub>
            <m:r>
              <w:rPr>
                <w:rFonts w:ascii="Cambria Math" w:eastAsiaTheme="minorEastAsia" w:hAnsi="Cambria Math" w:cs="Times New Roman"/>
                <w:sz w:val="24"/>
                <w:szCs w:val="24"/>
              </w:rPr>
              <m:t>i, 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MCMInst</m:t>
            </m:r>
          </m:e>
          <m:sub>
            <m:r>
              <w:rPr>
                <w:rFonts w:ascii="Cambria Math" w:eastAsiaTheme="minorEastAsia" w:hAnsi="Cambria Math" w:cs="Times New Roman"/>
                <w:sz w:val="24"/>
                <w:szCs w:val="24"/>
              </w:rPr>
              <m:t>i, t-1</m:t>
            </m:r>
          </m:sub>
        </m:sSub>
      </m:oMath>
      <w:r>
        <w:rPr>
          <w:rFonts w:ascii="Times New Roman" w:eastAsiaTheme="minorEastAsia" w:hAnsi="Times New Roman" w:cs="Times New Roman"/>
          <w:sz w:val="24"/>
          <w:szCs w:val="24"/>
        </w:rPr>
        <w:t xml:space="preserve">) to be </w:t>
      </w:r>
      <w:r w:rsidRPr="0010088D">
        <w:rPr>
          <w:rFonts w:ascii="Times New Roman" w:eastAsiaTheme="minorEastAsia" w:hAnsi="Times New Roman" w:cs="Times New Roman"/>
          <w:i/>
          <w:sz w:val="24"/>
          <w:szCs w:val="24"/>
        </w:rPr>
        <w:t>negative</w:t>
      </w:r>
      <w:r>
        <w:rPr>
          <w:rFonts w:ascii="Times New Roman" w:eastAsiaTheme="minorEastAsia" w:hAnsi="Times New Roman" w:cs="Times New Roman"/>
          <w:sz w:val="24"/>
          <w:szCs w:val="24"/>
        </w:rPr>
        <w:t xml:space="preserve">.     </w:t>
      </w:r>
    </w:p>
    <w:p w14:paraId="19463A68" w14:textId="07C0CDE6" w:rsidR="009B6657" w:rsidRPr="000918E0" w:rsidRDefault="00F92FEF" w:rsidP="00E36909">
      <w:pPr>
        <w:spacing w:before="100" w:beforeAutospacing="1" w:after="100" w:afterAutospacing="1" w:line="36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 t-1</m:t>
                </m:r>
              </m:sub>
            </m:sSub>
          </m:e>
        </m:nary>
        <m:r>
          <w:rPr>
            <w:rFonts w:ascii="Cambria Math" w:eastAsiaTheme="minorEastAsia" w:hAnsi="Cambria Math" w:cs="Times New Roman"/>
            <w:sz w:val="24"/>
            <w:szCs w:val="24"/>
          </w:rPr>
          <m:t xml:space="preserve"> </m:t>
        </m:r>
      </m:oMath>
      <w:proofErr w:type="gramStart"/>
      <w:r w:rsidR="002E271F">
        <w:rPr>
          <w:rFonts w:ascii="Times New Roman" w:eastAsiaTheme="minorEastAsia" w:hAnsi="Times New Roman" w:cs="Times New Roman"/>
          <w:sz w:val="24"/>
          <w:szCs w:val="24"/>
        </w:rPr>
        <w:t>is</w:t>
      </w:r>
      <w:proofErr w:type="gramEnd"/>
      <w:r w:rsidR="002E271F">
        <w:rPr>
          <w:rFonts w:ascii="Times New Roman" w:eastAsiaTheme="minorEastAsia" w:hAnsi="Times New Roman" w:cs="Times New Roman"/>
          <w:sz w:val="24"/>
          <w:szCs w:val="24"/>
        </w:rPr>
        <w:t xml:space="preserve"> a vector of controls</w:t>
      </w:r>
      <w:r w:rsidR="009B6657" w:rsidRPr="0010088D">
        <w:rPr>
          <w:rFonts w:ascii="Times New Roman" w:eastAsiaTheme="minorEastAsia" w:hAnsi="Times New Roman" w:cs="Times New Roman"/>
          <w:sz w:val="24"/>
          <w:szCs w:val="24"/>
        </w:rPr>
        <w:t xml:space="preserve"> for country i </w:t>
      </w:r>
      <w:r w:rsidR="00974343">
        <w:rPr>
          <w:rFonts w:ascii="Times New Roman" w:eastAsiaTheme="minorEastAsia" w:hAnsi="Times New Roman" w:cs="Times New Roman"/>
          <w:sz w:val="24"/>
          <w:szCs w:val="24"/>
        </w:rPr>
        <w:t>at</w:t>
      </w:r>
      <w:r w:rsidR="009B6657" w:rsidRPr="0010088D">
        <w:rPr>
          <w:rFonts w:ascii="Times New Roman" w:eastAsiaTheme="minorEastAsia" w:hAnsi="Times New Roman" w:cs="Times New Roman"/>
          <w:sz w:val="24"/>
          <w:szCs w:val="24"/>
        </w:rPr>
        <w:t xml:space="preserve"> time t-1 that impact </w:t>
      </w:r>
      <w:r w:rsidR="0010088D" w:rsidRPr="0010088D">
        <w:rPr>
          <w:rFonts w:ascii="Times New Roman" w:eastAsiaTheme="minorEastAsia" w:hAnsi="Times New Roman" w:cs="Times New Roman"/>
          <w:sz w:val="24"/>
          <w:szCs w:val="24"/>
        </w:rPr>
        <w:t>household debt accumulation</w:t>
      </w:r>
      <w:r w:rsidR="009B6657" w:rsidRPr="0010088D">
        <w:rPr>
          <w:rFonts w:ascii="Times New Roman" w:eastAsiaTheme="minorEastAsia" w:hAnsi="Times New Roman" w:cs="Times New Roman"/>
          <w:sz w:val="24"/>
          <w:szCs w:val="24"/>
        </w:rPr>
        <w:t xml:space="preserve"> </w:t>
      </w:r>
      <w:r w:rsidR="00EC07A3">
        <w:rPr>
          <w:rFonts w:ascii="Times New Roman" w:eastAsiaTheme="minorEastAsia" w:hAnsi="Times New Roman" w:cs="Times New Roman"/>
          <w:sz w:val="24"/>
          <w:szCs w:val="24"/>
        </w:rPr>
        <w:t xml:space="preserve">via </w:t>
      </w:r>
      <w:r w:rsidR="009B6657" w:rsidRPr="0010088D">
        <w:rPr>
          <w:rFonts w:ascii="Times New Roman" w:eastAsiaTheme="minorEastAsia" w:hAnsi="Times New Roman" w:cs="Times New Roman"/>
          <w:sz w:val="24"/>
          <w:szCs w:val="24"/>
        </w:rPr>
        <w:t xml:space="preserve">their influence on the volume of credit that banks can lend or on annual (interest) servicing costs.  </w:t>
      </w:r>
      <w:r w:rsidR="009B6657" w:rsidRPr="002E271F">
        <w:rPr>
          <w:rFonts w:ascii="Times New Roman" w:eastAsiaTheme="minorEastAsia" w:hAnsi="Times New Roman" w:cs="Times New Roman"/>
          <w:sz w:val="24"/>
          <w:szCs w:val="24"/>
        </w:rPr>
        <w:t xml:space="preserve">These include: the </w:t>
      </w:r>
      <w:r w:rsidR="0010088D" w:rsidRPr="002E271F">
        <w:rPr>
          <w:rFonts w:ascii="Times New Roman" w:eastAsiaTheme="minorEastAsia" w:hAnsi="Times New Roman" w:cs="Times New Roman"/>
          <w:sz w:val="24"/>
          <w:szCs w:val="24"/>
        </w:rPr>
        <w:t xml:space="preserve">real </w:t>
      </w:r>
      <w:r w:rsidR="009B6657" w:rsidRPr="002E271F">
        <w:rPr>
          <w:rFonts w:ascii="Times New Roman" w:eastAsiaTheme="minorEastAsia" w:hAnsi="Times New Roman" w:cs="Times New Roman"/>
          <w:sz w:val="24"/>
          <w:szCs w:val="24"/>
        </w:rPr>
        <w:t>interest rate (</w:t>
      </w:r>
      <w:r w:rsidR="009B6657" w:rsidRPr="002E271F">
        <w:rPr>
          <w:rFonts w:ascii="Times New Roman" w:eastAsiaTheme="minorEastAsia" w:hAnsi="Times New Roman" w:cs="Times New Roman"/>
          <w:i/>
          <w:sz w:val="24"/>
          <w:szCs w:val="24"/>
        </w:rPr>
        <w:t>differenced</w:t>
      </w:r>
      <w:r w:rsidR="009B6657" w:rsidRPr="002E271F">
        <w:rPr>
          <w:rFonts w:ascii="Times New Roman" w:eastAsiaTheme="minorEastAsia" w:hAnsi="Times New Roman" w:cs="Times New Roman"/>
          <w:sz w:val="24"/>
          <w:szCs w:val="24"/>
        </w:rPr>
        <w:t xml:space="preserve"> from the previous year); the ratio of domestic credit provided by the banking system to the private sector as a ratio of GDP</w:t>
      </w:r>
      <w:r w:rsidR="009B6657" w:rsidRPr="002E271F">
        <w:rPr>
          <w:rStyle w:val="FootnoteReference"/>
          <w:rFonts w:ascii="Times New Roman" w:eastAsiaTheme="minorEastAsia" w:hAnsi="Times New Roman" w:cs="Times New Roman"/>
          <w:sz w:val="24"/>
          <w:szCs w:val="24"/>
        </w:rPr>
        <w:footnoteReference w:id="19"/>
      </w:r>
      <w:r w:rsidR="009B6657" w:rsidRPr="002E271F">
        <w:rPr>
          <w:rFonts w:ascii="Times New Roman" w:eastAsiaTheme="minorEastAsia" w:hAnsi="Times New Roman" w:cs="Times New Roman"/>
          <w:sz w:val="24"/>
          <w:szCs w:val="24"/>
        </w:rPr>
        <w:t xml:space="preserve">, a proxy </w:t>
      </w:r>
      <w:r w:rsidR="009B6657" w:rsidRPr="002E271F">
        <w:rPr>
          <w:rFonts w:ascii="Times New Roman" w:eastAsiaTheme="minorEastAsia" w:hAnsi="Times New Roman" w:cs="Times New Roman"/>
          <w:sz w:val="24"/>
          <w:szCs w:val="24"/>
        </w:rPr>
        <w:lastRenderedPageBreak/>
        <w:t>for financial depth (</w:t>
      </w:r>
      <w:r w:rsidR="009B6657" w:rsidRPr="002E271F">
        <w:rPr>
          <w:rFonts w:ascii="Times New Roman" w:eastAsiaTheme="minorEastAsia" w:hAnsi="Times New Roman" w:cs="Times New Roman"/>
          <w:i/>
          <w:sz w:val="24"/>
          <w:szCs w:val="24"/>
        </w:rPr>
        <w:t>differenced</w:t>
      </w:r>
      <w:r w:rsidR="009B6657" w:rsidRPr="002E271F">
        <w:rPr>
          <w:rFonts w:ascii="Times New Roman" w:eastAsiaTheme="minorEastAsia" w:hAnsi="Times New Roman" w:cs="Times New Roman"/>
          <w:sz w:val="24"/>
          <w:szCs w:val="24"/>
        </w:rPr>
        <w:t xml:space="preserve"> from the previous year); and the ratio of net foreign capital inflows as a percentage of GDP, which accounts for the degree of foreign lending entering a country’s financial system (</w:t>
      </w:r>
      <w:r w:rsidR="009B6657" w:rsidRPr="002E271F">
        <w:rPr>
          <w:rFonts w:ascii="Times New Roman" w:eastAsiaTheme="minorEastAsia" w:hAnsi="Times New Roman" w:cs="Times New Roman"/>
          <w:i/>
          <w:sz w:val="24"/>
          <w:szCs w:val="24"/>
        </w:rPr>
        <w:t>differenced</w:t>
      </w:r>
      <w:r w:rsidR="009B6657" w:rsidRPr="002E271F">
        <w:rPr>
          <w:rFonts w:ascii="Times New Roman" w:eastAsiaTheme="minorEastAsia" w:hAnsi="Times New Roman" w:cs="Times New Roman"/>
          <w:sz w:val="24"/>
          <w:szCs w:val="24"/>
        </w:rPr>
        <w:t xml:space="preserve"> from the previous year).  This vector also includes </w:t>
      </w:r>
      <w:r w:rsidR="002E271F" w:rsidRPr="002E271F">
        <w:rPr>
          <w:rFonts w:ascii="Times New Roman" w:eastAsiaTheme="minorEastAsia" w:hAnsi="Times New Roman" w:cs="Times New Roman"/>
          <w:sz w:val="24"/>
          <w:szCs w:val="24"/>
        </w:rPr>
        <w:t>growth in real housing prices (because mortgages tend to be the biggest line item in household debt, it is important to account for price increases in the commodity that mortgages finance), and</w:t>
      </w:r>
      <w:r w:rsidR="009B6657" w:rsidRPr="002E271F">
        <w:rPr>
          <w:rFonts w:ascii="Times New Roman" w:eastAsiaTheme="minorEastAsia" w:hAnsi="Times New Roman" w:cs="Times New Roman"/>
          <w:sz w:val="24"/>
          <w:szCs w:val="24"/>
        </w:rPr>
        <w:t xml:space="preserve"> </w:t>
      </w:r>
      <w:r w:rsidR="002E271F" w:rsidRPr="002E271F">
        <w:rPr>
          <w:rFonts w:ascii="Times New Roman" w:eastAsiaTheme="minorEastAsia" w:hAnsi="Times New Roman" w:cs="Times New Roman"/>
          <w:sz w:val="24"/>
          <w:szCs w:val="24"/>
        </w:rPr>
        <w:t xml:space="preserve">real </w:t>
      </w:r>
      <w:r w:rsidR="009B6657" w:rsidRPr="002E271F">
        <w:rPr>
          <w:rFonts w:ascii="Times New Roman" w:eastAsiaTheme="minorEastAsia" w:hAnsi="Times New Roman" w:cs="Times New Roman"/>
          <w:sz w:val="24"/>
          <w:szCs w:val="24"/>
        </w:rPr>
        <w:t>GDP growth</w:t>
      </w:r>
      <w:r w:rsidR="002E271F" w:rsidRPr="002E271F">
        <w:rPr>
          <w:rStyle w:val="FootnoteReference"/>
          <w:rFonts w:ascii="Times New Roman" w:eastAsiaTheme="minorEastAsia" w:hAnsi="Times New Roman" w:cs="Times New Roman"/>
          <w:sz w:val="24"/>
          <w:szCs w:val="24"/>
        </w:rPr>
        <w:footnoteReference w:id="20"/>
      </w:r>
      <w:r w:rsidR="009B6657" w:rsidRPr="002E271F">
        <w:rPr>
          <w:rFonts w:ascii="Times New Roman" w:eastAsiaTheme="minorEastAsia" w:hAnsi="Times New Roman" w:cs="Times New Roman"/>
          <w:sz w:val="24"/>
          <w:szCs w:val="24"/>
        </w:rPr>
        <w:t xml:space="preserve"> to control for cyclical effects which may cause households to </w:t>
      </w:r>
      <w:r w:rsidR="002E271F" w:rsidRPr="002E271F">
        <w:rPr>
          <w:rFonts w:ascii="Times New Roman" w:eastAsiaTheme="minorEastAsia" w:hAnsi="Times New Roman" w:cs="Times New Roman"/>
          <w:sz w:val="24"/>
          <w:szCs w:val="24"/>
        </w:rPr>
        <w:t>take on greater debt</w:t>
      </w:r>
      <w:r w:rsidR="009B6657" w:rsidRPr="002E271F">
        <w:rPr>
          <w:rFonts w:ascii="Times New Roman" w:eastAsiaTheme="minorEastAsia" w:hAnsi="Times New Roman" w:cs="Times New Roman"/>
          <w:sz w:val="24"/>
          <w:szCs w:val="24"/>
        </w:rPr>
        <w:t xml:space="preserve">.  </w:t>
      </w:r>
      <w:r w:rsidR="002E271F">
        <w:rPr>
          <w:rFonts w:ascii="Times New Roman" w:eastAsiaTheme="minorEastAsia" w:hAnsi="Times New Roman" w:cs="Times New Roman"/>
          <w:sz w:val="24"/>
          <w:szCs w:val="24"/>
        </w:rPr>
        <w:t>F</w:t>
      </w:r>
      <w:r w:rsidR="009B6657" w:rsidRPr="002E271F">
        <w:rPr>
          <w:rFonts w:ascii="Times New Roman" w:eastAsiaTheme="minorEastAsia" w:hAnsi="Times New Roman" w:cs="Times New Roman"/>
          <w:sz w:val="24"/>
          <w:szCs w:val="24"/>
        </w:rPr>
        <w:t>oreign capital flows data stemmed from the EU’s Annual Mac</w:t>
      </w:r>
      <w:r w:rsidR="00E34E4F">
        <w:rPr>
          <w:rFonts w:ascii="Times New Roman" w:eastAsiaTheme="minorEastAsia" w:hAnsi="Times New Roman" w:cs="Times New Roman"/>
          <w:sz w:val="24"/>
          <w:szCs w:val="24"/>
        </w:rPr>
        <w:t>roeconomic Database (AMECO, 2018</w:t>
      </w:r>
      <w:r w:rsidR="009B6657" w:rsidRPr="002E271F">
        <w:rPr>
          <w:rFonts w:ascii="Times New Roman" w:eastAsiaTheme="minorEastAsia" w:hAnsi="Times New Roman" w:cs="Times New Roman"/>
          <w:sz w:val="24"/>
          <w:szCs w:val="24"/>
        </w:rPr>
        <w:t>), the ratio of domestic credit to GDP s</w:t>
      </w:r>
      <w:r w:rsidR="00E34E4F">
        <w:rPr>
          <w:rFonts w:ascii="Times New Roman" w:eastAsiaTheme="minorEastAsia" w:hAnsi="Times New Roman" w:cs="Times New Roman"/>
          <w:sz w:val="24"/>
          <w:szCs w:val="24"/>
        </w:rPr>
        <w:t>temmed from the World Bank (2018</w:t>
      </w:r>
      <w:r w:rsidR="009B6657" w:rsidRPr="002E271F">
        <w:rPr>
          <w:rFonts w:ascii="Times New Roman" w:eastAsiaTheme="minorEastAsia" w:hAnsi="Times New Roman" w:cs="Times New Roman"/>
          <w:sz w:val="24"/>
          <w:szCs w:val="24"/>
        </w:rPr>
        <w:t>), while GDP growth</w:t>
      </w:r>
      <w:r w:rsidR="002E271F">
        <w:rPr>
          <w:rFonts w:ascii="Times New Roman" w:eastAsiaTheme="minorEastAsia" w:hAnsi="Times New Roman" w:cs="Times New Roman"/>
          <w:sz w:val="24"/>
          <w:szCs w:val="24"/>
        </w:rPr>
        <w:t>, (real) housing inflation,</w:t>
      </w:r>
      <w:r w:rsidR="009B6657" w:rsidRPr="002E271F">
        <w:rPr>
          <w:rFonts w:ascii="Times New Roman" w:eastAsiaTheme="minorEastAsia" w:hAnsi="Times New Roman" w:cs="Times New Roman"/>
          <w:sz w:val="24"/>
          <w:szCs w:val="24"/>
        </w:rPr>
        <w:t xml:space="preserve"> and real </w:t>
      </w:r>
      <w:r w:rsidR="009B6657" w:rsidRPr="000918E0">
        <w:rPr>
          <w:rFonts w:ascii="Times New Roman" w:eastAsiaTheme="minorEastAsia" w:hAnsi="Times New Roman" w:cs="Times New Roman"/>
          <w:sz w:val="24"/>
          <w:szCs w:val="24"/>
        </w:rPr>
        <w:t xml:space="preserve">interest rate </w:t>
      </w:r>
      <w:r w:rsidR="002E271F" w:rsidRPr="000918E0">
        <w:rPr>
          <w:rFonts w:ascii="Times New Roman" w:eastAsiaTheme="minorEastAsia" w:hAnsi="Times New Roman" w:cs="Times New Roman"/>
          <w:sz w:val="24"/>
          <w:szCs w:val="24"/>
        </w:rPr>
        <w:t>data stemmed from the OECD (2017</w:t>
      </w:r>
      <w:r w:rsidR="009B6657" w:rsidRPr="000918E0">
        <w:rPr>
          <w:rFonts w:ascii="Times New Roman" w:eastAsiaTheme="minorEastAsia" w:hAnsi="Times New Roman" w:cs="Times New Roman"/>
          <w:sz w:val="24"/>
          <w:szCs w:val="24"/>
        </w:rPr>
        <w:t>).</w:t>
      </w:r>
    </w:p>
    <w:p w14:paraId="363B5C29" w14:textId="4C0B9847" w:rsidR="009B6657" w:rsidRPr="001E1F05" w:rsidRDefault="00F92FEF" w:rsidP="00E36909">
      <w:pPr>
        <w:spacing w:before="100" w:beforeAutospacing="1" w:after="100" w:afterAutospacing="1" w:line="36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 t-1</m:t>
                </m:r>
              </m:sub>
            </m:sSub>
          </m:e>
        </m:nary>
      </m:oMath>
      <w:r w:rsidR="009B6657" w:rsidRPr="000918E0">
        <w:rPr>
          <w:rFonts w:ascii="Times New Roman" w:eastAsiaTheme="minorEastAsia" w:hAnsi="Times New Roman" w:cs="Times New Roman"/>
          <w:sz w:val="24"/>
          <w:szCs w:val="24"/>
        </w:rPr>
        <w:t xml:space="preserve"> </w:t>
      </w:r>
      <w:proofErr w:type="gramStart"/>
      <w:r w:rsidR="009B6657" w:rsidRPr="000918E0">
        <w:rPr>
          <w:rFonts w:ascii="Times New Roman" w:eastAsiaTheme="minorEastAsia" w:hAnsi="Times New Roman" w:cs="Times New Roman"/>
          <w:sz w:val="24"/>
          <w:szCs w:val="24"/>
        </w:rPr>
        <w:t>is</w:t>
      </w:r>
      <w:proofErr w:type="gramEnd"/>
      <w:r w:rsidR="009B6657" w:rsidRPr="000918E0">
        <w:rPr>
          <w:rFonts w:ascii="Times New Roman" w:eastAsiaTheme="minorEastAsia" w:hAnsi="Times New Roman" w:cs="Times New Roman"/>
          <w:sz w:val="24"/>
          <w:szCs w:val="24"/>
        </w:rPr>
        <w:t xml:space="preserve"> a vector of political</w:t>
      </w:r>
      <w:r w:rsidR="002E271F" w:rsidRPr="000918E0">
        <w:rPr>
          <w:rFonts w:ascii="Times New Roman" w:eastAsiaTheme="minorEastAsia" w:hAnsi="Times New Roman" w:cs="Times New Roman"/>
          <w:sz w:val="24"/>
          <w:szCs w:val="24"/>
        </w:rPr>
        <w:t xml:space="preserve"> and (economic) institutional</w:t>
      </w:r>
      <w:r w:rsidR="009B6657" w:rsidRPr="000918E0">
        <w:rPr>
          <w:rFonts w:ascii="Times New Roman" w:eastAsiaTheme="minorEastAsia" w:hAnsi="Times New Roman" w:cs="Times New Roman"/>
          <w:sz w:val="24"/>
          <w:szCs w:val="24"/>
        </w:rPr>
        <w:t xml:space="preserve"> controls in country i at time t-1.  These include: </w:t>
      </w:r>
      <w:r w:rsidR="002E271F" w:rsidRPr="000918E0">
        <w:rPr>
          <w:rFonts w:ascii="Times New Roman" w:eastAsiaTheme="minorEastAsia" w:hAnsi="Times New Roman" w:cs="Times New Roman"/>
          <w:sz w:val="24"/>
          <w:szCs w:val="24"/>
        </w:rPr>
        <w:t>capital account openness (</w:t>
      </w:r>
      <w:r w:rsidR="000918E0" w:rsidRPr="000918E0">
        <w:rPr>
          <w:rFonts w:ascii="Times New Roman" w:eastAsiaTheme="minorEastAsia" w:hAnsi="Times New Roman" w:cs="Times New Roman"/>
          <w:sz w:val="24"/>
          <w:szCs w:val="24"/>
        </w:rPr>
        <w:t>higher index values indicate fewer restrictions on capital entering and leaving a country</w:t>
      </w:r>
      <w:r w:rsidR="000918E0">
        <w:rPr>
          <w:rFonts w:ascii="Times New Roman" w:eastAsiaTheme="minorEastAsia" w:hAnsi="Times New Roman" w:cs="Times New Roman"/>
          <w:sz w:val="24"/>
          <w:szCs w:val="24"/>
        </w:rPr>
        <w:t xml:space="preserve"> – this index serves as a proxy for financial </w:t>
      </w:r>
      <w:r w:rsidR="000918E0" w:rsidRPr="00EC07A3">
        <w:rPr>
          <w:rFonts w:ascii="Times New Roman" w:eastAsiaTheme="minorEastAsia" w:hAnsi="Times New Roman" w:cs="Times New Roman"/>
          <w:i/>
          <w:sz w:val="24"/>
          <w:szCs w:val="24"/>
        </w:rPr>
        <w:t>liberalization</w:t>
      </w:r>
      <w:r w:rsidR="000918E0" w:rsidRPr="000918E0">
        <w:rPr>
          <w:rFonts w:ascii="Times New Roman" w:eastAsiaTheme="minorEastAsia" w:hAnsi="Times New Roman" w:cs="Times New Roman"/>
          <w:sz w:val="24"/>
          <w:szCs w:val="24"/>
        </w:rPr>
        <w:t>)</w:t>
      </w:r>
      <w:r w:rsidR="002E271F" w:rsidRPr="000918E0">
        <w:rPr>
          <w:rFonts w:ascii="Times New Roman" w:eastAsiaTheme="minorEastAsia" w:hAnsi="Times New Roman" w:cs="Times New Roman"/>
          <w:sz w:val="24"/>
          <w:szCs w:val="24"/>
        </w:rPr>
        <w:t xml:space="preserve">; </w:t>
      </w:r>
      <w:r w:rsidR="009B6657" w:rsidRPr="000918E0">
        <w:rPr>
          <w:rFonts w:ascii="Times New Roman" w:eastAsiaTheme="minorEastAsia" w:hAnsi="Times New Roman" w:cs="Times New Roman"/>
          <w:sz w:val="24"/>
          <w:szCs w:val="24"/>
        </w:rPr>
        <w:t>the partisanship of government (measured as the proportion of cabinet seats occupied by right parties), and;</w:t>
      </w:r>
      <w:r w:rsidR="000918E0">
        <w:rPr>
          <w:rFonts w:ascii="Times New Roman" w:eastAsiaTheme="minorEastAsia" w:hAnsi="Times New Roman" w:cs="Times New Roman"/>
          <w:sz w:val="24"/>
          <w:szCs w:val="24"/>
        </w:rPr>
        <w:t xml:space="preserve"> the central bank independence index</w:t>
      </w:r>
      <w:r w:rsidR="000918E0" w:rsidRPr="000918E0">
        <w:rPr>
          <w:rFonts w:ascii="Times New Roman" w:eastAsiaTheme="minorEastAsia" w:hAnsi="Times New Roman" w:cs="Times New Roman"/>
          <w:sz w:val="24"/>
          <w:szCs w:val="24"/>
        </w:rPr>
        <w:t>.</w:t>
      </w:r>
      <w:r w:rsidR="009B6657" w:rsidRPr="000918E0">
        <w:rPr>
          <w:rStyle w:val="FootnoteReference"/>
          <w:rFonts w:ascii="Times New Roman" w:eastAsiaTheme="minorEastAsia" w:hAnsi="Times New Roman" w:cs="Times New Roman"/>
          <w:sz w:val="24"/>
          <w:szCs w:val="24"/>
        </w:rPr>
        <w:footnoteReference w:id="21"/>
      </w:r>
      <w:r w:rsidR="009B6657" w:rsidRPr="000918E0">
        <w:rPr>
          <w:rFonts w:ascii="Times New Roman" w:eastAsiaTheme="minorEastAsia" w:hAnsi="Times New Roman" w:cs="Times New Roman"/>
          <w:sz w:val="24"/>
          <w:szCs w:val="24"/>
        </w:rPr>
        <w:t xml:space="preserve"> </w:t>
      </w:r>
      <w:r w:rsidR="000918E0" w:rsidRPr="000918E0">
        <w:rPr>
          <w:rFonts w:ascii="Times New Roman" w:eastAsiaTheme="minorEastAsia" w:hAnsi="Times New Roman" w:cs="Times New Roman"/>
          <w:sz w:val="24"/>
          <w:szCs w:val="24"/>
        </w:rPr>
        <w:t xml:space="preserve">The capital account openness index is taken from </w:t>
      </w:r>
      <w:proofErr w:type="spellStart"/>
      <w:r w:rsidR="000918E0" w:rsidRPr="000918E0">
        <w:rPr>
          <w:rFonts w:ascii="Times New Roman" w:eastAsiaTheme="minorEastAsia" w:hAnsi="Times New Roman" w:cs="Times New Roman"/>
          <w:sz w:val="24"/>
          <w:szCs w:val="24"/>
        </w:rPr>
        <w:t>Karcher</w:t>
      </w:r>
      <w:proofErr w:type="spellEnd"/>
      <w:r w:rsidR="000918E0" w:rsidRPr="000918E0">
        <w:rPr>
          <w:rFonts w:ascii="Times New Roman" w:eastAsiaTheme="minorEastAsia" w:hAnsi="Times New Roman" w:cs="Times New Roman"/>
          <w:sz w:val="24"/>
          <w:szCs w:val="24"/>
        </w:rPr>
        <w:t xml:space="preserve"> and Steinbe</w:t>
      </w:r>
      <w:r w:rsidR="00E34E4F">
        <w:rPr>
          <w:rFonts w:ascii="Times New Roman" w:eastAsiaTheme="minorEastAsia" w:hAnsi="Times New Roman" w:cs="Times New Roman"/>
          <w:sz w:val="24"/>
          <w:szCs w:val="24"/>
        </w:rPr>
        <w:t>rg (2013</w:t>
      </w:r>
      <w:r w:rsidR="000918E0" w:rsidRPr="000918E0">
        <w:rPr>
          <w:rFonts w:ascii="Times New Roman" w:eastAsiaTheme="minorEastAsia" w:hAnsi="Times New Roman" w:cs="Times New Roman"/>
          <w:sz w:val="24"/>
          <w:szCs w:val="24"/>
        </w:rPr>
        <w:t>),</w:t>
      </w:r>
      <w:r w:rsidR="009B6657" w:rsidRPr="000918E0">
        <w:rPr>
          <w:rFonts w:ascii="Times New Roman" w:eastAsiaTheme="minorEastAsia" w:hAnsi="Times New Roman" w:cs="Times New Roman"/>
          <w:sz w:val="24"/>
          <w:szCs w:val="24"/>
        </w:rPr>
        <w:t xml:space="preserve"> partisanship data is </w:t>
      </w:r>
      <w:r w:rsidR="00E34E4F">
        <w:rPr>
          <w:rFonts w:ascii="Times New Roman" w:eastAsiaTheme="minorEastAsia" w:hAnsi="Times New Roman" w:cs="Times New Roman"/>
          <w:sz w:val="24"/>
          <w:szCs w:val="24"/>
        </w:rPr>
        <w:t xml:space="preserve">taken from </w:t>
      </w:r>
      <w:proofErr w:type="spellStart"/>
      <w:r w:rsidR="00E34E4F">
        <w:rPr>
          <w:rFonts w:ascii="Times New Roman" w:eastAsiaTheme="minorEastAsia" w:hAnsi="Times New Roman" w:cs="Times New Roman"/>
          <w:sz w:val="24"/>
          <w:szCs w:val="24"/>
        </w:rPr>
        <w:t>Armingeon</w:t>
      </w:r>
      <w:proofErr w:type="spellEnd"/>
      <w:r w:rsidR="00E34E4F">
        <w:rPr>
          <w:rFonts w:ascii="Times New Roman" w:eastAsiaTheme="minorEastAsia" w:hAnsi="Times New Roman" w:cs="Times New Roman"/>
          <w:sz w:val="24"/>
          <w:szCs w:val="24"/>
        </w:rPr>
        <w:t xml:space="preserve"> et al (2016</w:t>
      </w:r>
      <w:r w:rsidR="009B6657" w:rsidRPr="000918E0">
        <w:rPr>
          <w:rFonts w:ascii="Times New Roman" w:eastAsiaTheme="minorEastAsia" w:hAnsi="Times New Roman" w:cs="Times New Roman"/>
          <w:sz w:val="24"/>
          <w:szCs w:val="24"/>
        </w:rPr>
        <w:t xml:space="preserve">), while central bank independence data (an updated version of the </w:t>
      </w:r>
      <w:proofErr w:type="spellStart"/>
      <w:r w:rsidR="009B6657" w:rsidRPr="000918E0">
        <w:rPr>
          <w:rFonts w:ascii="Times New Roman" w:eastAsiaTheme="minorEastAsia" w:hAnsi="Times New Roman" w:cs="Times New Roman"/>
          <w:sz w:val="24"/>
          <w:szCs w:val="24"/>
        </w:rPr>
        <w:t>Cukierman</w:t>
      </w:r>
      <w:proofErr w:type="spellEnd"/>
      <w:r w:rsidR="009B6657" w:rsidRPr="000918E0">
        <w:rPr>
          <w:rFonts w:ascii="Times New Roman" w:eastAsiaTheme="minorEastAsia" w:hAnsi="Times New Roman" w:cs="Times New Roman"/>
          <w:sz w:val="24"/>
          <w:szCs w:val="24"/>
        </w:rPr>
        <w:t xml:space="preserve">, 1992, index) is </w:t>
      </w:r>
      <w:r w:rsidR="009B6657" w:rsidRPr="001E1F05">
        <w:rPr>
          <w:rFonts w:ascii="Times New Roman" w:eastAsiaTheme="minorEastAsia" w:hAnsi="Times New Roman" w:cs="Times New Roman"/>
          <w:sz w:val="24"/>
          <w:szCs w:val="24"/>
        </w:rPr>
        <w:t xml:space="preserve">taken from Johnston (2012). </w:t>
      </w:r>
    </w:p>
    <w:p w14:paraId="1E4B5A1A" w14:textId="528CF48C" w:rsidR="009B6657" w:rsidRPr="001E1F05" w:rsidRDefault="000918E0" w:rsidP="00E36909">
      <w:pPr>
        <w:spacing w:before="100" w:beforeAutospacing="1" w:after="100" w:afterAutospacing="1" w:line="360" w:lineRule="auto"/>
        <w:jc w:val="both"/>
        <w:rPr>
          <w:rFonts w:ascii="Times New Roman" w:eastAsiaTheme="minorEastAsia" w:hAnsi="Times New Roman" w:cs="Times New Roman"/>
          <w:sz w:val="24"/>
          <w:szCs w:val="24"/>
        </w:rPr>
      </w:pPr>
      <w:r w:rsidRPr="001E1F05">
        <w:rPr>
          <w:rFonts w:ascii="Times New Roman" w:eastAsiaTheme="minorEastAsia" w:hAnsi="Times New Roman" w:cs="Times New Roman"/>
          <w:sz w:val="24"/>
          <w:szCs w:val="24"/>
        </w:rPr>
        <w:t xml:space="preserve">Given that our main variables of interest (credit and labor market institutions) show minimal variation for several countries within our sample, we opt for a random effects rather than a fixed effects model.  </w:t>
      </w:r>
      <w:r w:rsidR="00D10CE8" w:rsidRPr="001E1F05">
        <w:rPr>
          <w:rFonts w:ascii="Times New Roman" w:eastAsiaTheme="minorEastAsia" w:hAnsi="Times New Roman" w:cs="Times New Roman"/>
          <w:sz w:val="24"/>
          <w:szCs w:val="24"/>
        </w:rPr>
        <w:t xml:space="preserve">Fixed effects </w:t>
      </w:r>
      <w:r w:rsidRPr="001E1F05">
        <w:rPr>
          <w:rFonts w:ascii="Times New Roman" w:eastAsiaTheme="minorEastAsia" w:hAnsi="Times New Roman" w:cs="Times New Roman"/>
          <w:sz w:val="24"/>
          <w:szCs w:val="24"/>
        </w:rPr>
        <w:t xml:space="preserve">would </w:t>
      </w:r>
      <w:r w:rsidR="00D10CE8" w:rsidRPr="001E1F05">
        <w:rPr>
          <w:rFonts w:ascii="Times New Roman" w:eastAsiaTheme="minorEastAsia" w:hAnsi="Times New Roman" w:cs="Times New Roman"/>
          <w:sz w:val="24"/>
          <w:szCs w:val="24"/>
        </w:rPr>
        <w:t>enable</w:t>
      </w:r>
      <w:r w:rsidRPr="001E1F05">
        <w:rPr>
          <w:rFonts w:ascii="Times New Roman" w:eastAsiaTheme="minorEastAsia" w:hAnsi="Times New Roman" w:cs="Times New Roman"/>
          <w:sz w:val="24"/>
          <w:szCs w:val="24"/>
        </w:rPr>
        <w:t xml:space="preserve"> one to</w:t>
      </w:r>
      <w:r w:rsidR="00D10CE8" w:rsidRPr="001E1F05">
        <w:rPr>
          <w:rFonts w:ascii="Times New Roman" w:eastAsiaTheme="minorEastAsia" w:hAnsi="Times New Roman" w:cs="Times New Roman"/>
          <w:sz w:val="24"/>
          <w:szCs w:val="24"/>
        </w:rPr>
        <w:t xml:space="preserve"> control for omitted variables that affect </w:t>
      </w:r>
      <w:r w:rsidRPr="001E1F05">
        <w:rPr>
          <w:rFonts w:ascii="Times New Roman" w:eastAsiaTheme="minorEastAsia" w:hAnsi="Times New Roman" w:cs="Times New Roman"/>
          <w:sz w:val="24"/>
          <w:szCs w:val="24"/>
        </w:rPr>
        <w:t>debt accumulation</w:t>
      </w:r>
      <w:r w:rsidR="00EC07A3">
        <w:rPr>
          <w:rFonts w:ascii="Times New Roman" w:eastAsiaTheme="minorEastAsia" w:hAnsi="Times New Roman" w:cs="Times New Roman"/>
          <w:sz w:val="24"/>
          <w:szCs w:val="24"/>
        </w:rPr>
        <w:t>, which</w:t>
      </w:r>
      <w:r w:rsidR="00D10CE8" w:rsidRPr="001E1F05">
        <w:rPr>
          <w:rFonts w:ascii="Times New Roman" w:eastAsiaTheme="minorEastAsia" w:hAnsi="Times New Roman" w:cs="Times New Roman"/>
          <w:sz w:val="24"/>
          <w:szCs w:val="24"/>
        </w:rPr>
        <w:t xml:space="preserve"> </w:t>
      </w:r>
      <w:r w:rsidR="00EC07A3">
        <w:rPr>
          <w:rFonts w:ascii="Times New Roman" w:eastAsiaTheme="minorEastAsia" w:hAnsi="Times New Roman" w:cs="Times New Roman"/>
          <w:sz w:val="24"/>
          <w:szCs w:val="24"/>
        </w:rPr>
        <w:t>are constant</w:t>
      </w:r>
      <w:r w:rsidR="00D10CE8" w:rsidRPr="001E1F05">
        <w:rPr>
          <w:rFonts w:ascii="Times New Roman" w:eastAsiaTheme="minorEastAsia" w:hAnsi="Times New Roman" w:cs="Times New Roman"/>
          <w:sz w:val="24"/>
          <w:szCs w:val="24"/>
        </w:rPr>
        <w:t xml:space="preserve"> over time</w:t>
      </w:r>
      <w:r w:rsidR="00EC07A3">
        <w:rPr>
          <w:rFonts w:ascii="Times New Roman" w:eastAsiaTheme="minorEastAsia" w:hAnsi="Times New Roman" w:cs="Times New Roman"/>
          <w:sz w:val="24"/>
          <w:szCs w:val="24"/>
        </w:rPr>
        <w:t xml:space="preserve"> by vary across countries</w:t>
      </w:r>
      <w:r w:rsidR="00D10CE8" w:rsidRPr="001E1F05">
        <w:rPr>
          <w:rFonts w:ascii="Times New Roman" w:eastAsiaTheme="minorEastAsia" w:hAnsi="Times New Roman" w:cs="Times New Roman"/>
          <w:sz w:val="24"/>
          <w:szCs w:val="24"/>
        </w:rPr>
        <w:t>.</w:t>
      </w:r>
      <w:r w:rsidRPr="001E1F05">
        <w:rPr>
          <w:rFonts w:ascii="Times New Roman" w:eastAsiaTheme="minorEastAsia" w:hAnsi="Times New Roman" w:cs="Times New Roman"/>
          <w:sz w:val="24"/>
          <w:szCs w:val="24"/>
        </w:rPr>
        <w:t xml:space="preserve">  However, </w:t>
      </w:r>
      <w:r w:rsidR="007A1623">
        <w:rPr>
          <w:rFonts w:ascii="Times New Roman" w:eastAsiaTheme="minorEastAsia" w:hAnsi="Times New Roman" w:cs="Times New Roman"/>
          <w:sz w:val="24"/>
          <w:szCs w:val="24"/>
        </w:rPr>
        <w:t>fixed effects</w:t>
      </w:r>
      <w:r w:rsidRPr="001E1F05">
        <w:rPr>
          <w:rFonts w:ascii="Times New Roman" w:eastAsiaTheme="minorEastAsia" w:hAnsi="Times New Roman" w:cs="Times New Roman"/>
          <w:sz w:val="24"/>
          <w:szCs w:val="24"/>
        </w:rPr>
        <w:t xml:space="preserve"> present </w:t>
      </w:r>
      <w:r w:rsidR="007A1623">
        <w:rPr>
          <w:rFonts w:ascii="Times New Roman" w:eastAsiaTheme="minorEastAsia" w:hAnsi="Times New Roman" w:cs="Times New Roman"/>
          <w:sz w:val="24"/>
          <w:szCs w:val="24"/>
        </w:rPr>
        <w:t xml:space="preserve">notable collinearity </w:t>
      </w:r>
      <w:r w:rsidRPr="001E1F05">
        <w:rPr>
          <w:rFonts w:ascii="Times New Roman" w:eastAsiaTheme="minorEastAsia" w:hAnsi="Times New Roman" w:cs="Times New Roman"/>
          <w:sz w:val="24"/>
          <w:szCs w:val="24"/>
        </w:rPr>
        <w:t xml:space="preserve">problems for </w:t>
      </w:r>
      <w:r w:rsidR="007A1623">
        <w:rPr>
          <w:rFonts w:ascii="Times New Roman" w:eastAsiaTheme="minorEastAsia" w:hAnsi="Times New Roman" w:cs="Times New Roman"/>
          <w:sz w:val="24"/>
          <w:szCs w:val="24"/>
        </w:rPr>
        <w:t>slow-moving (</w:t>
      </w:r>
      <w:r w:rsidRPr="001E1F05">
        <w:rPr>
          <w:rFonts w:ascii="Times New Roman" w:eastAsiaTheme="minorEastAsia" w:hAnsi="Times New Roman" w:cs="Times New Roman"/>
          <w:sz w:val="24"/>
          <w:szCs w:val="24"/>
        </w:rPr>
        <w:t>institutional</w:t>
      </w:r>
      <w:r w:rsidR="007A1623">
        <w:rPr>
          <w:rFonts w:ascii="Times New Roman" w:eastAsiaTheme="minorEastAsia" w:hAnsi="Times New Roman" w:cs="Times New Roman"/>
          <w:sz w:val="24"/>
          <w:szCs w:val="24"/>
        </w:rPr>
        <w:t>)</w:t>
      </w:r>
      <w:r w:rsidRPr="001E1F05">
        <w:rPr>
          <w:rFonts w:ascii="Times New Roman" w:eastAsiaTheme="minorEastAsia" w:hAnsi="Times New Roman" w:cs="Times New Roman"/>
          <w:sz w:val="24"/>
          <w:szCs w:val="24"/>
        </w:rPr>
        <w:t xml:space="preserve"> </w:t>
      </w:r>
      <w:r w:rsidR="007A1623">
        <w:rPr>
          <w:rFonts w:ascii="Times New Roman" w:eastAsiaTheme="minorEastAsia" w:hAnsi="Times New Roman" w:cs="Times New Roman"/>
          <w:sz w:val="24"/>
          <w:szCs w:val="24"/>
        </w:rPr>
        <w:t xml:space="preserve">independent </w:t>
      </w:r>
      <w:r w:rsidRPr="001E1F05">
        <w:rPr>
          <w:rFonts w:ascii="Times New Roman" w:eastAsiaTheme="minorEastAsia" w:hAnsi="Times New Roman" w:cs="Times New Roman"/>
          <w:sz w:val="24"/>
          <w:szCs w:val="24"/>
        </w:rPr>
        <w:t>variables,</w:t>
      </w:r>
      <w:r w:rsidR="00D10CE8" w:rsidRPr="001E1F05">
        <w:rPr>
          <w:rFonts w:ascii="Times New Roman" w:eastAsiaTheme="minorEastAsia" w:hAnsi="Times New Roman" w:cs="Times New Roman"/>
          <w:sz w:val="24"/>
          <w:szCs w:val="24"/>
        </w:rPr>
        <w:t xml:space="preserve"> </w:t>
      </w:r>
      <w:r w:rsidR="007A1623">
        <w:rPr>
          <w:rFonts w:ascii="Times New Roman" w:eastAsiaTheme="minorEastAsia" w:hAnsi="Times New Roman" w:cs="Times New Roman"/>
          <w:sz w:val="24"/>
          <w:szCs w:val="24"/>
        </w:rPr>
        <w:t>by inflating their standard errors</w:t>
      </w:r>
      <w:r w:rsidR="00717B29">
        <w:rPr>
          <w:rFonts w:ascii="Times New Roman" w:eastAsiaTheme="minorEastAsia" w:hAnsi="Times New Roman" w:cs="Times New Roman"/>
          <w:sz w:val="24"/>
          <w:szCs w:val="24"/>
        </w:rPr>
        <w:t>, which is why we opt to exclude them here</w:t>
      </w:r>
      <w:r w:rsidR="00D10CE8" w:rsidRPr="001E1F05">
        <w:rPr>
          <w:rFonts w:ascii="Times New Roman" w:eastAsiaTheme="minorEastAsia" w:hAnsi="Times New Roman" w:cs="Times New Roman"/>
          <w:sz w:val="24"/>
          <w:szCs w:val="24"/>
        </w:rPr>
        <w:t xml:space="preserve"> </w:t>
      </w:r>
      <w:r w:rsidR="009B6657" w:rsidRPr="001E1F05">
        <w:rPr>
          <w:rFonts w:ascii="Times New Roman" w:eastAsiaTheme="minorEastAsia" w:hAnsi="Times New Roman" w:cs="Times New Roman"/>
          <w:sz w:val="24"/>
          <w:szCs w:val="24"/>
        </w:rPr>
        <w:t xml:space="preserve">(see </w:t>
      </w:r>
      <w:proofErr w:type="spellStart"/>
      <w:r w:rsidR="009B6657" w:rsidRPr="001E1F05">
        <w:rPr>
          <w:rFonts w:ascii="Times New Roman" w:hAnsi="Times New Roman" w:cs="Times New Roman"/>
          <w:sz w:val="24"/>
          <w:szCs w:val="24"/>
        </w:rPr>
        <w:t>Plümper</w:t>
      </w:r>
      <w:proofErr w:type="spellEnd"/>
      <w:r w:rsidR="009B6657" w:rsidRPr="001E1F05">
        <w:rPr>
          <w:rFonts w:ascii="Times New Roman" w:hAnsi="Times New Roman" w:cs="Times New Roman"/>
          <w:sz w:val="24"/>
          <w:szCs w:val="24"/>
        </w:rPr>
        <w:t xml:space="preserve"> et al, 2005</w:t>
      </w:r>
      <w:r w:rsidRPr="001E1F05">
        <w:rPr>
          <w:rFonts w:ascii="Times New Roman" w:hAnsi="Times New Roman" w:cs="Times New Roman"/>
          <w:sz w:val="24"/>
          <w:szCs w:val="24"/>
        </w:rPr>
        <w:t xml:space="preserve"> for a more robust critique on the use of fixed effects with institutional variables</w:t>
      </w:r>
      <w:r w:rsidR="009B6657" w:rsidRPr="001E1F05">
        <w:rPr>
          <w:rFonts w:ascii="Times New Roman" w:hAnsi="Times New Roman" w:cs="Times New Roman"/>
          <w:sz w:val="24"/>
          <w:szCs w:val="24"/>
        </w:rPr>
        <w:t>)</w:t>
      </w:r>
      <w:r w:rsidRPr="001E1F05">
        <w:rPr>
          <w:rFonts w:ascii="Times New Roman" w:hAnsi="Times New Roman" w:cs="Times New Roman"/>
          <w:sz w:val="24"/>
          <w:szCs w:val="24"/>
        </w:rPr>
        <w:t>.</w:t>
      </w:r>
      <w:r w:rsidR="009B6657" w:rsidRPr="001E1F05">
        <w:rPr>
          <w:rFonts w:ascii="Times New Roman" w:eastAsiaTheme="minorEastAsia"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TE</m:t>
                </m:r>
              </m:e>
              <m:sub>
                <m:r>
                  <w:rPr>
                    <w:rFonts w:ascii="Cambria Math" w:eastAsiaTheme="minorEastAsia" w:hAnsi="Cambria Math" w:cs="Times New Roman"/>
                    <w:sz w:val="24"/>
                    <w:szCs w:val="24"/>
                  </w:rPr>
                  <m:t>i</m:t>
                </m:r>
              </m:sub>
            </m:sSub>
          </m:e>
        </m:nary>
      </m:oMath>
      <w:r w:rsidR="009B6657" w:rsidRPr="001E1F05">
        <w:rPr>
          <w:rFonts w:ascii="Times New Roman" w:eastAsiaTheme="minorEastAsia" w:hAnsi="Times New Roman" w:cs="Times New Roman"/>
          <w:sz w:val="24"/>
          <w:szCs w:val="24"/>
        </w:rPr>
        <w:t xml:space="preserve"> </w:t>
      </w:r>
      <w:proofErr w:type="gramStart"/>
      <w:r w:rsidR="009B6657" w:rsidRPr="001E1F05">
        <w:rPr>
          <w:rFonts w:ascii="Times New Roman" w:eastAsiaTheme="minorEastAsia" w:hAnsi="Times New Roman" w:cs="Times New Roman"/>
          <w:sz w:val="24"/>
          <w:szCs w:val="24"/>
        </w:rPr>
        <w:t>is</w:t>
      </w:r>
      <w:proofErr w:type="gramEnd"/>
      <w:r w:rsidR="009B6657" w:rsidRPr="001E1F05">
        <w:rPr>
          <w:rFonts w:ascii="Times New Roman" w:eastAsiaTheme="minorEastAsia" w:hAnsi="Times New Roman" w:cs="Times New Roman"/>
          <w:sz w:val="24"/>
          <w:szCs w:val="24"/>
        </w:rPr>
        <w:t xml:space="preserve"> a vector of (n-1) time dummies in order to control for omitted common shocks that would impact </w:t>
      </w:r>
      <w:r w:rsidR="009B6657" w:rsidRPr="001E1F05">
        <w:rPr>
          <w:rFonts w:ascii="Times New Roman" w:eastAsiaTheme="minorEastAsia" w:hAnsi="Times New Roman" w:cs="Times New Roman"/>
          <w:sz w:val="24"/>
          <w:szCs w:val="24"/>
        </w:rPr>
        <w:lastRenderedPageBreak/>
        <w:t>housing inflation across countries, but that vary over time.   W</w:t>
      </w:r>
      <w:proofErr w:type="spellStart"/>
      <w:r w:rsidR="009B6657" w:rsidRPr="001E1F05">
        <w:rPr>
          <w:rFonts w:ascii="Times New Roman" w:eastAsiaTheme="minorEastAsia" w:hAnsi="Times New Roman" w:cs="Times New Roman"/>
          <w:sz w:val="24"/>
          <w:szCs w:val="24"/>
        </w:rPr>
        <w:t>ooldridge</w:t>
      </w:r>
      <w:proofErr w:type="spellEnd"/>
      <w:r w:rsidR="009B6657" w:rsidRPr="001E1F05">
        <w:rPr>
          <w:rFonts w:ascii="Times New Roman" w:eastAsiaTheme="minorEastAsia" w:hAnsi="Times New Roman" w:cs="Times New Roman"/>
          <w:sz w:val="24"/>
          <w:szCs w:val="24"/>
        </w:rPr>
        <w:t xml:space="preserve"> tests for autocorrelation and likelihood ratio tests indicated that both first order serial correlation and heteroskedasticity wer</w:t>
      </w:r>
      <w:r w:rsidRPr="001E1F05">
        <w:rPr>
          <w:rFonts w:ascii="Times New Roman" w:eastAsiaTheme="minorEastAsia" w:hAnsi="Times New Roman" w:cs="Times New Roman"/>
          <w:sz w:val="24"/>
          <w:szCs w:val="24"/>
        </w:rPr>
        <w:t>e present in our baseline models</w:t>
      </w:r>
      <w:r w:rsidR="009B6657" w:rsidRPr="001E1F05">
        <w:rPr>
          <w:rFonts w:ascii="Times New Roman" w:eastAsiaTheme="minorEastAsia" w:hAnsi="Times New Roman" w:cs="Times New Roman"/>
          <w:sz w:val="24"/>
          <w:szCs w:val="24"/>
        </w:rPr>
        <w:t xml:space="preserve">. Consequently, we used country-clustered standard errors to correct for downward bias in our standard errors. </w:t>
      </w:r>
    </w:p>
    <w:p w14:paraId="4BCC5CAE" w14:textId="77777777" w:rsidR="009B6657" w:rsidRPr="001E1F05" w:rsidRDefault="009B6657" w:rsidP="00EA542B">
      <w:pPr>
        <w:keepNext/>
        <w:spacing w:before="100" w:beforeAutospacing="1" w:after="100" w:afterAutospacing="1" w:line="240" w:lineRule="auto"/>
        <w:jc w:val="both"/>
        <w:rPr>
          <w:rFonts w:ascii="Times New Roman" w:eastAsiaTheme="minorEastAsia" w:hAnsi="Times New Roman" w:cs="Times New Roman"/>
          <w:i/>
          <w:sz w:val="24"/>
          <w:szCs w:val="24"/>
        </w:rPr>
      </w:pPr>
      <w:r w:rsidRPr="001E1F05">
        <w:rPr>
          <w:rFonts w:ascii="Times New Roman" w:eastAsiaTheme="minorEastAsia" w:hAnsi="Times New Roman" w:cs="Times New Roman"/>
          <w:i/>
          <w:sz w:val="24"/>
          <w:szCs w:val="24"/>
        </w:rPr>
        <w:t>Results</w:t>
      </w:r>
    </w:p>
    <w:p w14:paraId="4F3CDF37" w14:textId="3B12C15E" w:rsidR="001E1F05" w:rsidRDefault="009B6657" w:rsidP="00F92FEF">
      <w:pPr>
        <w:spacing w:before="100" w:beforeAutospacing="1" w:after="100" w:afterAutospacing="1" w:line="360" w:lineRule="auto"/>
        <w:jc w:val="both"/>
        <w:rPr>
          <w:rFonts w:ascii="Times New Roman" w:eastAsiaTheme="minorEastAsia" w:hAnsi="Times New Roman" w:cs="Times New Roman"/>
          <w:sz w:val="24"/>
          <w:szCs w:val="24"/>
        </w:rPr>
      </w:pPr>
      <w:r w:rsidRPr="001E1F05">
        <w:rPr>
          <w:rFonts w:ascii="Times New Roman" w:eastAsiaTheme="minorEastAsia" w:hAnsi="Times New Roman" w:cs="Times New Roman"/>
          <w:sz w:val="24"/>
          <w:szCs w:val="24"/>
        </w:rPr>
        <w:t>Table 1 pro</w:t>
      </w:r>
      <w:r w:rsidR="001E1F05" w:rsidRPr="001E1F05">
        <w:rPr>
          <w:rFonts w:ascii="Times New Roman" w:eastAsiaTheme="minorEastAsia" w:hAnsi="Times New Roman" w:cs="Times New Roman"/>
          <w:sz w:val="24"/>
          <w:szCs w:val="24"/>
        </w:rPr>
        <w:t xml:space="preserve">vides our results.  Because our </w:t>
      </w:r>
      <w:r w:rsidR="00717B29">
        <w:rPr>
          <w:rFonts w:ascii="Times New Roman" w:eastAsiaTheme="minorEastAsia" w:hAnsi="Times New Roman" w:cs="Times New Roman"/>
          <w:sz w:val="24"/>
          <w:szCs w:val="24"/>
        </w:rPr>
        <w:t>four</w:t>
      </w:r>
      <w:r w:rsidR="00717B29" w:rsidRPr="001E1F05">
        <w:rPr>
          <w:rFonts w:ascii="Times New Roman" w:eastAsiaTheme="minorEastAsia" w:hAnsi="Times New Roman" w:cs="Times New Roman"/>
          <w:sz w:val="24"/>
          <w:szCs w:val="24"/>
        </w:rPr>
        <w:t xml:space="preserve"> </w:t>
      </w:r>
      <w:r w:rsidR="001E1F05" w:rsidRPr="001E1F05">
        <w:rPr>
          <w:rFonts w:ascii="Times New Roman" w:eastAsiaTheme="minorEastAsia" w:hAnsi="Times New Roman" w:cs="Times New Roman"/>
          <w:sz w:val="24"/>
          <w:szCs w:val="24"/>
        </w:rPr>
        <w:t>measures of labor market institutions can re-enforce each other (countries with high trade union density also tend to have higher levels of wage coordination</w:t>
      </w:r>
      <w:r w:rsidR="00717B29">
        <w:rPr>
          <w:rFonts w:ascii="Times New Roman" w:eastAsiaTheme="minorEastAsia" w:hAnsi="Times New Roman" w:cs="Times New Roman"/>
          <w:sz w:val="24"/>
          <w:szCs w:val="24"/>
        </w:rPr>
        <w:t>,</w:t>
      </w:r>
      <w:r w:rsidR="001E1F05" w:rsidRPr="001E1F05">
        <w:rPr>
          <w:rFonts w:ascii="Times New Roman" w:eastAsiaTheme="minorEastAsia" w:hAnsi="Times New Roman" w:cs="Times New Roman"/>
          <w:sz w:val="24"/>
          <w:szCs w:val="24"/>
        </w:rPr>
        <w:t xml:space="preserve"> centralization</w:t>
      </w:r>
      <w:r w:rsidR="00717B29">
        <w:rPr>
          <w:rFonts w:ascii="Times New Roman" w:eastAsiaTheme="minorEastAsia" w:hAnsi="Times New Roman" w:cs="Times New Roman"/>
          <w:sz w:val="24"/>
          <w:szCs w:val="24"/>
        </w:rPr>
        <w:t xml:space="preserve"> and bargaining coverage</w:t>
      </w:r>
      <w:r w:rsidR="001E1F05" w:rsidRPr="001E1F05">
        <w:rPr>
          <w:rFonts w:ascii="Times New Roman" w:eastAsiaTheme="minorEastAsia" w:hAnsi="Times New Roman" w:cs="Times New Roman"/>
          <w:sz w:val="24"/>
          <w:szCs w:val="24"/>
        </w:rPr>
        <w:t xml:space="preserve">), we incorporate these </w:t>
      </w:r>
      <w:r w:rsidR="00717B29">
        <w:rPr>
          <w:rFonts w:ascii="Times New Roman" w:eastAsiaTheme="minorEastAsia" w:hAnsi="Times New Roman" w:cs="Times New Roman"/>
          <w:sz w:val="24"/>
          <w:szCs w:val="24"/>
        </w:rPr>
        <w:t xml:space="preserve">four </w:t>
      </w:r>
      <w:r w:rsidR="001E1F05" w:rsidRPr="001E1F05">
        <w:rPr>
          <w:rFonts w:ascii="Times New Roman" w:eastAsiaTheme="minorEastAsia" w:hAnsi="Times New Roman" w:cs="Times New Roman"/>
          <w:sz w:val="24"/>
          <w:szCs w:val="24"/>
        </w:rPr>
        <w:t>variables in separate models.  Models I, II</w:t>
      </w:r>
      <w:r w:rsidR="00717B29">
        <w:rPr>
          <w:rFonts w:ascii="Times New Roman" w:eastAsiaTheme="minorEastAsia" w:hAnsi="Times New Roman" w:cs="Times New Roman"/>
          <w:sz w:val="24"/>
          <w:szCs w:val="24"/>
        </w:rPr>
        <w:t>,</w:t>
      </w:r>
      <w:r w:rsidR="001E1F05" w:rsidRPr="001E1F05">
        <w:rPr>
          <w:rFonts w:ascii="Times New Roman" w:eastAsiaTheme="minorEastAsia" w:hAnsi="Times New Roman" w:cs="Times New Roman"/>
          <w:sz w:val="24"/>
          <w:szCs w:val="24"/>
        </w:rPr>
        <w:t xml:space="preserve"> III</w:t>
      </w:r>
      <w:r w:rsidR="00717B29">
        <w:rPr>
          <w:rFonts w:ascii="Times New Roman" w:eastAsiaTheme="minorEastAsia" w:hAnsi="Times New Roman" w:cs="Times New Roman"/>
          <w:sz w:val="24"/>
          <w:szCs w:val="24"/>
        </w:rPr>
        <w:t xml:space="preserve"> and IV</w:t>
      </w:r>
      <w:r w:rsidRPr="001E1F05">
        <w:rPr>
          <w:rFonts w:ascii="Times New Roman" w:eastAsiaTheme="minorEastAsia" w:hAnsi="Times New Roman" w:cs="Times New Roman"/>
          <w:sz w:val="24"/>
          <w:szCs w:val="24"/>
        </w:rPr>
        <w:t xml:space="preserve"> use wage coordination</w:t>
      </w:r>
      <w:r w:rsidR="001E1F05" w:rsidRPr="001E1F05">
        <w:rPr>
          <w:rFonts w:ascii="Times New Roman" w:eastAsiaTheme="minorEastAsia" w:hAnsi="Times New Roman" w:cs="Times New Roman"/>
          <w:sz w:val="24"/>
          <w:szCs w:val="24"/>
        </w:rPr>
        <w:t>, wage centralization, trade union density,</w:t>
      </w:r>
      <w:r w:rsidR="00717B29">
        <w:rPr>
          <w:rFonts w:ascii="Times New Roman" w:eastAsiaTheme="minorEastAsia" w:hAnsi="Times New Roman" w:cs="Times New Roman"/>
          <w:sz w:val="24"/>
          <w:szCs w:val="24"/>
        </w:rPr>
        <w:t xml:space="preserve"> and collective bargaining coverage,</w:t>
      </w:r>
      <w:r w:rsidR="001E1F05" w:rsidRPr="001E1F05">
        <w:rPr>
          <w:rFonts w:ascii="Times New Roman" w:eastAsiaTheme="minorEastAsia" w:hAnsi="Times New Roman" w:cs="Times New Roman"/>
          <w:sz w:val="24"/>
          <w:szCs w:val="24"/>
        </w:rPr>
        <w:t xml:space="preserve"> respectively, as our</w:t>
      </w:r>
      <w:r w:rsidRPr="001E1F05">
        <w:rPr>
          <w:rFonts w:ascii="Times New Roman" w:eastAsiaTheme="minorEastAsia" w:hAnsi="Times New Roman" w:cs="Times New Roman"/>
          <w:sz w:val="24"/>
          <w:szCs w:val="24"/>
        </w:rPr>
        <w:t xml:space="preserve"> measure of </w:t>
      </w:r>
      <w:r w:rsidR="001E1F05" w:rsidRPr="001E1F05">
        <w:rPr>
          <w:rFonts w:ascii="Times New Roman" w:eastAsiaTheme="minorEastAsia" w:hAnsi="Times New Roman" w:cs="Times New Roman"/>
          <w:sz w:val="24"/>
          <w:szCs w:val="24"/>
        </w:rPr>
        <w:t>(employment/income security enhancing) labor market institutions.</w:t>
      </w:r>
      <w:r w:rsidRPr="001E1F05">
        <w:rPr>
          <w:rFonts w:ascii="Times New Roman" w:eastAsiaTheme="minorEastAsia" w:hAnsi="Times New Roman" w:cs="Times New Roman"/>
          <w:sz w:val="24"/>
          <w:szCs w:val="24"/>
        </w:rPr>
        <w:t xml:space="preserve"> </w:t>
      </w:r>
      <w:r w:rsidR="0081438C">
        <w:rPr>
          <w:rFonts w:ascii="Times New Roman" w:eastAsiaTheme="minorEastAsia" w:hAnsi="Times New Roman" w:cs="Times New Roman"/>
          <w:sz w:val="24"/>
          <w:szCs w:val="24"/>
        </w:rPr>
        <w:t xml:space="preserve"> To preserve space, we only present findings for the institutional variables – the </w:t>
      </w:r>
      <w:r w:rsidR="006E5135">
        <w:rPr>
          <w:rFonts w:ascii="Times New Roman" w:eastAsiaTheme="minorEastAsia" w:hAnsi="Times New Roman" w:cs="Times New Roman"/>
          <w:sz w:val="24"/>
          <w:szCs w:val="24"/>
        </w:rPr>
        <w:t>full table of results is</w:t>
      </w:r>
      <w:r w:rsidR="0081438C">
        <w:rPr>
          <w:rFonts w:ascii="Times New Roman" w:eastAsiaTheme="minorEastAsia" w:hAnsi="Times New Roman" w:cs="Times New Roman"/>
          <w:sz w:val="24"/>
          <w:szCs w:val="24"/>
        </w:rPr>
        <w:t xml:space="preserve"> provided in Appendix A.</w:t>
      </w:r>
    </w:p>
    <w:p w14:paraId="59910737"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2BCEC18B"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35E3AEF0"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7ABB04ED"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73B8ECD5"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1862A795"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1BC3D0E1"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423101BC"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6D1C5366" w14:textId="77777777" w:rsid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72B8628B" w14:textId="77777777" w:rsidR="00F92FEF" w:rsidRPr="00F92FEF" w:rsidRDefault="00F92FEF" w:rsidP="00F92FEF">
      <w:pPr>
        <w:spacing w:before="100" w:beforeAutospacing="1" w:after="100" w:afterAutospacing="1" w:line="360" w:lineRule="auto"/>
        <w:jc w:val="both"/>
        <w:rPr>
          <w:rFonts w:ascii="Times New Roman" w:eastAsiaTheme="minorEastAsia" w:hAnsi="Times New Roman" w:cs="Times New Roman"/>
          <w:sz w:val="24"/>
          <w:szCs w:val="24"/>
        </w:rPr>
      </w:pPr>
    </w:p>
    <w:p w14:paraId="05109E4F" w14:textId="16D39664" w:rsidR="009B6657" w:rsidRDefault="009B6657" w:rsidP="001E1F05">
      <w:pPr>
        <w:spacing w:before="100" w:beforeAutospacing="1" w:after="100" w:afterAutospacing="1" w:line="240" w:lineRule="auto"/>
        <w:jc w:val="center"/>
        <w:rPr>
          <w:rFonts w:ascii="Times New Roman" w:eastAsiaTheme="minorEastAsia" w:hAnsi="Times New Roman" w:cs="Times New Roman"/>
          <w:b/>
          <w:sz w:val="24"/>
          <w:szCs w:val="24"/>
        </w:rPr>
      </w:pPr>
      <w:r w:rsidRPr="001E1F05">
        <w:rPr>
          <w:rFonts w:ascii="Times New Roman" w:eastAsiaTheme="minorEastAsia" w:hAnsi="Times New Roman" w:cs="Times New Roman"/>
          <w:b/>
          <w:sz w:val="24"/>
          <w:szCs w:val="24"/>
        </w:rPr>
        <w:lastRenderedPageBreak/>
        <w:t xml:space="preserve">Table 1: Institutional determinants of </w:t>
      </w:r>
      <w:r w:rsidR="001E1F05" w:rsidRPr="001E1F05">
        <w:rPr>
          <w:rFonts w:ascii="Times New Roman" w:eastAsiaTheme="minorEastAsia" w:hAnsi="Times New Roman" w:cs="Times New Roman"/>
          <w:b/>
          <w:sz w:val="24"/>
          <w:szCs w:val="24"/>
        </w:rPr>
        <w:t>household debt accumulation</w:t>
      </w:r>
    </w:p>
    <w:tbl>
      <w:tblPr>
        <w:tblW w:w="10086" w:type="dxa"/>
        <w:tblInd w:w="-510" w:type="dxa"/>
        <w:tblLook w:val="04A0" w:firstRow="1" w:lastRow="0" w:firstColumn="1" w:lastColumn="0" w:noHBand="0" w:noVBand="1"/>
      </w:tblPr>
      <w:tblGrid>
        <w:gridCol w:w="4060"/>
        <w:gridCol w:w="1530"/>
        <w:gridCol w:w="1530"/>
        <w:gridCol w:w="1530"/>
        <w:gridCol w:w="1436"/>
      </w:tblGrid>
      <w:tr w:rsidR="00363E69" w:rsidRPr="001E1F05" w14:paraId="242B7A77" w14:textId="4AEE43C5" w:rsidTr="00425ECE">
        <w:trPr>
          <w:trHeight w:val="315"/>
        </w:trPr>
        <w:tc>
          <w:tcPr>
            <w:tcW w:w="4060" w:type="dxa"/>
            <w:tcBorders>
              <w:top w:val="single" w:sz="8" w:space="0" w:color="auto"/>
              <w:left w:val="single" w:sz="8" w:space="0" w:color="auto"/>
              <w:bottom w:val="single" w:sz="8" w:space="0" w:color="auto"/>
              <w:right w:val="nil"/>
            </w:tcBorders>
            <w:shd w:val="clear" w:color="auto" w:fill="auto"/>
            <w:noWrap/>
            <w:vAlign w:val="center"/>
            <w:hideMark/>
          </w:tcPr>
          <w:p w14:paraId="20D0D8E8" w14:textId="1D44A3C1" w:rsidR="00363E69" w:rsidRPr="00425ECE" w:rsidRDefault="00363E69" w:rsidP="001E1F05">
            <w:pPr>
              <w:spacing w:after="0" w:line="240" w:lineRule="auto"/>
              <w:jc w:val="center"/>
              <w:rPr>
                <w:rFonts w:ascii="Cambria" w:eastAsia="Times New Roman" w:hAnsi="Cambria" w:cs="Times New Roman"/>
                <w:b/>
                <w:color w:val="000000"/>
                <w:sz w:val="20"/>
                <w:szCs w:val="20"/>
              </w:rPr>
            </w:pP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E0770" w14:textId="77777777" w:rsidR="00363E69" w:rsidRPr="00425ECE" w:rsidRDefault="00363E69" w:rsidP="00425ECE">
            <w:pPr>
              <w:spacing w:after="0" w:line="240" w:lineRule="auto"/>
              <w:jc w:val="center"/>
              <w:rPr>
                <w:rFonts w:ascii="Cambria" w:eastAsia="Times New Roman" w:hAnsi="Cambria" w:cs="Times New Roman"/>
                <w:b/>
                <w:color w:val="000000"/>
                <w:sz w:val="20"/>
                <w:szCs w:val="20"/>
              </w:rPr>
            </w:pPr>
            <w:r w:rsidRPr="00425ECE">
              <w:rPr>
                <w:rFonts w:ascii="Cambria" w:eastAsia="Times New Roman" w:hAnsi="Cambria" w:cs="Times New Roman"/>
                <w:b/>
                <w:color w:val="000000"/>
                <w:sz w:val="20"/>
                <w:szCs w:val="20"/>
              </w:rPr>
              <w:t>I</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26100E49" w14:textId="77777777" w:rsidR="00363E69" w:rsidRPr="00425ECE" w:rsidRDefault="00363E69" w:rsidP="00425ECE">
            <w:pPr>
              <w:spacing w:after="0" w:line="240" w:lineRule="auto"/>
              <w:jc w:val="center"/>
              <w:rPr>
                <w:rFonts w:ascii="Cambria" w:eastAsia="Times New Roman" w:hAnsi="Cambria" w:cs="Times New Roman"/>
                <w:b/>
                <w:color w:val="000000"/>
                <w:sz w:val="20"/>
                <w:szCs w:val="20"/>
              </w:rPr>
            </w:pPr>
            <w:r w:rsidRPr="00425ECE">
              <w:rPr>
                <w:rFonts w:ascii="Cambria" w:eastAsia="Times New Roman" w:hAnsi="Cambria" w:cs="Times New Roman"/>
                <w:b/>
                <w:color w:val="000000"/>
                <w:sz w:val="20"/>
                <w:szCs w:val="20"/>
              </w:rPr>
              <w:t>II</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5100BBA5" w14:textId="77777777" w:rsidR="00363E69" w:rsidRPr="00425ECE" w:rsidRDefault="00363E69" w:rsidP="00425ECE">
            <w:pPr>
              <w:spacing w:after="0" w:line="240" w:lineRule="auto"/>
              <w:jc w:val="center"/>
              <w:rPr>
                <w:rFonts w:ascii="Cambria" w:eastAsia="Times New Roman" w:hAnsi="Cambria" w:cs="Times New Roman"/>
                <w:b/>
                <w:color w:val="000000"/>
                <w:sz w:val="20"/>
                <w:szCs w:val="20"/>
              </w:rPr>
            </w:pPr>
            <w:r w:rsidRPr="00425ECE">
              <w:rPr>
                <w:rFonts w:ascii="Cambria" w:eastAsia="Times New Roman" w:hAnsi="Cambria" w:cs="Times New Roman"/>
                <w:b/>
                <w:color w:val="000000"/>
                <w:sz w:val="20"/>
                <w:szCs w:val="20"/>
              </w:rPr>
              <w:t>III</w:t>
            </w:r>
          </w:p>
        </w:tc>
        <w:tc>
          <w:tcPr>
            <w:tcW w:w="1436" w:type="dxa"/>
            <w:tcBorders>
              <w:top w:val="single" w:sz="8" w:space="0" w:color="auto"/>
              <w:left w:val="nil"/>
              <w:bottom w:val="single" w:sz="8" w:space="0" w:color="auto"/>
              <w:right w:val="single" w:sz="8" w:space="0" w:color="auto"/>
            </w:tcBorders>
            <w:vAlign w:val="center"/>
          </w:tcPr>
          <w:p w14:paraId="31AAAB3E" w14:textId="1EB56E9B" w:rsidR="00363E69" w:rsidRPr="00425ECE" w:rsidRDefault="00425ECE" w:rsidP="00425ECE">
            <w:pPr>
              <w:spacing w:after="0" w:line="240" w:lineRule="auto"/>
              <w:jc w:val="center"/>
              <w:rPr>
                <w:rFonts w:ascii="Cambria" w:eastAsia="Times New Roman" w:hAnsi="Cambria" w:cs="Times New Roman"/>
                <w:b/>
                <w:color w:val="000000"/>
                <w:sz w:val="20"/>
                <w:szCs w:val="20"/>
              </w:rPr>
            </w:pPr>
            <w:r w:rsidRPr="00425ECE">
              <w:rPr>
                <w:rFonts w:ascii="Cambria" w:eastAsia="Times New Roman" w:hAnsi="Cambria" w:cs="Times New Roman"/>
                <w:b/>
                <w:color w:val="000000"/>
                <w:sz w:val="20"/>
                <w:szCs w:val="20"/>
              </w:rPr>
              <w:t>IV</w:t>
            </w:r>
          </w:p>
        </w:tc>
      </w:tr>
      <w:tr w:rsidR="00363E69" w:rsidRPr="001E1F05" w14:paraId="1547E58D" w14:textId="7B7838B8" w:rsidTr="000A653C">
        <w:trPr>
          <w:trHeight w:val="300"/>
        </w:trPr>
        <w:tc>
          <w:tcPr>
            <w:tcW w:w="4060" w:type="dxa"/>
            <w:tcBorders>
              <w:top w:val="nil"/>
              <w:left w:val="single" w:sz="8" w:space="0" w:color="auto"/>
              <w:bottom w:val="nil"/>
              <w:right w:val="nil"/>
            </w:tcBorders>
            <w:shd w:val="clear" w:color="auto" w:fill="auto"/>
            <w:noWrap/>
            <w:vAlign w:val="center"/>
            <w:hideMark/>
          </w:tcPr>
          <w:p w14:paraId="3305F2AF" w14:textId="6D4AE2BA"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 xml:space="preserve">Credit </w:t>
            </w:r>
            <w:r w:rsidR="0081438C">
              <w:rPr>
                <w:rFonts w:ascii="Cambria" w:eastAsia="Times New Roman" w:hAnsi="Cambria" w:cs="Times New Roman"/>
                <w:color w:val="000000"/>
                <w:sz w:val="20"/>
                <w:szCs w:val="20"/>
              </w:rPr>
              <w:t xml:space="preserve">Mitigation </w:t>
            </w:r>
            <w:r w:rsidRPr="001E1F05">
              <w:rPr>
                <w:rFonts w:ascii="Cambria" w:eastAsia="Times New Roman" w:hAnsi="Cambria" w:cs="Times New Roman"/>
                <w:color w:val="000000"/>
                <w:sz w:val="20"/>
                <w:szCs w:val="20"/>
              </w:rPr>
              <w:t>Index (t-1)</w:t>
            </w:r>
          </w:p>
        </w:tc>
        <w:tc>
          <w:tcPr>
            <w:tcW w:w="1530" w:type="dxa"/>
            <w:tcBorders>
              <w:top w:val="nil"/>
              <w:left w:val="single" w:sz="8" w:space="0" w:color="auto"/>
              <w:bottom w:val="nil"/>
              <w:right w:val="single" w:sz="8" w:space="0" w:color="auto"/>
            </w:tcBorders>
            <w:shd w:val="clear" w:color="auto" w:fill="auto"/>
            <w:noWrap/>
            <w:vAlign w:val="bottom"/>
            <w:hideMark/>
          </w:tcPr>
          <w:p w14:paraId="063BFA0C"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1.161***</w:t>
            </w:r>
          </w:p>
        </w:tc>
        <w:tc>
          <w:tcPr>
            <w:tcW w:w="1530" w:type="dxa"/>
            <w:tcBorders>
              <w:top w:val="nil"/>
              <w:left w:val="nil"/>
              <w:bottom w:val="nil"/>
              <w:right w:val="single" w:sz="8" w:space="0" w:color="auto"/>
            </w:tcBorders>
            <w:shd w:val="clear" w:color="auto" w:fill="auto"/>
            <w:noWrap/>
            <w:vAlign w:val="bottom"/>
            <w:hideMark/>
          </w:tcPr>
          <w:p w14:paraId="45F44300"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0.681</w:t>
            </w:r>
          </w:p>
        </w:tc>
        <w:tc>
          <w:tcPr>
            <w:tcW w:w="1530" w:type="dxa"/>
            <w:tcBorders>
              <w:top w:val="nil"/>
              <w:left w:val="nil"/>
              <w:bottom w:val="nil"/>
              <w:right w:val="single" w:sz="8" w:space="0" w:color="auto"/>
            </w:tcBorders>
            <w:shd w:val="clear" w:color="auto" w:fill="auto"/>
            <w:noWrap/>
            <w:vAlign w:val="bottom"/>
            <w:hideMark/>
          </w:tcPr>
          <w:p w14:paraId="46BB2A05"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0.392</w:t>
            </w:r>
          </w:p>
        </w:tc>
        <w:tc>
          <w:tcPr>
            <w:tcW w:w="1436" w:type="dxa"/>
            <w:tcBorders>
              <w:top w:val="nil"/>
              <w:left w:val="nil"/>
              <w:bottom w:val="nil"/>
              <w:right w:val="single" w:sz="8" w:space="0" w:color="auto"/>
            </w:tcBorders>
            <w:vAlign w:val="bottom"/>
          </w:tcPr>
          <w:p w14:paraId="4E24EAD2" w14:textId="722213D4"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0.641*</w:t>
            </w:r>
          </w:p>
        </w:tc>
      </w:tr>
      <w:tr w:rsidR="00363E69" w:rsidRPr="001E1F05" w14:paraId="228EA77D" w14:textId="79515D6B" w:rsidTr="000A653C">
        <w:trPr>
          <w:trHeight w:val="300"/>
        </w:trPr>
        <w:tc>
          <w:tcPr>
            <w:tcW w:w="4060" w:type="dxa"/>
            <w:tcBorders>
              <w:top w:val="nil"/>
              <w:left w:val="single" w:sz="8" w:space="0" w:color="auto"/>
              <w:bottom w:val="nil"/>
              <w:right w:val="nil"/>
            </w:tcBorders>
            <w:shd w:val="clear" w:color="auto" w:fill="auto"/>
            <w:noWrap/>
            <w:vAlign w:val="center"/>
            <w:hideMark/>
          </w:tcPr>
          <w:p w14:paraId="023DFCA3" w14:textId="711DD440"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bottom"/>
            <w:hideMark/>
          </w:tcPr>
          <w:p w14:paraId="1F11A55A" w14:textId="3BE4FC4D"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0.009</w:t>
            </w:r>
            <w:r>
              <w:rPr>
                <w:rFonts w:ascii="Cambria" w:eastAsia="Times New Roman" w:hAnsi="Cambria" w:cs="Times New Roman"/>
                <w:color w:val="000000"/>
                <w:sz w:val="20"/>
                <w:szCs w:val="20"/>
              </w:rPr>
              <w:t>)</w:t>
            </w:r>
          </w:p>
        </w:tc>
        <w:tc>
          <w:tcPr>
            <w:tcW w:w="1530" w:type="dxa"/>
            <w:tcBorders>
              <w:top w:val="nil"/>
              <w:left w:val="nil"/>
              <w:bottom w:val="nil"/>
              <w:right w:val="single" w:sz="8" w:space="0" w:color="auto"/>
            </w:tcBorders>
            <w:shd w:val="clear" w:color="auto" w:fill="auto"/>
            <w:noWrap/>
            <w:vAlign w:val="bottom"/>
            <w:hideMark/>
          </w:tcPr>
          <w:p w14:paraId="030120A7" w14:textId="3D5DE3C1"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0.16</w:t>
            </w:r>
            <w:r>
              <w:rPr>
                <w:rFonts w:ascii="Cambria" w:eastAsia="Times New Roman" w:hAnsi="Cambria" w:cs="Times New Roman"/>
                <w:color w:val="000000"/>
                <w:sz w:val="20"/>
                <w:szCs w:val="20"/>
              </w:rPr>
              <w:t>0)</w:t>
            </w:r>
          </w:p>
        </w:tc>
        <w:tc>
          <w:tcPr>
            <w:tcW w:w="1530" w:type="dxa"/>
            <w:tcBorders>
              <w:top w:val="nil"/>
              <w:left w:val="nil"/>
              <w:bottom w:val="nil"/>
              <w:right w:val="single" w:sz="8" w:space="0" w:color="auto"/>
            </w:tcBorders>
            <w:shd w:val="clear" w:color="auto" w:fill="auto"/>
            <w:noWrap/>
            <w:vAlign w:val="bottom"/>
            <w:hideMark/>
          </w:tcPr>
          <w:p w14:paraId="5D4E5E90" w14:textId="55F74964"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0.393</w:t>
            </w:r>
            <w:r>
              <w:rPr>
                <w:rFonts w:ascii="Cambria" w:eastAsia="Times New Roman" w:hAnsi="Cambria" w:cs="Times New Roman"/>
                <w:color w:val="000000"/>
                <w:sz w:val="20"/>
                <w:szCs w:val="20"/>
              </w:rPr>
              <w:t>)</w:t>
            </w:r>
          </w:p>
        </w:tc>
        <w:tc>
          <w:tcPr>
            <w:tcW w:w="1436" w:type="dxa"/>
            <w:tcBorders>
              <w:top w:val="nil"/>
              <w:left w:val="nil"/>
              <w:bottom w:val="nil"/>
              <w:right w:val="single" w:sz="8" w:space="0" w:color="auto"/>
            </w:tcBorders>
            <w:vAlign w:val="bottom"/>
          </w:tcPr>
          <w:p w14:paraId="4179B7A0" w14:textId="020BEDFB" w:rsidR="00363E69" w:rsidRDefault="00425ECE"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w:t>
            </w:r>
            <w:r w:rsidR="00363E69">
              <w:rPr>
                <w:rFonts w:ascii="Cambria" w:hAnsi="Cambria"/>
                <w:color w:val="000000"/>
                <w:sz w:val="20"/>
                <w:szCs w:val="20"/>
              </w:rPr>
              <w:t>0.087</w:t>
            </w:r>
            <w:r>
              <w:rPr>
                <w:rFonts w:ascii="Cambria" w:hAnsi="Cambria"/>
                <w:color w:val="000000"/>
                <w:sz w:val="20"/>
                <w:szCs w:val="20"/>
              </w:rPr>
              <w:t>)</w:t>
            </w:r>
          </w:p>
        </w:tc>
      </w:tr>
      <w:tr w:rsidR="00363E69" w:rsidRPr="001E1F05" w14:paraId="139B7542" w14:textId="75864260" w:rsidTr="000A653C">
        <w:trPr>
          <w:trHeight w:val="300"/>
        </w:trPr>
        <w:tc>
          <w:tcPr>
            <w:tcW w:w="4060" w:type="dxa"/>
            <w:tcBorders>
              <w:top w:val="nil"/>
              <w:left w:val="single" w:sz="8" w:space="0" w:color="auto"/>
              <w:bottom w:val="nil"/>
              <w:right w:val="nil"/>
            </w:tcBorders>
            <w:shd w:val="clear" w:color="auto" w:fill="auto"/>
            <w:noWrap/>
            <w:vAlign w:val="center"/>
            <w:hideMark/>
          </w:tcPr>
          <w:p w14:paraId="55BC237A"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Wage Coordination Index (t-1)</w:t>
            </w:r>
          </w:p>
        </w:tc>
        <w:tc>
          <w:tcPr>
            <w:tcW w:w="1530" w:type="dxa"/>
            <w:tcBorders>
              <w:top w:val="nil"/>
              <w:left w:val="single" w:sz="8" w:space="0" w:color="auto"/>
              <w:bottom w:val="nil"/>
              <w:right w:val="single" w:sz="8" w:space="0" w:color="auto"/>
            </w:tcBorders>
            <w:shd w:val="clear" w:color="auto" w:fill="auto"/>
            <w:noWrap/>
            <w:vAlign w:val="bottom"/>
            <w:hideMark/>
          </w:tcPr>
          <w:p w14:paraId="2DA9DA96"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3.293***</w:t>
            </w:r>
          </w:p>
        </w:tc>
        <w:tc>
          <w:tcPr>
            <w:tcW w:w="1530" w:type="dxa"/>
            <w:tcBorders>
              <w:top w:val="nil"/>
              <w:left w:val="nil"/>
              <w:bottom w:val="nil"/>
              <w:right w:val="single" w:sz="8" w:space="0" w:color="auto"/>
            </w:tcBorders>
            <w:shd w:val="clear" w:color="auto" w:fill="auto"/>
            <w:noWrap/>
            <w:vAlign w:val="center"/>
            <w:hideMark/>
          </w:tcPr>
          <w:p w14:paraId="6833691B" w14:textId="2064A053"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center"/>
            <w:hideMark/>
          </w:tcPr>
          <w:p w14:paraId="17542EFE" w14:textId="4F675A68"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3AAD4121"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3A3CFD5E" w14:textId="23A86A54" w:rsidTr="000A653C">
        <w:trPr>
          <w:trHeight w:val="300"/>
        </w:trPr>
        <w:tc>
          <w:tcPr>
            <w:tcW w:w="4060" w:type="dxa"/>
            <w:tcBorders>
              <w:top w:val="nil"/>
              <w:left w:val="single" w:sz="8" w:space="0" w:color="auto"/>
              <w:bottom w:val="nil"/>
              <w:right w:val="nil"/>
            </w:tcBorders>
            <w:shd w:val="clear" w:color="auto" w:fill="auto"/>
            <w:noWrap/>
            <w:vAlign w:val="center"/>
            <w:hideMark/>
          </w:tcPr>
          <w:p w14:paraId="4DEE142E" w14:textId="4B0421D8"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bottom"/>
            <w:hideMark/>
          </w:tcPr>
          <w:p w14:paraId="4189132F" w14:textId="0AC758D9"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w:t>
            </w:r>
            <w:r>
              <w:rPr>
                <w:rFonts w:ascii="Cambria" w:eastAsia="Times New Roman" w:hAnsi="Cambria" w:cs="Times New Roman"/>
                <w:color w:val="000000"/>
                <w:sz w:val="20"/>
                <w:szCs w:val="20"/>
              </w:rPr>
              <w:t>.000)</w:t>
            </w:r>
          </w:p>
        </w:tc>
        <w:tc>
          <w:tcPr>
            <w:tcW w:w="1530" w:type="dxa"/>
            <w:tcBorders>
              <w:top w:val="nil"/>
              <w:left w:val="nil"/>
              <w:bottom w:val="nil"/>
              <w:right w:val="single" w:sz="8" w:space="0" w:color="auto"/>
            </w:tcBorders>
            <w:shd w:val="clear" w:color="auto" w:fill="auto"/>
            <w:noWrap/>
            <w:vAlign w:val="center"/>
            <w:hideMark/>
          </w:tcPr>
          <w:p w14:paraId="42B1D02F" w14:textId="7893420B"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center"/>
            <w:hideMark/>
          </w:tcPr>
          <w:p w14:paraId="3A8C7A4F" w14:textId="44599363"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0F03DC1B"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55F37E16" w14:textId="221FA524" w:rsidTr="000A653C">
        <w:trPr>
          <w:trHeight w:val="300"/>
        </w:trPr>
        <w:tc>
          <w:tcPr>
            <w:tcW w:w="4060" w:type="dxa"/>
            <w:tcBorders>
              <w:top w:val="nil"/>
              <w:left w:val="single" w:sz="8" w:space="0" w:color="auto"/>
              <w:bottom w:val="nil"/>
              <w:right w:val="nil"/>
            </w:tcBorders>
            <w:shd w:val="clear" w:color="auto" w:fill="auto"/>
            <w:noWrap/>
            <w:vAlign w:val="center"/>
            <w:hideMark/>
          </w:tcPr>
          <w:p w14:paraId="50D0E2BA"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Credit Index * Wage Coordination (t-1)</w:t>
            </w:r>
          </w:p>
        </w:tc>
        <w:tc>
          <w:tcPr>
            <w:tcW w:w="1530" w:type="dxa"/>
            <w:tcBorders>
              <w:top w:val="nil"/>
              <w:left w:val="single" w:sz="8" w:space="0" w:color="auto"/>
              <w:bottom w:val="nil"/>
              <w:right w:val="single" w:sz="8" w:space="0" w:color="auto"/>
            </w:tcBorders>
            <w:shd w:val="clear" w:color="auto" w:fill="auto"/>
            <w:noWrap/>
            <w:vAlign w:val="bottom"/>
            <w:hideMark/>
          </w:tcPr>
          <w:p w14:paraId="7896E2C4"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-0.611***</w:t>
            </w:r>
          </w:p>
        </w:tc>
        <w:tc>
          <w:tcPr>
            <w:tcW w:w="1530" w:type="dxa"/>
            <w:tcBorders>
              <w:top w:val="nil"/>
              <w:left w:val="nil"/>
              <w:bottom w:val="nil"/>
              <w:right w:val="single" w:sz="8" w:space="0" w:color="auto"/>
            </w:tcBorders>
            <w:shd w:val="clear" w:color="auto" w:fill="auto"/>
            <w:noWrap/>
            <w:vAlign w:val="center"/>
            <w:hideMark/>
          </w:tcPr>
          <w:p w14:paraId="4F867A4E" w14:textId="3B780C51"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center"/>
            <w:hideMark/>
          </w:tcPr>
          <w:p w14:paraId="750EDAF9" w14:textId="077D409E"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330F2BCC"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250E98D7" w14:textId="68100327" w:rsidTr="000A653C">
        <w:trPr>
          <w:trHeight w:val="300"/>
        </w:trPr>
        <w:tc>
          <w:tcPr>
            <w:tcW w:w="4060" w:type="dxa"/>
            <w:tcBorders>
              <w:top w:val="nil"/>
              <w:left w:val="single" w:sz="8" w:space="0" w:color="auto"/>
              <w:bottom w:val="nil"/>
              <w:right w:val="nil"/>
            </w:tcBorders>
            <w:shd w:val="clear" w:color="auto" w:fill="auto"/>
            <w:noWrap/>
            <w:vAlign w:val="center"/>
            <w:hideMark/>
          </w:tcPr>
          <w:p w14:paraId="7939071A" w14:textId="6B24A1EC"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bottom"/>
            <w:hideMark/>
          </w:tcPr>
          <w:p w14:paraId="1BD26CFB" w14:textId="1CA8364E"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w:t>
            </w:r>
            <w:r>
              <w:rPr>
                <w:rFonts w:ascii="Cambria" w:eastAsia="Times New Roman" w:hAnsi="Cambria" w:cs="Times New Roman"/>
                <w:color w:val="000000"/>
                <w:sz w:val="20"/>
                <w:szCs w:val="20"/>
              </w:rPr>
              <w:t>.000)</w:t>
            </w:r>
          </w:p>
        </w:tc>
        <w:tc>
          <w:tcPr>
            <w:tcW w:w="1530" w:type="dxa"/>
            <w:tcBorders>
              <w:top w:val="nil"/>
              <w:left w:val="nil"/>
              <w:bottom w:val="nil"/>
              <w:right w:val="single" w:sz="8" w:space="0" w:color="auto"/>
            </w:tcBorders>
            <w:shd w:val="clear" w:color="auto" w:fill="auto"/>
            <w:noWrap/>
            <w:vAlign w:val="center"/>
            <w:hideMark/>
          </w:tcPr>
          <w:p w14:paraId="72AB8876" w14:textId="7764C13C"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center"/>
            <w:hideMark/>
          </w:tcPr>
          <w:p w14:paraId="399F084F" w14:textId="6F56073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4955EB66"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3D499064" w14:textId="0034880B" w:rsidTr="000A653C">
        <w:trPr>
          <w:trHeight w:val="300"/>
        </w:trPr>
        <w:tc>
          <w:tcPr>
            <w:tcW w:w="4060" w:type="dxa"/>
            <w:tcBorders>
              <w:top w:val="nil"/>
              <w:left w:val="single" w:sz="8" w:space="0" w:color="auto"/>
              <w:bottom w:val="nil"/>
              <w:right w:val="nil"/>
            </w:tcBorders>
            <w:shd w:val="clear" w:color="auto" w:fill="auto"/>
            <w:noWrap/>
            <w:vAlign w:val="center"/>
            <w:hideMark/>
          </w:tcPr>
          <w:p w14:paraId="3C0A374A" w14:textId="0474A608"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Bargaining Centralization (t-1)</w:t>
            </w:r>
          </w:p>
        </w:tc>
        <w:tc>
          <w:tcPr>
            <w:tcW w:w="1530" w:type="dxa"/>
            <w:tcBorders>
              <w:top w:val="nil"/>
              <w:left w:val="single" w:sz="8" w:space="0" w:color="auto"/>
              <w:bottom w:val="nil"/>
              <w:right w:val="single" w:sz="8" w:space="0" w:color="auto"/>
            </w:tcBorders>
            <w:shd w:val="clear" w:color="auto" w:fill="auto"/>
            <w:noWrap/>
            <w:vAlign w:val="center"/>
            <w:hideMark/>
          </w:tcPr>
          <w:p w14:paraId="6EF7DAC9" w14:textId="525FC2E3"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3591471C"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3.424***</w:t>
            </w:r>
          </w:p>
        </w:tc>
        <w:tc>
          <w:tcPr>
            <w:tcW w:w="1530" w:type="dxa"/>
            <w:tcBorders>
              <w:top w:val="nil"/>
              <w:left w:val="nil"/>
              <w:bottom w:val="nil"/>
              <w:right w:val="single" w:sz="8" w:space="0" w:color="auto"/>
            </w:tcBorders>
            <w:shd w:val="clear" w:color="auto" w:fill="auto"/>
            <w:noWrap/>
            <w:vAlign w:val="center"/>
            <w:hideMark/>
          </w:tcPr>
          <w:p w14:paraId="2161BAD7" w14:textId="3EC46CAF"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7A53B541"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3F2B1D55" w14:textId="785D85B5" w:rsidTr="000A653C">
        <w:trPr>
          <w:trHeight w:val="300"/>
        </w:trPr>
        <w:tc>
          <w:tcPr>
            <w:tcW w:w="4060" w:type="dxa"/>
            <w:tcBorders>
              <w:top w:val="nil"/>
              <w:left w:val="single" w:sz="8" w:space="0" w:color="auto"/>
              <w:bottom w:val="nil"/>
              <w:right w:val="nil"/>
            </w:tcBorders>
            <w:shd w:val="clear" w:color="auto" w:fill="auto"/>
            <w:noWrap/>
            <w:vAlign w:val="center"/>
            <w:hideMark/>
          </w:tcPr>
          <w:p w14:paraId="4A350E57" w14:textId="108A56D6"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center"/>
            <w:hideMark/>
          </w:tcPr>
          <w:p w14:paraId="7073FA6A" w14:textId="2631FA61"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2C5ABA68" w14:textId="7C380E06"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0.005</w:t>
            </w:r>
            <w:r>
              <w:rPr>
                <w:rFonts w:ascii="Cambria" w:eastAsia="Times New Roman" w:hAnsi="Cambria" w:cs="Times New Roman"/>
                <w:color w:val="000000"/>
                <w:sz w:val="20"/>
                <w:szCs w:val="20"/>
              </w:rPr>
              <w:t>)</w:t>
            </w:r>
          </w:p>
        </w:tc>
        <w:tc>
          <w:tcPr>
            <w:tcW w:w="1530" w:type="dxa"/>
            <w:tcBorders>
              <w:top w:val="nil"/>
              <w:left w:val="nil"/>
              <w:bottom w:val="nil"/>
              <w:right w:val="single" w:sz="8" w:space="0" w:color="auto"/>
            </w:tcBorders>
            <w:shd w:val="clear" w:color="auto" w:fill="auto"/>
            <w:noWrap/>
            <w:vAlign w:val="center"/>
            <w:hideMark/>
          </w:tcPr>
          <w:p w14:paraId="2FADF209" w14:textId="665F1C46"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36DF6C29"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3FE140A5" w14:textId="34454107" w:rsidTr="000A653C">
        <w:trPr>
          <w:trHeight w:val="300"/>
        </w:trPr>
        <w:tc>
          <w:tcPr>
            <w:tcW w:w="4060" w:type="dxa"/>
            <w:tcBorders>
              <w:top w:val="nil"/>
              <w:left w:val="single" w:sz="8" w:space="0" w:color="auto"/>
              <w:bottom w:val="nil"/>
              <w:right w:val="nil"/>
            </w:tcBorders>
            <w:shd w:val="clear" w:color="auto" w:fill="auto"/>
            <w:noWrap/>
            <w:vAlign w:val="center"/>
            <w:hideMark/>
          </w:tcPr>
          <w:p w14:paraId="74112C74"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Credit Index * Centralization (t-1)</w:t>
            </w:r>
          </w:p>
        </w:tc>
        <w:tc>
          <w:tcPr>
            <w:tcW w:w="1530" w:type="dxa"/>
            <w:tcBorders>
              <w:top w:val="nil"/>
              <w:left w:val="single" w:sz="8" w:space="0" w:color="auto"/>
              <w:bottom w:val="nil"/>
              <w:right w:val="single" w:sz="8" w:space="0" w:color="auto"/>
            </w:tcBorders>
            <w:shd w:val="clear" w:color="auto" w:fill="auto"/>
            <w:noWrap/>
            <w:vAlign w:val="center"/>
            <w:hideMark/>
          </w:tcPr>
          <w:p w14:paraId="51E35188" w14:textId="69CC9CBE"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18BB9DC2"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-0.524**</w:t>
            </w:r>
          </w:p>
        </w:tc>
        <w:tc>
          <w:tcPr>
            <w:tcW w:w="1530" w:type="dxa"/>
            <w:tcBorders>
              <w:top w:val="nil"/>
              <w:left w:val="nil"/>
              <w:bottom w:val="nil"/>
              <w:right w:val="single" w:sz="8" w:space="0" w:color="auto"/>
            </w:tcBorders>
            <w:shd w:val="clear" w:color="auto" w:fill="auto"/>
            <w:noWrap/>
            <w:vAlign w:val="center"/>
            <w:hideMark/>
          </w:tcPr>
          <w:p w14:paraId="709FDCA9" w14:textId="69A613C4"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5FDC851B"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7ACEB1B4" w14:textId="29EB354D" w:rsidTr="000A653C">
        <w:trPr>
          <w:trHeight w:val="300"/>
        </w:trPr>
        <w:tc>
          <w:tcPr>
            <w:tcW w:w="4060" w:type="dxa"/>
            <w:tcBorders>
              <w:top w:val="nil"/>
              <w:left w:val="single" w:sz="8" w:space="0" w:color="auto"/>
              <w:bottom w:val="nil"/>
              <w:right w:val="nil"/>
            </w:tcBorders>
            <w:shd w:val="clear" w:color="auto" w:fill="auto"/>
            <w:noWrap/>
            <w:vAlign w:val="center"/>
            <w:hideMark/>
          </w:tcPr>
          <w:p w14:paraId="3F79E085" w14:textId="235131E1"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center"/>
            <w:hideMark/>
          </w:tcPr>
          <w:p w14:paraId="41A71B58" w14:textId="7CF338E3"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42D0CE51" w14:textId="0D7EE528"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0.011</w:t>
            </w:r>
            <w:r>
              <w:rPr>
                <w:rFonts w:ascii="Cambria" w:eastAsia="Times New Roman" w:hAnsi="Cambria" w:cs="Times New Roman"/>
                <w:color w:val="000000"/>
                <w:sz w:val="20"/>
                <w:szCs w:val="20"/>
              </w:rPr>
              <w:t>)</w:t>
            </w:r>
          </w:p>
        </w:tc>
        <w:tc>
          <w:tcPr>
            <w:tcW w:w="1530" w:type="dxa"/>
            <w:tcBorders>
              <w:top w:val="nil"/>
              <w:left w:val="nil"/>
              <w:bottom w:val="nil"/>
              <w:right w:val="single" w:sz="8" w:space="0" w:color="auto"/>
            </w:tcBorders>
            <w:shd w:val="clear" w:color="auto" w:fill="auto"/>
            <w:noWrap/>
            <w:vAlign w:val="center"/>
            <w:hideMark/>
          </w:tcPr>
          <w:p w14:paraId="5F87E0FA" w14:textId="19DA467E"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center"/>
          </w:tcPr>
          <w:p w14:paraId="3F68924E"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49ED05F8" w14:textId="29C1912E" w:rsidTr="000A653C">
        <w:trPr>
          <w:trHeight w:val="300"/>
        </w:trPr>
        <w:tc>
          <w:tcPr>
            <w:tcW w:w="4060" w:type="dxa"/>
            <w:tcBorders>
              <w:top w:val="nil"/>
              <w:left w:val="single" w:sz="8" w:space="0" w:color="auto"/>
              <w:bottom w:val="nil"/>
              <w:right w:val="nil"/>
            </w:tcBorders>
            <w:shd w:val="clear" w:color="auto" w:fill="auto"/>
            <w:noWrap/>
            <w:vAlign w:val="center"/>
            <w:hideMark/>
          </w:tcPr>
          <w:p w14:paraId="66845341"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Trade Union Density (t-1)</w:t>
            </w:r>
          </w:p>
        </w:tc>
        <w:tc>
          <w:tcPr>
            <w:tcW w:w="1530" w:type="dxa"/>
            <w:tcBorders>
              <w:top w:val="nil"/>
              <w:left w:val="single" w:sz="8" w:space="0" w:color="auto"/>
              <w:bottom w:val="nil"/>
              <w:right w:val="single" w:sz="8" w:space="0" w:color="auto"/>
            </w:tcBorders>
            <w:shd w:val="clear" w:color="auto" w:fill="auto"/>
            <w:noWrap/>
            <w:vAlign w:val="center"/>
            <w:hideMark/>
          </w:tcPr>
          <w:p w14:paraId="7D7AD108" w14:textId="65CF0425"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6BB219BD" w14:textId="51DEFE5F"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2A924EFD"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0.215***</w:t>
            </w:r>
          </w:p>
        </w:tc>
        <w:tc>
          <w:tcPr>
            <w:tcW w:w="1436" w:type="dxa"/>
            <w:tcBorders>
              <w:top w:val="nil"/>
              <w:left w:val="nil"/>
              <w:bottom w:val="nil"/>
              <w:right w:val="single" w:sz="8" w:space="0" w:color="auto"/>
            </w:tcBorders>
            <w:vAlign w:val="bottom"/>
          </w:tcPr>
          <w:p w14:paraId="01EB5932"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03D0CC75" w14:textId="3CC99194" w:rsidTr="000A653C">
        <w:trPr>
          <w:trHeight w:val="300"/>
        </w:trPr>
        <w:tc>
          <w:tcPr>
            <w:tcW w:w="4060" w:type="dxa"/>
            <w:tcBorders>
              <w:top w:val="nil"/>
              <w:left w:val="single" w:sz="8" w:space="0" w:color="auto"/>
              <w:bottom w:val="nil"/>
              <w:right w:val="nil"/>
            </w:tcBorders>
            <w:shd w:val="clear" w:color="auto" w:fill="auto"/>
            <w:noWrap/>
            <w:vAlign w:val="center"/>
            <w:hideMark/>
          </w:tcPr>
          <w:p w14:paraId="250ACE91" w14:textId="72D150CF"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center"/>
            <w:hideMark/>
          </w:tcPr>
          <w:p w14:paraId="2AA3517E" w14:textId="63160E48"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567A06D2" w14:textId="602ECE60"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22647B09" w14:textId="5829F570"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w:t>
            </w:r>
            <w:r>
              <w:rPr>
                <w:rFonts w:ascii="Cambria" w:eastAsia="Times New Roman" w:hAnsi="Cambria" w:cs="Times New Roman"/>
                <w:color w:val="000000"/>
                <w:sz w:val="20"/>
                <w:szCs w:val="20"/>
              </w:rPr>
              <w:t>.000)</w:t>
            </w:r>
          </w:p>
        </w:tc>
        <w:tc>
          <w:tcPr>
            <w:tcW w:w="1436" w:type="dxa"/>
            <w:tcBorders>
              <w:top w:val="nil"/>
              <w:left w:val="nil"/>
              <w:bottom w:val="nil"/>
              <w:right w:val="single" w:sz="8" w:space="0" w:color="auto"/>
            </w:tcBorders>
            <w:vAlign w:val="bottom"/>
          </w:tcPr>
          <w:p w14:paraId="1BE2C060" w14:textId="77777777" w:rsidR="00363E69"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5B6050F7" w14:textId="64FAD2AD" w:rsidTr="000A653C">
        <w:trPr>
          <w:trHeight w:val="300"/>
        </w:trPr>
        <w:tc>
          <w:tcPr>
            <w:tcW w:w="4060" w:type="dxa"/>
            <w:tcBorders>
              <w:top w:val="nil"/>
              <w:left w:val="single" w:sz="8" w:space="0" w:color="auto"/>
              <w:bottom w:val="nil"/>
              <w:right w:val="nil"/>
            </w:tcBorders>
            <w:shd w:val="clear" w:color="auto" w:fill="auto"/>
            <w:noWrap/>
            <w:vAlign w:val="center"/>
            <w:hideMark/>
          </w:tcPr>
          <w:p w14:paraId="7C406337"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Credit Index * TU Density (t-1)</w:t>
            </w:r>
          </w:p>
        </w:tc>
        <w:tc>
          <w:tcPr>
            <w:tcW w:w="1530" w:type="dxa"/>
            <w:tcBorders>
              <w:top w:val="nil"/>
              <w:left w:val="single" w:sz="8" w:space="0" w:color="auto"/>
              <w:bottom w:val="nil"/>
              <w:right w:val="single" w:sz="8" w:space="0" w:color="auto"/>
            </w:tcBorders>
            <w:shd w:val="clear" w:color="auto" w:fill="auto"/>
            <w:noWrap/>
            <w:vAlign w:val="center"/>
            <w:hideMark/>
          </w:tcPr>
          <w:p w14:paraId="4D2B3675" w14:textId="7EB01A21"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center"/>
            <w:hideMark/>
          </w:tcPr>
          <w:p w14:paraId="0DD4FB8D" w14:textId="44E75B59"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3EC309EB"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-0.036***</w:t>
            </w:r>
          </w:p>
        </w:tc>
        <w:tc>
          <w:tcPr>
            <w:tcW w:w="1436" w:type="dxa"/>
            <w:tcBorders>
              <w:top w:val="nil"/>
              <w:left w:val="nil"/>
              <w:bottom w:val="nil"/>
              <w:right w:val="single" w:sz="8" w:space="0" w:color="auto"/>
            </w:tcBorders>
            <w:vAlign w:val="bottom"/>
          </w:tcPr>
          <w:p w14:paraId="057132B5"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379EE14A" w14:textId="62B306E5" w:rsidTr="000A653C">
        <w:trPr>
          <w:trHeight w:val="300"/>
        </w:trPr>
        <w:tc>
          <w:tcPr>
            <w:tcW w:w="4060" w:type="dxa"/>
            <w:tcBorders>
              <w:top w:val="nil"/>
              <w:left w:val="single" w:sz="8" w:space="0" w:color="auto"/>
              <w:bottom w:val="nil"/>
              <w:right w:val="nil"/>
            </w:tcBorders>
            <w:shd w:val="clear" w:color="auto" w:fill="auto"/>
            <w:noWrap/>
            <w:vAlign w:val="center"/>
            <w:hideMark/>
          </w:tcPr>
          <w:p w14:paraId="190EF058" w14:textId="7AA84CCE"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center"/>
            <w:hideMark/>
          </w:tcPr>
          <w:p w14:paraId="6D2726EC" w14:textId="2597751F"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center"/>
            <w:hideMark/>
          </w:tcPr>
          <w:p w14:paraId="120D2C77" w14:textId="3E74EA86"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hideMark/>
          </w:tcPr>
          <w:p w14:paraId="1E6F871B" w14:textId="5CB9B595"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w:t>
            </w:r>
            <w:r w:rsidRPr="001E1F05">
              <w:rPr>
                <w:rFonts w:ascii="Cambria" w:eastAsia="Times New Roman" w:hAnsi="Cambria" w:cs="Times New Roman"/>
                <w:color w:val="000000"/>
                <w:sz w:val="20"/>
                <w:szCs w:val="20"/>
              </w:rPr>
              <w:t>0</w:t>
            </w:r>
            <w:r>
              <w:rPr>
                <w:rFonts w:ascii="Cambria" w:eastAsia="Times New Roman" w:hAnsi="Cambria" w:cs="Times New Roman"/>
                <w:color w:val="000000"/>
                <w:sz w:val="20"/>
                <w:szCs w:val="20"/>
              </w:rPr>
              <w:t>.000)</w:t>
            </w:r>
          </w:p>
        </w:tc>
        <w:tc>
          <w:tcPr>
            <w:tcW w:w="1436" w:type="dxa"/>
            <w:tcBorders>
              <w:top w:val="nil"/>
              <w:left w:val="nil"/>
              <w:bottom w:val="nil"/>
              <w:right w:val="single" w:sz="8" w:space="0" w:color="auto"/>
            </w:tcBorders>
            <w:vAlign w:val="bottom"/>
          </w:tcPr>
          <w:p w14:paraId="091C616D" w14:textId="77777777" w:rsidR="00363E69" w:rsidRDefault="00363E69" w:rsidP="001E1F05">
            <w:pPr>
              <w:spacing w:after="0" w:line="240" w:lineRule="auto"/>
              <w:jc w:val="center"/>
              <w:rPr>
                <w:rFonts w:ascii="Cambria" w:eastAsia="Times New Roman" w:hAnsi="Cambria" w:cs="Times New Roman"/>
                <w:color w:val="000000"/>
                <w:sz w:val="20"/>
                <w:szCs w:val="20"/>
              </w:rPr>
            </w:pPr>
          </w:p>
        </w:tc>
      </w:tr>
      <w:tr w:rsidR="00363E69" w:rsidRPr="001E1F05" w14:paraId="4EB18023" w14:textId="77777777" w:rsidTr="000A653C">
        <w:trPr>
          <w:trHeight w:val="300"/>
        </w:trPr>
        <w:tc>
          <w:tcPr>
            <w:tcW w:w="4060" w:type="dxa"/>
            <w:tcBorders>
              <w:top w:val="nil"/>
              <w:left w:val="single" w:sz="8" w:space="0" w:color="auto"/>
              <w:bottom w:val="nil"/>
              <w:right w:val="nil"/>
            </w:tcBorders>
            <w:shd w:val="clear" w:color="auto" w:fill="auto"/>
            <w:noWrap/>
            <w:vAlign w:val="center"/>
          </w:tcPr>
          <w:p w14:paraId="651BD0F6" w14:textId="30E5975C" w:rsidR="00363E69" w:rsidRPr="001E1F05" w:rsidRDefault="00363E69" w:rsidP="00363E69">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Collective bargaining coverage (t-1)</w:t>
            </w:r>
          </w:p>
        </w:tc>
        <w:tc>
          <w:tcPr>
            <w:tcW w:w="1530" w:type="dxa"/>
            <w:tcBorders>
              <w:top w:val="nil"/>
              <w:left w:val="single" w:sz="8" w:space="0" w:color="auto"/>
              <w:bottom w:val="nil"/>
              <w:right w:val="single" w:sz="8" w:space="0" w:color="auto"/>
            </w:tcBorders>
            <w:shd w:val="clear" w:color="auto" w:fill="auto"/>
            <w:noWrap/>
            <w:vAlign w:val="bottom"/>
          </w:tcPr>
          <w:p w14:paraId="772C5344"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7A83591A"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1BFE2EF6"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bottom"/>
          </w:tcPr>
          <w:p w14:paraId="015C583B" w14:textId="0FB5453C"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0.158***</w:t>
            </w:r>
          </w:p>
        </w:tc>
      </w:tr>
      <w:tr w:rsidR="00363E69" w:rsidRPr="001E1F05" w14:paraId="70B412BD" w14:textId="77777777" w:rsidTr="000A653C">
        <w:trPr>
          <w:trHeight w:val="300"/>
        </w:trPr>
        <w:tc>
          <w:tcPr>
            <w:tcW w:w="4060" w:type="dxa"/>
            <w:tcBorders>
              <w:top w:val="nil"/>
              <w:left w:val="single" w:sz="8" w:space="0" w:color="auto"/>
              <w:bottom w:val="nil"/>
              <w:right w:val="nil"/>
            </w:tcBorders>
            <w:shd w:val="clear" w:color="auto" w:fill="auto"/>
            <w:noWrap/>
            <w:vAlign w:val="center"/>
          </w:tcPr>
          <w:p w14:paraId="0A8D9B1B"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bottom"/>
          </w:tcPr>
          <w:p w14:paraId="75841852"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67A606DC"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67621689"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bottom"/>
          </w:tcPr>
          <w:p w14:paraId="39078633" w14:textId="5BEF2FDC" w:rsidR="00363E69" w:rsidRPr="001E1F05" w:rsidRDefault="00425ECE"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w:t>
            </w:r>
            <w:r w:rsidR="00363E69">
              <w:rPr>
                <w:rFonts w:ascii="Cambria" w:hAnsi="Cambria"/>
                <w:color w:val="000000"/>
                <w:sz w:val="20"/>
                <w:szCs w:val="20"/>
              </w:rPr>
              <w:t>0</w:t>
            </w:r>
            <w:r>
              <w:rPr>
                <w:rFonts w:ascii="Cambria" w:hAnsi="Cambria"/>
                <w:color w:val="000000"/>
                <w:sz w:val="20"/>
                <w:szCs w:val="20"/>
              </w:rPr>
              <w:t>.000)</w:t>
            </w:r>
          </w:p>
        </w:tc>
      </w:tr>
      <w:tr w:rsidR="00363E69" w:rsidRPr="001E1F05" w14:paraId="7521DC61" w14:textId="77777777" w:rsidTr="000A653C">
        <w:trPr>
          <w:trHeight w:val="300"/>
        </w:trPr>
        <w:tc>
          <w:tcPr>
            <w:tcW w:w="4060" w:type="dxa"/>
            <w:tcBorders>
              <w:top w:val="nil"/>
              <w:left w:val="single" w:sz="8" w:space="0" w:color="auto"/>
              <w:bottom w:val="nil"/>
              <w:right w:val="nil"/>
            </w:tcBorders>
            <w:shd w:val="clear" w:color="auto" w:fill="auto"/>
            <w:noWrap/>
            <w:vAlign w:val="center"/>
          </w:tcPr>
          <w:p w14:paraId="473FD00D" w14:textId="43FA336F"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Credit Index * Bargaining coverage (t-1)</w:t>
            </w:r>
          </w:p>
        </w:tc>
        <w:tc>
          <w:tcPr>
            <w:tcW w:w="1530" w:type="dxa"/>
            <w:tcBorders>
              <w:top w:val="nil"/>
              <w:left w:val="single" w:sz="8" w:space="0" w:color="auto"/>
              <w:bottom w:val="nil"/>
              <w:right w:val="single" w:sz="8" w:space="0" w:color="auto"/>
            </w:tcBorders>
            <w:shd w:val="clear" w:color="auto" w:fill="auto"/>
            <w:noWrap/>
            <w:vAlign w:val="bottom"/>
          </w:tcPr>
          <w:p w14:paraId="761D5212"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5DE26417"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5126A165"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bottom"/>
          </w:tcPr>
          <w:p w14:paraId="520A6DC4" w14:textId="4EE76493"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-0.023***</w:t>
            </w:r>
          </w:p>
        </w:tc>
      </w:tr>
      <w:tr w:rsidR="00363E69" w:rsidRPr="001E1F05" w14:paraId="53B2F081" w14:textId="77777777" w:rsidTr="000A653C">
        <w:trPr>
          <w:trHeight w:val="300"/>
        </w:trPr>
        <w:tc>
          <w:tcPr>
            <w:tcW w:w="4060" w:type="dxa"/>
            <w:tcBorders>
              <w:top w:val="nil"/>
              <w:left w:val="single" w:sz="8" w:space="0" w:color="auto"/>
              <w:bottom w:val="nil"/>
              <w:right w:val="nil"/>
            </w:tcBorders>
            <w:shd w:val="clear" w:color="auto" w:fill="auto"/>
            <w:noWrap/>
            <w:vAlign w:val="center"/>
          </w:tcPr>
          <w:p w14:paraId="2F106FD3"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single" w:sz="8" w:space="0" w:color="auto"/>
              <w:bottom w:val="nil"/>
              <w:right w:val="single" w:sz="8" w:space="0" w:color="auto"/>
            </w:tcBorders>
            <w:shd w:val="clear" w:color="auto" w:fill="auto"/>
            <w:noWrap/>
            <w:vAlign w:val="bottom"/>
          </w:tcPr>
          <w:p w14:paraId="249EAB6D"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762329CB"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530" w:type="dxa"/>
            <w:tcBorders>
              <w:top w:val="nil"/>
              <w:left w:val="nil"/>
              <w:bottom w:val="nil"/>
              <w:right w:val="single" w:sz="8" w:space="0" w:color="auto"/>
            </w:tcBorders>
            <w:shd w:val="clear" w:color="auto" w:fill="auto"/>
            <w:noWrap/>
            <w:vAlign w:val="bottom"/>
          </w:tcPr>
          <w:p w14:paraId="3E074F9A"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p>
        </w:tc>
        <w:tc>
          <w:tcPr>
            <w:tcW w:w="1436" w:type="dxa"/>
            <w:tcBorders>
              <w:top w:val="nil"/>
              <w:left w:val="nil"/>
              <w:bottom w:val="nil"/>
              <w:right w:val="single" w:sz="8" w:space="0" w:color="auto"/>
            </w:tcBorders>
            <w:vAlign w:val="bottom"/>
          </w:tcPr>
          <w:p w14:paraId="39858E5A" w14:textId="1445FC5D" w:rsidR="00363E69" w:rsidRPr="001E1F05" w:rsidRDefault="00425ECE"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w:t>
            </w:r>
            <w:r w:rsidR="00363E69">
              <w:rPr>
                <w:rFonts w:ascii="Cambria" w:hAnsi="Cambria"/>
                <w:color w:val="000000"/>
                <w:sz w:val="20"/>
                <w:szCs w:val="20"/>
              </w:rPr>
              <w:t>0</w:t>
            </w:r>
            <w:r>
              <w:rPr>
                <w:rFonts w:ascii="Cambria" w:hAnsi="Cambria"/>
                <w:color w:val="000000"/>
                <w:sz w:val="20"/>
                <w:szCs w:val="20"/>
              </w:rPr>
              <w:t>.000)</w:t>
            </w:r>
          </w:p>
        </w:tc>
      </w:tr>
      <w:tr w:rsidR="00363E69" w:rsidRPr="001E1F05" w14:paraId="4ADCFFD6" w14:textId="0831485E" w:rsidTr="000A653C">
        <w:trPr>
          <w:trHeight w:val="315"/>
        </w:trPr>
        <w:tc>
          <w:tcPr>
            <w:tcW w:w="4060" w:type="dxa"/>
            <w:tcBorders>
              <w:top w:val="single" w:sz="8" w:space="0" w:color="auto"/>
              <w:left w:val="single" w:sz="8" w:space="0" w:color="auto"/>
              <w:bottom w:val="single" w:sz="8" w:space="0" w:color="auto"/>
              <w:right w:val="nil"/>
            </w:tcBorders>
            <w:shd w:val="clear" w:color="auto" w:fill="auto"/>
            <w:noWrap/>
            <w:vAlign w:val="center"/>
            <w:hideMark/>
          </w:tcPr>
          <w:p w14:paraId="602D71D3"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N</w:t>
            </w: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482CB"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168</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14:paraId="72CA8919"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158</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14:paraId="5EFA7EBD"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168</w:t>
            </w:r>
          </w:p>
        </w:tc>
        <w:tc>
          <w:tcPr>
            <w:tcW w:w="1436" w:type="dxa"/>
            <w:tcBorders>
              <w:top w:val="single" w:sz="8" w:space="0" w:color="auto"/>
              <w:left w:val="nil"/>
              <w:bottom w:val="single" w:sz="8" w:space="0" w:color="auto"/>
              <w:right w:val="single" w:sz="8" w:space="0" w:color="auto"/>
            </w:tcBorders>
            <w:vAlign w:val="bottom"/>
          </w:tcPr>
          <w:p w14:paraId="65B1FC1D" w14:textId="7D82009A"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100</w:t>
            </w:r>
          </w:p>
        </w:tc>
      </w:tr>
      <w:tr w:rsidR="00363E69" w:rsidRPr="001E1F05" w14:paraId="1818FADB" w14:textId="7821C6B0" w:rsidTr="000A653C">
        <w:trPr>
          <w:trHeight w:val="315"/>
        </w:trPr>
        <w:tc>
          <w:tcPr>
            <w:tcW w:w="4060" w:type="dxa"/>
            <w:tcBorders>
              <w:top w:val="nil"/>
              <w:left w:val="single" w:sz="8" w:space="0" w:color="auto"/>
              <w:bottom w:val="single" w:sz="8" w:space="0" w:color="auto"/>
              <w:right w:val="nil"/>
            </w:tcBorders>
            <w:shd w:val="clear" w:color="auto" w:fill="auto"/>
            <w:noWrap/>
            <w:vAlign w:val="center"/>
            <w:hideMark/>
          </w:tcPr>
          <w:p w14:paraId="1B4F9328" w14:textId="77777777"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R-squared (overall)</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6CD13E9" w14:textId="1564E1BC"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0.5457</w:t>
            </w:r>
          </w:p>
        </w:tc>
        <w:tc>
          <w:tcPr>
            <w:tcW w:w="1530" w:type="dxa"/>
            <w:tcBorders>
              <w:top w:val="nil"/>
              <w:left w:val="nil"/>
              <w:bottom w:val="single" w:sz="8" w:space="0" w:color="auto"/>
              <w:right w:val="single" w:sz="8" w:space="0" w:color="auto"/>
            </w:tcBorders>
            <w:shd w:val="clear" w:color="auto" w:fill="auto"/>
            <w:noWrap/>
            <w:vAlign w:val="center"/>
            <w:hideMark/>
          </w:tcPr>
          <w:p w14:paraId="1481BC32" w14:textId="3160733B"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0.5453</w:t>
            </w:r>
          </w:p>
        </w:tc>
        <w:tc>
          <w:tcPr>
            <w:tcW w:w="1530" w:type="dxa"/>
            <w:tcBorders>
              <w:top w:val="nil"/>
              <w:left w:val="nil"/>
              <w:bottom w:val="single" w:sz="8" w:space="0" w:color="auto"/>
              <w:right w:val="single" w:sz="8" w:space="0" w:color="auto"/>
            </w:tcBorders>
            <w:shd w:val="clear" w:color="auto" w:fill="auto"/>
            <w:noWrap/>
            <w:vAlign w:val="center"/>
            <w:hideMark/>
          </w:tcPr>
          <w:p w14:paraId="501D88E1" w14:textId="5C31616B" w:rsidR="00363E69" w:rsidRPr="001E1F05" w:rsidRDefault="00363E69" w:rsidP="001E1F05">
            <w:pPr>
              <w:spacing w:after="0" w:line="240" w:lineRule="auto"/>
              <w:jc w:val="center"/>
              <w:rPr>
                <w:rFonts w:ascii="Cambria" w:eastAsia="Times New Roman" w:hAnsi="Cambria" w:cs="Times New Roman"/>
                <w:color w:val="000000"/>
                <w:sz w:val="20"/>
                <w:szCs w:val="20"/>
              </w:rPr>
            </w:pPr>
            <w:r w:rsidRPr="001E1F05">
              <w:rPr>
                <w:rFonts w:ascii="Cambria" w:eastAsia="Times New Roman" w:hAnsi="Cambria" w:cs="Times New Roman"/>
                <w:color w:val="000000"/>
                <w:sz w:val="20"/>
                <w:szCs w:val="20"/>
              </w:rPr>
              <w:t>0.5182</w:t>
            </w:r>
          </w:p>
        </w:tc>
        <w:tc>
          <w:tcPr>
            <w:tcW w:w="1436" w:type="dxa"/>
            <w:tcBorders>
              <w:top w:val="nil"/>
              <w:left w:val="nil"/>
              <w:bottom w:val="single" w:sz="8" w:space="0" w:color="auto"/>
              <w:right w:val="single" w:sz="8" w:space="0" w:color="auto"/>
            </w:tcBorders>
            <w:vAlign w:val="center"/>
          </w:tcPr>
          <w:p w14:paraId="42D04C31" w14:textId="7F5E0801" w:rsidR="00363E69" w:rsidRPr="001E1F05" w:rsidRDefault="00363E69" w:rsidP="001E1F05">
            <w:pPr>
              <w:spacing w:after="0" w:line="240" w:lineRule="auto"/>
              <w:jc w:val="center"/>
              <w:rPr>
                <w:rFonts w:ascii="Cambria" w:eastAsia="Times New Roman" w:hAnsi="Cambria" w:cs="Times New Roman"/>
                <w:color w:val="000000"/>
                <w:sz w:val="20"/>
                <w:szCs w:val="20"/>
              </w:rPr>
            </w:pPr>
            <w:r>
              <w:rPr>
                <w:rFonts w:ascii="Cambria" w:hAnsi="Cambria"/>
                <w:color w:val="000000"/>
                <w:sz w:val="20"/>
                <w:szCs w:val="20"/>
              </w:rPr>
              <w:t>0.6420</w:t>
            </w:r>
          </w:p>
        </w:tc>
      </w:tr>
    </w:tbl>
    <w:p w14:paraId="5D5CF0EF" w14:textId="6CE8F294" w:rsidR="00EA542B" w:rsidRDefault="000C2A90" w:rsidP="0081438C">
      <w:pPr>
        <w:spacing w:after="0" w:line="240" w:lineRule="auto"/>
        <w:rPr>
          <w:rFonts w:ascii="Times New Roman" w:eastAsiaTheme="minorEastAsia" w:hAnsi="Times New Roman" w:cs="Times New Roman"/>
          <w:sz w:val="24"/>
          <w:szCs w:val="24"/>
        </w:rPr>
      </w:pPr>
      <w:r>
        <w:rPr>
          <w:rFonts w:ascii="Times New Roman" w:eastAsia="Cambria" w:hAnsi="Times New Roman" w:cs="Times New Roman"/>
          <w:sz w:val="20"/>
          <w:szCs w:val="20"/>
        </w:rPr>
        <w:t xml:space="preserve">Dependent variable is the first difference of household debt (as a percentage of disposable income). </w:t>
      </w:r>
      <w:r w:rsidR="009B6657" w:rsidRPr="001E1F05">
        <w:rPr>
          <w:rFonts w:ascii="Times New Roman" w:eastAsia="Cambria" w:hAnsi="Times New Roman" w:cs="Times New Roman"/>
          <w:sz w:val="20"/>
          <w:szCs w:val="20"/>
        </w:rPr>
        <w:t xml:space="preserve">P-values provided in parentheses (standard errors are clustered by country). *, **, and *** indicate significance at a 90%, 95%, and 99% confidence level respectively. </w:t>
      </w:r>
    </w:p>
    <w:p w14:paraId="02083471" w14:textId="1F4874E8" w:rsidR="009B6657" w:rsidRPr="00E96680" w:rsidRDefault="009B6657" w:rsidP="00E36909">
      <w:pPr>
        <w:spacing w:before="100" w:beforeAutospacing="1" w:after="100" w:afterAutospacing="1" w:line="360" w:lineRule="auto"/>
        <w:jc w:val="both"/>
        <w:rPr>
          <w:rFonts w:ascii="Times New Roman" w:eastAsiaTheme="minorEastAsia" w:hAnsi="Times New Roman" w:cs="Times New Roman"/>
          <w:sz w:val="24"/>
          <w:szCs w:val="24"/>
          <w:highlight w:val="yellow"/>
        </w:rPr>
      </w:pPr>
      <w:r w:rsidRPr="001E1F05">
        <w:rPr>
          <w:rFonts w:ascii="Times New Roman" w:eastAsiaTheme="minorEastAsia" w:hAnsi="Times New Roman" w:cs="Times New Roman"/>
          <w:sz w:val="24"/>
          <w:szCs w:val="24"/>
        </w:rPr>
        <w:t>Confirming our expectations, higher (lagged)</w:t>
      </w:r>
      <w:r w:rsidR="001E1F05" w:rsidRPr="001E1F05">
        <w:rPr>
          <w:rFonts w:ascii="Times New Roman" w:eastAsiaTheme="minorEastAsia" w:hAnsi="Times New Roman" w:cs="Times New Roman"/>
          <w:sz w:val="24"/>
          <w:szCs w:val="24"/>
        </w:rPr>
        <w:t xml:space="preserve"> levels of wage coordination,</w:t>
      </w:r>
      <w:r w:rsidRPr="001E1F05">
        <w:rPr>
          <w:rFonts w:ascii="Times New Roman" w:eastAsiaTheme="minorEastAsia" w:hAnsi="Times New Roman" w:cs="Times New Roman"/>
          <w:sz w:val="24"/>
          <w:szCs w:val="24"/>
        </w:rPr>
        <w:t xml:space="preserve"> wage centralization</w:t>
      </w:r>
      <w:r w:rsidR="00717B29">
        <w:rPr>
          <w:rFonts w:ascii="Times New Roman" w:eastAsiaTheme="minorEastAsia" w:hAnsi="Times New Roman" w:cs="Times New Roman"/>
          <w:sz w:val="24"/>
          <w:szCs w:val="24"/>
        </w:rPr>
        <w:t>,</w:t>
      </w:r>
      <w:r w:rsidR="001E1F05" w:rsidRPr="001E1F05">
        <w:rPr>
          <w:rFonts w:ascii="Times New Roman" w:eastAsiaTheme="minorEastAsia" w:hAnsi="Times New Roman" w:cs="Times New Roman"/>
          <w:sz w:val="24"/>
          <w:szCs w:val="24"/>
        </w:rPr>
        <w:t xml:space="preserve"> trade union density</w:t>
      </w:r>
      <w:r w:rsidR="00717B29">
        <w:rPr>
          <w:rFonts w:ascii="Times New Roman" w:eastAsiaTheme="minorEastAsia" w:hAnsi="Times New Roman" w:cs="Times New Roman"/>
          <w:sz w:val="24"/>
          <w:szCs w:val="24"/>
        </w:rPr>
        <w:t xml:space="preserve"> and bargaining coverage</w:t>
      </w:r>
      <w:r w:rsidRPr="001E1F05">
        <w:rPr>
          <w:rFonts w:ascii="Times New Roman" w:eastAsiaTheme="minorEastAsia" w:hAnsi="Times New Roman" w:cs="Times New Roman"/>
          <w:sz w:val="24"/>
          <w:szCs w:val="24"/>
        </w:rPr>
        <w:t xml:space="preserve"> are associated with </w:t>
      </w:r>
      <w:r w:rsidR="001E1F05" w:rsidRPr="001E1F05">
        <w:rPr>
          <w:rFonts w:ascii="Times New Roman" w:eastAsiaTheme="minorEastAsia" w:hAnsi="Times New Roman" w:cs="Times New Roman"/>
          <w:sz w:val="24"/>
          <w:szCs w:val="24"/>
        </w:rPr>
        <w:t>higher growth in household debt</w:t>
      </w:r>
      <w:r w:rsidR="00B101F7">
        <w:rPr>
          <w:rFonts w:ascii="Times New Roman" w:eastAsiaTheme="minorEastAsia" w:hAnsi="Times New Roman" w:cs="Times New Roman"/>
          <w:sz w:val="24"/>
          <w:szCs w:val="24"/>
        </w:rPr>
        <w:t xml:space="preserve"> (these beta coefficients retain their sign and significance when a two lag, rather than one lag, structure is used – see Appendix </w:t>
      </w:r>
      <w:r w:rsidR="0081438C">
        <w:rPr>
          <w:rFonts w:ascii="Times New Roman" w:eastAsiaTheme="minorEastAsia" w:hAnsi="Times New Roman" w:cs="Times New Roman"/>
          <w:sz w:val="24"/>
          <w:szCs w:val="24"/>
        </w:rPr>
        <w:t>B</w:t>
      </w:r>
      <w:r w:rsidR="00B101F7">
        <w:rPr>
          <w:rFonts w:ascii="Times New Roman" w:eastAsiaTheme="minorEastAsia" w:hAnsi="Times New Roman" w:cs="Times New Roman"/>
          <w:sz w:val="24"/>
          <w:szCs w:val="24"/>
        </w:rPr>
        <w:t>)</w:t>
      </w:r>
      <w:r w:rsidRPr="001E1F05">
        <w:rPr>
          <w:rFonts w:ascii="Times New Roman" w:eastAsiaTheme="minorEastAsia" w:hAnsi="Times New Roman" w:cs="Times New Roman"/>
          <w:sz w:val="24"/>
          <w:szCs w:val="24"/>
        </w:rPr>
        <w:t xml:space="preserve">. </w:t>
      </w:r>
      <w:r w:rsidR="00B101F7">
        <w:rPr>
          <w:rFonts w:ascii="Times New Roman" w:eastAsiaTheme="minorEastAsia" w:hAnsi="Times New Roman" w:cs="Times New Roman"/>
          <w:sz w:val="24"/>
          <w:szCs w:val="24"/>
        </w:rPr>
        <w:t>This suggests that, holding all else equal, countries with institutions that strengthen income and employment security of households</w:t>
      </w:r>
      <w:r w:rsidR="005041E0">
        <w:rPr>
          <w:rFonts w:ascii="Times New Roman" w:eastAsiaTheme="minorEastAsia" w:hAnsi="Times New Roman" w:cs="Times New Roman"/>
          <w:sz w:val="24"/>
          <w:szCs w:val="24"/>
        </w:rPr>
        <w:t xml:space="preserve"> - and </w:t>
      </w:r>
      <w:r w:rsidR="00B101F7">
        <w:rPr>
          <w:rFonts w:ascii="Times New Roman" w:eastAsiaTheme="minorEastAsia" w:hAnsi="Times New Roman" w:cs="Times New Roman"/>
          <w:sz w:val="24"/>
          <w:szCs w:val="24"/>
        </w:rPr>
        <w:t xml:space="preserve">not those with liberalized labor markets associated with </w:t>
      </w:r>
      <w:proofErr w:type="spellStart"/>
      <w:r w:rsidR="00B101F7" w:rsidRPr="00B101F7">
        <w:rPr>
          <w:rFonts w:ascii="Times New Roman" w:eastAsiaTheme="minorEastAsia" w:hAnsi="Times New Roman" w:cs="Times New Roman"/>
          <w:sz w:val="24"/>
          <w:szCs w:val="24"/>
        </w:rPr>
        <w:t>financialization</w:t>
      </w:r>
      <w:proofErr w:type="spellEnd"/>
      <w:r w:rsidR="00033CE3">
        <w:rPr>
          <w:rFonts w:ascii="Times New Roman" w:eastAsiaTheme="minorEastAsia" w:hAnsi="Times New Roman" w:cs="Times New Roman"/>
          <w:sz w:val="24"/>
          <w:szCs w:val="24"/>
        </w:rPr>
        <w:t xml:space="preserve"> and rising top incomes</w:t>
      </w:r>
      <w:r w:rsidR="00B101F7" w:rsidRPr="00B101F7">
        <w:rPr>
          <w:rFonts w:ascii="Times New Roman" w:eastAsiaTheme="minorEastAsia" w:hAnsi="Times New Roman" w:cs="Times New Roman"/>
          <w:sz w:val="24"/>
          <w:szCs w:val="24"/>
        </w:rPr>
        <w:t xml:space="preserve"> </w:t>
      </w:r>
      <w:r w:rsidR="005041E0">
        <w:rPr>
          <w:rFonts w:ascii="Times New Roman" w:eastAsiaTheme="minorEastAsia" w:hAnsi="Times New Roman" w:cs="Times New Roman"/>
          <w:sz w:val="24"/>
          <w:szCs w:val="24"/>
        </w:rPr>
        <w:t>-</w:t>
      </w:r>
      <w:r w:rsidR="00B101F7" w:rsidRPr="00B101F7">
        <w:rPr>
          <w:rFonts w:ascii="Times New Roman" w:eastAsiaTheme="minorEastAsia" w:hAnsi="Times New Roman" w:cs="Times New Roman"/>
          <w:sz w:val="24"/>
          <w:szCs w:val="24"/>
        </w:rPr>
        <w:t xml:space="preserve"> witness</w:t>
      </w:r>
      <w:r w:rsidR="00B101F7">
        <w:rPr>
          <w:rFonts w:ascii="Times New Roman" w:eastAsiaTheme="minorEastAsia" w:hAnsi="Times New Roman" w:cs="Times New Roman"/>
          <w:sz w:val="24"/>
          <w:szCs w:val="24"/>
        </w:rPr>
        <w:t>ed</w:t>
      </w:r>
      <w:r w:rsidR="00B101F7" w:rsidRPr="00B101F7">
        <w:rPr>
          <w:rFonts w:ascii="Times New Roman" w:eastAsiaTheme="minorEastAsia" w:hAnsi="Times New Roman" w:cs="Times New Roman"/>
          <w:sz w:val="24"/>
          <w:szCs w:val="24"/>
        </w:rPr>
        <w:t xml:space="preserve"> the most pronounced household debt accumulation</w:t>
      </w:r>
      <w:r w:rsidR="00B101F7">
        <w:rPr>
          <w:rFonts w:ascii="Times New Roman" w:eastAsiaTheme="minorEastAsia" w:hAnsi="Times New Roman" w:cs="Times New Roman"/>
          <w:sz w:val="24"/>
          <w:szCs w:val="24"/>
        </w:rPr>
        <w:t xml:space="preserve"> during the later stages of the Great Moderation</w:t>
      </w:r>
      <w:r w:rsidR="00B101F7" w:rsidRPr="00B101F7">
        <w:rPr>
          <w:rFonts w:ascii="Times New Roman" w:eastAsiaTheme="minorEastAsia" w:hAnsi="Times New Roman" w:cs="Times New Roman"/>
          <w:sz w:val="24"/>
          <w:szCs w:val="24"/>
        </w:rPr>
        <w:t>.  However</w:t>
      </w:r>
      <w:r w:rsidRPr="00B101F7">
        <w:rPr>
          <w:rFonts w:ascii="Times New Roman" w:eastAsiaTheme="minorEastAsia" w:hAnsi="Times New Roman" w:cs="Times New Roman"/>
          <w:sz w:val="24"/>
          <w:szCs w:val="24"/>
        </w:rPr>
        <w:t xml:space="preserve">, </w:t>
      </w:r>
      <w:r w:rsidR="0075520F" w:rsidRPr="00B101F7">
        <w:rPr>
          <w:rFonts w:ascii="Times New Roman" w:eastAsiaTheme="minorEastAsia" w:hAnsi="Times New Roman" w:cs="Times New Roman"/>
          <w:sz w:val="24"/>
          <w:szCs w:val="24"/>
        </w:rPr>
        <w:t>this impact</w:t>
      </w:r>
      <w:r w:rsidR="00B101F7" w:rsidRPr="00B101F7">
        <w:rPr>
          <w:rFonts w:ascii="Times New Roman" w:eastAsiaTheme="minorEastAsia" w:hAnsi="Times New Roman" w:cs="Times New Roman"/>
          <w:sz w:val="24"/>
          <w:szCs w:val="24"/>
        </w:rPr>
        <w:t xml:space="preserve"> is tempered by </w:t>
      </w:r>
      <w:r w:rsidRPr="00B101F7">
        <w:rPr>
          <w:rFonts w:ascii="Times New Roman" w:eastAsiaTheme="minorEastAsia" w:hAnsi="Times New Roman" w:cs="Times New Roman"/>
          <w:sz w:val="24"/>
          <w:szCs w:val="24"/>
        </w:rPr>
        <w:t xml:space="preserve">the type of </w:t>
      </w:r>
      <w:r w:rsidRPr="00B101F7">
        <w:rPr>
          <w:rFonts w:ascii="Times New Roman" w:eastAsiaTheme="minorEastAsia" w:hAnsi="Times New Roman" w:cs="Times New Roman"/>
          <w:i/>
          <w:sz w:val="24"/>
          <w:szCs w:val="24"/>
        </w:rPr>
        <w:t xml:space="preserve">mortgage </w:t>
      </w:r>
      <w:r w:rsidR="00214491">
        <w:rPr>
          <w:rFonts w:ascii="Times New Roman" w:eastAsiaTheme="minorEastAsia" w:hAnsi="Times New Roman" w:cs="Times New Roman"/>
          <w:i/>
          <w:sz w:val="24"/>
          <w:szCs w:val="24"/>
        </w:rPr>
        <w:t>finance</w:t>
      </w:r>
      <w:r w:rsidR="00214491" w:rsidRPr="00B101F7">
        <w:rPr>
          <w:rFonts w:ascii="Times New Roman" w:eastAsiaTheme="minorEastAsia" w:hAnsi="Times New Roman" w:cs="Times New Roman"/>
          <w:i/>
          <w:sz w:val="24"/>
          <w:szCs w:val="24"/>
        </w:rPr>
        <w:t xml:space="preserve"> </w:t>
      </w:r>
      <w:r w:rsidR="00B101F7" w:rsidRPr="00B101F7">
        <w:rPr>
          <w:rFonts w:ascii="Times New Roman" w:eastAsiaTheme="minorEastAsia" w:hAnsi="Times New Roman" w:cs="Times New Roman"/>
          <w:i/>
          <w:sz w:val="24"/>
          <w:szCs w:val="24"/>
        </w:rPr>
        <w:t>institutions</w:t>
      </w:r>
      <w:r w:rsidRPr="00B101F7">
        <w:rPr>
          <w:rFonts w:ascii="Times New Roman" w:eastAsiaTheme="minorEastAsia" w:hAnsi="Times New Roman" w:cs="Times New Roman"/>
          <w:sz w:val="24"/>
          <w:szCs w:val="24"/>
        </w:rPr>
        <w:t xml:space="preserve"> within </w:t>
      </w:r>
      <w:r w:rsidR="007A1623">
        <w:rPr>
          <w:rFonts w:ascii="Times New Roman" w:eastAsiaTheme="minorEastAsia" w:hAnsi="Times New Roman" w:cs="Times New Roman"/>
          <w:sz w:val="24"/>
          <w:szCs w:val="24"/>
        </w:rPr>
        <w:t>these countries</w:t>
      </w:r>
      <w:r w:rsidRPr="00B101F7">
        <w:rPr>
          <w:rFonts w:ascii="Times New Roman" w:eastAsiaTheme="minorEastAsia" w:hAnsi="Times New Roman" w:cs="Times New Roman"/>
          <w:sz w:val="24"/>
          <w:szCs w:val="24"/>
        </w:rPr>
        <w:t>.</w:t>
      </w:r>
    </w:p>
    <w:p w14:paraId="25D88C38" w14:textId="39B9B0BD" w:rsidR="00307DEC" w:rsidRDefault="00B101F7" w:rsidP="00E36909">
      <w:pPr>
        <w:spacing w:before="100" w:beforeAutospacing="1" w:after="100" w:afterAutospacing="1"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Mortgage credit restrictiveness</w:t>
      </w:r>
      <w:r w:rsidR="009B6657" w:rsidRPr="00B101F7">
        <w:rPr>
          <w:rFonts w:ascii="Times New Roman" w:eastAsiaTheme="minorEastAsia" w:hAnsi="Times New Roman" w:cs="Times New Roman"/>
          <w:sz w:val="24"/>
          <w:szCs w:val="24"/>
        </w:rPr>
        <w:t xml:space="preserve"> </w:t>
      </w:r>
      <w:r w:rsidRPr="00B101F7">
        <w:rPr>
          <w:rFonts w:ascii="Times New Roman" w:eastAsiaTheme="minorEastAsia" w:hAnsi="Times New Roman" w:cs="Times New Roman"/>
          <w:sz w:val="24"/>
          <w:szCs w:val="24"/>
        </w:rPr>
        <w:t xml:space="preserve">was non-significant for two of the </w:t>
      </w:r>
      <w:r w:rsidR="003009FB">
        <w:rPr>
          <w:rFonts w:ascii="Times New Roman" w:eastAsiaTheme="minorEastAsia" w:hAnsi="Times New Roman" w:cs="Times New Roman"/>
          <w:sz w:val="24"/>
          <w:szCs w:val="24"/>
        </w:rPr>
        <w:t>four</w:t>
      </w:r>
      <w:r w:rsidR="003009FB" w:rsidRPr="00B101F7">
        <w:rPr>
          <w:rFonts w:ascii="Times New Roman" w:eastAsiaTheme="minorEastAsia" w:hAnsi="Times New Roman" w:cs="Times New Roman"/>
          <w:sz w:val="24"/>
          <w:szCs w:val="24"/>
        </w:rPr>
        <w:t xml:space="preserve"> </w:t>
      </w:r>
      <w:r w:rsidRPr="00B101F7">
        <w:rPr>
          <w:rFonts w:ascii="Times New Roman" w:eastAsiaTheme="minorEastAsia" w:hAnsi="Times New Roman" w:cs="Times New Roman"/>
          <w:sz w:val="24"/>
          <w:szCs w:val="24"/>
        </w:rPr>
        <w:t>models in Table 1</w:t>
      </w:r>
      <w:r>
        <w:rPr>
          <w:rFonts w:ascii="Times New Roman" w:eastAsiaTheme="minorEastAsia" w:hAnsi="Times New Roman" w:cs="Times New Roman"/>
          <w:sz w:val="24"/>
          <w:szCs w:val="24"/>
        </w:rPr>
        <w:t xml:space="preserve">, and for the </w:t>
      </w:r>
      <w:r w:rsidRPr="00B101F7">
        <w:rPr>
          <w:rFonts w:ascii="Times New Roman" w:eastAsiaTheme="minorEastAsia" w:hAnsi="Times New Roman" w:cs="Times New Roman"/>
          <w:sz w:val="24"/>
          <w:szCs w:val="24"/>
        </w:rPr>
        <w:t>model</w:t>
      </w:r>
      <w:r w:rsidR="003009FB">
        <w:rPr>
          <w:rFonts w:ascii="Times New Roman" w:eastAsiaTheme="minorEastAsia" w:hAnsi="Times New Roman" w:cs="Times New Roman"/>
          <w:sz w:val="24"/>
          <w:szCs w:val="24"/>
        </w:rPr>
        <w:t>s</w:t>
      </w:r>
      <w:r w:rsidRPr="00B101F7">
        <w:rPr>
          <w:rFonts w:ascii="Times New Roman" w:eastAsiaTheme="minorEastAsia" w:hAnsi="Times New Roman" w:cs="Times New Roman"/>
          <w:sz w:val="24"/>
          <w:szCs w:val="24"/>
        </w:rPr>
        <w:t xml:space="preserve"> where it held significance (Model I</w:t>
      </w:r>
      <w:r w:rsidR="003009FB">
        <w:rPr>
          <w:rFonts w:ascii="Times New Roman" w:eastAsiaTheme="minorEastAsia" w:hAnsi="Times New Roman" w:cs="Times New Roman"/>
          <w:sz w:val="24"/>
          <w:szCs w:val="24"/>
        </w:rPr>
        <w:t xml:space="preserve"> and IV</w:t>
      </w:r>
      <w:r w:rsidRPr="00B101F7">
        <w:rPr>
          <w:rFonts w:ascii="Times New Roman" w:eastAsiaTheme="minorEastAsia" w:hAnsi="Times New Roman" w:cs="Times New Roman"/>
          <w:sz w:val="24"/>
          <w:szCs w:val="24"/>
        </w:rPr>
        <w:t>)</w:t>
      </w:r>
      <w:proofErr w:type="gramStart"/>
      <w:r w:rsidRPr="00B101F7">
        <w:rPr>
          <w:rFonts w:ascii="Times New Roman" w:eastAsiaTheme="minorEastAsia" w:hAnsi="Times New Roman" w:cs="Times New Roman"/>
          <w:sz w:val="24"/>
          <w:szCs w:val="24"/>
        </w:rPr>
        <w:t>,</w:t>
      </w:r>
      <w:proofErr w:type="gramEnd"/>
      <w:r w:rsidRPr="00B101F7">
        <w:rPr>
          <w:rFonts w:ascii="Times New Roman" w:eastAsiaTheme="minorEastAsia" w:hAnsi="Times New Roman" w:cs="Times New Roman"/>
          <w:sz w:val="24"/>
          <w:szCs w:val="24"/>
        </w:rPr>
        <w:t xml:space="preserve"> its sign was </w:t>
      </w:r>
      <w:r w:rsidR="007A1623">
        <w:rPr>
          <w:rFonts w:ascii="Times New Roman" w:eastAsiaTheme="minorEastAsia" w:hAnsi="Times New Roman" w:cs="Times New Roman"/>
          <w:sz w:val="24"/>
          <w:szCs w:val="24"/>
        </w:rPr>
        <w:t>the opposite of what was</w:t>
      </w:r>
      <w:r w:rsidRPr="00B101F7">
        <w:rPr>
          <w:rFonts w:ascii="Times New Roman" w:eastAsiaTheme="minorEastAsia" w:hAnsi="Times New Roman" w:cs="Times New Roman"/>
          <w:sz w:val="24"/>
          <w:szCs w:val="24"/>
        </w:rPr>
        <w:t xml:space="preserve"> </w:t>
      </w:r>
      <w:r w:rsidRPr="00B101F7">
        <w:rPr>
          <w:rFonts w:ascii="Times New Roman" w:eastAsiaTheme="minorEastAsia" w:hAnsi="Times New Roman" w:cs="Times New Roman"/>
          <w:sz w:val="24"/>
          <w:szCs w:val="24"/>
        </w:rPr>
        <w:lastRenderedPageBreak/>
        <w:t>anticipated</w:t>
      </w:r>
      <w:r w:rsidR="009B6657" w:rsidRPr="00B101F7">
        <w:rPr>
          <w:rFonts w:ascii="Times New Roman" w:eastAsiaTheme="minorEastAsia" w:hAnsi="Times New Roman" w:cs="Times New Roman"/>
          <w:sz w:val="24"/>
          <w:szCs w:val="24"/>
        </w:rPr>
        <w:t xml:space="preserve">.  However, the interaction between </w:t>
      </w:r>
      <w:r>
        <w:rPr>
          <w:rFonts w:ascii="Times New Roman" w:eastAsiaTheme="minorEastAsia" w:hAnsi="Times New Roman" w:cs="Times New Roman"/>
          <w:sz w:val="24"/>
          <w:szCs w:val="24"/>
        </w:rPr>
        <w:t>labor market</w:t>
      </w:r>
      <w:r w:rsidR="009B6657" w:rsidRPr="00B101F7">
        <w:rPr>
          <w:rFonts w:ascii="Times New Roman" w:eastAsiaTheme="minorEastAsia" w:hAnsi="Times New Roman" w:cs="Times New Roman"/>
          <w:sz w:val="24"/>
          <w:szCs w:val="24"/>
        </w:rPr>
        <w:t xml:space="preserve"> institutions and credit restrictiveness </w:t>
      </w:r>
      <w:r w:rsidR="007A1623">
        <w:rPr>
          <w:rFonts w:ascii="Times New Roman" w:eastAsiaTheme="minorEastAsia" w:hAnsi="Times New Roman" w:cs="Times New Roman"/>
          <w:sz w:val="24"/>
          <w:szCs w:val="24"/>
        </w:rPr>
        <w:t>performs as</w:t>
      </w:r>
      <w:r w:rsidR="009B6657" w:rsidRPr="00B101F7">
        <w:rPr>
          <w:rFonts w:ascii="Times New Roman" w:eastAsiaTheme="minorEastAsia" w:hAnsi="Times New Roman" w:cs="Times New Roman"/>
          <w:sz w:val="24"/>
          <w:szCs w:val="24"/>
        </w:rPr>
        <w:t xml:space="preserve"> expected.</w:t>
      </w:r>
      <w:r>
        <w:rPr>
          <w:rFonts w:ascii="Times New Roman" w:eastAsiaTheme="minorEastAsia" w:hAnsi="Times New Roman" w:cs="Times New Roman"/>
          <w:sz w:val="24"/>
          <w:szCs w:val="24"/>
        </w:rPr>
        <w:t xml:space="preserve">  </w:t>
      </w:r>
      <w:r w:rsidR="0081438C">
        <w:rPr>
          <w:rFonts w:ascii="Times New Roman" w:eastAsiaTheme="minorEastAsia" w:hAnsi="Times New Roman" w:cs="Times New Roman"/>
          <w:sz w:val="24"/>
          <w:szCs w:val="24"/>
        </w:rPr>
        <w:t xml:space="preserve">However, its interaction with collective bargaining institutions did perform as expected. </w:t>
      </w:r>
      <w:r>
        <w:rPr>
          <w:rFonts w:ascii="Times New Roman" w:eastAsiaTheme="minorEastAsia" w:hAnsi="Times New Roman" w:cs="Times New Roman"/>
          <w:sz w:val="24"/>
          <w:szCs w:val="24"/>
        </w:rPr>
        <w:t xml:space="preserve">Countries with strong unions and </w:t>
      </w:r>
      <w:r w:rsidR="00290D62">
        <w:rPr>
          <w:rFonts w:ascii="Times New Roman" w:eastAsiaTheme="minorEastAsia" w:hAnsi="Times New Roman" w:cs="Times New Roman"/>
          <w:sz w:val="24"/>
          <w:szCs w:val="24"/>
        </w:rPr>
        <w:t>encompassing collective bargaining</w:t>
      </w:r>
      <w:r>
        <w:rPr>
          <w:rFonts w:ascii="Times New Roman" w:eastAsiaTheme="minorEastAsia" w:hAnsi="Times New Roman" w:cs="Times New Roman"/>
          <w:sz w:val="24"/>
          <w:szCs w:val="24"/>
        </w:rPr>
        <w:t xml:space="preserve"> witness </w:t>
      </w:r>
      <w:r w:rsidRPr="00307DEC">
        <w:rPr>
          <w:rFonts w:ascii="Times New Roman" w:eastAsiaTheme="minorEastAsia" w:hAnsi="Times New Roman" w:cs="Times New Roman"/>
          <w:sz w:val="24"/>
          <w:szCs w:val="24"/>
        </w:rPr>
        <w:t>higher debt growth than those with weaker unions and more fragmented bargaining</w:t>
      </w:r>
      <w:r w:rsidR="00290D62">
        <w:rPr>
          <w:rFonts w:ascii="Times New Roman" w:eastAsiaTheme="minorEastAsia" w:hAnsi="Times New Roman" w:cs="Times New Roman"/>
          <w:sz w:val="24"/>
          <w:szCs w:val="24"/>
        </w:rPr>
        <w:t>.</w:t>
      </w:r>
      <w:r w:rsidRPr="00307DEC">
        <w:rPr>
          <w:rFonts w:ascii="Times New Roman" w:eastAsiaTheme="minorEastAsia" w:hAnsi="Times New Roman" w:cs="Times New Roman"/>
          <w:sz w:val="24"/>
          <w:szCs w:val="24"/>
        </w:rPr>
        <w:t xml:space="preserve"> </w:t>
      </w:r>
      <w:r w:rsidR="00290D62">
        <w:rPr>
          <w:rFonts w:ascii="Times New Roman" w:eastAsiaTheme="minorEastAsia" w:hAnsi="Times New Roman" w:cs="Times New Roman"/>
          <w:sz w:val="24"/>
          <w:szCs w:val="24"/>
        </w:rPr>
        <w:t xml:space="preserve">However, </w:t>
      </w:r>
      <w:r w:rsidR="009B6657" w:rsidRPr="00307DEC">
        <w:rPr>
          <w:rFonts w:ascii="Times New Roman" w:eastAsiaTheme="minorEastAsia" w:hAnsi="Times New Roman" w:cs="Times New Roman"/>
          <w:sz w:val="24"/>
          <w:szCs w:val="24"/>
        </w:rPr>
        <w:t xml:space="preserve">as mortgage </w:t>
      </w:r>
      <w:r w:rsidR="00214491">
        <w:rPr>
          <w:rFonts w:ascii="Times New Roman" w:eastAsiaTheme="minorEastAsia" w:hAnsi="Times New Roman" w:cs="Times New Roman"/>
          <w:sz w:val="24"/>
          <w:szCs w:val="24"/>
        </w:rPr>
        <w:t>lending becomes more restrictive</w:t>
      </w:r>
      <w:r w:rsidR="007A1623">
        <w:rPr>
          <w:rFonts w:ascii="Times New Roman" w:eastAsiaTheme="minorEastAsia" w:hAnsi="Times New Roman" w:cs="Times New Roman"/>
          <w:sz w:val="24"/>
          <w:szCs w:val="24"/>
        </w:rPr>
        <w:t>, the</w:t>
      </w:r>
      <w:r w:rsidR="009B6657" w:rsidRPr="00307DEC">
        <w:rPr>
          <w:rFonts w:ascii="Times New Roman" w:eastAsiaTheme="minorEastAsia" w:hAnsi="Times New Roman" w:cs="Times New Roman"/>
          <w:sz w:val="24"/>
          <w:szCs w:val="24"/>
        </w:rPr>
        <w:t xml:space="preserve"> difference in </w:t>
      </w:r>
      <w:r w:rsidR="00307DEC" w:rsidRPr="00307DEC">
        <w:rPr>
          <w:rFonts w:ascii="Times New Roman" w:eastAsiaTheme="minorEastAsia" w:hAnsi="Times New Roman" w:cs="Times New Roman"/>
          <w:sz w:val="24"/>
          <w:szCs w:val="24"/>
        </w:rPr>
        <w:t>household debt accumulation</w:t>
      </w:r>
      <w:r w:rsidR="009B6657" w:rsidRPr="00307DEC">
        <w:rPr>
          <w:rFonts w:ascii="Times New Roman" w:eastAsiaTheme="minorEastAsia" w:hAnsi="Times New Roman" w:cs="Times New Roman"/>
          <w:sz w:val="24"/>
          <w:szCs w:val="24"/>
        </w:rPr>
        <w:t xml:space="preserve"> between the</w:t>
      </w:r>
      <w:r w:rsidR="00307DEC" w:rsidRPr="00307DEC">
        <w:rPr>
          <w:rFonts w:ascii="Times New Roman" w:eastAsiaTheme="minorEastAsia" w:hAnsi="Times New Roman" w:cs="Times New Roman"/>
          <w:sz w:val="24"/>
          <w:szCs w:val="24"/>
        </w:rPr>
        <w:t>se</w:t>
      </w:r>
      <w:r w:rsidR="009B6657" w:rsidRPr="00307DEC">
        <w:rPr>
          <w:rFonts w:ascii="Times New Roman" w:eastAsiaTheme="minorEastAsia" w:hAnsi="Times New Roman" w:cs="Times New Roman"/>
          <w:sz w:val="24"/>
          <w:szCs w:val="24"/>
        </w:rPr>
        <w:t xml:space="preserve"> t</w:t>
      </w:r>
      <w:r w:rsidR="00307DEC" w:rsidRPr="00307DEC">
        <w:rPr>
          <w:rFonts w:ascii="Times New Roman" w:eastAsiaTheme="minorEastAsia" w:hAnsi="Times New Roman" w:cs="Times New Roman"/>
          <w:sz w:val="24"/>
          <w:szCs w:val="24"/>
        </w:rPr>
        <w:t xml:space="preserve">wo types of </w:t>
      </w:r>
      <w:r w:rsidR="00307DEC">
        <w:rPr>
          <w:rFonts w:ascii="Times New Roman" w:eastAsiaTheme="minorEastAsia" w:hAnsi="Times New Roman" w:cs="Times New Roman"/>
          <w:sz w:val="24"/>
          <w:szCs w:val="24"/>
        </w:rPr>
        <w:t>countries</w:t>
      </w:r>
      <w:r w:rsidR="00307DEC" w:rsidRPr="00307DEC">
        <w:rPr>
          <w:rFonts w:ascii="Times New Roman" w:eastAsiaTheme="minorEastAsia" w:hAnsi="Times New Roman" w:cs="Times New Roman"/>
          <w:sz w:val="24"/>
          <w:szCs w:val="24"/>
        </w:rPr>
        <w:t xml:space="preserve"> erodes</w:t>
      </w:r>
      <w:r w:rsidR="009B6657" w:rsidRPr="00307DEC">
        <w:rPr>
          <w:rFonts w:ascii="Times New Roman" w:eastAsiaTheme="minorEastAsia" w:hAnsi="Times New Roman" w:cs="Times New Roman"/>
          <w:sz w:val="24"/>
          <w:szCs w:val="24"/>
        </w:rPr>
        <w:t>.</w:t>
      </w:r>
      <w:r w:rsidR="00307DEC">
        <w:rPr>
          <w:rFonts w:ascii="Times New Roman" w:eastAsiaTheme="minorEastAsia" w:hAnsi="Times New Roman" w:cs="Times New Roman"/>
          <w:sz w:val="24"/>
          <w:szCs w:val="24"/>
        </w:rPr>
        <w:t xml:space="preserve">  </w:t>
      </w:r>
      <w:r w:rsidR="00307DEC" w:rsidRPr="00307DEC">
        <w:rPr>
          <w:rFonts w:ascii="Times New Roman" w:eastAsiaTheme="minorEastAsia" w:hAnsi="Times New Roman" w:cs="Times New Roman"/>
          <w:sz w:val="24"/>
          <w:szCs w:val="24"/>
        </w:rPr>
        <w:t xml:space="preserve">The significance </w:t>
      </w:r>
      <w:r w:rsidR="00307DEC">
        <w:rPr>
          <w:rFonts w:ascii="Times New Roman" w:eastAsiaTheme="minorEastAsia" w:hAnsi="Times New Roman" w:cs="Times New Roman"/>
          <w:sz w:val="24"/>
          <w:szCs w:val="24"/>
        </w:rPr>
        <w:t xml:space="preserve">(and direction) </w:t>
      </w:r>
      <w:r w:rsidR="00307DEC" w:rsidRPr="00307DEC">
        <w:rPr>
          <w:rFonts w:ascii="Times New Roman" w:eastAsiaTheme="minorEastAsia" w:hAnsi="Times New Roman" w:cs="Times New Roman"/>
          <w:sz w:val="24"/>
          <w:szCs w:val="24"/>
        </w:rPr>
        <w:t xml:space="preserve">of the interaction between </w:t>
      </w:r>
      <w:r w:rsidR="00290D62">
        <w:rPr>
          <w:rFonts w:ascii="Times New Roman" w:eastAsiaTheme="minorEastAsia" w:hAnsi="Times New Roman" w:cs="Times New Roman"/>
          <w:sz w:val="24"/>
          <w:szCs w:val="24"/>
        </w:rPr>
        <w:t>encompassing</w:t>
      </w:r>
      <w:r w:rsidR="00307DEC" w:rsidRPr="00307DEC">
        <w:rPr>
          <w:rFonts w:ascii="Times New Roman" w:eastAsiaTheme="minorEastAsia" w:hAnsi="Times New Roman" w:cs="Times New Roman"/>
          <w:sz w:val="24"/>
          <w:szCs w:val="24"/>
        </w:rPr>
        <w:t xml:space="preserve"> labor market institutions and credit restrictiveness also holds for a two year lag structure of our independent variables (see Appendix </w:t>
      </w:r>
      <w:r w:rsidR="0081438C">
        <w:rPr>
          <w:rFonts w:ascii="Times New Roman" w:eastAsiaTheme="minorEastAsia" w:hAnsi="Times New Roman" w:cs="Times New Roman"/>
          <w:sz w:val="24"/>
          <w:szCs w:val="24"/>
        </w:rPr>
        <w:t>B</w:t>
      </w:r>
      <w:r w:rsidR="00307DEC" w:rsidRPr="00307DEC">
        <w:rPr>
          <w:rFonts w:ascii="Times New Roman" w:eastAsiaTheme="minorEastAsia" w:hAnsi="Times New Roman" w:cs="Times New Roman"/>
          <w:sz w:val="24"/>
          <w:szCs w:val="24"/>
        </w:rPr>
        <w:t xml:space="preserve">).  </w:t>
      </w:r>
    </w:p>
    <w:p w14:paraId="503E1E44" w14:textId="735C15DD" w:rsidR="009B6657" w:rsidRPr="0081438C"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72568F">
        <w:rPr>
          <w:rFonts w:ascii="Times New Roman" w:eastAsiaTheme="minorEastAsia" w:hAnsi="Times New Roman" w:cs="Times New Roman"/>
          <w:sz w:val="24"/>
          <w:szCs w:val="24"/>
        </w:rPr>
        <w:t xml:space="preserve">Figures </w:t>
      </w:r>
      <w:r w:rsidR="00C42F67" w:rsidRPr="0072568F">
        <w:rPr>
          <w:rFonts w:ascii="Times New Roman" w:eastAsiaTheme="minorEastAsia" w:hAnsi="Times New Roman" w:cs="Times New Roman"/>
          <w:sz w:val="24"/>
          <w:szCs w:val="24"/>
        </w:rPr>
        <w:t>5</w:t>
      </w:r>
      <w:r w:rsidRPr="0072568F">
        <w:rPr>
          <w:rFonts w:ascii="Times New Roman" w:eastAsiaTheme="minorEastAsia" w:hAnsi="Times New Roman" w:cs="Times New Roman"/>
          <w:sz w:val="24"/>
          <w:szCs w:val="24"/>
        </w:rPr>
        <w:t>-</w:t>
      </w:r>
      <w:r w:rsidR="003009FB">
        <w:rPr>
          <w:rFonts w:ascii="Times New Roman" w:eastAsiaTheme="minorEastAsia" w:hAnsi="Times New Roman" w:cs="Times New Roman"/>
          <w:sz w:val="24"/>
          <w:szCs w:val="24"/>
        </w:rPr>
        <w:t>8</w:t>
      </w:r>
      <w:r w:rsidRPr="0072568F">
        <w:rPr>
          <w:rFonts w:ascii="Times New Roman" w:eastAsiaTheme="minorEastAsia" w:hAnsi="Times New Roman" w:cs="Times New Roman"/>
          <w:sz w:val="24"/>
          <w:szCs w:val="24"/>
        </w:rPr>
        <w:t xml:space="preserve"> provide a (more straightforward) visualization of thes</w:t>
      </w:r>
      <w:r w:rsidR="007A1623">
        <w:rPr>
          <w:rFonts w:ascii="Times New Roman" w:eastAsiaTheme="minorEastAsia" w:hAnsi="Times New Roman" w:cs="Times New Roman"/>
          <w:sz w:val="24"/>
          <w:szCs w:val="24"/>
        </w:rPr>
        <w:t>e interaction effects.  Figure</w:t>
      </w:r>
      <w:r w:rsidR="00307DEC" w:rsidRPr="0072568F">
        <w:rPr>
          <w:rFonts w:ascii="Times New Roman" w:eastAsiaTheme="minorEastAsia" w:hAnsi="Times New Roman" w:cs="Times New Roman"/>
          <w:sz w:val="24"/>
          <w:szCs w:val="24"/>
        </w:rPr>
        <w:t xml:space="preserve"> 5 </w:t>
      </w:r>
      <w:r w:rsidRPr="0072568F">
        <w:rPr>
          <w:rFonts w:ascii="Times New Roman" w:eastAsiaTheme="minorEastAsia" w:hAnsi="Times New Roman" w:cs="Times New Roman"/>
          <w:sz w:val="24"/>
          <w:szCs w:val="24"/>
        </w:rPr>
        <w:t>demonstrate</w:t>
      </w:r>
      <w:r w:rsidR="00307DEC" w:rsidRPr="0072568F">
        <w:rPr>
          <w:rFonts w:ascii="Times New Roman" w:eastAsiaTheme="minorEastAsia" w:hAnsi="Times New Roman" w:cs="Times New Roman"/>
          <w:sz w:val="24"/>
          <w:szCs w:val="24"/>
        </w:rPr>
        <w:t>s</w:t>
      </w:r>
      <w:r w:rsidRPr="0072568F">
        <w:rPr>
          <w:rFonts w:ascii="Times New Roman" w:eastAsiaTheme="minorEastAsia" w:hAnsi="Times New Roman" w:cs="Times New Roman"/>
          <w:sz w:val="24"/>
          <w:szCs w:val="24"/>
        </w:rPr>
        <w:t xml:space="preserve"> how the interaction between wage coordination and mortgage restrictiveness impact</w:t>
      </w:r>
      <w:r w:rsidR="00307DEC" w:rsidRPr="0072568F">
        <w:rPr>
          <w:rFonts w:ascii="Times New Roman" w:eastAsiaTheme="minorEastAsia" w:hAnsi="Times New Roman" w:cs="Times New Roman"/>
          <w:sz w:val="24"/>
          <w:szCs w:val="24"/>
        </w:rPr>
        <w:t>s</w:t>
      </w:r>
      <w:r w:rsidRPr="0072568F">
        <w:rPr>
          <w:rFonts w:ascii="Times New Roman" w:eastAsiaTheme="minorEastAsia" w:hAnsi="Times New Roman" w:cs="Times New Roman"/>
          <w:sz w:val="24"/>
          <w:szCs w:val="24"/>
        </w:rPr>
        <w:t xml:space="preserve"> </w:t>
      </w:r>
      <w:r w:rsidR="00307DEC" w:rsidRPr="0072568F">
        <w:rPr>
          <w:rFonts w:ascii="Times New Roman" w:eastAsiaTheme="minorEastAsia" w:hAnsi="Times New Roman" w:cs="Times New Roman"/>
          <w:sz w:val="24"/>
          <w:szCs w:val="24"/>
        </w:rPr>
        <w:t>growth in household debt</w:t>
      </w:r>
      <w:r w:rsidRPr="0072568F">
        <w:rPr>
          <w:rFonts w:ascii="Times New Roman" w:eastAsiaTheme="minorEastAsia" w:hAnsi="Times New Roman" w:cs="Times New Roman"/>
          <w:sz w:val="24"/>
          <w:szCs w:val="24"/>
        </w:rPr>
        <w:t xml:space="preserve">, </w:t>
      </w:r>
      <w:r w:rsidR="00307DEC" w:rsidRPr="0072568F">
        <w:rPr>
          <w:rFonts w:ascii="Times New Roman" w:eastAsiaTheme="minorEastAsia" w:hAnsi="Times New Roman" w:cs="Times New Roman"/>
          <w:sz w:val="24"/>
          <w:szCs w:val="24"/>
        </w:rPr>
        <w:t xml:space="preserve">Figure 6 examines how wage centralization and mortgage restrictiveness </w:t>
      </w:r>
      <w:r w:rsidR="007A1623">
        <w:rPr>
          <w:rFonts w:ascii="Times New Roman" w:eastAsiaTheme="minorEastAsia" w:hAnsi="Times New Roman" w:cs="Times New Roman"/>
          <w:sz w:val="24"/>
          <w:szCs w:val="24"/>
        </w:rPr>
        <w:t>interact in impacting</w:t>
      </w:r>
      <w:r w:rsidR="00307DEC" w:rsidRPr="0072568F">
        <w:rPr>
          <w:rFonts w:ascii="Times New Roman" w:eastAsiaTheme="minorEastAsia" w:hAnsi="Times New Roman" w:cs="Times New Roman"/>
          <w:sz w:val="24"/>
          <w:szCs w:val="24"/>
        </w:rPr>
        <w:t xml:space="preserve"> household debt growth</w:t>
      </w:r>
      <w:r w:rsidR="003009FB">
        <w:rPr>
          <w:rFonts w:ascii="Times New Roman" w:eastAsiaTheme="minorEastAsia" w:hAnsi="Times New Roman" w:cs="Times New Roman"/>
          <w:sz w:val="24"/>
          <w:szCs w:val="24"/>
        </w:rPr>
        <w:t>.</w:t>
      </w:r>
      <w:r w:rsidRPr="0072568F">
        <w:rPr>
          <w:rFonts w:ascii="Times New Roman" w:eastAsiaTheme="minorEastAsia" w:hAnsi="Times New Roman" w:cs="Times New Roman"/>
          <w:sz w:val="24"/>
          <w:szCs w:val="24"/>
        </w:rPr>
        <w:t xml:space="preserve"> Figure </w:t>
      </w:r>
      <w:r w:rsidR="00C42F67" w:rsidRPr="0072568F">
        <w:rPr>
          <w:rFonts w:ascii="Times New Roman" w:eastAsiaTheme="minorEastAsia" w:hAnsi="Times New Roman" w:cs="Times New Roman"/>
          <w:sz w:val="24"/>
          <w:szCs w:val="24"/>
        </w:rPr>
        <w:t>7</w:t>
      </w:r>
      <w:r w:rsidRPr="0072568F">
        <w:rPr>
          <w:rFonts w:ascii="Times New Roman" w:eastAsiaTheme="minorEastAsia" w:hAnsi="Times New Roman" w:cs="Times New Roman"/>
          <w:sz w:val="24"/>
          <w:szCs w:val="24"/>
        </w:rPr>
        <w:t xml:space="preserve"> </w:t>
      </w:r>
      <w:r w:rsidR="00307DEC" w:rsidRPr="0072568F">
        <w:rPr>
          <w:rFonts w:ascii="Times New Roman" w:eastAsiaTheme="minorEastAsia" w:hAnsi="Times New Roman" w:cs="Times New Roman"/>
          <w:sz w:val="24"/>
          <w:szCs w:val="24"/>
        </w:rPr>
        <w:t xml:space="preserve">examines the interaction effect of trade union density and mortgage </w:t>
      </w:r>
      <w:r w:rsidR="00214491">
        <w:rPr>
          <w:rFonts w:ascii="Times New Roman" w:eastAsiaTheme="minorEastAsia" w:hAnsi="Times New Roman" w:cs="Times New Roman"/>
          <w:sz w:val="24"/>
          <w:szCs w:val="24"/>
        </w:rPr>
        <w:t xml:space="preserve">market </w:t>
      </w:r>
      <w:r w:rsidR="00307DEC" w:rsidRPr="0072568F">
        <w:rPr>
          <w:rFonts w:ascii="Times New Roman" w:eastAsiaTheme="minorEastAsia" w:hAnsi="Times New Roman" w:cs="Times New Roman"/>
          <w:sz w:val="24"/>
          <w:szCs w:val="24"/>
        </w:rPr>
        <w:t>restrictiveness</w:t>
      </w:r>
      <w:r w:rsidR="003009FB">
        <w:rPr>
          <w:rFonts w:ascii="Times New Roman" w:eastAsiaTheme="minorEastAsia" w:hAnsi="Times New Roman" w:cs="Times New Roman"/>
          <w:sz w:val="24"/>
          <w:szCs w:val="24"/>
        </w:rPr>
        <w:t>, while Figure 8 examines the interaction between credit restrictiveness and collective bargaining coverage</w:t>
      </w:r>
      <w:r w:rsidR="00307DEC" w:rsidRPr="0072568F">
        <w:rPr>
          <w:rFonts w:ascii="Times New Roman" w:eastAsiaTheme="minorEastAsia" w:hAnsi="Times New Roman" w:cs="Times New Roman"/>
          <w:sz w:val="24"/>
          <w:szCs w:val="24"/>
        </w:rPr>
        <w:t>.</w:t>
      </w:r>
      <w:r w:rsidRPr="0072568F">
        <w:rPr>
          <w:rFonts w:ascii="Times New Roman" w:eastAsiaTheme="minorEastAsia" w:hAnsi="Times New Roman" w:cs="Times New Roman"/>
          <w:sz w:val="24"/>
          <w:szCs w:val="24"/>
        </w:rPr>
        <w:t xml:space="preserve"> Figures </w:t>
      </w:r>
      <w:r w:rsidR="00C42F67" w:rsidRPr="0072568F">
        <w:rPr>
          <w:rFonts w:ascii="Times New Roman" w:eastAsiaTheme="minorEastAsia" w:hAnsi="Times New Roman" w:cs="Times New Roman"/>
          <w:sz w:val="24"/>
          <w:szCs w:val="24"/>
        </w:rPr>
        <w:t>5</w:t>
      </w:r>
      <w:r w:rsidRPr="0072568F">
        <w:rPr>
          <w:rFonts w:ascii="Times New Roman" w:eastAsiaTheme="minorEastAsia" w:hAnsi="Times New Roman" w:cs="Times New Roman"/>
          <w:sz w:val="24"/>
          <w:szCs w:val="24"/>
        </w:rPr>
        <w:t xml:space="preserve"> and </w:t>
      </w:r>
      <w:r w:rsidR="00C42F67" w:rsidRPr="0072568F">
        <w:rPr>
          <w:rFonts w:ascii="Times New Roman" w:eastAsiaTheme="minorEastAsia" w:hAnsi="Times New Roman" w:cs="Times New Roman"/>
          <w:sz w:val="24"/>
          <w:szCs w:val="24"/>
        </w:rPr>
        <w:t>6</w:t>
      </w:r>
      <w:r w:rsidRPr="0072568F">
        <w:rPr>
          <w:rFonts w:ascii="Times New Roman" w:eastAsiaTheme="minorEastAsia" w:hAnsi="Times New Roman" w:cs="Times New Roman"/>
          <w:sz w:val="24"/>
          <w:szCs w:val="24"/>
        </w:rPr>
        <w:t xml:space="preserve"> provide</w:t>
      </w:r>
      <w:r w:rsidR="00307DEC" w:rsidRPr="0072568F">
        <w:rPr>
          <w:rFonts w:ascii="Times New Roman" w:eastAsiaTheme="minorEastAsia" w:hAnsi="Times New Roman" w:cs="Times New Roman"/>
          <w:sz w:val="24"/>
          <w:szCs w:val="24"/>
        </w:rPr>
        <w:t xml:space="preserve"> predicted</w:t>
      </w:r>
      <w:r w:rsidRPr="0072568F">
        <w:rPr>
          <w:rFonts w:ascii="Times New Roman" w:eastAsiaTheme="minorEastAsia" w:hAnsi="Times New Roman" w:cs="Times New Roman"/>
          <w:sz w:val="24"/>
          <w:szCs w:val="24"/>
        </w:rPr>
        <w:t xml:space="preserve"> </w:t>
      </w:r>
      <w:r w:rsidR="00307DEC" w:rsidRPr="0072568F">
        <w:rPr>
          <w:rFonts w:ascii="Times New Roman" w:eastAsiaTheme="minorEastAsia" w:hAnsi="Times New Roman" w:cs="Times New Roman"/>
          <w:sz w:val="24"/>
          <w:szCs w:val="24"/>
        </w:rPr>
        <w:t xml:space="preserve">household debt growth </w:t>
      </w:r>
      <w:r w:rsidRPr="0072568F">
        <w:rPr>
          <w:rFonts w:ascii="Times New Roman" w:eastAsiaTheme="minorEastAsia" w:hAnsi="Times New Roman" w:cs="Times New Roman"/>
          <w:sz w:val="24"/>
          <w:szCs w:val="24"/>
        </w:rPr>
        <w:t>for the maximum and minimum value of the wage coordination</w:t>
      </w:r>
      <w:r w:rsidR="00307DEC" w:rsidRPr="0072568F">
        <w:rPr>
          <w:rFonts w:ascii="Times New Roman" w:eastAsiaTheme="minorEastAsia" w:hAnsi="Times New Roman" w:cs="Times New Roman"/>
          <w:sz w:val="24"/>
          <w:szCs w:val="24"/>
        </w:rPr>
        <w:t xml:space="preserve"> and wage centralization indices, respectively,</w:t>
      </w:r>
      <w:r w:rsidRPr="0072568F">
        <w:rPr>
          <w:rFonts w:ascii="Times New Roman" w:eastAsiaTheme="minorEastAsia" w:hAnsi="Times New Roman" w:cs="Times New Roman"/>
          <w:sz w:val="24"/>
          <w:szCs w:val="24"/>
        </w:rPr>
        <w:t xml:space="preserve"> across the total range of credit restrictiveness: the highly </w:t>
      </w:r>
      <w:proofErr w:type="gramStart"/>
      <w:r w:rsidRPr="0072568F">
        <w:rPr>
          <w:rFonts w:ascii="Times New Roman" w:eastAsiaTheme="minorEastAsia" w:hAnsi="Times New Roman" w:cs="Times New Roman"/>
          <w:sz w:val="24"/>
          <w:szCs w:val="24"/>
        </w:rPr>
        <w:t>coordinated</w:t>
      </w:r>
      <w:r w:rsidR="00307DEC" w:rsidRPr="0072568F">
        <w:rPr>
          <w:rFonts w:ascii="Times New Roman" w:eastAsiaTheme="minorEastAsia" w:hAnsi="Times New Roman" w:cs="Times New Roman"/>
          <w:sz w:val="24"/>
          <w:szCs w:val="24"/>
        </w:rPr>
        <w:t>(</w:t>
      </w:r>
      <w:proofErr w:type="gramEnd"/>
      <w:r w:rsidR="00307DEC" w:rsidRPr="0072568F">
        <w:rPr>
          <w:rFonts w:ascii="Times New Roman" w:eastAsiaTheme="minorEastAsia" w:hAnsi="Times New Roman" w:cs="Times New Roman"/>
          <w:sz w:val="24"/>
          <w:szCs w:val="24"/>
        </w:rPr>
        <w:t>centralized)</w:t>
      </w:r>
      <w:r w:rsidRPr="0072568F">
        <w:rPr>
          <w:rFonts w:ascii="Times New Roman" w:eastAsiaTheme="minorEastAsia" w:hAnsi="Times New Roman" w:cs="Times New Roman"/>
          <w:sz w:val="24"/>
          <w:szCs w:val="24"/>
        </w:rPr>
        <w:t xml:space="preserve"> wage-setting line (in </w:t>
      </w:r>
      <w:r w:rsidR="00307DEC" w:rsidRPr="0072568F">
        <w:rPr>
          <w:rFonts w:ascii="Times New Roman" w:eastAsiaTheme="minorEastAsia" w:hAnsi="Times New Roman" w:cs="Times New Roman"/>
          <w:sz w:val="24"/>
          <w:szCs w:val="24"/>
        </w:rPr>
        <w:t>black</w:t>
      </w:r>
      <w:r w:rsidRPr="0072568F">
        <w:rPr>
          <w:rFonts w:ascii="Times New Roman" w:eastAsiaTheme="minorEastAsia" w:hAnsi="Times New Roman" w:cs="Times New Roman"/>
          <w:sz w:val="24"/>
          <w:szCs w:val="24"/>
        </w:rPr>
        <w:t>) has a</w:t>
      </w:r>
      <w:r w:rsidR="00C42F67" w:rsidRPr="0072568F">
        <w:rPr>
          <w:rFonts w:ascii="Times New Roman" w:eastAsiaTheme="minorEastAsia" w:hAnsi="Times New Roman" w:cs="Times New Roman"/>
          <w:sz w:val="24"/>
          <w:szCs w:val="24"/>
        </w:rPr>
        <w:t xml:space="preserve"> wage coordination</w:t>
      </w:r>
      <w:r w:rsidR="00307DEC" w:rsidRPr="0072568F">
        <w:rPr>
          <w:rFonts w:ascii="Times New Roman" w:eastAsiaTheme="minorEastAsia" w:hAnsi="Times New Roman" w:cs="Times New Roman"/>
          <w:sz w:val="24"/>
          <w:szCs w:val="24"/>
        </w:rPr>
        <w:t>(centralization)</w:t>
      </w:r>
      <w:r w:rsidRPr="0072568F">
        <w:rPr>
          <w:rFonts w:ascii="Times New Roman" w:eastAsiaTheme="minorEastAsia" w:hAnsi="Times New Roman" w:cs="Times New Roman"/>
          <w:sz w:val="24"/>
          <w:szCs w:val="24"/>
        </w:rPr>
        <w:t xml:space="preserve"> index value of 5</w:t>
      </w:r>
      <w:r w:rsidR="00307DEC" w:rsidRPr="0072568F">
        <w:rPr>
          <w:rFonts w:ascii="Times New Roman" w:eastAsiaTheme="minorEastAsia" w:hAnsi="Times New Roman" w:cs="Times New Roman"/>
          <w:sz w:val="24"/>
          <w:szCs w:val="24"/>
        </w:rPr>
        <w:t>(5.75)</w:t>
      </w:r>
      <w:r w:rsidRPr="0072568F">
        <w:rPr>
          <w:rFonts w:ascii="Times New Roman" w:eastAsiaTheme="minorEastAsia" w:hAnsi="Times New Roman" w:cs="Times New Roman"/>
          <w:sz w:val="24"/>
          <w:szCs w:val="24"/>
        </w:rPr>
        <w:t>, while the uncoordinated</w:t>
      </w:r>
      <w:r w:rsidR="00307DEC" w:rsidRPr="0072568F">
        <w:rPr>
          <w:rFonts w:ascii="Times New Roman" w:eastAsiaTheme="minorEastAsia" w:hAnsi="Times New Roman" w:cs="Times New Roman"/>
          <w:sz w:val="24"/>
          <w:szCs w:val="24"/>
        </w:rPr>
        <w:t>(decentralized) wage-setting line (in grey</w:t>
      </w:r>
      <w:r w:rsidRPr="0072568F">
        <w:rPr>
          <w:rFonts w:ascii="Times New Roman" w:eastAsiaTheme="minorEastAsia" w:hAnsi="Times New Roman" w:cs="Times New Roman"/>
          <w:sz w:val="24"/>
          <w:szCs w:val="24"/>
        </w:rPr>
        <w:t>) has an index value of 1</w:t>
      </w:r>
      <w:r w:rsidR="00307DEC" w:rsidRPr="0072568F">
        <w:rPr>
          <w:rFonts w:ascii="Times New Roman" w:eastAsiaTheme="minorEastAsia" w:hAnsi="Times New Roman" w:cs="Times New Roman"/>
          <w:sz w:val="24"/>
          <w:szCs w:val="24"/>
        </w:rPr>
        <w:t>(1)</w:t>
      </w:r>
      <w:r w:rsidRPr="0072568F">
        <w:rPr>
          <w:rFonts w:ascii="Times New Roman" w:eastAsiaTheme="minorEastAsia" w:hAnsi="Times New Roman" w:cs="Times New Roman"/>
          <w:sz w:val="24"/>
          <w:szCs w:val="24"/>
        </w:rPr>
        <w:t xml:space="preserve">.  </w:t>
      </w:r>
      <w:r w:rsidR="00307DEC" w:rsidRPr="0072568F">
        <w:rPr>
          <w:rFonts w:ascii="Times New Roman" w:eastAsiaTheme="minorEastAsia" w:hAnsi="Times New Roman" w:cs="Times New Roman"/>
          <w:sz w:val="24"/>
          <w:szCs w:val="24"/>
        </w:rPr>
        <w:t>Figure</w:t>
      </w:r>
      <w:r w:rsidR="003009FB">
        <w:rPr>
          <w:rFonts w:ascii="Times New Roman" w:eastAsiaTheme="minorEastAsia" w:hAnsi="Times New Roman" w:cs="Times New Roman"/>
          <w:sz w:val="24"/>
          <w:szCs w:val="24"/>
        </w:rPr>
        <w:t>s</w:t>
      </w:r>
      <w:r w:rsidR="00307DEC" w:rsidRPr="0072568F">
        <w:rPr>
          <w:rFonts w:ascii="Times New Roman" w:eastAsiaTheme="minorEastAsia" w:hAnsi="Times New Roman" w:cs="Times New Roman"/>
          <w:sz w:val="24"/>
          <w:szCs w:val="24"/>
        </w:rPr>
        <w:t xml:space="preserve"> 7</w:t>
      </w:r>
      <w:r w:rsidR="003009FB">
        <w:rPr>
          <w:rFonts w:ascii="Times New Roman" w:eastAsiaTheme="minorEastAsia" w:hAnsi="Times New Roman" w:cs="Times New Roman"/>
          <w:sz w:val="24"/>
          <w:szCs w:val="24"/>
        </w:rPr>
        <w:t xml:space="preserve"> and 8</w:t>
      </w:r>
      <w:r w:rsidR="00307DEC" w:rsidRPr="0072568F">
        <w:rPr>
          <w:rFonts w:ascii="Times New Roman" w:eastAsiaTheme="minorEastAsia" w:hAnsi="Times New Roman" w:cs="Times New Roman"/>
          <w:sz w:val="24"/>
          <w:szCs w:val="24"/>
        </w:rPr>
        <w:t xml:space="preserve"> replicates this exercise for trade union density</w:t>
      </w:r>
      <w:r w:rsidR="003009FB">
        <w:rPr>
          <w:rFonts w:ascii="Times New Roman" w:eastAsiaTheme="minorEastAsia" w:hAnsi="Times New Roman" w:cs="Times New Roman"/>
          <w:sz w:val="24"/>
          <w:szCs w:val="24"/>
        </w:rPr>
        <w:t xml:space="preserve"> and </w:t>
      </w:r>
      <w:r w:rsidR="00290D62">
        <w:rPr>
          <w:rFonts w:ascii="Times New Roman" w:eastAsiaTheme="minorEastAsia" w:hAnsi="Times New Roman" w:cs="Times New Roman"/>
          <w:sz w:val="24"/>
          <w:szCs w:val="24"/>
        </w:rPr>
        <w:t xml:space="preserve">collective </w:t>
      </w:r>
      <w:r w:rsidR="003009FB">
        <w:rPr>
          <w:rFonts w:ascii="Times New Roman" w:eastAsiaTheme="minorEastAsia" w:hAnsi="Times New Roman" w:cs="Times New Roman"/>
          <w:sz w:val="24"/>
          <w:szCs w:val="24"/>
        </w:rPr>
        <w:t>bargaining coverage, respectively</w:t>
      </w:r>
      <w:r w:rsidR="00307DEC" w:rsidRPr="0072568F">
        <w:rPr>
          <w:rFonts w:ascii="Times New Roman" w:eastAsiaTheme="minorEastAsia" w:hAnsi="Times New Roman" w:cs="Times New Roman"/>
          <w:sz w:val="24"/>
          <w:szCs w:val="24"/>
        </w:rPr>
        <w:t xml:space="preserve"> – </w:t>
      </w:r>
      <w:r w:rsidR="0081438C">
        <w:rPr>
          <w:rFonts w:ascii="Times New Roman" w:eastAsiaTheme="minorEastAsia" w:hAnsi="Times New Roman" w:cs="Times New Roman"/>
          <w:sz w:val="24"/>
          <w:szCs w:val="24"/>
        </w:rPr>
        <w:t xml:space="preserve">in both figures, </w:t>
      </w:r>
      <w:r w:rsidR="00307DEC" w:rsidRPr="0072568F">
        <w:rPr>
          <w:rFonts w:ascii="Times New Roman" w:eastAsiaTheme="minorEastAsia" w:hAnsi="Times New Roman" w:cs="Times New Roman"/>
          <w:sz w:val="24"/>
          <w:szCs w:val="24"/>
        </w:rPr>
        <w:t xml:space="preserve">the black line presents predicted growth in household debt accumulation across the total range of credit restrictiveness for a country with </w:t>
      </w:r>
      <w:r w:rsidR="0072568F" w:rsidRPr="0072568F">
        <w:rPr>
          <w:rFonts w:ascii="Times New Roman" w:eastAsiaTheme="minorEastAsia" w:hAnsi="Times New Roman" w:cs="Times New Roman"/>
          <w:sz w:val="24"/>
          <w:szCs w:val="24"/>
        </w:rPr>
        <w:t>a union density</w:t>
      </w:r>
      <w:r w:rsidR="003009FB">
        <w:rPr>
          <w:rFonts w:ascii="Times New Roman" w:eastAsiaTheme="minorEastAsia" w:hAnsi="Times New Roman" w:cs="Times New Roman"/>
          <w:sz w:val="24"/>
          <w:szCs w:val="24"/>
        </w:rPr>
        <w:t>/bargaining coverage</w:t>
      </w:r>
      <w:r w:rsidR="0072568F" w:rsidRPr="0072568F">
        <w:rPr>
          <w:rFonts w:ascii="Times New Roman" w:eastAsiaTheme="minorEastAsia" w:hAnsi="Times New Roman" w:cs="Times New Roman"/>
          <w:sz w:val="24"/>
          <w:szCs w:val="24"/>
        </w:rPr>
        <w:t xml:space="preserve"> rate of 90%, while the grey line presents debt accumulation predictions for a country where only 10% of the labor force is unionized</w:t>
      </w:r>
      <w:r w:rsidR="003009FB">
        <w:rPr>
          <w:rFonts w:ascii="Times New Roman" w:eastAsiaTheme="minorEastAsia" w:hAnsi="Times New Roman" w:cs="Times New Roman"/>
          <w:sz w:val="24"/>
          <w:szCs w:val="24"/>
        </w:rPr>
        <w:t xml:space="preserve">/covered by collectively </w:t>
      </w:r>
      <w:r w:rsidR="00290D62">
        <w:rPr>
          <w:rFonts w:ascii="Times New Roman" w:eastAsiaTheme="minorEastAsia" w:hAnsi="Times New Roman" w:cs="Times New Roman"/>
          <w:sz w:val="24"/>
          <w:szCs w:val="24"/>
        </w:rPr>
        <w:t>bargaining</w:t>
      </w:r>
      <w:r w:rsidR="0072568F" w:rsidRPr="0072568F">
        <w:rPr>
          <w:rFonts w:ascii="Times New Roman" w:eastAsiaTheme="minorEastAsia" w:hAnsi="Times New Roman" w:cs="Times New Roman"/>
          <w:sz w:val="24"/>
          <w:szCs w:val="24"/>
        </w:rPr>
        <w:t>.</w:t>
      </w:r>
      <w:r w:rsidRPr="0072568F">
        <w:rPr>
          <w:rFonts w:ascii="Times New Roman" w:eastAsiaTheme="minorEastAsia" w:hAnsi="Times New Roman" w:cs="Times New Roman"/>
          <w:sz w:val="24"/>
          <w:szCs w:val="24"/>
        </w:rPr>
        <w:t xml:space="preserve"> </w:t>
      </w:r>
      <w:r w:rsidR="0072568F" w:rsidRPr="0072568F">
        <w:rPr>
          <w:rFonts w:ascii="Times New Roman" w:eastAsiaTheme="minorEastAsia" w:hAnsi="Times New Roman" w:cs="Times New Roman"/>
          <w:sz w:val="24"/>
          <w:szCs w:val="24"/>
        </w:rPr>
        <w:t xml:space="preserve">Sections of the graphic where (95%) confidence intervals do </w:t>
      </w:r>
      <w:r w:rsidR="0072568F" w:rsidRPr="0072568F">
        <w:rPr>
          <w:rFonts w:ascii="Times New Roman" w:eastAsiaTheme="minorEastAsia" w:hAnsi="Times New Roman" w:cs="Times New Roman"/>
          <w:i/>
          <w:sz w:val="24"/>
          <w:szCs w:val="24"/>
        </w:rPr>
        <w:t>not</w:t>
      </w:r>
      <w:r w:rsidR="0072568F" w:rsidRPr="0072568F">
        <w:rPr>
          <w:rFonts w:ascii="Times New Roman" w:eastAsiaTheme="minorEastAsia" w:hAnsi="Times New Roman" w:cs="Times New Roman"/>
          <w:sz w:val="24"/>
          <w:szCs w:val="24"/>
        </w:rPr>
        <w:t xml:space="preserve"> overlap indicate that highly coordinated/centralized</w:t>
      </w:r>
      <w:r w:rsidR="0072568F">
        <w:rPr>
          <w:rFonts w:ascii="Times New Roman" w:eastAsiaTheme="minorEastAsia" w:hAnsi="Times New Roman" w:cs="Times New Roman"/>
          <w:sz w:val="24"/>
          <w:szCs w:val="24"/>
        </w:rPr>
        <w:t>/unionized</w:t>
      </w:r>
      <w:r w:rsidR="0072568F" w:rsidRPr="0072568F">
        <w:rPr>
          <w:rFonts w:ascii="Times New Roman" w:eastAsiaTheme="minorEastAsia" w:hAnsi="Times New Roman" w:cs="Times New Roman"/>
          <w:sz w:val="24"/>
          <w:szCs w:val="24"/>
        </w:rPr>
        <w:t xml:space="preserve"> </w:t>
      </w:r>
      <w:r w:rsidR="0072568F">
        <w:rPr>
          <w:rFonts w:ascii="Times New Roman" w:eastAsiaTheme="minorEastAsia" w:hAnsi="Times New Roman" w:cs="Times New Roman"/>
          <w:sz w:val="24"/>
          <w:szCs w:val="24"/>
        </w:rPr>
        <w:t>labor markets</w:t>
      </w:r>
      <w:r w:rsidR="0072568F" w:rsidRPr="0072568F">
        <w:rPr>
          <w:rFonts w:ascii="Times New Roman" w:eastAsiaTheme="minorEastAsia" w:hAnsi="Times New Roman" w:cs="Times New Roman"/>
          <w:sz w:val="24"/>
          <w:szCs w:val="24"/>
        </w:rPr>
        <w:t xml:space="preserve"> demonstrate </w:t>
      </w:r>
      <w:r w:rsidR="0072568F" w:rsidRPr="0072568F">
        <w:rPr>
          <w:rFonts w:ascii="Times New Roman" w:eastAsiaTheme="minorEastAsia" w:hAnsi="Times New Roman" w:cs="Times New Roman"/>
          <w:i/>
          <w:sz w:val="24"/>
          <w:szCs w:val="24"/>
        </w:rPr>
        <w:t>significantly different</w:t>
      </w:r>
      <w:r w:rsidR="0072568F" w:rsidRPr="0072568F">
        <w:rPr>
          <w:rFonts w:ascii="Times New Roman" w:eastAsiaTheme="minorEastAsia" w:hAnsi="Times New Roman" w:cs="Times New Roman"/>
          <w:sz w:val="24"/>
          <w:szCs w:val="24"/>
        </w:rPr>
        <w:t xml:space="preserve"> growth in household debt than uncoordinated/decentralized</w:t>
      </w:r>
      <w:r w:rsidR="0072568F">
        <w:rPr>
          <w:rFonts w:ascii="Times New Roman" w:eastAsiaTheme="minorEastAsia" w:hAnsi="Times New Roman" w:cs="Times New Roman"/>
          <w:sz w:val="24"/>
          <w:szCs w:val="24"/>
        </w:rPr>
        <w:t>/non-unionized</w:t>
      </w:r>
      <w:r w:rsidR="0072568F" w:rsidRPr="0072568F">
        <w:rPr>
          <w:rFonts w:ascii="Times New Roman" w:eastAsiaTheme="minorEastAsia" w:hAnsi="Times New Roman" w:cs="Times New Roman"/>
          <w:sz w:val="24"/>
          <w:szCs w:val="24"/>
        </w:rPr>
        <w:t xml:space="preserve"> regimes; if confidence intervals overlap, household debt accumulation is not significantly different</w:t>
      </w:r>
      <w:r w:rsidR="007A1623">
        <w:rPr>
          <w:rFonts w:ascii="Times New Roman" w:eastAsiaTheme="minorEastAsia" w:hAnsi="Times New Roman" w:cs="Times New Roman"/>
          <w:sz w:val="24"/>
          <w:szCs w:val="24"/>
        </w:rPr>
        <w:t xml:space="preserve"> between these two types of labor market regimes</w:t>
      </w:r>
      <w:r w:rsidR="0072568F" w:rsidRPr="0072568F">
        <w:rPr>
          <w:rFonts w:ascii="Times New Roman" w:eastAsiaTheme="minorEastAsia" w:hAnsi="Times New Roman" w:cs="Times New Roman"/>
          <w:sz w:val="24"/>
          <w:szCs w:val="24"/>
        </w:rPr>
        <w:t xml:space="preserve">.  </w:t>
      </w:r>
    </w:p>
    <w:p w14:paraId="2EBFC256" w14:textId="77777777" w:rsidR="0081438C" w:rsidRDefault="0081438C" w:rsidP="001B0055">
      <w:pPr>
        <w:spacing w:after="0" w:line="240" w:lineRule="auto"/>
        <w:jc w:val="center"/>
        <w:rPr>
          <w:rFonts w:ascii="Times New Roman" w:eastAsiaTheme="minorEastAsia" w:hAnsi="Times New Roman" w:cs="Times New Roman"/>
          <w:b/>
          <w:sz w:val="24"/>
          <w:szCs w:val="24"/>
        </w:rPr>
      </w:pPr>
    </w:p>
    <w:p w14:paraId="487AC6BC" w14:textId="77777777" w:rsidR="0081438C" w:rsidRDefault="0081438C" w:rsidP="00792781">
      <w:pPr>
        <w:spacing w:after="0" w:line="240" w:lineRule="auto"/>
        <w:rPr>
          <w:rFonts w:ascii="Times New Roman" w:eastAsiaTheme="minorEastAsia" w:hAnsi="Times New Roman" w:cs="Times New Roman"/>
          <w:b/>
          <w:sz w:val="24"/>
          <w:szCs w:val="24"/>
        </w:rPr>
      </w:pPr>
    </w:p>
    <w:p w14:paraId="31D457F9" w14:textId="2926F2A4" w:rsidR="0013469E" w:rsidRPr="001B0055" w:rsidRDefault="0013469E" w:rsidP="001B0055">
      <w:pPr>
        <w:spacing w:after="0" w:line="240" w:lineRule="auto"/>
        <w:jc w:val="center"/>
        <w:rPr>
          <w:rFonts w:ascii="Times New Roman" w:eastAsiaTheme="minorEastAsia" w:hAnsi="Times New Roman" w:cs="Times New Roman"/>
          <w:b/>
          <w:sz w:val="24"/>
          <w:szCs w:val="24"/>
        </w:rPr>
      </w:pPr>
      <w:r w:rsidRPr="0013469E">
        <w:rPr>
          <w:rFonts w:ascii="Times New Roman" w:eastAsiaTheme="minorEastAsia" w:hAnsi="Times New Roman" w:cs="Times New Roman"/>
          <w:b/>
          <w:sz w:val="24"/>
          <w:szCs w:val="24"/>
        </w:rPr>
        <w:lastRenderedPageBreak/>
        <w:t>Figure 5: Interaction between wage-setting coordination and credit restrictiveness on ho</w:t>
      </w:r>
      <w:r w:rsidR="001B0055">
        <w:rPr>
          <w:rFonts w:ascii="Times New Roman" w:eastAsiaTheme="minorEastAsia" w:hAnsi="Times New Roman" w:cs="Times New Roman"/>
          <w:b/>
          <w:sz w:val="24"/>
          <w:szCs w:val="24"/>
        </w:rPr>
        <w:t>usehold debt accumulation</w:t>
      </w:r>
    </w:p>
    <w:p w14:paraId="3A3FB21D" w14:textId="77777777" w:rsidR="0013469E" w:rsidRDefault="0013469E" w:rsidP="0013469E">
      <w:pPr>
        <w:spacing w:after="0" w:line="240" w:lineRule="auto"/>
        <w:jc w:val="center"/>
      </w:pPr>
      <w:r>
        <w:rPr>
          <w:noProof/>
        </w:rPr>
        <w:drawing>
          <wp:inline distT="0" distB="0" distL="0" distR="0" wp14:anchorId="7FDE5114" wp14:editId="3C827347">
            <wp:extent cx="4828595"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896" cy="3455406"/>
                    </a:xfrm>
                    <a:prstGeom prst="rect">
                      <a:avLst/>
                    </a:prstGeom>
                    <a:noFill/>
                    <a:ln>
                      <a:noFill/>
                    </a:ln>
                  </pic:spPr>
                </pic:pic>
              </a:graphicData>
            </a:graphic>
          </wp:inline>
        </w:drawing>
      </w:r>
    </w:p>
    <w:p w14:paraId="38B70412" w14:textId="0767F509" w:rsidR="0013469E" w:rsidRDefault="0013469E" w:rsidP="00C14C91">
      <w:pPr>
        <w:spacing w:after="0" w:line="240" w:lineRule="auto"/>
        <w:ind w:left="720"/>
        <w:rPr>
          <w:rFonts w:ascii="Times New Roman" w:hAnsi="Times New Roman" w:cs="Times New Roman"/>
          <w:sz w:val="20"/>
          <w:szCs w:val="20"/>
        </w:rPr>
      </w:pPr>
      <w:r w:rsidRPr="00AB51EE">
        <w:rPr>
          <w:rFonts w:ascii="Times New Roman" w:hAnsi="Times New Roman" w:cs="Times New Roman"/>
          <w:sz w:val="20"/>
          <w:szCs w:val="20"/>
        </w:rPr>
        <w:t>Graphic produced from Model I in Table 1</w:t>
      </w:r>
      <w:r>
        <w:rPr>
          <w:rFonts w:ascii="Times New Roman" w:hAnsi="Times New Roman" w:cs="Times New Roman"/>
          <w:sz w:val="20"/>
          <w:szCs w:val="20"/>
        </w:rPr>
        <w:t xml:space="preserve"> (with 95% confidence intervals)</w:t>
      </w:r>
      <w:r w:rsidRPr="00AB51EE">
        <w:rPr>
          <w:rFonts w:ascii="Times New Roman" w:hAnsi="Times New Roman" w:cs="Times New Roman"/>
          <w:sz w:val="20"/>
          <w:szCs w:val="20"/>
        </w:rPr>
        <w:t xml:space="preserve">.  Uncoordinated bargaining has an index value of </w:t>
      </w:r>
      <w:proofErr w:type="gramStart"/>
      <w:r w:rsidRPr="00AB51EE">
        <w:rPr>
          <w:rFonts w:ascii="Times New Roman" w:hAnsi="Times New Roman" w:cs="Times New Roman"/>
          <w:sz w:val="20"/>
          <w:szCs w:val="20"/>
        </w:rPr>
        <w:t>1,</w:t>
      </w:r>
      <w:proofErr w:type="gramEnd"/>
      <w:r w:rsidRPr="00AB51EE">
        <w:rPr>
          <w:rFonts w:ascii="Times New Roman" w:hAnsi="Times New Roman" w:cs="Times New Roman"/>
          <w:sz w:val="20"/>
          <w:szCs w:val="20"/>
        </w:rPr>
        <w:t xml:space="preserve"> coordinated barg</w:t>
      </w:r>
      <w:r w:rsidR="003009FB">
        <w:rPr>
          <w:rFonts w:ascii="Times New Roman" w:hAnsi="Times New Roman" w:cs="Times New Roman"/>
          <w:sz w:val="20"/>
          <w:szCs w:val="20"/>
        </w:rPr>
        <w:t>aining has an index value of 5.</w:t>
      </w:r>
    </w:p>
    <w:p w14:paraId="563736F9" w14:textId="77777777" w:rsidR="0081438C" w:rsidRPr="00C14C91" w:rsidRDefault="0081438C" w:rsidP="00C14C91">
      <w:pPr>
        <w:spacing w:after="0" w:line="240" w:lineRule="auto"/>
        <w:ind w:left="720"/>
        <w:rPr>
          <w:rFonts w:ascii="Times New Roman" w:hAnsi="Times New Roman" w:cs="Times New Roman"/>
          <w:sz w:val="20"/>
          <w:szCs w:val="20"/>
        </w:rPr>
      </w:pPr>
    </w:p>
    <w:p w14:paraId="2CE3422E" w14:textId="1F44CD8B" w:rsidR="0013469E" w:rsidRPr="00AB51EE" w:rsidRDefault="0013469E" w:rsidP="001346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Figure 6</w:t>
      </w:r>
      <w:r w:rsidRPr="00AB51EE">
        <w:rPr>
          <w:rFonts w:ascii="Times New Roman" w:hAnsi="Times New Roman" w:cs="Times New Roman"/>
          <w:b/>
          <w:sz w:val="24"/>
          <w:szCs w:val="24"/>
        </w:rPr>
        <w:t xml:space="preserve">: </w:t>
      </w:r>
      <w:r>
        <w:rPr>
          <w:rFonts w:ascii="Times New Roman" w:eastAsiaTheme="minorEastAsia" w:hAnsi="Times New Roman" w:cs="Times New Roman"/>
          <w:b/>
          <w:sz w:val="24"/>
          <w:szCs w:val="24"/>
        </w:rPr>
        <w:t>Interaction between wage centralization</w:t>
      </w:r>
      <w:r w:rsidRPr="0013469E">
        <w:rPr>
          <w:rFonts w:ascii="Times New Roman" w:eastAsiaTheme="minorEastAsia" w:hAnsi="Times New Roman" w:cs="Times New Roman"/>
          <w:b/>
          <w:sz w:val="24"/>
          <w:szCs w:val="24"/>
        </w:rPr>
        <w:t xml:space="preserve"> and credit restrictiveness on household debt accumulation</w:t>
      </w:r>
    </w:p>
    <w:p w14:paraId="256E9749" w14:textId="77777777" w:rsidR="0013469E" w:rsidRDefault="0013469E" w:rsidP="0013469E">
      <w:pPr>
        <w:spacing w:after="0" w:line="240" w:lineRule="auto"/>
        <w:jc w:val="center"/>
      </w:pPr>
      <w:r>
        <w:rPr>
          <w:noProof/>
        </w:rPr>
        <w:drawing>
          <wp:inline distT="0" distB="0" distL="0" distR="0" wp14:anchorId="4348EA30" wp14:editId="596C10F5">
            <wp:extent cx="4733925" cy="3286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3925" cy="3286125"/>
                    </a:xfrm>
                    <a:prstGeom prst="rect">
                      <a:avLst/>
                    </a:prstGeom>
                    <a:noFill/>
                    <a:ln>
                      <a:noFill/>
                    </a:ln>
                  </pic:spPr>
                </pic:pic>
              </a:graphicData>
            </a:graphic>
          </wp:inline>
        </w:drawing>
      </w:r>
    </w:p>
    <w:p w14:paraId="1EAE8451" w14:textId="77777777" w:rsidR="0013469E" w:rsidRDefault="0013469E" w:rsidP="0013469E">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Graphic produced from Model II</w:t>
      </w:r>
      <w:r w:rsidRPr="00AB51EE">
        <w:rPr>
          <w:rFonts w:ascii="Times New Roman" w:hAnsi="Times New Roman" w:cs="Times New Roman"/>
          <w:sz w:val="20"/>
          <w:szCs w:val="20"/>
        </w:rPr>
        <w:t xml:space="preserve"> in Table 1</w:t>
      </w:r>
      <w:r>
        <w:rPr>
          <w:rFonts w:ascii="Times New Roman" w:hAnsi="Times New Roman" w:cs="Times New Roman"/>
          <w:sz w:val="20"/>
          <w:szCs w:val="20"/>
        </w:rPr>
        <w:t xml:space="preserve"> (with 95% confidence intervals)</w:t>
      </w:r>
      <w:r w:rsidRPr="00AB51EE">
        <w:rPr>
          <w:rFonts w:ascii="Times New Roman" w:hAnsi="Times New Roman" w:cs="Times New Roman"/>
          <w:sz w:val="20"/>
          <w:szCs w:val="20"/>
        </w:rPr>
        <w:t xml:space="preserve">. </w:t>
      </w:r>
      <w:r>
        <w:rPr>
          <w:rFonts w:ascii="Times New Roman" w:hAnsi="Times New Roman" w:cs="Times New Roman"/>
          <w:sz w:val="20"/>
          <w:szCs w:val="20"/>
        </w:rPr>
        <w:t>Decentralized</w:t>
      </w:r>
      <w:r w:rsidRPr="00AB51EE">
        <w:rPr>
          <w:rFonts w:ascii="Times New Roman" w:hAnsi="Times New Roman" w:cs="Times New Roman"/>
          <w:sz w:val="20"/>
          <w:szCs w:val="20"/>
        </w:rPr>
        <w:t xml:space="preserve"> bargaining has an index value of </w:t>
      </w:r>
      <w:proofErr w:type="gramStart"/>
      <w:r w:rsidRPr="00AB51EE">
        <w:rPr>
          <w:rFonts w:ascii="Times New Roman" w:hAnsi="Times New Roman" w:cs="Times New Roman"/>
          <w:sz w:val="20"/>
          <w:szCs w:val="20"/>
        </w:rPr>
        <w:t>1,</w:t>
      </w:r>
      <w:proofErr w:type="gramEnd"/>
      <w:r w:rsidRPr="00AB51EE">
        <w:rPr>
          <w:rFonts w:ascii="Times New Roman" w:hAnsi="Times New Roman" w:cs="Times New Roman"/>
          <w:sz w:val="20"/>
          <w:szCs w:val="20"/>
        </w:rPr>
        <w:t xml:space="preserve"> </w:t>
      </w:r>
      <w:r>
        <w:rPr>
          <w:rFonts w:ascii="Times New Roman" w:hAnsi="Times New Roman" w:cs="Times New Roman"/>
          <w:sz w:val="20"/>
          <w:szCs w:val="20"/>
        </w:rPr>
        <w:t xml:space="preserve">centralized </w:t>
      </w:r>
      <w:r w:rsidRPr="00AB51EE">
        <w:rPr>
          <w:rFonts w:ascii="Times New Roman" w:hAnsi="Times New Roman" w:cs="Times New Roman"/>
          <w:sz w:val="20"/>
          <w:szCs w:val="20"/>
        </w:rPr>
        <w:t>bargaining has an index value of 5.</w:t>
      </w:r>
      <w:r>
        <w:rPr>
          <w:rFonts w:ascii="Times New Roman" w:hAnsi="Times New Roman" w:cs="Times New Roman"/>
          <w:sz w:val="20"/>
          <w:szCs w:val="20"/>
        </w:rPr>
        <w:t>75.</w:t>
      </w:r>
    </w:p>
    <w:p w14:paraId="556AC4AA" w14:textId="77777777" w:rsidR="0013469E" w:rsidRPr="00F16828" w:rsidRDefault="0013469E" w:rsidP="0013469E">
      <w:pPr>
        <w:spacing w:after="0" w:line="240" w:lineRule="auto"/>
        <w:ind w:left="720"/>
        <w:rPr>
          <w:rFonts w:ascii="Times New Roman" w:hAnsi="Times New Roman" w:cs="Times New Roman"/>
          <w:sz w:val="20"/>
          <w:szCs w:val="20"/>
        </w:rPr>
      </w:pPr>
    </w:p>
    <w:p w14:paraId="2816E521" w14:textId="211FB212" w:rsidR="0013469E" w:rsidRDefault="0013469E" w:rsidP="001346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Figure 7</w:t>
      </w:r>
      <w:r w:rsidRPr="00F16828">
        <w:rPr>
          <w:rFonts w:ascii="Times New Roman" w:hAnsi="Times New Roman" w:cs="Times New Roman"/>
          <w:b/>
          <w:sz w:val="24"/>
          <w:szCs w:val="24"/>
        </w:rPr>
        <w:t xml:space="preserve">: </w:t>
      </w:r>
      <w:r w:rsidR="0081438C">
        <w:rPr>
          <w:rFonts w:ascii="Times New Roman" w:eastAsiaTheme="minorEastAsia" w:hAnsi="Times New Roman" w:cs="Times New Roman"/>
          <w:b/>
          <w:sz w:val="24"/>
          <w:szCs w:val="24"/>
        </w:rPr>
        <w:t>Interaction</w:t>
      </w:r>
      <w:r w:rsidRPr="0013469E">
        <w:rPr>
          <w:rFonts w:ascii="Times New Roman" w:eastAsiaTheme="minorEastAsia" w:hAnsi="Times New Roman" w:cs="Times New Roman"/>
          <w:b/>
          <w:sz w:val="24"/>
          <w:szCs w:val="24"/>
        </w:rPr>
        <w:t xml:space="preserve"> between </w:t>
      </w:r>
      <w:r>
        <w:rPr>
          <w:rFonts w:ascii="Times New Roman" w:eastAsiaTheme="minorEastAsia" w:hAnsi="Times New Roman" w:cs="Times New Roman"/>
          <w:b/>
          <w:sz w:val="24"/>
          <w:szCs w:val="24"/>
        </w:rPr>
        <w:t>trade union density</w:t>
      </w:r>
      <w:r w:rsidRPr="0013469E">
        <w:rPr>
          <w:rFonts w:ascii="Times New Roman" w:eastAsiaTheme="minorEastAsia" w:hAnsi="Times New Roman" w:cs="Times New Roman"/>
          <w:b/>
          <w:sz w:val="24"/>
          <w:szCs w:val="24"/>
        </w:rPr>
        <w:t xml:space="preserve"> and credit restrictiveness on household debt accumulation</w:t>
      </w:r>
    </w:p>
    <w:p w14:paraId="1160E454" w14:textId="77777777" w:rsidR="0013469E" w:rsidRDefault="0013469E" w:rsidP="0013469E">
      <w:pPr>
        <w:spacing w:after="0" w:line="240" w:lineRule="auto"/>
        <w:ind w:left="720"/>
        <w:rPr>
          <w:rFonts w:ascii="Times New Roman" w:hAnsi="Times New Roman" w:cs="Times New Roman"/>
          <w:sz w:val="20"/>
          <w:szCs w:val="20"/>
        </w:rPr>
      </w:pPr>
      <w:r>
        <w:rPr>
          <w:rFonts w:ascii="Times New Roman" w:hAnsi="Times New Roman" w:cs="Times New Roman"/>
          <w:b/>
          <w:noProof/>
          <w:sz w:val="24"/>
          <w:szCs w:val="24"/>
        </w:rPr>
        <w:drawing>
          <wp:inline distT="0" distB="0" distL="0" distR="0" wp14:anchorId="2CA0F055" wp14:editId="58FC9294">
            <wp:extent cx="4733925" cy="31648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7927" cy="3167537"/>
                    </a:xfrm>
                    <a:prstGeom prst="rect">
                      <a:avLst/>
                    </a:prstGeom>
                    <a:noFill/>
                    <a:ln>
                      <a:noFill/>
                    </a:ln>
                  </pic:spPr>
                </pic:pic>
              </a:graphicData>
            </a:graphic>
          </wp:inline>
        </w:drawing>
      </w:r>
      <w:r w:rsidRPr="00F16828">
        <w:rPr>
          <w:rFonts w:ascii="Times New Roman" w:hAnsi="Times New Roman" w:cs="Times New Roman"/>
          <w:sz w:val="20"/>
          <w:szCs w:val="20"/>
        </w:rPr>
        <w:t xml:space="preserve"> </w:t>
      </w:r>
    </w:p>
    <w:p w14:paraId="359BB750" w14:textId="7C079215" w:rsidR="0013469E" w:rsidRDefault="0013469E" w:rsidP="0013469E">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Graphic produced from Model III</w:t>
      </w:r>
      <w:r w:rsidRPr="00AB51EE">
        <w:rPr>
          <w:rFonts w:ascii="Times New Roman" w:hAnsi="Times New Roman" w:cs="Times New Roman"/>
          <w:sz w:val="20"/>
          <w:szCs w:val="20"/>
        </w:rPr>
        <w:t xml:space="preserve"> in Table 1</w:t>
      </w:r>
      <w:r>
        <w:rPr>
          <w:rFonts w:ascii="Times New Roman" w:hAnsi="Times New Roman" w:cs="Times New Roman"/>
          <w:sz w:val="20"/>
          <w:szCs w:val="20"/>
        </w:rPr>
        <w:t xml:space="preserve"> (with 95% confidence intervals)</w:t>
      </w:r>
      <w:r w:rsidRPr="00AB51EE">
        <w:rPr>
          <w:rFonts w:ascii="Times New Roman" w:hAnsi="Times New Roman" w:cs="Times New Roman"/>
          <w:sz w:val="20"/>
          <w:szCs w:val="20"/>
        </w:rPr>
        <w:t xml:space="preserve">. </w:t>
      </w:r>
      <w:r>
        <w:rPr>
          <w:rFonts w:ascii="Times New Roman" w:hAnsi="Times New Roman" w:cs="Times New Roman"/>
          <w:sz w:val="20"/>
          <w:szCs w:val="20"/>
        </w:rPr>
        <w:t xml:space="preserve">Low union density indicates 10% of the labor </w:t>
      </w:r>
      <w:proofErr w:type="gramStart"/>
      <w:r>
        <w:rPr>
          <w:rFonts w:ascii="Times New Roman" w:hAnsi="Times New Roman" w:cs="Times New Roman"/>
          <w:sz w:val="20"/>
          <w:szCs w:val="20"/>
        </w:rPr>
        <w:t>force are</w:t>
      </w:r>
      <w:proofErr w:type="gramEnd"/>
      <w:r>
        <w:rPr>
          <w:rFonts w:ascii="Times New Roman" w:hAnsi="Times New Roman" w:cs="Times New Roman"/>
          <w:sz w:val="20"/>
          <w:szCs w:val="20"/>
        </w:rPr>
        <w:t xml:space="preserve"> union members</w:t>
      </w:r>
      <w:r w:rsidRPr="00AB51EE">
        <w:rPr>
          <w:rFonts w:ascii="Times New Roman" w:hAnsi="Times New Roman" w:cs="Times New Roman"/>
          <w:sz w:val="20"/>
          <w:szCs w:val="20"/>
        </w:rPr>
        <w:t xml:space="preserve">, </w:t>
      </w:r>
      <w:r>
        <w:rPr>
          <w:rFonts w:ascii="Times New Roman" w:hAnsi="Times New Roman" w:cs="Times New Roman"/>
          <w:sz w:val="20"/>
          <w:szCs w:val="20"/>
        </w:rPr>
        <w:t>high union density indicates 90% of the labor force are union members</w:t>
      </w:r>
    </w:p>
    <w:p w14:paraId="3278D070" w14:textId="77777777" w:rsidR="0081438C" w:rsidRDefault="0081438C" w:rsidP="0013469E">
      <w:pPr>
        <w:spacing w:after="0" w:line="240" w:lineRule="auto"/>
        <w:ind w:left="720"/>
        <w:rPr>
          <w:rFonts w:ascii="Times New Roman" w:hAnsi="Times New Roman" w:cs="Times New Roman"/>
          <w:sz w:val="20"/>
          <w:szCs w:val="20"/>
        </w:rPr>
      </w:pPr>
    </w:p>
    <w:p w14:paraId="0F4A3F82" w14:textId="5FE11527" w:rsidR="003009FB" w:rsidRDefault="003009FB" w:rsidP="003009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Figure 8</w:t>
      </w:r>
      <w:r w:rsidRPr="00F16828">
        <w:rPr>
          <w:rFonts w:ascii="Times New Roman" w:hAnsi="Times New Roman" w:cs="Times New Roman"/>
          <w:b/>
          <w:sz w:val="24"/>
          <w:szCs w:val="24"/>
        </w:rPr>
        <w:t xml:space="preserve">: </w:t>
      </w:r>
      <w:r w:rsidRPr="0013469E">
        <w:rPr>
          <w:rFonts w:ascii="Times New Roman" w:eastAsiaTheme="minorEastAsia" w:hAnsi="Times New Roman" w:cs="Times New Roman"/>
          <w:b/>
          <w:sz w:val="24"/>
          <w:szCs w:val="24"/>
        </w:rPr>
        <w:t xml:space="preserve">Interaction between </w:t>
      </w:r>
      <w:r>
        <w:rPr>
          <w:rFonts w:ascii="Times New Roman" w:eastAsiaTheme="minorEastAsia" w:hAnsi="Times New Roman" w:cs="Times New Roman"/>
          <w:b/>
          <w:sz w:val="24"/>
          <w:szCs w:val="24"/>
        </w:rPr>
        <w:t>collective bargaining coverage</w:t>
      </w:r>
      <w:r w:rsidRPr="0013469E">
        <w:rPr>
          <w:rFonts w:ascii="Times New Roman" w:eastAsiaTheme="minorEastAsia" w:hAnsi="Times New Roman" w:cs="Times New Roman"/>
          <w:b/>
          <w:sz w:val="24"/>
          <w:szCs w:val="24"/>
        </w:rPr>
        <w:t xml:space="preserve"> and credit restrictiveness on household debt accumulation</w:t>
      </w:r>
    </w:p>
    <w:p w14:paraId="2E73106E" w14:textId="5E99A562" w:rsidR="003009FB" w:rsidRDefault="003009FB" w:rsidP="003009FB">
      <w:pPr>
        <w:spacing w:after="0" w:line="240" w:lineRule="auto"/>
        <w:ind w:left="72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D99D1E6" wp14:editId="37363192">
            <wp:extent cx="4814888" cy="30861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9651" cy="3089153"/>
                    </a:xfrm>
                    <a:prstGeom prst="rect">
                      <a:avLst/>
                    </a:prstGeom>
                    <a:noFill/>
                    <a:ln>
                      <a:noFill/>
                    </a:ln>
                  </pic:spPr>
                </pic:pic>
              </a:graphicData>
            </a:graphic>
          </wp:inline>
        </w:drawing>
      </w:r>
      <w:r w:rsidRPr="00F16828">
        <w:rPr>
          <w:rFonts w:ascii="Times New Roman" w:hAnsi="Times New Roman" w:cs="Times New Roman"/>
          <w:sz w:val="20"/>
          <w:szCs w:val="20"/>
        </w:rPr>
        <w:t xml:space="preserve"> </w:t>
      </w:r>
    </w:p>
    <w:p w14:paraId="0F4A1A44" w14:textId="07D842D9" w:rsidR="003009FB" w:rsidRPr="0013469E" w:rsidRDefault="003009FB" w:rsidP="003009FB">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Graphic produced from Model IV</w:t>
      </w:r>
      <w:r w:rsidRPr="00AB51EE">
        <w:rPr>
          <w:rFonts w:ascii="Times New Roman" w:hAnsi="Times New Roman" w:cs="Times New Roman"/>
          <w:sz w:val="20"/>
          <w:szCs w:val="20"/>
        </w:rPr>
        <w:t xml:space="preserve"> in Table 1</w:t>
      </w:r>
      <w:r>
        <w:rPr>
          <w:rFonts w:ascii="Times New Roman" w:hAnsi="Times New Roman" w:cs="Times New Roman"/>
          <w:sz w:val="20"/>
          <w:szCs w:val="20"/>
        </w:rPr>
        <w:t xml:space="preserve"> (with 95% confidence intervals)</w:t>
      </w:r>
      <w:r w:rsidRPr="00AB51EE">
        <w:rPr>
          <w:rFonts w:ascii="Times New Roman" w:hAnsi="Times New Roman" w:cs="Times New Roman"/>
          <w:sz w:val="20"/>
          <w:szCs w:val="20"/>
        </w:rPr>
        <w:t xml:space="preserve">. </w:t>
      </w:r>
      <w:r>
        <w:rPr>
          <w:rFonts w:ascii="Times New Roman" w:hAnsi="Times New Roman" w:cs="Times New Roman"/>
          <w:sz w:val="20"/>
          <w:szCs w:val="20"/>
        </w:rPr>
        <w:t>Low bargaining coverage indicates 10% of the labor force is covered by a collective agreement</w:t>
      </w:r>
      <w:r w:rsidRPr="00AB51EE">
        <w:rPr>
          <w:rFonts w:ascii="Times New Roman" w:hAnsi="Times New Roman" w:cs="Times New Roman"/>
          <w:sz w:val="20"/>
          <w:szCs w:val="20"/>
        </w:rPr>
        <w:t xml:space="preserve">, </w:t>
      </w:r>
      <w:r>
        <w:rPr>
          <w:rFonts w:ascii="Times New Roman" w:hAnsi="Times New Roman" w:cs="Times New Roman"/>
          <w:sz w:val="20"/>
          <w:szCs w:val="20"/>
        </w:rPr>
        <w:t xml:space="preserve">high coverage indicates 90% of the labor </w:t>
      </w:r>
      <w:proofErr w:type="gramStart"/>
      <w:r>
        <w:rPr>
          <w:rFonts w:ascii="Times New Roman" w:hAnsi="Times New Roman" w:cs="Times New Roman"/>
          <w:sz w:val="20"/>
          <w:szCs w:val="20"/>
        </w:rPr>
        <w:t>force are</w:t>
      </w:r>
      <w:proofErr w:type="gramEnd"/>
      <w:r>
        <w:rPr>
          <w:rFonts w:ascii="Times New Roman" w:hAnsi="Times New Roman" w:cs="Times New Roman"/>
          <w:sz w:val="20"/>
          <w:szCs w:val="20"/>
        </w:rPr>
        <w:t xml:space="preserve"> covered by a collective agreement. </w:t>
      </w:r>
    </w:p>
    <w:p w14:paraId="5B02A394" w14:textId="77777777" w:rsidR="003009FB" w:rsidRPr="0013469E" w:rsidRDefault="003009FB" w:rsidP="003009FB">
      <w:pPr>
        <w:spacing w:after="0" w:line="240" w:lineRule="auto"/>
        <w:rPr>
          <w:rFonts w:ascii="Times New Roman" w:hAnsi="Times New Roman" w:cs="Times New Roman"/>
          <w:sz w:val="20"/>
          <w:szCs w:val="20"/>
        </w:rPr>
      </w:pPr>
    </w:p>
    <w:p w14:paraId="7A1BEED1" w14:textId="3BAFB7E8" w:rsidR="009B6657" w:rsidRDefault="009B6657" w:rsidP="00E36909">
      <w:pPr>
        <w:spacing w:before="100" w:beforeAutospacing="1" w:after="100" w:afterAutospacing="1" w:line="360" w:lineRule="auto"/>
        <w:jc w:val="both"/>
        <w:rPr>
          <w:rFonts w:ascii="Times New Roman" w:eastAsiaTheme="minorEastAsia" w:hAnsi="Times New Roman" w:cs="Times New Roman"/>
          <w:sz w:val="24"/>
          <w:szCs w:val="24"/>
        </w:rPr>
      </w:pPr>
      <w:r w:rsidRPr="0013469E">
        <w:rPr>
          <w:rFonts w:ascii="Times New Roman" w:eastAsiaTheme="minorEastAsia" w:hAnsi="Times New Roman" w:cs="Times New Roman"/>
          <w:sz w:val="24"/>
          <w:szCs w:val="24"/>
        </w:rPr>
        <w:t xml:space="preserve">From Figure </w:t>
      </w:r>
      <w:r w:rsidR="00C42F67" w:rsidRPr="0013469E">
        <w:rPr>
          <w:rFonts w:ascii="Times New Roman" w:eastAsiaTheme="minorEastAsia" w:hAnsi="Times New Roman" w:cs="Times New Roman"/>
          <w:sz w:val="24"/>
          <w:szCs w:val="24"/>
        </w:rPr>
        <w:t>5</w:t>
      </w:r>
      <w:r w:rsidRPr="0013469E">
        <w:rPr>
          <w:rFonts w:ascii="Times New Roman" w:eastAsiaTheme="minorEastAsia" w:hAnsi="Times New Roman" w:cs="Times New Roman"/>
          <w:sz w:val="24"/>
          <w:szCs w:val="24"/>
        </w:rPr>
        <w:t>, countries with highly coordinated wage-setting demonstrate significantly</w:t>
      </w:r>
      <w:r w:rsidR="0072568F" w:rsidRPr="0013469E">
        <w:rPr>
          <w:rFonts w:ascii="Times New Roman" w:eastAsiaTheme="minorEastAsia" w:hAnsi="Times New Roman" w:cs="Times New Roman"/>
          <w:sz w:val="24"/>
          <w:szCs w:val="24"/>
        </w:rPr>
        <w:t xml:space="preserve"> higher household debt accumulation</w:t>
      </w:r>
      <w:r w:rsidRPr="0013469E">
        <w:rPr>
          <w:rFonts w:ascii="Times New Roman" w:eastAsiaTheme="minorEastAsia" w:hAnsi="Times New Roman" w:cs="Times New Roman"/>
          <w:sz w:val="24"/>
          <w:szCs w:val="24"/>
        </w:rPr>
        <w:t xml:space="preserve"> than countries with uncoordinated wage-setting but </w:t>
      </w:r>
      <w:r w:rsidRPr="0013469E">
        <w:rPr>
          <w:rFonts w:ascii="Times New Roman" w:eastAsiaTheme="minorEastAsia" w:hAnsi="Times New Roman" w:cs="Times New Roman"/>
          <w:i/>
          <w:sz w:val="24"/>
          <w:szCs w:val="24"/>
        </w:rPr>
        <w:t xml:space="preserve">only </w:t>
      </w:r>
      <w:r w:rsidRPr="0013469E">
        <w:rPr>
          <w:rFonts w:ascii="Times New Roman" w:eastAsiaTheme="minorEastAsia" w:hAnsi="Times New Roman" w:cs="Times New Roman"/>
          <w:sz w:val="24"/>
          <w:szCs w:val="24"/>
        </w:rPr>
        <w:t>when mortgage restrictiveness index is low. Once</w:t>
      </w:r>
      <w:r w:rsidR="0072568F" w:rsidRPr="0013469E">
        <w:rPr>
          <w:rFonts w:ascii="Times New Roman" w:eastAsiaTheme="minorEastAsia" w:hAnsi="Times New Roman" w:cs="Times New Roman"/>
          <w:sz w:val="24"/>
          <w:szCs w:val="24"/>
        </w:rPr>
        <w:t xml:space="preserve"> </w:t>
      </w:r>
      <w:r w:rsidR="003009FB">
        <w:rPr>
          <w:rFonts w:ascii="Times New Roman" w:eastAsiaTheme="minorEastAsia" w:hAnsi="Times New Roman" w:cs="Times New Roman"/>
          <w:sz w:val="24"/>
          <w:szCs w:val="24"/>
        </w:rPr>
        <w:t xml:space="preserve">the credit restrictiveness </w:t>
      </w:r>
      <w:r w:rsidR="0072568F" w:rsidRPr="0013469E">
        <w:rPr>
          <w:rFonts w:ascii="Times New Roman" w:eastAsiaTheme="minorEastAsia" w:hAnsi="Times New Roman" w:cs="Times New Roman"/>
          <w:sz w:val="24"/>
          <w:szCs w:val="24"/>
        </w:rPr>
        <w:t>index reaches a value of 4</w:t>
      </w:r>
      <w:r w:rsidRPr="0013469E">
        <w:rPr>
          <w:rFonts w:ascii="Times New Roman" w:eastAsiaTheme="minorEastAsia" w:hAnsi="Times New Roman" w:cs="Times New Roman"/>
          <w:sz w:val="24"/>
          <w:szCs w:val="24"/>
        </w:rPr>
        <w:t xml:space="preserve">, the confidence intervals between these two types of labor markets overlap, indicating that </w:t>
      </w:r>
      <w:r w:rsidR="0072568F" w:rsidRPr="0013469E">
        <w:rPr>
          <w:rFonts w:ascii="Times New Roman" w:eastAsiaTheme="minorEastAsia" w:hAnsi="Times New Roman" w:cs="Times New Roman"/>
          <w:sz w:val="24"/>
          <w:szCs w:val="24"/>
        </w:rPr>
        <w:t>household debt</w:t>
      </w:r>
      <w:r w:rsidRPr="0013469E">
        <w:rPr>
          <w:rFonts w:ascii="Times New Roman" w:eastAsiaTheme="minorEastAsia" w:hAnsi="Times New Roman" w:cs="Times New Roman"/>
          <w:sz w:val="24"/>
          <w:szCs w:val="24"/>
        </w:rPr>
        <w:t xml:space="preserve"> growth is not significantly different between the two wage-setting regimes</w:t>
      </w:r>
      <w:r w:rsidR="0072568F" w:rsidRPr="0013469E">
        <w:rPr>
          <w:rFonts w:ascii="Times New Roman" w:eastAsiaTheme="minorEastAsia" w:hAnsi="Times New Roman" w:cs="Times New Roman"/>
          <w:sz w:val="24"/>
          <w:szCs w:val="24"/>
        </w:rPr>
        <w:t xml:space="preserve"> (</w:t>
      </w:r>
      <w:r w:rsidR="0013469E" w:rsidRPr="0013469E">
        <w:rPr>
          <w:rFonts w:ascii="Times New Roman" w:eastAsiaTheme="minorEastAsia" w:hAnsi="Times New Roman" w:cs="Times New Roman"/>
          <w:sz w:val="24"/>
          <w:szCs w:val="24"/>
        </w:rPr>
        <w:t>surprisingly, for the highest level of credit restrictiveness, highly coordinate</w:t>
      </w:r>
      <w:r w:rsidR="003009FB">
        <w:rPr>
          <w:rFonts w:ascii="Times New Roman" w:eastAsiaTheme="minorEastAsia" w:hAnsi="Times New Roman" w:cs="Times New Roman"/>
          <w:sz w:val="24"/>
          <w:szCs w:val="24"/>
        </w:rPr>
        <w:t>d</w:t>
      </w:r>
      <w:r w:rsidR="0013469E" w:rsidRPr="0013469E">
        <w:rPr>
          <w:rFonts w:ascii="Times New Roman" w:eastAsiaTheme="minorEastAsia" w:hAnsi="Times New Roman" w:cs="Times New Roman"/>
          <w:sz w:val="24"/>
          <w:szCs w:val="24"/>
        </w:rPr>
        <w:t xml:space="preserve"> wage-setting regimes exhibit lower debt growth than uncoordinated ones)</w:t>
      </w:r>
      <w:r w:rsidRPr="0013469E">
        <w:rPr>
          <w:rFonts w:ascii="Times New Roman" w:eastAsiaTheme="minorEastAsia" w:hAnsi="Times New Roman" w:cs="Times New Roman"/>
          <w:sz w:val="24"/>
          <w:szCs w:val="24"/>
        </w:rPr>
        <w:t xml:space="preserve">.  </w:t>
      </w:r>
      <w:r w:rsidR="0013469E">
        <w:rPr>
          <w:rFonts w:ascii="Times New Roman" w:eastAsiaTheme="minorEastAsia" w:hAnsi="Times New Roman" w:cs="Times New Roman"/>
          <w:sz w:val="24"/>
          <w:szCs w:val="24"/>
        </w:rPr>
        <w:t>The same effect can be observed for</w:t>
      </w:r>
      <w:r w:rsidR="009903CF">
        <w:rPr>
          <w:rFonts w:ascii="Times New Roman" w:eastAsiaTheme="minorEastAsia" w:hAnsi="Times New Roman" w:cs="Times New Roman"/>
          <w:sz w:val="24"/>
          <w:szCs w:val="24"/>
        </w:rPr>
        <w:t xml:space="preserve"> wage centralization (Figure 6)</w:t>
      </w:r>
      <w:r w:rsidR="003009FB">
        <w:rPr>
          <w:rFonts w:ascii="Times New Roman" w:eastAsiaTheme="minorEastAsia" w:hAnsi="Times New Roman" w:cs="Times New Roman"/>
          <w:sz w:val="24"/>
          <w:szCs w:val="24"/>
        </w:rPr>
        <w:t>,</w:t>
      </w:r>
      <w:r w:rsidR="009903CF">
        <w:rPr>
          <w:rFonts w:ascii="Times New Roman" w:eastAsiaTheme="minorEastAsia" w:hAnsi="Times New Roman" w:cs="Times New Roman"/>
          <w:sz w:val="24"/>
          <w:szCs w:val="24"/>
        </w:rPr>
        <w:t xml:space="preserve"> trade union density (Figure 7)</w:t>
      </w:r>
      <w:r w:rsidR="003009FB">
        <w:rPr>
          <w:rFonts w:ascii="Times New Roman" w:eastAsiaTheme="minorEastAsia" w:hAnsi="Times New Roman" w:cs="Times New Roman"/>
          <w:sz w:val="24"/>
          <w:szCs w:val="24"/>
        </w:rPr>
        <w:t>, and collective bargaining coverage (Figure 8)</w:t>
      </w:r>
      <w:r w:rsidR="009903CF">
        <w:rPr>
          <w:rFonts w:ascii="Times New Roman" w:eastAsiaTheme="minorEastAsia" w:hAnsi="Times New Roman" w:cs="Times New Roman"/>
          <w:sz w:val="24"/>
          <w:szCs w:val="24"/>
        </w:rPr>
        <w:t xml:space="preserve"> – countries with highly centralized/unionized labor markets</w:t>
      </w:r>
      <w:r w:rsidR="003009FB">
        <w:rPr>
          <w:rFonts w:ascii="Times New Roman" w:eastAsiaTheme="minorEastAsia" w:hAnsi="Times New Roman" w:cs="Times New Roman"/>
          <w:sz w:val="24"/>
          <w:szCs w:val="24"/>
        </w:rPr>
        <w:t xml:space="preserve"> and expansive collective bargaining coverage</w:t>
      </w:r>
      <w:r w:rsidR="009903CF">
        <w:rPr>
          <w:rFonts w:ascii="Times New Roman" w:eastAsiaTheme="minorEastAsia" w:hAnsi="Times New Roman" w:cs="Times New Roman"/>
          <w:sz w:val="24"/>
          <w:szCs w:val="24"/>
        </w:rPr>
        <w:t xml:space="preserve"> observe significantly higher levels of household debt accumulation than their decentralized/non-unionized</w:t>
      </w:r>
      <w:r w:rsidR="009839A2">
        <w:rPr>
          <w:rFonts w:ascii="Times New Roman" w:eastAsiaTheme="minorEastAsia" w:hAnsi="Times New Roman" w:cs="Times New Roman"/>
          <w:sz w:val="24"/>
          <w:szCs w:val="24"/>
        </w:rPr>
        <w:t>/low-coverage</w:t>
      </w:r>
      <w:r w:rsidR="009903CF">
        <w:rPr>
          <w:rFonts w:ascii="Times New Roman" w:eastAsiaTheme="minorEastAsia" w:hAnsi="Times New Roman" w:cs="Times New Roman"/>
          <w:sz w:val="24"/>
          <w:szCs w:val="24"/>
        </w:rPr>
        <w:t xml:space="preserve"> counter-parts </w:t>
      </w:r>
      <w:r w:rsidR="009903CF" w:rsidRPr="009903CF">
        <w:rPr>
          <w:rFonts w:ascii="Times New Roman" w:eastAsiaTheme="minorEastAsia" w:hAnsi="Times New Roman" w:cs="Times New Roman"/>
          <w:i/>
          <w:sz w:val="24"/>
          <w:szCs w:val="24"/>
        </w:rPr>
        <w:t xml:space="preserve">when mortgage </w:t>
      </w:r>
      <w:r w:rsidR="00214491">
        <w:rPr>
          <w:rFonts w:ascii="Times New Roman" w:eastAsiaTheme="minorEastAsia" w:hAnsi="Times New Roman" w:cs="Times New Roman"/>
          <w:i/>
          <w:sz w:val="24"/>
          <w:szCs w:val="24"/>
        </w:rPr>
        <w:t>finance</w:t>
      </w:r>
      <w:r w:rsidR="00214491" w:rsidRPr="009903CF">
        <w:rPr>
          <w:rFonts w:ascii="Times New Roman" w:eastAsiaTheme="minorEastAsia" w:hAnsi="Times New Roman" w:cs="Times New Roman"/>
          <w:i/>
          <w:sz w:val="24"/>
          <w:szCs w:val="24"/>
        </w:rPr>
        <w:t xml:space="preserve"> </w:t>
      </w:r>
      <w:r w:rsidR="00214491">
        <w:rPr>
          <w:rFonts w:ascii="Times New Roman" w:eastAsiaTheme="minorEastAsia" w:hAnsi="Times New Roman" w:cs="Times New Roman"/>
          <w:i/>
          <w:sz w:val="24"/>
          <w:szCs w:val="24"/>
        </w:rPr>
        <w:t>is less restricted</w:t>
      </w:r>
      <w:r w:rsidR="009903CF">
        <w:rPr>
          <w:rFonts w:ascii="Times New Roman" w:eastAsiaTheme="minorEastAsia" w:hAnsi="Times New Roman" w:cs="Times New Roman"/>
          <w:sz w:val="24"/>
          <w:szCs w:val="24"/>
        </w:rPr>
        <w:t xml:space="preserve">, </w:t>
      </w:r>
      <w:r w:rsidR="007A1623">
        <w:rPr>
          <w:rFonts w:ascii="Times New Roman" w:eastAsiaTheme="minorEastAsia" w:hAnsi="Times New Roman" w:cs="Times New Roman"/>
          <w:sz w:val="24"/>
          <w:szCs w:val="24"/>
        </w:rPr>
        <w:t>but under</w:t>
      </w:r>
      <w:r w:rsidR="009903CF">
        <w:rPr>
          <w:rFonts w:ascii="Times New Roman" w:eastAsiaTheme="minorEastAsia" w:hAnsi="Times New Roman" w:cs="Times New Roman"/>
          <w:sz w:val="24"/>
          <w:szCs w:val="24"/>
        </w:rPr>
        <w:t xml:space="preserve"> moderate and higher levels of mortgage </w:t>
      </w:r>
      <w:r w:rsidR="00214491">
        <w:rPr>
          <w:rFonts w:ascii="Times New Roman" w:eastAsiaTheme="minorEastAsia" w:hAnsi="Times New Roman" w:cs="Times New Roman"/>
          <w:sz w:val="24"/>
          <w:szCs w:val="24"/>
        </w:rPr>
        <w:t>finance restrictions</w:t>
      </w:r>
      <w:r w:rsidR="009903CF">
        <w:rPr>
          <w:rFonts w:ascii="Times New Roman" w:eastAsiaTheme="minorEastAsia" w:hAnsi="Times New Roman" w:cs="Times New Roman"/>
          <w:sz w:val="24"/>
          <w:szCs w:val="24"/>
        </w:rPr>
        <w:t>, countries with strong wage centralization</w:t>
      </w:r>
      <w:r w:rsidR="009839A2">
        <w:rPr>
          <w:rFonts w:ascii="Times New Roman" w:eastAsiaTheme="minorEastAsia" w:hAnsi="Times New Roman" w:cs="Times New Roman"/>
          <w:sz w:val="24"/>
          <w:szCs w:val="24"/>
        </w:rPr>
        <w:t>,</w:t>
      </w:r>
      <w:r w:rsidR="009903CF">
        <w:rPr>
          <w:rFonts w:ascii="Times New Roman" w:eastAsiaTheme="minorEastAsia" w:hAnsi="Times New Roman" w:cs="Times New Roman"/>
          <w:sz w:val="24"/>
          <w:szCs w:val="24"/>
        </w:rPr>
        <w:t xml:space="preserve"> high trade union density</w:t>
      </w:r>
      <w:r w:rsidR="009839A2">
        <w:rPr>
          <w:rFonts w:ascii="Times New Roman" w:eastAsiaTheme="minorEastAsia" w:hAnsi="Times New Roman" w:cs="Times New Roman"/>
          <w:sz w:val="24"/>
          <w:szCs w:val="24"/>
        </w:rPr>
        <w:t>, and high collective bargaining coverage</w:t>
      </w:r>
      <w:r w:rsidR="009903CF">
        <w:rPr>
          <w:rFonts w:ascii="Times New Roman" w:eastAsiaTheme="minorEastAsia" w:hAnsi="Times New Roman" w:cs="Times New Roman"/>
          <w:sz w:val="24"/>
          <w:szCs w:val="24"/>
        </w:rPr>
        <w:t xml:space="preserve"> observe similar household debt growth as those with decentralized</w:t>
      </w:r>
      <w:r w:rsidR="009839A2">
        <w:rPr>
          <w:rFonts w:ascii="Times New Roman" w:eastAsiaTheme="minorEastAsia" w:hAnsi="Times New Roman" w:cs="Times New Roman"/>
          <w:sz w:val="24"/>
          <w:szCs w:val="24"/>
        </w:rPr>
        <w:t>, low bargaining coverage</w:t>
      </w:r>
      <w:r w:rsidR="009903CF">
        <w:rPr>
          <w:rFonts w:ascii="Times New Roman" w:eastAsiaTheme="minorEastAsia" w:hAnsi="Times New Roman" w:cs="Times New Roman"/>
          <w:sz w:val="24"/>
          <w:szCs w:val="24"/>
        </w:rPr>
        <w:t xml:space="preserve"> and (comparatively) non-unionized labor markets. </w:t>
      </w:r>
    </w:p>
    <w:p w14:paraId="6A2DFEF6" w14:textId="695FF4DD" w:rsidR="00380E9E" w:rsidRPr="009839A2" w:rsidRDefault="009903CF" w:rsidP="009839A2">
      <w:pPr>
        <w:spacing w:before="100" w:beforeAutospacing="1" w:after="100" w:afterAutospacing="1"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Similar </w:t>
      </w:r>
      <w:r w:rsidR="00463A69">
        <w:rPr>
          <w:rFonts w:ascii="Times New Roman" w:eastAsiaTheme="minorEastAsia" w:hAnsi="Times New Roman" w:cs="Times New Roman"/>
          <w:sz w:val="24"/>
          <w:szCs w:val="24"/>
        </w:rPr>
        <w:t>interaction effects emerge when we use</w:t>
      </w:r>
      <w:r w:rsidR="0081438C">
        <w:rPr>
          <w:rFonts w:ascii="Times New Roman" w:eastAsiaTheme="minorEastAsia" w:hAnsi="Times New Roman" w:cs="Times New Roman"/>
          <w:sz w:val="24"/>
          <w:szCs w:val="24"/>
        </w:rPr>
        <w:t xml:space="preserve"> the welfare state as</w:t>
      </w:r>
      <w:r w:rsidR="00463A69">
        <w:rPr>
          <w:rFonts w:ascii="Times New Roman" w:eastAsiaTheme="minorEastAsia" w:hAnsi="Times New Roman" w:cs="Times New Roman"/>
          <w:sz w:val="24"/>
          <w:szCs w:val="24"/>
        </w:rPr>
        <w:t xml:space="preserve"> another institutional proxy for income and employment security.  While we lack the space to present these results here, Appendix </w:t>
      </w:r>
      <w:r w:rsidR="0081438C">
        <w:rPr>
          <w:rFonts w:ascii="Times New Roman" w:eastAsiaTheme="minorEastAsia" w:hAnsi="Times New Roman" w:cs="Times New Roman"/>
          <w:sz w:val="24"/>
          <w:szCs w:val="24"/>
        </w:rPr>
        <w:t>C</w:t>
      </w:r>
      <w:r w:rsidR="00463A69">
        <w:rPr>
          <w:rFonts w:ascii="Times New Roman" w:eastAsiaTheme="minorEastAsia" w:hAnsi="Times New Roman" w:cs="Times New Roman"/>
          <w:sz w:val="24"/>
          <w:szCs w:val="24"/>
        </w:rPr>
        <w:t xml:space="preserve"> presents the interaction effect between the credit mitigation index and the level of social benefits and transfer spending (as a percentage of GDP – Model I in </w:t>
      </w:r>
      <w:r w:rsidR="000C2A90">
        <w:rPr>
          <w:rFonts w:ascii="Times New Roman" w:eastAsiaTheme="minorEastAsia" w:hAnsi="Times New Roman" w:cs="Times New Roman"/>
          <w:sz w:val="24"/>
          <w:szCs w:val="24"/>
        </w:rPr>
        <w:t xml:space="preserve">Appendix </w:t>
      </w:r>
      <w:r w:rsidR="0081438C">
        <w:rPr>
          <w:rFonts w:ascii="Times New Roman" w:eastAsiaTheme="minorEastAsia" w:hAnsi="Times New Roman" w:cs="Times New Roman"/>
          <w:sz w:val="24"/>
          <w:szCs w:val="24"/>
        </w:rPr>
        <w:t>C</w:t>
      </w:r>
      <w:r w:rsidR="00463A69">
        <w:rPr>
          <w:rFonts w:ascii="Times New Roman" w:eastAsiaTheme="minorEastAsia" w:hAnsi="Times New Roman" w:cs="Times New Roman"/>
          <w:sz w:val="24"/>
          <w:szCs w:val="24"/>
        </w:rPr>
        <w:t>), and total government expenditure (as a percentage of GDP – Model I</w:t>
      </w:r>
      <w:r w:rsidR="000C2A90">
        <w:rPr>
          <w:rFonts w:ascii="Times New Roman" w:eastAsiaTheme="minorEastAsia" w:hAnsi="Times New Roman" w:cs="Times New Roman"/>
          <w:sz w:val="24"/>
          <w:szCs w:val="24"/>
        </w:rPr>
        <w:t>I</w:t>
      </w:r>
      <w:r w:rsidR="00463A69">
        <w:rPr>
          <w:rFonts w:ascii="Times New Roman" w:eastAsiaTheme="minorEastAsia" w:hAnsi="Times New Roman" w:cs="Times New Roman"/>
          <w:sz w:val="24"/>
          <w:szCs w:val="24"/>
        </w:rPr>
        <w:t xml:space="preserve"> in </w:t>
      </w:r>
      <w:r w:rsidR="000C2A90">
        <w:rPr>
          <w:rFonts w:ascii="Times New Roman" w:eastAsiaTheme="minorEastAsia" w:hAnsi="Times New Roman" w:cs="Times New Roman"/>
          <w:sz w:val="24"/>
          <w:szCs w:val="24"/>
        </w:rPr>
        <w:t xml:space="preserve">Appendix </w:t>
      </w:r>
      <w:r w:rsidR="0081438C">
        <w:rPr>
          <w:rFonts w:ascii="Times New Roman" w:eastAsiaTheme="minorEastAsia" w:hAnsi="Times New Roman" w:cs="Times New Roman"/>
          <w:sz w:val="24"/>
          <w:szCs w:val="24"/>
        </w:rPr>
        <w:t>C</w:t>
      </w:r>
      <w:r w:rsidR="00463A69">
        <w:rPr>
          <w:rFonts w:ascii="Times New Roman" w:eastAsiaTheme="minorEastAsia" w:hAnsi="Times New Roman" w:cs="Times New Roman"/>
          <w:sz w:val="24"/>
          <w:szCs w:val="24"/>
        </w:rPr>
        <w:t>).  A more robust welfare state pr</w:t>
      </w:r>
      <w:r w:rsidR="007A1623">
        <w:rPr>
          <w:rFonts w:ascii="Times New Roman" w:eastAsiaTheme="minorEastAsia" w:hAnsi="Times New Roman" w:cs="Times New Roman"/>
          <w:sz w:val="24"/>
          <w:szCs w:val="24"/>
        </w:rPr>
        <w:t xml:space="preserve">otects against adverse </w:t>
      </w:r>
      <w:r w:rsidR="00463A69">
        <w:rPr>
          <w:rFonts w:ascii="Times New Roman" w:eastAsiaTheme="minorEastAsia" w:hAnsi="Times New Roman" w:cs="Times New Roman"/>
          <w:sz w:val="24"/>
          <w:szCs w:val="24"/>
        </w:rPr>
        <w:t>income and employment</w:t>
      </w:r>
      <w:r w:rsidR="007A1623">
        <w:rPr>
          <w:rFonts w:ascii="Times New Roman" w:eastAsiaTheme="minorEastAsia" w:hAnsi="Times New Roman" w:cs="Times New Roman"/>
          <w:sz w:val="24"/>
          <w:szCs w:val="24"/>
        </w:rPr>
        <w:t xml:space="preserve"> shocks</w:t>
      </w:r>
      <w:r w:rsidR="00463A69">
        <w:rPr>
          <w:rFonts w:ascii="Times New Roman" w:eastAsiaTheme="minorEastAsia" w:hAnsi="Times New Roman" w:cs="Times New Roman"/>
          <w:sz w:val="24"/>
          <w:szCs w:val="24"/>
        </w:rPr>
        <w:t xml:space="preserve"> </w:t>
      </w:r>
      <w:r w:rsidR="007A1623">
        <w:rPr>
          <w:rFonts w:ascii="Times New Roman" w:eastAsiaTheme="minorEastAsia" w:hAnsi="Times New Roman" w:cs="Times New Roman"/>
          <w:sz w:val="24"/>
          <w:szCs w:val="24"/>
        </w:rPr>
        <w:t xml:space="preserve">by </w:t>
      </w:r>
      <w:r w:rsidR="00463A69">
        <w:rPr>
          <w:rFonts w:ascii="Times New Roman" w:eastAsiaTheme="minorEastAsia" w:hAnsi="Times New Roman" w:cs="Times New Roman"/>
          <w:sz w:val="24"/>
          <w:szCs w:val="24"/>
        </w:rPr>
        <w:t>providing households with</w:t>
      </w:r>
      <w:r w:rsidR="007A1623">
        <w:rPr>
          <w:rFonts w:ascii="Times New Roman" w:eastAsiaTheme="minorEastAsia" w:hAnsi="Times New Roman" w:cs="Times New Roman"/>
          <w:sz w:val="24"/>
          <w:szCs w:val="24"/>
        </w:rPr>
        <w:t xml:space="preserve"> an alternative income stream that reduces their</w:t>
      </w:r>
      <w:r w:rsidR="00463A69">
        <w:rPr>
          <w:rFonts w:ascii="Times New Roman" w:eastAsiaTheme="minorEastAsia" w:hAnsi="Times New Roman" w:cs="Times New Roman"/>
          <w:sz w:val="24"/>
          <w:szCs w:val="24"/>
        </w:rPr>
        <w:t xml:space="preserve"> mortgage default risk</w:t>
      </w:r>
      <w:r w:rsidR="007A1623">
        <w:rPr>
          <w:rFonts w:ascii="Times New Roman" w:eastAsiaTheme="minorEastAsia" w:hAnsi="Times New Roman" w:cs="Times New Roman"/>
          <w:sz w:val="24"/>
          <w:szCs w:val="24"/>
        </w:rPr>
        <w:t xml:space="preserve"> during times of duress (a mortgage lender</w:t>
      </w:r>
      <w:r w:rsidR="00463A69">
        <w:rPr>
          <w:rFonts w:ascii="Times New Roman" w:eastAsiaTheme="minorEastAsia" w:hAnsi="Times New Roman" w:cs="Times New Roman"/>
          <w:sz w:val="24"/>
          <w:szCs w:val="24"/>
        </w:rPr>
        <w:t xml:space="preserve"> in Sweden will </w:t>
      </w:r>
      <w:r w:rsidR="007A1623">
        <w:rPr>
          <w:rFonts w:ascii="Times New Roman" w:eastAsiaTheme="minorEastAsia" w:hAnsi="Times New Roman" w:cs="Times New Roman"/>
          <w:sz w:val="24"/>
          <w:szCs w:val="24"/>
        </w:rPr>
        <w:t>likely</w:t>
      </w:r>
      <w:r w:rsidR="00463A69">
        <w:rPr>
          <w:rFonts w:ascii="Times New Roman" w:eastAsiaTheme="minorEastAsia" w:hAnsi="Times New Roman" w:cs="Times New Roman"/>
          <w:sz w:val="24"/>
          <w:szCs w:val="24"/>
        </w:rPr>
        <w:t xml:space="preserve"> be less concerned if a borrower loses their job than </w:t>
      </w:r>
      <w:r w:rsidR="007A1623">
        <w:rPr>
          <w:rFonts w:ascii="Times New Roman" w:eastAsiaTheme="minorEastAsia" w:hAnsi="Times New Roman" w:cs="Times New Roman"/>
          <w:sz w:val="24"/>
          <w:szCs w:val="24"/>
        </w:rPr>
        <w:t>a mortgage lender</w:t>
      </w:r>
      <w:r w:rsidR="00463A69">
        <w:rPr>
          <w:rFonts w:ascii="Times New Roman" w:eastAsiaTheme="minorEastAsia" w:hAnsi="Times New Roman" w:cs="Times New Roman"/>
          <w:sz w:val="24"/>
          <w:szCs w:val="24"/>
        </w:rPr>
        <w:t xml:space="preserve"> in the United States). Results in Appendix </w:t>
      </w:r>
      <w:proofErr w:type="spellStart"/>
      <w:r w:rsidR="00733B0E">
        <w:rPr>
          <w:rFonts w:ascii="Times New Roman" w:eastAsiaTheme="minorEastAsia" w:hAnsi="Times New Roman" w:cs="Times New Roman"/>
          <w:sz w:val="24"/>
          <w:szCs w:val="24"/>
        </w:rPr>
        <w:t>C</w:t>
      </w:r>
      <w:r w:rsidR="000C2A90">
        <w:rPr>
          <w:rFonts w:ascii="Times New Roman" w:eastAsiaTheme="minorEastAsia" w:hAnsi="Times New Roman" w:cs="Times New Roman"/>
          <w:sz w:val="24"/>
          <w:szCs w:val="24"/>
        </w:rPr>
        <w:t xml:space="preserve"> </w:t>
      </w:r>
      <w:r w:rsidR="007A1623">
        <w:rPr>
          <w:rFonts w:ascii="Times New Roman" w:eastAsiaTheme="minorEastAsia" w:hAnsi="Times New Roman" w:cs="Times New Roman"/>
          <w:sz w:val="24"/>
          <w:szCs w:val="24"/>
        </w:rPr>
        <w:t>are</w:t>
      </w:r>
      <w:proofErr w:type="spellEnd"/>
      <w:r w:rsidR="007A1623">
        <w:rPr>
          <w:rFonts w:ascii="Times New Roman" w:eastAsiaTheme="minorEastAsia" w:hAnsi="Times New Roman" w:cs="Times New Roman"/>
          <w:sz w:val="24"/>
          <w:szCs w:val="24"/>
        </w:rPr>
        <w:t xml:space="preserve"> in congruence with</w:t>
      </w:r>
      <w:r w:rsidR="000C2A90">
        <w:rPr>
          <w:rFonts w:ascii="Times New Roman" w:eastAsiaTheme="minorEastAsia" w:hAnsi="Times New Roman" w:cs="Times New Roman"/>
          <w:sz w:val="24"/>
          <w:szCs w:val="24"/>
        </w:rPr>
        <w:t xml:space="preserve"> the results above; </w:t>
      </w:r>
      <w:r w:rsidR="008716B8">
        <w:rPr>
          <w:rFonts w:ascii="Times New Roman" w:eastAsiaTheme="minorEastAsia" w:hAnsi="Times New Roman" w:cs="Times New Roman"/>
          <w:sz w:val="24"/>
          <w:szCs w:val="24"/>
        </w:rPr>
        <w:t>c</w:t>
      </w:r>
      <w:r w:rsidR="00463A69">
        <w:rPr>
          <w:rFonts w:ascii="Times New Roman" w:eastAsiaTheme="minorEastAsia" w:hAnsi="Times New Roman" w:cs="Times New Roman"/>
          <w:sz w:val="24"/>
          <w:szCs w:val="24"/>
        </w:rPr>
        <w:t>ountries with larger welfare states (measured either through total government expenditure or merely expenditures on social transfers and benefits) have higher levels of household debt accumulation than countries with more residual welfare states, holding all else constant. However, larger welfare states lose their debt accumulation edge (compared to their residual welfare state counter-parts) as mortgage restrictiveness increases (</w:t>
      </w:r>
      <w:r w:rsidR="008716B8">
        <w:rPr>
          <w:rFonts w:ascii="Times New Roman" w:eastAsiaTheme="minorEastAsia" w:hAnsi="Times New Roman" w:cs="Times New Roman"/>
          <w:sz w:val="24"/>
          <w:szCs w:val="24"/>
        </w:rPr>
        <w:t xml:space="preserve">the negative </w:t>
      </w:r>
      <w:r w:rsidR="008716B8">
        <w:rPr>
          <w:rFonts w:ascii="Times New Roman" w:eastAsiaTheme="minorEastAsia" w:hAnsi="Times New Roman" w:cs="Times New Roman"/>
          <w:sz w:val="24"/>
          <w:szCs w:val="24"/>
        </w:rPr>
        <w:lastRenderedPageBreak/>
        <w:t>interaction effect between the welfare state and credit restrictiveness institutions is</w:t>
      </w:r>
      <w:r w:rsidR="00463A69">
        <w:rPr>
          <w:rFonts w:ascii="Times New Roman" w:eastAsiaTheme="minorEastAsia" w:hAnsi="Times New Roman" w:cs="Times New Roman"/>
          <w:sz w:val="24"/>
          <w:szCs w:val="24"/>
        </w:rPr>
        <w:t xml:space="preserve"> presented visually in Figures </w:t>
      </w:r>
      <w:r w:rsidR="00733B0E">
        <w:rPr>
          <w:rFonts w:ascii="Times New Roman" w:eastAsiaTheme="minorEastAsia" w:hAnsi="Times New Roman" w:cs="Times New Roman"/>
          <w:sz w:val="24"/>
          <w:szCs w:val="24"/>
        </w:rPr>
        <w:t>C</w:t>
      </w:r>
      <w:r w:rsidR="00463A69">
        <w:rPr>
          <w:rFonts w:ascii="Times New Roman" w:eastAsiaTheme="minorEastAsia" w:hAnsi="Times New Roman" w:cs="Times New Roman"/>
          <w:sz w:val="24"/>
          <w:szCs w:val="24"/>
        </w:rPr>
        <w:t xml:space="preserve">.1 and </w:t>
      </w:r>
      <w:r w:rsidR="00733B0E">
        <w:rPr>
          <w:rFonts w:ascii="Times New Roman" w:eastAsiaTheme="minorEastAsia" w:hAnsi="Times New Roman" w:cs="Times New Roman"/>
          <w:sz w:val="24"/>
          <w:szCs w:val="24"/>
        </w:rPr>
        <w:t>C</w:t>
      </w:r>
      <w:r w:rsidR="00463A69">
        <w:rPr>
          <w:rFonts w:ascii="Times New Roman" w:eastAsiaTheme="minorEastAsia" w:hAnsi="Times New Roman" w:cs="Times New Roman"/>
          <w:sz w:val="24"/>
          <w:szCs w:val="24"/>
        </w:rPr>
        <w:t>.2).</w:t>
      </w:r>
    </w:p>
    <w:p w14:paraId="3411D75C" w14:textId="0F1D03B6" w:rsidR="009B6657" w:rsidRPr="001B0055" w:rsidRDefault="009B6657" w:rsidP="00C7604D">
      <w:pPr>
        <w:spacing w:before="100" w:beforeAutospacing="1" w:after="100" w:afterAutospacing="1" w:line="240" w:lineRule="auto"/>
        <w:rPr>
          <w:rFonts w:ascii="Times New Roman" w:eastAsiaTheme="minorEastAsia" w:hAnsi="Times New Roman" w:cs="Times New Roman"/>
          <w:b/>
          <w:sz w:val="24"/>
          <w:szCs w:val="24"/>
        </w:rPr>
      </w:pPr>
      <w:r w:rsidRPr="001B0055">
        <w:rPr>
          <w:rFonts w:ascii="Times New Roman" w:eastAsiaTheme="minorEastAsia" w:hAnsi="Times New Roman" w:cs="Times New Roman"/>
          <w:b/>
          <w:sz w:val="24"/>
          <w:szCs w:val="24"/>
        </w:rPr>
        <w:t>Conclusions:</w:t>
      </w:r>
    </w:p>
    <w:p w14:paraId="7F74D9E2" w14:textId="7F2120C9" w:rsidR="009C0E15" w:rsidRPr="001B0055" w:rsidRDefault="001304B3" w:rsidP="001B0055">
      <w:pPr>
        <w:spacing w:before="100" w:beforeAutospacing="1" w:after="100" w:afterAutospacing="1" w:line="360" w:lineRule="auto"/>
        <w:jc w:val="both"/>
        <w:rPr>
          <w:rFonts w:ascii="Times New Roman" w:eastAsiaTheme="minorEastAsia" w:hAnsi="Times New Roman" w:cs="Times New Roman"/>
          <w:sz w:val="24"/>
          <w:szCs w:val="24"/>
        </w:rPr>
      </w:pPr>
      <w:r w:rsidRPr="001B0055">
        <w:rPr>
          <w:rFonts w:ascii="Times New Roman" w:eastAsiaTheme="minorEastAsia" w:hAnsi="Times New Roman" w:cs="Times New Roman"/>
          <w:sz w:val="24"/>
          <w:szCs w:val="24"/>
        </w:rPr>
        <w:t xml:space="preserve">Our results </w:t>
      </w:r>
      <w:r w:rsidR="007047C3" w:rsidRPr="001B0055">
        <w:rPr>
          <w:rFonts w:ascii="Times New Roman" w:eastAsiaTheme="minorEastAsia" w:hAnsi="Times New Roman" w:cs="Times New Roman"/>
          <w:sz w:val="24"/>
          <w:szCs w:val="24"/>
        </w:rPr>
        <w:t>show</w:t>
      </w:r>
      <w:r w:rsidRPr="001B0055">
        <w:rPr>
          <w:rFonts w:ascii="Times New Roman" w:eastAsiaTheme="minorEastAsia" w:hAnsi="Times New Roman" w:cs="Times New Roman"/>
          <w:sz w:val="24"/>
          <w:szCs w:val="24"/>
        </w:rPr>
        <w:t xml:space="preserve"> that </w:t>
      </w:r>
      <w:r w:rsidR="007047C3" w:rsidRPr="001B0055">
        <w:rPr>
          <w:rFonts w:ascii="Times New Roman" w:eastAsiaTheme="minorEastAsia" w:hAnsi="Times New Roman" w:cs="Times New Roman"/>
          <w:sz w:val="24"/>
          <w:szCs w:val="24"/>
        </w:rPr>
        <w:t xml:space="preserve">the intersection of two markets – the market for labor and the market for mortgages – shape the evolution of household debt in </w:t>
      </w:r>
      <w:r w:rsidR="000300E1">
        <w:rPr>
          <w:rFonts w:ascii="Times New Roman" w:eastAsiaTheme="minorEastAsia" w:hAnsi="Times New Roman" w:cs="Times New Roman"/>
          <w:sz w:val="24"/>
          <w:szCs w:val="24"/>
        </w:rPr>
        <w:t>advanced market economies</w:t>
      </w:r>
      <w:r w:rsidR="007047C3" w:rsidRPr="001B0055">
        <w:rPr>
          <w:rFonts w:ascii="Times New Roman" w:eastAsiaTheme="minorEastAsia" w:hAnsi="Times New Roman" w:cs="Times New Roman"/>
          <w:sz w:val="24"/>
          <w:szCs w:val="24"/>
        </w:rPr>
        <w:t xml:space="preserve">. Given </w:t>
      </w:r>
      <w:r w:rsidR="00841565">
        <w:rPr>
          <w:rFonts w:ascii="Times New Roman" w:eastAsiaTheme="minorEastAsia" w:hAnsi="Times New Roman" w:cs="Times New Roman"/>
          <w:sz w:val="24"/>
          <w:szCs w:val="24"/>
        </w:rPr>
        <w:t>our</w:t>
      </w:r>
      <w:r w:rsidR="007047C3" w:rsidRPr="001B0055">
        <w:rPr>
          <w:rFonts w:ascii="Times New Roman" w:eastAsiaTheme="minorEastAsia" w:hAnsi="Times New Roman" w:cs="Times New Roman"/>
          <w:sz w:val="24"/>
          <w:szCs w:val="24"/>
        </w:rPr>
        <w:t xml:space="preserve"> findings, we </w:t>
      </w:r>
      <w:r w:rsidR="001A5472">
        <w:rPr>
          <w:rFonts w:ascii="Times New Roman" w:eastAsiaTheme="minorEastAsia" w:hAnsi="Times New Roman" w:cs="Times New Roman"/>
          <w:sz w:val="24"/>
          <w:szCs w:val="24"/>
        </w:rPr>
        <w:t>identify three theoretical contributions</w:t>
      </w:r>
      <w:r w:rsidR="00841565">
        <w:rPr>
          <w:rFonts w:ascii="Times New Roman" w:eastAsiaTheme="minorEastAsia" w:hAnsi="Times New Roman" w:cs="Times New Roman"/>
          <w:sz w:val="24"/>
          <w:szCs w:val="24"/>
        </w:rPr>
        <w:t xml:space="preserve"> that are</w:t>
      </w:r>
      <w:r w:rsidR="007E56BC">
        <w:rPr>
          <w:rFonts w:ascii="Times New Roman" w:eastAsiaTheme="minorEastAsia" w:hAnsi="Times New Roman" w:cs="Times New Roman"/>
          <w:sz w:val="24"/>
          <w:szCs w:val="24"/>
        </w:rPr>
        <w:t xml:space="preserve"> directly</w:t>
      </w:r>
      <w:r w:rsidR="00F9693A">
        <w:rPr>
          <w:rFonts w:ascii="Times New Roman" w:eastAsiaTheme="minorEastAsia" w:hAnsi="Times New Roman" w:cs="Times New Roman"/>
          <w:sz w:val="24"/>
          <w:szCs w:val="24"/>
        </w:rPr>
        <w:t xml:space="preserve"> relevant to</w:t>
      </w:r>
      <w:r w:rsidR="00841565">
        <w:rPr>
          <w:rFonts w:ascii="Times New Roman" w:eastAsiaTheme="minorEastAsia" w:hAnsi="Times New Roman" w:cs="Times New Roman"/>
          <w:sz w:val="24"/>
          <w:szCs w:val="24"/>
        </w:rPr>
        <w:t xml:space="preserve"> European political economy</w:t>
      </w:r>
      <w:r w:rsidR="001A5472">
        <w:rPr>
          <w:rFonts w:ascii="Times New Roman" w:eastAsiaTheme="minorEastAsia" w:hAnsi="Times New Roman" w:cs="Times New Roman"/>
          <w:sz w:val="24"/>
          <w:szCs w:val="24"/>
        </w:rPr>
        <w:t xml:space="preserve"> research</w:t>
      </w:r>
      <w:r w:rsidR="007047C3" w:rsidRPr="001B0055">
        <w:rPr>
          <w:rFonts w:ascii="Times New Roman" w:eastAsiaTheme="minorEastAsia" w:hAnsi="Times New Roman" w:cs="Times New Roman"/>
          <w:sz w:val="24"/>
          <w:szCs w:val="24"/>
        </w:rPr>
        <w:t xml:space="preserve">. </w:t>
      </w:r>
      <w:r w:rsidR="00B825A8" w:rsidRPr="009346C1">
        <w:rPr>
          <w:rFonts w:ascii="Times New Roman" w:eastAsiaTheme="minorEastAsia" w:hAnsi="Times New Roman" w:cs="Times New Roman"/>
          <w:sz w:val="24"/>
          <w:szCs w:val="24"/>
        </w:rPr>
        <w:t xml:space="preserve">First, </w:t>
      </w:r>
      <w:r w:rsidR="001A5472">
        <w:rPr>
          <w:rFonts w:ascii="Times New Roman" w:eastAsiaTheme="minorEastAsia" w:hAnsi="Times New Roman" w:cs="Times New Roman"/>
          <w:sz w:val="24"/>
          <w:szCs w:val="24"/>
        </w:rPr>
        <w:t>finance research</w:t>
      </w:r>
      <w:r w:rsidR="00B825A8" w:rsidRPr="009346C1">
        <w:rPr>
          <w:rFonts w:ascii="Times New Roman" w:eastAsiaTheme="minorEastAsia" w:hAnsi="Times New Roman" w:cs="Times New Roman"/>
          <w:sz w:val="24"/>
          <w:szCs w:val="24"/>
        </w:rPr>
        <w:t xml:space="preserve"> </w:t>
      </w:r>
      <w:r w:rsidR="00370114">
        <w:rPr>
          <w:rFonts w:ascii="Times New Roman" w:eastAsiaTheme="minorEastAsia" w:hAnsi="Times New Roman" w:cs="Times New Roman"/>
          <w:sz w:val="24"/>
          <w:szCs w:val="24"/>
        </w:rPr>
        <w:t>needs to</w:t>
      </w:r>
      <w:r w:rsidR="00B825A8" w:rsidRPr="009346C1">
        <w:rPr>
          <w:rFonts w:ascii="Times New Roman" w:eastAsiaTheme="minorEastAsia" w:hAnsi="Times New Roman" w:cs="Times New Roman"/>
          <w:sz w:val="24"/>
          <w:szCs w:val="24"/>
        </w:rPr>
        <w:t xml:space="preserve"> integrate labor market (and welfare state) institutions into </w:t>
      </w:r>
      <w:r w:rsidR="001A5472">
        <w:rPr>
          <w:rFonts w:ascii="Times New Roman" w:eastAsiaTheme="minorEastAsia" w:hAnsi="Times New Roman" w:cs="Times New Roman"/>
          <w:sz w:val="24"/>
          <w:szCs w:val="24"/>
        </w:rPr>
        <w:t>their</w:t>
      </w:r>
      <w:r w:rsidR="00B825A8" w:rsidRPr="009346C1">
        <w:rPr>
          <w:rFonts w:ascii="Times New Roman" w:eastAsiaTheme="minorEastAsia" w:hAnsi="Times New Roman" w:cs="Times New Roman"/>
          <w:sz w:val="24"/>
          <w:szCs w:val="24"/>
        </w:rPr>
        <w:t xml:space="preserve"> analysis to understand how </w:t>
      </w:r>
      <w:r w:rsidR="001A5472">
        <w:rPr>
          <w:rFonts w:ascii="Times New Roman" w:eastAsiaTheme="minorEastAsia" w:hAnsi="Times New Roman" w:cs="Times New Roman"/>
          <w:sz w:val="24"/>
          <w:szCs w:val="24"/>
        </w:rPr>
        <w:t xml:space="preserve">domestic </w:t>
      </w:r>
      <w:r w:rsidR="00B825A8" w:rsidRPr="009346C1">
        <w:rPr>
          <w:rFonts w:ascii="Times New Roman" w:eastAsiaTheme="minorEastAsia" w:hAnsi="Times New Roman" w:cs="Times New Roman"/>
          <w:sz w:val="24"/>
          <w:szCs w:val="24"/>
        </w:rPr>
        <w:t>financial system</w:t>
      </w:r>
      <w:r w:rsidR="001A5472">
        <w:rPr>
          <w:rFonts w:ascii="Times New Roman" w:eastAsiaTheme="minorEastAsia" w:hAnsi="Times New Roman" w:cs="Times New Roman"/>
          <w:sz w:val="24"/>
          <w:szCs w:val="24"/>
        </w:rPr>
        <w:t>s</w:t>
      </w:r>
      <w:r w:rsidR="00B825A8" w:rsidRPr="009346C1">
        <w:rPr>
          <w:rFonts w:ascii="Times New Roman" w:eastAsiaTheme="minorEastAsia" w:hAnsi="Times New Roman" w:cs="Times New Roman"/>
          <w:sz w:val="24"/>
          <w:szCs w:val="24"/>
        </w:rPr>
        <w:t xml:space="preserve"> function.</w:t>
      </w:r>
      <w:r w:rsidR="00B04679">
        <w:rPr>
          <w:rFonts w:ascii="Times New Roman" w:eastAsiaTheme="minorEastAsia" w:hAnsi="Times New Roman" w:cs="Times New Roman"/>
          <w:sz w:val="24"/>
          <w:szCs w:val="24"/>
        </w:rPr>
        <w:t xml:space="preserve"> Most finance research assumes that rising house</w:t>
      </w:r>
      <w:r w:rsidR="00A54048">
        <w:rPr>
          <w:rFonts w:ascii="Times New Roman" w:eastAsiaTheme="minorEastAsia" w:hAnsi="Times New Roman" w:cs="Times New Roman"/>
          <w:sz w:val="24"/>
          <w:szCs w:val="24"/>
        </w:rPr>
        <w:t>hold debt is a function of labo</w:t>
      </w:r>
      <w:r w:rsidR="00B04679">
        <w:rPr>
          <w:rFonts w:ascii="Times New Roman" w:eastAsiaTheme="minorEastAsia" w:hAnsi="Times New Roman" w:cs="Times New Roman"/>
          <w:sz w:val="24"/>
          <w:szCs w:val="24"/>
        </w:rPr>
        <w:t>r weakness, using the case of the USA. We have suggested that in Europe</w:t>
      </w:r>
      <w:r w:rsidR="001A5472">
        <w:rPr>
          <w:rFonts w:ascii="Times New Roman" w:eastAsiaTheme="minorEastAsia" w:hAnsi="Times New Roman" w:cs="Times New Roman"/>
          <w:sz w:val="24"/>
          <w:szCs w:val="24"/>
        </w:rPr>
        <w:t xml:space="preserve"> at least</w:t>
      </w:r>
      <w:r w:rsidR="00B04679">
        <w:rPr>
          <w:rFonts w:ascii="Times New Roman" w:eastAsiaTheme="minorEastAsia" w:hAnsi="Times New Roman" w:cs="Times New Roman"/>
          <w:sz w:val="24"/>
          <w:szCs w:val="24"/>
        </w:rPr>
        <w:t xml:space="preserve">, </w:t>
      </w:r>
      <w:r w:rsidR="00A54048">
        <w:rPr>
          <w:rFonts w:ascii="Times New Roman" w:eastAsiaTheme="minorEastAsia" w:hAnsi="Times New Roman" w:cs="Times New Roman"/>
          <w:sz w:val="24"/>
          <w:szCs w:val="24"/>
        </w:rPr>
        <w:t>it is a function of labo</w:t>
      </w:r>
      <w:r w:rsidR="001B0055">
        <w:rPr>
          <w:rFonts w:ascii="Times New Roman" w:eastAsiaTheme="minorEastAsia" w:hAnsi="Times New Roman" w:cs="Times New Roman"/>
          <w:sz w:val="24"/>
          <w:szCs w:val="24"/>
        </w:rPr>
        <w:t>r strength</w:t>
      </w:r>
      <w:r w:rsidR="00B04679">
        <w:rPr>
          <w:rFonts w:ascii="Times New Roman" w:eastAsiaTheme="minorEastAsia" w:hAnsi="Times New Roman" w:cs="Times New Roman"/>
          <w:sz w:val="24"/>
          <w:szCs w:val="24"/>
        </w:rPr>
        <w:t>. The stron</w:t>
      </w:r>
      <w:r w:rsidR="00A54048">
        <w:rPr>
          <w:rFonts w:ascii="Times New Roman" w:eastAsiaTheme="minorEastAsia" w:hAnsi="Times New Roman" w:cs="Times New Roman"/>
          <w:sz w:val="24"/>
          <w:szCs w:val="24"/>
        </w:rPr>
        <w:t>ger the power resources of labo</w:t>
      </w:r>
      <w:r w:rsidR="00B04679">
        <w:rPr>
          <w:rFonts w:ascii="Times New Roman" w:eastAsiaTheme="minorEastAsia" w:hAnsi="Times New Roman" w:cs="Times New Roman"/>
          <w:sz w:val="24"/>
          <w:szCs w:val="24"/>
        </w:rPr>
        <w:t xml:space="preserve">r, and the more permissive their access to credit, the </w:t>
      </w:r>
      <w:r w:rsidR="004F3C02">
        <w:rPr>
          <w:rFonts w:ascii="Times New Roman" w:eastAsiaTheme="minorEastAsia" w:hAnsi="Times New Roman" w:cs="Times New Roman"/>
          <w:sz w:val="24"/>
          <w:szCs w:val="24"/>
        </w:rPr>
        <w:t>more banks are willing to lend</w:t>
      </w:r>
      <w:r w:rsidR="001B0055">
        <w:rPr>
          <w:rFonts w:ascii="Times New Roman" w:eastAsiaTheme="minorEastAsia" w:hAnsi="Times New Roman" w:cs="Times New Roman"/>
          <w:sz w:val="24"/>
          <w:szCs w:val="24"/>
        </w:rPr>
        <w:t xml:space="preserve"> and the more debt households can accrue</w:t>
      </w:r>
      <w:r w:rsidR="00B04679">
        <w:rPr>
          <w:rFonts w:ascii="Times New Roman" w:eastAsiaTheme="minorEastAsia" w:hAnsi="Times New Roman" w:cs="Times New Roman"/>
          <w:sz w:val="24"/>
          <w:szCs w:val="24"/>
        </w:rPr>
        <w:t xml:space="preserve">. </w:t>
      </w:r>
      <w:r w:rsidR="007E56BC">
        <w:rPr>
          <w:rFonts w:ascii="Times New Roman" w:eastAsiaTheme="minorEastAsia" w:hAnsi="Times New Roman" w:cs="Times New Roman"/>
          <w:sz w:val="24"/>
          <w:szCs w:val="24"/>
        </w:rPr>
        <w:t>This is a</w:t>
      </w:r>
      <w:r w:rsidR="007E6978">
        <w:rPr>
          <w:rFonts w:ascii="Times New Roman" w:eastAsiaTheme="minorEastAsia" w:hAnsi="Times New Roman" w:cs="Times New Roman"/>
          <w:sz w:val="24"/>
          <w:szCs w:val="24"/>
        </w:rPr>
        <w:t xml:space="preserve"> useful corrective to </w:t>
      </w:r>
      <w:r w:rsidR="0014769D">
        <w:rPr>
          <w:rFonts w:ascii="Times New Roman" w:eastAsiaTheme="minorEastAsia" w:hAnsi="Times New Roman" w:cs="Times New Roman"/>
          <w:sz w:val="24"/>
          <w:szCs w:val="24"/>
        </w:rPr>
        <w:t xml:space="preserve">housing </w:t>
      </w:r>
      <w:r w:rsidR="007E6978">
        <w:rPr>
          <w:rFonts w:ascii="Times New Roman" w:eastAsiaTheme="minorEastAsia" w:hAnsi="Times New Roman" w:cs="Times New Roman"/>
          <w:sz w:val="24"/>
          <w:szCs w:val="24"/>
        </w:rPr>
        <w:t xml:space="preserve">finance </w:t>
      </w:r>
      <w:r w:rsidR="0014769D">
        <w:rPr>
          <w:rFonts w:ascii="Times New Roman" w:eastAsiaTheme="minorEastAsia" w:hAnsi="Times New Roman" w:cs="Times New Roman"/>
          <w:sz w:val="24"/>
          <w:szCs w:val="24"/>
        </w:rPr>
        <w:t>(</w:t>
      </w:r>
      <w:r w:rsidR="007E6978">
        <w:rPr>
          <w:rFonts w:ascii="Times New Roman" w:eastAsiaTheme="minorEastAsia" w:hAnsi="Times New Roman" w:cs="Times New Roman"/>
          <w:sz w:val="24"/>
          <w:szCs w:val="24"/>
        </w:rPr>
        <w:t xml:space="preserve">and </w:t>
      </w:r>
      <w:proofErr w:type="spellStart"/>
      <w:r w:rsidR="007E6978">
        <w:rPr>
          <w:rFonts w:ascii="Times New Roman" w:eastAsiaTheme="minorEastAsia" w:hAnsi="Times New Roman" w:cs="Times New Roman"/>
          <w:sz w:val="24"/>
          <w:szCs w:val="24"/>
        </w:rPr>
        <w:t>financialization</w:t>
      </w:r>
      <w:proofErr w:type="spellEnd"/>
      <w:r w:rsidR="0014769D">
        <w:rPr>
          <w:rFonts w:ascii="Times New Roman" w:eastAsiaTheme="minorEastAsia" w:hAnsi="Times New Roman" w:cs="Times New Roman"/>
          <w:sz w:val="24"/>
          <w:szCs w:val="24"/>
        </w:rPr>
        <w:t>)</w:t>
      </w:r>
      <w:r w:rsidR="007E6978">
        <w:rPr>
          <w:rFonts w:ascii="Times New Roman" w:eastAsiaTheme="minorEastAsia" w:hAnsi="Times New Roman" w:cs="Times New Roman"/>
          <w:sz w:val="24"/>
          <w:szCs w:val="24"/>
        </w:rPr>
        <w:t xml:space="preserve"> scholars </w:t>
      </w:r>
      <w:r w:rsidR="00B04679">
        <w:rPr>
          <w:rFonts w:ascii="Times New Roman" w:eastAsiaTheme="minorEastAsia" w:hAnsi="Times New Roman" w:cs="Times New Roman"/>
          <w:sz w:val="24"/>
          <w:szCs w:val="24"/>
        </w:rPr>
        <w:t>-</w:t>
      </w:r>
      <w:r w:rsidR="007E6978">
        <w:rPr>
          <w:rFonts w:ascii="Times New Roman" w:eastAsiaTheme="minorEastAsia" w:hAnsi="Times New Roman" w:cs="Times New Roman"/>
          <w:sz w:val="24"/>
          <w:szCs w:val="24"/>
        </w:rPr>
        <w:t xml:space="preserve"> including Fuller (2015; 2016) </w:t>
      </w:r>
      <w:r w:rsidR="00B04679">
        <w:rPr>
          <w:rFonts w:ascii="Times New Roman" w:eastAsiaTheme="minorEastAsia" w:hAnsi="Times New Roman" w:cs="Times New Roman"/>
          <w:sz w:val="24"/>
          <w:szCs w:val="24"/>
        </w:rPr>
        <w:t>-</w:t>
      </w:r>
      <w:r w:rsidR="007E6978">
        <w:rPr>
          <w:rFonts w:ascii="Times New Roman" w:eastAsiaTheme="minorEastAsia" w:hAnsi="Times New Roman" w:cs="Times New Roman"/>
          <w:sz w:val="24"/>
          <w:szCs w:val="24"/>
        </w:rPr>
        <w:t xml:space="preserve"> who </w:t>
      </w:r>
      <w:r w:rsidR="0014769D">
        <w:rPr>
          <w:rFonts w:ascii="Times New Roman" w:eastAsiaTheme="minorEastAsia" w:hAnsi="Times New Roman" w:cs="Times New Roman"/>
          <w:sz w:val="24"/>
          <w:szCs w:val="24"/>
        </w:rPr>
        <w:t>sometimes</w:t>
      </w:r>
      <w:r w:rsidR="007E6978">
        <w:rPr>
          <w:rFonts w:ascii="Times New Roman" w:eastAsiaTheme="minorEastAsia" w:hAnsi="Times New Roman" w:cs="Times New Roman"/>
          <w:sz w:val="24"/>
          <w:szCs w:val="24"/>
        </w:rPr>
        <w:t xml:space="preserve"> </w:t>
      </w:r>
      <w:r w:rsidR="0014769D">
        <w:rPr>
          <w:rFonts w:ascii="Times New Roman" w:eastAsiaTheme="minorEastAsia" w:hAnsi="Times New Roman" w:cs="Times New Roman"/>
          <w:sz w:val="24"/>
          <w:szCs w:val="24"/>
        </w:rPr>
        <w:t xml:space="preserve">attempt to </w:t>
      </w:r>
      <w:r w:rsidR="007E6978">
        <w:rPr>
          <w:rFonts w:ascii="Times New Roman" w:eastAsiaTheme="minorEastAsia" w:hAnsi="Times New Roman" w:cs="Times New Roman"/>
          <w:sz w:val="24"/>
          <w:szCs w:val="24"/>
        </w:rPr>
        <w:t>explain hous</w:t>
      </w:r>
      <w:r w:rsidR="0014769D">
        <w:rPr>
          <w:rFonts w:ascii="Times New Roman" w:eastAsiaTheme="minorEastAsia" w:hAnsi="Times New Roman" w:cs="Times New Roman"/>
          <w:sz w:val="24"/>
          <w:szCs w:val="24"/>
        </w:rPr>
        <w:t>ing outcomes without due consideration of labor markets, often generating puzzling results (Kohl 2018). Even the inclusion of wages in quantitative models is likely</w:t>
      </w:r>
      <w:r w:rsidR="007E56BC">
        <w:rPr>
          <w:rFonts w:ascii="Times New Roman" w:eastAsiaTheme="minorEastAsia" w:hAnsi="Times New Roman" w:cs="Times New Roman"/>
          <w:sz w:val="24"/>
          <w:szCs w:val="24"/>
        </w:rPr>
        <w:t xml:space="preserve"> to be</w:t>
      </w:r>
      <w:r w:rsidR="0014769D">
        <w:rPr>
          <w:rFonts w:ascii="Times New Roman" w:eastAsiaTheme="minorEastAsia" w:hAnsi="Times New Roman" w:cs="Times New Roman"/>
          <w:sz w:val="24"/>
          <w:szCs w:val="24"/>
        </w:rPr>
        <w:t xml:space="preserve"> insufficient</w:t>
      </w:r>
      <w:r w:rsidR="007E56BC">
        <w:rPr>
          <w:rFonts w:ascii="Times New Roman" w:eastAsiaTheme="minorEastAsia" w:hAnsi="Times New Roman" w:cs="Times New Roman"/>
          <w:sz w:val="24"/>
          <w:szCs w:val="24"/>
        </w:rPr>
        <w:t>.</w:t>
      </w:r>
      <w:r w:rsidR="0014769D">
        <w:rPr>
          <w:rFonts w:ascii="Times New Roman" w:eastAsiaTheme="minorEastAsia" w:hAnsi="Times New Roman" w:cs="Times New Roman"/>
          <w:sz w:val="24"/>
          <w:szCs w:val="24"/>
        </w:rPr>
        <w:t xml:space="preserve"> </w:t>
      </w:r>
      <w:r w:rsidR="00B04679">
        <w:rPr>
          <w:rFonts w:ascii="Times New Roman" w:eastAsiaTheme="minorEastAsia" w:hAnsi="Times New Roman" w:cs="Times New Roman"/>
          <w:sz w:val="24"/>
          <w:szCs w:val="24"/>
        </w:rPr>
        <w:t>I</w:t>
      </w:r>
      <w:r w:rsidR="007E6978">
        <w:rPr>
          <w:rFonts w:ascii="Times New Roman" w:eastAsiaTheme="minorEastAsia" w:hAnsi="Times New Roman" w:cs="Times New Roman"/>
          <w:sz w:val="24"/>
          <w:szCs w:val="24"/>
        </w:rPr>
        <w:t>t is not enough to merely accept that demand for credit rises with incomes</w:t>
      </w:r>
      <w:r w:rsidR="001B0055">
        <w:rPr>
          <w:rFonts w:ascii="Times New Roman" w:eastAsiaTheme="minorEastAsia" w:hAnsi="Times New Roman" w:cs="Times New Roman"/>
          <w:sz w:val="24"/>
          <w:szCs w:val="24"/>
        </w:rPr>
        <w:t>; scholars must also consider</w:t>
      </w:r>
      <w:r w:rsidR="007E6978">
        <w:rPr>
          <w:rFonts w:ascii="Times New Roman" w:eastAsiaTheme="minorEastAsia" w:hAnsi="Times New Roman" w:cs="Times New Roman"/>
          <w:sz w:val="24"/>
          <w:szCs w:val="24"/>
        </w:rPr>
        <w:t xml:space="preserve"> the </w:t>
      </w:r>
      <w:r w:rsidR="007E6978" w:rsidRPr="001B0055">
        <w:rPr>
          <w:rFonts w:ascii="Times New Roman" w:eastAsiaTheme="minorEastAsia" w:hAnsi="Times New Roman" w:cs="Times New Roman"/>
          <w:sz w:val="24"/>
          <w:szCs w:val="24"/>
        </w:rPr>
        <w:t>security</w:t>
      </w:r>
      <w:r w:rsidR="00B04679">
        <w:rPr>
          <w:rFonts w:ascii="Times New Roman" w:eastAsiaTheme="minorEastAsia" w:hAnsi="Times New Roman" w:cs="Times New Roman"/>
          <w:sz w:val="24"/>
          <w:szCs w:val="24"/>
        </w:rPr>
        <w:t xml:space="preserve"> and upward trajectory</w:t>
      </w:r>
      <w:r w:rsidR="007E6978" w:rsidRPr="001B0055">
        <w:rPr>
          <w:rFonts w:ascii="Times New Roman" w:eastAsiaTheme="minorEastAsia" w:hAnsi="Times New Roman" w:cs="Times New Roman"/>
          <w:sz w:val="24"/>
          <w:szCs w:val="24"/>
        </w:rPr>
        <w:t xml:space="preserve"> </w:t>
      </w:r>
      <w:r w:rsidR="007E6978">
        <w:rPr>
          <w:rFonts w:ascii="Times New Roman" w:eastAsiaTheme="minorEastAsia" w:hAnsi="Times New Roman" w:cs="Times New Roman"/>
          <w:sz w:val="24"/>
          <w:szCs w:val="24"/>
        </w:rPr>
        <w:t>of those incomes</w:t>
      </w:r>
      <w:r w:rsidR="0014769D">
        <w:rPr>
          <w:rFonts w:ascii="Times New Roman" w:eastAsiaTheme="minorEastAsia" w:hAnsi="Times New Roman" w:cs="Times New Roman"/>
          <w:sz w:val="24"/>
          <w:szCs w:val="24"/>
        </w:rPr>
        <w:t>. There is ultimately too little crossover between perspectives that see households as labor and households as financial actors. They are both</w:t>
      </w:r>
      <w:r w:rsidR="001B0055">
        <w:rPr>
          <w:rFonts w:ascii="Times New Roman" w:eastAsiaTheme="minorEastAsia" w:hAnsi="Times New Roman" w:cs="Times New Roman"/>
          <w:sz w:val="24"/>
          <w:szCs w:val="24"/>
        </w:rPr>
        <w:t>,</w:t>
      </w:r>
      <w:r w:rsidR="0014769D">
        <w:rPr>
          <w:rFonts w:ascii="Times New Roman" w:eastAsiaTheme="minorEastAsia" w:hAnsi="Times New Roman" w:cs="Times New Roman"/>
          <w:sz w:val="24"/>
          <w:szCs w:val="24"/>
        </w:rPr>
        <w:t xml:space="preserve"> and both have </w:t>
      </w:r>
      <w:r w:rsidR="00B04679">
        <w:rPr>
          <w:rFonts w:ascii="Times New Roman" w:eastAsiaTheme="minorEastAsia" w:hAnsi="Times New Roman" w:cs="Times New Roman"/>
          <w:sz w:val="24"/>
          <w:szCs w:val="24"/>
        </w:rPr>
        <w:t>important</w:t>
      </w:r>
      <w:r w:rsidR="0014769D">
        <w:rPr>
          <w:rFonts w:ascii="Times New Roman" w:eastAsiaTheme="minorEastAsia" w:hAnsi="Times New Roman" w:cs="Times New Roman"/>
          <w:sz w:val="24"/>
          <w:szCs w:val="24"/>
        </w:rPr>
        <w:t xml:space="preserve"> macroeconomic </w:t>
      </w:r>
      <w:r w:rsidR="001A5472">
        <w:rPr>
          <w:rFonts w:ascii="Times New Roman" w:eastAsiaTheme="minorEastAsia" w:hAnsi="Times New Roman" w:cs="Times New Roman"/>
          <w:sz w:val="24"/>
          <w:szCs w:val="24"/>
        </w:rPr>
        <w:t>implications</w:t>
      </w:r>
      <w:r w:rsidR="0014769D">
        <w:rPr>
          <w:rFonts w:ascii="Times New Roman" w:eastAsiaTheme="minorEastAsia" w:hAnsi="Times New Roman" w:cs="Times New Roman"/>
          <w:sz w:val="24"/>
          <w:szCs w:val="24"/>
        </w:rPr>
        <w:t xml:space="preserve">. </w:t>
      </w:r>
    </w:p>
    <w:p w14:paraId="33520E56" w14:textId="3AF71303" w:rsidR="00B825A8" w:rsidRDefault="00B825A8" w:rsidP="001B0055">
      <w:pPr>
        <w:spacing w:before="100" w:beforeAutospacing="1" w:after="100" w:afterAutospacing="1" w:line="360" w:lineRule="auto"/>
        <w:jc w:val="both"/>
        <w:rPr>
          <w:rFonts w:ascii="Times New Roman" w:eastAsiaTheme="minorEastAsia" w:hAnsi="Times New Roman" w:cs="Times New Roman"/>
          <w:sz w:val="24"/>
          <w:szCs w:val="24"/>
        </w:rPr>
      </w:pPr>
      <w:r w:rsidRPr="009346C1">
        <w:rPr>
          <w:rFonts w:ascii="Times New Roman" w:eastAsiaTheme="minorEastAsia" w:hAnsi="Times New Roman" w:cs="Times New Roman"/>
          <w:sz w:val="24"/>
          <w:szCs w:val="24"/>
        </w:rPr>
        <w:t xml:space="preserve">Second, </w:t>
      </w:r>
      <w:r w:rsidR="001A5472">
        <w:rPr>
          <w:rFonts w:ascii="Times New Roman" w:eastAsiaTheme="minorEastAsia" w:hAnsi="Times New Roman" w:cs="Times New Roman"/>
          <w:sz w:val="24"/>
          <w:szCs w:val="24"/>
        </w:rPr>
        <w:t>comparative</w:t>
      </w:r>
      <w:r w:rsidRPr="009346C1">
        <w:rPr>
          <w:rFonts w:ascii="Times New Roman" w:eastAsiaTheme="minorEastAsia" w:hAnsi="Times New Roman" w:cs="Times New Roman"/>
          <w:sz w:val="24"/>
          <w:szCs w:val="24"/>
        </w:rPr>
        <w:t xml:space="preserve"> capitalism</w:t>
      </w:r>
      <w:r w:rsidR="001A5472">
        <w:rPr>
          <w:rFonts w:ascii="Times New Roman" w:eastAsiaTheme="minorEastAsia" w:hAnsi="Times New Roman" w:cs="Times New Roman"/>
          <w:sz w:val="24"/>
          <w:szCs w:val="24"/>
        </w:rPr>
        <w:t xml:space="preserve"> research</w:t>
      </w:r>
      <w:r w:rsidRPr="009346C1">
        <w:rPr>
          <w:rFonts w:ascii="Times New Roman" w:eastAsiaTheme="minorEastAsia" w:hAnsi="Times New Roman" w:cs="Times New Roman"/>
          <w:sz w:val="24"/>
          <w:szCs w:val="24"/>
        </w:rPr>
        <w:t xml:space="preserve"> (especially in the nascent growth model literature) </w:t>
      </w:r>
      <w:r w:rsidR="00370114">
        <w:rPr>
          <w:rFonts w:ascii="Times New Roman" w:eastAsiaTheme="minorEastAsia" w:hAnsi="Times New Roman" w:cs="Times New Roman"/>
          <w:sz w:val="24"/>
          <w:szCs w:val="24"/>
        </w:rPr>
        <w:t xml:space="preserve">needs to </w:t>
      </w:r>
      <w:r w:rsidR="001A5472">
        <w:rPr>
          <w:rFonts w:ascii="Times New Roman" w:eastAsiaTheme="minorEastAsia" w:hAnsi="Times New Roman" w:cs="Times New Roman"/>
          <w:sz w:val="24"/>
          <w:szCs w:val="24"/>
        </w:rPr>
        <w:t xml:space="preserve">incorporate the role of </w:t>
      </w:r>
      <w:r w:rsidR="001A5472" w:rsidRPr="001B0055">
        <w:rPr>
          <w:rFonts w:ascii="Times New Roman" w:eastAsiaTheme="minorEastAsia" w:hAnsi="Times New Roman" w:cs="Times New Roman"/>
          <w:i/>
          <w:sz w:val="24"/>
          <w:szCs w:val="24"/>
        </w:rPr>
        <w:t>domestic housing finance</w:t>
      </w:r>
      <w:r w:rsidR="001A5472">
        <w:rPr>
          <w:rFonts w:ascii="Times New Roman" w:eastAsiaTheme="minorEastAsia" w:hAnsi="Times New Roman" w:cs="Times New Roman"/>
          <w:sz w:val="24"/>
          <w:szCs w:val="24"/>
        </w:rPr>
        <w:t xml:space="preserve"> into their models</w:t>
      </w:r>
      <w:r w:rsidRPr="009346C1">
        <w:rPr>
          <w:rFonts w:ascii="Times New Roman" w:eastAsiaTheme="minorEastAsia" w:hAnsi="Times New Roman" w:cs="Times New Roman"/>
          <w:sz w:val="24"/>
          <w:szCs w:val="24"/>
        </w:rPr>
        <w:t xml:space="preserve"> to understand how debt accumulation affects national growth strategies. </w:t>
      </w:r>
      <w:r w:rsidR="004F3C02">
        <w:rPr>
          <w:rFonts w:ascii="Times New Roman" w:eastAsiaTheme="minorEastAsia" w:hAnsi="Times New Roman" w:cs="Times New Roman"/>
          <w:sz w:val="24"/>
          <w:szCs w:val="24"/>
        </w:rPr>
        <w:t xml:space="preserve">In varieties of capitalism research, Germany is often held up as the archetype coordinated market economy. Similarly, in the growth model literature, Germany is the archetype export-led manufacturing growth regime. But perhaps Germany is </w:t>
      </w:r>
      <w:r w:rsidR="00370114">
        <w:rPr>
          <w:rFonts w:ascii="Times New Roman" w:eastAsiaTheme="minorEastAsia" w:hAnsi="Times New Roman" w:cs="Times New Roman"/>
          <w:sz w:val="24"/>
          <w:szCs w:val="24"/>
        </w:rPr>
        <w:t>really the outlier case</w:t>
      </w:r>
      <w:r w:rsidR="004F3C02">
        <w:rPr>
          <w:rFonts w:ascii="Times New Roman" w:eastAsiaTheme="minorEastAsia" w:hAnsi="Times New Roman" w:cs="Times New Roman"/>
          <w:sz w:val="24"/>
          <w:szCs w:val="24"/>
        </w:rPr>
        <w:t xml:space="preserve">? </w:t>
      </w:r>
      <w:r w:rsidR="00E66F7B">
        <w:rPr>
          <w:rFonts w:ascii="Times New Roman" w:eastAsiaTheme="minorEastAsia" w:hAnsi="Times New Roman" w:cs="Times New Roman"/>
          <w:sz w:val="24"/>
          <w:szCs w:val="24"/>
        </w:rPr>
        <w:t>German</w:t>
      </w:r>
      <w:r w:rsidR="00370114">
        <w:rPr>
          <w:rFonts w:ascii="Times New Roman" w:eastAsiaTheme="minorEastAsia" w:hAnsi="Times New Roman" w:cs="Times New Roman"/>
          <w:sz w:val="24"/>
          <w:szCs w:val="24"/>
        </w:rPr>
        <w:t xml:space="preserve"> domestic</w:t>
      </w:r>
      <w:r w:rsidR="00E66F7B">
        <w:rPr>
          <w:rFonts w:ascii="Times New Roman" w:eastAsiaTheme="minorEastAsia" w:hAnsi="Times New Roman" w:cs="Times New Roman"/>
          <w:sz w:val="24"/>
          <w:szCs w:val="24"/>
        </w:rPr>
        <w:t xml:space="preserve"> institutions depress wage and credit growth, </w:t>
      </w:r>
      <w:r w:rsidR="00370114">
        <w:rPr>
          <w:rFonts w:ascii="Times New Roman" w:eastAsiaTheme="minorEastAsia" w:hAnsi="Times New Roman" w:cs="Times New Roman"/>
          <w:sz w:val="24"/>
          <w:szCs w:val="24"/>
        </w:rPr>
        <w:t>and its</w:t>
      </w:r>
      <w:r w:rsidR="00E66F7B">
        <w:rPr>
          <w:rFonts w:ascii="Times New Roman" w:eastAsiaTheme="minorEastAsia" w:hAnsi="Times New Roman" w:cs="Times New Roman"/>
          <w:sz w:val="24"/>
          <w:szCs w:val="24"/>
        </w:rPr>
        <w:t xml:space="preserve"> housing tenure regime is qualitatively distinct. Most other </w:t>
      </w:r>
      <w:r w:rsidR="001B0055">
        <w:rPr>
          <w:rFonts w:ascii="Times New Roman" w:eastAsiaTheme="minorEastAsia" w:hAnsi="Times New Roman" w:cs="Times New Roman"/>
          <w:sz w:val="24"/>
          <w:szCs w:val="24"/>
        </w:rPr>
        <w:t xml:space="preserve">(CME) </w:t>
      </w:r>
      <w:r w:rsidR="00E66F7B">
        <w:rPr>
          <w:rFonts w:ascii="Times New Roman" w:eastAsiaTheme="minorEastAsia" w:hAnsi="Times New Roman" w:cs="Times New Roman"/>
          <w:sz w:val="24"/>
          <w:szCs w:val="24"/>
        </w:rPr>
        <w:t>European countries allow for stronger wage growth, and</w:t>
      </w:r>
      <w:r w:rsidR="00370114">
        <w:rPr>
          <w:rFonts w:ascii="Times New Roman" w:eastAsiaTheme="minorEastAsia" w:hAnsi="Times New Roman" w:cs="Times New Roman"/>
          <w:sz w:val="24"/>
          <w:szCs w:val="24"/>
        </w:rPr>
        <w:t xml:space="preserve">/or </w:t>
      </w:r>
      <w:r w:rsidR="00E66F7B">
        <w:rPr>
          <w:rFonts w:ascii="Times New Roman" w:eastAsiaTheme="minorEastAsia" w:hAnsi="Times New Roman" w:cs="Times New Roman"/>
          <w:sz w:val="24"/>
          <w:szCs w:val="24"/>
        </w:rPr>
        <w:t xml:space="preserve">easier access to credit. Within the euro area, this is </w:t>
      </w:r>
      <w:r w:rsidR="00370114">
        <w:rPr>
          <w:rFonts w:ascii="Times New Roman" w:eastAsiaTheme="minorEastAsia" w:hAnsi="Times New Roman" w:cs="Times New Roman"/>
          <w:sz w:val="24"/>
          <w:szCs w:val="24"/>
        </w:rPr>
        <w:t>increasingly</w:t>
      </w:r>
      <w:r w:rsidR="00E66F7B">
        <w:rPr>
          <w:rFonts w:ascii="Times New Roman" w:eastAsiaTheme="minorEastAsia" w:hAnsi="Times New Roman" w:cs="Times New Roman"/>
          <w:sz w:val="24"/>
          <w:szCs w:val="24"/>
        </w:rPr>
        <w:t xml:space="preserve"> presented </w:t>
      </w:r>
      <w:r w:rsidR="00370114">
        <w:rPr>
          <w:rFonts w:ascii="Times New Roman" w:eastAsiaTheme="minorEastAsia" w:hAnsi="Times New Roman" w:cs="Times New Roman"/>
          <w:sz w:val="24"/>
          <w:szCs w:val="24"/>
        </w:rPr>
        <w:t xml:space="preserve">as </w:t>
      </w:r>
      <w:r w:rsidR="00E66F7B">
        <w:rPr>
          <w:rFonts w:ascii="Times New Roman" w:eastAsiaTheme="minorEastAsia" w:hAnsi="Times New Roman" w:cs="Times New Roman"/>
          <w:sz w:val="24"/>
          <w:szCs w:val="24"/>
        </w:rPr>
        <w:t xml:space="preserve">morally problematic, </w:t>
      </w:r>
      <w:r w:rsidR="00370114">
        <w:rPr>
          <w:rFonts w:ascii="Times New Roman" w:eastAsiaTheme="minorEastAsia" w:hAnsi="Times New Roman" w:cs="Times New Roman"/>
          <w:sz w:val="24"/>
          <w:szCs w:val="24"/>
        </w:rPr>
        <w:t xml:space="preserve">and heavily loaded with </w:t>
      </w:r>
      <w:r w:rsidR="00E66F7B">
        <w:rPr>
          <w:rFonts w:ascii="Times New Roman" w:eastAsiaTheme="minorEastAsia" w:hAnsi="Times New Roman" w:cs="Times New Roman"/>
          <w:sz w:val="24"/>
          <w:szCs w:val="24"/>
        </w:rPr>
        <w:t xml:space="preserve">assumptions </w:t>
      </w:r>
      <w:r w:rsidR="00370114">
        <w:rPr>
          <w:rFonts w:ascii="Times New Roman" w:eastAsiaTheme="minorEastAsia" w:hAnsi="Times New Roman" w:cs="Times New Roman"/>
          <w:sz w:val="24"/>
          <w:szCs w:val="24"/>
        </w:rPr>
        <w:t xml:space="preserve">of </w:t>
      </w:r>
      <w:r w:rsidR="00E66F7B">
        <w:rPr>
          <w:rFonts w:ascii="Times New Roman" w:eastAsiaTheme="minorEastAsia" w:hAnsi="Times New Roman" w:cs="Times New Roman"/>
          <w:sz w:val="24"/>
          <w:szCs w:val="24"/>
        </w:rPr>
        <w:lastRenderedPageBreak/>
        <w:t>reckless debt-fueled consumption</w:t>
      </w:r>
      <w:r w:rsidR="0033260D">
        <w:rPr>
          <w:rFonts w:ascii="Times New Roman" w:eastAsiaTheme="minorEastAsia" w:hAnsi="Times New Roman" w:cs="Times New Roman"/>
          <w:sz w:val="24"/>
          <w:szCs w:val="24"/>
        </w:rPr>
        <w:t xml:space="preserve"> (typified by the continual chastising of the “PIIGS” in the Euro-crisis)</w:t>
      </w:r>
      <w:r w:rsidR="00E66F7B">
        <w:rPr>
          <w:rFonts w:ascii="Times New Roman" w:eastAsiaTheme="minorEastAsia" w:hAnsi="Times New Roman" w:cs="Times New Roman"/>
          <w:sz w:val="24"/>
          <w:szCs w:val="24"/>
        </w:rPr>
        <w:t xml:space="preserve">. But this is not the case in the </w:t>
      </w:r>
      <w:r w:rsidR="0033260D">
        <w:rPr>
          <w:rFonts w:ascii="Times New Roman" w:eastAsiaTheme="minorEastAsia" w:hAnsi="Times New Roman" w:cs="Times New Roman"/>
          <w:sz w:val="24"/>
          <w:szCs w:val="24"/>
        </w:rPr>
        <w:t xml:space="preserve">Nordic </w:t>
      </w:r>
      <w:r w:rsidR="00E66F7B">
        <w:rPr>
          <w:rFonts w:ascii="Times New Roman" w:eastAsiaTheme="minorEastAsia" w:hAnsi="Times New Roman" w:cs="Times New Roman"/>
          <w:sz w:val="24"/>
          <w:szCs w:val="24"/>
        </w:rPr>
        <w:t xml:space="preserve">social </w:t>
      </w:r>
      <w:r w:rsidR="00370114">
        <w:rPr>
          <w:rFonts w:ascii="Times New Roman" w:eastAsiaTheme="minorEastAsia" w:hAnsi="Times New Roman" w:cs="Times New Roman"/>
          <w:sz w:val="24"/>
          <w:szCs w:val="24"/>
        </w:rPr>
        <w:t>democratic</w:t>
      </w:r>
      <w:r w:rsidR="00E66F7B">
        <w:rPr>
          <w:rFonts w:ascii="Times New Roman" w:eastAsiaTheme="minorEastAsia" w:hAnsi="Times New Roman" w:cs="Times New Roman"/>
          <w:sz w:val="24"/>
          <w:szCs w:val="24"/>
        </w:rPr>
        <w:t xml:space="preserve"> economies of Europe. The “balanced growth path” in these countries</w:t>
      </w:r>
      <w:r w:rsidR="00370114">
        <w:rPr>
          <w:rFonts w:ascii="Times New Roman" w:eastAsiaTheme="minorEastAsia" w:hAnsi="Times New Roman" w:cs="Times New Roman"/>
          <w:sz w:val="24"/>
          <w:szCs w:val="24"/>
        </w:rPr>
        <w:t xml:space="preserve"> ultimately reflects a policy regime that promotes a</w:t>
      </w:r>
      <w:r w:rsidR="00E66F7B">
        <w:rPr>
          <w:rFonts w:ascii="Times New Roman" w:eastAsiaTheme="minorEastAsia" w:hAnsi="Times New Roman" w:cs="Times New Roman"/>
          <w:sz w:val="24"/>
          <w:szCs w:val="24"/>
        </w:rPr>
        <w:t xml:space="preserve"> property owning middle class. </w:t>
      </w:r>
    </w:p>
    <w:p w14:paraId="1E371E2C" w14:textId="33A13D39" w:rsidR="009C0E15" w:rsidRPr="0033260D" w:rsidRDefault="00B825A8" w:rsidP="001B0055">
      <w:pPr>
        <w:spacing w:before="100" w:beforeAutospacing="1" w:after="100" w:afterAutospacing="1" w:line="360" w:lineRule="auto"/>
        <w:jc w:val="both"/>
        <w:rPr>
          <w:rFonts w:ascii="Times New Roman" w:eastAsiaTheme="minorEastAsia" w:hAnsi="Times New Roman" w:cs="Times New Roman"/>
          <w:sz w:val="24"/>
          <w:szCs w:val="24"/>
        </w:rPr>
      </w:pPr>
      <w:r w:rsidRPr="009346C1">
        <w:rPr>
          <w:rFonts w:ascii="Times New Roman" w:eastAsiaTheme="minorEastAsia" w:hAnsi="Times New Roman" w:cs="Times New Roman"/>
          <w:sz w:val="24"/>
          <w:szCs w:val="24"/>
        </w:rPr>
        <w:t xml:space="preserve">Third, and in keeping with the theme of this special issue, none of these areas of inquiry is well served by the intellectual division between international and comparative political economy. </w:t>
      </w:r>
      <w:r w:rsidR="009C0E15" w:rsidRPr="0033260D">
        <w:rPr>
          <w:rFonts w:ascii="Times New Roman" w:eastAsiaTheme="minorEastAsia" w:hAnsi="Times New Roman" w:cs="Times New Roman"/>
          <w:sz w:val="24"/>
          <w:szCs w:val="24"/>
        </w:rPr>
        <w:t xml:space="preserve">The development of household debt in highly integrated financial spaces defies both the IPE and CPE lens. We cannot fully understand why household finance has </w:t>
      </w:r>
      <w:r w:rsidR="00BE3376" w:rsidRPr="0033260D">
        <w:rPr>
          <w:rFonts w:ascii="Times New Roman" w:eastAsiaTheme="minorEastAsia" w:hAnsi="Times New Roman" w:cs="Times New Roman"/>
          <w:sz w:val="24"/>
          <w:szCs w:val="24"/>
        </w:rPr>
        <w:t>gained</w:t>
      </w:r>
      <w:r w:rsidR="009C0E15" w:rsidRPr="0033260D">
        <w:rPr>
          <w:rFonts w:ascii="Times New Roman" w:eastAsiaTheme="minorEastAsia" w:hAnsi="Times New Roman" w:cs="Times New Roman"/>
          <w:sz w:val="24"/>
          <w:szCs w:val="24"/>
        </w:rPr>
        <w:t xml:space="preserve"> </w:t>
      </w:r>
      <w:r w:rsidR="00BE3376" w:rsidRPr="0033260D">
        <w:rPr>
          <w:rFonts w:ascii="Times New Roman" w:eastAsiaTheme="minorEastAsia" w:hAnsi="Times New Roman" w:cs="Times New Roman"/>
          <w:sz w:val="24"/>
          <w:szCs w:val="24"/>
        </w:rPr>
        <w:t xml:space="preserve">economic </w:t>
      </w:r>
      <w:r w:rsidR="009C0E15" w:rsidRPr="0033260D">
        <w:rPr>
          <w:rFonts w:ascii="Times New Roman" w:eastAsiaTheme="minorEastAsia" w:hAnsi="Times New Roman" w:cs="Times New Roman"/>
          <w:sz w:val="24"/>
          <w:szCs w:val="24"/>
        </w:rPr>
        <w:t xml:space="preserve">importance – and grown </w:t>
      </w:r>
      <w:r w:rsidR="00BE3376" w:rsidRPr="0033260D">
        <w:rPr>
          <w:rFonts w:ascii="Times New Roman" w:eastAsiaTheme="minorEastAsia" w:hAnsi="Times New Roman" w:cs="Times New Roman"/>
          <w:sz w:val="24"/>
          <w:szCs w:val="24"/>
        </w:rPr>
        <w:t xml:space="preserve">in terms of its share of </w:t>
      </w:r>
      <w:r w:rsidR="0033260D">
        <w:rPr>
          <w:rFonts w:ascii="Times New Roman" w:eastAsiaTheme="minorEastAsia" w:hAnsi="Times New Roman" w:cs="Times New Roman"/>
          <w:sz w:val="24"/>
          <w:szCs w:val="24"/>
        </w:rPr>
        <w:t>banks’</w:t>
      </w:r>
      <w:r w:rsidR="00BE3376" w:rsidRPr="0033260D">
        <w:rPr>
          <w:rFonts w:ascii="Times New Roman" w:eastAsiaTheme="minorEastAsia" w:hAnsi="Times New Roman" w:cs="Times New Roman"/>
          <w:sz w:val="24"/>
          <w:szCs w:val="24"/>
        </w:rPr>
        <w:t xml:space="preserve"> collective balance sheets – without considering the IPE narrative of increased capital market unification and greater interdependency across </w:t>
      </w:r>
      <w:r w:rsidR="00042180">
        <w:rPr>
          <w:rFonts w:ascii="Times New Roman" w:eastAsiaTheme="minorEastAsia" w:hAnsi="Times New Roman" w:cs="Times New Roman"/>
          <w:sz w:val="24"/>
          <w:szCs w:val="24"/>
        </w:rPr>
        <w:t xml:space="preserve">national </w:t>
      </w:r>
      <w:r w:rsidR="00BE3376" w:rsidRPr="0033260D">
        <w:rPr>
          <w:rFonts w:ascii="Times New Roman" w:eastAsiaTheme="minorEastAsia" w:hAnsi="Times New Roman" w:cs="Times New Roman"/>
          <w:sz w:val="24"/>
          <w:szCs w:val="24"/>
        </w:rPr>
        <w:t xml:space="preserve">borders. Recall that German banks, despite legalizing American covered bonds for domestic use, generally preferred to buy mortgage-backed securities from </w:t>
      </w:r>
      <w:r w:rsidR="00BE3376" w:rsidRPr="0033260D">
        <w:rPr>
          <w:rFonts w:ascii="Times New Roman" w:eastAsiaTheme="minorEastAsia" w:hAnsi="Times New Roman" w:cs="Times New Roman"/>
          <w:i/>
          <w:sz w:val="24"/>
          <w:szCs w:val="24"/>
        </w:rPr>
        <w:t>abroad</w:t>
      </w:r>
      <w:r w:rsidR="00BE3376" w:rsidRPr="0033260D">
        <w:rPr>
          <w:rFonts w:ascii="Times New Roman" w:eastAsiaTheme="minorEastAsia" w:hAnsi="Times New Roman" w:cs="Times New Roman"/>
          <w:sz w:val="24"/>
          <w:szCs w:val="24"/>
        </w:rPr>
        <w:t>. That sort of capital flow – and the resulting intertwining of economies – is of central interest to IPE</w:t>
      </w:r>
      <w:r w:rsidR="00F9693A">
        <w:rPr>
          <w:rFonts w:ascii="Times New Roman" w:eastAsiaTheme="minorEastAsia" w:hAnsi="Times New Roman" w:cs="Times New Roman"/>
          <w:sz w:val="24"/>
          <w:szCs w:val="24"/>
        </w:rPr>
        <w:t xml:space="preserve"> scholars</w:t>
      </w:r>
      <w:r w:rsidR="00BE3376" w:rsidRPr="0033260D">
        <w:rPr>
          <w:rFonts w:ascii="Times New Roman" w:eastAsiaTheme="minorEastAsia" w:hAnsi="Times New Roman" w:cs="Times New Roman"/>
          <w:sz w:val="24"/>
          <w:szCs w:val="24"/>
        </w:rPr>
        <w:t xml:space="preserve">. At the same time, we need a comparative </w:t>
      </w:r>
      <w:r w:rsidR="00F9693A">
        <w:rPr>
          <w:rFonts w:ascii="Times New Roman" w:eastAsiaTheme="minorEastAsia" w:hAnsi="Times New Roman" w:cs="Times New Roman"/>
          <w:sz w:val="24"/>
          <w:szCs w:val="24"/>
        </w:rPr>
        <w:t xml:space="preserve">political </w:t>
      </w:r>
      <w:r w:rsidR="00BE3376" w:rsidRPr="0033260D">
        <w:rPr>
          <w:rFonts w:ascii="Times New Roman" w:eastAsiaTheme="minorEastAsia" w:hAnsi="Times New Roman" w:cs="Times New Roman"/>
          <w:sz w:val="24"/>
          <w:szCs w:val="24"/>
        </w:rPr>
        <w:t xml:space="preserve">lens to tease out how and why nationally “trapped” actors (such as households) interact with these increasingly globalized markets in different ways. </w:t>
      </w:r>
      <w:r w:rsidR="00BA12C3">
        <w:rPr>
          <w:rFonts w:ascii="Times New Roman" w:eastAsiaTheme="minorEastAsia" w:hAnsi="Times New Roman" w:cs="Times New Roman"/>
          <w:sz w:val="24"/>
          <w:szCs w:val="24"/>
        </w:rPr>
        <w:t>The EMU is very far from a complete market, and significant cross-national variation in mortgage rules</w:t>
      </w:r>
      <w:r w:rsidR="0033260D">
        <w:rPr>
          <w:rFonts w:ascii="Times New Roman" w:eastAsiaTheme="minorEastAsia" w:hAnsi="Times New Roman" w:cs="Times New Roman"/>
          <w:sz w:val="24"/>
          <w:szCs w:val="24"/>
        </w:rPr>
        <w:t xml:space="preserve"> across the EU</w:t>
      </w:r>
      <w:r w:rsidR="00BA12C3">
        <w:rPr>
          <w:rFonts w:ascii="Times New Roman" w:eastAsiaTheme="minorEastAsia" w:hAnsi="Times New Roman" w:cs="Times New Roman"/>
          <w:sz w:val="24"/>
          <w:szCs w:val="24"/>
        </w:rPr>
        <w:t xml:space="preserve"> persist.</w:t>
      </w:r>
    </w:p>
    <w:p w14:paraId="76D43B9B" w14:textId="59F14EEC" w:rsidR="0096621A" w:rsidRDefault="00BE3376" w:rsidP="001B0055">
      <w:pPr>
        <w:spacing w:before="100" w:beforeAutospacing="1" w:after="100" w:afterAutospacing="1" w:line="360" w:lineRule="auto"/>
        <w:jc w:val="both"/>
        <w:rPr>
          <w:rFonts w:ascii="Times New Roman" w:eastAsiaTheme="minorEastAsia" w:hAnsi="Times New Roman" w:cs="Times New Roman"/>
          <w:sz w:val="24"/>
          <w:szCs w:val="24"/>
        </w:rPr>
      </w:pPr>
      <w:r w:rsidRPr="0033260D">
        <w:rPr>
          <w:rFonts w:ascii="Times New Roman" w:eastAsiaTheme="minorEastAsia" w:hAnsi="Times New Roman" w:cs="Times New Roman"/>
          <w:sz w:val="24"/>
          <w:szCs w:val="24"/>
        </w:rPr>
        <w:t xml:space="preserve">The demand for a unified </w:t>
      </w:r>
      <w:r w:rsidR="00BA12C3">
        <w:rPr>
          <w:rFonts w:ascii="Times New Roman" w:eastAsiaTheme="minorEastAsia" w:hAnsi="Times New Roman" w:cs="Times New Roman"/>
          <w:sz w:val="24"/>
          <w:szCs w:val="24"/>
        </w:rPr>
        <w:t xml:space="preserve">IPE/CPE </w:t>
      </w:r>
      <w:r w:rsidRPr="0033260D">
        <w:rPr>
          <w:rFonts w:ascii="Times New Roman" w:eastAsiaTheme="minorEastAsia" w:hAnsi="Times New Roman" w:cs="Times New Roman"/>
          <w:sz w:val="24"/>
          <w:szCs w:val="24"/>
        </w:rPr>
        <w:t xml:space="preserve">approach </w:t>
      </w:r>
      <w:r w:rsidR="00BA12C3">
        <w:rPr>
          <w:rFonts w:ascii="Times New Roman" w:eastAsiaTheme="minorEastAsia" w:hAnsi="Times New Roman" w:cs="Times New Roman"/>
          <w:sz w:val="24"/>
          <w:szCs w:val="24"/>
        </w:rPr>
        <w:t>is particularly</w:t>
      </w:r>
      <w:r w:rsidRPr="0033260D">
        <w:rPr>
          <w:rFonts w:ascii="Times New Roman" w:eastAsiaTheme="minorEastAsia" w:hAnsi="Times New Roman" w:cs="Times New Roman"/>
          <w:sz w:val="24"/>
          <w:szCs w:val="24"/>
        </w:rPr>
        <w:t xml:space="preserve"> important within the European Union, </w:t>
      </w:r>
      <w:r w:rsidR="0096621A" w:rsidRPr="0033260D">
        <w:rPr>
          <w:rFonts w:ascii="Times New Roman" w:eastAsiaTheme="minorEastAsia" w:hAnsi="Times New Roman" w:cs="Times New Roman"/>
          <w:sz w:val="24"/>
          <w:szCs w:val="24"/>
        </w:rPr>
        <w:t>due to</w:t>
      </w:r>
      <w:r w:rsidRPr="0033260D">
        <w:rPr>
          <w:rFonts w:ascii="Times New Roman" w:eastAsiaTheme="minorEastAsia" w:hAnsi="Times New Roman" w:cs="Times New Roman"/>
          <w:sz w:val="24"/>
          <w:szCs w:val="24"/>
        </w:rPr>
        <w:t xml:space="preserve"> its </w:t>
      </w:r>
      <w:r w:rsidRPr="0033260D">
        <w:rPr>
          <w:rFonts w:ascii="Times New Roman" w:eastAsiaTheme="minorEastAsia" w:hAnsi="Times New Roman" w:cs="Times New Roman"/>
          <w:i/>
          <w:sz w:val="24"/>
          <w:szCs w:val="24"/>
        </w:rPr>
        <w:t>sui generis</w:t>
      </w:r>
      <w:r w:rsidRPr="0033260D">
        <w:rPr>
          <w:rFonts w:ascii="Times New Roman" w:eastAsiaTheme="minorEastAsia" w:hAnsi="Times New Roman" w:cs="Times New Roman"/>
          <w:sz w:val="24"/>
          <w:szCs w:val="24"/>
        </w:rPr>
        <w:t xml:space="preserve"> status. Financial rules in the EU are not solely determined at the national level, particularly with post-crisis reforms </w:t>
      </w:r>
      <w:r w:rsidR="00F9693A">
        <w:rPr>
          <w:rFonts w:ascii="Times New Roman" w:eastAsiaTheme="minorEastAsia" w:hAnsi="Times New Roman" w:cs="Times New Roman"/>
          <w:sz w:val="24"/>
          <w:szCs w:val="24"/>
        </w:rPr>
        <w:t>shifting</w:t>
      </w:r>
      <w:r w:rsidRPr="0033260D">
        <w:rPr>
          <w:rFonts w:ascii="Times New Roman" w:eastAsiaTheme="minorEastAsia" w:hAnsi="Times New Roman" w:cs="Times New Roman"/>
          <w:sz w:val="24"/>
          <w:szCs w:val="24"/>
        </w:rPr>
        <w:t xml:space="preserve"> a substantial amount of financial oversight to the European Central Bank </w:t>
      </w:r>
      <w:r w:rsidR="0096621A" w:rsidRPr="0033260D">
        <w:rPr>
          <w:rFonts w:ascii="Times New Roman" w:eastAsiaTheme="minorEastAsia" w:hAnsi="Times New Roman" w:cs="Times New Roman"/>
          <w:sz w:val="24"/>
          <w:szCs w:val="24"/>
        </w:rPr>
        <w:t>(ECB)</w:t>
      </w:r>
      <w:r w:rsidR="007E6978">
        <w:rPr>
          <w:rFonts w:ascii="Times New Roman" w:eastAsiaTheme="minorEastAsia" w:hAnsi="Times New Roman" w:cs="Times New Roman"/>
          <w:sz w:val="24"/>
          <w:szCs w:val="24"/>
        </w:rPr>
        <w:t xml:space="preserve"> (</w:t>
      </w:r>
      <w:proofErr w:type="spellStart"/>
      <w:r w:rsidR="007E6978">
        <w:rPr>
          <w:rFonts w:ascii="Times New Roman" w:eastAsiaTheme="minorEastAsia" w:hAnsi="Times New Roman" w:cs="Times New Roman"/>
          <w:sz w:val="24"/>
          <w:szCs w:val="24"/>
        </w:rPr>
        <w:t>Howarth</w:t>
      </w:r>
      <w:proofErr w:type="spellEnd"/>
      <w:r w:rsidR="007E6978">
        <w:rPr>
          <w:rFonts w:ascii="Times New Roman" w:eastAsiaTheme="minorEastAsia" w:hAnsi="Times New Roman" w:cs="Times New Roman"/>
          <w:sz w:val="24"/>
          <w:szCs w:val="24"/>
        </w:rPr>
        <w:t xml:space="preserve"> and </w:t>
      </w:r>
      <w:proofErr w:type="spellStart"/>
      <w:r w:rsidR="007E6978">
        <w:rPr>
          <w:rFonts w:ascii="Times New Roman" w:eastAsiaTheme="minorEastAsia" w:hAnsi="Times New Roman" w:cs="Times New Roman"/>
          <w:sz w:val="24"/>
          <w:szCs w:val="24"/>
        </w:rPr>
        <w:t>Quaglia</w:t>
      </w:r>
      <w:proofErr w:type="spellEnd"/>
      <w:r w:rsidR="007E6978">
        <w:rPr>
          <w:rFonts w:ascii="Times New Roman" w:eastAsiaTheme="minorEastAsia" w:hAnsi="Times New Roman" w:cs="Times New Roman"/>
          <w:sz w:val="24"/>
          <w:szCs w:val="24"/>
        </w:rPr>
        <w:t xml:space="preserve"> 2014)</w:t>
      </w:r>
      <w:r w:rsidRPr="0033260D">
        <w:rPr>
          <w:rFonts w:ascii="Times New Roman" w:eastAsiaTheme="minorEastAsia" w:hAnsi="Times New Roman" w:cs="Times New Roman"/>
          <w:sz w:val="24"/>
          <w:szCs w:val="24"/>
        </w:rPr>
        <w:t xml:space="preserve">. </w:t>
      </w:r>
      <w:r w:rsidR="0096621A" w:rsidRPr="0033260D">
        <w:rPr>
          <w:rFonts w:ascii="Times New Roman" w:eastAsiaTheme="minorEastAsia" w:hAnsi="Times New Roman" w:cs="Times New Roman"/>
          <w:sz w:val="24"/>
          <w:szCs w:val="24"/>
        </w:rPr>
        <w:t>The ECB</w:t>
      </w:r>
      <w:r w:rsidR="00D26634">
        <w:rPr>
          <w:rFonts w:ascii="Times New Roman" w:eastAsiaTheme="minorEastAsia" w:hAnsi="Times New Roman" w:cs="Times New Roman"/>
          <w:sz w:val="24"/>
          <w:szCs w:val="24"/>
        </w:rPr>
        <w:t xml:space="preserve"> </w:t>
      </w:r>
      <w:r w:rsidRPr="0033260D">
        <w:rPr>
          <w:rFonts w:ascii="Times New Roman" w:eastAsiaTheme="minorEastAsia" w:hAnsi="Times New Roman" w:cs="Times New Roman"/>
          <w:sz w:val="24"/>
          <w:szCs w:val="24"/>
        </w:rPr>
        <w:t>provides a common monetary policy and shared currency across much of the uni</w:t>
      </w:r>
      <w:r w:rsidR="0096621A" w:rsidRPr="0033260D">
        <w:rPr>
          <w:rFonts w:ascii="Times New Roman" w:eastAsiaTheme="minorEastAsia" w:hAnsi="Times New Roman" w:cs="Times New Roman"/>
          <w:sz w:val="24"/>
          <w:szCs w:val="24"/>
        </w:rPr>
        <w:t xml:space="preserve">on – a unique arrangement in global affairs. </w:t>
      </w:r>
      <w:r w:rsidR="00D26634">
        <w:rPr>
          <w:rFonts w:ascii="Times New Roman" w:eastAsiaTheme="minorEastAsia" w:hAnsi="Times New Roman" w:cs="Times New Roman"/>
          <w:sz w:val="24"/>
          <w:szCs w:val="24"/>
        </w:rPr>
        <w:t>But c</w:t>
      </w:r>
      <w:r w:rsidR="0096621A" w:rsidRPr="0033260D">
        <w:rPr>
          <w:rFonts w:ascii="Times New Roman" w:eastAsiaTheme="minorEastAsia" w:hAnsi="Times New Roman" w:cs="Times New Roman"/>
          <w:sz w:val="24"/>
          <w:szCs w:val="24"/>
        </w:rPr>
        <w:t xml:space="preserve">onsider this paper’s findings in light of the (still nascent) Capital Markets Union: One of the key proposals calls for the creation of a homogenous “Simple Transparent </w:t>
      </w:r>
      <w:r w:rsidR="007E6978">
        <w:rPr>
          <w:rFonts w:ascii="Times New Roman" w:eastAsiaTheme="minorEastAsia" w:hAnsi="Times New Roman" w:cs="Times New Roman"/>
          <w:sz w:val="24"/>
          <w:szCs w:val="24"/>
        </w:rPr>
        <w:t>and Standardized</w:t>
      </w:r>
      <w:r w:rsidR="0096621A" w:rsidRPr="0033260D">
        <w:rPr>
          <w:rFonts w:ascii="Times New Roman" w:eastAsiaTheme="minorEastAsia" w:hAnsi="Times New Roman" w:cs="Times New Roman"/>
          <w:sz w:val="24"/>
          <w:szCs w:val="24"/>
        </w:rPr>
        <w:t xml:space="preserve">” </w:t>
      </w:r>
      <w:r w:rsidR="007E6978">
        <w:rPr>
          <w:rFonts w:ascii="Times New Roman" w:eastAsiaTheme="minorEastAsia" w:hAnsi="Times New Roman" w:cs="Times New Roman"/>
          <w:sz w:val="24"/>
          <w:szCs w:val="24"/>
        </w:rPr>
        <w:t xml:space="preserve">securitization </w:t>
      </w:r>
      <w:r w:rsidR="0096621A" w:rsidRPr="0033260D">
        <w:rPr>
          <w:rFonts w:ascii="Times New Roman" w:eastAsiaTheme="minorEastAsia" w:hAnsi="Times New Roman" w:cs="Times New Roman"/>
          <w:sz w:val="24"/>
          <w:szCs w:val="24"/>
        </w:rPr>
        <w:t>product, defined by European rules and circulating throughout the bloc</w:t>
      </w:r>
      <w:r w:rsidR="007E6978">
        <w:rPr>
          <w:rFonts w:ascii="Times New Roman" w:eastAsiaTheme="minorEastAsia" w:hAnsi="Times New Roman" w:cs="Times New Roman"/>
          <w:sz w:val="24"/>
          <w:szCs w:val="24"/>
        </w:rPr>
        <w:t xml:space="preserve"> (European Commission 2017)</w:t>
      </w:r>
      <w:r w:rsidR="0096621A" w:rsidRPr="0033260D">
        <w:rPr>
          <w:rFonts w:ascii="Times New Roman" w:eastAsiaTheme="minorEastAsia" w:hAnsi="Times New Roman" w:cs="Times New Roman"/>
          <w:sz w:val="24"/>
          <w:szCs w:val="24"/>
        </w:rPr>
        <w:t>. Such a product would be the creation of a multi-level negotiation between European member states and its supranational institutions</w:t>
      </w:r>
      <w:r w:rsidR="00D26634">
        <w:rPr>
          <w:rFonts w:ascii="Times New Roman" w:eastAsiaTheme="minorEastAsia" w:hAnsi="Times New Roman" w:cs="Times New Roman"/>
          <w:sz w:val="24"/>
          <w:szCs w:val="24"/>
        </w:rPr>
        <w:t>. It</w:t>
      </w:r>
      <w:r w:rsidR="0096621A" w:rsidRPr="0033260D">
        <w:rPr>
          <w:rFonts w:ascii="Times New Roman" w:eastAsiaTheme="minorEastAsia" w:hAnsi="Times New Roman" w:cs="Times New Roman"/>
          <w:sz w:val="24"/>
          <w:szCs w:val="24"/>
        </w:rPr>
        <w:t xml:space="preserve"> almost certainly be taken up at different rates in different European countries, and </w:t>
      </w:r>
      <w:r w:rsidR="00D26634">
        <w:rPr>
          <w:rFonts w:ascii="Times New Roman" w:eastAsiaTheme="minorEastAsia" w:hAnsi="Times New Roman" w:cs="Times New Roman"/>
          <w:sz w:val="24"/>
          <w:szCs w:val="24"/>
        </w:rPr>
        <w:t xml:space="preserve">it </w:t>
      </w:r>
      <w:r w:rsidR="0096621A" w:rsidRPr="0033260D">
        <w:rPr>
          <w:rFonts w:ascii="Times New Roman" w:eastAsiaTheme="minorEastAsia" w:hAnsi="Times New Roman" w:cs="Times New Roman"/>
          <w:sz w:val="24"/>
          <w:szCs w:val="24"/>
        </w:rPr>
        <w:t xml:space="preserve">would </w:t>
      </w:r>
      <w:r w:rsidR="00D26634">
        <w:rPr>
          <w:rFonts w:ascii="Times New Roman" w:eastAsiaTheme="minorEastAsia" w:hAnsi="Times New Roman" w:cs="Times New Roman"/>
          <w:sz w:val="24"/>
          <w:szCs w:val="24"/>
        </w:rPr>
        <w:t xml:space="preserve">almost certainly </w:t>
      </w:r>
      <w:r w:rsidR="0096621A" w:rsidRPr="0033260D">
        <w:rPr>
          <w:rFonts w:ascii="Times New Roman" w:eastAsiaTheme="minorEastAsia" w:hAnsi="Times New Roman" w:cs="Times New Roman"/>
          <w:sz w:val="24"/>
          <w:szCs w:val="24"/>
        </w:rPr>
        <w:t xml:space="preserve">affect household debt. IPE and CPE would both </w:t>
      </w:r>
      <w:r w:rsidR="0033260D">
        <w:rPr>
          <w:rFonts w:ascii="Times New Roman" w:eastAsiaTheme="minorEastAsia" w:hAnsi="Times New Roman" w:cs="Times New Roman"/>
          <w:sz w:val="24"/>
          <w:szCs w:val="24"/>
        </w:rPr>
        <w:t xml:space="preserve">be at a loss to explain how and </w:t>
      </w:r>
      <w:r w:rsidR="0096621A" w:rsidRPr="0033260D">
        <w:rPr>
          <w:rFonts w:ascii="Times New Roman" w:eastAsiaTheme="minorEastAsia" w:hAnsi="Times New Roman" w:cs="Times New Roman"/>
          <w:sz w:val="24"/>
          <w:szCs w:val="24"/>
        </w:rPr>
        <w:t>why: in Europe, we need both togethe</w:t>
      </w:r>
      <w:r w:rsidR="00D26634">
        <w:rPr>
          <w:rFonts w:ascii="Times New Roman" w:eastAsiaTheme="minorEastAsia" w:hAnsi="Times New Roman" w:cs="Times New Roman"/>
          <w:sz w:val="24"/>
          <w:szCs w:val="24"/>
        </w:rPr>
        <w:t>r.</w:t>
      </w:r>
    </w:p>
    <w:p w14:paraId="39C07570" w14:textId="34F0FC8A" w:rsidR="005F6C34" w:rsidRPr="00451D40" w:rsidRDefault="005F6C34" w:rsidP="005F6C34">
      <w:pPr>
        <w:spacing w:before="100" w:beforeAutospacing="1" w:after="100" w:afterAutospacing="1" w:line="240" w:lineRule="auto"/>
        <w:rPr>
          <w:rFonts w:ascii="Times New Roman" w:eastAsiaTheme="minorEastAsia" w:hAnsi="Times New Roman" w:cs="Times New Roman"/>
          <w:b/>
          <w:sz w:val="24"/>
          <w:szCs w:val="24"/>
        </w:rPr>
      </w:pPr>
      <w:bookmarkStart w:id="0" w:name="_GoBack"/>
      <w:bookmarkEnd w:id="0"/>
      <w:r w:rsidRPr="00451D40">
        <w:rPr>
          <w:rFonts w:ascii="Times New Roman" w:eastAsiaTheme="minorEastAsia" w:hAnsi="Times New Roman" w:cs="Times New Roman"/>
          <w:b/>
          <w:sz w:val="24"/>
          <w:szCs w:val="24"/>
        </w:rPr>
        <w:lastRenderedPageBreak/>
        <w:t>References:</w:t>
      </w:r>
    </w:p>
    <w:p w14:paraId="276612D2" w14:textId="77777777" w:rsidR="005F6C34" w:rsidRPr="00451D40" w:rsidRDefault="005F6C34" w:rsidP="005F6C34">
      <w:pPr>
        <w:rPr>
          <w:rFonts w:ascii="Times New Roman" w:hAnsi="Times New Roman" w:cs="Times New Roman"/>
          <w:sz w:val="24"/>
          <w:szCs w:val="24"/>
          <w:highlight w:val="yellow"/>
          <w:shd w:val="clear" w:color="auto" w:fill="FFFFFF"/>
        </w:rPr>
      </w:pPr>
      <w:proofErr w:type="spellStart"/>
      <w:r w:rsidRPr="00451D40">
        <w:rPr>
          <w:rFonts w:ascii="Times New Roman" w:hAnsi="Times New Roman" w:cs="Times New Roman"/>
          <w:sz w:val="24"/>
          <w:szCs w:val="24"/>
        </w:rPr>
        <w:t>Aalbers</w:t>
      </w:r>
      <w:proofErr w:type="spellEnd"/>
      <w:r w:rsidRPr="00451D40">
        <w:rPr>
          <w:rFonts w:ascii="Times New Roman" w:hAnsi="Times New Roman" w:cs="Times New Roman"/>
          <w:sz w:val="24"/>
          <w:szCs w:val="24"/>
        </w:rPr>
        <w:t xml:space="preserve">, M.B. (2016). “The </w:t>
      </w:r>
      <w:proofErr w:type="spellStart"/>
      <w:r w:rsidRPr="00451D40">
        <w:rPr>
          <w:rFonts w:ascii="Times New Roman" w:hAnsi="Times New Roman" w:cs="Times New Roman"/>
          <w:sz w:val="24"/>
          <w:szCs w:val="24"/>
        </w:rPr>
        <w:t>financialization</w:t>
      </w:r>
      <w:proofErr w:type="spellEnd"/>
      <w:r w:rsidRPr="00451D40">
        <w:rPr>
          <w:rFonts w:ascii="Times New Roman" w:hAnsi="Times New Roman" w:cs="Times New Roman"/>
          <w:sz w:val="24"/>
          <w:szCs w:val="24"/>
        </w:rPr>
        <w:t xml:space="preserve"> of home and the mortgage market crisis”. In </w:t>
      </w:r>
      <w:proofErr w:type="spellStart"/>
      <w:r w:rsidRPr="00451D40">
        <w:rPr>
          <w:rFonts w:ascii="Times New Roman" w:hAnsi="Times New Roman" w:cs="Times New Roman"/>
          <w:sz w:val="24"/>
          <w:szCs w:val="24"/>
        </w:rPr>
        <w:t>Aalbers</w:t>
      </w:r>
      <w:proofErr w:type="spell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ed</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i/>
          <w:iCs/>
          <w:sz w:val="24"/>
          <w:szCs w:val="24"/>
        </w:rPr>
        <w:t xml:space="preserve">The </w:t>
      </w:r>
      <w:proofErr w:type="spellStart"/>
      <w:r w:rsidRPr="00451D40">
        <w:rPr>
          <w:rFonts w:ascii="Times New Roman" w:hAnsi="Times New Roman" w:cs="Times New Roman"/>
          <w:i/>
          <w:iCs/>
          <w:sz w:val="24"/>
          <w:szCs w:val="24"/>
        </w:rPr>
        <w:t>Financialization</w:t>
      </w:r>
      <w:proofErr w:type="spellEnd"/>
      <w:r w:rsidRPr="00451D40">
        <w:rPr>
          <w:rFonts w:ascii="Times New Roman" w:hAnsi="Times New Roman" w:cs="Times New Roman"/>
          <w:i/>
          <w:iCs/>
          <w:sz w:val="24"/>
          <w:szCs w:val="24"/>
        </w:rPr>
        <w:t xml:space="preserve"> of Housing</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Routledge.</w:t>
      </w:r>
      <w:proofErr w:type="gramEnd"/>
      <w:r w:rsidRPr="00451D40">
        <w:rPr>
          <w:rFonts w:ascii="Times New Roman" w:hAnsi="Times New Roman" w:cs="Times New Roman"/>
          <w:sz w:val="24"/>
          <w:szCs w:val="24"/>
        </w:rPr>
        <w:t xml:space="preserve"> London: </w:t>
      </w:r>
      <w:proofErr w:type="spellStart"/>
      <w:r w:rsidRPr="00451D40">
        <w:rPr>
          <w:rFonts w:ascii="Times New Roman" w:hAnsi="Times New Roman" w:cs="Times New Roman"/>
          <w:sz w:val="24"/>
          <w:szCs w:val="24"/>
        </w:rPr>
        <w:t>pg</w:t>
      </w:r>
      <w:proofErr w:type="spellEnd"/>
      <w:r w:rsidRPr="00451D40">
        <w:rPr>
          <w:rFonts w:ascii="Times New Roman" w:hAnsi="Times New Roman" w:cs="Times New Roman"/>
          <w:sz w:val="24"/>
          <w:szCs w:val="24"/>
        </w:rPr>
        <w:t xml:space="preserve"> 40-63</w:t>
      </w:r>
    </w:p>
    <w:p w14:paraId="11ECC08F" w14:textId="2E80D1DE" w:rsidR="005F6C34" w:rsidRDefault="005F6C34" w:rsidP="005F6C34">
      <w:pPr>
        <w:rPr>
          <w:rFonts w:ascii="Times New Roman" w:hAnsi="Times New Roman" w:cs="Times New Roman"/>
          <w:sz w:val="24"/>
          <w:szCs w:val="24"/>
          <w:shd w:val="clear" w:color="auto" w:fill="FFFFFF"/>
        </w:rPr>
      </w:pPr>
      <w:proofErr w:type="spellStart"/>
      <w:proofErr w:type="gramStart"/>
      <w:r w:rsidRPr="00451D40">
        <w:rPr>
          <w:rFonts w:ascii="Times New Roman" w:hAnsi="Times New Roman" w:cs="Times New Roman"/>
          <w:sz w:val="24"/>
          <w:szCs w:val="24"/>
          <w:shd w:val="clear" w:color="auto" w:fill="FFFFFF"/>
        </w:rPr>
        <w:t>Aalbers</w:t>
      </w:r>
      <w:proofErr w:type="spellEnd"/>
      <w:r w:rsidRPr="00451D40">
        <w:rPr>
          <w:rFonts w:ascii="Times New Roman" w:hAnsi="Times New Roman" w:cs="Times New Roman"/>
          <w:sz w:val="24"/>
          <w:szCs w:val="24"/>
          <w:shd w:val="clear" w:color="auto" w:fill="FFFFFF"/>
        </w:rPr>
        <w:t xml:space="preserve">, M.B., &amp; </w:t>
      </w:r>
      <w:proofErr w:type="spellStart"/>
      <w:r w:rsidRPr="00451D40">
        <w:rPr>
          <w:rFonts w:ascii="Times New Roman" w:hAnsi="Times New Roman" w:cs="Times New Roman"/>
          <w:sz w:val="24"/>
          <w:szCs w:val="24"/>
          <w:shd w:val="clear" w:color="auto" w:fill="FFFFFF"/>
        </w:rPr>
        <w:t>Christophers</w:t>
      </w:r>
      <w:proofErr w:type="spellEnd"/>
      <w:r w:rsidRPr="00451D40">
        <w:rPr>
          <w:rFonts w:ascii="Times New Roman" w:hAnsi="Times New Roman" w:cs="Times New Roman"/>
          <w:sz w:val="24"/>
          <w:szCs w:val="24"/>
          <w:shd w:val="clear" w:color="auto" w:fill="FFFFFF"/>
        </w:rPr>
        <w:t>, B. (2014).</w:t>
      </w:r>
      <w:proofErr w:type="gramEnd"/>
      <w:r w:rsidRPr="00451D40">
        <w:rPr>
          <w:rFonts w:ascii="Times New Roman" w:hAnsi="Times New Roman" w:cs="Times New Roman"/>
          <w:sz w:val="24"/>
          <w:szCs w:val="24"/>
          <w:shd w:val="clear" w:color="auto" w:fill="FFFFFF"/>
        </w:rPr>
        <w:t xml:space="preserve"> </w:t>
      </w:r>
      <w:proofErr w:type="gramStart"/>
      <w:r w:rsidRPr="00451D40">
        <w:rPr>
          <w:rFonts w:ascii="Times New Roman" w:hAnsi="Times New Roman" w:cs="Times New Roman"/>
          <w:sz w:val="24"/>
          <w:szCs w:val="24"/>
          <w:shd w:val="clear" w:color="auto" w:fill="FFFFFF"/>
        </w:rPr>
        <w:t>“</w:t>
      </w:r>
      <w:proofErr w:type="spellStart"/>
      <w:r w:rsidRPr="00451D40">
        <w:rPr>
          <w:rFonts w:ascii="Times New Roman" w:hAnsi="Times New Roman" w:cs="Times New Roman"/>
          <w:sz w:val="24"/>
          <w:szCs w:val="24"/>
          <w:shd w:val="clear" w:color="auto" w:fill="FFFFFF"/>
        </w:rPr>
        <w:t>Centring</w:t>
      </w:r>
      <w:proofErr w:type="spellEnd"/>
      <w:r w:rsidRPr="00451D40">
        <w:rPr>
          <w:rFonts w:ascii="Times New Roman" w:hAnsi="Times New Roman" w:cs="Times New Roman"/>
          <w:sz w:val="24"/>
          <w:szCs w:val="24"/>
          <w:shd w:val="clear" w:color="auto" w:fill="FFFFFF"/>
        </w:rPr>
        <w:t xml:space="preserve"> housing in political economy”.</w:t>
      </w:r>
      <w:proofErr w:type="gramEnd"/>
      <w:r w:rsidRPr="00451D40">
        <w:rPr>
          <w:rFonts w:ascii="Times New Roman" w:hAnsi="Times New Roman" w:cs="Times New Roman"/>
          <w:sz w:val="24"/>
          <w:szCs w:val="24"/>
          <w:shd w:val="clear" w:color="auto" w:fill="FFFFFF"/>
        </w:rPr>
        <w:t> </w:t>
      </w:r>
      <w:proofErr w:type="gramStart"/>
      <w:r w:rsidRPr="00451D40">
        <w:rPr>
          <w:rFonts w:ascii="Times New Roman" w:hAnsi="Times New Roman" w:cs="Times New Roman"/>
          <w:i/>
          <w:iCs/>
          <w:sz w:val="24"/>
          <w:szCs w:val="24"/>
          <w:shd w:val="clear" w:color="auto" w:fill="FFFFFF"/>
        </w:rPr>
        <w:t>Housing, Theory and Society</w:t>
      </w:r>
      <w:r w:rsidRPr="00451D40">
        <w:rPr>
          <w:rFonts w:ascii="Times New Roman" w:hAnsi="Times New Roman" w:cs="Times New Roman"/>
          <w:sz w:val="24"/>
          <w:szCs w:val="24"/>
          <w:shd w:val="clear" w:color="auto" w:fill="FFFFFF"/>
        </w:rPr>
        <w:t>.</w:t>
      </w:r>
      <w:proofErr w:type="gramEnd"/>
      <w:r w:rsidRPr="00451D40">
        <w:rPr>
          <w:rFonts w:ascii="Times New Roman" w:hAnsi="Times New Roman" w:cs="Times New Roman"/>
          <w:sz w:val="24"/>
          <w:szCs w:val="24"/>
          <w:shd w:val="clear" w:color="auto" w:fill="FFFFFF"/>
        </w:rPr>
        <w:t> </w:t>
      </w:r>
      <w:r w:rsidRPr="00451D40">
        <w:rPr>
          <w:rFonts w:ascii="Times New Roman" w:hAnsi="Times New Roman" w:cs="Times New Roman"/>
          <w:i/>
          <w:iCs/>
          <w:sz w:val="24"/>
          <w:szCs w:val="24"/>
          <w:shd w:val="clear" w:color="auto" w:fill="FFFFFF"/>
        </w:rPr>
        <w:t>31</w:t>
      </w:r>
      <w:r w:rsidRPr="00451D40">
        <w:rPr>
          <w:rFonts w:ascii="Times New Roman" w:hAnsi="Times New Roman" w:cs="Times New Roman"/>
          <w:sz w:val="24"/>
          <w:szCs w:val="24"/>
          <w:shd w:val="clear" w:color="auto" w:fill="FFFFFF"/>
        </w:rPr>
        <w:t>(4): 373-394.</w:t>
      </w:r>
    </w:p>
    <w:p w14:paraId="1EFFF0E4" w14:textId="23E39605" w:rsidR="000F0ED1" w:rsidRPr="000F0ED1" w:rsidRDefault="000F0ED1" w:rsidP="005F6C34">
      <w:pPr>
        <w:rPr>
          <w:rFonts w:ascii="Times New Roman" w:hAnsi="Times New Roman" w:cs="Times New Roman"/>
          <w:sz w:val="24"/>
          <w:szCs w:val="24"/>
        </w:rPr>
      </w:pPr>
      <w:proofErr w:type="spellStart"/>
      <w:r>
        <w:rPr>
          <w:rFonts w:ascii="Times New Roman" w:hAnsi="Times New Roman" w:cs="Times New Roman"/>
          <w:sz w:val="24"/>
          <w:szCs w:val="24"/>
        </w:rPr>
        <w:t>Abdelal</w:t>
      </w:r>
      <w:proofErr w:type="spellEnd"/>
      <w:r>
        <w:rPr>
          <w:rFonts w:ascii="Times New Roman" w:hAnsi="Times New Roman" w:cs="Times New Roman"/>
          <w:sz w:val="24"/>
          <w:szCs w:val="24"/>
        </w:rPr>
        <w:t xml:space="preserve">, R. (2007). </w:t>
      </w:r>
      <w:r>
        <w:rPr>
          <w:rFonts w:ascii="Times New Roman" w:hAnsi="Times New Roman" w:cs="Times New Roman"/>
          <w:i/>
          <w:sz w:val="24"/>
          <w:szCs w:val="24"/>
        </w:rPr>
        <w:t>Capital Rules: The Construction of Global Finance</w:t>
      </w:r>
      <w:r>
        <w:rPr>
          <w:rFonts w:ascii="Times New Roman" w:hAnsi="Times New Roman" w:cs="Times New Roman"/>
          <w:sz w:val="24"/>
          <w:szCs w:val="24"/>
        </w:rPr>
        <w:t xml:space="preserve">. Cambridge, Mass: Harvard University Press </w:t>
      </w:r>
    </w:p>
    <w:p w14:paraId="42A3DF41" w14:textId="77777777" w:rsidR="005F6C34" w:rsidRPr="00451D40" w:rsidRDefault="005F6C34" w:rsidP="005F6C34">
      <w:pPr>
        <w:spacing w:after="240" w:line="240" w:lineRule="auto"/>
        <w:jc w:val="both"/>
        <w:rPr>
          <w:rFonts w:ascii="Times New Roman" w:hAnsi="Times New Roman" w:cs="Times New Roman"/>
          <w:sz w:val="24"/>
          <w:szCs w:val="24"/>
        </w:rPr>
      </w:pPr>
      <w:proofErr w:type="gramStart"/>
      <w:r w:rsidRPr="00451D40">
        <w:rPr>
          <w:rFonts w:ascii="Times New Roman" w:hAnsi="Times New Roman" w:cs="Times New Roman"/>
          <w:sz w:val="24"/>
          <w:szCs w:val="24"/>
        </w:rPr>
        <w:t xml:space="preserve">Anderson, K, and </w:t>
      </w:r>
      <w:proofErr w:type="spellStart"/>
      <w:r w:rsidRPr="00451D40">
        <w:rPr>
          <w:rFonts w:ascii="Times New Roman" w:hAnsi="Times New Roman" w:cs="Times New Roman"/>
          <w:sz w:val="24"/>
          <w:szCs w:val="24"/>
        </w:rPr>
        <w:t>Kurzer</w:t>
      </w:r>
      <w:proofErr w:type="spellEnd"/>
      <w:r w:rsidRPr="00451D40">
        <w:rPr>
          <w:rFonts w:ascii="Times New Roman" w:hAnsi="Times New Roman" w:cs="Times New Roman"/>
          <w:sz w:val="24"/>
          <w:szCs w:val="24"/>
        </w:rPr>
        <w:t>, P. (2016).</w:t>
      </w:r>
      <w:proofErr w:type="gramEnd"/>
      <w:r w:rsidRPr="00451D40">
        <w:rPr>
          <w:rFonts w:ascii="Times New Roman" w:hAnsi="Times New Roman" w:cs="Times New Roman"/>
          <w:sz w:val="24"/>
          <w:szCs w:val="24"/>
        </w:rPr>
        <w:t xml:space="preserve"> “The Politics of Mortgage Financing and Regulation in Denmark, the Netherlands and Sweden”, Presented at the 6th Annual Workshop on European Integration, Scripps College, </w:t>
      </w:r>
      <w:proofErr w:type="gramStart"/>
      <w:r w:rsidRPr="00451D40">
        <w:rPr>
          <w:rFonts w:ascii="Times New Roman" w:hAnsi="Times New Roman" w:cs="Times New Roman"/>
          <w:sz w:val="24"/>
          <w:szCs w:val="24"/>
        </w:rPr>
        <w:t>Claremont</w:t>
      </w:r>
      <w:proofErr w:type="gramEnd"/>
      <w:r w:rsidRPr="00451D40">
        <w:rPr>
          <w:rFonts w:ascii="Times New Roman" w:hAnsi="Times New Roman" w:cs="Times New Roman"/>
          <w:sz w:val="24"/>
          <w:szCs w:val="24"/>
        </w:rPr>
        <w:t>. December 2-3, 2016.</w:t>
      </w:r>
    </w:p>
    <w:p w14:paraId="23B88806" w14:textId="77777777" w:rsidR="005F6C34" w:rsidRDefault="005F6C34" w:rsidP="005F6C34">
      <w:pPr>
        <w:spacing w:before="100" w:beforeAutospacing="1" w:after="100" w:afterAutospacing="1" w:line="240" w:lineRule="auto"/>
        <w:jc w:val="both"/>
        <w:rPr>
          <w:rFonts w:ascii="Times New Roman" w:hAnsi="Times New Roman" w:cs="Times New Roman"/>
          <w:sz w:val="24"/>
          <w:szCs w:val="24"/>
        </w:rPr>
      </w:pPr>
      <w:proofErr w:type="spellStart"/>
      <w:r w:rsidRPr="00451D40">
        <w:rPr>
          <w:rFonts w:ascii="Times New Roman" w:hAnsi="Times New Roman" w:cs="Times New Roman"/>
          <w:sz w:val="24"/>
          <w:szCs w:val="24"/>
        </w:rPr>
        <w:t>Armingeon</w:t>
      </w:r>
      <w:proofErr w:type="spellEnd"/>
      <w:r w:rsidRPr="00451D40">
        <w:rPr>
          <w:rFonts w:ascii="Times New Roman" w:hAnsi="Times New Roman" w:cs="Times New Roman"/>
          <w:sz w:val="24"/>
          <w:szCs w:val="24"/>
        </w:rPr>
        <w:t xml:space="preserve">, K., Isler, C., </w:t>
      </w:r>
      <w:proofErr w:type="spellStart"/>
      <w:r w:rsidRPr="00451D40">
        <w:rPr>
          <w:rFonts w:ascii="Times New Roman" w:hAnsi="Times New Roman" w:cs="Times New Roman"/>
          <w:sz w:val="24"/>
          <w:szCs w:val="24"/>
        </w:rPr>
        <w:t>Knöpfel</w:t>
      </w:r>
      <w:proofErr w:type="spellEnd"/>
      <w:r w:rsidRPr="00451D40">
        <w:rPr>
          <w:rFonts w:ascii="Times New Roman" w:hAnsi="Times New Roman" w:cs="Times New Roman"/>
          <w:sz w:val="24"/>
          <w:szCs w:val="24"/>
        </w:rPr>
        <w:t xml:space="preserve">, L., </w:t>
      </w:r>
      <w:proofErr w:type="spellStart"/>
      <w:r w:rsidRPr="00451D40">
        <w:rPr>
          <w:rFonts w:ascii="Times New Roman" w:hAnsi="Times New Roman" w:cs="Times New Roman"/>
          <w:sz w:val="24"/>
          <w:szCs w:val="24"/>
        </w:rPr>
        <w:t>Weisstanner</w:t>
      </w:r>
      <w:proofErr w:type="spellEnd"/>
      <w:r w:rsidRPr="00451D40">
        <w:rPr>
          <w:rFonts w:ascii="Times New Roman" w:hAnsi="Times New Roman" w:cs="Times New Roman"/>
          <w:sz w:val="24"/>
          <w:szCs w:val="24"/>
        </w:rPr>
        <w:t xml:space="preserve">, D., and </w:t>
      </w:r>
      <w:proofErr w:type="spellStart"/>
      <w:r w:rsidRPr="00451D40">
        <w:rPr>
          <w:rFonts w:ascii="Times New Roman" w:hAnsi="Times New Roman" w:cs="Times New Roman"/>
          <w:sz w:val="24"/>
          <w:szCs w:val="24"/>
        </w:rPr>
        <w:t>Engler</w:t>
      </w:r>
      <w:proofErr w:type="spellEnd"/>
      <w:r w:rsidRPr="00451D40">
        <w:rPr>
          <w:rFonts w:ascii="Times New Roman" w:hAnsi="Times New Roman" w:cs="Times New Roman"/>
          <w:sz w:val="24"/>
          <w:szCs w:val="24"/>
        </w:rPr>
        <w:t>, S. (2016).</w:t>
      </w:r>
      <w:r w:rsidRPr="00451D40">
        <w:rPr>
          <w:rFonts w:ascii="Times New Roman" w:hAnsi="Times New Roman" w:cs="Times New Roman"/>
          <w:sz w:val="24"/>
          <w:szCs w:val="24"/>
        </w:rPr>
        <w:br/>
      </w:r>
      <w:proofErr w:type="gramStart"/>
      <w:r w:rsidRPr="00451D40">
        <w:rPr>
          <w:rStyle w:val="Emphasis"/>
          <w:rFonts w:ascii="Times New Roman" w:hAnsi="Times New Roman" w:cs="Times New Roman"/>
          <w:sz w:val="24"/>
          <w:szCs w:val="24"/>
        </w:rPr>
        <w:t>Comparative Political Data Set 1960-2014</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Bern: Institute of Political Science, University of Berne.</w:t>
      </w:r>
    </w:p>
    <w:p w14:paraId="7C6CF4A2" w14:textId="6D526135" w:rsidR="00EA05E2" w:rsidRPr="00720A29" w:rsidRDefault="00EA05E2" w:rsidP="005F6C34">
      <w:pPr>
        <w:spacing w:before="100" w:beforeAutospacing="1" w:after="100" w:afterAutospacing="1" w:line="240" w:lineRule="auto"/>
        <w:jc w:val="both"/>
        <w:rPr>
          <w:rFonts w:ascii="Times New Roman" w:hAnsi="Times New Roman" w:cs="Times New Roman"/>
          <w:sz w:val="24"/>
          <w:szCs w:val="24"/>
          <w:lang w:val="en-GB"/>
        </w:rPr>
      </w:pPr>
      <w:proofErr w:type="spellStart"/>
      <w:proofErr w:type="gramStart"/>
      <w:r w:rsidRPr="00EA05E2">
        <w:rPr>
          <w:rFonts w:ascii="Times New Roman" w:hAnsi="Times New Roman" w:cs="Times New Roman"/>
          <w:sz w:val="24"/>
          <w:szCs w:val="24"/>
          <w:lang w:val="en-GB"/>
        </w:rPr>
        <w:t>Baccaro</w:t>
      </w:r>
      <w:proofErr w:type="spellEnd"/>
      <w:r w:rsidRPr="00EA05E2">
        <w:rPr>
          <w:rFonts w:ascii="Times New Roman" w:hAnsi="Times New Roman" w:cs="Times New Roman"/>
          <w:sz w:val="24"/>
          <w:szCs w:val="24"/>
          <w:lang w:val="en-GB"/>
        </w:rPr>
        <w:t>, L., &amp; Howell, C. (2017).</w:t>
      </w:r>
      <w:proofErr w:type="gramEnd"/>
      <w:r w:rsidRPr="00EA05E2">
        <w:rPr>
          <w:rFonts w:ascii="Times New Roman" w:hAnsi="Times New Roman" w:cs="Times New Roman"/>
          <w:sz w:val="24"/>
          <w:szCs w:val="24"/>
          <w:lang w:val="en-GB"/>
        </w:rPr>
        <w:t> </w:t>
      </w:r>
      <w:r w:rsidRPr="00EA05E2">
        <w:rPr>
          <w:rFonts w:ascii="Times New Roman" w:hAnsi="Times New Roman" w:cs="Times New Roman"/>
          <w:i/>
          <w:iCs/>
          <w:sz w:val="24"/>
          <w:szCs w:val="24"/>
          <w:lang w:val="en-GB"/>
        </w:rPr>
        <w:t xml:space="preserve">Trajectories of Neoliberal Transformation: European Industrial Relations </w:t>
      </w:r>
      <w:proofErr w:type="gramStart"/>
      <w:r w:rsidRPr="00EA05E2">
        <w:rPr>
          <w:rFonts w:ascii="Times New Roman" w:hAnsi="Times New Roman" w:cs="Times New Roman"/>
          <w:i/>
          <w:iCs/>
          <w:sz w:val="24"/>
          <w:szCs w:val="24"/>
          <w:lang w:val="en-GB"/>
        </w:rPr>
        <w:t>Since</w:t>
      </w:r>
      <w:proofErr w:type="gramEnd"/>
      <w:r w:rsidRPr="00EA05E2">
        <w:rPr>
          <w:rFonts w:ascii="Times New Roman" w:hAnsi="Times New Roman" w:cs="Times New Roman"/>
          <w:i/>
          <w:iCs/>
          <w:sz w:val="24"/>
          <w:szCs w:val="24"/>
          <w:lang w:val="en-GB"/>
        </w:rPr>
        <w:t xml:space="preserve"> the 1970s</w:t>
      </w:r>
      <w:r w:rsidRPr="00EA05E2">
        <w:rPr>
          <w:rFonts w:ascii="Times New Roman" w:hAnsi="Times New Roman" w:cs="Times New Roman"/>
          <w:sz w:val="24"/>
          <w:szCs w:val="24"/>
          <w:lang w:val="en-GB"/>
        </w:rPr>
        <w:t xml:space="preserve">. </w:t>
      </w:r>
      <w:proofErr w:type="gramStart"/>
      <w:r w:rsidRPr="00EA05E2">
        <w:rPr>
          <w:rFonts w:ascii="Times New Roman" w:hAnsi="Times New Roman" w:cs="Times New Roman"/>
          <w:sz w:val="24"/>
          <w:szCs w:val="24"/>
          <w:lang w:val="en-GB"/>
        </w:rPr>
        <w:t>Cambridge University Press.</w:t>
      </w:r>
      <w:proofErr w:type="gramEnd"/>
    </w:p>
    <w:p w14:paraId="794705A0" w14:textId="77777777" w:rsidR="005F6C34" w:rsidRDefault="005F6C34" w:rsidP="005F6C34">
      <w:pPr>
        <w:spacing w:after="0" w:line="240" w:lineRule="auto"/>
        <w:rPr>
          <w:rFonts w:ascii="Times New Roman" w:eastAsia="Times New Roman" w:hAnsi="Times New Roman" w:cs="Times New Roman"/>
          <w:sz w:val="24"/>
          <w:szCs w:val="24"/>
          <w:shd w:val="clear" w:color="auto" w:fill="FFFFFF"/>
        </w:rPr>
      </w:pPr>
      <w:proofErr w:type="spellStart"/>
      <w:proofErr w:type="gramStart"/>
      <w:r w:rsidRPr="00451D40">
        <w:rPr>
          <w:rFonts w:ascii="Times New Roman" w:eastAsia="Times New Roman" w:hAnsi="Times New Roman" w:cs="Times New Roman"/>
          <w:sz w:val="24"/>
          <w:szCs w:val="24"/>
          <w:shd w:val="clear" w:color="auto" w:fill="FFFFFF"/>
        </w:rPr>
        <w:t>Baccaro</w:t>
      </w:r>
      <w:proofErr w:type="spellEnd"/>
      <w:r w:rsidRPr="00451D40">
        <w:rPr>
          <w:rFonts w:ascii="Times New Roman" w:eastAsia="Times New Roman" w:hAnsi="Times New Roman" w:cs="Times New Roman"/>
          <w:sz w:val="24"/>
          <w:szCs w:val="24"/>
          <w:shd w:val="clear" w:color="auto" w:fill="FFFFFF"/>
        </w:rPr>
        <w:t xml:space="preserve">, L., &amp; </w:t>
      </w:r>
      <w:proofErr w:type="spellStart"/>
      <w:r w:rsidRPr="00451D40">
        <w:rPr>
          <w:rFonts w:ascii="Times New Roman" w:eastAsia="Times New Roman" w:hAnsi="Times New Roman" w:cs="Times New Roman"/>
          <w:sz w:val="24"/>
          <w:szCs w:val="24"/>
          <w:shd w:val="clear" w:color="auto" w:fill="FFFFFF"/>
        </w:rPr>
        <w:t>Pontusson</w:t>
      </w:r>
      <w:proofErr w:type="spellEnd"/>
      <w:r w:rsidRPr="00451D40">
        <w:rPr>
          <w:rFonts w:ascii="Times New Roman" w:eastAsia="Times New Roman" w:hAnsi="Times New Roman" w:cs="Times New Roman"/>
          <w:sz w:val="24"/>
          <w:szCs w:val="24"/>
          <w:shd w:val="clear" w:color="auto" w:fill="FFFFFF"/>
        </w:rPr>
        <w:t>, J. (2016).</w:t>
      </w:r>
      <w:proofErr w:type="gramEnd"/>
      <w:r w:rsidRPr="00451D40">
        <w:rPr>
          <w:rFonts w:ascii="Times New Roman" w:eastAsia="Times New Roman" w:hAnsi="Times New Roman" w:cs="Times New Roman"/>
          <w:sz w:val="24"/>
          <w:szCs w:val="24"/>
          <w:shd w:val="clear" w:color="auto" w:fill="FFFFFF"/>
        </w:rPr>
        <w:t xml:space="preserve"> </w:t>
      </w:r>
      <w:proofErr w:type="gramStart"/>
      <w:r w:rsidRPr="00451D40">
        <w:rPr>
          <w:rFonts w:ascii="Times New Roman" w:eastAsia="Times New Roman" w:hAnsi="Times New Roman" w:cs="Times New Roman"/>
          <w:sz w:val="24"/>
          <w:szCs w:val="24"/>
          <w:shd w:val="clear" w:color="auto" w:fill="FFFFFF"/>
        </w:rPr>
        <w:t>Rethinking comparative political economy: the growth model perspective.</w:t>
      </w:r>
      <w:proofErr w:type="gramEnd"/>
      <w:r w:rsidRPr="00451D40">
        <w:rPr>
          <w:rFonts w:ascii="Times New Roman" w:eastAsia="Times New Roman" w:hAnsi="Times New Roman" w:cs="Times New Roman"/>
          <w:sz w:val="24"/>
          <w:szCs w:val="24"/>
          <w:shd w:val="clear" w:color="auto" w:fill="FFFFFF"/>
        </w:rPr>
        <w:t> </w:t>
      </w:r>
      <w:proofErr w:type="gramStart"/>
      <w:r w:rsidRPr="00451D40">
        <w:rPr>
          <w:rFonts w:ascii="Times New Roman" w:eastAsia="Times New Roman" w:hAnsi="Times New Roman" w:cs="Times New Roman"/>
          <w:i/>
          <w:iCs/>
          <w:sz w:val="24"/>
          <w:szCs w:val="24"/>
          <w:shd w:val="clear" w:color="auto" w:fill="FFFFFF"/>
        </w:rPr>
        <w:t>Politics &amp; Society</w:t>
      </w:r>
      <w:r w:rsidRPr="00451D40">
        <w:rPr>
          <w:rFonts w:ascii="Times New Roman" w:eastAsia="Times New Roman" w:hAnsi="Times New Roman" w:cs="Times New Roman"/>
          <w:sz w:val="24"/>
          <w:szCs w:val="24"/>
          <w:shd w:val="clear" w:color="auto" w:fill="FFFFFF"/>
        </w:rPr>
        <w:t>.</w:t>
      </w:r>
      <w:proofErr w:type="gramEnd"/>
      <w:r w:rsidRPr="00451D40">
        <w:rPr>
          <w:rFonts w:ascii="Times New Roman" w:eastAsia="Times New Roman" w:hAnsi="Times New Roman" w:cs="Times New Roman"/>
          <w:sz w:val="24"/>
          <w:szCs w:val="24"/>
          <w:shd w:val="clear" w:color="auto" w:fill="FFFFFF"/>
        </w:rPr>
        <w:t> </w:t>
      </w:r>
      <w:r w:rsidRPr="00451D40">
        <w:rPr>
          <w:rFonts w:ascii="Times New Roman" w:eastAsia="Times New Roman" w:hAnsi="Times New Roman" w:cs="Times New Roman"/>
          <w:i/>
          <w:iCs/>
          <w:sz w:val="24"/>
          <w:szCs w:val="24"/>
          <w:shd w:val="clear" w:color="auto" w:fill="FFFFFF"/>
        </w:rPr>
        <w:t>44</w:t>
      </w:r>
      <w:r w:rsidRPr="00451D40">
        <w:rPr>
          <w:rFonts w:ascii="Times New Roman" w:eastAsia="Times New Roman" w:hAnsi="Times New Roman" w:cs="Times New Roman"/>
          <w:sz w:val="24"/>
          <w:szCs w:val="24"/>
          <w:shd w:val="clear" w:color="auto" w:fill="FFFFFF"/>
        </w:rPr>
        <w:t>(2): 175-207.</w:t>
      </w:r>
    </w:p>
    <w:p w14:paraId="54D0A1CD" w14:textId="77777777" w:rsidR="007E6FEB" w:rsidRDefault="007E6FEB" w:rsidP="005F6C34">
      <w:pPr>
        <w:spacing w:after="0" w:line="240" w:lineRule="auto"/>
        <w:rPr>
          <w:rFonts w:ascii="Times New Roman" w:eastAsia="Times New Roman" w:hAnsi="Times New Roman" w:cs="Times New Roman"/>
          <w:sz w:val="24"/>
          <w:szCs w:val="24"/>
          <w:shd w:val="clear" w:color="auto" w:fill="FFFFFF"/>
        </w:rPr>
      </w:pPr>
    </w:p>
    <w:p w14:paraId="2699CB16" w14:textId="77777777" w:rsidR="007E6FEB" w:rsidRPr="007E6FEB" w:rsidRDefault="007E6FEB" w:rsidP="007E6FEB">
      <w:pPr>
        <w:spacing w:after="0" w:line="240" w:lineRule="auto"/>
        <w:rPr>
          <w:rFonts w:ascii="Times New Roman" w:eastAsia="Times New Roman" w:hAnsi="Times New Roman" w:cs="Times New Roman"/>
          <w:sz w:val="24"/>
          <w:szCs w:val="24"/>
          <w:shd w:val="clear" w:color="auto" w:fill="FFFFFF"/>
          <w:lang w:val="en-GB"/>
        </w:rPr>
      </w:pPr>
      <w:proofErr w:type="spellStart"/>
      <w:r w:rsidRPr="007E6FEB">
        <w:rPr>
          <w:rFonts w:ascii="Times New Roman" w:eastAsia="Times New Roman" w:hAnsi="Times New Roman" w:cs="Times New Roman"/>
          <w:sz w:val="24"/>
          <w:szCs w:val="24"/>
          <w:shd w:val="clear" w:color="auto" w:fill="FFFFFF"/>
          <w:lang w:val="en-GB"/>
        </w:rPr>
        <w:t>Bouwen</w:t>
      </w:r>
      <w:proofErr w:type="spellEnd"/>
      <w:r w:rsidRPr="007E6FEB">
        <w:rPr>
          <w:rFonts w:ascii="Times New Roman" w:eastAsia="Times New Roman" w:hAnsi="Times New Roman" w:cs="Times New Roman"/>
          <w:sz w:val="24"/>
          <w:szCs w:val="24"/>
          <w:shd w:val="clear" w:color="auto" w:fill="FFFFFF"/>
          <w:lang w:val="en-GB"/>
        </w:rPr>
        <w:t>, P. (2002). Corporate lobbying in the European Union: the logic of access. </w:t>
      </w:r>
      <w:proofErr w:type="gramStart"/>
      <w:r w:rsidRPr="007E6FEB">
        <w:rPr>
          <w:rFonts w:ascii="Times New Roman" w:eastAsia="Times New Roman" w:hAnsi="Times New Roman" w:cs="Times New Roman"/>
          <w:i/>
          <w:iCs/>
          <w:sz w:val="24"/>
          <w:szCs w:val="24"/>
          <w:shd w:val="clear" w:color="auto" w:fill="FFFFFF"/>
          <w:lang w:val="en-GB"/>
        </w:rPr>
        <w:t>Journal of European public policy</w:t>
      </w:r>
      <w:r w:rsidRPr="007E6FEB">
        <w:rPr>
          <w:rFonts w:ascii="Times New Roman" w:eastAsia="Times New Roman" w:hAnsi="Times New Roman" w:cs="Times New Roman"/>
          <w:sz w:val="24"/>
          <w:szCs w:val="24"/>
          <w:shd w:val="clear" w:color="auto" w:fill="FFFFFF"/>
          <w:lang w:val="en-GB"/>
        </w:rPr>
        <w:t>, </w:t>
      </w:r>
      <w:r w:rsidRPr="007E6FEB">
        <w:rPr>
          <w:rFonts w:ascii="Times New Roman" w:eastAsia="Times New Roman" w:hAnsi="Times New Roman" w:cs="Times New Roman"/>
          <w:i/>
          <w:iCs/>
          <w:sz w:val="24"/>
          <w:szCs w:val="24"/>
          <w:shd w:val="clear" w:color="auto" w:fill="FFFFFF"/>
          <w:lang w:val="en-GB"/>
        </w:rPr>
        <w:t>9</w:t>
      </w:r>
      <w:r w:rsidRPr="007E6FEB">
        <w:rPr>
          <w:rFonts w:ascii="Times New Roman" w:eastAsia="Times New Roman" w:hAnsi="Times New Roman" w:cs="Times New Roman"/>
          <w:sz w:val="24"/>
          <w:szCs w:val="24"/>
          <w:shd w:val="clear" w:color="auto" w:fill="FFFFFF"/>
          <w:lang w:val="en-GB"/>
        </w:rPr>
        <w:t>(3), 365-390.</w:t>
      </w:r>
      <w:proofErr w:type="gramEnd"/>
    </w:p>
    <w:p w14:paraId="68B79200" w14:textId="77777777" w:rsidR="007E6FEB" w:rsidRDefault="007E6FEB" w:rsidP="005F6C34">
      <w:pPr>
        <w:spacing w:after="0" w:line="240" w:lineRule="auto"/>
        <w:rPr>
          <w:rFonts w:ascii="Times New Roman" w:eastAsia="Times New Roman" w:hAnsi="Times New Roman" w:cs="Times New Roman"/>
          <w:sz w:val="24"/>
          <w:szCs w:val="24"/>
          <w:shd w:val="clear" w:color="auto" w:fill="FFFFFF"/>
        </w:rPr>
      </w:pPr>
    </w:p>
    <w:p w14:paraId="3514403E" w14:textId="77777777" w:rsidR="007E6FEB" w:rsidRPr="007E6FEB" w:rsidRDefault="007E6FEB" w:rsidP="007E6FEB">
      <w:pPr>
        <w:spacing w:after="0" w:line="240" w:lineRule="auto"/>
        <w:rPr>
          <w:rFonts w:ascii="Times New Roman" w:eastAsia="Times New Roman" w:hAnsi="Times New Roman" w:cs="Times New Roman"/>
          <w:sz w:val="24"/>
          <w:szCs w:val="24"/>
          <w:lang w:val="en-GB"/>
        </w:rPr>
      </w:pPr>
      <w:proofErr w:type="spellStart"/>
      <w:r w:rsidRPr="007E6FEB">
        <w:rPr>
          <w:rFonts w:ascii="Times New Roman" w:eastAsia="Times New Roman" w:hAnsi="Times New Roman" w:cs="Times New Roman"/>
          <w:sz w:val="24"/>
          <w:szCs w:val="24"/>
          <w:lang w:val="en-GB"/>
        </w:rPr>
        <w:t>Blanchflower</w:t>
      </w:r>
      <w:proofErr w:type="spellEnd"/>
      <w:r w:rsidRPr="007E6FEB">
        <w:rPr>
          <w:rFonts w:ascii="Times New Roman" w:eastAsia="Times New Roman" w:hAnsi="Times New Roman" w:cs="Times New Roman"/>
          <w:sz w:val="24"/>
          <w:szCs w:val="24"/>
          <w:lang w:val="en-GB"/>
        </w:rPr>
        <w:t>, D. G., &amp; Freeman, R. B. (1992). Unionism in the United States and other advanced OECD countries. </w:t>
      </w:r>
      <w:r w:rsidRPr="007E6FEB">
        <w:rPr>
          <w:rFonts w:ascii="Times New Roman" w:eastAsia="Times New Roman" w:hAnsi="Times New Roman" w:cs="Times New Roman"/>
          <w:i/>
          <w:iCs/>
          <w:sz w:val="24"/>
          <w:szCs w:val="24"/>
          <w:lang w:val="en-GB"/>
        </w:rPr>
        <w:t>Industrial Relations: A Journal of Economy and Society</w:t>
      </w:r>
      <w:r w:rsidRPr="007E6FEB">
        <w:rPr>
          <w:rFonts w:ascii="Times New Roman" w:eastAsia="Times New Roman" w:hAnsi="Times New Roman" w:cs="Times New Roman"/>
          <w:sz w:val="24"/>
          <w:szCs w:val="24"/>
          <w:lang w:val="en-GB"/>
        </w:rPr>
        <w:t>, </w:t>
      </w:r>
      <w:r w:rsidRPr="007E6FEB">
        <w:rPr>
          <w:rFonts w:ascii="Times New Roman" w:eastAsia="Times New Roman" w:hAnsi="Times New Roman" w:cs="Times New Roman"/>
          <w:i/>
          <w:iCs/>
          <w:sz w:val="24"/>
          <w:szCs w:val="24"/>
          <w:lang w:val="en-GB"/>
        </w:rPr>
        <w:t>31</w:t>
      </w:r>
      <w:r w:rsidRPr="007E6FEB">
        <w:rPr>
          <w:rFonts w:ascii="Times New Roman" w:eastAsia="Times New Roman" w:hAnsi="Times New Roman" w:cs="Times New Roman"/>
          <w:sz w:val="24"/>
          <w:szCs w:val="24"/>
          <w:lang w:val="en-GB"/>
        </w:rPr>
        <w:t>(1), 56-79.</w:t>
      </w:r>
    </w:p>
    <w:p w14:paraId="34AFB4DA" w14:textId="77777777" w:rsidR="005F6C34" w:rsidRPr="00451D40" w:rsidRDefault="005F6C34" w:rsidP="005F6C34">
      <w:pPr>
        <w:spacing w:after="0" w:line="240" w:lineRule="auto"/>
        <w:rPr>
          <w:rFonts w:ascii="Times New Roman" w:eastAsia="Times New Roman" w:hAnsi="Times New Roman" w:cs="Times New Roman"/>
          <w:sz w:val="24"/>
          <w:szCs w:val="24"/>
          <w:highlight w:val="yellow"/>
        </w:rPr>
      </w:pPr>
    </w:p>
    <w:p w14:paraId="53B9CE0F" w14:textId="77777777" w:rsidR="005F6C34" w:rsidRDefault="005F6C34" w:rsidP="005F6C34">
      <w:pPr>
        <w:spacing w:after="0" w:line="240" w:lineRule="auto"/>
        <w:rPr>
          <w:rFonts w:ascii="Times New Roman" w:hAnsi="Times New Roman" w:cs="Times New Roman"/>
          <w:sz w:val="24"/>
          <w:szCs w:val="24"/>
          <w:shd w:val="clear" w:color="auto" w:fill="FFFFFF"/>
        </w:rPr>
      </w:pPr>
      <w:r w:rsidRPr="00451D40">
        <w:rPr>
          <w:rFonts w:ascii="Times New Roman" w:hAnsi="Times New Roman" w:cs="Times New Roman"/>
          <w:sz w:val="24"/>
          <w:szCs w:val="24"/>
          <w:shd w:val="clear" w:color="auto" w:fill="FFFFFF"/>
        </w:rPr>
        <w:t xml:space="preserve">Bohle, D. (2014) “Post-socialist housing meets transnational finance: Foreign banks, mortgage lending and the privatization of welfare in Hungary and Estonia”, </w:t>
      </w:r>
      <w:r w:rsidRPr="00451D40">
        <w:rPr>
          <w:rFonts w:ascii="Times New Roman" w:hAnsi="Times New Roman" w:cs="Times New Roman"/>
          <w:i/>
          <w:sz w:val="24"/>
          <w:szCs w:val="24"/>
          <w:shd w:val="clear" w:color="auto" w:fill="FFFFFF"/>
        </w:rPr>
        <w:t>Review of International Political Economy</w:t>
      </w:r>
      <w:r w:rsidRPr="00451D40">
        <w:rPr>
          <w:rFonts w:ascii="Times New Roman" w:hAnsi="Times New Roman" w:cs="Times New Roman"/>
          <w:sz w:val="24"/>
          <w:szCs w:val="24"/>
          <w:shd w:val="clear" w:color="auto" w:fill="FFFFFF"/>
        </w:rPr>
        <w:t>. 21(4): 913-948.</w:t>
      </w:r>
    </w:p>
    <w:p w14:paraId="28273AE7" w14:textId="77777777" w:rsidR="007E6FEB" w:rsidRDefault="007E6FEB" w:rsidP="005F6C34">
      <w:pPr>
        <w:spacing w:after="0" w:line="240" w:lineRule="auto"/>
        <w:rPr>
          <w:rFonts w:ascii="Times New Roman" w:hAnsi="Times New Roman" w:cs="Times New Roman"/>
          <w:sz w:val="24"/>
          <w:szCs w:val="24"/>
          <w:shd w:val="clear" w:color="auto" w:fill="FFFFFF"/>
        </w:rPr>
      </w:pPr>
    </w:p>
    <w:p w14:paraId="040B87D0" w14:textId="368CC7AD" w:rsidR="007E6FEB" w:rsidRPr="00720A29" w:rsidRDefault="007E6FEB" w:rsidP="005F6C34">
      <w:pPr>
        <w:spacing w:after="0" w:line="240" w:lineRule="auto"/>
        <w:rPr>
          <w:rFonts w:ascii="Times New Roman" w:hAnsi="Times New Roman" w:cs="Times New Roman"/>
          <w:sz w:val="24"/>
          <w:szCs w:val="24"/>
          <w:shd w:val="clear" w:color="auto" w:fill="FFFFFF"/>
          <w:lang w:val="en-GB"/>
        </w:rPr>
      </w:pPr>
      <w:proofErr w:type="gramStart"/>
      <w:r w:rsidRPr="007E6FEB">
        <w:rPr>
          <w:rFonts w:ascii="Times New Roman" w:hAnsi="Times New Roman" w:cs="Times New Roman"/>
          <w:sz w:val="24"/>
          <w:szCs w:val="24"/>
          <w:shd w:val="clear" w:color="auto" w:fill="FFFFFF"/>
          <w:lang w:val="en-GB"/>
        </w:rPr>
        <w:t>Budd, J. W., &amp; Na, I. G. (2000).</w:t>
      </w:r>
      <w:proofErr w:type="gramEnd"/>
      <w:r w:rsidRPr="007E6FEB">
        <w:rPr>
          <w:rFonts w:ascii="Times New Roman" w:hAnsi="Times New Roman" w:cs="Times New Roman"/>
          <w:sz w:val="24"/>
          <w:szCs w:val="24"/>
          <w:shd w:val="clear" w:color="auto" w:fill="FFFFFF"/>
          <w:lang w:val="en-GB"/>
        </w:rPr>
        <w:t xml:space="preserve"> </w:t>
      </w:r>
      <w:proofErr w:type="gramStart"/>
      <w:r w:rsidRPr="007E6FEB">
        <w:rPr>
          <w:rFonts w:ascii="Times New Roman" w:hAnsi="Times New Roman" w:cs="Times New Roman"/>
          <w:sz w:val="24"/>
          <w:szCs w:val="24"/>
          <w:shd w:val="clear" w:color="auto" w:fill="FFFFFF"/>
          <w:lang w:val="en-GB"/>
        </w:rPr>
        <w:t>The union membership wage premium for employees covered by collective bargaining agreements.</w:t>
      </w:r>
      <w:proofErr w:type="gramEnd"/>
      <w:r w:rsidRPr="007E6FEB">
        <w:rPr>
          <w:rFonts w:ascii="Times New Roman" w:hAnsi="Times New Roman" w:cs="Times New Roman"/>
          <w:sz w:val="24"/>
          <w:szCs w:val="24"/>
          <w:shd w:val="clear" w:color="auto" w:fill="FFFFFF"/>
          <w:lang w:val="en-GB"/>
        </w:rPr>
        <w:t> </w:t>
      </w:r>
      <w:proofErr w:type="gramStart"/>
      <w:r w:rsidRPr="007E6FEB">
        <w:rPr>
          <w:rFonts w:ascii="Times New Roman" w:hAnsi="Times New Roman" w:cs="Times New Roman"/>
          <w:i/>
          <w:iCs/>
          <w:sz w:val="24"/>
          <w:szCs w:val="24"/>
          <w:shd w:val="clear" w:color="auto" w:fill="FFFFFF"/>
          <w:lang w:val="en-GB"/>
        </w:rPr>
        <w:t xml:space="preserve">Journal of </w:t>
      </w:r>
      <w:proofErr w:type="spellStart"/>
      <w:r w:rsidRPr="007E6FEB">
        <w:rPr>
          <w:rFonts w:ascii="Times New Roman" w:hAnsi="Times New Roman" w:cs="Times New Roman"/>
          <w:i/>
          <w:iCs/>
          <w:sz w:val="24"/>
          <w:szCs w:val="24"/>
          <w:shd w:val="clear" w:color="auto" w:fill="FFFFFF"/>
          <w:lang w:val="en-GB"/>
        </w:rPr>
        <w:t>labor</w:t>
      </w:r>
      <w:proofErr w:type="spellEnd"/>
      <w:r w:rsidRPr="007E6FEB">
        <w:rPr>
          <w:rFonts w:ascii="Times New Roman" w:hAnsi="Times New Roman" w:cs="Times New Roman"/>
          <w:i/>
          <w:iCs/>
          <w:sz w:val="24"/>
          <w:szCs w:val="24"/>
          <w:shd w:val="clear" w:color="auto" w:fill="FFFFFF"/>
          <w:lang w:val="en-GB"/>
        </w:rPr>
        <w:t xml:space="preserve"> Economics</w:t>
      </w:r>
      <w:r w:rsidRPr="007E6FEB">
        <w:rPr>
          <w:rFonts w:ascii="Times New Roman" w:hAnsi="Times New Roman" w:cs="Times New Roman"/>
          <w:sz w:val="24"/>
          <w:szCs w:val="24"/>
          <w:shd w:val="clear" w:color="auto" w:fill="FFFFFF"/>
          <w:lang w:val="en-GB"/>
        </w:rPr>
        <w:t>, </w:t>
      </w:r>
      <w:r w:rsidRPr="007E6FEB">
        <w:rPr>
          <w:rFonts w:ascii="Times New Roman" w:hAnsi="Times New Roman" w:cs="Times New Roman"/>
          <w:i/>
          <w:iCs/>
          <w:sz w:val="24"/>
          <w:szCs w:val="24"/>
          <w:shd w:val="clear" w:color="auto" w:fill="FFFFFF"/>
          <w:lang w:val="en-GB"/>
        </w:rPr>
        <w:t>18</w:t>
      </w:r>
      <w:r w:rsidR="00720A29">
        <w:rPr>
          <w:rFonts w:ascii="Times New Roman" w:hAnsi="Times New Roman" w:cs="Times New Roman"/>
          <w:sz w:val="24"/>
          <w:szCs w:val="24"/>
          <w:shd w:val="clear" w:color="auto" w:fill="FFFFFF"/>
          <w:lang w:val="en-GB"/>
        </w:rPr>
        <w:t>(4), 783-807.</w:t>
      </w:r>
      <w:proofErr w:type="gramEnd"/>
    </w:p>
    <w:p w14:paraId="1A22FE80" w14:textId="77777777" w:rsidR="005F6C34" w:rsidRPr="00451D40" w:rsidRDefault="005F6C34"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rPr>
      </w:pPr>
      <w:proofErr w:type="spellStart"/>
      <w:r w:rsidRPr="00451D40">
        <w:rPr>
          <w:rFonts w:ascii="Times New Roman" w:hAnsi="Times New Roman" w:cs="Times New Roman"/>
          <w:sz w:val="24"/>
          <w:szCs w:val="24"/>
        </w:rPr>
        <w:t>Christophers</w:t>
      </w:r>
      <w:proofErr w:type="spellEnd"/>
      <w:r w:rsidRPr="00451D40">
        <w:rPr>
          <w:rFonts w:ascii="Times New Roman" w:hAnsi="Times New Roman" w:cs="Times New Roman"/>
          <w:sz w:val="24"/>
          <w:szCs w:val="24"/>
        </w:rPr>
        <w:t xml:space="preserve">, B. (2013). “A monstrous hybrid: the political economy of housing in early twenty-first century Sweden”. </w:t>
      </w:r>
      <w:proofErr w:type="gramStart"/>
      <w:r w:rsidRPr="00451D40">
        <w:rPr>
          <w:rFonts w:ascii="Times New Roman" w:hAnsi="Times New Roman" w:cs="Times New Roman"/>
          <w:i/>
          <w:iCs/>
          <w:sz w:val="24"/>
          <w:szCs w:val="24"/>
        </w:rPr>
        <w:t>New Political Economy</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18</w:t>
      </w:r>
      <w:r>
        <w:rPr>
          <w:rFonts w:ascii="Times New Roman" w:hAnsi="Times New Roman" w:cs="Times New Roman"/>
          <w:sz w:val="24"/>
          <w:szCs w:val="24"/>
        </w:rPr>
        <w:t>(6):</w:t>
      </w:r>
      <w:r w:rsidRPr="00451D40">
        <w:rPr>
          <w:rFonts w:ascii="Times New Roman" w:hAnsi="Times New Roman" w:cs="Times New Roman"/>
          <w:sz w:val="24"/>
          <w:szCs w:val="24"/>
        </w:rPr>
        <w:t xml:space="preserve"> 885-911.</w:t>
      </w:r>
    </w:p>
    <w:p w14:paraId="4B8A414D" w14:textId="77777777" w:rsidR="005F6C34" w:rsidRPr="00451D40" w:rsidRDefault="005F6C34"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rPr>
      </w:pPr>
      <w:r w:rsidRPr="00451D40">
        <w:rPr>
          <w:rFonts w:ascii="Times New Roman" w:hAnsi="Times New Roman" w:cs="Times New Roman"/>
          <w:sz w:val="24"/>
          <w:szCs w:val="24"/>
        </w:rPr>
        <w:t xml:space="preserve">Crouch, C. (2009). </w:t>
      </w:r>
      <w:proofErr w:type="gramStart"/>
      <w:r w:rsidRPr="00451D40">
        <w:rPr>
          <w:rFonts w:ascii="Times New Roman" w:hAnsi="Times New Roman" w:cs="Times New Roman"/>
          <w:sz w:val="24"/>
          <w:szCs w:val="24"/>
        </w:rPr>
        <w:t>“</w:t>
      </w:r>
      <w:proofErr w:type="spellStart"/>
      <w:r w:rsidRPr="00451D40">
        <w:rPr>
          <w:rFonts w:ascii="Times New Roman" w:hAnsi="Times New Roman" w:cs="Times New Roman"/>
          <w:sz w:val="24"/>
          <w:szCs w:val="24"/>
        </w:rPr>
        <w:t>Privatised</w:t>
      </w:r>
      <w:proofErr w:type="spellEnd"/>
      <w:r w:rsidRPr="00451D40">
        <w:rPr>
          <w:rFonts w:ascii="Times New Roman" w:hAnsi="Times New Roman" w:cs="Times New Roman"/>
          <w:sz w:val="24"/>
          <w:szCs w:val="24"/>
        </w:rPr>
        <w:t xml:space="preserve"> Keynesianism: An unacknowledged policy regime”.</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i/>
          <w:iCs/>
          <w:sz w:val="24"/>
          <w:szCs w:val="24"/>
        </w:rPr>
        <w:t>The British Journal of Politics and International Relations</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11</w:t>
      </w:r>
      <w:r>
        <w:rPr>
          <w:rFonts w:ascii="Times New Roman" w:hAnsi="Times New Roman" w:cs="Times New Roman"/>
          <w:sz w:val="24"/>
          <w:szCs w:val="24"/>
        </w:rPr>
        <w:t>(3):</w:t>
      </w:r>
      <w:r w:rsidRPr="00451D40">
        <w:rPr>
          <w:rFonts w:ascii="Times New Roman" w:hAnsi="Times New Roman" w:cs="Times New Roman"/>
          <w:sz w:val="24"/>
          <w:szCs w:val="24"/>
        </w:rPr>
        <w:t xml:space="preserve"> 382-399.</w:t>
      </w:r>
    </w:p>
    <w:p w14:paraId="226A0519" w14:textId="798B96D6" w:rsidR="007E6FEB" w:rsidRDefault="005F6C34"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rPr>
      </w:pPr>
      <w:proofErr w:type="spellStart"/>
      <w:proofErr w:type="gramStart"/>
      <w:r w:rsidRPr="00451D40">
        <w:rPr>
          <w:rFonts w:ascii="Times New Roman" w:hAnsi="Times New Roman" w:cs="Times New Roman"/>
          <w:sz w:val="24"/>
          <w:szCs w:val="24"/>
        </w:rPr>
        <w:lastRenderedPageBreak/>
        <w:t>Cukierman</w:t>
      </w:r>
      <w:proofErr w:type="spellEnd"/>
      <w:r w:rsidRPr="00451D40">
        <w:rPr>
          <w:rFonts w:ascii="Times New Roman" w:hAnsi="Times New Roman" w:cs="Times New Roman"/>
          <w:sz w:val="24"/>
          <w:szCs w:val="24"/>
        </w:rPr>
        <w:t xml:space="preserve">, A. (1992) </w:t>
      </w:r>
      <w:r w:rsidRPr="00451D40">
        <w:rPr>
          <w:rFonts w:ascii="Times New Roman" w:hAnsi="Times New Roman" w:cs="Times New Roman"/>
          <w:i/>
          <w:iCs/>
          <w:sz w:val="24"/>
          <w:szCs w:val="24"/>
        </w:rPr>
        <w:t>Central Bank Strategy, Credibility and Independence</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Cambridge, Massachusetts:  MIT Press</w:t>
      </w:r>
    </w:p>
    <w:p w14:paraId="6734D749" w14:textId="6CF47724" w:rsidR="007E6FEB" w:rsidRDefault="007E6FEB"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lang w:val="en-GB"/>
        </w:rPr>
      </w:pPr>
      <w:r w:rsidRPr="007E6FEB">
        <w:rPr>
          <w:rFonts w:ascii="Times New Roman" w:hAnsi="Times New Roman" w:cs="Times New Roman"/>
          <w:sz w:val="24"/>
          <w:szCs w:val="24"/>
          <w:lang w:val="en-GB"/>
        </w:rPr>
        <w:t>Culpepper, P. D. (2010). </w:t>
      </w:r>
      <w:r w:rsidRPr="007E6FEB">
        <w:rPr>
          <w:rFonts w:ascii="Times New Roman" w:hAnsi="Times New Roman" w:cs="Times New Roman"/>
          <w:i/>
          <w:iCs/>
          <w:sz w:val="24"/>
          <w:szCs w:val="24"/>
          <w:lang w:val="en-GB"/>
        </w:rPr>
        <w:t>Quiet politics and business power: Corporate control in Europe and Japan</w:t>
      </w:r>
      <w:r w:rsidRPr="007E6FEB">
        <w:rPr>
          <w:rFonts w:ascii="Times New Roman" w:hAnsi="Times New Roman" w:cs="Times New Roman"/>
          <w:sz w:val="24"/>
          <w:szCs w:val="24"/>
          <w:lang w:val="en-GB"/>
        </w:rPr>
        <w:t xml:space="preserve">. </w:t>
      </w:r>
      <w:proofErr w:type="gramStart"/>
      <w:r w:rsidRPr="007E6FEB">
        <w:rPr>
          <w:rFonts w:ascii="Times New Roman" w:hAnsi="Times New Roman" w:cs="Times New Roman"/>
          <w:sz w:val="24"/>
          <w:szCs w:val="24"/>
          <w:lang w:val="en-GB"/>
        </w:rPr>
        <w:t>Cambridge University Press.</w:t>
      </w:r>
      <w:proofErr w:type="gramEnd"/>
    </w:p>
    <w:p w14:paraId="1371F430" w14:textId="24BE98F1" w:rsidR="00EA05E2" w:rsidRPr="00720A29" w:rsidRDefault="00EA05E2"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lang w:val="en-GB"/>
        </w:rPr>
      </w:pPr>
      <w:proofErr w:type="spellStart"/>
      <w:proofErr w:type="gramStart"/>
      <w:r w:rsidRPr="00EA05E2">
        <w:rPr>
          <w:rFonts w:ascii="Times New Roman" w:hAnsi="Times New Roman" w:cs="Times New Roman"/>
          <w:sz w:val="24"/>
          <w:szCs w:val="24"/>
          <w:lang w:val="en-GB"/>
        </w:rPr>
        <w:t>Dølvik</w:t>
      </w:r>
      <w:proofErr w:type="spellEnd"/>
      <w:r w:rsidRPr="00EA05E2">
        <w:rPr>
          <w:rFonts w:ascii="Times New Roman" w:hAnsi="Times New Roman" w:cs="Times New Roman"/>
          <w:sz w:val="24"/>
          <w:szCs w:val="24"/>
          <w:lang w:val="en-GB"/>
        </w:rPr>
        <w:t xml:space="preserve">, J. E., </w:t>
      </w:r>
      <w:proofErr w:type="spellStart"/>
      <w:r w:rsidRPr="00EA05E2">
        <w:rPr>
          <w:rFonts w:ascii="Times New Roman" w:hAnsi="Times New Roman" w:cs="Times New Roman"/>
          <w:sz w:val="24"/>
          <w:szCs w:val="24"/>
          <w:lang w:val="en-GB"/>
        </w:rPr>
        <w:t>Marginson</w:t>
      </w:r>
      <w:proofErr w:type="spellEnd"/>
      <w:r w:rsidRPr="00EA05E2">
        <w:rPr>
          <w:rFonts w:ascii="Times New Roman" w:hAnsi="Times New Roman" w:cs="Times New Roman"/>
          <w:sz w:val="24"/>
          <w:szCs w:val="24"/>
          <w:lang w:val="en-GB"/>
        </w:rPr>
        <w:t xml:space="preserve">, P., </w:t>
      </w:r>
      <w:proofErr w:type="spellStart"/>
      <w:r w:rsidRPr="00EA05E2">
        <w:rPr>
          <w:rFonts w:ascii="Times New Roman" w:hAnsi="Times New Roman" w:cs="Times New Roman"/>
          <w:sz w:val="24"/>
          <w:szCs w:val="24"/>
          <w:lang w:val="en-GB"/>
        </w:rPr>
        <w:t>Alsos</w:t>
      </w:r>
      <w:proofErr w:type="spellEnd"/>
      <w:r w:rsidRPr="00EA05E2">
        <w:rPr>
          <w:rFonts w:ascii="Times New Roman" w:hAnsi="Times New Roman" w:cs="Times New Roman"/>
          <w:sz w:val="24"/>
          <w:szCs w:val="24"/>
          <w:lang w:val="en-GB"/>
        </w:rPr>
        <w:t xml:space="preserve">, K., </w:t>
      </w:r>
      <w:proofErr w:type="spellStart"/>
      <w:r w:rsidRPr="00EA05E2">
        <w:rPr>
          <w:rFonts w:ascii="Times New Roman" w:hAnsi="Times New Roman" w:cs="Times New Roman"/>
          <w:sz w:val="24"/>
          <w:szCs w:val="24"/>
          <w:lang w:val="en-GB"/>
        </w:rPr>
        <w:t>Arnholtz</w:t>
      </w:r>
      <w:proofErr w:type="spellEnd"/>
      <w:r w:rsidRPr="00EA05E2">
        <w:rPr>
          <w:rFonts w:ascii="Times New Roman" w:hAnsi="Times New Roman" w:cs="Times New Roman"/>
          <w:sz w:val="24"/>
          <w:szCs w:val="24"/>
          <w:lang w:val="en-GB"/>
        </w:rPr>
        <w:t xml:space="preserve">, J., </w:t>
      </w:r>
      <w:proofErr w:type="spellStart"/>
      <w:r w:rsidRPr="00EA05E2">
        <w:rPr>
          <w:rFonts w:ascii="Times New Roman" w:hAnsi="Times New Roman" w:cs="Times New Roman"/>
          <w:sz w:val="24"/>
          <w:szCs w:val="24"/>
          <w:lang w:val="en-GB"/>
        </w:rPr>
        <w:t>Meardi</w:t>
      </w:r>
      <w:proofErr w:type="spellEnd"/>
      <w:r w:rsidRPr="00EA05E2">
        <w:rPr>
          <w:rFonts w:ascii="Times New Roman" w:hAnsi="Times New Roman" w:cs="Times New Roman"/>
          <w:sz w:val="24"/>
          <w:szCs w:val="24"/>
          <w:lang w:val="en-GB"/>
        </w:rPr>
        <w:t xml:space="preserve">, G., Müller, T., &amp; </w:t>
      </w:r>
      <w:proofErr w:type="spellStart"/>
      <w:r w:rsidRPr="00EA05E2">
        <w:rPr>
          <w:rFonts w:ascii="Times New Roman" w:hAnsi="Times New Roman" w:cs="Times New Roman"/>
          <w:sz w:val="24"/>
          <w:szCs w:val="24"/>
          <w:lang w:val="en-GB"/>
        </w:rPr>
        <w:t>Trygstad</w:t>
      </w:r>
      <w:proofErr w:type="spellEnd"/>
      <w:r w:rsidRPr="00EA05E2">
        <w:rPr>
          <w:rFonts w:ascii="Times New Roman" w:hAnsi="Times New Roman" w:cs="Times New Roman"/>
          <w:sz w:val="24"/>
          <w:szCs w:val="24"/>
          <w:lang w:val="en-GB"/>
        </w:rPr>
        <w:t>, S. (2018).</w:t>
      </w:r>
      <w:proofErr w:type="gramEnd"/>
      <w:r w:rsidRPr="00EA05E2">
        <w:rPr>
          <w:rFonts w:ascii="Times New Roman" w:hAnsi="Times New Roman" w:cs="Times New Roman"/>
          <w:sz w:val="24"/>
          <w:szCs w:val="24"/>
          <w:lang w:val="en-GB"/>
        </w:rPr>
        <w:t xml:space="preserve"> Collective wage regulation in northern Europe under strain: Multiple drivers of change and differing responses. </w:t>
      </w:r>
      <w:r w:rsidRPr="00EA05E2">
        <w:rPr>
          <w:rFonts w:ascii="Times New Roman" w:hAnsi="Times New Roman" w:cs="Times New Roman"/>
          <w:i/>
          <w:iCs/>
          <w:sz w:val="24"/>
          <w:szCs w:val="24"/>
          <w:lang w:val="en-GB"/>
        </w:rPr>
        <w:t>European Journal of Industrial Relations</w:t>
      </w:r>
      <w:r w:rsidRPr="00EA05E2">
        <w:rPr>
          <w:rFonts w:ascii="Times New Roman" w:hAnsi="Times New Roman" w:cs="Times New Roman"/>
          <w:sz w:val="24"/>
          <w:szCs w:val="24"/>
          <w:lang w:val="en-GB"/>
        </w:rPr>
        <w:t>, </w:t>
      </w:r>
      <w:r w:rsidRPr="00EA05E2">
        <w:rPr>
          <w:rFonts w:ascii="Times New Roman" w:hAnsi="Times New Roman" w:cs="Times New Roman"/>
          <w:i/>
          <w:iCs/>
          <w:sz w:val="24"/>
          <w:szCs w:val="24"/>
          <w:lang w:val="en-GB"/>
        </w:rPr>
        <w:t>24</w:t>
      </w:r>
      <w:r w:rsidRPr="00EA05E2">
        <w:rPr>
          <w:rFonts w:ascii="Times New Roman" w:hAnsi="Times New Roman" w:cs="Times New Roman"/>
          <w:sz w:val="24"/>
          <w:szCs w:val="24"/>
          <w:lang w:val="en-GB"/>
        </w:rPr>
        <w:t>(4), 321-339.</w:t>
      </w:r>
    </w:p>
    <w:p w14:paraId="44EB3805"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r w:rsidRPr="00451D40">
        <w:rPr>
          <w:rFonts w:ascii="Times New Roman" w:hAnsi="Times New Roman" w:cs="Times New Roman"/>
          <w:sz w:val="24"/>
          <w:szCs w:val="24"/>
        </w:rPr>
        <w:t>Epstein, G, ed. (2005).</w:t>
      </w:r>
      <w:r w:rsidRPr="00451D40">
        <w:rPr>
          <w:rFonts w:ascii="Times New Roman" w:hAnsi="Times New Roman" w:cs="Times New Roman"/>
          <w:i/>
          <w:sz w:val="24"/>
          <w:szCs w:val="24"/>
        </w:rPr>
        <w:t xml:space="preserve"> </w:t>
      </w:r>
      <w:proofErr w:type="spellStart"/>
      <w:proofErr w:type="gramStart"/>
      <w:r w:rsidRPr="00451D40">
        <w:rPr>
          <w:rFonts w:ascii="Times New Roman" w:hAnsi="Times New Roman" w:cs="Times New Roman"/>
          <w:i/>
          <w:sz w:val="24"/>
          <w:szCs w:val="24"/>
        </w:rPr>
        <w:t>Financialization</w:t>
      </w:r>
      <w:proofErr w:type="spellEnd"/>
      <w:r w:rsidRPr="00451D40">
        <w:rPr>
          <w:rFonts w:ascii="Times New Roman" w:hAnsi="Times New Roman" w:cs="Times New Roman"/>
          <w:i/>
          <w:sz w:val="24"/>
          <w:szCs w:val="24"/>
        </w:rPr>
        <w:t xml:space="preserve"> and the World Economy</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Northampton: Edward Elgar. </w:t>
      </w:r>
    </w:p>
    <w:p w14:paraId="0ED0E2AC" w14:textId="480B09A4" w:rsidR="005F6C34" w:rsidRDefault="005F6C34"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rPr>
      </w:pPr>
      <w:proofErr w:type="spellStart"/>
      <w:r w:rsidRPr="00451D40">
        <w:rPr>
          <w:rFonts w:ascii="Times New Roman" w:hAnsi="Times New Roman" w:cs="Times New Roman"/>
          <w:sz w:val="24"/>
          <w:szCs w:val="24"/>
        </w:rPr>
        <w:t>Esping</w:t>
      </w:r>
      <w:proofErr w:type="spellEnd"/>
      <w:r w:rsidRPr="00451D40">
        <w:rPr>
          <w:rFonts w:ascii="Times New Roman" w:hAnsi="Times New Roman" w:cs="Times New Roman"/>
          <w:sz w:val="24"/>
          <w:szCs w:val="24"/>
        </w:rPr>
        <w:t xml:space="preserve">-Andersen, G. (1990) </w:t>
      </w:r>
      <w:proofErr w:type="gramStart"/>
      <w:r w:rsidRPr="00451D40">
        <w:rPr>
          <w:rFonts w:ascii="Times New Roman" w:hAnsi="Times New Roman" w:cs="Times New Roman"/>
          <w:i/>
          <w:sz w:val="24"/>
          <w:szCs w:val="24"/>
        </w:rPr>
        <w:t>The</w:t>
      </w:r>
      <w:proofErr w:type="gramEnd"/>
      <w:r w:rsidRPr="00451D40">
        <w:rPr>
          <w:rFonts w:ascii="Times New Roman" w:hAnsi="Times New Roman" w:cs="Times New Roman"/>
          <w:i/>
          <w:sz w:val="24"/>
          <w:szCs w:val="24"/>
        </w:rPr>
        <w:t xml:space="preserve"> Three Worlds of Welfare Capitalism</w:t>
      </w:r>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Blackwell Publishing, Cambridge, UK.</w:t>
      </w:r>
      <w:proofErr w:type="gramEnd"/>
    </w:p>
    <w:p w14:paraId="521DBEBF" w14:textId="35A54AC6" w:rsidR="007E6978" w:rsidRPr="007E6978" w:rsidRDefault="007E6978" w:rsidP="007E6978">
      <w:pPr>
        <w:tabs>
          <w:tab w:val="left" w:pos="540"/>
          <w:tab w:val="left" w:pos="630"/>
        </w:tabs>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European Commission</w:t>
      </w:r>
      <w:r w:rsidRPr="007E6978">
        <w:rPr>
          <w:rFonts w:ascii="Times New Roman" w:hAnsi="Times New Roman" w:cs="Times New Roman"/>
          <w:sz w:val="24"/>
          <w:szCs w:val="24"/>
        </w:rPr>
        <w:t xml:space="preserve"> </w:t>
      </w:r>
      <w:r>
        <w:rPr>
          <w:rFonts w:ascii="Times New Roman" w:hAnsi="Times New Roman" w:cs="Times New Roman"/>
          <w:sz w:val="24"/>
          <w:szCs w:val="24"/>
        </w:rPr>
        <w:t>(</w:t>
      </w:r>
      <w:r w:rsidRPr="007E6978">
        <w:rPr>
          <w:rFonts w:ascii="Times New Roman" w:hAnsi="Times New Roman" w:cs="Times New Roman"/>
          <w:sz w:val="24"/>
          <w:szCs w:val="24"/>
        </w:rPr>
        <w:t>2017</w:t>
      </w:r>
      <w:r>
        <w:rPr>
          <w:rFonts w:ascii="Times New Roman" w:hAnsi="Times New Roman" w:cs="Times New Roman"/>
          <w:sz w:val="24"/>
          <w:szCs w:val="24"/>
        </w:rPr>
        <w:t>).</w:t>
      </w:r>
      <w:proofErr w:type="gramEnd"/>
      <w:r>
        <w:rPr>
          <w:rFonts w:ascii="Times New Roman" w:hAnsi="Times New Roman" w:cs="Times New Roman"/>
          <w:sz w:val="24"/>
          <w:szCs w:val="24"/>
        </w:rPr>
        <w:t xml:space="preserve"> “Communication </w:t>
      </w:r>
      <w:proofErr w:type="gramStart"/>
      <w:r>
        <w:rPr>
          <w:rFonts w:ascii="Times New Roman" w:hAnsi="Times New Roman" w:cs="Times New Roman"/>
          <w:sz w:val="24"/>
          <w:szCs w:val="24"/>
        </w:rPr>
        <w:t>Fr</w:t>
      </w:r>
      <w:r w:rsidRPr="007E6978">
        <w:rPr>
          <w:rFonts w:ascii="Times New Roman" w:hAnsi="Times New Roman" w:cs="Times New Roman"/>
          <w:sz w:val="24"/>
          <w:szCs w:val="24"/>
        </w:rPr>
        <w:t>om</w:t>
      </w:r>
      <w:proofErr w:type="gramEnd"/>
      <w:r w:rsidRPr="007E6978">
        <w:rPr>
          <w:rFonts w:ascii="Times New Roman" w:hAnsi="Times New Roman" w:cs="Times New Roman"/>
          <w:sz w:val="24"/>
          <w:szCs w:val="24"/>
        </w:rPr>
        <w:t xml:space="preserve"> the Commission to the European Parliament, the Council, the European Economic and Social Committee, and the Committee of the Regions on the Mid-Term Review of the Capital Markets Union Action Plan.” </w:t>
      </w:r>
      <w:proofErr w:type="gramStart"/>
      <w:r w:rsidRPr="007E6978">
        <w:rPr>
          <w:rFonts w:ascii="Times New Roman" w:hAnsi="Times New Roman" w:cs="Times New Roman"/>
          <w:sz w:val="24"/>
          <w:szCs w:val="24"/>
        </w:rPr>
        <w:t>COM(</w:t>
      </w:r>
      <w:proofErr w:type="gramEnd"/>
      <w:r w:rsidRPr="007E6978">
        <w:rPr>
          <w:rFonts w:ascii="Times New Roman" w:hAnsi="Times New Roman" w:cs="Times New Roman"/>
          <w:sz w:val="24"/>
          <w:szCs w:val="24"/>
        </w:rPr>
        <w:t xml:space="preserve">2017) 292. </w:t>
      </w:r>
    </w:p>
    <w:p w14:paraId="7E94A591" w14:textId="77777777" w:rsidR="005F6C34" w:rsidRPr="00451D40" w:rsidRDefault="005F6C34" w:rsidP="005F6C34">
      <w:pPr>
        <w:tabs>
          <w:tab w:val="left" w:pos="540"/>
          <w:tab w:val="left" w:pos="630"/>
        </w:tabs>
        <w:spacing w:before="100" w:beforeAutospacing="1" w:after="100" w:afterAutospacing="1" w:line="240" w:lineRule="auto"/>
        <w:jc w:val="both"/>
        <w:rPr>
          <w:rFonts w:ascii="Times New Roman" w:hAnsi="Times New Roman" w:cs="Times New Roman"/>
          <w:sz w:val="24"/>
          <w:szCs w:val="24"/>
        </w:rPr>
      </w:pPr>
      <w:proofErr w:type="gramStart"/>
      <w:r w:rsidRPr="00451D40">
        <w:rPr>
          <w:rFonts w:ascii="Times New Roman" w:hAnsi="Times New Roman" w:cs="Times New Roman"/>
          <w:sz w:val="24"/>
          <w:szCs w:val="24"/>
        </w:rPr>
        <w:t>European Commission's Directorate General for Economic and Financial Affairs, (2018).</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i/>
          <w:sz w:val="24"/>
          <w:szCs w:val="24"/>
        </w:rPr>
        <w:t>Annual macro-economic database (AMECO)</w:t>
      </w:r>
      <w:r w:rsidRPr="00451D40">
        <w:rPr>
          <w:rFonts w:ascii="Times New Roman" w:hAnsi="Times New Roman" w:cs="Times New Roman"/>
          <w:sz w:val="24"/>
          <w:szCs w:val="24"/>
        </w:rPr>
        <w:t xml:space="preserve"> Available at </w:t>
      </w:r>
      <w:hyperlink r:id="rId17" w:history="1">
        <w:r w:rsidRPr="00451D40">
          <w:rPr>
            <w:rStyle w:val="Hyperlink"/>
            <w:rFonts w:ascii="Times New Roman" w:hAnsi="Times New Roman" w:cs="Times New Roman"/>
            <w:sz w:val="24"/>
            <w:szCs w:val="24"/>
          </w:rPr>
          <w:t>http://ec.europa.eu/economy_finance/ameco/user/serie/SelectSerie.cfm</w:t>
        </w:r>
      </w:hyperlink>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Accessed January 2018–June 2018.</w:t>
      </w:r>
      <w:proofErr w:type="gramEnd"/>
      <w:r w:rsidRPr="00451D40">
        <w:rPr>
          <w:rFonts w:ascii="Times New Roman" w:hAnsi="Times New Roman" w:cs="Times New Roman"/>
          <w:sz w:val="24"/>
          <w:szCs w:val="24"/>
        </w:rPr>
        <w:t xml:space="preserve"> </w:t>
      </w:r>
    </w:p>
    <w:p w14:paraId="27A097A6" w14:textId="77777777" w:rsidR="005F6C34" w:rsidRPr="00451D40" w:rsidRDefault="005F6C34" w:rsidP="005F6C34">
      <w:pPr>
        <w:tabs>
          <w:tab w:val="left" w:pos="540"/>
          <w:tab w:val="left" w:pos="630"/>
        </w:tabs>
        <w:spacing w:after="0" w:line="240" w:lineRule="auto"/>
        <w:jc w:val="both"/>
        <w:rPr>
          <w:rFonts w:ascii="Times New Roman" w:hAnsi="Times New Roman" w:cs="Times New Roman"/>
          <w:sz w:val="24"/>
          <w:szCs w:val="24"/>
        </w:rPr>
      </w:pPr>
      <w:r w:rsidRPr="00451D40">
        <w:rPr>
          <w:rFonts w:ascii="Times New Roman" w:hAnsi="Times New Roman" w:cs="Times New Roman"/>
          <w:sz w:val="24"/>
          <w:szCs w:val="24"/>
        </w:rPr>
        <w:t>Fuller, G.W. (2015). “Who’s borrowing</w:t>
      </w:r>
      <w:proofErr w:type="gramStart"/>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Credit encouragement vs credit mitigation in national financial systems”, </w:t>
      </w:r>
      <w:r w:rsidRPr="00451D40">
        <w:rPr>
          <w:rFonts w:ascii="Times New Roman" w:hAnsi="Times New Roman" w:cs="Times New Roman"/>
          <w:i/>
          <w:sz w:val="24"/>
          <w:szCs w:val="24"/>
        </w:rPr>
        <w:t>Politics &amp; Society</w:t>
      </w:r>
      <w:r w:rsidRPr="00451D40">
        <w:rPr>
          <w:rFonts w:ascii="Times New Roman" w:hAnsi="Times New Roman" w:cs="Times New Roman"/>
          <w:sz w:val="24"/>
          <w:szCs w:val="24"/>
        </w:rPr>
        <w:t xml:space="preserve">. 43(2): 241-268. </w:t>
      </w:r>
    </w:p>
    <w:p w14:paraId="56E68B67" w14:textId="77777777" w:rsidR="005F6C34" w:rsidRPr="00451D40" w:rsidRDefault="005F6C34" w:rsidP="005F6C34">
      <w:pPr>
        <w:tabs>
          <w:tab w:val="left" w:pos="540"/>
          <w:tab w:val="left" w:pos="630"/>
        </w:tabs>
        <w:spacing w:after="0" w:line="240" w:lineRule="auto"/>
        <w:jc w:val="both"/>
        <w:rPr>
          <w:rFonts w:ascii="Times New Roman" w:hAnsi="Times New Roman" w:cs="Times New Roman"/>
          <w:sz w:val="24"/>
          <w:szCs w:val="24"/>
          <w:highlight w:val="yellow"/>
        </w:rPr>
      </w:pPr>
    </w:p>
    <w:p w14:paraId="657ECEEC" w14:textId="77777777" w:rsidR="005F6C34" w:rsidRPr="00451D40" w:rsidRDefault="005F6C34" w:rsidP="005F6C34">
      <w:pPr>
        <w:tabs>
          <w:tab w:val="left" w:pos="540"/>
          <w:tab w:val="left" w:pos="630"/>
        </w:tabs>
        <w:spacing w:after="0" w:line="240" w:lineRule="auto"/>
        <w:jc w:val="both"/>
        <w:rPr>
          <w:rFonts w:ascii="Times New Roman" w:hAnsi="Times New Roman" w:cs="Times New Roman"/>
          <w:sz w:val="24"/>
          <w:szCs w:val="24"/>
        </w:rPr>
      </w:pPr>
      <w:r w:rsidRPr="00451D40">
        <w:rPr>
          <w:rFonts w:ascii="Times New Roman" w:hAnsi="Times New Roman" w:cs="Times New Roman"/>
          <w:sz w:val="24"/>
          <w:szCs w:val="24"/>
        </w:rPr>
        <w:t xml:space="preserve">Fuller, G.W. (2016) </w:t>
      </w:r>
      <w:proofErr w:type="gramStart"/>
      <w:r w:rsidRPr="00451D40">
        <w:rPr>
          <w:rFonts w:ascii="Times New Roman" w:hAnsi="Times New Roman" w:cs="Times New Roman"/>
          <w:i/>
          <w:sz w:val="24"/>
          <w:szCs w:val="24"/>
        </w:rPr>
        <w:t>The</w:t>
      </w:r>
      <w:proofErr w:type="gramEnd"/>
      <w:r w:rsidRPr="00451D40">
        <w:rPr>
          <w:rFonts w:ascii="Times New Roman" w:hAnsi="Times New Roman" w:cs="Times New Roman"/>
          <w:i/>
          <w:sz w:val="24"/>
          <w:szCs w:val="24"/>
        </w:rPr>
        <w:t xml:space="preserve"> Great Debt Transformation</w:t>
      </w:r>
      <w:r w:rsidRPr="00451D40">
        <w:rPr>
          <w:rFonts w:ascii="Times New Roman" w:hAnsi="Times New Roman" w:cs="Times New Roman"/>
          <w:sz w:val="24"/>
          <w:szCs w:val="24"/>
        </w:rPr>
        <w:t>.  New York:</w:t>
      </w:r>
      <w:r>
        <w:rPr>
          <w:rFonts w:ascii="Times New Roman" w:hAnsi="Times New Roman" w:cs="Times New Roman"/>
          <w:sz w:val="24"/>
          <w:szCs w:val="24"/>
        </w:rPr>
        <w:t xml:space="preserve"> </w:t>
      </w:r>
      <w:r w:rsidRPr="00451D40">
        <w:rPr>
          <w:rFonts w:ascii="Times New Roman" w:hAnsi="Times New Roman" w:cs="Times New Roman"/>
          <w:sz w:val="24"/>
          <w:szCs w:val="24"/>
        </w:rPr>
        <w:t xml:space="preserve">Palgrave </w:t>
      </w:r>
      <w:proofErr w:type="spellStart"/>
      <w:r w:rsidRPr="00451D40">
        <w:rPr>
          <w:rFonts w:ascii="Times New Roman" w:hAnsi="Times New Roman" w:cs="Times New Roman"/>
          <w:sz w:val="24"/>
          <w:szCs w:val="24"/>
        </w:rPr>
        <w:t>Macmillian</w:t>
      </w:r>
      <w:proofErr w:type="spellEnd"/>
      <w:r w:rsidRPr="00451D40">
        <w:rPr>
          <w:rFonts w:ascii="Times New Roman" w:hAnsi="Times New Roman" w:cs="Times New Roman"/>
          <w:sz w:val="24"/>
          <w:szCs w:val="24"/>
        </w:rPr>
        <w:t xml:space="preserve">. </w:t>
      </w:r>
    </w:p>
    <w:p w14:paraId="4CD53223"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proofErr w:type="gramStart"/>
      <w:r w:rsidRPr="00451D40">
        <w:rPr>
          <w:rFonts w:ascii="Times New Roman" w:hAnsi="Times New Roman" w:cs="Times New Roman"/>
          <w:sz w:val="24"/>
          <w:szCs w:val="24"/>
        </w:rPr>
        <w:t>Fuller, G.W., and Jones, E. (2015) “Europe and the Global Economic Crisis.”</w:t>
      </w:r>
      <w:proofErr w:type="gramEnd"/>
      <w:r w:rsidRPr="00451D40">
        <w:rPr>
          <w:rFonts w:ascii="Times New Roman" w:hAnsi="Times New Roman" w:cs="Times New Roman"/>
          <w:sz w:val="24"/>
          <w:szCs w:val="24"/>
        </w:rPr>
        <w:t xml:space="preserve"> In </w:t>
      </w:r>
      <w:r w:rsidRPr="00451D40">
        <w:rPr>
          <w:rFonts w:ascii="Times New Roman" w:hAnsi="Times New Roman" w:cs="Times New Roman"/>
          <w:i/>
          <w:sz w:val="24"/>
          <w:szCs w:val="24"/>
        </w:rPr>
        <w:t>Europe Today: A Twenty-First Century Introduction</w:t>
      </w:r>
      <w:r w:rsidRPr="00451D40">
        <w:rPr>
          <w:rFonts w:ascii="Times New Roman" w:hAnsi="Times New Roman" w:cs="Times New Roman"/>
          <w:sz w:val="24"/>
          <w:szCs w:val="24"/>
        </w:rPr>
        <w:t xml:space="preserve">, edited by Ronald </w:t>
      </w:r>
      <w:proofErr w:type="spellStart"/>
      <w:r w:rsidRPr="00451D40">
        <w:rPr>
          <w:rFonts w:ascii="Times New Roman" w:hAnsi="Times New Roman" w:cs="Times New Roman"/>
          <w:sz w:val="24"/>
          <w:szCs w:val="24"/>
        </w:rPr>
        <w:t>Tiersky</w:t>
      </w:r>
      <w:proofErr w:type="spellEnd"/>
      <w:r w:rsidRPr="00451D40">
        <w:rPr>
          <w:rFonts w:ascii="Times New Roman" w:hAnsi="Times New Roman" w:cs="Times New Roman"/>
          <w:sz w:val="24"/>
          <w:szCs w:val="24"/>
        </w:rPr>
        <w:t xml:space="preserve"> and Erik Jones, Fifth edition, 343–67. </w:t>
      </w:r>
      <w:proofErr w:type="gramStart"/>
      <w:r w:rsidRPr="00451D40">
        <w:rPr>
          <w:rFonts w:ascii="Times New Roman" w:hAnsi="Times New Roman" w:cs="Times New Roman"/>
          <w:sz w:val="24"/>
          <w:szCs w:val="24"/>
        </w:rPr>
        <w:t>Europe Today.</w:t>
      </w:r>
      <w:proofErr w:type="gramEnd"/>
      <w:r w:rsidRPr="00451D40">
        <w:rPr>
          <w:rFonts w:ascii="Times New Roman" w:hAnsi="Times New Roman" w:cs="Times New Roman"/>
          <w:sz w:val="24"/>
          <w:szCs w:val="24"/>
        </w:rPr>
        <w:t xml:space="preserve"> Lanham, Maryland: Rowman &amp; Littlefield.</w:t>
      </w:r>
    </w:p>
    <w:p w14:paraId="29F152F7" w14:textId="77777777" w:rsidR="005F6C34" w:rsidRPr="00451D40" w:rsidRDefault="005F6C34" w:rsidP="005F6C34">
      <w:pPr>
        <w:spacing w:after="0" w:line="240" w:lineRule="auto"/>
        <w:rPr>
          <w:rFonts w:ascii="Times New Roman" w:hAnsi="Times New Roman" w:cs="Times New Roman"/>
          <w:sz w:val="24"/>
          <w:szCs w:val="24"/>
        </w:rPr>
      </w:pPr>
      <w:proofErr w:type="gramStart"/>
      <w:r w:rsidRPr="00451D40">
        <w:rPr>
          <w:rFonts w:ascii="Times New Roman" w:hAnsi="Times New Roman" w:cs="Times New Roman"/>
          <w:sz w:val="24"/>
          <w:szCs w:val="24"/>
        </w:rPr>
        <w:t>Hall, Peter, and David Soskice.</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(2001) “An introduction to the Varieties of Capitalism.”</w:t>
      </w:r>
      <w:proofErr w:type="gramEnd"/>
      <w:r w:rsidRPr="00451D40">
        <w:rPr>
          <w:rFonts w:ascii="Times New Roman" w:hAnsi="Times New Roman" w:cs="Times New Roman"/>
          <w:sz w:val="24"/>
          <w:szCs w:val="24"/>
        </w:rPr>
        <w:t xml:space="preserve"> In </w:t>
      </w:r>
      <w:r w:rsidRPr="00451D40">
        <w:rPr>
          <w:rFonts w:ascii="Times New Roman" w:hAnsi="Times New Roman" w:cs="Times New Roman"/>
          <w:i/>
          <w:iCs/>
          <w:sz w:val="24"/>
          <w:szCs w:val="24"/>
        </w:rPr>
        <w:t>Varieties of Capitalism: The Institutional Foundations of Comparative Advantage</w:t>
      </w:r>
      <w:r w:rsidRPr="00451D40">
        <w:rPr>
          <w:rFonts w:ascii="Times New Roman" w:hAnsi="Times New Roman" w:cs="Times New Roman"/>
          <w:sz w:val="24"/>
          <w:szCs w:val="24"/>
        </w:rPr>
        <w:t>, edited by Peter Hall and David Soskice. 1-68 Oxford: Oxford University Press</w:t>
      </w:r>
    </w:p>
    <w:p w14:paraId="2A0896F0" w14:textId="77777777" w:rsidR="005F6C34" w:rsidRPr="00451D40" w:rsidRDefault="005F6C34" w:rsidP="005F6C34">
      <w:pPr>
        <w:spacing w:after="0" w:line="240" w:lineRule="auto"/>
        <w:rPr>
          <w:rFonts w:ascii="Times New Roman" w:eastAsia="Times New Roman" w:hAnsi="Times New Roman" w:cs="Times New Roman"/>
          <w:color w:val="000000"/>
          <w:sz w:val="24"/>
          <w:szCs w:val="24"/>
          <w:highlight w:val="yellow"/>
          <w:shd w:val="clear" w:color="auto" w:fill="FFFFFF"/>
        </w:rPr>
      </w:pPr>
    </w:p>
    <w:p w14:paraId="26933A6C" w14:textId="77777777" w:rsidR="005F6C34" w:rsidRPr="00451D40" w:rsidRDefault="005F6C34" w:rsidP="005F6C34">
      <w:pPr>
        <w:spacing w:after="0" w:line="240" w:lineRule="auto"/>
        <w:rPr>
          <w:rFonts w:ascii="Times New Roman" w:hAnsi="Times New Roman" w:cs="Times New Roman"/>
          <w:sz w:val="24"/>
          <w:szCs w:val="24"/>
        </w:rPr>
      </w:pPr>
      <w:r w:rsidRPr="00451D40">
        <w:rPr>
          <w:rFonts w:ascii="Times New Roman" w:hAnsi="Times New Roman" w:cs="Times New Roman"/>
          <w:sz w:val="24"/>
          <w:szCs w:val="24"/>
        </w:rPr>
        <w:t xml:space="preserve">Helleiner, E. (2011). </w:t>
      </w:r>
      <w:r>
        <w:rPr>
          <w:rFonts w:ascii="Times New Roman" w:hAnsi="Times New Roman" w:cs="Times New Roman"/>
          <w:sz w:val="24"/>
          <w:szCs w:val="24"/>
        </w:rPr>
        <w:t>“</w:t>
      </w:r>
      <w:r w:rsidRPr="00451D40">
        <w:rPr>
          <w:rFonts w:ascii="Times New Roman" w:hAnsi="Times New Roman" w:cs="Times New Roman"/>
          <w:sz w:val="24"/>
          <w:szCs w:val="24"/>
        </w:rPr>
        <w:t xml:space="preserve">Understanding the 2007–2008 global financial </w:t>
      </w:r>
      <w:proofErr w:type="gramStart"/>
      <w:r w:rsidRPr="00451D40">
        <w:rPr>
          <w:rFonts w:ascii="Times New Roman" w:hAnsi="Times New Roman" w:cs="Times New Roman"/>
          <w:sz w:val="24"/>
          <w:szCs w:val="24"/>
        </w:rPr>
        <w:t>crisis</w:t>
      </w:r>
      <w:proofErr w:type="gramEnd"/>
      <w:r w:rsidRPr="00451D40">
        <w:rPr>
          <w:rFonts w:ascii="Times New Roman" w:hAnsi="Times New Roman" w:cs="Times New Roman"/>
          <w:sz w:val="24"/>
          <w:szCs w:val="24"/>
        </w:rPr>
        <w:t>: Lessons for scholars of international political economy</w:t>
      </w:r>
      <w:r>
        <w:rPr>
          <w:rFonts w:ascii="Times New Roman" w:hAnsi="Times New Roman" w:cs="Times New Roman"/>
          <w:sz w:val="24"/>
          <w:szCs w:val="24"/>
        </w:rPr>
        <w:t>”</w:t>
      </w:r>
      <w:r w:rsidRPr="00451D40">
        <w:rPr>
          <w:rFonts w:ascii="Times New Roman" w:hAnsi="Times New Roman" w:cs="Times New Roman"/>
          <w:sz w:val="24"/>
          <w:szCs w:val="24"/>
        </w:rPr>
        <w:t xml:space="preserve">. </w:t>
      </w:r>
      <w:proofErr w:type="gramStart"/>
      <w:r w:rsidRPr="00451D40">
        <w:rPr>
          <w:rFonts w:ascii="Times New Roman" w:hAnsi="Times New Roman" w:cs="Times New Roman"/>
          <w:i/>
          <w:iCs/>
          <w:sz w:val="24"/>
          <w:szCs w:val="24"/>
        </w:rPr>
        <w:t>Annual review of political science</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14</w:t>
      </w:r>
      <w:r>
        <w:rPr>
          <w:rFonts w:ascii="Times New Roman" w:hAnsi="Times New Roman" w:cs="Times New Roman"/>
          <w:sz w:val="24"/>
          <w:szCs w:val="24"/>
        </w:rPr>
        <w:t>:</w:t>
      </w:r>
      <w:r w:rsidRPr="00451D40">
        <w:rPr>
          <w:rFonts w:ascii="Times New Roman" w:hAnsi="Times New Roman" w:cs="Times New Roman"/>
          <w:sz w:val="24"/>
          <w:szCs w:val="24"/>
        </w:rPr>
        <w:t xml:space="preserve"> 67-87.</w:t>
      </w:r>
    </w:p>
    <w:p w14:paraId="793514C7" w14:textId="4ECFBF53" w:rsidR="005F6C34" w:rsidRDefault="005F6C34" w:rsidP="005F6C34">
      <w:pPr>
        <w:spacing w:before="100" w:beforeAutospacing="1" w:after="100" w:afterAutospacing="1" w:line="240" w:lineRule="auto"/>
        <w:jc w:val="both"/>
        <w:rPr>
          <w:rFonts w:ascii="Times New Roman" w:hAnsi="Times New Roman" w:cs="Times New Roman"/>
          <w:sz w:val="24"/>
          <w:szCs w:val="24"/>
        </w:rPr>
      </w:pPr>
      <w:proofErr w:type="spellStart"/>
      <w:r w:rsidRPr="00451D40">
        <w:rPr>
          <w:rFonts w:ascii="Times New Roman" w:hAnsi="Times New Roman" w:cs="Times New Roman"/>
          <w:sz w:val="24"/>
          <w:szCs w:val="24"/>
        </w:rPr>
        <w:t>Iversen</w:t>
      </w:r>
      <w:proofErr w:type="spellEnd"/>
      <w:r w:rsidRPr="00451D40">
        <w:rPr>
          <w:rFonts w:ascii="Times New Roman" w:hAnsi="Times New Roman" w:cs="Times New Roman"/>
          <w:sz w:val="24"/>
          <w:szCs w:val="24"/>
        </w:rPr>
        <w:t xml:space="preserve">, T. (1998) "Wage Bargaining, Central Bank Independence and the Real Effects of Money". </w:t>
      </w:r>
      <w:proofErr w:type="gramStart"/>
      <w:r w:rsidRPr="00451D40">
        <w:rPr>
          <w:rStyle w:val="Emphasis"/>
          <w:rFonts w:ascii="Times New Roman" w:hAnsi="Times New Roman" w:cs="Times New Roman"/>
          <w:sz w:val="24"/>
          <w:szCs w:val="24"/>
        </w:rPr>
        <w:t>International Organization</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52(3): 469-504.</w:t>
      </w:r>
    </w:p>
    <w:p w14:paraId="12EBA461" w14:textId="0F092CED" w:rsidR="00151D31" w:rsidRPr="001304B3" w:rsidRDefault="00151D31" w:rsidP="00151D31">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IMF (2011).</w:t>
      </w:r>
      <w:proofErr w:type="gramEnd"/>
      <w:r>
        <w:rPr>
          <w:rFonts w:ascii="Times New Roman" w:hAnsi="Times New Roman" w:cs="Times New Roman"/>
          <w:sz w:val="24"/>
          <w:szCs w:val="24"/>
        </w:rPr>
        <w:t xml:space="preserve"> “</w:t>
      </w:r>
      <w:r w:rsidRPr="00151D31">
        <w:rPr>
          <w:rFonts w:ascii="Times New Roman" w:hAnsi="Times New Roman" w:cs="Times New Roman"/>
          <w:sz w:val="24"/>
          <w:szCs w:val="24"/>
        </w:rPr>
        <w:t>Germany: Technical Note on the Future of Germ</w:t>
      </w:r>
      <w:r>
        <w:rPr>
          <w:rFonts w:ascii="Times New Roman" w:hAnsi="Times New Roman" w:cs="Times New Roman"/>
          <w:sz w:val="24"/>
          <w:szCs w:val="24"/>
        </w:rPr>
        <w:t xml:space="preserve">an Mortgage-Backed Covered Bond </w:t>
      </w:r>
      <w:r w:rsidRPr="00151D31">
        <w:rPr>
          <w:rFonts w:ascii="Times New Roman" w:hAnsi="Times New Roman" w:cs="Times New Roman"/>
          <w:sz w:val="24"/>
          <w:szCs w:val="24"/>
        </w:rPr>
        <w:t>(</w:t>
      </w:r>
      <w:proofErr w:type="spellStart"/>
      <w:r w:rsidRPr="00151D31">
        <w:rPr>
          <w:rFonts w:ascii="Times New Roman" w:hAnsi="Times New Roman" w:cs="Times New Roman"/>
          <w:sz w:val="24"/>
          <w:szCs w:val="24"/>
        </w:rPr>
        <w:t>PFandBrief</w:t>
      </w:r>
      <w:proofErr w:type="spellEnd"/>
      <w:r w:rsidRPr="00151D31">
        <w:rPr>
          <w:rFonts w:ascii="Times New Roman" w:hAnsi="Times New Roman" w:cs="Times New Roman"/>
          <w:sz w:val="24"/>
          <w:szCs w:val="24"/>
        </w:rPr>
        <w:t>) and Securitization Markets</w:t>
      </w:r>
      <w:r>
        <w:rPr>
          <w:rFonts w:ascii="Times New Roman" w:hAnsi="Times New Roman" w:cs="Times New Roman"/>
          <w:sz w:val="24"/>
          <w:szCs w:val="24"/>
        </w:rPr>
        <w:t xml:space="preserve">”. </w:t>
      </w:r>
      <w:proofErr w:type="gramStart"/>
      <w:r w:rsidRPr="00720A29">
        <w:rPr>
          <w:rFonts w:ascii="Times New Roman" w:hAnsi="Times New Roman" w:cs="Times New Roman"/>
          <w:i/>
          <w:sz w:val="24"/>
          <w:szCs w:val="24"/>
        </w:rPr>
        <w:t>Country Report</w:t>
      </w:r>
      <w:r>
        <w:rPr>
          <w:rFonts w:ascii="Times New Roman" w:hAnsi="Times New Roman" w:cs="Times New Roman"/>
          <w:i/>
          <w:sz w:val="24"/>
          <w:szCs w:val="24"/>
        </w:rPr>
        <w:t xml:space="preserve"> </w:t>
      </w:r>
      <w:r>
        <w:rPr>
          <w:rFonts w:ascii="Times New Roman" w:hAnsi="Times New Roman" w:cs="Times New Roman"/>
          <w:sz w:val="24"/>
          <w:szCs w:val="24"/>
        </w:rPr>
        <w:t>11/369.</w:t>
      </w:r>
      <w:proofErr w:type="gramEnd"/>
    </w:p>
    <w:p w14:paraId="6EAF3633" w14:textId="490E13D8" w:rsidR="000F0ED1" w:rsidRPr="000F0ED1" w:rsidRDefault="000F0ED1" w:rsidP="005F6C34">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Johnson, S. &amp; </w:t>
      </w:r>
      <w:proofErr w:type="spellStart"/>
      <w:r>
        <w:rPr>
          <w:rFonts w:ascii="Times New Roman" w:hAnsi="Times New Roman" w:cs="Times New Roman"/>
          <w:sz w:val="24"/>
          <w:szCs w:val="24"/>
        </w:rPr>
        <w:t>Kwak</w:t>
      </w:r>
      <w:proofErr w:type="spellEnd"/>
      <w:r>
        <w:rPr>
          <w:rFonts w:ascii="Times New Roman" w:hAnsi="Times New Roman" w:cs="Times New Roman"/>
          <w:sz w:val="24"/>
          <w:szCs w:val="24"/>
        </w:rPr>
        <w:t>, J. (2010).</w:t>
      </w:r>
      <w:proofErr w:type="gramEnd"/>
      <w:r>
        <w:rPr>
          <w:rFonts w:ascii="Times New Roman" w:hAnsi="Times New Roman" w:cs="Times New Roman"/>
          <w:sz w:val="24"/>
          <w:szCs w:val="24"/>
        </w:rPr>
        <w:t xml:space="preserve"> </w:t>
      </w:r>
      <w:r>
        <w:rPr>
          <w:rFonts w:ascii="Times New Roman" w:hAnsi="Times New Roman" w:cs="Times New Roman"/>
          <w:i/>
          <w:sz w:val="24"/>
          <w:szCs w:val="24"/>
        </w:rPr>
        <w:t>13 Bankers: The Wall Street Takeover and the Next Financial Meltdown</w:t>
      </w:r>
      <w:r>
        <w:rPr>
          <w:rFonts w:ascii="Times New Roman" w:hAnsi="Times New Roman" w:cs="Times New Roman"/>
          <w:sz w:val="24"/>
          <w:szCs w:val="24"/>
        </w:rPr>
        <w:t xml:space="preserve">. New York: Pantheon Books. </w:t>
      </w:r>
    </w:p>
    <w:p w14:paraId="046B0471"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r w:rsidRPr="00451D40">
        <w:rPr>
          <w:rFonts w:ascii="Times New Roman" w:hAnsi="Times New Roman" w:cs="Times New Roman"/>
          <w:sz w:val="24"/>
          <w:szCs w:val="24"/>
        </w:rPr>
        <w:t xml:space="preserve">Johnston, A. (2012). </w:t>
      </w:r>
      <w:r>
        <w:rPr>
          <w:rFonts w:ascii="Times New Roman" w:hAnsi="Times New Roman" w:cs="Times New Roman"/>
          <w:sz w:val="24"/>
          <w:szCs w:val="24"/>
        </w:rPr>
        <w:t>“</w:t>
      </w:r>
      <w:r w:rsidRPr="00451D40">
        <w:rPr>
          <w:rFonts w:ascii="Times New Roman" w:hAnsi="Times New Roman" w:cs="Times New Roman"/>
          <w:sz w:val="24"/>
          <w:szCs w:val="24"/>
        </w:rPr>
        <w:t>European Economic and Monetary Union’s perverse effects on sectoral wage inflation: Negative feedback effects from institutional change?</w:t>
      </w:r>
      <w:proofErr w:type="gramStart"/>
      <w:r>
        <w:rPr>
          <w:rFonts w:ascii="Times New Roman" w:hAnsi="Times New Roman" w:cs="Times New Roman"/>
          <w:sz w:val="24"/>
          <w:szCs w:val="24"/>
        </w:rPr>
        <w:t>”</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i/>
          <w:iCs/>
          <w:sz w:val="24"/>
          <w:szCs w:val="24"/>
        </w:rPr>
        <w:t>European Union Politics</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13</w:t>
      </w:r>
      <w:r w:rsidRPr="00451D40">
        <w:rPr>
          <w:rFonts w:ascii="Times New Roman" w:hAnsi="Times New Roman" w:cs="Times New Roman"/>
          <w:sz w:val="24"/>
          <w:szCs w:val="24"/>
        </w:rPr>
        <w:t>(3)</w:t>
      </w:r>
      <w:r>
        <w:rPr>
          <w:rFonts w:ascii="Times New Roman" w:hAnsi="Times New Roman" w:cs="Times New Roman"/>
          <w:sz w:val="24"/>
          <w:szCs w:val="24"/>
        </w:rPr>
        <w:t>:</w:t>
      </w:r>
      <w:r w:rsidRPr="00451D40">
        <w:rPr>
          <w:rFonts w:ascii="Times New Roman" w:hAnsi="Times New Roman" w:cs="Times New Roman"/>
          <w:sz w:val="24"/>
          <w:szCs w:val="24"/>
        </w:rPr>
        <w:t xml:space="preserve"> 345-366.</w:t>
      </w:r>
    </w:p>
    <w:p w14:paraId="18961721"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r w:rsidRPr="00451D40">
        <w:rPr>
          <w:rFonts w:ascii="Times New Roman" w:hAnsi="Times New Roman" w:cs="Times New Roman"/>
          <w:sz w:val="24"/>
          <w:szCs w:val="24"/>
        </w:rPr>
        <w:t xml:space="preserve">Kahn, L. M. (2000). “Wage inequality, collective bargaining, and relative employment from 1985 to 1994: Evidence from fifteen OECD countries”. </w:t>
      </w:r>
      <w:proofErr w:type="gramStart"/>
      <w:r w:rsidRPr="00451D40">
        <w:rPr>
          <w:rFonts w:ascii="Times New Roman" w:hAnsi="Times New Roman" w:cs="Times New Roman"/>
          <w:i/>
          <w:iCs/>
          <w:sz w:val="24"/>
          <w:szCs w:val="24"/>
        </w:rPr>
        <w:t>Review of Economics and Statistics</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82</w:t>
      </w:r>
      <w:r>
        <w:rPr>
          <w:rFonts w:ascii="Times New Roman" w:hAnsi="Times New Roman" w:cs="Times New Roman"/>
          <w:sz w:val="24"/>
          <w:szCs w:val="24"/>
        </w:rPr>
        <w:t>(4):</w:t>
      </w:r>
      <w:r w:rsidRPr="00451D40">
        <w:rPr>
          <w:rFonts w:ascii="Times New Roman" w:hAnsi="Times New Roman" w:cs="Times New Roman"/>
          <w:sz w:val="24"/>
          <w:szCs w:val="24"/>
        </w:rPr>
        <w:t xml:space="preserve"> 564-579.</w:t>
      </w:r>
    </w:p>
    <w:p w14:paraId="510209AE"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Karcher</w:t>
      </w:r>
      <w:proofErr w:type="spellEnd"/>
      <w:r>
        <w:rPr>
          <w:rFonts w:ascii="Times New Roman" w:hAnsi="Times New Roman" w:cs="Times New Roman"/>
          <w:sz w:val="24"/>
          <w:szCs w:val="24"/>
        </w:rPr>
        <w:t>, S., &amp; Steinberg, D.</w:t>
      </w:r>
      <w:r w:rsidRPr="00451D40">
        <w:rPr>
          <w:rFonts w:ascii="Times New Roman" w:hAnsi="Times New Roman" w:cs="Times New Roman"/>
          <w:sz w:val="24"/>
          <w:szCs w:val="24"/>
        </w:rPr>
        <w:t>A. (2013).</w:t>
      </w:r>
      <w:proofErr w:type="gramEnd"/>
      <w:r w:rsidRPr="00451D40">
        <w:rPr>
          <w:rFonts w:ascii="Times New Roman" w:hAnsi="Times New Roman" w:cs="Times New Roman"/>
          <w:sz w:val="24"/>
          <w:szCs w:val="24"/>
        </w:rPr>
        <w:t xml:space="preserve"> “Assessing the causes of capital account liberalization: How measurement matters". </w:t>
      </w:r>
      <w:r w:rsidRPr="00451D40">
        <w:rPr>
          <w:rFonts w:ascii="Times New Roman" w:hAnsi="Times New Roman" w:cs="Times New Roman"/>
          <w:i/>
          <w:iCs/>
          <w:sz w:val="24"/>
          <w:szCs w:val="24"/>
        </w:rPr>
        <w:t>International Studies Quarterly</w:t>
      </w:r>
      <w:r>
        <w:rPr>
          <w:rFonts w:ascii="Times New Roman" w:hAnsi="Times New Roman" w:cs="Times New Roman"/>
          <w:sz w:val="24"/>
          <w:szCs w:val="24"/>
        </w:rPr>
        <w:t>.</w:t>
      </w:r>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57</w:t>
      </w:r>
      <w:r>
        <w:rPr>
          <w:rFonts w:ascii="Times New Roman" w:hAnsi="Times New Roman" w:cs="Times New Roman"/>
          <w:sz w:val="24"/>
          <w:szCs w:val="24"/>
        </w:rPr>
        <w:t>(1):</w:t>
      </w:r>
      <w:r w:rsidRPr="00451D40">
        <w:rPr>
          <w:rFonts w:ascii="Times New Roman" w:hAnsi="Times New Roman" w:cs="Times New Roman"/>
          <w:sz w:val="24"/>
          <w:szCs w:val="24"/>
        </w:rPr>
        <w:t xml:space="preserve"> 128-137.</w:t>
      </w:r>
    </w:p>
    <w:p w14:paraId="563A36FF" w14:textId="77777777" w:rsidR="005F6C34" w:rsidRPr="00451D40" w:rsidRDefault="005F6C34" w:rsidP="005F6C34">
      <w:pPr>
        <w:spacing w:before="100" w:beforeAutospacing="1" w:after="100" w:afterAutospacing="1" w:line="240" w:lineRule="auto"/>
        <w:rPr>
          <w:rFonts w:ascii="Times New Roman" w:eastAsia="Times New Roman" w:hAnsi="Times New Roman" w:cs="Times New Roman"/>
          <w:sz w:val="24"/>
          <w:szCs w:val="24"/>
          <w:highlight w:val="yellow"/>
        </w:rPr>
      </w:pPr>
      <w:proofErr w:type="spellStart"/>
      <w:r w:rsidRPr="00451D40">
        <w:rPr>
          <w:rFonts w:ascii="Times New Roman" w:hAnsi="Times New Roman" w:cs="Times New Roman"/>
          <w:sz w:val="24"/>
          <w:szCs w:val="24"/>
        </w:rPr>
        <w:t>Kemeny</w:t>
      </w:r>
      <w:proofErr w:type="spellEnd"/>
      <w:r w:rsidRPr="00451D40">
        <w:rPr>
          <w:rFonts w:ascii="Times New Roman" w:hAnsi="Times New Roman" w:cs="Times New Roman"/>
          <w:sz w:val="24"/>
          <w:szCs w:val="24"/>
        </w:rPr>
        <w:t xml:space="preserve">, J. (2006). </w:t>
      </w:r>
      <w:proofErr w:type="gramStart"/>
      <w:r w:rsidRPr="00451D40">
        <w:rPr>
          <w:rFonts w:ascii="Times New Roman" w:hAnsi="Times New Roman" w:cs="Times New Roman"/>
          <w:sz w:val="24"/>
          <w:szCs w:val="24"/>
        </w:rPr>
        <w:t>“Corporatism and housing regimes”.</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i/>
          <w:iCs/>
          <w:sz w:val="24"/>
          <w:szCs w:val="24"/>
        </w:rPr>
        <w:t>Housing, Theory and Society</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23</w:t>
      </w:r>
      <w:r w:rsidRPr="00451D40">
        <w:rPr>
          <w:rFonts w:ascii="Times New Roman" w:hAnsi="Times New Roman" w:cs="Times New Roman"/>
          <w:sz w:val="24"/>
          <w:szCs w:val="24"/>
        </w:rPr>
        <w:t>(1): 1-18.</w:t>
      </w:r>
    </w:p>
    <w:p w14:paraId="437EC73E" w14:textId="72150CA6" w:rsidR="009A01CF" w:rsidRPr="00720A29" w:rsidRDefault="005F6C34" w:rsidP="005F6C3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51D40">
        <w:rPr>
          <w:rFonts w:ascii="Times New Roman" w:eastAsia="Times New Roman" w:hAnsi="Times New Roman" w:cs="Times New Roman"/>
          <w:sz w:val="24"/>
          <w:szCs w:val="24"/>
        </w:rPr>
        <w:t>Kenworthy</w:t>
      </w:r>
      <w:proofErr w:type="spellEnd"/>
      <w:r w:rsidRPr="00451D40">
        <w:rPr>
          <w:rFonts w:ascii="Times New Roman" w:eastAsia="Times New Roman" w:hAnsi="Times New Roman" w:cs="Times New Roman"/>
          <w:sz w:val="24"/>
          <w:szCs w:val="24"/>
        </w:rPr>
        <w:t>, L. (2001).</w:t>
      </w:r>
      <w:proofErr w:type="gramEnd"/>
      <w:r w:rsidRPr="00451D40">
        <w:rPr>
          <w:rFonts w:ascii="Times New Roman" w:eastAsia="Times New Roman" w:hAnsi="Times New Roman" w:cs="Times New Roman"/>
          <w:sz w:val="24"/>
          <w:szCs w:val="24"/>
        </w:rPr>
        <w:t xml:space="preserve"> Wage-Setting Institutions: A survey and assessment. </w:t>
      </w:r>
      <w:r w:rsidRPr="00451D40">
        <w:rPr>
          <w:rFonts w:ascii="Times New Roman" w:eastAsia="Times New Roman" w:hAnsi="Times New Roman" w:cs="Times New Roman"/>
          <w:i/>
          <w:sz w:val="24"/>
          <w:szCs w:val="24"/>
        </w:rPr>
        <w:t>World Politics</w:t>
      </w:r>
      <w:r w:rsidR="00720A29">
        <w:rPr>
          <w:rFonts w:ascii="Times New Roman" w:eastAsia="Times New Roman" w:hAnsi="Times New Roman" w:cs="Times New Roman"/>
          <w:sz w:val="24"/>
          <w:szCs w:val="24"/>
        </w:rPr>
        <w:t>, 54(October): 57-98</w:t>
      </w:r>
    </w:p>
    <w:p w14:paraId="0753BEDE" w14:textId="23188BEE" w:rsidR="005F6C34" w:rsidRPr="00451D40" w:rsidRDefault="005F6C34" w:rsidP="005F6C34">
      <w:pPr>
        <w:spacing w:before="100" w:beforeAutospacing="1" w:after="100" w:afterAutospacing="1" w:line="240" w:lineRule="auto"/>
        <w:rPr>
          <w:rFonts w:ascii="Times New Roman" w:hAnsi="Times New Roman" w:cs="Times New Roman"/>
          <w:sz w:val="24"/>
          <w:szCs w:val="24"/>
        </w:rPr>
      </w:pPr>
      <w:proofErr w:type="gramStart"/>
      <w:r w:rsidRPr="00451D40">
        <w:rPr>
          <w:rFonts w:ascii="Times New Roman" w:hAnsi="Times New Roman" w:cs="Times New Roman"/>
          <w:sz w:val="24"/>
          <w:szCs w:val="24"/>
        </w:rPr>
        <w:t>King, R.G. and Levine, R. (1993)</w:t>
      </w:r>
      <w:r w:rsidR="00720A29">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“Finance and Growth: Schumpeter Might Be Right.” </w:t>
      </w:r>
      <w:proofErr w:type="gramStart"/>
      <w:r w:rsidRPr="00451D40">
        <w:rPr>
          <w:rFonts w:ascii="Times New Roman" w:hAnsi="Times New Roman" w:cs="Times New Roman"/>
          <w:i/>
          <w:sz w:val="24"/>
          <w:szCs w:val="24"/>
        </w:rPr>
        <w:t>The Quarterly Journal of Economics</w:t>
      </w:r>
      <w:r>
        <w:rPr>
          <w:rFonts w:ascii="Times New Roman" w:hAnsi="Times New Roman" w:cs="Times New Roman"/>
          <w:i/>
          <w:sz w:val="24"/>
          <w:szCs w:val="24"/>
        </w:rPr>
        <w:t>.</w:t>
      </w:r>
      <w:proofErr w:type="gramEnd"/>
      <w:r>
        <w:rPr>
          <w:rFonts w:ascii="Times New Roman" w:hAnsi="Times New Roman" w:cs="Times New Roman"/>
          <w:sz w:val="24"/>
          <w:szCs w:val="24"/>
        </w:rPr>
        <w:t xml:space="preserve"> 108</w:t>
      </w:r>
      <w:r w:rsidRPr="00451D40">
        <w:rPr>
          <w:rFonts w:ascii="Times New Roman" w:hAnsi="Times New Roman" w:cs="Times New Roman"/>
          <w:sz w:val="24"/>
          <w:szCs w:val="24"/>
        </w:rPr>
        <w:t>(3): 717–37.</w:t>
      </w:r>
    </w:p>
    <w:p w14:paraId="33A90B1F" w14:textId="5EE39B4A" w:rsidR="0014769D" w:rsidRPr="0014769D" w:rsidRDefault="0014769D" w:rsidP="005F6C34">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Kohl, S.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14769D">
        <w:rPr>
          <w:rFonts w:ascii="Times New Roman" w:hAnsi="Times New Roman" w:cs="Times New Roman"/>
          <w:sz w:val="24"/>
          <w:szCs w:val="24"/>
        </w:rPr>
        <w:t>More Mortgages, More Homes?</w:t>
      </w:r>
      <w:proofErr w:type="gramEnd"/>
      <w:r w:rsidRPr="0014769D">
        <w:rPr>
          <w:rFonts w:ascii="Times New Roman" w:hAnsi="Times New Roman" w:cs="Times New Roman"/>
          <w:sz w:val="24"/>
          <w:szCs w:val="24"/>
        </w:rPr>
        <w:t xml:space="preserve"> </w:t>
      </w:r>
      <w:proofErr w:type="gramStart"/>
      <w:r w:rsidRPr="0014769D">
        <w:rPr>
          <w:rFonts w:ascii="Times New Roman" w:hAnsi="Times New Roman" w:cs="Times New Roman"/>
          <w:sz w:val="24"/>
          <w:szCs w:val="24"/>
        </w:rPr>
        <w:t xml:space="preserve">The Effect of Housing </w:t>
      </w:r>
      <w:proofErr w:type="spellStart"/>
      <w:r w:rsidRPr="0014769D">
        <w:rPr>
          <w:rFonts w:ascii="Times New Roman" w:hAnsi="Times New Roman" w:cs="Times New Roman"/>
          <w:sz w:val="24"/>
          <w:szCs w:val="24"/>
        </w:rPr>
        <w:t>Financialization</w:t>
      </w:r>
      <w:proofErr w:type="spellEnd"/>
      <w:r w:rsidRPr="0014769D">
        <w:rPr>
          <w:rFonts w:ascii="Times New Roman" w:hAnsi="Times New Roman" w:cs="Times New Roman"/>
          <w:sz w:val="24"/>
          <w:szCs w:val="24"/>
        </w:rPr>
        <w:t xml:space="preserve"> on Homeownership in Historical Perspective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Politics &amp; Society </w:t>
      </w:r>
      <w:r>
        <w:rPr>
          <w:rFonts w:ascii="Times New Roman" w:hAnsi="Times New Roman" w:cs="Times New Roman"/>
          <w:sz w:val="24"/>
          <w:szCs w:val="24"/>
        </w:rPr>
        <w:t>46(2): 177-203.</w:t>
      </w:r>
    </w:p>
    <w:p w14:paraId="2591ECAB"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proofErr w:type="spellStart"/>
      <w:proofErr w:type="gramStart"/>
      <w:r w:rsidRPr="00451D40">
        <w:rPr>
          <w:rFonts w:ascii="Times New Roman" w:hAnsi="Times New Roman" w:cs="Times New Roman"/>
          <w:sz w:val="24"/>
          <w:szCs w:val="24"/>
        </w:rPr>
        <w:t>Korpi</w:t>
      </w:r>
      <w:proofErr w:type="spellEnd"/>
      <w:r w:rsidRPr="00451D40">
        <w:rPr>
          <w:rFonts w:ascii="Times New Roman" w:hAnsi="Times New Roman" w:cs="Times New Roman"/>
          <w:sz w:val="24"/>
          <w:szCs w:val="24"/>
        </w:rPr>
        <w:t>, W. (2006).</w:t>
      </w:r>
      <w:proofErr w:type="gramEnd"/>
      <w:r w:rsidRPr="00451D40">
        <w:rPr>
          <w:rFonts w:ascii="Times New Roman" w:hAnsi="Times New Roman" w:cs="Times New Roman"/>
          <w:sz w:val="24"/>
          <w:szCs w:val="24"/>
        </w:rPr>
        <w:t xml:space="preserve"> “Power resources and employer-centered approaches in explanations of welfare states and varieties of capitalism: Protagonists, consenters, and antagonists”. </w:t>
      </w:r>
      <w:proofErr w:type="gramStart"/>
      <w:r w:rsidRPr="00451D40">
        <w:rPr>
          <w:rFonts w:ascii="Times New Roman" w:hAnsi="Times New Roman" w:cs="Times New Roman"/>
          <w:i/>
          <w:iCs/>
          <w:sz w:val="24"/>
          <w:szCs w:val="24"/>
        </w:rPr>
        <w:t>World politics</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58</w:t>
      </w:r>
      <w:r>
        <w:rPr>
          <w:rFonts w:ascii="Times New Roman" w:hAnsi="Times New Roman" w:cs="Times New Roman"/>
          <w:sz w:val="24"/>
          <w:szCs w:val="24"/>
        </w:rPr>
        <w:t>(2):</w:t>
      </w:r>
      <w:r w:rsidRPr="00451D40">
        <w:rPr>
          <w:rFonts w:ascii="Times New Roman" w:hAnsi="Times New Roman" w:cs="Times New Roman"/>
          <w:sz w:val="24"/>
          <w:szCs w:val="24"/>
        </w:rPr>
        <w:t xml:space="preserve"> 167-206.</w:t>
      </w:r>
    </w:p>
    <w:p w14:paraId="6A3116DD" w14:textId="0D0E122A" w:rsidR="005F6C34" w:rsidRDefault="005F6C34" w:rsidP="005F6C34">
      <w:pPr>
        <w:spacing w:before="100" w:beforeAutospacing="1" w:after="100" w:afterAutospacing="1" w:line="240" w:lineRule="auto"/>
        <w:rPr>
          <w:rFonts w:ascii="Times New Roman" w:hAnsi="Times New Roman" w:cs="Times New Roman"/>
          <w:sz w:val="24"/>
          <w:szCs w:val="24"/>
        </w:rPr>
      </w:pPr>
      <w:r w:rsidRPr="00451D40">
        <w:rPr>
          <w:rFonts w:ascii="Times New Roman" w:hAnsi="Times New Roman" w:cs="Times New Roman"/>
          <w:sz w:val="24"/>
          <w:szCs w:val="24"/>
        </w:rPr>
        <w:t xml:space="preserve">Lewis, M. (2011) </w:t>
      </w:r>
      <w:r w:rsidRPr="00451D40">
        <w:rPr>
          <w:rFonts w:ascii="Times New Roman" w:hAnsi="Times New Roman" w:cs="Times New Roman"/>
          <w:i/>
          <w:sz w:val="24"/>
          <w:szCs w:val="24"/>
        </w:rPr>
        <w:t>The Big Short: Inside the Doomsday Machine</w:t>
      </w:r>
      <w:r w:rsidRPr="00451D40">
        <w:rPr>
          <w:rFonts w:ascii="Times New Roman" w:hAnsi="Times New Roman" w:cs="Times New Roman"/>
          <w:sz w:val="24"/>
          <w:szCs w:val="24"/>
        </w:rPr>
        <w:t>. New York: W.W. Norton.</w:t>
      </w:r>
    </w:p>
    <w:p w14:paraId="784705B5" w14:textId="77777777" w:rsidR="005F6C34" w:rsidRPr="00451D40" w:rsidRDefault="005F6C34" w:rsidP="005F6C34">
      <w:pPr>
        <w:spacing w:after="0" w:line="240" w:lineRule="auto"/>
        <w:jc w:val="both"/>
        <w:rPr>
          <w:rFonts w:ascii="Times New Roman" w:hAnsi="Times New Roman" w:cs="Times New Roman"/>
          <w:sz w:val="24"/>
          <w:szCs w:val="24"/>
        </w:rPr>
      </w:pPr>
      <w:r w:rsidRPr="00451D40">
        <w:rPr>
          <w:rFonts w:ascii="Times New Roman" w:hAnsi="Times New Roman" w:cs="Times New Roman"/>
          <w:sz w:val="24"/>
          <w:szCs w:val="24"/>
        </w:rPr>
        <w:t xml:space="preserve">Mosley, L. (2003). </w:t>
      </w:r>
      <w:proofErr w:type="gramStart"/>
      <w:r w:rsidRPr="00451D40">
        <w:rPr>
          <w:rFonts w:ascii="Times New Roman" w:hAnsi="Times New Roman" w:cs="Times New Roman"/>
          <w:i/>
          <w:iCs/>
          <w:sz w:val="24"/>
          <w:szCs w:val="24"/>
        </w:rPr>
        <w:t>Global capital and national governments</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Cambridge University Press.</w:t>
      </w:r>
      <w:proofErr w:type="gramEnd"/>
    </w:p>
    <w:p w14:paraId="57B2E065"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highlight w:val="yellow"/>
        </w:rPr>
      </w:pPr>
      <w:proofErr w:type="gramStart"/>
      <w:r w:rsidRPr="00451D40">
        <w:rPr>
          <w:rFonts w:ascii="Times New Roman" w:hAnsi="Times New Roman" w:cs="Times New Roman"/>
          <w:sz w:val="24"/>
          <w:szCs w:val="24"/>
        </w:rPr>
        <w:t>Obstfeld, M. (1998).</w:t>
      </w:r>
      <w:proofErr w:type="gramEnd"/>
      <w:r w:rsidRPr="00451D40">
        <w:rPr>
          <w:rFonts w:ascii="Times New Roman" w:hAnsi="Times New Roman" w:cs="Times New Roman"/>
          <w:sz w:val="24"/>
          <w:szCs w:val="24"/>
        </w:rPr>
        <w:t xml:space="preserve"> </w:t>
      </w:r>
      <w:r>
        <w:rPr>
          <w:rFonts w:ascii="Times New Roman" w:hAnsi="Times New Roman" w:cs="Times New Roman"/>
          <w:sz w:val="24"/>
          <w:szCs w:val="24"/>
        </w:rPr>
        <w:t>“</w:t>
      </w:r>
      <w:r w:rsidRPr="00451D40">
        <w:rPr>
          <w:rFonts w:ascii="Times New Roman" w:hAnsi="Times New Roman" w:cs="Times New Roman"/>
          <w:sz w:val="24"/>
          <w:szCs w:val="24"/>
        </w:rPr>
        <w:t>The global capital market: benefactor or menace?</w:t>
      </w:r>
      <w:proofErr w:type="gramStart"/>
      <w:r>
        <w:rPr>
          <w:rFonts w:ascii="Times New Roman" w:hAnsi="Times New Roman" w:cs="Times New Roman"/>
          <w:sz w:val="24"/>
          <w:szCs w:val="24"/>
        </w:rPr>
        <w:t>”</w:t>
      </w:r>
      <w:r w:rsidRPr="00451D40">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i/>
          <w:iCs/>
          <w:sz w:val="24"/>
          <w:szCs w:val="24"/>
        </w:rPr>
        <w:t>Journal of economic perspectives</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12</w:t>
      </w:r>
      <w:r>
        <w:rPr>
          <w:rFonts w:ascii="Times New Roman" w:hAnsi="Times New Roman" w:cs="Times New Roman"/>
          <w:sz w:val="24"/>
          <w:szCs w:val="24"/>
        </w:rPr>
        <w:t>(4):</w:t>
      </w:r>
      <w:r w:rsidRPr="00451D40">
        <w:rPr>
          <w:rFonts w:ascii="Times New Roman" w:hAnsi="Times New Roman" w:cs="Times New Roman"/>
          <w:sz w:val="24"/>
          <w:szCs w:val="24"/>
        </w:rPr>
        <w:t xml:space="preserve"> 9-30.</w:t>
      </w:r>
    </w:p>
    <w:p w14:paraId="04577569"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proofErr w:type="gramStart"/>
      <w:r w:rsidRPr="00451D40">
        <w:rPr>
          <w:rFonts w:ascii="Times New Roman" w:hAnsi="Times New Roman" w:cs="Times New Roman"/>
          <w:sz w:val="24"/>
          <w:szCs w:val="24"/>
        </w:rPr>
        <w:t>OECD (2017).</w:t>
      </w:r>
      <w:proofErr w:type="gramEnd"/>
      <w:r w:rsidRPr="00451D40">
        <w:rPr>
          <w:rFonts w:ascii="Times New Roman" w:hAnsi="Times New Roman" w:cs="Times New Roman"/>
          <w:sz w:val="24"/>
          <w:szCs w:val="24"/>
        </w:rPr>
        <w:t xml:space="preserve"> </w:t>
      </w:r>
      <w:proofErr w:type="spellStart"/>
      <w:proofErr w:type="gramStart"/>
      <w:r w:rsidRPr="00451D40">
        <w:rPr>
          <w:rFonts w:ascii="Times New Roman" w:hAnsi="Times New Roman" w:cs="Times New Roman"/>
          <w:sz w:val="24"/>
          <w:szCs w:val="24"/>
        </w:rPr>
        <w:t>OECD.Stat</w:t>
      </w:r>
      <w:proofErr w:type="spellEnd"/>
      <w:r w:rsidRPr="00451D40">
        <w:rPr>
          <w:rFonts w:ascii="Times New Roman" w:hAnsi="Times New Roman" w:cs="Times New Roman"/>
          <w:sz w:val="24"/>
          <w:szCs w:val="24"/>
        </w:rPr>
        <w:t xml:space="preserve">. </w:t>
      </w:r>
      <w:hyperlink r:id="rId18" w:history="1">
        <w:r w:rsidRPr="00451D40">
          <w:rPr>
            <w:rStyle w:val="Hyperlink"/>
            <w:rFonts w:ascii="Times New Roman" w:hAnsi="Times New Roman" w:cs="Times New Roman"/>
            <w:sz w:val="24"/>
            <w:szCs w:val="24"/>
          </w:rPr>
          <w:t>http://stats.oecd.org/</w:t>
        </w:r>
      </w:hyperlink>
      <w:r w:rsidRPr="00451D40">
        <w:rPr>
          <w:rFonts w:ascii="Times New Roman" w:hAnsi="Times New Roman" w:cs="Times New Roman"/>
          <w:sz w:val="24"/>
          <w:szCs w:val="24"/>
        </w:rPr>
        <w:t xml:space="preserve">  Accessed January, 2018-January, 2019.</w:t>
      </w:r>
      <w:proofErr w:type="gramEnd"/>
    </w:p>
    <w:p w14:paraId="2A3FF425"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r w:rsidRPr="00451D40">
        <w:rPr>
          <w:rFonts w:ascii="Times New Roman" w:hAnsi="Times New Roman" w:cs="Times New Roman"/>
          <w:sz w:val="24"/>
          <w:szCs w:val="24"/>
        </w:rPr>
        <w:t xml:space="preserve">OECD (2018) Household debt: Household Accounts. </w:t>
      </w:r>
      <w:hyperlink r:id="rId19" w:history="1">
        <w:r w:rsidRPr="00451D40">
          <w:rPr>
            <w:rStyle w:val="Hyperlink"/>
            <w:rFonts w:ascii="Times New Roman" w:hAnsi="Times New Roman" w:cs="Times New Roman"/>
            <w:sz w:val="24"/>
            <w:szCs w:val="24"/>
          </w:rPr>
          <w:t>https://data.oecd.org/hha/household-debt.htm</w:t>
        </w:r>
      </w:hyperlink>
      <w:r w:rsidRPr="00451D40">
        <w:rPr>
          <w:rFonts w:ascii="Times New Roman" w:hAnsi="Times New Roman" w:cs="Times New Roman"/>
          <w:sz w:val="24"/>
          <w:szCs w:val="24"/>
        </w:rPr>
        <w:t>. Accessed August, 2018-January, 2019.</w:t>
      </w:r>
    </w:p>
    <w:p w14:paraId="7F78E03B" w14:textId="0E4BF425" w:rsidR="005F6C34" w:rsidRPr="00720A29" w:rsidRDefault="005F6C34" w:rsidP="00720A29">
      <w:pPr>
        <w:spacing w:before="100" w:beforeAutospacing="1" w:after="100" w:afterAutospacing="1" w:line="240" w:lineRule="auto"/>
        <w:jc w:val="both"/>
        <w:rPr>
          <w:rFonts w:ascii="Times New Roman" w:hAnsi="Times New Roman" w:cs="Times New Roman"/>
          <w:sz w:val="24"/>
          <w:szCs w:val="24"/>
        </w:rPr>
      </w:pPr>
      <w:proofErr w:type="spellStart"/>
      <w:proofErr w:type="gramStart"/>
      <w:r w:rsidRPr="00451D40">
        <w:rPr>
          <w:rFonts w:ascii="Times New Roman" w:hAnsi="Times New Roman" w:cs="Times New Roman"/>
          <w:sz w:val="24"/>
          <w:szCs w:val="24"/>
        </w:rPr>
        <w:t>Plümper</w:t>
      </w:r>
      <w:proofErr w:type="spellEnd"/>
      <w:r w:rsidRPr="00451D40">
        <w:rPr>
          <w:rFonts w:ascii="Times New Roman" w:hAnsi="Times New Roman" w:cs="Times New Roman"/>
          <w:sz w:val="24"/>
          <w:szCs w:val="24"/>
        </w:rPr>
        <w:t xml:space="preserve">, T., </w:t>
      </w:r>
      <w:proofErr w:type="spellStart"/>
      <w:r w:rsidRPr="00451D40">
        <w:rPr>
          <w:rFonts w:ascii="Times New Roman" w:hAnsi="Times New Roman" w:cs="Times New Roman"/>
          <w:sz w:val="24"/>
          <w:szCs w:val="24"/>
        </w:rPr>
        <w:t>Troeger</w:t>
      </w:r>
      <w:proofErr w:type="spellEnd"/>
      <w:r w:rsidRPr="00451D40">
        <w:rPr>
          <w:rFonts w:ascii="Times New Roman" w:hAnsi="Times New Roman" w:cs="Times New Roman"/>
          <w:sz w:val="24"/>
          <w:szCs w:val="24"/>
        </w:rPr>
        <w:t xml:space="preserve">, V., and </w:t>
      </w:r>
      <w:proofErr w:type="spellStart"/>
      <w:r w:rsidRPr="00451D40">
        <w:rPr>
          <w:rFonts w:ascii="Times New Roman" w:hAnsi="Times New Roman" w:cs="Times New Roman"/>
          <w:sz w:val="24"/>
          <w:szCs w:val="24"/>
        </w:rPr>
        <w:t>Manow</w:t>
      </w:r>
      <w:proofErr w:type="spellEnd"/>
      <w:r w:rsidRPr="00451D40">
        <w:rPr>
          <w:rFonts w:ascii="Times New Roman" w:hAnsi="Times New Roman" w:cs="Times New Roman"/>
          <w:sz w:val="24"/>
          <w:szCs w:val="24"/>
        </w:rPr>
        <w:t>, P. (2005).</w:t>
      </w:r>
      <w:proofErr w:type="gramEnd"/>
      <w:r w:rsidRPr="00451D40">
        <w:rPr>
          <w:rFonts w:ascii="Times New Roman" w:hAnsi="Times New Roman" w:cs="Times New Roman"/>
          <w:sz w:val="24"/>
          <w:szCs w:val="24"/>
        </w:rPr>
        <w:t xml:space="preserve">  “Panel data analysis in comparative politics: Linking method to theory”.  </w:t>
      </w:r>
      <w:proofErr w:type="gramStart"/>
      <w:r w:rsidRPr="00451D40">
        <w:rPr>
          <w:rFonts w:ascii="Times New Roman" w:hAnsi="Times New Roman" w:cs="Times New Roman"/>
          <w:i/>
          <w:sz w:val="24"/>
          <w:szCs w:val="24"/>
        </w:rPr>
        <w:t>European Journal of Political Research.</w:t>
      </w:r>
      <w:proofErr w:type="gramEnd"/>
      <w:r w:rsidR="00720A29">
        <w:rPr>
          <w:rFonts w:ascii="Times New Roman" w:hAnsi="Times New Roman" w:cs="Times New Roman"/>
          <w:sz w:val="24"/>
          <w:szCs w:val="24"/>
        </w:rPr>
        <w:t xml:space="preserve">  44: 327-354.</w:t>
      </w:r>
    </w:p>
    <w:p w14:paraId="5B3F43D9" w14:textId="77777777" w:rsidR="005F6C34" w:rsidRPr="00451D40" w:rsidRDefault="005F6C34" w:rsidP="005F6C34">
      <w:pPr>
        <w:spacing w:after="0" w:line="240" w:lineRule="auto"/>
        <w:jc w:val="both"/>
        <w:rPr>
          <w:rFonts w:ascii="Times New Roman" w:hAnsi="Times New Roman" w:cs="Times New Roman"/>
          <w:sz w:val="24"/>
          <w:szCs w:val="24"/>
        </w:rPr>
      </w:pPr>
      <w:proofErr w:type="spellStart"/>
      <w:proofErr w:type="gramStart"/>
      <w:r w:rsidRPr="00451D40">
        <w:rPr>
          <w:rFonts w:ascii="Times New Roman" w:hAnsi="Times New Roman" w:cs="Times New Roman"/>
          <w:sz w:val="24"/>
          <w:szCs w:val="24"/>
        </w:rPr>
        <w:lastRenderedPageBreak/>
        <w:t>Schelkle</w:t>
      </w:r>
      <w:proofErr w:type="spellEnd"/>
      <w:r w:rsidRPr="00451D40">
        <w:rPr>
          <w:rFonts w:ascii="Times New Roman" w:hAnsi="Times New Roman" w:cs="Times New Roman"/>
          <w:sz w:val="24"/>
          <w:szCs w:val="24"/>
        </w:rPr>
        <w:t>, W. (2012).</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“A crisis of what?</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 xml:space="preserve">Mortgage credit markets and the social policy of promoting homeownership in the United States and in Europe”, </w:t>
      </w:r>
      <w:r w:rsidRPr="00451D40">
        <w:rPr>
          <w:rFonts w:ascii="Times New Roman" w:hAnsi="Times New Roman" w:cs="Times New Roman"/>
          <w:i/>
          <w:iCs/>
          <w:sz w:val="24"/>
          <w:szCs w:val="24"/>
        </w:rPr>
        <w:t>Politics &amp; society</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40</w:t>
      </w:r>
      <w:r>
        <w:rPr>
          <w:rFonts w:ascii="Times New Roman" w:hAnsi="Times New Roman" w:cs="Times New Roman"/>
          <w:sz w:val="24"/>
          <w:szCs w:val="24"/>
        </w:rPr>
        <w:t>(1):</w:t>
      </w:r>
      <w:r w:rsidRPr="00451D40">
        <w:rPr>
          <w:rFonts w:ascii="Times New Roman" w:hAnsi="Times New Roman" w:cs="Times New Roman"/>
          <w:sz w:val="24"/>
          <w:szCs w:val="24"/>
        </w:rPr>
        <w:t xml:space="preserve"> 59-80.</w:t>
      </w:r>
    </w:p>
    <w:p w14:paraId="251AC4F5" w14:textId="77777777" w:rsidR="005F6C34" w:rsidRPr="00451D40" w:rsidRDefault="005F6C34" w:rsidP="005F6C34">
      <w:pPr>
        <w:spacing w:after="0" w:line="240" w:lineRule="auto"/>
        <w:rPr>
          <w:rFonts w:ascii="Times New Roman" w:hAnsi="Times New Roman" w:cs="Times New Roman"/>
          <w:sz w:val="24"/>
          <w:szCs w:val="24"/>
          <w:highlight w:val="yellow"/>
        </w:rPr>
      </w:pPr>
    </w:p>
    <w:p w14:paraId="0F02BEC7" w14:textId="77777777" w:rsidR="005F6C34" w:rsidRPr="00451D40" w:rsidRDefault="005F6C34" w:rsidP="005F6C34">
      <w:pPr>
        <w:spacing w:after="0" w:line="240" w:lineRule="auto"/>
        <w:jc w:val="both"/>
        <w:rPr>
          <w:rFonts w:ascii="Times New Roman" w:hAnsi="Times New Roman" w:cs="Times New Roman"/>
          <w:sz w:val="24"/>
          <w:szCs w:val="24"/>
        </w:rPr>
      </w:pPr>
      <w:r w:rsidRPr="00451D40">
        <w:rPr>
          <w:rFonts w:ascii="Times New Roman" w:hAnsi="Times New Roman" w:cs="Times New Roman"/>
          <w:sz w:val="24"/>
          <w:szCs w:val="24"/>
        </w:rPr>
        <w:t xml:space="preserve">Schwartz, H. (2009) </w:t>
      </w:r>
      <w:r w:rsidRPr="00451D40">
        <w:rPr>
          <w:rFonts w:ascii="Times New Roman" w:hAnsi="Times New Roman" w:cs="Times New Roman"/>
          <w:i/>
          <w:sz w:val="24"/>
          <w:szCs w:val="24"/>
        </w:rPr>
        <w:t>Subprime Nation: American Power, Global Capital, and the Housing Bubble</w:t>
      </w:r>
      <w:r w:rsidRPr="00451D40">
        <w:rPr>
          <w:rFonts w:ascii="Times New Roman" w:hAnsi="Times New Roman" w:cs="Times New Roman"/>
          <w:sz w:val="24"/>
          <w:szCs w:val="24"/>
        </w:rPr>
        <w:t>, Ithaca, NY: Cornell University Press.</w:t>
      </w:r>
    </w:p>
    <w:p w14:paraId="775D8E9D" w14:textId="77777777" w:rsidR="005F6C34" w:rsidRPr="00451D40" w:rsidRDefault="005F6C34" w:rsidP="005F6C34">
      <w:pPr>
        <w:spacing w:after="0" w:line="240" w:lineRule="auto"/>
        <w:rPr>
          <w:rFonts w:ascii="Times New Roman" w:eastAsia="Times New Roman" w:hAnsi="Times New Roman" w:cs="Times New Roman"/>
          <w:color w:val="222222"/>
          <w:sz w:val="24"/>
          <w:szCs w:val="24"/>
          <w:highlight w:val="yellow"/>
          <w:shd w:val="clear" w:color="auto" w:fill="FFFFFF"/>
        </w:rPr>
      </w:pPr>
    </w:p>
    <w:p w14:paraId="5B351153" w14:textId="7A5C1D81" w:rsidR="005F6C34" w:rsidRDefault="005F6C34" w:rsidP="005F6C34">
      <w:pPr>
        <w:spacing w:after="0" w:line="240" w:lineRule="auto"/>
        <w:rPr>
          <w:rFonts w:ascii="Times New Roman" w:eastAsia="Times New Roman" w:hAnsi="Times New Roman" w:cs="Times New Roman"/>
          <w:sz w:val="24"/>
          <w:szCs w:val="24"/>
          <w:shd w:val="clear" w:color="auto" w:fill="FFFFFF"/>
        </w:rPr>
      </w:pPr>
      <w:proofErr w:type="gramStart"/>
      <w:r w:rsidRPr="00451D40">
        <w:rPr>
          <w:rFonts w:ascii="Times New Roman" w:eastAsia="Times New Roman" w:hAnsi="Times New Roman" w:cs="Times New Roman"/>
          <w:sz w:val="24"/>
          <w:szCs w:val="24"/>
          <w:shd w:val="clear" w:color="auto" w:fill="FFFFFF"/>
        </w:rPr>
        <w:t>Schwartz, H., &amp; Seabrooke, L. (2008).</w:t>
      </w:r>
      <w:proofErr w:type="gramEnd"/>
      <w:r w:rsidRPr="00451D4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sidRPr="00451D40">
        <w:rPr>
          <w:rFonts w:ascii="Times New Roman" w:eastAsia="Times New Roman" w:hAnsi="Times New Roman" w:cs="Times New Roman"/>
          <w:sz w:val="24"/>
          <w:szCs w:val="24"/>
          <w:shd w:val="clear" w:color="auto" w:fill="FFFFFF"/>
        </w:rPr>
        <w:t xml:space="preserve">Varieties of residential capitalism in the international political economy: Old welfare states </w:t>
      </w:r>
      <w:r>
        <w:rPr>
          <w:rFonts w:ascii="Times New Roman" w:eastAsia="Times New Roman" w:hAnsi="Times New Roman" w:cs="Times New Roman"/>
          <w:sz w:val="24"/>
          <w:szCs w:val="24"/>
          <w:shd w:val="clear" w:color="auto" w:fill="FFFFFF"/>
        </w:rPr>
        <w:t>and the new politics of housing”.</w:t>
      </w:r>
      <w:r w:rsidRPr="00451D40">
        <w:rPr>
          <w:rFonts w:ascii="Times New Roman" w:eastAsia="Times New Roman" w:hAnsi="Times New Roman" w:cs="Times New Roman"/>
          <w:sz w:val="24"/>
          <w:szCs w:val="24"/>
          <w:shd w:val="clear" w:color="auto" w:fill="FFFFFF"/>
        </w:rPr>
        <w:t> </w:t>
      </w:r>
      <w:proofErr w:type="gramStart"/>
      <w:r w:rsidRPr="00451D40">
        <w:rPr>
          <w:rFonts w:ascii="Times New Roman" w:eastAsia="Times New Roman" w:hAnsi="Times New Roman" w:cs="Times New Roman"/>
          <w:i/>
          <w:iCs/>
          <w:sz w:val="24"/>
          <w:szCs w:val="24"/>
          <w:shd w:val="clear" w:color="auto" w:fill="FFFFFF"/>
        </w:rPr>
        <w:t>Comparative European Politics</w:t>
      </w:r>
      <w:r>
        <w:rPr>
          <w:rFonts w:ascii="Times New Roman" w:eastAsia="Times New Roman" w:hAnsi="Times New Roman" w:cs="Times New Roman"/>
          <w:sz w:val="24"/>
          <w:szCs w:val="24"/>
          <w:shd w:val="clear" w:color="auto" w:fill="FFFFFF"/>
        </w:rPr>
        <w:t>.</w:t>
      </w:r>
      <w:proofErr w:type="gramEnd"/>
      <w:r w:rsidRPr="00451D40">
        <w:rPr>
          <w:rFonts w:ascii="Times New Roman" w:eastAsia="Times New Roman" w:hAnsi="Times New Roman" w:cs="Times New Roman"/>
          <w:sz w:val="24"/>
          <w:szCs w:val="24"/>
          <w:shd w:val="clear" w:color="auto" w:fill="FFFFFF"/>
        </w:rPr>
        <w:t> </w:t>
      </w:r>
      <w:r w:rsidRPr="00451D40">
        <w:rPr>
          <w:rFonts w:ascii="Times New Roman" w:eastAsia="Times New Roman" w:hAnsi="Times New Roman" w:cs="Times New Roman"/>
          <w:i/>
          <w:iCs/>
          <w:sz w:val="24"/>
          <w:szCs w:val="24"/>
          <w:shd w:val="clear" w:color="auto" w:fill="FFFFFF"/>
        </w:rPr>
        <w:t>6</w:t>
      </w:r>
      <w:r>
        <w:rPr>
          <w:rFonts w:ascii="Times New Roman" w:eastAsia="Times New Roman" w:hAnsi="Times New Roman" w:cs="Times New Roman"/>
          <w:sz w:val="24"/>
          <w:szCs w:val="24"/>
          <w:shd w:val="clear" w:color="auto" w:fill="FFFFFF"/>
        </w:rPr>
        <w:t>(3):</w:t>
      </w:r>
      <w:r w:rsidRPr="00451D40">
        <w:rPr>
          <w:rFonts w:ascii="Times New Roman" w:eastAsia="Times New Roman" w:hAnsi="Times New Roman" w:cs="Times New Roman"/>
          <w:sz w:val="24"/>
          <w:szCs w:val="24"/>
          <w:shd w:val="clear" w:color="auto" w:fill="FFFFFF"/>
        </w:rPr>
        <w:t xml:space="preserve"> 237-261.</w:t>
      </w:r>
    </w:p>
    <w:p w14:paraId="3AE4CD82" w14:textId="72DE3419" w:rsidR="009A01CF" w:rsidRDefault="009A01CF" w:rsidP="005F6C34">
      <w:pPr>
        <w:spacing w:after="0" w:line="240" w:lineRule="auto"/>
        <w:rPr>
          <w:rFonts w:ascii="Times New Roman" w:eastAsia="Times New Roman" w:hAnsi="Times New Roman" w:cs="Times New Roman"/>
          <w:sz w:val="24"/>
          <w:szCs w:val="24"/>
          <w:shd w:val="clear" w:color="auto" w:fill="FFFFFF"/>
        </w:rPr>
      </w:pPr>
    </w:p>
    <w:p w14:paraId="5AC99A09" w14:textId="77777777" w:rsidR="00100DB7" w:rsidRDefault="00100DB7" w:rsidP="00D67934">
      <w:pPr>
        <w:spacing w:after="0" w:line="240" w:lineRule="auto"/>
        <w:rPr>
          <w:rFonts w:ascii="Times New Roman" w:eastAsia="Times New Roman" w:hAnsi="Times New Roman" w:cs="Times New Roman"/>
          <w:sz w:val="24"/>
          <w:szCs w:val="24"/>
          <w:lang w:val="en-GB"/>
        </w:rPr>
      </w:pPr>
    </w:p>
    <w:p w14:paraId="2F923207" w14:textId="77777777" w:rsidR="00100DB7" w:rsidRPr="00100DB7" w:rsidRDefault="00100DB7" w:rsidP="00100DB7">
      <w:pPr>
        <w:spacing w:after="0" w:line="240" w:lineRule="auto"/>
        <w:rPr>
          <w:rFonts w:ascii="Times New Roman" w:eastAsia="Times New Roman" w:hAnsi="Times New Roman" w:cs="Times New Roman"/>
          <w:sz w:val="24"/>
          <w:szCs w:val="24"/>
          <w:lang w:val="en-GB"/>
        </w:rPr>
      </w:pPr>
      <w:proofErr w:type="spellStart"/>
      <w:r w:rsidRPr="00100DB7">
        <w:rPr>
          <w:rFonts w:ascii="Times New Roman" w:eastAsia="Times New Roman" w:hAnsi="Times New Roman" w:cs="Times New Roman"/>
          <w:sz w:val="24"/>
          <w:szCs w:val="24"/>
          <w:lang w:val="en-GB"/>
        </w:rPr>
        <w:t>Stockhammer</w:t>
      </w:r>
      <w:proofErr w:type="spellEnd"/>
      <w:r w:rsidRPr="00100DB7">
        <w:rPr>
          <w:rFonts w:ascii="Times New Roman" w:eastAsia="Times New Roman" w:hAnsi="Times New Roman" w:cs="Times New Roman"/>
          <w:sz w:val="24"/>
          <w:szCs w:val="24"/>
          <w:lang w:val="en-GB"/>
        </w:rPr>
        <w:t xml:space="preserve">, E., </w:t>
      </w:r>
      <w:proofErr w:type="spellStart"/>
      <w:r w:rsidRPr="00100DB7">
        <w:rPr>
          <w:rFonts w:ascii="Times New Roman" w:eastAsia="Times New Roman" w:hAnsi="Times New Roman" w:cs="Times New Roman"/>
          <w:sz w:val="24"/>
          <w:szCs w:val="24"/>
          <w:lang w:val="en-GB"/>
        </w:rPr>
        <w:t>Onaran</w:t>
      </w:r>
      <w:proofErr w:type="spellEnd"/>
      <w:r w:rsidRPr="00100DB7">
        <w:rPr>
          <w:rFonts w:ascii="Times New Roman" w:eastAsia="Times New Roman" w:hAnsi="Times New Roman" w:cs="Times New Roman"/>
          <w:sz w:val="24"/>
          <w:szCs w:val="24"/>
          <w:lang w:val="en-GB"/>
        </w:rPr>
        <w:t xml:space="preserve">, </w:t>
      </w:r>
      <w:proofErr w:type="gramStart"/>
      <w:r w:rsidRPr="00100DB7">
        <w:rPr>
          <w:rFonts w:ascii="Times New Roman" w:eastAsia="Times New Roman" w:hAnsi="Times New Roman" w:cs="Times New Roman"/>
          <w:sz w:val="24"/>
          <w:szCs w:val="24"/>
          <w:lang w:val="en-GB"/>
        </w:rPr>
        <w:t>Ö.,</w:t>
      </w:r>
      <w:proofErr w:type="gramEnd"/>
      <w:r w:rsidRPr="00100DB7">
        <w:rPr>
          <w:rFonts w:ascii="Times New Roman" w:eastAsia="Times New Roman" w:hAnsi="Times New Roman" w:cs="Times New Roman"/>
          <w:sz w:val="24"/>
          <w:szCs w:val="24"/>
          <w:lang w:val="en-GB"/>
        </w:rPr>
        <w:t xml:space="preserve"> &amp; </w:t>
      </w:r>
      <w:proofErr w:type="spellStart"/>
      <w:r w:rsidRPr="00100DB7">
        <w:rPr>
          <w:rFonts w:ascii="Times New Roman" w:eastAsia="Times New Roman" w:hAnsi="Times New Roman" w:cs="Times New Roman"/>
          <w:sz w:val="24"/>
          <w:szCs w:val="24"/>
          <w:lang w:val="en-GB"/>
        </w:rPr>
        <w:t>Ederer</w:t>
      </w:r>
      <w:proofErr w:type="spellEnd"/>
      <w:r w:rsidRPr="00100DB7">
        <w:rPr>
          <w:rFonts w:ascii="Times New Roman" w:eastAsia="Times New Roman" w:hAnsi="Times New Roman" w:cs="Times New Roman"/>
          <w:sz w:val="24"/>
          <w:szCs w:val="24"/>
          <w:lang w:val="en-GB"/>
        </w:rPr>
        <w:t xml:space="preserve">, S. (2008). </w:t>
      </w:r>
      <w:proofErr w:type="gramStart"/>
      <w:r w:rsidRPr="00100DB7">
        <w:rPr>
          <w:rFonts w:ascii="Times New Roman" w:eastAsia="Times New Roman" w:hAnsi="Times New Roman" w:cs="Times New Roman"/>
          <w:sz w:val="24"/>
          <w:szCs w:val="24"/>
          <w:lang w:val="en-GB"/>
        </w:rPr>
        <w:t>Functional income distribution and aggregate demand in the Euro area.</w:t>
      </w:r>
      <w:proofErr w:type="gramEnd"/>
      <w:r w:rsidRPr="00100DB7">
        <w:rPr>
          <w:rFonts w:ascii="Times New Roman" w:eastAsia="Times New Roman" w:hAnsi="Times New Roman" w:cs="Times New Roman"/>
          <w:sz w:val="24"/>
          <w:szCs w:val="24"/>
          <w:lang w:val="en-GB"/>
        </w:rPr>
        <w:t> </w:t>
      </w:r>
      <w:proofErr w:type="gramStart"/>
      <w:r w:rsidRPr="00100DB7">
        <w:rPr>
          <w:rFonts w:ascii="Times New Roman" w:eastAsia="Times New Roman" w:hAnsi="Times New Roman" w:cs="Times New Roman"/>
          <w:i/>
          <w:iCs/>
          <w:sz w:val="24"/>
          <w:szCs w:val="24"/>
          <w:lang w:val="en-GB"/>
        </w:rPr>
        <w:t>Cambridge journal of Economics</w:t>
      </w:r>
      <w:r w:rsidRPr="00100DB7">
        <w:rPr>
          <w:rFonts w:ascii="Times New Roman" w:eastAsia="Times New Roman" w:hAnsi="Times New Roman" w:cs="Times New Roman"/>
          <w:sz w:val="24"/>
          <w:szCs w:val="24"/>
          <w:lang w:val="en-GB"/>
        </w:rPr>
        <w:t>, </w:t>
      </w:r>
      <w:r w:rsidRPr="00100DB7">
        <w:rPr>
          <w:rFonts w:ascii="Times New Roman" w:eastAsia="Times New Roman" w:hAnsi="Times New Roman" w:cs="Times New Roman"/>
          <w:i/>
          <w:iCs/>
          <w:sz w:val="24"/>
          <w:szCs w:val="24"/>
          <w:lang w:val="en-GB"/>
        </w:rPr>
        <w:t>33</w:t>
      </w:r>
      <w:r w:rsidRPr="00100DB7">
        <w:rPr>
          <w:rFonts w:ascii="Times New Roman" w:eastAsia="Times New Roman" w:hAnsi="Times New Roman" w:cs="Times New Roman"/>
          <w:sz w:val="24"/>
          <w:szCs w:val="24"/>
          <w:lang w:val="en-GB"/>
        </w:rPr>
        <w:t>(1), 139-159.</w:t>
      </w:r>
      <w:proofErr w:type="gramEnd"/>
    </w:p>
    <w:p w14:paraId="032728EF" w14:textId="77777777" w:rsidR="00100DB7" w:rsidRDefault="00100DB7" w:rsidP="00D67934">
      <w:pPr>
        <w:spacing w:after="0" w:line="240" w:lineRule="auto"/>
        <w:rPr>
          <w:rFonts w:ascii="Times New Roman" w:eastAsia="Times New Roman" w:hAnsi="Times New Roman" w:cs="Times New Roman"/>
          <w:sz w:val="24"/>
          <w:szCs w:val="24"/>
          <w:lang w:val="en-GB"/>
        </w:rPr>
      </w:pPr>
    </w:p>
    <w:p w14:paraId="63E9B036" w14:textId="7DB72F74" w:rsidR="00D67934" w:rsidRPr="00720A29" w:rsidRDefault="00D67934" w:rsidP="005F6C34">
      <w:pPr>
        <w:spacing w:after="0" w:line="240" w:lineRule="auto"/>
        <w:rPr>
          <w:rFonts w:ascii="Times New Roman" w:eastAsia="Times New Roman" w:hAnsi="Times New Roman" w:cs="Times New Roman"/>
          <w:sz w:val="24"/>
          <w:szCs w:val="24"/>
          <w:lang w:val="en-GB"/>
        </w:rPr>
      </w:pPr>
      <w:proofErr w:type="spellStart"/>
      <w:r w:rsidRPr="00D67934">
        <w:rPr>
          <w:rFonts w:ascii="Times New Roman" w:eastAsia="Times New Roman" w:hAnsi="Times New Roman" w:cs="Times New Roman"/>
          <w:sz w:val="24"/>
          <w:szCs w:val="24"/>
          <w:lang w:val="en-GB"/>
        </w:rPr>
        <w:t>Stockhammer</w:t>
      </w:r>
      <w:proofErr w:type="spellEnd"/>
      <w:r w:rsidRPr="00D67934">
        <w:rPr>
          <w:rFonts w:ascii="Times New Roman" w:eastAsia="Times New Roman" w:hAnsi="Times New Roman" w:cs="Times New Roman"/>
          <w:sz w:val="24"/>
          <w:szCs w:val="24"/>
          <w:lang w:val="en-GB"/>
        </w:rPr>
        <w:t>, E. (2017). Determinants of the wage share: a panel analysis of advanced and developing economies. </w:t>
      </w:r>
      <w:r w:rsidRPr="00D67934">
        <w:rPr>
          <w:rFonts w:ascii="Times New Roman" w:eastAsia="Times New Roman" w:hAnsi="Times New Roman" w:cs="Times New Roman"/>
          <w:i/>
          <w:iCs/>
          <w:sz w:val="24"/>
          <w:szCs w:val="24"/>
          <w:lang w:val="en-GB"/>
        </w:rPr>
        <w:t>British Journal of Industrial Relations</w:t>
      </w:r>
      <w:r w:rsidRPr="00D67934">
        <w:rPr>
          <w:rFonts w:ascii="Times New Roman" w:eastAsia="Times New Roman" w:hAnsi="Times New Roman" w:cs="Times New Roman"/>
          <w:sz w:val="24"/>
          <w:szCs w:val="24"/>
          <w:lang w:val="en-GB"/>
        </w:rPr>
        <w:t>, </w:t>
      </w:r>
      <w:r w:rsidRPr="00D67934">
        <w:rPr>
          <w:rFonts w:ascii="Times New Roman" w:eastAsia="Times New Roman" w:hAnsi="Times New Roman" w:cs="Times New Roman"/>
          <w:i/>
          <w:iCs/>
          <w:sz w:val="24"/>
          <w:szCs w:val="24"/>
          <w:lang w:val="en-GB"/>
        </w:rPr>
        <w:t>55</w:t>
      </w:r>
      <w:r w:rsidR="00720A29">
        <w:rPr>
          <w:rFonts w:ascii="Times New Roman" w:eastAsia="Times New Roman" w:hAnsi="Times New Roman" w:cs="Times New Roman"/>
          <w:sz w:val="24"/>
          <w:szCs w:val="24"/>
          <w:lang w:val="en-GB"/>
        </w:rPr>
        <w:t>(1), 3-33.</w:t>
      </w:r>
    </w:p>
    <w:p w14:paraId="1DE67366"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highlight w:val="yellow"/>
        </w:rPr>
      </w:pPr>
      <w:r w:rsidRPr="00451D40">
        <w:rPr>
          <w:rFonts w:ascii="Times New Roman" w:hAnsi="Times New Roman" w:cs="Times New Roman"/>
          <w:sz w:val="24"/>
          <w:szCs w:val="24"/>
        </w:rPr>
        <w:t xml:space="preserve">Thompson, H. (2013). “UK debt in comparative perspective: The pernicious legacy of financial sector debt”. </w:t>
      </w:r>
      <w:proofErr w:type="gramStart"/>
      <w:r w:rsidRPr="00451D40">
        <w:rPr>
          <w:rFonts w:ascii="Times New Roman" w:hAnsi="Times New Roman" w:cs="Times New Roman"/>
          <w:i/>
          <w:iCs/>
          <w:sz w:val="24"/>
          <w:szCs w:val="24"/>
        </w:rPr>
        <w:t>The British Journal of Politics and International Relations</w:t>
      </w:r>
      <w:r>
        <w:rPr>
          <w:rFonts w:ascii="Times New Roman" w:hAnsi="Times New Roman" w:cs="Times New Roman"/>
          <w:sz w:val="24"/>
          <w:szCs w:val="24"/>
        </w:rPr>
        <w:t>.</w:t>
      </w:r>
      <w:proofErr w:type="gramEnd"/>
      <w:r w:rsidRPr="00451D40">
        <w:rPr>
          <w:rFonts w:ascii="Times New Roman" w:hAnsi="Times New Roman" w:cs="Times New Roman"/>
          <w:sz w:val="24"/>
          <w:szCs w:val="24"/>
        </w:rPr>
        <w:t xml:space="preserve"> </w:t>
      </w:r>
      <w:r w:rsidRPr="00451D40">
        <w:rPr>
          <w:rFonts w:ascii="Times New Roman" w:hAnsi="Times New Roman" w:cs="Times New Roman"/>
          <w:i/>
          <w:iCs/>
          <w:sz w:val="24"/>
          <w:szCs w:val="24"/>
        </w:rPr>
        <w:t>15</w:t>
      </w:r>
      <w:r>
        <w:rPr>
          <w:rFonts w:ascii="Times New Roman" w:hAnsi="Times New Roman" w:cs="Times New Roman"/>
          <w:sz w:val="24"/>
          <w:szCs w:val="24"/>
        </w:rPr>
        <w:t>(3):</w:t>
      </w:r>
      <w:r w:rsidRPr="00451D40">
        <w:rPr>
          <w:rFonts w:ascii="Times New Roman" w:hAnsi="Times New Roman" w:cs="Times New Roman"/>
          <w:sz w:val="24"/>
          <w:szCs w:val="24"/>
        </w:rPr>
        <w:t xml:space="preserve"> 476-492.</w:t>
      </w:r>
    </w:p>
    <w:p w14:paraId="2CE5C628" w14:textId="77777777" w:rsidR="005F6C34" w:rsidRPr="00451D40" w:rsidRDefault="005F6C34" w:rsidP="005F6C34">
      <w:pPr>
        <w:spacing w:after="0" w:line="240" w:lineRule="auto"/>
        <w:rPr>
          <w:rFonts w:ascii="Times New Roman" w:hAnsi="Times New Roman" w:cs="Times New Roman"/>
          <w:sz w:val="24"/>
          <w:szCs w:val="24"/>
        </w:rPr>
      </w:pPr>
      <w:r w:rsidRPr="00451D40">
        <w:rPr>
          <w:rFonts w:ascii="Times New Roman" w:hAnsi="Times New Roman" w:cs="Times New Roman"/>
          <w:sz w:val="24"/>
          <w:szCs w:val="24"/>
        </w:rPr>
        <w:t xml:space="preserve">US Financial Crisis Inquiry Commission (2011) </w:t>
      </w:r>
      <w:r w:rsidRPr="00451D40">
        <w:rPr>
          <w:rFonts w:ascii="Times New Roman" w:hAnsi="Times New Roman" w:cs="Times New Roman"/>
          <w:i/>
          <w:sz w:val="24"/>
          <w:szCs w:val="24"/>
        </w:rPr>
        <w:t>The Financial Crisis Inquiry Report</w:t>
      </w:r>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US Government Printing Office, Washington DC.</w:t>
      </w:r>
      <w:proofErr w:type="gramEnd"/>
      <w:r w:rsidRPr="00451D40">
        <w:rPr>
          <w:rFonts w:ascii="Times New Roman" w:hAnsi="Times New Roman" w:cs="Times New Roman"/>
          <w:sz w:val="24"/>
          <w:szCs w:val="24"/>
        </w:rPr>
        <w:t xml:space="preserve">  </w:t>
      </w:r>
      <w:hyperlink r:id="rId20" w:history="1">
        <w:r w:rsidRPr="00451D40">
          <w:rPr>
            <w:rStyle w:val="Hyperlink"/>
            <w:rFonts w:ascii="Times New Roman" w:hAnsi="Times New Roman" w:cs="Times New Roman"/>
            <w:sz w:val="24"/>
            <w:szCs w:val="24"/>
          </w:rPr>
          <w:t>https://www.gpo.gov/fdsys/pkg/GPO-FCIC/pdf/GPO-FCIC.pdf</w:t>
        </w:r>
      </w:hyperlink>
      <w:r w:rsidRPr="00451D40">
        <w:rPr>
          <w:rStyle w:val="Hyperlink"/>
          <w:rFonts w:ascii="Times New Roman" w:hAnsi="Times New Roman" w:cs="Times New Roman"/>
          <w:sz w:val="24"/>
          <w:szCs w:val="24"/>
        </w:rPr>
        <w:t xml:space="preserve"> </w:t>
      </w:r>
      <w:r w:rsidRPr="00451D40">
        <w:rPr>
          <w:rFonts w:ascii="Times New Roman" w:hAnsi="Times New Roman" w:cs="Times New Roman"/>
          <w:sz w:val="24"/>
          <w:szCs w:val="24"/>
        </w:rPr>
        <w:t xml:space="preserve"> </w:t>
      </w:r>
    </w:p>
    <w:p w14:paraId="05EFA58E" w14:textId="6331E21B" w:rsidR="005F6C34" w:rsidRDefault="005F6C34" w:rsidP="005F6C34">
      <w:pPr>
        <w:spacing w:before="100" w:beforeAutospacing="1" w:after="100" w:afterAutospacing="1" w:line="240" w:lineRule="auto"/>
        <w:rPr>
          <w:rFonts w:ascii="Times New Roman" w:hAnsi="Times New Roman" w:cs="Times New Roman"/>
          <w:sz w:val="24"/>
          <w:szCs w:val="24"/>
        </w:rPr>
      </w:pPr>
      <w:proofErr w:type="spellStart"/>
      <w:proofErr w:type="gramStart"/>
      <w:r w:rsidRPr="00451D40">
        <w:rPr>
          <w:rFonts w:ascii="Times New Roman" w:hAnsi="Times New Roman" w:cs="Times New Roman"/>
          <w:sz w:val="24"/>
          <w:szCs w:val="24"/>
        </w:rPr>
        <w:t>Visser</w:t>
      </w:r>
      <w:proofErr w:type="spellEnd"/>
      <w:r w:rsidRPr="00451D40">
        <w:rPr>
          <w:rFonts w:ascii="Times New Roman" w:hAnsi="Times New Roman" w:cs="Times New Roman"/>
          <w:sz w:val="24"/>
          <w:szCs w:val="24"/>
        </w:rPr>
        <w:t>, J. (2016) ICTWSS Data base.</w:t>
      </w:r>
      <w:proofErr w:type="gramEnd"/>
      <w:r w:rsidRPr="00451D40">
        <w:rPr>
          <w:rFonts w:ascii="Times New Roman" w:hAnsi="Times New Roman" w:cs="Times New Roman"/>
          <w:sz w:val="24"/>
          <w:szCs w:val="24"/>
        </w:rPr>
        <w:t xml:space="preserve"> </w:t>
      </w:r>
      <w:proofErr w:type="gramStart"/>
      <w:r w:rsidRPr="00451D40">
        <w:rPr>
          <w:rFonts w:ascii="Times New Roman" w:hAnsi="Times New Roman" w:cs="Times New Roman"/>
          <w:sz w:val="24"/>
          <w:szCs w:val="24"/>
        </w:rPr>
        <w:t>version</w:t>
      </w:r>
      <w:proofErr w:type="gramEnd"/>
      <w:r w:rsidRPr="00451D40">
        <w:rPr>
          <w:rFonts w:ascii="Times New Roman" w:hAnsi="Times New Roman" w:cs="Times New Roman"/>
          <w:sz w:val="24"/>
          <w:szCs w:val="24"/>
        </w:rPr>
        <w:t xml:space="preserve"> 5.1. Amsterdam: Amsterdam Institute for Advanced </w:t>
      </w:r>
      <w:proofErr w:type="spellStart"/>
      <w:r w:rsidRPr="00451D40">
        <w:rPr>
          <w:rFonts w:ascii="Times New Roman" w:hAnsi="Times New Roman" w:cs="Times New Roman"/>
          <w:sz w:val="24"/>
          <w:szCs w:val="24"/>
        </w:rPr>
        <w:t>Labour</w:t>
      </w:r>
      <w:proofErr w:type="spellEnd"/>
      <w:r w:rsidRPr="00451D40">
        <w:rPr>
          <w:rFonts w:ascii="Times New Roman" w:hAnsi="Times New Roman" w:cs="Times New Roman"/>
          <w:sz w:val="24"/>
          <w:szCs w:val="24"/>
        </w:rPr>
        <w:t xml:space="preserve"> Studies (AIAS), University of Amsterdam</w:t>
      </w:r>
    </w:p>
    <w:p w14:paraId="19A32082" w14:textId="1809EEE6" w:rsidR="007E6FEB" w:rsidRDefault="0082180A" w:rsidP="005F6C3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Gunten</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Navot</w:t>
      </w:r>
      <w:proofErr w:type="spellEnd"/>
      <w:r>
        <w:rPr>
          <w:rFonts w:ascii="Times New Roman" w:eastAsia="Times New Roman" w:hAnsi="Times New Roman" w:cs="Times New Roman"/>
          <w:sz w:val="24"/>
          <w:szCs w:val="24"/>
        </w:rPr>
        <w:t>, E. (2018) “</w:t>
      </w:r>
      <w:proofErr w:type="spellStart"/>
      <w:r>
        <w:rPr>
          <w:rFonts w:ascii="Times New Roman" w:eastAsia="Times New Roman" w:hAnsi="Times New Roman" w:cs="Times New Roman"/>
          <w:sz w:val="24"/>
          <w:szCs w:val="24"/>
        </w:rPr>
        <w:t>Financialization</w:t>
      </w:r>
      <w:proofErr w:type="spellEnd"/>
      <w:r>
        <w:rPr>
          <w:rFonts w:ascii="Times New Roman" w:eastAsia="Times New Roman" w:hAnsi="Times New Roman" w:cs="Times New Roman"/>
          <w:sz w:val="24"/>
          <w:szCs w:val="24"/>
        </w:rPr>
        <w:t xml:space="preserve"> and Mortgage Market Institutions in Europe,” </w:t>
      </w:r>
      <w:r>
        <w:rPr>
          <w:rFonts w:ascii="Times New Roman" w:eastAsia="Times New Roman" w:hAnsi="Times New Roman" w:cs="Times New Roman"/>
          <w:i/>
          <w:sz w:val="24"/>
          <w:szCs w:val="24"/>
        </w:rPr>
        <w:t>Social Science Research</w:t>
      </w:r>
      <w:r>
        <w:rPr>
          <w:rFonts w:ascii="Times New Roman" w:eastAsia="Times New Roman" w:hAnsi="Times New Roman" w:cs="Times New Roman"/>
          <w:sz w:val="24"/>
          <w:szCs w:val="24"/>
        </w:rPr>
        <w:t xml:space="preserve"> 70: 90-106.</w:t>
      </w:r>
      <w:proofErr w:type="gramEnd"/>
    </w:p>
    <w:p w14:paraId="1D791496" w14:textId="230F2BA4" w:rsidR="007E6FEB" w:rsidRPr="00720A29" w:rsidRDefault="007E6FEB" w:rsidP="005F6C34">
      <w:pPr>
        <w:spacing w:before="100" w:beforeAutospacing="1" w:after="100" w:afterAutospacing="1" w:line="240" w:lineRule="auto"/>
        <w:rPr>
          <w:rFonts w:ascii="Times New Roman" w:eastAsia="Times New Roman" w:hAnsi="Times New Roman" w:cs="Times New Roman"/>
          <w:sz w:val="24"/>
          <w:szCs w:val="24"/>
          <w:lang w:val="en-GB"/>
        </w:rPr>
      </w:pPr>
      <w:proofErr w:type="spellStart"/>
      <w:r w:rsidRPr="007E6FEB">
        <w:rPr>
          <w:rFonts w:ascii="Times New Roman" w:eastAsia="Times New Roman" w:hAnsi="Times New Roman" w:cs="Times New Roman"/>
          <w:sz w:val="24"/>
          <w:szCs w:val="24"/>
          <w:lang w:val="en-GB"/>
        </w:rPr>
        <w:t>Woll</w:t>
      </w:r>
      <w:proofErr w:type="spellEnd"/>
      <w:r w:rsidRPr="007E6FEB">
        <w:rPr>
          <w:rFonts w:ascii="Times New Roman" w:eastAsia="Times New Roman" w:hAnsi="Times New Roman" w:cs="Times New Roman"/>
          <w:sz w:val="24"/>
          <w:szCs w:val="24"/>
          <w:lang w:val="en-GB"/>
        </w:rPr>
        <w:t>, C. (2008). </w:t>
      </w:r>
      <w:r w:rsidRPr="007E6FEB">
        <w:rPr>
          <w:rFonts w:ascii="Times New Roman" w:eastAsia="Times New Roman" w:hAnsi="Times New Roman" w:cs="Times New Roman"/>
          <w:i/>
          <w:iCs/>
          <w:sz w:val="24"/>
          <w:szCs w:val="24"/>
          <w:lang w:val="en-GB"/>
        </w:rPr>
        <w:t>Firm interests: How governments shape business lobbying on global trade</w:t>
      </w:r>
      <w:r w:rsidRPr="007E6FEB">
        <w:rPr>
          <w:rFonts w:ascii="Times New Roman" w:eastAsia="Times New Roman" w:hAnsi="Times New Roman" w:cs="Times New Roman"/>
          <w:sz w:val="24"/>
          <w:szCs w:val="24"/>
          <w:lang w:val="en-GB"/>
        </w:rPr>
        <w:t xml:space="preserve">. </w:t>
      </w:r>
      <w:proofErr w:type="gramStart"/>
      <w:r w:rsidRPr="007E6FEB">
        <w:rPr>
          <w:rFonts w:ascii="Times New Roman" w:eastAsia="Times New Roman" w:hAnsi="Times New Roman" w:cs="Times New Roman"/>
          <w:sz w:val="24"/>
          <w:szCs w:val="24"/>
          <w:lang w:val="en-GB"/>
        </w:rPr>
        <w:t>Cornell University Press.</w:t>
      </w:r>
      <w:proofErr w:type="gramEnd"/>
    </w:p>
    <w:p w14:paraId="55AEF4D4" w14:textId="77777777" w:rsidR="005F6C34" w:rsidRPr="00451D40" w:rsidRDefault="005F6C34" w:rsidP="005F6C34">
      <w:pPr>
        <w:spacing w:before="100" w:beforeAutospacing="1" w:after="100" w:afterAutospacing="1" w:line="240" w:lineRule="auto"/>
        <w:rPr>
          <w:rFonts w:ascii="Times New Roman" w:hAnsi="Times New Roman" w:cs="Times New Roman"/>
          <w:sz w:val="24"/>
          <w:szCs w:val="24"/>
        </w:rPr>
      </w:pPr>
      <w:r w:rsidRPr="00451D40">
        <w:rPr>
          <w:rFonts w:ascii="Times New Roman" w:hAnsi="Times New Roman" w:cs="Times New Roman"/>
          <w:sz w:val="24"/>
          <w:szCs w:val="24"/>
        </w:rPr>
        <w:t xml:space="preserve">World Bank, (2018) World Bank Open Data Database: Domestic Credit to Private Sector </w:t>
      </w:r>
      <w:hyperlink r:id="rId21" w:history="1">
        <w:r w:rsidRPr="00451D40">
          <w:rPr>
            <w:rStyle w:val="Hyperlink"/>
            <w:rFonts w:ascii="Times New Roman" w:hAnsi="Times New Roman" w:cs="Times New Roman"/>
            <w:sz w:val="24"/>
            <w:szCs w:val="24"/>
          </w:rPr>
          <w:t>http://data.worldbank.org/indicator/FS.AST.PRVT.GD.ZS</w:t>
        </w:r>
      </w:hyperlink>
      <w:r w:rsidRPr="00451D40">
        <w:rPr>
          <w:rFonts w:ascii="Times New Roman" w:hAnsi="Times New Roman" w:cs="Times New Roman"/>
          <w:sz w:val="24"/>
          <w:szCs w:val="24"/>
        </w:rPr>
        <w:t xml:space="preserve"> Accessed January-June, 2018.</w:t>
      </w:r>
    </w:p>
    <w:p w14:paraId="1E258124" w14:textId="532B4EC8" w:rsidR="0014769D" w:rsidRDefault="0014769D">
      <w:pPr>
        <w:rPr>
          <w:rFonts w:ascii="Times New Roman" w:hAnsi="Times New Roman" w:cs="Times New Roman"/>
          <w:b/>
          <w:sz w:val="24"/>
          <w:szCs w:val="24"/>
        </w:rPr>
      </w:pPr>
    </w:p>
    <w:sectPr w:rsidR="0014769D">
      <w:footerReference w:type="default" r:id="rId2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6DF00" w16cid:durableId="1FF06BBE"/>
  <w16cid:commentId w16cid:paraId="027C35C5" w16cid:durableId="1FF07631"/>
  <w16cid:commentId w16cid:paraId="17CB3820" w16cid:durableId="1FF06BBF"/>
  <w16cid:commentId w16cid:paraId="5A65C60B" w16cid:durableId="1FF07798"/>
  <w16cid:commentId w16cid:paraId="13435B0D" w16cid:durableId="1FF06BC0"/>
  <w16cid:commentId w16cid:paraId="5367F396" w16cid:durableId="1FF09517"/>
  <w16cid:commentId w16cid:paraId="4DA7A957" w16cid:durableId="1FF06BC1"/>
  <w16cid:commentId w16cid:paraId="63A899F0" w16cid:durableId="1FF07A83"/>
  <w16cid:commentId w16cid:paraId="3DA0A5C7" w16cid:durableId="1FF07BCA"/>
  <w16cid:commentId w16cid:paraId="432E4B6D" w16cid:durableId="1FF095F5"/>
  <w16cid:commentId w16cid:paraId="5BFDD21C" w16cid:durableId="1FF09646"/>
  <w16cid:commentId w16cid:paraId="6B3AAD4B" w16cid:durableId="1FF06BC2"/>
  <w16cid:commentId w16cid:paraId="02119A81" w16cid:durableId="1FF06BC3"/>
  <w16cid:commentId w16cid:paraId="70485A92" w16cid:durableId="1FE98E65"/>
  <w16cid:commentId w16cid:paraId="35D23583" w16cid:durableId="1FF097A8"/>
  <w16cid:commentId w16cid:paraId="05541375" w16cid:durableId="1FE98E66"/>
  <w16cid:commentId w16cid:paraId="2686B141" w16cid:durableId="1FF06BC6"/>
  <w16cid:commentId w16cid:paraId="2C8A0ED4" w16cid:durableId="1FF06BC7"/>
  <w16cid:commentId w16cid:paraId="102523E6" w16cid:durableId="1FF06BC8"/>
  <w16cid:commentId w16cid:paraId="224C3192" w16cid:durableId="1FF079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284FE" w14:textId="77777777" w:rsidR="00280CCA" w:rsidRDefault="00280CCA" w:rsidP="00DE7CA5">
      <w:pPr>
        <w:spacing w:after="0" w:line="240" w:lineRule="auto"/>
      </w:pPr>
      <w:r>
        <w:separator/>
      </w:r>
    </w:p>
  </w:endnote>
  <w:endnote w:type="continuationSeparator" w:id="0">
    <w:p w14:paraId="1E9F8FF3" w14:textId="77777777" w:rsidR="00280CCA" w:rsidRDefault="00280CCA" w:rsidP="00DE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78968"/>
      <w:docPartObj>
        <w:docPartGallery w:val="Page Numbers (Bottom of Page)"/>
        <w:docPartUnique/>
      </w:docPartObj>
    </w:sdtPr>
    <w:sdtEndPr>
      <w:rPr>
        <w:noProof/>
      </w:rPr>
    </w:sdtEndPr>
    <w:sdtContent>
      <w:p w14:paraId="7AE72321" w14:textId="458B1F94" w:rsidR="00BF147D" w:rsidRDefault="00BF147D">
        <w:pPr>
          <w:pStyle w:val="Footer"/>
          <w:jc w:val="center"/>
        </w:pPr>
        <w:r>
          <w:fldChar w:fldCharType="begin"/>
        </w:r>
        <w:r>
          <w:instrText xml:space="preserve"> PAGE   \* MERGEFORMAT </w:instrText>
        </w:r>
        <w:r>
          <w:fldChar w:fldCharType="separate"/>
        </w:r>
        <w:r w:rsidR="00F92FEF">
          <w:rPr>
            <w:noProof/>
          </w:rPr>
          <w:t>1</w:t>
        </w:r>
        <w:r>
          <w:rPr>
            <w:noProof/>
          </w:rPr>
          <w:fldChar w:fldCharType="end"/>
        </w:r>
      </w:p>
    </w:sdtContent>
  </w:sdt>
  <w:p w14:paraId="2AA0C367" w14:textId="77777777" w:rsidR="00BF147D" w:rsidRDefault="00BF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2480C" w14:textId="77777777" w:rsidR="00280CCA" w:rsidRDefault="00280CCA" w:rsidP="00DE7CA5">
      <w:pPr>
        <w:spacing w:after="0" w:line="240" w:lineRule="auto"/>
      </w:pPr>
      <w:r>
        <w:separator/>
      </w:r>
    </w:p>
  </w:footnote>
  <w:footnote w:type="continuationSeparator" w:id="0">
    <w:p w14:paraId="3E6FAFB1" w14:textId="77777777" w:rsidR="00280CCA" w:rsidRDefault="00280CCA" w:rsidP="00DE7CA5">
      <w:pPr>
        <w:spacing w:after="0" w:line="240" w:lineRule="auto"/>
      </w:pPr>
      <w:r>
        <w:continuationSeparator/>
      </w:r>
    </w:p>
  </w:footnote>
  <w:footnote w:id="1">
    <w:p w14:paraId="6C49E563" w14:textId="77777777" w:rsidR="00BF147D" w:rsidRPr="009C4E38" w:rsidRDefault="00BF147D" w:rsidP="00DE7CA5">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w:t>
      </w:r>
      <w:proofErr w:type="gramStart"/>
      <w:r w:rsidRPr="009C4E38">
        <w:rPr>
          <w:rFonts w:ascii="Times New Roman" w:hAnsi="Times New Roman" w:cs="Times New Roman"/>
          <w:sz w:val="22"/>
          <w:szCs w:val="22"/>
        </w:rPr>
        <w:t>Assistant Professor in International Relations and International Organizations, University of Groningen.</w:t>
      </w:r>
      <w:proofErr w:type="gramEnd"/>
      <w:r w:rsidRPr="009C4E38">
        <w:rPr>
          <w:rFonts w:ascii="Times New Roman" w:hAnsi="Times New Roman" w:cs="Times New Roman"/>
          <w:sz w:val="22"/>
          <w:szCs w:val="22"/>
        </w:rPr>
        <w:t xml:space="preserve"> Email: </w:t>
      </w:r>
      <w:hyperlink r:id="rId1" w:history="1">
        <w:r w:rsidRPr="009C4E38">
          <w:rPr>
            <w:rStyle w:val="Hyperlink"/>
            <w:rFonts w:ascii="Times New Roman" w:hAnsi="Times New Roman" w:cs="Times New Roman"/>
            <w:sz w:val="22"/>
            <w:szCs w:val="22"/>
          </w:rPr>
          <w:t>g.w.fuller@rug.nl</w:t>
        </w:r>
      </w:hyperlink>
      <w:r w:rsidRPr="009C4E38">
        <w:rPr>
          <w:rFonts w:ascii="Times New Roman" w:hAnsi="Times New Roman" w:cs="Times New Roman"/>
          <w:sz w:val="22"/>
          <w:szCs w:val="22"/>
        </w:rPr>
        <w:t xml:space="preserve"> </w:t>
      </w:r>
    </w:p>
  </w:footnote>
  <w:footnote w:id="2">
    <w:p w14:paraId="69F1F256" w14:textId="77777777" w:rsidR="00BF147D" w:rsidRPr="009C4E38" w:rsidRDefault="00BF147D" w:rsidP="00DE7CA5">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w:t>
      </w:r>
      <w:proofErr w:type="gramStart"/>
      <w:r w:rsidRPr="009C4E38">
        <w:rPr>
          <w:rFonts w:ascii="Times New Roman" w:hAnsi="Times New Roman" w:cs="Times New Roman"/>
          <w:sz w:val="22"/>
          <w:szCs w:val="22"/>
        </w:rPr>
        <w:t>Associate Professor in Political Science and Public Policy, Oregon State University.</w:t>
      </w:r>
      <w:proofErr w:type="gramEnd"/>
      <w:r w:rsidRPr="009C4E38">
        <w:rPr>
          <w:rFonts w:ascii="Times New Roman" w:hAnsi="Times New Roman" w:cs="Times New Roman"/>
          <w:sz w:val="22"/>
          <w:szCs w:val="22"/>
        </w:rPr>
        <w:t xml:space="preserve"> Email: </w:t>
      </w:r>
      <w:hyperlink r:id="rId2" w:history="1">
        <w:r w:rsidRPr="009C4E38">
          <w:rPr>
            <w:rStyle w:val="Hyperlink"/>
            <w:rFonts w:ascii="Times New Roman" w:hAnsi="Times New Roman" w:cs="Times New Roman"/>
            <w:sz w:val="22"/>
            <w:szCs w:val="22"/>
          </w:rPr>
          <w:t>Alison.Johnston@oregonstate.edu</w:t>
        </w:r>
      </w:hyperlink>
      <w:r w:rsidRPr="009C4E38">
        <w:rPr>
          <w:rFonts w:ascii="Times New Roman" w:hAnsi="Times New Roman" w:cs="Times New Roman"/>
          <w:sz w:val="22"/>
          <w:szCs w:val="22"/>
        </w:rPr>
        <w:t xml:space="preserve"> </w:t>
      </w:r>
    </w:p>
  </w:footnote>
  <w:footnote w:id="3">
    <w:p w14:paraId="01EAB253" w14:textId="77777777" w:rsidR="00BF147D" w:rsidRPr="009C4E38" w:rsidRDefault="00BF147D" w:rsidP="00DE7CA5">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w:t>
      </w:r>
      <w:proofErr w:type="gramStart"/>
      <w:r w:rsidRPr="009C4E38">
        <w:rPr>
          <w:rFonts w:ascii="Times New Roman" w:hAnsi="Times New Roman" w:cs="Times New Roman"/>
          <w:sz w:val="22"/>
          <w:szCs w:val="22"/>
        </w:rPr>
        <w:t>Assistant Professor, School of Politics and International Relations, University College Dublin.</w:t>
      </w:r>
      <w:proofErr w:type="gramEnd"/>
      <w:r w:rsidRPr="009C4E38">
        <w:rPr>
          <w:rFonts w:ascii="Times New Roman" w:hAnsi="Times New Roman" w:cs="Times New Roman"/>
          <w:sz w:val="22"/>
          <w:szCs w:val="22"/>
        </w:rPr>
        <w:t xml:space="preserve"> Email: </w:t>
      </w:r>
      <w:hyperlink r:id="rId3" w:history="1">
        <w:r w:rsidRPr="009C4E38">
          <w:rPr>
            <w:rStyle w:val="Hyperlink"/>
            <w:rFonts w:ascii="Times New Roman" w:hAnsi="Times New Roman" w:cs="Times New Roman"/>
            <w:sz w:val="22"/>
            <w:szCs w:val="22"/>
          </w:rPr>
          <w:t>aidan.regan@ucd.ie</w:t>
        </w:r>
      </w:hyperlink>
      <w:r w:rsidRPr="009C4E38">
        <w:rPr>
          <w:rFonts w:ascii="Times New Roman" w:hAnsi="Times New Roman" w:cs="Times New Roman"/>
          <w:sz w:val="22"/>
          <w:szCs w:val="22"/>
        </w:rPr>
        <w:t xml:space="preserve">  </w:t>
      </w:r>
    </w:p>
  </w:footnote>
  <w:footnote w:id="4">
    <w:p w14:paraId="18B75E7C" w14:textId="215CF814" w:rsidR="00BF147D" w:rsidRDefault="00BF147D">
      <w:pPr>
        <w:pStyle w:val="FootnoteText"/>
      </w:pPr>
      <w:r>
        <w:rPr>
          <w:rStyle w:val="FootnoteReference"/>
        </w:rPr>
        <w:footnoteRef/>
      </w:r>
      <w:r>
        <w:t xml:space="preserve"> </w:t>
      </w:r>
      <w:r w:rsidRPr="00F81193">
        <w:rPr>
          <w:rFonts w:ascii="Times New Roman" w:hAnsi="Times New Roman" w:cs="Times New Roman"/>
          <w:sz w:val="22"/>
          <w:szCs w:val="22"/>
        </w:rPr>
        <w:t>Although</w:t>
      </w:r>
      <w:r>
        <w:rPr>
          <w:rFonts w:ascii="Times New Roman" w:hAnsi="Times New Roman" w:cs="Times New Roman"/>
          <w:sz w:val="22"/>
          <w:szCs w:val="22"/>
        </w:rPr>
        <w:t xml:space="preserve"> see</w:t>
      </w:r>
      <w:r w:rsidRPr="00F81193">
        <w:rPr>
          <w:rFonts w:ascii="Times New Roman" w:hAnsi="Times New Roman" w:cs="Times New Roman"/>
          <w:sz w:val="22"/>
          <w:szCs w:val="22"/>
        </w:rPr>
        <w:t xml:space="preserve"> </w:t>
      </w:r>
      <w:r w:rsidRPr="00163A25">
        <w:rPr>
          <w:rFonts w:ascii="Times New Roman" w:hAnsi="Times New Roman" w:cs="Times New Roman"/>
          <w:sz w:val="22"/>
          <w:szCs w:val="22"/>
        </w:rPr>
        <w:t xml:space="preserve">Culpepper and </w:t>
      </w:r>
      <w:proofErr w:type="spellStart"/>
      <w:r w:rsidRPr="00163A25">
        <w:rPr>
          <w:rFonts w:ascii="Times New Roman" w:hAnsi="Times New Roman" w:cs="Times New Roman"/>
          <w:sz w:val="22"/>
          <w:szCs w:val="22"/>
        </w:rPr>
        <w:t>Reinke</w:t>
      </w:r>
      <w:proofErr w:type="spellEnd"/>
      <w:r w:rsidRPr="00163A25">
        <w:rPr>
          <w:rFonts w:ascii="Times New Roman" w:hAnsi="Times New Roman" w:cs="Times New Roman"/>
          <w:sz w:val="22"/>
          <w:szCs w:val="22"/>
        </w:rPr>
        <w:t xml:space="preserve"> (</w:t>
      </w:r>
      <w:r w:rsidRPr="00ED4EA2">
        <w:rPr>
          <w:rFonts w:ascii="Times New Roman" w:hAnsi="Times New Roman" w:cs="Times New Roman"/>
          <w:sz w:val="22"/>
          <w:szCs w:val="22"/>
        </w:rPr>
        <w:t>2014</w:t>
      </w:r>
      <w:r w:rsidRPr="00F81193">
        <w:rPr>
          <w:rFonts w:ascii="Times New Roman" w:hAnsi="Times New Roman" w:cs="Times New Roman"/>
          <w:sz w:val="22"/>
          <w:szCs w:val="22"/>
        </w:rPr>
        <w:t xml:space="preserve">) </w:t>
      </w:r>
      <w:r>
        <w:rPr>
          <w:rFonts w:ascii="Times New Roman" w:hAnsi="Times New Roman" w:cs="Times New Roman"/>
          <w:sz w:val="22"/>
          <w:szCs w:val="22"/>
        </w:rPr>
        <w:t xml:space="preserve">for an opposing view. </w:t>
      </w:r>
    </w:p>
  </w:footnote>
  <w:footnote w:id="5">
    <w:p w14:paraId="4F387036" w14:textId="6C7B8219" w:rsidR="00BF147D" w:rsidRPr="00163A25" w:rsidRDefault="00BF147D">
      <w:pPr>
        <w:pStyle w:val="FootnoteText"/>
        <w:rPr>
          <w:rFonts w:ascii="Times New Roman" w:hAnsi="Times New Roman" w:cs="Times New Roman"/>
          <w:sz w:val="22"/>
          <w:szCs w:val="22"/>
        </w:rPr>
      </w:pPr>
      <w:r w:rsidRPr="00163A25">
        <w:rPr>
          <w:rStyle w:val="FootnoteReference"/>
          <w:rFonts w:ascii="Times New Roman" w:hAnsi="Times New Roman" w:cs="Times New Roman"/>
          <w:sz w:val="22"/>
          <w:szCs w:val="22"/>
        </w:rPr>
        <w:footnoteRef/>
      </w:r>
      <w:r w:rsidRPr="00163A25">
        <w:rPr>
          <w:rFonts w:ascii="Times New Roman" w:hAnsi="Times New Roman" w:cs="Times New Roman"/>
          <w:sz w:val="22"/>
          <w:szCs w:val="22"/>
        </w:rPr>
        <w:t xml:space="preserve"> By the time of the Global Financial Crisis, mortgage backed securities made up roughly 18% of debt sold in American financial markets, higher than the share of US government treasuries (US Financial Crisis Inquiry Commission, 2011; 68).</w:t>
      </w:r>
    </w:p>
  </w:footnote>
  <w:footnote w:id="6">
    <w:p w14:paraId="2D01BAFE" w14:textId="74A892FA" w:rsidR="00BF147D" w:rsidRPr="008707B7" w:rsidRDefault="00BF147D">
      <w:pPr>
        <w:pStyle w:val="FootnoteText"/>
        <w:rPr>
          <w:rFonts w:ascii="Times New Roman" w:hAnsi="Times New Roman" w:cs="Times New Roman"/>
          <w:sz w:val="22"/>
          <w:szCs w:val="22"/>
        </w:rPr>
      </w:pPr>
      <w:r w:rsidRPr="00660935">
        <w:rPr>
          <w:rStyle w:val="FootnoteReference"/>
          <w:rFonts w:ascii="Times New Roman" w:hAnsi="Times New Roman" w:cs="Times New Roman"/>
          <w:sz w:val="22"/>
          <w:szCs w:val="22"/>
        </w:rPr>
        <w:footnoteRef/>
      </w:r>
      <w:r w:rsidRPr="00660935">
        <w:rPr>
          <w:rFonts w:ascii="Times New Roman" w:hAnsi="Times New Roman" w:cs="Times New Roman"/>
          <w:sz w:val="22"/>
          <w:szCs w:val="22"/>
        </w:rPr>
        <w:t xml:space="preserve"> Our reference to “labor market institutions” focus</w:t>
      </w:r>
      <w:r>
        <w:rPr>
          <w:rFonts w:ascii="Times New Roman" w:hAnsi="Times New Roman" w:cs="Times New Roman"/>
          <w:sz w:val="22"/>
          <w:szCs w:val="22"/>
        </w:rPr>
        <w:t>es</w:t>
      </w:r>
      <w:r w:rsidRPr="00660935">
        <w:rPr>
          <w:rFonts w:ascii="Times New Roman" w:hAnsi="Times New Roman" w:cs="Times New Roman"/>
          <w:sz w:val="22"/>
          <w:szCs w:val="22"/>
        </w:rPr>
        <w:t xml:space="preserve"> on </w:t>
      </w:r>
      <w:r>
        <w:rPr>
          <w:rFonts w:ascii="Times New Roman" w:hAnsi="Times New Roman" w:cs="Times New Roman"/>
          <w:sz w:val="22"/>
          <w:szCs w:val="22"/>
        </w:rPr>
        <w:t>four</w:t>
      </w:r>
      <w:r w:rsidRPr="00660935">
        <w:rPr>
          <w:rFonts w:ascii="Times New Roman" w:hAnsi="Times New Roman" w:cs="Times New Roman"/>
          <w:sz w:val="22"/>
          <w:szCs w:val="22"/>
        </w:rPr>
        <w:t xml:space="preserve"> aspects of the organization of the labor market: 1.) the coordination of wage-setting, 2.) the cen</w:t>
      </w:r>
      <w:r>
        <w:rPr>
          <w:rFonts w:ascii="Times New Roman" w:hAnsi="Times New Roman" w:cs="Times New Roman"/>
          <w:sz w:val="22"/>
          <w:szCs w:val="22"/>
        </w:rPr>
        <w:t>tralization of wage-setting,</w:t>
      </w:r>
      <w:r w:rsidRPr="00660935">
        <w:rPr>
          <w:rFonts w:ascii="Times New Roman" w:hAnsi="Times New Roman" w:cs="Times New Roman"/>
          <w:sz w:val="22"/>
          <w:szCs w:val="22"/>
        </w:rPr>
        <w:t xml:space="preserve"> 3.) union density</w:t>
      </w:r>
      <w:r>
        <w:rPr>
          <w:rFonts w:ascii="Times New Roman" w:hAnsi="Times New Roman" w:cs="Times New Roman"/>
          <w:sz w:val="22"/>
          <w:szCs w:val="22"/>
        </w:rPr>
        <w:t>, and 4.) collective bargaining coverage</w:t>
      </w:r>
      <w:r w:rsidRPr="00660935">
        <w:rPr>
          <w:rFonts w:ascii="Times New Roman" w:hAnsi="Times New Roman" w:cs="Times New Roman"/>
          <w:sz w:val="22"/>
          <w:szCs w:val="22"/>
        </w:rPr>
        <w:t>.</w:t>
      </w:r>
      <w:r>
        <w:rPr>
          <w:rFonts w:ascii="Times New Roman" w:hAnsi="Times New Roman" w:cs="Times New Roman"/>
          <w:sz w:val="22"/>
          <w:szCs w:val="22"/>
        </w:rPr>
        <w:t xml:space="preserve">  </w:t>
      </w:r>
      <w:r w:rsidRPr="00D51262">
        <w:rPr>
          <w:rFonts w:ascii="Times New Roman" w:hAnsi="Times New Roman" w:cs="Times New Roman"/>
          <w:sz w:val="22"/>
          <w:szCs w:val="22"/>
        </w:rPr>
        <w:t>We use the terms “organized</w:t>
      </w:r>
      <w:r w:rsidRPr="00287FFC">
        <w:rPr>
          <w:rFonts w:ascii="Times New Roman" w:hAnsi="Times New Roman" w:cs="Times New Roman"/>
          <w:sz w:val="22"/>
          <w:szCs w:val="22"/>
        </w:rPr>
        <w:t xml:space="preserve">”, </w:t>
      </w:r>
      <w:r w:rsidRPr="00363E69">
        <w:rPr>
          <w:rFonts w:ascii="Times New Roman" w:hAnsi="Times New Roman" w:cs="Times New Roman"/>
          <w:sz w:val="22"/>
          <w:szCs w:val="22"/>
        </w:rPr>
        <w:t>“coordinated”</w:t>
      </w:r>
      <w:r w:rsidRPr="008707B7">
        <w:rPr>
          <w:rFonts w:ascii="Times New Roman" w:hAnsi="Times New Roman" w:cs="Times New Roman"/>
          <w:sz w:val="22"/>
          <w:szCs w:val="22"/>
        </w:rPr>
        <w:t xml:space="preserve"> and “inclusive” labor markets interchangeably. </w:t>
      </w:r>
    </w:p>
  </w:footnote>
  <w:footnote w:id="7">
    <w:p w14:paraId="4B3CF6A1" w14:textId="35A40C27" w:rsidR="00BF147D" w:rsidRDefault="00BF147D">
      <w:pPr>
        <w:pStyle w:val="FootnoteText"/>
      </w:pPr>
      <w:r w:rsidRPr="00D51262">
        <w:rPr>
          <w:rStyle w:val="FootnoteReference"/>
          <w:rFonts w:ascii="Times New Roman" w:hAnsi="Times New Roman" w:cs="Times New Roman"/>
          <w:sz w:val="22"/>
          <w:szCs w:val="22"/>
        </w:rPr>
        <w:footnoteRef/>
      </w:r>
      <w:r w:rsidRPr="00D51262">
        <w:rPr>
          <w:rFonts w:ascii="Times New Roman" w:hAnsi="Times New Roman" w:cs="Times New Roman"/>
          <w:sz w:val="22"/>
          <w:szCs w:val="22"/>
        </w:rPr>
        <w:t xml:space="preserve"> We use the terms “mortgage credit regimes”</w:t>
      </w:r>
      <w:r>
        <w:rPr>
          <w:rFonts w:ascii="Times New Roman" w:hAnsi="Times New Roman" w:cs="Times New Roman"/>
          <w:sz w:val="22"/>
          <w:szCs w:val="22"/>
        </w:rPr>
        <w:t>,</w:t>
      </w:r>
      <w:r w:rsidRPr="00D51262">
        <w:rPr>
          <w:rFonts w:ascii="Times New Roman" w:hAnsi="Times New Roman" w:cs="Times New Roman"/>
          <w:sz w:val="22"/>
          <w:szCs w:val="22"/>
        </w:rPr>
        <w:t xml:space="preserve"> “household credit regimes”</w:t>
      </w:r>
      <w:r>
        <w:rPr>
          <w:rFonts w:ascii="Times New Roman" w:hAnsi="Times New Roman" w:cs="Times New Roman"/>
          <w:sz w:val="22"/>
          <w:szCs w:val="22"/>
        </w:rPr>
        <w:t>,</w:t>
      </w:r>
      <w:r w:rsidRPr="00D51262">
        <w:rPr>
          <w:rFonts w:ascii="Times New Roman" w:hAnsi="Times New Roman" w:cs="Times New Roman"/>
          <w:sz w:val="22"/>
          <w:szCs w:val="22"/>
        </w:rPr>
        <w:t xml:space="preserve"> and “household finance regimes” interchangeably.</w:t>
      </w:r>
    </w:p>
  </w:footnote>
  <w:footnote w:id="8">
    <w:p w14:paraId="0DA2C261" w14:textId="7E934659" w:rsidR="00BF147D" w:rsidRPr="00AF5C2B" w:rsidRDefault="00BF147D">
      <w:pPr>
        <w:pStyle w:val="FootnoteText"/>
        <w:rPr>
          <w:rFonts w:ascii="Times New Roman" w:hAnsi="Times New Roman" w:cs="Times New Roman"/>
          <w:sz w:val="22"/>
          <w:szCs w:val="22"/>
        </w:rPr>
      </w:pPr>
      <w:r w:rsidRPr="00AF5C2B">
        <w:rPr>
          <w:rStyle w:val="FootnoteReference"/>
          <w:rFonts w:ascii="Times New Roman" w:hAnsi="Times New Roman" w:cs="Times New Roman"/>
          <w:sz w:val="22"/>
          <w:szCs w:val="22"/>
        </w:rPr>
        <w:footnoteRef/>
      </w:r>
      <w:r w:rsidRPr="00AF5C2B">
        <w:rPr>
          <w:rFonts w:ascii="Times New Roman" w:hAnsi="Times New Roman" w:cs="Times New Roman"/>
          <w:sz w:val="22"/>
          <w:szCs w:val="22"/>
        </w:rPr>
        <w:t xml:space="preserve"> </w:t>
      </w:r>
      <w:proofErr w:type="gramStart"/>
      <w:r>
        <w:rPr>
          <w:rFonts w:ascii="Times New Roman" w:hAnsi="Times New Roman" w:cs="Times New Roman"/>
          <w:sz w:val="22"/>
          <w:szCs w:val="22"/>
        </w:rPr>
        <w:t>T</w:t>
      </w:r>
      <w:r w:rsidRPr="00AF5C2B">
        <w:rPr>
          <w:rFonts w:ascii="Times New Roman" w:hAnsi="Times New Roman" w:cs="Times New Roman"/>
          <w:sz w:val="22"/>
          <w:szCs w:val="22"/>
        </w:rPr>
        <w:t>he rise of non-traditional mortgage lending in the US</w:t>
      </w:r>
      <w:r>
        <w:rPr>
          <w:rFonts w:ascii="Times New Roman" w:hAnsi="Times New Roman" w:cs="Times New Roman"/>
          <w:sz w:val="22"/>
          <w:szCs w:val="22"/>
        </w:rPr>
        <w:t xml:space="preserve"> (and, to a lesser extent, the UK)</w:t>
      </w:r>
      <w:r w:rsidRPr="00AF5C2B">
        <w:rPr>
          <w:rFonts w:ascii="Times New Roman" w:hAnsi="Times New Roman" w:cs="Times New Roman"/>
          <w:sz w:val="22"/>
          <w:szCs w:val="22"/>
        </w:rPr>
        <w:t xml:space="preserve"> loosened income “constraints” on household borrowing prior to the 2006 subprime mortgage crisis.</w:t>
      </w:r>
      <w:proofErr w:type="gramEnd"/>
    </w:p>
  </w:footnote>
  <w:footnote w:id="9">
    <w:p w14:paraId="7553CB84" w14:textId="416D9EC7" w:rsidR="00BF147D" w:rsidRPr="00E061D8" w:rsidRDefault="00BF147D">
      <w:pPr>
        <w:pStyle w:val="FootnoteText"/>
        <w:rPr>
          <w:rFonts w:ascii="Times New Roman" w:hAnsi="Times New Roman" w:cs="Times New Roman"/>
          <w:sz w:val="22"/>
          <w:szCs w:val="22"/>
        </w:rPr>
      </w:pPr>
      <w:r w:rsidRPr="00E061D8">
        <w:rPr>
          <w:rStyle w:val="FootnoteReference"/>
          <w:rFonts w:ascii="Times New Roman" w:hAnsi="Times New Roman" w:cs="Times New Roman"/>
          <w:sz w:val="22"/>
          <w:szCs w:val="22"/>
        </w:rPr>
        <w:footnoteRef/>
      </w:r>
      <w:r w:rsidRPr="00E061D8">
        <w:rPr>
          <w:rFonts w:ascii="Times New Roman" w:hAnsi="Times New Roman" w:cs="Times New Roman"/>
          <w:sz w:val="22"/>
          <w:szCs w:val="22"/>
        </w:rPr>
        <w:t xml:space="preserve"> OECD Dataset 720: Financial Balance Sheets (Non-Consolidated).</w:t>
      </w:r>
    </w:p>
  </w:footnote>
  <w:footnote w:id="10">
    <w:p w14:paraId="219E8687" w14:textId="354AE3CD" w:rsidR="00BF147D" w:rsidRDefault="00BF147D">
      <w:pPr>
        <w:pStyle w:val="FootnoteText"/>
      </w:pPr>
      <w:r w:rsidRPr="00E061D8">
        <w:rPr>
          <w:rStyle w:val="FootnoteReference"/>
          <w:rFonts w:ascii="Times New Roman" w:hAnsi="Times New Roman" w:cs="Times New Roman"/>
          <w:sz w:val="22"/>
          <w:szCs w:val="22"/>
        </w:rPr>
        <w:footnoteRef/>
      </w:r>
      <w:r w:rsidRPr="00E061D8">
        <w:rPr>
          <w:rFonts w:ascii="Times New Roman" w:hAnsi="Times New Roman" w:cs="Times New Roman"/>
          <w:sz w:val="22"/>
          <w:szCs w:val="22"/>
        </w:rPr>
        <w:t xml:space="preserve"> US Federal Reserve Bank of New York Consumer Credit Panel</w:t>
      </w:r>
    </w:p>
  </w:footnote>
  <w:footnote w:id="11">
    <w:p w14:paraId="2BEAC78F" w14:textId="03EF94F7" w:rsidR="00BF147D" w:rsidRPr="009C4E38" w:rsidRDefault="00BF147D">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An exception to this is non-traditional (i.e. subprime) mortgage markets, where mortgage sellers provide loans that are not directly tied to households’ income. However, expansive non-traditional mortgage markets are largely a US phenomenon</w:t>
      </w:r>
      <w:r>
        <w:rPr>
          <w:rFonts w:ascii="Times New Roman" w:hAnsi="Times New Roman" w:cs="Times New Roman"/>
          <w:sz w:val="22"/>
          <w:szCs w:val="22"/>
        </w:rPr>
        <w:t>.</w:t>
      </w:r>
      <w:r w:rsidRPr="009C4E38">
        <w:rPr>
          <w:rFonts w:ascii="Times New Roman" w:hAnsi="Times New Roman" w:cs="Times New Roman"/>
          <w:sz w:val="22"/>
          <w:szCs w:val="22"/>
        </w:rPr>
        <w:t xml:space="preserve"> </w:t>
      </w:r>
    </w:p>
  </w:footnote>
  <w:footnote w:id="12">
    <w:p w14:paraId="78EE3A9F" w14:textId="77777777" w:rsidR="00BF147D" w:rsidRPr="00B91B78" w:rsidRDefault="00BF147D" w:rsidP="001304B3">
      <w:pPr>
        <w:pStyle w:val="FootnoteText"/>
        <w:rPr>
          <w:rFonts w:ascii="Times New Roman" w:hAnsi="Times New Roman" w:cs="Times New Roman"/>
          <w:sz w:val="22"/>
          <w:szCs w:val="22"/>
        </w:rPr>
      </w:pPr>
      <w:r w:rsidRPr="00B91B78">
        <w:rPr>
          <w:rStyle w:val="FootnoteReference"/>
          <w:rFonts w:ascii="Times New Roman" w:hAnsi="Times New Roman" w:cs="Times New Roman"/>
          <w:sz w:val="22"/>
          <w:szCs w:val="22"/>
        </w:rPr>
        <w:footnoteRef/>
      </w:r>
      <w:r w:rsidRPr="00B91B78">
        <w:rPr>
          <w:rFonts w:ascii="Times New Roman" w:hAnsi="Times New Roman" w:cs="Times New Roman"/>
          <w:sz w:val="22"/>
          <w:szCs w:val="22"/>
        </w:rPr>
        <w:t xml:space="preserve"> OECD Affordable Housing Database (PH:2.2) </w:t>
      </w:r>
    </w:p>
  </w:footnote>
  <w:footnote w:id="13">
    <w:p w14:paraId="744CDCE1" w14:textId="77777777" w:rsidR="00BF147D" w:rsidRPr="00F549FF" w:rsidRDefault="00BF147D" w:rsidP="009B6657">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These countries include Australia, Austria, Belgium, Canada, Denmark, Finland, France, Germany, </w:t>
      </w:r>
      <w:r w:rsidRPr="00F549FF">
        <w:rPr>
          <w:rFonts w:ascii="Times New Roman" w:hAnsi="Times New Roman" w:cs="Times New Roman"/>
          <w:sz w:val="22"/>
          <w:szCs w:val="22"/>
        </w:rPr>
        <w:t>Ireland, Italy, the Netherlands, Portugal, Spain, Sweden, the UK and US.</w:t>
      </w:r>
    </w:p>
  </w:footnote>
  <w:footnote w:id="14">
    <w:p w14:paraId="1B96AE0A" w14:textId="20819FAA" w:rsidR="00BF147D" w:rsidRPr="009C4E38" w:rsidRDefault="00BF147D" w:rsidP="001B4770">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w:t>
      </w:r>
      <w:r>
        <w:rPr>
          <w:rFonts w:ascii="Times New Roman" w:hAnsi="Times New Roman" w:cs="Times New Roman"/>
          <w:sz w:val="22"/>
          <w:szCs w:val="22"/>
        </w:rPr>
        <w:t>Time series data for this index is complete from 1995 onwards for the overwhelming majority of countries in our sample.  Only</w:t>
      </w:r>
      <w:r w:rsidRPr="009C4E38">
        <w:rPr>
          <w:rFonts w:ascii="Times New Roman" w:hAnsi="Times New Roman" w:cs="Times New Roman"/>
          <w:sz w:val="22"/>
          <w:szCs w:val="22"/>
        </w:rPr>
        <w:t xml:space="preserve"> Ireland and Japan lack </w:t>
      </w:r>
      <w:r>
        <w:rPr>
          <w:rFonts w:ascii="Times New Roman" w:hAnsi="Times New Roman" w:cs="Times New Roman"/>
          <w:sz w:val="22"/>
          <w:szCs w:val="22"/>
        </w:rPr>
        <w:t xml:space="preserve">credit mitigation </w:t>
      </w:r>
      <w:r w:rsidRPr="009C4E38">
        <w:rPr>
          <w:rFonts w:ascii="Times New Roman" w:hAnsi="Times New Roman" w:cs="Times New Roman"/>
          <w:sz w:val="22"/>
          <w:szCs w:val="22"/>
        </w:rPr>
        <w:t xml:space="preserve">data until 2000 and 2001, respectively. </w:t>
      </w:r>
    </w:p>
  </w:footnote>
  <w:footnote w:id="15">
    <w:p w14:paraId="0FD7C53E" w14:textId="3E54ACF5" w:rsidR="00BF147D" w:rsidRPr="009C4E38" w:rsidRDefault="00BF147D" w:rsidP="009B6657">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This measure, taken from </w:t>
      </w:r>
      <w:proofErr w:type="spellStart"/>
      <w:r w:rsidRPr="009C4E38">
        <w:rPr>
          <w:rFonts w:ascii="Times New Roman" w:hAnsi="Times New Roman" w:cs="Times New Roman"/>
          <w:sz w:val="22"/>
          <w:szCs w:val="22"/>
        </w:rPr>
        <w:t>Visser</w:t>
      </w:r>
      <w:proofErr w:type="spellEnd"/>
      <w:r w:rsidRPr="009C4E38">
        <w:rPr>
          <w:rFonts w:ascii="Times New Roman" w:hAnsi="Times New Roman" w:cs="Times New Roman"/>
          <w:sz w:val="22"/>
          <w:szCs w:val="22"/>
        </w:rPr>
        <w:t xml:space="preserve"> (2016) is computed slightly differently than </w:t>
      </w:r>
      <w:proofErr w:type="spellStart"/>
      <w:r w:rsidRPr="009C4E38">
        <w:rPr>
          <w:rFonts w:ascii="Times New Roman" w:hAnsi="Times New Roman" w:cs="Times New Roman"/>
          <w:sz w:val="22"/>
          <w:szCs w:val="22"/>
        </w:rPr>
        <w:t>Iversen’s</w:t>
      </w:r>
      <w:proofErr w:type="spellEnd"/>
      <w:r w:rsidRPr="009C4E38">
        <w:rPr>
          <w:rFonts w:ascii="Times New Roman" w:hAnsi="Times New Roman" w:cs="Times New Roman"/>
          <w:sz w:val="22"/>
          <w:szCs w:val="22"/>
        </w:rPr>
        <w:t xml:space="preserve"> (1998), but both are measures of the </w:t>
      </w:r>
      <w:r w:rsidRPr="009C4E38">
        <w:rPr>
          <w:rFonts w:ascii="Times New Roman" w:hAnsi="Times New Roman" w:cs="Times New Roman"/>
          <w:i/>
          <w:sz w:val="22"/>
          <w:szCs w:val="22"/>
        </w:rPr>
        <w:t>level</w:t>
      </w:r>
      <w:r w:rsidRPr="009C4E38">
        <w:rPr>
          <w:rFonts w:ascii="Times New Roman" w:hAnsi="Times New Roman" w:cs="Times New Roman"/>
          <w:sz w:val="22"/>
          <w:szCs w:val="22"/>
        </w:rPr>
        <w:t xml:space="preserve"> at which wage-bargaining takes place.  </w:t>
      </w:r>
    </w:p>
  </w:footnote>
  <w:footnote w:id="16">
    <w:p w14:paraId="5B06F58D" w14:textId="1F352058" w:rsidR="00BF147D" w:rsidRPr="009C4E38" w:rsidRDefault="00BF147D">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Despite the fact that the credit mitigation index has a maximum value of 10, no country in our sample obtained this value during the time period under examination (the highest credit mitigation score observed among our 17 countries was a 9, held by Germany in various years and France in 1999).</w:t>
      </w:r>
    </w:p>
  </w:footnote>
  <w:footnote w:id="17">
    <w:p w14:paraId="57D6560A" w14:textId="37C79DE2" w:rsidR="00BF147D" w:rsidRPr="009C4E38" w:rsidRDefault="00BF147D">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80% is a commonly observed dividing line between lower and higher-LTV mortgages. Few systems are unwilling to offer an 80% LTV loan; but a large number will not generally offer anything higher.</w:t>
      </w:r>
    </w:p>
  </w:footnote>
  <w:footnote w:id="18">
    <w:p w14:paraId="63B68734" w14:textId="67BEA247" w:rsidR="00BF147D" w:rsidRPr="009C4E38" w:rsidRDefault="00BF147D" w:rsidP="009B6657">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For a full accounting of the coding process – including the spe</w:t>
      </w:r>
      <w:r>
        <w:rPr>
          <w:rFonts w:ascii="Times New Roman" w:hAnsi="Times New Roman" w:cs="Times New Roman"/>
          <w:sz w:val="22"/>
          <w:szCs w:val="22"/>
        </w:rPr>
        <w:t>cific country codes for the 1995</w:t>
      </w:r>
      <w:r w:rsidRPr="009C4E38">
        <w:rPr>
          <w:rFonts w:ascii="Times New Roman" w:hAnsi="Times New Roman" w:cs="Times New Roman"/>
          <w:sz w:val="22"/>
          <w:szCs w:val="22"/>
        </w:rPr>
        <w:t xml:space="preserve">-2007 </w:t>
      </w:r>
      <w:proofErr w:type="gramStart"/>
      <w:r w:rsidRPr="009C4E38">
        <w:rPr>
          <w:rFonts w:ascii="Times New Roman" w:hAnsi="Times New Roman" w:cs="Times New Roman"/>
          <w:sz w:val="22"/>
          <w:szCs w:val="22"/>
        </w:rPr>
        <w:t>period</w:t>
      </w:r>
      <w:proofErr w:type="gramEnd"/>
      <w:r w:rsidRPr="009C4E38">
        <w:rPr>
          <w:rFonts w:ascii="Times New Roman" w:hAnsi="Times New Roman" w:cs="Times New Roman"/>
          <w:sz w:val="22"/>
          <w:szCs w:val="22"/>
        </w:rPr>
        <w:t>, see Fuller 2015.</w:t>
      </w:r>
    </w:p>
  </w:footnote>
  <w:footnote w:id="19">
    <w:p w14:paraId="6C6DD21F" w14:textId="1672CCB1" w:rsidR="00BF147D" w:rsidRPr="009C4E38" w:rsidRDefault="00BF147D" w:rsidP="009B6657">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In addition to (mortgage and non-mortgage) credit extended to households, this measure includes credit extended to firms, purchases of non-equity securities, loans to public enterprises, trade credits and other accounts receivable that establish a claim for repayment </w:t>
      </w:r>
    </w:p>
  </w:footnote>
  <w:footnote w:id="20">
    <w:p w14:paraId="01D10E32" w14:textId="49A1B59E" w:rsidR="00BF147D" w:rsidRPr="002E271F" w:rsidRDefault="00BF147D">
      <w:pPr>
        <w:pStyle w:val="FootnoteText"/>
        <w:rPr>
          <w:rFonts w:ascii="Times New Roman" w:hAnsi="Times New Roman" w:cs="Times New Roman"/>
          <w:sz w:val="22"/>
          <w:szCs w:val="22"/>
        </w:rPr>
      </w:pPr>
      <w:r w:rsidRPr="002E271F">
        <w:rPr>
          <w:rStyle w:val="FootnoteReference"/>
          <w:rFonts w:ascii="Times New Roman" w:hAnsi="Times New Roman" w:cs="Times New Roman"/>
          <w:sz w:val="22"/>
          <w:szCs w:val="22"/>
        </w:rPr>
        <w:footnoteRef/>
      </w:r>
      <w:r w:rsidRPr="002E271F">
        <w:rPr>
          <w:rFonts w:ascii="Times New Roman" w:hAnsi="Times New Roman" w:cs="Times New Roman"/>
          <w:sz w:val="22"/>
          <w:szCs w:val="22"/>
        </w:rPr>
        <w:t xml:space="preserve"> The effect of real GDP growth on household debt is indeterminate.  Households may take on more debt in times of prosperity given greater </w:t>
      </w:r>
      <w:r>
        <w:rPr>
          <w:rFonts w:ascii="Times New Roman" w:hAnsi="Times New Roman" w:cs="Times New Roman"/>
          <w:sz w:val="22"/>
          <w:szCs w:val="22"/>
        </w:rPr>
        <w:t>economic exuberance.</w:t>
      </w:r>
      <w:r w:rsidRPr="002E271F">
        <w:rPr>
          <w:rFonts w:ascii="Times New Roman" w:hAnsi="Times New Roman" w:cs="Times New Roman"/>
          <w:sz w:val="22"/>
          <w:szCs w:val="22"/>
        </w:rPr>
        <w:t xml:space="preserve"> However, they may also take on greater debt in times of economic duress, because credit can serve as an immediate substitute for lost income. </w:t>
      </w:r>
    </w:p>
  </w:footnote>
  <w:footnote w:id="21">
    <w:p w14:paraId="2A936F32" w14:textId="77777777" w:rsidR="00BF147D" w:rsidRPr="009C4E38" w:rsidRDefault="00BF147D" w:rsidP="009B6657">
      <w:pPr>
        <w:pStyle w:val="FootnoteText"/>
        <w:rPr>
          <w:rFonts w:ascii="Times New Roman" w:hAnsi="Times New Roman" w:cs="Times New Roman"/>
          <w:sz w:val="22"/>
          <w:szCs w:val="22"/>
        </w:rPr>
      </w:pPr>
      <w:r w:rsidRPr="009C4E38">
        <w:rPr>
          <w:rStyle w:val="FootnoteReference"/>
          <w:rFonts w:ascii="Times New Roman" w:hAnsi="Times New Roman" w:cs="Times New Roman"/>
          <w:sz w:val="22"/>
          <w:szCs w:val="22"/>
        </w:rPr>
        <w:footnoteRef/>
      </w:r>
      <w:r w:rsidRPr="009C4E38">
        <w:rPr>
          <w:rFonts w:ascii="Times New Roman" w:hAnsi="Times New Roman" w:cs="Times New Roman"/>
          <w:sz w:val="22"/>
          <w:szCs w:val="22"/>
        </w:rPr>
        <w:t xml:space="preserve"> This measure becomes less relevant for countries within EMU, who share the same central bank, as the ECB is unlikely to respond to housing inflation within individual Euro-zone countries.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5068"/>
    <w:multiLevelType w:val="hybridMultilevel"/>
    <w:tmpl w:val="A7EEF568"/>
    <w:lvl w:ilvl="0" w:tplc="E474C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C6246"/>
    <w:multiLevelType w:val="hybridMultilevel"/>
    <w:tmpl w:val="26C24F1C"/>
    <w:lvl w:ilvl="0" w:tplc="C8AAD0A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2C2936"/>
    <w:multiLevelType w:val="hybridMultilevel"/>
    <w:tmpl w:val="31EEBE3E"/>
    <w:lvl w:ilvl="0" w:tplc="CEB4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4012CC"/>
    <w:multiLevelType w:val="hybridMultilevel"/>
    <w:tmpl w:val="E12A93B4"/>
    <w:lvl w:ilvl="0" w:tplc="C6D6B1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24502D"/>
    <w:multiLevelType w:val="hybridMultilevel"/>
    <w:tmpl w:val="48568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2D6FEF"/>
    <w:multiLevelType w:val="hybridMultilevel"/>
    <w:tmpl w:val="0C2E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A5"/>
    <w:rsid w:val="00000C7A"/>
    <w:rsid w:val="00002A1E"/>
    <w:rsid w:val="00023361"/>
    <w:rsid w:val="000300E1"/>
    <w:rsid w:val="000339BD"/>
    <w:rsid w:val="00033CE3"/>
    <w:rsid w:val="00040AEF"/>
    <w:rsid w:val="00042180"/>
    <w:rsid w:val="000479BD"/>
    <w:rsid w:val="0005588A"/>
    <w:rsid w:val="000705FA"/>
    <w:rsid w:val="00070ECE"/>
    <w:rsid w:val="0007683B"/>
    <w:rsid w:val="000918E0"/>
    <w:rsid w:val="000A653C"/>
    <w:rsid w:val="000B47B5"/>
    <w:rsid w:val="000B67DB"/>
    <w:rsid w:val="000B6A34"/>
    <w:rsid w:val="000B7864"/>
    <w:rsid w:val="000C277A"/>
    <w:rsid w:val="000C2A90"/>
    <w:rsid w:val="000C6F9E"/>
    <w:rsid w:val="000D2EE5"/>
    <w:rsid w:val="000D3970"/>
    <w:rsid w:val="000D4DDB"/>
    <w:rsid w:val="000F007C"/>
    <w:rsid w:val="000F0ED1"/>
    <w:rsid w:val="000F3090"/>
    <w:rsid w:val="000F4245"/>
    <w:rsid w:val="000F6059"/>
    <w:rsid w:val="000F73F9"/>
    <w:rsid w:val="0010088D"/>
    <w:rsid w:val="00100DB7"/>
    <w:rsid w:val="0011232E"/>
    <w:rsid w:val="0011239E"/>
    <w:rsid w:val="0011425A"/>
    <w:rsid w:val="00121C89"/>
    <w:rsid w:val="001304B3"/>
    <w:rsid w:val="00131CCB"/>
    <w:rsid w:val="0013469E"/>
    <w:rsid w:val="001346C8"/>
    <w:rsid w:val="00142ADE"/>
    <w:rsid w:val="00146DFD"/>
    <w:rsid w:val="0014769D"/>
    <w:rsid w:val="00150140"/>
    <w:rsid w:val="00151218"/>
    <w:rsid w:val="00151D31"/>
    <w:rsid w:val="001551EF"/>
    <w:rsid w:val="00163A25"/>
    <w:rsid w:val="00166552"/>
    <w:rsid w:val="0017108B"/>
    <w:rsid w:val="00175033"/>
    <w:rsid w:val="00175A80"/>
    <w:rsid w:val="001770BA"/>
    <w:rsid w:val="001962BC"/>
    <w:rsid w:val="001A18B7"/>
    <w:rsid w:val="001A5472"/>
    <w:rsid w:val="001B0055"/>
    <w:rsid w:val="001B1B41"/>
    <w:rsid w:val="001B4770"/>
    <w:rsid w:val="001C2993"/>
    <w:rsid w:val="001C308D"/>
    <w:rsid w:val="001C4311"/>
    <w:rsid w:val="001C6D43"/>
    <w:rsid w:val="001D0903"/>
    <w:rsid w:val="001D1DFB"/>
    <w:rsid w:val="001D7DCE"/>
    <w:rsid w:val="001E0029"/>
    <w:rsid w:val="001E1765"/>
    <w:rsid w:val="001E1F05"/>
    <w:rsid w:val="001E3B89"/>
    <w:rsid w:val="001E7050"/>
    <w:rsid w:val="001F1E34"/>
    <w:rsid w:val="001F5F60"/>
    <w:rsid w:val="00214491"/>
    <w:rsid w:val="00220B52"/>
    <w:rsid w:val="00225A3E"/>
    <w:rsid w:val="00227418"/>
    <w:rsid w:val="002315E9"/>
    <w:rsid w:val="00231EF9"/>
    <w:rsid w:val="002323E3"/>
    <w:rsid w:val="00233480"/>
    <w:rsid w:val="00233D3C"/>
    <w:rsid w:val="00233F86"/>
    <w:rsid w:val="0023597F"/>
    <w:rsid w:val="00236C84"/>
    <w:rsid w:val="002411D7"/>
    <w:rsid w:val="00241421"/>
    <w:rsid w:val="002468F5"/>
    <w:rsid w:val="00250F28"/>
    <w:rsid w:val="002558FE"/>
    <w:rsid w:val="00260140"/>
    <w:rsid w:val="0026077C"/>
    <w:rsid w:val="002644C6"/>
    <w:rsid w:val="00265CEA"/>
    <w:rsid w:val="002745FF"/>
    <w:rsid w:val="00280CCA"/>
    <w:rsid w:val="00282A7F"/>
    <w:rsid w:val="002875B4"/>
    <w:rsid w:val="00287FFC"/>
    <w:rsid w:val="00290D62"/>
    <w:rsid w:val="00293F9E"/>
    <w:rsid w:val="002A2E08"/>
    <w:rsid w:val="002A3443"/>
    <w:rsid w:val="002A6278"/>
    <w:rsid w:val="002B0A2B"/>
    <w:rsid w:val="002C0E48"/>
    <w:rsid w:val="002C0F14"/>
    <w:rsid w:val="002C28F7"/>
    <w:rsid w:val="002D09A8"/>
    <w:rsid w:val="002D3F56"/>
    <w:rsid w:val="002D7386"/>
    <w:rsid w:val="002E271F"/>
    <w:rsid w:val="002E3582"/>
    <w:rsid w:val="002E3EB2"/>
    <w:rsid w:val="002E42EA"/>
    <w:rsid w:val="002E5568"/>
    <w:rsid w:val="002E5C2F"/>
    <w:rsid w:val="002F1876"/>
    <w:rsid w:val="002F2117"/>
    <w:rsid w:val="002F5494"/>
    <w:rsid w:val="002F6623"/>
    <w:rsid w:val="003009FB"/>
    <w:rsid w:val="00307DEC"/>
    <w:rsid w:val="003134F0"/>
    <w:rsid w:val="0032075E"/>
    <w:rsid w:val="003212A5"/>
    <w:rsid w:val="00324EB4"/>
    <w:rsid w:val="0032519F"/>
    <w:rsid w:val="0032552C"/>
    <w:rsid w:val="00326050"/>
    <w:rsid w:val="0033047A"/>
    <w:rsid w:val="00331FD0"/>
    <w:rsid w:val="0033260D"/>
    <w:rsid w:val="003350F5"/>
    <w:rsid w:val="003365D8"/>
    <w:rsid w:val="00345E2C"/>
    <w:rsid w:val="003509C0"/>
    <w:rsid w:val="00352DF4"/>
    <w:rsid w:val="00354473"/>
    <w:rsid w:val="00363E69"/>
    <w:rsid w:val="0036446A"/>
    <w:rsid w:val="00367C08"/>
    <w:rsid w:val="00370114"/>
    <w:rsid w:val="00370298"/>
    <w:rsid w:val="003722C6"/>
    <w:rsid w:val="00373D5F"/>
    <w:rsid w:val="003773ED"/>
    <w:rsid w:val="00380E9E"/>
    <w:rsid w:val="00381DB7"/>
    <w:rsid w:val="0038538B"/>
    <w:rsid w:val="0038701D"/>
    <w:rsid w:val="00391DBF"/>
    <w:rsid w:val="00393361"/>
    <w:rsid w:val="0039663B"/>
    <w:rsid w:val="003A5243"/>
    <w:rsid w:val="003A53D9"/>
    <w:rsid w:val="003A5577"/>
    <w:rsid w:val="003B70D9"/>
    <w:rsid w:val="003C6BC4"/>
    <w:rsid w:val="003D0E4A"/>
    <w:rsid w:val="003D23CF"/>
    <w:rsid w:val="003E1693"/>
    <w:rsid w:val="003E1CF7"/>
    <w:rsid w:val="003F1B7F"/>
    <w:rsid w:val="003F1E31"/>
    <w:rsid w:val="003F469F"/>
    <w:rsid w:val="003F72F5"/>
    <w:rsid w:val="0040248E"/>
    <w:rsid w:val="00403BF6"/>
    <w:rsid w:val="00404375"/>
    <w:rsid w:val="00407183"/>
    <w:rsid w:val="0041601E"/>
    <w:rsid w:val="0041679C"/>
    <w:rsid w:val="004176DF"/>
    <w:rsid w:val="00417A80"/>
    <w:rsid w:val="00425ECE"/>
    <w:rsid w:val="00431AF6"/>
    <w:rsid w:val="00435440"/>
    <w:rsid w:val="004359E0"/>
    <w:rsid w:val="00441055"/>
    <w:rsid w:val="00444E80"/>
    <w:rsid w:val="0045036A"/>
    <w:rsid w:val="00452F50"/>
    <w:rsid w:val="00460AF6"/>
    <w:rsid w:val="00460DA9"/>
    <w:rsid w:val="00463A69"/>
    <w:rsid w:val="004654A8"/>
    <w:rsid w:val="004737B0"/>
    <w:rsid w:val="0047487E"/>
    <w:rsid w:val="00481AE0"/>
    <w:rsid w:val="004931FB"/>
    <w:rsid w:val="004937F5"/>
    <w:rsid w:val="004A1F9D"/>
    <w:rsid w:val="004C120E"/>
    <w:rsid w:val="004D032D"/>
    <w:rsid w:val="004D43F9"/>
    <w:rsid w:val="004E4E3B"/>
    <w:rsid w:val="004F3C02"/>
    <w:rsid w:val="004F6DA2"/>
    <w:rsid w:val="004F74EB"/>
    <w:rsid w:val="005009E7"/>
    <w:rsid w:val="005041E0"/>
    <w:rsid w:val="0050440A"/>
    <w:rsid w:val="0051054B"/>
    <w:rsid w:val="005338FB"/>
    <w:rsid w:val="00540A3C"/>
    <w:rsid w:val="0055201E"/>
    <w:rsid w:val="00554E43"/>
    <w:rsid w:val="0057269D"/>
    <w:rsid w:val="00576937"/>
    <w:rsid w:val="00583AB0"/>
    <w:rsid w:val="00585F8D"/>
    <w:rsid w:val="00586085"/>
    <w:rsid w:val="00590539"/>
    <w:rsid w:val="00594FAC"/>
    <w:rsid w:val="00597795"/>
    <w:rsid w:val="00597935"/>
    <w:rsid w:val="005A1884"/>
    <w:rsid w:val="005B1099"/>
    <w:rsid w:val="005B1657"/>
    <w:rsid w:val="005B27CC"/>
    <w:rsid w:val="005B68FF"/>
    <w:rsid w:val="005C3AF2"/>
    <w:rsid w:val="005D04E3"/>
    <w:rsid w:val="005D5002"/>
    <w:rsid w:val="005D6662"/>
    <w:rsid w:val="005D75DC"/>
    <w:rsid w:val="005E4CE8"/>
    <w:rsid w:val="005E53E8"/>
    <w:rsid w:val="005E782F"/>
    <w:rsid w:val="005F0081"/>
    <w:rsid w:val="005F3F38"/>
    <w:rsid w:val="005F6C34"/>
    <w:rsid w:val="006064B8"/>
    <w:rsid w:val="0060664E"/>
    <w:rsid w:val="006120CA"/>
    <w:rsid w:val="0062105F"/>
    <w:rsid w:val="0063406D"/>
    <w:rsid w:val="00635F90"/>
    <w:rsid w:val="0063614E"/>
    <w:rsid w:val="006371DD"/>
    <w:rsid w:val="00645CF4"/>
    <w:rsid w:val="00652314"/>
    <w:rsid w:val="00654B2C"/>
    <w:rsid w:val="00660935"/>
    <w:rsid w:val="00663CC3"/>
    <w:rsid w:val="006715EF"/>
    <w:rsid w:val="006767E6"/>
    <w:rsid w:val="00676C0D"/>
    <w:rsid w:val="0068012C"/>
    <w:rsid w:val="00691288"/>
    <w:rsid w:val="00692C65"/>
    <w:rsid w:val="006967DC"/>
    <w:rsid w:val="006A01A6"/>
    <w:rsid w:val="006A0963"/>
    <w:rsid w:val="006A0E14"/>
    <w:rsid w:val="006A3AC2"/>
    <w:rsid w:val="006B6EDE"/>
    <w:rsid w:val="006C28CB"/>
    <w:rsid w:val="006C328B"/>
    <w:rsid w:val="006D2C4B"/>
    <w:rsid w:val="006E2A61"/>
    <w:rsid w:val="006E5135"/>
    <w:rsid w:val="006F4366"/>
    <w:rsid w:val="00701D70"/>
    <w:rsid w:val="007047C3"/>
    <w:rsid w:val="00712490"/>
    <w:rsid w:val="00714FAC"/>
    <w:rsid w:val="00715508"/>
    <w:rsid w:val="00717B29"/>
    <w:rsid w:val="00720A29"/>
    <w:rsid w:val="0072459D"/>
    <w:rsid w:val="0072568F"/>
    <w:rsid w:val="007321A6"/>
    <w:rsid w:val="007334DE"/>
    <w:rsid w:val="00733B0E"/>
    <w:rsid w:val="0073540B"/>
    <w:rsid w:val="00744C96"/>
    <w:rsid w:val="007528B2"/>
    <w:rsid w:val="0075520F"/>
    <w:rsid w:val="0076066F"/>
    <w:rsid w:val="00764B6D"/>
    <w:rsid w:val="007834F3"/>
    <w:rsid w:val="00785A32"/>
    <w:rsid w:val="00792781"/>
    <w:rsid w:val="00793977"/>
    <w:rsid w:val="00796B6B"/>
    <w:rsid w:val="007A1623"/>
    <w:rsid w:val="007A3543"/>
    <w:rsid w:val="007B62B6"/>
    <w:rsid w:val="007C6664"/>
    <w:rsid w:val="007D1AD2"/>
    <w:rsid w:val="007D34C6"/>
    <w:rsid w:val="007E17A6"/>
    <w:rsid w:val="007E56BC"/>
    <w:rsid w:val="007E6978"/>
    <w:rsid w:val="007E6FEB"/>
    <w:rsid w:val="007F31ED"/>
    <w:rsid w:val="00812AEA"/>
    <w:rsid w:val="008137D3"/>
    <w:rsid w:val="0081438C"/>
    <w:rsid w:val="00814CC0"/>
    <w:rsid w:val="0082180A"/>
    <w:rsid w:val="008229C4"/>
    <w:rsid w:val="00822A8F"/>
    <w:rsid w:val="00823115"/>
    <w:rsid w:val="00823E8F"/>
    <w:rsid w:val="00826EC9"/>
    <w:rsid w:val="00827C27"/>
    <w:rsid w:val="00835FF2"/>
    <w:rsid w:val="00841565"/>
    <w:rsid w:val="00841F83"/>
    <w:rsid w:val="008549D9"/>
    <w:rsid w:val="0086044F"/>
    <w:rsid w:val="0086396A"/>
    <w:rsid w:val="00863F8D"/>
    <w:rsid w:val="008707B7"/>
    <w:rsid w:val="008716B8"/>
    <w:rsid w:val="008722A2"/>
    <w:rsid w:val="00872C09"/>
    <w:rsid w:val="0087767D"/>
    <w:rsid w:val="00881CDA"/>
    <w:rsid w:val="008900D3"/>
    <w:rsid w:val="008B5552"/>
    <w:rsid w:val="008B6D81"/>
    <w:rsid w:val="008C115B"/>
    <w:rsid w:val="008C1D1D"/>
    <w:rsid w:val="008C2AB4"/>
    <w:rsid w:val="008D0356"/>
    <w:rsid w:val="008D1D61"/>
    <w:rsid w:val="008D68F0"/>
    <w:rsid w:val="008D6B6F"/>
    <w:rsid w:val="008E1FF3"/>
    <w:rsid w:val="008E5F36"/>
    <w:rsid w:val="008F53AC"/>
    <w:rsid w:val="009017F5"/>
    <w:rsid w:val="00903AE3"/>
    <w:rsid w:val="00905D3A"/>
    <w:rsid w:val="0091625D"/>
    <w:rsid w:val="009207C4"/>
    <w:rsid w:val="00922EAD"/>
    <w:rsid w:val="009270B4"/>
    <w:rsid w:val="00935AAB"/>
    <w:rsid w:val="00944F1A"/>
    <w:rsid w:val="00946829"/>
    <w:rsid w:val="0095507D"/>
    <w:rsid w:val="0095601D"/>
    <w:rsid w:val="00963A3C"/>
    <w:rsid w:val="00964B33"/>
    <w:rsid w:val="0096621A"/>
    <w:rsid w:val="00967780"/>
    <w:rsid w:val="00972D98"/>
    <w:rsid w:val="00974343"/>
    <w:rsid w:val="00977AEF"/>
    <w:rsid w:val="009839A2"/>
    <w:rsid w:val="0098627E"/>
    <w:rsid w:val="009903CF"/>
    <w:rsid w:val="0099252E"/>
    <w:rsid w:val="009940E7"/>
    <w:rsid w:val="009A01CF"/>
    <w:rsid w:val="009A02CC"/>
    <w:rsid w:val="009A0FA5"/>
    <w:rsid w:val="009A1E4B"/>
    <w:rsid w:val="009A520A"/>
    <w:rsid w:val="009A7CFB"/>
    <w:rsid w:val="009B0895"/>
    <w:rsid w:val="009B1FFA"/>
    <w:rsid w:val="009B589E"/>
    <w:rsid w:val="009B6657"/>
    <w:rsid w:val="009C0E15"/>
    <w:rsid w:val="009C4E38"/>
    <w:rsid w:val="009D67A8"/>
    <w:rsid w:val="009E49C3"/>
    <w:rsid w:val="009E5694"/>
    <w:rsid w:val="009E58A4"/>
    <w:rsid w:val="009E69DF"/>
    <w:rsid w:val="009F4876"/>
    <w:rsid w:val="00A047A8"/>
    <w:rsid w:val="00A04FA6"/>
    <w:rsid w:val="00A10DA4"/>
    <w:rsid w:val="00A115D0"/>
    <w:rsid w:val="00A237FB"/>
    <w:rsid w:val="00A40C4C"/>
    <w:rsid w:val="00A414A7"/>
    <w:rsid w:val="00A43DC8"/>
    <w:rsid w:val="00A45684"/>
    <w:rsid w:val="00A50ECB"/>
    <w:rsid w:val="00A5209D"/>
    <w:rsid w:val="00A54048"/>
    <w:rsid w:val="00A60668"/>
    <w:rsid w:val="00A62BD8"/>
    <w:rsid w:val="00A64D40"/>
    <w:rsid w:val="00A722EC"/>
    <w:rsid w:val="00A81280"/>
    <w:rsid w:val="00A824AD"/>
    <w:rsid w:val="00A8322C"/>
    <w:rsid w:val="00A86786"/>
    <w:rsid w:val="00A9283A"/>
    <w:rsid w:val="00A96C63"/>
    <w:rsid w:val="00AA1189"/>
    <w:rsid w:val="00AA4852"/>
    <w:rsid w:val="00AA6810"/>
    <w:rsid w:val="00AB25EB"/>
    <w:rsid w:val="00AB6097"/>
    <w:rsid w:val="00AC489B"/>
    <w:rsid w:val="00AC4CE6"/>
    <w:rsid w:val="00AD312B"/>
    <w:rsid w:val="00AE0A46"/>
    <w:rsid w:val="00AE0D87"/>
    <w:rsid w:val="00AE63C5"/>
    <w:rsid w:val="00AE6792"/>
    <w:rsid w:val="00AF1636"/>
    <w:rsid w:val="00AF595E"/>
    <w:rsid w:val="00AF5C2B"/>
    <w:rsid w:val="00AF6E30"/>
    <w:rsid w:val="00B04110"/>
    <w:rsid w:val="00B04679"/>
    <w:rsid w:val="00B07705"/>
    <w:rsid w:val="00B101F7"/>
    <w:rsid w:val="00B10D63"/>
    <w:rsid w:val="00B13453"/>
    <w:rsid w:val="00B17860"/>
    <w:rsid w:val="00B25D8A"/>
    <w:rsid w:val="00B32885"/>
    <w:rsid w:val="00B3781B"/>
    <w:rsid w:val="00B474ED"/>
    <w:rsid w:val="00B56F2B"/>
    <w:rsid w:val="00B609A4"/>
    <w:rsid w:val="00B64916"/>
    <w:rsid w:val="00B7374C"/>
    <w:rsid w:val="00B73BBF"/>
    <w:rsid w:val="00B74736"/>
    <w:rsid w:val="00B81449"/>
    <w:rsid w:val="00B825A8"/>
    <w:rsid w:val="00B85C36"/>
    <w:rsid w:val="00B87081"/>
    <w:rsid w:val="00B91B78"/>
    <w:rsid w:val="00B94BF9"/>
    <w:rsid w:val="00B972BF"/>
    <w:rsid w:val="00BA12C3"/>
    <w:rsid w:val="00BA342E"/>
    <w:rsid w:val="00BA3935"/>
    <w:rsid w:val="00BA7E8F"/>
    <w:rsid w:val="00BB1D24"/>
    <w:rsid w:val="00BB2429"/>
    <w:rsid w:val="00BB24F8"/>
    <w:rsid w:val="00BB78E6"/>
    <w:rsid w:val="00BC215A"/>
    <w:rsid w:val="00BD0BB3"/>
    <w:rsid w:val="00BD29C8"/>
    <w:rsid w:val="00BD5094"/>
    <w:rsid w:val="00BE3376"/>
    <w:rsid w:val="00BE3FAD"/>
    <w:rsid w:val="00BE5A2A"/>
    <w:rsid w:val="00BE7491"/>
    <w:rsid w:val="00BF147D"/>
    <w:rsid w:val="00BF1B53"/>
    <w:rsid w:val="00BF27B7"/>
    <w:rsid w:val="00C13649"/>
    <w:rsid w:val="00C14C91"/>
    <w:rsid w:val="00C16903"/>
    <w:rsid w:val="00C21830"/>
    <w:rsid w:val="00C2453D"/>
    <w:rsid w:val="00C279DD"/>
    <w:rsid w:val="00C32E28"/>
    <w:rsid w:val="00C3716D"/>
    <w:rsid w:val="00C42F67"/>
    <w:rsid w:val="00C433F7"/>
    <w:rsid w:val="00C437C6"/>
    <w:rsid w:val="00C564A8"/>
    <w:rsid w:val="00C60180"/>
    <w:rsid w:val="00C62748"/>
    <w:rsid w:val="00C675F4"/>
    <w:rsid w:val="00C70858"/>
    <w:rsid w:val="00C750A7"/>
    <w:rsid w:val="00C7604D"/>
    <w:rsid w:val="00C76753"/>
    <w:rsid w:val="00C76844"/>
    <w:rsid w:val="00C76A5A"/>
    <w:rsid w:val="00C821BC"/>
    <w:rsid w:val="00C85A57"/>
    <w:rsid w:val="00CA045F"/>
    <w:rsid w:val="00CA1322"/>
    <w:rsid w:val="00CA20AC"/>
    <w:rsid w:val="00CA32FE"/>
    <w:rsid w:val="00CA7D72"/>
    <w:rsid w:val="00CB1EA6"/>
    <w:rsid w:val="00CB7FE5"/>
    <w:rsid w:val="00CC06A7"/>
    <w:rsid w:val="00CC2C18"/>
    <w:rsid w:val="00CC4718"/>
    <w:rsid w:val="00CC63A0"/>
    <w:rsid w:val="00CD70DE"/>
    <w:rsid w:val="00CE2164"/>
    <w:rsid w:val="00CE6055"/>
    <w:rsid w:val="00CE7691"/>
    <w:rsid w:val="00CF255A"/>
    <w:rsid w:val="00CF4E7E"/>
    <w:rsid w:val="00CF4FA3"/>
    <w:rsid w:val="00D10CE8"/>
    <w:rsid w:val="00D14891"/>
    <w:rsid w:val="00D26634"/>
    <w:rsid w:val="00D334B3"/>
    <w:rsid w:val="00D36477"/>
    <w:rsid w:val="00D42D8A"/>
    <w:rsid w:val="00D51262"/>
    <w:rsid w:val="00D5143C"/>
    <w:rsid w:val="00D51AC0"/>
    <w:rsid w:val="00D55EB9"/>
    <w:rsid w:val="00D65167"/>
    <w:rsid w:val="00D67934"/>
    <w:rsid w:val="00D81ED0"/>
    <w:rsid w:val="00D91DF4"/>
    <w:rsid w:val="00D95EC9"/>
    <w:rsid w:val="00DA1124"/>
    <w:rsid w:val="00DA12C4"/>
    <w:rsid w:val="00DA51F7"/>
    <w:rsid w:val="00DA7F16"/>
    <w:rsid w:val="00DB27DE"/>
    <w:rsid w:val="00DB4AA4"/>
    <w:rsid w:val="00DB4D4B"/>
    <w:rsid w:val="00DB5CC4"/>
    <w:rsid w:val="00DC3D4D"/>
    <w:rsid w:val="00DD597E"/>
    <w:rsid w:val="00DD5BB3"/>
    <w:rsid w:val="00DE7982"/>
    <w:rsid w:val="00DE7CA5"/>
    <w:rsid w:val="00DF58A1"/>
    <w:rsid w:val="00E061D8"/>
    <w:rsid w:val="00E07C8B"/>
    <w:rsid w:val="00E22B24"/>
    <w:rsid w:val="00E240CA"/>
    <w:rsid w:val="00E24AB7"/>
    <w:rsid w:val="00E26457"/>
    <w:rsid w:val="00E30249"/>
    <w:rsid w:val="00E31B3F"/>
    <w:rsid w:val="00E34E4F"/>
    <w:rsid w:val="00E36909"/>
    <w:rsid w:val="00E507C5"/>
    <w:rsid w:val="00E5295C"/>
    <w:rsid w:val="00E63568"/>
    <w:rsid w:val="00E65406"/>
    <w:rsid w:val="00E66F7B"/>
    <w:rsid w:val="00E7715B"/>
    <w:rsid w:val="00E8671D"/>
    <w:rsid w:val="00E86A4D"/>
    <w:rsid w:val="00E91C96"/>
    <w:rsid w:val="00E9233A"/>
    <w:rsid w:val="00E93154"/>
    <w:rsid w:val="00E95411"/>
    <w:rsid w:val="00E96680"/>
    <w:rsid w:val="00EA04FA"/>
    <w:rsid w:val="00EA05E2"/>
    <w:rsid w:val="00EA542B"/>
    <w:rsid w:val="00EB0864"/>
    <w:rsid w:val="00EC07A3"/>
    <w:rsid w:val="00EC1231"/>
    <w:rsid w:val="00EC219F"/>
    <w:rsid w:val="00EC2FA0"/>
    <w:rsid w:val="00EC62F9"/>
    <w:rsid w:val="00ED0C21"/>
    <w:rsid w:val="00ED4B01"/>
    <w:rsid w:val="00ED4EA2"/>
    <w:rsid w:val="00ED7746"/>
    <w:rsid w:val="00EE592C"/>
    <w:rsid w:val="00EE5BA2"/>
    <w:rsid w:val="00EF060D"/>
    <w:rsid w:val="00EF3803"/>
    <w:rsid w:val="00EF6593"/>
    <w:rsid w:val="00F022E6"/>
    <w:rsid w:val="00F03393"/>
    <w:rsid w:val="00F05454"/>
    <w:rsid w:val="00F15B12"/>
    <w:rsid w:val="00F1617B"/>
    <w:rsid w:val="00F169AA"/>
    <w:rsid w:val="00F2074B"/>
    <w:rsid w:val="00F21E1A"/>
    <w:rsid w:val="00F23D1F"/>
    <w:rsid w:val="00F26E23"/>
    <w:rsid w:val="00F32673"/>
    <w:rsid w:val="00F329DD"/>
    <w:rsid w:val="00F32A95"/>
    <w:rsid w:val="00F3662F"/>
    <w:rsid w:val="00F368E9"/>
    <w:rsid w:val="00F37225"/>
    <w:rsid w:val="00F41DAD"/>
    <w:rsid w:val="00F4694C"/>
    <w:rsid w:val="00F475F1"/>
    <w:rsid w:val="00F50148"/>
    <w:rsid w:val="00F549FF"/>
    <w:rsid w:val="00F55640"/>
    <w:rsid w:val="00F57342"/>
    <w:rsid w:val="00F6193A"/>
    <w:rsid w:val="00F747E4"/>
    <w:rsid w:val="00F7699B"/>
    <w:rsid w:val="00F7767F"/>
    <w:rsid w:val="00F81193"/>
    <w:rsid w:val="00F92FEF"/>
    <w:rsid w:val="00F9693A"/>
    <w:rsid w:val="00FA030B"/>
    <w:rsid w:val="00FA032A"/>
    <w:rsid w:val="00FA6493"/>
    <w:rsid w:val="00FB5CB2"/>
    <w:rsid w:val="00FB6914"/>
    <w:rsid w:val="00FC04A5"/>
    <w:rsid w:val="00FC6CD6"/>
    <w:rsid w:val="00FD2CD5"/>
    <w:rsid w:val="00FD3778"/>
    <w:rsid w:val="00FD5770"/>
    <w:rsid w:val="00F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7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CA5"/>
    <w:rPr>
      <w:sz w:val="20"/>
      <w:szCs w:val="20"/>
    </w:rPr>
  </w:style>
  <w:style w:type="character" w:styleId="FootnoteReference">
    <w:name w:val="footnote reference"/>
    <w:basedOn w:val="DefaultParagraphFont"/>
    <w:uiPriority w:val="99"/>
    <w:semiHidden/>
    <w:unhideWhenUsed/>
    <w:rsid w:val="00DE7CA5"/>
    <w:rPr>
      <w:vertAlign w:val="superscript"/>
    </w:rPr>
  </w:style>
  <w:style w:type="character" w:styleId="Hyperlink">
    <w:name w:val="Hyperlink"/>
    <w:basedOn w:val="DefaultParagraphFont"/>
    <w:uiPriority w:val="99"/>
    <w:unhideWhenUsed/>
    <w:rsid w:val="00DE7CA5"/>
    <w:rPr>
      <w:color w:val="0000FF" w:themeColor="hyperlink"/>
      <w:u w:val="single"/>
    </w:rPr>
  </w:style>
  <w:style w:type="paragraph" w:styleId="ListParagraph">
    <w:name w:val="List Paragraph"/>
    <w:basedOn w:val="Normal"/>
    <w:uiPriority w:val="34"/>
    <w:qFormat/>
    <w:rsid w:val="00DE7CA5"/>
    <w:pPr>
      <w:ind w:left="720"/>
      <w:contextualSpacing/>
    </w:pPr>
  </w:style>
  <w:style w:type="paragraph" w:styleId="BalloonText">
    <w:name w:val="Balloon Text"/>
    <w:basedOn w:val="Normal"/>
    <w:link w:val="BalloonTextChar"/>
    <w:uiPriority w:val="99"/>
    <w:semiHidden/>
    <w:unhideWhenUsed/>
    <w:rsid w:val="00C3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28"/>
    <w:rPr>
      <w:rFonts w:ascii="Tahoma" w:hAnsi="Tahoma" w:cs="Tahoma"/>
      <w:sz w:val="16"/>
      <w:szCs w:val="16"/>
    </w:rPr>
  </w:style>
  <w:style w:type="character" w:styleId="CommentReference">
    <w:name w:val="annotation reference"/>
    <w:basedOn w:val="DefaultParagraphFont"/>
    <w:uiPriority w:val="99"/>
    <w:semiHidden/>
    <w:unhideWhenUsed/>
    <w:rsid w:val="004D032D"/>
    <w:rPr>
      <w:sz w:val="16"/>
      <w:szCs w:val="16"/>
    </w:rPr>
  </w:style>
  <w:style w:type="paragraph" w:styleId="CommentText">
    <w:name w:val="annotation text"/>
    <w:basedOn w:val="Normal"/>
    <w:link w:val="CommentTextChar"/>
    <w:uiPriority w:val="99"/>
    <w:unhideWhenUsed/>
    <w:rsid w:val="004D032D"/>
    <w:pPr>
      <w:spacing w:line="240" w:lineRule="auto"/>
    </w:pPr>
    <w:rPr>
      <w:sz w:val="20"/>
      <w:szCs w:val="20"/>
    </w:rPr>
  </w:style>
  <w:style w:type="character" w:customStyle="1" w:styleId="CommentTextChar">
    <w:name w:val="Comment Text Char"/>
    <w:basedOn w:val="DefaultParagraphFont"/>
    <w:link w:val="CommentText"/>
    <w:uiPriority w:val="99"/>
    <w:rsid w:val="004D032D"/>
    <w:rPr>
      <w:sz w:val="20"/>
      <w:szCs w:val="20"/>
    </w:rPr>
  </w:style>
  <w:style w:type="paragraph" w:styleId="CommentSubject">
    <w:name w:val="annotation subject"/>
    <w:basedOn w:val="CommentText"/>
    <w:next w:val="CommentText"/>
    <w:link w:val="CommentSubjectChar"/>
    <w:uiPriority w:val="99"/>
    <w:semiHidden/>
    <w:unhideWhenUsed/>
    <w:rsid w:val="004D032D"/>
    <w:rPr>
      <w:b/>
      <w:bCs/>
    </w:rPr>
  </w:style>
  <w:style w:type="character" w:customStyle="1" w:styleId="CommentSubjectChar">
    <w:name w:val="Comment Subject Char"/>
    <w:basedOn w:val="CommentTextChar"/>
    <w:link w:val="CommentSubject"/>
    <w:uiPriority w:val="99"/>
    <w:semiHidden/>
    <w:rsid w:val="004D032D"/>
    <w:rPr>
      <w:b/>
      <w:bCs/>
      <w:sz w:val="20"/>
      <w:szCs w:val="20"/>
    </w:rPr>
  </w:style>
  <w:style w:type="paragraph" w:styleId="Revision">
    <w:name w:val="Revision"/>
    <w:hidden/>
    <w:uiPriority w:val="99"/>
    <w:semiHidden/>
    <w:rsid w:val="00FA6493"/>
    <w:pPr>
      <w:spacing w:after="0" w:line="240" w:lineRule="auto"/>
    </w:pPr>
  </w:style>
  <w:style w:type="character" w:styleId="PlaceholderText">
    <w:name w:val="Placeholder Text"/>
    <w:basedOn w:val="DefaultParagraphFont"/>
    <w:uiPriority w:val="99"/>
    <w:semiHidden/>
    <w:rsid w:val="009B6657"/>
    <w:rPr>
      <w:color w:val="808080"/>
    </w:rPr>
  </w:style>
  <w:style w:type="character" w:styleId="Emphasis">
    <w:name w:val="Emphasis"/>
    <w:basedOn w:val="DefaultParagraphFont"/>
    <w:uiPriority w:val="20"/>
    <w:qFormat/>
    <w:rsid w:val="009B6657"/>
    <w:rPr>
      <w:i/>
      <w:iCs/>
    </w:rPr>
  </w:style>
  <w:style w:type="character" w:customStyle="1" w:styleId="personname">
    <w:name w:val="person_name"/>
    <w:basedOn w:val="DefaultParagraphFont"/>
    <w:rsid w:val="008D1D61"/>
  </w:style>
  <w:style w:type="paragraph" w:styleId="Header">
    <w:name w:val="header"/>
    <w:basedOn w:val="Normal"/>
    <w:link w:val="HeaderChar"/>
    <w:uiPriority w:val="99"/>
    <w:unhideWhenUsed/>
    <w:rsid w:val="005E7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82F"/>
  </w:style>
  <w:style w:type="paragraph" w:styleId="Footer">
    <w:name w:val="footer"/>
    <w:basedOn w:val="Normal"/>
    <w:link w:val="FooterChar"/>
    <w:uiPriority w:val="99"/>
    <w:unhideWhenUsed/>
    <w:rsid w:val="005E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82F"/>
  </w:style>
  <w:style w:type="paragraph" w:styleId="Bibliography">
    <w:name w:val="Bibliography"/>
    <w:basedOn w:val="Normal"/>
    <w:next w:val="Normal"/>
    <w:uiPriority w:val="37"/>
    <w:semiHidden/>
    <w:unhideWhenUsed/>
    <w:rsid w:val="009A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7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CA5"/>
    <w:rPr>
      <w:sz w:val="20"/>
      <w:szCs w:val="20"/>
    </w:rPr>
  </w:style>
  <w:style w:type="character" w:styleId="FootnoteReference">
    <w:name w:val="footnote reference"/>
    <w:basedOn w:val="DefaultParagraphFont"/>
    <w:uiPriority w:val="99"/>
    <w:semiHidden/>
    <w:unhideWhenUsed/>
    <w:rsid w:val="00DE7CA5"/>
    <w:rPr>
      <w:vertAlign w:val="superscript"/>
    </w:rPr>
  </w:style>
  <w:style w:type="character" w:styleId="Hyperlink">
    <w:name w:val="Hyperlink"/>
    <w:basedOn w:val="DefaultParagraphFont"/>
    <w:uiPriority w:val="99"/>
    <w:unhideWhenUsed/>
    <w:rsid w:val="00DE7CA5"/>
    <w:rPr>
      <w:color w:val="0000FF" w:themeColor="hyperlink"/>
      <w:u w:val="single"/>
    </w:rPr>
  </w:style>
  <w:style w:type="paragraph" w:styleId="ListParagraph">
    <w:name w:val="List Paragraph"/>
    <w:basedOn w:val="Normal"/>
    <w:uiPriority w:val="34"/>
    <w:qFormat/>
    <w:rsid w:val="00DE7CA5"/>
    <w:pPr>
      <w:ind w:left="720"/>
      <w:contextualSpacing/>
    </w:pPr>
  </w:style>
  <w:style w:type="paragraph" w:styleId="BalloonText">
    <w:name w:val="Balloon Text"/>
    <w:basedOn w:val="Normal"/>
    <w:link w:val="BalloonTextChar"/>
    <w:uiPriority w:val="99"/>
    <w:semiHidden/>
    <w:unhideWhenUsed/>
    <w:rsid w:val="00C3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28"/>
    <w:rPr>
      <w:rFonts w:ascii="Tahoma" w:hAnsi="Tahoma" w:cs="Tahoma"/>
      <w:sz w:val="16"/>
      <w:szCs w:val="16"/>
    </w:rPr>
  </w:style>
  <w:style w:type="character" w:styleId="CommentReference">
    <w:name w:val="annotation reference"/>
    <w:basedOn w:val="DefaultParagraphFont"/>
    <w:uiPriority w:val="99"/>
    <w:semiHidden/>
    <w:unhideWhenUsed/>
    <w:rsid w:val="004D032D"/>
    <w:rPr>
      <w:sz w:val="16"/>
      <w:szCs w:val="16"/>
    </w:rPr>
  </w:style>
  <w:style w:type="paragraph" w:styleId="CommentText">
    <w:name w:val="annotation text"/>
    <w:basedOn w:val="Normal"/>
    <w:link w:val="CommentTextChar"/>
    <w:uiPriority w:val="99"/>
    <w:unhideWhenUsed/>
    <w:rsid w:val="004D032D"/>
    <w:pPr>
      <w:spacing w:line="240" w:lineRule="auto"/>
    </w:pPr>
    <w:rPr>
      <w:sz w:val="20"/>
      <w:szCs w:val="20"/>
    </w:rPr>
  </w:style>
  <w:style w:type="character" w:customStyle="1" w:styleId="CommentTextChar">
    <w:name w:val="Comment Text Char"/>
    <w:basedOn w:val="DefaultParagraphFont"/>
    <w:link w:val="CommentText"/>
    <w:uiPriority w:val="99"/>
    <w:rsid w:val="004D032D"/>
    <w:rPr>
      <w:sz w:val="20"/>
      <w:szCs w:val="20"/>
    </w:rPr>
  </w:style>
  <w:style w:type="paragraph" w:styleId="CommentSubject">
    <w:name w:val="annotation subject"/>
    <w:basedOn w:val="CommentText"/>
    <w:next w:val="CommentText"/>
    <w:link w:val="CommentSubjectChar"/>
    <w:uiPriority w:val="99"/>
    <w:semiHidden/>
    <w:unhideWhenUsed/>
    <w:rsid w:val="004D032D"/>
    <w:rPr>
      <w:b/>
      <w:bCs/>
    </w:rPr>
  </w:style>
  <w:style w:type="character" w:customStyle="1" w:styleId="CommentSubjectChar">
    <w:name w:val="Comment Subject Char"/>
    <w:basedOn w:val="CommentTextChar"/>
    <w:link w:val="CommentSubject"/>
    <w:uiPriority w:val="99"/>
    <w:semiHidden/>
    <w:rsid w:val="004D032D"/>
    <w:rPr>
      <w:b/>
      <w:bCs/>
      <w:sz w:val="20"/>
      <w:szCs w:val="20"/>
    </w:rPr>
  </w:style>
  <w:style w:type="paragraph" w:styleId="Revision">
    <w:name w:val="Revision"/>
    <w:hidden/>
    <w:uiPriority w:val="99"/>
    <w:semiHidden/>
    <w:rsid w:val="00FA6493"/>
    <w:pPr>
      <w:spacing w:after="0" w:line="240" w:lineRule="auto"/>
    </w:pPr>
  </w:style>
  <w:style w:type="character" w:styleId="PlaceholderText">
    <w:name w:val="Placeholder Text"/>
    <w:basedOn w:val="DefaultParagraphFont"/>
    <w:uiPriority w:val="99"/>
    <w:semiHidden/>
    <w:rsid w:val="009B6657"/>
    <w:rPr>
      <w:color w:val="808080"/>
    </w:rPr>
  </w:style>
  <w:style w:type="character" w:styleId="Emphasis">
    <w:name w:val="Emphasis"/>
    <w:basedOn w:val="DefaultParagraphFont"/>
    <w:uiPriority w:val="20"/>
    <w:qFormat/>
    <w:rsid w:val="009B6657"/>
    <w:rPr>
      <w:i/>
      <w:iCs/>
    </w:rPr>
  </w:style>
  <w:style w:type="character" w:customStyle="1" w:styleId="personname">
    <w:name w:val="person_name"/>
    <w:basedOn w:val="DefaultParagraphFont"/>
    <w:rsid w:val="008D1D61"/>
  </w:style>
  <w:style w:type="paragraph" w:styleId="Header">
    <w:name w:val="header"/>
    <w:basedOn w:val="Normal"/>
    <w:link w:val="HeaderChar"/>
    <w:uiPriority w:val="99"/>
    <w:unhideWhenUsed/>
    <w:rsid w:val="005E7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82F"/>
  </w:style>
  <w:style w:type="paragraph" w:styleId="Footer">
    <w:name w:val="footer"/>
    <w:basedOn w:val="Normal"/>
    <w:link w:val="FooterChar"/>
    <w:uiPriority w:val="99"/>
    <w:unhideWhenUsed/>
    <w:rsid w:val="005E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82F"/>
  </w:style>
  <w:style w:type="paragraph" w:styleId="Bibliography">
    <w:name w:val="Bibliography"/>
    <w:basedOn w:val="Normal"/>
    <w:next w:val="Normal"/>
    <w:uiPriority w:val="37"/>
    <w:semiHidden/>
    <w:unhideWhenUsed/>
    <w:rsid w:val="009A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2418">
      <w:bodyDiv w:val="1"/>
      <w:marLeft w:val="0"/>
      <w:marRight w:val="0"/>
      <w:marTop w:val="0"/>
      <w:marBottom w:val="0"/>
      <w:divBdr>
        <w:top w:val="none" w:sz="0" w:space="0" w:color="auto"/>
        <w:left w:val="none" w:sz="0" w:space="0" w:color="auto"/>
        <w:bottom w:val="none" w:sz="0" w:space="0" w:color="auto"/>
        <w:right w:val="none" w:sz="0" w:space="0" w:color="auto"/>
      </w:divBdr>
    </w:div>
    <w:div w:id="80876309">
      <w:bodyDiv w:val="1"/>
      <w:marLeft w:val="0"/>
      <w:marRight w:val="0"/>
      <w:marTop w:val="0"/>
      <w:marBottom w:val="0"/>
      <w:divBdr>
        <w:top w:val="none" w:sz="0" w:space="0" w:color="auto"/>
        <w:left w:val="none" w:sz="0" w:space="0" w:color="auto"/>
        <w:bottom w:val="none" w:sz="0" w:space="0" w:color="auto"/>
        <w:right w:val="none" w:sz="0" w:space="0" w:color="auto"/>
      </w:divBdr>
    </w:div>
    <w:div w:id="153223801">
      <w:bodyDiv w:val="1"/>
      <w:marLeft w:val="0"/>
      <w:marRight w:val="0"/>
      <w:marTop w:val="0"/>
      <w:marBottom w:val="0"/>
      <w:divBdr>
        <w:top w:val="none" w:sz="0" w:space="0" w:color="auto"/>
        <w:left w:val="none" w:sz="0" w:space="0" w:color="auto"/>
        <w:bottom w:val="none" w:sz="0" w:space="0" w:color="auto"/>
        <w:right w:val="none" w:sz="0" w:space="0" w:color="auto"/>
      </w:divBdr>
    </w:div>
    <w:div w:id="230193792">
      <w:bodyDiv w:val="1"/>
      <w:marLeft w:val="0"/>
      <w:marRight w:val="0"/>
      <w:marTop w:val="0"/>
      <w:marBottom w:val="0"/>
      <w:divBdr>
        <w:top w:val="none" w:sz="0" w:space="0" w:color="auto"/>
        <w:left w:val="none" w:sz="0" w:space="0" w:color="auto"/>
        <w:bottom w:val="none" w:sz="0" w:space="0" w:color="auto"/>
        <w:right w:val="none" w:sz="0" w:space="0" w:color="auto"/>
      </w:divBdr>
    </w:div>
    <w:div w:id="251747636">
      <w:bodyDiv w:val="1"/>
      <w:marLeft w:val="0"/>
      <w:marRight w:val="0"/>
      <w:marTop w:val="0"/>
      <w:marBottom w:val="0"/>
      <w:divBdr>
        <w:top w:val="none" w:sz="0" w:space="0" w:color="auto"/>
        <w:left w:val="none" w:sz="0" w:space="0" w:color="auto"/>
        <w:bottom w:val="none" w:sz="0" w:space="0" w:color="auto"/>
        <w:right w:val="none" w:sz="0" w:space="0" w:color="auto"/>
      </w:divBdr>
    </w:div>
    <w:div w:id="476336105">
      <w:bodyDiv w:val="1"/>
      <w:marLeft w:val="0"/>
      <w:marRight w:val="0"/>
      <w:marTop w:val="0"/>
      <w:marBottom w:val="0"/>
      <w:divBdr>
        <w:top w:val="none" w:sz="0" w:space="0" w:color="auto"/>
        <w:left w:val="none" w:sz="0" w:space="0" w:color="auto"/>
        <w:bottom w:val="none" w:sz="0" w:space="0" w:color="auto"/>
        <w:right w:val="none" w:sz="0" w:space="0" w:color="auto"/>
      </w:divBdr>
    </w:div>
    <w:div w:id="499657166">
      <w:bodyDiv w:val="1"/>
      <w:marLeft w:val="0"/>
      <w:marRight w:val="0"/>
      <w:marTop w:val="0"/>
      <w:marBottom w:val="0"/>
      <w:divBdr>
        <w:top w:val="none" w:sz="0" w:space="0" w:color="auto"/>
        <w:left w:val="none" w:sz="0" w:space="0" w:color="auto"/>
        <w:bottom w:val="none" w:sz="0" w:space="0" w:color="auto"/>
        <w:right w:val="none" w:sz="0" w:space="0" w:color="auto"/>
      </w:divBdr>
    </w:div>
    <w:div w:id="531846238">
      <w:bodyDiv w:val="1"/>
      <w:marLeft w:val="0"/>
      <w:marRight w:val="0"/>
      <w:marTop w:val="0"/>
      <w:marBottom w:val="0"/>
      <w:divBdr>
        <w:top w:val="none" w:sz="0" w:space="0" w:color="auto"/>
        <w:left w:val="none" w:sz="0" w:space="0" w:color="auto"/>
        <w:bottom w:val="none" w:sz="0" w:space="0" w:color="auto"/>
        <w:right w:val="none" w:sz="0" w:space="0" w:color="auto"/>
      </w:divBdr>
    </w:div>
    <w:div w:id="534658305">
      <w:bodyDiv w:val="1"/>
      <w:marLeft w:val="0"/>
      <w:marRight w:val="0"/>
      <w:marTop w:val="0"/>
      <w:marBottom w:val="0"/>
      <w:divBdr>
        <w:top w:val="none" w:sz="0" w:space="0" w:color="auto"/>
        <w:left w:val="none" w:sz="0" w:space="0" w:color="auto"/>
        <w:bottom w:val="none" w:sz="0" w:space="0" w:color="auto"/>
        <w:right w:val="none" w:sz="0" w:space="0" w:color="auto"/>
      </w:divBdr>
    </w:div>
    <w:div w:id="563833048">
      <w:bodyDiv w:val="1"/>
      <w:marLeft w:val="0"/>
      <w:marRight w:val="0"/>
      <w:marTop w:val="0"/>
      <w:marBottom w:val="0"/>
      <w:divBdr>
        <w:top w:val="none" w:sz="0" w:space="0" w:color="auto"/>
        <w:left w:val="none" w:sz="0" w:space="0" w:color="auto"/>
        <w:bottom w:val="none" w:sz="0" w:space="0" w:color="auto"/>
        <w:right w:val="none" w:sz="0" w:space="0" w:color="auto"/>
      </w:divBdr>
    </w:div>
    <w:div w:id="594020958">
      <w:bodyDiv w:val="1"/>
      <w:marLeft w:val="0"/>
      <w:marRight w:val="0"/>
      <w:marTop w:val="0"/>
      <w:marBottom w:val="0"/>
      <w:divBdr>
        <w:top w:val="none" w:sz="0" w:space="0" w:color="auto"/>
        <w:left w:val="none" w:sz="0" w:space="0" w:color="auto"/>
        <w:bottom w:val="none" w:sz="0" w:space="0" w:color="auto"/>
        <w:right w:val="none" w:sz="0" w:space="0" w:color="auto"/>
      </w:divBdr>
    </w:div>
    <w:div w:id="616719617">
      <w:bodyDiv w:val="1"/>
      <w:marLeft w:val="0"/>
      <w:marRight w:val="0"/>
      <w:marTop w:val="0"/>
      <w:marBottom w:val="0"/>
      <w:divBdr>
        <w:top w:val="none" w:sz="0" w:space="0" w:color="auto"/>
        <w:left w:val="none" w:sz="0" w:space="0" w:color="auto"/>
        <w:bottom w:val="none" w:sz="0" w:space="0" w:color="auto"/>
        <w:right w:val="none" w:sz="0" w:space="0" w:color="auto"/>
      </w:divBdr>
    </w:div>
    <w:div w:id="630479159">
      <w:bodyDiv w:val="1"/>
      <w:marLeft w:val="0"/>
      <w:marRight w:val="0"/>
      <w:marTop w:val="0"/>
      <w:marBottom w:val="0"/>
      <w:divBdr>
        <w:top w:val="none" w:sz="0" w:space="0" w:color="auto"/>
        <w:left w:val="none" w:sz="0" w:space="0" w:color="auto"/>
        <w:bottom w:val="none" w:sz="0" w:space="0" w:color="auto"/>
        <w:right w:val="none" w:sz="0" w:space="0" w:color="auto"/>
      </w:divBdr>
    </w:div>
    <w:div w:id="654726031">
      <w:bodyDiv w:val="1"/>
      <w:marLeft w:val="0"/>
      <w:marRight w:val="0"/>
      <w:marTop w:val="0"/>
      <w:marBottom w:val="0"/>
      <w:divBdr>
        <w:top w:val="none" w:sz="0" w:space="0" w:color="auto"/>
        <w:left w:val="none" w:sz="0" w:space="0" w:color="auto"/>
        <w:bottom w:val="none" w:sz="0" w:space="0" w:color="auto"/>
        <w:right w:val="none" w:sz="0" w:space="0" w:color="auto"/>
      </w:divBdr>
    </w:div>
    <w:div w:id="684747597">
      <w:bodyDiv w:val="1"/>
      <w:marLeft w:val="0"/>
      <w:marRight w:val="0"/>
      <w:marTop w:val="0"/>
      <w:marBottom w:val="0"/>
      <w:divBdr>
        <w:top w:val="none" w:sz="0" w:space="0" w:color="auto"/>
        <w:left w:val="none" w:sz="0" w:space="0" w:color="auto"/>
        <w:bottom w:val="none" w:sz="0" w:space="0" w:color="auto"/>
        <w:right w:val="none" w:sz="0" w:space="0" w:color="auto"/>
      </w:divBdr>
    </w:div>
    <w:div w:id="740248095">
      <w:bodyDiv w:val="1"/>
      <w:marLeft w:val="0"/>
      <w:marRight w:val="0"/>
      <w:marTop w:val="0"/>
      <w:marBottom w:val="0"/>
      <w:divBdr>
        <w:top w:val="none" w:sz="0" w:space="0" w:color="auto"/>
        <w:left w:val="none" w:sz="0" w:space="0" w:color="auto"/>
        <w:bottom w:val="none" w:sz="0" w:space="0" w:color="auto"/>
        <w:right w:val="none" w:sz="0" w:space="0" w:color="auto"/>
      </w:divBdr>
    </w:div>
    <w:div w:id="763186849">
      <w:bodyDiv w:val="1"/>
      <w:marLeft w:val="0"/>
      <w:marRight w:val="0"/>
      <w:marTop w:val="0"/>
      <w:marBottom w:val="0"/>
      <w:divBdr>
        <w:top w:val="none" w:sz="0" w:space="0" w:color="auto"/>
        <w:left w:val="none" w:sz="0" w:space="0" w:color="auto"/>
        <w:bottom w:val="none" w:sz="0" w:space="0" w:color="auto"/>
        <w:right w:val="none" w:sz="0" w:space="0" w:color="auto"/>
      </w:divBdr>
    </w:div>
    <w:div w:id="865798618">
      <w:bodyDiv w:val="1"/>
      <w:marLeft w:val="0"/>
      <w:marRight w:val="0"/>
      <w:marTop w:val="0"/>
      <w:marBottom w:val="0"/>
      <w:divBdr>
        <w:top w:val="none" w:sz="0" w:space="0" w:color="auto"/>
        <w:left w:val="none" w:sz="0" w:space="0" w:color="auto"/>
        <w:bottom w:val="none" w:sz="0" w:space="0" w:color="auto"/>
        <w:right w:val="none" w:sz="0" w:space="0" w:color="auto"/>
      </w:divBdr>
    </w:div>
    <w:div w:id="992685847">
      <w:bodyDiv w:val="1"/>
      <w:marLeft w:val="0"/>
      <w:marRight w:val="0"/>
      <w:marTop w:val="0"/>
      <w:marBottom w:val="0"/>
      <w:divBdr>
        <w:top w:val="none" w:sz="0" w:space="0" w:color="auto"/>
        <w:left w:val="none" w:sz="0" w:space="0" w:color="auto"/>
        <w:bottom w:val="none" w:sz="0" w:space="0" w:color="auto"/>
        <w:right w:val="none" w:sz="0" w:space="0" w:color="auto"/>
      </w:divBdr>
    </w:div>
    <w:div w:id="1027220792">
      <w:bodyDiv w:val="1"/>
      <w:marLeft w:val="0"/>
      <w:marRight w:val="0"/>
      <w:marTop w:val="0"/>
      <w:marBottom w:val="0"/>
      <w:divBdr>
        <w:top w:val="none" w:sz="0" w:space="0" w:color="auto"/>
        <w:left w:val="none" w:sz="0" w:space="0" w:color="auto"/>
        <w:bottom w:val="none" w:sz="0" w:space="0" w:color="auto"/>
        <w:right w:val="none" w:sz="0" w:space="0" w:color="auto"/>
      </w:divBdr>
    </w:div>
    <w:div w:id="1056394768">
      <w:bodyDiv w:val="1"/>
      <w:marLeft w:val="0"/>
      <w:marRight w:val="0"/>
      <w:marTop w:val="0"/>
      <w:marBottom w:val="0"/>
      <w:divBdr>
        <w:top w:val="none" w:sz="0" w:space="0" w:color="auto"/>
        <w:left w:val="none" w:sz="0" w:space="0" w:color="auto"/>
        <w:bottom w:val="none" w:sz="0" w:space="0" w:color="auto"/>
        <w:right w:val="none" w:sz="0" w:space="0" w:color="auto"/>
      </w:divBdr>
    </w:div>
    <w:div w:id="1123233374">
      <w:bodyDiv w:val="1"/>
      <w:marLeft w:val="0"/>
      <w:marRight w:val="0"/>
      <w:marTop w:val="0"/>
      <w:marBottom w:val="0"/>
      <w:divBdr>
        <w:top w:val="none" w:sz="0" w:space="0" w:color="auto"/>
        <w:left w:val="none" w:sz="0" w:space="0" w:color="auto"/>
        <w:bottom w:val="none" w:sz="0" w:space="0" w:color="auto"/>
        <w:right w:val="none" w:sz="0" w:space="0" w:color="auto"/>
      </w:divBdr>
    </w:div>
    <w:div w:id="1159662644">
      <w:bodyDiv w:val="1"/>
      <w:marLeft w:val="0"/>
      <w:marRight w:val="0"/>
      <w:marTop w:val="0"/>
      <w:marBottom w:val="0"/>
      <w:divBdr>
        <w:top w:val="none" w:sz="0" w:space="0" w:color="auto"/>
        <w:left w:val="none" w:sz="0" w:space="0" w:color="auto"/>
        <w:bottom w:val="none" w:sz="0" w:space="0" w:color="auto"/>
        <w:right w:val="none" w:sz="0" w:space="0" w:color="auto"/>
      </w:divBdr>
    </w:div>
    <w:div w:id="1327055544">
      <w:bodyDiv w:val="1"/>
      <w:marLeft w:val="0"/>
      <w:marRight w:val="0"/>
      <w:marTop w:val="0"/>
      <w:marBottom w:val="0"/>
      <w:divBdr>
        <w:top w:val="none" w:sz="0" w:space="0" w:color="auto"/>
        <w:left w:val="none" w:sz="0" w:space="0" w:color="auto"/>
        <w:bottom w:val="none" w:sz="0" w:space="0" w:color="auto"/>
        <w:right w:val="none" w:sz="0" w:space="0" w:color="auto"/>
      </w:divBdr>
    </w:div>
    <w:div w:id="1361080026">
      <w:bodyDiv w:val="1"/>
      <w:marLeft w:val="0"/>
      <w:marRight w:val="0"/>
      <w:marTop w:val="0"/>
      <w:marBottom w:val="0"/>
      <w:divBdr>
        <w:top w:val="none" w:sz="0" w:space="0" w:color="auto"/>
        <w:left w:val="none" w:sz="0" w:space="0" w:color="auto"/>
        <w:bottom w:val="none" w:sz="0" w:space="0" w:color="auto"/>
        <w:right w:val="none" w:sz="0" w:space="0" w:color="auto"/>
      </w:divBdr>
    </w:div>
    <w:div w:id="1459955520">
      <w:bodyDiv w:val="1"/>
      <w:marLeft w:val="0"/>
      <w:marRight w:val="0"/>
      <w:marTop w:val="0"/>
      <w:marBottom w:val="0"/>
      <w:divBdr>
        <w:top w:val="none" w:sz="0" w:space="0" w:color="auto"/>
        <w:left w:val="none" w:sz="0" w:space="0" w:color="auto"/>
        <w:bottom w:val="none" w:sz="0" w:space="0" w:color="auto"/>
        <w:right w:val="none" w:sz="0" w:space="0" w:color="auto"/>
      </w:divBdr>
    </w:div>
    <w:div w:id="1507356159">
      <w:bodyDiv w:val="1"/>
      <w:marLeft w:val="0"/>
      <w:marRight w:val="0"/>
      <w:marTop w:val="0"/>
      <w:marBottom w:val="0"/>
      <w:divBdr>
        <w:top w:val="none" w:sz="0" w:space="0" w:color="auto"/>
        <w:left w:val="none" w:sz="0" w:space="0" w:color="auto"/>
        <w:bottom w:val="none" w:sz="0" w:space="0" w:color="auto"/>
        <w:right w:val="none" w:sz="0" w:space="0" w:color="auto"/>
      </w:divBdr>
    </w:div>
    <w:div w:id="1583292372">
      <w:bodyDiv w:val="1"/>
      <w:marLeft w:val="0"/>
      <w:marRight w:val="0"/>
      <w:marTop w:val="0"/>
      <w:marBottom w:val="0"/>
      <w:divBdr>
        <w:top w:val="none" w:sz="0" w:space="0" w:color="auto"/>
        <w:left w:val="none" w:sz="0" w:space="0" w:color="auto"/>
        <w:bottom w:val="none" w:sz="0" w:space="0" w:color="auto"/>
        <w:right w:val="none" w:sz="0" w:space="0" w:color="auto"/>
      </w:divBdr>
    </w:div>
    <w:div w:id="1605918737">
      <w:bodyDiv w:val="1"/>
      <w:marLeft w:val="0"/>
      <w:marRight w:val="0"/>
      <w:marTop w:val="0"/>
      <w:marBottom w:val="0"/>
      <w:divBdr>
        <w:top w:val="none" w:sz="0" w:space="0" w:color="auto"/>
        <w:left w:val="none" w:sz="0" w:space="0" w:color="auto"/>
        <w:bottom w:val="none" w:sz="0" w:space="0" w:color="auto"/>
        <w:right w:val="none" w:sz="0" w:space="0" w:color="auto"/>
      </w:divBdr>
    </w:div>
    <w:div w:id="1654867048">
      <w:bodyDiv w:val="1"/>
      <w:marLeft w:val="0"/>
      <w:marRight w:val="0"/>
      <w:marTop w:val="0"/>
      <w:marBottom w:val="0"/>
      <w:divBdr>
        <w:top w:val="none" w:sz="0" w:space="0" w:color="auto"/>
        <w:left w:val="none" w:sz="0" w:space="0" w:color="auto"/>
        <w:bottom w:val="none" w:sz="0" w:space="0" w:color="auto"/>
        <w:right w:val="none" w:sz="0" w:space="0" w:color="auto"/>
      </w:divBdr>
    </w:div>
    <w:div w:id="1733311156">
      <w:bodyDiv w:val="1"/>
      <w:marLeft w:val="0"/>
      <w:marRight w:val="0"/>
      <w:marTop w:val="0"/>
      <w:marBottom w:val="0"/>
      <w:divBdr>
        <w:top w:val="none" w:sz="0" w:space="0" w:color="auto"/>
        <w:left w:val="none" w:sz="0" w:space="0" w:color="auto"/>
        <w:bottom w:val="none" w:sz="0" w:space="0" w:color="auto"/>
        <w:right w:val="none" w:sz="0" w:space="0" w:color="auto"/>
      </w:divBdr>
    </w:div>
    <w:div w:id="1738816272">
      <w:bodyDiv w:val="1"/>
      <w:marLeft w:val="0"/>
      <w:marRight w:val="0"/>
      <w:marTop w:val="0"/>
      <w:marBottom w:val="0"/>
      <w:divBdr>
        <w:top w:val="none" w:sz="0" w:space="0" w:color="auto"/>
        <w:left w:val="none" w:sz="0" w:space="0" w:color="auto"/>
        <w:bottom w:val="none" w:sz="0" w:space="0" w:color="auto"/>
        <w:right w:val="none" w:sz="0" w:space="0" w:color="auto"/>
      </w:divBdr>
    </w:div>
    <w:div w:id="1982883790">
      <w:bodyDiv w:val="1"/>
      <w:marLeft w:val="0"/>
      <w:marRight w:val="0"/>
      <w:marTop w:val="0"/>
      <w:marBottom w:val="0"/>
      <w:divBdr>
        <w:top w:val="none" w:sz="0" w:space="0" w:color="auto"/>
        <w:left w:val="none" w:sz="0" w:space="0" w:color="auto"/>
        <w:bottom w:val="none" w:sz="0" w:space="0" w:color="auto"/>
        <w:right w:val="none" w:sz="0" w:space="0" w:color="auto"/>
      </w:divBdr>
    </w:div>
    <w:div w:id="2128117034">
      <w:bodyDiv w:val="1"/>
      <w:marLeft w:val="0"/>
      <w:marRight w:val="0"/>
      <w:marTop w:val="0"/>
      <w:marBottom w:val="0"/>
      <w:divBdr>
        <w:top w:val="none" w:sz="0" w:space="0" w:color="auto"/>
        <w:left w:val="none" w:sz="0" w:space="0" w:color="auto"/>
        <w:bottom w:val="none" w:sz="0" w:space="0" w:color="auto"/>
        <w:right w:val="none" w:sz="0" w:space="0" w:color="auto"/>
      </w:divBdr>
    </w:div>
    <w:div w:id="213393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tats.oecd.org/" TargetMode="External"/><Relationship Id="rId3" Type="http://schemas.openxmlformats.org/officeDocument/2006/relationships/styles" Target="styles.xml"/><Relationship Id="rId21" Type="http://schemas.openxmlformats.org/officeDocument/2006/relationships/hyperlink" Target="http://data.worldbank.org/indicator/FS.AST.PRVT.GD.ZS"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ec.europa.eu/economy_finance/ameco/user/serie/SelectSerie.cfm"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gpo.gov/fdsys/pkg/GPO-FCIC/pdf/GPO-FCI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data.oecd.org/hha/household-debt.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mailto:aidan.regan@ucd.ie" TargetMode="External"/><Relationship Id="rId2" Type="http://schemas.openxmlformats.org/officeDocument/2006/relationships/hyperlink" Target="mailto:Alison.Johnston@oregonstate.edu" TargetMode="External"/><Relationship Id="rId1" Type="http://schemas.openxmlformats.org/officeDocument/2006/relationships/hyperlink" Target="mailto:g.w.fuller@ru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0387A-8AB7-4702-9FFC-7DA0B806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6</cp:revision>
  <cp:lastPrinted>2018-12-31T18:11:00Z</cp:lastPrinted>
  <dcterms:created xsi:type="dcterms:W3CDTF">2019-01-23T20:44:00Z</dcterms:created>
  <dcterms:modified xsi:type="dcterms:W3CDTF">2019-04-28T20:49:00Z</dcterms:modified>
</cp:coreProperties>
</file>