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B1" w:rsidRPr="004427CF" w:rsidRDefault="0098122F" w:rsidP="00B80CBE">
      <w:pPr>
        <w:spacing w:line="276" w:lineRule="auto"/>
        <w:rPr>
          <w:rFonts w:asciiTheme="minorHAnsi" w:hAnsiTheme="minorHAnsi"/>
          <w:b/>
          <w:bCs/>
          <w:sz w:val="28"/>
          <w:szCs w:val="28"/>
        </w:rPr>
      </w:pPr>
      <w:r w:rsidRPr="004427CF">
        <w:rPr>
          <w:rFonts w:asciiTheme="minorHAnsi" w:hAnsiTheme="minorHAnsi"/>
          <w:b/>
          <w:bCs/>
          <w:sz w:val="28"/>
          <w:szCs w:val="28"/>
        </w:rPr>
        <w:t>How t</w:t>
      </w:r>
      <w:r w:rsidR="002D0DB1" w:rsidRPr="004427CF">
        <w:rPr>
          <w:rFonts w:asciiTheme="minorHAnsi" w:hAnsiTheme="minorHAnsi"/>
          <w:b/>
          <w:bCs/>
          <w:sz w:val="28"/>
          <w:szCs w:val="28"/>
        </w:rPr>
        <w:t xml:space="preserve">he </w:t>
      </w:r>
      <w:proofErr w:type="spellStart"/>
      <w:r w:rsidR="002D0DB1" w:rsidRPr="004427CF">
        <w:rPr>
          <w:rFonts w:asciiTheme="minorHAnsi" w:hAnsiTheme="minorHAnsi"/>
          <w:b/>
          <w:bCs/>
          <w:sz w:val="28"/>
          <w:szCs w:val="28"/>
        </w:rPr>
        <w:t>Frontex</w:t>
      </w:r>
      <w:proofErr w:type="spellEnd"/>
      <w:r w:rsidR="002D0DB1" w:rsidRPr="004427CF">
        <w:rPr>
          <w:rFonts w:asciiTheme="minorHAnsi" w:hAnsiTheme="minorHAnsi"/>
          <w:b/>
          <w:bCs/>
          <w:sz w:val="28"/>
          <w:szCs w:val="28"/>
        </w:rPr>
        <w:t xml:space="preserve"> Sea Borders Regulation</w:t>
      </w:r>
      <w:r w:rsidRPr="004427CF">
        <w:rPr>
          <w:rFonts w:asciiTheme="minorHAnsi" w:hAnsiTheme="minorHAnsi"/>
          <w:b/>
          <w:bCs/>
          <w:sz w:val="28"/>
          <w:szCs w:val="28"/>
        </w:rPr>
        <w:t xml:space="preserve"> </w:t>
      </w:r>
      <w:r w:rsidR="00EC0398" w:rsidRPr="004427CF">
        <w:rPr>
          <w:rFonts w:asciiTheme="minorHAnsi" w:hAnsiTheme="minorHAnsi"/>
          <w:b/>
          <w:bCs/>
          <w:sz w:val="28"/>
          <w:szCs w:val="28"/>
        </w:rPr>
        <w:t>avoids</w:t>
      </w:r>
      <w:r w:rsidRPr="004427CF">
        <w:rPr>
          <w:rFonts w:asciiTheme="minorHAnsi" w:hAnsiTheme="minorHAnsi"/>
          <w:b/>
          <w:bCs/>
          <w:sz w:val="28"/>
          <w:szCs w:val="28"/>
        </w:rPr>
        <w:t xml:space="preserve"> the hot potatoes</w:t>
      </w:r>
    </w:p>
    <w:p w:rsidR="003003F4" w:rsidRPr="004427CF" w:rsidRDefault="003003F4" w:rsidP="00B80CBE">
      <w:pPr>
        <w:spacing w:line="276" w:lineRule="auto"/>
        <w:rPr>
          <w:rFonts w:asciiTheme="minorHAnsi" w:hAnsiTheme="minorHAnsi"/>
          <w:bCs/>
          <w:sz w:val="22"/>
          <w:szCs w:val="22"/>
        </w:rPr>
      </w:pPr>
      <w:r w:rsidRPr="004427CF">
        <w:rPr>
          <w:rFonts w:asciiTheme="minorHAnsi" w:hAnsiTheme="minorHAnsi"/>
          <w:bCs/>
          <w:sz w:val="22"/>
          <w:szCs w:val="22"/>
        </w:rPr>
        <w:t>Maarten den Heijer</w:t>
      </w:r>
      <w:r w:rsidR="00581CA4" w:rsidRPr="004427CF">
        <w:rPr>
          <w:rFonts w:asciiTheme="minorHAnsi" w:hAnsiTheme="minorHAnsi"/>
          <w:bCs/>
          <w:sz w:val="22"/>
          <w:szCs w:val="22"/>
        </w:rPr>
        <w:t>, assistant professor of international law, University of Amsterdam, m.denheijer@uva.nl</w:t>
      </w:r>
    </w:p>
    <w:p w:rsidR="00CE1046" w:rsidRPr="004427CF" w:rsidRDefault="00CE1046" w:rsidP="00B80CBE">
      <w:pPr>
        <w:spacing w:line="276" w:lineRule="auto"/>
        <w:rPr>
          <w:rFonts w:asciiTheme="minorHAnsi" w:hAnsiTheme="minorHAnsi"/>
          <w:bCs/>
          <w:sz w:val="22"/>
          <w:szCs w:val="22"/>
        </w:rPr>
      </w:pPr>
    </w:p>
    <w:p w:rsidR="00CE1046" w:rsidRPr="004427CF" w:rsidRDefault="00CE1046" w:rsidP="00B80CBE">
      <w:pPr>
        <w:spacing w:line="276" w:lineRule="auto"/>
        <w:rPr>
          <w:rFonts w:asciiTheme="minorHAnsi" w:hAnsiTheme="minorHAnsi"/>
          <w:b/>
          <w:bCs/>
          <w:sz w:val="22"/>
          <w:szCs w:val="22"/>
        </w:rPr>
      </w:pPr>
      <w:r w:rsidRPr="004427CF">
        <w:rPr>
          <w:rFonts w:asciiTheme="minorHAnsi" w:hAnsiTheme="minorHAnsi"/>
          <w:b/>
          <w:bCs/>
          <w:sz w:val="22"/>
          <w:szCs w:val="22"/>
        </w:rPr>
        <w:t>Abstract</w:t>
      </w:r>
    </w:p>
    <w:p w:rsidR="00CE1046" w:rsidRPr="004427CF" w:rsidRDefault="004427CF" w:rsidP="00B80CBE">
      <w:pPr>
        <w:spacing w:line="276" w:lineRule="auto"/>
        <w:rPr>
          <w:rFonts w:asciiTheme="minorHAnsi" w:hAnsiTheme="minorHAnsi"/>
          <w:bCs/>
          <w:i/>
          <w:sz w:val="22"/>
          <w:szCs w:val="22"/>
        </w:rPr>
      </w:pPr>
      <w:r>
        <w:rPr>
          <w:rFonts w:asciiTheme="minorHAnsi" w:hAnsiTheme="minorHAnsi"/>
          <w:bCs/>
          <w:i/>
          <w:sz w:val="22"/>
          <w:szCs w:val="22"/>
        </w:rPr>
        <w:t xml:space="preserve">This contribution focuses on the externalization of maritime border controls coordinated by the EU borders agency </w:t>
      </w:r>
      <w:proofErr w:type="spellStart"/>
      <w:r>
        <w:rPr>
          <w:rFonts w:asciiTheme="minorHAnsi" w:hAnsiTheme="minorHAnsi"/>
          <w:bCs/>
          <w:i/>
          <w:sz w:val="22"/>
          <w:szCs w:val="22"/>
        </w:rPr>
        <w:t>Frontex</w:t>
      </w:r>
      <w:proofErr w:type="spellEnd"/>
      <w:r>
        <w:rPr>
          <w:rFonts w:asciiTheme="minorHAnsi" w:hAnsiTheme="minorHAnsi"/>
          <w:bCs/>
          <w:i/>
          <w:sz w:val="22"/>
          <w:szCs w:val="22"/>
        </w:rPr>
        <w:t xml:space="preserve">. </w:t>
      </w:r>
      <w:r w:rsidR="00CE1046" w:rsidRPr="004427CF">
        <w:rPr>
          <w:rFonts w:asciiTheme="minorHAnsi" w:hAnsiTheme="minorHAnsi"/>
          <w:bCs/>
          <w:i/>
          <w:sz w:val="22"/>
          <w:szCs w:val="22"/>
        </w:rPr>
        <w:t xml:space="preserve">This externalization occurs in two ways. First, by geographically relocating controls away from coastal border crossing points to the various maritime zones. Secondly, by involving non-EU countries in border controls. The </w:t>
      </w:r>
      <w:r>
        <w:rPr>
          <w:rFonts w:asciiTheme="minorHAnsi" w:hAnsiTheme="minorHAnsi"/>
          <w:bCs/>
          <w:i/>
          <w:sz w:val="22"/>
          <w:szCs w:val="22"/>
        </w:rPr>
        <w:t xml:space="preserve">recently adopted </w:t>
      </w:r>
      <w:proofErr w:type="spellStart"/>
      <w:r w:rsidR="00CE1046" w:rsidRPr="004427CF">
        <w:rPr>
          <w:rFonts w:asciiTheme="minorHAnsi" w:hAnsiTheme="minorHAnsi"/>
          <w:bCs/>
          <w:i/>
          <w:sz w:val="22"/>
          <w:szCs w:val="22"/>
        </w:rPr>
        <w:t>Frontex</w:t>
      </w:r>
      <w:proofErr w:type="spellEnd"/>
      <w:r w:rsidR="00CE1046" w:rsidRPr="004427CF">
        <w:rPr>
          <w:rFonts w:asciiTheme="minorHAnsi" w:hAnsiTheme="minorHAnsi"/>
          <w:bCs/>
          <w:i/>
          <w:sz w:val="22"/>
          <w:szCs w:val="22"/>
        </w:rPr>
        <w:t xml:space="preserve"> Sea Border Regulation aims to clarify the </w:t>
      </w:r>
      <w:r>
        <w:rPr>
          <w:rFonts w:asciiTheme="minorHAnsi" w:hAnsiTheme="minorHAnsi"/>
          <w:bCs/>
          <w:i/>
          <w:sz w:val="22"/>
          <w:szCs w:val="22"/>
        </w:rPr>
        <w:t>legal regime applicable to such controls in the sphere of fundamental rights,</w:t>
      </w:r>
      <w:r w:rsidR="00CE1046" w:rsidRPr="004427CF">
        <w:rPr>
          <w:rFonts w:asciiTheme="minorHAnsi" w:hAnsiTheme="minorHAnsi"/>
          <w:bCs/>
          <w:i/>
          <w:sz w:val="22"/>
          <w:szCs w:val="22"/>
        </w:rPr>
        <w:t xml:space="preserve"> powers of interdiction</w:t>
      </w:r>
      <w:r>
        <w:rPr>
          <w:rFonts w:asciiTheme="minorHAnsi" w:hAnsiTheme="minorHAnsi"/>
          <w:bCs/>
          <w:i/>
          <w:sz w:val="22"/>
          <w:szCs w:val="22"/>
        </w:rPr>
        <w:t xml:space="preserve"> and search and rescue obligation</w:t>
      </w:r>
      <w:r w:rsidR="00AB54AE">
        <w:rPr>
          <w:rFonts w:asciiTheme="minorHAnsi" w:hAnsiTheme="minorHAnsi"/>
          <w:bCs/>
          <w:i/>
          <w:sz w:val="22"/>
          <w:szCs w:val="22"/>
        </w:rPr>
        <w:t>s</w:t>
      </w:r>
      <w:r>
        <w:rPr>
          <w:rFonts w:asciiTheme="minorHAnsi" w:hAnsiTheme="minorHAnsi"/>
          <w:bCs/>
          <w:i/>
          <w:sz w:val="22"/>
          <w:szCs w:val="22"/>
        </w:rPr>
        <w:t xml:space="preserve">. </w:t>
      </w:r>
      <w:r w:rsidR="00AB54AE">
        <w:rPr>
          <w:rFonts w:asciiTheme="minorHAnsi" w:hAnsiTheme="minorHAnsi"/>
          <w:bCs/>
          <w:i/>
          <w:sz w:val="22"/>
          <w:szCs w:val="22"/>
        </w:rPr>
        <w:t>The contribution argues that the Regulation</w:t>
      </w:r>
      <w:r>
        <w:rPr>
          <w:rFonts w:asciiTheme="minorHAnsi" w:hAnsiTheme="minorHAnsi"/>
          <w:bCs/>
          <w:i/>
          <w:sz w:val="22"/>
          <w:szCs w:val="22"/>
        </w:rPr>
        <w:t xml:space="preserve"> </w:t>
      </w:r>
      <w:r w:rsidR="00AB54AE">
        <w:rPr>
          <w:rFonts w:asciiTheme="minorHAnsi" w:hAnsiTheme="minorHAnsi"/>
          <w:bCs/>
          <w:i/>
          <w:sz w:val="22"/>
          <w:szCs w:val="22"/>
        </w:rPr>
        <w:t>is fundamentally flawed as it avoids hard choices, thereby failing to harmonize divergent</w:t>
      </w:r>
      <w:r w:rsidR="008426C3">
        <w:rPr>
          <w:rFonts w:asciiTheme="minorHAnsi" w:hAnsiTheme="minorHAnsi"/>
          <w:bCs/>
          <w:i/>
          <w:sz w:val="22"/>
          <w:szCs w:val="22"/>
        </w:rPr>
        <w:t xml:space="preserve"> Member State practice. Further,</w:t>
      </w:r>
      <w:r w:rsidR="00AB54AE">
        <w:rPr>
          <w:rFonts w:asciiTheme="minorHAnsi" w:hAnsiTheme="minorHAnsi"/>
          <w:bCs/>
          <w:i/>
          <w:sz w:val="22"/>
          <w:szCs w:val="22"/>
        </w:rPr>
        <w:t xml:space="preserve"> it provides substandard human rights protection, </w:t>
      </w:r>
      <w:r w:rsidR="008426C3">
        <w:rPr>
          <w:rFonts w:asciiTheme="minorHAnsi" w:hAnsiTheme="minorHAnsi"/>
          <w:bCs/>
          <w:i/>
          <w:sz w:val="22"/>
          <w:szCs w:val="22"/>
        </w:rPr>
        <w:t>by</w:t>
      </w:r>
      <w:r w:rsidR="00AB54AE">
        <w:rPr>
          <w:rFonts w:asciiTheme="minorHAnsi" w:hAnsiTheme="minorHAnsi"/>
          <w:bCs/>
          <w:i/>
          <w:sz w:val="22"/>
          <w:szCs w:val="22"/>
        </w:rPr>
        <w:t xml:space="preserve"> creat</w:t>
      </w:r>
      <w:r w:rsidR="008426C3">
        <w:rPr>
          <w:rFonts w:asciiTheme="minorHAnsi" w:hAnsiTheme="minorHAnsi"/>
          <w:bCs/>
          <w:i/>
          <w:sz w:val="22"/>
          <w:szCs w:val="22"/>
        </w:rPr>
        <w:t>ing</w:t>
      </w:r>
      <w:r w:rsidR="00AB54AE">
        <w:rPr>
          <w:rFonts w:asciiTheme="minorHAnsi" w:hAnsiTheme="minorHAnsi"/>
          <w:bCs/>
          <w:i/>
          <w:sz w:val="22"/>
          <w:szCs w:val="22"/>
        </w:rPr>
        <w:t xml:space="preserve"> a parallel legal regime for boat migrants which fundamentally differs from ordinary provisions of EU asylum and immigration law.</w:t>
      </w:r>
      <w:bookmarkStart w:id="0" w:name="_GoBack"/>
      <w:bookmarkEnd w:id="0"/>
    </w:p>
    <w:p w:rsidR="002D0DB1" w:rsidRPr="004427CF" w:rsidRDefault="002D0DB1" w:rsidP="00B80CBE">
      <w:pPr>
        <w:spacing w:line="276" w:lineRule="auto"/>
        <w:rPr>
          <w:rFonts w:asciiTheme="minorHAnsi" w:hAnsiTheme="minorHAnsi"/>
          <w:b/>
          <w:bCs/>
          <w:sz w:val="22"/>
          <w:szCs w:val="22"/>
        </w:rPr>
      </w:pPr>
    </w:p>
    <w:p w:rsidR="003003F4" w:rsidRPr="004427CF" w:rsidRDefault="003003F4" w:rsidP="00B80CBE">
      <w:pPr>
        <w:spacing w:line="276" w:lineRule="auto"/>
        <w:rPr>
          <w:rFonts w:asciiTheme="minorHAnsi" w:hAnsiTheme="minorHAnsi"/>
          <w:b/>
          <w:bCs/>
          <w:sz w:val="22"/>
          <w:szCs w:val="22"/>
        </w:rPr>
      </w:pPr>
      <w:r w:rsidRPr="004427CF">
        <w:rPr>
          <w:rFonts w:asciiTheme="minorHAnsi" w:hAnsiTheme="minorHAnsi"/>
          <w:b/>
          <w:bCs/>
          <w:sz w:val="22"/>
          <w:szCs w:val="22"/>
        </w:rPr>
        <w:t>1. Introduction</w:t>
      </w:r>
    </w:p>
    <w:p w:rsidR="003003F4" w:rsidRPr="004427CF" w:rsidRDefault="003003F4" w:rsidP="00B80CBE">
      <w:pPr>
        <w:spacing w:line="276" w:lineRule="auto"/>
        <w:rPr>
          <w:rFonts w:asciiTheme="minorHAnsi" w:hAnsiTheme="minorHAnsi"/>
          <w:bCs/>
          <w:sz w:val="22"/>
          <w:szCs w:val="22"/>
        </w:rPr>
      </w:pPr>
    </w:p>
    <w:p w:rsidR="00D15F91" w:rsidRPr="004427CF" w:rsidRDefault="00BD29C3" w:rsidP="00B80CBE">
      <w:pPr>
        <w:spacing w:line="276" w:lineRule="auto"/>
        <w:rPr>
          <w:rFonts w:asciiTheme="minorHAnsi" w:hAnsiTheme="minorHAnsi"/>
          <w:sz w:val="22"/>
          <w:szCs w:val="22"/>
          <w:shd w:val="clear" w:color="auto" w:fill="FFFFFF"/>
        </w:rPr>
      </w:pPr>
      <w:r w:rsidRPr="004427CF">
        <w:rPr>
          <w:rFonts w:asciiTheme="minorHAnsi" w:hAnsiTheme="minorHAnsi"/>
          <w:sz w:val="22"/>
          <w:szCs w:val="22"/>
          <w:shd w:val="clear" w:color="auto" w:fill="FFFFFF"/>
        </w:rPr>
        <w:t xml:space="preserve">On 25 November 2014, Pope Francis addressed the European Parliament. </w:t>
      </w:r>
      <w:r w:rsidR="00D15F91" w:rsidRPr="004427CF">
        <w:rPr>
          <w:rFonts w:asciiTheme="minorHAnsi" w:hAnsiTheme="minorHAnsi"/>
          <w:sz w:val="22"/>
          <w:szCs w:val="22"/>
          <w:shd w:val="clear" w:color="auto" w:fill="FFFFFF"/>
        </w:rPr>
        <w:t>Arguably m</w:t>
      </w:r>
      <w:r w:rsidR="00940C74" w:rsidRPr="004427CF">
        <w:rPr>
          <w:rFonts w:asciiTheme="minorHAnsi" w:hAnsiTheme="minorHAnsi"/>
          <w:sz w:val="22"/>
          <w:szCs w:val="22"/>
          <w:shd w:val="clear" w:color="auto" w:fill="FFFFFF"/>
        </w:rPr>
        <w:t xml:space="preserve">ore provocative than his call to </w:t>
      </w:r>
      <w:r w:rsidR="00DB2B7C" w:rsidRPr="004427CF">
        <w:rPr>
          <w:rFonts w:asciiTheme="minorHAnsi" w:hAnsiTheme="minorHAnsi"/>
          <w:sz w:val="22"/>
          <w:szCs w:val="22"/>
          <w:shd w:val="clear" w:color="auto" w:fill="FFFFFF"/>
        </w:rPr>
        <w:t xml:space="preserve">not </w:t>
      </w:r>
      <w:r w:rsidR="00940C74" w:rsidRPr="004427CF">
        <w:rPr>
          <w:rFonts w:asciiTheme="minorHAnsi" w:hAnsiTheme="minorHAnsi"/>
          <w:sz w:val="22"/>
          <w:szCs w:val="22"/>
          <w:shd w:val="clear" w:color="auto" w:fill="FFFFFF"/>
        </w:rPr>
        <w:t xml:space="preserve">“allow the Mediterranean to become a vast cemetery”, was </w:t>
      </w:r>
      <w:r w:rsidRPr="004427CF">
        <w:rPr>
          <w:rFonts w:asciiTheme="minorHAnsi" w:hAnsiTheme="minorHAnsi"/>
          <w:sz w:val="22"/>
          <w:szCs w:val="22"/>
          <w:shd w:val="clear" w:color="auto" w:fill="FFFFFF"/>
        </w:rPr>
        <w:t>his</w:t>
      </w:r>
      <w:r w:rsidR="00940C74" w:rsidRPr="004427CF">
        <w:rPr>
          <w:rFonts w:asciiTheme="minorHAnsi" w:hAnsiTheme="minorHAnsi"/>
          <w:sz w:val="22"/>
          <w:szCs w:val="22"/>
          <w:shd w:val="clear" w:color="auto" w:fill="FFFFFF"/>
        </w:rPr>
        <w:t xml:space="preserve"> depiction of Europe</w:t>
      </w:r>
      <w:r w:rsidR="00F67B5B" w:rsidRPr="004427CF">
        <w:rPr>
          <w:rFonts w:asciiTheme="minorHAnsi" w:hAnsiTheme="minorHAnsi"/>
          <w:sz w:val="22"/>
          <w:szCs w:val="22"/>
          <w:shd w:val="clear" w:color="auto" w:fill="FFFFFF"/>
        </w:rPr>
        <w:t xml:space="preserve"> </w:t>
      </w:r>
      <w:r w:rsidR="00940C74" w:rsidRPr="004427CF">
        <w:rPr>
          <w:rFonts w:asciiTheme="minorHAnsi" w:hAnsiTheme="minorHAnsi"/>
          <w:sz w:val="22"/>
          <w:szCs w:val="22"/>
          <w:shd w:val="clear" w:color="auto" w:fill="FFFFFF"/>
        </w:rPr>
        <w:t>having become “a grandmother, no longer fertile and vibrant”.</w:t>
      </w:r>
      <w:r w:rsidR="00940C74" w:rsidRPr="004427CF">
        <w:rPr>
          <w:rStyle w:val="FootnoteReference"/>
          <w:rFonts w:asciiTheme="minorHAnsi" w:hAnsiTheme="minorHAnsi"/>
          <w:sz w:val="22"/>
          <w:szCs w:val="22"/>
          <w:shd w:val="clear" w:color="auto" w:fill="FFFFFF"/>
        </w:rPr>
        <w:footnoteReference w:id="1"/>
      </w:r>
      <w:r w:rsidR="00940C74" w:rsidRPr="004427CF">
        <w:rPr>
          <w:rFonts w:asciiTheme="minorHAnsi" w:hAnsiTheme="minorHAnsi"/>
          <w:sz w:val="22"/>
          <w:szCs w:val="22"/>
          <w:shd w:val="clear" w:color="auto" w:fill="FFFFFF"/>
        </w:rPr>
        <w:t xml:space="preserve"> </w:t>
      </w:r>
      <w:r w:rsidR="00D15F91" w:rsidRPr="004427CF">
        <w:rPr>
          <w:rFonts w:asciiTheme="minorHAnsi" w:hAnsiTheme="minorHAnsi"/>
          <w:sz w:val="22"/>
          <w:szCs w:val="22"/>
          <w:shd w:val="clear" w:color="auto" w:fill="FFFFFF"/>
        </w:rPr>
        <w:t>The Pope</w:t>
      </w:r>
      <w:r w:rsidR="00E828ED" w:rsidRPr="004427CF">
        <w:rPr>
          <w:rFonts w:asciiTheme="minorHAnsi" w:hAnsiTheme="minorHAnsi"/>
          <w:sz w:val="22"/>
          <w:szCs w:val="22"/>
          <w:shd w:val="clear" w:color="auto" w:fill="FFFFFF"/>
        </w:rPr>
        <w:t xml:space="preserve"> </w:t>
      </w:r>
      <w:r w:rsidRPr="004427CF">
        <w:rPr>
          <w:rFonts w:asciiTheme="minorHAnsi" w:hAnsiTheme="minorHAnsi"/>
          <w:sz w:val="22"/>
          <w:szCs w:val="22"/>
          <w:shd w:val="clear" w:color="auto" w:fill="FFFFFF"/>
        </w:rPr>
        <w:t xml:space="preserve">did not refer to the </w:t>
      </w:r>
      <w:r w:rsidR="00F40845" w:rsidRPr="004427CF">
        <w:rPr>
          <w:rFonts w:asciiTheme="minorHAnsi" w:hAnsiTheme="minorHAnsi"/>
          <w:sz w:val="22"/>
          <w:szCs w:val="22"/>
          <w:shd w:val="clear" w:color="auto" w:fill="FFFFFF"/>
        </w:rPr>
        <w:t xml:space="preserve">EU’s </w:t>
      </w:r>
      <w:r w:rsidRPr="004427CF">
        <w:rPr>
          <w:rFonts w:asciiTheme="minorHAnsi" w:hAnsiTheme="minorHAnsi"/>
          <w:sz w:val="22"/>
          <w:szCs w:val="22"/>
          <w:shd w:val="clear" w:color="auto" w:fill="FFFFFF"/>
        </w:rPr>
        <w:t xml:space="preserve">enlargement fatigue, but </w:t>
      </w:r>
      <w:r w:rsidR="00F40845" w:rsidRPr="004427CF">
        <w:rPr>
          <w:rFonts w:asciiTheme="minorHAnsi" w:hAnsiTheme="minorHAnsi"/>
          <w:sz w:val="22"/>
          <w:szCs w:val="22"/>
          <w:shd w:val="clear" w:color="auto" w:fill="FFFFFF"/>
        </w:rPr>
        <w:t>to the perception</w:t>
      </w:r>
      <w:r w:rsidR="00BA5381" w:rsidRPr="004427CF">
        <w:rPr>
          <w:rFonts w:asciiTheme="minorHAnsi" w:hAnsiTheme="minorHAnsi"/>
          <w:sz w:val="22"/>
          <w:szCs w:val="22"/>
          <w:shd w:val="clear" w:color="auto" w:fill="FFFFFF"/>
        </w:rPr>
        <w:t xml:space="preserve"> that “</w:t>
      </w:r>
      <w:r w:rsidR="00BA5381" w:rsidRPr="004427CF">
        <w:rPr>
          <w:rFonts w:asciiTheme="minorHAnsi" w:hAnsiTheme="minorHAnsi" w:cs="Tahoma"/>
          <w:sz w:val="22"/>
          <w:szCs w:val="22"/>
          <w:shd w:val="clear" w:color="auto" w:fill="FFFFFF"/>
        </w:rPr>
        <w:t>the great ideas which once inspired Europe seem to have lost their attraction, only to be replaced by the bureaucratic technicalities of its institutions”.</w:t>
      </w:r>
      <w:r w:rsidR="00940C74" w:rsidRPr="004427CF">
        <w:rPr>
          <w:rFonts w:asciiTheme="minorHAnsi" w:hAnsiTheme="minorHAnsi"/>
          <w:sz w:val="22"/>
          <w:szCs w:val="22"/>
          <w:shd w:val="clear" w:color="auto" w:fill="FFFFFF"/>
        </w:rPr>
        <w:t xml:space="preserve"> </w:t>
      </w:r>
      <w:r w:rsidR="00D15F91" w:rsidRPr="004427CF">
        <w:rPr>
          <w:rFonts w:asciiTheme="minorHAnsi" w:hAnsiTheme="minorHAnsi"/>
          <w:sz w:val="22"/>
          <w:szCs w:val="22"/>
          <w:shd w:val="clear" w:color="auto" w:fill="FFFFFF"/>
        </w:rPr>
        <w:t>Specifically in the context of immigration, t</w:t>
      </w:r>
      <w:r w:rsidR="00940C74" w:rsidRPr="004427CF">
        <w:rPr>
          <w:rFonts w:asciiTheme="minorHAnsi" w:hAnsiTheme="minorHAnsi"/>
          <w:sz w:val="22"/>
          <w:szCs w:val="22"/>
          <w:shd w:val="clear" w:color="auto" w:fill="FFFFFF"/>
        </w:rPr>
        <w:t>he Pope</w:t>
      </w:r>
      <w:r w:rsidR="00BA5381" w:rsidRPr="004427CF">
        <w:rPr>
          <w:rFonts w:asciiTheme="minorHAnsi" w:hAnsiTheme="minorHAnsi"/>
          <w:sz w:val="22"/>
          <w:szCs w:val="22"/>
          <w:shd w:val="clear" w:color="auto" w:fill="FFFFFF"/>
        </w:rPr>
        <w:t xml:space="preserve"> lamented</w:t>
      </w:r>
      <w:r w:rsidR="00D15F91" w:rsidRPr="004427CF">
        <w:rPr>
          <w:rFonts w:asciiTheme="minorHAnsi" w:hAnsiTheme="minorHAnsi"/>
          <w:sz w:val="22"/>
          <w:szCs w:val="22"/>
          <w:shd w:val="clear" w:color="auto" w:fill="FFFFFF"/>
        </w:rPr>
        <w:t xml:space="preserve"> that courageous policies ensuring mutual support within the EU and assisting countries of origin were </w:t>
      </w:r>
      <w:r w:rsidR="00826C27" w:rsidRPr="004427CF">
        <w:rPr>
          <w:rFonts w:asciiTheme="minorHAnsi" w:hAnsiTheme="minorHAnsi"/>
          <w:sz w:val="22"/>
          <w:szCs w:val="22"/>
          <w:shd w:val="clear" w:color="auto" w:fill="FFFFFF"/>
        </w:rPr>
        <w:t>missing</w:t>
      </w:r>
      <w:r w:rsidR="00D15F91" w:rsidRPr="004427CF">
        <w:rPr>
          <w:rFonts w:asciiTheme="minorHAnsi" w:hAnsiTheme="minorHAnsi"/>
          <w:sz w:val="22"/>
          <w:szCs w:val="22"/>
          <w:shd w:val="clear" w:color="auto" w:fill="FFFFFF"/>
        </w:rPr>
        <w:t>,</w:t>
      </w:r>
      <w:r w:rsidR="00826C27" w:rsidRPr="004427CF">
        <w:rPr>
          <w:rFonts w:asciiTheme="minorHAnsi" w:hAnsiTheme="minorHAnsi"/>
          <w:sz w:val="22"/>
          <w:szCs w:val="22"/>
          <w:shd w:val="clear" w:color="auto" w:fill="FFFFFF"/>
        </w:rPr>
        <w:t xml:space="preserve"> and that the EU was focusing instead on</w:t>
      </w:r>
      <w:r w:rsidR="00035FE4" w:rsidRPr="004427CF">
        <w:rPr>
          <w:rFonts w:asciiTheme="minorHAnsi" w:hAnsiTheme="minorHAnsi"/>
          <w:sz w:val="22"/>
          <w:szCs w:val="22"/>
          <w:shd w:val="clear" w:color="auto" w:fill="FFFFFF"/>
        </w:rPr>
        <w:t xml:space="preserve"> </w:t>
      </w:r>
      <w:r w:rsidR="00D15F91" w:rsidRPr="004427CF">
        <w:rPr>
          <w:rFonts w:asciiTheme="minorHAnsi" w:hAnsiTheme="minorHAnsi"/>
          <w:sz w:val="22"/>
          <w:szCs w:val="22"/>
          <w:shd w:val="clear" w:color="auto" w:fill="FFFFFF"/>
        </w:rPr>
        <w:t>policies motivated by self-interest</w:t>
      </w:r>
      <w:r w:rsidR="00826C27" w:rsidRPr="004427CF">
        <w:rPr>
          <w:rFonts w:asciiTheme="minorHAnsi" w:hAnsiTheme="minorHAnsi"/>
          <w:sz w:val="22"/>
          <w:szCs w:val="22"/>
          <w:shd w:val="clear" w:color="auto" w:fill="FFFFFF"/>
        </w:rPr>
        <w:t>,</w:t>
      </w:r>
      <w:r w:rsidR="00D15F91" w:rsidRPr="004427CF">
        <w:rPr>
          <w:rFonts w:asciiTheme="minorHAnsi" w:hAnsiTheme="minorHAnsi"/>
          <w:sz w:val="22"/>
          <w:szCs w:val="22"/>
          <w:shd w:val="clear" w:color="auto" w:fill="FFFFFF"/>
        </w:rPr>
        <w:t xml:space="preserve"> which address only the effects and not the </w:t>
      </w:r>
      <w:r w:rsidR="00F0691D" w:rsidRPr="004427CF">
        <w:rPr>
          <w:rFonts w:asciiTheme="minorHAnsi" w:hAnsiTheme="minorHAnsi"/>
          <w:sz w:val="22"/>
          <w:szCs w:val="22"/>
          <w:shd w:val="clear" w:color="auto" w:fill="FFFFFF"/>
        </w:rPr>
        <w:t xml:space="preserve">root </w:t>
      </w:r>
      <w:r w:rsidR="00D15F91" w:rsidRPr="004427CF">
        <w:rPr>
          <w:rFonts w:asciiTheme="minorHAnsi" w:hAnsiTheme="minorHAnsi"/>
          <w:sz w:val="22"/>
          <w:szCs w:val="22"/>
          <w:shd w:val="clear" w:color="auto" w:fill="FFFFFF"/>
        </w:rPr>
        <w:t>causes of migration.</w:t>
      </w:r>
    </w:p>
    <w:p w:rsidR="00D15F91" w:rsidRPr="004427CF" w:rsidRDefault="00D15F91" w:rsidP="00B80CBE">
      <w:pPr>
        <w:spacing w:line="276" w:lineRule="auto"/>
        <w:rPr>
          <w:rFonts w:asciiTheme="minorHAnsi" w:hAnsiTheme="minorHAnsi"/>
          <w:sz w:val="22"/>
          <w:szCs w:val="22"/>
          <w:shd w:val="clear" w:color="auto" w:fill="FFFFFF"/>
        </w:rPr>
      </w:pPr>
    </w:p>
    <w:p w:rsidR="00544478" w:rsidRPr="004427CF" w:rsidRDefault="00544478" w:rsidP="00B80CBE">
      <w:pPr>
        <w:spacing w:line="276" w:lineRule="auto"/>
        <w:rPr>
          <w:rFonts w:asciiTheme="minorHAnsi" w:hAnsiTheme="minorHAnsi"/>
          <w:sz w:val="22"/>
          <w:szCs w:val="22"/>
          <w:shd w:val="clear" w:color="auto" w:fill="FFFFFF"/>
        </w:rPr>
      </w:pPr>
      <w:r w:rsidRPr="004427CF">
        <w:rPr>
          <w:rFonts w:asciiTheme="minorHAnsi" w:hAnsiTheme="minorHAnsi"/>
          <w:sz w:val="22"/>
          <w:szCs w:val="22"/>
          <w:shd w:val="clear" w:color="auto" w:fill="FFFFFF"/>
        </w:rPr>
        <w:t>When it comes to the EU’s polic</w:t>
      </w:r>
      <w:r w:rsidR="00826C27" w:rsidRPr="004427CF">
        <w:rPr>
          <w:rFonts w:asciiTheme="minorHAnsi" w:hAnsiTheme="minorHAnsi"/>
          <w:sz w:val="22"/>
          <w:szCs w:val="22"/>
          <w:shd w:val="clear" w:color="auto" w:fill="FFFFFF"/>
        </w:rPr>
        <w:t>ies</w:t>
      </w:r>
      <w:r w:rsidRPr="004427CF">
        <w:rPr>
          <w:rFonts w:asciiTheme="minorHAnsi" w:hAnsiTheme="minorHAnsi"/>
          <w:sz w:val="22"/>
          <w:szCs w:val="22"/>
          <w:shd w:val="clear" w:color="auto" w:fill="FFFFFF"/>
        </w:rPr>
        <w:t xml:space="preserve"> </w:t>
      </w:r>
      <w:r w:rsidR="00826C27" w:rsidRPr="004427CF">
        <w:rPr>
          <w:rFonts w:asciiTheme="minorHAnsi" w:hAnsiTheme="minorHAnsi"/>
          <w:sz w:val="22"/>
          <w:szCs w:val="22"/>
          <w:shd w:val="clear" w:color="auto" w:fill="FFFFFF"/>
        </w:rPr>
        <w:t>on the plight of migrants undertaking the journey across</w:t>
      </w:r>
      <w:r w:rsidRPr="004427CF">
        <w:rPr>
          <w:rFonts w:asciiTheme="minorHAnsi" w:hAnsiTheme="minorHAnsi"/>
          <w:sz w:val="22"/>
          <w:szCs w:val="22"/>
          <w:shd w:val="clear" w:color="auto" w:fill="FFFFFF"/>
        </w:rPr>
        <w:t xml:space="preserve"> </w:t>
      </w:r>
      <w:r w:rsidR="00826C27" w:rsidRPr="004427CF">
        <w:rPr>
          <w:rFonts w:asciiTheme="minorHAnsi" w:hAnsiTheme="minorHAnsi"/>
          <w:sz w:val="22"/>
          <w:szCs w:val="22"/>
          <w:shd w:val="clear" w:color="auto" w:fill="FFFFFF"/>
        </w:rPr>
        <w:t xml:space="preserve">the </w:t>
      </w:r>
      <w:r w:rsidRPr="004427CF">
        <w:rPr>
          <w:rFonts w:asciiTheme="minorHAnsi" w:hAnsiTheme="minorHAnsi"/>
          <w:sz w:val="22"/>
          <w:szCs w:val="22"/>
          <w:shd w:val="clear" w:color="auto" w:fill="FFFFFF"/>
        </w:rPr>
        <w:t>Mediterranean, it cannot be said that vision or inspiration is totally absent.</w:t>
      </w:r>
      <w:r w:rsidR="00826C27" w:rsidRPr="004427CF">
        <w:rPr>
          <w:rFonts w:asciiTheme="minorHAnsi" w:hAnsiTheme="minorHAnsi"/>
          <w:sz w:val="22"/>
          <w:szCs w:val="22"/>
          <w:shd w:val="clear" w:color="auto" w:fill="FFFFFF"/>
        </w:rPr>
        <w:t xml:space="preserve"> </w:t>
      </w:r>
      <w:r w:rsidR="00F55DBC" w:rsidRPr="004427CF">
        <w:rPr>
          <w:rFonts w:asciiTheme="minorHAnsi" w:hAnsiTheme="minorHAnsi"/>
          <w:bCs/>
          <w:sz w:val="22"/>
          <w:szCs w:val="22"/>
        </w:rPr>
        <w:t xml:space="preserve">It is obvious that the growing number of migrants attempting to enter the European Union by sea in the last two decades poses all sorts of challenges in the sphere of controlling the external border, protecting refugees, combatting human smuggling and saving lives at sea. </w:t>
      </w:r>
      <w:r w:rsidR="00826C27" w:rsidRPr="004427CF">
        <w:rPr>
          <w:rFonts w:asciiTheme="minorHAnsi" w:hAnsiTheme="minorHAnsi"/>
          <w:sz w:val="22"/>
          <w:szCs w:val="22"/>
          <w:shd w:val="clear" w:color="auto" w:fill="FFFFFF"/>
        </w:rPr>
        <w:t>In all key policy documents,</w:t>
      </w:r>
      <w:r w:rsidRPr="004427CF">
        <w:rPr>
          <w:rFonts w:asciiTheme="minorHAnsi" w:hAnsiTheme="minorHAnsi"/>
          <w:sz w:val="22"/>
          <w:szCs w:val="22"/>
          <w:shd w:val="clear" w:color="auto" w:fill="FFFFFF"/>
        </w:rPr>
        <w:t xml:space="preserve"> </w:t>
      </w:r>
      <w:r w:rsidR="00826C27" w:rsidRPr="004427CF">
        <w:rPr>
          <w:rFonts w:asciiTheme="minorHAnsi" w:hAnsiTheme="minorHAnsi"/>
          <w:sz w:val="22"/>
          <w:szCs w:val="22"/>
          <w:shd w:val="clear" w:color="auto" w:fill="FFFFFF"/>
        </w:rPr>
        <w:t>the three EU legislative insti</w:t>
      </w:r>
      <w:r w:rsidRPr="004427CF">
        <w:rPr>
          <w:rFonts w:asciiTheme="minorHAnsi" w:hAnsiTheme="minorHAnsi"/>
          <w:sz w:val="22"/>
          <w:szCs w:val="22"/>
          <w:shd w:val="clear" w:color="auto" w:fill="FFFFFF"/>
        </w:rPr>
        <w:t>t</w:t>
      </w:r>
      <w:r w:rsidR="00826C27" w:rsidRPr="004427CF">
        <w:rPr>
          <w:rFonts w:asciiTheme="minorHAnsi" w:hAnsiTheme="minorHAnsi"/>
          <w:sz w:val="22"/>
          <w:szCs w:val="22"/>
          <w:shd w:val="clear" w:color="auto" w:fill="FFFFFF"/>
        </w:rPr>
        <w:t>ut</w:t>
      </w:r>
      <w:r w:rsidRPr="004427CF">
        <w:rPr>
          <w:rFonts w:asciiTheme="minorHAnsi" w:hAnsiTheme="minorHAnsi"/>
          <w:sz w:val="22"/>
          <w:szCs w:val="22"/>
          <w:shd w:val="clear" w:color="auto" w:fill="FFFFFF"/>
        </w:rPr>
        <w:t xml:space="preserve">ions – the European Parliament, the European Commission and the Council </w:t>
      </w:r>
      <w:r w:rsidR="002031BA" w:rsidRPr="004427CF">
        <w:rPr>
          <w:rFonts w:asciiTheme="minorHAnsi" w:hAnsiTheme="minorHAnsi"/>
          <w:sz w:val="22"/>
          <w:szCs w:val="22"/>
          <w:shd w:val="clear" w:color="auto" w:fill="FFFFFF"/>
        </w:rPr>
        <w:t xml:space="preserve">of Ministers </w:t>
      </w:r>
      <w:r w:rsidRPr="004427CF">
        <w:rPr>
          <w:rFonts w:asciiTheme="minorHAnsi" w:hAnsiTheme="minorHAnsi"/>
          <w:sz w:val="22"/>
          <w:szCs w:val="22"/>
          <w:shd w:val="clear" w:color="auto" w:fill="FFFFFF"/>
        </w:rPr>
        <w:t>–</w:t>
      </w:r>
      <w:r w:rsidR="00826C27" w:rsidRPr="004427CF">
        <w:rPr>
          <w:rFonts w:asciiTheme="minorHAnsi" w:hAnsiTheme="minorHAnsi"/>
          <w:sz w:val="22"/>
          <w:szCs w:val="22"/>
          <w:shd w:val="clear" w:color="auto" w:fill="FFFFFF"/>
        </w:rPr>
        <w:t xml:space="preserve"> </w:t>
      </w:r>
      <w:r w:rsidRPr="004427CF">
        <w:rPr>
          <w:rFonts w:asciiTheme="minorHAnsi" w:hAnsiTheme="minorHAnsi"/>
          <w:sz w:val="22"/>
          <w:szCs w:val="22"/>
          <w:shd w:val="clear" w:color="auto" w:fill="FFFFFF"/>
        </w:rPr>
        <w:t>stress</w:t>
      </w:r>
      <w:r w:rsidR="00826C27" w:rsidRPr="004427CF">
        <w:rPr>
          <w:rFonts w:asciiTheme="minorHAnsi" w:hAnsiTheme="minorHAnsi"/>
          <w:sz w:val="22"/>
          <w:szCs w:val="22"/>
          <w:shd w:val="clear" w:color="auto" w:fill="FFFFFF"/>
        </w:rPr>
        <w:t xml:space="preserve"> </w:t>
      </w:r>
      <w:r w:rsidRPr="004427CF">
        <w:rPr>
          <w:rFonts w:asciiTheme="minorHAnsi" w:hAnsiTheme="minorHAnsi"/>
          <w:sz w:val="22"/>
          <w:szCs w:val="22"/>
          <w:shd w:val="clear" w:color="auto" w:fill="FFFFFF"/>
        </w:rPr>
        <w:t>that EU</w:t>
      </w:r>
      <w:r w:rsidR="00826C27" w:rsidRPr="004427CF">
        <w:rPr>
          <w:rFonts w:asciiTheme="minorHAnsi" w:hAnsiTheme="minorHAnsi"/>
          <w:sz w:val="22"/>
          <w:szCs w:val="22"/>
          <w:shd w:val="clear" w:color="auto" w:fill="FFFFFF"/>
        </w:rPr>
        <w:t xml:space="preserve"> action </w:t>
      </w:r>
      <w:r w:rsidRPr="004427CF">
        <w:rPr>
          <w:rFonts w:asciiTheme="minorHAnsi" w:hAnsiTheme="minorHAnsi"/>
          <w:sz w:val="22"/>
          <w:szCs w:val="22"/>
          <w:shd w:val="clear" w:color="auto" w:fill="FFFFFF"/>
        </w:rPr>
        <w:t xml:space="preserve">should </w:t>
      </w:r>
      <w:r w:rsidR="00F0691D" w:rsidRPr="004427CF">
        <w:rPr>
          <w:rFonts w:asciiTheme="minorHAnsi" w:hAnsiTheme="minorHAnsi"/>
          <w:sz w:val="22"/>
          <w:szCs w:val="22"/>
          <w:shd w:val="clear" w:color="auto" w:fill="FFFFFF"/>
        </w:rPr>
        <w:t>meet the goals of</w:t>
      </w:r>
      <w:r w:rsidRPr="004427CF">
        <w:rPr>
          <w:rFonts w:asciiTheme="minorHAnsi" w:hAnsiTheme="minorHAnsi"/>
          <w:sz w:val="22"/>
          <w:szCs w:val="22"/>
          <w:shd w:val="clear" w:color="auto" w:fill="FFFFFF"/>
        </w:rPr>
        <w:t xml:space="preserve"> </w:t>
      </w:r>
      <w:r w:rsidR="00533267" w:rsidRPr="004427CF">
        <w:rPr>
          <w:rFonts w:asciiTheme="minorHAnsi" w:hAnsiTheme="minorHAnsi"/>
          <w:sz w:val="22"/>
          <w:szCs w:val="22"/>
          <w:shd w:val="clear" w:color="auto" w:fill="FFFFFF"/>
        </w:rPr>
        <w:t>preserving life at sea, global responsibility-sharing, combatting human smuggling and trafficking and respecting refugee rights.</w:t>
      </w:r>
      <w:r w:rsidR="00533267" w:rsidRPr="004427CF">
        <w:rPr>
          <w:rStyle w:val="FootnoteReference"/>
          <w:rFonts w:asciiTheme="minorHAnsi" w:hAnsiTheme="minorHAnsi"/>
          <w:sz w:val="22"/>
          <w:szCs w:val="22"/>
          <w:shd w:val="clear" w:color="auto" w:fill="FFFFFF"/>
        </w:rPr>
        <w:footnoteReference w:id="2"/>
      </w:r>
      <w:r w:rsidR="00533267" w:rsidRPr="004427CF">
        <w:rPr>
          <w:rFonts w:asciiTheme="minorHAnsi" w:hAnsiTheme="minorHAnsi"/>
          <w:sz w:val="22"/>
          <w:szCs w:val="22"/>
          <w:shd w:val="clear" w:color="auto" w:fill="FFFFFF"/>
        </w:rPr>
        <w:t xml:space="preserve"> </w:t>
      </w:r>
      <w:r w:rsidRPr="004427CF">
        <w:rPr>
          <w:rFonts w:asciiTheme="minorHAnsi" w:hAnsiTheme="minorHAnsi"/>
          <w:sz w:val="22"/>
          <w:szCs w:val="22"/>
          <w:shd w:val="clear" w:color="auto" w:fill="FFFFFF"/>
        </w:rPr>
        <w:t xml:space="preserve">The issue </w:t>
      </w:r>
      <w:r w:rsidR="00F55DBC" w:rsidRPr="004427CF">
        <w:rPr>
          <w:rFonts w:asciiTheme="minorHAnsi" w:hAnsiTheme="minorHAnsi"/>
          <w:sz w:val="22"/>
          <w:szCs w:val="22"/>
          <w:shd w:val="clear" w:color="auto" w:fill="FFFFFF"/>
        </w:rPr>
        <w:t>seems not to be</w:t>
      </w:r>
      <w:r w:rsidRPr="004427CF">
        <w:rPr>
          <w:rFonts w:asciiTheme="minorHAnsi" w:hAnsiTheme="minorHAnsi"/>
          <w:sz w:val="22"/>
          <w:szCs w:val="22"/>
          <w:shd w:val="clear" w:color="auto" w:fill="FFFFFF"/>
        </w:rPr>
        <w:t xml:space="preserve"> that </w:t>
      </w:r>
      <w:r w:rsidR="00533267" w:rsidRPr="004427CF">
        <w:rPr>
          <w:rFonts w:asciiTheme="minorHAnsi" w:hAnsiTheme="minorHAnsi"/>
          <w:sz w:val="22"/>
          <w:szCs w:val="22"/>
          <w:shd w:val="clear" w:color="auto" w:fill="FFFFFF"/>
        </w:rPr>
        <w:t>the requisite</w:t>
      </w:r>
      <w:r w:rsidRPr="004427CF">
        <w:rPr>
          <w:rFonts w:asciiTheme="minorHAnsi" w:hAnsiTheme="minorHAnsi"/>
          <w:sz w:val="22"/>
          <w:szCs w:val="22"/>
          <w:shd w:val="clear" w:color="auto" w:fill="FFFFFF"/>
        </w:rPr>
        <w:t xml:space="preserve"> aims and values are lacking, but </w:t>
      </w:r>
      <w:r w:rsidR="00826C27" w:rsidRPr="004427CF">
        <w:rPr>
          <w:rFonts w:asciiTheme="minorHAnsi" w:hAnsiTheme="minorHAnsi"/>
          <w:sz w:val="22"/>
          <w:szCs w:val="22"/>
          <w:shd w:val="clear" w:color="auto" w:fill="FFFFFF"/>
        </w:rPr>
        <w:t xml:space="preserve">that they are so difficult to </w:t>
      </w:r>
      <w:r w:rsidR="00533267" w:rsidRPr="004427CF">
        <w:rPr>
          <w:rFonts w:asciiTheme="minorHAnsi" w:hAnsiTheme="minorHAnsi"/>
          <w:sz w:val="22"/>
          <w:szCs w:val="22"/>
          <w:shd w:val="clear" w:color="auto" w:fill="FFFFFF"/>
        </w:rPr>
        <w:t xml:space="preserve">translate into one coherent </w:t>
      </w:r>
      <w:r w:rsidR="00EC0398" w:rsidRPr="004427CF">
        <w:rPr>
          <w:rFonts w:asciiTheme="minorHAnsi" w:hAnsiTheme="minorHAnsi"/>
          <w:sz w:val="22"/>
          <w:szCs w:val="22"/>
          <w:shd w:val="clear" w:color="auto" w:fill="FFFFFF"/>
        </w:rPr>
        <w:t>whole</w:t>
      </w:r>
      <w:r w:rsidR="00826C27" w:rsidRPr="004427CF">
        <w:rPr>
          <w:rFonts w:asciiTheme="minorHAnsi" w:hAnsiTheme="minorHAnsi"/>
          <w:sz w:val="22"/>
          <w:szCs w:val="22"/>
          <w:shd w:val="clear" w:color="auto" w:fill="FFFFFF"/>
        </w:rPr>
        <w:t xml:space="preserve">. In its attempts to formulate concrete proposals for action or legislation, the EU </w:t>
      </w:r>
      <w:r w:rsidR="00EC0398" w:rsidRPr="004427CF">
        <w:rPr>
          <w:rFonts w:asciiTheme="minorHAnsi" w:hAnsiTheme="minorHAnsi"/>
          <w:sz w:val="22"/>
          <w:szCs w:val="22"/>
          <w:shd w:val="clear" w:color="auto" w:fill="FFFFFF"/>
        </w:rPr>
        <w:t>tends to become</w:t>
      </w:r>
      <w:r w:rsidR="00826C27" w:rsidRPr="004427CF">
        <w:rPr>
          <w:rFonts w:asciiTheme="minorHAnsi" w:hAnsiTheme="minorHAnsi"/>
          <w:sz w:val="22"/>
          <w:szCs w:val="22"/>
          <w:shd w:val="clear" w:color="auto" w:fill="FFFFFF"/>
        </w:rPr>
        <w:t xml:space="preserve"> mired in </w:t>
      </w:r>
      <w:r w:rsidR="00A2081C" w:rsidRPr="004427CF">
        <w:rPr>
          <w:rFonts w:asciiTheme="minorHAnsi" w:hAnsiTheme="minorHAnsi"/>
          <w:bCs/>
          <w:sz w:val="22"/>
          <w:szCs w:val="22"/>
        </w:rPr>
        <w:t>the</w:t>
      </w:r>
      <w:r w:rsidR="00826C27" w:rsidRPr="004427CF">
        <w:rPr>
          <w:rFonts w:asciiTheme="minorHAnsi" w:hAnsiTheme="minorHAnsi"/>
          <w:bCs/>
          <w:sz w:val="22"/>
          <w:szCs w:val="22"/>
        </w:rPr>
        <w:t xml:space="preserve"> potential</w:t>
      </w:r>
      <w:r w:rsidR="00A2081C" w:rsidRPr="004427CF">
        <w:rPr>
          <w:rFonts w:asciiTheme="minorHAnsi" w:hAnsiTheme="minorHAnsi"/>
          <w:bCs/>
          <w:sz w:val="22"/>
          <w:szCs w:val="22"/>
        </w:rPr>
        <w:t>ly contradictory nature of</w:t>
      </w:r>
      <w:r w:rsidR="00F55DBC" w:rsidRPr="004427CF">
        <w:rPr>
          <w:rFonts w:asciiTheme="minorHAnsi" w:hAnsiTheme="minorHAnsi"/>
          <w:bCs/>
          <w:sz w:val="22"/>
          <w:szCs w:val="22"/>
        </w:rPr>
        <w:t xml:space="preserve"> the multitude of</w:t>
      </w:r>
      <w:r w:rsidR="00826C27" w:rsidRPr="004427CF">
        <w:rPr>
          <w:rFonts w:asciiTheme="minorHAnsi" w:hAnsiTheme="minorHAnsi"/>
          <w:bCs/>
          <w:sz w:val="22"/>
          <w:szCs w:val="22"/>
        </w:rPr>
        <w:t xml:space="preserve"> policy aims, but also in </w:t>
      </w:r>
      <w:r w:rsidR="00FD0413" w:rsidRPr="004427CF">
        <w:rPr>
          <w:rFonts w:asciiTheme="minorHAnsi" w:hAnsiTheme="minorHAnsi"/>
          <w:bCs/>
          <w:sz w:val="22"/>
          <w:szCs w:val="22"/>
        </w:rPr>
        <w:t xml:space="preserve">the </w:t>
      </w:r>
      <w:r w:rsidR="002031BA" w:rsidRPr="004427CF">
        <w:rPr>
          <w:rFonts w:asciiTheme="minorHAnsi" w:hAnsiTheme="minorHAnsi"/>
          <w:bCs/>
          <w:sz w:val="22"/>
          <w:szCs w:val="22"/>
        </w:rPr>
        <w:t>controversy</w:t>
      </w:r>
      <w:r w:rsidR="00FD0413" w:rsidRPr="004427CF">
        <w:rPr>
          <w:rFonts w:asciiTheme="minorHAnsi" w:hAnsiTheme="minorHAnsi"/>
          <w:bCs/>
          <w:sz w:val="22"/>
          <w:szCs w:val="22"/>
        </w:rPr>
        <w:t xml:space="preserve"> o</w:t>
      </w:r>
      <w:r w:rsidR="002031BA" w:rsidRPr="004427CF">
        <w:rPr>
          <w:rFonts w:asciiTheme="minorHAnsi" w:hAnsiTheme="minorHAnsi"/>
          <w:bCs/>
          <w:sz w:val="22"/>
          <w:szCs w:val="22"/>
        </w:rPr>
        <w:t>f</w:t>
      </w:r>
      <w:r w:rsidR="00826C27" w:rsidRPr="004427CF">
        <w:rPr>
          <w:rFonts w:asciiTheme="minorHAnsi" w:hAnsiTheme="minorHAnsi"/>
          <w:bCs/>
          <w:sz w:val="22"/>
          <w:szCs w:val="22"/>
        </w:rPr>
        <w:t xml:space="preserve"> </w:t>
      </w:r>
      <w:r w:rsidR="00E24183" w:rsidRPr="004427CF">
        <w:rPr>
          <w:rFonts w:asciiTheme="minorHAnsi" w:hAnsiTheme="minorHAnsi"/>
          <w:bCs/>
          <w:sz w:val="22"/>
          <w:szCs w:val="22"/>
        </w:rPr>
        <w:t>how to distribute</w:t>
      </w:r>
      <w:r w:rsidR="00826C27" w:rsidRPr="004427CF">
        <w:rPr>
          <w:rFonts w:asciiTheme="minorHAnsi" w:hAnsiTheme="minorHAnsi"/>
          <w:bCs/>
          <w:sz w:val="22"/>
          <w:szCs w:val="22"/>
        </w:rPr>
        <w:t xml:space="preserve"> </w:t>
      </w:r>
      <w:r w:rsidR="00A2081C" w:rsidRPr="004427CF">
        <w:rPr>
          <w:rFonts w:asciiTheme="minorHAnsi" w:hAnsiTheme="minorHAnsi"/>
          <w:bCs/>
          <w:sz w:val="22"/>
          <w:szCs w:val="22"/>
        </w:rPr>
        <w:t>burdens</w:t>
      </w:r>
      <w:r w:rsidR="00826C27" w:rsidRPr="004427CF">
        <w:rPr>
          <w:rFonts w:asciiTheme="minorHAnsi" w:hAnsiTheme="minorHAnsi"/>
          <w:bCs/>
          <w:sz w:val="22"/>
          <w:szCs w:val="22"/>
        </w:rPr>
        <w:t xml:space="preserve"> and responsibilities amongst the EU, its Member States and third countries.</w:t>
      </w:r>
    </w:p>
    <w:p w:rsidR="00544478" w:rsidRPr="004427CF" w:rsidRDefault="00544478" w:rsidP="00B80CBE">
      <w:pPr>
        <w:spacing w:line="276" w:lineRule="auto"/>
        <w:rPr>
          <w:rFonts w:asciiTheme="minorHAnsi" w:hAnsiTheme="minorHAnsi"/>
          <w:sz w:val="22"/>
          <w:szCs w:val="22"/>
          <w:shd w:val="clear" w:color="auto" w:fill="FFFFFF"/>
        </w:rPr>
      </w:pPr>
    </w:p>
    <w:p w:rsidR="003003F4" w:rsidRPr="004427CF" w:rsidRDefault="00715B46" w:rsidP="00B80CBE">
      <w:pPr>
        <w:spacing w:line="276" w:lineRule="auto"/>
        <w:rPr>
          <w:rFonts w:asciiTheme="minorHAnsi" w:hAnsiTheme="minorHAnsi"/>
          <w:bCs/>
          <w:sz w:val="22"/>
          <w:szCs w:val="22"/>
        </w:rPr>
      </w:pPr>
      <w:r w:rsidRPr="004427CF">
        <w:rPr>
          <w:rFonts w:asciiTheme="minorHAnsi" w:hAnsiTheme="minorHAnsi"/>
          <w:bCs/>
          <w:sz w:val="22"/>
          <w:szCs w:val="22"/>
        </w:rPr>
        <w:t>That the EU strategies in respect of boat migra</w:t>
      </w:r>
      <w:r w:rsidR="00E24183" w:rsidRPr="004427CF">
        <w:rPr>
          <w:rFonts w:asciiTheme="minorHAnsi" w:hAnsiTheme="minorHAnsi"/>
          <w:bCs/>
          <w:sz w:val="22"/>
          <w:szCs w:val="22"/>
        </w:rPr>
        <w:t>nts</w:t>
      </w:r>
      <w:r w:rsidRPr="004427CF">
        <w:rPr>
          <w:rFonts w:asciiTheme="minorHAnsi" w:hAnsiTheme="minorHAnsi"/>
          <w:bCs/>
          <w:sz w:val="22"/>
          <w:szCs w:val="22"/>
        </w:rPr>
        <w:t xml:space="preserve"> are becoming embroiled in </w:t>
      </w:r>
      <w:r w:rsidR="00035FE4" w:rsidRPr="004427CF">
        <w:rPr>
          <w:rFonts w:asciiTheme="minorHAnsi" w:hAnsiTheme="minorHAnsi"/>
          <w:bCs/>
          <w:sz w:val="22"/>
          <w:szCs w:val="22"/>
        </w:rPr>
        <w:t>what Pope Francis termed</w:t>
      </w:r>
      <w:r w:rsidR="00E24183" w:rsidRPr="004427CF">
        <w:rPr>
          <w:rFonts w:asciiTheme="minorHAnsi" w:hAnsiTheme="minorHAnsi"/>
          <w:bCs/>
          <w:sz w:val="22"/>
          <w:szCs w:val="22"/>
        </w:rPr>
        <w:t xml:space="preserve"> </w:t>
      </w:r>
      <w:r w:rsidR="00F81F20" w:rsidRPr="004427CF">
        <w:rPr>
          <w:rFonts w:asciiTheme="minorHAnsi" w:hAnsiTheme="minorHAnsi"/>
          <w:bCs/>
          <w:sz w:val="22"/>
          <w:szCs w:val="22"/>
        </w:rPr>
        <w:t>‘</w:t>
      </w:r>
      <w:r w:rsidRPr="004427CF">
        <w:rPr>
          <w:rFonts w:asciiTheme="minorHAnsi" w:hAnsiTheme="minorHAnsi"/>
          <w:bCs/>
          <w:sz w:val="22"/>
          <w:szCs w:val="22"/>
        </w:rPr>
        <w:t>bureaucratic technicalities</w:t>
      </w:r>
      <w:r w:rsidR="00F81F20" w:rsidRPr="004427CF">
        <w:rPr>
          <w:rFonts w:asciiTheme="minorHAnsi" w:hAnsiTheme="minorHAnsi"/>
          <w:bCs/>
          <w:sz w:val="22"/>
          <w:szCs w:val="22"/>
        </w:rPr>
        <w:t xml:space="preserve">’ </w:t>
      </w:r>
      <w:r w:rsidR="00826C27" w:rsidRPr="004427CF">
        <w:rPr>
          <w:rFonts w:asciiTheme="minorHAnsi" w:hAnsiTheme="minorHAnsi"/>
          <w:bCs/>
          <w:sz w:val="22"/>
          <w:szCs w:val="22"/>
        </w:rPr>
        <w:t>is very much epitomized by th</w:t>
      </w:r>
      <w:r w:rsidR="00BE39EB" w:rsidRPr="004427CF">
        <w:rPr>
          <w:rFonts w:asciiTheme="minorHAnsi" w:hAnsiTheme="minorHAnsi"/>
          <w:bCs/>
          <w:sz w:val="22"/>
          <w:szCs w:val="22"/>
        </w:rPr>
        <w:t xml:space="preserve">e </w:t>
      </w:r>
      <w:r w:rsidR="00A2081C" w:rsidRPr="004427CF">
        <w:rPr>
          <w:rFonts w:asciiTheme="minorHAnsi" w:hAnsiTheme="minorHAnsi"/>
          <w:bCs/>
          <w:sz w:val="22"/>
          <w:szCs w:val="22"/>
        </w:rPr>
        <w:t xml:space="preserve">most </w:t>
      </w:r>
      <w:r w:rsidR="00BE39EB" w:rsidRPr="004427CF">
        <w:rPr>
          <w:rFonts w:asciiTheme="minorHAnsi" w:hAnsiTheme="minorHAnsi"/>
          <w:bCs/>
          <w:sz w:val="22"/>
          <w:szCs w:val="22"/>
        </w:rPr>
        <w:t>recent</w:t>
      </w:r>
      <w:r w:rsidR="00A2081C" w:rsidRPr="004427CF">
        <w:rPr>
          <w:rFonts w:asciiTheme="minorHAnsi" w:hAnsiTheme="minorHAnsi"/>
          <w:bCs/>
          <w:sz w:val="22"/>
          <w:szCs w:val="22"/>
        </w:rPr>
        <w:t xml:space="preserve"> effort to ensure common action </w:t>
      </w:r>
      <w:r w:rsidR="00FD0413" w:rsidRPr="004427CF">
        <w:rPr>
          <w:rFonts w:asciiTheme="minorHAnsi" w:hAnsiTheme="minorHAnsi"/>
          <w:bCs/>
          <w:sz w:val="22"/>
          <w:szCs w:val="22"/>
        </w:rPr>
        <w:t>in th</w:t>
      </w:r>
      <w:r w:rsidR="00F81F20" w:rsidRPr="004427CF">
        <w:rPr>
          <w:rFonts w:asciiTheme="minorHAnsi" w:hAnsiTheme="minorHAnsi"/>
          <w:bCs/>
          <w:sz w:val="22"/>
          <w:szCs w:val="22"/>
        </w:rPr>
        <w:t>is area</w:t>
      </w:r>
      <w:r w:rsidR="00A2081C" w:rsidRPr="004427CF">
        <w:rPr>
          <w:rFonts w:asciiTheme="minorHAnsi" w:hAnsiTheme="minorHAnsi"/>
          <w:bCs/>
          <w:sz w:val="22"/>
          <w:szCs w:val="22"/>
        </w:rPr>
        <w:t xml:space="preserve">: the </w:t>
      </w:r>
      <w:proofErr w:type="spellStart"/>
      <w:r w:rsidR="00BE39EB" w:rsidRPr="004427CF">
        <w:rPr>
          <w:rFonts w:asciiTheme="minorHAnsi" w:hAnsiTheme="minorHAnsi"/>
          <w:bCs/>
          <w:sz w:val="22"/>
          <w:szCs w:val="22"/>
        </w:rPr>
        <w:t>Frontex</w:t>
      </w:r>
      <w:proofErr w:type="spellEnd"/>
      <w:r w:rsidR="00BE39EB" w:rsidRPr="004427CF">
        <w:rPr>
          <w:rFonts w:asciiTheme="minorHAnsi" w:hAnsiTheme="minorHAnsi"/>
          <w:bCs/>
          <w:sz w:val="22"/>
          <w:szCs w:val="22"/>
        </w:rPr>
        <w:t xml:space="preserve"> Sea Borders </w:t>
      </w:r>
      <w:r w:rsidR="002D0DB1" w:rsidRPr="004427CF">
        <w:rPr>
          <w:rFonts w:asciiTheme="minorHAnsi" w:hAnsiTheme="minorHAnsi"/>
          <w:bCs/>
          <w:sz w:val="22"/>
          <w:szCs w:val="22"/>
        </w:rPr>
        <w:t>Regulation</w:t>
      </w:r>
      <w:r w:rsidR="00A2081C" w:rsidRPr="004427CF">
        <w:rPr>
          <w:rFonts w:asciiTheme="minorHAnsi" w:hAnsiTheme="minorHAnsi"/>
          <w:bCs/>
          <w:sz w:val="22"/>
          <w:szCs w:val="22"/>
        </w:rPr>
        <w:t xml:space="preserve"> (Regulation 656/2014)</w:t>
      </w:r>
      <w:r w:rsidR="00035FE4" w:rsidRPr="004427CF">
        <w:rPr>
          <w:rFonts w:asciiTheme="minorHAnsi" w:hAnsiTheme="minorHAnsi"/>
          <w:bCs/>
          <w:sz w:val="22"/>
          <w:szCs w:val="22"/>
        </w:rPr>
        <w:t>,</w:t>
      </w:r>
      <w:r w:rsidR="00F81F20" w:rsidRPr="004427CF">
        <w:rPr>
          <w:rFonts w:asciiTheme="minorHAnsi" w:hAnsiTheme="minorHAnsi"/>
          <w:bCs/>
          <w:sz w:val="22"/>
          <w:szCs w:val="22"/>
        </w:rPr>
        <w:t xml:space="preserve"> adopted</w:t>
      </w:r>
      <w:r w:rsidR="00A2081C" w:rsidRPr="004427CF">
        <w:rPr>
          <w:rFonts w:asciiTheme="minorHAnsi" w:hAnsiTheme="minorHAnsi"/>
          <w:bCs/>
          <w:sz w:val="22"/>
          <w:szCs w:val="22"/>
        </w:rPr>
        <w:t xml:space="preserve"> in May 2014</w:t>
      </w:r>
      <w:r w:rsidR="00826C27" w:rsidRPr="004427CF">
        <w:rPr>
          <w:rFonts w:asciiTheme="minorHAnsi" w:hAnsiTheme="minorHAnsi"/>
          <w:bCs/>
          <w:sz w:val="22"/>
          <w:szCs w:val="22"/>
        </w:rPr>
        <w:t>.</w:t>
      </w:r>
      <w:r w:rsidR="00A2081C" w:rsidRPr="004427CF">
        <w:rPr>
          <w:rFonts w:asciiTheme="minorHAnsi" w:hAnsiTheme="minorHAnsi"/>
          <w:bCs/>
          <w:sz w:val="22"/>
          <w:szCs w:val="22"/>
        </w:rPr>
        <w:t xml:space="preserve"> </w:t>
      </w:r>
      <w:r w:rsidR="00826C27" w:rsidRPr="004427CF">
        <w:rPr>
          <w:rFonts w:asciiTheme="minorHAnsi" w:hAnsiTheme="minorHAnsi"/>
          <w:bCs/>
          <w:sz w:val="22"/>
          <w:szCs w:val="22"/>
        </w:rPr>
        <w:t>Th</w:t>
      </w:r>
      <w:r w:rsidR="002031BA" w:rsidRPr="004427CF">
        <w:rPr>
          <w:rFonts w:asciiTheme="minorHAnsi" w:hAnsiTheme="minorHAnsi"/>
          <w:bCs/>
          <w:sz w:val="22"/>
          <w:szCs w:val="22"/>
        </w:rPr>
        <w:t>is contribution zooms into that</w:t>
      </w:r>
      <w:r w:rsidR="00826C27" w:rsidRPr="004427CF">
        <w:rPr>
          <w:rFonts w:asciiTheme="minorHAnsi" w:hAnsiTheme="minorHAnsi"/>
          <w:bCs/>
          <w:sz w:val="22"/>
          <w:szCs w:val="22"/>
        </w:rPr>
        <w:t xml:space="preserve"> Regulation</w:t>
      </w:r>
      <w:r w:rsidR="002031BA" w:rsidRPr="004427CF">
        <w:rPr>
          <w:rFonts w:asciiTheme="minorHAnsi" w:hAnsiTheme="minorHAnsi"/>
          <w:bCs/>
          <w:sz w:val="22"/>
          <w:szCs w:val="22"/>
        </w:rPr>
        <w:t xml:space="preserve"> and argues that it </w:t>
      </w:r>
      <w:r w:rsidR="00826C27" w:rsidRPr="004427CF">
        <w:rPr>
          <w:rFonts w:asciiTheme="minorHAnsi" w:hAnsiTheme="minorHAnsi"/>
          <w:bCs/>
          <w:sz w:val="22"/>
          <w:szCs w:val="22"/>
        </w:rPr>
        <w:t xml:space="preserve">consolidates and even </w:t>
      </w:r>
      <w:r w:rsidR="00035FE4" w:rsidRPr="004427CF">
        <w:rPr>
          <w:rFonts w:asciiTheme="minorHAnsi" w:hAnsiTheme="minorHAnsi"/>
          <w:bCs/>
          <w:sz w:val="22"/>
          <w:szCs w:val="22"/>
        </w:rPr>
        <w:t>bolster</w:t>
      </w:r>
      <w:r w:rsidR="00826C27" w:rsidRPr="004427CF">
        <w:rPr>
          <w:rFonts w:asciiTheme="minorHAnsi" w:hAnsiTheme="minorHAnsi"/>
          <w:bCs/>
          <w:sz w:val="22"/>
          <w:szCs w:val="22"/>
        </w:rPr>
        <w:t>s</w:t>
      </w:r>
      <w:r w:rsidR="00F55DBC" w:rsidRPr="004427CF">
        <w:rPr>
          <w:rFonts w:asciiTheme="minorHAnsi" w:hAnsiTheme="minorHAnsi"/>
          <w:bCs/>
          <w:sz w:val="22"/>
          <w:szCs w:val="22"/>
        </w:rPr>
        <w:t xml:space="preserve"> </w:t>
      </w:r>
      <w:r w:rsidR="00826C27" w:rsidRPr="004427CF">
        <w:rPr>
          <w:rFonts w:asciiTheme="minorHAnsi" w:hAnsiTheme="minorHAnsi"/>
          <w:bCs/>
          <w:sz w:val="22"/>
          <w:szCs w:val="22"/>
        </w:rPr>
        <w:t xml:space="preserve">the </w:t>
      </w:r>
      <w:r w:rsidR="00A2081C" w:rsidRPr="004427CF">
        <w:rPr>
          <w:rFonts w:asciiTheme="minorHAnsi" w:hAnsiTheme="minorHAnsi"/>
          <w:bCs/>
          <w:sz w:val="22"/>
          <w:szCs w:val="22"/>
        </w:rPr>
        <w:t>c</w:t>
      </w:r>
      <w:r w:rsidR="00BE39EB" w:rsidRPr="004427CF">
        <w:rPr>
          <w:rFonts w:asciiTheme="minorHAnsi" w:hAnsiTheme="minorHAnsi"/>
          <w:bCs/>
          <w:sz w:val="22"/>
          <w:szCs w:val="22"/>
        </w:rPr>
        <w:t>o</w:t>
      </w:r>
      <w:r w:rsidR="00A2081C" w:rsidRPr="004427CF">
        <w:rPr>
          <w:rFonts w:asciiTheme="minorHAnsi" w:hAnsiTheme="minorHAnsi"/>
          <w:bCs/>
          <w:sz w:val="22"/>
          <w:szCs w:val="22"/>
        </w:rPr>
        <w:t>ntro</w:t>
      </w:r>
      <w:r w:rsidR="00BE39EB" w:rsidRPr="004427CF">
        <w:rPr>
          <w:rFonts w:asciiTheme="minorHAnsi" w:hAnsiTheme="minorHAnsi"/>
          <w:bCs/>
          <w:sz w:val="22"/>
          <w:szCs w:val="22"/>
        </w:rPr>
        <w:t>versies</w:t>
      </w:r>
      <w:r w:rsidR="000D2164" w:rsidRPr="004427CF">
        <w:rPr>
          <w:rFonts w:asciiTheme="minorHAnsi" w:hAnsiTheme="minorHAnsi"/>
          <w:bCs/>
          <w:sz w:val="22"/>
          <w:szCs w:val="22"/>
        </w:rPr>
        <w:t xml:space="preserve"> </w:t>
      </w:r>
      <w:r w:rsidR="00BE39EB" w:rsidRPr="004427CF">
        <w:rPr>
          <w:rFonts w:asciiTheme="minorHAnsi" w:hAnsiTheme="minorHAnsi"/>
          <w:bCs/>
          <w:sz w:val="22"/>
          <w:szCs w:val="22"/>
        </w:rPr>
        <w:t>inherent in the EU’s external sea borders policies</w:t>
      </w:r>
      <w:r w:rsidR="00FD0413" w:rsidRPr="004427CF">
        <w:rPr>
          <w:rFonts w:asciiTheme="minorHAnsi" w:hAnsiTheme="minorHAnsi"/>
          <w:bCs/>
          <w:sz w:val="22"/>
          <w:szCs w:val="22"/>
        </w:rPr>
        <w:t>, rather than solving them</w:t>
      </w:r>
      <w:r w:rsidR="00BE39EB" w:rsidRPr="004427CF">
        <w:rPr>
          <w:rFonts w:asciiTheme="minorHAnsi" w:hAnsiTheme="minorHAnsi"/>
          <w:bCs/>
          <w:sz w:val="22"/>
          <w:szCs w:val="22"/>
        </w:rPr>
        <w:t>.</w:t>
      </w:r>
      <w:r w:rsidR="00F55DBC" w:rsidRPr="004427CF">
        <w:rPr>
          <w:rFonts w:asciiTheme="minorHAnsi" w:hAnsiTheme="minorHAnsi"/>
          <w:bCs/>
          <w:sz w:val="22"/>
          <w:szCs w:val="22"/>
        </w:rPr>
        <w:t xml:space="preserve"> The Regulation lays down binding rules for Member States and the EU external border agency </w:t>
      </w:r>
      <w:proofErr w:type="spellStart"/>
      <w:r w:rsidR="00F55DBC" w:rsidRPr="004427CF">
        <w:rPr>
          <w:rFonts w:asciiTheme="minorHAnsi" w:hAnsiTheme="minorHAnsi"/>
          <w:bCs/>
          <w:sz w:val="22"/>
          <w:szCs w:val="22"/>
        </w:rPr>
        <w:t>Frontex</w:t>
      </w:r>
      <w:proofErr w:type="spellEnd"/>
      <w:r w:rsidR="00F55DBC" w:rsidRPr="004427CF">
        <w:rPr>
          <w:rFonts w:asciiTheme="minorHAnsi" w:hAnsiTheme="minorHAnsi"/>
          <w:bCs/>
          <w:sz w:val="22"/>
          <w:szCs w:val="22"/>
        </w:rPr>
        <w:t xml:space="preserve"> on joint operations of maritime border control, with the aim of establishing ‘</w:t>
      </w:r>
      <w:r w:rsidR="00F55DBC" w:rsidRPr="004427CF">
        <w:rPr>
          <w:rFonts w:asciiTheme="minorHAnsi" w:hAnsiTheme="minorHAnsi"/>
          <w:sz w:val="22"/>
          <w:szCs w:val="22"/>
          <w:shd w:val="clear" w:color="auto" w:fill="FFFFFF"/>
        </w:rPr>
        <w:t xml:space="preserve">clear rules of engagement for joint operations at sea, with due regard to ensuring protection for those in need who travel in mixed flows, in accordance with international law as well as increased operational cooperation between </w:t>
      </w:r>
      <w:proofErr w:type="spellStart"/>
      <w:r w:rsidR="00F55DBC" w:rsidRPr="004427CF">
        <w:rPr>
          <w:rFonts w:asciiTheme="minorHAnsi" w:hAnsiTheme="minorHAnsi"/>
          <w:sz w:val="22"/>
          <w:szCs w:val="22"/>
          <w:shd w:val="clear" w:color="auto" w:fill="FFFFFF"/>
        </w:rPr>
        <w:t>Frontex</w:t>
      </w:r>
      <w:proofErr w:type="spellEnd"/>
      <w:r w:rsidR="00F55DBC" w:rsidRPr="004427CF">
        <w:rPr>
          <w:rFonts w:asciiTheme="minorHAnsi" w:hAnsiTheme="minorHAnsi"/>
          <w:sz w:val="22"/>
          <w:szCs w:val="22"/>
          <w:shd w:val="clear" w:color="auto" w:fill="FFFFFF"/>
        </w:rPr>
        <w:t xml:space="preserve"> and countries of origin and of transit</w:t>
      </w:r>
      <w:r w:rsidR="00F55DBC" w:rsidRPr="004427CF">
        <w:rPr>
          <w:rFonts w:asciiTheme="minorHAnsi" w:hAnsiTheme="minorHAnsi"/>
          <w:bCs/>
          <w:sz w:val="22"/>
          <w:szCs w:val="22"/>
        </w:rPr>
        <w:t>’.</w:t>
      </w:r>
      <w:r w:rsidR="00F55DBC" w:rsidRPr="004427CF">
        <w:rPr>
          <w:rStyle w:val="FootnoteReference"/>
          <w:rFonts w:asciiTheme="minorHAnsi" w:hAnsiTheme="minorHAnsi"/>
          <w:bCs/>
          <w:sz w:val="22"/>
          <w:szCs w:val="22"/>
        </w:rPr>
        <w:footnoteReference w:id="3"/>
      </w:r>
      <w:r w:rsidR="00A2081C" w:rsidRPr="004427CF">
        <w:rPr>
          <w:rFonts w:asciiTheme="minorHAnsi" w:hAnsiTheme="minorHAnsi"/>
          <w:bCs/>
          <w:sz w:val="22"/>
          <w:szCs w:val="22"/>
        </w:rPr>
        <w:t xml:space="preserve"> But t</w:t>
      </w:r>
      <w:r w:rsidR="00A2081C" w:rsidRPr="004427CF">
        <w:rPr>
          <w:rFonts w:asciiTheme="minorHAnsi" w:hAnsiTheme="minorHAnsi"/>
          <w:sz w:val="22"/>
          <w:szCs w:val="22"/>
        </w:rPr>
        <w:t>he R</w:t>
      </w:r>
      <w:r w:rsidR="003003F4" w:rsidRPr="004427CF">
        <w:rPr>
          <w:rFonts w:asciiTheme="minorHAnsi" w:hAnsiTheme="minorHAnsi"/>
          <w:sz w:val="22"/>
          <w:szCs w:val="22"/>
        </w:rPr>
        <w:t>egulation fails to deliver concrete answers on</w:t>
      </w:r>
      <w:r w:rsidRPr="004427CF">
        <w:rPr>
          <w:rFonts w:asciiTheme="minorHAnsi" w:hAnsiTheme="minorHAnsi"/>
          <w:sz w:val="22"/>
          <w:szCs w:val="22"/>
        </w:rPr>
        <w:t xml:space="preserve"> </w:t>
      </w:r>
      <w:r w:rsidRPr="004427CF">
        <w:rPr>
          <w:rFonts w:asciiTheme="minorHAnsi" w:hAnsiTheme="minorHAnsi"/>
          <w:bCs/>
          <w:sz w:val="22"/>
          <w:szCs w:val="22"/>
        </w:rPr>
        <w:t>essential</w:t>
      </w:r>
      <w:r w:rsidR="003003F4" w:rsidRPr="004427CF">
        <w:rPr>
          <w:rFonts w:asciiTheme="minorHAnsi" w:hAnsiTheme="minorHAnsi"/>
          <w:bCs/>
          <w:sz w:val="22"/>
          <w:szCs w:val="22"/>
        </w:rPr>
        <w:t xml:space="preserve"> issues such as the place of disembarkation</w:t>
      </w:r>
      <w:r w:rsidR="0098122F" w:rsidRPr="004427CF">
        <w:rPr>
          <w:rFonts w:asciiTheme="minorHAnsi" w:hAnsiTheme="minorHAnsi"/>
          <w:bCs/>
          <w:sz w:val="22"/>
          <w:szCs w:val="22"/>
        </w:rPr>
        <w:t xml:space="preserve"> of rescued or intercepted migrants</w:t>
      </w:r>
      <w:r w:rsidR="003003F4" w:rsidRPr="004427CF">
        <w:rPr>
          <w:rFonts w:asciiTheme="minorHAnsi" w:hAnsiTheme="minorHAnsi"/>
          <w:bCs/>
          <w:sz w:val="22"/>
          <w:szCs w:val="22"/>
        </w:rPr>
        <w:t xml:space="preserve">, the </w:t>
      </w:r>
      <w:r w:rsidR="00035FE4" w:rsidRPr="004427CF">
        <w:rPr>
          <w:rFonts w:asciiTheme="minorHAnsi" w:hAnsiTheme="minorHAnsi"/>
          <w:bCs/>
          <w:sz w:val="22"/>
          <w:szCs w:val="22"/>
        </w:rPr>
        <w:t xml:space="preserve">exact scope of </w:t>
      </w:r>
      <w:r w:rsidR="003003F4" w:rsidRPr="004427CF">
        <w:rPr>
          <w:rFonts w:asciiTheme="minorHAnsi" w:hAnsiTheme="minorHAnsi"/>
          <w:bCs/>
          <w:sz w:val="22"/>
          <w:szCs w:val="22"/>
        </w:rPr>
        <w:t>dut</w:t>
      </w:r>
      <w:r w:rsidR="00035FE4" w:rsidRPr="004427CF">
        <w:rPr>
          <w:rFonts w:asciiTheme="minorHAnsi" w:hAnsiTheme="minorHAnsi"/>
          <w:bCs/>
          <w:sz w:val="22"/>
          <w:szCs w:val="22"/>
        </w:rPr>
        <w:t>ies</w:t>
      </w:r>
      <w:r w:rsidR="003003F4" w:rsidRPr="004427CF">
        <w:rPr>
          <w:rFonts w:asciiTheme="minorHAnsi" w:hAnsiTheme="minorHAnsi"/>
          <w:bCs/>
          <w:sz w:val="22"/>
          <w:szCs w:val="22"/>
        </w:rPr>
        <w:t xml:space="preserve"> to engage in search and rescue activities and </w:t>
      </w:r>
      <w:r w:rsidR="00035FE4" w:rsidRPr="004427CF">
        <w:rPr>
          <w:rFonts w:asciiTheme="minorHAnsi" w:hAnsiTheme="minorHAnsi"/>
          <w:bCs/>
          <w:sz w:val="22"/>
          <w:szCs w:val="22"/>
        </w:rPr>
        <w:t xml:space="preserve">the </w:t>
      </w:r>
      <w:r w:rsidR="0098122F" w:rsidRPr="004427CF">
        <w:rPr>
          <w:rFonts w:asciiTheme="minorHAnsi" w:hAnsiTheme="minorHAnsi"/>
          <w:bCs/>
          <w:sz w:val="22"/>
          <w:szCs w:val="22"/>
        </w:rPr>
        <w:t xml:space="preserve">guaranteeing </w:t>
      </w:r>
      <w:r w:rsidR="00035FE4" w:rsidRPr="004427CF">
        <w:rPr>
          <w:rFonts w:asciiTheme="minorHAnsi" w:hAnsiTheme="minorHAnsi"/>
          <w:bCs/>
          <w:sz w:val="22"/>
          <w:szCs w:val="22"/>
        </w:rPr>
        <w:t xml:space="preserve">of </w:t>
      </w:r>
      <w:r w:rsidR="0098122F" w:rsidRPr="004427CF">
        <w:rPr>
          <w:rFonts w:asciiTheme="minorHAnsi" w:hAnsiTheme="minorHAnsi"/>
          <w:bCs/>
          <w:sz w:val="22"/>
          <w:szCs w:val="22"/>
        </w:rPr>
        <w:t xml:space="preserve">refugee </w:t>
      </w:r>
      <w:r w:rsidR="00035FE4" w:rsidRPr="004427CF">
        <w:rPr>
          <w:rFonts w:asciiTheme="minorHAnsi" w:hAnsiTheme="minorHAnsi"/>
          <w:bCs/>
          <w:sz w:val="22"/>
          <w:szCs w:val="22"/>
        </w:rPr>
        <w:t>rights</w:t>
      </w:r>
      <w:r w:rsidR="003003F4" w:rsidRPr="004427CF">
        <w:rPr>
          <w:rFonts w:asciiTheme="minorHAnsi" w:hAnsiTheme="minorHAnsi"/>
          <w:bCs/>
          <w:sz w:val="22"/>
          <w:szCs w:val="22"/>
        </w:rPr>
        <w:t xml:space="preserve">. Moreover, </w:t>
      </w:r>
      <w:r w:rsidR="0098122F" w:rsidRPr="004427CF">
        <w:rPr>
          <w:rFonts w:asciiTheme="minorHAnsi" w:hAnsiTheme="minorHAnsi"/>
          <w:bCs/>
          <w:sz w:val="22"/>
          <w:szCs w:val="22"/>
        </w:rPr>
        <w:t>the Regulation</w:t>
      </w:r>
      <w:r w:rsidR="003003F4" w:rsidRPr="004427CF">
        <w:rPr>
          <w:rFonts w:asciiTheme="minorHAnsi" w:hAnsiTheme="minorHAnsi"/>
          <w:bCs/>
          <w:sz w:val="22"/>
          <w:szCs w:val="22"/>
        </w:rPr>
        <w:t xml:space="preserve"> disregards a number of international law obligations on the treatment of migrants found at sea.</w:t>
      </w:r>
      <w:r w:rsidR="00A2081C" w:rsidRPr="004427CF">
        <w:rPr>
          <w:rFonts w:asciiTheme="minorHAnsi" w:hAnsiTheme="minorHAnsi"/>
          <w:bCs/>
          <w:sz w:val="22"/>
          <w:szCs w:val="22"/>
        </w:rPr>
        <w:t xml:space="preserve"> </w:t>
      </w:r>
      <w:r w:rsidRPr="004427CF">
        <w:rPr>
          <w:rFonts w:asciiTheme="minorHAnsi" w:hAnsiTheme="minorHAnsi"/>
          <w:bCs/>
          <w:sz w:val="22"/>
          <w:szCs w:val="22"/>
        </w:rPr>
        <w:t xml:space="preserve">Although it formulates a number of useful procedural standards and upgrades human rights standards in </w:t>
      </w:r>
      <w:r w:rsidR="00E24183" w:rsidRPr="004427CF">
        <w:rPr>
          <w:rFonts w:asciiTheme="minorHAnsi" w:hAnsiTheme="minorHAnsi"/>
          <w:bCs/>
          <w:sz w:val="22"/>
          <w:szCs w:val="22"/>
        </w:rPr>
        <w:t>compariso</w:t>
      </w:r>
      <w:r w:rsidRPr="004427CF">
        <w:rPr>
          <w:rFonts w:asciiTheme="minorHAnsi" w:hAnsiTheme="minorHAnsi"/>
          <w:bCs/>
          <w:sz w:val="22"/>
          <w:szCs w:val="22"/>
        </w:rPr>
        <w:t>n to the Council Decision</w:t>
      </w:r>
      <w:r w:rsidR="00035FE4" w:rsidRPr="004427CF">
        <w:rPr>
          <w:rFonts w:asciiTheme="minorHAnsi" w:hAnsiTheme="minorHAnsi"/>
          <w:bCs/>
          <w:sz w:val="22"/>
          <w:szCs w:val="22"/>
        </w:rPr>
        <w:t xml:space="preserve"> it replaces</w:t>
      </w:r>
      <w:r w:rsidRPr="004427CF">
        <w:rPr>
          <w:rFonts w:asciiTheme="minorHAnsi" w:hAnsiTheme="minorHAnsi"/>
          <w:bCs/>
          <w:sz w:val="22"/>
          <w:szCs w:val="22"/>
        </w:rPr>
        <w:t>, t</w:t>
      </w:r>
      <w:r w:rsidR="00A2081C" w:rsidRPr="004427CF">
        <w:rPr>
          <w:rFonts w:asciiTheme="minorHAnsi" w:hAnsiTheme="minorHAnsi"/>
          <w:bCs/>
          <w:sz w:val="22"/>
          <w:szCs w:val="22"/>
        </w:rPr>
        <w:t xml:space="preserve">he Regulation </w:t>
      </w:r>
      <w:r w:rsidR="00035FE4" w:rsidRPr="004427CF">
        <w:rPr>
          <w:rFonts w:asciiTheme="minorHAnsi" w:hAnsiTheme="minorHAnsi"/>
          <w:bCs/>
          <w:sz w:val="22"/>
          <w:szCs w:val="22"/>
        </w:rPr>
        <w:t xml:space="preserve">may well be </w:t>
      </w:r>
      <w:r w:rsidR="009D5702" w:rsidRPr="004427CF">
        <w:rPr>
          <w:rFonts w:asciiTheme="minorHAnsi" w:hAnsiTheme="minorHAnsi"/>
          <w:bCs/>
          <w:sz w:val="22"/>
          <w:szCs w:val="22"/>
        </w:rPr>
        <w:t>brand</w:t>
      </w:r>
      <w:r w:rsidR="00035FE4" w:rsidRPr="004427CF">
        <w:rPr>
          <w:rFonts w:asciiTheme="minorHAnsi" w:hAnsiTheme="minorHAnsi"/>
          <w:bCs/>
          <w:sz w:val="22"/>
          <w:szCs w:val="22"/>
        </w:rPr>
        <w:t>ed an instrument which first and foremost</w:t>
      </w:r>
      <w:r w:rsidR="00A2081C" w:rsidRPr="004427CF">
        <w:rPr>
          <w:rFonts w:asciiTheme="minorHAnsi" w:hAnsiTheme="minorHAnsi"/>
          <w:bCs/>
          <w:sz w:val="22"/>
          <w:szCs w:val="22"/>
        </w:rPr>
        <w:t xml:space="preserve"> masquerad</w:t>
      </w:r>
      <w:r w:rsidRPr="004427CF">
        <w:rPr>
          <w:rFonts w:asciiTheme="minorHAnsi" w:hAnsiTheme="minorHAnsi"/>
          <w:bCs/>
          <w:sz w:val="22"/>
          <w:szCs w:val="22"/>
        </w:rPr>
        <w:t>es</w:t>
      </w:r>
      <w:r w:rsidR="00A2081C" w:rsidRPr="004427CF">
        <w:rPr>
          <w:rFonts w:asciiTheme="minorHAnsi" w:hAnsiTheme="minorHAnsi"/>
          <w:bCs/>
          <w:sz w:val="22"/>
          <w:szCs w:val="22"/>
        </w:rPr>
        <w:t xml:space="preserve"> unresolved tensions between Member States</w:t>
      </w:r>
      <w:r w:rsidR="001C194B" w:rsidRPr="004427CF">
        <w:rPr>
          <w:rFonts w:asciiTheme="minorHAnsi" w:hAnsiTheme="minorHAnsi"/>
          <w:bCs/>
          <w:sz w:val="22"/>
          <w:szCs w:val="22"/>
        </w:rPr>
        <w:t>.</w:t>
      </w:r>
      <w:r w:rsidR="00A2081C" w:rsidRPr="004427CF">
        <w:rPr>
          <w:rFonts w:asciiTheme="minorHAnsi" w:hAnsiTheme="minorHAnsi"/>
          <w:bCs/>
          <w:sz w:val="22"/>
          <w:szCs w:val="22"/>
        </w:rPr>
        <w:t xml:space="preserve"> </w:t>
      </w:r>
      <w:r w:rsidR="001C194B" w:rsidRPr="004427CF">
        <w:rPr>
          <w:rFonts w:asciiTheme="minorHAnsi" w:hAnsiTheme="minorHAnsi"/>
          <w:bCs/>
          <w:sz w:val="22"/>
          <w:szCs w:val="22"/>
        </w:rPr>
        <w:t>It</w:t>
      </w:r>
      <w:r w:rsidR="00A2081C" w:rsidRPr="004427CF">
        <w:rPr>
          <w:rFonts w:asciiTheme="minorHAnsi" w:hAnsiTheme="minorHAnsi"/>
          <w:bCs/>
          <w:sz w:val="22"/>
          <w:szCs w:val="22"/>
        </w:rPr>
        <w:t xml:space="preserve"> must</w:t>
      </w:r>
      <w:r w:rsidRPr="004427CF">
        <w:rPr>
          <w:rFonts w:asciiTheme="minorHAnsi" w:hAnsiTheme="minorHAnsi"/>
          <w:bCs/>
          <w:sz w:val="22"/>
          <w:szCs w:val="22"/>
        </w:rPr>
        <w:t xml:space="preserve">, </w:t>
      </w:r>
      <w:r w:rsidR="00E24183" w:rsidRPr="004427CF">
        <w:rPr>
          <w:rFonts w:asciiTheme="minorHAnsi" w:hAnsiTheme="minorHAnsi"/>
          <w:bCs/>
          <w:sz w:val="22"/>
          <w:szCs w:val="22"/>
        </w:rPr>
        <w:t>therefore</w:t>
      </w:r>
      <w:r w:rsidRPr="004427CF">
        <w:rPr>
          <w:rFonts w:asciiTheme="minorHAnsi" w:hAnsiTheme="minorHAnsi"/>
          <w:bCs/>
          <w:sz w:val="22"/>
          <w:szCs w:val="22"/>
        </w:rPr>
        <w:t>,</w:t>
      </w:r>
      <w:r w:rsidR="00A2081C" w:rsidRPr="004427CF">
        <w:rPr>
          <w:rFonts w:asciiTheme="minorHAnsi" w:hAnsiTheme="minorHAnsi"/>
          <w:bCs/>
          <w:sz w:val="22"/>
          <w:szCs w:val="22"/>
        </w:rPr>
        <w:t xml:space="preserve"> not be expected to bring about </w:t>
      </w:r>
      <w:r w:rsidR="00E24183" w:rsidRPr="004427CF">
        <w:rPr>
          <w:rFonts w:asciiTheme="minorHAnsi" w:hAnsiTheme="minorHAnsi"/>
          <w:bCs/>
          <w:sz w:val="22"/>
          <w:szCs w:val="22"/>
        </w:rPr>
        <w:t xml:space="preserve">a </w:t>
      </w:r>
      <w:r w:rsidR="00A2081C" w:rsidRPr="004427CF">
        <w:rPr>
          <w:rFonts w:asciiTheme="minorHAnsi" w:hAnsiTheme="minorHAnsi"/>
          <w:bCs/>
          <w:sz w:val="22"/>
          <w:szCs w:val="22"/>
        </w:rPr>
        <w:t>fundamental</w:t>
      </w:r>
      <w:r w:rsidR="00E24183" w:rsidRPr="004427CF">
        <w:rPr>
          <w:rFonts w:asciiTheme="minorHAnsi" w:hAnsiTheme="minorHAnsi"/>
          <w:bCs/>
          <w:sz w:val="22"/>
          <w:szCs w:val="22"/>
        </w:rPr>
        <w:t xml:space="preserve"> paradigm shift</w:t>
      </w:r>
      <w:r w:rsidR="00A2081C" w:rsidRPr="004427CF">
        <w:rPr>
          <w:rFonts w:asciiTheme="minorHAnsi" w:hAnsiTheme="minorHAnsi"/>
          <w:bCs/>
          <w:sz w:val="22"/>
          <w:szCs w:val="22"/>
        </w:rPr>
        <w:t xml:space="preserve"> </w:t>
      </w:r>
      <w:r w:rsidR="00500697" w:rsidRPr="004427CF">
        <w:rPr>
          <w:rFonts w:asciiTheme="minorHAnsi" w:hAnsiTheme="minorHAnsi"/>
          <w:bCs/>
          <w:sz w:val="22"/>
          <w:szCs w:val="22"/>
        </w:rPr>
        <w:t xml:space="preserve">in Europe’s approach to the thousands of migrants who risk their lives </w:t>
      </w:r>
      <w:r w:rsidR="00E24183" w:rsidRPr="004427CF">
        <w:rPr>
          <w:rFonts w:asciiTheme="minorHAnsi" w:hAnsiTheme="minorHAnsi"/>
          <w:bCs/>
          <w:sz w:val="22"/>
          <w:szCs w:val="22"/>
        </w:rPr>
        <w:t xml:space="preserve">each year </w:t>
      </w:r>
      <w:r w:rsidRPr="004427CF">
        <w:rPr>
          <w:rFonts w:asciiTheme="minorHAnsi" w:hAnsiTheme="minorHAnsi"/>
          <w:bCs/>
          <w:sz w:val="22"/>
          <w:szCs w:val="22"/>
        </w:rPr>
        <w:t xml:space="preserve">in search for </w:t>
      </w:r>
      <w:r w:rsidR="00500697" w:rsidRPr="004427CF">
        <w:rPr>
          <w:rFonts w:asciiTheme="minorHAnsi" w:hAnsiTheme="minorHAnsi"/>
          <w:bCs/>
          <w:sz w:val="22"/>
          <w:szCs w:val="22"/>
        </w:rPr>
        <w:t>a better future.</w:t>
      </w:r>
    </w:p>
    <w:p w:rsidR="00035FE4" w:rsidRPr="004427CF" w:rsidRDefault="00035FE4" w:rsidP="00B80CBE">
      <w:pPr>
        <w:spacing w:line="276" w:lineRule="auto"/>
        <w:rPr>
          <w:rFonts w:asciiTheme="minorHAnsi" w:hAnsiTheme="minorHAnsi"/>
          <w:bCs/>
          <w:sz w:val="22"/>
          <w:szCs w:val="22"/>
        </w:rPr>
      </w:pPr>
    </w:p>
    <w:p w:rsidR="00035FE4" w:rsidRPr="004427CF" w:rsidRDefault="00035FE4" w:rsidP="00B80CBE">
      <w:pPr>
        <w:spacing w:line="276" w:lineRule="auto"/>
        <w:rPr>
          <w:rFonts w:asciiTheme="minorHAnsi" w:hAnsiTheme="minorHAnsi"/>
          <w:bCs/>
          <w:sz w:val="22"/>
          <w:szCs w:val="22"/>
        </w:rPr>
      </w:pPr>
      <w:r w:rsidRPr="004427CF">
        <w:rPr>
          <w:rFonts w:asciiTheme="minorHAnsi" w:hAnsiTheme="minorHAnsi"/>
          <w:bCs/>
          <w:sz w:val="22"/>
          <w:szCs w:val="22"/>
        </w:rPr>
        <w:t>After explaining the Regulation’s coming into being (section 2),</w:t>
      </w:r>
      <w:r w:rsidR="002450C0" w:rsidRPr="004427CF">
        <w:rPr>
          <w:rFonts w:asciiTheme="minorHAnsi" w:hAnsiTheme="minorHAnsi"/>
          <w:bCs/>
          <w:sz w:val="22"/>
          <w:szCs w:val="22"/>
        </w:rPr>
        <w:t xml:space="preserve"> the contribution critically engages with the manner in which the </w:t>
      </w:r>
      <w:r w:rsidR="009D5702" w:rsidRPr="004427CF">
        <w:rPr>
          <w:rFonts w:asciiTheme="minorHAnsi" w:hAnsiTheme="minorHAnsi"/>
          <w:bCs/>
          <w:sz w:val="22"/>
          <w:szCs w:val="22"/>
        </w:rPr>
        <w:t>R</w:t>
      </w:r>
      <w:r w:rsidR="002450C0" w:rsidRPr="004427CF">
        <w:rPr>
          <w:rFonts w:asciiTheme="minorHAnsi" w:hAnsiTheme="minorHAnsi"/>
          <w:bCs/>
          <w:sz w:val="22"/>
          <w:szCs w:val="22"/>
        </w:rPr>
        <w:t>egulation addresses the potential tension between immigration deterrence and safeguarding refugee rights (section 3) and between immigration deterrence and the saving of lives at sea (section 4). It concludes by formulating three main reasons why this most recent EU attempt to bring about clarity and consistency in the EU’s approach to boat migrants is fundamentally flawed.</w:t>
      </w:r>
    </w:p>
    <w:p w:rsidR="00F94011" w:rsidRPr="004427CF" w:rsidRDefault="00F94011" w:rsidP="00B80CBE">
      <w:pPr>
        <w:spacing w:line="276" w:lineRule="auto"/>
        <w:rPr>
          <w:rFonts w:asciiTheme="minorHAnsi" w:hAnsiTheme="minorHAnsi"/>
          <w:bCs/>
          <w:sz w:val="22"/>
          <w:szCs w:val="22"/>
        </w:rPr>
      </w:pPr>
    </w:p>
    <w:p w:rsidR="003003F4" w:rsidRPr="004427CF" w:rsidRDefault="003003F4" w:rsidP="00B80CBE">
      <w:pPr>
        <w:spacing w:line="276" w:lineRule="auto"/>
        <w:rPr>
          <w:rFonts w:asciiTheme="minorHAnsi" w:hAnsiTheme="minorHAnsi"/>
          <w:bCs/>
          <w:sz w:val="22"/>
          <w:szCs w:val="22"/>
        </w:rPr>
      </w:pPr>
    </w:p>
    <w:p w:rsidR="003003F4" w:rsidRPr="004427CF" w:rsidRDefault="003003F4" w:rsidP="00B80CBE">
      <w:pPr>
        <w:spacing w:line="276" w:lineRule="auto"/>
        <w:rPr>
          <w:rFonts w:asciiTheme="minorHAnsi" w:hAnsiTheme="minorHAnsi"/>
          <w:b/>
          <w:bCs/>
          <w:sz w:val="22"/>
          <w:szCs w:val="22"/>
        </w:rPr>
      </w:pPr>
      <w:r w:rsidRPr="004427CF">
        <w:rPr>
          <w:rFonts w:asciiTheme="minorHAnsi" w:hAnsiTheme="minorHAnsi"/>
          <w:b/>
          <w:bCs/>
          <w:sz w:val="22"/>
          <w:szCs w:val="22"/>
        </w:rPr>
        <w:t>2. Background</w:t>
      </w:r>
    </w:p>
    <w:p w:rsidR="003003F4" w:rsidRPr="004427CF" w:rsidRDefault="003003F4" w:rsidP="00B80CBE">
      <w:pPr>
        <w:spacing w:line="276" w:lineRule="auto"/>
        <w:rPr>
          <w:rFonts w:asciiTheme="minorHAnsi" w:hAnsiTheme="minorHAnsi"/>
          <w:bCs/>
          <w:sz w:val="22"/>
          <w:szCs w:val="22"/>
        </w:rPr>
      </w:pPr>
    </w:p>
    <w:p w:rsidR="00DA0C96" w:rsidRPr="004427CF" w:rsidRDefault="00DA0C96" w:rsidP="00B80CBE">
      <w:pPr>
        <w:spacing w:line="276" w:lineRule="auto"/>
        <w:jc w:val="both"/>
        <w:rPr>
          <w:rFonts w:asciiTheme="minorHAnsi" w:hAnsiTheme="minorHAnsi" w:cs="Calibri"/>
          <w:sz w:val="22"/>
          <w:szCs w:val="22"/>
        </w:rPr>
      </w:pPr>
      <w:r w:rsidRPr="004427CF">
        <w:rPr>
          <w:rFonts w:asciiTheme="minorHAnsi" w:hAnsiTheme="minorHAnsi" w:cs="Calibri"/>
          <w:sz w:val="22"/>
          <w:szCs w:val="22"/>
        </w:rPr>
        <w:t xml:space="preserve">The </w:t>
      </w:r>
      <w:proofErr w:type="spellStart"/>
      <w:r w:rsidR="001369E7" w:rsidRPr="004427CF">
        <w:rPr>
          <w:rFonts w:asciiTheme="minorHAnsi" w:hAnsiTheme="minorHAnsi" w:cs="Calibri"/>
          <w:sz w:val="22"/>
          <w:szCs w:val="22"/>
        </w:rPr>
        <w:t>Frontex</w:t>
      </w:r>
      <w:proofErr w:type="spellEnd"/>
      <w:r w:rsidR="001369E7" w:rsidRPr="004427CF">
        <w:rPr>
          <w:rFonts w:asciiTheme="minorHAnsi" w:hAnsiTheme="minorHAnsi" w:cs="Calibri"/>
          <w:sz w:val="22"/>
          <w:szCs w:val="22"/>
        </w:rPr>
        <w:t xml:space="preserve"> Sea Borders Regulation</w:t>
      </w:r>
      <w:r w:rsidR="00DB2B7C" w:rsidRPr="004427CF">
        <w:rPr>
          <w:rFonts w:asciiTheme="minorHAnsi" w:hAnsiTheme="minorHAnsi" w:cs="Calibri"/>
          <w:sz w:val="22"/>
          <w:szCs w:val="22"/>
        </w:rPr>
        <w:t xml:space="preserve"> </w:t>
      </w:r>
      <w:r w:rsidRPr="004427CF">
        <w:rPr>
          <w:rFonts w:asciiTheme="minorHAnsi" w:hAnsiTheme="minorHAnsi" w:cs="Calibri"/>
          <w:sz w:val="22"/>
          <w:szCs w:val="22"/>
        </w:rPr>
        <w:t>i</w:t>
      </w:r>
      <w:r w:rsidR="00DB2B7C" w:rsidRPr="004427CF">
        <w:rPr>
          <w:rFonts w:asciiTheme="minorHAnsi" w:hAnsiTheme="minorHAnsi" w:cs="Calibri"/>
          <w:sz w:val="22"/>
          <w:szCs w:val="22"/>
        </w:rPr>
        <w:t>s</w:t>
      </w:r>
      <w:r w:rsidRPr="004427CF">
        <w:rPr>
          <w:rFonts w:asciiTheme="minorHAnsi" w:hAnsiTheme="minorHAnsi" w:cs="Calibri"/>
          <w:sz w:val="22"/>
          <w:szCs w:val="22"/>
        </w:rPr>
        <w:t xml:space="preserve"> the result of a rather laborious series of negotiations and institutional conflict within the EU. It replaces Council Decision  </w:t>
      </w:r>
      <w:r w:rsidR="008E449F" w:rsidRPr="004427CF">
        <w:rPr>
          <w:rFonts w:asciiTheme="minorHAnsi" w:hAnsiTheme="minorHAnsi" w:cs="Calibri"/>
          <w:sz w:val="22"/>
          <w:szCs w:val="22"/>
        </w:rPr>
        <w:t>2010/252/EU</w:t>
      </w:r>
      <w:r w:rsidRPr="004427CF">
        <w:rPr>
          <w:rFonts w:asciiTheme="minorHAnsi" w:hAnsiTheme="minorHAnsi" w:cs="Calibri"/>
          <w:sz w:val="22"/>
          <w:szCs w:val="22"/>
        </w:rPr>
        <w:t xml:space="preserve"> which was annulled by the Court of Justice in </w:t>
      </w:r>
      <w:r w:rsidR="00EC0254" w:rsidRPr="004427CF">
        <w:rPr>
          <w:rFonts w:asciiTheme="minorHAnsi" w:hAnsiTheme="minorHAnsi" w:cs="Calibri"/>
          <w:sz w:val="22"/>
          <w:szCs w:val="22"/>
        </w:rPr>
        <w:t>September 2012, on the grounds of the Council having exceeded the scope of its implementing powers.</w:t>
      </w:r>
      <w:r w:rsidR="00EC0254" w:rsidRPr="004427CF">
        <w:rPr>
          <w:rStyle w:val="FootnoteReference"/>
          <w:rFonts w:asciiTheme="minorHAnsi" w:hAnsiTheme="minorHAnsi" w:cs="Calibri"/>
          <w:sz w:val="22"/>
          <w:szCs w:val="22"/>
        </w:rPr>
        <w:footnoteReference w:id="4"/>
      </w:r>
    </w:p>
    <w:p w:rsidR="004409F1" w:rsidRPr="004427CF" w:rsidRDefault="004409F1"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 xml:space="preserve">When </w:t>
      </w:r>
      <w:proofErr w:type="spellStart"/>
      <w:r w:rsidRPr="004427CF">
        <w:rPr>
          <w:rFonts w:asciiTheme="minorHAnsi" w:hAnsiTheme="minorHAnsi"/>
          <w:bCs/>
          <w:sz w:val="22"/>
          <w:szCs w:val="22"/>
        </w:rPr>
        <w:t>Frontex</w:t>
      </w:r>
      <w:proofErr w:type="spellEnd"/>
      <w:r w:rsidRPr="004427CF">
        <w:rPr>
          <w:rFonts w:asciiTheme="minorHAnsi" w:hAnsiTheme="minorHAnsi"/>
          <w:bCs/>
          <w:sz w:val="22"/>
          <w:szCs w:val="22"/>
        </w:rPr>
        <w:t xml:space="preserve"> was established in 2004, the core of its mandate was described rather broadly as rendering ‘more effective the application of existing and future Community measures relating to the management of external borders’.</w:t>
      </w:r>
      <w:r w:rsidRPr="004427CF">
        <w:rPr>
          <w:rStyle w:val="FootnoteReference"/>
          <w:rFonts w:asciiTheme="minorHAnsi" w:hAnsiTheme="minorHAnsi"/>
          <w:bCs/>
          <w:sz w:val="22"/>
          <w:szCs w:val="22"/>
        </w:rPr>
        <w:footnoteReference w:id="5"/>
      </w:r>
      <w:r w:rsidRPr="004427CF">
        <w:rPr>
          <w:rFonts w:asciiTheme="minorHAnsi" w:hAnsiTheme="minorHAnsi"/>
          <w:bCs/>
          <w:sz w:val="22"/>
          <w:szCs w:val="22"/>
        </w:rPr>
        <w:t xml:space="preserve"> </w:t>
      </w:r>
      <w:proofErr w:type="spellStart"/>
      <w:r w:rsidRPr="004427CF">
        <w:rPr>
          <w:rFonts w:asciiTheme="minorHAnsi" w:hAnsiTheme="minorHAnsi"/>
          <w:bCs/>
          <w:sz w:val="22"/>
          <w:szCs w:val="22"/>
        </w:rPr>
        <w:t>Frontex</w:t>
      </w:r>
      <w:proofErr w:type="spellEnd"/>
      <w:r w:rsidRPr="004427CF">
        <w:rPr>
          <w:rFonts w:asciiTheme="minorHAnsi" w:hAnsiTheme="minorHAnsi"/>
          <w:bCs/>
          <w:sz w:val="22"/>
          <w:szCs w:val="22"/>
        </w:rPr>
        <w:t xml:space="preserve">  was founded in lieu of a supranational European corps of border guards (for which political support was lacking) and leaves primary responsibility for border control with the Member States. It assists national border guard services by providing technical assistance and by facilitating cooperation among national border guards. It is mainly known for coordinating joint maritime controls in the Mediterranean and the Atlantic. </w:t>
      </w:r>
      <w:proofErr w:type="spellStart"/>
      <w:r w:rsidRPr="004427CF">
        <w:rPr>
          <w:rFonts w:asciiTheme="minorHAnsi" w:hAnsiTheme="minorHAnsi"/>
          <w:bCs/>
          <w:sz w:val="22"/>
          <w:szCs w:val="22"/>
        </w:rPr>
        <w:t>Frontex</w:t>
      </w:r>
      <w:proofErr w:type="spellEnd"/>
      <w:r w:rsidRPr="004427CF">
        <w:rPr>
          <w:rFonts w:asciiTheme="minorHAnsi" w:hAnsiTheme="minorHAnsi"/>
          <w:bCs/>
          <w:sz w:val="22"/>
          <w:szCs w:val="22"/>
        </w:rPr>
        <w:t xml:space="preserve"> is also tasked </w:t>
      </w:r>
      <w:r w:rsidRPr="004427CF">
        <w:rPr>
          <w:rFonts w:asciiTheme="minorHAnsi" w:hAnsiTheme="minorHAnsi"/>
          <w:bCs/>
          <w:sz w:val="22"/>
          <w:szCs w:val="22"/>
        </w:rPr>
        <w:lastRenderedPageBreak/>
        <w:t xml:space="preserve">with maintaining and coordinating the </w:t>
      </w:r>
      <w:proofErr w:type="spellStart"/>
      <w:r w:rsidRPr="004427CF">
        <w:rPr>
          <w:rFonts w:asciiTheme="minorHAnsi" w:hAnsiTheme="minorHAnsi"/>
          <w:bCs/>
          <w:sz w:val="22"/>
          <w:szCs w:val="22"/>
        </w:rPr>
        <w:t>Eurosur</w:t>
      </w:r>
      <w:proofErr w:type="spellEnd"/>
      <w:r w:rsidRPr="004427CF">
        <w:rPr>
          <w:rFonts w:asciiTheme="minorHAnsi" w:hAnsiTheme="minorHAnsi"/>
          <w:bCs/>
          <w:sz w:val="22"/>
          <w:szCs w:val="22"/>
        </w:rPr>
        <w:t xml:space="preserve"> framework which was set up in 2013 and which went ‘live’ in December of that year.</w:t>
      </w:r>
      <w:r w:rsidRPr="004427CF">
        <w:rPr>
          <w:rStyle w:val="FootnoteReference"/>
          <w:rFonts w:asciiTheme="minorHAnsi" w:hAnsiTheme="minorHAnsi"/>
          <w:bCs/>
          <w:sz w:val="22"/>
          <w:szCs w:val="22"/>
        </w:rPr>
        <w:footnoteReference w:id="6"/>
      </w:r>
      <w:r w:rsidRPr="004427CF">
        <w:rPr>
          <w:rFonts w:asciiTheme="minorHAnsi" w:hAnsiTheme="minorHAnsi"/>
          <w:bCs/>
          <w:sz w:val="22"/>
          <w:szCs w:val="22"/>
        </w:rPr>
        <w:t xml:space="preserve"> </w:t>
      </w:r>
      <w:proofErr w:type="spellStart"/>
      <w:r w:rsidRPr="004427CF">
        <w:rPr>
          <w:rFonts w:asciiTheme="minorHAnsi" w:hAnsiTheme="minorHAnsi"/>
          <w:bCs/>
          <w:sz w:val="22"/>
          <w:szCs w:val="22"/>
        </w:rPr>
        <w:t>Eurosur</w:t>
      </w:r>
      <w:proofErr w:type="spellEnd"/>
      <w:r w:rsidRPr="004427CF">
        <w:rPr>
          <w:rFonts w:asciiTheme="minorHAnsi" w:hAnsiTheme="minorHAnsi"/>
          <w:bCs/>
          <w:sz w:val="22"/>
          <w:szCs w:val="22"/>
        </w:rPr>
        <w:t xml:space="preserve"> links intelligence systems of Member States for the purpose of increasing reaction capability at the external borders.</w:t>
      </w:r>
    </w:p>
    <w:p w:rsidR="004409F1" w:rsidRPr="004427CF" w:rsidRDefault="004409F1"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 xml:space="preserve">The original </w:t>
      </w:r>
      <w:proofErr w:type="spellStart"/>
      <w:r w:rsidRPr="004427CF">
        <w:rPr>
          <w:rFonts w:asciiTheme="minorHAnsi" w:hAnsiTheme="minorHAnsi"/>
          <w:bCs/>
          <w:sz w:val="22"/>
          <w:szCs w:val="22"/>
        </w:rPr>
        <w:t>Frontex</w:t>
      </w:r>
      <w:proofErr w:type="spellEnd"/>
      <w:r w:rsidRPr="004427CF">
        <w:rPr>
          <w:rFonts w:asciiTheme="minorHAnsi" w:hAnsiTheme="minorHAnsi"/>
          <w:bCs/>
          <w:sz w:val="22"/>
          <w:szCs w:val="22"/>
        </w:rPr>
        <w:t xml:space="preserve"> regulation did not refer to other EU instruments on migration, such as the EU asylum directives, and only contained a general affirmation in the recital that the Regulation respects fundamental rights.</w:t>
      </w:r>
      <w:r w:rsidRPr="004427CF">
        <w:rPr>
          <w:rStyle w:val="FootnoteReference"/>
          <w:rFonts w:asciiTheme="minorHAnsi" w:hAnsiTheme="minorHAnsi"/>
          <w:bCs/>
          <w:sz w:val="22"/>
          <w:szCs w:val="22"/>
        </w:rPr>
        <w:footnoteReference w:id="7"/>
      </w:r>
      <w:r w:rsidRPr="004427CF">
        <w:rPr>
          <w:rFonts w:asciiTheme="minorHAnsi" w:hAnsiTheme="minorHAnsi"/>
          <w:bCs/>
          <w:sz w:val="22"/>
          <w:szCs w:val="22"/>
        </w:rPr>
        <w:t xml:space="preserve"> The lack of a concrete human rights framework on how to deal with refugees or migrants who are in distress at sea contributed to a perception that </w:t>
      </w:r>
      <w:proofErr w:type="spellStart"/>
      <w:r w:rsidRPr="004427CF">
        <w:rPr>
          <w:rFonts w:asciiTheme="minorHAnsi" w:hAnsiTheme="minorHAnsi"/>
          <w:bCs/>
          <w:sz w:val="22"/>
          <w:szCs w:val="22"/>
        </w:rPr>
        <w:t>Frontex</w:t>
      </w:r>
      <w:proofErr w:type="spellEnd"/>
      <w:r w:rsidRPr="004427CF">
        <w:rPr>
          <w:rFonts w:asciiTheme="minorHAnsi" w:hAnsiTheme="minorHAnsi"/>
          <w:bCs/>
          <w:sz w:val="22"/>
          <w:szCs w:val="22"/>
        </w:rPr>
        <w:t xml:space="preserve"> was preoccupied with border security considerations.</w:t>
      </w:r>
      <w:r w:rsidRPr="004427CF">
        <w:rPr>
          <w:rStyle w:val="FootnoteReference"/>
          <w:rFonts w:asciiTheme="minorHAnsi" w:hAnsiTheme="minorHAnsi"/>
          <w:bCs/>
          <w:sz w:val="22"/>
          <w:szCs w:val="22"/>
        </w:rPr>
        <w:footnoteReference w:id="8"/>
      </w:r>
      <w:r w:rsidRPr="004427CF">
        <w:rPr>
          <w:rFonts w:asciiTheme="minorHAnsi" w:hAnsiTheme="minorHAnsi"/>
          <w:bCs/>
          <w:sz w:val="22"/>
          <w:szCs w:val="22"/>
        </w:rPr>
        <w:t xml:space="preserve"> These concerns were in part addressed in the revision of the </w:t>
      </w:r>
      <w:proofErr w:type="spellStart"/>
      <w:r w:rsidRPr="004427CF">
        <w:rPr>
          <w:rFonts w:asciiTheme="minorHAnsi" w:hAnsiTheme="minorHAnsi"/>
          <w:bCs/>
          <w:sz w:val="22"/>
          <w:szCs w:val="22"/>
        </w:rPr>
        <w:t>Fontex</w:t>
      </w:r>
      <w:proofErr w:type="spellEnd"/>
      <w:r w:rsidRPr="004427CF">
        <w:rPr>
          <w:rFonts w:asciiTheme="minorHAnsi" w:hAnsiTheme="minorHAnsi"/>
          <w:bCs/>
          <w:sz w:val="22"/>
          <w:szCs w:val="22"/>
        </w:rPr>
        <w:t xml:space="preserve"> Regulation of October 2011, which introduced a reference to the 1951 Refugee Convention and the prohibition of </w:t>
      </w:r>
      <w:proofErr w:type="spellStart"/>
      <w:r w:rsidRPr="004427CF">
        <w:rPr>
          <w:rFonts w:asciiTheme="minorHAnsi" w:hAnsiTheme="minorHAnsi"/>
          <w:bCs/>
          <w:i/>
          <w:sz w:val="22"/>
          <w:szCs w:val="22"/>
        </w:rPr>
        <w:t>refoulement</w:t>
      </w:r>
      <w:proofErr w:type="spellEnd"/>
      <w:r w:rsidRPr="004427CF">
        <w:rPr>
          <w:rFonts w:asciiTheme="minorHAnsi" w:hAnsiTheme="minorHAnsi"/>
          <w:bCs/>
          <w:sz w:val="22"/>
          <w:szCs w:val="22"/>
        </w:rPr>
        <w:t xml:space="preserve">, and an obligation for </w:t>
      </w:r>
      <w:proofErr w:type="spellStart"/>
      <w:r w:rsidRPr="004427CF">
        <w:rPr>
          <w:rFonts w:asciiTheme="minorHAnsi" w:hAnsiTheme="minorHAnsi"/>
          <w:bCs/>
          <w:sz w:val="22"/>
          <w:szCs w:val="22"/>
        </w:rPr>
        <w:t>Frontex</w:t>
      </w:r>
      <w:proofErr w:type="spellEnd"/>
      <w:r w:rsidRPr="004427CF">
        <w:rPr>
          <w:rFonts w:asciiTheme="minorHAnsi" w:hAnsiTheme="minorHAnsi"/>
          <w:bCs/>
          <w:sz w:val="22"/>
          <w:szCs w:val="22"/>
        </w:rPr>
        <w:t xml:space="preserve"> to draw up a fundamental rights strategy.</w:t>
      </w:r>
      <w:r w:rsidRPr="004427CF">
        <w:rPr>
          <w:rStyle w:val="FootnoteReference"/>
          <w:rFonts w:asciiTheme="minorHAnsi" w:hAnsiTheme="minorHAnsi"/>
          <w:bCs/>
          <w:sz w:val="22"/>
          <w:szCs w:val="22"/>
        </w:rPr>
        <w:footnoteReference w:id="9"/>
      </w:r>
      <w:r w:rsidRPr="004427CF">
        <w:rPr>
          <w:rFonts w:asciiTheme="minorHAnsi" w:hAnsiTheme="minorHAnsi"/>
          <w:bCs/>
          <w:sz w:val="22"/>
          <w:szCs w:val="22"/>
        </w:rPr>
        <w:t xml:space="preserve"> Likewise, the </w:t>
      </w:r>
      <w:proofErr w:type="spellStart"/>
      <w:r w:rsidRPr="004427CF">
        <w:rPr>
          <w:rFonts w:asciiTheme="minorHAnsi" w:hAnsiTheme="minorHAnsi"/>
          <w:bCs/>
          <w:sz w:val="22"/>
          <w:szCs w:val="22"/>
        </w:rPr>
        <w:t>Eurosur</w:t>
      </w:r>
      <w:proofErr w:type="spellEnd"/>
      <w:r w:rsidRPr="004427CF">
        <w:rPr>
          <w:rFonts w:asciiTheme="minorHAnsi" w:hAnsiTheme="minorHAnsi"/>
          <w:bCs/>
          <w:sz w:val="22"/>
          <w:szCs w:val="22"/>
        </w:rPr>
        <w:t xml:space="preserve"> Regulation mentions that, in addition to preventing unauthorized border crossings and to counter cross-border criminality, the shared intelligence has the purpose of ‘contributing to ensuring the protection and saving the lives of migrants’.</w:t>
      </w:r>
      <w:r w:rsidRPr="004427CF">
        <w:rPr>
          <w:rStyle w:val="FootnoteReference"/>
          <w:rFonts w:asciiTheme="minorHAnsi" w:hAnsiTheme="minorHAnsi"/>
          <w:bCs/>
          <w:sz w:val="22"/>
          <w:szCs w:val="22"/>
        </w:rPr>
        <w:footnoteReference w:id="10"/>
      </w:r>
      <w:r w:rsidRPr="004427CF">
        <w:rPr>
          <w:rFonts w:asciiTheme="minorHAnsi" w:hAnsiTheme="minorHAnsi"/>
          <w:bCs/>
          <w:sz w:val="22"/>
          <w:szCs w:val="22"/>
        </w:rPr>
        <w:t xml:space="preserve"> However, these instruments do not as such resolve such contested issues as the manner in which screening for refugees should occur, where persons claiming asylum should be disembarked or how to respond to situations of distress. These were issues that, together with a description of powers of migrant interdiction</w:t>
      </w:r>
      <w:r w:rsidR="00A07650" w:rsidRPr="004427CF">
        <w:rPr>
          <w:rFonts w:asciiTheme="minorHAnsi" w:hAnsiTheme="minorHAnsi"/>
          <w:bCs/>
          <w:sz w:val="22"/>
          <w:szCs w:val="22"/>
        </w:rPr>
        <w:t>,</w:t>
      </w:r>
      <w:r w:rsidRPr="004427CF">
        <w:rPr>
          <w:rFonts w:asciiTheme="minorHAnsi" w:hAnsiTheme="minorHAnsi"/>
          <w:bCs/>
          <w:sz w:val="22"/>
          <w:szCs w:val="22"/>
        </w:rPr>
        <w:t xml:space="preserve"> were developed in Council Decision </w:t>
      </w:r>
      <w:r w:rsidRPr="004427CF">
        <w:rPr>
          <w:rFonts w:asciiTheme="minorHAnsi" w:hAnsiTheme="minorHAnsi" w:cs="Calibri"/>
          <w:sz w:val="22"/>
          <w:szCs w:val="22"/>
        </w:rPr>
        <w:t xml:space="preserve">2010/252/EU, which was replaced by the </w:t>
      </w:r>
      <w:proofErr w:type="spellStart"/>
      <w:r w:rsidRPr="004427CF">
        <w:rPr>
          <w:rFonts w:asciiTheme="minorHAnsi" w:hAnsiTheme="minorHAnsi" w:cs="Calibri"/>
          <w:sz w:val="22"/>
          <w:szCs w:val="22"/>
        </w:rPr>
        <w:t>Frontex</w:t>
      </w:r>
      <w:proofErr w:type="spellEnd"/>
      <w:r w:rsidRPr="004427CF">
        <w:rPr>
          <w:rFonts w:asciiTheme="minorHAnsi" w:hAnsiTheme="minorHAnsi" w:cs="Calibri"/>
          <w:sz w:val="22"/>
          <w:szCs w:val="22"/>
        </w:rPr>
        <w:t xml:space="preserve"> Sea Borders regulation.</w:t>
      </w:r>
    </w:p>
    <w:p w:rsidR="001369E7" w:rsidRPr="004427CF" w:rsidRDefault="00A07650" w:rsidP="00B80CBE">
      <w:pPr>
        <w:spacing w:line="276" w:lineRule="auto"/>
        <w:ind w:firstLine="720"/>
        <w:rPr>
          <w:rFonts w:asciiTheme="minorHAnsi" w:hAnsiTheme="minorHAnsi" w:cs="Calibri"/>
          <w:sz w:val="22"/>
          <w:szCs w:val="22"/>
        </w:rPr>
      </w:pPr>
      <w:r w:rsidRPr="004427CF">
        <w:rPr>
          <w:rFonts w:asciiTheme="minorHAnsi" w:hAnsiTheme="minorHAnsi" w:cs="Calibri"/>
          <w:sz w:val="22"/>
          <w:szCs w:val="22"/>
        </w:rPr>
        <w:t xml:space="preserve">Council Decision 2010/252/EU came about after lengthy negotiations. </w:t>
      </w:r>
      <w:r w:rsidR="008E449F" w:rsidRPr="004427CF">
        <w:rPr>
          <w:rFonts w:asciiTheme="minorHAnsi" w:hAnsiTheme="minorHAnsi" w:cs="Calibri"/>
          <w:sz w:val="22"/>
          <w:szCs w:val="22"/>
        </w:rPr>
        <w:t xml:space="preserve">After the Commission had </w:t>
      </w:r>
      <w:r w:rsidR="00DA0C96" w:rsidRPr="004427CF">
        <w:rPr>
          <w:rFonts w:asciiTheme="minorHAnsi" w:hAnsiTheme="minorHAnsi" w:cs="Calibri"/>
          <w:sz w:val="22"/>
          <w:szCs w:val="22"/>
        </w:rPr>
        <w:t>published</w:t>
      </w:r>
      <w:r w:rsidR="001369E7" w:rsidRPr="004427CF">
        <w:rPr>
          <w:rFonts w:asciiTheme="minorHAnsi" w:hAnsiTheme="minorHAnsi" w:cs="Calibri"/>
          <w:sz w:val="22"/>
          <w:szCs w:val="22"/>
        </w:rPr>
        <w:t xml:space="preserve"> a study on the international law instruments in relation to illegal immigration by sea in May 2007</w:t>
      </w:r>
      <w:r w:rsidR="001369E7" w:rsidRPr="004427CF">
        <w:rPr>
          <w:rStyle w:val="Footnoteanchor"/>
          <w:rFonts w:asciiTheme="minorHAnsi" w:hAnsiTheme="minorHAnsi"/>
          <w:sz w:val="22"/>
          <w:szCs w:val="22"/>
        </w:rPr>
        <w:footnoteReference w:id="11"/>
      </w:r>
      <w:r w:rsidR="001369E7" w:rsidRPr="004427CF">
        <w:rPr>
          <w:rFonts w:asciiTheme="minorHAnsi" w:hAnsiTheme="minorHAnsi" w:cs="Calibri"/>
          <w:sz w:val="22"/>
          <w:szCs w:val="22"/>
        </w:rPr>
        <w:t xml:space="preserve">, it commissioned an informal working group consisting of representatives of member states, </w:t>
      </w:r>
      <w:proofErr w:type="spellStart"/>
      <w:r w:rsidR="001369E7" w:rsidRPr="004427CF">
        <w:rPr>
          <w:rFonts w:asciiTheme="minorHAnsi" w:hAnsiTheme="minorHAnsi" w:cs="Calibri"/>
          <w:sz w:val="22"/>
          <w:szCs w:val="22"/>
        </w:rPr>
        <w:t>Frontex</w:t>
      </w:r>
      <w:proofErr w:type="spellEnd"/>
      <w:r w:rsidR="001369E7" w:rsidRPr="004427CF">
        <w:rPr>
          <w:rFonts w:asciiTheme="minorHAnsi" w:hAnsiTheme="minorHAnsi" w:cs="Calibri"/>
          <w:sz w:val="22"/>
          <w:szCs w:val="22"/>
        </w:rPr>
        <w:t xml:space="preserve">, the UN High Commissioner for Refugees (UNHCR) and the International </w:t>
      </w:r>
      <w:proofErr w:type="spellStart"/>
      <w:r w:rsidR="001369E7" w:rsidRPr="004427CF">
        <w:rPr>
          <w:rFonts w:asciiTheme="minorHAnsi" w:hAnsiTheme="minorHAnsi" w:cs="Calibri"/>
          <w:sz w:val="22"/>
          <w:szCs w:val="22"/>
        </w:rPr>
        <w:t>Organisation</w:t>
      </w:r>
      <w:proofErr w:type="spellEnd"/>
      <w:r w:rsidR="001369E7" w:rsidRPr="004427CF">
        <w:rPr>
          <w:rFonts w:asciiTheme="minorHAnsi" w:hAnsiTheme="minorHAnsi" w:cs="Calibri"/>
          <w:sz w:val="22"/>
          <w:szCs w:val="22"/>
        </w:rPr>
        <w:t xml:space="preserve"> for Migration (IOM) to produce guidelines for </w:t>
      </w:r>
      <w:proofErr w:type="spellStart"/>
      <w:r w:rsidR="001369E7" w:rsidRPr="004427CF">
        <w:rPr>
          <w:rFonts w:asciiTheme="minorHAnsi" w:hAnsiTheme="minorHAnsi" w:cs="Calibri"/>
          <w:sz w:val="22"/>
          <w:szCs w:val="22"/>
        </w:rPr>
        <w:t>Frontex</w:t>
      </w:r>
      <w:proofErr w:type="spellEnd"/>
      <w:r w:rsidR="001369E7" w:rsidRPr="004427CF">
        <w:rPr>
          <w:rFonts w:asciiTheme="minorHAnsi" w:hAnsiTheme="minorHAnsi" w:cs="Calibri"/>
          <w:sz w:val="22"/>
          <w:szCs w:val="22"/>
        </w:rPr>
        <w:t xml:space="preserve">’ maritime operations. The group failed to agree however on the implications of refugee law, the role of </w:t>
      </w:r>
      <w:proofErr w:type="spellStart"/>
      <w:r w:rsidR="001369E7" w:rsidRPr="004427CF">
        <w:rPr>
          <w:rFonts w:asciiTheme="minorHAnsi" w:hAnsiTheme="minorHAnsi" w:cs="Calibri"/>
          <w:sz w:val="22"/>
          <w:szCs w:val="22"/>
        </w:rPr>
        <w:t>Frontex</w:t>
      </w:r>
      <w:proofErr w:type="spellEnd"/>
      <w:r w:rsidR="001369E7" w:rsidRPr="004427CF">
        <w:rPr>
          <w:rFonts w:asciiTheme="minorHAnsi" w:hAnsiTheme="minorHAnsi" w:cs="Calibri"/>
          <w:sz w:val="22"/>
          <w:szCs w:val="22"/>
        </w:rPr>
        <w:t xml:space="preserve"> and the question of where to disembark </w:t>
      </w:r>
      <w:r w:rsidR="001369E7" w:rsidRPr="004427CF">
        <w:rPr>
          <w:rFonts w:asciiTheme="minorHAnsi" w:hAnsiTheme="minorHAnsi" w:cstheme="minorHAnsi"/>
          <w:sz w:val="22"/>
          <w:szCs w:val="22"/>
        </w:rPr>
        <w:t xml:space="preserve">intercepted migrants. </w:t>
      </w:r>
      <w:r w:rsidR="00DA0C96" w:rsidRPr="004427CF">
        <w:rPr>
          <w:rFonts w:asciiTheme="minorHAnsi" w:hAnsiTheme="minorHAnsi" w:cstheme="minorHAnsi"/>
          <w:sz w:val="22"/>
          <w:szCs w:val="22"/>
        </w:rPr>
        <w:t>T</w:t>
      </w:r>
      <w:r w:rsidR="001369E7" w:rsidRPr="004427CF">
        <w:rPr>
          <w:rFonts w:asciiTheme="minorHAnsi" w:hAnsiTheme="minorHAnsi" w:cstheme="minorHAnsi"/>
          <w:sz w:val="22"/>
          <w:szCs w:val="22"/>
        </w:rPr>
        <w:t xml:space="preserve">he Commission then </w:t>
      </w:r>
      <w:r w:rsidR="00DA0C96" w:rsidRPr="004427CF">
        <w:rPr>
          <w:rFonts w:asciiTheme="minorHAnsi" w:hAnsiTheme="minorHAnsi" w:cstheme="minorHAnsi"/>
          <w:sz w:val="22"/>
          <w:szCs w:val="22"/>
        </w:rPr>
        <w:t xml:space="preserve">decided to </w:t>
      </w:r>
      <w:r w:rsidR="001369E7" w:rsidRPr="004427CF">
        <w:rPr>
          <w:rFonts w:asciiTheme="minorHAnsi" w:hAnsiTheme="minorHAnsi" w:cstheme="minorHAnsi"/>
          <w:sz w:val="22"/>
          <w:szCs w:val="22"/>
        </w:rPr>
        <w:t>prepare a draft decision on the basis of Article 12(5) of the Schengen Borders Code</w:t>
      </w:r>
      <w:r w:rsidR="008737F1" w:rsidRPr="004427CF">
        <w:rPr>
          <w:rStyle w:val="FootnoteReference"/>
          <w:rFonts w:asciiTheme="minorHAnsi" w:hAnsiTheme="minorHAnsi" w:cstheme="minorHAnsi"/>
          <w:sz w:val="22"/>
          <w:szCs w:val="22"/>
        </w:rPr>
        <w:footnoteReference w:id="12"/>
      </w:r>
      <w:r w:rsidR="001369E7" w:rsidRPr="004427CF">
        <w:rPr>
          <w:rFonts w:asciiTheme="minorHAnsi" w:hAnsiTheme="minorHAnsi" w:cstheme="minorHAnsi"/>
          <w:sz w:val="22"/>
          <w:szCs w:val="22"/>
        </w:rPr>
        <w:t>, which allows for the adoption of additional</w:t>
      </w:r>
      <w:r w:rsidRPr="004427CF">
        <w:rPr>
          <w:rFonts w:asciiTheme="minorHAnsi" w:hAnsiTheme="minorHAnsi" w:cstheme="minorHAnsi"/>
          <w:sz w:val="22"/>
          <w:szCs w:val="22"/>
        </w:rPr>
        <w:t>, implementing,</w:t>
      </w:r>
      <w:r w:rsidR="001369E7" w:rsidRPr="004427CF">
        <w:rPr>
          <w:rFonts w:asciiTheme="minorHAnsi" w:hAnsiTheme="minorHAnsi" w:cstheme="minorHAnsi"/>
          <w:sz w:val="22"/>
          <w:szCs w:val="22"/>
        </w:rPr>
        <w:t xml:space="preserve"> rules governing surveillance in accordance with the regulatory procedure with scrutiny</w:t>
      </w:r>
      <w:r w:rsidR="008737F1" w:rsidRPr="004427CF">
        <w:rPr>
          <w:rFonts w:asciiTheme="minorHAnsi" w:hAnsiTheme="minorHAnsi" w:cstheme="minorHAnsi"/>
          <w:sz w:val="22"/>
          <w:szCs w:val="22"/>
        </w:rPr>
        <w:t xml:space="preserve"> (in which Parliament does not have co-legislative but only veto power)</w:t>
      </w:r>
      <w:r w:rsidR="001369E7" w:rsidRPr="004427CF">
        <w:rPr>
          <w:rFonts w:asciiTheme="minorHAnsi" w:hAnsiTheme="minorHAnsi" w:cstheme="minorHAnsi"/>
          <w:sz w:val="22"/>
          <w:szCs w:val="22"/>
        </w:rPr>
        <w:t xml:space="preserve">. The </w:t>
      </w:r>
      <w:r w:rsidR="004C15B3" w:rsidRPr="004427CF">
        <w:rPr>
          <w:rFonts w:asciiTheme="minorHAnsi" w:hAnsiTheme="minorHAnsi" w:cstheme="minorHAnsi"/>
          <w:sz w:val="22"/>
          <w:szCs w:val="22"/>
        </w:rPr>
        <w:t xml:space="preserve">Commission’s </w:t>
      </w:r>
      <w:r w:rsidR="001369E7" w:rsidRPr="004427CF">
        <w:rPr>
          <w:rFonts w:asciiTheme="minorHAnsi" w:hAnsiTheme="minorHAnsi" w:cstheme="minorHAnsi"/>
          <w:sz w:val="22"/>
          <w:szCs w:val="22"/>
        </w:rPr>
        <w:t>proposal aimed to make explicit the duties to respect fundamental rights and</w:t>
      </w:r>
      <w:r w:rsidR="001369E7" w:rsidRPr="004427CF">
        <w:rPr>
          <w:rFonts w:asciiTheme="minorHAnsi" w:hAnsiTheme="minorHAnsi" w:cs="Calibri"/>
          <w:sz w:val="22"/>
          <w:szCs w:val="22"/>
        </w:rPr>
        <w:t xml:space="preserve"> the rights of refugees in </w:t>
      </w:r>
      <w:proofErr w:type="spellStart"/>
      <w:r w:rsidR="001369E7" w:rsidRPr="004427CF">
        <w:rPr>
          <w:rFonts w:asciiTheme="minorHAnsi" w:hAnsiTheme="minorHAnsi" w:cs="Calibri"/>
          <w:sz w:val="22"/>
          <w:szCs w:val="22"/>
        </w:rPr>
        <w:t>Frontex</w:t>
      </w:r>
      <w:proofErr w:type="spellEnd"/>
      <w:r w:rsidR="001369E7" w:rsidRPr="004427CF">
        <w:rPr>
          <w:rFonts w:asciiTheme="minorHAnsi" w:hAnsiTheme="minorHAnsi" w:cs="Calibri"/>
          <w:sz w:val="22"/>
          <w:szCs w:val="22"/>
        </w:rPr>
        <w:t xml:space="preserve"> operations, created a legal basis in EU law in accordance with international maritime law for searching and intercepting vessels, and provided modalities for disembarking intercepted or rescued persons.</w:t>
      </w:r>
    </w:p>
    <w:p w:rsidR="001369E7" w:rsidRPr="004427CF" w:rsidRDefault="001369E7" w:rsidP="00B80CBE">
      <w:pPr>
        <w:spacing w:line="276" w:lineRule="auto"/>
        <w:ind w:firstLine="720"/>
        <w:jc w:val="both"/>
        <w:rPr>
          <w:rFonts w:asciiTheme="minorHAnsi" w:hAnsiTheme="minorHAnsi"/>
          <w:sz w:val="22"/>
          <w:szCs w:val="22"/>
        </w:rPr>
      </w:pPr>
      <w:r w:rsidRPr="004427CF">
        <w:rPr>
          <w:rFonts w:asciiTheme="minorHAnsi" w:hAnsiTheme="minorHAnsi" w:cs="Calibri"/>
          <w:sz w:val="22"/>
          <w:szCs w:val="22"/>
        </w:rPr>
        <w:t>The draft failed</w:t>
      </w:r>
      <w:r w:rsidR="008E449F" w:rsidRPr="004427CF">
        <w:rPr>
          <w:rFonts w:asciiTheme="minorHAnsi" w:hAnsiTheme="minorHAnsi" w:cs="Calibri"/>
          <w:sz w:val="22"/>
          <w:szCs w:val="22"/>
        </w:rPr>
        <w:t>, however,</w:t>
      </w:r>
      <w:r w:rsidRPr="004427CF">
        <w:rPr>
          <w:rFonts w:asciiTheme="minorHAnsi" w:hAnsiTheme="minorHAnsi" w:cs="Calibri"/>
          <w:sz w:val="22"/>
          <w:szCs w:val="22"/>
        </w:rPr>
        <w:t xml:space="preserve"> to acquire the requisite support in the Schengen Borders Code Committee, but was nevertheless forwarded to Parliament and the Council </w:t>
      </w:r>
      <w:r w:rsidR="00EC0254" w:rsidRPr="004427CF">
        <w:rPr>
          <w:rFonts w:asciiTheme="minorHAnsi" w:hAnsiTheme="minorHAnsi" w:cs="Calibri"/>
          <w:sz w:val="22"/>
          <w:szCs w:val="22"/>
        </w:rPr>
        <w:t>in</w:t>
      </w:r>
      <w:r w:rsidRPr="004427CF">
        <w:rPr>
          <w:rFonts w:asciiTheme="minorHAnsi" w:hAnsiTheme="minorHAnsi" w:cs="Calibri"/>
          <w:sz w:val="22"/>
          <w:szCs w:val="22"/>
        </w:rPr>
        <w:t xml:space="preserve"> November 2009</w:t>
      </w:r>
      <w:r w:rsidRPr="004427CF">
        <w:rPr>
          <w:rFonts w:asciiTheme="minorHAnsi" w:hAnsiTheme="minorHAnsi"/>
          <w:sz w:val="22"/>
          <w:szCs w:val="22"/>
        </w:rPr>
        <w:t>.</w:t>
      </w:r>
      <w:r w:rsidRPr="004427CF">
        <w:rPr>
          <w:rStyle w:val="Footnoteanchor"/>
          <w:rFonts w:asciiTheme="minorHAnsi" w:hAnsiTheme="minorHAnsi"/>
          <w:sz w:val="22"/>
          <w:szCs w:val="22"/>
        </w:rPr>
        <w:footnoteReference w:id="13"/>
      </w:r>
      <w:r w:rsidR="008E449F" w:rsidRPr="004427CF">
        <w:rPr>
          <w:rFonts w:asciiTheme="minorHAnsi" w:hAnsiTheme="minorHAnsi"/>
          <w:sz w:val="22"/>
          <w:szCs w:val="22"/>
        </w:rPr>
        <w:t xml:space="preserve"> Although</w:t>
      </w:r>
      <w:r w:rsidRPr="004427CF">
        <w:rPr>
          <w:rFonts w:asciiTheme="minorHAnsi" w:hAnsiTheme="minorHAnsi" w:cs="Calibri"/>
          <w:sz w:val="22"/>
          <w:szCs w:val="22"/>
        </w:rPr>
        <w:t xml:space="preserve"> Parliament </w:t>
      </w:r>
      <w:r w:rsidR="008E449F" w:rsidRPr="004427CF">
        <w:rPr>
          <w:rFonts w:asciiTheme="minorHAnsi" w:hAnsiTheme="minorHAnsi" w:cs="Calibri"/>
          <w:sz w:val="22"/>
          <w:szCs w:val="22"/>
        </w:rPr>
        <w:t xml:space="preserve">voted in majority against the draft decision, </w:t>
      </w:r>
      <w:r w:rsidRPr="004427CF">
        <w:rPr>
          <w:rFonts w:asciiTheme="minorHAnsi" w:hAnsiTheme="minorHAnsi" w:cs="Arial"/>
          <w:sz w:val="22"/>
          <w:szCs w:val="22"/>
        </w:rPr>
        <w:t xml:space="preserve">it did not muster the absolute </w:t>
      </w:r>
      <w:r w:rsidRPr="004427CF">
        <w:rPr>
          <w:rFonts w:asciiTheme="minorHAnsi" w:hAnsiTheme="minorHAnsi" w:cs="Arial"/>
          <w:sz w:val="22"/>
          <w:szCs w:val="22"/>
        </w:rPr>
        <w:lastRenderedPageBreak/>
        <w:t xml:space="preserve">majority required for </w:t>
      </w:r>
      <w:r w:rsidR="008E449F" w:rsidRPr="004427CF">
        <w:rPr>
          <w:rFonts w:asciiTheme="minorHAnsi" w:hAnsiTheme="minorHAnsi" w:cs="Arial"/>
          <w:sz w:val="22"/>
          <w:szCs w:val="22"/>
        </w:rPr>
        <w:t>vetoing it</w:t>
      </w:r>
      <w:r w:rsidRPr="004427CF">
        <w:rPr>
          <w:rFonts w:asciiTheme="minorHAnsi" w:hAnsiTheme="minorHAnsi" w:cs="Arial"/>
          <w:sz w:val="22"/>
          <w:szCs w:val="22"/>
        </w:rPr>
        <w:t>.</w:t>
      </w:r>
      <w:r w:rsidRPr="004427CF">
        <w:rPr>
          <w:rStyle w:val="Footnoteanchor"/>
          <w:rFonts w:asciiTheme="minorHAnsi" w:hAnsiTheme="minorHAnsi"/>
          <w:sz w:val="22"/>
          <w:szCs w:val="22"/>
        </w:rPr>
        <w:footnoteReference w:id="14"/>
      </w:r>
      <w:r w:rsidRPr="004427CF">
        <w:rPr>
          <w:rFonts w:asciiTheme="minorHAnsi" w:hAnsiTheme="minorHAnsi"/>
          <w:sz w:val="22"/>
          <w:szCs w:val="22"/>
        </w:rPr>
        <w:t xml:space="preserve"> The Council, as the body charged with implementing the Schengen Border Code, subsequently adopted the proposal </w:t>
      </w:r>
      <w:r w:rsidR="00EC0254" w:rsidRPr="004427CF">
        <w:rPr>
          <w:rFonts w:asciiTheme="minorHAnsi" w:hAnsiTheme="minorHAnsi"/>
          <w:sz w:val="22"/>
          <w:szCs w:val="22"/>
        </w:rPr>
        <w:t>in</w:t>
      </w:r>
      <w:r w:rsidRPr="004427CF">
        <w:rPr>
          <w:rFonts w:asciiTheme="minorHAnsi" w:hAnsiTheme="minorHAnsi"/>
          <w:sz w:val="22"/>
          <w:szCs w:val="22"/>
        </w:rPr>
        <w:t xml:space="preserve"> April 2010 with some amendments. The most pertinent one was that it divided the decision into binding rules on interception and non-binding guidelines on search and rescue situations and disembarkation.</w:t>
      </w:r>
    </w:p>
    <w:p w:rsidR="008E449F" w:rsidRPr="004427CF" w:rsidRDefault="001369E7" w:rsidP="00B80CBE">
      <w:pPr>
        <w:spacing w:line="276" w:lineRule="auto"/>
        <w:ind w:firstLine="720"/>
        <w:rPr>
          <w:rFonts w:asciiTheme="minorHAnsi" w:hAnsiTheme="minorHAnsi"/>
          <w:sz w:val="22"/>
          <w:szCs w:val="22"/>
        </w:rPr>
      </w:pPr>
      <w:r w:rsidRPr="004427CF">
        <w:rPr>
          <w:rFonts w:asciiTheme="minorHAnsi" w:hAnsiTheme="minorHAnsi"/>
          <w:sz w:val="22"/>
          <w:szCs w:val="22"/>
        </w:rPr>
        <w:t>Upon unanimous request of Parliament’s</w:t>
      </w:r>
      <w:r w:rsidR="008737F1" w:rsidRPr="004427CF">
        <w:rPr>
          <w:rFonts w:asciiTheme="minorHAnsi" w:hAnsiTheme="minorHAnsi"/>
          <w:sz w:val="22"/>
          <w:szCs w:val="22"/>
        </w:rPr>
        <w:t xml:space="preserve"> Committee on Civil Liberties, Justice and Home Affairs (LIBE), however</w:t>
      </w:r>
      <w:r w:rsidRPr="004427CF">
        <w:rPr>
          <w:rFonts w:asciiTheme="minorHAnsi" w:hAnsiTheme="minorHAnsi"/>
          <w:sz w:val="22"/>
          <w:szCs w:val="22"/>
        </w:rPr>
        <w:t xml:space="preserve">, the President of Parliament decided to bring an action for annulment of the decision before the Court </w:t>
      </w:r>
      <w:r w:rsidR="00EC0254" w:rsidRPr="004427CF">
        <w:rPr>
          <w:rFonts w:asciiTheme="minorHAnsi" w:hAnsiTheme="minorHAnsi"/>
          <w:sz w:val="22"/>
          <w:szCs w:val="22"/>
        </w:rPr>
        <w:t>of Justice</w:t>
      </w:r>
      <w:r w:rsidRPr="004427CF">
        <w:rPr>
          <w:rFonts w:asciiTheme="minorHAnsi" w:hAnsiTheme="minorHAnsi"/>
          <w:sz w:val="22"/>
          <w:szCs w:val="22"/>
        </w:rPr>
        <w:t>.</w:t>
      </w:r>
      <w:r w:rsidR="00EC0254" w:rsidRPr="004427CF">
        <w:rPr>
          <w:rFonts w:asciiTheme="minorHAnsi" w:hAnsiTheme="minorHAnsi"/>
          <w:sz w:val="22"/>
          <w:szCs w:val="22"/>
        </w:rPr>
        <w:t xml:space="preserve"> The Court annulled the</w:t>
      </w:r>
      <w:r w:rsidR="00CC76CA" w:rsidRPr="004427CF">
        <w:rPr>
          <w:rFonts w:asciiTheme="minorHAnsi" w:hAnsiTheme="minorHAnsi"/>
          <w:sz w:val="22"/>
          <w:szCs w:val="22"/>
        </w:rPr>
        <w:t xml:space="preserve"> decision, because it contained decisions affecting fundamental rights in an essential manner which go beyond the scope of ‘additional measures’, and only the EU legislature is entitled to adopt such a decision.</w:t>
      </w:r>
      <w:r w:rsidR="00CC76CA" w:rsidRPr="004427CF">
        <w:rPr>
          <w:rStyle w:val="FootnoteReference"/>
          <w:rFonts w:asciiTheme="minorHAnsi" w:hAnsiTheme="minorHAnsi"/>
          <w:sz w:val="22"/>
          <w:szCs w:val="22"/>
        </w:rPr>
        <w:footnoteReference w:id="15"/>
      </w:r>
      <w:r w:rsidR="00CC76CA" w:rsidRPr="004427CF">
        <w:rPr>
          <w:rFonts w:asciiTheme="minorHAnsi" w:hAnsiTheme="minorHAnsi"/>
          <w:sz w:val="22"/>
          <w:szCs w:val="22"/>
        </w:rPr>
        <w:t xml:space="preserve"> </w:t>
      </w:r>
      <w:r w:rsidRPr="004427CF">
        <w:rPr>
          <w:rFonts w:asciiTheme="minorHAnsi" w:hAnsiTheme="minorHAnsi"/>
          <w:sz w:val="22"/>
          <w:szCs w:val="22"/>
        </w:rPr>
        <w:t xml:space="preserve"> </w:t>
      </w:r>
    </w:p>
    <w:p w:rsidR="00CC76CA" w:rsidRPr="004427CF" w:rsidRDefault="00CC76CA"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The Court’s ruling initiated renewed negotiations, this time under the ordinary legislative procedure with the full involvement of the European Parliament. The adopted text lays down detailed rules on the detection of vessels carrying irregular migrants, interception in the territorial sea, interception on the high seas, interception in the contiguous zone, search and rescue situations and disembarkation. The Regulation addresses a number of gaps that were present in the annulled Council Decision in the sphere of human rights, saving lives at sea and ensuring accountability. It makes duties of participating member States in search and rescue situations binding, it contains a detailed provision on ensuring refugee rights and observing the principle of non-</w:t>
      </w:r>
      <w:proofErr w:type="spellStart"/>
      <w:r w:rsidRPr="004427CF">
        <w:rPr>
          <w:rFonts w:asciiTheme="minorHAnsi" w:hAnsiTheme="minorHAnsi"/>
          <w:bCs/>
          <w:sz w:val="22"/>
          <w:szCs w:val="22"/>
        </w:rPr>
        <w:t>refoulement</w:t>
      </w:r>
      <w:proofErr w:type="spellEnd"/>
      <w:r w:rsidRPr="004427CF">
        <w:rPr>
          <w:rFonts w:asciiTheme="minorHAnsi" w:hAnsiTheme="minorHAnsi"/>
          <w:bCs/>
          <w:sz w:val="22"/>
          <w:szCs w:val="22"/>
        </w:rPr>
        <w:t xml:space="preserve">, and it circumscribes obligations in the sphere of incident reporting and the manner in which </w:t>
      </w:r>
      <w:proofErr w:type="spellStart"/>
      <w:r w:rsidRPr="004427CF">
        <w:rPr>
          <w:rFonts w:asciiTheme="minorHAnsi" w:hAnsiTheme="minorHAnsi"/>
          <w:bCs/>
          <w:sz w:val="22"/>
          <w:szCs w:val="22"/>
        </w:rPr>
        <w:t>Frontex</w:t>
      </w:r>
      <w:proofErr w:type="spellEnd"/>
      <w:r w:rsidRPr="004427CF">
        <w:rPr>
          <w:rFonts w:asciiTheme="minorHAnsi" w:hAnsiTheme="minorHAnsi"/>
          <w:bCs/>
          <w:sz w:val="22"/>
          <w:szCs w:val="22"/>
        </w:rPr>
        <w:t xml:space="preserve"> draws up operational plans together with the Member State hosting the operation. It further lays down a solidarity mechanism in case a Member State faces a situation of ‘urgent and exceptional pressure at its external border’. Compared to the annulled Council Decision, the Regulation is certainly more balanced and encompassing. This can be attributed, firstly, to the co-legislative role of the European Parliament, which strived especially to</w:t>
      </w:r>
      <w:r w:rsidR="008737F1" w:rsidRPr="004427CF">
        <w:rPr>
          <w:rFonts w:asciiTheme="minorHAnsi" w:hAnsiTheme="minorHAnsi"/>
          <w:bCs/>
          <w:sz w:val="22"/>
          <w:szCs w:val="22"/>
        </w:rPr>
        <w:t xml:space="preserve"> make some human rights guarantees explicit;</w:t>
      </w:r>
      <w:r w:rsidRPr="004427CF">
        <w:rPr>
          <w:rFonts w:asciiTheme="minorHAnsi" w:hAnsiTheme="minorHAnsi"/>
          <w:bCs/>
          <w:sz w:val="22"/>
          <w:szCs w:val="22"/>
        </w:rPr>
        <w:t xml:space="preserve"> secondly, to the </w:t>
      </w:r>
      <w:proofErr w:type="spellStart"/>
      <w:r w:rsidRPr="004427CF">
        <w:rPr>
          <w:rFonts w:asciiTheme="minorHAnsi" w:hAnsiTheme="minorHAnsi"/>
          <w:bCs/>
          <w:i/>
          <w:sz w:val="22"/>
          <w:szCs w:val="22"/>
        </w:rPr>
        <w:t>Hirsi</w:t>
      </w:r>
      <w:proofErr w:type="spellEnd"/>
      <w:r w:rsidRPr="004427CF">
        <w:rPr>
          <w:rFonts w:asciiTheme="minorHAnsi" w:hAnsiTheme="minorHAnsi"/>
          <w:bCs/>
          <w:i/>
          <w:sz w:val="22"/>
          <w:szCs w:val="22"/>
        </w:rPr>
        <w:t xml:space="preserve"> </w:t>
      </w:r>
      <w:r w:rsidRPr="004427CF">
        <w:rPr>
          <w:rFonts w:asciiTheme="minorHAnsi" w:hAnsiTheme="minorHAnsi"/>
          <w:bCs/>
          <w:sz w:val="22"/>
          <w:szCs w:val="22"/>
        </w:rPr>
        <w:t>judgment of the E</w:t>
      </w:r>
      <w:r w:rsidR="008737F1" w:rsidRPr="004427CF">
        <w:rPr>
          <w:rFonts w:asciiTheme="minorHAnsi" w:hAnsiTheme="minorHAnsi"/>
          <w:bCs/>
          <w:sz w:val="22"/>
          <w:szCs w:val="22"/>
        </w:rPr>
        <w:t xml:space="preserve">uropean </w:t>
      </w:r>
      <w:r w:rsidRPr="004427CF">
        <w:rPr>
          <w:rFonts w:asciiTheme="minorHAnsi" w:hAnsiTheme="minorHAnsi"/>
          <w:bCs/>
          <w:sz w:val="22"/>
          <w:szCs w:val="22"/>
        </w:rPr>
        <w:t>C</w:t>
      </w:r>
      <w:r w:rsidR="008737F1" w:rsidRPr="004427CF">
        <w:rPr>
          <w:rFonts w:asciiTheme="minorHAnsi" w:hAnsiTheme="minorHAnsi"/>
          <w:bCs/>
          <w:sz w:val="22"/>
          <w:szCs w:val="22"/>
        </w:rPr>
        <w:t>our</w:t>
      </w:r>
      <w:r w:rsidRPr="004427CF">
        <w:rPr>
          <w:rFonts w:asciiTheme="minorHAnsi" w:hAnsiTheme="minorHAnsi"/>
          <w:bCs/>
          <w:sz w:val="22"/>
          <w:szCs w:val="22"/>
        </w:rPr>
        <w:t>t</w:t>
      </w:r>
      <w:r w:rsidR="008737F1" w:rsidRPr="004427CF">
        <w:rPr>
          <w:rFonts w:asciiTheme="minorHAnsi" w:hAnsiTheme="minorHAnsi"/>
          <w:bCs/>
          <w:sz w:val="22"/>
          <w:szCs w:val="22"/>
        </w:rPr>
        <w:t xml:space="preserve"> of </w:t>
      </w:r>
      <w:r w:rsidRPr="004427CF">
        <w:rPr>
          <w:rFonts w:asciiTheme="minorHAnsi" w:hAnsiTheme="minorHAnsi"/>
          <w:bCs/>
          <w:sz w:val="22"/>
          <w:szCs w:val="22"/>
        </w:rPr>
        <w:t>H</w:t>
      </w:r>
      <w:r w:rsidR="008737F1" w:rsidRPr="004427CF">
        <w:rPr>
          <w:rFonts w:asciiTheme="minorHAnsi" w:hAnsiTheme="minorHAnsi"/>
          <w:bCs/>
          <w:sz w:val="22"/>
          <w:szCs w:val="22"/>
        </w:rPr>
        <w:t xml:space="preserve">uman </w:t>
      </w:r>
      <w:r w:rsidRPr="004427CF">
        <w:rPr>
          <w:rFonts w:asciiTheme="minorHAnsi" w:hAnsiTheme="minorHAnsi"/>
          <w:bCs/>
          <w:sz w:val="22"/>
          <w:szCs w:val="22"/>
        </w:rPr>
        <w:t>R</w:t>
      </w:r>
      <w:r w:rsidR="008737F1" w:rsidRPr="004427CF">
        <w:rPr>
          <w:rFonts w:asciiTheme="minorHAnsi" w:hAnsiTheme="minorHAnsi"/>
          <w:bCs/>
          <w:sz w:val="22"/>
          <w:szCs w:val="22"/>
        </w:rPr>
        <w:t>ights</w:t>
      </w:r>
      <w:r w:rsidRPr="004427CF">
        <w:rPr>
          <w:rFonts w:asciiTheme="minorHAnsi" w:hAnsiTheme="minorHAnsi"/>
          <w:bCs/>
          <w:sz w:val="22"/>
          <w:szCs w:val="22"/>
        </w:rPr>
        <w:t xml:space="preserve"> of </w:t>
      </w:r>
      <w:r w:rsidR="008737F1" w:rsidRPr="004427CF">
        <w:rPr>
          <w:rFonts w:asciiTheme="minorHAnsi" w:hAnsiTheme="minorHAnsi" w:cs="Arial"/>
          <w:sz w:val="22"/>
          <w:szCs w:val="22"/>
          <w:shd w:val="clear" w:color="auto" w:fill="FFFFFF"/>
        </w:rPr>
        <w:t>23 February 2012</w:t>
      </w:r>
      <w:r w:rsidR="008737F1" w:rsidRPr="004427CF">
        <w:rPr>
          <w:rStyle w:val="FootnoteReference"/>
          <w:rFonts w:asciiTheme="minorHAnsi" w:hAnsiTheme="minorHAnsi" w:cs="Arial"/>
          <w:sz w:val="22"/>
          <w:szCs w:val="22"/>
          <w:shd w:val="clear" w:color="auto" w:fill="FFFFFF"/>
        </w:rPr>
        <w:footnoteReference w:id="16"/>
      </w:r>
      <w:r w:rsidR="0011394B" w:rsidRPr="004427CF">
        <w:rPr>
          <w:rFonts w:asciiTheme="minorHAnsi" w:hAnsiTheme="minorHAnsi"/>
          <w:bCs/>
          <w:sz w:val="22"/>
          <w:szCs w:val="22"/>
        </w:rPr>
        <w:t>, which clarified the human rights framework applicable to interceptions of migrants at sea</w:t>
      </w:r>
      <w:r w:rsidRPr="004427CF">
        <w:rPr>
          <w:rFonts w:asciiTheme="minorHAnsi" w:hAnsiTheme="minorHAnsi"/>
          <w:bCs/>
          <w:sz w:val="22"/>
          <w:szCs w:val="22"/>
        </w:rPr>
        <w:t xml:space="preserve">; and thirdly, to the </w:t>
      </w:r>
      <w:proofErr w:type="spellStart"/>
      <w:r w:rsidRPr="004427CF">
        <w:rPr>
          <w:rFonts w:asciiTheme="minorHAnsi" w:hAnsiTheme="minorHAnsi"/>
          <w:bCs/>
          <w:sz w:val="22"/>
          <w:szCs w:val="22"/>
        </w:rPr>
        <w:t>Lampedusa</w:t>
      </w:r>
      <w:proofErr w:type="spellEnd"/>
      <w:r w:rsidRPr="004427CF">
        <w:rPr>
          <w:rFonts w:asciiTheme="minorHAnsi" w:hAnsiTheme="minorHAnsi"/>
          <w:bCs/>
          <w:sz w:val="22"/>
          <w:szCs w:val="22"/>
        </w:rPr>
        <w:t xml:space="preserve"> migrant shipwreck of October 2013</w:t>
      </w:r>
      <w:r w:rsidR="008737F1" w:rsidRPr="004427CF">
        <w:rPr>
          <w:rStyle w:val="FootnoteReference"/>
          <w:rFonts w:asciiTheme="minorHAnsi" w:hAnsiTheme="minorHAnsi"/>
          <w:bCs/>
          <w:sz w:val="22"/>
          <w:szCs w:val="22"/>
        </w:rPr>
        <w:footnoteReference w:id="17"/>
      </w:r>
      <w:r w:rsidRPr="004427CF">
        <w:rPr>
          <w:rFonts w:asciiTheme="minorHAnsi" w:hAnsiTheme="minorHAnsi"/>
          <w:bCs/>
          <w:sz w:val="22"/>
          <w:szCs w:val="22"/>
        </w:rPr>
        <w:t xml:space="preserve">, which stirred widespread outcry and calls for deeper EU involvement and enhanced solidarity between Member States. Yet, it is also evident from its text as well as from the negotiations both in the Council and between the Council and the European Parliament, that the Regulation avoids the political hot potatoes as much as possible. </w:t>
      </w:r>
    </w:p>
    <w:p w:rsidR="008E449F" w:rsidRPr="004427CF" w:rsidRDefault="008E449F" w:rsidP="00B80CBE">
      <w:pPr>
        <w:spacing w:line="276" w:lineRule="auto"/>
        <w:ind w:firstLine="720"/>
        <w:rPr>
          <w:rFonts w:asciiTheme="minorHAnsi" w:hAnsiTheme="minorHAnsi"/>
          <w:sz w:val="22"/>
          <w:szCs w:val="22"/>
        </w:rPr>
      </w:pPr>
    </w:p>
    <w:p w:rsidR="007F1C3F" w:rsidRPr="004427CF" w:rsidRDefault="007F1C3F" w:rsidP="00B80CBE">
      <w:pPr>
        <w:spacing w:line="276" w:lineRule="auto"/>
        <w:rPr>
          <w:rFonts w:asciiTheme="minorHAnsi" w:hAnsiTheme="minorHAnsi"/>
          <w:b/>
          <w:bCs/>
          <w:sz w:val="22"/>
          <w:szCs w:val="22"/>
        </w:rPr>
      </w:pPr>
    </w:p>
    <w:p w:rsidR="00EC0398" w:rsidRPr="004427CF" w:rsidRDefault="00EC0398" w:rsidP="00B80CBE">
      <w:pPr>
        <w:spacing w:line="276" w:lineRule="auto"/>
        <w:rPr>
          <w:rFonts w:asciiTheme="minorHAnsi" w:hAnsiTheme="minorHAnsi"/>
          <w:b/>
          <w:bCs/>
          <w:sz w:val="22"/>
          <w:szCs w:val="22"/>
        </w:rPr>
      </w:pPr>
      <w:r w:rsidRPr="004427CF">
        <w:rPr>
          <w:rFonts w:asciiTheme="minorHAnsi" w:hAnsiTheme="minorHAnsi"/>
          <w:b/>
          <w:bCs/>
          <w:sz w:val="22"/>
          <w:szCs w:val="22"/>
        </w:rPr>
        <w:t>3. Refugee rights</w:t>
      </w:r>
      <w:r w:rsidR="004409F1" w:rsidRPr="004427CF">
        <w:rPr>
          <w:rFonts w:asciiTheme="minorHAnsi" w:hAnsiTheme="minorHAnsi"/>
          <w:b/>
          <w:bCs/>
          <w:sz w:val="22"/>
          <w:szCs w:val="22"/>
        </w:rPr>
        <w:t xml:space="preserve"> and immigration deterrence</w:t>
      </w:r>
    </w:p>
    <w:p w:rsidR="00EC0398" w:rsidRPr="004427CF" w:rsidRDefault="00EC0398" w:rsidP="00B80CBE">
      <w:pPr>
        <w:spacing w:line="276" w:lineRule="auto"/>
        <w:rPr>
          <w:rFonts w:asciiTheme="minorHAnsi" w:hAnsiTheme="minorHAnsi"/>
          <w:b/>
          <w:bCs/>
          <w:sz w:val="22"/>
          <w:szCs w:val="22"/>
        </w:rPr>
      </w:pPr>
    </w:p>
    <w:p w:rsidR="008D3D4F" w:rsidRPr="004427CF" w:rsidRDefault="007F1C3F" w:rsidP="00B80CBE">
      <w:pPr>
        <w:spacing w:line="276" w:lineRule="auto"/>
        <w:rPr>
          <w:rFonts w:asciiTheme="minorHAnsi" w:hAnsiTheme="minorHAnsi"/>
          <w:bCs/>
          <w:sz w:val="22"/>
          <w:szCs w:val="22"/>
        </w:rPr>
      </w:pPr>
      <w:r w:rsidRPr="004427CF">
        <w:rPr>
          <w:rFonts w:asciiTheme="minorHAnsi" w:hAnsiTheme="minorHAnsi"/>
          <w:bCs/>
          <w:sz w:val="22"/>
          <w:szCs w:val="22"/>
        </w:rPr>
        <w:t xml:space="preserve">One such hot potato </w:t>
      </w:r>
      <w:r w:rsidR="0011394B" w:rsidRPr="004427CF">
        <w:rPr>
          <w:rFonts w:asciiTheme="minorHAnsi" w:hAnsiTheme="minorHAnsi"/>
          <w:bCs/>
          <w:sz w:val="22"/>
          <w:szCs w:val="22"/>
        </w:rPr>
        <w:t>is the</w:t>
      </w:r>
      <w:r w:rsidRPr="004427CF">
        <w:rPr>
          <w:rFonts w:asciiTheme="minorHAnsi" w:hAnsiTheme="minorHAnsi"/>
          <w:bCs/>
          <w:sz w:val="22"/>
          <w:szCs w:val="22"/>
        </w:rPr>
        <w:t xml:space="preserve"> </w:t>
      </w:r>
      <w:r w:rsidR="007B0F79" w:rsidRPr="004427CF">
        <w:rPr>
          <w:rFonts w:asciiTheme="minorHAnsi" w:hAnsiTheme="minorHAnsi"/>
          <w:bCs/>
          <w:sz w:val="22"/>
          <w:szCs w:val="22"/>
        </w:rPr>
        <w:t>reconcili</w:t>
      </w:r>
      <w:r w:rsidR="0011394B" w:rsidRPr="004427CF">
        <w:rPr>
          <w:rFonts w:asciiTheme="minorHAnsi" w:hAnsiTheme="minorHAnsi"/>
          <w:bCs/>
          <w:sz w:val="22"/>
          <w:szCs w:val="22"/>
        </w:rPr>
        <w:t>ation of</w:t>
      </w:r>
      <w:r w:rsidRPr="004427CF">
        <w:rPr>
          <w:rFonts w:asciiTheme="minorHAnsi" w:hAnsiTheme="minorHAnsi"/>
          <w:bCs/>
          <w:sz w:val="22"/>
          <w:szCs w:val="22"/>
        </w:rPr>
        <w:t xml:space="preserve"> </w:t>
      </w:r>
      <w:r w:rsidR="007B0F79" w:rsidRPr="004427CF">
        <w:rPr>
          <w:rFonts w:asciiTheme="minorHAnsi" w:hAnsiTheme="minorHAnsi"/>
          <w:bCs/>
          <w:sz w:val="22"/>
          <w:szCs w:val="22"/>
        </w:rPr>
        <w:t>the</w:t>
      </w:r>
      <w:r w:rsidR="00BD29C3" w:rsidRPr="004427CF">
        <w:rPr>
          <w:rFonts w:asciiTheme="minorHAnsi" w:hAnsiTheme="minorHAnsi"/>
          <w:bCs/>
          <w:sz w:val="22"/>
          <w:szCs w:val="22"/>
        </w:rPr>
        <w:t xml:space="preserve"> </w:t>
      </w:r>
      <w:r w:rsidR="007B0F79" w:rsidRPr="004427CF">
        <w:rPr>
          <w:rFonts w:asciiTheme="minorHAnsi" w:hAnsiTheme="minorHAnsi"/>
          <w:bCs/>
          <w:sz w:val="22"/>
          <w:szCs w:val="22"/>
        </w:rPr>
        <w:t xml:space="preserve">aims of respecting </w:t>
      </w:r>
      <w:r w:rsidR="00EC0398" w:rsidRPr="004427CF">
        <w:rPr>
          <w:rFonts w:asciiTheme="minorHAnsi" w:hAnsiTheme="minorHAnsi"/>
          <w:bCs/>
          <w:sz w:val="22"/>
          <w:szCs w:val="22"/>
        </w:rPr>
        <w:t>refugee rights</w:t>
      </w:r>
      <w:r w:rsidR="004409F1" w:rsidRPr="004427CF">
        <w:rPr>
          <w:rFonts w:asciiTheme="minorHAnsi" w:hAnsiTheme="minorHAnsi"/>
          <w:bCs/>
          <w:sz w:val="22"/>
          <w:szCs w:val="22"/>
        </w:rPr>
        <w:t xml:space="preserve"> </w:t>
      </w:r>
      <w:r w:rsidR="007B0F79" w:rsidRPr="004427CF">
        <w:rPr>
          <w:rFonts w:asciiTheme="minorHAnsi" w:hAnsiTheme="minorHAnsi"/>
          <w:bCs/>
          <w:sz w:val="22"/>
          <w:szCs w:val="22"/>
        </w:rPr>
        <w:t xml:space="preserve">and </w:t>
      </w:r>
      <w:r w:rsidR="00EC0398" w:rsidRPr="004427CF">
        <w:rPr>
          <w:rFonts w:asciiTheme="minorHAnsi" w:hAnsiTheme="minorHAnsi"/>
          <w:bCs/>
          <w:sz w:val="22"/>
          <w:szCs w:val="22"/>
        </w:rPr>
        <w:t>immigration</w:t>
      </w:r>
      <w:r w:rsidR="007B0F79" w:rsidRPr="004427CF">
        <w:rPr>
          <w:rFonts w:asciiTheme="minorHAnsi" w:hAnsiTheme="minorHAnsi"/>
          <w:bCs/>
          <w:sz w:val="22"/>
          <w:szCs w:val="22"/>
        </w:rPr>
        <w:t xml:space="preserve"> deterrence</w:t>
      </w:r>
      <w:r w:rsidR="00EC0398" w:rsidRPr="004427CF">
        <w:rPr>
          <w:rFonts w:asciiTheme="minorHAnsi" w:hAnsiTheme="minorHAnsi"/>
          <w:bCs/>
          <w:sz w:val="22"/>
          <w:szCs w:val="22"/>
        </w:rPr>
        <w:t>.</w:t>
      </w:r>
      <w:r w:rsidR="007B0F79" w:rsidRPr="004427CF">
        <w:rPr>
          <w:rFonts w:asciiTheme="minorHAnsi" w:hAnsiTheme="minorHAnsi"/>
          <w:bCs/>
          <w:sz w:val="22"/>
          <w:szCs w:val="22"/>
        </w:rPr>
        <w:t xml:space="preserve"> </w:t>
      </w:r>
      <w:r w:rsidR="008D3D4F" w:rsidRPr="004427CF">
        <w:rPr>
          <w:rFonts w:asciiTheme="minorHAnsi" w:hAnsiTheme="minorHAnsi"/>
          <w:bCs/>
          <w:sz w:val="22"/>
          <w:szCs w:val="22"/>
        </w:rPr>
        <w:t xml:space="preserve">How does one deter the entrance of irregular migrants whilst guaranteeing that refugees are not returned to a country where their life </w:t>
      </w:r>
      <w:r w:rsidR="004409F1" w:rsidRPr="004427CF">
        <w:rPr>
          <w:rFonts w:asciiTheme="minorHAnsi" w:hAnsiTheme="minorHAnsi"/>
          <w:bCs/>
          <w:sz w:val="22"/>
          <w:szCs w:val="22"/>
        </w:rPr>
        <w:t xml:space="preserve">or freedom is threatened? Should one allow an intercepted (or rescued) migrant access to a refugee status determination procedure? Can one </w:t>
      </w:r>
      <w:r w:rsidR="004409F1" w:rsidRPr="004427CF">
        <w:rPr>
          <w:rFonts w:asciiTheme="minorHAnsi" w:hAnsiTheme="minorHAnsi"/>
          <w:bCs/>
          <w:sz w:val="22"/>
          <w:szCs w:val="22"/>
        </w:rPr>
        <w:lastRenderedPageBreak/>
        <w:t xml:space="preserve">make </w:t>
      </w:r>
      <w:r w:rsidR="00B24FC6" w:rsidRPr="004427CF">
        <w:rPr>
          <w:rFonts w:asciiTheme="minorHAnsi" w:hAnsiTheme="minorHAnsi"/>
          <w:bCs/>
          <w:sz w:val="22"/>
          <w:szCs w:val="22"/>
        </w:rPr>
        <w:t xml:space="preserve">an </w:t>
      </w:r>
      <w:r w:rsidR="004409F1" w:rsidRPr="004427CF">
        <w:rPr>
          <w:rFonts w:asciiTheme="minorHAnsi" w:hAnsiTheme="minorHAnsi"/>
          <w:bCs/>
          <w:sz w:val="22"/>
          <w:szCs w:val="22"/>
        </w:rPr>
        <w:t>agreement with a third country which allows for the summary return of intercepted or rescued migrants?</w:t>
      </w:r>
    </w:p>
    <w:p w:rsidR="00625214" w:rsidRPr="004427CF" w:rsidRDefault="004409F1" w:rsidP="00B80CBE">
      <w:pPr>
        <w:spacing w:line="276" w:lineRule="auto"/>
        <w:rPr>
          <w:rFonts w:asciiTheme="minorHAnsi" w:hAnsiTheme="minorHAnsi"/>
          <w:bCs/>
          <w:sz w:val="22"/>
          <w:szCs w:val="22"/>
        </w:rPr>
      </w:pPr>
      <w:r w:rsidRPr="004427CF">
        <w:rPr>
          <w:rFonts w:asciiTheme="minorHAnsi" w:hAnsiTheme="minorHAnsi"/>
          <w:bCs/>
          <w:sz w:val="22"/>
          <w:szCs w:val="22"/>
        </w:rPr>
        <w:tab/>
      </w:r>
      <w:r w:rsidR="00625214" w:rsidRPr="004427CF">
        <w:rPr>
          <w:rFonts w:asciiTheme="minorHAnsi" w:hAnsiTheme="minorHAnsi"/>
          <w:bCs/>
          <w:sz w:val="22"/>
          <w:szCs w:val="22"/>
        </w:rPr>
        <w:t>The R</w:t>
      </w:r>
      <w:r w:rsidR="0011394B" w:rsidRPr="004427CF">
        <w:rPr>
          <w:rFonts w:asciiTheme="minorHAnsi" w:hAnsiTheme="minorHAnsi"/>
          <w:bCs/>
          <w:sz w:val="22"/>
          <w:szCs w:val="22"/>
        </w:rPr>
        <w:t>e</w:t>
      </w:r>
      <w:r w:rsidR="00625214" w:rsidRPr="004427CF">
        <w:rPr>
          <w:rFonts w:asciiTheme="minorHAnsi" w:hAnsiTheme="minorHAnsi"/>
          <w:bCs/>
          <w:sz w:val="22"/>
          <w:szCs w:val="22"/>
        </w:rPr>
        <w:t>g</w:t>
      </w:r>
      <w:r w:rsidR="0011394B" w:rsidRPr="004427CF">
        <w:rPr>
          <w:rFonts w:asciiTheme="minorHAnsi" w:hAnsiTheme="minorHAnsi"/>
          <w:bCs/>
          <w:sz w:val="22"/>
          <w:szCs w:val="22"/>
        </w:rPr>
        <w:t>ulation</w:t>
      </w:r>
      <w:r w:rsidR="00625214" w:rsidRPr="004427CF">
        <w:rPr>
          <w:rFonts w:asciiTheme="minorHAnsi" w:hAnsiTheme="minorHAnsi"/>
          <w:bCs/>
          <w:sz w:val="22"/>
          <w:szCs w:val="22"/>
        </w:rPr>
        <w:t xml:space="preserve"> establishes a somewhat uneasy compromise between fundamental rights and the liberty of States to treat boat migrants outside ordinarily applicable statutory guarantees</w:t>
      </w:r>
      <w:r w:rsidR="004141EC" w:rsidRPr="004427CF">
        <w:rPr>
          <w:rFonts w:asciiTheme="minorHAnsi" w:hAnsiTheme="minorHAnsi"/>
          <w:bCs/>
          <w:sz w:val="22"/>
          <w:szCs w:val="22"/>
        </w:rPr>
        <w:t>. This resembles</w:t>
      </w:r>
      <w:r w:rsidR="00625214" w:rsidRPr="004427CF">
        <w:rPr>
          <w:rFonts w:asciiTheme="minorHAnsi" w:hAnsiTheme="minorHAnsi"/>
          <w:bCs/>
          <w:sz w:val="22"/>
          <w:szCs w:val="22"/>
        </w:rPr>
        <w:t xml:space="preserve"> strategies in Australia and the U.S.</w:t>
      </w:r>
      <w:r w:rsidR="004141EC" w:rsidRPr="004427CF">
        <w:rPr>
          <w:rFonts w:asciiTheme="minorHAnsi" w:hAnsiTheme="minorHAnsi"/>
          <w:bCs/>
          <w:sz w:val="22"/>
          <w:szCs w:val="22"/>
        </w:rPr>
        <w:t xml:space="preserve"> of creating parallel legal frameworks for migrants arriving by boat.</w:t>
      </w:r>
      <w:r w:rsidR="0011394B" w:rsidRPr="004427CF">
        <w:rPr>
          <w:rFonts w:asciiTheme="minorHAnsi" w:hAnsiTheme="minorHAnsi"/>
          <w:bCs/>
          <w:sz w:val="22"/>
          <w:szCs w:val="22"/>
        </w:rPr>
        <w:t xml:space="preserve"> </w:t>
      </w:r>
      <w:r w:rsidR="00625214" w:rsidRPr="004427CF">
        <w:rPr>
          <w:rFonts w:asciiTheme="minorHAnsi" w:hAnsiTheme="minorHAnsi"/>
          <w:bCs/>
          <w:sz w:val="22"/>
          <w:szCs w:val="22"/>
        </w:rPr>
        <w:t>Before discussing the Regulation itself, this section first makes some comparative observations on U.S., Australian and European practices concerning boat immigration.</w:t>
      </w:r>
    </w:p>
    <w:p w:rsidR="001C1B29" w:rsidRPr="004427CF" w:rsidRDefault="004409F1" w:rsidP="00B80CBE">
      <w:pPr>
        <w:spacing w:line="276" w:lineRule="auto"/>
        <w:ind w:firstLine="720"/>
        <w:rPr>
          <w:rFonts w:asciiTheme="minorHAnsi" w:eastAsia="Times New Roman" w:hAnsiTheme="minorHAnsi" w:cs="Arial"/>
          <w:sz w:val="22"/>
          <w:szCs w:val="22"/>
          <w:shd w:val="clear" w:color="auto" w:fill="FFFFFF"/>
        </w:rPr>
      </w:pPr>
      <w:r w:rsidRPr="004427CF">
        <w:rPr>
          <w:rFonts w:asciiTheme="minorHAnsi" w:hAnsiTheme="minorHAnsi"/>
          <w:bCs/>
          <w:sz w:val="22"/>
          <w:szCs w:val="22"/>
        </w:rPr>
        <w:t xml:space="preserve">It has been observed that one reason why externalized maritime border controls, i.e. controls </w:t>
      </w:r>
      <w:r w:rsidR="00C525C0" w:rsidRPr="004427CF">
        <w:rPr>
          <w:rFonts w:asciiTheme="minorHAnsi" w:hAnsiTheme="minorHAnsi"/>
          <w:bCs/>
          <w:sz w:val="22"/>
          <w:szCs w:val="22"/>
        </w:rPr>
        <w:t xml:space="preserve">away from ports or coastal areas </w:t>
      </w:r>
      <w:r w:rsidR="00625214" w:rsidRPr="004427CF">
        <w:rPr>
          <w:rFonts w:asciiTheme="minorHAnsi" w:hAnsiTheme="minorHAnsi"/>
          <w:bCs/>
          <w:sz w:val="22"/>
          <w:szCs w:val="22"/>
        </w:rPr>
        <w:t>(</w:t>
      </w:r>
      <w:r w:rsidR="00C525C0" w:rsidRPr="004427CF">
        <w:rPr>
          <w:rFonts w:asciiTheme="minorHAnsi" w:hAnsiTheme="minorHAnsi"/>
          <w:bCs/>
          <w:sz w:val="22"/>
          <w:szCs w:val="22"/>
        </w:rPr>
        <w:t>which may extend so far as the territorial waters of another country</w:t>
      </w:r>
      <w:r w:rsidR="00625214" w:rsidRPr="004427CF">
        <w:rPr>
          <w:rFonts w:asciiTheme="minorHAnsi" w:hAnsiTheme="minorHAnsi"/>
          <w:bCs/>
          <w:sz w:val="22"/>
          <w:szCs w:val="22"/>
        </w:rPr>
        <w:t>)</w:t>
      </w:r>
      <w:r w:rsidRPr="004427CF">
        <w:rPr>
          <w:rFonts w:asciiTheme="minorHAnsi" w:hAnsiTheme="minorHAnsi"/>
          <w:bCs/>
          <w:sz w:val="22"/>
          <w:szCs w:val="22"/>
        </w:rPr>
        <w:t xml:space="preserve"> are a popular instrument of immigration deterrence, is that that they </w:t>
      </w:r>
      <w:r w:rsidR="00B24FC6" w:rsidRPr="004427CF">
        <w:rPr>
          <w:rFonts w:asciiTheme="minorHAnsi" w:hAnsiTheme="minorHAnsi"/>
          <w:bCs/>
          <w:sz w:val="22"/>
          <w:szCs w:val="22"/>
        </w:rPr>
        <w:t xml:space="preserve">would </w:t>
      </w:r>
      <w:r w:rsidRPr="004427CF">
        <w:rPr>
          <w:rFonts w:asciiTheme="minorHAnsi" w:hAnsiTheme="minorHAnsi"/>
          <w:bCs/>
          <w:sz w:val="22"/>
          <w:szCs w:val="22"/>
        </w:rPr>
        <w:t>allow for circumventing ordinarily applicable obligations in the sphere of protecting refugees.</w:t>
      </w:r>
      <w:r w:rsidR="00B24FC6" w:rsidRPr="004427CF">
        <w:rPr>
          <w:rStyle w:val="FootnoteReference"/>
          <w:rFonts w:asciiTheme="minorHAnsi" w:hAnsiTheme="minorHAnsi"/>
          <w:bCs/>
          <w:sz w:val="22"/>
          <w:szCs w:val="22"/>
        </w:rPr>
        <w:footnoteReference w:id="18"/>
      </w:r>
      <w:r w:rsidRPr="004427CF">
        <w:rPr>
          <w:rFonts w:asciiTheme="minorHAnsi" w:hAnsiTheme="minorHAnsi"/>
          <w:bCs/>
          <w:sz w:val="22"/>
          <w:szCs w:val="22"/>
        </w:rPr>
        <w:t xml:space="preserve"> </w:t>
      </w:r>
      <w:r w:rsidR="00B24FC6" w:rsidRPr="004427CF">
        <w:rPr>
          <w:rFonts w:asciiTheme="minorHAnsi" w:hAnsiTheme="minorHAnsi"/>
          <w:bCs/>
          <w:sz w:val="22"/>
          <w:szCs w:val="22"/>
        </w:rPr>
        <w:t>Under the United States “Wet foot, Dry foot” policy,</w:t>
      </w:r>
      <w:r w:rsidR="0011394B" w:rsidRPr="004427CF">
        <w:rPr>
          <w:rFonts w:asciiTheme="minorHAnsi" w:hAnsiTheme="minorHAnsi"/>
          <w:bCs/>
          <w:sz w:val="22"/>
          <w:szCs w:val="22"/>
        </w:rPr>
        <w:t xml:space="preserve"> for example,</w:t>
      </w:r>
      <w:r w:rsidR="00B24FC6" w:rsidRPr="004427CF">
        <w:rPr>
          <w:rFonts w:asciiTheme="minorHAnsi" w:hAnsiTheme="minorHAnsi"/>
          <w:bCs/>
          <w:sz w:val="22"/>
          <w:szCs w:val="22"/>
        </w:rPr>
        <w:t xml:space="preserve"> </w:t>
      </w:r>
      <w:r w:rsidR="00614887" w:rsidRPr="004427CF">
        <w:rPr>
          <w:rFonts w:asciiTheme="minorHAnsi" w:hAnsiTheme="minorHAnsi"/>
          <w:bCs/>
          <w:sz w:val="22"/>
          <w:szCs w:val="22"/>
        </w:rPr>
        <w:t>a</w:t>
      </w:r>
      <w:r w:rsidR="00B24FC6" w:rsidRPr="004427CF">
        <w:rPr>
          <w:rFonts w:asciiTheme="minorHAnsi" w:hAnsiTheme="minorHAnsi"/>
          <w:bCs/>
          <w:sz w:val="22"/>
          <w:szCs w:val="22"/>
        </w:rPr>
        <w:t xml:space="preserve"> Cuban caught on the seas between the two countries is liable to being sent summarily home, while Cubans who make it to shore can invoke the provisions of the U.S. Immigration and Nationality Act and are </w:t>
      </w:r>
      <w:r w:rsidR="007814FC" w:rsidRPr="004427CF">
        <w:rPr>
          <w:rFonts w:asciiTheme="minorHAnsi" w:hAnsiTheme="minorHAnsi"/>
          <w:bCs/>
          <w:sz w:val="22"/>
          <w:szCs w:val="22"/>
        </w:rPr>
        <w:t xml:space="preserve">hence </w:t>
      </w:r>
      <w:r w:rsidR="00B24FC6" w:rsidRPr="004427CF">
        <w:rPr>
          <w:rFonts w:asciiTheme="minorHAnsi" w:hAnsiTheme="minorHAnsi"/>
          <w:bCs/>
          <w:sz w:val="22"/>
          <w:szCs w:val="22"/>
        </w:rPr>
        <w:t>subject to the ordinary immigration procedures.</w:t>
      </w:r>
      <w:r w:rsidR="00BA27AB" w:rsidRPr="004427CF">
        <w:rPr>
          <w:rStyle w:val="FootnoteReference"/>
          <w:rFonts w:asciiTheme="minorHAnsi" w:hAnsiTheme="minorHAnsi"/>
          <w:bCs/>
          <w:sz w:val="22"/>
          <w:szCs w:val="22"/>
        </w:rPr>
        <w:footnoteReference w:id="19"/>
      </w:r>
      <w:r w:rsidR="00B24FC6" w:rsidRPr="004427CF">
        <w:rPr>
          <w:rFonts w:asciiTheme="minorHAnsi" w:hAnsiTheme="minorHAnsi"/>
          <w:bCs/>
          <w:sz w:val="22"/>
          <w:szCs w:val="22"/>
        </w:rPr>
        <w:t xml:space="preserve"> The U.S. Supreme Court confirmed, in the well-known </w:t>
      </w:r>
      <w:r w:rsidR="00B24FC6" w:rsidRPr="004427CF">
        <w:rPr>
          <w:rFonts w:asciiTheme="minorHAnsi" w:hAnsiTheme="minorHAnsi"/>
          <w:bCs/>
          <w:i/>
          <w:sz w:val="22"/>
          <w:szCs w:val="22"/>
        </w:rPr>
        <w:t>Sale</w:t>
      </w:r>
      <w:r w:rsidR="00BA27AB" w:rsidRPr="004427CF">
        <w:rPr>
          <w:rFonts w:asciiTheme="minorHAnsi" w:hAnsiTheme="minorHAnsi"/>
          <w:bCs/>
          <w:i/>
          <w:sz w:val="22"/>
          <w:szCs w:val="22"/>
        </w:rPr>
        <w:t>/Haitian Centers Council</w:t>
      </w:r>
      <w:r w:rsidR="00B24FC6" w:rsidRPr="004427CF">
        <w:rPr>
          <w:rFonts w:asciiTheme="minorHAnsi" w:hAnsiTheme="minorHAnsi"/>
          <w:bCs/>
          <w:sz w:val="22"/>
          <w:szCs w:val="22"/>
        </w:rPr>
        <w:t xml:space="preserve"> case</w:t>
      </w:r>
      <w:r w:rsidR="00BA27AB" w:rsidRPr="004427CF">
        <w:rPr>
          <w:rFonts w:asciiTheme="minorHAnsi" w:hAnsiTheme="minorHAnsi"/>
          <w:bCs/>
          <w:sz w:val="22"/>
          <w:szCs w:val="22"/>
        </w:rPr>
        <w:t>, that neither the Immigration and Nationality Act</w:t>
      </w:r>
      <w:r w:rsidR="00BA27AB" w:rsidRPr="004427CF">
        <w:rPr>
          <w:rStyle w:val="FootnoteReference"/>
          <w:rFonts w:asciiTheme="minorHAnsi" w:hAnsiTheme="minorHAnsi"/>
          <w:bCs/>
          <w:sz w:val="22"/>
          <w:szCs w:val="22"/>
        </w:rPr>
        <w:t xml:space="preserve"> </w:t>
      </w:r>
      <w:r w:rsidR="00BA27AB" w:rsidRPr="004427CF">
        <w:rPr>
          <w:rFonts w:asciiTheme="minorHAnsi" w:hAnsiTheme="minorHAnsi"/>
          <w:bCs/>
          <w:sz w:val="22"/>
          <w:szCs w:val="22"/>
        </w:rPr>
        <w:t xml:space="preserve"> nor the 1951 Refugee Convention entertains obligations on the part of the U.S. authorities outside U.S. territory.</w:t>
      </w:r>
      <w:r w:rsidR="00BA27AB" w:rsidRPr="004427CF">
        <w:rPr>
          <w:rStyle w:val="FootnoteReference"/>
          <w:rFonts w:asciiTheme="minorHAnsi" w:hAnsiTheme="minorHAnsi"/>
          <w:bCs/>
          <w:sz w:val="22"/>
          <w:szCs w:val="22"/>
        </w:rPr>
        <w:footnoteReference w:id="20"/>
      </w:r>
      <w:r w:rsidR="00BA27AB" w:rsidRPr="004427CF">
        <w:rPr>
          <w:rFonts w:asciiTheme="minorHAnsi" w:hAnsiTheme="minorHAnsi"/>
          <w:bCs/>
          <w:sz w:val="22"/>
          <w:szCs w:val="22"/>
        </w:rPr>
        <w:t xml:space="preserve"> </w:t>
      </w:r>
      <w:r w:rsidR="0045471A" w:rsidRPr="004427CF">
        <w:rPr>
          <w:rFonts w:asciiTheme="minorHAnsi" w:hAnsiTheme="minorHAnsi"/>
          <w:bCs/>
          <w:sz w:val="22"/>
          <w:szCs w:val="22"/>
        </w:rPr>
        <w:t xml:space="preserve">This legal construction allows for stripping migrants of fundamental rights. In </w:t>
      </w:r>
      <w:r w:rsidR="001C1B29" w:rsidRPr="004427CF">
        <w:rPr>
          <w:rFonts w:asciiTheme="minorHAnsi" w:hAnsiTheme="minorHAnsi"/>
          <w:bCs/>
          <w:sz w:val="22"/>
          <w:szCs w:val="22"/>
        </w:rPr>
        <w:t>President</w:t>
      </w:r>
      <w:r w:rsidR="0045471A" w:rsidRPr="004427CF">
        <w:rPr>
          <w:rFonts w:asciiTheme="minorHAnsi" w:hAnsiTheme="minorHAnsi"/>
          <w:bCs/>
          <w:sz w:val="22"/>
          <w:szCs w:val="22"/>
        </w:rPr>
        <w:t>i</w:t>
      </w:r>
      <w:r w:rsidR="001C1B29" w:rsidRPr="004427CF">
        <w:rPr>
          <w:rFonts w:asciiTheme="minorHAnsi" w:hAnsiTheme="minorHAnsi"/>
          <w:bCs/>
          <w:sz w:val="22"/>
          <w:szCs w:val="22"/>
        </w:rPr>
        <w:t xml:space="preserve">al Order 12807 of </w:t>
      </w:r>
      <w:r w:rsidR="007814FC" w:rsidRPr="004427CF">
        <w:rPr>
          <w:rFonts w:asciiTheme="minorHAnsi" w:hAnsiTheme="minorHAnsi"/>
          <w:bCs/>
          <w:sz w:val="22"/>
          <w:szCs w:val="22"/>
        </w:rPr>
        <w:t xml:space="preserve">24 May </w:t>
      </w:r>
      <w:r w:rsidR="001C1B29" w:rsidRPr="004427CF">
        <w:rPr>
          <w:rFonts w:asciiTheme="minorHAnsi" w:hAnsiTheme="minorHAnsi"/>
          <w:bCs/>
          <w:sz w:val="22"/>
          <w:szCs w:val="22"/>
        </w:rPr>
        <w:t xml:space="preserve">1992, </w:t>
      </w:r>
      <w:r w:rsidR="007814FC" w:rsidRPr="004427CF">
        <w:rPr>
          <w:rFonts w:asciiTheme="minorHAnsi" w:hAnsiTheme="minorHAnsi"/>
          <w:bCs/>
          <w:sz w:val="22"/>
          <w:szCs w:val="22"/>
        </w:rPr>
        <w:t>which was adopted in response to the exodus of Haitians after the coup that ousted President Aristide,</w:t>
      </w:r>
      <w:r w:rsidR="001C1B29" w:rsidRPr="004427CF">
        <w:rPr>
          <w:rFonts w:asciiTheme="minorHAnsi" w:hAnsiTheme="minorHAnsi"/>
          <w:bCs/>
          <w:sz w:val="22"/>
          <w:szCs w:val="22"/>
        </w:rPr>
        <w:t xml:space="preserve"> the </w:t>
      </w:r>
      <w:r w:rsidR="007814FC" w:rsidRPr="004427CF">
        <w:rPr>
          <w:rFonts w:asciiTheme="minorHAnsi" w:hAnsiTheme="minorHAnsi"/>
          <w:bCs/>
          <w:sz w:val="22"/>
          <w:szCs w:val="22"/>
        </w:rPr>
        <w:t>special position</w:t>
      </w:r>
      <w:r w:rsidR="001C1B29" w:rsidRPr="004427CF">
        <w:rPr>
          <w:rFonts w:asciiTheme="minorHAnsi" w:hAnsiTheme="minorHAnsi"/>
          <w:bCs/>
          <w:sz w:val="22"/>
          <w:szCs w:val="22"/>
        </w:rPr>
        <w:t xml:space="preserve"> of refugees was noted, but only to the extent that  “</w:t>
      </w:r>
      <w:r w:rsidR="001C1B29" w:rsidRPr="004427CF">
        <w:rPr>
          <w:rFonts w:asciiTheme="minorHAnsi" w:eastAsia="Times New Roman" w:hAnsiTheme="minorHAnsi" w:cs="Arial"/>
          <w:sz w:val="22"/>
          <w:szCs w:val="22"/>
          <w:shd w:val="clear" w:color="auto" w:fill="FFFFFF"/>
        </w:rPr>
        <w:t>the Attorney General, in his unreviewable discretion, may decide that a person who is a refugee will not be returned without his consent.”</w:t>
      </w:r>
      <w:r w:rsidR="001C1B29" w:rsidRPr="004427CF">
        <w:rPr>
          <w:rStyle w:val="FootnoteReference"/>
          <w:rFonts w:asciiTheme="minorHAnsi" w:hAnsiTheme="minorHAnsi"/>
          <w:bCs/>
          <w:sz w:val="22"/>
          <w:szCs w:val="22"/>
        </w:rPr>
        <w:footnoteReference w:id="21"/>
      </w:r>
    </w:p>
    <w:p w:rsidR="00496885" w:rsidRPr="004427CF" w:rsidRDefault="001C1B29" w:rsidP="00B80CBE">
      <w:pPr>
        <w:spacing w:line="276" w:lineRule="auto"/>
        <w:rPr>
          <w:rFonts w:asciiTheme="minorHAnsi" w:hAnsiTheme="minorHAnsi" w:cs="Arial"/>
          <w:sz w:val="22"/>
          <w:szCs w:val="22"/>
        </w:rPr>
      </w:pPr>
      <w:r w:rsidRPr="004427CF">
        <w:rPr>
          <w:rFonts w:asciiTheme="minorHAnsi" w:eastAsia="Times New Roman" w:hAnsiTheme="minorHAnsi" w:cs="Arial"/>
          <w:sz w:val="22"/>
          <w:szCs w:val="22"/>
          <w:shd w:val="clear" w:color="auto" w:fill="FFFFFF"/>
        </w:rPr>
        <w:tab/>
        <w:t xml:space="preserve">Disconnecting the ordinary immigration regime from the one applying at sea also underpins </w:t>
      </w:r>
      <w:r w:rsidR="007814FC" w:rsidRPr="004427CF">
        <w:rPr>
          <w:rFonts w:asciiTheme="minorHAnsi" w:eastAsia="Times New Roman" w:hAnsiTheme="minorHAnsi" w:cs="Arial"/>
          <w:sz w:val="22"/>
          <w:szCs w:val="22"/>
          <w:shd w:val="clear" w:color="auto" w:fill="FFFFFF"/>
        </w:rPr>
        <w:t xml:space="preserve">and legitimizes </w:t>
      </w:r>
      <w:r w:rsidRPr="004427CF">
        <w:rPr>
          <w:rFonts w:asciiTheme="minorHAnsi" w:eastAsia="Times New Roman" w:hAnsiTheme="minorHAnsi" w:cs="Arial"/>
          <w:sz w:val="22"/>
          <w:szCs w:val="22"/>
          <w:shd w:val="clear" w:color="auto" w:fill="FFFFFF"/>
        </w:rPr>
        <w:t xml:space="preserve">the </w:t>
      </w:r>
      <w:proofErr w:type="spellStart"/>
      <w:r w:rsidRPr="004427CF">
        <w:rPr>
          <w:rFonts w:asciiTheme="minorHAnsi" w:eastAsia="Times New Roman" w:hAnsiTheme="minorHAnsi" w:cs="Arial"/>
          <w:sz w:val="22"/>
          <w:szCs w:val="22"/>
          <w:shd w:val="clear" w:color="auto" w:fill="FFFFFF"/>
        </w:rPr>
        <w:t>programme</w:t>
      </w:r>
      <w:proofErr w:type="spellEnd"/>
      <w:r w:rsidRPr="004427CF">
        <w:rPr>
          <w:rFonts w:asciiTheme="minorHAnsi" w:eastAsia="Times New Roman" w:hAnsiTheme="minorHAnsi" w:cs="Arial"/>
          <w:sz w:val="22"/>
          <w:szCs w:val="22"/>
          <w:shd w:val="clear" w:color="auto" w:fill="FFFFFF"/>
        </w:rPr>
        <w:t xml:space="preserve"> of offshore deterrence of present-day Australia. That </w:t>
      </w:r>
      <w:proofErr w:type="spellStart"/>
      <w:r w:rsidRPr="004427CF">
        <w:rPr>
          <w:rFonts w:asciiTheme="minorHAnsi" w:eastAsia="Times New Roman" w:hAnsiTheme="minorHAnsi" w:cs="Arial"/>
          <w:sz w:val="22"/>
          <w:szCs w:val="22"/>
          <w:shd w:val="clear" w:color="auto" w:fill="FFFFFF"/>
        </w:rPr>
        <w:t>programme</w:t>
      </w:r>
      <w:proofErr w:type="spellEnd"/>
      <w:r w:rsidRPr="004427CF">
        <w:rPr>
          <w:rFonts w:asciiTheme="minorHAnsi" w:eastAsia="Times New Roman" w:hAnsiTheme="minorHAnsi" w:cs="Arial"/>
          <w:sz w:val="22"/>
          <w:szCs w:val="22"/>
          <w:shd w:val="clear" w:color="auto" w:fill="FFFFFF"/>
        </w:rPr>
        <w:t xml:space="preserve"> is</w:t>
      </w:r>
      <w:r w:rsidR="0090086D" w:rsidRPr="004427CF">
        <w:rPr>
          <w:rFonts w:asciiTheme="minorHAnsi" w:eastAsia="Times New Roman" w:hAnsiTheme="minorHAnsi" w:cs="Arial"/>
          <w:sz w:val="22"/>
          <w:szCs w:val="22"/>
          <w:shd w:val="clear" w:color="auto" w:fill="FFFFFF"/>
        </w:rPr>
        <w:t xml:space="preserve"> meant to live</w:t>
      </w:r>
      <w:r w:rsidR="0002090A" w:rsidRPr="004427CF">
        <w:rPr>
          <w:rFonts w:asciiTheme="minorHAnsi" w:eastAsia="Times New Roman" w:hAnsiTheme="minorHAnsi" w:cs="Arial"/>
          <w:sz w:val="22"/>
          <w:szCs w:val="22"/>
          <w:shd w:val="clear" w:color="auto" w:fill="FFFFFF"/>
        </w:rPr>
        <w:t xml:space="preserve"> up</w:t>
      </w:r>
      <w:r w:rsidR="0090086D" w:rsidRPr="004427CF">
        <w:rPr>
          <w:rFonts w:asciiTheme="minorHAnsi" w:eastAsia="Times New Roman" w:hAnsiTheme="minorHAnsi" w:cs="Arial"/>
          <w:sz w:val="22"/>
          <w:szCs w:val="22"/>
          <w:shd w:val="clear" w:color="auto" w:fill="FFFFFF"/>
        </w:rPr>
        <w:t xml:space="preserve"> to the current government’s election promise to turn back every boat that enters Australian waters illegally and which consists of either diverting any boat on its way to Australia to Indonesia or picking up the migrants and bringing them to offshore processing centers In Papua New Guinea and Nauru, with which agreements to that effect have been concluded. </w:t>
      </w:r>
      <w:r w:rsidR="00441BFE" w:rsidRPr="004427CF">
        <w:rPr>
          <w:rFonts w:asciiTheme="minorHAnsi" w:eastAsia="Times New Roman" w:hAnsiTheme="minorHAnsi" w:cs="Arial"/>
          <w:sz w:val="22"/>
          <w:szCs w:val="22"/>
          <w:shd w:val="clear" w:color="auto" w:fill="FFFFFF"/>
        </w:rPr>
        <w:t xml:space="preserve">The interdictions are accompanied by the government </w:t>
      </w:r>
      <w:r w:rsidR="00441BFE" w:rsidRPr="004427CF">
        <w:rPr>
          <w:rFonts w:asciiTheme="minorHAnsi" w:hAnsiTheme="minorHAnsi" w:cs="Arial"/>
          <w:sz w:val="22"/>
          <w:szCs w:val="22"/>
        </w:rPr>
        <w:t>broadcasting videos telling would-be immigrants that if they try to make the trip by boat illegally, “there is no way you will ever make Australia home”.</w:t>
      </w:r>
      <w:r w:rsidR="00441BFE" w:rsidRPr="004427CF">
        <w:rPr>
          <w:rStyle w:val="FootnoteReference"/>
          <w:rFonts w:asciiTheme="minorHAnsi" w:hAnsiTheme="minorHAnsi" w:cs="Arial"/>
          <w:sz w:val="22"/>
          <w:szCs w:val="22"/>
        </w:rPr>
        <w:footnoteReference w:id="22"/>
      </w:r>
      <w:r w:rsidR="00441BFE" w:rsidRPr="004427CF">
        <w:rPr>
          <w:rFonts w:asciiTheme="minorHAnsi" w:hAnsiTheme="minorHAnsi" w:cs="Arial"/>
          <w:sz w:val="22"/>
          <w:szCs w:val="22"/>
        </w:rPr>
        <w:t> L</w:t>
      </w:r>
      <w:r w:rsidR="0090086D" w:rsidRPr="004427CF">
        <w:rPr>
          <w:rFonts w:asciiTheme="minorHAnsi" w:eastAsia="Times New Roman" w:hAnsiTheme="minorHAnsi" w:cs="Arial"/>
          <w:sz w:val="22"/>
          <w:szCs w:val="22"/>
          <w:shd w:val="clear" w:color="auto" w:fill="FFFFFF"/>
        </w:rPr>
        <w:t>egally</w:t>
      </w:r>
      <w:r w:rsidR="00441BFE" w:rsidRPr="004427CF">
        <w:rPr>
          <w:rFonts w:asciiTheme="minorHAnsi" w:eastAsia="Times New Roman" w:hAnsiTheme="minorHAnsi" w:cs="Arial"/>
          <w:sz w:val="22"/>
          <w:szCs w:val="22"/>
          <w:shd w:val="clear" w:color="auto" w:fill="FFFFFF"/>
        </w:rPr>
        <w:t xml:space="preserve">, the </w:t>
      </w:r>
      <w:proofErr w:type="spellStart"/>
      <w:r w:rsidR="00441BFE" w:rsidRPr="004427CF">
        <w:rPr>
          <w:rFonts w:asciiTheme="minorHAnsi" w:eastAsia="Times New Roman" w:hAnsiTheme="minorHAnsi" w:cs="Arial"/>
          <w:sz w:val="22"/>
          <w:szCs w:val="22"/>
          <w:shd w:val="clear" w:color="auto" w:fill="FFFFFF"/>
        </w:rPr>
        <w:t>turnbacks</w:t>
      </w:r>
      <w:proofErr w:type="spellEnd"/>
      <w:r w:rsidR="00441BFE" w:rsidRPr="004427CF">
        <w:rPr>
          <w:rFonts w:asciiTheme="minorHAnsi" w:eastAsia="Times New Roman" w:hAnsiTheme="minorHAnsi" w:cs="Arial"/>
          <w:sz w:val="22"/>
          <w:szCs w:val="22"/>
          <w:shd w:val="clear" w:color="auto" w:fill="FFFFFF"/>
        </w:rPr>
        <w:t xml:space="preserve"> are</w:t>
      </w:r>
      <w:r w:rsidR="0090086D" w:rsidRPr="004427CF">
        <w:rPr>
          <w:rFonts w:asciiTheme="minorHAnsi" w:eastAsia="Times New Roman" w:hAnsiTheme="minorHAnsi" w:cs="Arial"/>
          <w:sz w:val="22"/>
          <w:szCs w:val="22"/>
          <w:shd w:val="clear" w:color="auto" w:fill="FFFFFF"/>
        </w:rPr>
        <w:t xml:space="preserve"> possible due to a series of amendments to Australia’s Migration Act which marked the beginning of Australia’s ‘Pacific Solution’ in 2001.</w:t>
      </w:r>
      <w:r w:rsidR="0090086D" w:rsidRPr="004427CF">
        <w:rPr>
          <w:rStyle w:val="FootnoteReference"/>
          <w:rFonts w:asciiTheme="minorHAnsi" w:eastAsia="Times New Roman" w:hAnsiTheme="minorHAnsi" w:cs="Arial"/>
          <w:sz w:val="22"/>
          <w:szCs w:val="22"/>
          <w:shd w:val="clear" w:color="auto" w:fill="FFFFFF"/>
        </w:rPr>
        <w:footnoteReference w:id="23"/>
      </w:r>
      <w:r w:rsidR="0090086D" w:rsidRPr="004427CF">
        <w:rPr>
          <w:rFonts w:asciiTheme="minorHAnsi" w:eastAsia="Times New Roman" w:hAnsiTheme="minorHAnsi" w:cs="Arial"/>
          <w:sz w:val="22"/>
          <w:szCs w:val="22"/>
          <w:shd w:val="clear" w:color="auto" w:fill="FFFFFF"/>
        </w:rPr>
        <w:t xml:space="preserve"> </w:t>
      </w:r>
      <w:r w:rsidR="0090086D" w:rsidRPr="004427CF">
        <w:rPr>
          <w:rFonts w:asciiTheme="minorHAnsi" w:hAnsiTheme="minorHAnsi" w:cs="Arial"/>
          <w:sz w:val="22"/>
          <w:szCs w:val="22"/>
          <w:shd w:val="clear" w:color="auto" w:fill="FFFFFF"/>
        </w:rPr>
        <w:t xml:space="preserve">The amendments purported to excise certain places and installations </w:t>
      </w:r>
      <w:r w:rsidR="0002090A" w:rsidRPr="004427CF">
        <w:rPr>
          <w:rFonts w:asciiTheme="minorHAnsi" w:hAnsiTheme="minorHAnsi" w:cs="Arial"/>
          <w:sz w:val="22"/>
          <w:szCs w:val="22"/>
          <w:shd w:val="clear" w:color="auto" w:fill="FFFFFF"/>
        </w:rPr>
        <w:t>along</w:t>
      </w:r>
      <w:r w:rsidR="0090086D" w:rsidRPr="004427CF">
        <w:rPr>
          <w:rFonts w:asciiTheme="minorHAnsi" w:hAnsiTheme="minorHAnsi" w:cs="Arial"/>
          <w:sz w:val="22"/>
          <w:szCs w:val="22"/>
          <w:shd w:val="clear" w:color="auto" w:fill="FFFFFF"/>
        </w:rPr>
        <w:t xml:space="preserve"> migration routes, such as Christmas Island and </w:t>
      </w:r>
      <w:proofErr w:type="spellStart"/>
      <w:r w:rsidR="0090086D" w:rsidRPr="004427CF">
        <w:rPr>
          <w:rFonts w:asciiTheme="minorHAnsi" w:hAnsiTheme="minorHAnsi" w:cs="Arial"/>
          <w:sz w:val="22"/>
          <w:szCs w:val="22"/>
          <w:shd w:val="clear" w:color="auto" w:fill="FFFFFF"/>
        </w:rPr>
        <w:t>Cocos</w:t>
      </w:r>
      <w:proofErr w:type="spellEnd"/>
      <w:r w:rsidR="0090086D" w:rsidRPr="004427CF">
        <w:rPr>
          <w:rFonts w:asciiTheme="minorHAnsi" w:hAnsiTheme="minorHAnsi" w:cs="Arial"/>
          <w:sz w:val="22"/>
          <w:szCs w:val="22"/>
          <w:shd w:val="clear" w:color="auto" w:fill="FFFFFF"/>
        </w:rPr>
        <w:t xml:space="preserve"> Islands, from the Australian migration zone with the effect of making it impossible for "offshore entry persons" to make valid visa applications </w:t>
      </w:r>
      <w:r w:rsidR="00496885" w:rsidRPr="004427CF">
        <w:rPr>
          <w:rFonts w:asciiTheme="minorHAnsi" w:hAnsiTheme="minorHAnsi" w:cs="Arial"/>
          <w:sz w:val="22"/>
          <w:szCs w:val="22"/>
          <w:shd w:val="clear" w:color="auto" w:fill="FFFFFF"/>
        </w:rPr>
        <w:t xml:space="preserve">(which is required for </w:t>
      </w:r>
      <w:r w:rsidR="0002090A" w:rsidRPr="004427CF">
        <w:rPr>
          <w:rFonts w:asciiTheme="minorHAnsi" w:hAnsiTheme="minorHAnsi" w:cs="Arial"/>
          <w:sz w:val="22"/>
          <w:szCs w:val="22"/>
          <w:shd w:val="clear" w:color="auto" w:fill="FFFFFF"/>
        </w:rPr>
        <w:t>making a formal asylum application</w:t>
      </w:r>
      <w:r w:rsidR="00496885" w:rsidRPr="004427CF">
        <w:rPr>
          <w:rFonts w:asciiTheme="minorHAnsi" w:hAnsiTheme="minorHAnsi" w:cs="Arial"/>
          <w:sz w:val="22"/>
          <w:szCs w:val="22"/>
          <w:shd w:val="clear" w:color="auto" w:fill="FFFFFF"/>
        </w:rPr>
        <w:t xml:space="preserve">) </w:t>
      </w:r>
      <w:r w:rsidR="0090086D" w:rsidRPr="004427CF">
        <w:rPr>
          <w:rFonts w:asciiTheme="minorHAnsi" w:hAnsiTheme="minorHAnsi" w:cs="Arial"/>
          <w:sz w:val="22"/>
          <w:szCs w:val="22"/>
          <w:shd w:val="clear" w:color="auto" w:fill="FFFFFF"/>
        </w:rPr>
        <w:t xml:space="preserve">in these locations. </w:t>
      </w:r>
      <w:r w:rsidR="00496885" w:rsidRPr="004427CF">
        <w:rPr>
          <w:rFonts w:asciiTheme="minorHAnsi" w:hAnsiTheme="minorHAnsi" w:cs="Arial"/>
          <w:sz w:val="22"/>
          <w:szCs w:val="22"/>
          <w:shd w:val="clear" w:color="auto" w:fill="FFFFFF"/>
        </w:rPr>
        <w:t xml:space="preserve">To </w:t>
      </w:r>
      <w:r w:rsidR="0002090A" w:rsidRPr="004427CF">
        <w:rPr>
          <w:rFonts w:asciiTheme="minorHAnsi" w:hAnsiTheme="minorHAnsi" w:cs="Arial"/>
          <w:sz w:val="22"/>
          <w:szCs w:val="22"/>
          <w:shd w:val="clear" w:color="auto" w:fill="FFFFFF"/>
        </w:rPr>
        <w:t xml:space="preserve">rule out the eventuality that asylum seekers would reach Australia’s mainland by boat, </w:t>
      </w:r>
      <w:r w:rsidR="00496885" w:rsidRPr="004427CF">
        <w:rPr>
          <w:rFonts w:asciiTheme="minorHAnsi" w:hAnsiTheme="minorHAnsi" w:cs="Arial"/>
          <w:sz w:val="22"/>
          <w:szCs w:val="22"/>
          <w:shd w:val="clear" w:color="auto" w:fill="FFFFFF"/>
        </w:rPr>
        <w:lastRenderedPageBreak/>
        <w:t>the Australian Parliament passed a law in May 2013 to excise the mainland itself from the migration zone.</w:t>
      </w:r>
      <w:r w:rsidR="00496885" w:rsidRPr="004427CF">
        <w:rPr>
          <w:rStyle w:val="FootnoteReference"/>
          <w:rFonts w:asciiTheme="minorHAnsi" w:hAnsiTheme="minorHAnsi" w:cs="Arial"/>
          <w:sz w:val="22"/>
          <w:szCs w:val="22"/>
          <w:shd w:val="clear" w:color="auto" w:fill="FFFFFF"/>
        </w:rPr>
        <w:footnoteReference w:id="24"/>
      </w:r>
      <w:r w:rsidR="00496885" w:rsidRPr="004427CF">
        <w:rPr>
          <w:rFonts w:asciiTheme="minorHAnsi" w:hAnsiTheme="minorHAnsi" w:cs="Arial"/>
          <w:sz w:val="22"/>
          <w:szCs w:val="22"/>
          <w:shd w:val="clear" w:color="auto" w:fill="FFFFFF"/>
        </w:rPr>
        <w:t xml:space="preserve"> The new policies of the Abbott government resulted in a sharp fall of the number of boat arrivals – less than 200 arrivals in 2014 compared to more than 20.000 in 2013.</w:t>
      </w:r>
      <w:r w:rsidR="00496885" w:rsidRPr="004427CF">
        <w:rPr>
          <w:rStyle w:val="FootnoteReference"/>
          <w:rFonts w:asciiTheme="minorHAnsi" w:hAnsiTheme="minorHAnsi" w:cs="Arial"/>
          <w:sz w:val="22"/>
          <w:szCs w:val="22"/>
          <w:shd w:val="clear" w:color="auto" w:fill="FFFFFF"/>
        </w:rPr>
        <w:footnoteReference w:id="25"/>
      </w:r>
      <w:r w:rsidR="00496885" w:rsidRPr="004427CF">
        <w:rPr>
          <w:rFonts w:asciiTheme="minorHAnsi" w:hAnsiTheme="minorHAnsi" w:cs="Arial"/>
          <w:sz w:val="22"/>
          <w:szCs w:val="22"/>
          <w:shd w:val="clear" w:color="auto" w:fill="FFFFFF"/>
        </w:rPr>
        <w:t xml:space="preserve"> </w:t>
      </w:r>
      <w:r w:rsidR="0002090A" w:rsidRPr="004427CF">
        <w:rPr>
          <w:rFonts w:asciiTheme="minorHAnsi" w:hAnsiTheme="minorHAnsi" w:cs="Arial"/>
          <w:sz w:val="22"/>
          <w:szCs w:val="22"/>
          <w:shd w:val="clear" w:color="auto" w:fill="FFFFFF"/>
        </w:rPr>
        <w:t xml:space="preserve">This resembles the </w:t>
      </w:r>
      <w:r w:rsidR="00496885" w:rsidRPr="004427CF">
        <w:rPr>
          <w:rFonts w:asciiTheme="minorHAnsi" w:hAnsiTheme="minorHAnsi" w:cs="Arial"/>
          <w:sz w:val="22"/>
          <w:szCs w:val="22"/>
          <w:shd w:val="clear" w:color="auto" w:fill="FFFFFF"/>
        </w:rPr>
        <w:t xml:space="preserve">decrease </w:t>
      </w:r>
      <w:r w:rsidR="00905B89" w:rsidRPr="004427CF">
        <w:rPr>
          <w:rFonts w:asciiTheme="minorHAnsi" w:hAnsiTheme="minorHAnsi" w:cs="Arial"/>
          <w:sz w:val="22"/>
          <w:szCs w:val="22"/>
          <w:shd w:val="clear" w:color="auto" w:fill="FFFFFF"/>
        </w:rPr>
        <w:t xml:space="preserve">in boat arrivals </w:t>
      </w:r>
      <w:r w:rsidR="00496885" w:rsidRPr="004427CF">
        <w:rPr>
          <w:rFonts w:asciiTheme="minorHAnsi" w:hAnsiTheme="minorHAnsi" w:cs="Arial"/>
          <w:sz w:val="22"/>
          <w:szCs w:val="22"/>
          <w:shd w:val="clear" w:color="auto" w:fill="FFFFFF"/>
        </w:rPr>
        <w:t xml:space="preserve">after the first version of Australia’s Pacific Solution was installed in </w:t>
      </w:r>
      <w:r w:rsidR="00E21609" w:rsidRPr="004427CF">
        <w:rPr>
          <w:rFonts w:asciiTheme="minorHAnsi" w:hAnsiTheme="minorHAnsi" w:cs="Arial"/>
          <w:sz w:val="22"/>
          <w:szCs w:val="22"/>
          <w:shd w:val="clear" w:color="auto" w:fill="FFFFFF"/>
        </w:rPr>
        <w:t xml:space="preserve">response to the </w:t>
      </w:r>
      <w:r w:rsidR="00905B89" w:rsidRPr="004427CF">
        <w:rPr>
          <w:rFonts w:asciiTheme="minorHAnsi" w:hAnsiTheme="minorHAnsi" w:cs="Arial"/>
          <w:sz w:val="22"/>
          <w:szCs w:val="22"/>
          <w:shd w:val="clear" w:color="auto" w:fill="FFFFFF"/>
        </w:rPr>
        <w:t xml:space="preserve">Tampa incident in </w:t>
      </w:r>
      <w:r w:rsidR="00496885" w:rsidRPr="004427CF">
        <w:rPr>
          <w:rFonts w:asciiTheme="minorHAnsi" w:hAnsiTheme="minorHAnsi" w:cs="Arial"/>
          <w:sz w:val="22"/>
          <w:szCs w:val="22"/>
          <w:shd w:val="clear" w:color="auto" w:fill="FFFFFF"/>
        </w:rPr>
        <w:t>2001, also involv</w:t>
      </w:r>
      <w:r w:rsidR="00905B89" w:rsidRPr="004427CF">
        <w:rPr>
          <w:rFonts w:asciiTheme="minorHAnsi" w:hAnsiTheme="minorHAnsi" w:cs="Arial"/>
          <w:sz w:val="22"/>
          <w:szCs w:val="22"/>
          <w:shd w:val="clear" w:color="auto" w:fill="FFFFFF"/>
        </w:rPr>
        <w:t>ing</w:t>
      </w:r>
      <w:r w:rsidR="00496885" w:rsidRPr="004427CF">
        <w:rPr>
          <w:rFonts w:asciiTheme="minorHAnsi" w:hAnsiTheme="minorHAnsi" w:cs="Arial"/>
          <w:sz w:val="22"/>
          <w:szCs w:val="22"/>
          <w:shd w:val="clear" w:color="auto" w:fill="FFFFFF"/>
        </w:rPr>
        <w:t xml:space="preserve"> offshore processing in Nauru. Back then, 43 boats with a total number of 5.516 migrants arrived in the year 2001, and only one boat carrying one migrant in 2002.</w:t>
      </w:r>
      <w:r w:rsidR="00496885" w:rsidRPr="004427CF">
        <w:rPr>
          <w:rStyle w:val="FootnoteReference"/>
          <w:rFonts w:asciiTheme="minorHAnsi" w:hAnsiTheme="minorHAnsi" w:cs="Arial"/>
          <w:sz w:val="22"/>
          <w:szCs w:val="22"/>
          <w:shd w:val="clear" w:color="auto" w:fill="FFFFFF"/>
        </w:rPr>
        <w:footnoteReference w:id="26"/>
      </w:r>
      <w:r w:rsidR="00441BFE" w:rsidRPr="004427CF">
        <w:rPr>
          <w:rFonts w:asciiTheme="minorHAnsi" w:hAnsiTheme="minorHAnsi" w:cs="Arial"/>
          <w:sz w:val="22"/>
          <w:szCs w:val="22"/>
          <w:shd w:val="clear" w:color="auto" w:fill="FFFFFF"/>
        </w:rPr>
        <w:t xml:space="preserve"> The numbers </w:t>
      </w:r>
      <w:r w:rsidR="00E21609" w:rsidRPr="004427CF">
        <w:rPr>
          <w:rFonts w:asciiTheme="minorHAnsi" w:hAnsiTheme="minorHAnsi" w:cs="Arial"/>
          <w:sz w:val="22"/>
          <w:szCs w:val="22"/>
          <w:shd w:val="clear" w:color="auto" w:fill="FFFFFF"/>
        </w:rPr>
        <w:t xml:space="preserve">had </w:t>
      </w:r>
      <w:r w:rsidR="00441BFE" w:rsidRPr="004427CF">
        <w:rPr>
          <w:rFonts w:asciiTheme="minorHAnsi" w:hAnsiTheme="minorHAnsi" w:cs="Arial"/>
          <w:sz w:val="22"/>
          <w:szCs w:val="22"/>
          <w:shd w:val="clear" w:color="auto" w:fill="FFFFFF"/>
        </w:rPr>
        <w:t>started rising again when the newly elected Labor government fulfilled its government promise to close the center at Nauru</w:t>
      </w:r>
      <w:r w:rsidR="00905B89" w:rsidRPr="004427CF">
        <w:rPr>
          <w:rFonts w:asciiTheme="minorHAnsi" w:hAnsiTheme="minorHAnsi" w:cs="Arial"/>
          <w:sz w:val="22"/>
          <w:szCs w:val="22"/>
          <w:shd w:val="clear" w:color="auto" w:fill="FFFFFF"/>
        </w:rPr>
        <w:t xml:space="preserve"> in 2008</w:t>
      </w:r>
      <w:r w:rsidR="00441BFE" w:rsidRPr="004427CF">
        <w:rPr>
          <w:rFonts w:asciiTheme="minorHAnsi" w:hAnsiTheme="minorHAnsi" w:cs="Arial"/>
          <w:sz w:val="22"/>
          <w:szCs w:val="22"/>
          <w:shd w:val="clear" w:color="auto" w:fill="FFFFFF"/>
        </w:rPr>
        <w:t>.</w:t>
      </w:r>
    </w:p>
    <w:p w:rsidR="00A469F3" w:rsidRPr="004427CF" w:rsidRDefault="002E0B57" w:rsidP="00B80CBE">
      <w:pPr>
        <w:spacing w:line="276" w:lineRule="auto"/>
        <w:ind w:firstLine="720"/>
        <w:rPr>
          <w:rFonts w:asciiTheme="minorHAnsi" w:hAnsiTheme="minorHAnsi" w:cs="Arial"/>
          <w:sz w:val="22"/>
          <w:szCs w:val="22"/>
          <w:shd w:val="clear" w:color="auto" w:fill="FFFFFF"/>
        </w:rPr>
      </w:pPr>
      <w:r w:rsidRPr="004427CF">
        <w:rPr>
          <w:rFonts w:asciiTheme="minorHAnsi" w:hAnsiTheme="minorHAnsi" w:cs="Arial"/>
          <w:sz w:val="22"/>
          <w:szCs w:val="22"/>
          <w:shd w:val="clear" w:color="auto" w:fill="FFFFFF"/>
        </w:rPr>
        <w:t xml:space="preserve">The most clear European example of an interdiction </w:t>
      </w:r>
      <w:proofErr w:type="spellStart"/>
      <w:r w:rsidRPr="004427CF">
        <w:rPr>
          <w:rFonts w:asciiTheme="minorHAnsi" w:hAnsiTheme="minorHAnsi" w:cs="Arial"/>
          <w:sz w:val="22"/>
          <w:szCs w:val="22"/>
          <w:shd w:val="clear" w:color="auto" w:fill="FFFFFF"/>
        </w:rPr>
        <w:t>programme</w:t>
      </w:r>
      <w:proofErr w:type="spellEnd"/>
      <w:r w:rsidRPr="004427CF">
        <w:rPr>
          <w:rFonts w:asciiTheme="minorHAnsi" w:hAnsiTheme="minorHAnsi" w:cs="Arial"/>
          <w:sz w:val="22"/>
          <w:szCs w:val="22"/>
          <w:shd w:val="clear" w:color="auto" w:fill="FFFFFF"/>
        </w:rPr>
        <w:t xml:space="preserve"> involving summary returns </w:t>
      </w:r>
      <w:r w:rsidR="00E21609" w:rsidRPr="004427CF">
        <w:rPr>
          <w:rFonts w:asciiTheme="minorHAnsi" w:hAnsiTheme="minorHAnsi" w:cs="Arial"/>
          <w:sz w:val="22"/>
          <w:szCs w:val="22"/>
          <w:shd w:val="clear" w:color="auto" w:fill="FFFFFF"/>
        </w:rPr>
        <w:t xml:space="preserve">of the kind employed in Australia and the U.S. </w:t>
      </w:r>
      <w:r w:rsidRPr="004427CF">
        <w:rPr>
          <w:rFonts w:asciiTheme="minorHAnsi" w:hAnsiTheme="minorHAnsi" w:cs="Arial"/>
          <w:sz w:val="22"/>
          <w:szCs w:val="22"/>
          <w:shd w:val="clear" w:color="auto" w:fill="FFFFFF"/>
        </w:rPr>
        <w:t xml:space="preserve">are the Italian push-backs of 2009. These were made possible after the Italian government had concluded an agreement with the </w:t>
      </w:r>
      <w:proofErr w:type="spellStart"/>
      <w:r w:rsidRPr="004427CF">
        <w:rPr>
          <w:rFonts w:asciiTheme="minorHAnsi" w:hAnsiTheme="minorHAnsi" w:cs="Arial"/>
          <w:sz w:val="22"/>
          <w:szCs w:val="22"/>
          <w:shd w:val="clear" w:color="auto" w:fill="FFFFFF"/>
        </w:rPr>
        <w:t>Khadaffi</w:t>
      </w:r>
      <w:proofErr w:type="spellEnd"/>
      <w:r w:rsidRPr="004427CF">
        <w:rPr>
          <w:rFonts w:asciiTheme="minorHAnsi" w:hAnsiTheme="minorHAnsi" w:cs="Arial"/>
          <w:sz w:val="22"/>
          <w:szCs w:val="22"/>
          <w:shd w:val="clear" w:color="auto" w:fill="FFFFFF"/>
        </w:rPr>
        <w:t xml:space="preserve"> regime in which the latter pledged to immediately accept all migrants found at sea who had embarked in </w:t>
      </w:r>
      <w:r w:rsidR="00E21609" w:rsidRPr="004427CF">
        <w:rPr>
          <w:rFonts w:asciiTheme="minorHAnsi" w:hAnsiTheme="minorHAnsi" w:cs="Arial"/>
          <w:sz w:val="22"/>
          <w:szCs w:val="22"/>
          <w:shd w:val="clear" w:color="auto" w:fill="FFFFFF"/>
        </w:rPr>
        <w:t>Libya</w:t>
      </w:r>
      <w:r w:rsidRPr="004427CF">
        <w:rPr>
          <w:rFonts w:asciiTheme="minorHAnsi" w:hAnsiTheme="minorHAnsi" w:cs="Arial"/>
          <w:sz w:val="22"/>
          <w:szCs w:val="22"/>
          <w:shd w:val="clear" w:color="auto" w:fill="FFFFFF"/>
        </w:rPr>
        <w:t>.</w:t>
      </w:r>
      <w:r w:rsidRPr="004427CF">
        <w:rPr>
          <w:rStyle w:val="FootnoteReference"/>
          <w:rFonts w:asciiTheme="minorHAnsi" w:hAnsiTheme="minorHAnsi" w:cs="Arial"/>
          <w:sz w:val="22"/>
          <w:szCs w:val="22"/>
          <w:shd w:val="clear" w:color="auto" w:fill="FFFFFF"/>
        </w:rPr>
        <w:footnoteReference w:id="27"/>
      </w:r>
      <w:r w:rsidRPr="004427CF">
        <w:rPr>
          <w:rFonts w:asciiTheme="minorHAnsi" w:hAnsiTheme="minorHAnsi" w:cs="Arial"/>
          <w:sz w:val="22"/>
          <w:szCs w:val="22"/>
          <w:shd w:val="clear" w:color="auto" w:fill="FFFFFF"/>
        </w:rPr>
        <w:t xml:space="preserve"> </w:t>
      </w:r>
      <w:r w:rsidR="00A469F3" w:rsidRPr="004427CF">
        <w:rPr>
          <w:rFonts w:asciiTheme="minorHAnsi" w:hAnsiTheme="minorHAnsi" w:cs="Arial"/>
          <w:sz w:val="22"/>
          <w:szCs w:val="22"/>
          <w:shd w:val="clear" w:color="auto" w:fill="FFFFFF"/>
        </w:rPr>
        <w:t>The push-backs, which were ill-received by civil society and a number of intergovernmental bodies, contributed to a decline of migrants intercepted in the Central Mediterranean route from almost 40.000 in 2008 to 4.500 in 2010.</w:t>
      </w:r>
      <w:r w:rsidR="00A469F3" w:rsidRPr="004427CF">
        <w:rPr>
          <w:rStyle w:val="FootnoteReference"/>
          <w:rFonts w:asciiTheme="minorHAnsi" w:hAnsiTheme="minorHAnsi" w:cs="Arial"/>
          <w:sz w:val="22"/>
          <w:szCs w:val="22"/>
          <w:shd w:val="clear" w:color="auto" w:fill="FFFFFF"/>
        </w:rPr>
        <w:footnoteReference w:id="28"/>
      </w:r>
      <w:r w:rsidR="00A469F3" w:rsidRPr="004427CF">
        <w:rPr>
          <w:rFonts w:asciiTheme="minorHAnsi" w:hAnsiTheme="minorHAnsi" w:cs="Arial"/>
          <w:sz w:val="22"/>
          <w:szCs w:val="22"/>
          <w:shd w:val="clear" w:color="auto" w:fill="FFFFFF"/>
        </w:rPr>
        <w:t xml:space="preserve"> The official </w:t>
      </w:r>
      <w:r w:rsidR="00E21609" w:rsidRPr="004427CF">
        <w:rPr>
          <w:rFonts w:asciiTheme="minorHAnsi" w:hAnsiTheme="minorHAnsi" w:cs="Arial"/>
          <w:sz w:val="22"/>
          <w:szCs w:val="22"/>
          <w:shd w:val="clear" w:color="auto" w:fill="FFFFFF"/>
        </w:rPr>
        <w:t xml:space="preserve">position </w:t>
      </w:r>
      <w:r w:rsidR="00A469F3" w:rsidRPr="004427CF">
        <w:rPr>
          <w:rFonts w:asciiTheme="minorHAnsi" w:hAnsiTheme="minorHAnsi" w:cs="Arial"/>
          <w:sz w:val="22"/>
          <w:szCs w:val="22"/>
          <w:shd w:val="clear" w:color="auto" w:fill="FFFFFF"/>
        </w:rPr>
        <w:t>of the Italian government at the time was that migrants still at sea could not rely on Italian, EU or international law to effectuate an entry.</w:t>
      </w:r>
      <w:r w:rsidR="00A469F3" w:rsidRPr="004427CF">
        <w:rPr>
          <w:rStyle w:val="FootnoteReference"/>
          <w:rFonts w:asciiTheme="minorHAnsi" w:hAnsiTheme="minorHAnsi" w:cs="Arial"/>
          <w:sz w:val="22"/>
          <w:szCs w:val="22"/>
          <w:shd w:val="clear" w:color="auto" w:fill="FFFFFF"/>
        </w:rPr>
        <w:footnoteReference w:id="29"/>
      </w:r>
      <w:r w:rsidR="00A469F3" w:rsidRPr="004427CF">
        <w:rPr>
          <w:rFonts w:asciiTheme="minorHAnsi" w:hAnsiTheme="minorHAnsi" w:cs="Arial"/>
          <w:sz w:val="22"/>
          <w:szCs w:val="22"/>
          <w:shd w:val="clear" w:color="auto" w:fill="FFFFFF"/>
        </w:rPr>
        <w:t xml:space="preserve"> Civil unrest erupting in Libya (and Tunisia) made the </w:t>
      </w:r>
      <w:r w:rsidR="00E21609" w:rsidRPr="004427CF">
        <w:rPr>
          <w:rFonts w:asciiTheme="minorHAnsi" w:hAnsiTheme="minorHAnsi" w:cs="Arial"/>
          <w:sz w:val="22"/>
          <w:szCs w:val="22"/>
          <w:shd w:val="clear" w:color="auto" w:fill="FFFFFF"/>
        </w:rPr>
        <w:t xml:space="preserve">continued </w:t>
      </w:r>
      <w:r w:rsidR="00A469F3" w:rsidRPr="004427CF">
        <w:rPr>
          <w:rFonts w:asciiTheme="minorHAnsi" w:hAnsiTheme="minorHAnsi" w:cs="Arial"/>
          <w:sz w:val="22"/>
          <w:szCs w:val="22"/>
          <w:shd w:val="clear" w:color="auto" w:fill="FFFFFF"/>
        </w:rPr>
        <w:t>implementation of the Italian-</w:t>
      </w:r>
      <w:proofErr w:type="spellStart"/>
      <w:r w:rsidR="00A469F3" w:rsidRPr="004427CF">
        <w:rPr>
          <w:rFonts w:asciiTheme="minorHAnsi" w:hAnsiTheme="minorHAnsi" w:cs="Arial"/>
          <w:sz w:val="22"/>
          <w:szCs w:val="22"/>
          <w:shd w:val="clear" w:color="auto" w:fill="FFFFFF"/>
        </w:rPr>
        <w:t>Lybian</w:t>
      </w:r>
      <w:proofErr w:type="spellEnd"/>
      <w:r w:rsidR="00A469F3" w:rsidRPr="004427CF">
        <w:rPr>
          <w:rFonts w:asciiTheme="minorHAnsi" w:hAnsiTheme="minorHAnsi" w:cs="Arial"/>
          <w:sz w:val="22"/>
          <w:szCs w:val="22"/>
          <w:shd w:val="clear" w:color="auto" w:fill="FFFFFF"/>
        </w:rPr>
        <w:t xml:space="preserve"> agreement impossible and caused a massive spike of migrants along this route in 2011.</w:t>
      </w:r>
    </w:p>
    <w:p w:rsidR="00927195" w:rsidRPr="004427CF" w:rsidRDefault="00A469F3"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 xml:space="preserve">It is not difficult to grasp the </w:t>
      </w:r>
      <w:r w:rsidR="00927195" w:rsidRPr="004427CF">
        <w:rPr>
          <w:rFonts w:asciiTheme="minorHAnsi" w:hAnsiTheme="minorHAnsi"/>
          <w:bCs/>
          <w:sz w:val="22"/>
          <w:szCs w:val="22"/>
        </w:rPr>
        <w:t xml:space="preserve">common logic behind the United States’, Australian and Italian </w:t>
      </w:r>
      <w:r w:rsidR="00E21609" w:rsidRPr="004427CF">
        <w:rPr>
          <w:rFonts w:asciiTheme="minorHAnsi" w:hAnsiTheme="minorHAnsi"/>
          <w:bCs/>
          <w:sz w:val="22"/>
          <w:szCs w:val="22"/>
        </w:rPr>
        <w:t>policie</w:t>
      </w:r>
      <w:r w:rsidRPr="004427CF">
        <w:rPr>
          <w:rFonts w:asciiTheme="minorHAnsi" w:hAnsiTheme="minorHAnsi"/>
          <w:bCs/>
          <w:sz w:val="22"/>
          <w:szCs w:val="22"/>
        </w:rPr>
        <w:t>s</w:t>
      </w:r>
      <w:r w:rsidR="00927195" w:rsidRPr="004427CF">
        <w:rPr>
          <w:rFonts w:asciiTheme="minorHAnsi" w:hAnsiTheme="minorHAnsi"/>
          <w:bCs/>
          <w:sz w:val="22"/>
          <w:szCs w:val="22"/>
        </w:rPr>
        <w:t>: if</w:t>
      </w:r>
      <w:r w:rsidRPr="004427CF">
        <w:rPr>
          <w:rFonts w:asciiTheme="minorHAnsi" w:hAnsiTheme="minorHAnsi"/>
          <w:bCs/>
          <w:sz w:val="22"/>
          <w:szCs w:val="22"/>
        </w:rPr>
        <w:t xml:space="preserve"> the goal is</w:t>
      </w:r>
      <w:r w:rsidR="00927195" w:rsidRPr="004427CF">
        <w:rPr>
          <w:rFonts w:asciiTheme="minorHAnsi" w:hAnsiTheme="minorHAnsi"/>
          <w:bCs/>
          <w:sz w:val="22"/>
          <w:szCs w:val="22"/>
        </w:rPr>
        <w:t xml:space="preserve"> to minimize the number of irregular entries, </w:t>
      </w:r>
      <w:r w:rsidRPr="004427CF">
        <w:rPr>
          <w:rFonts w:asciiTheme="minorHAnsi" w:hAnsiTheme="minorHAnsi"/>
          <w:bCs/>
          <w:sz w:val="22"/>
          <w:szCs w:val="22"/>
        </w:rPr>
        <w:t>one</w:t>
      </w:r>
      <w:r w:rsidR="00927195" w:rsidRPr="004427CF">
        <w:rPr>
          <w:rFonts w:asciiTheme="minorHAnsi" w:hAnsiTheme="minorHAnsi"/>
          <w:bCs/>
          <w:sz w:val="22"/>
          <w:szCs w:val="22"/>
        </w:rPr>
        <w:t xml:space="preserve"> should </w:t>
      </w:r>
      <w:proofErr w:type="spellStart"/>
      <w:r w:rsidR="00927195" w:rsidRPr="004427CF">
        <w:rPr>
          <w:rFonts w:asciiTheme="minorHAnsi" w:hAnsiTheme="minorHAnsi"/>
          <w:bCs/>
          <w:sz w:val="22"/>
          <w:szCs w:val="22"/>
        </w:rPr>
        <w:t>i</w:t>
      </w:r>
      <w:proofErr w:type="spellEnd"/>
      <w:r w:rsidR="00927195" w:rsidRPr="004427CF">
        <w:rPr>
          <w:rFonts w:asciiTheme="minorHAnsi" w:hAnsiTheme="minorHAnsi"/>
          <w:bCs/>
          <w:sz w:val="22"/>
          <w:szCs w:val="22"/>
        </w:rPr>
        <w:t>) make an agreement with another country to the effect of making summary returns to that country possible (Cuba, Libya, Papua New Guinea</w:t>
      </w:r>
      <w:r w:rsidR="00E21609" w:rsidRPr="004427CF">
        <w:rPr>
          <w:rFonts w:asciiTheme="minorHAnsi" w:hAnsiTheme="minorHAnsi"/>
          <w:bCs/>
          <w:sz w:val="22"/>
          <w:szCs w:val="22"/>
        </w:rPr>
        <w:t xml:space="preserve">, </w:t>
      </w:r>
      <w:r w:rsidR="00927195" w:rsidRPr="004427CF">
        <w:rPr>
          <w:rFonts w:asciiTheme="minorHAnsi" w:hAnsiTheme="minorHAnsi"/>
          <w:bCs/>
          <w:sz w:val="22"/>
          <w:szCs w:val="22"/>
        </w:rPr>
        <w:t xml:space="preserve">Nauru); ii) ensure that intercepted migrants cannot invoke statutory guarantees on access to an asylum procedure </w:t>
      </w:r>
      <w:r w:rsidRPr="004427CF">
        <w:rPr>
          <w:rFonts w:asciiTheme="minorHAnsi" w:hAnsiTheme="minorHAnsi"/>
          <w:bCs/>
          <w:sz w:val="22"/>
          <w:szCs w:val="22"/>
        </w:rPr>
        <w:t>or to</w:t>
      </w:r>
      <w:r w:rsidR="00927195" w:rsidRPr="004427CF">
        <w:rPr>
          <w:rFonts w:asciiTheme="minorHAnsi" w:hAnsiTheme="minorHAnsi"/>
          <w:bCs/>
          <w:sz w:val="22"/>
          <w:szCs w:val="22"/>
        </w:rPr>
        <w:t xml:space="preserve"> court</w:t>
      </w:r>
      <w:r w:rsidRPr="004427CF">
        <w:rPr>
          <w:rFonts w:asciiTheme="minorHAnsi" w:hAnsiTheme="minorHAnsi"/>
          <w:bCs/>
          <w:sz w:val="22"/>
          <w:szCs w:val="22"/>
        </w:rPr>
        <w:t>s</w:t>
      </w:r>
      <w:r w:rsidR="00927195" w:rsidRPr="004427CF">
        <w:rPr>
          <w:rFonts w:asciiTheme="minorHAnsi" w:hAnsiTheme="minorHAnsi"/>
          <w:bCs/>
          <w:sz w:val="22"/>
          <w:szCs w:val="22"/>
        </w:rPr>
        <w:t xml:space="preserve">; and iii) proceed with </w:t>
      </w:r>
      <w:r w:rsidRPr="004427CF">
        <w:rPr>
          <w:rFonts w:asciiTheme="minorHAnsi" w:hAnsiTheme="minorHAnsi"/>
          <w:bCs/>
          <w:sz w:val="22"/>
          <w:szCs w:val="22"/>
        </w:rPr>
        <w:t xml:space="preserve">actually </w:t>
      </w:r>
      <w:r w:rsidR="00927195" w:rsidRPr="004427CF">
        <w:rPr>
          <w:rFonts w:asciiTheme="minorHAnsi" w:hAnsiTheme="minorHAnsi"/>
          <w:bCs/>
          <w:sz w:val="22"/>
          <w:szCs w:val="22"/>
        </w:rPr>
        <w:t>intercepting and summarily returning migrants at sea.</w:t>
      </w:r>
    </w:p>
    <w:p w:rsidR="00952353" w:rsidRPr="004427CF" w:rsidRDefault="00A469F3" w:rsidP="00B80CBE">
      <w:pPr>
        <w:spacing w:line="276" w:lineRule="auto"/>
        <w:rPr>
          <w:rFonts w:asciiTheme="minorHAnsi" w:hAnsiTheme="minorHAnsi"/>
          <w:bCs/>
          <w:sz w:val="22"/>
          <w:szCs w:val="22"/>
        </w:rPr>
      </w:pPr>
      <w:r w:rsidRPr="004427CF">
        <w:rPr>
          <w:rFonts w:asciiTheme="minorHAnsi" w:hAnsiTheme="minorHAnsi"/>
          <w:bCs/>
          <w:sz w:val="22"/>
          <w:szCs w:val="22"/>
        </w:rPr>
        <w:tab/>
        <w:t>This logic is however challenged by fundamental rights.</w:t>
      </w:r>
      <w:r w:rsidR="00927195" w:rsidRPr="004427CF">
        <w:rPr>
          <w:rFonts w:asciiTheme="minorHAnsi" w:hAnsiTheme="minorHAnsi"/>
          <w:bCs/>
          <w:sz w:val="22"/>
          <w:szCs w:val="22"/>
        </w:rPr>
        <w:t xml:space="preserve"> The judgment in </w:t>
      </w:r>
      <w:r w:rsidR="00927195" w:rsidRPr="004427CF">
        <w:rPr>
          <w:rFonts w:asciiTheme="minorHAnsi" w:hAnsiTheme="minorHAnsi"/>
          <w:bCs/>
          <w:i/>
          <w:sz w:val="22"/>
          <w:szCs w:val="22"/>
        </w:rPr>
        <w:t>Sale</w:t>
      </w:r>
      <w:r w:rsidR="00927195" w:rsidRPr="004427CF">
        <w:rPr>
          <w:rFonts w:asciiTheme="minorHAnsi" w:hAnsiTheme="minorHAnsi"/>
          <w:bCs/>
          <w:sz w:val="22"/>
          <w:szCs w:val="22"/>
        </w:rPr>
        <w:t xml:space="preserve"> has been heavily criticized and in the European legal order at least, a different human rights paradigm in respect of boat migrants has come to prevail.</w:t>
      </w:r>
      <w:r w:rsidR="00614887" w:rsidRPr="004427CF">
        <w:rPr>
          <w:rStyle w:val="FootnoteReference"/>
          <w:rFonts w:asciiTheme="minorHAnsi" w:hAnsiTheme="minorHAnsi"/>
          <w:bCs/>
          <w:sz w:val="22"/>
          <w:szCs w:val="22"/>
        </w:rPr>
        <w:footnoteReference w:id="30"/>
      </w:r>
      <w:r w:rsidR="00927195" w:rsidRPr="004427CF">
        <w:rPr>
          <w:rFonts w:asciiTheme="minorHAnsi" w:hAnsiTheme="minorHAnsi"/>
          <w:bCs/>
          <w:sz w:val="22"/>
          <w:szCs w:val="22"/>
        </w:rPr>
        <w:t xml:space="preserve"> In the 2012 </w:t>
      </w:r>
      <w:proofErr w:type="spellStart"/>
      <w:r w:rsidR="00927195" w:rsidRPr="004427CF">
        <w:rPr>
          <w:rFonts w:asciiTheme="minorHAnsi" w:hAnsiTheme="minorHAnsi"/>
          <w:bCs/>
          <w:i/>
          <w:sz w:val="22"/>
          <w:szCs w:val="22"/>
        </w:rPr>
        <w:t>Hirsi</w:t>
      </w:r>
      <w:proofErr w:type="spellEnd"/>
      <w:r w:rsidR="00927195" w:rsidRPr="004427CF">
        <w:rPr>
          <w:rFonts w:asciiTheme="minorHAnsi" w:hAnsiTheme="minorHAnsi"/>
          <w:bCs/>
          <w:i/>
          <w:sz w:val="22"/>
          <w:szCs w:val="22"/>
        </w:rPr>
        <w:t xml:space="preserve"> </w:t>
      </w:r>
      <w:r w:rsidR="00927195" w:rsidRPr="004427CF">
        <w:rPr>
          <w:rFonts w:asciiTheme="minorHAnsi" w:hAnsiTheme="minorHAnsi"/>
          <w:bCs/>
          <w:sz w:val="22"/>
          <w:szCs w:val="22"/>
        </w:rPr>
        <w:t xml:space="preserve">judgment, in a case brought by </w:t>
      </w:r>
      <w:r w:rsidR="00EF55E8" w:rsidRPr="004427CF">
        <w:rPr>
          <w:rFonts w:asciiTheme="minorHAnsi" w:hAnsiTheme="minorHAnsi"/>
          <w:bCs/>
          <w:sz w:val="22"/>
          <w:szCs w:val="22"/>
        </w:rPr>
        <w:t>24</w:t>
      </w:r>
      <w:r w:rsidR="00927195" w:rsidRPr="004427CF">
        <w:rPr>
          <w:rFonts w:asciiTheme="minorHAnsi" w:hAnsiTheme="minorHAnsi"/>
          <w:bCs/>
          <w:sz w:val="22"/>
          <w:szCs w:val="22"/>
        </w:rPr>
        <w:t xml:space="preserve"> migrants who </w:t>
      </w:r>
      <w:r w:rsidR="00EF55E8" w:rsidRPr="004427CF">
        <w:rPr>
          <w:rFonts w:asciiTheme="minorHAnsi" w:eastAsia="Times New Roman" w:hAnsiTheme="minorHAnsi" w:cs="Arial"/>
          <w:sz w:val="22"/>
          <w:szCs w:val="22"/>
        </w:rPr>
        <w:t xml:space="preserve">were part of a larger group of migrants who had had been intercepted in May 2009 in one of the first Italian push-back operations and were returned to the </w:t>
      </w:r>
      <w:r w:rsidR="00EF55E8" w:rsidRPr="004427CF">
        <w:rPr>
          <w:rFonts w:asciiTheme="minorHAnsi" w:hAnsiTheme="minorHAnsi"/>
          <w:bCs/>
          <w:sz w:val="22"/>
          <w:szCs w:val="22"/>
        </w:rPr>
        <w:t xml:space="preserve">port of Tripoli, </w:t>
      </w:r>
      <w:r w:rsidR="00927195" w:rsidRPr="004427CF">
        <w:rPr>
          <w:rFonts w:asciiTheme="minorHAnsi" w:hAnsiTheme="minorHAnsi"/>
          <w:bCs/>
          <w:sz w:val="22"/>
          <w:szCs w:val="22"/>
        </w:rPr>
        <w:t xml:space="preserve"> </w:t>
      </w:r>
      <w:r w:rsidR="00EF55E8" w:rsidRPr="004427CF">
        <w:rPr>
          <w:rFonts w:asciiTheme="minorHAnsi" w:hAnsiTheme="minorHAnsi"/>
          <w:bCs/>
          <w:sz w:val="22"/>
          <w:szCs w:val="22"/>
        </w:rPr>
        <w:t>the</w:t>
      </w:r>
      <w:r w:rsidR="00927195" w:rsidRPr="004427CF">
        <w:rPr>
          <w:rFonts w:asciiTheme="minorHAnsi" w:hAnsiTheme="minorHAnsi"/>
          <w:bCs/>
          <w:sz w:val="22"/>
          <w:szCs w:val="22"/>
        </w:rPr>
        <w:t xml:space="preserve"> </w:t>
      </w:r>
      <w:r w:rsidR="00EF55E8" w:rsidRPr="004427CF">
        <w:rPr>
          <w:rFonts w:asciiTheme="minorHAnsi" w:hAnsiTheme="minorHAnsi"/>
          <w:bCs/>
          <w:sz w:val="22"/>
          <w:szCs w:val="22"/>
        </w:rPr>
        <w:t>European Court of Human Rights found violations of the prohibition of inhuman treatment, the right to an effective remedy and the prohibition of collective expulsion.</w:t>
      </w:r>
      <w:r w:rsidR="00EF55E8" w:rsidRPr="004427CF">
        <w:rPr>
          <w:rStyle w:val="FootnoteReference"/>
          <w:rFonts w:asciiTheme="minorHAnsi" w:hAnsiTheme="minorHAnsi"/>
          <w:bCs/>
          <w:sz w:val="22"/>
          <w:szCs w:val="22"/>
        </w:rPr>
        <w:footnoteReference w:id="31"/>
      </w:r>
    </w:p>
    <w:p w:rsidR="00952353" w:rsidRPr="004427CF" w:rsidRDefault="00EF55E8"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The judgment made it clear that any interdiction policy which does not allow migrants the opportunity to claim asylum or to mount a legal challenge against return before the return is enforced, will violate the European Convention on Human Rights.</w:t>
      </w:r>
      <w:r w:rsidR="00614887" w:rsidRPr="004427CF">
        <w:rPr>
          <w:rFonts w:asciiTheme="minorHAnsi" w:hAnsiTheme="minorHAnsi"/>
          <w:bCs/>
          <w:sz w:val="22"/>
          <w:szCs w:val="22"/>
        </w:rPr>
        <w:t xml:space="preserve"> The </w:t>
      </w:r>
      <w:proofErr w:type="spellStart"/>
      <w:r w:rsidR="00614887" w:rsidRPr="004427CF">
        <w:rPr>
          <w:rFonts w:asciiTheme="minorHAnsi" w:hAnsiTheme="minorHAnsi"/>
          <w:bCs/>
          <w:sz w:val="22"/>
          <w:szCs w:val="22"/>
        </w:rPr>
        <w:t>ECtHR</w:t>
      </w:r>
      <w:proofErr w:type="spellEnd"/>
      <w:r w:rsidR="00614887" w:rsidRPr="004427CF">
        <w:rPr>
          <w:rFonts w:asciiTheme="minorHAnsi" w:hAnsiTheme="minorHAnsi"/>
          <w:bCs/>
          <w:sz w:val="22"/>
          <w:szCs w:val="22"/>
        </w:rPr>
        <w:t xml:space="preserve"> formulated a set of rather clear conditions which must be met if a </w:t>
      </w:r>
      <w:r w:rsidR="00601679" w:rsidRPr="004427CF">
        <w:rPr>
          <w:rFonts w:asciiTheme="minorHAnsi" w:hAnsiTheme="minorHAnsi"/>
          <w:bCs/>
          <w:sz w:val="22"/>
          <w:szCs w:val="22"/>
        </w:rPr>
        <w:t>s</w:t>
      </w:r>
      <w:r w:rsidR="00614887" w:rsidRPr="004427CF">
        <w:rPr>
          <w:rFonts w:asciiTheme="minorHAnsi" w:hAnsiTheme="minorHAnsi"/>
          <w:bCs/>
          <w:sz w:val="22"/>
          <w:szCs w:val="22"/>
        </w:rPr>
        <w:t xml:space="preserve">tate wishes </w:t>
      </w:r>
      <w:r w:rsidR="00687C63" w:rsidRPr="004427CF">
        <w:rPr>
          <w:rFonts w:asciiTheme="minorHAnsi" w:hAnsiTheme="minorHAnsi"/>
          <w:bCs/>
          <w:sz w:val="22"/>
          <w:szCs w:val="22"/>
        </w:rPr>
        <w:t>to return migrants found at sea</w:t>
      </w:r>
      <w:r w:rsidR="00952353" w:rsidRPr="004427CF">
        <w:rPr>
          <w:rFonts w:asciiTheme="minorHAnsi" w:hAnsiTheme="minorHAnsi"/>
          <w:bCs/>
          <w:sz w:val="22"/>
          <w:szCs w:val="22"/>
        </w:rPr>
        <w:t xml:space="preserve">. These </w:t>
      </w:r>
      <w:r w:rsidR="00952353" w:rsidRPr="004427CF">
        <w:rPr>
          <w:rFonts w:asciiTheme="minorHAnsi" w:hAnsiTheme="minorHAnsi"/>
          <w:bCs/>
          <w:sz w:val="22"/>
          <w:szCs w:val="22"/>
        </w:rPr>
        <w:lastRenderedPageBreak/>
        <w:t xml:space="preserve">can be summarized as follows: </w:t>
      </w:r>
      <w:proofErr w:type="spellStart"/>
      <w:r w:rsidR="00952353" w:rsidRPr="004427CF">
        <w:rPr>
          <w:rFonts w:asciiTheme="minorHAnsi" w:hAnsiTheme="minorHAnsi"/>
          <w:bCs/>
          <w:sz w:val="22"/>
          <w:szCs w:val="22"/>
        </w:rPr>
        <w:t>i</w:t>
      </w:r>
      <w:proofErr w:type="spellEnd"/>
      <w:r w:rsidR="00952353" w:rsidRPr="004427CF">
        <w:rPr>
          <w:rFonts w:asciiTheme="minorHAnsi" w:hAnsiTheme="minorHAnsi"/>
          <w:bCs/>
          <w:sz w:val="22"/>
          <w:szCs w:val="22"/>
        </w:rPr>
        <w:t>) the returning country must verify, even if no individual asylum claim is made, whether the country of return fulfils its international obligations in relation to the protection of refugees, ii) the migrants must have access to a procedure to identify them and to assess their personal circumstances, iii) the personnel conducting the interviews must be trained to do so and the migrants must be assisted by interpreters or legal advisers, iv) the migrants must be informed about their destination and be able to challenge their transfer before an independent tribunal, before the transfer is enforced.</w:t>
      </w:r>
    </w:p>
    <w:p w:rsidR="00952353" w:rsidRPr="004427CF" w:rsidRDefault="00952353"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 xml:space="preserve">It is obvious that these conditions rule out any policy of summarily returning migrants, even to countries which can generally be considered safe. Although the </w:t>
      </w:r>
      <w:proofErr w:type="spellStart"/>
      <w:r w:rsidRPr="004427CF">
        <w:rPr>
          <w:rFonts w:asciiTheme="minorHAnsi" w:hAnsiTheme="minorHAnsi"/>
          <w:bCs/>
          <w:sz w:val="22"/>
          <w:szCs w:val="22"/>
        </w:rPr>
        <w:t>ECtHR</w:t>
      </w:r>
      <w:proofErr w:type="spellEnd"/>
      <w:r w:rsidRPr="004427CF">
        <w:rPr>
          <w:rFonts w:asciiTheme="minorHAnsi" w:hAnsiTheme="minorHAnsi"/>
          <w:bCs/>
          <w:sz w:val="22"/>
          <w:szCs w:val="22"/>
        </w:rPr>
        <w:t xml:space="preserve"> did not say that refugee screening cannot be done on board ships or in some offshore facility, the Court stresses that proper procedures </w:t>
      </w:r>
      <w:r w:rsidR="00601679" w:rsidRPr="004427CF">
        <w:rPr>
          <w:rFonts w:asciiTheme="minorHAnsi" w:hAnsiTheme="minorHAnsi"/>
          <w:bCs/>
          <w:sz w:val="22"/>
          <w:szCs w:val="22"/>
        </w:rPr>
        <w:t>ought to be in</w:t>
      </w:r>
      <w:r w:rsidRPr="004427CF">
        <w:rPr>
          <w:rFonts w:asciiTheme="minorHAnsi" w:hAnsiTheme="minorHAnsi"/>
          <w:bCs/>
          <w:sz w:val="22"/>
          <w:szCs w:val="22"/>
        </w:rPr>
        <w:t xml:space="preserve"> place and that migrants should always be granted the possibility to </w:t>
      </w:r>
      <w:r w:rsidR="00601679" w:rsidRPr="004427CF">
        <w:rPr>
          <w:rFonts w:asciiTheme="minorHAnsi" w:hAnsiTheme="minorHAnsi"/>
          <w:bCs/>
          <w:sz w:val="22"/>
          <w:szCs w:val="22"/>
        </w:rPr>
        <w:t>bring</w:t>
      </w:r>
      <w:r w:rsidRPr="004427CF">
        <w:rPr>
          <w:rFonts w:asciiTheme="minorHAnsi" w:hAnsiTheme="minorHAnsi"/>
          <w:bCs/>
          <w:sz w:val="22"/>
          <w:szCs w:val="22"/>
        </w:rPr>
        <w:t xml:space="preserve"> legal challenges</w:t>
      </w:r>
      <w:r w:rsidR="00467CE7" w:rsidRPr="004427CF">
        <w:rPr>
          <w:rFonts w:asciiTheme="minorHAnsi" w:hAnsiTheme="minorHAnsi"/>
          <w:bCs/>
          <w:sz w:val="22"/>
          <w:szCs w:val="22"/>
        </w:rPr>
        <w:t xml:space="preserve"> with </w:t>
      </w:r>
      <w:proofErr w:type="spellStart"/>
      <w:r w:rsidR="00467CE7" w:rsidRPr="004427CF">
        <w:rPr>
          <w:rFonts w:asciiTheme="minorHAnsi" w:hAnsiTheme="minorHAnsi"/>
          <w:bCs/>
          <w:sz w:val="22"/>
          <w:szCs w:val="22"/>
        </w:rPr>
        <w:t>suspensive</w:t>
      </w:r>
      <w:proofErr w:type="spellEnd"/>
      <w:r w:rsidR="00467CE7" w:rsidRPr="004427CF">
        <w:rPr>
          <w:rFonts w:asciiTheme="minorHAnsi" w:hAnsiTheme="minorHAnsi"/>
          <w:bCs/>
          <w:sz w:val="22"/>
          <w:szCs w:val="22"/>
        </w:rPr>
        <w:t xml:space="preserve"> effect</w:t>
      </w:r>
      <w:r w:rsidRPr="004427CF">
        <w:rPr>
          <w:rFonts w:asciiTheme="minorHAnsi" w:hAnsiTheme="minorHAnsi"/>
          <w:bCs/>
          <w:sz w:val="22"/>
          <w:szCs w:val="22"/>
        </w:rPr>
        <w:t>. In the current European context, this can only imply that all intercepted migrants are brought to European shores for processing.</w:t>
      </w:r>
    </w:p>
    <w:p w:rsidR="00D65E3E" w:rsidRPr="004427CF" w:rsidRDefault="00DC56F6" w:rsidP="00B80CBE">
      <w:pPr>
        <w:spacing w:line="276" w:lineRule="auto"/>
        <w:ind w:firstLine="720"/>
        <w:rPr>
          <w:rFonts w:asciiTheme="minorHAnsi" w:hAnsiTheme="minorHAnsi" w:cs="Arial"/>
          <w:sz w:val="22"/>
          <w:szCs w:val="22"/>
          <w:shd w:val="clear" w:color="auto" w:fill="FFFFFF"/>
        </w:rPr>
      </w:pPr>
      <w:r w:rsidRPr="004427CF">
        <w:rPr>
          <w:rFonts w:asciiTheme="minorHAnsi" w:hAnsiTheme="minorHAnsi"/>
          <w:bCs/>
          <w:sz w:val="22"/>
          <w:szCs w:val="22"/>
        </w:rPr>
        <w:t>This may indeed be a h</w:t>
      </w:r>
      <w:r w:rsidR="00467CE7" w:rsidRPr="004427CF">
        <w:rPr>
          <w:rFonts w:asciiTheme="minorHAnsi" w:hAnsiTheme="minorHAnsi"/>
          <w:bCs/>
          <w:sz w:val="22"/>
          <w:szCs w:val="22"/>
        </w:rPr>
        <w:t xml:space="preserve">ard </w:t>
      </w:r>
      <w:r w:rsidRPr="004427CF">
        <w:rPr>
          <w:rFonts w:asciiTheme="minorHAnsi" w:hAnsiTheme="minorHAnsi"/>
          <w:bCs/>
          <w:sz w:val="22"/>
          <w:szCs w:val="22"/>
        </w:rPr>
        <w:t xml:space="preserve">pill for some European states </w:t>
      </w:r>
      <w:r w:rsidR="00467CE7" w:rsidRPr="004427CF">
        <w:rPr>
          <w:rFonts w:asciiTheme="minorHAnsi" w:hAnsiTheme="minorHAnsi"/>
          <w:bCs/>
          <w:sz w:val="22"/>
          <w:szCs w:val="22"/>
        </w:rPr>
        <w:t>to swallow</w:t>
      </w:r>
      <w:r w:rsidRPr="004427CF">
        <w:rPr>
          <w:rFonts w:asciiTheme="minorHAnsi" w:hAnsiTheme="minorHAnsi"/>
          <w:bCs/>
          <w:sz w:val="22"/>
          <w:szCs w:val="22"/>
        </w:rPr>
        <w:t xml:space="preserve">. Although no European </w:t>
      </w:r>
      <w:r w:rsidR="00F53E1B" w:rsidRPr="004427CF">
        <w:rPr>
          <w:rFonts w:asciiTheme="minorHAnsi" w:hAnsiTheme="minorHAnsi"/>
          <w:bCs/>
          <w:sz w:val="22"/>
          <w:szCs w:val="22"/>
        </w:rPr>
        <w:t xml:space="preserve">country </w:t>
      </w:r>
      <w:r w:rsidRPr="004427CF">
        <w:rPr>
          <w:rFonts w:asciiTheme="minorHAnsi" w:hAnsiTheme="minorHAnsi"/>
          <w:bCs/>
          <w:sz w:val="22"/>
          <w:szCs w:val="22"/>
        </w:rPr>
        <w:t xml:space="preserve">has since the 2009 Italian push backs been officially engaged in a policy of summarily returning migrants, </w:t>
      </w:r>
      <w:r w:rsidR="00F80046" w:rsidRPr="004427CF">
        <w:rPr>
          <w:rFonts w:asciiTheme="minorHAnsi" w:hAnsiTheme="minorHAnsi"/>
          <w:bCs/>
          <w:sz w:val="22"/>
          <w:szCs w:val="22"/>
        </w:rPr>
        <w:t>there are strong indications</w:t>
      </w:r>
      <w:r w:rsidRPr="004427CF">
        <w:rPr>
          <w:rFonts w:asciiTheme="minorHAnsi" w:hAnsiTheme="minorHAnsi"/>
          <w:bCs/>
          <w:sz w:val="22"/>
          <w:szCs w:val="22"/>
        </w:rPr>
        <w:t xml:space="preserve"> that such practices continue to occur. NGOs have reported </w:t>
      </w:r>
      <w:r w:rsidR="00F80046" w:rsidRPr="004427CF">
        <w:rPr>
          <w:rFonts w:asciiTheme="minorHAnsi" w:hAnsiTheme="minorHAnsi"/>
          <w:bCs/>
          <w:sz w:val="22"/>
          <w:szCs w:val="22"/>
        </w:rPr>
        <w:t>large numbers of</w:t>
      </w:r>
      <w:r w:rsidRPr="004427CF">
        <w:rPr>
          <w:rFonts w:asciiTheme="minorHAnsi" w:hAnsiTheme="minorHAnsi"/>
          <w:bCs/>
          <w:sz w:val="22"/>
          <w:szCs w:val="22"/>
        </w:rPr>
        <w:t xml:space="preserve"> push back cases</w:t>
      </w:r>
      <w:r w:rsidR="00F80046" w:rsidRPr="004427CF">
        <w:rPr>
          <w:rFonts w:asciiTheme="minorHAnsi" w:hAnsiTheme="minorHAnsi"/>
          <w:bCs/>
          <w:sz w:val="22"/>
          <w:szCs w:val="22"/>
        </w:rPr>
        <w:t xml:space="preserve"> involving Bulgaria and Greece </w:t>
      </w:r>
      <w:r w:rsidR="00AB74BA" w:rsidRPr="004427CF">
        <w:rPr>
          <w:rFonts w:asciiTheme="minorHAnsi" w:hAnsiTheme="minorHAnsi"/>
          <w:bCs/>
          <w:sz w:val="22"/>
          <w:szCs w:val="22"/>
        </w:rPr>
        <w:t>along the land and sea border with Turkey.</w:t>
      </w:r>
      <w:r w:rsidR="00AB74BA" w:rsidRPr="004427CF">
        <w:rPr>
          <w:rStyle w:val="FootnoteReference"/>
          <w:rFonts w:asciiTheme="minorHAnsi" w:hAnsiTheme="minorHAnsi"/>
          <w:bCs/>
          <w:sz w:val="22"/>
          <w:szCs w:val="22"/>
        </w:rPr>
        <w:footnoteReference w:id="32"/>
      </w:r>
      <w:r w:rsidR="00F80046" w:rsidRPr="004427CF">
        <w:rPr>
          <w:rFonts w:asciiTheme="minorHAnsi" w:hAnsiTheme="minorHAnsi"/>
          <w:bCs/>
          <w:sz w:val="22"/>
          <w:szCs w:val="22"/>
        </w:rPr>
        <w:t xml:space="preserve"> There are also reports – and even videos – of the Spanish border guard immediately returning migrants to Morocco who managed to climb the fences </w:t>
      </w:r>
      <w:r w:rsidR="00601679" w:rsidRPr="004427CF">
        <w:rPr>
          <w:rFonts w:asciiTheme="minorHAnsi" w:hAnsiTheme="minorHAnsi"/>
          <w:bCs/>
          <w:sz w:val="22"/>
          <w:szCs w:val="22"/>
        </w:rPr>
        <w:t>around</w:t>
      </w:r>
      <w:r w:rsidR="00F80046" w:rsidRPr="004427CF">
        <w:rPr>
          <w:rFonts w:asciiTheme="minorHAnsi" w:hAnsiTheme="minorHAnsi"/>
          <w:bCs/>
          <w:sz w:val="22"/>
          <w:szCs w:val="22"/>
        </w:rPr>
        <w:t xml:space="preserve"> the Spanish enclaves Ceuta and Melilla in Morocco.</w:t>
      </w:r>
      <w:r w:rsidR="00F80046" w:rsidRPr="004427CF">
        <w:rPr>
          <w:rStyle w:val="FootnoteReference"/>
          <w:rFonts w:asciiTheme="minorHAnsi" w:hAnsiTheme="minorHAnsi"/>
          <w:bCs/>
          <w:sz w:val="22"/>
          <w:szCs w:val="22"/>
        </w:rPr>
        <w:footnoteReference w:id="33"/>
      </w:r>
      <w:r w:rsidR="00D65E3E" w:rsidRPr="004427CF">
        <w:rPr>
          <w:rFonts w:asciiTheme="minorHAnsi" w:hAnsiTheme="minorHAnsi"/>
          <w:bCs/>
          <w:sz w:val="22"/>
          <w:szCs w:val="22"/>
        </w:rPr>
        <w:t xml:space="preserve"> In a move that resembles Australia’s excision of certain territories from its migration zone, </w:t>
      </w:r>
      <w:r w:rsidR="00D65E3E" w:rsidRPr="004427CF">
        <w:rPr>
          <w:rFonts w:asciiTheme="minorHAnsi" w:hAnsiTheme="minorHAnsi" w:cs="Arial"/>
          <w:bCs/>
          <w:sz w:val="22"/>
          <w:szCs w:val="22"/>
          <w:shd w:val="clear" w:color="auto" w:fill="FFFFFF"/>
        </w:rPr>
        <w:t xml:space="preserve">the Spanish government proposed an amendment to </w:t>
      </w:r>
      <w:r w:rsidR="00F53E1B" w:rsidRPr="004427CF">
        <w:rPr>
          <w:rFonts w:asciiTheme="minorHAnsi" w:hAnsiTheme="minorHAnsi" w:cs="Arial"/>
          <w:bCs/>
          <w:sz w:val="22"/>
          <w:szCs w:val="22"/>
          <w:shd w:val="clear" w:color="auto" w:fill="FFFFFF"/>
        </w:rPr>
        <w:t>its</w:t>
      </w:r>
      <w:r w:rsidR="00D65E3E" w:rsidRPr="004427CF">
        <w:rPr>
          <w:rFonts w:asciiTheme="minorHAnsi" w:hAnsiTheme="minorHAnsi" w:cs="Arial"/>
          <w:bCs/>
          <w:sz w:val="22"/>
          <w:szCs w:val="22"/>
          <w:shd w:val="clear" w:color="auto" w:fill="FFFFFF"/>
        </w:rPr>
        <w:t xml:space="preserve"> immigration law</w:t>
      </w:r>
      <w:r w:rsidR="00F254E2" w:rsidRPr="004427CF">
        <w:rPr>
          <w:rFonts w:asciiTheme="minorHAnsi" w:hAnsiTheme="minorHAnsi" w:cs="Arial"/>
          <w:bCs/>
          <w:sz w:val="22"/>
          <w:szCs w:val="22"/>
          <w:shd w:val="clear" w:color="auto" w:fill="FFFFFF"/>
        </w:rPr>
        <w:t xml:space="preserve"> in October 2014</w:t>
      </w:r>
      <w:r w:rsidR="00D65E3E" w:rsidRPr="004427CF">
        <w:rPr>
          <w:rFonts w:asciiTheme="minorHAnsi" w:hAnsiTheme="minorHAnsi" w:cs="Arial"/>
          <w:bCs/>
          <w:sz w:val="22"/>
          <w:szCs w:val="22"/>
          <w:shd w:val="clear" w:color="auto" w:fill="FFFFFF"/>
        </w:rPr>
        <w:t xml:space="preserve"> which would allow rejecting migrants who </w:t>
      </w:r>
      <w:r w:rsidR="00F53E1B" w:rsidRPr="004427CF">
        <w:rPr>
          <w:rFonts w:asciiTheme="minorHAnsi" w:hAnsiTheme="minorHAnsi" w:cs="Arial"/>
          <w:bCs/>
          <w:sz w:val="22"/>
          <w:szCs w:val="22"/>
          <w:shd w:val="clear" w:color="auto" w:fill="FFFFFF"/>
        </w:rPr>
        <w:t>present themselves at the border of</w:t>
      </w:r>
      <w:r w:rsidR="00D65E3E" w:rsidRPr="004427CF">
        <w:rPr>
          <w:rFonts w:asciiTheme="minorHAnsi" w:hAnsiTheme="minorHAnsi" w:cs="Arial"/>
          <w:sz w:val="22"/>
          <w:szCs w:val="22"/>
          <w:shd w:val="clear" w:color="auto" w:fill="FFFFFF"/>
        </w:rPr>
        <w:t xml:space="preserve"> Ceuta and Melilla</w:t>
      </w:r>
      <w:r w:rsidR="00F254E2" w:rsidRPr="004427CF">
        <w:rPr>
          <w:rFonts w:asciiTheme="minorHAnsi" w:hAnsiTheme="minorHAnsi" w:cs="Arial"/>
          <w:sz w:val="22"/>
          <w:szCs w:val="22"/>
          <w:shd w:val="clear" w:color="auto" w:fill="FFFFFF"/>
        </w:rPr>
        <w:t xml:space="preserve"> and returning them to Morocco</w:t>
      </w:r>
      <w:r w:rsidR="00D65E3E" w:rsidRPr="004427CF">
        <w:rPr>
          <w:rFonts w:asciiTheme="minorHAnsi" w:hAnsiTheme="minorHAnsi" w:cs="Arial"/>
          <w:sz w:val="22"/>
          <w:szCs w:val="22"/>
          <w:shd w:val="clear" w:color="auto" w:fill="FFFFFF"/>
        </w:rPr>
        <w:t>, presumably legalizing a practice that is already ongoing</w:t>
      </w:r>
      <w:r w:rsidR="00F254E2" w:rsidRPr="004427CF">
        <w:rPr>
          <w:rFonts w:asciiTheme="minorHAnsi" w:hAnsiTheme="minorHAnsi" w:cs="Arial"/>
          <w:sz w:val="22"/>
          <w:szCs w:val="22"/>
          <w:shd w:val="clear" w:color="auto" w:fill="FFFFFF"/>
        </w:rPr>
        <w:t xml:space="preserve"> – but hard to reconcile with the standards developed in the </w:t>
      </w:r>
      <w:proofErr w:type="spellStart"/>
      <w:r w:rsidR="00F254E2" w:rsidRPr="004427CF">
        <w:rPr>
          <w:rFonts w:asciiTheme="minorHAnsi" w:hAnsiTheme="minorHAnsi" w:cs="Arial"/>
          <w:i/>
          <w:sz w:val="22"/>
          <w:szCs w:val="22"/>
          <w:shd w:val="clear" w:color="auto" w:fill="FFFFFF"/>
        </w:rPr>
        <w:t>Hirsi</w:t>
      </w:r>
      <w:proofErr w:type="spellEnd"/>
      <w:r w:rsidR="00F254E2" w:rsidRPr="004427CF">
        <w:rPr>
          <w:rFonts w:asciiTheme="minorHAnsi" w:hAnsiTheme="minorHAnsi" w:cs="Arial"/>
          <w:i/>
          <w:sz w:val="22"/>
          <w:szCs w:val="22"/>
          <w:shd w:val="clear" w:color="auto" w:fill="FFFFFF"/>
        </w:rPr>
        <w:t xml:space="preserve"> </w:t>
      </w:r>
      <w:r w:rsidR="00F254E2" w:rsidRPr="004427CF">
        <w:rPr>
          <w:rFonts w:asciiTheme="minorHAnsi" w:hAnsiTheme="minorHAnsi" w:cs="Arial"/>
          <w:sz w:val="22"/>
          <w:szCs w:val="22"/>
          <w:shd w:val="clear" w:color="auto" w:fill="FFFFFF"/>
        </w:rPr>
        <w:t>judgment</w:t>
      </w:r>
      <w:r w:rsidR="00D65E3E" w:rsidRPr="004427CF">
        <w:rPr>
          <w:rFonts w:asciiTheme="minorHAnsi" w:hAnsiTheme="minorHAnsi" w:cs="Arial"/>
          <w:sz w:val="22"/>
          <w:szCs w:val="22"/>
          <w:shd w:val="clear" w:color="auto" w:fill="FFFFFF"/>
        </w:rPr>
        <w:t>.</w:t>
      </w:r>
      <w:r w:rsidR="00D65E3E" w:rsidRPr="004427CF">
        <w:rPr>
          <w:rStyle w:val="FootnoteReference"/>
          <w:rFonts w:asciiTheme="minorHAnsi" w:hAnsiTheme="minorHAnsi" w:cs="Arial"/>
          <w:sz w:val="22"/>
          <w:szCs w:val="22"/>
          <w:shd w:val="clear" w:color="auto" w:fill="FFFFFF"/>
        </w:rPr>
        <w:footnoteReference w:id="34"/>
      </w:r>
      <w:r w:rsidR="00F254E2" w:rsidRPr="004427CF">
        <w:rPr>
          <w:rFonts w:asciiTheme="minorHAnsi" w:hAnsiTheme="minorHAnsi" w:cs="Arial"/>
          <w:sz w:val="22"/>
          <w:szCs w:val="22"/>
          <w:shd w:val="clear" w:color="auto" w:fill="FFFFFF"/>
        </w:rPr>
        <w:t xml:space="preserve"> The </w:t>
      </w:r>
      <w:proofErr w:type="spellStart"/>
      <w:r w:rsidR="00D76B66" w:rsidRPr="004427CF">
        <w:rPr>
          <w:rFonts w:asciiTheme="minorHAnsi" w:hAnsiTheme="minorHAnsi" w:cs="Arial"/>
          <w:i/>
          <w:sz w:val="22"/>
          <w:szCs w:val="22"/>
          <w:shd w:val="clear" w:color="auto" w:fill="FFFFFF"/>
        </w:rPr>
        <w:t>Hirsi</w:t>
      </w:r>
      <w:proofErr w:type="spellEnd"/>
      <w:r w:rsidR="00D76B66" w:rsidRPr="004427CF">
        <w:rPr>
          <w:rFonts w:asciiTheme="minorHAnsi" w:hAnsiTheme="minorHAnsi" w:cs="Arial"/>
          <w:sz w:val="22"/>
          <w:szCs w:val="22"/>
          <w:shd w:val="clear" w:color="auto" w:fill="FFFFFF"/>
        </w:rPr>
        <w:t xml:space="preserve"> </w:t>
      </w:r>
      <w:r w:rsidR="00F254E2" w:rsidRPr="004427CF">
        <w:rPr>
          <w:rFonts w:asciiTheme="minorHAnsi" w:hAnsiTheme="minorHAnsi" w:cs="Arial"/>
          <w:sz w:val="22"/>
          <w:szCs w:val="22"/>
          <w:shd w:val="clear" w:color="auto" w:fill="FFFFFF"/>
        </w:rPr>
        <w:t xml:space="preserve">standards were confirmed by the </w:t>
      </w:r>
      <w:proofErr w:type="spellStart"/>
      <w:r w:rsidR="00F254E2" w:rsidRPr="004427CF">
        <w:rPr>
          <w:rFonts w:asciiTheme="minorHAnsi" w:hAnsiTheme="minorHAnsi" w:cs="Arial"/>
          <w:sz w:val="22"/>
          <w:szCs w:val="22"/>
          <w:shd w:val="clear" w:color="auto" w:fill="FFFFFF"/>
        </w:rPr>
        <w:t>ECtHR</w:t>
      </w:r>
      <w:proofErr w:type="spellEnd"/>
      <w:r w:rsidR="00F254E2" w:rsidRPr="004427CF">
        <w:rPr>
          <w:rFonts w:asciiTheme="minorHAnsi" w:hAnsiTheme="minorHAnsi" w:cs="Arial"/>
          <w:sz w:val="22"/>
          <w:szCs w:val="22"/>
          <w:shd w:val="clear" w:color="auto" w:fill="FFFFFF"/>
        </w:rPr>
        <w:t xml:space="preserve"> in its later judgment in </w:t>
      </w:r>
      <w:proofErr w:type="spellStart"/>
      <w:r w:rsidR="00F254E2" w:rsidRPr="004427CF">
        <w:rPr>
          <w:rFonts w:asciiTheme="minorHAnsi" w:hAnsiTheme="minorHAnsi" w:cs="Arial"/>
          <w:i/>
          <w:sz w:val="22"/>
          <w:szCs w:val="22"/>
          <w:shd w:val="clear" w:color="auto" w:fill="FFFFFF"/>
        </w:rPr>
        <w:t>Sharifi</w:t>
      </w:r>
      <w:proofErr w:type="spellEnd"/>
      <w:r w:rsidR="00F254E2" w:rsidRPr="004427CF">
        <w:rPr>
          <w:rFonts w:asciiTheme="minorHAnsi" w:hAnsiTheme="minorHAnsi" w:cs="Arial"/>
          <w:sz w:val="22"/>
          <w:szCs w:val="22"/>
          <w:shd w:val="clear" w:color="auto" w:fill="FFFFFF"/>
        </w:rPr>
        <w:t xml:space="preserve">, </w:t>
      </w:r>
      <w:r w:rsidR="00443C42" w:rsidRPr="004427CF">
        <w:rPr>
          <w:rFonts w:asciiTheme="minorHAnsi" w:hAnsiTheme="minorHAnsi" w:cs="Arial"/>
          <w:sz w:val="22"/>
          <w:szCs w:val="22"/>
          <w:shd w:val="clear" w:color="auto" w:fill="FFFFFF"/>
        </w:rPr>
        <w:t xml:space="preserve">a case </w:t>
      </w:r>
      <w:r w:rsidR="00F254E2" w:rsidRPr="004427CF">
        <w:rPr>
          <w:rFonts w:asciiTheme="minorHAnsi" w:hAnsiTheme="minorHAnsi" w:cs="Arial"/>
          <w:sz w:val="22"/>
          <w:szCs w:val="22"/>
          <w:shd w:val="clear" w:color="auto" w:fill="FFFFFF"/>
        </w:rPr>
        <w:t xml:space="preserve">concerning a group of migrants from Afghanistan, Sudan and Eritrea, who had travelled by boat from the Greek town of </w:t>
      </w:r>
      <w:proofErr w:type="spellStart"/>
      <w:r w:rsidR="00F254E2" w:rsidRPr="004427CF">
        <w:rPr>
          <w:rFonts w:asciiTheme="minorHAnsi" w:hAnsiTheme="minorHAnsi" w:cs="Arial"/>
          <w:sz w:val="22"/>
          <w:szCs w:val="22"/>
          <w:shd w:val="clear" w:color="auto" w:fill="FFFFFF"/>
        </w:rPr>
        <w:t>Patras</w:t>
      </w:r>
      <w:proofErr w:type="spellEnd"/>
      <w:r w:rsidR="00F254E2" w:rsidRPr="004427CF">
        <w:rPr>
          <w:rFonts w:asciiTheme="minorHAnsi" w:hAnsiTheme="minorHAnsi" w:cs="Arial"/>
          <w:sz w:val="22"/>
          <w:szCs w:val="22"/>
          <w:shd w:val="clear" w:color="auto" w:fill="FFFFFF"/>
        </w:rPr>
        <w:t xml:space="preserve"> to Bari</w:t>
      </w:r>
      <w:r w:rsidR="00443C42" w:rsidRPr="004427CF">
        <w:rPr>
          <w:rFonts w:asciiTheme="minorHAnsi" w:hAnsiTheme="minorHAnsi" w:cs="Arial"/>
          <w:sz w:val="22"/>
          <w:szCs w:val="22"/>
          <w:shd w:val="clear" w:color="auto" w:fill="FFFFFF"/>
        </w:rPr>
        <w:t xml:space="preserve">, </w:t>
      </w:r>
      <w:r w:rsidR="00F254E2" w:rsidRPr="004427CF">
        <w:rPr>
          <w:rFonts w:asciiTheme="minorHAnsi" w:hAnsiTheme="minorHAnsi" w:cs="Arial"/>
          <w:sz w:val="22"/>
          <w:szCs w:val="22"/>
          <w:shd w:val="clear" w:color="auto" w:fill="FFFFFF"/>
        </w:rPr>
        <w:t>Italy in 2008</w:t>
      </w:r>
      <w:r w:rsidR="00706552" w:rsidRPr="004427CF">
        <w:rPr>
          <w:rFonts w:asciiTheme="minorHAnsi" w:hAnsiTheme="minorHAnsi" w:cs="Arial"/>
          <w:sz w:val="22"/>
          <w:szCs w:val="22"/>
          <w:shd w:val="clear" w:color="auto" w:fill="FFFFFF"/>
        </w:rPr>
        <w:t xml:space="preserve"> and 2009</w:t>
      </w:r>
      <w:r w:rsidR="00F254E2" w:rsidRPr="004427CF">
        <w:rPr>
          <w:rFonts w:asciiTheme="minorHAnsi" w:hAnsiTheme="minorHAnsi" w:cs="Arial"/>
          <w:sz w:val="22"/>
          <w:szCs w:val="22"/>
          <w:shd w:val="clear" w:color="auto" w:fill="FFFFFF"/>
        </w:rPr>
        <w:t>, where the Italian border police intercepted them and immediately deported them back to Greece.</w:t>
      </w:r>
      <w:r w:rsidR="00F254E2" w:rsidRPr="004427CF">
        <w:rPr>
          <w:rStyle w:val="FootnoteReference"/>
          <w:rFonts w:asciiTheme="minorHAnsi" w:hAnsiTheme="minorHAnsi" w:cs="Arial"/>
          <w:sz w:val="22"/>
          <w:szCs w:val="22"/>
          <w:shd w:val="clear" w:color="auto" w:fill="FFFFFF"/>
        </w:rPr>
        <w:footnoteReference w:id="35"/>
      </w:r>
    </w:p>
    <w:p w:rsidR="00615E28" w:rsidRPr="004427CF" w:rsidRDefault="000E63A8" w:rsidP="00B80CBE">
      <w:pPr>
        <w:spacing w:line="276" w:lineRule="auto"/>
        <w:ind w:firstLine="720"/>
        <w:rPr>
          <w:rFonts w:asciiTheme="minorHAnsi" w:hAnsiTheme="minorHAnsi"/>
          <w:bCs/>
          <w:sz w:val="22"/>
          <w:szCs w:val="22"/>
        </w:rPr>
      </w:pPr>
      <w:r w:rsidRPr="004427CF">
        <w:rPr>
          <w:rFonts w:asciiTheme="minorHAnsi" w:hAnsiTheme="minorHAnsi" w:cs="Arial"/>
          <w:sz w:val="22"/>
          <w:szCs w:val="22"/>
          <w:shd w:val="clear" w:color="auto" w:fill="FFFFFF"/>
        </w:rPr>
        <w:t>T</w:t>
      </w:r>
      <w:r w:rsidR="00F254E2" w:rsidRPr="004427CF">
        <w:rPr>
          <w:rFonts w:asciiTheme="minorHAnsi" w:hAnsiTheme="minorHAnsi" w:cs="Arial"/>
          <w:sz w:val="22"/>
          <w:szCs w:val="22"/>
          <w:shd w:val="clear" w:color="auto" w:fill="FFFFFF"/>
        </w:rPr>
        <w:t xml:space="preserve">he </w:t>
      </w:r>
      <w:r w:rsidR="00D76B66" w:rsidRPr="004427CF">
        <w:rPr>
          <w:rFonts w:asciiTheme="minorHAnsi" w:hAnsiTheme="minorHAnsi" w:cs="Arial"/>
          <w:sz w:val="22"/>
          <w:szCs w:val="22"/>
          <w:shd w:val="clear" w:color="auto" w:fill="FFFFFF"/>
        </w:rPr>
        <w:t>reluctance on the part of at least some European states to allow migrants entry into a proper refugee status determination procedure or return procedure,</w:t>
      </w:r>
      <w:r w:rsidRPr="004427CF">
        <w:rPr>
          <w:rFonts w:asciiTheme="minorHAnsi" w:hAnsiTheme="minorHAnsi" w:cs="Arial"/>
          <w:sz w:val="22"/>
          <w:szCs w:val="22"/>
          <w:shd w:val="clear" w:color="auto" w:fill="FFFFFF"/>
        </w:rPr>
        <w:t xml:space="preserve"> </w:t>
      </w:r>
      <w:r w:rsidR="00F83F26" w:rsidRPr="004427CF">
        <w:rPr>
          <w:rFonts w:asciiTheme="minorHAnsi" w:hAnsiTheme="minorHAnsi" w:cs="Arial"/>
          <w:sz w:val="22"/>
          <w:szCs w:val="22"/>
          <w:shd w:val="clear" w:color="auto" w:fill="FFFFFF"/>
        </w:rPr>
        <w:t>makes it easier to understand why</w:t>
      </w:r>
      <w:r w:rsidR="00F254E2" w:rsidRPr="004427CF">
        <w:rPr>
          <w:rFonts w:asciiTheme="minorHAnsi" w:hAnsiTheme="minorHAnsi" w:cs="Arial"/>
          <w:sz w:val="22"/>
          <w:szCs w:val="22"/>
          <w:shd w:val="clear" w:color="auto" w:fill="FFFFFF"/>
        </w:rPr>
        <w:t xml:space="preserve"> </w:t>
      </w:r>
      <w:r w:rsidR="00F254E2" w:rsidRPr="004427CF">
        <w:rPr>
          <w:rFonts w:asciiTheme="minorHAnsi" w:hAnsiTheme="minorHAnsi"/>
          <w:bCs/>
          <w:sz w:val="22"/>
          <w:szCs w:val="22"/>
        </w:rPr>
        <w:t xml:space="preserve">the </w:t>
      </w:r>
      <w:proofErr w:type="spellStart"/>
      <w:r w:rsidR="00F254E2" w:rsidRPr="004427CF">
        <w:rPr>
          <w:rFonts w:asciiTheme="minorHAnsi" w:hAnsiTheme="minorHAnsi"/>
          <w:bCs/>
          <w:sz w:val="22"/>
          <w:szCs w:val="22"/>
        </w:rPr>
        <w:t>Frontex</w:t>
      </w:r>
      <w:proofErr w:type="spellEnd"/>
      <w:r w:rsidR="00F254E2" w:rsidRPr="004427CF">
        <w:rPr>
          <w:rFonts w:asciiTheme="minorHAnsi" w:hAnsiTheme="minorHAnsi"/>
          <w:bCs/>
          <w:sz w:val="22"/>
          <w:szCs w:val="22"/>
        </w:rPr>
        <w:t xml:space="preserve"> Sea Borders Regulation, </w:t>
      </w:r>
      <w:r w:rsidR="00F83F26" w:rsidRPr="004427CF">
        <w:rPr>
          <w:rFonts w:asciiTheme="minorHAnsi" w:hAnsiTheme="minorHAnsi"/>
          <w:bCs/>
          <w:sz w:val="22"/>
          <w:szCs w:val="22"/>
        </w:rPr>
        <w:t xml:space="preserve">which was </w:t>
      </w:r>
      <w:r w:rsidR="00F254E2" w:rsidRPr="004427CF">
        <w:rPr>
          <w:rFonts w:asciiTheme="minorHAnsi" w:hAnsiTheme="minorHAnsi"/>
          <w:bCs/>
          <w:sz w:val="22"/>
          <w:szCs w:val="22"/>
        </w:rPr>
        <w:t xml:space="preserve">adopted two years </w:t>
      </w:r>
      <w:r w:rsidR="00F83F26" w:rsidRPr="004427CF">
        <w:rPr>
          <w:rFonts w:asciiTheme="minorHAnsi" w:hAnsiTheme="minorHAnsi"/>
          <w:bCs/>
          <w:sz w:val="22"/>
          <w:szCs w:val="22"/>
        </w:rPr>
        <w:t xml:space="preserve">after the </w:t>
      </w:r>
      <w:proofErr w:type="spellStart"/>
      <w:r w:rsidR="00F83F26" w:rsidRPr="004427CF">
        <w:rPr>
          <w:rFonts w:asciiTheme="minorHAnsi" w:hAnsiTheme="minorHAnsi"/>
          <w:bCs/>
          <w:i/>
          <w:sz w:val="22"/>
          <w:szCs w:val="22"/>
        </w:rPr>
        <w:t>Hirsi</w:t>
      </w:r>
      <w:proofErr w:type="spellEnd"/>
      <w:r w:rsidR="00F83F26" w:rsidRPr="004427CF">
        <w:rPr>
          <w:rFonts w:asciiTheme="minorHAnsi" w:hAnsiTheme="minorHAnsi"/>
          <w:bCs/>
          <w:sz w:val="22"/>
          <w:szCs w:val="22"/>
        </w:rPr>
        <w:t xml:space="preserve"> judgment</w:t>
      </w:r>
      <w:r w:rsidR="00F254E2" w:rsidRPr="004427CF">
        <w:rPr>
          <w:rFonts w:asciiTheme="minorHAnsi" w:hAnsiTheme="minorHAnsi"/>
          <w:bCs/>
          <w:sz w:val="22"/>
          <w:szCs w:val="22"/>
        </w:rPr>
        <w:t xml:space="preserve">, only </w:t>
      </w:r>
      <w:r w:rsidR="00F254E2" w:rsidRPr="004427CF">
        <w:rPr>
          <w:rFonts w:asciiTheme="minorHAnsi" w:hAnsiTheme="minorHAnsi"/>
          <w:bCs/>
          <w:sz w:val="22"/>
          <w:szCs w:val="22"/>
        </w:rPr>
        <w:lastRenderedPageBreak/>
        <w:t xml:space="preserve">half-heartedly seeks to incorporate the standards of that judgment. </w:t>
      </w:r>
      <w:r w:rsidR="00C0053F" w:rsidRPr="004427CF">
        <w:rPr>
          <w:rFonts w:asciiTheme="minorHAnsi" w:hAnsiTheme="minorHAnsi"/>
          <w:bCs/>
          <w:sz w:val="22"/>
          <w:szCs w:val="22"/>
        </w:rPr>
        <w:t xml:space="preserve">In proposing the Regulation, the European Commission expressly sought to take account of the </w:t>
      </w:r>
      <w:proofErr w:type="spellStart"/>
      <w:r w:rsidR="00C0053F" w:rsidRPr="004427CF">
        <w:rPr>
          <w:rFonts w:asciiTheme="minorHAnsi" w:hAnsiTheme="minorHAnsi"/>
          <w:bCs/>
          <w:i/>
          <w:sz w:val="22"/>
          <w:szCs w:val="22"/>
        </w:rPr>
        <w:t>Hirsi</w:t>
      </w:r>
      <w:proofErr w:type="spellEnd"/>
      <w:r w:rsidR="00C0053F" w:rsidRPr="004427CF">
        <w:rPr>
          <w:rFonts w:asciiTheme="minorHAnsi" w:hAnsiTheme="minorHAnsi"/>
          <w:bCs/>
          <w:i/>
          <w:sz w:val="22"/>
          <w:szCs w:val="22"/>
        </w:rPr>
        <w:t xml:space="preserve"> </w:t>
      </w:r>
      <w:r w:rsidR="00C0053F" w:rsidRPr="004427CF">
        <w:rPr>
          <w:rFonts w:asciiTheme="minorHAnsi" w:hAnsiTheme="minorHAnsi"/>
          <w:bCs/>
          <w:sz w:val="22"/>
          <w:szCs w:val="22"/>
        </w:rPr>
        <w:t>standards.</w:t>
      </w:r>
      <w:r w:rsidR="00C0053F" w:rsidRPr="004427CF">
        <w:rPr>
          <w:rStyle w:val="FootnoteReference"/>
          <w:rFonts w:asciiTheme="minorHAnsi" w:hAnsiTheme="minorHAnsi"/>
          <w:bCs/>
          <w:sz w:val="22"/>
          <w:szCs w:val="22"/>
        </w:rPr>
        <w:footnoteReference w:id="36"/>
      </w:r>
      <w:r w:rsidR="00C0053F" w:rsidRPr="004427CF">
        <w:rPr>
          <w:rFonts w:asciiTheme="minorHAnsi" w:hAnsiTheme="minorHAnsi"/>
          <w:bCs/>
          <w:sz w:val="22"/>
          <w:szCs w:val="22"/>
        </w:rPr>
        <w:t xml:space="preserve"> Instead of merely alluding to the prohibition of returning asylum seekers to an unsafe country (non-</w:t>
      </w:r>
      <w:proofErr w:type="spellStart"/>
      <w:r w:rsidR="00C0053F" w:rsidRPr="004427CF">
        <w:rPr>
          <w:rFonts w:asciiTheme="minorHAnsi" w:hAnsiTheme="minorHAnsi"/>
          <w:bCs/>
          <w:sz w:val="22"/>
          <w:szCs w:val="22"/>
        </w:rPr>
        <w:t>refoulement</w:t>
      </w:r>
      <w:proofErr w:type="spellEnd"/>
      <w:r w:rsidR="00C0053F" w:rsidRPr="004427CF">
        <w:rPr>
          <w:rFonts w:asciiTheme="minorHAnsi" w:hAnsiTheme="minorHAnsi"/>
          <w:bCs/>
          <w:sz w:val="22"/>
          <w:szCs w:val="22"/>
        </w:rPr>
        <w:t xml:space="preserve">) without setting forth how that prohibition should be guaranteed in practice, as was done in Decision 2010/252/EU, the </w:t>
      </w:r>
      <w:r w:rsidR="00D76B66" w:rsidRPr="004427CF">
        <w:rPr>
          <w:rFonts w:asciiTheme="minorHAnsi" w:hAnsiTheme="minorHAnsi"/>
          <w:bCs/>
          <w:sz w:val="22"/>
          <w:szCs w:val="22"/>
        </w:rPr>
        <w:t>Regulation</w:t>
      </w:r>
      <w:r w:rsidR="00C0053F" w:rsidRPr="004427CF">
        <w:rPr>
          <w:rFonts w:asciiTheme="minorHAnsi" w:hAnsiTheme="minorHAnsi"/>
          <w:bCs/>
          <w:sz w:val="22"/>
          <w:szCs w:val="22"/>
        </w:rPr>
        <w:t xml:space="preserve"> set</w:t>
      </w:r>
      <w:r w:rsidR="00D76B66" w:rsidRPr="004427CF">
        <w:rPr>
          <w:rFonts w:asciiTheme="minorHAnsi" w:hAnsiTheme="minorHAnsi"/>
          <w:bCs/>
          <w:sz w:val="22"/>
          <w:szCs w:val="22"/>
        </w:rPr>
        <w:t>s</w:t>
      </w:r>
      <w:r w:rsidR="00C0053F" w:rsidRPr="004427CF">
        <w:rPr>
          <w:rFonts w:asciiTheme="minorHAnsi" w:hAnsiTheme="minorHAnsi"/>
          <w:bCs/>
          <w:sz w:val="22"/>
          <w:szCs w:val="22"/>
        </w:rPr>
        <w:t xml:space="preserve"> forth a number of substantive and procedural guarantees. Thus, it is stipulated that ‘when considering the possibility of disembarkation in a third country’, </w:t>
      </w:r>
      <w:r w:rsidR="00615E28" w:rsidRPr="004427CF">
        <w:rPr>
          <w:rFonts w:asciiTheme="minorHAnsi" w:hAnsiTheme="minorHAnsi"/>
          <w:bCs/>
          <w:sz w:val="22"/>
          <w:szCs w:val="22"/>
        </w:rPr>
        <w:t>the participating Member States ‘shall take into account the general situation in that country’.</w:t>
      </w:r>
      <w:r w:rsidR="00615E28" w:rsidRPr="004427CF">
        <w:rPr>
          <w:rStyle w:val="FootnoteReference"/>
          <w:rFonts w:asciiTheme="minorHAnsi" w:hAnsiTheme="minorHAnsi"/>
          <w:bCs/>
          <w:sz w:val="22"/>
          <w:szCs w:val="22"/>
        </w:rPr>
        <w:footnoteReference w:id="37"/>
      </w:r>
      <w:r w:rsidR="00615E28" w:rsidRPr="004427CF">
        <w:rPr>
          <w:rFonts w:asciiTheme="minorHAnsi" w:hAnsiTheme="minorHAnsi"/>
          <w:bCs/>
          <w:sz w:val="22"/>
          <w:szCs w:val="22"/>
        </w:rPr>
        <w:t xml:space="preserve"> Furthermore, it is laid down that ‘all means are used to identify the intercepted or rescued persons’ before being returned to a third country.</w:t>
      </w:r>
      <w:r w:rsidR="00615E28" w:rsidRPr="004427CF">
        <w:rPr>
          <w:rStyle w:val="FootnoteReference"/>
          <w:rFonts w:asciiTheme="minorHAnsi" w:hAnsiTheme="minorHAnsi"/>
          <w:bCs/>
          <w:sz w:val="22"/>
          <w:szCs w:val="22"/>
        </w:rPr>
        <w:footnoteReference w:id="38"/>
      </w:r>
    </w:p>
    <w:p w:rsidR="006D436E" w:rsidRPr="004427CF" w:rsidRDefault="00615E28" w:rsidP="00B80CBE">
      <w:pPr>
        <w:spacing w:line="276" w:lineRule="auto"/>
        <w:ind w:firstLine="720"/>
        <w:rPr>
          <w:rFonts w:asciiTheme="minorHAnsi" w:hAnsiTheme="minorHAnsi" w:cs="Arial"/>
          <w:sz w:val="22"/>
          <w:szCs w:val="22"/>
          <w:shd w:val="clear" w:color="auto" w:fill="FFFFFF"/>
        </w:rPr>
      </w:pPr>
      <w:r w:rsidRPr="004427CF">
        <w:rPr>
          <w:rFonts w:asciiTheme="minorHAnsi" w:hAnsiTheme="minorHAnsi"/>
          <w:bCs/>
          <w:sz w:val="22"/>
          <w:szCs w:val="22"/>
        </w:rPr>
        <w:t>But a</w:t>
      </w:r>
      <w:r w:rsidR="00F53E1B" w:rsidRPr="004427CF">
        <w:rPr>
          <w:rFonts w:asciiTheme="minorHAnsi" w:hAnsiTheme="minorHAnsi"/>
          <w:bCs/>
          <w:sz w:val="22"/>
          <w:szCs w:val="22"/>
        </w:rPr>
        <w:t xml:space="preserve"> close</w:t>
      </w:r>
      <w:r w:rsidRPr="004427CF">
        <w:rPr>
          <w:rFonts w:asciiTheme="minorHAnsi" w:hAnsiTheme="minorHAnsi"/>
          <w:bCs/>
          <w:sz w:val="22"/>
          <w:szCs w:val="22"/>
        </w:rPr>
        <w:t>r</w:t>
      </w:r>
      <w:r w:rsidR="00F53E1B" w:rsidRPr="004427CF">
        <w:rPr>
          <w:rFonts w:asciiTheme="minorHAnsi" w:hAnsiTheme="minorHAnsi"/>
          <w:bCs/>
          <w:sz w:val="22"/>
          <w:szCs w:val="22"/>
        </w:rPr>
        <w:t xml:space="preserve"> reading of the </w:t>
      </w:r>
      <w:r w:rsidRPr="004427CF">
        <w:rPr>
          <w:rFonts w:asciiTheme="minorHAnsi" w:hAnsiTheme="minorHAnsi"/>
          <w:bCs/>
          <w:sz w:val="22"/>
          <w:szCs w:val="22"/>
        </w:rPr>
        <w:t>R</w:t>
      </w:r>
      <w:r w:rsidR="00F53E1B" w:rsidRPr="004427CF">
        <w:rPr>
          <w:rFonts w:asciiTheme="minorHAnsi" w:hAnsiTheme="minorHAnsi"/>
          <w:bCs/>
          <w:sz w:val="22"/>
          <w:szCs w:val="22"/>
        </w:rPr>
        <w:t xml:space="preserve">egulation text reveals that in three areas </w:t>
      </w:r>
      <w:r w:rsidR="0004653E" w:rsidRPr="004427CF">
        <w:rPr>
          <w:rFonts w:asciiTheme="minorHAnsi" w:hAnsiTheme="minorHAnsi"/>
          <w:bCs/>
          <w:sz w:val="22"/>
          <w:szCs w:val="22"/>
        </w:rPr>
        <w:t>relating to procedural standards</w:t>
      </w:r>
      <w:r w:rsidR="00F53E1B" w:rsidRPr="004427CF">
        <w:rPr>
          <w:rFonts w:asciiTheme="minorHAnsi" w:hAnsiTheme="minorHAnsi"/>
          <w:bCs/>
          <w:sz w:val="22"/>
          <w:szCs w:val="22"/>
        </w:rPr>
        <w:t xml:space="preserve">, the drafters have </w:t>
      </w:r>
      <w:r w:rsidR="006D436E" w:rsidRPr="004427CF">
        <w:rPr>
          <w:rFonts w:asciiTheme="minorHAnsi" w:hAnsiTheme="minorHAnsi"/>
          <w:bCs/>
          <w:sz w:val="22"/>
          <w:szCs w:val="22"/>
        </w:rPr>
        <w:t>left room for ambiguity.</w:t>
      </w:r>
      <w:r w:rsidR="006D436E" w:rsidRPr="004427CF">
        <w:rPr>
          <w:rFonts w:asciiTheme="minorHAnsi" w:hAnsiTheme="minorHAnsi" w:cs="Arial"/>
          <w:sz w:val="22"/>
          <w:szCs w:val="22"/>
          <w:shd w:val="clear" w:color="auto" w:fill="FFFFFF"/>
        </w:rPr>
        <w:t xml:space="preserve"> The Regulation provides as basic rule that disembarkation shall occur in the coastal Member State in the case of interception in the territorial sea or the contiguous zone, and holds that in the case of interception on the high seas, disembarkation may take place in a third country. If that is not possible, disembarkation shall take place in the host Member State.</w:t>
      </w:r>
      <w:r w:rsidR="00D76B66" w:rsidRPr="004427CF">
        <w:rPr>
          <w:rStyle w:val="FootnoteReference"/>
          <w:rFonts w:asciiTheme="minorHAnsi" w:hAnsiTheme="minorHAnsi" w:cs="Arial"/>
          <w:sz w:val="22"/>
          <w:szCs w:val="22"/>
          <w:shd w:val="clear" w:color="auto" w:fill="FFFFFF"/>
        </w:rPr>
        <w:footnoteReference w:id="39"/>
      </w:r>
    </w:p>
    <w:p w:rsidR="006D436E" w:rsidRPr="004427CF" w:rsidRDefault="006D436E" w:rsidP="00B80CBE">
      <w:pPr>
        <w:spacing w:line="276" w:lineRule="auto"/>
        <w:rPr>
          <w:rFonts w:asciiTheme="minorHAnsi" w:hAnsiTheme="minorHAnsi" w:cs="Arial"/>
          <w:sz w:val="22"/>
          <w:szCs w:val="22"/>
          <w:shd w:val="clear" w:color="auto" w:fill="FFFFFF"/>
        </w:rPr>
      </w:pPr>
      <w:r w:rsidRPr="004427CF">
        <w:rPr>
          <w:rFonts w:asciiTheme="minorHAnsi" w:hAnsiTheme="minorHAnsi" w:cs="Arial"/>
          <w:sz w:val="22"/>
          <w:szCs w:val="22"/>
          <w:shd w:val="clear" w:color="auto" w:fill="FFFFFF"/>
        </w:rPr>
        <w:tab/>
        <w:t>The rule of disembarkation in the coastal Member State in the situation of interception in the territorial waters is in line with the clarification in the recast Asylum Procedures Directive that asylum applications made in the territorial waters fall within the directive’s scope and are therefore to be examined by the coastal Member State.</w:t>
      </w:r>
      <w:r w:rsidRPr="004427CF">
        <w:rPr>
          <w:rStyle w:val="FootnoteReference"/>
          <w:rFonts w:asciiTheme="minorHAnsi" w:hAnsiTheme="minorHAnsi" w:cs="Arial"/>
          <w:sz w:val="22"/>
          <w:szCs w:val="22"/>
          <w:shd w:val="clear" w:color="auto" w:fill="FFFFFF"/>
        </w:rPr>
        <w:footnoteReference w:id="40"/>
      </w:r>
      <w:r w:rsidRPr="004427CF">
        <w:rPr>
          <w:rFonts w:asciiTheme="minorHAnsi" w:hAnsiTheme="minorHAnsi" w:cs="Arial"/>
          <w:sz w:val="22"/>
          <w:szCs w:val="22"/>
          <w:shd w:val="clear" w:color="auto" w:fill="FFFFFF"/>
        </w:rPr>
        <w:t xml:space="preserve"> The Regulation does not, however, address the possibility of asylum claims made by migrants intercepted in the territorial waters entirely satisfactory. First, by way of exception, Art. 6(2)(b) of the </w:t>
      </w:r>
      <w:proofErr w:type="spellStart"/>
      <w:r w:rsidRPr="004427CF">
        <w:rPr>
          <w:rFonts w:asciiTheme="minorHAnsi" w:hAnsiTheme="minorHAnsi" w:cs="Arial"/>
          <w:sz w:val="22"/>
          <w:szCs w:val="22"/>
          <w:shd w:val="clear" w:color="auto" w:fill="FFFFFF"/>
        </w:rPr>
        <w:t>Frontex</w:t>
      </w:r>
      <w:proofErr w:type="spellEnd"/>
      <w:r w:rsidRPr="004427CF">
        <w:rPr>
          <w:rFonts w:asciiTheme="minorHAnsi" w:hAnsiTheme="minorHAnsi" w:cs="Arial"/>
          <w:sz w:val="22"/>
          <w:szCs w:val="22"/>
          <w:shd w:val="clear" w:color="auto" w:fill="FFFFFF"/>
        </w:rPr>
        <w:t xml:space="preserve"> Sea Borders Regulation allows participating units to order a vessel found in the territorial sea ‘to alter its course towards a destination other than the territorial sea or the contiguous zone’. This compromises the guarantees of the Asylum Procedures Directive and is difficult to reconcile with the </w:t>
      </w:r>
      <w:proofErr w:type="spellStart"/>
      <w:r w:rsidRPr="004427CF">
        <w:rPr>
          <w:rFonts w:asciiTheme="minorHAnsi" w:hAnsiTheme="minorHAnsi" w:cs="Arial"/>
          <w:i/>
          <w:sz w:val="22"/>
          <w:szCs w:val="22"/>
          <w:shd w:val="clear" w:color="auto" w:fill="FFFFFF"/>
        </w:rPr>
        <w:t>Hirsi</w:t>
      </w:r>
      <w:proofErr w:type="spellEnd"/>
      <w:r w:rsidRPr="004427CF">
        <w:rPr>
          <w:rFonts w:asciiTheme="minorHAnsi" w:hAnsiTheme="minorHAnsi" w:cs="Arial"/>
          <w:i/>
          <w:sz w:val="22"/>
          <w:szCs w:val="22"/>
          <w:shd w:val="clear" w:color="auto" w:fill="FFFFFF"/>
        </w:rPr>
        <w:t xml:space="preserve"> </w:t>
      </w:r>
      <w:r w:rsidRPr="004427CF">
        <w:rPr>
          <w:rFonts w:asciiTheme="minorHAnsi" w:hAnsiTheme="minorHAnsi" w:cs="Arial"/>
          <w:sz w:val="22"/>
          <w:szCs w:val="22"/>
          <w:shd w:val="clear" w:color="auto" w:fill="FFFFFF"/>
        </w:rPr>
        <w:t xml:space="preserve">ruling. Second, the Regulation does not address the situation where a coastal Member State experiences systemic flaws in the asylum procedure and in the reception conditions for asylum seekers. Both the </w:t>
      </w:r>
      <w:proofErr w:type="spellStart"/>
      <w:r w:rsidRPr="004427CF">
        <w:rPr>
          <w:rFonts w:asciiTheme="minorHAnsi" w:hAnsiTheme="minorHAnsi" w:cs="Arial"/>
          <w:sz w:val="22"/>
          <w:szCs w:val="22"/>
          <w:shd w:val="clear" w:color="auto" w:fill="FFFFFF"/>
        </w:rPr>
        <w:t>ECtHR</w:t>
      </w:r>
      <w:proofErr w:type="spellEnd"/>
      <w:r w:rsidRPr="004427CF">
        <w:rPr>
          <w:rFonts w:asciiTheme="minorHAnsi" w:hAnsiTheme="minorHAnsi" w:cs="Arial"/>
          <w:sz w:val="22"/>
          <w:szCs w:val="22"/>
          <w:shd w:val="clear" w:color="auto" w:fill="FFFFFF"/>
        </w:rPr>
        <w:t xml:space="preserve"> and the CJEU have declared that in such situations, Member States may not transfer asylum applicants to the Member State in question pursuant to the Dublin Regulation.</w:t>
      </w:r>
      <w:r w:rsidRPr="004427CF">
        <w:rPr>
          <w:rStyle w:val="FootnoteReference"/>
          <w:rFonts w:asciiTheme="minorHAnsi" w:hAnsiTheme="minorHAnsi" w:cs="Arial"/>
          <w:sz w:val="22"/>
          <w:szCs w:val="22"/>
          <w:shd w:val="clear" w:color="auto" w:fill="FFFFFF"/>
        </w:rPr>
        <w:footnoteReference w:id="41"/>
      </w:r>
      <w:r w:rsidRPr="004427CF">
        <w:rPr>
          <w:rFonts w:asciiTheme="minorHAnsi" w:hAnsiTheme="minorHAnsi" w:cs="Arial"/>
          <w:sz w:val="22"/>
          <w:szCs w:val="22"/>
          <w:shd w:val="clear" w:color="auto" w:fill="FFFFFF"/>
        </w:rPr>
        <w:t xml:space="preserve"> This is especially relevant in the context of </w:t>
      </w:r>
      <w:proofErr w:type="spellStart"/>
      <w:r w:rsidRPr="004427CF">
        <w:rPr>
          <w:rFonts w:asciiTheme="minorHAnsi" w:hAnsiTheme="minorHAnsi" w:cs="Arial"/>
          <w:sz w:val="22"/>
          <w:szCs w:val="22"/>
          <w:shd w:val="clear" w:color="auto" w:fill="FFFFFF"/>
        </w:rPr>
        <w:t>Frontex</w:t>
      </w:r>
      <w:proofErr w:type="spellEnd"/>
      <w:r w:rsidRPr="004427CF">
        <w:rPr>
          <w:rFonts w:asciiTheme="minorHAnsi" w:hAnsiTheme="minorHAnsi" w:cs="Arial"/>
          <w:sz w:val="22"/>
          <w:szCs w:val="22"/>
          <w:shd w:val="clear" w:color="auto" w:fill="FFFFFF"/>
        </w:rPr>
        <w:t xml:space="preserve"> operations, as Greece and Italy, two likely candidate countries to host </w:t>
      </w:r>
      <w:proofErr w:type="spellStart"/>
      <w:r w:rsidRPr="004427CF">
        <w:rPr>
          <w:rFonts w:asciiTheme="minorHAnsi" w:hAnsiTheme="minorHAnsi" w:cs="Arial"/>
          <w:sz w:val="22"/>
          <w:szCs w:val="22"/>
          <w:shd w:val="clear" w:color="auto" w:fill="FFFFFF"/>
        </w:rPr>
        <w:t>Frontex</w:t>
      </w:r>
      <w:proofErr w:type="spellEnd"/>
      <w:r w:rsidRPr="004427CF">
        <w:rPr>
          <w:rFonts w:asciiTheme="minorHAnsi" w:hAnsiTheme="minorHAnsi" w:cs="Arial"/>
          <w:sz w:val="22"/>
          <w:szCs w:val="22"/>
          <w:shd w:val="clear" w:color="auto" w:fill="FFFFFF"/>
        </w:rPr>
        <w:t xml:space="preserve"> missions, have been declared unsafe for (particular categories of) asylum seekers.</w:t>
      </w:r>
      <w:r w:rsidRPr="004427CF">
        <w:rPr>
          <w:rStyle w:val="FootnoteReference"/>
          <w:rFonts w:asciiTheme="minorHAnsi" w:hAnsiTheme="minorHAnsi" w:cs="Arial"/>
          <w:sz w:val="22"/>
          <w:szCs w:val="22"/>
          <w:shd w:val="clear" w:color="auto" w:fill="FFFFFF"/>
        </w:rPr>
        <w:footnoteReference w:id="42"/>
      </w:r>
      <w:r w:rsidRPr="004427CF">
        <w:rPr>
          <w:rFonts w:asciiTheme="minorHAnsi" w:hAnsiTheme="minorHAnsi" w:cs="Arial"/>
          <w:sz w:val="22"/>
          <w:szCs w:val="22"/>
          <w:shd w:val="clear" w:color="auto" w:fill="FFFFFF"/>
        </w:rPr>
        <w:t xml:space="preserve"> Although this case law specifically deals with Dublin transfers, it would not be unreasonable to extend its implications to interceptions at sea where one Member State wishes to transfer intercepted migrants who may wish to claim asylum to the coastal Member State. The </w:t>
      </w:r>
      <w:proofErr w:type="spellStart"/>
      <w:r w:rsidRPr="004427CF">
        <w:rPr>
          <w:rFonts w:asciiTheme="minorHAnsi" w:hAnsiTheme="minorHAnsi" w:cs="Arial"/>
          <w:sz w:val="22"/>
          <w:szCs w:val="22"/>
          <w:shd w:val="clear" w:color="auto" w:fill="FFFFFF"/>
        </w:rPr>
        <w:t>Frontex</w:t>
      </w:r>
      <w:proofErr w:type="spellEnd"/>
      <w:r w:rsidRPr="004427CF">
        <w:rPr>
          <w:rFonts w:asciiTheme="minorHAnsi" w:hAnsiTheme="minorHAnsi" w:cs="Arial"/>
          <w:sz w:val="22"/>
          <w:szCs w:val="22"/>
          <w:shd w:val="clear" w:color="auto" w:fill="FFFFFF"/>
        </w:rPr>
        <w:t xml:space="preserve"> Sea Borders Regulation avoids the issue, and hence fails to clarify for participating Member States how to address the issue of disembarkation in a Member State where the asylum system is flawed.</w:t>
      </w:r>
    </w:p>
    <w:p w:rsidR="006D436E" w:rsidRPr="004427CF" w:rsidRDefault="006D436E" w:rsidP="00B80CBE">
      <w:pPr>
        <w:spacing w:line="276" w:lineRule="auto"/>
        <w:ind w:firstLine="720"/>
        <w:rPr>
          <w:rFonts w:asciiTheme="minorHAnsi" w:hAnsiTheme="minorHAnsi"/>
          <w:sz w:val="22"/>
          <w:szCs w:val="22"/>
        </w:rPr>
      </w:pPr>
      <w:r w:rsidRPr="004427CF">
        <w:rPr>
          <w:rFonts w:asciiTheme="minorHAnsi" w:hAnsiTheme="minorHAnsi"/>
          <w:bCs/>
          <w:sz w:val="22"/>
          <w:szCs w:val="22"/>
        </w:rPr>
        <w:t xml:space="preserve">Also problematic are the Regulation’s standards on disembarkation of intercepted or rescued persons in a third country. </w:t>
      </w:r>
      <w:r w:rsidR="00F53E1B" w:rsidRPr="004427CF">
        <w:rPr>
          <w:rFonts w:asciiTheme="minorHAnsi" w:hAnsiTheme="minorHAnsi"/>
          <w:bCs/>
          <w:sz w:val="22"/>
          <w:szCs w:val="22"/>
        </w:rPr>
        <w:t xml:space="preserve">First, </w:t>
      </w:r>
      <w:r w:rsidR="0004653E" w:rsidRPr="004427CF">
        <w:rPr>
          <w:rFonts w:asciiTheme="minorHAnsi" w:hAnsiTheme="minorHAnsi"/>
          <w:bCs/>
          <w:sz w:val="22"/>
          <w:szCs w:val="22"/>
        </w:rPr>
        <w:t>the Regulation</w:t>
      </w:r>
      <w:r w:rsidR="00615E28" w:rsidRPr="004427CF">
        <w:rPr>
          <w:rFonts w:asciiTheme="minorHAnsi" w:hAnsiTheme="minorHAnsi"/>
          <w:bCs/>
          <w:sz w:val="22"/>
          <w:szCs w:val="22"/>
        </w:rPr>
        <w:t xml:space="preserve"> does not require that the identification is </w:t>
      </w:r>
      <w:r w:rsidR="00615E28" w:rsidRPr="004427CF">
        <w:rPr>
          <w:rFonts w:asciiTheme="minorHAnsi" w:hAnsiTheme="minorHAnsi"/>
          <w:bCs/>
          <w:sz w:val="22"/>
          <w:szCs w:val="22"/>
        </w:rPr>
        <w:lastRenderedPageBreak/>
        <w:t xml:space="preserve">done by trained personnel, and </w:t>
      </w:r>
      <w:r w:rsidRPr="004427CF">
        <w:rPr>
          <w:rFonts w:asciiTheme="minorHAnsi" w:hAnsiTheme="minorHAnsi"/>
          <w:bCs/>
          <w:sz w:val="22"/>
          <w:szCs w:val="22"/>
        </w:rPr>
        <w:t>neither</w:t>
      </w:r>
      <w:r w:rsidR="00615E28" w:rsidRPr="004427CF">
        <w:rPr>
          <w:rFonts w:asciiTheme="minorHAnsi" w:hAnsiTheme="minorHAnsi"/>
          <w:bCs/>
          <w:sz w:val="22"/>
          <w:szCs w:val="22"/>
        </w:rPr>
        <w:t xml:space="preserve"> require</w:t>
      </w:r>
      <w:r w:rsidRPr="004427CF">
        <w:rPr>
          <w:rFonts w:asciiTheme="minorHAnsi" w:hAnsiTheme="minorHAnsi"/>
          <w:bCs/>
          <w:sz w:val="22"/>
          <w:szCs w:val="22"/>
        </w:rPr>
        <w:t>s</w:t>
      </w:r>
      <w:r w:rsidR="00615E28" w:rsidRPr="004427CF">
        <w:rPr>
          <w:rFonts w:asciiTheme="minorHAnsi" w:hAnsiTheme="minorHAnsi"/>
          <w:bCs/>
          <w:sz w:val="22"/>
          <w:szCs w:val="22"/>
        </w:rPr>
        <w:t xml:space="preserve"> the presence of interpreters and legal advisors </w:t>
      </w:r>
      <w:r w:rsidRPr="004427CF">
        <w:rPr>
          <w:rFonts w:asciiTheme="minorHAnsi" w:hAnsiTheme="minorHAnsi"/>
          <w:bCs/>
          <w:sz w:val="22"/>
          <w:szCs w:val="22"/>
        </w:rPr>
        <w:t xml:space="preserve">on board participating units, </w:t>
      </w:r>
      <w:r w:rsidR="00615E28" w:rsidRPr="004427CF">
        <w:rPr>
          <w:rFonts w:asciiTheme="minorHAnsi" w:hAnsiTheme="minorHAnsi"/>
          <w:bCs/>
          <w:sz w:val="22"/>
          <w:szCs w:val="22"/>
        </w:rPr>
        <w:t>but</w:t>
      </w:r>
      <w:r w:rsidR="00615E28" w:rsidRPr="004427CF">
        <w:rPr>
          <w:rFonts w:asciiTheme="minorHAnsi" w:hAnsiTheme="minorHAnsi"/>
          <w:sz w:val="22"/>
          <w:szCs w:val="22"/>
        </w:rPr>
        <w:t xml:space="preserve"> merely holds that such ‘details’ are to be contained in the operational plans to be drafted for each </w:t>
      </w:r>
      <w:proofErr w:type="spellStart"/>
      <w:r w:rsidR="00615E28" w:rsidRPr="004427CF">
        <w:rPr>
          <w:rFonts w:asciiTheme="minorHAnsi" w:hAnsiTheme="minorHAnsi"/>
          <w:sz w:val="22"/>
          <w:szCs w:val="22"/>
        </w:rPr>
        <w:t>Frontex</w:t>
      </w:r>
      <w:proofErr w:type="spellEnd"/>
      <w:r w:rsidR="00615E28" w:rsidRPr="004427CF">
        <w:rPr>
          <w:rFonts w:asciiTheme="minorHAnsi" w:hAnsiTheme="minorHAnsi"/>
          <w:sz w:val="22"/>
          <w:szCs w:val="22"/>
        </w:rPr>
        <w:t xml:space="preserve"> mission</w:t>
      </w:r>
      <w:r w:rsidRPr="004427CF">
        <w:rPr>
          <w:rFonts w:asciiTheme="minorHAnsi" w:hAnsiTheme="minorHAnsi"/>
          <w:sz w:val="22"/>
          <w:szCs w:val="22"/>
        </w:rPr>
        <w:t>, and only ‘when necessary’.</w:t>
      </w:r>
      <w:r w:rsidRPr="004427CF">
        <w:rPr>
          <w:rStyle w:val="FootnoteReference"/>
          <w:rFonts w:asciiTheme="minorHAnsi" w:hAnsiTheme="minorHAnsi"/>
          <w:sz w:val="22"/>
          <w:szCs w:val="22"/>
        </w:rPr>
        <w:footnoteReference w:id="43"/>
      </w:r>
      <w:r w:rsidRPr="004427CF">
        <w:rPr>
          <w:rFonts w:asciiTheme="minorHAnsi" w:hAnsiTheme="minorHAnsi"/>
          <w:sz w:val="22"/>
          <w:szCs w:val="22"/>
        </w:rPr>
        <w:t xml:space="preserve"> The operational plans, however</w:t>
      </w:r>
      <w:r w:rsidR="00615E28" w:rsidRPr="004427CF">
        <w:rPr>
          <w:rFonts w:asciiTheme="minorHAnsi" w:hAnsiTheme="minorHAnsi"/>
          <w:sz w:val="22"/>
          <w:szCs w:val="22"/>
        </w:rPr>
        <w:t xml:space="preserve">, </w:t>
      </w:r>
      <w:r w:rsidRPr="004427CF">
        <w:rPr>
          <w:rFonts w:asciiTheme="minorHAnsi" w:hAnsiTheme="minorHAnsi"/>
          <w:sz w:val="22"/>
          <w:szCs w:val="22"/>
        </w:rPr>
        <w:t>are secret. It is highly questionable whether they are appropriate instruments for guaranteeing fundamental rights. The adjective</w:t>
      </w:r>
      <w:r w:rsidR="00615E28" w:rsidRPr="004427CF">
        <w:rPr>
          <w:rFonts w:asciiTheme="minorHAnsi" w:hAnsiTheme="minorHAnsi"/>
          <w:sz w:val="22"/>
          <w:szCs w:val="22"/>
        </w:rPr>
        <w:t xml:space="preserve"> ‘when necessary’</w:t>
      </w:r>
      <w:r w:rsidRPr="004427CF">
        <w:rPr>
          <w:rFonts w:asciiTheme="minorHAnsi" w:hAnsiTheme="minorHAnsi"/>
          <w:sz w:val="22"/>
          <w:szCs w:val="22"/>
        </w:rPr>
        <w:t xml:space="preserve"> further</w:t>
      </w:r>
      <w:r w:rsidR="00615E28" w:rsidRPr="004427CF">
        <w:rPr>
          <w:rFonts w:asciiTheme="minorHAnsi" w:hAnsiTheme="minorHAnsi"/>
          <w:sz w:val="22"/>
          <w:szCs w:val="22"/>
        </w:rPr>
        <w:t xml:space="preserve"> beg</w:t>
      </w:r>
      <w:r w:rsidRPr="004427CF">
        <w:rPr>
          <w:rFonts w:asciiTheme="minorHAnsi" w:hAnsiTheme="minorHAnsi"/>
          <w:sz w:val="22"/>
          <w:szCs w:val="22"/>
        </w:rPr>
        <w:t>s</w:t>
      </w:r>
      <w:r w:rsidR="00615E28" w:rsidRPr="004427CF">
        <w:rPr>
          <w:rFonts w:asciiTheme="minorHAnsi" w:hAnsiTheme="minorHAnsi"/>
          <w:sz w:val="22"/>
          <w:szCs w:val="22"/>
        </w:rPr>
        <w:t xml:space="preserve"> the question when proper communication and legal advice is not deemed </w:t>
      </w:r>
      <w:r w:rsidRPr="004427CF">
        <w:rPr>
          <w:rFonts w:asciiTheme="minorHAnsi" w:hAnsiTheme="minorHAnsi"/>
          <w:sz w:val="22"/>
          <w:szCs w:val="22"/>
        </w:rPr>
        <w:t>essential for refugee status determination</w:t>
      </w:r>
      <w:r w:rsidR="00615E28" w:rsidRPr="004427CF">
        <w:rPr>
          <w:rFonts w:asciiTheme="minorHAnsi" w:hAnsiTheme="minorHAnsi"/>
          <w:sz w:val="22"/>
          <w:szCs w:val="22"/>
        </w:rPr>
        <w:t>.</w:t>
      </w:r>
    </w:p>
    <w:p w:rsidR="00696574" w:rsidRPr="004427CF" w:rsidRDefault="00615E28" w:rsidP="00B80CBE">
      <w:pPr>
        <w:spacing w:line="276" w:lineRule="auto"/>
        <w:ind w:firstLine="720"/>
        <w:rPr>
          <w:rFonts w:asciiTheme="minorHAnsi" w:hAnsiTheme="minorHAnsi"/>
          <w:bCs/>
          <w:sz w:val="22"/>
          <w:szCs w:val="22"/>
        </w:rPr>
      </w:pPr>
      <w:r w:rsidRPr="004427CF">
        <w:rPr>
          <w:rFonts w:asciiTheme="minorHAnsi" w:hAnsiTheme="minorHAnsi"/>
          <w:sz w:val="22"/>
          <w:szCs w:val="22"/>
        </w:rPr>
        <w:t xml:space="preserve">Second, </w:t>
      </w:r>
      <w:r w:rsidR="00F53E1B" w:rsidRPr="004427CF">
        <w:rPr>
          <w:rFonts w:asciiTheme="minorHAnsi" w:hAnsiTheme="minorHAnsi"/>
          <w:sz w:val="22"/>
          <w:szCs w:val="22"/>
        </w:rPr>
        <w:t xml:space="preserve">the </w:t>
      </w:r>
      <w:r w:rsidRPr="004427CF">
        <w:rPr>
          <w:rFonts w:asciiTheme="minorHAnsi" w:hAnsiTheme="minorHAnsi"/>
          <w:sz w:val="22"/>
          <w:szCs w:val="22"/>
        </w:rPr>
        <w:t>R</w:t>
      </w:r>
      <w:r w:rsidR="00F53E1B" w:rsidRPr="004427CF">
        <w:rPr>
          <w:rFonts w:asciiTheme="minorHAnsi" w:hAnsiTheme="minorHAnsi"/>
          <w:sz w:val="22"/>
          <w:szCs w:val="22"/>
        </w:rPr>
        <w:t>egulation says that migrants have to be informed of their destination ‘in a way</w:t>
      </w:r>
      <w:r w:rsidRPr="004427CF">
        <w:rPr>
          <w:rFonts w:asciiTheme="minorHAnsi" w:hAnsiTheme="minorHAnsi"/>
          <w:sz w:val="22"/>
          <w:szCs w:val="22"/>
        </w:rPr>
        <w:t>’,</w:t>
      </w:r>
      <w:r w:rsidR="00F53E1B" w:rsidRPr="004427CF">
        <w:rPr>
          <w:rFonts w:asciiTheme="minorHAnsi" w:hAnsiTheme="minorHAnsi"/>
          <w:sz w:val="22"/>
          <w:szCs w:val="22"/>
        </w:rPr>
        <w:t xml:space="preserve"> instead of </w:t>
      </w:r>
      <w:r w:rsidRPr="004427CF">
        <w:rPr>
          <w:rFonts w:asciiTheme="minorHAnsi" w:hAnsiTheme="minorHAnsi"/>
          <w:sz w:val="22"/>
          <w:szCs w:val="22"/>
        </w:rPr>
        <w:t xml:space="preserve">a </w:t>
      </w:r>
      <w:r w:rsidR="00F53E1B" w:rsidRPr="004427CF">
        <w:rPr>
          <w:rFonts w:asciiTheme="minorHAnsi" w:hAnsiTheme="minorHAnsi"/>
          <w:sz w:val="22"/>
          <w:szCs w:val="22"/>
        </w:rPr>
        <w:t>language</w:t>
      </w:r>
      <w:r w:rsidRPr="004427CF">
        <w:rPr>
          <w:rFonts w:asciiTheme="minorHAnsi" w:hAnsiTheme="minorHAnsi"/>
          <w:sz w:val="22"/>
          <w:szCs w:val="22"/>
        </w:rPr>
        <w:t>,</w:t>
      </w:r>
      <w:r w:rsidR="00F53E1B" w:rsidRPr="004427CF">
        <w:rPr>
          <w:rFonts w:asciiTheme="minorHAnsi" w:hAnsiTheme="minorHAnsi"/>
          <w:sz w:val="22"/>
          <w:szCs w:val="22"/>
        </w:rPr>
        <w:t xml:space="preserve"> </w:t>
      </w:r>
      <w:r w:rsidRPr="004427CF">
        <w:rPr>
          <w:rFonts w:asciiTheme="minorHAnsi" w:hAnsiTheme="minorHAnsi"/>
          <w:sz w:val="22"/>
          <w:szCs w:val="22"/>
        </w:rPr>
        <w:t>‘</w:t>
      </w:r>
      <w:r w:rsidR="00F53E1B" w:rsidRPr="004427CF">
        <w:rPr>
          <w:rFonts w:asciiTheme="minorHAnsi" w:hAnsiTheme="minorHAnsi"/>
          <w:sz w:val="22"/>
          <w:szCs w:val="22"/>
        </w:rPr>
        <w:t>that those persons understand or may reasonably be presumed to understand’.</w:t>
      </w:r>
      <w:r w:rsidR="003F6269" w:rsidRPr="004427CF">
        <w:rPr>
          <w:rFonts w:asciiTheme="minorHAnsi" w:hAnsiTheme="minorHAnsi"/>
          <w:bCs/>
          <w:sz w:val="22"/>
          <w:szCs w:val="22"/>
        </w:rPr>
        <w:t xml:space="preserve"> </w:t>
      </w:r>
      <w:r w:rsidR="00F53E1B" w:rsidRPr="004427CF">
        <w:rPr>
          <w:rFonts w:asciiTheme="minorHAnsi" w:hAnsiTheme="minorHAnsi"/>
          <w:sz w:val="22"/>
          <w:szCs w:val="22"/>
        </w:rPr>
        <w:t xml:space="preserve">One MEP involved in the </w:t>
      </w:r>
      <w:r w:rsidR="00696574" w:rsidRPr="004427CF">
        <w:rPr>
          <w:rFonts w:asciiTheme="minorHAnsi" w:hAnsiTheme="minorHAnsi"/>
          <w:sz w:val="22"/>
          <w:szCs w:val="22"/>
        </w:rPr>
        <w:t>negotiations with the Council explained that this seemingly minor detail may have profound consequences:</w:t>
      </w:r>
    </w:p>
    <w:p w:rsidR="00696574" w:rsidRPr="004427CF" w:rsidRDefault="00696574" w:rsidP="00B80CBE">
      <w:pPr>
        <w:spacing w:line="276" w:lineRule="auto"/>
        <w:rPr>
          <w:rFonts w:asciiTheme="minorHAnsi" w:hAnsiTheme="minorHAnsi"/>
          <w:i/>
          <w:sz w:val="22"/>
          <w:szCs w:val="22"/>
        </w:rPr>
      </w:pPr>
    </w:p>
    <w:p w:rsidR="00F53E1B" w:rsidRPr="004427CF" w:rsidRDefault="00F53E1B" w:rsidP="00B80CBE">
      <w:pPr>
        <w:spacing w:line="276" w:lineRule="auto"/>
        <w:ind w:left="720"/>
        <w:rPr>
          <w:rFonts w:asciiTheme="minorHAnsi" w:hAnsiTheme="minorHAnsi"/>
          <w:sz w:val="20"/>
          <w:szCs w:val="20"/>
        </w:rPr>
      </w:pPr>
      <w:r w:rsidRPr="004427CF">
        <w:rPr>
          <w:rFonts w:asciiTheme="minorHAnsi" w:hAnsiTheme="minorHAnsi"/>
          <w:sz w:val="20"/>
          <w:szCs w:val="20"/>
        </w:rPr>
        <w:t>When insisting on informing persons on board of the place of disembarkation in a way rather than in a language they understand, the Council indicated that this would allow Member States to point just on a map to show people where they would be disembarked. Fine so far. However, if a common language does not exist, how could refuges then "express any reasons for believing that disembarkation in the proposed place would be in violation of the principle of</w:t>
      </w:r>
      <w:r w:rsidR="00696574" w:rsidRPr="004427CF">
        <w:rPr>
          <w:rFonts w:asciiTheme="minorHAnsi" w:hAnsiTheme="minorHAnsi"/>
          <w:sz w:val="20"/>
          <w:szCs w:val="20"/>
        </w:rPr>
        <w:t xml:space="preserve"> </w:t>
      </w:r>
      <w:r w:rsidRPr="004427CF">
        <w:rPr>
          <w:rFonts w:asciiTheme="minorHAnsi" w:hAnsiTheme="minorHAnsi"/>
          <w:sz w:val="20"/>
          <w:szCs w:val="20"/>
        </w:rPr>
        <w:t>non-</w:t>
      </w:r>
      <w:proofErr w:type="spellStart"/>
      <w:r w:rsidRPr="004427CF">
        <w:rPr>
          <w:rFonts w:asciiTheme="minorHAnsi" w:hAnsiTheme="minorHAnsi"/>
          <w:sz w:val="20"/>
          <w:szCs w:val="20"/>
        </w:rPr>
        <w:t>refoulement</w:t>
      </w:r>
      <w:proofErr w:type="spellEnd"/>
      <w:r w:rsidRPr="004427CF">
        <w:rPr>
          <w:rFonts w:asciiTheme="minorHAnsi" w:hAnsiTheme="minorHAnsi"/>
          <w:sz w:val="20"/>
          <w:szCs w:val="20"/>
        </w:rPr>
        <w:t xml:space="preserve">" in a way </w:t>
      </w:r>
      <w:proofErr w:type="spellStart"/>
      <w:r w:rsidRPr="004427CF">
        <w:rPr>
          <w:rFonts w:asciiTheme="minorHAnsi" w:hAnsiTheme="minorHAnsi"/>
          <w:sz w:val="20"/>
          <w:szCs w:val="20"/>
        </w:rPr>
        <w:t>Frontex</w:t>
      </w:r>
      <w:proofErr w:type="spellEnd"/>
      <w:r w:rsidRPr="004427CF">
        <w:rPr>
          <w:rFonts w:asciiTheme="minorHAnsi" w:hAnsiTheme="minorHAnsi"/>
          <w:sz w:val="20"/>
          <w:szCs w:val="20"/>
        </w:rPr>
        <w:t xml:space="preserve"> would understand? They could wave or shout.</w:t>
      </w:r>
      <w:r w:rsidR="00696574" w:rsidRPr="004427CF">
        <w:rPr>
          <w:rFonts w:asciiTheme="minorHAnsi" w:hAnsiTheme="minorHAnsi"/>
          <w:sz w:val="20"/>
          <w:szCs w:val="20"/>
        </w:rPr>
        <w:t xml:space="preserve"> </w:t>
      </w:r>
      <w:r w:rsidRPr="004427CF">
        <w:rPr>
          <w:rFonts w:asciiTheme="minorHAnsi" w:hAnsiTheme="minorHAnsi"/>
          <w:sz w:val="20"/>
          <w:szCs w:val="20"/>
        </w:rPr>
        <w:t>But probably every person on board would wave or shout no matter if he or she is in need of protection or rather looking for a better live in Europe. And how, if</w:t>
      </w:r>
      <w:r w:rsidR="00696574" w:rsidRPr="004427CF">
        <w:rPr>
          <w:rFonts w:asciiTheme="minorHAnsi" w:hAnsiTheme="minorHAnsi"/>
          <w:sz w:val="20"/>
          <w:szCs w:val="20"/>
        </w:rPr>
        <w:t xml:space="preserve"> </w:t>
      </w:r>
      <w:r w:rsidRPr="004427CF">
        <w:rPr>
          <w:rFonts w:asciiTheme="minorHAnsi" w:hAnsiTheme="minorHAnsi"/>
          <w:sz w:val="20"/>
          <w:szCs w:val="20"/>
        </w:rPr>
        <w:t>everybody waves or shouts, can they make clear that an interpreter would be ne</w:t>
      </w:r>
      <w:r w:rsidR="00696574" w:rsidRPr="004427CF">
        <w:rPr>
          <w:rFonts w:asciiTheme="minorHAnsi" w:hAnsiTheme="minorHAnsi"/>
          <w:sz w:val="20"/>
          <w:szCs w:val="20"/>
        </w:rPr>
        <w:t>e</w:t>
      </w:r>
      <w:r w:rsidRPr="004427CF">
        <w:rPr>
          <w:rFonts w:asciiTheme="minorHAnsi" w:hAnsiTheme="minorHAnsi"/>
          <w:sz w:val="20"/>
          <w:szCs w:val="20"/>
        </w:rPr>
        <w:t>d</w:t>
      </w:r>
      <w:r w:rsidR="00696574" w:rsidRPr="004427CF">
        <w:rPr>
          <w:rFonts w:asciiTheme="minorHAnsi" w:hAnsiTheme="minorHAnsi"/>
          <w:sz w:val="20"/>
          <w:szCs w:val="20"/>
        </w:rPr>
        <w:t xml:space="preserve">ed </w:t>
      </w:r>
      <w:r w:rsidRPr="004427CF">
        <w:rPr>
          <w:rFonts w:asciiTheme="minorHAnsi" w:hAnsiTheme="minorHAnsi"/>
          <w:sz w:val="20"/>
          <w:szCs w:val="20"/>
        </w:rPr>
        <w:t>in their case? As mentioned above, interpreters wi</w:t>
      </w:r>
      <w:r w:rsidR="00696574" w:rsidRPr="004427CF">
        <w:rPr>
          <w:rFonts w:asciiTheme="minorHAnsi" w:hAnsiTheme="minorHAnsi"/>
          <w:sz w:val="20"/>
          <w:szCs w:val="20"/>
        </w:rPr>
        <w:t>l</w:t>
      </w:r>
      <w:r w:rsidRPr="004427CF">
        <w:rPr>
          <w:rFonts w:asciiTheme="minorHAnsi" w:hAnsiTheme="minorHAnsi"/>
          <w:sz w:val="20"/>
          <w:szCs w:val="20"/>
        </w:rPr>
        <w:t>l be provided only if neces</w:t>
      </w:r>
      <w:r w:rsidR="00696574" w:rsidRPr="004427CF">
        <w:rPr>
          <w:rFonts w:asciiTheme="minorHAnsi" w:hAnsiTheme="minorHAnsi"/>
          <w:sz w:val="20"/>
          <w:szCs w:val="20"/>
        </w:rPr>
        <w:t>s</w:t>
      </w:r>
      <w:r w:rsidRPr="004427CF">
        <w:rPr>
          <w:rFonts w:asciiTheme="minorHAnsi" w:hAnsiTheme="minorHAnsi"/>
          <w:sz w:val="20"/>
          <w:szCs w:val="20"/>
        </w:rPr>
        <w:t>ary,</w:t>
      </w:r>
      <w:r w:rsidR="00696574" w:rsidRPr="004427CF">
        <w:rPr>
          <w:rFonts w:asciiTheme="minorHAnsi" w:hAnsiTheme="minorHAnsi"/>
          <w:sz w:val="20"/>
          <w:szCs w:val="20"/>
        </w:rPr>
        <w:t xml:space="preserve"> </w:t>
      </w:r>
      <w:r w:rsidRPr="004427CF">
        <w:rPr>
          <w:rFonts w:asciiTheme="minorHAnsi" w:hAnsiTheme="minorHAnsi"/>
          <w:sz w:val="20"/>
          <w:szCs w:val="20"/>
        </w:rPr>
        <w:t xml:space="preserve">possibly via </w:t>
      </w:r>
      <w:r w:rsidR="00696574" w:rsidRPr="004427CF">
        <w:rPr>
          <w:rFonts w:asciiTheme="minorHAnsi" w:hAnsiTheme="minorHAnsi"/>
          <w:sz w:val="20"/>
          <w:szCs w:val="20"/>
        </w:rPr>
        <w:t>a radio interpreters help line.</w:t>
      </w:r>
      <w:r w:rsidR="00615E28" w:rsidRPr="004427CF">
        <w:rPr>
          <w:rStyle w:val="FootnoteReference"/>
          <w:rFonts w:asciiTheme="minorHAnsi" w:hAnsiTheme="minorHAnsi"/>
          <w:sz w:val="20"/>
          <w:szCs w:val="20"/>
        </w:rPr>
        <w:footnoteReference w:id="44"/>
      </w:r>
    </w:p>
    <w:p w:rsidR="00BE625E" w:rsidRPr="004427CF" w:rsidRDefault="00BE625E" w:rsidP="00B80CBE">
      <w:pPr>
        <w:spacing w:line="276" w:lineRule="auto"/>
        <w:rPr>
          <w:rFonts w:asciiTheme="minorHAnsi" w:hAnsiTheme="minorHAnsi"/>
          <w:sz w:val="22"/>
          <w:szCs w:val="22"/>
        </w:rPr>
      </w:pPr>
    </w:p>
    <w:p w:rsidR="00696574" w:rsidRPr="004427CF" w:rsidRDefault="00F53E1B" w:rsidP="00B80CBE">
      <w:pPr>
        <w:spacing w:line="276" w:lineRule="auto"/>
        <w:rPr>
          <w:rFonts w:asciiTheme="minorHAnsi" w:hAnsiTheme="minorHAnsi"/>
          <w:sz w:val="22"/>
          <w:szCs w:val="22"/>
        </w:rPr>
      </w:pPr>
      <w:r w:rsidRPr="004427CF">
        <w:rPr>
          <w:rFonts w:asciiTheme="minorHAnsi" w:hAnsiTheme="minorHAnsi"/>
          <w:sz w:val="22"/>
          <w:szCs w:val="22"/>
        </w:rPr>
        <w:t xml:space="preserve">This reminds of the </w:t>
      </w:r>
      <w:r w:rsidR="00696574" w:rsidRPr="004427CF">
        <w:rPr>
          <w:rFonts w:asciiTheme="minorHAnsi" w:hAnsiTheme="minorHAnsi"/>
          <w:sz w:val="22"/>
          <w:szCs w:val="22"/>
        </w:rPr>
        <w:t>so-called ‘</w:t>
      </w:r>
      <w:r w:rsidRPr="004427CF">
        <w:rPr>
          <w:rFonts w:asciiTheme="minorHAnsi" w:hAnsiTheme="minorHAnsi"/>
          <w:sz w:val="22"/>
          <w:szCs w:val="22"/>
        </w:rPr>
        <w:t>shout test</w:t>
      </w:r>
      <w:r w:rsidR="00696574" w:rsidRPr="004427CF">
        <w:rPr>
          <w:rFonts w:asciiTheme="minorHAnsi" w:hAnsiTheme="minorHAnsi"/>
          <w:sz w:val="22"/>
          <w:szCs w:val="22"/>
        </w:rPr>
        <w:t xml:space="preserve">’, </w:t>
      </w:r>
      <w:r w:rsidRPr="004427CF">
        <w:rPr>
          <w:rFonts w:asciiTheme="minorHAnsi" w:hAnsiTheme="minorHAnsi"/>
          <w:sz w:val="22"/>
          <w:szCs w:val="22"/>
        </w:rPr>
        <w:t>which was employed by the US coast guard</w:t>
      </w:r>
      <w:r w:rsidR="00696574" w:rsidRPr="004427CF">
        <w:rPr>
          <w:rFonts w:asciiTheme="minorHAnsi" w:hAnsiTheme="minorHAnsi"/>
          <w:sz w:val="22"/>
          <w:szCs w:val="22"/>
        </w:rPr>
        <w:t xml:space="preserve"> intercepting Haitian migrants in 2004. The test purportedly allowed a person to be interviewed for </w:t>
      </w:r>
      <w:r w:rsidR="00AF1311" w:rsidRPr="004427CF">
        <w:rPr>
          <w:rFonts w:asciiTheme="minorHAnsi" w:hAnsiTheme="minorHAnsi"/>
          <w:sz w:val="22"/>
          <w:szCs w:val="22"/>
        </w:rPr>
        <w:t>pre-</w:t>
      </w:r>
      <w:r w:rsidR="00696574" w:rsidRPr="004427CF">
        <w:rPr>
          <w:rFonts w:asciiTheme="minorHAnsi" w:hAnsiTheme="minorHAnsi"/>
          <w:sz w:val="22"/>
          <w:szCs w:val="22"/>
        </w:rPr>
        <w:t>establishing his refugee status</w:t>
      </w:r>
      <w:r w:rsidR="00D215A2" w:rsidRPr="004427CF">
        <w:rPr>
          <w:rFonts w:asciiTheme="minorHAnsi" w:hAnsiTheme="minorHAnsi"/>
          <w:sz w:val="22"/>
          <w:szCs w:val="22"/>
        </w:rPr>
        <w:t>, but only</w:t>
      </w:r>
      <w:r w:rsidR="00696574" w:rsidRPr="004427CF">
        <w:rPr>
          <w:rFonts w:asciiTheme="minorHAnsi" w:hAnsiTheme="minorHAnsi"/>
          <w:sz w:val="22"/>
          <w:szCs w:val="22"/>
        </w:rPr>
        <w:t xml:space="preserve"> if he, </w:t>
      </w:r>
      <w:r w:rsidR="00D215A2" w:rsidRPr="004427CF">
        <w:rPr>
          <w:rFonts w:asciiTheme="minorHAnsi" w:hAnsiTheme="minorHAnsi"/>
          <w:sz w:val="22"/>
          <w:szCs w:val="22"/>
        </w:rPr>
        <w:t xml:space="preserve">in the words of one U.S. Coast Guard Commander, </w:t>
      </w:r>
      <w:r w:rsidR="00D215A2" w:rsidRPr="004427CF">
        <w:rPr>
          <w:rFonts w:asciiTheme="minorHAnsi" w:hAnsiTheme="minorHAnsi"/>
          <w:sz w:val="22"/>
          <w:szCs w:val="22"/>
          <w:shd w:val="clear" w:color="auto" w:fill="FFFFFF"/>
        </w:rPr>
        <w:t>aggressively insists he fears for his life.</w:t>
      </w:r>
      <w:r w:rsidR="00696574" w:rsidRPr="004427CF">
        <w:rPr>
          <w:rStyle w:val="FootnoteReference"/>
          <w:rFonts w:asciiTheme="minorHAnsi" w:hAnsiTheme="minorHAnsi"/>
          <w:sz w:val="22"/>
          <w:szCs w:val="22"/>
        </w:rPr>
        <w:footnoteReference w:id="45"/>
      </w:r>
      <w:r w:rsidR="00D215A2" w:rsidRPr="004427CF">
        <w:rPr>
          <w:rFonts w:asciiTheme="minorHAnsi" w:hAnsiTheme="minorHAnsi"/>
          <w:sz w:val="22"/>
          <w:szCs w:val="22"/>
          <w:shd w:val="clear" w:color="auto" w:fill="FFFFFF"/>
        </w:rPr>
        <w:t xml:space="preserve"> A commentator</w:t>
      </w:r>
      <w:r w:rsidR="00D215A2" w:rsidRPr="004427CF">
        <w:rPr>
          <w:rFonts w:asciiTheme="minorHAnsi" w:hAnsiTheme="minorHAnsi"/>
          <w:sz w:val="22"/>
          <w:szCs w:val="22"/>
        </w:rPr>
        <w:t xml:space="preserve"> observed that “o</w:t>
      </w:r>
      <w:r w:rsidR="00696574" w:rsidRPr="004427CF">
        <w:rPr>
          <w:rFonts w:asciiTheme="minorHAnsi" w:hAnsiTheme="minorHAnsi"/>
          <w:sz w:val="22"/>
          <w:szCs w:val="22"/>
        </w:rPr>
        <w:t>nly those who</w:t>
      </w:r>
      <w:r w:rsidR="00D215A2" w:rsidRPr="004427CF">
        <w:rPr>
          <w:rFonts w:asciiTheme="minorHAnsi" w:hAnsiTheme="minorHAnsi"/>
          <w:sz w:val="22"/>
          <w:szCs w:val="22"/>
        </w:rPr>
        <w:t xml:space="preserve"> </w:t>
      </w:r>
      <w:r w:rsidR="00696574" w:rsidRPr="004427CF">
        <w:rPr>
          <w:rFonts w:asciiTheme="minorHAnsi" w:hAnsiTheme="minorHAnsi"/>
          <w:sz w:val="22"/>
          <w:szCs w:val="22"/>
        </w:rPr>
        <w:t>wave their hands, jump up and down, and shout the loudest</w:t>
      </w:r>
      <w:r w:rsidR="00D215A2" w:rsidRPr="004427CF">
        <w:rPr>
          <w:rFonts w:asciiTheme="minorHAnsi" w:hAnsiTheme="minorHAnsi"/>
          <w:sz w:val="22"/>
          <w:szCs w:val="22"/>
        </w:rPr>
        <w:t xml:space="preserve"> – </w:t>
      </w:r>
      <w:r w:rsidR="00696574" w:rsidRPr="004427CF">
        <w:rPr>
          <w:rFonts w:asciiTheme="minorHAnsi" w:hAnsiTheme="minorHAnsi"/>
          <w:sz w:val="22"/>
          <w:szCs w:val="22"/>
        </w:rPr>
        <w:t>and are</w:t>
      </w:r>
      <w:r w:rsidR="00D215A2" w:rsidRPr="004427CF">
        <w:rPr>
          <w:rFonts w:asciiTheme="minorHAnsi" w:hAnsiTheme="minorHAnsi"/>
          <w:sz w:val="22"/>
          <w:szCs w:val="22"/>
        </w:rPr>
        <w:t xml:space="preserve"> </w:t>
      </w:r>
      <w:r w:rsidR="00696574" w:rsidRPr="004427CF">
        <w:rPr>
          <w:rFonts w:asciiTheme="minorHAnsi" w:hAnsiTheme="minorHAnsi"/>
          <w:sz w:val="22"/>
          <w:szCs w:val="22"/>
        </w:rPr>
        <w:t>recognized as having done such</w:t>
      </w:r>
      <w:r w:rsidR="00D215A2" w:rsidRPr="004427CF">
        <w:rPr>
          <w:rFonts w:asciiTheme="minorHAnsi" w:hAnsiTheme="minorHAnsi"/>
          <w:sz w:val="22"/>
          <w:szCs w:val="22"/>
        </w:rPr>
        <w:t xml:space="preserve"> – </w:t>
      </w:r>
      <w:r w:rsidR="00696574" w:rsidRPr="004427CF">
        <w:rPr>
          <w:rFonts w:asciiTheme="minorHAnsi" w:hAnsiTheme="minorHAnsi"/>
          <w:sz w:val="22"/>
          <w:szCs w:val="22"/>
        </w:rPr>
        <w:t>are even afforded, in theory, a shipboard</w:t>
      </w:r>
      <w:r w:rsidR="00D215A2" w:rsidRPr="004427CF">
        <w:rPr>
          <w:rFonts w:asciiTheme="minorHAnsi" w:hAnsiTheme="minorHAnsi"/>
          <w:sz w:val="22"/>
          <w:szCs w:val="22"/>
        </w:rPr>
        <w:t xml:space="preserve"> </w:t>
      </w:r>
      <w:r w:rsidR="00696574" w:rsidRPr="004427CF">
        <w:rPr>
          <w:rFonts w:asciiTheme="minorHAnsi" w:hAnsiTheme="minorHAnsi"/>
          <w:sz w:val="22"/>
          <w:szCs w:val="22"/>
        </w:rPr>
        <w:t>refugee pre-screening interview.</w:t>
      </w:r>
      <w:r w:rsidR="00D215A2" w:rsidRPr="004427CF">
        <w:rPr>
          <w:rFonts w:asciiTheme="minorHAnsi" w:hAnsiTheme="minorHAnsi"/>
          <w:sz w:val="22"/>
          <w:szCs w:val="22"/>
        </w:rPr>
        <w:t>”</w:t>
      </w:r>
      <w:r w:rsidR="00D215A2" w:rsidRPr="004427CF">
        <w:rPr>
          <w:rStyle w:val="FootnoteReference"/>
          <w:rFonts w:asciiTheme="minorHAnsi" w:hAnsiTheme="minorHAnsi"/>
          <w:sz w:val="22"/>
          <w:szCs w:val="22"/>
        </w:rPr>
        <w:footnoteReference w:id="46"/>
      </w:r>
      <w:r w:rsidR="00D215A2" w:rsidRPr="004427CF">
        <w:rPr>
          <w:rFonts w:asciiTheme="minorHAnsi" w:hAnsiTheme="minorHAnsi"/>
          <w:sz w:val="22"/>
          <w:szCs w:val="22"/>
        </w:rPr>
        <w:t xml:space="preserve"> It was reported that </w:t>
      </w:r>
      <w:r w:rsidR="00D215A2" w:rsidRPr="004427CF">
        <w:rPr>
          <w:rFonts w:asciiTheme="minorHAnsi" w:eastAsia="Arial Unicode MS" w:hAnsiTheme="minorHAnsi" w:cs="Arial Unicode MS"/>
          <w:sz w:val="22"/>
          <w:szCs w:val="22"/>
        </w:rPr>
        <w:t xml:space="preserve">only nine of 1.850 interdicted Haitians were transferred to the migrant reception center on Guantánamo Bay for status determination </w:t>
      </w:r>
      <w:r w:rsidR="00AF1311" w:rsidRPr="004427CF">
        <w:rPr>
          <w:rFonts w:asciiTheme="minorHAnsi" w:eastAsia="Arial Unicode MS" w:hAnsiTheme="minorHAnsi" w:cs="Arial Unicode MS"/>
          <w:sz w:val="22"/>
          <w:szCs w:val="22"/>
        </w:rPr>
        <w:t xml:space="preserve">on the basis of this form of pre-screening </w:t>
      </w:r>
      <w:r w:rsidR="00D215A2" w:rsidRPr="004427CF">
        <w:rPr>
          <w:rFonts w:asciiTheme="minorHAnsi" w:eastAsia="Arial Unicode MS" w:hAnsiTheme="minorHAnsi" w:cs="Arial Unicode MS"/>
          <w:sz w:val="22"/>
          <w:szCs w:val="22"/>
        </w:rPr>
        <w:t>and that only one of those was found to be a refugee.</w:t>
      </w:r>
      <w:r w:rsidR="00D215A2" w:rsidRPr="004427CF">
        <w:rPr>
          <w:rStyle w:val="FootnoteReference"/>
          <w:rFonts w:asciiTheme="minorHAnsi" w:eastAsia="Arial Unicode MS" w:hAnsiTheme="minorHAnsi" w:cs="Arial Unicode MS"/>
          <w:sz w:val="22"/>
          <w:szCs w:val="22"/>
        </w:rPr>
        <w:footnoteReference w:id="47"/>
      </w:r>
    </w:p>
    <w:p w:rsidR="00F53E1B" w:rsidRPr="004427CF" w:rsidRDefault="00D215A2" w:rsidP="00B80CBE">
      <w:pPr>
        <w:spacing w:line="276" w:lineRule="auto"/>
        <w:ind w:firstLine="720"/>
        <w:rPr>
          <w:rFonts w:asciiTheme="minorHAnsi" w:hAnsiTheme="minorHAnsi"/>
          <w:sz w:val="22"/>
          <w:szCs w:val="22"/>
        </w:rPr>
      </w:pPr>
      <w:r w:rsidRPr="004427CF">
        <w:rPr>
          <w:rFonts w:asciiTheme="minorHAnsi" w:hAnsiTheme="minorHAnsi"/>
          <w:sz w:val="22"/>
          <w:szCs w:val="22"/>
        </w:rPr>
        <w:t xml:space="preserve">Third, and arguably most problematic in view of </w:t>
      </w:r>
      <w:r w:rsidR="006D436E" w:rsidRPr="004427CF">
        <w:rPr>
          <w:rFonts w:asciiTheme="minorHAnsi" w:hAnsiTheme="minorHAnsi"/>
          <w:sz w:val="22"/>
          <w:szCs w:val="22"/>
        </w:rPr>
        <w:t xml:space="preserve">the </w:t>
      </w:r>
      <w:proofErr w:type="spellStart"/>
      <w:r w:rsidRPr="004427CF">
        <w:rPr>
          <w:rFonts w:asciiTheme="minorHAnsi" w:hAnsiTheme="minorHAnsi"/>
          <w:i/>
          <w:sz w:val="22"/>
          <w:szCs w:val="22"/>
        </w:rPr>
        <w:t>Hirsi</w:t>
      </w:r>
      <w:proofErr w:type="spellEnd"/>
      <w:r w:rsidR="006D436E" w:rsidRPr="004427CF">
        <w:rPr>
          <w:rFonts w:asciiTheme="minorHAnsi" w:hAnsiTheme="minorHAnsi"/>
          <w:i/>
          <w:sz w:val="22"/>
          <w:szCs w:val="22"/>
        </w:rPr>
        <w:t xml:space="preserve"> </w:t>
      </w:r>
      <w:r w:rsidR="006D436E" w:rsidRPr="004427CF">
        <w:rPr>
          <w:rFonts w:asciiTheme="minorHAnsi" w:hAnsiTheme="minorHAnsi"/>
          <w:sz w:val="22"/>
          <w:szCs w:val="22"/>
        </w:rPr>
        <w:t>judgment</w:t>
      </w:r>
      <w:r w:rsidRPr="004427CF">
        <w:rPr>
          <w:rFonts w:asciiTheme="minorHAnsi" w:hAnsiTheme="minorHAnsi"/>
          <w:sz w:val="22"/>
          <w:szCs w:val="22"/>
        </w:rPr>
        <w:t xml:space="preserve">, is that </w:t>
      </w:r>
      <w:r w:rsidR="00F53E1B" w:rsidRPr="004427CF">
        <w:rPr>
          <w:rFonts w:asciiTheme="minorHAnsi" w:hAnsiTheme="minorHAnsi"/>
          <w:sz w:val="22"/>
          <w:szCs w:val="22"/>
        </w:rPr>
        <w:t xml:space="preserve">the </w:t>
      </w:r>
      <w:r w:rsidRPr="004427CF">
        <w:rPr>
          <w:rFonts w:asciiTheme="minorHAnsi" w:hAnsiTheme="minorHAnsi"/>
          <w:sz w:val="22"/>
          <w:szCs w:val="22"/>
        </w:rPr>
        <w:t>R</w:t>
      </w:r>
      <w:r w:rsidR="00F53E1B" w:rsidRPr="004427CF">
        <w:rPr>
          <w:rFonts w:asciiTheme="minorHAnsi" w:hAnsiTheme="minorHAnsi"/>
          <w:sz w:val="22"/>
          <w:szCs w:val="22"/>
        </w:rPr>
        <w:t xml:space="preserve">egulation does not say anything about legal remedies with </w:t>
      </w:r>
      <w:proofErr w:type="spellStart"/>
      <w:r w:rsidR="00F53E1B" w:rsidRPr="004427CF">
        <w:rPr>
          <w:rFonts w:asciiTheme="minorHAnsi" w:hAnsiTheme="minorHAnsi"/>
          <w:sz w:val="22"/>
          <w:szCs w:val="22"/>
        </w:rPr>
        <w:t>suspensive</w:t>
      </w:r>
      <w:proofErr w:type="spellEnd"/>
      <w:r w:rsidR="00F53E1B" w:rsidRPr="004427CF">
        <w:rPr>
          <w:rFonts w:asciiTheme="minorHAnsi" w:hAnsiTheme="minorHAnsi"/>
          <w:sz w:val="22"/>
          <w:szCs w:val="22"/>
        </w:rPr>
        <w:t xml:space="preserve"> effect</w:t>
      </w:r>
      <w:r w:rsidRPr="004427CF">
        <w:rPr>
          <w:rFonts w:asciiTheme="minorHAnsi" w:hAnsiTheme="minorHAnsi"/>
          <w:sz w:val="22"/>
          <w:szCs w:val="22"/>
        </w:rPr>
        <w:t>. T</w:t>
      </w:r>
      <w:r w:rsidR="00F53E1B" w:rsidRPr="004427CF">
        <w:rPr>
          <w:rFonts w:asciiTheme="minorHAnsi" w:hAnsiTheme="minorHAnsi"/>
          <w:sz w:val="22"/>
          <w:szCs w:val="22"/>
        </w:rPr>
        <w:t xml:space="preserve">here is no </w:t>
      </w:r>
      <w:r w:rsidRPr="004427CF">
        <w:rPr>
          <w:rFonts w:asciiTheme="minorHAnsi" w:hAnsiTheme="minorHAnsi"/>
          <w:sz w:val="22"/>
          <w:szCs w:val="22"/>
        </w:rPr>
        <w:t xml:space="preserve">mention of a </w:t>
      </w:r>
      <w:r w:rsidR="00F53E1B" w:rsidRPr="004427CF">
        <w:rPr>
          <w:rFonts w:asciiTheme="minorHAnsi" w:hAnsiTheme="minorHAnsi"/>
          <w:sz w:val="22"/>
          <w:szCs w:val="22"/>
        </w:rPr>
        <w:t xml:space="preserve">right of appeal against </w:t>
      </w:r>
      <w:r w:rsidRPr="004427CF">
        <w:rPr>
          <w:rFonts w:asciiTheme="minorHAnsi" w:hAnsiTheme="minorHAnsi"/>
          <w:sz w:val="22"/>
          <w:szCs w:val="22"/>
        </w:rPr>
        <w:t>return to</w:t>
      </w:r>
      <w:r w:rsidR="00F53E1B" w:rsidRPr="004427CF">
        <w:rPr>
          <w:rFonts w:asciiTheme="minorHAnsi" w:hAnsiTheme="minorHAnsi"/>
          <w:sz w:val="22"/>
          <w:szCs w:val="22"/>
        </w:rPr>
        <w:t xml:space="preserve"> a third country. </w:t>
      </w:r>
      <w:r w:rsidRPr="004427CF">
        <w:rPr>
          <w:rFonts w:asciiTheme="minorHAnsi" w:hAnsiTheme="minorHAnsi"/>
          <w:sz w:val="22"/>
          <w:szCs w:val="22"/>
        </w:rPr>
        <w:t xml:space="preserve">Given that a right of appeal and making that right effective by providing information and access to legal assistance </w:t>
      </w:r>
      <w:r w:rsidR="005F1803" w:rsidRPr="004427CF">
        <w:rPr>
          <w:rFonts w:asciiTheme="minorHAnsi" w:hAnsiTheme="minorHAnsi"/>
          <w:sz w:val="22"/>
          <w:szCs w:val="22"/>
        </w:rPr>
        <w:t xml:space="preserve">is well-nigh impossible to reconcile with a desire to disembark intercepted or rescued migrants in a third country, the omission of such guarantees in the Regulation </w:t>
      </w:r>
      <w:r w:rsidR="00AF1311" w:rsidRPr="004427CF">
        <w:rPr>
          <w:rFonts w:asciiTheme="minorHAnsi" w:hAnsiTheme="minorHAnsi"/>
          <w:sz w:val="22"/>
          <w:szCs w:val="22"/>
        </w:rPr>
        <w:t>suggests</w:t>
      </w:r>
      <w:r w:rsidR="005F1803" w:rsidRPr="004427CF">
        <w:rPr>
          <w:rFonts w:asciiTheme="minorHAnsi" w:hAnsiTheme="minorHAnsi"/>
          <w:sz w:val="22"/>
          <w:szCs w:val="22"/>
        </w:rPr>
        <w:t xml:space="preserve"> rather clear</w:t>
      </w:r>
      <w:r w:rsidR="00AF1311" w:rsidRPr="004427CF">
        <w:rPr>
          <w:rFonts w:asciiTheme="minorHAnsi" w:hAnsiTheme="minorHAnsi"/>
          <w:sz w:val="22"/>
          <w:szCs w:val="22"/>
        </w:rPr>
        <w:t>ly</w:t>
      </w:r>
      <w:r w:rsidR="005F1803" w:rsidRPr="004427CF">
        <w:rPr>
          <w:rFonts w:asciiTheme="minorHAnsi" w:hAnsiTheme="minorHAnsi"/>
          <w:sz w:val="22"/>
          <w:szCs w:val="22"/>
        </w:rPr>
        <w:t xml:space="preserve"> that some Member States </w:t>
      </w:r>
      <w:r w:rsidR="00AF1311" w:rsidRPr="004427CF">
        <w:rPr>
          <w:rFonts w:asciiTheme="minorHAnsi" w:hAnsiTheme="minorHAnsi"/>
          <w:sz w:val="22"/>
          <w:szCs w:val="22"/>
        </w:rPr>
        <w:t xml:space="preserve">simply </w:t>
      </w:r>
      <w:r w:rsidR="005F1803" w:rsidRPr="004427CF">
        <w:rPr>
          <w:rFonts w:asciiTheme="minorHAnsi" w:hAnsiTheme="minorHAnsi"/>
          <w:sz w:val="22"/>
          <w:szCs w:val="22"/>
        </w:rPr>
        <w:t>insisted during the negotiations to maintain that possibility.</w:t>
      </w:r>
    </w:p>
    <w:p w:rsidR="00F6065F" w:rsidRPr="004427CF" w:rsidRDefault="00370B1B" w:rsidP="00B80CBE">
      <w:pPr>
        <w:autoSpaceDE w:val="0"/>
        <w:autoSpaceDN w:val="0"/>
        <w:adjustRightInd w:val="0"/>
        <w:spacing w:line="276" w:lineRule="auto"/>
        <w:ind w:firstLine="720"/>
        <w:rPr>
          <w:rFonts w:asciiTheme="minorHAnsi" w:hAnsiTheme="minorHAnsi"/>
          <w:sz w:val="22"/>
          <w:szCs w:val="22"/>
        </w:rPr>
      </w:pPr>
      <w:r w:rsidRPr="004427CF">
        <w:rPr>
          <w:rFonts w:asciiTheme="minorHAnsi" w:hAnsiTheme="minorHAnsi"/>
          <w:sz w:val="22"/>
          <w:szCs w:val="22"/>
        </w:rPr>
        <w:lastRenderedPageBreak/>
        <w:t>Overall, the Regulation establishes a very specific regime for dealing with migrants who may claim asylum who are found at sea, outside the ordinary framework of  EU asylum law. The EU directives on asylum, which regulate such matters as the reception conditions, the standards of the asylum procedure and the eligibility criteria for asylum, are, according to the definitions on the scope of the directives, applicable ‘</w:t>
      </w:r>
      <w:r w:rsidRPr="004427CF">
        <w:rPr>
          <w:rFonts w:asciiTheme="minorHAnsi" w:hAnsiTheme="minorHAnsi"/>
          <w:sz w:val="22"/>
          <w:szCs w:val="22"/>
          <w:lang w:val="en"/>
        </w:rPr>
        <w:t>to all third-country nationals and stateless persons who make an application for international protection on the territory, including at the border, in the territorial waters or in the transit zones of a Member State</w:t>
      </w:r>
      <w:r w:rsidRPr="004427CF">
        <w:rPr>
          <w:rFonts w:asciiTheme="minorHAnsi" w:hAnsiTheme="minorHAnsi"/>
          <w:sz w:val="22"/>
          <w:szCs w:val="22"/>
        </w:rPr>
        <w:t>’. Applications made at the high seas or beyond are hence excluded from their scope.</w:t>
      </w:r>
      <w:r w:rsidRPr="004427CF">
        <w:rPr>
          <w:rStyle w:val="FootnoteReference"/>
          <w:rFonts w:asciiTheme="minorHAnsi" w:hAnsiTheme="minorHAnsi"/>
          <w:sz w:val="22"/>
          <w:szCs w:val="22"/>
        </w:rPr>
        <w:footnoteReference w:id="48"/>
      </w:r>
      <w:r w:rsidRPr="004427CF">
        <w:rPr>
          <w:rFonts w:asciiTheme="minorHAnsi" w:hAnsiTheme="minorHAnsi"/>
          <w:sz w:val="22"/>
          <w:szCs w:val="22"/>
        </w:rPr>
        <w:t xml:space="preserve"> If the latter applications are made in the context of a </w:t>
      </w:r>
      <w:proofErr w:type="spellStart"/>
      <w:r w:rsidRPr="004427CF">
        <w:rPr>
          <w:rFonts w:asciiTheme="minorHAnsi" w:hAnsiTheme="minorHAnsi"/>
          <w:sz w:val="22"/>
          <w:szCs w:val="22"/>
        </w:rPr>
        <w:t>Frontex</w:t>
      </w:r>
      <w:proofErr w:type="spellEnd"/>
      <w:r w:rsidRPr="004427CF">
        <w:rPr>
          <w:rFonts w:asciiTheme="minorHAnsi" w:hAnsiTheme="minorHAnsi"/>
          <w:sz w:val="22"/>
          <w:szCs w:val="22"/>
        </w:rPr>
        <w:t xml:space="preserve"> mission, they are governed by the Regulation, which provides a set of substandard guarantees</w:t>
      </w:r>
      <w:r w:rsidR="00350FD5" w:rsidRPr="004427CF">
        <w:rPr>
          <w:rFonts w:asciiTheme="minorHAnsi" w:hAnsiTheme="minorHAnsi"/>
          <w:sz w:val="22"/>
          <w:szCs w:val="22"/>
        </w:rPr>
        <w:t>, omitting such key elements as the right of access to an asylum procedure, the right to legal assistance, the right that a decision is given in writing, the right of appeal, etcetera. Further, the Regulation has its own standards on returns and apprehension, which are not at all aligned with the norms set out in the Returns Directive (2008/115/EC)</w:t>
      </w:r>
      <w:r w:rsidR="00680EE9" w:rsidRPr="004427CF">
        <w:rPr>
          <w:rFonts w:asciiTheme="minorHAnsi" w:hAnsiTheme="minorHAnsi"/>
          <w:sz w:val="22"/>
          <w:szCs w:val="22"/>
        </w:rPr>
        <w:t xml:space="preserve"> </w:t>
      </w:r>
      <w:r w:rsidR="00350FD5" w:rsidRPr="004427CF">
        <w:rPr>
          <w:rFonts w:asciiTheme="minorHAnsi" w:hAnsiTheme="minorHAnsi"/>
          <w:sz w:val="22"/>
          <w:szCs w:val="22"/>
        </w:rPr>
        <w:t>set</w:t>
      </w:r>
      <w:r w:rsidR="00680EE9" w:rsidRPr="004427CF">
        <w:rPr>
          <w:rFonts w:asciiTheme="minorHAnsi" w:hAnsiTheme="minorHAnsi"/>
          <w:sz w:val="22"/>
          <w:szCs w:val="22"/>
        </w:rPr>
        <w:t>ting</w:t>
      </w:r>
      <w:r w:rsidR="00350FD5" w:rsidRPr="004427CF">
        <w:rPr>
          <w:rFonts w:asciiTheme="minorHAnsi" w:hAnsiTheme="minorHAnsi"/>
          <w:sz w:val="22"/>
          <w:szCs w:val="22"/>
        </w:rPr>
        <w:t xml:space="preserve"> </w:t>
      </w:r>
      <w:r w:rsidR="00350FD5" w:rsidRPr="004427CF">
        <w:rPr>
          <w:rFonts w:asciiTheme="minorHAnsi" w:hAnsiTheme="minorHAnsi" w:cs="EUAlbertina"/>
          <w:sz w:val="22"/>
          <w:szCs w:val="22"/>
        </w:rPr>
        <w:t xml:space="preserve">out the common procedures to be applied in Member States for returning illegally staying third-country nationals. The conclusion </w:t>
      </w:r>
      <w:r w:rsidR="00680EE9" w:rsidRPr="004427CF">
        <w:rPr>
          <w:rFonts w:asciiTheme="minorHAnsi" w:hAnsiTheme="minorHAnsi" w:cs="EUAlbertina"/>
          <w:sz w:val="22"/>
          <w:szCs w:val="22"/>
        </w:rPr>
        <w:t>is</w:t>
      </w:r>
      <w:r w:rsidR="00350FD5" w:rsidRPr="004427CF">
        <w:rPr>
          <w:rFonts w:asciiTheme="minorHAnsi" w:hAnsiTheme="minorHAnsi" w:cs="EUAlbertina"/>
          <w:sz w:val="22"/>
          <w:szCs w:val="22"/>
        </w:rPr>
        <w:t xml:space="preserve"> accordingly </w:t>
      </w:r>
      <w:r w:rsidR="00F76F9F" w:rsidRPr="004427CF">
        <w:rPr>
          <w:rFonts w:asciiTheme="minorHAnsi" w:hAnsiTheme="minorHAnsi" w:cs="EUAlbertina"/>
          <w:sz w:val="22"/>
          <w:szCs w:val="22"/>
        </w:rPr>
        <w:t xml:space="preserve">that </w:t>
      </w:r>
      <w:r w:rsidR="00680EE9" w:rsidRPr="004427CF">
        <w:rPr>
          <w:rFonts w:asciiTheme="minorHAnsi" w:hAnsiTheme="minorHAnsi" w:cs="EUAlbertina"/>
          <w:sz w:val="22"/>
          <w:szCs w:val="22"/>
        </w:rPr>
        <w:t xml:space="preserve">very much </w:t>
      </w:r>
      <w:r w:rsidR="00F76F9F" w:rsidRPr="004427CF">
        <w:rPr>
          <w:rFonts w:asciiTheme="minorHAnsi" w:hAnsiTheme="minorHAnsi" w:cs="EUAlbertina"/>
          <w:sz w:val="22"/>
          <w:szCs w:val="22"/>
        </w:rPr>
        <w:t xml:space="preserve">akin to the </w:t>
      </w:r>
      <w:r w:rsidR="00F76F9F" w:rsidRPr="004427CF">
        <w:rPr>
          <w:rFonts w:asciiTheme="minorHAnsi" w:hAnsiTheme="minorHAnsi"/>
          <w:sz w:val="22"/>
          <w:szCs w:val="22"/>
        </w:rPr>
        <w:t xml:space="preserve">United States and Australian </w:t>
      </w:r>
      <w:r w:rsidR="00680EE9" w:rsidRPr="004427CF">
        <w:rPr>
          <w:rFonts w:asciiTheme="minorHAnsi" w:hAnsiTheme="minorHAnsi"/>
          <w:sz w:val="22"/>
          <w:szCs w:val="22"/>
        </w:rPr>
        <w:t>precedent</w:t>
      </w:r>
      <w:r w:rsidR="00F76F9F" w:rsidRPr="004427CF">
        <w:rPr>
          <w:rFonts w:asciiTheme="minorHAnsi" w:hAnsiTheme="minorHAnsi"/>
          <w:sz w:val="22"/>
          <w:szCs w:val="22"/>
        </w:rPr>
        <w:t xml:space="preserve">s, </w:t>
      </w:r>
      <w:r w:rsidR="00680EE9" w:rsidRPr="004427CF">
        <w:rPr>
          <w:rFonts w:asciiTheme="minorHAnsi" w:hAnsiTheme="minorHAnsi"/>
          <w:sz w:val="22"/>
          <w:szCs w:val="22"/>
        </w:rPr>
        <w:t>t</w:t>
      </w:r>
      <w:r w:rsidR="00350FD5" w:rsidRPr="004427CF">
        <w:rPr>
          <w:rFonts w:asciiTheme="minorHAnsi" w:hAnsiTheme="minorHAnsi" w:cs="EUAlbertina"/>
          <w:sz w:val="22"/>
          <w:szCs w:val="22"/>
        </w:rPr>
        <w:t xml:space="preserve">he Regulation </w:t>
      </w:r>
      <w:r w:rsidR="00680EE9" w:rsidRPr="004427CF">
        <w:rPr>
          <w:rFonts w:asciiTheme="minorHAnsi" w:hAnsiTheme="minorHAnsi" w:cs="EUAlbertina"/>
          <w:sz w:val="22"/>
          <w:szCs w:val="22"/>
        </w:rPr>
        <w:t>excludes</w:t>
      </w:r>
      <w:r w:rsidR="00F76F9F" w:rsidRPr="004427CF">
        <w:rPr>
          <w:rFonts w:asciiTheme="minorHAnsi" w:hAnsiTheme="minorHAnsi" w:cs="EUAlbertina"/>
          <w:sz w:val="22"/>
          <w:szCs w:val="22"/>
        </w:rPr>
        <w:t xml:space="preserve"> </w:t>
      </w:r>
      <w:r w:rsidR="00350FD5" w:rsidRPr="004427CF">
        <w:rPr>
          <w:rFonts w:asciiTheme="minorHAnsi" w:hAnsiTheme="minorHAnsi"/>
          <w:sz w:val="22"/>
          <w:szCs w:val="22"/>
        </w:rPr>
        <w:t xml:space="preserve">boat </w:t>
      </w:r>
      <w:r w:rsidR="00F76F9F" w:rsidRPr="004427CF">
        <w:rPr>
          <w:rFonts w:asciiTheme="minorHAnsi" w:hAnsiTheme="minorHAnsi"/>
          <w:sz w:val="22"/>
          <w:szCs w:val="22"/>
        </w:rPr>
        <w:t>arrivals</w:t>
      </w:r>
      <w:r w:rsidR="00350FD5" w:rsidRPr="004427CF">
        <w:rPr>
          <w:rFonts w:asciiTheme="minorHAnsi" w:hAnsiTheme="minorHAnsi"/>
          <w:sz w:val="22"/>
          <w:szCs w:val="22"/>
        </w:rPr>
        <w:t xml:space="preserve"> from ordinary statutory guarantees.</w:t>
      </w:r>
    </w:p>
    <w:p w:rsidR="006149F3" w:rsidRPr="004427CF" w:rsidRDefault="00072985" w:rsidP="00B80CBE">
      <w:pPr>
        <w:spacing w:line="276" w:lineRule="auto"/>
        <w:ind w:firstLine="720"/>
        <w:rPr>
          <w:rFonts w:asciiTheme="minorHAnsi" w:hAnsiTheme="minorHAnsi" w:cs="Arial"/>
          <w:sz w:val="22"/>
          <w:szCs w:val="22"/>
          <w:shd w:val="clear" w:color="auto" w:fill="FFFFFF"/>
        </w:rPr>
      </w:pPr>
      <w:r w:rsidRPr="004427CF">
        <w:rPr>
          <w:rFonts w:asciiTheme="minorHAnsi" w:hAnsiTheme="minorHAnsi"/>
          <w:bCs/>
          <w:sz w:val="22"/>
          <w:szCs w:val="22"/>
        </w:rPr>
        <w:t xml:space="preserve">A further omission is that </w:t>
      </w:r>
      <w:r w:rsidRPr="004427CF">
        <w:rPr>
          <w:rFonts w:asciiTheme="minorHAnsi" w:hAnsiTheme="minorHAnsi" w:cs="Arial"/>
          <w:sz w:val="22"/>
          <w:szCs w:val="22"/>
          <w:shd w:val="clear" w:color="auto" w:fill="FFFFFF"/>
        </w:rPr>
        <w:t>the Regulation is remarkably silent on interceptions in the territorial sea of third countries. In earlier policy documents, the wish was expressed to clarify the scope of Member State powers also in respect of operations in the territorial sea of third countries.</w:t>
      </w:r>
      <w:r w:rsidRPr="004427CF">
        <w:rPr>
          <w:rStyle w:val="FootnoteReference"/>
          <w:rFonts w:asciiTheme="minorHAnsi" w:hAnsiTheme="minorHAnsi" w:cs="Arial"/>
          <w:sz w:val="22"/>
          <w:szCs w:val="22"/>
          <w:shd w:val="clear" w:color="auto" w:fill="FFFFFF"/>
        </w:rPr>
        <w:footnoteReference w:id="49"/>
      </w:r>
      <w:r w:rsidRPr="004427CF">
        <w:rPr>
          <w:rFonts w:asciiTheme="minorHAnsi" w:hAnsiTheme="minorHAnsi" w:cs="Arial"/>
          <w:sz w:val="22"/>
          <w:szCs w:val="22"/>
          <w:shd w:val="clear" w:color="auto" w:fill="FFFFFF"/>
        </w:rPr>
        <w:t xml:space="preserve"> The issue is topical, as for example Spain has concluded detailed arrangements with </w:t>
      </w:r>
      <w:r w:rsidR="006149F3" w:rsidRPr="004427CF">
        <w:rPr>
          <w:rFonts w:asciiTheme="minorHAnsi" w:hAnsiTheme="minorHAnsi" w:cs="Arial"/>
          <w:sz w:val="22"/>
          <w:szCs w:val="22"/>
          <w:shd w:val="clear" w:color="auto" w:fill="FFFFFF"/>
        </w:rPr>
        <w:t xml:space="preserve">a range of countries in Northwest Africa, including Morocco, Senegal, Mauritania and the Cape Verde, which foresee in joint sea patrols of the Spanish </w:t>
      </w:r>
      <w:r w:rsidR="006149F3" w:rsidRPr="004427CF">
        <w:rPr>
          <w:rFonts w:asciiTheme="minorHAnsi" w:hAnsiTheme="minorHAnsi" w:cs="Arial"/>
          <w:i/>
          <w:sz w:val="22"/>
          <w:szCs w:val="22"/>
          <w:shd w:val="clear" w:color="auto" w:fill="FFFFFF"/>
        </w:rPr>
        <w:t>Guardia Civil</w:t>
      </w:r>
      <w:r w:rsidR="006149F3" w:rsidRPr="004427CF">
        <w:rPr>
          <w:rFonts w:asciiTheme="minorHAnsi" w:hAnsiTheme="minorHAnsi" w:cs="Arial"/>
          <w:sz w:val="22"/>
          <w:szCs w:val="22"/>
          <w:shd w:val="clear" w:color="auto" w:fill="FFFFFF"/>
        </w:rPr>
        <w:t xml:space="preserve"> and the border authorities of the partner countries, and which aim to prevent migrant vessels from exiting the territorial sea of the latter countries.</w:t>
      </w:r>
      <w:r w:rsidR="006149F3" w:rsidRPr="004427CF">
        <w:rPr>
          <w:rStyle w:val="FootnoteReference"/>
          <w:rFonts w:asciiTheme="minorHAnsi" w:hAnsiTheme="minorHAnsi" w:cs="Arial"/>
          <w:sz w:val="22"/>
          <w:szCs w:val="22"/>
          <w:shd w:val="clear" w:color="auto" w:fill="FFFFFF"/>
        </w:rPr>
        <w:footnoteReference w:id="50"/>
      </w:r>
      <w:r w:rsidR="006149F3" w:rsidRPr="004427CF">
        <w:rPr>
          <w:rFonts w:asciiTheme="minorHAnsi" w:hAnsiTheme="minorHAnsi" w:cs="Arial"/>
          <w:sz w:val="22"/>
          <w:szCs w:val="22"/>
          <w:shd w:val="clear" w:color="auto" w:fill="FFFFFF"/>
        </w:rPr>
        <w:t xml:space="preserve"> These patrols have been highly instrumental in closing the Atlantic migration route to the Canary Islands and continental Spain.</w:t>
      </w:r>
      <w:r w:rsidR="00D63F93" w:rsidRPr="004427CF">
        <w:rPr>
          <w:rFonts w:asciiTheme="minorHAnsi" w:hAnsiTheme="minorHAnsi" w:cs="Arial"/>
          <w:sz w:val="22"/>
          <w:szCs w:val="22"/>
          <w:shd w:val="clear" w:color="auto" w:fill="FFFFFF"/>
        </w:rPr>
        <w:t xml:space="preserve"> </w:t>
      </w:r>
      <w:proofErr w:type="spellStart"/>
      <w:r w:rsidR="00D63F93" w:rsidRPr="004427CF">
        <w:rPr>
          <w:rFonts w:asciiTheme="minorHAnsi" w:hAnsiTheme="minorHAnsi" w:cs="Arial"/>
          <w:sz w:val="22"/>
          <w:szCs w:val="22"/>
          <w:shd w:val="clear" w:color="auto" w:fill="FFFFFF"/>
        </w:rPr>
        <w:t>Frontex</w:t>
      </w:r>
      <w:proofErr w:type="spellEnd"/>
      <w:r w:rsidR="00D63F93" w:rsidRPr="004427CF">
        <w:rPr>
          <w:rFonts w:asciiTheme="minorHAnsi" w:hAnsiTheme="minorHAnsi" w:cs="Arial"/>
          <w:sz w:val="22"/>
          <w:szCs w:val="22"/>
          <w:shd w:val="clear" w:color="auto" w:fill="FFFFFF"/>
        </w:rPr>
        <w:t xml:space="preserve"> has been involved in these operations, as it coordinated the various HERA operations in the seas adjacent to Mauritania, Senegal and Cape Verde. Spain’s bilateral arrangements have raised questions about their implications for the migrants’ fundamental right to leave a country, the safeguards applicable during interception and the division of responsibilities between the various states involved.</w:t>
      </w:r>
      <w:r w:rsidR="00D63F93" w:rsidRPr="004427CF">
        <w:rPr>
          <w:rStyle w:val="FootnoteReference"/>
          <w:rFonts w:asciiTheme="minorHAnsi" w:hAnsiTheme="minorHAnsi" w:cs="Arial"/>
          <w:sz w:val="22"/>
          <w:szCs w:val="22"/>
          <w:shd w:val="clear" w:color="auto" w:fill="FFFFFF"/>
        </w:rPr>
        <w:footnoteReference w:id="51"/>
      </w:r>
    </w:p>
    <w:p w:rsidR="006149F3" w:rsidRPr="004427CF" w:rsidRDefault="006149F3" w:rsidP="00B80CBE">
      <w:pPr>
        <w:spacing w:line="276" w:lineRule="auto"/>
        <w:rPr>
          <w:rFonts w:asciiTheme="minorHAnsi" w:hAnsiTheme="minorHAnsi" w:cs="Arial"/>
          <w:sz w:val="22"/>
          <w:szCs w:val="22"/>
          <w:shd w:val="clear" w:color="auto" w:fill="FFFFFF"/>
        </w:rPr>
      </w:pPr>
    </w:p>
    <w:p w:rsidR="00072985" w:rsidRPr="004427CF" w:rsidRDefault="006149F3" w:rsidP="00B80CBE">
      <w:pPr>
        <w:spacing w:line="276" w:lineRule="auto"/>
        <w:rPr>
          <w:rFonts w:asciiTheme="minorHAnsi" w:hAnsiTheme="minorHAnsi" w:cs="Arial"/>
          <w:sz w:val="22"/>
          <w:szCs w:val="22"/>
          <w:shd w:val="clear" w:color="auto" w:fill="FFFFFF"/>
        </w:rPr>
      </w:pPr>
      <w:r w:rsidRPr="004427CF">
        <w:rPr>
          <w:rFonts w:asciiTheme="minorHAnsi" w:hAnsiTheme="minorHAnsi" w:cs="Arial"/>
          <w:sz w:val="22"/>
          <w:szCs w:val="22"/>
          <w:shd w:val="clear" w:color="auto" w:fill="FFFFFF"/>
        </w:rPr>
        <w:t xml:space="preserve"> </w:t>
      </w:r>
    </w:p>
    <w:p w:rsidR="007F183A" w:rsidRPr="004427CF" w:rsidRDefault="00162E88" w:rsidP="00B80CBE">
      <w:pPr>
        <w:spacing w:line="276" w:lineRule="auto"/>
        <w:rPr>
          <w:rFonts w:asciiTheme="minorHAnsi" w:hAnsiTheme="minorHAnsi"/>
          <w:b/>
          <w:bCs/>
          <w:sz w:val="22"/>
          <w:szCs w:val="22"/>
        </w:rPr>
      </w:pPr>
      <w:r w:rsidRPr="004427CF">
        <w:rPr>
          <w:rFonts w:asciiTheme="minorHAnsi" w:hAnsiTheme="minorHAnsi"/>
          <w:b/>
          <w:bCs/>
          <w:sz w:val="22"/>
          <w:szCs w:val="22"/>
        </w:rPr>
        <w:t>4. Saving lives at s</w:t>
      </w:r>
      <w:r w:rsidR="007F183A" w:rsidRPr="004427CF">
        <w:rPr>
          <w:rFonts w:asciiTheme="minorHAnsi" w:hAnsiTheme="minorHAnsi"/>
          <w:b/>
          <w:bCs/>
          <w:sz w:val="22"/>
          <w:szCs w:val="22"/>
        </w:rPr>
        <w:t>ea and immigration deterrence</w:t>
      </w:r>
    </w:p>
    <w:p w:rsidR="00903D46" w:rsidRPr="004427CF" w:rsidRDefault="00903D46" w:rsidP="00B80CBE">
      <w:pPr>
        <w:spacing w:line="276" w:lineRule="auto"/>
        <w:rPr>
          <w:rFonts w:asciiTheme="minorHAnsi" w:hAnsiTheme="minorHAnsi"/>
          <w:b/>
          <w:bCs/>
          <w:sz w:val="22"/>
          <w:szCs w:val="22"/>
        </w:rPr>
      </w:pPr>
    </w:p>
    <w:p w:rsidR="00594D8D" w:rsidRPr="004427CF" w:rsidRDefault="00903D46" w:rsidP="00B80CBE">
      <w:pPr>
        <w:spacing w:line="276" w:lineRule="auto"/>
        <w:rPr>
          <w:rFonts w:asciiTheme="minorHAnsi" w:hAnsiTheme="minorHAnsi"/>
          <w:bCs/>
          <w:sz w:val="22"/>
          <w:szCs w:val="22"/>
        </w:rPr>
      </w:pPr>
      <w:r w:rsidRPr="004427CF">
        <w:rPr>
          <w:rFonts w:asciiTheme="minorHAnsi" w:hAnsiTheme="minorHAnsi"/>
          <w:bCs/>
          <w:sz w:val="22"/>
          <w:szCs w:val="22"/>
        </w:rPr>
        <w:t xml:space="preserve">Another hot potato concerns the </w:t>
      </w:r>
      <w:r w:rsidR="0062765B" w:rsidRPr="004427CF">
        <w:rPr>
          <w:rFonts w:asciiTheme="minorHAnsi" w:hAnsiTheme="minorHAnsi"/>
          <w:bCs/>
          <w:sz w:val="22"/>
          <w:szCs w:val="22"/>
        </w:rPr>
        <w:t>question of how to execute border surveillance ‘while contributing to saving lives’.</w:t>
      </w:r>
      <w:r w:rsidR="0062765B" w:rsidRPr="004427CF">
        <w:rPr>
          <w:rStyle w:val="FootnoteReference"/>
          <w:rFonts w:asciiTheme="minorHAnsi" w:hAnsiTheme="minorHAnsi"/>
          <w:bCs/>
          <w:sz w:val="22"/>
          <w:szCs w:val="22"/>
        </w:rPr>
        <w:footnoteReference w:id="52"/>
      </w:r>
      <w:r w:rsidR="0062765B" w:rsidRPr="004427CF">
        <w:rPr>
          <w:rFonts w:asciiTheme="minorHAnsi" w:hAnsiTheme="minorHAnsi"/>
          <w:bCs/>
          <w:sz w:val="22"/>
          <w:szCs w:val="22"/>
        </w:rPr>
        <w:t xml:space="preserve"> </w:t>
      </w:r>
      <w:r w:rsidR="00594D8D" w:rsidRPr="004427CF">
        <w:rPr>
          <w:rFonts w:asciiTheme="minorHAnsi" w:hAnsiTheme="minorHAnsi"/>
          <w:bCs/>
          <w:sz w:val="22"/>
          <w:szCs w:val="22"/>
        </w:rPr>
        <w:t xml:space="preserve">Compared to ‘ordinary’ situations of distress at sea, </w:t>
      </w:r>
      <w:r w:rsidR="0062765B" w:rsidRPr="004427CF">
        <w:rPr>
          <w:rFonts w:asciiTheme="minorHAnsi" w:hAnsiTheme="minorHAnsi"/>
          <w:bCs/>
          <w:sz w:val="22"/>
          <w:szCs w:val="22"/>
        </w:rPr>
        <w:t>t</w:t>
      </w:r>
      <w:r w:rsidR="00594D8D" w:rsidRPr="004427CF">
        <w:rPr>
          <w:rFonts w:asciiTheme="minorHAnsi" w:hAnsiTheme="minorHAnsi"/>
          <w:bCs/>
          <w:sz w:val="22"/>
          <w:szCs w:val="22"/>
        </w:rPr>
        <w:t xml:space="preserve">he combination of ‘irregular migrants’ and ‘distress’ </w:t>
      </w:r>
      <w:r w:rsidR="00354999" w:rsidRPr="004427CF">
        <w:rPr>
          <w:rFonts w:asciiTheme="minorHAnsi" w:hAnsiTheme="minorHAnsi"/>
          <w:bCs/>
          <w:sz w:val="22"/>
          <w:szCs w:val="22"/>
        </w:rPr>
        <w:t>tends to generate</w:t>
      </w:r>
      <w:r w:rsidR="0010027A" w:rsidRPr="004427CF">
        <w:rPr>
          <w:rFonts w:asciiTheme="minorHAnsi" w:hAnsiTheme="minorHAnsi"/>
          <w:bCs/>
          <w:sz w:val="22"/>
          <w:szCs w:val="22"/>
        </w:rPr>
        <w:t xml:space="preserve"> questionable dynamics</w:t>
      </w:r>
      <w:r w:rsidR="00354999" w:rsidRPr="004427CF">
        <w:rPr>
          <w:rFonts w:asciiTheme="minorHAnsi" w:hAnsiTheme="minorHAnsi"/>
          <w:bCs/>
          <w:sz w:val="22"/>
          <w:szCs w:val="22"/>
        </w:rPr>
        <w:t xml:space="preserve"> of</w:t>
      </w:r>
      <w:r w:rsidR="0010027A" w:rsidRPr="004427CF">
        <w:rPr>
          <w:rFonts w:asciiTheme="minorHAnsi" w:hAnsiTheme="minorHAnsi"/>
          <w:bCs/>
          <w:sz w:val="22"/>
          <w:szCs w:val="22"/>
        </w:rPr>
        <w:t xml:space="preserve"> </w:t>
      </w:r>
      <w:r w:rsidR="003C7696" w:rsidRPr="004427CF">
        <w:rPr>
          <w:rFonts w:asciiTheme="minorHAnsi" w:hAnsiTheme="minorHAnsi"/>
          <w:bCs/>
          <w:sz w:val="22"/>
          <w:szCs w:val="22"/>
        </w:rPr>
        <w:t>burden avoidance and burden shifting.</w:t>
      </w:r>
    </w:p>
    <w:p w:rsidR="00680EE9" w:rsidRPr="004427CF" w:rsidRDefault="003C7696" w:rsidP="00B80CBE">
      <w:pPr>
        <w:spacing w:line="276" w:lineRule="auto"/>
        <w:rPr>
          <w:rFonts w:asciiTheme="minorHAnsi" w:hAnsiTheme="minorHAnsi"/>
          <w:bCs/>
          <w:sz w:val="22"/>
          <w:szCs w:val="22"/>
        </w:rPr>
      </w:pPr>
      <w:r w:rsidRPr="004427CF">
        <w:rPr>
          <w:rFonts w:asciiTheme="minorHAnsi" w:hAnsiTheme="minorHAnsi"/>
          <w:bCs/>
          <w:sz w:val="22"/>
          <w:szCs w:val="22"/>
        </w:rPr>
        <w:lastRenderedPageBreak/>
        <w:tab/>
        <w:t xml:space="preserve">Obviously, </w:t>
      </w:r>
      <w:r w:rsidR="006B3E44" w:rsidRPr="004427CF">
        <w:rPr>
          <w:rFonts w:asciiTheme="minorHAnsi" w:hAnsiTheme="minorHAnsi"/>
          <w:bCs/>
          <w:sz w:val="22"/>
          <w:szCs w:val="22"/>
        </w:rPr>
        <w:t xml:space="preserve">if a </w:t>
      </w:r>
      <w:r w:rsidR="00B80CBE" w:rsidRPr="004427CF">
        <w:rPr>
          <w:rFonts w:asciiTheme="minorHAnsi" w:hAnsiTheme="minorHAnsi"/>
          <w:bCs/>
          <w:sz w:val="22"/>
          <w:szCs w:val="22"/>
        </w:rPr>
        <w:t>s</w:t>
      </w:r>
      <w:r w:rsidR="006B3E44" w:rsidRPr="004427CF">
        <w:rPr>
          <w:rFonts w:asciiTheme="minorHAnsi" w:hAnsiTheme="minorHAnsi"/>
          <w:bCs/>
          <w:sz w:val="22"/>
          <w:szCs w:val="22"/>
        </w:rPr>
        <w:t xml:space="preserve">tate elects </w:t>
      </w:r>
      <w:r w:rsidRPr="004427CF">
        <w:rPr>
          <w:rFonts w:asciiTheme="minorHAnsi" w:hAnsiTheme="minorHAnsi"/>
          <w:bCs/>
          <w:sz w:val="22"/>
          <w:szCs w:val="22"/>
        </w:rPr>
        <w:t xml:space="preserve">to render assistance to </w:t>
      </w:r>
      <w:r w:rsidR="006B3E44" w:rsidRPr="004427CF">
        <w:rPr>
          <w:rFonts w:asciiTheme="minorHAnsi" w:hAnsiTheme="minorHAnsi"/>
          <w:bCs/>
          <w:sz w:val="22"/>
          <w:szCs w:val="22"/>
        </w:rPr>
        <w:t xml:space="preserve">a </w:t>
      </w:r>
      <w:r w:rsidRPr="004427CF">
        <w:rPr>
          <w:rFonts w:asciiTheme="minorHAnsi" w:hAnsiTheme="minorHAnsi"/>
          <w:bCs/>
          <w:sz w:val="22"/>
          <w:szCs w:val="22"/>
        </w:rPr>
        <w:t>migrant</w:t>
      </w:r>
      <w:r w:rsidR="006B3E44" w:rsidRPr="004427CF">
        <w:rPr>
          <w:rFonts w:asciiTheme="minorHAnsi" w:hAnsiTheme="minorHAnsi"/>
          <w:bCs/>
          <w:sz w:val="22"/>
          <w:szCs w:val="22"/>
        </w:rPr>
        <w:t xml:space="preserve"> vessel</w:t>
      </w:r>
      <w:r w:rsidRPr="004427CF">
        <w:rPr>
          <w:rFonts w:asciiTheme="minorHAnsi" w:hAnsiTheme="minorHAnsi"/>
          <w:bCs/>
          <w:sz w:val="22"/>
          <w:szCs w:val="22"/>
        </w:rPr>
        <w:t xml:space="preserve"> at sea </w:t>
      </w:r>
      <w:r w:rsidR="006B3E44" w:rsidRPr="004427CF">
        <w:rPr>
          <w:rFonts w:asciiTheme="minorHAnsi" w:hAnsiTheme="minorHAnsi"/>
          <w:bCs/>
          <w:sz w:val="22"/>
          <w:szCs w:val="22"/>
        </w:rPr>
        <w:t>it makes itself the most plausible candidate for having to carry the migrant burden</w:t>
      </w:r>
      <w:r w:rsidR="007F2160" w:rsidRPr="004427CF">
        <w:rPr>
          <w:rFonts w:asciiTheme="minorHAnsi" w:hAnsiTheme="minorHAnsi"/>
          <w:bCs/>
          <w:sz w:val="22"/>
          <w:szCs w:val="22"/>
        </w:rPr>
        <w:t xml:space="preserve"> – </w:t>
      </w:r>
      <w:r w:rsidR="006B3E44" w:rsidRPr="004427CF">
        <w:rPr>
          <w:rFonts w:asciiTheme="minorHAnsi" w:hAnsiTheme="minorHAnsi"/>
          <w:bCs/>
          <w:sz w:val="22"/>
          <w:szCs w:val="22"/>
        </w:rPr>
        <w:t xml:space="preserve">i.e. to bring the migrants to shore </w:t>
      </w:r>
      <w:r w:rsidR="00B80CBE" w:rsidRPr="004427CF">
        <w:rPr>
          <w:rFonts w:asciiTheme="minorHAnsi" w:hAnsiTheme="minorHAnsi"/>
          <w:bCs/>
          <w:sz w:val="22"/>
          <w:szCs w:val="22"/>
        </w:rPr>
        <w:t xml:space="preserve">and thus </w:t>
      </w:r>
      <w:r w:rsidR="006B3E44" w:rsidRPr="004427CF">
        <w:rPr>
          <w:rFonts w:asciiTheme="minorHAnsi" w:hAnsiTheme="minorHAnsi"/>
          <w:bCs/>
          <w:sz w:val="22"/>
          <w:szCs w:val="22"/>
        </w:rPr>
        <w:t>allow</w:t>
      </w:r>
      <w:r w:rsidR="007F2160" w:rsidRPr="004427CF">
        <w:rPr>
          <w:rFonts w:asciiTheme="minorHAnsi" w:hAnsiTheme="minorHAnsi"/>
          <w:bCs/>
          <w:sz w:val="22"/>
          <w:szCs w:val="22"/>
        </w:rPr>
        <w:t>ing them to effectuate</w:t>
      </w:r>
      <w:r w:rsidR="006B3E44" w:rsidRPr="004427CF">
        <w:rPr>
          <w:rFonts w:asciiTheme="minorHAnsi" w:hAnsiTheme="minorHAnsi"/>
          <w:bCs/>
          <w:sz w:val="22"/>
          <w:szCs w:val="22"/>
        </w:rPr>
        <w:t xml:space="preserve"> entry. Private shipmasters may for similar reasons be discouraged to engage in rescue operations. For them, there are not only potential delays and commercial</w:t>
      </w:r>
      <w:r w:rsidR="007F2160" w:rsidRPr="004427CF">
        <w:rPr>
          <w:rFonts w:asciiTheme="minorHAnsi" w:hAnsiTheme="minorHAnsi"/>
          <w:bCs/>
          <w:sz w:val="22"/>
          <w:szCs w:val="22"/>
        </w:rPr>
        <w:t xml:space="preserve"> losses involved, they may also be simply </w:t>
      </w:r>
      <w:r w:rsidR="006B3E44" w:rsidRPr="004427CF">
        <w:rPr>
          <w:rFonts w:asciiTheme="minorHAnsi" w:hAnsiTheme="minorHAnsi"/>
          <w:bCs/>
          <w:sz w:val="22"/>
          <w:szCs w:val="22"/>
        </w:rPr>
        <w:t>refused entry into a</w:t>
      </w:r>
      <w:r w:rsidR="007F2160" w:rsidRPr="004427CF">
        <w:rPr>
          <w:rFonts w:asciiTheme="minorHAnsi" w:hAnsiTheme="minorHAnsi"/>
          <w:bCs/>
          <w:sz w:val="22"/>
          <w:szCs w:val="22"/>
        </w:rPr>
        <w:t>ny</w:t>
      </w:r>
      <w:r w:rsidR="006B3E44" w:rsidRPr="004427CF">
        <w:rPr>
          <w:rFonts w:asciiTheme="minorHAnsi" w:hAnsiTheme="minorHAnsi"/>
          <w:bCs/>
          <w:sz w:val="22"/>
          <w:szCs w:val="22"/>
        </w:rPr>
        <w:t xml:space="preserve"> nearby port.</w:t>
      </w:r>
      <w:r w:rsidR="006B3E44" w:rsidRPr="004427CF">
        <w:rPr>
          <w:rStyle w:val="FootnoteReference"/>
          <w:rFonts w:asciiTheme="minorHAnsi" w:hAnsiTheme="minorHAnsi"/>
          <w:bCs/>
          <w:sz w:val="22"/>
          <w:szCs w:val="22"/>
        </w:rPr>
        <w:footnoteReference w:id="53"/>
      </w:r>
      <w:r w:rsidR="006B3E44" w:rsidRPr="004427CF">
        <w:rPr>
          <w:rFonts w:asciiTheme="minorHAnsi" w:hAnsiTheme="minorHAnsi"/>
          <w:bCs/>
          <w:sz w:val="22"/>
          <w:szCs w:val="22"/>
        </w:rPr>
        <w:t xml:space="preserve"> And if allowed entry into port, they must seriously </w:t>
      </w:r>
      <w:r w:rsidR="007F2160" w:rsidRPr="004427CF">
        <w:rPr>
          <w:rFonts w:asciiTheme="minorHAnsi" w:hAnsiTheme="minorHAnsi"/>
          <w:bCs/>
          <w:sz w:val="22"/>
          <w:szCs w:val="22"/>
        </w:rPr>
        <w:t>take into account</w:t>
      </w:r>
      <w:r w:rsidR="006B3E44" w:rsidRPr="004427CF">
        <w:rPr>
          <w:rFonts w:asciiTheme="minorHAnsi" w:hAnsiTheme="minorHAnsi"/>
          <w:bCs/>
          <w:sz w:val="22"/>
          <w:szCs w:val="22"/>
        </w:rPr>
        <w:t xml:space="preserve"> the possibility of being investigated or even charged for involvement in migrant smuggling.</w:t>
      </w:r>
      <w:r w:rsidR="006B3E44" w:rsidRPr="004427CF">
        <w:rPr>
          <w:rStyle w:val="FootnoteReference"/>
          <w:rFonts w:asciiTheme="minorHAnsi" w:hAnsiTheme="minorHAnsi"/>
          <w:bCs/>
          <w:sz w:val="22"/>
          <w:szCs w:val="22"/>
        </w:rPr>
        <w:footnoteReference w:id="54"/>
      </w:r>
    </w:p>
    <w:p w:rsidR="00EE5070" w:rsidRPr="004427CF" w:rsidRDefault="007F2160" w:rsidP="00B80CBE">
      <w:pPr>
        <w:spacing w:line="276" w:lineRule="auto"/>
        <w:ind w:firstLine="720"/>
        <w:rPr>
          <w:rFonts w:asciiTheme="minorHAnsi" w:hAnsiTheme="minorHAnsi" w:cs="Baskerville MT"/>
          <w:sz w:val="22"/>
          <w:szCs w:val="22"/>
        </w:rPr>
      </w:pPr>
      <w:r w:rsidRPr="004427CF">
        <w:rPr>
          <w:rFonts w:asciiTheme="minorHAnsi" w:hAnsiTheme="minorHAnsi"/>
          <w:bCs/>
          <w:sz w:val="22"/>
          <w:szCs w:val="22"/>
        </w:rPr>
        <w:t>This gives rise to all sorts of avoidance behavior which is regularly reported on by the press</w:t>
      </w:r>
      <w:r w:rsidR="00B80CBE" w:rsidRPr="004427CF">
        <w:rPr>
          <w:rFonts w:asciiTheme="minorHAnsi" w:hAnsiTheme="minorHAnsi"/>
          <w:bCs/>
          <w:sz w:val="22"/>
          <w:szCs w:val="22"/>
        </w:rPr>
        <w:t xml:space="preserve"> and NGOs</w:t>
      </w:r>
      <w:r w:rsidRPr="004427CF">
        <w:rPr>
          <w:rFonts w:asciiTheme="minorHAnsi" w:hAnsiTheme="minorHAnsi"/>
          <w:bCs/>
          <w:sz w:val="22"/>
          <w:szCs w:val="22"/>
        </w:rPr>
        <w:t xml:space="preserve"> </w:t>
      </w:r>
      <w:r w:rsidR="00B80CBE" w:rsidRPr="004427CF">
        <w:rPr>
          <w:rFonts w:asciiTheme="minorHAnsi" w:hAnsiTheme="minorHAnsi"/>
          <w:bCs/>
          <w:sz w:val="22"/>
          <w:szCs w:val="22"/>
        </w:rPr>
        <w:t>in various European countries</w:t>
      </w:r>
      <w:r w:rsidRPr="004427CF">
        <w:rPr>
          <w:rFonts w:asciiTheme="minorHAnsi" w:hAnsiTheme="minorHAnsi"/>
          <w:bCs/>
          <w:sz w:val="22"/>
          <w:szCs w:val="22"/>
        </w:rPr>
        <w:t xml:space="preserve">. Recall, for example, </w:t>
      </w:r>
      <w:r w:rsidR="00680EE9" w:rsidRPr="004427CF">
        <w:rPr>
          <w:rFonts w:asciiTheme="minorHAnsi" w:hAnsiTheme="minorHAnsi"/>
          <w:bCs/>
          <w:sz w:val="22"/>
          <w:szCs w:val="22"/>
        </w:rPr>
        <w:t>the incident of</w:t>
      </w:r>
      <w:r w:rsidR="00680EE9" w:rsidRPr="004427CF">
        <w:rPr>
          <w:rFonts w:asciiTheme="minorHAnsi" w:hAnsiTheme="minorHAnsi"/>
          <w:sz w:val="22"/>
          <w:szCs w:val="22"/>
        </w:rPr>
        <w:t xml:space="preserve"> May 2007, when the shipmaster of a tuna pen flying the Maltese flag had rendered assistance to a group of 28 irregular migrants whose ship had sunk </w:t>
      </w:r>
      <w:r w:rsidR="00E43C0A" w:rsidRPr="004427CF">
        <w:rPr>
          <w:rFonts w:asciiTheme="minorHAnsi" w:hAnsiTheme="minorHAnsi"/>
          <w:sz w:val="22"/>
          <w:szCs w:val="22"/>
        </w:rPr>
        <w:t>and who</w:t>
      </w:r>
      <w:r w:rsidR="00680EE9" w:rsidRPr="004427CF">
        <w:rPr>
          <w:rFonts w:asciiTheme="minorHAnsi" w:hAnsiTheme="minorHAnsi"/>
          <w:sz w:val="22"/>
          <w:szCs w:val="22"/>
        </w:rPr>
        <w:t>, for both financial and security reasons</w:t>
      </w:r>
      <w:r w:rsidR="00E43C0A" w:rsidRPr="004427CF">
        <w:rPr>
          <w:rFonts w:asciiTheme="minorHAnsi" w:hAnsiTheme="minorHAnsi"/>
          <w:sz w:val="22"/>
          <w:szCs w:val="22"/>
        </w:rPr>
        <w:t>,</w:t>
      </w:r>
      <w:r w:rsidR="00680EE9" w:rsidRPr="004427CF">
        <w:rPr>
          <w:rFonts w:asciiTheme="minorHAnsi" w:hAnsiTheme="minorHAnsi"/>
          <w:sz w:val="22"/>
          <w:szCs w:val="22"/>
        </w:rPr>
        <w:t xml:space="preserve"> refused to allow the migrants on board. And because Malta, Italy nor Libya were under a clear obligation to allow the migrants to disembark in one of </w:t>
      </w:r>
      <w:r w:rsidR="00E43C0A" w:rsidRPr="004427CF">
        <w:rPr>
          <w:rFonts w:asciiTheme="minorHAnsi" w:hAnsiTheme="minorHAnsi"/>
          <w:sz w:val="22"/>
          <w:szCs w:val="22"/>
        </w:rPr>
        <w:t>their</w:t>
      </w:r>
      <w:r w:rsidR="00680EE9" w:rsidRPr="004427CF">
        <w:rPr>
          <w:rFonts w:asciiTheme="minorHAnsi" w:hAnsiTheme="minorHAnsi"/>
          <w:sz w:val="22"/>
          <w:szCs w:val="22"/>
        </w:rPr>
        <w:t xml:space="preserve"> ports, the migrants were compelled to desperately clung to the buoys of a tuna fishing net for three days before finally being brought to </w:t>
      </w:r>
      <w:proofErr w:type="spellStart"/>
      <w:r w:rsidR="00680EE9" w:rsidRPr="004427CF">
        <w:rPr>
          <w:rFonts w:asciiTheme="minorHAnsi" w:hAnsiTheme="minorHAnsi"/>
          <w:sz w:val="22"/>
          <w:szCs w:val="22"/>
        </w:rPr>
        <w:t>Lampedusa</w:t>
      </w:r>
      <w:proofErr w:type="spellEnd"/>
      <w:r w:rsidR="00680EE9" w:rsidRPr="004427CF">
        <w:rPr>
          <w:rFonts w:asciiTheme="minorHAnsi" w:hAnsiTheme="minorHAnsi"/>
          <w:sz w:val="22"/>
          <w:szCs w:val="22"/>
        </w:rPr>
        <w:t>.</w:t>
      </w:r>
      <w:r w:rsidR="00680EE9" w:rsidRPr="004427CF">
        <w:rPr>
          <w:rStyle w:val="FootnoteReference"/>
          <w:rFonts w:asciiTheme="minorHAnsi" w:hAnsiTheme="minorHAnsi"/>
          <w:sz w:val="22"/>
          <w:szCs w:val="22"/>
        </w:rPr>
        <w:footnoteReference w:id="55"/>
      </w:r>
      <w:r w:rsidR="00680EE9" w:rsidRPr="004427CF">
        <w:rPr>
          <w:rFonts w:asciiTheme="minorHAnsi" w:hAnsiTheme="minorHAnsi"/>
          <w:sz w:val="22"/>
          <w:szCs w:val="22"/>
        </w:rPr>
        <w:t xml:space="preserve"> </w:t>
      </w:r>
      <w:r w:rsidR="00680EE9" w:rsidRPr="004427CF">
        <w:rPr>
          <w:rFonts w:asciiTheme="minorHAnsi" w:hAnsiTheme="minorHAnsi" w:cs="Baskerville MT"/>
          <w:sz w:val="22"/>
          <w:szCs w:val="22"/>
        </w:rPr>
        <w:t xml:space="preserve">In another incident in July 2006, the Maltese government had refused to allow the disembarkation of fifty-one migrants rescued by the Spanish fishing trawler </w:t>
      </w:r>
      <w:r w:rsidR="00680EE9" w:rsidRPr="004427CF">
        <w:rPr>
          <w:rFonts w:asciiTheme="minorHAnsi" w:hAnsiTheme="minorHAnsi" w:cs="Baskerville MT Italic"/>
          <w:i/>
          <w:iCs/>
          <w:sz w:val="22"/>
          <w:szCs w:val="22"/>
        </w:rPr>
        <w:t>Francisco y Catalina</w:t>
      </w:r>
      <w:r w:rsidR="00680EE9" w:rsidRPr="004427CF">
        <w:rPr>
          <w:rFonts w:asciiTheme="minorHAnsi" w:hAnsiTheme="minorHAnsi" w:cs="Baskerville MT"/>
          <w:sz w:val="22"/>
          <w:szCs w:val="22"/>
        </w:rPr>
        <w:t xml:space="preserve"> by affirming that it had been Libya’s responsibility to rescue them and, given that a Spanish vessel ended up doing so, the migrants had become Spain’s responsibil</w:t>
      </w:r>
      <w:r w:rsidR="00680EE9" w:rsidRPr="004427CF">
        <w:rPr>
          <w:rFonts w:asciiTheme="minorHAnsi" w:hAnsiTheme="minorHAnsi" w:cs="Baskerville MT"/>
          <w:sz w:val="22"/>
          <w:szCs w:val="22"/>
        </w:rPr>
        <w:softHyphen/>
        <w:t>ity. After a standoff lasting eight days, it was agreed that Malta, Libya, Italy, Spain and Andorra would all take in a share of the migrants.</w:t>
      </w:r>
      <w:r w:rsidR="00680EE9" w:rsidRPr="004427CF">
        <w:rPr>
          <w:rStyle w:val="FootnoteReference"/>
          <w:rFonts w:asciiTheme="minorHAnsi" w:hAnsiTheme="minorHAnsi" w:cs="Baskerville MT"/>
          <w:sz w:val="22"/>
          <w:szCs w:val="22"/>
        </w:rPr>
        <w:footnoteReference w:id="56"/>
      </w:r>
      <w:r w:rsidR="00680EE9" w:rsidRPr="004427CF">
        <w:rPr>
          <w:rFonts w:asciiTheme="minorHAnsi" w:hAnsiTheme="minorHAnsi" w:cs="Baskerville MT"/>
          <w:sz w:val="22"/>
          <w:szCs w:val="22"/>
        </w:rPr>
        <w:t xml:space="preserve"> A</w:t>
      </w:r>
      <w:r w:rsidR="000E63A8" w:rsidRPr="004427CF">
        <w:rPr>
          <w:rFonts w:asciiTheme="minorHAnsi" w:hAnsiTheme="minorHAnsi" w:cs="Baskerville MT"/>
          <w:sz w:val="22"/>
          <w:szCs w:val="22"/>
        </w:rPr>
        <w:t xml:space="preserve"> further</w:t>
      </w:r>
      <w:r w:rsidR="00680EE9" w:rsidRPr="004427CF">
        <w:rPr>
          <w:rFonts w:asciiTheme="minorHAnsi" w:hAnsiTheme="minorHAnsi" w:cs="Baskerville MT"/>
          <w:sz w:val="22"/>
          <w:szCs w:val="22"/>
        </w:rPr>
        <w:t xml:space="preserve"> peculiar example of how </w:t>
      </w:r>
      <w:r w:rsidR="00EE5070" w:rsidRPr="004427CF">
        <w:rPr>
          <w:rFonts w:asciiTheme="minorHAnsi" w:hAnsiTheme="minorHAnsi" w:cs="Baskerville MT"/>
          <w:sz w:val="22"/>
          <w:szCs w:val="22"/>
        </w:rPr>
        <w:t xml:space="preserve">shipmasters are not all too keen on rendering assistance is an incident in August 2014, when the Rescue </w:t>
      </w:r>
      <w:proofErr w:type="spellStart"/>
      <w:r w:rsidR="00EE5070" w:rsidRPr="004427CF">
        <w:rPr>
          <w:rFonts w:asciiTheme="minorHAnsi" w:hAnsiTheme="minorHAnsi" w:cs="Baskerville MT"/>
          <w:sz w:val="22"/>
          <w:szCs w:val="22"/>
        </w:rPr>
        <w:t>centre</w:t>
      </w:r>
      <w:proofErr w:type="spellEnd"/>
      <w:r w:rsidR="00EE5070" w:rsidRPr="004427CF">
        <w:rPr>
          <w:rFonts w:asciiTheme="minorHAnsi" w:hAnsiTheme="minorHAnsi" w:cs="Baskerville MT"/>
          <w:sz w:val="22"/>
          <w:szCs w:val="22"/>
        </w:rPr>
        <w:t xml:space="preserve"> in Rome called on 76 ships which were in the area of rescue of a vessel in distress, but where within one minute </w:t>
      </w:r>
      <w:r w:rsidR="00EE5070" w:rsidRPr="004427CF">
        <w:rPr>
          <w:rFonts w:asciiTheme="minorHAnsi" w:hAnsiTheme="minorHAnsi" w:cs="Arial"/>
          <w:sz w:val="22"/>
          <w:szCs w:val="22"/>
        </w:rPr>
        <w:t>there were only six ships left on the radar screen. All the others had switched off their radar signal.</w:t>
      </w:r>
      <w:r w:rsidR="00EE5070" w:rsidRPr="004427CF">
        <w:rPr>
          <w:rStyle w:val="FootnoteReference"/>
          <w:rFonts w:asciiTheme="minorHAnsi" w:hAnsiTheme="minorHAnsi" w:cs="Arial"/>
          <w:sz w:val="22"/>
          <w:szCs w:val="22"/>
        </w:rPr>
        <w:footnoteReference w:id="57"/>
      </w:r>
      <w:r w:rsidR="00EE5070" w:rsidRPr="004427CF">
        <w:rPr>
          <w:rFonts w:asciiTheme="minorHAnsi" w:hAnsiTheme="minorHAnsi" w:cs="Arial"/>
          <w:sz w:val="22"/>
          <w:szCs w:val="22"/>
        </w:rPr>
        <w:t xml:space="preserve"> Well-documented as well, is the fate of the so-called left-to-die boat, of whom all but 11 of the 72 passengers died, and which gave rise to an investigation of the Parliamentary Assembly of the Council of Europe. The report revealed, amongst other things, how a military helicopter had dropped water and biscuits in </w:t>
      </w:r>
      <w:r w:rsidR="00F4600A" w:rsidRPr="004427CF">
        <w:rPr>
          <w:rFonts w:asciiTheme="minorHAnsi" w:hAnsiTheme="minorHAnsi" w:cs="Arial"/>
          <w:sz w:val="22"/>
          <w:szCs w:val="22"/>
        </w:rPr>
        <w:t>the</w:t>
      </w:r>
      <w:r w:rsidR="00EE5070" w:rsidRPr="004427CF">
        <w:rPr>
          <w:rFonts w:asciiTheme="minorHAnsi" w:hAnsiTheme="minorHAnsi" w:cs="Arial"/>
          <w:sz w:val="22"/>
          <w:szCs w:val="22"/>
        </w:rPr>
        <w:t xml:space="preserve"> adrift vessel but never returned, and how a large military vessel allegedly ignored the boat’s distress calls after half of the passengers had already died.</w:t>
      </w:r>
      <w:r w:rsidR="00EE5070" w:rsidRPr="004427CF">
        <w:rPr>
          <w:rStyle w:val="FootnoteReference"/>
          <w:rFonts w:asciiTheme="minorHAnsi" w:hAnsiTheme="minorHAnsi" w:cs="Arial"/>
          <w:sz w:val="22"/>
          <w:szCs w:val="22"/>
        </w:rPr>
        <w:footnoteReference w:id="58"/>
      </w:r>
    </w:p>
    <w:p w:rsidR="00EE7767" w:rsidRPr="004427CF" w:rsidRDefault="00C10748" w:rsidP="00B80CBE">
      <w:pPr>
        <w:spacing w:line="276" w:lineRule="auto"/>
        <w:rPr>
          <w:rFonts w:asciiTheme="minorHAnsi" w:hAnsiTheme="minorHAnsi"/>
          <w:bCs/>
          <w:sz w:val="22"/>
          <w:szCs w:val="22"/>
        </w:rPr>
      </w:pPr>
      <w:r w:rsidRPr="004427CF">
        <w:rPr>
          <w:rFonts w:asciiTheme="minorHAnsi" w:hAnsiTheme="minorHAnsi"/>
          <w:bCs/>
          <w:sz w:val="22"/>
          <w:szCs w:val="22"/>
        </w:rPr>
        <w:tab/>
      </w:r>
      <w:r w:rsidR="00F47D59" w:rsidRPr="004427CF">
        <w:rPr>
          <w:rFonts w:asciiTheme="minorHAnsi" w:hAnsiTheme="minorHAnsi"/>
          <w:bCs/>
          <w:sz w:val="22"/>
          <w:szCs w:val="22"/>
        </w:rPr>
        <w:t>A</w:t>
      </w:r>
      <w:r w:rsidRPr="004427CF">
        <w:rPr>
          <w:rFonts w:asciiTheme="minorHAnsi" w:hAnsiTheme="minorHAnsi"/>
          <w:bCs/>
          <w:sz w:val="22"/>
          <w:szCs w:val="22"/>
        </w:rPr>
        <w:t xml:space="preserve">voidance behavior </w:t>
      </w:r>
      <w:r w:rsidR="00F47D59" w:rsidRPr="004427CF">
        <w:rPr>
          <w:rFonts w:asciiTheme="minorHAnsi" w:hAnsiTheme="minorHAnsi"/>
          <w:bCs/>
          <w:sz w:val="22"/>
          <w:szCs w:val="22"/>
        </w:rPr>
        <w:t>lie</w:t>
      </w:r>
      <w:r w:rsidR="000E63A8" w:rsidRPr="004427CF">
        <w:rPr>
          <w:rFonts w:asciiTheme="minorHAnsi" w:hAnsiTheme="minorHAnsi"/>
          <w:bCs/>
          <w:sz w:val="22"/>
          <w:szCs w:val="22"/>
        </w:rPr>
        <w:t>s</w:t>
      </w:r>
      <w:r w:rsidR="00F47D59" w:rsidRPr="004427CF">
        <w:rPr>
          <w:rFonts w:asciiTheme="minorHAnsi" w:hAnsiTheme="minorHAnsi"/>
          <w:bCs/>
          <w:sz w:val="22"/>
          <w:szCs w:val="22"/>
        </w:rPr>
        <w:t xml:space="preserve"> at the heart of</w:t>
      </w:r>
      <w:r w:rsidRPr="004427CF">
        <w:rPr>
          <w:rFonts w:asciiTheme="minorHAnsi" w:hAnsiTheme="minorHAnsi"/>
          <w:bCs/>
          <w:sz w:val="22"/>
          <w:szCs w:val="22"/>
        </w:rPr>
        <w:t xml:space="preserve"> disagreements between </w:t>
      </w:r>
      <w:r w:rsidR="000E63A8" w:rsidRPr="004427CF">
        <w:rPr>
          <w:rFonts w:asciiTheme="minorHAnsi" w:hAnsiTheme="minorHAnsi"/>
          <w:bCs/>
          <w:sz w:val="22"/>
          <w:szCs w:val="22"/>
        </w:rPr>
        <w:t xml:space="preserve">EU </w:t>
      </w:r>
      <w:r w:rsidRPr="004427CF">
        <w:rPr>
          <w:rFonts w:asciiTheme="minorHAnsi" w:hAnsiTheme="minorHAnsi"/>
          <w:bCs/>
          <w:sz w:val="22"/>
          <w:szCs w:val="22"/>
        </w:rPr>
        <w:t xml:space="preserve">Member States, in </w:t>
      </w:r>
      <w:r w:rsidR="00F47D59" w:rsidRPr="004427CF">
        <w:rPr>
          <w:rFonts w:asciiTheme="minorHAnsi" w:hAnsiTheme="minorHAnsi"/>
          <w:bCs/>
          <w:sz w:val="22"/>
          <w:szCs w:val="22"/>
        </w:rPr>
        <w:t>especially</w:t>
      </w:r>
      <w:r w:rsidRPr="004427CF">
        <w:rPr>
          <w:rFonts w:asciiTheme="minorHAnsi" w:hAnsiTheme="minorHAnsi"/>
          <w:bCs/>
          <w:sz w:val="22"/>
          <w:szCs w:val="22"/>
        </w:rPr>
        <w:t xml:space="preserve"> Malta and Italy, on the</w:t>
      </w:r>
      <w:r w:rsidR="000E63A8" w:rsidRPr="004427CF">
        <w:rPr>
          <w:rFonts w:asciiTheme="minorHAnsi" w:hAnsiTheme="minorHAnsi"/>
          <w:bCs/>
          <w:sz w:val="22"/>
          <w:szCs w:val="22"/>
        </w:rPr>
        <w:t xml:space="preserve"> interpretation of relevant</w:t>
      </w:r>
      <w:r w:rsidRPr="004427CF">
        <w:rPr>
          <w:rFonts w:asciiTheme="minorHAnsi" w:hAnsiTheme="minorHAnsi"/>
          <w:bCs/>
          <w:sz w:val="22"/>
          <w:szCs w:val="22"/>
        </w:rPr>
        <w:t xml:space="preserve"> international l</w:t>
      </w:r>
      <w:r w:rsidR="000E63A8" w:rsidRPr="004427CF">
        <w:rPr>
          <w:rFonts w:asciiTheme="minorHAnsi" w:hAnsiTheme="minorHAnsi"/>
          <w:bCs/>
          <w:sz w:val="22"/>
          <w:szCs w:val="22"/>
        </w:rPr>
        <w:t xml:space="preserve">aw </w:t>
      </w:r>
      <w:r w:rsidRPr="004427CF">
        <w:rPr>
          <w:rFonts w:asciiTheme="minorHAnsi" w:hAnsiTheme="minorHAnsi"/>
          <w:bCs/>
          <w:sz w:val="22"/>
          <w:szCs w:val="22"/>
        </w:rPr>
        <w:t xml:space="preserve">standards </w:t>
      </w:r>
      <w:r w:rsidR="000E63A8" w:rsidRPr="004427CF">
        <w:rPr>
          <w:rFonts w:asciiTheme="minorHAnsi" w:hAnsiTheme="minorHAnsi"/>
          <w:bCs/>
          <w:sz w:val="22"/>
          <w:szCs w:val="22"/>
        </w:rPr>
        <w:t>on search and rescue at sea</w:t>
      </w:r>
      <w:r w:rsidRPr="004427CF">
        <w:rPr>
          <w:rFonts w:asciiTheme="minorHAnsi" w:hAnsiTheme="minorHAnsi"/>
          <w:bCs/>
          <w:sz w:val="22"/>
          <w:szCs w:val="22"/>
        </w:rPr>
        <w:t>.</w:t>
      </w:r>
      <w:r w:rsidR="000E63A8" w:rsidRPr="004427CF">
        <w:rPr>
          <w:rFonts w:asciiTheme="minorHAnsi" w:hAnsiTheme="minorHAnsi"/>
          <w:bCs/>
          <w:sz w:val="22"/>
          <w:szCs w:val="22"/>
        </w:rPr>
        <w:t xml:space="preserve"> One such dispute concerns </w:t>
      </w:r>
      <w:r w:rsidR="00CC6456" w:rsidRPr="004427CF">
        <w:rPr>
          <w:rFonts w:asciiTheme="minorHAnsi" w:hAnsiTheme="minorHAnsi"/>
          <w:bCs/>
          <w:sz w:val="22"/>
          <w:szCs w:val="22"/>
        </w:rPr>
        <w:t>the definition of rescue in the</w:t>
      </w:r>
      <w:r w:rsidR="0030335F" w:rsidRPr="004427CF">
        <w:rPr>
          <w:rFonts w:asciiTheme="minorHAnsi" w:hAnsiTheme="minorHAnsi"/>
          <w:bCs/>
          <w:sz w:val="22"/>
          <w:szCs w:val="22"/>
        </w:rPr>
        <w:t xml:space="preserve"> </w:t>
      </w:r>
      <w:r w:rsidR="00CC6456" w:rsidRPr="004427CF">
        <w:rPr>
          <w:rFonts w:asciiTheme="minorHAnsi" w:hAnsiTheme="minorHAnsi"/>
          <w:sz w:val="22"/>
          <w:szCs w:val="22"/>
        </w:rPr>
        <w:t xml:space="preserve">International Convention on </w:t>
      </w:r>
      <w:r w:rsidR="00E43C0A" w:rsidRPr="004427CF">
        <w:rPr>
          <w:rFonts w:asciiTheme="minorHAnsi" w:hAnsiTheme="minorHAnsi"/>
          <w:sz w:val="22"/>
          <w:szCs w:val="22"/>
        </w:rPr>
        <w:t>M</w:t>
      </w:r>
      <w:r w:rsidR="00CC6456" w:rsidRPr="004427CF">
        <w:rPr>
          <w:rFonts w:asciiTheme="minorHAnsi" w:hAnsiTheme="minorHAnsi"/>
          <w:sz w:val="22"/>
          <w:szCs w:val="22"/>
        </w:rPr>
        <w:t xml:space="preserve">aritime </w:t>
      </w:r>
      <w:r w:rsidR="00E43C0A" w:rsidRPr="004427CF">
        <w:rPr>
          <w:rFonts w:asciiTheme="minorHAnsi" w:hAnsiTheme="minorHAnsi"/>
          <w:sz w:val="22"/>
          <w:szCs w:val="22"/>
        </w:rPr>
        <w:t>S</w:t>
      </w:r>
      <w:r w:rsidR="00CC6456" w:rsidRPr="004427CF">
        <w:rPr>
          <w:rFonts w:asciiTheme="minorHAnsi" w:hAnsiTheme="minorHAnsi"/>
          <w:sz w:val="22"/>
          <w:szCs w:val="22"/>
        </w:rPr>
        <w:t xml:space="preserve">earch and </w:t>
      </w:r>
      <w:r w:rsidR="00E43C0A" w:rsidRPr="004427CF">
        <w:rPr>
          <w:rFonts w:asciiTheme="minorHAnsi" w:hAnsiTheme="minorHAnsi"/>
          <w:sz w:val="22"/>
          <w:szCs w:val="22"/>
        </w:rPr>
        <w:t>R</w:t>
      </w:r>
      <w:r w:rsidR="00CC6456" w:rsidRPr="004427CF">
        <w:rPr>
          <w:rFonts w:asciiTheme="minorHAnsi" w:hAnsiTheme="minorHAnsi"/>
          <w:sz w:val="22"/>
          <w:szCs w:val="22"/>
        </w:rPr>
        <w:t>escue (SAR Convention) and</w:t>
      </w:r>
      <w:r w:rsidR="00CC6456" w:rsidRPr="004427CF">
        <w:rPr>
          <w:rFonts w:asciiTheme="minorHAnsi" w:hAnsiTheme="minorHAnsi"/>
          <w:bCs/>
          <w:sz w:val="22"/>
          <w:szCs w:val="22"/>
        </w:rPr>
        <w:t xml:space="preserve"> in particular the duty to deliver rescued persons to a ‘place of safety’.</w:t>
      </w:r>
      <w:r w:rsidR="000E63A8" w:rsidRPr="004427CF">
        <w:rPr>
          <w:rStyle w:val="FootnoteReference"/>
          <w:rFonts w:asciiTheme="minorHAnsi" w:hAnsiTheme="minorHAnsi"/>
          <w:bCs/>
          <w:sz w:val="22"/>
          <w:szCs w:val="22"/>
        </w:rPr>
        <w:footnoteReference w:id="59"/>
      </w:r>
      <w:r w:rsidR="00CC6456" w:rsidRPr="004427CF">
        <w:rPr>
          <w:rFonts w:asciiTheme="minorHAnsi" w:hAnsiTheme="minorHAnsi"/>
          <w:bCs/>
          <w:sz w:val="22"/>
          <w:szCs w:val="22"/>
        </w:rPr>
        <w:t xml:space="preserve"> Malta maintains that disembarkation should always occur at the nearest safe port to the site of the rescue, which is often a </w:t>
      </w:r>
      <w:r w:rsidR="0053079C" w:rsidRPr="004427CF">
        <w:rPr>
          <w:rFonts w:asciiTheme="minorHAnsi" w:hAnsiTheme="minorHAnsi"/>
          <w:bCs/>
          <w:sz w:val="22"/>
          <w:szCs w:val="22"/>
        </w:rPr>
        <w:t>p</w:t>
      </w:r>
      <w:r w:rsidR="00CC6456" w:rsidRPr="004427CF">
        <w:rPr>
          <w:rFonts w:asciiTheme="minorHAnsi" w:hAnsiTheme="minorHAnsi"/>
          <w:bCs/>
          <w:sz w:val="22"/>
          <w:szCs w:val="22"/>
        </w:rPr>
        <w:t xml:space="preserve">ort in Italy. </w:t>
      </w:r>
      <w:r w:rsidR="0053079C" w:rsidRPr="004427CF">
        <w:rPr>
          <w:rFonts w:asciiTheme="minorHAnsi" w:hAnsiTheme="minorHAnsi"/>
          <w:bCs/>
          <w:sz w:val="22"/>
          <w:szCs w:val="22"/>
        </w:rPr>
        <w:t xml:space="preserve">Italy, on the other hand, </w:t>
      </w:r>
      <w:r w:rsidR="00EE7767" w:rsidRPr="004427CF">
        <w:rPr>
          <w:rFonts w:asciiTheme="minorHAnsi" w:hAnsiTheme="minorHAnsi"/>
          <w:bCs/>
          <w:sz w:val="22"/>
          <w:szCs w:val="22"/>
        </w:rPr>
        <w:t>is of the opinion</w:t>
      </w:r>
      <w:r w:rsidR="0053079C" w:rsidRPr="004427CF">
        <w:rPr>
          <w:rFonts w:asciiTheme="minorHAnsi" w:hAnsiTheme="minorHAnsi"/>
          <w:bCs/>
          <w:sz w:val="22"/>
          <w:szCs w:val="22"/>
        </w:rPr>
        <w:t xml:space="preserve"> that rescued migrants </w:t>
      </w:r>
      <w:r w:rsidR="00EE7767" w:rsidRPr="004427CF">
        <w:rPr>
          <w:rFonts w:asciiTheme="minorHAnsi" w:hAnsiTheme="minorHAnsi"/>
          <w:bCs/>
          <w:sz w:val="22"/>
          <w:szCs w:val="22"/>
        </w:rPr>
        <w:t>should</w:t>
      </w:r>
      <w:r w:rsidR="0053079C" w:rsidRPr="004427CF">
        <w:rPr>
          <w:rFonts w:asciiTheme="minorHAnsi" w:hAnsiTheme="minorHAnsi"/>
          <w:bCs/>
          <w:sz w:val="22"/>
          <w:szCs w:val="22"/>
        </w:rPr>
        <w:t xml:space="preserve"> be brought to a port of the country in whose Search </w:t>
      </w:r>
      <w:r w:rsidR="0053079C" w:rsidRPr="004427CF">
        <w:rPr>
          <w:rFonts w:asciiTheme="minorHAnsi" w:hAnsiTheme="minorHAnsi"/>
          <w:bCs/>
          <w:sz w:val="22"/>
          <w:szCs w:val="22"/>
        </w:rPr>
        <w:lastRenderedPageBreak/>
        <w:t>and Rescue (SAR) region the rescue took place.</w:t>
      </w:r>
      <w:r w:rsidR="0053079C" w:rsidRPr="004427CF">
        <w:rPr>
          <w:rStyle w:val="FootnoteReference"/>
          <w:rFonts w:asciiTheme="minorHAnsi" w:hAnsiTheme="minorHAnsi"/>
          <w:bCs/>
          <w:sz w:val="22"/>
          <w:szCs w:val="22"/>
        </w:rPr>
        <w:footnoteReference w:id="60"/>
      </w:r>
      <w:r w:rsidR="0053079C" w:rsidRPr="004427CF">
        <w:rPr>
          <w:rFonts w:asciiTheme="minorHAnsi" w:hAnsiTheme="minorHAnsi"/>
          <w:bCs/>
          <w:sz w:val="22"/>
          <w:szCs w:val="22"/>
        </w:rPr>
        <w:t xml:space="preserve"> Malta, </w:t>
      </w:r>
      <w:r w:rsidR="00EE7767" w:rsidRPr="004427CF">
        <w:rPr>
          <w:rFonts w:asciiTheme="minorHAnsi" w:hAnsiTheme="minorHAnsi"/>
          <w:bCs/>
          <w:sz w:val="22"/>
          <w:szCs w:val="22"/>
        </w:rPr>
        <w:t xml:space="preserve">strategically located in the middle of the Mediterranean, has a large SAR zone relative to its size </w:t>
      </w:r>
      <w:r w:rsidR="00F15D2A" w:rsidRPr="004427CF">
        <w:rPr>
          <w:rFonts w:asciiTheme="minorHAnsi" w:hAnsiTheme="minorHAnsi"/>
          <w:bCs/>
          <w:sz w:val="22"/>
          <w:szCs w:val="22"/>
        </w:rPr>
        <w:t xml:space="preserve">(which encloses the Italian island of </w:t>
      </w:r>
      <w:proofErr w:type="spellStart"/>
      <w:r w:rsidR="00F15D2A" w:rsidRPr="004427CF">
        <w:rPr>
          <w:rFonts w:asciiTheme="minorHAnsi" w:hAnsiTheme="minorHAnsi"/>
          <w:bCs/>
          <w:sz w:val="22"/>
          <w:szCs w:val="22"/>
        </w:rPr>
        <w:t>Lampedusa</w:t>
      </w:r>
      <w:proofErr w:type="spellEnd"/>
      <w:r w:rsidR="00F15D2A" w:rsidRPr="004427CF">
        <w:rPr>
          <w:rFonts w:asciiTheme="minorHAnsi" w:hAnsiTheme="minorHAnsi"/>
          <w:bCs/>
          <w:sz w:val="22"/>
          <w:szCs w:val="22"/>
        </w:rPr>
        <w:t xml:space="preserve">) </w:t>
      </w:r>
      <w:r w:rsidR="00EE7767" w:rsidRPr="004427CF">
        <w:rPr>
          <w:rFonts w:asciiTheme="minorHAnsi" w:hAnsiTheme="minorHAnsi"/>
          <w:bCs/>
          <w:sz w:val="22"/>
          <w:szCs w:val="22"/>
        </w:rPr>
        <w:t>and has for that reason rejected amendments to the SAR Convention of 2004 which bestow ‘primary responsibility’ for ensuring that survivors are disembarked from the assisting ship and brought to a place of safety on the government responsible for the SAR region.</w:t>
      </w:r>
      <w:r w:rsidR="0053079C" w:rsidRPr="004427CF">
        <w:rPr>
          <w:rStyle w:val="FootnoteReference"/>
          <w:rFonts w:asciiTheme="minorHAnsi" w:hAnsiTheme="minorHAnsi"/>
          <w:bCs/>
          <w:sz w:val="22"/>
          <w:szCs w:val="22"/>
        </w:rPr>
        <w:footnoteReference w:id="61"/>
      </w:r>
      <w:r w:rsidR="00EE7767" w:rsidRPr="004427CF">
        <w:rPr>
          <w:rFonts w:asciiTheme="minorHAnsi" w:hAnsiTheme="minorHAnsi"/>
          <w:bCs/>
          <w:sz w:val="22"/>
          <w:szCs w:val="22"/>
        </w:rPr>
        <w:t xml:space="preserve"> A majority of other Contracting States, including Italy, did accept the amendments. Malta feared that the new arrangement would be an open invitation to migrant smuggling, since vessels carrying migrants would simply have to enter the closest </w:t>
      </w:r>
      <w:r w:rsidR="00F15D2A" w:rsidRPr="004427CF">
        <w:rPr>
          <w:rFonts w:asciiTheme="minorHAnsi" w:hAnsiTheme="minorHAnsi"/>
          <w:bCs/>
          <w:sz w:val="22"/>
          <w:szCs w:val="22"/>
        </w:rPr>
        <w:t>neighboring</w:t>
      </w:r>
      <w:r w:rsidR="00EE7767" w:rsidRPr="004427CF">
        <w:rPr>
          <w:rFonts w:asciiTheme="minorHAnsi" w:hAnsiTheme="minorHAnsi"/>
          <w:bCs/>
          <w:sz w:val="22"/>
          <w:szCs w:val="22"/>
        </w:rPr>
        <w:t xml:space="preserve"> SAR area, </w:t>
      </w:r>
      <w:r w:rsidR="00985C0B" w:rsidRPr="004427CF">
        <w:rPr>
          <w:rFonts w:asciiTheme="minorHAnsi" w:hAnsiTheme="minorHAnsi"/>
          <w:bCs/>
          <w:sz w:val="22"/>
          <w:szCs w:val="22"/>
        </w:rPr>
        <w:t>launch a distress call</w:t>
      </w:r>
      <w:r w:rsidR="00EE7767" w:rsidRPr="004427CF">
        <w:rPr>
          <w:rFonts w:asciiTheme="minorHAnsi" w:hAnsiTheme="minorHAnsi"/>
          <w:bCs/>
          <w:sz w:val="22"/>
          <w:szCs w:val="22"/>
        </w:rPr>
        <w:t xml:space="preserve"> and the government of that SAR zone would </w:t>
      </w:r>
      <w:r w:rsidR="00985C0B" w:rsidRPr="004427CF">
        <w:rPr>
          <w:rFonts w:asciiTheme="minorHAnsi" w:hAnsiTheme="minorHAnsi"/>
          <w:bCs/>
          <w:sz w:val="22"/>
          <w:szCs w:val="22"/>
        </w:rPr>
        <w:t xml:space="preserve">effectively </w:t>
      </w:r>
      <w:r w:rsidR="00EE7767" w:rsidRPr="004427CF">
        <w:rPr>
          <w:rFonts w:asciiTheme="minorHAnsi" w:hAnsiTheme="minorHAnsi"/>
          <w:bCs/>
          <w:sz w:val="22"/>
          <w:szCs w:val="22"/>
        </w:rPr>
        <w:t>be obliged to come to their assistance and guarantee a place of safety.</w:t>
      </w:r>
    </w:p>
    <w:p w:rsidR="00735635" w:rsidRPr="004427CF" w:rsidRDefault="00735635" w:rsidP="00B80CBE">
      <w:pPr>
        <w:spacing w:line="276" w:lineRule="auto"/>
        <w:rPr>
          <w:rFonts w:asciiTheme="minorHAnsi" w:hAnsiTheme="minorHAnsi"/>
          <w:bCs/>
          <w:sz w:val="22"/>
          <w:szCs w:val="22"/>
        </w:rPr>
      </w:pPr>
      <w:r w:rsidRPr="004427CF">
        <w:rPr>
          <w:rFonts w:asciiTheme="minorHAnsi" w:hAnsiTheme="minorHAnsi"/>
          <w:bCs/>
          <w:sz w:val="22"/>
          <w:szCs w:val="22"/>
        </w:rPr>
        <w:tab/>
      </w:r>
      <w:r w:rsidR="002B08EB" w:rsidRPr="004427CF">
        <w:rPr>
          <w:rFonts w:asciiTheme="minorHAnsi" w:hAnsiTheme="minorHAnsi"/>
          <w:bCs/>
          <w:sz w:val="22"/>
          <w:szCs w:val="22"/>
        </w:rPr>
        <w:t>Malta and Italy</w:t>
      </w:r>
      <w:r w:rsidR="00985C0B" w:rsidRPr="004427CF">
        <w:rPr>
          <w:rFonts w:asciiTheme="minorHAnsi" w:hAnsiTheme="minorHAnsi"/>
          <w:bCs/>
          <w:sz w:val="22"/>
          <w:szCs w:val="22"/>
        </w:rPr>
        <w:t xml:space="preserve"> </w:t>
      </w:r>
      <w:r w:rsidR="002B08EB" w:rsidRPr="004427CF">
        <w:rPr>
          <w:rFonts w:asciiTheme="minorHAnsi" w:hAnsiTheme="minorHAnsi"/>
          <w:bCs/>
          <w:sz w:val="22"/>
          <w:szCs w:val="22"/>
        </w:rPr>
        <w:t xml:space="preserve">also </w:t>
      </w:r>
      <w:r w:rsidR="00985C0B" w:rsidRPr="004427CF">
        <w:rPr>
          <w:rFonts w:asciiTheme="minorHAnsi" w:hAnsiTheme="minorHAnsi"/>
          <w:bCs/>
          <w:sz w:val="22"/>
          <w:szCs w:val="22"/>
        </w:rPr>
        <w:t xml:space="preserve">disagree when a vessel </w:t>
      </w:r>
      <w:r w:rsidR="002B08EB" w:rsidRPr="004427CF">
        <w:rPr>
          <w:rFonts w:asciiTheme="minorHAnsi" w:hAnsiTheme="minorHAnsi"/>
          <w:bCs/>
          <w:sz w:val="22"/>
          <w:szCs w:val="22"/>
        </w:rPr>
        <w:t>is</w:t>
      </w:r>
      <w:r w:rsidR="00985C0B" w:rsidRPr="004427CF">
        <w:rPr>
          <w:rFonts w:asciiTheme="minorHAnsi" w:hAnsiTheme="minorHAnsi"/>
          <w:bCs/>
          <w:sz w:val="22"/>
          <w:szCs w:val="22"/>
        </w:rPr>
        <w:t xml:space="preserve"> in distress, which under the Law of the Sea triggers duties of search and rescue.</w:t>
      </w:r>
      <w:r w:rsidR="00742BBC" w:rsidRPr="004427CF">
        <w:rPr>
          <w:rFonts w:asciiTheme="minorHAnsi" w:hAnsiTheme="minorHAnsi"/>
          <w:bCs/>
          <w:sz w:val="22"/>
          <w:szCs w:val="22"/>
        </w:rPr>
        <w:t xml:space="preserve"> </w:t>
      </w:r>
      <w:proofErr w:type="spellStart"/>
      <w:r w:rsidR="00742BBC" w:rsidRPr="004427CF">
        <w:rPr>
          <w:rFonts w:asciiTheme="minorHAnsi" w:hAnsiTheme="minorHAnsi"/>
          <w:bCs/>
          <w:sz w:val="22"/>
          <w:szCs w:val="22"/>
        </w:rPr>
        <w:t>Klepp</w:t>
      </w:r>
      <w:proofErr w:type="spellEnd"/>
      <w:r w:rsidR="00742BBC" w:rsidRPr="004427CF">
        <w:rPr>
          <w:rFonts w:asciiTheme="minorHAnsi" w:hAnsiTheme="minorHAnsi"/>
          <w:bCs/>
          <w:sz w:val="22"/>
          <w:szCs w:val="22"/>
        </w:rPr>
        <w:t xml:space="preserve"> describes how the Armed Forces of Malta </w:t>
      </w:r>
      <w:r w:rsidR="00F1541B" w:rsidRPr="004427CF">
        <w:rPr>
          <w:rFonts w:asciiTheme="minorHAnsi" w:hAnsiTheme="minorHAnsi"/>
          <w:bCs/>
          <w:sz w:val="22"/>
          <w:szCs w:val="22"/>
        </w:rPr>
        <w:t>a</w:t>
      </w:r>
      <w:r w:rsidR="00742BBC" w:rsidRPr="004427CF">
        <w:rPr>
          <w:rFonts w:asciiTheme="minorHAnsi" w:hAnsiTheme="minorHAnsi"/>
          <w:bCs/>
          <w:sz w:val="22"/>
          <w:szCs w:val="22"/>
        </w:rPr>
        <w:t>dhere to the definition that distress is the imminent danger of loss of lives. In that perspective: if a ship is sinking it’s distress. If the boat is not sinking, it’s not in distress. The Italian navy, on the other hand, would rescue every heavily overloaded boat.</w:t>
      </w:r>
      <w:r w:rsidR="00742BBC" w:rsidRPr="004427CF">
        <w:rPr>
          <w:rStyle w:val="FootnoteReference"/>
          <w:rFonts w:asciiTheme="minorHAnsi" w:hAnsiTheme="minorHAnsi"/>
          <w:bCs/>
          <w:sz w:val="22"/>
          <w:szCs w:val="22"/>
        </w:rPr>
        <w:footnoteReference w:id="62"/>
      </w:r>
    </w:p>
    <w:p w:rsidR="008B62DF" w:rsidRPr="004427CF" w:rsidRDefault="00742BBC" w:rsidP="00B80CBE">
      <w:pPr>
        <w:spacing w:line="276" w:lineRule="auto"/>
        <w:rPr>
          <w:rFonts w:asciiTheme="minorHAnsi" w:hAnsiTheme="minorHAnsi" w:cs="Arial"/>
          <w:sz w:val="22"/>
          <w:szCs w:val="22"/>
          <w:shd w:val="clear" w:color="auto" w:fill="FFFFFF"/>
        </w:rPr>
      </w:pPr>
      <w:r w:rsidRPr="004427CF">
        <w:rPr>
          <w:rFonts w:asciiTheme="minorHAnsi" w:hAnsiTheme="minorHAnsi"/>
          <w:sz w:val="22"/>
          <w:szCs w:val="22"/>
        </w:rPr>
        <w:tab/>
      </w:r>
      <w:r w:rsidR="00E43C0A" w:rsidRPr="004427CF">
        <w:rPr>
          <w:rFonts w:asciiTheme="minorHAnsi" w:hAnsiTheme="minorHAnsi"/>
          <w:sz w:val="22"/>
          <w:szCs w:val="22"/>
        </w:rPr>
        <w:t>A</w:t>
      </w:r>
      <w:r w:rsidRPr="004427CF">
        <w:rPr>
          <w:rFonts w:asciiTheme="minorHAnsi" w:hAnsiTheme="minorHAnsi"/>
          <w:sz w:val="22"/>
          <w:szCs w:val="22"/>
        </w:rPr>
        <w:t xml:space="preserve">voidance behavior is also discernible on the part of </w:t>
      </w:r>
      <w:r w:rsidR="008B62DF" w:rsidRPr="004427CF">
        <w:rPr>
          <w:rFonts w:asciiTheme="minorHAnsi" w:hAnsiTheme="minorHAnsi"/>
          <w:sz w:val="22"/>
          <w:szCs w:val="22"/>
        </w:rPr>
        <w:t xml:space="preserve">the </w:t>
      </w:r>
      <w:r w:rsidRPr="004427CF">
        <w:rPr>
          <w:rFonts w:asciiTheme="minorHAnsi" w:hAnsiTheme="minorHAnsi"/>
          <w:sz w:val="22"/>
          <w:szCs w:val="22"/>
        </w:rPr>
        <w:t>smugglers and migrants</w:t>
      </w:r>
      <w:r w:rsidR="008B62DF" w:rsidRPr="004427CF">
        <w:rPr>
          <w:rFonts w:asciiTheme="minorHAnsi" w:hAnsiTheme="minorHAnsi"/>
          <w:sz w:val="22"/>
          <w:szCs w:val="22"/>
        </w:rPr>
        <w:t xml:space="preserve"> themselves</w:t>
      </w:r>
      <w:r w:rsidRPr="004427CF">
        <w:rPr>
          <w:rFonts w:asciiTheme="minorHAnsi" w:hAnsiTheme="minorHAnsi"/>
          <w:sz w:val="22"/>
          <w:szCs w:val="22"/>
        </w:rPr>
        <w:t xml:space="preserve">. There are quite a few incident reports where migrants </w:t>
      </w:r>
      <w:r w:rsidR="008B62DF" w:rsidRPr="004427CF">
        <w:rPr>
          <w:rFonts w:asciiTheme="minorHAnsi" w:hAnsiTheme="minorHAnsi"/>
          <w:sz w:val="22"/>
          <w:szCs w:val="22"/>
        </w:rPr>
        <w:t xml:space="preserve">aim to be rescued by one Member State in particular – often Italy. Thus, after a group of 220 Syrian migrants had been taken on board a </w:t>
      </w:r>
      <w:r w:rsidR="008B62DF" w:rsidRPr="004427CF">
        <w:rPr>
          <w:rFonts w:asciiTheme="minorHAnsi" w:hAnsiTheme="minorHAnsi" w:cs="Arial"/>
          <w:sz w:val="22"/>
          <w:szCs w:val="22"/>
          <w:shd w:val="clear" w:color="auto" w:fill="FFFFFF"/>
        </w:rPr>
        <w:t>Maersk cargo ship some 285 nautical miles southeast of Malta in October 2014, they refused to be transferred on Maltese patrol boats.</w:t>
      </w:r>
      <w:r w:rsidR="008B62DF" w:rsidRPr="004427CF">
        <w:rPr>
          <w:rStyle w:val="FootnoteReference"/>
          <w:rFonts w:asciiTheme="minorHAnsi" w:hAnsiTheme="minorHAnsi" w:cs="Arial"/>
          <w:sz w:val="22"/>
          <w:szCs w:val="22"/>
          <w:shd w:val="clear" w:color="auto" w:fill="FFFFFF"/>
        </w:rPr>
        <w:footnoteReference w:id="63"/>
      </w:r>
      <w:r w:rsidR="008B62DF" w:rsidRPr="004427CF">
        <w:rPr>
          <w:rFonts w:asciiTheme="minorHAnsi" w:hAnsiTheme="minorHAnsi" w:cs="Arial"/>
          <w:sz w:val="22"/>
          <w:szCs w:val="22"/>
          <w:shd w:val="clear" w:color="auto" w:fill="FFFFFF"/>
        </w:rPr>
        <w:t xml:space="preserve"> After having exhausted further attempts to transfer the migrants onto a boat to Malta, the </w:t>
      </w:r>
      <w:r w:rsidR="00E43C0A" w:rsidRPr="004427CF">
        <w:rPr>
          <w:rFonts w:asciiTheme="minorHAnsi" w:hAnsiTheme="minorHAnsi"/>
          <w:bCs/>
          <w:sz w:val="22"/>
          <w:szCs w:val="22"/>
        </w:rPr>
        <w:t xml:space="preserve">Armed Forces of Malta </w:t>
      </w:r>
      <w:r w:rsidR="008B62DF" w:rsidRPr="004427CF">
        <w:rPr>
          <w:rFonts w:asciiTheme="minorHAnsi" w:hAnsiTheme="minorHAnsi" w:cs="Arial"/>
          <w:sz w:val="22"/>
          <w:szCs w:val="22"/>
          <w:shd w:val="clear" w:color="auto" w:fill="FFFFFF"/>
        </w:rPr>
        <w:t xml:space="preserve">made contact with the Italian government which agreed to take charge of the group. In a similar incident one month earlier, some 300 mostly Syrian migrants who had been rescued by the cruise liner Salamis </w:t>
      </w:r>
      <w:proofErr w:type="spellStart"/>
      <w:r w:rsidR="008B62DF" w:rsidRPr="004427CF">
        <w:rPr>
          <w:rFonts w:asciiTheme="minorHAnsi" w:hAnsiTheme="minorHAnsi" w:cs="Arial"/>
          <w:sz w:val="22"/>
          <w:szCs w:val="22"/>
          <w:shd w:val="clear" w:color="auto" w:fill="FFFFFF"/>
        </w:rPr>
        <w:t>Filexonia</w:t>
      </w:r>
      <w:proofErr w:type="spellEnd"/>
      <w:r w:rsidR="008B62DF" w:rsidRPr="004427CF">
        <w:rPr>
          <w:rFonts w:asciiTheme="minorHAnsi" w:hAnsiTheme="minorHAnsi" w:cs="Arial"/>
          <w:sz w:val="22"/>
          <w:szCs w:val="22"/>
          <w:shd w:val="clear" w:color="auto" w:fill="FFFFFF"/>
        </w:rPr>
        <w:t>,</w:t>
      </w:r>
      <w:r w:rsidR="00F1541B" w:rsidRPr="004427CF">
        <w:rPr>
          <w:rFonts w:asciiTheme="minorHAnsi" w:hAnsiTheme="minorHAnsi" w:cs="Arial"/>
          <w:sz w:val="22"/>
          <w:szCs w:val="22"/>
          <w:shd w:val="clear" w:color="auto" w:fill="FFFFFF"/>
        </w:rPr>
        <w:t xml:space="preserve"> refused to disembark in Cyprus, </w:t>
      </w:r>
      <w:r w:rsidR="00F1541B" w:rsidRPr="004427CF">
        <w:rPr>
          <w:rFonts w:asciiTheme="minorHAnsi" w:hAnsiTheme="minorHAnsi"/>
          <w:sz w:val="22"/>
          <w:szCs w:val="22"/>
        </w:rPr>
        <w:t>insisting that they be taken to Italy instead.</w:t>
      </w:r>
      <w:r w:rsidR="00F1541B" w:rsidRPr="004427CF">
        <w:rPr>
          <w:rStyle w:val="FootnoteReference"/>
          <w:rFonts w:asciiTheme="minorHAnsi" w:hAnsiTheme="minorHAnsi"/>
          <w:sz w:val="22"/>
          <w:szCs w:val="22"/>
        </w:rPr>
        <w:footnoteReference w:id="64"/>
      </w:r>
      <w:r w:rsidR="00F1541B" w:rsidRPr="004427CF">
        <w:rPr>
          <w:rFonts w:asciiTheme="minorHAnsi" w:hAnsiTheme="minorHAnsi"/>
          <w:sz w:val="22"/>
          <w:szCs w:val="22"/>
        </w:rPr>
        <w:t xml:space="preserve"> After a stand-off that lasted a day, Cypriot </w:t>
      </w:r>
      <w:r w:rsidR="00F1541B" w:rsidRPr="004427CF">
        <w:rPr>
          <w:rFonts w:asciiTheme="minorHAnsi" w:hAnsiTheme="minorHAnsi" w:cs="Arial"/>
          <w:sz w:val="22"/>
          <w:szCs w:val="22"/>
          <w:shd w:val="clear" w:color="auto" w:fill="FFFFFF"/>
        </w:rPr>
        <w:t xml:space="preserve">police negotiators coaxed the migrants off the ship. The </w:t>
      </w:r>
      <w:r w:rsidR="00E43C0A" w:rsidRPr="004427CF">
        <w:rPr>
          <w:rFonts w:asciiTheme="minorHAnsi" w:hAnsiTheme="minorHAnsi"/>
          <w:bCs/>
          <w:sz w:val="22"/>
          <w:szCs w:val="22"/>
        </w:rPr>
        <w:t>Armed Forces of Malta</w:t>
      </w:r>
      <w:r w:rsidR="00F1541B" w:rsidRPr="004427CF">
        <w:rPr>
          <w:rFonts w:asciiTheme="minorHAnsi" w:hAnsiTheme="minorHAnsi" w:cs="Arial"/>
          <w:sz w:val="22"/>
          <w:szCs w:val="22"/>
          <w:shd w:val="clear" w:color="auto" w:fill="FFFFFF"/>
        </w:rPr>
        <w:t xml:space="preserve"> ha</w:t>
      </w:r>
      <w:r w:rsidR="00E43C0A" w:rsidRPr="004427CF">
        <w:rPr>
          <w:rFonts w:asciiTheme="minorHAnsi" w:hAnsiTheme="minorHAnsi" w:cs="Arial"/>
          <w:sz w:val="22"/>
          <w:szCs w:val="22"/>
          <w:shd w:val="clear" w:color="auto" w:fill="FFFFFF"/>
        </w:rPr>
        <w:t>ve</w:t>
      </w:r>
      <w:r w:rsidR="00F1541B" w:rsidRPr="004427CF">
        <w:rPr>
          <w:rFonts w:asciiTheme="minorHAnsi" w:hAnsiTheme="minorHAnsi" w:cs="Arial"/>
          <w:sz w:val="22"/>
          <w:szCs w:val="22"/>
          <w:shd w:val="clear" w:color="auto" w:fill="FFFFFF"/>
        </w:rPr>
        <w:t xml:space="preserve"> sometimes been accused of providing migrants in distress with water</w:t>
      </w:r>
      <w:r w:rsidR="00240494" w:rsidRPr="004427CF">
        <w:rPr>
          <w:rFonts w:asciiTheme="minorHAnsi" w:hAnsiTheme="minorHAnsi" w:cs="Arial"/>
          <w:sz w:val="22"/>
          <w:szCs w:val="22"/>
          <w:shd w:val="clear" w:color="auto" w:fill="FFFFFF"/>
        </w:rPr>
        <w:t>,</w:t>
      </w:r>
      <w:r w:rsidR="00F1541B" w:rsidRPr="004427CF">
        <w:rPr>
          <w:rFonts w:asciiTheme="minorHAnsi" w:hAnsiTheme="minorHAnsi" w:cs="Arial"/>
          <w:sz w:val="22"/>
          <w:szCs w:val="22"/>
          <w:shd w:val="clear" w:color="auto" w:fill="FFFFFF"/>
        </w:rPr>
        <w:t xml:space="preserve"> food or fuel and driving them to Italian waters, </w:t>
      </w:r>
      <w:r w:rsidR="00240494" w:rsidRPr="004427CF">
        <w:rPr>
          <w:rFonts w:asciiTheme="minorHAnsi" w:hAnsiTheme="minorHAnsi" w:cs="Arial"/>
          <w:sz w:val="22"/>
          <w:szCs w:val="22"/>
          <w:shd w:val="clear" w:color="auto" w:fill="FFFFFF"/>
        </w:rPr>
        <w:t xml:space="preserve">but </w:t>
      </w:r>
      <w:r w:rsidR="00E43C0A" w:rsidRPr="004427CF">
        <w:rPr>
          <w:rFonts w:asciiTheme="minorHAnsi" w:hAnsiTheme="minorHAnsi" w:cs="Arial"/>
          <w:sz w:val="22"/>
          <w:szCs w:val="22"/>
          <w:shd w:val="clear" w:color="auto" w:fill="FFFFFF"/>
        </w:rPr>
        <w:t>have themselves</w:t>
      </w:r>
      <w:r w:rsidR="00240494" w:rsidRPr="004427CF">
        <w:rPr>
          <w:rFonts w:asciiTheme="minorHAnsi" w:hAnsiTheme="minorHAnsi" w:cs="Arial"/>
          <w:sz w:val="22"/>
          <w:szCs w:val="22"/>
          <w:shd w:val="clear" w:color="auto" w:fill="FFFFFF"/>
        </w:rPr>
        <w:t xml:space="preserve"> always denied such allegations, saying instead that it often happens that migrants refuse </w:t>
      </w:r>
      <w:r w:rsidR="00240494" w:rsidRPr="004427CF">
        <w:rPr>
          <w:rFonts w:asciiTheme="minorHAnsi" w:hAnsiTheme="minorHAnsi"/>
          <w:sz w:val="22"/>
          <w:szCs w:val="22"/>
          <w:shd w:val="clear" w:color="auto" w:fill="FFFFFF"/>
        </w:rPr>
        <w:t>to be transferred onto Maltese patrol vessels, in which case the</w:t>
      </w:r>
      <w:r w:rsidR="00E43C0A" w:rsidRPr="004427CF">
        <w:rPr>
          <w:rFonts w:asciiTheme="minorHAnsi" w:hAnsiTheme="minorHAnsi"/>
          <w:sz w:val="22"/>
          <w:szCs w:val="22"/>
          <w:shd w:val="clear" w:color="auto" w:fill="FFFFFF"/>
        </w:rPr>
        <w:t>y</w:t>
      </w:r>
      <w:r w:rsidR="00240494" w:rsidRPr="004427CF">
        <w:rPr>
          <w:rFonts w:asciiTheme="minorHAnsi" w:hAnsiTheme="minorHAnsi"/>
          <w:sz w:val="22"/>
          <w:szCs w:val="22"/>
          <w:shd w:val="clear" w:color="auto" w:fill="FFFFFF"/>
        </w:rPr>
        <w:t xml:space="preserve"> remain in close vicinity in order to render assistance should the need arise</w:t>
      </w:r>
      <w:r w:rsidR="00240494" w:rsidRPr="004427CF">
        <w:rPr>
          <w:rFonts w:asciiTheme="minorHAnsi" w:hAnsiTheme="minorHAnsi" w:cs="Arial"/>
          <w:sz w:val="22"/>
          <w:szCs w:val="22"/>
          <w:shd w:val="clear" w:color="auto" w:fill="FFFFFF"/>
        </w:rPr>
        <w:t>.</w:t>
      </w:r>
      <w:r w:rsidR="00F1541B" w:rsidRPr="004427CF">
        <w:rPr>
          <w:rStyle w:val="FootnoteReference"/>
          <w:rFonts w:asciiTheme="minorHAnsi" w:hAnsiTheme="minorHAnsi" w:cs="Arial"/>
          <w:sz w:val="22"/>
          <w:szCs w:val="22"/>
          <w:shd w:val="clear" w:color="auto" w:fill="FFFFFF"/>
        </w:rPr>
        <w:footnoteReference w:id="65"/>
      </w:r>
    </w:p>
    <w:p w:rsidR="00235BF7" w:rsidRPr="004427CF" w:rsidRDefault="00E65AFB"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T</w:t>
      </w:r>
      <w:r w:rsidR="007A4C19" w:rsidRPr="004427CF">
        <w:rPr>
          <w:rFonts w:asciiTheme="minorHAnsi" w:hAnsiTheme="minorHAnsi"/>
          <w:bCs/>
          <w:sz w:val="22"/>
          <w:szCs w:val="22"/>
        </w:rPr>
        <w:t xml:space="preserve">he </w:t>
      </w:r>
      <w:proofErr w:type="spellStart"/>
      <w:r w:rsidR="007A4C19" w:rsidRPr="004427CF">
        <w:rPr>
          <w:rFonts w:asciiTheme="minorHAnsi" w:hAnsiTheme="minorHAnsi"/>
          <w:bCs/>
          <w:sz w:val="22"/>
          <w:szCs w:val="22"/>
        </w:rPr>
        <w:t>Frontex</w:t>
      </w:r>
      <w:proofErr w:type="spellEnd"/>
      <w:r w:rsidR="007A4C19" w:rsidRPr="004427CF">
        <w:rPr>
          <w:rFonts w:asciiTheme="minorHAnsi" w:hAnsiTheme="minorHAnsi"/>
          <w:bCs/>
          <w:sz w:val="22"/>
          <w:szCs w:val="22"/>
        </w:rPr>
        <w:t xml:space="preserve"> Sea Borders Regulation </w:t>
      </w:r>
      <w:r w:rsidRPr="004427CF">
        <w:rPr>
          <w:rFonts w:asciiTheme="minorHAnsi" w:hAnsiTheme="minorHAnsi"/>
          <w:bCs/>
          <w:sz w:val="22"/>
          <w:szCs w:val="22"/>
        </w:rPr>
        <w:t>is much more explicit on search and rescue situations than Council Decision 2010/252/EU. It provides binding rules on search and rescue (as opposed to guidelines in the Council Decision) in the form of quite detailed instructions for participating units</w:t>
      </w:r>
      <w:r w:rsidR="00EF2648" w:rsidRPr="004427CF">
        <w:rPr>
          <w:rFonts w:asciiTheme="minorHAnsi" w:hAnsiTheme="minorHAnsi"/>
          <w:bCs/>
          <w:sz w:val="22"/>
          <w:szCs w:val="22"/>
        </w:rPr>
        <w:t xml:space="preserve"> in case they are confronted with distress situations</w:t>
      </w:r>
      <w:r w:rsidRPr="004427CF">
        <w:rPr>
          <w:rFonts w:asciiTheme="minorHAnsi" w:hAnsiTheme="minorHAnsi"/>
          <w:bCs/>
          <w:sz w:val="22"/>
          <w:szCs w:val="22"/>
        </w:rPr>
        <w:t xml:space="preserve">. </w:t>
      </w:r>
      <w:r w:rsidR="00235BF7" w:rsidRPr="004427CF">
        <w:rPr>
          <w:rFonts w:asciiTheme="minorHAnsi" w:hAnsiTheme="minorHAnsi"/>
          <w:bCs/>
          <w:sz w:val="22"/>
          <w:szCs w:val="22"/>
        </w:rPr>
        <w:t xml:space="preserve">These rules were adopted despite opposition of six </w:t>
      </w:r>
      <w:r w:rsidR="00235BF7" w:rsidRPr="004427CF">
        <w:rPr>
          <w:rFonts w:asciiTheme="minorHAnsi" w:hAnsiTheme="minorHAnsi"/>
          <w:bCs/>
          <w:sz w:val="22"/>
          <w:szCs w:val="22"/>
        </w:rPr>
        <w:lastRenderedPageBreak/>
        <w:t>Mediterranean countries (</w:t>
      </w:r>
      <w:r w:rsidR="00235BF7" w:rsidRPr="004427CF">
        <w:rPr>
          <w:rFonts w:asciiTheme="minorHAnsi" w:hAnsiTheme="minorHAnsi"/>
          <w:sz w:val="22"/>
          <w:szCs w:val="22"/>
          <w:shd w:val="clear" w:color="auto" w:fill="FFFFFF"/>
        </w:rPr>
        <w:t>Italy, Cyprus, France, Greece, Malta and Spain).</w:t>
      </w:r>
      <w:r w:rsidR="00235BF7" w:rsidRPr="004427CF">
        <w:rPr>
          <w:rStyle w:val="FootnoteReference"/>
          <w:rFonts w:asciiTheme="minorHAnsi" w:hAnsiTheme="minorHAnsi"/>
          <w:sz w:val="22"/>
          <w:szCs w:val="22"/>
          <w:shd w:val="clear" w:color="auto" w:fill="FFFFFF"/>
        </w:rPr>
        <w:footnoteReference w:id="66"/>
      </w:r>
      <w:r w:rsidR="00235BF7" w:rsidRPr="004427CF">
        <w:rPr>
          <w:rFonts w:asciiTheme="minorHAnsi" w:hAnsiTheme="minorHAnsi"/>
          <w:sz w:val="22"/>
          <w:szCs w:val="22"/>
          <w:shd w:val="clear" w:color="auto" w:fill="FFFFFF"/>
        </w:rPr>
        <w:t xml:space="preserve"> These countries </w:t>
      </w:r>
      <w:r w:rsidR="005B1272" w:rsidRPr="004427CF">
        <w:rPr>
          <w:rFonts w:asciiTheme="minorHAnsi" w:hAnsiTheme="minorHAnsi"/>
          <w:sz w:val="22"/>
          <w:szCs w:val="22"/>
          <w:shd w:val="clear" w:color="auto" w:fill="FFFFFF"/>
        </w:rPr>
        <w:t>called the proposed provisions on search and rescue “unacceptable for practical and legal reasons” and argued that international maritime law already dealt ‘amply’ with such situations.</w:t>
      </w:r>
    </w:p>
    <w:p w:rsidR="00176926" w:rsidRPr="004427CF" w:rsidRDefault="005B1272"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These countries do have a point,</w:t>
      </w:r>
      <w:r w:rsidR="00E65AFB" w:rsidRPr="004427CF">
        <w:rPr>
          <w:rFonts w:asciiTheme="minorHAnsi" w:hAnsiTheme="minorHAnsi"/>
          <w:bCs/>
          <w:sz w:val="22"/>
          <w:szCs w:val="22"/>
        </w:rPr>
        <w:t xml:space="preserve"> </w:t>
      </w:r>
      <w:r w:rsidRPr="004427CF">
        <w:rPr>
          <w:rFonts w:asciiTheme="minorHAnsi" w:hAnsiTheme="minorHAnsi"/>
          <w:bCs/>
          <w:sz w:val="22"/>
          <w:szCs w:val="22"/>
        </w:rPr>
        <w:t xml:space="preserve">as </w:t>
      </w:r>
      <w:r w:rsidR="00176926" w:rsidRPr="004427CF">
        <w:rPr>
          <w:rFonts w:asciiTheme="minorHAnsi" w:hAnsiTheme="minorHAnsi"/>
          <w:bCs/>
          <w:sz w:val="22"/>
          <w:szCs w:val="22"/>
        </w:rPr>
        <w:t xml:space="preserve">international law already circumscribes </w:t>
      </w:r>
      <w:r w:rsidR="00EF2648" w:rsidRPr="004427CF">
        <w:rPr>
          <w:rFonts w:asciiTheme="minorHAnsi" w:hAnsiTheme="minorHAnsi"/>
          <w:bCs/>
          <w:sz w:val="22"/>
          <w:szCs w:val="22"/>
        </w:rPr>
        <w:t>search and rescue obligations</w:t>
      </w:r>
      <w:r w:rsidRPr="004427CF">
        <w:rPr>
          <w:rFonts w:asciiTheme="minorHAnsi" w:hAnsiTheme="minorHAnsi"/>
          <w:bCs/>
          <w:sz w:val="22"/>
          <w:szCs w:val="22"/>
        </w:rPr>
        <w:t xml:space="preserve"> extensively</w:t>
      </w:r>
      <w:r w:rsidR="00176926" w:rsidRPr="004427CF">
        <w:rPr>
          <w:rFonts w:asciiTheme="minorHAnsi" w:hAnsiTheme="minorHAnsi"/>
          <w:bCs/>
          <w:sz w:val="22"/>
          <w:szCs w:val="22"/>
        </w:rPr>
        <w:t>.</w:t>
      </w:r>
      <w:r w:rsidR="00EF2648" w:rsidRPr="004427CF">
        <w:rPr>
          <w:rFonts w:asciiTheme="minorHAnsi" w:hAnsiTheme="minorHAnsi"/>
          <w:bCs/>
          <w:sz w:val="22"/>
          <w:szCs w:val="22"/>
        </w:rPr>
        <w:t xml:space="preserve"> </w:t>
      </w:r>
      <w:r w:rsidR="00167E57" w:rsidRPr="004427CF">
        <w:rPr>
          <w:rFonts w:asciiTheme="minorHAnsi" w:hAnsiTheme="minorHAnsi"/>
          <w:bCs/>
          <w:sz w:val="22"/>
          <w:szCs w:val="22"/>
        </w:rPr>
        <w:t xml:space="preserve">Art. 98 </w:t>
      </w:r>
      <w:r w:rsidR="00176926" w:rsidRPr="004427CF">
        <w:rPr>
          <w:rFonts w:asciiTheme="minorHAnsi" w:hAnsiTheme="minorHAnsi"/>
          <w:bCs/>
          <w:sz w:val="22"/>
          <w:szCs w:val="22"/>
        </w:rPr>
        <w:t xml:space="preserve">of the </w:t>
      </w:r>
      <w:r w:rsidR="00167E57" w:rsidRPr="004427CF">
        <w:rPr>
          <w:rFonts w:asciiTheme="minorHAnsi" w:hAnsiTheme="minorHAnsi"/>
          <w:bCs/>
          <w:sz w:val="22"/>
          <w:szCs w:val="22"/>
        </w:rPr>
        <w:t>U</w:t>
      </w:r>
      <w:r w:rsidR="00176926" w:rsidRPr="004427CF">
        <w:rPr>
          <w:rFonts w:asciiTheme="minorHAnsi" w:hAnsiTheme="minorHAnsi"/>
          <w:bCs/>
          <w:sz w:val="22"/>
          <w:szCs w:val="22"/>
        </w:rPr>
        <w:t xml:space="preserve">nited </w:t>
      </w:r>
      <w:r w:rsidR="00167E57" w:rsidRPr="004427CF">
        <w:rPr>
          <w:rFonts w:asciiTheme="minorHAnsi" w:hAnsiTheme="minorHAnsi"/>
          <w:bCs/>
          <w:sz w:val="22"/>
          <w:szCs w:val="22"/>
        </w:rPr>
        <w:t>N</w:t>
      </w:r>
      <w:r w:rsidR="00176926" w:rsidRPr="004427CF">
        <w:rPr>
          <w:rFonts w:asciiTheme="minorHAnsi" w:hAnsiTheme="minorHAnsi"/>
          <w:bCs/>
          <w:sz w:val="22"/>
          <w:szCs w:val="22"/>
        </w:rPr>
        <w:t xml:space="preserve">ations </w:t>
      </w:r>
      <w:r w:rsidR="00167E57" w:rsidRPr="004427CF">
        <w:rPr>
          <w:rFonts w:asciiTheme="minorHAnsi" w:hAnsiTheme="minorHAnsi"/>
          <w:bCs/>
          <w:sz w:val="22"/>
          <w:szCs w:val="22"/>
        </w:rPr>
        <w:t>C</w:t>
      </w:r>
      <w:r w:rsidR="00176926" w:rsidRPr="004427CF">
        <w:rPr>
          <w:rFonts w:asciiTheme="minorHAnsi" w:hAnsiTheme="minorHAnsi"/>
          <w:bCs/>
          <w:sz w:val="22"/>
          <w:szCs w:val="22"/>
        </w:rPr>
        <w:t xml:space="preserve">onvention on the </w:t>
      </w:r>
      <w:r w:rsidR="00167E57" w:rsidRPr="004427CF">
        <w:rPr>
          <w:rFonts w:asciiTheme="minorHAnsi" w:hAnsiTheme="minorHAnsi"/>
          <w:bCs/>
          <w:sz w:val="22"/>
          <w:szCs w:val="22"/>
        </w:rPr>
        <w:t>L</w:t>
      </w:r>
      <w:r w:rsidR="00176926" w:rsidRPr="004427CF">
        <w:rPr>
          <w:rFonts w:asciiTheme="minorHAnsi" w:hAnsiTheme="minorHAnsi"/>
          <w:bCs/>
          <w:sz w:val="22"/>
          <w:szCs w:val="22"/>
        </w:rPr>
        <w:t>aw of the Sea (UNCLOS)</w:t>
      </w:r>
      <w:r w:rsidR="00167E57" w:rsidRPr="004427CF">
        <w:rPr>
          <w:rFonts w:asciiTheme="minorHAnsi" w:hAnsiTheme="minorHAnsi"/>
          <w:bCs/>
          <w:sz w:val="22"/>
          <w:szCs w:val="22"/>
        </w:rPr>
        <w:t xml:space="preserve"> </w:t>
      </w:r>
      <w:r w:rsidR="00176926" w:rsidRPr="004427CF">
        <w:rPr>
          <w:rFonts w:asciiTheme="minorHAnsi" w:hAnsiTheme="minorHAnsi"/>
          <w:bCs/>
          <w:sz w:val="22"/>
          <w:szCs w:val="22"/>
        </w:rPr>
        <w:t>contains the primordial duties on the part of</w:t>
      </w:r>
      <w:r w:rsidR="00167E57" w:rsidRPr="004427CF">
        <w:rPr>
          <w:rFonts w:asciiTheme="minorHAnsi" w:hAnsiTheme="minorHAnsi"/>
          <w:bCs/>
          <w:sz w:val="22"/>
          <w:szCs w:val="22"/>
        </w:rPr>
        <w:t xml:space="preserve"> every shipmaster ‘to render assistance to any person found at sea in danger of being lost’</w:t>
      </w:r>
      <w:r w:rsidR="00EB5BDD" w:rsidRPr="004427CF">
        <w:rPr>
          <w:rFonts w:asciiTheme="minorHAnsi" w:hAnsiTheme="minorHAnsi"/>
          <w:bCs/>
          <w:sz w:val="22"/>
          <w:szCs w:val="22"/>
        </w:rPr>
        <w:t xml:space="preserve"> and</w:t>
      </w:r>
      <w:r w:rsidR="00167E57" w:rsidRPr="004427CF">
        <w:rPr>
          <w:rFonts w:asciiTheme="minorHAnsi" w:hAnsiTheme="minorHAnsi"/>
          <w:bCs/>
          <w:sz w:val="22"/>
          <w:szCs w:val="22"/>
        </w:rPr>
        <w:t xml:space="preserve"> ‘to proceed with all possible speed to the rescue of persons in distress’</w:t>
      </w:r>
      <w:r w:rsidR="00176926" w:rsidRPr="004427CF">
        <w:rPr>
          <w:rFonts w:asciiTheme="minorHAnsi" w:hAnsiTheme="minorHAnsi"/>
          <w:bCs/>
          <w:sz w:val="22"/>
          <w:szCs w:val="22"/>
        </w:rPr>
        <w:t xml:space="preserve">. It further </w:t>
      </w:r>
      <w:r w:rsidR="00167E57" w:rsidRPr="004427CF">
        <w:rPr>
          <w:rFonts w:asciiTheme="minorHAnsi" w:hAnsiTheme="minorHAnsi"/>
          <w:bCs/>
          <w:sz w:val="22"/>
          <w:szCs w:val="22"/>
        </w:rPr>
        <w:t xml:space="preserve">obliges coastal </w:t>
      </w:r>
      <w:r w:rsidR="00EB5BDD" w:rsidRPr="004427CF">
        <w:rPr>
          <w:rFonts w:asciiTheme="minorHAnsi" w:hAnsiTheme="minorHAnsi"/>
          <w:bCs/>
          <w:sz w:val="22"/>
          <w:szCs w:val="22"/>
        </w:rPr>
        <w:t>s</w:t>
      </w:r>
      <w:r w:rsidR="00167E57" w:rsidRPr="004427CF">
        <w:rPr>
          <w:rFonts w:asciiTheme="minorHAnsi" w:hAnsiTheme="minorHAnsi"/>
          <w:bCs/>
          <w:sz w:val="22"/>
          <w:szCs w:val="22"/>
        </w:rPr>
        <w:t xml:space="preserve">tates to ‘maintain adequate and effective search and rescue services’. These general duties are worked out in detail in the SAR Convention. </w:t>
      </w:r>
      <w:r w:rsidR="00EF2648" w:rsidRPr="004427CF">
        <w:rPr>
          <w:rFonts w:asciiTheme="minorHAnsi" w:hAnsiTheme="minorHAnsi"/>
          <w:bCs/>
          <w:sz w:val="22"/>
          <w:szCs w:val="22"/>
        </w:rPr>
        <w:t xml:space="preserve">The </w:t>
      </w:r>
      <w:proofErr w:type="spellStart"/>
      <w:r w:rsidR="00CC7002" w:rsidRPr="004427CF">
        <w:rPr>
          <w:rFonts w:asciiTheme="minorHAnsi" w:hAnsiTheme="minorHAnsi"/>
          <w:bCs/>
          <w:sz w:val="22"/>
          <w:szCs w:val="22"/>
        </w:rPr>
        <w:t>Frontex</w:t>
      </w:r>
      <w:proofErr w:type="spellEnd"/>
      <w:r w:rsidR="00CC7002" w:rsidRPr="004427CF">
        <w:rPr>
          <w:rFonts w:asciiTheme="minorHAnsi" w:hAnsiTheme="minorHAnsi"/>
          <w:bCs/>
          <w:sz w:val="22"/>
          <w:szCs w:val="22"/>
        </w:rPr>
        <w:t xml:space="preserve"> Sea Borders </w:t>
      </w:r>
      <w:r w:rsidR="00EF2648" w:rsidRPr="004427CF">
        <w:rPr>
          <w:rFonts w:asciiTheme="minorHAnsi" w:hAnsiTheme="minorHAnsi"/>
          <w:bCs/>
          <w:sz w:val="22"/>
          <w:szCs w:val="22"/>
        </w:rPr>
        <w:t xml:space="preserve">Regulation confirms that it does not affect </w:t>
      </w:r>
      <w:r w:rsidR="00CC7002" w:rsidRPr="004427CF">
        <w:rPr>
          <w:rFonts w:asciiTheme="minorHAnsi" w:hAnsiTheme="minorHAnsi"/>
          <w:bCs/>
          <w:sz w:val="22"/>
          <w:szCs w:val="22"/>
        </w:rPr>
        <w:t>these obligations</w:t>
      </w:r>
      <w:r w:rsidR="00176926" w:rsidRPr="004427CF">
        <w:rPr>
          <w:rFonts w:asciiTheme="minorHAnsi" w:hAnsiTheme="minorHAnsi"/>
          <w:bCs/>
          <w:sz w:val="22"/>
          <w:szCs w:val="22"/>
        </w:rPr>
        <w:t xml:space="preserve"> an</w:t>
      </w:r>
      <w:r w:rsidR="002E67A4" w:rsidRPr="004427CF">
        <w:rPr>
          <w:rFonts w:asciiTheme="minorHAnsi" w:hAnsiTheme="minorHAnsi"/>
          <w:bCs/>
          <w:sz w:val="22"/>
          <w:szCs w:val="22"/>
        </w:rPr>
        <w:t>d</w:t>
      </w:r>
      <w:r w:rsidR="00176926" w:rsidRPr="004427CF">
        <w:rPr>
          <w:rFonts w:asciiTheme="minorHAnsi" w:hAnsiTheme="minorHAnsi"/>
          <w:bCs/>
          <w:sz w:val="22"/>
          <w:szCs w:val="22"/>
        </w:rPr>
        <w:t xml:space="preserve"> for the most part reiterates them</w:t>
      </w:r>
      <w:r w:rsidR="00EF2648" w:rsidRPr="004427CF">
        <w:rPr>
          <w:rFonts w:asciiTheme="minorHAnsi" w:hAnsiTheme="minorHAnsi"/>
          <w:bCs/>
          <w:sz w:val="22"/>
          <w:szCs w:val="22"/>
        </w:rPr>
        <w:t>.</w:t>
      </w:r>
      <w:r w:rsidR="00167E57" w:rsidRPr="004427CF">
        <w:rPr>
          <w:rStyle w:val="FootnoteReference"/>
          <w:rFonts w:asciiTheme="minorHAnsi" w:hAnsiTheme="minorHAnsi"/>
          <w:bCs/>
          <w:sz w:val="22"/>
          <w:szCs w:val="22"/>
        </w:rPr>
        <w:footnoteReference w:id="67"/>
      </w:r>
      <w:r w:rsidR="00EF2648" w:rsidRPr="004427CF">
        <w:rPr>
          <w:rFonts w:asciiTheme="minorHAnsi" w:hAnsiTheme="minorHAnsi"/>
          <w:bCs/>
          <w:sz w:val="22"/>
          <w:szCs w:val="22"/>
        </w:rPr>
        <w:t xml:space="preserve"> </w:t>
      </w:r>
      <w:r w:rsidR="00EB5BDD" w:rsidRPr="004427CF">
        <w:rPr>
          <w:rFonts w:asciiTheme="minorHAnsi" w:hAnsiTheme="minorHAnsi"/>
          <w:bCs/>
          <w:sz w:val="22"/>
          <w:szCs w:val="22"/>
        </w:rPr>
        <w:t xml:space="preserve">From the outset, it appeared that the key </w:t>
      </w:r>
      <w:r w:rsidRPr="004427CF">
        <w:rPr>
          <w:rFonts w:asciiTheme="minorHAnsi" w:hAnsiTheme="minorHAnsi"/>
          <w:bCs/>
          <w:sz w:val="22"/>
          <w:szCs w:val="22"/>
        </w:rPr>
        <w:t>added value</w:t>
      </w:r>
      <w:r w:rsidR="00EB5BDD" w:rsidRPr="004427CF">
        <w:rPr>
          <w:rFonts w:asciiTheme="minorHAnsi" w:hAnsiTheme="minorHAnsi"/>
          <w:bCs/>
          <w:sz w:val="22"/>
          <w:szCs w:val="22"/>
        </w:rPr>
        <w:t xml:space="preserve"> of</w:t>
      </w:r>
      <w:r w:rsidRPr="004427CF">
        <w:rPr>
          <w:rFonts w:asciiTheme="minorHAnsi" w:hAnsiTheme="minorHAnsi"/>
          <w:bCs/>
          <w:sz w:val="22"/>
          <w:szCs w:val="22"/>
        </w:rPr>
        <w:t xml:space="preserve"> the Regulation </w:t>
      </w:r>
      <w:r w:rsidR="00EB5BDD" w:rsidRPr="004427CF">
        <w:rPr>
          <w:rFonts w:asciiTheme="minorHAnsi" w:hAnsiTheme="minorHAnsi"/>
          <w:bCs/>
          <w:sz w:val="22"/>
          <w:szCs w:val="22"/>
        </w:rPr>
        <w:t>would lie in harmonizing divergent interpretations of Member States on such issues as what distress amounts to and what a place of safety means</w:t>
      </w:r>
      <w:r w:rsidRPr="004427CF">
        <w:rPr>
          <w:rFonts w:asciiTheme="minorHAnsi" w:hAnsiTheme="minorHAnsi"/>
          <w:bCs/>
          <w:sz w:val="22"/>
          <w:szCs w:val="22"/>
        </w:rPr>
        <w:t xml:space="preserve">. </w:t>
      </w:r>
      <w:r w:rsidR="00EB5BDD" w:rsidRPr="004427CF">
        <w:rPr>
          <w:rFonts w:asciiTheme="minorHAnsi" w:hAnsiTheme="minorHAnsi"/>
          <w:bCs/>
          <w:sz w:val="22"/>
          <w:szCs w:val="22"/>
        </w:rPr>
        <w:t>B</w:t>
      </w:r>
      <w:r w:rsidR="00D61EA3" w:rsidRPr="004427CF">
        <w:rPr>
          <w:rFonts w:asciiTheme="minorHAnsi" w:hAnsiTheme="minorHAnsi"/>
          <w:bCs/>
          <w:sz w:val="22"/>
          <w:szCs w:val="22"/>
        </w:rPr>
        <w:t xml:space="preserve">ut this turned out to be </w:t>
      </w:r>
      <w:r w:rsidR="00EB5BDD" w:rsidRPr="004427CF">
        <w:rPr>
          <w:rFonts w:asciiTheme="minorHAnsi" w:hAnsiTheme="minorHAnsi"/>
          <w:bCs/>
          <w:sz w:val="22"/>
          <w:szCs w:val="22"/>
        </w:rPr>
        <w:t xml:space="preserve">a </w:t>
      </w:r>
      <w:r w:rsidR="00D61EA3" w:rsidRPr="004427CF">
        <w:rPr>
          <w:rFonts w:asciiTheme="minorHAnsi" w:hAnsiTheme="minorHAnsi"/>
          <w:bCs/>
          <w:sz w:val="22"/>
          <w:szCs w:val="22"/>
        </w:rPr>
        <w:t>bridge too far.</w:t>
      </w:r>
    </w:p>
    <w:p w:rsidR="00EB5BDD" w:rsidRPr="004427CF" w:rsidRDefault="002E67A4"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 xml:space="preserve">The Regulation ‘solves’ </w:t>
      </w:r>
      <w:r w:rsidR="00176926" w:rsidRPr="004427CF">
        <w:rPr>
          <w:rFonts w:asciiTheme="minorHAnsi" w:hAnsiTheme="minorHAnsi"/>
          <w:bCs/>
          <w:sz w:val="22"/>
          <w:szCs w:val="22"/>
        </w:rPr>
        <w:t xml:space="preserve">the issue of </w:t>
      </w:r>
      <w:r w:rsidRPr="004427CF">
        <w:rPr>
          <w:rFonts w:asciiTheme="minorHAnsi" w:hAnsiTheme="minorHAnsi"/>
          <w:bCs/>
          <w:sz w:val="22"/>
          <w:szCs w:val="22"/>
        </w:rPr>
        <w:t xml:space="preserve">what </w:t>
      </w:r>
      <w:r w:rsidR="00176926" w:rsidRPr="004427CF">
        <w:rPr>
          <w:rFonts w:asciiTheme="minorHAnsi" w:hAnsiTheme="minorHAnsi"/>
          <w:bCs/>
          <w:sz w:val="22"/>
          <w:szCs w:val="22"/>
        </w:rPr>
        <w:t>distress</w:t>
      </w:r>
      <w:r w:rsidRPr="004427CF">
        <w:rPr>
          <w:rFonts w:asciiTheme="minorHAnsi" w:hAnsiTheme="minorHAnsi"/>
          <w:bCs/>
          <w:sz w:val="22"/>
          <w:szCs w:val="22"/>
        </w:rPr>
        <w:t xml:space="preserve"> exactly is by inventing a sliding scale of </w:t>
      </w:r>
      <w:r w:rsidR="00692ABF" w:rsidRPr="004427CF">
        <w:rPr>
          <w:rFonts w:asciiTheme="minorHAnsi" w:hAnsiTheme="minorHAnsi"/>
          <w:bCs/>
          <w:sz w:val="22"/>
          <w:szCs w:val="22"/>
        </w:rPr>
        <w:t xml:space="preserve">three phases of urgency, namely </w:t>
      </w:r>
      <w:r w:rsidRPr="004427CF">
        <w:rPr>
          <w:rFonts w:asciiTheme="minorHAnsi" w:hAnsiTheme="minorHAnsi"/>
          <w:bCs/>
          <w:sz w:val="22"/>
          <w:szCs w:val="22"/>
        </w:rPr>
        <w:t>a ‘phase of uncertainty’</w:t>
      </w:r>
      <w:r w:rsidR="00176926" w:rsidRPr="004427CF">
        <w:rPr>
          <w:rFonts w:asciiTheme="minorHAnsi" w:hAnsiTheme="minorHAnsi"/>
          <w:bCs/>
          <w:sz w:val="22"/>
          <w:szCs w:val="22"/>
        </w:rPr>
        <w:t>,</w:t>
      </w:r>
      <w:r w:rsidRPr="004427CF">
        <w:rPr>
          <w:rFonts w:asciiTheme="minorHAnsi" w:hAnsiTheme="minorHAnsi"/>
          <w:bCs/>
          <w:sz w:val="22"/>
          <w:szCs w:val="22"/>
        </w:rPr>
        <w:t xml:space="preserve"> a ‘phase of alert’ and a ‘phase of distress’.</w:t>
      </w:r>
      <w:r w:rsidR="00692ABF" w:rsidRPr="004427CF">
        <w:rPr>
          <w:rStyle w:val="FootnoteReference"/>
          <w:rFonts w:asciiTheme="minorHAnsi" w:hAnsiTheme="minorHAnsi"/>
          <w:bCs/>
          <w:sz w:val="22"/>
          <w:szCs w:val="22"/>
        </w:rPr>
        <w:footnoteReference w:id="68"/>
      </w:r>
      <w:r w:rsidRPr="004427CF">
        <w:rPr>
          <w:rFonts w:asciiTheme="minorHAnsi" w:hAnsiTheme="minorHAnsi"/>
          <w:bCs/>
          <w:sz w:val="22"/>
          <w:szCs w:val="22"/>
        </w:rPr>
        <w:t xml:space="preserve"> All three</w:t>
      </w:r>
      <w:r w:rsidR="00692ABF" w:rsidRPr="004427CF">
        <w:rPr>
          <w:rFonts w:asciiTheme="minorHAnsi" w:hAnsiTheme="minorHAnsi"/>
          <w:bCs/>
          <w:sz w:val="22"/>
          <w:szCs w:val="22"/>
        </w:rPr>
        <w:t xml:space="preserve"> phases are defined in a</w:t>
      </w:r>
      <w:r w:rsidR="000C6EA9" w:rsidRPr="004427CF">
        <w:rPr>
          <w:rFonts w:asciiTheme="minorHAnsi" w:hAnsiTheme="minorHAnsi"/>
          <w:bCs/>
          <w:sz w:val="22"/>
          <w:szCs w:val="22"/>
        </w:rPr>
        <w:t>n</w:t>
      </w:r>
      <w:r w:rsidR="00692ABF" w:rsidRPr="004427CF">
        <w:rPr>
          <w:rFonts w:asciiTheme="minorHAnsi" w:hAnsiTheme="minorHAnsi"/>
          <w:bCs/>
          <w:sz w:val="22"/>
          <w:szCs w:val="22"/>
        </w:rPr>
        <w:t xml:space="preserve"> open manner</w:t>
      </w:r>
      <w:r w:rsidR="000C6EA9" w:rsidRPr="004427CF">
        <w:rPr>
          <w:rFonts w:asciiTheme="minorHAnsi" w:hAnsiTheme="minorHAnsi"/>
          <w:bCs/>
          <w:sz w:val="22"/>
          <w:szCs w:val="22"/>
        </w:rPr>
        <w:t xml:space="preserve"> – by merely mentioning </w:t>
      </w:r>
      <w:r w:rsidR="00C57B57" w:rsidRPr="004427CF">
        <w:rPr>
          <w:rFonts w:asciiTheme="minorHAnsi" w:hAnsiTheme="minorHAnsi"/>
          <w:bCs/>
          <w:sz w:val="22"/>
          <w:szCs w:val="22"/>
        </w:rPr>
        <w:t>examples</w:t>
      </w:r>
      <w:r w:rsidR="000C6EA9" w:rsidRPr="004427CF">
        <w:rPr>
          <w:rFonts w:asciiTheme="minorHAnsi" w:hAnsiTheme="minorHAnsi"/>
          <w:bCs/>
          <w:sz w:val="22"/>
          <w:szCs w:val="22"/>
        </w:rPr>
        <w:t xml:space="preserve"> of situations belonging to each phase. Especially remarkable is that the Regulation does not differentiate between the type of action to be undertaken in each </w:t>
      </w:r>
      <w:r w:rsidR="00C57B57" w:rsidRPr="004427CF">
        <w:rPr>
          <w:rFonts w:asciiTheme="minorHAnsi" w:hAnsiTheme="minorHAnsi"/>
          <w:bCs/>
          <w:sz w:val="22"/>
          <w:szCs w:val="22"/>
        </w:rPr>
        <w:t xml:space="preserve">of the </w:t>
      </w:r>
      <w:r w:rsidR="000C6EA9" w:rsidRPr="004427CF">
        <w:rPr>
          <w:rFonts w:asciiTheme="minorHAnsi" w:hAnsiTheme="minorHAnsi"/>
          <w:bCs/>
          <w:sz w:val="22"/>
          <w:szCs w:val="22"/>
        </w:rPr>
        <w:t>phase</w:t>
      </w:r>
      <w:r w:rsidR="00C57B57" w:rsidRPr="004427CF">
        <w:rPr>
          <w:rFonts w:asciiTheme="minorHAnsi" w:hAnsiTheme="minorHAnsi"/>
          <w:bCs/>
          <w:sz w:val="22"/>
          <w:szCs w:val="22"/>
        </w:rPr>
        <w:t>s</w:t>
      </w:r>
      <w:r w:rsidR="000C6EA9" w:rsidRPr="004427CF">
        <w:rPr>
          <w:rFonts w:asciiTheme="minorHAnsi" w:hAnsiTheme="minorHAnsi"/>
          <w:bCs/>
          <w:sz w:val="22"/>
          <w:szCs w:val="22"/>
        </w:rPr>
        <w:t xml:space="preserve"> of urgency. It merely holds that in all three phases,</w:t>
      </w:r>
      <w:r w:rsidR="00692ABF" w:rsidRPr="004427CF">
        <w:rPr>
          <w:rFonts w:asciiTheme="minorHAnsi" w:hAnsiTheme="minorHAnsi"/>
          <w:bCs/>
          <w:sz w:val="22"/>
          <w:szCs w:val="22"/>
        </w:rPr>
        <w:t xml:space="preserve"> </w:t>
      </w:r>
      <w:r w:rsidR="000C6EA9" w:rsidRPr="004427CF">
        <w:rPr>
          <w:rFonts w:asciiTheme="minorHAnsi" w:hAnsiTheme="minorHAnsi"/>
          <w:bCs/>
          <w:sz w:val="22"/>
          <w:szCs w:val="22"/>
        </w:rPr>
        <w:t>participating unit</w:t>
      </w:r>
      <w:r w:rsidR="00692ABF" w:rsidRPr="004427CF">
        <w:rPr>
          <w:rFonts w:asciiTheme="minorHAnsi" w:hAnsiTheme="minorHAnsi"/>
          <w:bCs/>
          <w:sz w:val="22"/>
          <w:szCs w:val="22"/>
        </w:rPr>
        <w:t xml:space="preserve">s are obliged to </w:t>
      </w:r>
      <w:r w:rsidR="00C57B57" w:rsidRPr="004427CF">
        <w:rPr>
          <w:rFonts w:asciiTheme="minorHAnsi" w:hAnsiTheme="minorHAnsi"/>
          <w:bCs/>
          <w:sz w:val="22"/>
          <w:szCs w:val="22"/>
        </w:rPr>
        <w:t>transmit all relevant information to</w:t>
      </w:r>
      <w:r w:rsidR="00692ABF" w:rsidRPr="004427CF">
        <w:rPr>
          <w:rFonts w:asciiTheme="minorHAnsi" w:hAnsiTheme="minorHAnsi"/>
          <w:bCs/>
          <w:sz w:val="22"/>
          <w:szCs w:val="22"/>
        </w:rPr>
        <w:t xml:space="preserve"> the Rescue Coordination Centre and to place themselves at the disposal of that Rescue Coordination Centre.</w:t>
      </w:r>
      <w:r w:rsidR="000C6EA9" w:rsidRPr="004427CF">
        <w:rPr>
          <w:rStyle w:val="FootnoteReference"/>
          <w:rFonts w:asciiTheme="minorHAnsi" w:hAnsiTheme="minorHAnsi"/>
          <w:bCs/>
          <w:sz w:val="22"/>
          <w:szCs w:val="22"/>
        </w:rPr>
        <w:footnoteReference w:id="69"/>
      </w:r>
      <w:r w:rsidR="00692ABF" w:rsidRPr="004427CF">
        <w:rPr>
          <w:rFonts w:asciiTheme="minorHAnsi" w:hAnsiTheme="minorHAnsi"/>
          <w:bCs/>
          <w:sz w:val="22"/>
          <w:szCs w:val="22"/>
        </w:rPr>
        <w:t xml:space="preserve"> </w:t>
      </w:r>
      <w:r w:rsidR="000C6EA9" w:rsidRPr="004427CF">
        <w:rPr>
          <w:rFonts w:asciiTheme="minorHAnsi" w:hAnsiTheme="minorHAnsi"/>
          <w:bCs/>
          <w:sz w:val="22"/>
          <w:szCs w:val="22"/>
        </w:rPr>
        <w:t xml:space="preserve">And, ‘while awaiting instructions from the Rescue Coordination Centre’, they must ‘take all appropriate measures to ensure the safety of the persons concerned’. </w:t>
      </w:r>
      <w:r w:rsidR="00C57B57" w:rsidRPr="004427CF">
        <w:rPr>
          <w:rFonts w:asciiTheme="minorHAnsi" w:hAnsiTheme="minorHAnsi"/>
          <w:bCs/>
          <w:sz w:val="22"/>
          <w:szCs w:val="22"/>
        </w:rPr>
        <w:t>Although this may guarantee that participating units remain alert also in situations not requiring immediate action,</w:t>
      </w:r>
      <w:r w:rsidR="000C6EA9" w:rsidRPr="004427CF">
        <w:rPr>
          <w:rFonts w:asciiTheme="minorHAnsi" w:hAnsiTheme="minorHAnsi"/>
          <w:bCs/>
          <w:sz w:val="22"/>
          <w:szCs w:val="22"/>
        </w:rPr>
        <w:t xml:space="preserve"> </w:t>
      </w:r>
      <w:r w:rsidR="00581CA4" w:rsidRPr="004427CF">
        <w:rPr>
          <w:rFonts w:asciiTheme="minorHAnsi" w:hAnsiTheme="minorHAnsi"/>
          <w:bCs/>
          <w:sz w:val="22"/>
          <w:szCs w:val="22"/>
        </w:rPr>
        <w:t xml:space="preserve">the Regulation fails to specify when rescue </w:t>
      </w:r>
      <w:r w:rsidR="00C57B57" w:rsidRPr="004427CF">
        <w:rPr>
          <w:rFonts w:asciiTheme="minorHAnsi" w:hAnsiTheme="minorHAnsi"/>
          <w:bCs/>
          <w:sz w:val="22"/>
          <w:szCs w:val="22"/>
        </w:rPr>
        <w:t>operations must be initiated</w:t>
      </w:r>
      <w:r w:rsidR="00581CA4" w:rsidRPr="004427CF">
        <w:rPr>
          <w:rFonts w:asciiTheme="minorHAnsi" w:hAnsiTheme="minorHAnsi"/>
          <w:bCs/>
          <w:sz w:val="22"/>
          <w:szCs w:val="22"/>
        </w:rPr>
        <w:t xml:space="preserve">. It assigns primary responsibility for such a decision to the Rescue Coordination Centre, and puts participating unites under the vaguely formulated residual obligation to take appropriate measures to ensure safety.  Hence, the Regulation </w:t>
      </w:r>
      <w:r w:rsidR="00C57B57" w:rsidRPr="004427CF">
        <w:rPr>
          <w:rFonts w:asciiTheme="minorHAnsi" w:hAnsiTheme="minorHAnsi"/>
          <w:bCs/>
          <w:sz w:val="22"/>
          <w:szCs w:val="22"/>
        </w:rPr>
        <w:t>leaves it to each Rescue Coordination Centre and participating unit to decide whether it is appropriate to remove every</w:t>
      </w:r>
      <w:r w:rsidR="00581CA4" w:rsidRPr="004427CF">
        <w:rPr>
          <w:rFonts w:asciiTheme="minorHAnsi" w:hAnsiTheme="minorHAnsi"/>
          <w:bCs/>
          <w:sz w:val="22"/>
          <w:szCs w:val="22"/>
        </w:rPr>
        <w:t xml:space="preserve"> overloaded and unseaworthy vessel </w:t>
      </w:r>
      <w:r w:rsidR="00C57B57" w:rsidRPr="004427CF">
        <w:rPr>
          <w:rFonts w:asciiTheme="minorHAnsi" w:hAnsiTheme="minorHAnsi"/>
          <w:bCs/>
          <w:sz w:val="22"/>
          <w:szCs w:val="22"/>
        </w:rPr>
        <w:t xml:space="preserve">from the sea </w:t>
      </w:r>
      <w:r w:rsidR="00581CA4" w:rsidRPr="004427CF">
        <w:rPr>
          <w:rFonts w:asciiTheme="minorHAnsi" w:hAnsiTheme="minorHAnsi"/>
          <w:bCs/>
          <w:sz w:val="22"/>
          <w:szCs w:val="22"/>
        </w:rPr>
        <w:t>as</w:t>
      </w:r>
      <w:r w:rsidR="00C57B57" w:rsidRPr="004427CF">
        <w:rPr>
          <w:rFonts w:asciiTheme="minorHAnsi" w:hAnsiTheme="minorHAnsi"/>
          <w:bCs/>
          <w:sz w:val="22"/>
          <w:szCs w:val="22"/>
        </w:rPr>
        <w:t xml:space="preserve"> soon as</w:t>
      </w:r>
      <w:r w:rsidR="00581CA4" w:rsidRPr="004427CF">
        <w:rPr>
          <w:rFonts w:asciiTheme="minorHAnsi" w:hAnsiTheme="minorHAnsi"/>
          <w:bCs/>
          <w:sz w:val="22"/>
          <w:szCs w:val="22"/>
        </w:rPr>
        <w:t xml:space="preserve"> it leaves port, or </w:t>
      </w:r>
      <w:r w:rsidR="00C57B57" w:rsidRPr="004427CF">
        <w:rPr>
          <w:rFonts w:asciiTheme="minorHAnsi" w:hAnsiTheme="minorHAnsi"/>
          <w:bCs/>
          <w:sz w:val="22"/>
          <w:szCs w:val="22"/>
        </w:rPr>
        <w:t xml:space="preserve">to come into action only when a boat is </w:t>
      </w:r>
      <w:r w:rsidR="00581CA4" w:rsidRPr="004427CF">
        <w:rPr>
          <w:rFonts w:asciiTheme="minorHAnsi" w:hAnsiTheme="minorHAnsi"/>
          <w:bCs/>
          <w:sz w:val="22"/>
          <w:szCs w:val="22"/>
        </w:rPr>
        <w:t>actually sinking.</w:t>
      </w:r>
    </w:p>
    <w:p w:rsidR="00D61EA3" w:rsidRPr="004427CF" w:rsidRDefault="00691630" w:rsidP="00B80CBE">
      <w:pPr>
        <w:spacing w:line="276" w:lineRule="auto"/>
        <w:ind w:firstLine="720"/>
        <w:rPr>
          <w:rFonts w:asciiTheme="minorHAnsi" w:hAnsiTheme="minorHAnsi"/>
          <w:bCs/>
          <w:sz w:val="22"/>
          <w:szCs w:val="22"/>
        </w:rPr>
      </w:pPr>
      <w:r w:rsidRPr="004427CF">
        <w:rPr>
          <w:rFonts w:asciiTheme="minorHAnsi" w:hAnsiTheme="minorHAnsi"/>
          <w:bCs/>
          <w:sz w:val="22"/>
          <w:szCs w:val="22"/>
        </w:rPr>
        <w:t xml:space="preserve">Neither does the Regulation provide clarity on what ‘a place of safety’ is. It holds that the Member State hosting the </w:t>
      </w:r>
      <w:proofErr w:type="spellStart"/>
      <w:r w:rsidRPr="004427CF">
        <w:rPr>
          <w:rFonts w:asciiTheme="minorHAnsi" w:hAnsiTheme="minorHAnsi"/>
          <w:bCs/>
          <w:sz w:val="22"/>
          <w:szCs w:val="22"/>
        </w:rPr>
        <w:t>Frontex</w:t>
      </w:r>
      <w:proofErr w:type="spellEnd"/>
      <w:r w:rsidRPr="004427CF">
        <w:rPr>
          <w:rFonts w:asciiTheme="minorHAnsi" w:hAnsiTheme="minorHAnsi"/>
          <w:bCs/>
          <w:sz w:val="22"/>
          <w:szCs w:val="22"/>
        </w:rPr>
        <w:t xml:space="preserve"> mission and the other participating Member States shall cooperate with the responsible Rescue Coordination Centre to identify a place of safety after a rescue operation.</w:t>
      </w:r>
      <w:r w:rsidRPr="004427CF">
        <w:rPr>
          <w:rStyle w:val="FootnoteReference"/>
          <w:rFonts w:asciiTheme="minorHAnsi" w:hAnsiTheme="minorHAnsi"/>
          <w:bCs/>
          <w:sz w:val="22"/>
          <w:szCs w:val="22"/>
        </w:rPr>
        <w:footnoteReference w:id="70"/>
      </w:r>
      <w:r w:rsidRPr="004427CF">
        <w:rPr>
          <w:rFonts w:asciiTheme="minorHAnsi" w:hAnsiTheme="minorHAnsi"/>
          <w:bCs/>
          <w:sz w:val="22"/>
          <w:szCs w:val="22"/>
        </w:rPr>
        <w:t xml:space="preserve"> The Rescue Coordination Centre shall then designate a place of safety. </w:t>
      </w:r>
      <w:r w:rsidR="00D61EA3" w:rsidRPr="004427CF">
        <w:rPr>
          <w:rFonts w:asciiTheme="minorHAnsi" w:hAnsiTheme="minorHAnsi"/>
          <w:bCs/>
          <w:sz w:val="22"/>
          <w:szCs w:val="22"/>
        </w:rPr>
        <w:t>Importantly, however, i</w:t>
      </w:r>
      <w:r w:rsidRPr="004427CF">
        <w:rPr>
          <w:rFonts w:asciiTheme="minorHAnsi" w:hAnsiTheme="minorHAnsi"/>
          <w:bCs/>
          <w:sz w:val="22"/>
          <w:szCs w:val="22"/>
        </w:rPr>
        <w:t xml:space="preserve">n case </w:t>
      </w:r>
      <w:r w:rsidR="005645AB" w:rsidRPr="004427CF">
        <w:rPr>
          <w:rFonts w:asciiTheme="minorHAnsi" w:hAnsiTheme="minorHAnsi"/>
          <w:bCs/>
          <w:sz w:val="22"/>
          <w:szCs w:val="22"/>
        </w:rPr>
        <w:t>a place of safety</w:t>
      </w:r>
      <w:r w:rsidRPr="004427CF">
        <w:rPr>
          <w:rFonts w:asciiTheme="minorHAnsi" w:hAnsiTheme="minorHAnsi"/>
          <w:bCs/>
          <w:sz w:val="22"/>
          <w:szCs w:val="22"/>
        </w:rPr>
        <w:t xml:space="preserve"> cannot be agreed on </w:t>
      </w:r>
      <w:r w:rsidR="00D61EA3" w:rsidRPr="004427CF">
        <w:rPr>
          <w:rFonts w:asciiTheme="minorHAnsi" w:hAnsiTheme="minorHAnsi"/>
          <w:bCs/>
          <w:sz w:val="22"/>
          <w:szCs w:val="22"/>
        </w:rPr>
        <w:t>‘</w:t>
      </w:r>
      <w:r w:rsidRPr="004427CF">
        <w:rPr>
          <w:rFonts w:asciiTheme="minorHAnsi" w:hAnsiTheme="minorHAnsi"/>
          <w:bCs/>
          <w:sz w:val="22"/>
          <w:szCs w:val="22"/>
        </w:rPr>
        <w:t>as soon as reasonably practicable</w:t>
      </w:r>
      <w:r w:rsidR="00D61EA3" w:rsidRPr="004427CF">
        <w:rPr>
          <w:rFonts w:asciiTheme="minorHAnsi" w:hAnsiTheme="minorHAnsi"/>
          <w:bCs/>
          <w:sz w:val="22"/>
          <w:szCs w:val="22"/>
        </w:rPr>
        <w:t>’</w:t>
      </w:r>
      <w:r w:rsidRPr="004427CF">
        <w:rPr>
          <w:rFonts w:asciiTheme="minorHAnsi" w:hAnsiTheme="minorHAnsi"/>
          <w:bCs/>
          <w:sz w:val="22"/>
          <w:szCs w:val="22"/>
        </w:rPr>
        <w:t xml:space="preserve">, </w:t>
      </w:r>
      <w:r w:rsidR="00D61EA3" w:rsidRPr="004427CF">
        <w:rPr>
          <w:rFonts w:asciiTheme="minorHAnsi" w:hAnsiTheme="minorHAnsi"/>
          <w:bCs/>
          <w:sz w:val="22"/>
          <w:szCs w:val="22"/>
        </w:rPr>
        <w:t xml:space="preserve">the Regulation provides as residual rule that </w:t>
      </w:r>
      <w:r w:rsidRPr="004427CF">
        <w:rPr>
          <w:rFonts w:asciiTheme="minorHAnsi" w:hAnsiTheme="minorHAnsi"/>
          <w:bCs/>
          <w:sz w:val="22"/>
          <w:szCs w:val="22"/>
        </w:rPr>
        <w:t xml:space="preserve">disembarkation </w:t>
      </w:r>
      <w:r w:rsidR="00D61EA3" w:rsidRPr="004427CF">
        <w:rPr>
          <w:rFonts w:asciiTheme="minorHAnsi" w:hAnsiTheme="minorHAnsi"/>
          <w:bCs/>
          <w:sz w:val="22"/>
          <w:szCs w:val="22"/>
        </w:rPr>
        <w:t xml:space="preserve">should </w:t>
      </w:r>
      <w:r w:rsidRPr="004427CF">
        <w:rPr>
          <w:rFonts w:asciiTheme="minorHAnsi" w:hAnsiTheme="minorHAnsi"/>
          <w:bCs/>
          <w:sz w:val="22"/>
          <w:szCs w:val="22"/>
        </w:rPr>
        <w:t>occur in the host Member State.</w:t>
      </w:r>
      <w:r w:rsidRPr="004427CF">
        <w:rPr>
          <w:rStyle w:val="FootnoteReference"/>
          <w:rFonts w:asciiTheme="minorHAnsi" w:hAnsiTheme="minorHAnsi"/>
          <w:bCs/>
          <w:sz w:val="22"/>
          <w:szCs w:val="22"/>
        </w:rPr>
        <w:footnoteReference w:id="71"/>
      </w:r>
      <w:r w:rsidRPr="004427CF">
        <w:rPr>
          <w:rFonts w:asciiTheme="minorHAnsi" w:hAnsiTheme="minorHAnsi"/>
          <w:bCs/>
          <w:sz w:val="22"/>
          <w:szCs w:val="22"/>
        </w:rPr>
        <w:t xml:space="preserve"> </w:t>
      </w:r>
      <w:r w:rsidR="00D61EA3" w:rsidRPr="004427CF">
        <w:rPr>
          <w:rFonts w:asciiTheme="minorHAnsi" w:hAnsiTheme="minorHAnsi"/>
          <w:bCs/>
          <w:sz w:val="22"/>
          <w:szCs w:val="22"/>
        </w:rPr>
        <w:t xml:space="preserve">That rule goes some way in addressing the frequent controversies between Member States over allowing rescued migrants entry into a port. However, Malta has always firmly </w:t>
      </w:r>
      <w:r w:rsidR="00D61EA3" w:rsidRPr="004427CF">
        <w:rPr>
          <w:rFonts w:asciiTheme="minorHAnsi" w:hAnsiTheme="minorHAnsi"/>
          <w:bCs/>
          <w:sz w:val="22"/>
          <w:szCs w:val="22"/>
        </w:rPr>
        <w:lastRenderedPageBreak/>
        <w:t>resisted such a rule (which already existed in the previous non-binding guidelines) and for that reason refuse</w:t>
      </w:r>
      <w:r w:rsidR="00505D8C" w:rsidRPr="004427CF">
        <w:rPr>
          <w:rFonts w:asciiTheme="minorHAnsi" w:hAnsiTheme="minorHAnsi"/>
          <w:bCs/>
          <w:sz w:val="22"/>
          <w:szCs w:val="22"/>
        </w:rPr>
        <w:t>s</w:t>
      </w:r>
      <w:r w:rsidR="00D61EA3" w:rsidRPr="004427CF">
        <w:rPr>
          <w:rFonts w:asciiTheme="minorHAnsi" w:hAnsiTheme="minorHAnsi"/>
          <w:bCs/>
          <w:sz w:val="22"/>
          <w:szCs w:val="22"/>
        </w:rPr>
        <w:t xml:space="preserve"> to host any </w:t>
      </w:r>
      <w:proofErr w:type="spellStart"/>
      <w:r w:rsidR="00D61EA3" w:rsidRPr="004427CF">
        <w:rPr>
          <w:rFonts w:asciiTheme="minorHAnsi" w:hAnsiTheme="minorHAnsi"/>
          <w:bCs/>
          <w:sz w:val="22"/>
          <w:szCs w:val="22"/>
        </w:rPr>
        <w:t>Frontex</w:t>
      </w:r>
      <w:proofErr w:type="spellEnd"/>
      <w:r w:rsidR="00D61EA3" w:rsidRPr="004427CF">
        <w:rPr>
          <w:rFonts w:asciiTheme="minorHAnsi" w:hAnsiTheme="minorHAnsi"/>
          <w:bCs/>
          <w:sz w:val="22"/>
          <w:szCs w:val="22"/>
        </w:rPr>
        <w:t xml:space="preserve"> mission</w:t>
      </w:r>
      <w:r w:rsidR="00050463" w:rsidRPr="004427CF">
        <w:rPr>
          <w:rFonts w:asciiTheme="minorHAnsi" w:hAnsiTheme="minorHAnsi"/>
          <w:bCs/>
          <w:sz w:val="22"/>
          <w:szCs w:val="22"/>
        </w:rPr>
        <w:t xml:space="preserve"> since 2010</w:t>
      </w:r>
      <w:r w:rsidR="00D61EA3" w:rsidRPr="004427CF">
        <w:rPr>
          <w:rFonts w:asciiTheme="minorHAnsi" w:hAnsiTheme="minorHAnsi"/>
          <w:bCs/>
          <w:sz w:val="22"/>
          <w:szCs w:val="22"/>
        </w:rPr>
        <w:t>.</w:t>
      </w:r>
      <w:r w:rsidR="00D61EA3" w:rsidRPr="004427CF">
        <w:rPr>
          <w:rStyle w:val="FootnoteReference"/>
          <w:rFonts w:asciiTheme="minorHAnsi" w:hAnsiTheme="minorHAnsi"/>
          <w:bCs/>
          <w:sz w:val="22"/>
          <w:szCs w:val="22"/>
        </w:rPr>
        <w:footnoteReference w:id="72"/>
      </w:r>
    </w:p>
    <w:p w:rsidR="005E23FC" w:rsidRPr="004427CF" w:rsidRDefault="005645AB" w:rsidP="00B80CBE">
      <w:pPr>
        <w:spacing w:line="276" w:lineRule="auto"/>
        <w:ind w:firstLine="720"/>
        <w:rPr>
          <w:rFonts w:asciiTheme="minorHAnsi" w:hAnsiTheme="minorHAnsi" w:cs="Arial"/>
          <w:sz w:val="22"/>
          <w:szCs w:val="22"/>
          <w:shd w:val="clear" w:color="auto" w:fill="FFFFFF"/>
        </w:rPr>
      </w:pPr>
      <w:r w:rsidRPr="004427CF">
        <w:rPr>
          <w:rFonts w:asciiTheme="minorHAnsi" w:hAnsiTheme="minorHAnsi"/>
          <w:bCs/>
          <w:sz w:val="22"/>
          <w:szCs w:val="22"/>
        </w:rPr>
        <w:t xml:space="preserve">The freedom of Malta to simply ignore the common EU rules </w:t>
      </w:r>
      <w:r w:rsidR="00050463" w:rsidRPr="004427CF">
        <w:rPr>
          <w:rFonts w:asciiTheme="minorHAnsi" w:hAnsiTheme="minorHAnsi"/>
          <w:bCs/>
          <w:sz w:val="22"/>
          <w:szCs w:val="22"/>
        </w:rPr>
        <w:t>in this manner</w:t>
      </w:r>
      <w:r w:rsidRPr="004427CF">
        <w:rPr>
          <w:rFonts w:asciiTheme="minorHAnsi" w:hAnsiTheme="minorHAnsi"/>
          <w:bCs/>
          <w:sz w:val="22"/>
          <w:szCs w:val="22"/>
        </w:rPr>
        <w:t xml:space="preserve"> lays bare </w:t>
      </w:r>
      <w:r w:rsidR="004A0AE0" w:rsidRPr="004427CF">
        <w:rPr>
          <w:rFonts w:asciiTheme="minorHAnsi" w:hAnsiTheme="minorHAnsi"/>
          <w:bCs/>
          <w:sz w:val="22"/>
          <w:szCs w:val="22"/>
        </w:rPr>
        <w:t>the</w:t>
      </w:r>
      <w:r w:rsidRPr="004427CF">
        <w:rPr>
          <w:rFonts w:asciiTheme="minorHAnsi" w:hAnsiTheme="minorHAnsi"/>
          <w:bCs/>
          <w:sz w:val="22"/>
          <w:szCs w:val="22"/>
        </w:rPr>
        <w:t xml:space="preserve"> more fundamental issue</w:t>
      </w:r>
      <w:r w:rsidR="004A0AE0" w:rsidRPr="004427CF">
        <w:rPr>
          <w:rFonts w:asciiTheme="minorHAnsi" w:hAnsiTheme="minorHAnsi"/>
          <w:bCs/>
          <w:sz w:val="22"/>
          <w:szCs w:val="22"/>
        </w:rPr>
        <w:t xml:space="preserve"> of how to ensure common action and Member State solidarity in the area of external border control</w:t>
      </w:r>
      <w:r w:rsidRPr="004427CF">
        <w:rPr>
          <w:rFonts w:asciiTheme="minorHAnsi" w:hAnsiTheme="minorHAnsi"/>
          <w:bCs/>
          <w:sz w:val="22"/>
          <w:szCs w:val="22"/>
        </w:rPr>
        <w:t xml:space="preserve">. </w:t>
      </w:r>
      <w:proofErr w:type="spellStart"/>
      <w:r w:rsidR="00C57B57" w:rsidRPr="004427CF">
        <w:rPr>
          <w:rFonts w:asciiTheme="minorHAnsi" w:hAnsiTheme="minorHAnsi"/>
          <w:bCs/>
          <w:sz w:val="22"/>
          <w:szCs w:val="22"/>
        </w:rPr>
        <w:t>Frontex</w:t>
      </w:r>
      <w:proofErr w:type="spellEnd"/>
      <w:r w:rsidR="00C57B57" w:rsidRPr="004427CF">
        <w:rPr>
          <w:rFonts w:asciiTheme="minorHAnsi" w:hAnsiTheme="minorHAnsi"/>
          <w:bCs/>
          <w:sz w:val="22"/>
          <w:szCs w:val="22"/>
        </w:rPr>
        <w:t xml:space="preserve"> pool of assets and border guards is made up of voluntary contributions of Member States. </w:t>
      </w:r>
      <w:r w:rsidR="004A0AE0" w:rsidRPr="004427CF">
        <w:rPr>
          <w:rFonts w:asciiTheme="minorHAnsi" w:hAnsiTheme="minorHAnsi"/>
          <w:bCs/>
          <w:sz w:val="22"/>
          <w:szCs w:val="22"/>
        </w:rPr>
        <w:t>T</w:t>
      </w:r>
      <w:r w:rsidRPr="004427CF">
        <w:rPr>
          <w:rFonts w:asciiTheme="minorHAnsi" w:hAnsiTheme="minorHAnsi"/>
          <w:bCs/>
          <w:sz w:val="22"/>
          <w:szCs w:val="22"/>
        </w:rPr>
        <w:t xml:space="preserve">he voluntary character of Member State participation </w:t>
      </w:r>
      <w:r w:rsidR="004A0AE0" w:rsidRPr="004427CF">
        <w:rPr>
          <w:rFonts w:asciiTheme="minorHAnsi" w:hAnsiTheme="minorHAnsi"/>
          <w:bCs/>
          <w:sz w:val="22"/>
          <w:szCs w:val="22"/>
        </w:rPr>
        <w:t xml:space="preserve">has obvious consequences for </w:t>
      </w:r>
      <w:proofErr w:type="spellStart"/>
      <w:r w:rsidR="004A0AE0" w:rsidRPr="004427CF">
        <w:rPr>
          <w:rFonts w:asciiTheme="minorHAnsi" w:hAnsiTheme="minorHAnsi"/>
          <w:bCs/>
          <w:sz w:val="22"/>
          <w:szCs w:val="22"/>
        </w:rPr>
        <w:t>Frontex</w:t>
      </w:r>
      <w:proofErr w:type="spellEnd"/>
      <w:r w:rsidR="004A0AE0" w:rsidRPr="004427CF">
        <w:rPr>
          <w:rFonts w:asciiTheme="minorHAnsi" w:hAnsiTheme="minorHAnsi"/>
          <w:bCs/>
          <w:sz w:val="22"/>
          <w:szCs w:val="22"/>
        </w:rPr>
        <w:t xml:space="preserve">’ effectiveness. </w:t>
      </w:r>
      <w:r w:rsidR="00B12577" w:rsidRPr="004427CF">
        <w:rPr>
          <w:rFonts w:asciiTheme="minorHAnsi" w:hAnsiTheme="minorHAnsi"/>
          <w:bCs/>
          <w:sz w:val="22"/>
          <w:szCs w:val="22"/>
        </w:rPr>
        <w:t xml:space="preserve">According to </w:t>
      </w:r>
      <w:proofErr w:type="spellStart"/>
      <w:r w:rsidR="00B12577" w:rsidRPr="004427CF">
        <w:rPr>
          <w:rFonts w:asciiTheme="minorHAnsi" w:hAnsiTheme="minorHAnsi"/>
          <w:bCs/>
          <w:sz w:val="22"/>
          <w:szCs w:val="22"/>
        </w:rPr>
        <w:t>Frontex</w:t>
      </w:r>
      <w:proofErr w:type="spellEnd"/>
      <w:r w:rsidR="00B12577" w:rsidRPr="004427CF">
        <w:rPr>
          <w:rFonts w:asciiTheme="minorHAnsi" w:hAnsiTheme="minorHAnsi"/>
          <w:bCs/>
          <w:sz w:val="22"/>
          <w:szCs w:val="22"/>
        </w:rPr>
        <w:t xml:space="preserve">’ former director, the dependence of </w:t>
      </w:r>
      <w:proofErr w:type="spellStart"/>
      <w:r w:rsidR="00B12577" w:rsidRPr="004427CF">
        <w:rPr>
          <w:rFonts w:asciiTheme="minorHAnsi" w:hAnsiTheme="minorHAnsi"/>
          <w:bCs/>
          <w:sz w:val="22"/>
          <w:szCs w:val="22"/>
        </w:rPr>
        <w:t>Frontex</w:t>
      </w:r>
      <w:proofErr w:type="spellEnd"/>
      <w:r w:rsidR="00B12577" w:rsidRPr="004427CF">
        <w:rPr>
          <w:rFonts w:asciiTheme="minorHAnsi" w:hAnsiTheme="minorHAnsi"/>
          <w:bCs/>
          <w:sz w:val="22"/>
          <w:szCs w:val="22"/>
        </w:rPr>
        <w:t xml:space="preserve"> on voluntary contributions of Member States compromises its ability to fulfil its mandate.</w:t>
      </w:r>
      <w:r w:rsidR="00B12577" w:rsidRPr="004427CF">
        <w:rPr>
          <w:rStyle w:val="FootnoteReference"/>
          <w:rFonts w:asciiTheme="minorHAnsi" w:hAnsiTheme="minorHAnsi"/>
          <w:bCs/>
          <w:sz w:val="22"/>
          <w:szCs w:val="22"/>
        </w:rPr>
        <w:footnoteReference w:id="73"/>
      </w:r>
      <w:r w:rsidR="00B12577" w:rsidRPr="004427CF">
        <w:rPr>
          <w:rFonts w:asciiTheme="minorHAnsi" w:hAnsiTheme="minorHAnsi"/>
          <w:bCs/>
          <w:sz w:val="22"/>
          <w:szCs w:val="22"/>
        </w:rPr>
        <w:t xml:space="preserve"> </w:t>
      </w:r>
      <w:r w:rsidR="007C5645" w:rsidRPr="004427CF">
        <w:rPr>
          <w:rFonts w:asciiTheme="minorHAnsi" w:hAnsiTheme="minorHAnsi"/>
          <w:bCs/>
          <w:sz w:val="22"/>
          <w:szCs w:val="22"/>
        </w:rPr>
        <w:t xml:space="preserve">Moreover, </w:t>
      </w:r>
      <w:r w:rsidR="004A0AE0" w:rsidRPr="004427CF">
        <w:rPr>
          <w:rFonts w:asciiTheme="minorHAnsi" w:hAnsiTheme="minorHAnsi"/>
          <w:bCs/>
          <w:sz w:val="22"/>
          <w:szCs w:val="22"/>
        </w:rPr>
        <w:t xml:space="preserve">it </w:t>
      </w:r>
      <w:r w:rsidR="00B10B2F" w:rsidRPr="004427CF">
        <w:rPr>
          <w:rFonts w:asciiTheme="minorHAnsi" w:hAnsiTheme="minorHAnsi"/>
          <w:bCs/>
          <w:sz w:val="22"/>
          <w:szCs w:val="22"/>
        </w:rPr>
        <w:t>fails to</w:t>
      </w:r>
      <w:r w:rsidR="004A0AE0" w:rsidRPr="004427CF">
        <w:rPr>
          <w:rFonts w:asciiTheme="minorHAnsi" w:hAnsiTheme="minorHAnsi"/>
          <w:bCs/>
          <w:sz w:val="22"/>
          <w:szCs w:val="22"/>
        </w:rPr>
        <w:t xml:space="preserve"> </w:t>
      </w:r>
      <w:r w:rsidR="00265F14" w:rsidRPr="004427CF">
        <w:rPr>
          <w:rFonts w:asciiTheme="minorHAnsi" w:hAnsiTheme="minorHAnsi"/>
          <w:bCs/>
          <w:sz w:val="22"/>
          <w:szCs w:val="22"/>
        </w:rPr>
        <w:t>guarantee</w:t>
      </w:r>
      <w:r w:rsidR="007C5645" w:rsidRPr="004427CF">
        <w:rPr>
          <w:rFonts w:asciiTheme="minorHAnsi" w:hAnsiTheme="minorHAnsi"/>
          <w:bCs/>
          <w:sz w:val="22"/>
          <w:szCs w:val="22"/>
        </w:rPr>
        <w:t xml:space="preserve"> that </w:t>
      </w:r>
      <w:r w:rsidR="004A0AE0" w:rsidRPr="004427CF">
        <w:rPr>
          <w:rFonts w:asciiTheme="minorHAnsi" w:hAnsiTheme="minorHAnsi"/>
          <w:bCs/>
          <w:sz w:val="22"/>
          <w:szCs w:val="22"/>
        </w:rPr>
        <w:t xml:space="preserve">a </w:t>
      </w:r>
      <w:r w:rsidR="007C5645" w:rsidRPr="004427CF">
        <w:rPr>
          <w:rFonts w:asciiTheme="minorHAnsi" w:hAnsiTheme="minorHAnsi"/>
          <w:bCs/>
          <w:sz w:val="22"/>
          <w:szCs w:val="22"/>
        </w:rPr>
        <w:t xml:space="preserve">Member State facing particular pressure at </w:t>
      </w:r>
      <w:r w:rsidR="004A0AE0" w:rsidRPr="004427CF">
        <w:rPr>
          <w:rFonts w:asciiTheme="minorHAnsi" w:hAnsiTheme="minorHAnsi"/>
          <w:bCs/>
          <w:sz w:val="22"/>
          <w:szCs w:val="22"/>
        </w:rPr>
        <w:t>its</w:t>
      </w:r>
      <w:r w:rsidR="007C5645" w:rsidRPr="004427CF">
        <w:rPr>
          <w:rFonts w:asciiTheme="minorHAnsi" w:hAnsiTheme="minorHAnsi"/>
          <w:bCs/>
          <w:sz w:val="22"/>
          <w:szCs w:val="22"/>
        </w:rPr>
        <w:t xml:space="preserve"> external borders</w:t>
      </w:r>
      <w:r w:rsidR="00265F14" w:rsidRPr="004427CF">
        <w:rPr>
          <w:rFonts w:asciiTheme="minorHAnsi" w:hAnsiTheme="minorHAnsi"/>
          <w:bCs/>
          <w:sz w:val="22"/>
          <w:szCs w:val="22"/>
        </w:rPr>
        <w:t xml:space="preserve"> </w:t>
      </w:r>
      <w:r w:rsidR="004A0AE0" w:rsidRPr="004427CF">
        <w:rPr>
          <w:rFonts w:asciiTheme="minorHAnsi" w:hAnsiTheme="minorHAnsi"/>
          <w:bCs/>
          <w:sz w:val="22"/>
          <w:szCs w:val="22"/>
        </w:rPr>
        <w:t xml:space="preserve">is </w:t>
      </w:r>
      <w:r w:rsidR="007C5645" w:rsidRPr="004427CF">
        <w:rPr>
          <w:rFonts w:asciiTheme="minorHAnsi" w:hAnsiTheme="minorHAnsi"/>
          <w:bCs/>
          <w:sz w:val="22"/>
          <w:szCs w:val="22"/>
        </w:rPr>
        <w:t>appropriately assisted.</w:t>
      </w:r>
      <w:r w:rsidR="004A0AE0" w:rsidRPr="004427CF">
        <w:rPr>
          <w:rFonts w:asciiTheme="minorHAnsi" w:hAnsiTheme="minorHAnsi"/>
          <w:bCs/>
          <w:sz w:val="22"/>
          <w:szCs w:val="22"/>
        </w:rPr>
        <w:t xml:space="preserve"> </w:t>
      </w:r>
      <w:r w:rsidR="00C57B57" w:rsidRPr="004427CF">
        <w:rPr>
          <w:rFonts w:asciiTheme="minorHAnsi" w:hAnsiTheme="minorHAnsi"/>
          <w:bCs/>
          <w:sz w:val="22"/>
          <w:szCs w:val="22"/>
        </w:rPr>
        <w:t xml:space="preserve">Apart from Malta’s refusal to host </w:t>
      </w:r>
      <w:proofErr w:type="spellStart"/>
      <w:r w:rsidR="00C57B57" w:rsidRPr="004427CF">
        <w:rPr>
          <w:rFonts w:asciiTheme="minorHAnsi" w:hAnsiTheme="minorHAnsi"/>
          <w:bCs/>
          <w:sz w:val="22"/>
          <w:szCs w:val="22"/>
        </w:rPr>
        <w:t>Frontex</w:t>
      </w:r>
      <w:proofErr w:type="spellEnd"/>
      <w:r w:rsidR="00C57B57" w:rsidRPr="004427CF">
        <w:rPr>
          <w:rFonts w:asciiTheme="minorHAnsi" w:hAnsiTheme="minorHAnsi"/>
          <w:bCs/>
          <w:sz w:val="22"/>
          <w:szCs w:val="22"/>
        </w:rPr>
        <w:t xml:space="preserve"> missions, the United Kingdom has now also </w:t>
      </w:r>
      <w:r w:rsidR="004A0AE0" w:rsidRPr="004427CF">
        <w:rPr>
          <w:rFonts w:asciiTheme="minorHAnsi" w:hAnsiTheme="minorHAnsi"/>
          <w:bCs/>
          <w:sz w:val="22"/>
          <w:szCs w:val="22"/>
        </w:rPr>
        <w:t>announce</w:t>
      </w:r>
      <w:r w:rsidR="00C57B57" w:rsidRPr="004427CF">
        <w:rPr>
          <w:rFonts w:asciiTheme="minorHAnsi" w:hAnsiTheme="minorHAnsi"/>
          <w:bCs/>
          <w:sz w:val="22"/>
          <w:szCs w:val="22"/>
        </w:rPr>
        <w:t>d that it would</w:t>
      </w:r>
      <w:r w:rsidR="004A0AE0" w:rsidRPr="004427CF">
        <w:rPr>
          <w:rFonts w:asciiTheme="minorHAnsi" w:hAnsiTheme="minorHAnsi"/>
          <w:bCs/>
          <w:sz w:val="22"/>
          <w:szCs w:val="22"/>
        </w:rPr>
        <w:t xml:space="preserve"> no longer participate in </w:t>
      </w:r>
      <w:r w:rsidR="004A0AE0" w:rsidRPr="004427CF">
        <w:rPr>
          <w:rFonts w:asciiTheme="minorHAnsi" w:hAnsiTheme="minorHAnsi" w:cs="Arial"/>
          <w:bCs/>
          <w:sz w:val="22"/>
          <w:szCs w:val="22"/>
          <w:shd w:val="clear" w:color="auto" w:fill="FFFFFF"/>
        </w:rPr>
        <w:t>search and rescue operations</w:t>
      </w:r>
      <w:r w:rsidR="004A0AE0" w:rsidRPr="004427CF">
        <w:rPr>
          <w:rStyle w:val="apple-converted-space"/>
          <w:rFonts w:asciiTheme="minorHAnsi" w:hAnsiTheme="minorHAnsi" w:cs="Arial"/>
          <w:bCs/>
          <w:sz w:val="22"/>
          <w:szCs w:val="22"/>
          <w:shd w:val="clear" w:color="auto" w:fill="FFFFFF"/>
        </w:rPr>
        <w:t> in the Mediterranean.</w:t>
      </w:r>
      <w:r w:rsidR="00664858" w:rsidRPr="004427CF">
        <w:rPr>
          <w:rStyle w:val="FootnoteReference"/>
          <w:rFonts w:asciiTheme="minorHAnsi" w:hAnsiTheme="minorHAnsi"/>
          <w:bCs/>
          <w:sz w:val="22"/>
          <w:szCs w:val="22"/>
        </w:rPr>
        <w:t xml:space="preserve"> </w:t>
      </w:r>
      <w:r w:rsidR="00664858" w:rsidRPr="004427CF">
        <w:rPr>
          <w:rStyle w:val="FootnoteReference"/>
          <w:rFonts w:asciiTheme="minorHAnsi" w:hAnsiTheme="minorHAnsi"/>
          <w:bCs/>
          <w:sz w:val="22"/>
          <w:szCs w:val="22"/>
        </w:rPr>
        <w:footnoteReference w:id="74"/>
      </w:r>
      <w:r w:rsidR="004A0AE0" w:rsidRPr="004427CF">
        <w:rPr>
          <w:rStyle w:val="apple-converted-space"/>
          <w:rFonts w:asciiTheme="minorHAnsi" w:hAnsiTheme="minorHAnsi" w:cs="Arial"/>
          <w:bCs/>
          <w:sz w:val="22"/>
          <w:szCs w:val="22"/>
          <w:shd w:val="clear" w:color="auto" w:fill="FFFFFF"/>
        </w:rPr>
        <w:t xml:space="preserve"> </w:t>
      </w:r>
      <w:r w:rsidR="00664858" w:rsidRPr="004427CF">
        <w:rPr>
          <w:rFonts w:asciiTheme="minorHAnsi" w:hAnsiTheme="minorHAnsi"/>
          <w:bCs/>
          <w:sz w:val="22"/>
          <w:szCs w:val="22"/>
        </w:rPr>
        <w:t xml:space="preserve">The United Kingdom, despite being outside Schengen, </w:t>
      </w:r>
      <w:r w:rsidR="00C57B57" w:rsidRPr="004427CF">
        <w:rPr>
          <w:rFonts w:asciiTheme="minorHAnsi" w:hAnsiTheme="minorHAnsi"/>
          <w:bCs/>
          <w:sz w:val="22"/>
          <w:szCs w:val="22"/>
        </w:rPr>
        <w:t>did</w:t>
      </w:r>
      <w:r w:rsidR="00664858" w:rsidRPr="004427CF">
        <w:rPr>
          <w:rFonts w:asciiTheme="minorHAnsi" w:hAnsiTheme="minorHAnsi"/>
          <w:bCs/>
          <w:sz w:val="22"/>
          <w:szCs w:val="22"/>
        </w:rPr>
        <w:t xml:space="preserve"> participat</w:t>
      </w:r>
      <w:r w:rsidR="00C57B57" w:rsidRPr="004427CF">
        <w:rPr>
          <w:rFonts w:asciiTheme="minorHAnsi" w:hAnsiTheme="minorHAnsi"/>
          <w:bCs/>
          <w:sz w:val="22"/>
          <w:szCs w:val="22"/>
        </w:rPr>
        <w:t>e</w:t>
      </w:r>
      <w:r w:rsidR="00664858" w:rsidRPr="004427CF">
        <w:rPr>
          <w:rFonts w:asciiTheme="minorHAnsi" w:hAnsiTheme="minorHAnsi"/>
          <w:bCs/>
          <w:sz w:val="22"/>
          <w:szCs w:val="22"/>
        </w:rPr>
        <w:t xml:space="preserve"> in most </w:t>
      </w:r>
      <w:proofErr w:type="spellStart"/>
      <w:r w:rsidR="00664858" w:rsidRPr="004427CF">
        <w:rPr>
          <w:rFonts w:asciiTheme="minorHAnsi" w:hAnsiTheme="minorHAnsi"/>
          <w:bCs/>
          <w:sz w:val="22"/>
          <w:szCs w:val="22"/>
        </w:rPr>
        <w:t>Frontex</w:t>
      </w:r>
      <w:proofErr w:type="spellEnd"/>
      <w:r w:rsidR="00664858" w:rsidRPr="004427CF">
        <w:rPr>
          <w:rFonts w:asciiTheme="minorHAnsi" w:hAnsiTheme="minorHAnsi"/>
          <w:bCs/>
          <w:sz w:val="22"/>
          <w:szCs w:val="22"/>
        </w:rPr>
        <w:t xml:space="preserve"> operations, but </w:t>
      </w:r>
      <w:r w:rsidR="00C57B57" w:rsidRPr="004427CF">
        <w:rPr>
          <w:rFonts w:asciiTheme="minorHAnsi" w:hAnsiTheme="minorHAnsi"/>
          <w:bCs/>
          <w:sz w:val="22"/>
          <w:szCs w:val="22"/>
        </w:rPr>
        <w:t>is principally opposed to</w:t>
      </w:r>
      <w:r w:rsidR="00664858" w:rsidRPr="004427CF">
        <w:rPr>
          <w:rFonts w:asciiTheme="minorHAnsi" w:hAnsiTheme="minorHAnsi"/>
          <w:bCs/>
          <w:sz w:val="22"/>
          <w:szCs w:val="22"/>
        </w:rPr>
        <w:t xml:space="preserve"> Operation Triton, the EU’s successor to Mare Nostrum Operation which is said to have saved the lives of around 150.000 migrants.</w:t>
      </w:r>
      <w:r w:rsidR="00664858" w:rsidRPr="004427CF">
        <w:rPr>
          <w:rStyle w:val="FootnoteReference"/>
          <w:rFonts w:asciiTheme="minorHAnsi" w:hAnsiTheme="minorHAnsi"/>
          <w:bCs/>
          <w:sz w:val="22"/>
          <w:szCs w:val="22"/>
        </w:rPr>
        <w:footnoteReference w:id="75"/>
      </w:r>
      <w:r w:rsidR="00664858" w:rsidRPr="004427CF">
        <w:rPr>
          <w:rFonts w:asciiTheme="minorHAnsi" w:hAnsiTheme="minorHAnsi"/>
          <w:bCs/>
          <w:sz w:val="22"/>
          <w:szCs w:val="22"/>
        </w:rPr>
        <w:t xml:space="preserve"> It is precisely th</w:t>
      </w:r>
      <w:r w:rsidR="00C57B57" w:rsidRPr="004427CF">
        <w:rPr>
          <w:rFonts w:asciiTheme="minorHAnsi" w:hAnsiTheme="minorHAnsi"/>
          <w:bCs/>
          <w:sz w:val="22"/>
          <w:szCs w:val="22"/>
        </w:rPr>
        <w:t>e</w:t>
      </w:r>
      <w:r w:rsidR="00664858" w:rsidRPr="004427CF">
        <w:rPr>
          <w:rFonts w:asciiTheme="minorHAnsi" w:hAnsiTheme="minorHAnsi"/>
          <w:bCs/>
          <w:sz w:val="22"/>
          <w:szCs w:val="22"/>
        </w:rPr>
        <w:t xml:space="preserve"> success of Mare Nostrum </w:t>
      </w:r>
      <w:r w:rsidR="004427CF" w:rsidRPr="004427CF">
        <w:rPr>
          <w:rFonts w:asciiTheme="minorHAnsi" w:hAnsiTheme="minorHAnsi"/>
          <w:bCs/>
          <w:sz w:val="22"/>
          <w:szCs w:val="22"/>
        </w:rPr>
        <w:t xml:space="preserve">in terms of lives saved </w:t>
      </w:r>
      <w:r w:rsidR="00664858" w:rsidRPr="004427CF">
        <w:rPr>
          <w:rFonts w:asciiTheme="minorHAnsi" w:hAnsiTheme="minorHAnsi"/>
          <w:bCs/>
          <w:sz w:val="22"/>
          <w:szCs w:val="22"/>
        </w:rPr>
        <w:t>wh</w:t>
      </w:r>
      <w:r w:rsidR="005E23FC" w:rsidRPr="004427CF">
        <w:rPr>
          <w:rFonts w:asciiTheme="minorHAnsi" w:hAnsiTheme="minorHAnsi"/>
          <w:bCs/>
          <w:sz w:val="22"/>
          <w:szCs w:val="22"/>
        </w:rPr>
        <w:t xml:space="preserve">ich explains </w:t>
      </w:r>
      <w:r w:rsidR="00664858" w:rsidRPr="004427CF">
        <w:rPr>
          <w:rFonts w:asciiTheme="minorHAnsi" w:hAnsiTheme="minorHAnsi"/>
          <w:bCs/>
          <w:sz w:val="22"/>
          <w:szCs w:val="22"/>
        </w:rPr>
        <w:t>the United Kingdom</w:t>
      </w:r>
      <w:r w:rsidR="005E23FC" w:rsidRPr="004427CF">
        <w:rPr>
          <w:rFonts w:asciiTheme="minorHAnsi" w:hAnsiTheme="minorHAnsi"/>
          <w:bCs/>
          <w:sz w:val="22"/>
          <w:szCs w:val="22"/>
        </w:rPr>
        <w:t>’s reluctance</w:t>
      </w:r>
      <w:r w:rsidR="00664858" w:rsidRPr="004427CF">
        <w:rPr>
          <w:rFonts w:asciiTheme="minorHAnsi" w:hAnsiTheme="minorHAnsi"/>
          <w:bCs/>
          <w:sz w:val="22"/>
          <w:szCs w:val="22"/>
        </w:rPr>
        <w:t xml:space="preserve"> to participate. </w:t>
      </w:r>
      <w:r w:rsidR="004427CF" w:rsidRPr="004427CF">
        <w:rPr>
          <w:rFonts w:asciiTheme="minorHAnsi" w:hAnsiTheme="minorHAnsi"/>
          <w:bCs/>
          <w:sz w:val="22"/>
          <w:szCs w:val="22"/>
        </w:rPr>
        <w:t>Just as Malta, t</w:t>
      </w:r>
      <w:r w:rsidR="003F6269" w:rsidRPr="004427CF">
        <w:rPr>
          <w:rFonts w:asciiTheme="minorHAnsi" w:hAnsiTheme="minorHAnsi"/>
          <w:bCs/>
          <w:sz w:val="22"/>
          <w:szCs w:val="22"/>
        </w:rPr>
        <w:t xml:space="preserve">he </w:t>
      </w:r>
      <w:r w:rsidR="004427CF" w:rsidRPr="004427CF">
        <w:rPr>
          <w:rFonts w:asciiTheme="minorHAnsi" w:hAnsiTheme="minorHAnsi"/>
          <w:bCs/>
          <w:sz w:val="22"/>
          <w:szCs w:val="22"/>
        </w:rPr>
        <w:t>UK</w:t>
      </w:r>
      <w:r w:rsidR="003F6269" w:rsidRPr="004427CF">
        <w:rPr>
          <w:rFonts w:asciiTheme="minorHAnsi" w:hAnsiTheme="minorHAnsi"/>
          <w:bCs/>
          <w:sz w:val="22"/>
          <w:szCs w:val="22"/>
        </w:rPr>
        <w:t xml:space="preserve"> government</w:t>
      </w:r>
      <w:r w:rsidR="00664858" w:rsidRPr="004427CF">
        <w:rPr>
          <w:rFonts w:asciiTheme="minorHAnsi" w:hAnsiTheme="minorHAnsi"/>
          <w:bCs/>
          <w:sz w:val="22"/>
          <w:szCs w:val="22"/>
        </w:rPr>
        <w:t xml:space="preserve"> is concerned that </w:t>
      </w:r>
      <w:r w:rsidR="00664858" w:rsidRPr="004427CF">
        <w:rPr>
          <w:rFonts w:asciiTheme="minorHAnsi" w:hAnsiTheme="minorHAnsi" w:cs="Arial"/>
          <w:sz w:val="22"/>
          <w:szCs w:val="22"/>
          <w:shd w:val="clear" w:color="auto" w:fill="FFFFFF"/>
        </w:rPr>
        <w:t>search and rescue operations in the Mediterranean act as a pull factor for illegal migration, only encouraging more people to make the dangerous crossing in the expectation of being rescued.</w:t>
      </w:r>
      <w:r w:rsidR="00B10B2F" w:rsidRPr="004427CF">
        <w:rPr>
          <w:rFonts w:asciiTheme="minorHAnsi" w:hAnsiTheme="minorHAnsi" w:cs="Arial"/>
          <w:sz w:val="22"/>
          <w:szCs w:val="22"/>
          <w:shd w:val="clear" w:color="auto" w:fill="FFFFFF"/>
        </w:rPr>
        <w:t xml:space="preserve"> Th</w:t>
      </w:r>
      <w:r w:rsidR="005E23FC" w:rsidRPr="004427CF">
        <w:rPr>
          <w:rFonts w:asciiTheme="minorHAnsi" w:hAnsiTheme="minorHAnsi" w:cs="Arial"/>
          <w:sz w:val="22"/>
          <w:szCs w:val="22"/>
          <w:shd w:val="clear" w:color="auto" w:fill="FFFFFF"/>
        </w:rPr>
        <w:t>e</w:t>
      </w:r>
      <w:r w:rsidR="00B10B2F" w:rsidRPr="004427CF">
        <w:rPr>
          <w:rFonts w:asciiTheme="minorHAnsi" w:hAnsiTheme="minorHAnsi" w:cs="Arial"/>
          <w:sz w:val="22"/>
          <w:szCs w:val="22"/>
          <w:shd w:val="clear" w:color="auto" w:fill="FFFFFF"/>
        </w:rPr>
        <w:t xml:space="preserve"> discussion </w:t>
      </w:r>
      <w:r w:rsidR="005E23FC" w:rsidRPr="004427CF">
        <w:rPr>
          <w:rFonts w:asciiTheme="minorHAnsi" w:hAnsiTheme="minorHAnsi" w:cs="Arial"/>
          <w:sz w:val="22"/>
          <w:szCs w:val="22"/>
          <w:shd w:val="clear" w:color="auto" w:fill="FFFFFF"/>
        </w:rPr>
        <w:t xml:space="preserve">on Mare Nostrum and Triton </w:t>
      </w:r>
      <w:r w:rsidR="00B10B2F" w:rsidRPr="004427CF">
        <w:rPr>
          <w:rFonts w:asciiTheme="minorHAnsi" w:hAnsiTheme="minorHAnsi" w:cs="Arial"/>
          <w:sz w:val="22"/>
          <w:szCs w:val="22"/>
          <w:shd w:val="clear" w:color="auto" w:fill="FFFFFF"/>
        </w:rPr>
        <w:t>shows</w:t>
      </w:r>
      <w:r w:rsidR="00E504DE" w:rsidRPr="004427CF">
        <w:rPr>
          <w:rFonts w:asciiTheme="minorHAnsi" w:hAnsiTheme="minorHAnsi" w:cs="Arial"/>
          <w:sz w:val="22"/>
          <w:szCs w:val="22"/>
          <w:shd w:val="clear" w:color="auto" w:fill="FFFFFF"/>
        </w:rPr>
        <w:t xml:space="preserve"> that there is not only hardly a common vision on how to approach the very issue of boat migration</w:t>
      </w:r>
      <w:r w:rsidR="00B10B2F" w:rsidRPr="004427CF">
        <w:rPr>
          <w:rFonts w:asciiTheme="minorHAnsi" w:hAnsiTheme="minorHAnsi" w:cs="Arial"/>
          <w:sz w:val="22"/>
          <w:szCs w:val="22"/>
          <w:shd w:val="clear" w:color="auto" w:fill="FFFFFF"/>
        </w:rPr>
        <w:t>,</w:t>
      </w:r>
      <w:r w:rsidR="00E504DE" w:rsidRPr="004427CF">
        <w:rPr>
          <w:rFonts w:asciiTheme="minorHAnsi" w:hAnsiTheme="minorHAnsi" w:cs="Arial"/>
          <w:sz w:val="22"/>
          <w:szCs w:val="22"/>
          <w:shd w:val="clear" w:color="auto" w:fill="FFFFFF"/>
        </w:rPr>
        <w:t xml:space="preserve"> but also that any Member State with a different view can simply choose to withdraw itself from any common action.</w:t>
      </w:r>
    </w:p>
    <w:p w:rsidR="005E23FC" w:rsidRPr="004427CF" w:rsidRDefault="005E23FC" w:rsidP="00B80CBE">
      <w:pPr>
        <w:spacing w:line="276" w:lineRule="auto"/>
        <w:ind w:firstLine="720"/>
        <w:rPr>
          <w:rFonts w:asciiTheme="minorHAnsi" w:hAnsiTheme="minorHAnsi" w:cs="Arial"/>
          <w:sz w:val="22"/>
          <w:szCs w:val="22"/>
          <w:shd w:val="clear" w:color="auto" w:fill="FFFFFF"/>
        </w:rPr>
      </w:pPr>
    </w:p>
    <w:p w:rsidR="005E23FC" w:rsidRPr="004427CF" w:rsidRDefault="00070C98" w:rsidP="00B80CBE">
      <w:pPr>
        <w:spacing w:line="276" w:lineRule="auto"/>
        <w:rPr>
          <w:rFonts w:asciiTheme="minorHAnsi" w:hAnsiTheme="minorHAnsi" w:cs="Arial"/>
          <w:b/>
          <w:sz w:val="22"/>
          <w:szCs w:val="22"/>
          <w:shd w:val="clear" w:color="auto" w:fill="FFFFFF"/>
        </w:rPr>
      </w:pPr>
      <w:r w:rsidRPr="004427CF">
        <w:rPr>
          <w:rFonts w:asciiTheme="minorHAnsi" w:hAnsiTheme="minorHAnsi" w:cs="Arial"/>
          <w:b/>
          <w:sz w:val="22"/>
          <w:szCs w:val="22"/>
          <w:shd w:val="clear" w:color="auto" w:fill="FFFFFF"/>
        </w:rPr>
        <w:t xml:space="preserve">5. </w:t>
      </w:r>
      <w:r w:rsidR="006D436E" w:rsidRPr="004427CF">
        <w:rPr>
          <w:rFonts w:asciiTheme="minorHAnsi" w:hAnsiTheme="minorHAnsi" w:cs="Arial"/>
          <w:b/>
          <w:sz w:val="22"/>
          <w:szCs w:val="22"/>
          <w:shd w:val="clear" w:color="auto" w:fill="FFFFFF"/>
        </w:rPr>
        <w:t>Conclusion</w:t>
      </w:r>
    </w:p>
    <w:p w:rsidR="00703347" w:rsidRPr="004427CF" w:rsidRDefault="00703347" w:rsidP="00B80CBE">
      <w:pPr>
        <w:spacing w:line="276" w:lineRule="auto"/>
        <w:rPr>
          <w:rFonts w:asciiTheme="minorHAnsi" w:hAnsiTheme="minorHAnsi" w:cs="Arial"/>
          <w:b/>
          <w:sz w:val="22"/>
          <w:szCs w:val="22"/>
          <w:shd w:val="clear" w:color="auto" w:fill="FFFFFF"/>
        </w:rPr>
      </w:pPr>
    </w:p>
    <w:p w:rsidR="00CA1D44" w:rsidRPr="004427CF" w:rsidRDefault="0002603C" w:rsidP="00B80CBE">
      <w:pPr>
        <w:spacing w:line="276" w:lineRule="auto"/>
        <w:rPr>
          <w:rFonts w:asciiTheme="minorHAnsi" w:hAnsiTheme="minorHAnsi" w:cs="Arial"/>
          <w:sz w:val="22"/>
          <w:szCs w:val="22"/>
          <w:shd w:val="clear" w:color="auto" w:fill="FFFFFF"/>
        </w:rPr>
      </w:pPr>
      <w:r w:rsidRPr="004427CF">
        <w:rPr>
          <w:rFonts w:asciiTheme="minorHAnsi" w:hAnsiTheme="minorHAnsi" w:cs="Arial"/>
          <w:sz w:val="22"/>
          <w:szCs w:val="22"/>
          <w:shd w:val="clear" w:color="auto" w:fill="FFFFFF"/>
        </w:rPr>
        <w:t xml:space="preserve">No one should have expected the </w:t>
      </w:r>
      <w:proofErr w:type="spellStart"/>
      <w:r w:rsidRPr="004427CF">
        <w:rPr>
          <w:rFonts w:asciiTheme="minorHAnsi" w:hAnsiTheme="minorHAnsi" w:cs="Arial"/>
          <w:sz w:val="22"/>
          <w:szCs w:val="22"/>
          <w:shd w:val="clear" w:color="auto" w:fill="FFFFFF"/>
        </w:rPr>
        <w:t>Frontex</w:t>
      </w:r>
      <w:proofErr w:type="spellEnd"/>
      <w:r w:rsidRPr="004427CF">
        <w:rPr>
          <w:rFonts w:asciiTheme="minorHAnsi" w:hAnsiTheme="minorHAnsi" w:cs="Arial"/>
          <w:sz w:val="22"/>
          <w:szCs w:val="22"/>
          <w:shd w:val="clear" w:color="auto" w:fill="FFFFFF"/>
        </w:rPr>
        <w:t xml:space="preserve"> Sea Borders Regulation to be the panacea for all the tragedies in the Mediterranean and the difficulties in finding a common European answer. The Regulation is in fact </w:t>
      </w:r>
      <w:r w:rsidR="00703347" w:rsidRPr="004427CF">
        <w:rPr>
          <w:rFonts w:asciiTheme="minorHAnsi" w:hAnsiTheme="minorHAnsi" w:cs="Arial"/>
          <w:sz w:val="22"/>
          <w:szCs w:val="22"/>
          <w:shd w:val="clear" w:color="auto" w:fill="FFFFFF"/>
        </w:rPr>
        <w:t xml:space="preserve">a </w:t>
      </w:r>
      <w:r w:rsidRPr="004427CF">
        <w:rPr>
          <w:rFonts w:asciiTheme="minorHAnsi" w:hAnsiTheme="minorHAnsi" w:cs="Arial"/>
          <w:sz w:val="22"/>
          <w:szCs w:val="22"/>
          <w:shd w:val="clear" w:color="auto" w:fill="FFFFFF"/>
        </w:rPr>
        <w:t>stronger instrument than the Council Decision it replaces, both in terms of fundamental rights and search and rescue obligations. Yet, the Regulation</w:t>
      </w:r>
      <w:r w:rsidR="00703347" w:rsidRPr="004427CF">
        <w:rPr>
          <w:rFonts w:asciiTheme="minorHAnsi" w:hAnsiTheme="minorHAnsi" w:cs="Arial"/>
          <w:sz w:val="22"/>
          <w:szCs w:val="22"/>
          <w:shd w:val="clear" w:color="auto" w:fill="FFFFFF"/>
        </w:rPr>
        <w:t xml:space="preserve"> is inherently flawed for three main reasons. First, because it avoids hard choices on </w:t>
      </w:r>
      <w:r w:rsidR="0050449B" w:rsidRPr="004427CF">
        <w:rPr>
          <w:rFonts w:asciiTheme="minorHAnsi" w:hAnsiTheme="minorHAnsi" w:cs="Arial"/>
          <w:sz w:val="22"/>
          <w:szCs w:val="22"/>
          <w:shd w:val="clear" w:color="auto" w:fill="FFFFFF"/>
        </w:rPr>
        <w:t>difficult</w:t>
      </w:r>
      <w:r w:rsidR="00703347" w:rsidRPr="004427CF">
        <w:rPr>
          <w:rFonts w:asciiTheme="minorHAnsi" w:hAnsiTheme="minorHAnsi" w:cs="Arial"/>
          <w:sz w:val="22"/>
          <w:szCs w:val="22"/>
          <w:shd w:val="clear" w:color="auto" w:fill="FFFFFF"/>
        </w:rPr>
        <w:t xml:space="preserve"> issues of how to share the migrant burden and how to cooperate with third countries, it tends to legitimize </w:t>
      </w:r>
      <w:r w:rsidR="0050449B" w:rsidRPr="004427CF">
        <w:rPr>
          <w:rFonts w:asciiTheme="minorHAnsi" w:hAnsiTheme="minorHAnsi" w:cs="Arial"/>
          <w:sz w:val="22"/>
          <w:szCs w:val="22"/>
          <w:shd w:val="clear" w:color="auto" w:fill="FFFFFF"/>
        </w:rPr>
        <w:t xml:space="preserve">questionable unilateral practices of Member States. </w:t>
      </w:r>
      <w:r w:rsidR="00121119" w:rsidRPr="004427CF">
        <w:rPr>
          <w:rFonts w:asciiTheme="minorHAnsi" w:hAnsiTheme="minorHAnsi" w:cs="Arial"/>
          <w:sz w:val="22"/>
          <w:szCs w:val="22"/>
          <w:shd w:val="clear" w:color="auto" w:fill="FFFFFF"/>
        </w:rPr>
        <w:t>This is most evident from its substandard guarantees against removals to third countries, but also</w:t>
      </w:r>
      <w:r w:rsidR="00CA1D44" w:rsidRPr="004427CF">
        <w:rPr>
          <w:rFonts w:asciiTheme="minorHAnsi" w:hAnsiTheme="minorHAnsi" w:cs="Arial"/>
          <w:sz w:val="22"/>
          <w:szCs w:val="22"/>
          <w:shd w:val="clear" w:color="auto" w:fill="FFFFFF"/>
        </w:rPr>
        <w:t xml:space="preserve"> transpires from some of the compromises in the sphere of search and rescue.</w:t>
      </w:r>
      <w:r w:rsidR="00121119" w:rsidRPr="004427CF">
        <w:rPr>
          <w:rFonts w:asciiTheme="minorHAnsi" w:hAnsiTheme="minorHAnsi" w:cs="Arial"/>
          <w:sz w:val="22"/>
          <w:szCs w:val="22"/>
          <w:shd w:val="clear" w:color="auto" w:fill="FFFFFF"/>
        </w:rPr>
        <w:t xml:space="preserve"> </w:t>
      </w:r>
      <w:r w:rsidR="00CA1D44" w:rsidRPr="004427CF">
        <w:rPr>
          <w:rFonts w:asciiTheme="minorHAnsi" w:hAnsiTheme="minorHAnsi" w:cs="Arial"/>
          <w:sz w:val="22"/>
          <w:szCs w:val="22"/>
          <w:shd w:val="clear" w:color="auto" w:fill="FFFFFF"/>
        </w:rPr>
        <w:t>It is important to recall, therefore, the duty under EU law to implement secondary EU legislation in conformity with the EU Charter on Fundamental Rights. But it would have been better if these guarantees were respected fully in the text itself.</w:t>
      </w:r>
    </w:p>
    <w:p w:rsidR="00132CC4" w:rsidRPr="004427CF" w:rsidRDefault="00CA1D44" w:rsidP="00B80CBE">
      <w:pPr>
        <w:spacing w:line="276" w:lineRule="auto"/>
        <w:rPr>
          <w:rFonts w:asciiTheme="minorHAnsi" w:hAnsiTheme="minorHAnsi" w:cs="Arial"/>
          <w:sz w:val="22"/>
          <w:szCs w:val="22"/>
          <w:shd w:val="clear" w:color="auto" w:fill="FFFFFF"/>
        </w:rPr>
      </w:pPr>
      <w:r w:rsidRPr="004427CF">
        <w:rPr>
          <w:rFonts w:asciiTheme="minorHAnsi" w:hAnsiTheme="minorHAnsi" w:cs="Arial"/>
          <w:sz w:val="22"/>
          <w:szCs w:val="22"/>
          <w:shd w:val="clear" w:color="auto" w:fill="FFFFFF"/>
        </w:rPr>
        <w:tab/>
        <w:t xml:space="preserve">Second, </w:t>
      </w:r>
      <w:r w:rsidR="00132CC4" w:rsidRPr="004427CF">
        <w:rPr>
          <w:rFonts w:asciiTheme="minorHAnsi" w:hAnsiTheme="minorHAnsi" w:cs="Arial"/>
          <w:sz w:val="22"/>
          <w:szCs w:val="22"/>
          <w:shd w:val="clear" w:color="auto" w:fill="FFFFFF"/>
        </w:rPr>
        <w:t xml:space="preserve">similar to its predecessor, </w:t>
      </w:r>
      <w:r w:rsidRPr="004427CF">
        <w:rPr>
          <w:rFonts w:asciiTheme="minorHAnsi" w:hAnsiTheme="minorHAnsi" w:cs="Arial"/>
          <w:sz w:val="22"/>
          <w:szCs w:val="22"/>
          <w:shd w:val="clear" w:color="auto" w:fill="FFFFFF"/>
        </w:rPr>
        <w:t xml:space="preserve">the Regulation </w:t>
      </w:r>
      <w:r w:rsidR="00132CC4" w:rsidRPr="004427CF">
        <w:rPr>
          <w:rFonts w:asciiTheme="minorHAnsi" w:hAnsiTheme="minorHAnsi" w:cs="Arial"/>
          <w:sz w:val="22"/>
          <w:szCs w:val="22"/>
          <w:shd w:val="clear" w:color="auto" w:fill="FFFFFF"/>
        </w:rPr>
        <w:t>proceeds from</w:t>
      </w:r>
      <w:r w:rsidRPr="004427CF">
        <w:rPr>
          <w:rFonts w:asciiTheme="minorHAnsi" w:hAnsiTheme="minorHAnsi" w:cs="Arial"/>
          <w:sz w:val="22"/>
          <w:szCs w:val="22"/>
          <w:shd w:val="clear" w:color="auto" w:fill="FFFFFF"/>
        </w:rPr>
        <w:t xml:space="preserve"> </w:t>
      </w:r>
      <w:r w:rsidR="00132CC4" w:rsidRPr="004427CF">
        <w:rPr>
          <w:rFonts w:asciiTheme="minorHAnsi" w:hAnsiTheme="minorHAnsi" w:cs="Arial"/>
          <w:sz w:val="22"/>
          <w:szCs w:val="22"/>
          <w:shd w:val="clear" w:color="auto" w:fill="FFFFFF"/>
        </w:rPr>
        <w:t xml:space="preserve">the questionable presumption that </w:t>
      </w:r>
      <w:r w:rsidRPr="004427CF">
        <w:rPr>
          <w:rFonts w:asciiTheme="minorHAnsi" w:hAnsiTheme="minorHAnsi" w:cs="Arial"/>
          <w:sz w:val="22"/>
          <w:szCs w:val="22"/>
          <w:shd w:val="clear" w:color="auto" w:fill="FFFFFF"/>
        </w:rPr>
        <w:t>boat migrants</w:t>
      </w:r>
      <w:r w:rsidR="00132CC4" w:rsidRPr="004427CF">
        <w:rPr>
          <w:rFonts w:asciiTheme="minorHAnsi" w:hAnsiTheme="minorHAnsi" w:cs="Arial"/>
          <w:sz w:val="22"/>
          <w:szCs w:val="22"/>
          <w:shd w:val="clear" w:color="auto" w:fill="FFFFFF"/>
        </w:rPr>
        <w:t xml:space="preserve"> may be treated in a fundamentally different manner than migrants who present themselves in or at the border of a state</w:t>
      </w:r>
      <w:r w:rsidRPr="004427CF">
        <w:rPr>
          <w:rFonts w:asciiTheme="minorHAnsi" w:hAnsiTheme="minorHAnsi" w:cs="Arial"/>
          <w:sz w:val="22"/>
          <w:szCs w:val="22"/>
          <w:shd w:val="clear" w:color="auto" w:fill="FFFFFF"/>
        </w:rPr>
        <w:t xml:space="preserve">. </w:t>
      </w:r>
      <w:r w:rsidR="00132CC4" w:rsidRPr="004427CF">
        <w:rPr>
          <w:rFonts w:asciiTheme="minorHAnsi" w:hAnsiTheme="minorHAnsi" w:cs="Arial"/>
          <w:sz w:val="22"/>
          <w:szCs w:val="22"/>
          <w:shd w:val="clear" w:color="auto" w:fill="FFFFFF"/>
        </w:rPr>
        <w:t xml:space="preserve">The Regulation does not refer in any way to the guarantees for persons subjected to ‘ordinary’ border controls laid down in the Schengen </w:t>
      </w:r>
      <w:r w:rsidR="00132CC4" w:rsidRPr="004427CF">
        <w:rPr>
          <w:rFonts w:asciiTheme="minorHAnsi" w:hAnsiTheme="minorHAnsi" w:cs="Arial"/>
          <w:sz w:val="22"/>
          <w:szCs w:val="22"/>
          <w:shd w:val="clear" w:color="auto" w:fill="FFFFFF"/>
        </w:rPr>
        <w:lastRenderedPageBreak/>
        <w:t>Borders Code, and refers neither to guarantees for asylum seekers laid down in EU asylum law. It thus creates a parallel regime for migrants found at sea, opening up procedural possibilities for expedient and summary returns, but also for apprehending migrants and the taking of other coercive measures</w:t>
      </w:r>
      <w:r w:rsidR="00B26D18" w:rsidRPr="004427CF">
        <w:rPr>
          <w:rFonts w:asciiTheme="minorHAnsi" w:hAnsiTheme="minorHAnsi" w:cs="Arial"/>
          <w:sz w:val="22"/>
          <w:szCs w:val="22"/>
          <w:shd w:val="clear" w:color="auto" w:fill="FFFFFF"/>
        </w:rPr>
        <w:t>, outside a comprehensive human rights framework</w:t>
      </w:r>
      <w:r w:rsidR="00132CC4" w:rsidRPr="004427CF">
        <w:rPr>
          <w:rFonts w:asciiTheme="minorHAnsi" w:hAnsiTheme="minorHAnsi" w:cs="Arial"/>
          <w:sz w:val="22"/>
          <w:szCs w:val="22"/>
          <w:shd w:val="clear" w:color="auto" w:fill="FFFFFF"/>
        </w:rPr>
        <w:t xml:space="preserve">. There are notable parallels here with the manner in which Australia has created a special immigration regime for ‘unauthorized boat arrivals’ and the United States policy of legally </w:t>
      </w:r>
      <w:r w:rsidR="000455E3" w:rsidRPr="004427CF">
        <w:rPr>
          <w:rFonts w:asciiTheme="minorHAnsi" w:hAnsiTheme="minorHAnsi" w:cs="Arial"/>
          <w:sz w:val="22"/>
          <w:szCs w:val="22"/>
          <w:shd w:val="clear" w:color="auto" w:fill="FFFFFF"/>
        </w:rPr>
        <w:t>separating</w:t>
      </w:r>
      <w:r w:rsidR="00132CC4" w:rsidRPr="004427CF">
        <w:rPr>
          <w:rFonts w:asciiTheme="minorHAnsi" w:hAnsiTheme="minorHAnsi" w:cs="Arial"/>
          <w:sz w:val="22"/>
          <w:szCs w:val="22"/>
          <w:shd w:val="clear" w:color="auto" w:fill="FFFFFF"/>
        </w:rPr>
        <w:t xml:space="preserve"> migrants </w:t>
      </w:r>
      <w:r w:rsidR="009257A0" w:rsidRPr="004427CF">
        <w:rPr>
          <w:rFonts w:asciiTheme="minorHAnsi" w:hAnsiTheme="minorHAnsi" w:cs="Arial"/>
          <w:sz w:val="22"/>
          <w:szCs w:val="22"/>
          <w:shd w:val="clear" w:color="auto" w:fill="FFFFFF"/>
        </w:rPr>
        <w:t>based on whether their feet are dry or wet</w:t>
      </w:r>
      <w:r w:rsidR="00132CC4" w:rsidRPr="004427CF">
        <w:rPr>
          <w:rFonts w:asciiTheme="minorHAnsi" w:hAnsiTheme="minorHAnsi" w:cs="Arial"/>
          <w:sz w:val="22"/>
          <w:szCs w:val="22"/>
          <w:shd w:val="clear" w:color="auto" w:fill="FFFFFF"/>
        </w:rPr>
        <w:t>.</w:t>
      </w:r>
    </w:p>
    <w:p w:rsidR="004934F8" w:rsidRPr="004427CF" w:rsidRDefault="00132CC4" w:rsidP="00B80CBE">
      <w:pPr>
        <w:spacing w:line="276" w:lineRule="auto"/>
        <w:rPr>
          <w:rFonts w:asciiTheme="minorHAnsi" w:hAnsiTheme="minorHAnsi" w:cs="Arial"/>
          <w:sz w:val="22"/>
          <w:szCs w:val="22"/>
          <w:shd w:val="clear" w:color="auto" w:fill="FFFFFF"/>
        </w:rPr>
      </w:pPr>
      <w:r w:rsidRPr="004427CF">
        <w:rPr>
          <w:rFonts w:asciiTheme="minorHAnsi" w:hAnsiTheme="minorHAnsi" w:cs="Arial"/>
          <w:sz w:val="22"/>
          <w:szCs w:val="22"/>
          <w:shd w:val="clear" w:color="auto" w:fill="FFFFFF"/>
        </w:rPr>
        <w:tab/>
        <w:t>Third</w:t>
      </w:r>
      <w:r w:rsidR="000455E3" w:rsidRPr="004427CF">
        <w:rPr>
          <w:rFonts w:asciiTheme="minorHAnsi" w:hAnsiTheme="minorHAnsi" w:cs="Arial"/>
          <w:sz w:val="22"/>
          <w:szCs w:val="22"/>
          <w:shd w:val="clear" w:color="auto" w:fill="FFFFFF"/>
        </w:rPr>
        <w:t xml:space="preserve"> – and one might be tempted to welcome this in view of the two preceding points – the </w:t>
      </w:r>
      <w:proofErr w:type="spellStart"/>
      <w:r w:rsidR="000455E3" w:rsidRPr="004427CF">
        <w:rPr>
          <w:rFonts w:asciiTheme="minorHAnsi" w:hAnsiTheme="minorHAnsi" w:cs="Arial"/>
          <w:sz w:val="22"/>
          <w:szCs w:val="22"/>
          <w:shd w:val="clear" w:color="auto" w:fill="FFFFFF"/>
        </w:rPr>
        <w:t>Frontex</w:t>
      </w:r>
      <w:proofErr w:type="spellEnd"/>
      <w:r w:rsidR="000455E3" w:rsidRPr="004427CF">
        <w:rPr>
          <w:rFonts w:asciiTheme="minorHAnsi" w:hAnsiTheme="minorHAnsi" w:cs="Arial"/>
          <w:sz w:val="22"/>
          <w:szCs w:val="22"/>
          <w:shd w:val="clear" w:color="auto" w:fill="FFFFFF"/>
        </w:rPr>
        <w:t xml:space="preserve"> Sea Borders regulation provides only a limited set of answers to a limited set of situations. It only enters into play if it is decided that a </w:t>
      </w:r>
      <w:proofErr w:type="spellStart"/>
      <w:r w:rsidR="000455E3" w:rsidRPr="004427CF">
        <w:rPr>
          <w:rFonts w:asciiTheme="minorHAnsi" w:hAnsiTheme="minorHAnsi" w:cs="Arial"/>
          <w:sz w:val="22"/>
          <w:szCs w:val="22"/>
          <w:shd w:val="clear" w:color="auto" w:fill="FFFFFF"/>
        </w:rPr>
        <w:t>Frontex</w:t>
      </w:r>
      <w:proofErr w:type="spellEnd"/>
      <w:r w:rsidR="000455E3" w:rsidRPr="004427CF">
        <w:rPr>
          <w:rFonts w:asciiTheme="minorHAnsi" w:hAnsiTheme="minorHAnsi" w:cs="Arial"/>
          <w:sz w:val="22"/>
          <w:szCs w:val="22"/>
          <w:shd w:val="clear" w:color="auto" w:fill="FFFFFF"/>
        </w:rPr>
        <w:t xml:space="preserve"> mission should be started and only applies to Member States who on a voluntary basis decide to participate in a </w:t>
      </w:r>
      <w:proofErr w:type="spellStart"/>
      <w:r w:rsidR="000455E3" w:rsidRPr="004427CF">
        <w:rPr>
          <w:rFonts w:asciiTheme="minorHAnsi" w:hAnsiTheme="minorHAnsi" w:cs="Arial"/>
          <w:sz w:val="22"/>
          <w:szCs w:val="22"/>
          <w:shd w:val="clear" w:color="auto" w:fill="FFFFFF"/>
        </w:rPr>
        <w:t>Frontex</w:t>
      </w:r>
      <w:proofErr w:type="spellEnd"/>
      <w:r w:rsidR="000455E3" w:rsidRPr="004427CF">
        <w:rPr>
          <w:rFonts w:asciiTheme="minorHAnsi" w:hAnsiTheme="minorHAnsi" w:cs="Arial"/>
          <w:sz w:val="22"/>
          <w:szCs w:val="22"/>
          <w:shd w:val="clear" w:color="auto" w:fill="FFFFFF"/>
        </w:rPr>
        <w:t xml:space="preserve"> mission. It does not apply to unilateral maritime controls of Member States, which are still far more common than those undertaken under the aegis of </w:t>
      </w:r>
      <w:proofErr w:type="spellStart"/>
      <w:r w:rsidR="000455E3" w:rsidRPr="004427CF">
        <w:rPr>
          <w:rFonts w:asciiTheme="minorHAnsi" w:hAnsiTheme="minorHAnsi" w:cs="Arial"/>
          <w:sz w:val="22"/>
          <w:szCs w:val="22"/>
          <w:shd w:val="clear" w:color="auto" w:fill="FFFFFF"/>
        </w:rPr>
        <w:t>Frontex</w:t>
      </w:r>
      <w:proofErr w:type="spellEnd"/>
      <w:r w:rsidR="000455E3" w:rsidRPr="004427CF">
        <w:rPr>
          <w:rFonts w:asciiTheme="minorHAnsi" w:hAnsiTheme="minorHAnsi" w:cs="Arial"/>
          <w:sz w:val="22"/>
          <w:szCs w:val="22"/>
          <w:shd w:val="clear" w:color="auto" w:fill="FFFFFF"/>
        </w:rPr>
        <w:t>.</w:t>
      </w:r>
      <w:r w:rsidR="004934F8" w:rsidRPr="004427CF">
        <w:rPr>
          <w:rFonts w:asciiTheme="minorHAnsi" w:hAnsiTheme="minorHAnsi" w:cs="Arial"/>
          <w:sz w:val="22"/>
          <w:szCs w:val="22"/>
          <w:shd w:val="clear" w:color="auto" w:fill="FFFFFF"/>
        </w:rPr>
        <w:t xml:space="preserve"> </w:t>
      </w:r>
      <w:r w:rsidR="009257A0" w:rsidRPr="004427CF">
        <w:rPr>
          <w:rFonts w:asciiTheme="minorHAnsi" w:hAnsiTheme="minorHAnsi" w:cs="Arial"/>
          <w:sz w:val="22"/>
          <w:szCs w:val="22"/>
          <w:shd w:val="clear" w:color="auto" w:fill="FFFFFF"/>
        </w:rPr>
        <w:t>It follows</w:t>
      </w:r>
      <w:r w:rsidR="004934F8" w:rsidRPr="004427CF">
        <w:rPr>
          <w:rFonts w:asciiTheme="minorHAnsi" w:hAnsiTheme="minorHAnsi" w:cs="Arial"/>
          <w:sz w:val="22"/>
          <w:szCs w:val="22"/>
          <w:shd w:val="clear" w:color="auto" w:fill="FFFFFF"/>
        </w:rPr>
        <w:t xml:space="preserve"> that there are no common EU rules on individual Member State </w:t>
      </w:r>
      <w:r w:rsidR="009257A0" w:rsidRPr="004427CF">
        <w:rPr>
          <w:rFonts w:asciiTheme="minorHAnsi" w:hAnsiTheme="minorHAnsi" w:cs="Arial"/>
          <w:sz w:val="22"/>
          <w:szCs w:val="22"/>
          <w:shd w:val="clear" w:color="auto" w:fill="FFFFFF"/>
        </w:rPr>
        <w:t>maritime</w:t>
      </w:r>
      <w:r w:rsidR="004934F8" w:rsidRPr="004427CF">
        <w:rPr>
          <w:rFonts w:asciiTheme="minorHAnsi" w:hAnsiTheme="minorHAnsi" w:cs="Arial"/>
          <w:sz w:val="22"/>
          <w:szCs w:val="22"/>
          <w:shd w:val="clear" w:color="auto" w:fill="FFFFFF"/>
        </w:rPr>
        <w:t xml:space="preserve"> control</w:t>
      </w:r>
      <w:r w:rsidR="009257A0" w:rsidRPr="004427CF">
        <w:rPr>
          <w:rFonts w:asciiTheme="minorHAnsi" w:hAnsiTheme="minorHAnsi" w:cs="Arial"/>
          <w:sz w:val="22"/>
          <w:szCs w:val="22"/>
          <w:shd w:val="clear" w:color="auto" w:fill="FFFFFF"/>
        </w:rPr>
        <w:t>s</w:t>
      </w:r>
      <w:r w:rsidR="004934F8" w:rsidRPr="004427CF">
        <w:rPr>
          <w:rFonts w:asciiTheme="minorHAnsi" w:hAnsiTheme="minorHAnsi" w:cs="Arial"/>
          <w:sz w:val="22"/>
          <w:szCs w:val="22"/>
          <w:shd w:val="clear" w:color="auto" w:fill="FFFFFF"/>
        </w:rPr>
        <w:t xml:space="preserve">. Given the prevailing disputes </w:t>
      </w:r>
      <w:r w:rsidR="009257A0" w:rsidRPr="004427CF">
        <w:rPr>
          <w:rFonts w:asciiTheme="minorHAnsi" w:hAnsiTheme="minorHAnsi" w:cs="Arial"/>
          <w:sz w:val="22"/>
          <w:szCs w:val="22"/>
          <w:shd w:val="clear" w:color="auto" w:fill="FFFFFF"/>
        </w:rPr>
        <w:t>between</w:t>
      </w:r>
      <w:r w:rsidR="004934F8" w:rsidRPr="004427CF">
        <w:rPr>
          <w:rFonts w:asciiTheme="minorHAnsi" w:hAnsiTheme="minorHAnsi" w:cs="Arial"/>
          <w:sz w:val="22"/>
          <w:szCs w:val="22"/>
          <w:shd w:val="clear" w:color="auto" w:fill="FFFFFF"/>
        </w:rPr>
        <w:t xml:space="preserve"> Member State arising from such operations and the fact that all external border controls are in the scope of Union law, the choice of the EU legislator to adopt rules solely for </w:t>
      </w:r>
      <w:proofErr w:type="spellStart"/>
      <w:r w:rsidR="004934F8" w:rsidRPr="004427CF">
        <w:rPr>
          <w:rFonts w:asciiTheme="minorHAnsi" w:hAnsiTheme="minorHAnsi" w:cs="Arial"/>
          <w:sz w:val="22"/>
          <w:szCs w:val="22"/>
          <w:shd w:val="clear" w:color="auto" w:fill="FFFFFF"/>
        </w:rPr>
        <w:t>Frontex</w:t>
      </w:r>
      <w:proofErr w:type="spellEnd"/>
      <w:r w:rsidR="004934F8" w:rsidRPr="004427CF">
        <w:rPr>
          <w:rFonts w:asciiTheme="minorHAnsi" w:hAnsiTheme="minorHAnsi" w:cs="Arial"/>
          <w:sz w:val="22"/>
          <w:szCs w:val="22"/>
          <w:shd w:val="clear" w:color="auto" w:fill="FFFFFF"/>
        </w:rPr>
        <w:t xml:space="preserve"> operations, which it justifies on the basis of the principles of subsidiarity and proportionality, can </w:t>
      </w:r>
      <w:r w:rsidR="00072985" w:rsidRPr="004427CF">
        <w:rPr>
          <w:rFonts w:asciiTheme="minorHAnsi" w:hAnsiTheme="minorHAnsi" w:cs="Arial"/>
          <w:sz w:val="22"/>
          <w:szCs w:val="22"/>
          <w:shd w:val="clear" w:color="auto" w:fill="FFFFFF"/>
        </w:rPr>
        <w:t>be seriously</w:t>
      </w:r>
      <w:r w:rsidR="004934F8" w:rsidRPr="004427CF">
        <w:rPr>
          <w:rFonts w:asciiTheme="minorHAnsi" w:hAnsiTheme="minorHAnsi" w:cs="Arial"/>
          <w:sz w:val="22"/>
          <w:szCs w:val="22"/>
          <w:shd w:val="clear" w:color="auto" w:fill="FFFFFF"/>
        </w:rPr>
        <w:t xml:space="preserve"> questioned.</w:t>
      </w:r>
      <w:r w:rsidR="004934F8" w:rsidRPr="004427CF">
        <w:rPr>
          <w:rStyle w:val="FootnoteReference"/>
          <w:rFonts w:asciiTheme="minorHAnsi" w:hAnsiTheme="minorHAnsi" w:cs="Arial"/>
          <w:sz w:val="22"/>
          <w:szCs w:val="22"/>
          <w:shd w:val="clear" w:color="auto" w:fill="FFFFFF"/>
        </w:rPr>
        <w:footnoteReference w:id="76"/>
      </w:r>
      <w:r w:rsidR="004934F8" w:rsidRPr="004427CF">
        <w:rPr>
          <w:rFonts w:asciiTheme="minorHAnsi" w:hAnsiTheme="minorHAnsi" w:cs="Arial"/>
          <w:sz w:val="22"/>
          <w:szCs w:val="22"/>
          <w:shd w:val="clear" w:color="auto" w:fill="FFFFFF"/>
        </w:rPr>
        <w:t xml:space="preserve"> The result is that, although the EU has fully harmonized the manner in which border controls ‘at’ the external border must be conducted by virtue of the Schengen Borders Code, it allows for altogether divergent control practices of Member States at sea. This challenges the very integrity and coherence of the EU’s external border controls</w:t>
      </w:r>
      <w:r w:rsidR="00072985" w:rsidRPr="004427CF">
        <w:rPr>
          <w:rFonts w:asciiTheme="minorHAnsi" w:hAnsiTheme="minorHAnsi" w:cs="Arial"/>
          <w:sz w:val="22"/>
          <w:szCs w:val="22"/>
          <w:shd w:val="clear" w:color="auto" w:fill="FFFFFF"/>
        </w:rPr>
        <w:t xml:space="preserve"> regime.</w:t>
      </w:r>
    </w:p>
    <w:p w:rsidR="000455E3" w:rsidRPr="004427CF" w:rsidRDefault="000455E3" w:rsidP="000455E3">
      <w:pPr>
        <w:rPr>
          <w:rFonts w:asciiTheme="minorHAnsi" w:hAnsiTheme="minorHAnsi" w:cs="Arial"/>
          <w:sz w:val="21"/>
          <w:szCs w:val="21"/>
          <w:shd w:val="clear" w:color="auto" w:fill="FFFFFF"/>
        </w:rPr>
      </w:pPr>
    </w:p>
    <w:p w:rsidR="004427CF" w:rsidRPr="004427CF" w:rsidRDefault="004427CF" w:rsidP="004427CF">
      <w:pPr>
        <w:jc w:val="center"/>
        <w:rPr>
          <w:rFonts w:asciiTheme="minorHAnsi" w:hAnsiTheme="minorHAnsi" w:cs="Arial"/>
          <w:sz w:val="21"/>
          <w:szCs w:val="21"/>
          <w:shd w:val="clear" w:color="auto" w:fill="FFFFFF"/>
        </w:rPr>
      </w:pPr>
      <w:r w:rsidRPr="004427CF">
        <w:rPr>
          <w:rFonts w:asciiTheme="minorHAnsi" w:hAnsiTheme="minorHAnsi" w:cs="Arial"/>
          <w:sz w:val="21"/>
          <w:szCs w:val="21"/>
          <w:shd w:val="clear" w:color="auto" w:fill="FFFFFF"/>
        </w:rPr>
        <w:t>o-0-o</w:t>
      </w:r>
    </w:p>
    <w:sectPr w:rsidR="004427CF" w:rsidRPr="004427CF" w:rsidSect="004B06FB">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C3" w:rsidRDefault="008426C3" w:rsidP="001369E7">
      <w:r>
        <w:separator/>
      </w:r>
    </w:p>
  </w:endnote>
  <w:endnote w:type="continuationSeparator" w:id="0">
    <w:p w:rsidR="008426C3" w:rsidRDefault="008426C3" w:rsidP="0013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EUAlbertina">
    <w:panose1 w:val="00000000000000000000"/>
    <w:charset w:val="00"/>
    <w:family w:val="auto"/>
    <w:notTrueType/>
    <w:pitch w:val="default"/>
    <w:sig w:usb0="00000003" w:usb1="00000000" w:usb2="00000000" w:usb3="00000000" w:csb0="00000001" w:csb1="00000000"/>
  </w:font>
  <w:font w:name="Baskerville MT">
    <w:altName w:val="Baskerville MT"/>
    <w:panose1 w:val="00000000000000000000"/>
    <w:charset w:val="00"/>
    <w:family w:val="roman"/>
    <w:notTrueType/>
    <w:pitch w:val="default"/>
    <w:sig w:usb0="00000003" w:usb1="00000000" w:usb2="00000000" w:usb3="00000000" w:csb0="00000001" w:csb1="00000000"/>
  </w:font>
  <w:font w:name="Baskerville MT Italic">
    <w:altName w:val="Baskerville MT 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10500"/>
      <w:docPartObj>
        <w:docPartGallery w:val="Page Numbers (Bottom of Page)"/>
        <w:docPartUnique/>
      </w:docPartObj>
    </w:sdtPr>
    <w:sdtEndPr>
      <w:rPr>
        <w:noProof/>
      </w:rPr>
    </w:sdtEndPr>
    <w:sdtContent>
      <w:p w:rsidR="008426C3" w:rsidRDefault="008426C3">
        <w:pPr>
          <w:pStyle w:val="Footer"/>
          <w:jc w:val="center"/>
        </w:pPr>
        <w:r>
          <w:fldChar w:fldCharType="begin"/>
        </w:r>
        <w:r>
          <w:instrText xml:space="preserve"> PAGE   \* MERGEFORMAT </w:instrText>
        </w:r>
        <w:r>
          <w:fldChar w:fldCharType="separate"/>
        </w:r>
        <w:r w:rsidR="00783EEA">
          <w:rPr>
            <w:noProof/>
          </w:rPr>
          <w:t>15</w:t>
        </w:r>
        <w:r>
          <w:rPr>
            <w:noProof/>
          </w:rPr>
          <w:fldChar w:fldCharType="end"/>
        </w:r>
      </w:p>
    </w:sdtContent>
  </w:sdt>
  <w:p w:rsidR="008426C3" w:rsidRDefault="0084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C3" w:rsidRDefault="008426C3" w:rsidP="001369E7">
      <w:r>
        <w:separator/>
      </w:r>
    </w:p>
  </w:footnote>
  <w:footnote w:type="continuationSeparator" w:id="0">
    <w:p w:rsidR="008426C3" w:rsidRDefault="008426C3" w:rsidP="001369E7">
      <w:r>
        <w:continuationSeparator/>
      </w:r>
    </w:p>
  </w:footnote>
  <w:footnote w:id="1">
    <w:p w:rsidR="008426C3" w:rsidRPr="00A07650" w:rsidRDefault="008426C3">
      <w:pPr>
        <w:pStyle w:val="FootnoteText"/>
        <w:rPr>
          <w:color w:val="auto"/>
          <w:sz w:val="20"/>
          <w:szCs w:val="20"/>
          <w:lang w:val="en-US"/>
        </w:rPr>
      </w:pPr>
      <w:r w:rsidRPr="00A07650">
        <w:rPr>
          <w:rStyle w:val="FootnoteReference"/>
          <w:color w:val="auto"/>
          <w:sz w:val="20"/>
          <w:szCs w:val="20"/>
        </w:rPr>
        <w:footnoteRef/>
      </w:r>
      <w:r w:rsidRPr="00A07650">
        <w:rPr>
          <w:color w:val="auto"/>
          <w:sz w:val="20"/>
          <w:szCs w:val="20"/>
        </w:rPr>
        <w:t xml:space="preserve"> Address of Pope Francis to the European Parliament, Strasbourg, 25 November 2014.</w:t>
      </w:r>
    </w:p>
  </w:footnote>
  <w:footnote w:id="2">
    <w:p w:rsidR="008426C3" w:rsidRPr="00A07650" w:rsidRDefault="008426C3">
      <w:pPr>
        <w:pStyle w:val="FootnoteText"/>
        <w:rPr>
          <w:color w:val="auto"/>
          <w:sz w:val="20"/>
          <w:szCs w:val="20"/>
          <w:lang w:val="en-US"/>
        </w:rPr>
      </w:pPr>
      <w:r w:rsidRPr="00A07650">
        <w:rPr>
          <w:rStyle w:val="FootnoteReference"/>
          <w:color w:val="auto"/>
          <w:sz w:val="20"/>
          <w:szCs w:val="20"/>
        </w:rPr>
        <w:footnoteRef/>
      </w:r>
      <w:r w:rsidRPr="00A07650">
        <w:rPr>
          <w:color w:val="auto"/>
          <w:sz w:val="20"/>
          <w:szCs w:val="20"/>
        </w:rPr>
        <w:t xml:space="preserve"> See </w:t>
      </w:r>
      <w:proofErr w:type="spellStart"/>
      <w:r w:rsidRPr="00A07650">
        <w:rPr>
          <w:color w:val="auto"/>
          <w:sz w:val="20"/>
          <w:szCs w:val="20"/>
        </w:rPr>
        <w:t>eg</w:t>
      </w:r>
      <w:proofErr w:type="spellEnd"/>
      <w:r w:rsidRPr="00A07650">
        <w:rPr>
          <w:color w:val="auto"/>
          <w:sz w:val="20"/>
          <w:szCs w:val="20"/>
        </w:rPr>
        <w:t xml:space="preserve"> Commission documents COM(2011) 743 final</w:t>
      </w:r>
      <w:r w:rsidRPr="00A07650">
        <w:rPr>
          <w:color w:val="auto"/>
          <w:sz w:val="20"/>
          <w:szCs w:val="20"/>
          <w:lang w:val="en-US"/>
        </w:rPr>
        <w:t xml:space="preserve"> (The Global Approach to Migration and </w:t>
      </w:r>
      <w:proofErr w:type="spellStart"/>
      <w:r w:rsidRPr="00A07650">
        <w:rPr>
          <w:color w:val="auto"/>
          <w:sz w:val="20"/>
          <w:szCs w:val="20"/>
          <w:lang w:val="en-US"/>
        </w:rPr>
        <w:t>Moblity</w:t>
      </w:r>
      <w:proofErr w:type="spellEnd"/>
      <w:r w:rsidRPr="00A07650">
        <w:rPr>
          <w:color w:val="auto"/>
          <w:sz w:val="20"/>
          <w:szCs w:val="20"/>
          <w:lang w:val="en-US"/>
        </w:rPr>
        <w:t>) and COM(2008) 69 final.</w:t>
      </w:r>
    </w:p>
  </w:footnote>
  <w:footnote w:id="3">
    <w:p w:rsidR="008426C3" w:rsidRPr="00A07650" w:rsidRDefault="008426C3">
      <w:pPr>
        <w:pStyle w:val="FootnoteText"/>
        <w:rPr>
          <w:color w:val="auto"/>
          <w:sz w:val="20"/>
          <w:szCs w:val="20"/>
          <w:lang w:val="en-US"/>
        </w:rPr>
      </w:pPr>
      <w:r w:rsidRPr="00A07650">
        <w:rPr>
          <w:rStyle w:val="FootnoteReference"/>
          <w:color w:val="auto"/>
          <w:sz w:val="20"/>
          <w:szCs w:val="20"/>
        </w:rPr>
        <w:footnoteRef/>
      </w:r>
      <w:r w:rsidRPr="00A07650">
        <w:rPr>
          <w:color w:val="auto"/>
          <w:sz w:val="20"/>
          <w:szCs w:val="20"/>
        </w:rPr>
        <w:t xml:space="preserve"> Reg. 656/2014, recital 1. Also see </w:t>
      </w:r>
      <w:r w:rsidRPr="00A07650">
        <w:rPr>
          <w:color w:val="auto"/>
          <w:sz w:val="20"/>
          <w:szCs w:val="20"/>
          <w:lang w:val="en-US"/>
        </w:rPr>
        <w:t xml:space="preserve">Stockholm </w:t>
      </w:r>
      <w:proofErr w:type="spellStart"/>
      <w:r w:rsidRPr="00A07650">
        <w:rPr>
          <w:color w:val="auto"/>
          <w:sz w:val="20"/>
          <w:szCs w:val="20"/>
          <w:lang w:val="en-US"/>
        </w:rPr>
        <w:t>programme</w:t>
      </w:r>
      <w:proofErr w:type="spellEnd"/>
      <w:r w:rsidRPr="00A07650">
        <w:rPr>
          <w:color w:val="auto"/>
          <w:sz w:val="20"/>
          <w:szCs w:val="20"/>
          <w:lang w:val="en-US"/>
        </w:rPr>
        <w:t xml:space="preserve"> [2010] OJ </w:t>
      </w:r>
      <w:r w:rsidRPr="00A07650">
        <w:rPr>
          <w:color w:val="auto"/>
          <w:sz w:val="20"/>
          <w:szCs w:val="20"/>
          <w:shd w:val="clear" w:color="auto" w:fill="FFFFFF"/>
        </w:rPr>
        <w:t>C115/01, par 5.1.</w:t>
      </w:r>
    </w:p>
  </w:footnote>
  <w:footnote w:id="4">
    <w:p w:rsidR="008426C3" w:rsidRPr="00A07650" w:rsidRDefault="008426C3">
      <w:pPr>
        <w:pStyle w:val="FootnoteText"/>
        <w:rPr>
          <w:color w:val="auto"/>
          <w:sz w:val="20"/>
          <w:szCs w:val="20"/>
          <w:lang w:val="en-US"/>
        </w:rPr>
      </w:pPr>
      <w:r w:rsidRPr="00A07650">
        <w:rPr>
          <w:rStyle w:val="FootnoteReference"/>
          <w:color w:val="auto"/>
          <w:sz w:val="20"/>
          <w:szCs w:val="20"/>
        </w:rPr>
        <w:footnoteRef/>
      </w:r>
      <w:r w:rsidRPr="00A07650">
        <w:rPr>
          <w:color w:val="auto"/>
          <w:sz w:val="20"/>
          <w:szCs w:val="20"/>
        </w:rPr>
        <w:t xml:space="preserve"> </w:t>
      </w:r>
      <w:r w:rsidRPr="00A07650">
        <w:rPr>
          <w:color w:val="auto"/>
          <w:sz w:val="20"/>
          <w:szCs w:val="20"/>
          <w:lang w:val="en-US"/>
        </w:rPr>
        <w:t>CJEU 5 September 2012, Case C-355/10 (</w:t>
      </w:r>
      <w:r w:rsidRPr="00A07650">
        <w:rPr>
          <w:i/>
          <w:color w:val="auto"/>
          <w:sz w:val="20"/>
          <w:szCs w:val="20"/>
          <w:lang w:val="en-US"/>
        </w:rPr>
        <w:t>Parliament v Council</w:t>
      </w:r>
      <w:r w:rsidRPr="00A07650">
        <w:rPr>
          <w:color w:val="auto"/>
          <w:sz w:val="20"/>
          <w:szCs w:val="20"/>
          <w:lang w:val="en-US"/>
        </w:rPr>
        <w:t>).</w:t>
      </w:r>
    </w:p>
  </w:footnote>
  <w:footnote w:id="5">
    <w:p w:rsidR="008426C3" w:rsidRPr="00A07650" w:rsidRDefault="008426C3" w:rsidP="004409F1">
      <w:pPr>
        <w:pStyle w:val="FootnoteText"/>
        <w:rPr>
          <w:color w:val="auto"/>
          <w:sz w:val="20"/>
          <w:szCs w:val="20"/>
          <w:lang w:val="en-US"/>
        </w:rPr>
      </w:pPr>
      <w:r w:rsidRPr="00A07650">
        <w:rPr>
          <w:rStyle w:val="FootnoteReference"/>
          <w:color w:val="auto"/>
          <w:sz w:val="20"/>
          <w:szCs w:val="20"/>
        </w:rPr>
        <w:footnoteRef/>
      </w:r>
      <w:r w:rsidRPr="00A07650">
        <w:rPr>
          <w:color w:val="auto"/>
          <w:sz w:val="20"/>
          <w:szCs w:val="20"/>
        </w:rPr>
        <w:t xml:space="preserve"> </w:t>
      </w:r>
      <w:r w:rsidRPr="00A07650">
        <w:rPr>
          <w:color w:val="auto"/>
          <w:sz w:val="20"/>
          <w:szCs w:val="20"/>
          <w:lang w:val="en-US"/>
        </w:rPr>
        <w:t>Reg. 2007/2004, Art. 1(2).</w:t>
      </w:r>
    </w:p>
  </w:footnote>
  <w:footnote w:id="6">
    <w:p w:rsidR="008426C3" w:rsidRPr="00A07650" w:rsidRDefault="008426C3" w:rsidP="004409F1">
      <w:pPr>
        <w:pStyle w:val="FootnoteText"/>
        <w:rPr>
          <w:color w:val="auto"/>
          <w:sz w:val="20"/>
          <w:szCs w:val="20"/>
          <w:lang w:val="en-US"/>
        </w:rPr>
      </w:pPr>
      <w:r w:rsidRPr="00A07650">
        <w:rPr>
          <w:rStyle w:val="FootnoteReference"/>
          <w:color w:val="auto"/>
          <w:sz w:val="20"/>
          <w:szCs w:val="20"/>
        </w:rPr>
        <w:footnoteRef/>
      </w:r>
      <w:r w:rsidRPr="00A07650">
        <w:rPr>
          <w:color w:val="auto"/>
          <w:sz w:val="20"/>
          <w:szCs w:val="20"/>
        </w:rPr>
        <w:t xml:space="preserve"> Reg. 1052/2013, Art. 6</w:t>
      </w:r>
    </w:p>
  </w:footnote>
  <w:footnote w:id="7">
    <w:p w:rsidR="008426C3" w:rsidRPr="00A07650" w:rsidRDefault="008426C3" w:rsidP="004409F1">
      <w:pPr>
        <w:pStyle w:val="FootnoteText"/>
        <w:rPr>
          <w:color w:val="auto"/>
          <w:sz w:val="20"/>
          <w:szCs w:val="20"/>
        </w:rPr>
      </w:pPr>
      <w:r w:rsidRPr="00A07650">
        <w:rPr>
          <w:rStyle w:val="FootnoteReference"/>
          <w:color w:val="auto"/>
          <w:sz w:val="20"/>
          <w:szCs w:val="20"/>
        </w:rPr>
        <w:footnoteRef/>
      </w:r>
      <w:r w:rsidRPr="00A07650">
        <w:rPr>
          <w:color w:val="auto"/>
          <w:sz w:val="20"/>
          <w:szCs w:val="20"/>
        </w:rPr>
        <w:t xml:space="preserve"> Reg. 2007/2004, Recital 22.</w:t>
      </w:r>
    </w:p>
  </w:footnote>
  <w:footnote w:id="8">
    <w:p w:rsidR="008426C3" w:rsidRPr="00A07650" w:rsidRDefault="008426C3" w:rsidP="004409F1">
      <w:pPr>
        <w:pStyle w:val="FootnoteText"/>
        <w:rPr>
          <w:color w:val="auto"/>
          <w:sz w:val="20"/>
          <w:szCs w:val="20"/>
          <w:lang w:val="en-US"/>
        </w:rPr>
      </w:pPr>
      <w:r w:rsidRPr="00A07650">
        <w:rPr>
          <w:rStyle w:val="FootnoteReference"/>
          <w:color w:val="auto"/>
          <w:sz w:val="20"/>
          <w:szCs w:val="20"/>
        </w:rPr>
        <w:footnoteRef/>
      </w:r>
      <w:r w:rsidRPr="00A07650">
        <w:rPr>
          <w:color w:val="auto"/>
          <w:sz w:val="20"/>
          <w:szCs w:val="20"/>
        </w:rPr>
        <w:t xml:space="preserve"> </w:t>
      </w:r>
      <w:r w:rsidRPr="00A07650">
        <w:rPr>
          <w:color w:val="auto"/>
          <w:sz w:val="20"/>
          <w:szCs w:val="20"/>
          <w:lang w:val="en-US"/>
        </w:rPr>
        <w:t xml:space="preserve">See </w:t>
      </w:r>
      <w:proofErr w:type="spellStart"/>
      <w:r w:rsidRPr="00A07650">
        <w:rPr>
          <w:color w:val="auto"/>
          <w:sz w:val="20"/>
          <w:szCs w:val="20"/>
          <w:lang w:val="en-US"/>
        </w:rPr>
        <w:t>eg</w:t>
      </w:r>
      <w:proofErr w:type="spellEnd"/>
      <w:r w:rsidRPr="00A07650">
        <w:rPr>
          <w:color w:val="auto"/>
          <w:sz w:val="20"/>
          <w:szCs w:val="20"/>
          <w:lang w:val="en-US"/>
        </w:rPr>
        <w:t xml:space="preserve"> S Carrera, ‘The EU Border Management Strategy. FRONTEX and the Challenges of Irregular Immigration in the Canary Islands’, </w:t>
      </w:r>
      <w:r w:rsidRPr="00A07650">
        <w:rPr>
          <w:color w:val="auto"/>
          <w:sz w:val="20"/>
          <w:szCs w:val="20"/>
        </w:rPr>
        <w:t>CEPS Working Document No. 261/March 2007.</w:t>
      </w:r>
    </w:p>
  </w:footnote>
  <w:footnote w:id="9">
    <w:p w:rsidR="008426C3" w:rsidRPr="00A07650" w:rsidRDefault="008426C3" w:rsidP="004409F1">
      <w:pPr>
        <w:pStyle w:val="FootnoteText"/>
        <w:rPr>
          <w:color w:val="auto"/>
          <w:sz w:val="20"/>
          <w:szCs w:val="20"/>
          <w:lang w:val="en-US"/>
        </w:rPr>
      </w:pPr>
      <w:r w:rsidRPr="00A07650">
        <w:rPr>
          <w:rStyle w:val="FootnoteReference"/>
          <w:color w:val="auto"/>
          <w:sz w:val="20"/>
          <w:szCs w:val="20"/>
        </w:rPr>
        <w:footnoteRef/>
      </w:r>
      <w:r w:rsidRPr="00A07650">
        <w:rPr>
          <w:color w:val="auto"/>
          <w:sz w:val="20"/>
          <w:szCs w:val="20"/>
        </w:rPr>
        <w:t xml:space="preserve"> Reg. 1168/2011, n</w:t>
      </w:r>
      <w:proofErr w:type="spellStart"/>
      <w:r w:rsidRPr="00A07650">
        <w:rPr>
          <w:color w:val="auto"/>
          <w:sz w:val="20"/>
          <w:szCs w:val="20"/>
          <w:lang w:val="en-US"/>
        </w:rPr>
        <w:t>ew</w:t>
      </w:r>
      <w:proofErr w:type="spellEnd"/>
      <w:r w:rsidRPr="00A07650">
        <w:rPr>
          <w:color w:val="auto"/>
          <w:sz w:val="20"/>
          <w:szCs w:val="20"/>
          <w:lang w:val="en-US"/>
        </w:rPr>
        <w:t xml:space="preserve"> Articles 1(2) and 26a.</w:t>
      </w:r>
    </w:p>
  </w:footnote>
  <w:footnote w:id="10">
    <w:p w:rsidR="008426C3" w:rsidRPr="008D3D4F" w:rsidRDefault="008426C3" w:rsidP="004409F1">
      <w:pPr>
        <w:pStyle w:val="FootnoteText"/>
      </w:pPr>
      <w:r w:rsidRPr="00A07650">
        <w:rPr>
          <w:rStyle w:val="FootnoteReference"/>
          <w:color w:val="auto"/>
          <w:sz w:val="20"/>
          <w:szCs w:val="20"/>
        </w:rPr>
        <w:footnoteRef/>
      </w:r>
      <w:r w:rsidRPr="00A07650">
        <w:rPr>
          <w:color w:val="auto"/>
          <w:sz w:val="20"/>
          <w:szCs w:val="20"/>
        </w:rPr>
        <w:t xml:space="preserve"> </w:t>
      </w:r>
      <w:r>
        <w:rPr>
          <w:color w:val="auto"/>
          <w:sz w:val="20"/>
          <w:szCs w:val="20"/>
        </w:rPr>
        <w:t>R</w:t>
      </w:r>
      <w:r w:rsidRPr="00A07650">
        <w:rPr>
          <w:color w:val="auto"/>
          <w:sz w:val="20"/>
          <w:szCs w:val="20"/>
        </w:rPr>
        <w:t>eg</w:t>
      </w:r>
      <w:r>
        <w:rPr>
          <w:color w:val="auto"/>
          <w:sz w:val="20"/>
          <w:szCs w:val="20"/>
        </w:rPr>
        <w:t>.</w:t>
      </w:r>
      <w:r w:rsidRPr="00A07650">
        <w:rPr>
          <w:color w:val="auto"/>
          <w:sz w:val="20"/>
          <w:szCs w:val="20"/>
        </w:rPr>
        <w:t xml:space="preserve"> </w:t>
      </w:r>
      <w:r w:rsidRPr="00A07650">
        <w:rPr>
          <w:color w:val="auto"/>
          <w:sz w:val="20"/>
          <w:szCs w:val="20"/>
          <w:lang w:val="en-US"/>
        </w:rPr>
        <w:t>1052/2013</w:t>
      </w:r>
      <w:r>
        <w:rPr>
          <w:color w:val="auto"/>
          <w:sz w:val="20"/>
          <w:szCs w:val="20"/>
          <w:lang w:val="en-US"/>
        </w:rPr>
        <w:t xml:space="preserve">, </w:t>
      </w:r>
      <w:r w:rsidRPr="00A07650">
        <w:rPr>
          <w:color w:val="auto"/>
          <w:sz w:val="20"/>
          <w:szCs w:val="20"/>
        </w:rPr>
        <w:t>Art. 1</w:t>
      </w:r>
      <w:r w:rsidRPr="00A07650">
        <w:rPr>
          <w:color w:val="auto"/>
          <w:sz w:val="20"/>
          <w:szCs w:val="20"/>
          <w:lang w:val="en-US"/>
        </w:rPr>
        <w:t>.</w:t>
      </w:r>
    </w:p>
  </w:footnote>
  <w:footnote w:id="11">
    <w:p w:rsidR="008426C3" w:rsidRPr="0011394B" w:rsidRDefault="008426C3" w:rsidP="001369E7">
      <w:pPr>
        <w:pStyle w:val="FootnoteText"/>
        <w:rPr>
          <w:color w:val="auto"/>
          <w:sz w:val="20"/>
          <w:szCs w:val="20"/>
        </w:rPr>
      </w:pPr>
      <w:r w:rsidRPr="0011394B">
        <w:rPr>
          <w:rStyle w:val="FootnoteReference"/>
          <w:color w:val="auto"/>
          <w:sz w:val="20"/>
          <w:szCs w:val="20"/>
        </w:rPr>
        <w:footnoteRef/>
      </w:r>
      <w:r w:rsidRPr="0011394B">
        <w:rPr>
          <w:color w:val="auto"/>
          <w:sz w:val="20"/>
          <w:szCs w:val="20"/>
        </w:rPr>
        <w:t xml:space="preserve"> SEC(2007) 691.</w:t>
      </w:r>
    </w:p>
  </w:footnote>
  <w:footnote w:id="12">
    <w:p w:rsidR="008426C3" w:rsidRPr="0011394B" w:rsidRDefault="008426C3">
      <w:pPr>
        <w:pStyle w:val="FootnoteText"/>
        <w:rPr>
          <w:color w:val="auto"/>
          <w:sz w:val="20"/>
          <w:szCs w:val="20"/>
        </w:rPr>
      </w:pPr>
      <w:r w:rsidRPr="0011394B">
        <w:rPr>
          <w:rStyle w:val="FootnoteReference"/>
          <w:color w:val="auto"/>
          <w:sz w:val="20"/>
          <w:szCs w:val="20"/>
        </w:rPr>
        <w:footnoteRef/>
      </w:r>
      <w:r w:rsidRPr="0011394B">
        <w:rPr>
          <w:color w:val="auto"/>
          <w:sz w:val="20"/>
          <w:szCs w:val="20"/>
        </w:rPr>
        <w:t xml:space="preserve"> Reg. 562/2006.</w:t>
      </w:r>
    </w:p>
  </w:footnote>
  <w:footnote w:id="13">
    <w:p w:rsidR="008426C3" w:rsidRPr="0011394B" w:rsidRDefault="008426C3" w:rsidP="001369E7">
      <w:pPr>
        <w:pStyle w:val="FootnoteText"/>
        <w:rPr>
          <w:color w:val="auto"/>
          <w:sz w:val="20"/>
          <w:szCs w:val="20"/>
        </w:rPr>
      </w:pPr>
      <w:r w:rsidRPr="0011394B">
        <w:rPr>
          <w:rStyle w:val="FootnoteReference"/>
          <w:color w:val="auto"/>
          <w:sz w:val="20"/>
          <w:szCs w:val="20"/>
        </w:rPr>
        <w:footnoteRef/>
      </w:r>
      <w:r w:rsidRPr="0011394B">
        <w:rPr>
          <w:color w:val="auto"/>
          <w:sz w:val="20"/>
          <w:szCs w:val="20"/>
        </w:rPr>
        <w:t xml:space="preserve"> COM(2009) 658 final.</w:t>
      </w:r>
    </w:p>
  </w:footnote>
  <w:footnote w:id="14">
    <w:p w:rsidR="008426C3" w:rsidRPr="0011394B" w:rsidRDefault="008426C3" w:rsidP="001369E7">
      <w:pPr>
        <w:pStyle w:val="FootnoteText"/>
        <w:rPr>
          <w:color w:val="auto"/>
          <w:sz w:val="20"/>
          <w:szCs w:val="20"/>
        </w:rPr>
      </w:pPr>
      <w:r w:rsidRPr="0011394B">
        <w:rPr>
          <w:rStyle w:val="FootnoteReference"/>
          <w:color w:val="auto"/>
          <w:sz w:val="20"/>
          <w:szCs w:val="20"/>
        </w:rPr>
        <w:footnoteRef/>
      </w:r>
      <w:r w:rsidRPr="0011394B">
        <w:rPr>
          <w:color w:val="auto"/>
          <w:sz w:val="20"/>
          <w:szCs w:val="20"/>
        </w:rPr>
        <w:t xml:space="preserve"> Motion for a resolution on the Draft Council Decision supplementing the Schengen Borders Code as regards the surveillance of the sea external borders in the context of operational coordination coordinated by the European Agency for the Management of Operational Cooperation at the External Borders, B7-0227/2010, 17 March 2010. See further procedural file </w:t>
      </w:r>
      <w:r w:rsidRPr="0011394B">
        <w:rPr>
          <w:rFonts w:cs="Arial"/>
          <w:bCs/>
          <w:color w:val="auto"/>
          <w:sz w:val="20"/>
          <w:szCs w:val="20"/>
        </w:rPr>
        <w:t>2009/2755(RPS).</w:t>
      </w:r>
    </w:p>
  </w:footnote>
  <w:footnote w:id="15">
    <w:p w:rsidR="008426C3" w:rsidRPr="00952353" w:rsidRDefault="008426C3">
      <w:pPr>
        <w:pStyle w:val="FootnoteText"/>
        <w:rPr>
          <w:lang w:val="en-US"/>
        </w:rPr>
      </w:pPr>
      <w:r w:rsidRPr="0011394B">
        <w:rPr>
          <w:rStyle w:val="FootnoteReference"/>
          <w:color w:val="auto"/>
          <w:sz w:val="20"/>
          <w:szCs w:val="20"/>
        </w:rPr>
        <w:footnoteRef/>
      </w:r>
      <w:r w:rsidRPr="0011394B">
        <w:rPr>
          <w:color w:val="auto"/>
          <w:sz w:val="20"/>
          <w:szCs w:val="20"/>
        </w:rPr>
        <w:t xml:space="preserve"> </w:t>
      </w:r>
      <w:r w:rsidRPr="0011394B">
        <w:rPr>
          <w:color w:val="auto"/>
          <w:sz w:val="20"/>
          <w:szCs w:val="20"/>
          <w:lang w:val="en-US"/>
        </w:rPr>
        <w:t>CJEU 5 September 2012, Case C-355/10 (</w:t>
      </w:r>
      <w:r w:rsidRPr="0011394B">
        <w:rPr>
          <w:i/>
          <w:color w:val="auto"/>
          <w:sz w:val="20"/>
          <w:szCs w:val="20"/>
          <w:lang w:val="en-US"/>
        </w:rPr>
        <w:t>Parliament v Council</w:t>
      </w:r>
      <w:r w:rsidRPr="0011394B">
        <w:rPr>
          <w:color w:val="auto"/>
          <w:sz w:val="20"/>
          <w:szCs w:val="20"/>
          <w:lang w:val="en-US"/>
        </w:rPr>
        <w:t>).</w:t>
      </w:r>
    </w:p>
  </w:footnote>
  <w:footnote w:id="16">
    <w:p w:rsidR="008426C3" w:rsidRPr="0045471A" w:rsidRDefault="008426C3">
      <w:pPr>
        <w:pStyle w:val="FootnoteText"/>
        <w:rPr>
          <w:color w:val="auto"/>
          <w:sz w:val="20"/>
          <w:szCs w:val="20"/>
        </w:rPr>
      </w:pPr>
      <w:r w:rsidRPr="0045471A">
        <w:rPr>
          <w:rStyle w:val="FootnoteReference"/>
          <w:color w:val="auto"/>
          <w:sz w:val="20"/>
          <w:szCs w:val="20"/>
        </w:rPr>
        <w:footnoteRef/>
      </w:r>
      <w:r w:rsidRPr="0045471A">
        <w:rPr>
          <w:color w:val="auto"/>
          <w:sz w:val="20"/>
          <w:szCs w:val="20"/>
        </w:rPr>
        <w:t xml:space="preserve"> </w:t>
      </w:r>
      <w:proofErr w:type="spellStart"/>
      <w:r w:rsidRPr="0045471A">
        <w:rPr>
          <w:color w:val="auto"/>
          <w:sz w:val="20"/>
          <w:szCs w:val="20"/>
        </w:rPr>
        <w:t>ECtHR</w:t>
      </w:r>
      <w:proofErr w:type="spellEnd"/>
      <w:r w:rsidRPr="0045471A">
        <w:rPr>
          <w:color w:val="auto"/>
          <w:sz w:val="20"/>
          <w:szCs w:val="20"/>
        </w:rPr>
        <w:t xml:space="preserve"> [Grand Chamber] 23 Feb. 2012, </w:t>
      </w:r>
      <w:proofErr w:type="spellStart"/>
      <w:r w:rsidRPr="0045471A">
        <w:rPr>
          <w:i/>
          <w:color w:val="auto"/>
          <w:sz w:val="20"/>
          <w:szCs w:val="20"/>
        </w:rPr>
        <w:t>Hirsi</w:t>
      </w:r>
      <w:proofErr w:type="spellEnd"/>
      <w:r w:rsidRPr="0045471A">
        <w:rPr>
          <w:i/>
          <w:color w:val="auto"/>
          <w:sz w:val="20"/>
          <w:szCs w:val="20"/>
        </w:rPr>
        <w:t xml:space="preserve"> </w:t>
      </w:r>
      <w:proofErr w:type="spellStart"/>
      <w:r w:rsidRPr="0045471A">
        <w:rPr>
          <w:i/>
          <w:color w:val="auto"/>
          <w:sz w:val="20"/>
          <w:szCs w:val="20"/>
        </w:rPr>
        <w:t>Jamaa</w:t>
      </w:r>
      <w:proofErr w:type="spellEnd"/>
      <w:r w:rsidRPr="0045471A">
        <w:rPr>
          <w:i/>
          <w:color w:val="auto"/>
          <w:sz w:val="20"/>
          <w:szCs w:val="20"/>
        </w:rPr>
        <w:t xml:space="preserve"> </w:t>
      </w:r>
      <w:proofErr w:type="spellStart"/>
      <w:r w:rsidRPr="0045471A">
        <w:rPr>
          <w:i/>
          <w:color w:val="auto"/>
          <w:sz w:val="20"/>
          <w:szCs w:val="20"/>
        </w:rPr>
        <w:t>a.o.</w:t>
      </w:r>
      <w:proofErr w:type="spellEnd"/>
      <w:r w:rsidRPr="0045471A">
        <w:rPr>
          <w:i/>
          <w:color w:val="auto"/>
          <w:sz w:val="20"/>
          <w:szCs w:val="20"/>
        </w:rPr>
        <w:t xml:space="preserve"> v Italy</w:t>
      </w:r>
      <w:r w:rsidRPr="0045471A">
        <w:rPr>
          <w:color w:val="auto"/>
          <w:sz w:val="20"/>
          <w:szCs w:val="20"/>
        </w:rPr>
        <w:t xml:space="preserve">, no. </w:t>
      </w:r>
      <w:r w:rsidRPr="0045471A">
        <w:rPr>
          <w:rFonts w:cs="Arial"/>
          <w:iCs/>
          <w:color w:val="auto"/>
          <w:sz w:val="20"/>
          <w:szCs w:val="20"/>
          <w:shd w:val="clear" w:color="auto" w:fill="FFFFFF"/>
        </w:rPr>
        <w:t>27765/09.</w:t>
      </w:r>
    </w:p>
  </w:footnote>
  <w:footnote w:id="17">
    <w:p w:rsidR="008426C3" w:rsidRPr="0045471A" w:rsidRDefault="008426C3">
      <w:pPr>
        <w:pStyle w:val="FootnoteText"/>
        <w:rPr>
          <w:color w:val="auto"/>
          <w:sz w:val="20"/>
          <w:szCs w:val="20"/>
        </w:rPr>
      </w:pPr>
      <w:r w:rsidRPr="0045471A">
        <w:rPr>
          <w:rStyle w:val="FootnoteReference"/>
          <w:color w:val="auto"/>
          <w:sz w:val="20"/>
          <w:szCs w:val="20"/>
        </w:rPr>
        <w:footnoteRef/>
      </w:r>
      <w:r w:rsidRPr="0045471A">
        <w:rPr>
          <w:color w:val="auto"/>
          <w:sz w:val="20"/>
          <w:szCs w:val="20"/>
        </w:rPr>
        <w:t xml:space="preserve"> See </w:t>
      </w:r>
      <w:proofErr w:type="spellStart"/>
      <w:r w:rsidRPr="0045471A">
        <w:rPr>
          <w:color w:val="auto"/>
          <w:sz w:val="20"/>
          <w:szCs w:val="20"/>
        </w:rPr>
        <w:t>eg</w:t>
      </w:r>
      <w:proofErr w:type="spellEnd"/>
      <w:r w:rsidRPr="0045471A">
        <w:rPr>
          <w:color w:val="auto"/>
          <w:sz w:val="20"/>
          <w:szCs w:val="20"/>
        </w:rPr>
        <w:t xml:space="preserve"> </w:t>
      </w:r>
      <w:r w:rsidRPr="0045471A">
        <w:rPr>
          <w:rFonts w:cs="Arial"/>
          <w:bCs/>
          <w:color w:val="auto"/>
          <w:sz w:val="20"/>
          <w:szCs w:val="20"/>
          <w:shd w:val="clear" w:color="auto" w:fill="FFFFFF"/>
        </w:rPr>
        <w:t xml:space="preserve">Statement by President </w:t>
      </w:r>
      <w:proofErr w:type="spellStart"/>
      <w:r w:rsidRPr="0045471A">
        <w:rPr>
          <w:rFonts w:cs="Arial"/>
          <w:bCs/>
          <w:color w:val="auto"/>
          <w:sz w:val="20"/>
          <w:szCs w:val="20"/>
          <w:shd w:val="clear" w:color="auto" w:fill="FFFFFF"/>
        </w:rPr>
        <w:t>Barroso</w:t>
      </w:r>
      <w:proofErr w:type="spellEnd"/>
      <w:r w:rsidRPr="0045471A">
        <w:rPr>
          <w:rFonts w:cs="Arial"/>
          <w:bCs/>
          <w:color w:val="auto"/>
          <w:sz w:val="20"/>
          <w:szCs w:val="20"/>
          <w:shd w:val="clear" w:color="auto" w:fill="FFFFFF"/>
        </w:rPr>
        <w:t xml:space="preserve"> following the European Council meeting of </w:t>
      </w:r>
      <w:hyperlink r:id="rId1" w:tooltip="Statement by President Barroso at the final press conference following the European Council meeting, 25 October 2013" w:history="1">
        <w:r w:rsidRPr="0045471A">
          <w:rPr>
            <w:rStyle w:val="Hyperlink"/>
            <w:color w:val="auto"/>
            <w:sz w:val="20"/>
            <w:szCs w:val="20"/>
            <w:bdr w:val="none" w:sz="0" w:space="0" w:color="auto" w:frame="1"/>
            <w:shd w:val="clear" w:color="auto" w:fill="FFFFFF"/>
          </w:rPr>
          <w:t>25 October 2013</w:t>
        </w:r>
      </w:hyperlink>
      <w:r w:rsidRPr="0045471A">
        <w:rPr>
          <w:color w:val="auto"/>
          <w:sz w:val="20"/>
          <w:szCs w:val="20"/>
        </w:rPr>
        <w:t xml:space="preserve"> and European Council Conclusions of 24/25 October 2013, Council doc. </w:t>
      </w:r>
      <w:r w:rsidRPr="0045471A">
        <w:rPr>
          <w:color w:val="auto"/>
          <w:sz w:val="20"/>
          <w:szCs w:val="20"/>
          <w:shd w:val="clear" w:color="auto" w:fill="FFFFFF"/>
        </w:rPr>
        <w:t>ST 169 2013 INIT.</w:t>
      </w:r>
    </w:p>
  </w:footnote>
  <w:footnote w:id="18">
    <w:p w:rsidR="008426C3" w:rsidRPr="0045471A" w:rsidRDefault="008426C3">
      <w:pPr>
        <w:pStyle w:val="FootnoteText"/>
        <w:rPr>
          <w:color w:val="auto"/>
          <w:sz w:val="20"/>
          <w:szCs w:val="20"/>
          <w:lang w:val="en-US"/>
        </w:rPr>
      </w:pPr>
      <w:r w:rsidRPr="0045471A">
        <w:rPr>
          <w:rStyle w:val="FootnoteReference"/>
          <w:color w:val="auto"/>
          <w:sz w:val="20"/>
          <w:szCs w:val="20"/>
        </w:rPr>
        <w:footnoteRef/>
      </w:r>
      <w:r w:rsidRPr="0045471A">
        <w:rPr>
          <w:color w:val="auto"/>
          <w:sz w:val="20"/>
          <w:szCs w:val="20"/>
        </w:rPr>
        <w:t xml:space="preserve"> T. </w:t>
      </w:r>
      <w:proofErr w:type="spellStart"/>
      <w:r w:rsidRPr="0045471A">
        <w:rPr>
          <w:color w:val="auto"/>
          <w:sz w:val="20"/>
          <w:szCs w:val="20"/>
          <w:lang w:val="en-US"/>
        </w:rPr>
        <w:t>Gammeltoft</w:t>
      </w:r>
      <w:proofErr w:type="spellEnd"/>
      <w:r w:rsidRPr="0045471A">
        <w:rPr>
          <w:color w:val="auto"/>
          <w:sz w:val="20"/>
          <w:szCs w:val="20"/>
          <w:lang w:val="en-US"/>
        </w:rPr>
        <w:t xml:space="preserve">-Hansen, </w:t>
      </w:r>
      <w:proofErr w:type="spellStart"/>
      <w:r w:rsidRPr="0045471A">
        <w:rPr>
          <w:i/>
          <w:color w:val="auto"/>
          <w:sz w:val="20"/>
          <w:szCs w:val="20"/>
          <w:lang w:val="en-US"/>
        </w:rPr>
        <w:t>Acces</w:t>
      </w:r>
      <w:proofErr w:type="spellEnd"/>
      <w:r w:rsidRPr="0045471A">
        <w:rPr>
          <w:i/>
          <w:color w:val="auto"/>
          <w:sz w:val="20"/>
          <w:szCs w:val="20"/>
          <w:lang w:val="en-US"/>
        </w:rPr>
        <w:t xml:space="preserve"> to Asylum. International Refugee Law and the </w:t>
      </w:r>
      <w:proofErr w:type="spellStart"/>
      <w:r w:rsidRPr="0045471A">
        <w:rPr>
          <w:i/>
          <w:color w:val="auto"/>
          <w:sz w:val="20"/>
          <w:szCs w:val="20"/>
          <w:lang w:val="en-US"/>
        </w:rPr>
        <w:t>Globalisation</w:t>
      </w:r>
      <w:proofErr w:type="spellEnd"/>
      <w:r w:rsidRPr="0045471A">
        <w:rPr>
          <w:i/>
          <w:color w:val="auto"/>
          <w:sz w:val="20"/>
          <w:szCs w:val="20"/>
          <w:lang w:val="en-US"/>
        </w:rPr>
        <w:t xml:space="preserve"> of Migration Control</w:t>
      </w:r>
      <w:r w:rsidRPr="0045471A">
        <w:rPr>
          <w:color w:val="auto"/>
          <w:sz w:val="20"/>
          <w:szCs w:val="20"/>
          <w:lang w:val="en-US"/>
        </w:rPr>
        <w:t>, CUP 2011, p. 41 (referring in this connection to states playing ‘sovereignty games’).</w:t>
      </w:r>
    </w:p>
  </w:footnote>
  <w:footnote w:id="19">
    <w:p w:rsidR="008426C3" w:rsidRPr="0045471A" w:rsidRDefault="008426C3">
      <w:pPr>
        <w:pStyle w:val="FootnoteText"/>
        <w:rPr>
          <w:color w:val="auto"/>
          <w:sz w:val="20"/>
          <w:szCs w:val="20"/>
        </w:rPr>
      </w:pPr>
      <w:r w:rsidRPr="0045471A">
        <w:rPr>
          <w:rStyle w:val="FootnoteReference"/>
          <w:color w:val="auto"/>
          <w:sz w:val="20"/>
          <w:szCs w:val="20"/>
        </w:rPr>
        <w:footnoteRef/>
      </w:r>
      <w:r w:rsidRPr="0045471A">
        <w:rPr>
          <w:color w:val="auto"/>
          <w:sz w:val="20"/>
          <w:szCs w:val="20"/>
        </w:rPr>
        <w:t xml:space="preserve"> R.E. </w:t>
      </w:r>
      <w:proofErr w:type="spellStart"/>
      <w:r w:rsidRPr="0045471A">
        <w:rPr>
          <w:color w:val="auto"/>
          <w:sz w:val="20"/>
          <w:szCs w:val="20"/>
        </w:rPr>
        <w:t>Wasem</w:t>
      </w:r>
      <w:proofErr w:type="spellEnd"/>
      <w:r w:rsidRPr="0045471A">
        <w:rPr>
          <w:color w:val="auto"/>
          <w:sz w:val="20"/>
          <w:szCs w:val="20"/>
        </w:rPr>
        <w:t>, ‘Cuban Migration to the United States: Policy and Trends’, U.S. Congressional Research Service, 2009.</w:t>
      </w:r>
    </w:p>
  </w:footnote>
  <w:footnote w:id="20">
    <w:p w:rsidR="008426C3" w:rsidRPr="0045471A" w:rsidRDefault="008426C3">
      <w:pPr>
        <w:pStyle w:val="FootnoteText"/>
        <w:rPr>
          <w:color w:val="auto"/>
          <w:sz w:val="20"/>
          <w:szCs w:val="20"/>
          <w:lang w:val="en-US"/>
        </w:rPr>
      </w:pPr>
      <w:r w:rsidRPr="0045471A">
        <w:rPr>
          <w:rStyle w:val="FootnoteReference"/>
          <w:color w:val="auto"/>
          <w:sz w:val="20"/>
          <w:szCs w:val="20"/>
        </w:rPr>
        <w:footnoteRef/>
      </w:r>
      <w:r w:rsidRPr="0045471A">
        <w:rPr>
          <w:color w:val="auto"/>
          <w:sz w:val="20"/>
          <w:szCs w:val="20"/>
        </w:rPr>
        <w:t xml:space="preserve"> </w:t>
      </w:r>
      <w:r w:rsidRPr="0045471A">
        <w:rPr>
          <w:color w:val="auto"/>
          <w:sz w:val="20"/>
          <w:szCs w:val="20"/>
          <w:lang w:val="en-US"/>
        </w:rPr>
        <w:t xml:space="preserve">U.S. Supreme Court 21 June 1993, </w:t>
      </w:r>
      <w:r w:rsidRPr="0045471A">
        <w:rPr>
          <w:i/>
          <w:color w:val="auto"/>
          <w:sz w:val="20"/>
          <w:szCs w:val="20"/>
          <w:lang w:val="en-US"/>
        </w:rPr>
        <w:t>Sale v Haitian Centers Council</w:t>
      </w:r>
      <w:r w:rsidRPr="0045471A">
        <w:rPr>
          <w:color w:val="auto"/>
          <w:sz w:val="20"/>
          <w:szCs w:val="20"/>
          <w:lang w:val="en-US"/>
        </w:rPr>
        <w:t>, [1993] 509 US 155.</w:t>
      </w:r>
    </w:p>
  </w:footnote>
  <w:footnote w:id="21">
    <w:p w:rsidR="008426C3" w:rsidRPr="001C1B29" w:rsidRDefault="008426C3" w:rsidP="001C1B29">
      <w:pPr>
        <w:pStyle w:val="FootnoteText"/>
        <w:rPr>
          <w:lang w:val="en-US"/>
        </w:rPr>
      </w:pPr>
      <w:r w:rsidRPr="0045471A">
        <w:rPr>
          <w:rStyle w:val="FootnoteReference"/>
          <w:color w:val="auto"/>
          <w:sz w:val="20"/>
          <w:szCs w:val="20"/>
        </w:rPr>
        <w:footnoteRef/>
      </w:r>
      <w:r w:rsidRPr="0045471A">
        <w:rPr>
          <w:color w:val="auto"/>
          <w:sz w:val="20"/>
          <w:szCs w:val="20"/>
        </w:rPr>
        <w:t xml:space="preserve"> </w:t>
      </w:r>
      <w:r w:rsidRPr="0045471A">
        <w:rPr>
          <w:rStyle w:val="paperstitle"/>
          <w:bCs/>
          <w:color w:val="auto"/>
          <w:sz w:val="20"/>
          <w:szCs w:val="20"/>
          <w:shd w:val="clear" w:color="auto" w:fill="FFFFFF"/>
        </w:rPr>
        <w:t>Executive Order 12807, ‘Interdiction of Illegal Aliens’, 24 May 1992.</w:t>
      </w:r>
    </w:p>
  </w:footnote>
  <w:footnote w:id="22">
    <w:p w:rsidR="008426C3" w:rsidRPr="00601679" w:rsidRDefault="008426C3" w:rsidP="0045471A">
      <w:pPr>
        <w:pStyle w:val="Heading1"/>
        <w:shd w:val="clear" w:color="auto" w:fill="FFFFFF"/>
        <w:spacing w:before="0" w:beforeAutospacing="0" w:after="0" w:afterAutospacing="0"/>
        <w:rPr>
          <w:rFonts w:asciiTheme="minorHAnsi" w:hAnsiTheme="minorHAnsi" w:cs="Arial"/>
          <w:b w:val="0"/>
          <w:bCs w:val="0"/>
          <w:sz w:val="20"/>
          <w:szCs w:val="20"/>
        </w:rPr>
      </w:pPr>
      <w:r w:rsidRPr="00601679">
        <w:rPr>
          <w:rStyle w:val="FootnoteReference"/>
          <w:rFonts w:asciiTheme="minorHAnsi" w:hAnsiTheme="minorHAnsi"/>
          <w:b w:val="0"/>
          <w:sz w:val="20"/>
          <w:szCs w:val="20"/>
        </w:rPr>
        <w:footnoteRef/>
      </w:r>
      <w:r w:rsidRPr="00601679">
        <w:rPr>
          <w:rFonts w:asciiTheme="minorHAnsi" w:hAnsiTheme="minorHAnsi"/>
          <w:b w:val="0"/>
          <w:sz w:val="20"/>
          <w:szCs w:val="20"/>
        </w:rPr>
        <w:t xml:space="preserve"> </w:t>
      </w:r>
      <w:proofErr w:type="spellStart"/>
      <w:r w:rsidRPr="00601679">
        <w:rPr>
          <w:rFonts w:asciiTheme="minorHAnsi" w:hAnsiTheme="minorHAnsi"/>
          <w:b w:val="0"/>
          <w:sz w:val="20"/>
          <w:szCs w:val="20"/>
        </w:rPr>
        <w:t>Youtube</w:t>
      </w:r>
      <w:proofErr w:type="spellEnd"/>
      <w:r w:rsidRPr="00601679">
        <w:rPr>
          <w:rFonts w:asciiTheme="minorHAnsi" w:hAnsiTheme="minorHAnsi"/>
          <w:b w:val="0"/>
          <w:sz w:val="20"/>
          <w:szCs w:val="20"/>
        </w:rPr>
        <w:t xml:space="preserve"> video ‘</w:t>
      </w:r>
      <w:r w:rsidRPr="00601679">
        <w:rPr>
          <w:rStyle w:val="watch-title"/>
          <w:rFonts w:asciiTheme="minorHAnsi" w:hAnsiTheme="minorHAnsi" w:cs="Arial"/>
          <w:b w:val="0"/>
          <w:bCs w:val="0"/>
          <w:sz w:val="20"/>
          <w:szCs w:val="20"/>
          <w:bdr w:val="none" w:sz="0" w:space="0" w:color="auto" w:frame="1"/>
        </w:rPr>
        <w:t>No Way. You will not make Australia home</w:t>
      </w:r>
      <w:r w:rsidRPr="00601679">
        <w:rPr>
          <w:rFonts w:asciiTheme="minorHAnsi" w:hAnsiTheme="minorHAnsi"/>
          <w:b w:val="0"/>
          <w:sz w:val="20"/>
          <w:szCs w:val="20"/>
        </w:rPr>
        <w:t>’, published 15 April 2014, &lt;https://www.youtube.com/watch?v=rT12WH4a92w&gt;.</w:t>
      </w:r>
    </w:p>
  </w:footnote>
  <w:footnote w:id="23">
    <w:p w:rsidR="008426C3" w:rsidRPr="00601679" w:rsidRDefault="008426C3">
      <w:pPr>
        <w:pStyle w:val="FootnoteText"/>
        <w:rPr>
          <w:color w:val="auto"/>
          <w:sz w:val="20"/>
          <w:szCs w:val="20"/>
          <w:lang w:val="en-US"/>
        </w:rPr>
      </w:pPr>
      <w:r w:rsidRPr="00601679">
        <w:rPr>
          <w:rStyle w:val="FootnoteReference"/>
          <w:color w:val="auto"/>
          <w:sz w:val="20"/>
          <w:szCs w:val="20"/>
        </w:rPr>
        <w:footnoteRef/>
      </w:r>
      <w:r w:rsidRPr="00601679">
        <w:rPr>
          <w:color w:val="auto"/>
          <w:sz w:val="20"/>
          <w:szCs w:val="20"/>
        </w:rPr>
        <w:t xml:space="preserve"> </w:t>
      </w:r>
      <w:r w:rsidRPr="00601679">
        <w:rPr>
          <w:rFonts w:cs="Arial"/>
          <w:iCs/>
          <w:color w:val="auto"/>
          <w:sz w:val="20"/>
          <w:szCs w:val="20"/>
          <w:shd w:val="clear" w:color="auto" w:fill="FFFFFF"/>
        </w:rPr>
        <w:t>Migration Amendment (Excision from Migration Zone) Act</w:t>
      </w:r>
      <w:r w:rsidRPr="00601679">
        <w:rPr>
          <w:rStyle w:val="apple-converted-space"/>
          <w:rFonts w:cs="Arial"/>
          <w:color w:val="auto"/>
          <w:sz w:val="20"/>
          <w:szCs w:val="20"/>
          <w:shd w:val="clear" w:color="auto" w:fill="FFFFFF"/>
        </w:rPr>
        <w:t> </w:t>
      </w:r>
      <w:r w:rsidRPr="00601679">
        <w:rPr>
          <w:rFonts w:cs="Arial"/>
          <w:color w:val="auto"/>
          <w:sz w:val="20"/>
          <w:szCs w:val="20"/>
          <w:shd w:val="clear" w:color="auto" w:fill="FFFFFF"/>
        </w:rPr>
        <w:t xml:space="preserve">2001; </w:t>
      </w:r>
      <w:r w:rsidRPr="00601679">
        <w:rPr>
          <w:rFonts w:cs="Arial"/>
          <w:iCs/>
          <w:color w:val="auto"/>
          <w:sz w:val="20"/>
          <w:szCs w:val="20"/>
          <w:shd w:val="clear" w:color="auto" w:fill="FFFFFF"/>
        </w:rPr>
        <w:t>Migration Amendment (Excision from Migration Zone) (Consequential Provisions) Act</w:t>
      </w:r>
      <w:r w:rsidRPr="00601679">
        <w:rPr>
          <w:rStyle w:val="apple-converted-space"/>
          <w:rFonts w:cs="Arial"/>
          <w:color w:val="auto"/>
          <w:sz w:val="20"/>
          <w:szCs w:val="20"/>
          <w:shd w:val="clear" w:color="auto" w:fill="FFFFFF"/>
        </w:rPr>
        <w:t> </w:t>
      </w:r>
      <w:r w:rsidRPr="00601679">
        <w:rPr>
          <w:rFonts w:cs="Arial"/>
          <w:color w:val="auto"/>
          <w:sz w:val="20"/>
          <w:szCs w:val="20"/>
          <w:shd w:val="clear" w:color="auto" w:fill="FFFFFF"/>
        </w:rPr>
        <w:t>2001.</w:t>
      </w:r>
    </w:p>
  </w:footnote>
  <w:footnote w:id="24">
    <w:p w:rsidR="008426C3" w:rsidRPr="00601679" w:rsidRDefault="008426C3">
      <w:pPr>
        <w:pStyle w:val="FootnoteText"/>
        <w:rPr>
          <w:color w:val="auto"/>
          <w:sz w:val="20"/>
          <w:szCs w:val="20"/>
          <w:lang w:val="en-US"/>
        </w:rPr>
      </w:pPr>
      <w:r w:rsidRPr="00601679">
        <w:rPr>
          <w:rStyle w:val="FootnoteReference"/>
          <w:color w:val="auto"/>
          <w:sz w:val="20"/>
          <w:szCs w:val="20"/>
        </w:rPr>
        <w:footnoteRef/>
      </w:r>
      <w:r w:rsidRPr="00601679">
        <w:rPr>
          <w:color w:val="auto"/>
          <w:sz w:val="20"/>
          <w:szCs w:val="20"/>
        </w:rPr>
        <w:t xml:space="preserve"> </w:t>
      </w:r>
      <w:r w:rsidRPr="00601679">
        <w:rPr>
          <w:i/>
          <w:color w:val="auto"/>
          <w:sz w:val="20"/>
          <w:szCs w:val="20"/>
        </w:rPr>
        <w:t>ABC News</w:t>
      </w:r>
      <w:r w:rsidRPr="00601679">
        <w:rPr>
          <w:color w:val="auto"/>
          <w:sz w:val="20"/>
          <w:szCs w:val="20"/>
        </w:rPr>
        <w:t xml:space="preserve"> 16 May 2013, ‘Parliament excises mainland from migration zone’.</w:t>
      </w:r>
    </w:p>
  </w:footnote>
  <w:footnote w:id="25">
    <w:p w:rsidR="008426C3" w:rsidRPr="00601679" w:rsidRDefault="008426C3">
      <w:pPr>
        <w:pStyle w:val="FootnoteText"/>
        <w:rPr>
          <w:color w:val="auto"/>
          <w:sz w:val="20"/>
          <w:szCs w:val="20"/>
          <w:lang w:val="en-US"/>
        </w:rPr>
      </w:pPr>
      <w:r w:rsidRPr="00601679">
        <w:rPr>
          <w:rStyle w:val="FootnoteReference"/>
          <w:color w:val="auto"/>
          <w:sz w:val="20"/>
          <w:szCs w:val="20"/>
        </w:rPr>
        <w:footnoteRef/>
      </w:r>
      <w:r w:rsidRPr="00601679">
        <w:rPr>
          <w:color w:val="auto"/>
          <w:sz w:val="20"/>
          <w:szCs w:val="20"/>
        </w:rPr>
        <w:t xml:space="preserve"> </w:t>
      </w:r>
      <w:r w:rsidRPr="00601679">
        <w:rPr>
          <w:i/>
          <w:color w:val="auto"/>
          <w:sz w:val="20"/>
          <w:szCs w:val="20"/>
          <w:lang w:val="en-US"/>
        </w:rPr>
        <w:t>Financial Times</w:t>
      </w:r>
      <w:r w:rsidRPr="00601679">
        <w:rPr>
          <w:color w:val="auto"/>
          <w:sz w:val="20"/>
          <w:szCs w:val="20"/>
          <w:lang w:val="en-US"/>
        </w:rPr>
        <w:t xml:space="preserve"> 6 Nov. 2014, ‘Australia’s ‘stop the boats’ asylum policy divides opinion’.</w:t>
      </w:r>
    </w:p>
  </w:footnote>
  <w:footnote w:id="26">
    <w:p w:rsidR="008426C3" w:rsidRPr="00601679" w:rsidRDefault="008426C3">
      <w:pPr>
        <w:pStyle w:val="FootnoteText"/>
        <w:rPr>
          <w:color w:val="auto"/>
          <w:sz w:val="20"/>
          <w:szCs w:val="20"/>
          <w:lang w:val="en-US"/>
        </w:rPr>
      </w:pPr>
      <w:r w:rsidRPr="00601679">
        <w:rPr>
          <w:rStyle w:val="FootnoteReference"/>
          <w:color w:val="auto"/>
          <w:sz w:val="20"/>
          <w:szCs w:val="20"/>
        </w:rPr>
        <w:footnoteRef/>
      </w:r>
      <w:r w:rsidRPr="00601679">
        <w:rPr>
          <w:color w:val="auto"/>
          <w:sz w:val="20"/>
          <w:szCs w:val="20"/>
        </w:rPr>
        <w:t xml:space="preserve"> </w:t>
      </w:r>
      <w:r w:rsidRPr="00601679">
        <w:rPr>
          <w:color w:val="auto"/>
          <w:sz w:val="20"/>
          <w:szCs w:val="20"/>
          <w:lang w:val="en-US"/>
        </w:rPr>
        <w:t>J. Philips, ‘Boat arrivals in Australia: a quick guide to the statistics’, Parliament of Australia Research Paper Series 2013-14.</w:t>
      </w:r>
    </w:p>
  </w:footnote>
  <w:footnote w:id="27">
    <w:p w:rsidR="008426C3" w:rsidRPr="00601679" w:rsidRDefault="008426C3">
      <w:pPr>
        <w:pStyle w:val="FootnoteText"/>
        <w:rPr>
          <w:color w:val="auto"/>
          <w:sz w:val="20"/>
          <w:szCs w:val="20"/>
          <w:lang w:val="en-US"/>
        </w:rPr>
      </w:pPr>
      <w:r w:rsidRPr="00601679">
        <w:rPr>
          <w:rStyle w:val="FootnoteReference"/>
          <w:color w:val="auto"/>
          <w:sz w:val="20"/>
          <w:szCs w:val="20"/>
        </w:rPr>
        <w:footnoteRef/>
      </w:r>
      <w:r w:rsidRPr="00601679">
        <w:rPr>
          <w:color w:val="auto"/>
          <w:sz w:val="20"/>
          <w:szCs w:val="20"/>
        </w:rPr>
        <w:t xml:space="preserve"> </w:t>
      </w:r>
      <w:r w:rsidRPr="00601679">
        <w:rPr>
          <w:color w:val="auto"/>
          <w:sz w:val="20"/>
          <w:szCs w:val="20"/>
          <w:lang w:val="en-US"/>
        </w:rPr>
        <w:t xml:space="preserve">See extensively A. di Pascale, ‘Migration Control at Sea: The Italian Case’, in: B. Ryan and V. </w:t>
      </w:r>
      <w:proofErr w:type="spellStart"/>
      <w:r w:rsidRPr="00601679">
        <w:rPr>
          <w:color w:val="auto"/>
          <w:sz w:val="20"/>
          <w:szCs w:val="20"/>
          <w:lang w:val="en-US"/>
        </w:rPr>
        <w:t>Mitsilegas</w:t>
      </w:r>
      <w:proofErr w:type="spellEnd"/>
      <w:r w:rsidRPr="00601679">
        <w:rPr>
          <w:color w:val="auto"/>
          <w:sz w:val="20"/>
          <w:szCs w:val="20"/>
          <w:lang w:val="en-US"/>
        </w:rPr>
        <w:t xml:space="preserve">, </w:t>
      </w:r>
      <w:r w:rsidRPr="00601679">
        <w:rPr>
          <w:i/>
          <w:color w:val="auto"/>
          <w:sz w:val="20"/>
          <w:szCs w:val="20"/>
          <w:lang w:val="en-US"/>
        </w:rPr>
        <w:t>Extraterritorial Immigration Control. Legal Challenges</w:t>
      </w:r>
      <w:r w:rsidRPr="00601679">
        <w:rPr>
          <w:color w:val="auto"/>
          <w:sz w:val="20"/>
          <w:szCs w:val="20"/>
          <w:lang w:val="en-US"/>
        </w:rPr>
        <w:t xml:space="preserve">, Leiden/Boston: </w:t>
      </w:r>
      <w:proofErr w:type="spellStart"/>
      <w:r w:rsidRPr="00601679">
        <w:rPr>
          <w:color w:val="auto"/>
          <w:sz w:val="20"/>
          <w:szCs w:val="20"/>
          <w:lang w:val="en-US"/>
        </w:rPr>
        <w:t>Martinus</w:t>
      </w:r>
      <w:proofErr w:type="spellEnd"/>
      <w:r w:rsidRPr="00601679">
        <w:rPr>
          <w:color w:val="auto"/>
          <w:sz w:val="20"/>
          <w:szCs w:val="20"/>
          <w:lang w:val="en-US"/>
        </w:rPr>
        <w:t xml:space="preserve"> </w:t>
      </w:r>
      <w:proofErr w:type="spellStart"/>
      <w:r w:rsidRPr="00601679">
        <w:rPr>
          <w:color w:val="auto"/>
          <w:sz w:val="20"/>
          <w:szCs w:val="20"/>
          <w:lang w:val="en-US"/>
        </w:rPr>
        <w:t>Nijhoff</w:t>
      </w:r>
      <w:proofErr w:type="spellEnd"/>
      <w:r w:rsidRPr="00601679">
        <w:rPr>
          <w:color w:val="auto"/>
          <w:sz w:val="20"/>
          <w:szCs w:val="20"/>
          <w:lang w:val="en-US"/>
        </w:rPr>
        <w:t xml:space="preserve"> (2010), 281-309.</w:t>
      </w:r>
    </w:p>
  </w:footnote>
  <w:footnote w:id="28">
    <w:p w:rsidR="008426C3" w:rsidRPr="004427CF" w:rsidRDefault="008426C3">
      <w:pPr>
        <w:pStyle w:val="FootnoteText"/>
        <w:rPr>
          <w:color w:val="auto"/>
          <w:sz w:val="20"/>
          <w:szCs w:val="20"/>
          <w:lang w:val="en-US"/>
        </w:rPr>
      </w:pPr>
      <w:r w:rsidRPr="00601679">
        <w:rPr>
          <w:rStyle w:val="FootnoteReference"/>
          <w:color w:val="auto"/>
          <w:sz w:val="20"/>
          <w:szCs w:val="20"/>
        </w:rPr>
        <w:footnoteRef/>
      </w:r>
      <w:r w:rsidRPr="00601679">
        <w:rPr>
          <w:color w:val="auto"/>
          <w:sz w:val="20"/>
          <w:szCs w:val="20"/>
        </w:rPr>
        <w:t xml:space="preserve"> </w:t>
      </w:r>
      <w:proofErr w:type="spellStart"/>
      <w:r w:rsidRPr="00601679">
        <w:rPr>
          <w:color w:val="auto"/>
          <w:sz w:val="20"/>
          <w:szCs w:val="20"/>
        </w:rPr>
        <w:t>Frontex</w:t>
      </w:r>
      <w:proofErr w:type="spellEnd"/>
      <w:r w:rsidRPr="00601679">
        <w:rPr>
          <w:color w:val="auto"/>
          <w:sz w:val="20"/>
          <w:szCs w:val="20"/>
        </w:rPr>
        <w:t xml:space="preserve"> </w:t>
      </w:r>
      <w:r w:rsidRPr="004427CF">
        <w:rPr>
          <w:color w:val="auto"/>
          <w:sz w:val="20"/>
          <w:szCs w:val="20"/>
        </w:rPr>
        <w:t>Risk Analysis Quarterly, Issue 1, Jan-March 2011.</w:t>
      </w:r>
    </w:p>
  </w:footnote>
  <w:footnote w:id="29">
    <w:p w:rsidR="008426C3" w:rsidRPr="004427CF" w:rsidRDefault="008426C3">
      <w:pPr>
        <w:pStyle w:val="FootnoteText"/>
        <w:rPr>
          <w:color w:val="auto"/>
          <w:sz w:val="20"/>
          <w:szCs w:val="20"/>
          <w:lang w:val="en-US"/>
        </w:rPr>
      </w:pPr>
      <w:r w:rsidRPr="004427CF">
        <w:rPr>
          <w:rStyle w:val="FootnoteReference"/>
          <w:color w:val="auto"/>
          <w:sz w:val="20"/>
          <w:szCs w:val="20"/>
        </w:rPr>
        <w:footnoteRef/>
      </w:r>
      <w:r w:rsidRPr="004427CF">
        <w:rPr>
          <w:color w:val="auto"/>
          <w:sz w:val="20"/>
          <w:szCs w:val="20"/>
        </w:rPr>
        <w:t xml:space="preserve"> See </w:t>
      </w:r>
      <w:proofErr w:type="spellStart"/>
      <w:r w:rsidRPr="004427CF">
        <w:rPr>
          <w:i/>
          <w:color w:val="auto"/>
          <w:sz w:val="20"/>
          <w:szCs w:val="20"/>
        </w:rPr>
        <w:t>Hirsi</w:t>
      </w:r>
      <w:proofErr w:type="spellEnd"/>
      <w:r w:rsidRPr="004427CF">
        <w:rPr>
          <w:i/>
          <w:color w:val="auto"/>
          <w:sz w:val="20"/>
          <w:szCs w:val="20"/>
        </w:rPr>
        <w:t xml:space="preserve"> </w:t>
      </w:r>
      <w:proofErr w:type="spellStart"/>
      <w:r w:rsidRPr="004427CF">
        <w:rPr>
          <w:i/>
          <w:color w:val="auto"/>
          <w:sz w:val="20"/>
          <w:szCs w:val="20"/>
        </w:rPr>
        <w:t>Jamaa</w:t>
      </w:r>
      <w:proofErr w:type="spellEnd"/>
      <w:r w:rsidRPr="004427CF">
        <w:rPr>
          <w:i/>
          <w:color w:val="auto"/>
          <w:sz w:val="20"/>
          <w:szCs w:val="20"/>
        </w:rPr>
        <w:t xml:space="preserve"> </w:t>
      </w:r>
      <w:proofErr w:type="spellStart"/>
      <w:r w:rsidRPr="004427CF">
        <w:rPr>
          <w:i/>
          <w:color w:val="auto"/>
          <w:sz w:val="20"/>
          <w:szCs w:val="20"/>
        </w:rPr>
        <w:t>a.o.</w:t>
      </w:r>
      <w:proofErr w:type="spellEnd"/>
      <w:r w:rsidRPr="004427CF">
        <w:rPr>
          <w:i/>
          <w:color w:val="auto"/>
          <w:sz w:val="20"/>
          <w:szCs w:val="20"/>
        </w:rPr>
        <w:t xml:space="preserve"> v Italy</w:t>
      </w:r>
      <w:r w:rsidRPr="004427CF">
        <w:rPr>
          <w:color w:val="auto"/>
          <w:sz w:val="20"/>
          <w:szCs w:val="20"/>
        </w:rPr>
        <w:t>, par. 64-66.</w:t>
      </w:r>
    </w:p>
  </w:footnote>
  <w:footnote w:id="30">
    <w:p w:rsidR="008426C3" w:rsidRPr="004427CF" w:rsidRDefault="008426C3">
      <w:pPr>
        <w:pStyle w:val="FootnoteText"/>
        <w:rPr>
          <w:color w:val="auto"/>
          <w:sz w:val="20"/>
          <w:szCs w:val="20"/>
        </w:rPr>
      </w:pPr>
      <w:r w:rsidRPr="004427CF">
        <w:rPr>
          <w:rStyle w:val="FootnoteReference"/>
          <w:color w:val="auto"/>
          <w:sz w:val="20"/>
          <w:szCs w:val="20"/>
        </w:rPr>
        <w:footnoteRef/>
      </w:r>
      <w:r w:rsidRPr="004427CF">
        <w:rPr>
          <w:color w:val="auto"/>
          <w:sz w:val="20"/>
          <w:szCs w:val="20"/>
        </w:rPr>
        <w:t xml:space="preserve"> For criticism see </w:t>
      </w:r>
      <w:proofErr w:type="spellStart"/>
      <w:r w:rsidRPr="004427CF">
        <w:rPr>
          <w:color w:val="auto"/>
          <w:sz w:val="20"/>
          <w:szCs w:val="20"/>
        </w:rPr>
        <w:t>eg</w:t>
      </w:r>
      <w:proofErr w:type="spellEnd"/>
      <w:r w:rsidRPr="004427CF">
        <w:rPr>
          <w:color w:val="auto"/>
          <w:sz w:val="20"/>
          <w:szCs w:val="20"/>
        </w:rPr>
        <w:t xml:space="preserve"> HH </w:t>
      </w:r>
      <w:proofErr w:type="spellStart"/>
      <w:r w:rsidRPr="004427CF">
        <w:rPr>
          <w:color w:val="auto"/>
          <w:sz w:val="20"/>
          <w:szCs w:val="20"/>
        </w:rPr>
        <w:t>Koh</w:t>
      </w:r>
      <w:proofErr w:type="spellEnd"/>
      <w:r w:rsidRPr="004427CF">
        <w:rPr>
          <w:color w:val="auto"/>
          <w:sz w:val="20"/>
          <w:szCs w:val="20"/>
        </w:rPr>
        <w:t xml:space="preserve">, ‘The “Haiti Paradigm” in united States Human Rights Policy’, 103 </w:t>
      </w:r>
      <w:r w:rsidRPr="004427CF">
        <w:rPr>
          <w:i/>
          <w:color w:val="auto"/>
          <w:sz w:val="20"/>
          <w:szCs w:val="20"/>
        </w:rPr>
        <w:t xml:space="preserve">Yale Law Journal </w:t>
      </w:r>
      <w:r w:rsidRPr="004427CF">
        <w:rPr>
          <w:color w:val="auto"/>
          <w:sz w:val="20"/>
          <w:szCs w:val="20"/>
        </w:rPr>
        <w:t xml:space="preserve">(1994) at 2417; JC Hathaway, </w:t>
      </w:r>
      <w:r w:rsidRPr="004427CF">
        <w:rPr>
          <w:i/>
          <w:color w:val="auto"/>
          <w:sz w:val="20"/>
          <w:szCs w:val="20"/>
        </w:rPr>
        <w:t>The Rights of Refugees under International Law</w:t>
      </w:r>
      <w:r w:rsidRPr="004427CF">
        <w:rPr>
          <w:color w:val="auto"/>
          <w:sz w:val="20"/>
          <w:szCs w:val="20"/>
        </w:rPr>
        <w:t>, CUP 2005, at 318.</w:t>
      </w:r>
    </w:p>
  </w:footnote>
  <w:footnote w:id="31">
    <w:p w:rsidR="008426C3" w:rsidRPr="00D76B66" w:rsidRDefault="008426C3" w:rsidP="00D76B66">
      <w:pPr>
        <w:pStyle w:val="FootnoteText"/>
        <w:spacing w:line="240" w:lineRule="auto"/>
        <w:rPr>
          <w:color w:val="auto"/>
          <w:sz w:val="20"/>
          <w:szCs w:val="20"/>
          <w:lang w:val="en-US"/>
        </w:rPr>
      </w:pPr>
      <w:r w:rsidRPr="004427CF">
        <w:rPr>
          <w:rStyle w:val="FootnoteReference"/>
          <w:color w:val="auto"/>
          <w:sz w:val="20"/>
          <w:szCs w:val="20"/>
        </w:rPr>
        <w:footnoteRef/>
      </w:r>
      <w:r w:rsidRPr="004427CF">
        <w:rPr>
          <w:color w:val="auto"/>
          <w:sz w:val="20"/>
          <w:szCs w:val="20"/>
        </w:rPr>
        <w:t xml:space="preserve"> </w:t>
      </w:r>
      <w:r w:rsidRPr="004427CF">
        <w:rPr>
          <w:i/>
          <w:color w:val="auto"/>
          <w:sz w:val="20"/>
          <w:szCs w:val="20"/>
          <w:lang w:val="en-US"/>
        </w:rPr>
        <w:t>Supra</w:t>
      </w:r>
      <w:r w:rsidRPr="004427CF">
        <w:rPr>
          <w:color w:val="auto"/>
          <w:sz w:val="20"/>
          <w:szCs w:val="20"/>
          <w:lang w:val="en-US"/>
        </w:rPr>
        <w:t xml:space="preserve"> note 16</w:t>
      </w:r>
      <w:r w:rsidRPr="004427CF">
        <w:rPr>
          <w:rFonts w:cs="Arial"/>
          <w:iCs/>
          <w:color w:val="auto"/>
          <w:sz w:val="20"/>
          <w:szCs w:val="20"/>
          <w:shd w:val="clear" w:color="auto" w:fill="FFFFFF"/>
        </w:rPr>
        <w:t>.</w:t>
      </w:r>
    </w:p>
  </w:footnote>
  <w:footnote w:id="32">
    <w:p w:rsidR="008426C3" w:rsidRPr="00D76B66" w:rsidRDefault="008426C3" w:rsidP="00D76B66">
      <w:pPr>
        <w:pStyle w:val="Heading3"/>
        <w:spacing w:before="0"/>
        <w:rPr>
          <w:rFonts w:asciiTheme="minorHAnsi" w:hAnsiTheme="minorHAnsi"/>
          <w:b w:val="0"/>
          <w:color w:val="auto"/>
          <w:sz w:val="20"/>
          <w:szCs w:val="20"/>
        </w:rPr>
      </w:pPr>
      <w:r w:rsidRPr="00D76B66">
        <w:rPr>
          <w:rStyle w:val="FootnoteReference"/>
          <w:rFonts w:asciiTheme="minorHAnsi" w:hAnsiTheme="minorHAnsi"/>
          <w:b w:val="0"/>
          <w:color w:val="auto"/>
          <w:sz w:val="20"/>
          <w:szCs w:val="20"/>
        </w:rPr>
        <w:footnoteRef/>
      </w:r>
      <w:r w:rsidRPr="00D76B66">
        <w:rPr>
          <w:rFonts w:asciiTheme="minorHAnsi" w:hAnsiTheme="minorHAnsi"/>
          <w:b w:val="0"/>
          <w:color w:val="auto"/>
          <w:sz w:val="20"/>
          <w:szCs w:val="20"/>
        </w:rPr>
        <w:t xml:space="preserve"> Human Rights Watch 29 April 2014, ‘Containment Plan: Bulgaria’s Pushbacks and Detention of Syrian and other Asylum Seekers and Migrants’; Amnesty International 31 March 2014, ‘Bulgaria: suspension of returns of asylum-seekers to Bulgaria must continue’; </w:t>
      </w:r>
      <w:proofErr w:type="spellStart"/>
      <w:r w:rsidRPr="00D76B66">
        <w:rPr>
          <w:rFonts w:asciiTheme="minorHAnsi" w:hAnsiTheme="minorHAnsi"/>
          <w:b w:val="0"/>
          <w:color w:val="auto"/>
          <w:sz w:val="20"/>
          <w:szCs w:val="20"/>
        </w:rPr>
        <w:t>ProAsyl</w:t>
      </w:r>
      <w:proofErr w:type="spellEnd"/>
      <w:r w:rsidRPr="00D76B66">
        <w:rPr>
          <w:rFonts w:asciiTheme="minorHAnsi" w:hAnsiTheme="minorHAnsi"/>
          <w:b w:val="0"/>
          <w:color w:val="auto"/>
          <w:sz w:val="20"/>
          <w:szCs w:val="20"/>
        </w:rPr>
        <w:t xml:space="preserve"> 7 November 2013, ‘Pushed Back: Systematic human rights violations against refugees in the Aegean Sea and at the Greek Turkish land border’; Amnesty International 29 April 2014, ‘Greece: Frontier of hope and fear migrants and refugees pushed back at Europe’s border’; Amnesty International 9 July 2013, ‘Greece: Frontier Europe: Human rights abuses on Greece’s border with Turkey </w:t>
      </w:r>
    </w:p>
  </w:footnote>
  <w:footnote w:id="33">
    <w:p w:rsidR="008426C3" w:rsidRPr="00D76B66" w:rsidRDefault="008426C3" w:rsidP="00D76B66">
      <w:pPr>
        <w:rPr>
          <w:rFonts w:asciiTheme="minorHAnsi" w:hAnsiTheme="minorHAnsi"/>
          <w:sz w:val="20"/>
          <w:szCs w:val="20"/>
        </w:rPr>
      </w:pPr>
      <w:r w:rsidRPr="00D76B66">
        <w:rPr>
          <w:rStyle w:val="FootnoteReference"/>
          <w:rFonts w:asciiTheme="minorHAnsi" w:hAnsiTheme="minorHAnsi"/>
          <w:sz w:val="20"/>
          <w:szCs w:val="20"/>
        </w:rPr>
        <w:footnoteRef/>
      </w:r>
      <w:r w:rsidRPr="00D76B66">
        <w:rPr>
          <w:rFonts w:asciiTheme="minorHAnsi" w:hAnsiTheme="minorHAnsi"/>
          <w:sz w:val="20"/>
          <w:szCs w:val="20"/>
        </w:rPr>
        <w:t xml:space="preserve"> </w:t>
      </w:r>
      <w:proofErr w:type="spellStart"/>
      <w:r w:rsidRPr="00D76B66">
        <w:rPr>
          <w:rFonts w:asciiTheme="minorHAnsi" w:hAnsiTheme="minorHAnsi"/>
          <w:sz w:val="20"/>
          <w:szCs w:val="20"/>
        </w:rPr>
        <w:t>Eldiario</w:t>
      </w:r>
      <w:proofErr w:type="spellEnd"/>
      <w:r w:rsidRPr="00D76B66">
        <w:rPr>
          <w:rFonts w:asciiTheme="minorHAnsi" w:hAnsiTheme="minorHAnsi"/>
          <w:sz w:val="20"/>
          <w:szCs w:val="20"/>
        </w:rPr>
        <w:t xml:space="preserve"> 16 October 2014, </w:t>
      </w:r>
      <w:proofErr w:type="spellStart"/>
      <w:r w:rsidRPr="00D76B66">
        <w:rPr>
          <w:rFonts w:asciiTheme="minorHAnsi" w:hAnsiTheme="minorHAnsi"/>
          <w:sz w:val="20"/>
          <w:szCs w:val="20"/>
        </w:rPr>
        <w:t>Vídeos</w:t>
      </w:r>
      <w:proofErr w:type="spellEnd"/>
      <w:r w:rsidRPr="00D76B66">
        <w:rPr>
          <w:rFonts w:asciiTheme="minorHAnsi" w:hAnsiTheme="minorHAnsi"/>
          <w:sz w:val="20"/>
          <w:szCs w:val="20"/>
        </w:rPr>
        <w:t xml:space="preserve">: </w:t>
      </w:r>
      <w:r w:rsidRPr="00D76B66">
        <w:rPr>
          <w:rFonts w:asciiTheme="minorHAnsi" w:hAnsiTheme="minorHAnsi"/>
          <w:spacing w:val="-6"/>
          <w:sz w:val="20"/>
          <w:szCs w:val="20"/>
        </w:rPr>
        <w:t xml:space="preserve">La Guardia Civil </w:t>
      </w:r>
      <w:proofErr w:type="spellStart"/>
      <w:r w:rsidRPr="00D76B66">
        <w:rPr>
          <w:rFonts w:asciiTheme="minorHAnsi" w:hAnsiTheme="minorHAnsi"/>
          <w:spacing w:val="-6"/>
          <w:sz w:val="20"/>
          <w:szCs w:val="20"/>
        </w:rPr>
        <w:t>deja</w:t>
      </w:r>
      <w:proofErr w:type="spellEnd"/>
      <w:r w:rsidRPr="00D76B66">
        <w:rPr>
          <w:rFonts w:asciiTheme="minorHAnsi" w:hAnsiTheme="minorHAnsi"/>
          <w:spacing w:val="-6"/>
          <w:sz w:val="20"/>
          <w:szCs w:val="20"/>
        </w:rPr>
        <w:t xml:space="preserve"> </w:t>
      </w:r>
      <w:proofErr w:type="spellStart"/>
      <w:r w:rsidRPr="00D76B66">
        <w:rPr>
          <w:rFonts w:asciiTheme="minorHAnsi" w:hAnsiTheme="minorHAnsi"/>
          <w:spacing w:val="-6"/>
          <w:sz w:val="20"/>
          <w:szCs w:val="20"/>
        </w:rPr>
        <w:t>inconsciente</w:t>
      </w:r>
      <w:proofErr w:type="spellEnd"/>
      <w:r w:rsidRPr="00D76B66">
        <w:rPr>
          <w:rFonts w:asciiTheme="minorHAnsi" w:hAnsiTheme="minorHAnsi"/>
          <w:spacing w:val="-6"/>
          <w:sz w:val="20"/>
          <w:szCs w:val="20"/>
        </w:rPr>
        <w:t xml:space="preserve"> a </w:t>
      </w:r>
      <w:proofErr w:type="spellStart"/>
      <w:r w:rsidRPr="00D76B66">
        <w:rPr>
          <w:rFonts w:asciiTheme="minorHAnsi" w:hAnsiTheme="minorHAnsi"/>
          <w:spacing w:val="-6"/>
          <w:sz w:val="20"/>
          <w:szCs w:val="20"/>
        </w:rPr>
        <w:t>palos</w:t>
      </w:r>
      <w:proofErr w:type="spellEnd"/>
      <w:r w:rsidRPr="00D76B66">
        <w:rPr>
          <w:rFonts w:asciiTheme="minorHAnsi" w:hAnsiTheme="minorHAnsi"/>
          <w:spacing w:val="-6"/>
          <w:sz w:val="20"/>
          <w:szCs w:val="20"/>
        </w:rPr>
        <w:t xml:space="preserve"> a un </w:t>
      </w:r>
      <w:proofErr w:type="spellStart"/>
      <w:r w:rsidRPr="00D76B66">
        <w:rPr>
          <w:rFonts w:asciiTheme="minorHAnsi" w:hAnsiTheme="minorHAnsi"/>
          <w:spacing w:val="-6"/>
          <w:sz w:val="20"/>
          <w:szCs w:val="20"/>
        </w:rPr>
        <w:t>inmigrante</w:t>
      </w:r>
      <w:proofErr w:type="spellEnd"/>
      <w:r w:rsidRPr="00D76B66">
        <w:rPr>
          <w:rFonts w:asciiTheme="minorHAnsi" w:hAnsiTheme="minorHAnsi"/>
          <w:spacing w:val="-6"/>
          <w:sz w:val="20"/>
          <w:szCs w:val="20"/>
        </w:rPr>
        <w:t xml:space="preserve"> y lo </w:t>
      </w:r>
      <w:proofErr w:type="spellStart"/>
      <w:r w:rsidRPr="00D76B66">
        <w:rPr>
          <w:rFonts w:asciiTheme="minorHAnsi" w:hAnsiTheme="minorHAnsi"/>
          <w:spacing w:val="-6"/>
          <w:sz w:val="20"/>
          <w:szCs w:val="20"/>
        </w:rPr>
        <w:t>devuelve</w:t>
      </w:r>
      <w:proofErr w:type="spellEnd"/>
      <w:r w:rsidRPr="00D76B66">
        <w:rPr>
          <w:rFonts w:asciiTheme="minorHAnsi" w:hAnsiTheme="minorHAnsi"/>
          <w:spacing w:val="-6"/>
          <w:sz w:val="20"/>
          <w:szCs w:val="20"/>
        </w:rPr>
        <w:t xml:space="preserve"> </w:t>
      </w:r>
      <w:proofErr w:type="spellStart"/>
      <w:r w:rsidRPr="00D76B66">
        <w:rPr>
          <w:rFonts w:asciiTheme="minorHAnsi" w:hAnsiTheme="minorHAnsi"/>
          <w:spacing w:val="-6"/>
          <w:sz w:val="20"/>
          <w:szCs w:val="20"/>
        </w:rPr>
        <w:t>atado</w:t>
      </w:r>
      <w:proofErr w:type="spellEnd"/>
      <w:r w:rsidRPr="00D76B66">
        <w:rPr>
          <w:rFonts w:asciiTheme="minorHAnsi" w:hAnsiTheme="minorHAnsi"/>
          <w:spacing w:val="-6"/>
          <w:sz w:val="20"/>
          <w:szCs w:val="20"/>
        </w:rPr>
        <w:t xml:space="preserve"> de pies y </w:t>
      </w:r>
      <w:proofErr w:type="spellStart"/>
      <w:r w:rsidRPr="00D76B66">
        <w:rPr>
          <w:rFonts w:asciiTheme="minorHAnsi" w:hAnsiTheme="minorHAnsi"/>
          <w:spacing w:val="-6"/>
          <w:sz w:val="20"/>
          <w:szCs w:val="20"/>
        </w:rPr>
        <w:t>manos</w:t>
      </w:r>
      <w:proofErr w:type="spellEnd"/>
      <w:r w:rsidRPr="00D76B66">
        <w:rPr>
          <w:rFonts w:asciiTheme="minorHAnsi" w:hAnsiTheme="minorHAnsi"/>
          <w:spacing w:val="-6"/>
          <w:sz w:val="20"/>
          <w:szCs w:val="20"/>
        </w:rPr>
        <w:t>, &lt;</w:t>
      </w:r>
      <w:hyperlink r:id="rId2" w:history="1">
        <w:r w:rsidRPr="00D76B66">
          <w:rPr>
            <w:rStyle w:val="Hyperlink"/>
            <w:rFonts w:asciiTheme="minorHAnsi" w:hAnsiTheme="minorHAnsi"/>
            <w:color w:val="auto"/>
            <w:sz w:val="20"/>
            <w:szCs w:val="20"/>
          </w:rPr>
          <w:t>http://www.eldiario.es/desalambre/VIDEOS-Guardiua-Civil-ilegalmente-inmigrante_0_314268729.html</w:t>
        </w:r>
      </w:hyperlink>
      <w:r w:rsidRPr="00D76B66">
        <w:rPr>
          <w:rStyle w:val="Hyperlink"/>
          <w:rFonts w:asciiTheme="minorHAnsi" w:hAnsiTheme="minorHAnsi"/>
          <w:color w:val="auto"/>
          <w:sz w:val="20"/>
          <w:szCs w:val="20"/>
        </w:rPr>
        <w:t>&gt;</w:t>
      </w:r>
      <w:r w:rsidRPr="00D76B66">
        <w:rPr>
          <w:rFonts w:asciiTheme="minorHAnsi" w:hAnsiTheme="minorHAnsi"/>
          <w:sz w:val="20"/>
          <w:szCs w:val="20"/>
        </w:rPr>
        <w:t>. For a compilation of accounts see UNHCR, ‘Syrian Refugees in Europe. What Europe Can Do to Ensure Protection and Solidarity’, July 2014.</w:t>
      </w:r>
    </w:p>
  </w:footnote>
  <w:footnote w:id="34">
    <w:p w:rsidR="008426C3" w:rsidRPr="00D76B66" w:rsidRDefault="008426C3" w:rsidP="00D76B66">
      <w:pPr>
        <w:pStyle w:val="Heading2"/>
        <w:shd w:val="clear" w:color="auto" w:fill="FFFFFF"/>
        <w:spacing w:before="0"/>
        <w:rPr>
          <w:rFonts w:asciiTheme="minorHAnsi" w:hAnsiTheme="minorHAnsi"/>
          <w:caps/>
          <w:color w:val="auto"/>
          <w:sz w:val="20"/>
          <w:szCs w:val="20"/>
        </w:rPr>
      </w:pPr>
      <w:r w:rsidRPr="00D76B66">
        <w:rPr>
          <w:rStyle w:val="FootnoteReference"/>
          <w:rFonts w:asciiTheme="minorHAnsi" w:hAnsiTheme="minorHAnsi"/>
          <w:b w:val="0"/>
          <w:color w:val="auto"/>
          <w:sz w:val="20"/>
          <w:szCs w:val="20"/>
        </w:rPr>
        <w:footnoteRef/>
      </w:r>
      <w:r w:rsidRPr="00D76B66">
        <w:rPr>
          <w:rFonts w:asciiTheme="minorHAnsi" w:hAnsiTheme="minorHAnsi"/>
          <w:b w:val="0"/>
          <w:color w:val="auto"/>
          <w:sz w:val="20"/>
          <w:szCs w:val="20"/>
        </w:rPr>
        <w:t xml:space="preserve"> </w:t>
      </w:r>
      <w:r w:rsidRPr="00D76B66">
        <w:rPr>
          <w:rFonts w:asciiTheme="minorHAnsi" w:hAnsiTheme="minorHAnsi" w:cs="Tahoma"/>
          <w:b w:val="0"/>
          <w:color w:val="auto"/>
          <w:sz w:val="20"/>
          <w:szCs w:val="20"/>
        </w:rPr>
        <w:t xml:space="preserve">Additional Provision 10 to the Organic Law 4/2000, of 11 January, Regarding the Rights and Freedoms of Foreign Nationals Living in Spain and Their Social Integration (Spanish Alien Law), adopted by Spanish Congress on 11 December 2014. </w:t>
      </w:r>
      <w:r w:rsidRPr="00D76B66">
        <w:rPr>
          <w:rFonts w:asciiTheme="minorHAnsi" w:hAnsiTheme="minorHAnsi"/>
          <w:b w:val="0"/>
          <w:color w:val="auto"/>
          <w:sz w:val="20"/>
          <w:szCs w:val="20"/>
        </w:rPr>
        <w:t>Amnesty International Press Release 31 October 2014, ‘Spain: Immigration Law Amendment Will Violate Rights’.</w:t>
      </w:r>
    </w:p>
  </w:footnote>
  <w:footnote w:id="35">
    <w:p w:rsidR="008426C3" w:rsidRPr="00F254E2" w:rsidRDefault="008426C3">
      <w:pPr>
        <w:pStyle w:val="FootnoteText"/>
        <w:rPr>
          <w:lang w:val="en-US"/>
        </w:rPr>
      </w:pPr>
      <w:r w:rsidRPr="00D76B66">
        <w:rPr>
          <w:rStyle w:val="FootnoteReference"/>
          <w:color w:val="auto"/>
          <w:sz w:val="20"/>
          <w:szCs w:val="20"/>
        </w:rPr>
        <w:footnoteRef/>
      </w:r>
      <w:r w:rsidRPr="00D76B66">
        <w:rPr>
          <w:color w:val="auto"/>
          <w:sz w:val="20"/>
          <w:szCs w:val="20"/>
        </w:rPr>
        <w:t xml:space="preserve"> </w:t>
      </w:r>
      <w:proofErr w:type="spellStart"/>
      <w:r w:rsidRPr="00D76B66">
        <w:rPr>
          <w:color w:val="auto"/>
          <w:sz w:val="20"/>
          <w:szCs w:val="20"/>
          <w:lang w:val="en-US"/>
        </w:rPr>
        <w:t>ECtHR</w:t>
      </w:r>
      <w:proofErr w:type="spellEnd"/>
      <w:r w:rsidRPr="00D76B66">
        <w:rPr>
          <w:color w:val="auto"/>
          <w:sz w:val="20"/>
          <w:szCs w:val="20"/>
          <w:lang w:val="en-US"/>
        </w:rPr>
        <w:t xml:space="preserve"> 21 October 2014, </w:t>
      </w:r>
      <w:proofErr w:type="spellStart"/>
      <w:r w:rsidRPr="00D76B66">
        <w:rPr>
          <w:i/>
          <w:color w:val="auto"/>
          <w:sz w:val="20"/>
          <w:szCs w:val="20"/>
          <w:lang w:val="en-US"/>
        </w:rPr>
        <w:t>Sharifi</w:t>
      </w:r>
      <w:proofErr w:type="spellEnd"/>
      <w:r w:rsidRPr="00D76B66">
        <w:rPr>
          <w:i/>
          <w:color w:val="auto"/>
          <w:sz w:val="20"/>
          <w:szCs w:val="20"/>
          <w:lang w:val="en-US"/>
        </w:rPr>
        <w:t xml:space="preserve"> </w:t>
      </w:r>
      <w:proofErr w:type="spellStart"/>
      <w:r w:rsidRPr="00D76B66">
        <w:rPr>
          <w:i/>
          <w:color w:val="auto"/>
          <w:sz w:val="20"/>
          <w:szCs w:val="20"/>
          <w:lang w:val="en-US"/>
        </w:rPr>
        <w:t>a.o.</w:t>
      </w:r>
      <w:proofErr w:type="spellEnd"/>
      <w:r w:rsidRPr="00D76B66">
        <w:rPr>
          <w:i/>
          <w:color w:val="auto"/>
          <w:sz w:val="20"/>
          <w:szCs w:val="20"/>
          <w:lang w:val="en-US"/>
        </w:rPr>
        <w:t xml:space="preserve"> v Italy and Greece</w:t>
      </w:r>
      <w:r w:rsidRPr="00D76B66">
        <w:rPr>
          <w:color w:val="auto"/>
          <w:sz w:val="20"/>
          <w:szCs w:val="20"/>
          <w:lang w:val="en-US"/>
        </w:rPr>
        <w:t>, no. 16643/09.</w:t>
      </w:r>
    </w:p>
  </w:footnote>
  <w:footnote w:id="36">
    <w:p w:rsidR="008426C3" w:rsidRPr="00B80CBE" w:rsidRDefault="008426C3">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w:t>
      </w:r>
      <w:r w:rsidRPr="00B80CBE">
        <w:rPr>
          <w:color w:val="auto"/>
          <w:sz w:val="20"/>
          <w:szCs w:val="20"/>
          <w:lang w:val="en-US"/>
        </w:rPr>
        <w:t>COM(2013) 197 final.</w:t>
      </w:r>
    </w:p>
  </w:footnote>
  <w:footnote w:id="37">
    <w:p w:rsidR="008426C3" w:rsidRPr="00B80CBE" w:rsidRDefault="008426C3">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w:t>
      </w:r>
      <w:r w:rsidRPr="00B80CBE">
        <w:rPr>
          <w:color w:val="auto"/>
          <w:sz w:val="20"/>
          <w:szCs w:val="20"/>
          <w:lang w:val="en-US"/>
        </w:rPr>
        <w:t>Reg. 656/2014, Art. 4(2).</w:t>
      </w:r>
    </w:p>
  </w:footnote>
  <w:footnote w:id="38">
    <w:p w:rsidR="008426C3" w:rsidRPr="00B80CBE" w:rsidRDefault="008426C3">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Ibid, </w:t>
      </w:r>
      <w:r w:rsidRPr="00B80CBE">
        <w:rPr>
          <w:color w:val="auto"/>
          <w:sz w:val="20"/>
          <w:szCs w:val="20"/>
          <w:lang w:val="en-US"/>
        </w:rPr>
        <w:t>Art. 4(3).</w:t>
      </w:r>
    </w:p>
  </w:footnote>
  <w:footnote w:id="39">
    <w:p w:rsidR="008426C3" w:rsidRPr="00B80CBE" w:rsidRDefault="008426C3">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w:t>
      </w:r>
      <w:r w:rsidRPr="00B80CBE">
        <w:rPr>
          <w:color w:val="auto"/>
          <w:sz w:val="20"/>
          <w:szCs w:val="20"/>
          <w:lang w:val="en-US"/>
        </w:rPr>
        <w:t>Ibid, Art. 10(1)(a) and 10(1)(b).</w:t>
      </w:r>
    </w:p>
  </w:footnote>
  <w:footnote w:id="40">
    <w:p w:rsidR="008426C3" w:rsidRPr="00B80CBE" w:rsidRDefault="008426C3" w:rsidP="006D436E">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Directive 2013/32/EU, </w:t>
      </w:r>
      <w:r w:rsidRPr="00B80CBE">
        <w:rPr>
          <w:color w:val="auto"/>
          <w:sz w:val="20"/>
          <w:szCs w:val="20"/>
          <w:lang w:val="en-US"/>
        </w:rPr>
        <w:t>Art. 3(1).</w:t>
      </w:r>
    </w:p>
  </w:footnote>
  <w:footnote w:id="41">
    <w:p w:rsidR="008426C3" w:rsidRPr="00B80CBE" w:rsidRDefault="008426C3" w:rsidP="006D436E">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w:t>
      </w:r>
      <w:proofErr w:type="spellStart"/>
      <w:r w:rsidRPr="00B80CBE">
        <w:rPr>
          <w:color w:val="auto"/>
          <w:sz w:val="20"/>
          <w:szCs w:val="20"/>
        </w:rPr>
        <w:t>ECtHR</w:t>
      </w:r>
      <w:proofErr w:type="spellEnd"/>
      <w:r w:rsidRPr="00B80CBE">
        <w:rPr>
          <w:color w:val="auto"/>
          <w:sz w:val="20"/>
          <w:szCs w:val="20"/>
        </w:rPr>
        <w:t xml:space="preserve"> </w:t>
      </w:r>
      <w:r w:rsidRPr="00B80CBE">
        <w:rPr>
          <w:rFonts w:cs="Arial"/>
          <w:color w:val="auto"/>
          <w:sz w:val="20"/>
          <w:szCs w:val="20"/>
          <w:shd w:val="clear" w:color="auto" w:fill="FFFFFF"/>
        </w:rPr>
        <w:t>21 January 2011 [Grand Chamber],</w:t>
      </w:r>
      <w:r w:rsidRPr="00B80CBE">
        <w:rPr>
          <w:color w:val="auto"/>
          <w:sz w:val="20"/>
          <w:szCs w:val="20"/>
        </w:rPr>
        <w:t xml:space="preserve"> </w:t>
      </w:r>
      <w:r w:rsidRPr="00B80CBE">
        <w:rPr>
          <w:i/>
          <w:color w:val="auto"/>
          <w:sz w:val="20"/>
          <w:szCs w:val="20"/>
          <w:lang w:val="en-US"/>
        </w:rPr>
        <w:t>M.S.S. v Belgium and Greece</w:t>
      </w:r>
      <w:r w:rsidRPr="00B80CBE">
        <w:rPr>
          <w:color w:val="auto"/>
          <w:sz w:val="20"/>
          <w:szCs w:val="20"/>
          <w:lang w:val="en-US"/>
        </w:rPr>
        <w:t xml:space="preserve">, no. </w:t>
      </w:r>
      <w:r w:rsidRPr="00B80CBE">
        <w:rPr>
          <w:rFonts w:cs="Arial"/>
          <w:iCs/>
          <w:color w:val="auto"/>
          <w:sz w:val="20"/>
          <w:szCs w:val="20"/>
          <w:shd w:val="clear" w:color="auto" w:fill="FFFFFF"/>
        </w:rPr>
        <w:t>30696/09</w:t>
      </w:r>
      <w:r w:rsidRPr="00B80CBE">
        <w:rPr>
          <w:color w:val="auto"/>
          <w:sz w:val="20"/>
          <w:szCs w:val="20"/>
          <w:lang w:val="en-US"/>
        </w:rPr>
        <w:t>, CJEU 21 December 2011, Case C-355/10 (</w:t>
      </w:r>
      <w:r w:rsidRPr="00B80CBE">
        <w:rPr>
          <w:i/>
          <w:color w:val="auto"/>
          <w:sz w:val="20"/>
          <w:szCs w:val="20"/>
          <w:lang w:val="en-US"/>
        </w:rPr>
        <w:t>N.S. and M.E.</w:t>
      </w:r>
      <w:r w:rsidRPr="00B80CBE">
        <w:rPr>
          <w:color w:val="auto"/>
          <w:sz w:val="20"/>
          <w:szCs w:val="20"/>
          <w:lang w:val="en-US"/>
        </w:rPr>
        <w:t xml:space="preserve">); </w:t>
      </w:r>
      <w:proofErr w:type="spellStart"/>
      <w:r w:rsidRPr="00B80CBE">
        <w:rPr>
          <w:color w:val="auto"/>
          <w:sz w:val="20"/>
          <w:szCs w:val="20"/>
          <w:lang w:val="en-US"/>
        </w:rPr>
        <w:t>ECtHR</w:t>
      </w:r>
      <w:proofErr w:type="spellEnd"/>
      <w:r w:rsidRPr="00B80CBE">
        <w:rPr>
          <w:color w:val="auto"/>
          <w:sz w:val="20"/>
          <w:szCs w:val="20"/>
          <w:lang w:val="en-US"/>
        </w:rPr>
        <w:t xml:space="preserve"> </w:t>
      </w:r>
      <w:r w:rsidRPr="00B80CBE">
        <w:rPr>
          <w:rFonts w:cs="Arial"/>
          <w:color w:val="auto"/>
          <w:sz w:val="20"/>
          <w:szCs w:val="20"/>
          <w:shd w:val="clear" w:color="auto" w:fill="FFFFFF"/>
        </w:rPr>
        <w:t xml:space="preserve">4 November 2014 [Grand Chamber], </w:t>
      </w:r>
      <w:proofErr w:type="spellStart"/>
      <w:r w:rsidRPr="00B80CBE">
        <w:rPr>
          <w:i/>
          <w:color w:val="auto"/>
          <w:sz w:val="20"/>
          <w:szCs w:val="20"/>
          <w:lang w:val="en-US"/>
        </w:rPr>
        <w:t>Tarakhel</w:t>
      </w:r>
      <w:proofErr w:type="spellEnd"/>
      <w:r w:rsidRPr="00B80CBE">
        <w:rPr>
          <w:i/>
          <w:color w:val="auto"/>
          <w:sz w:val="20"/>
          <w:szCs w:val="20"/>
          <w:lang w:val="en-US"/>
        </w:rPr>
        <w:t xml:space="preserve"> v Switzerland</w:t>
      </w:r>
      <w:r w:rsidRPr="00B80CBE">
        <w:rPr>
          <w:color w:val="auto"/>
          <w:sz w:val="20"/>
          <w:szCs w:val="20"/>
          <w:lang w:val="en-US"/>
        </w:rPr>
        <w:t xml:space="preserve">, no. </w:t>
      </w:r>
      <w:r w:rsidRPr="00B80CBE">
        <w:rPr>
          <w:rFonts w:cs="Arial"/>
          <w:iCs/>
          <w:color w:val="auto"/>
          <w:sz w:val="20"/>
          <w:szCs w:val="20"/>
          <w:shd w:val="clear" w:color="auto" w:fill="FFFFFF"/>
        </w:rPr>
        <w:t>29217/12</w:t>
      </w:r>
      <w:r w:rsidRPr="00B80CBE">
        <w:rPr>
          <w:color w:val="auto"/>
          <w:sz w:val="20"/>
          <w:szCs w:val="20"/>
          <w:lang w:val="en-US"/>
        </w:rPr>
        <w:t>.</w:t>
      </w:r>
    </w:p>
  </w:footnote>
  <w:footnote w:id="42">
    <w:p w:rsidR="008426C3" w:rsidRPr="00904A07" w:rsidRDefault="008426C3" w:rsidP="006D436E">
      <w:pPr>
        <w:pStyle w:val="FootnoteText"/>
      </w:pPr>
      <w:r w:rsidRPr="00B80CBE">
        <w:rPr>
          <w:rStyle w:val="FootnoteReference"/>
          <w:color w:val="auto"/>
          <w:sz w:val="20"/>
          <w:szCs w:val="20"/>
        </w:rPr>
        <w:footnoteRef/>
      </w:r>
      <w:r w:rsidRPr="00B80CBE">
        <w:rPr>
          <w:color w:val="auto"/>
          <w:sz w:val="20"/>
          <w:szCs w:val="20"/>
        </w:rPr>
        <w:t xml:space="preserve"> See </w:t>
      </w:r>
      <w:r w:rsidRPr="00B80CBE">
        <w:rPr>
          <w:i/>
          <w:color w:val="auto"/>
          <w:sz w:val="20"/>
          <w:szCs w:val="20"/>
          <w:lang w:val="en-US"/>
        </w:rPr>
        <w:t xml:space="preserve">M.S.S. v Belgium and Greece </w:t>
      </w:r>
      <w:r w:rsidRPr="00B80CBE">
        <w:rPr>
          <w:color w:val="auto"/>
          <w:sz w:val="20"/>
          <w:szCs w:val="20"/>
          <w:lang w:val="en-US"/>
        </w:rPr>
        <w:t xml:space="preserve">and </w:t>
      </w:r>
      <w:proofErr w:type="spellStart"/>
      <w:r w:rsidRPr="00B80CBE">
        <w:rPr>
          <w:i/>
          <w:color w:val="auto"/>
          <w:sz w:val="20"/>
          <w:szCs w:val="20"/>
          <w:lang w:val="en-US"/>
        </w:rPr>
        <w:t>Tarakhel</w:t>
      </w:r>
      <w:proofErr w:type="spellEnd"/>
      <w:r w:rsidRPr="00B80CBE">
        <w:rPr>
          <w:i/>
          <w:color w:val="auto"/>
          <w:sz w:val="20"/>
          <w:szCs w:val="20"/>
          <w:lang w:val="en-US"/>
        </w:rPr>
        <w:t xml:space="preserve"> v Switzerland</w:t>
      </w:r>
      <w:r w:rsidRPr="00B80CBE">
        <w:rPr>
          <w:color w:val="auto"/>
          <w:sz w:val="20"/>
          <w:szCs w:val="20"/>
        </w:rPr>
        <w:t>.</w:t>
      </w:r>
    </w:p>
  </w:footnote>
  <w:footnote w:id="43">
    <w:p w:rsidR="008426C3" w:rsidRPr="00B80CBE" w:rsidRDefault="008426C3">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w:t>
      </w:r>
      <w:r w:rsidRPr="00B80CBE">
        <w:rPr>
          <w:color w:val="auto"/>
          <w:sz w:val="20"/>
          <w:szCs w:val="20"/>
          <w:lang w:val="en-US"/>
        </w:rPr>
        <w:t>Reg. 656/2014, Art. 4(3)</w:t>
      </w:r>
    </w:p>
  </w:footnote>
  <w:footnote w:id="44">
    <w:p w:rsidR="008426C3" w:rsidRPr="00B80CBE" w:rsidRDefault="008426C3">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w:t>
      </w:r>
      <w:r w:rsidRPr="00B80CBE">
        <w:rPr>
          <w:color w:val="auto"/>
          <w:sz w:val="20"/>
          <w:szCs w:val="20"/>
          <w:lang w:val="en-US"/>
        </w:rPr>
        <w:t xml:space="preserve">S. Keller (MEP, Greens), ‘LIBE Special April 2014: New rules on </w:t>
      </w:r>
      <w:proofErr w:type="spellStart"/>
      <w:r w:rsidRPr="00B80CBE">
        <w:rPr>
          <w:color w:val="auto"/>
          <w:sz w:val="20"/>
          <w:szCs w:val="20"/>
          <w:lang w:val="en-US"/>
        </w:rPr>
        <w:t>Frontex</w:t>
      </w:r>
      <w:proofErr w:type="spellEnd"/>
      <w:r w:rsidRPr="00B80CBE">
        <w:rPr>
          <w:color w:val="auto"/>
          <w:sz w:val="20"/>
          <w:szCs w:val="20"/>
          <w:lang w:val="en-US"/>
        </w:rPr>
        <w:t xml:space="preserve"> operations at sea’, 16 April 2014 , &lt;http://www.ska-keller.de/en/topics/migration/borders/libe-special-april-2014-new-rules-on-frontex-operations-at-sea&gt;.</w:t>
      </w:r>
    </w:p>
  </w:footnote>
  <w:footnote w:id="45">
    <w:p w:rsidR="008426C3" w:rsidRPr="00B80CBE" w:rsidRDefault="008426C3">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w:t>
      </w:r>
      <w:r w:rsidRPr="00B80CBE">
        <w:rPr>
          <w:i/>
          <w:iCs/>
          <w:color w:val="auto"/>
          <w:sz w:val="20"/>
          <w:szCs w:val="20"/>
          <w:bdr w:val="none" w:sz="0" w:space="0" w:color="auto" w:frame="1"/>
        </w:rPr>
        <w:t>Duluth News Tribune</w:t>
      </w:r>
      <w:r w:rsidRPr="00B80CBE">
        <w:rPr>
          <w:color w:val="auto"/>
          <w:sz w:val="20"/>
          <w:szCs w:val="20"/>
          <w:shd w:val="clear" w:color="auto" w:fill="FFFFFF"/>
        </w:rPr>
        <w:t xml:space="preserve"> 23 Jan. 2006, “Coast Guard told not to encourage asylum claims by Haitian migrants’. </w:t>
      </w:r>
    </w:p>
  </w:footnote>
  <w:footnote w:id="46">
    <w:p w:rsidR="008426C3" w:rsidRPr="00B80CBE" w:rsidRDefault="008426C3">
      <w:pPr>
        <w:pStyle w:val="FootnoteText"/>
        <w:rPr>
          <w:color w:val="auto"/>
          <w:sz w:val="20"/>
          <w:szCs w:val="20"/>
          <w:lang w:val="en-US"/>
        </w:rPr>
      </w:pPr>
      <w:r w:rsidRPr="00B80CBE">
        <w:rPr>
          <w:rStyle w:val="FootnoteReference"/>
          <w:color w:val="auto"/>
          <w:sz w:val="20"/>
          <w:szCs w:val="20"/>
        </w:rPr>
        <w:footnoteRef/>
      </w:r>
      <w:r w:rsidRPr="00B80CBE">
        <w:rPr>
          <w:color w:val="auto"/>
          <w:sz w:val="20"/>
          <w:szCs w:val="20"/>
        </w:rPr>
        <w:t xml:space="preserve"> </w:t>
      </w:r>
      <w:r w:rsidRPr="00B80CBE">
        <w:rPr>
          <w:color w:val="auto"/>
          <w:sz w:val="20"/>
          <w:szCs w:val="20"/>
          <w:lang w:val="en-US"/>
        </w:rPr>
        <w:t xml:space="preserve">B. </w:t>
      </w:r>
      <w:proofErr w:type="spellStart"/>
      <w:r w:rsidRPr="00B80CBE">
        <w:rPr>
          <w:color w:val="auto"/>
          <w:sz w:val="20"/>
          <w:szCs w:val="20"/>
          <w:lang w:val="en-US"/>
        </w:rPr>
        <w:t>Frelick</w:t>
      </w:r>
      <w:proofErr w:type="spellEnd"/>
      <w:r w:rsidRPr="00B80CBE">
        <w:rPr>
          <w:color w:val="auto"/>
          <w:sz w:val="20"/>
          <w:szCs w:val="20"/>
          <w:lang w:val="en-US"/>
        </w:rPr>
        <w:t xml:space="preserve">, ‘“Abundantly Clear”: </w:t>
      </w:r>
      <w:proofErr w:type="spellStart"/>
      <w:r w:rsidRPr="00B80CBE">
        <w:rPr>
          <w:color w:val="auto"/>
          <w:sz w:val="20"/>
          <w:szCs w:val="20"/>
          <w:lang w:val="en-US"/>
        </w:rPr>
        <w:t>Refoulement</w:t>
      </w:r>
      <w:proofErr w:type="spellEnd"/>
      <w:r w:rsidRPr="00B80CBE">
        <w:rPr>
          <w:color w:val="auto"/>
          <w:sz w:val="20"/>
          <w:szCs w:val="20"/>
          <w:lang w:val="en-US"/>
        </w:rPr>
        <w:t xml:space="preserve">’, 19 </w:t>
      </w:r>
      <w:r w:rsidRPr="00B80CBE">
        <w:rPr>
          <w:i/>
          <w:color w:val="auto"/>
          <w:sz w:val="20"/>
          <w:szCs w:val="20"/>
          <w:lang w:val="en-US"/>
        </w:rPr>
        <w:t xml:space="preserve">Geo. </w:t>
      </w:r>
      <w:proofErr w:type="spellStart"/>
      <w:r w:rsidRPr="00B80CBE">
        <w:rPr>
          <w:i/>
          <w:color w:val="auto"/>
          <w:sz w:val="20"/>
          <w:szCs w:val="20"/>
          <w:lang w:val="en-US"/>
        </w:rPr>
        <w:t>Immigr</w:t>
      </w:r>
      <w:proofErr w:type="spellEnd"/>
      <w:r w:rsidRPr="00B80CBE">
        <w:rPr>
          <w:i/>
          <w:color w:val="auto"/>
          <w:sz w:val="20"/>
          <w:szCs w:val="20"/>
          <w:lang w:val="en-US"/>
        </w:rPr>
        <w:t>. L.J.</w:t>
      </w:r>
      <w:r w:rsidRPr="00B80CBE">
        <w:rPr>
          <w:color w:val="auto"/>
          <w:sz w:val="20"/>
          <w:szCs w:val="20"/>
          <w:lang w:val="en-US"/>
        </w:rPr>
        <w:t xml:space="preserve"> (2004-2005), 245 at 246</w:t>
      </w:r>
    </w:p>
  </w:footnote>
  <w:footnote w:id="47">
    <w:p w:rsidR="008426C3" w:rsidRPr="00744927" w:rsidRDefault="008426C3" w:rsidP="00D215A2">
      <w:pPr>
        <w:pStyle w:val="FootnoteText"/>
        <w:rPr>
          <w:rFonts w:ascii="Calibri" w:hAnsi="Calibri"/>
        </w:rPr>
      </w:pPr>
      <w:r w:rsidRPr="00B80CBE">
        <w:rPr>
          <w:rStyle w:val="FootnoteReference"/>
          <w:color w:val="auto"/>
          <w:sz w:val="20"/>
          <w:szCs w:val="20"/>
        </w:rPr>
        <w:footnoteRef/>
      </w:r>
      <w:r w:rsidRPr="00B80CBE">
        <w:rPr>
          <w:color w:val="auto"/>
          <w:sz w:val="20"/>
          <w:szCs w:val="20"/>
        </w:rPr>
        <w:t xml:space="preserve"> R.E. </w:t>
      </w:r>
      <w:proofErr w:type="spellStart"/>
      <w:r w:rsidRPr="00B80CBE">
        <w:rPr>
          <w:color w:val="auto"/>
          <w:sz w:val="20"/>
          <w:szCs w:val="20"/>
        </w:rPr>
        <w:t>Wasem</w:t>
      </w:r>
      <w:proofErr w:type="spellEnd"/>
      <w:r w:rsidRPr="00B80CBE">
        <w:rPr>
          <w:color w:val="auto"/>
          <w:sz w:val="20"/>
          <w:szCs w:val="20"/>
        </w:rPr>
        <w:t>, Congressional Research Service, ‘U.S. Immigration Policy on Haitian Migrants’, CRS Report for Congress, 2010,</w:t>
      </w:r>
      <w:r w:rsidRPr="00B80CBE">
        <w:rPr>
          <w:color w:val="auto"/>
          <w:sz w:val="20"/>
          <w:szCs w:val="20"/>
          <w:lang w:val="de-DE"/>
        </w:rPr>
        <w:t xml:space="preserve"> </w:t>
      </w:r>
      <w:r w:rsidRPr="00B80CBE">
        <w:rPr>
          <w:color w:val="auto"/>
          <w:sz w:val="20"/>
          <w:szCs w:val="20"/>
        </w:rPr>
        <w:t>p. 5.</w:t>
      </w:r>
    </w:p>
  </w:footnote>
  <w:footnote w:id="48">
    <w:p w:rsidR="008426C3" w:rsidRPr="002614C5" w:rsidRDefault="008426C3">
      <w:pPr>
        <w:pStyle w:val="FootnoteText"/>
        <w:rPr>
          <w:color w:val="auto"/>
          <w:sz w:val="20"/>
          <w:szCs w:val="20"/>
          <w:lang w:val="en-US"/>
        </w:rPr>
      </w:pPr>
      <w:r w:rsidRPr="002614C5">
        <w:rPr>
          <w:rStyle w:val="FootnoteReference"/>
          <w:color w:val="auto"/>
          <w:sz w:val="20"/>
          <w:szCs w:val="20"/>
        </w:rPr>
        <w:footnoteRef/>
      </w:r>
      <w:r w:rsidRPr="002614C5">
        <w:rPr>
          <w:color w:val="auto"/>
          <w:sz w:val="20"/>
          <w:szCs w:val="20"/>
        </w:rPr>
        <w:t xml:space="preserve"> </w:t>
      </w:r>
      <w:r w:rsidRPr="002614C5">
        <w:rPr>
          <w:color w:val="auto"/>
          <w:sz w:val="20"/>
          <w:szCs w:val="20"/>
          <w:lang w:val="en-US"/>
        </w:rPr>
        <w:t xml:space="preserve">See </w:t>
      </w:r>
      <w:r w:rsidRPr="002614C5">
        <w:rPr>
          <w:rStyle w:val="Strong"/>
          <w:rFonts w:cs="Lucida Sans Unicode"/>
          <w:b w:val="0"/>
          <w:color w:val="auto"/>
          <w:sz w:val="20"/>
          <w:szCs w:val="20"/>
          <w:lang w:val="en"/>
        </w:rPr>
        <w:t>Directive 2013/33/EU,</w:t>
      </w:r>
      <w:r w:rsidRPr="002614C5">
        <w:rPr>
          <w:rStyle w:val="Strong"/>
          <w:rFonts w:cs="Lucida Sans Unicode"/>
          <w:color w:val="auto"/>
          <w:sz w:val="20"/>
          <w:szCs w:val="20"/>
          <w:lang w:val="en"/>
        </w:rPr>
        <w:t xml:space="preserve"> </w:t>
      </w:r>
      <w:r w:rsidRPr="002614C5">
        <w:rPr>
          <w:color w:val="auto"/>
          <w:sz w:val="20"/>
          <w:szCs w:val="20"/>
          <w:lang w:val="en-US"/>
        </w:rPr>
        <w:t xml:space="preserve">Art. 3; and </w:t>
      </w:r>
      <w:r w:rsidRPr="002614C5">
        <w:rPr>
          <w:rStyle w:val="Strong"/>
          <w:rFonts w:cs="Lucida Sans Unicode"/>
          <w:b w:val="0"/>
          <w:color w:val="auto"/>
          <w:sz w:val="20"/>
          <w:szCs w:val="20"/>
          <w:lang w:val="en"/>
        </w:rPr>
        <w:t>Directive 2013/32/EU,</w:t>
      </w:r>
      <w:r w:rsidRPr="002614C5">
        <w:rPr>
          <w:b/>
          <w:color w:val="auto"/>
          <w:sz w:val="20"/>
          <w:szCs w:val="20"/>
          <w:lang w:val="en-US"/>
        </w:rPr>
        <w:t xml:space="preserve"> </w:t>
      </w:r>
      <w:r w:rsidRPr="002614C5">
        <w:rPr>
          <w:rStyle w:val="Strong"/>
          <w:rFonts w:cs="Lucida Sans Unicode"/>
          <w:b w:val="0"/>
          <w:color w:val="auto"/>
          <w:sz w:val="20"/>
          <w:szCs w:val="20"/>
          <w:lang w:val="en"/>
        </w:rPr>
        <w:t>Art. 3(1).</w:t>
      </w:r>
    </w:p>
  </w:footnote>
  <w:footnote w:id="49">
    <w:p w:rsidR="008426C3" w:rsidRPr="002614C5" w:rsidRDefault="008426C3">
      <w:pPr>
        <w:pStyle w:val="FootnoteText"/>
        <w:rPr>
          <w:color w:val="auto"/>
          <w:sz w:val="20"/>
          <w:szCs w:val="20"/>
          <w:lang w:val="en-US"/>
        </w:rPr>
      </w:pPr>
      <w:r w:rsidRPr="002614C5">
        <w:rPr>
          <w:rStyle w:val="FootnoteReference"/>
          <w:color w:val="auto"/>
          <w:sz w:val="20"/>
          <w:szCs w:val="20"/>
        </w:rPr>
        <w:footnoteRef/>
      </w:r>
      <w:r w:rsidRPr="002614C5">
        <w:rPr>
          <w:color w:val="auto"/>
          <w:sz w:val="20"/>
          <w:szCs w:val="20"/>
        </w:rPr>
        <w:t xml:space="preserve"> </w:t>
      </w:r>
      <w:r w:rsidRPr="002614C5">
        <w:rPr>
          <w:color w:val="auto"/>
          <w:sz w:val="20"/>
          <w:szCs w:val="20"/>
          <w:lang w:val="en-US"/>
        </w:rPr>
        <w:t>COM(2006), 733 final, par. 34.</w:t>
      </w:r>
    </w:p>
  </w:footnote>
  <w:footnote w:id="50">
    <w:p w:rsidR="008426C3" w:rsidRPr="002614C5" w:rsidRDefault="008426C3">
      <w:pPr>
        <w:pStyle w:val="FootnoteText"/>
        <w:rPr>
          <w:color w:val="auto"/>
          <w:sz w:val="20"/>
          <w:szCs w:val="20"/>
        </w:rPr>
      </w:pPr>
      <w:r w:rsidRPr="002614C5">
        <w:rPr>
          <w:rStyle w:val="FootnoteReference"/>
          <w:color w:val="auto"/>
          <w:sz w:val="20"/>
          <w:szCs w:val="20"/>
        </w:rPr>
        <w:footnoteRef/>
      </w:r>
      <w:r w:rsidRPr="002614C5">
        <w:rPr>
          <w:color w:val="auto"/>
          <w:sz w:val="20"/>
          <w:szCs w:val="20"/>
        </w:rPr>
        <w:t xml:space="preserve"> The agreements themselves are confidential. See for an extensive analysis P. Garcia Andrade, ‘Extraterritorial Strategies to tackle Irregular Immigration by Sea: A Spanish Perspective’, in: B. Ryan and V. </w:t>
      </w:r>
      <w:proofErr w:type="spellStart"/>
      <w:r w:rsidRPr="002614C5">
        <w:rPr>
          <w:color w:val="auto"/>
          <w:sz w:val="20"/>
          <w:szCs w:val="20"/>
        </w:rPr>
        <w:t>Mitsilegas</w:t>
      </w:r>
      <w:proofErr w:type="spellEnd"/>
      <w:r w:rsidRPr="002614C5">
        <w:rPr>
          <w:color w:val="auto"/>
          <w:sz w:val="20"/>
          <w:szCs w:val="20"/>
        </w:rPr>
        <w:t xml:space="preserve"> (</w:t>
      </w:r>
      <w:proofErr w:type="spellStart"/>
      <w:r w:rsidRPr="002614C5">
        <w:rPr>
          <w:color w:val="auto"/>
          <w:sz w:val="20"/>
          <w:szCs w:val="20"/>
        </w:rPr>
        <w:t>eds</w:t>
      </w:r>
      <w:proofErr w:type="spellEnd"/>
      <w:r w:rsidRPr="002614C5">
        <w:rPr>
          <w:color w:val="auto"/>
          <w:sz w:val="20"/>
          <w:szCs w:val="20"/>
        </w:rPr>
        <w:t xml:space="preserve">), </w:t>
      </w:r>
      <w:r w:rsidRPr="002614C5">
        <w:rPr>
          <w:i/>
          <w:color w:val="auto"/>
          <w:sz w:val="20"/>
          <w:szCs w:val="20"/>
        </w:rPr>
        <w:t>Extraterritorial Immigration Control. Legal Challenges</w:t>
      </w:r>
      <w:r w:rsidRPr="002614C5">
        <w:rPr>
          <w:color w:val="auto"/>
          <w:sz w:val="20"/>
          <w:szCs w:val="20"/>
        </w:rPr>
        <w:t xml:space="preserve">, Leiden/Boston: </w:t>
      </w:r>
      <w:proofErr w:type="spellStart"/>
      <w:r w:rsidRPr="002614C5">
        <w:rPr>
          <w:color w:val="auto"/>
          <w:sz w:val="20"/>
          <w:szCs w:val="20"/>
        </w:rPr>
        <w:t>Martinus</w:t>
      </w:r>
      <w:proofErr w:type="spellEnd"/>
      <w:r w:rsidRPr="002614C5">
        <w:rPr>
          <w:color w:val="auto"/>
          <w:sz w:val="20"/>
          <w:szCs w:val="20"/>
        </w:rPr>
        <w:t xml:space="preserve"> </w:t>
      </w:r>
      <w:proofErr w:type="spellStart"/>
      <w:r w:rsidRPr="002614C5">
        <w:rPr>
          <w:color w:val="auto"/>
          <w:sz w:val="20"/>
          <w:szCs w:val="20"/>
        </w:rPr>
        <w:t>Nijhoff</w:t>
      </w:r>
      <w:proofErr w:type="spellEnd"/>
      <w:r w:rsidRPr="002614C5">
        <w:rPr>
          <w:color w:val="auto"/>
          <w:sz w:val="20"/>
          <w:szCs w:val="20"/>
        </w:rPr>
        <w:t xml:space="preserve"> (2010), 311-346. </w:t>
      </w:r>
    </w:p>
  </w:footnote>
  <w:footnote w:id="51">
    <w:p w:rsidR="008426C3" w:rsidRPr="002614C5" w:rsidRDefault="008426C3">
      <w:pPr>
        <w:pStyle w:val="FootnoteText"/>
        <w:rPr>
          <w:color w:val="auto"/>
          <w:sz w:val="20"/>
          <w:szCs w:val="20"/>
          <w:lang w:val="en-US"/>
        </w:rPr>
      </w:pPr>
      <w:r w:rsidRPr="002614C5">
        <w:rPr>
          <w:rStyle w:val="FootnoteReference"/>
          <w:color w:val="auto"/>
          <w:sz w:val="20"/>
          <w:szCs w:val="20"/>
        </w:rPr>
        <w:footnoteRef/>
      </w:r>
      <w:r w:rsidRPr="002614C5">
        <w:rPr>
          <w:color w:val="auto"/>
          <w:sz w:val="20"/>
          <w:szCs w:val="20"/>
        </w:rPr>
        <w:t xml:space="preserve"> </w:t>
      </w:r>
      <w:r w:rsidRPr="002614C5">
        <w:rPr>
          <w:color w:val="auto"/>
          <w:sz w:val="20"/>
          <w:szCs w:val="20"/>
          <w:lang w:val="en-US"/>
        </w:rPr>
        <w:t>Ibid.</w:t>
      </w:r>
    </w:p>
  </w:footnote>
  <w:footnote w:id="52">
    <w:p w:rsidR="008426C3" w:rsidRPr="002614C5" w:rsidRDefault="008426C3">
      <w:pPr>
        <w:pStyle w:val="FootnoteText"/>
        <w:rPr>
          <w:color w:val="auto"/>
          <w:sz w:val="20"/>
          <w:szCs w:val="20"/>
          <w:lang w:val="en-US"/>
        </w:rPr>
      </w:pPr>
      <w:r w:rsidRPr="002614C5">
        <w:rPr>
          <w:rStyle w:val="FootnoteReference"/>
          <w:color w:val="auto"/>
          <w:sz w:val="20"/>
          <w:szCs w:val="20"/>
        </w:rPr>
        <w:footnoteRef/>
      </w:r>
      <w:r w:rsidRPr="002614C5">
        <w:rPr>
          <w:color w:val="auto"/>
          <w:sz w:val="20"/>
          <w:szCs w:val="20"/>
        </w:rPr>
        <w:t xml:space="preserve"> </w:t>
      </w:r>
      <w:r w:rsidRPr="002614C5">
        <w:rPr>
          <w:color w:val="auto"/>
          <w:sz w:val="20"/>
          <w:szCs w:val="20"/>
          <w:lang w:val="en-US"/>
        </w:rPr>
        <w:t>Reg. 656/2014, recital 1.</w:t>
      </w:r>
    </w:p>
  </w:footnote>
  <w:footnote w:id="53">
    <w:p w:rsidR="008426C3" w:rsidRPr="006B3E44" w:rsidRDefault="008426C3">
      <w:pPr>
        <w:pStyle w:val="FootnoteText"/>
        <w:rPr>
          <w:lang w:val="en-US"/>
        </w:rPr>
      </w:pPr>
      <w:r w:rsidRPr="002614C5">
        <w:rPr>
          <w:rStyle w:val="FootnoteReference"/>
          <w:color w:val="auto"/>
          <w:sz w:val="20"/>
          <w:szCs w:val="20"/>
        </w:rPr>
        <w:footnoteRef/>
      </w:r>
      <w:r w:rsidRPr="002614C5">
        <w:rPr>
          <w:color w:val="auto"/>
          <w:sz w:val="20"/>
          <w:szCs w:val="20"/>
        </w:rPr>
        <w:t xml:space="preserve"> </w:t>
      </w:r>
      <w:r w:rsidRPr="002614C5">
        <w:rPr>
          <w:color w:val="auto"/>
          <w:sz w:val="20"/>
          <w:szCs w:val="20"/>
          <w:lang w:val="en-US"/>
        </w:rPr>
        <w:t xml:space="preserve">For examples see M. den Heijer, </w:t>
      </w:r>
      <w:r w:rsidRPr="002614C5">
        <w:rPr>
          <w:i/>
          <w:color w:val="auto"/>
          <w:sz w:val="20"/>
          <w:szCs w:val="20"/>
          <w:lang w:val="en-US"/>
        </w:rPr>
        <w:t>Europe and Extraterritorial Asylum</w:t>
      </w:r>
      <w:r w:rsidRPr="002614C5">
        <w:rPr>
          <w:color w:val="auto"/>
          <w:sz w:val="20"/>
          <w:szCs w:val="20"/>
          <w:lang w:val="en-US"/>
        </w:rPr>
        <w:t>, Oxford: Hart Publishing (2012), at 231.</w:t>
      </w:r>
    </w:p>
  </w:footnote>
  <w:footnote w:id="54">
    <w:p w:rsidR="008426C3" w:rsidRPr="002614C5" w:rsidRDefault="008426C3">
      <w:pPr>
        <w:pStyle w:val="FootnoteText"/>
        <w:rPr>
          <w:color w:val="auto"/>
          <w:sz w:val="20"/>
          <w:szCs w:val="20"/>
          <w:lang w:val="en-US"/>
        </w:rPr>
      </w:pPr>
      <w:r w:rsidRPr="002614C5">
        <w:rPr>
          <w:rStyle w:val="FootnoteReference"/>
          <w:color w:val="auto"/>
          <w:sz w:val="20"/>
          <w:szCs w:val="20"/>
        </w:rPr>
        <w:footnoteRef/>
      </w:r>
      <w:r w:rsidRPr="002614C5">
        <w:rPr>
          <w:color w:val="auto"/>
          <w:sz w:val="20"/>
          <w:szCs w:val="20"/>
        </w:rPr>
        <w:t xml:space="preserve"> </w:t>
      </w:r>
      <w:proofErr w:type="spellStart"/>
      <w:r w:rsidRPr="002614C5">
        <w:rPr>
          <w:i/>
          <w:color w:val="auto"/>
          <w:sz w:val="20"/>
          <w:szCs w:val="20"/>
        </w:rPr>
        <w:t>Statewatch</w:t>
      </w:r>
      <w:proofErr w:type="spellEnd"/>
      <w:r w:rsidRPr="002614C5">
        <w:rPr>
          <w:i/>
          <w:color w:val="auto"/>
          <w:sz w:val="20"/>
          <w:szCs w:val="20"/>
        </w:rPr>
        <w:t xml:space="preserve"> News</w:t>
      </w:r>
      <w:r w:rsidRPr="002614C5">
        <w:rPr>
          <w:color w:val="auto"/>
          <w:sz w:val="20"/>
          <w:szCs w:val="20"/>
        </w:rPr>
        <w:t xml:space="preserve"> 7 Sep. 2007, ‘</w:t>
      </w:r>
      <w:r w:rsidRPr="002614C5">
        <w:rPr>
          <w:rFonts w:cs="Tahoma"/>
          <w:bCs/>
          <w:color w:val="auto"/>
          <w:sz w:val="20"/>
          <w:szCs w:val="20"/>
          <w:shd w:val="clear" w:color="auto" w:fill="FFFFFF"/>
        </w:rPr>
        <w:t>Italy/Tunisia: Fishermen on trial for rescuing migrants</w:t>
      </w:r>
      <w:r w:rsidRPr="002614C5">
        <w:rPr>
          <w:color w:val="auto"/>
          <w:sz w:val="20"/>
          <w:szCs w:val="20"/>
        </w:rPr>
        <w:t>’.</w:t>
      </w:r>
    </w:p>
  </w:footnote>
  <w:footnote w:id="55">
    <w:p w:rsidR="008426C3" w:rsidRPr="002614C5" w:rsidRDefault="008426C3" w:rsidP="00680EE9">
      <w:pPr>
        <w:pStyle w:val="FootnoteText"/>
        <w:rPr>
          <w:color w:val="auto"/>
          <w:sz w:val="20"/>
          <w:szCs w:val="20"/>
        </w:rPr>
      </w:pPr>
      <w:r w:rsidRPr="002614C5">
        <w:rPr>
          <w:rStyle w:val="FootnoteReference"/>
          <w:color w:val="auto"/>
          <w:sz w:val="20"/>
          <w:szCs w:val="20"/>
        </w:rPr>
        <w:footnoteRef/>
      </w:r>
      <w:r w:rsidRPr="002614C5">
        <w:rPr>
          <w:color w:val="auto"/>
          <w:sz w:val="20"/>
          <w:szCs w:val="20"/>
        </w:rPr>
        <w:t xml:space="preserve"> The incident has been widely reported. For a summary: Migration Policy Group,</w:t>
      </w:r>
      <w:r w:rsidRPr="002614C5">
        <w:rPr>
          <w:i/>
          <w:color w:val="auto"/>
          <w:sz w:val="20"/>
          <w:szCs w:val="20"/>
        </w:rPr>
        <w:t xml:space="preserve"> Migration News Sheet</w:t>
      </w:r>
      <w:r w:rsidRPr="002614C5">
        <w:rPr>
          <w:color w:val="auto"/>
          <w:sz w:val="20"/>
          <w:szCs w:val="20"/>
        </w:rPr>
        <w:t>, Brussels, July 2007, p. 11.</w:t>
      </w:r>
    </w:p>
  </w:footnote>
  <w:footnote w:id="56">
    <w:p w:rsidR="008426C3" w:rsidRPr="002614C5" w:rsidRDefault="008426C3" w:rsidP="00680EE9">
      <w:pPr>
        <w:pStyle w:val="FootnoteText"/>
        <w:rPr>
          <w:color w:val="auto"/>
          <w:sz w:val="20"/>
          <w:szCs w:val="20"/>
        </w:rPr>
      </w:pPr>
      <w:r w:rsidRPr="002614C5">
        <w:rPr>
          <w:rStyle w:val="FootnoteReference"/>
          <w:color w:val="auto"/>
          <w:sz w:val="20"/>
          <w:szCs w:val="20"/>
        </w:rPr>
        <w:footnoteRef/>
      </w:r>
      <w:r w:rsidRPr="002614C5">
        <w:rPr>
          <w:color w:val="auto"/>
          <w:sz w:val="20"/>
          <w:szCs w:val="20"/>
        </w:rPr>
        <w:t xml:space="preserve"> </w:t>
      </w:r>
      <w:r w:rsidRPr="002614C5">
        <w:rPr>
          <w:rFonts w:cs="Baskerville MT"/>
          <w:color w:val="auto"/>
          <w:sz w:val="20"/>
          <w:szCs w:val="20"/>
        </w:rPr>
        <w:t xml:space="preserve">Migration Policy Group, </w:t>
      </w:r>
      <w:r w:rsidRPr="002614C5">
        <w:rPr>
          <w:rFonts w:cs="Baskerville MT Italic"/>
          <w:i/>
          <w:iCs/>
          <w:color w:val="auto"/>
          <w:sz w:val="20"/>
          <w:szCs w:val="20"/>
        </w:rPr>
        <w:t>Migration News Sheet</w:t>
      </w:r>
      <w:r w:rsidRPr="002614C5">
        <w:rPr>
          <w:rFonts w:cs="Baskerville MT"/>
          <w:color w:val="auto"/>
          <w:sz w:val="20"/>
          <w:szCs w:val="20"/>
        </w:rPr>
        <w:t>, Brussels, August 2006, pp. 16-18.</w:t>
      </w:r>
    </w:p>
  </w:footnote>
  <w:footnote w:id="57">
    <w:p w:rsidR="008426C3" w:rsidRPr="002614C5" w:rsidRDefault="008426C3" w:rsidP="00EE5070">
      <w:pPr>
        <w:pStyle w:val="FootnoteText"/>
        <w:rPr>
          <w:color w:val="auto"/>
          <w:sz w:val="20"/>
          <w:szCs w:val="20"/>
          <w:lang w:val="en-US"/>
        </w:rPr>
      </w:pPr>
      <w:r w:rsidRPr="002614C5">
        <w:rPr>
          <w:rStyle w:val="FootnoteReference"/>
          <w:color w:val="auto"/>
          <w:sz w:val="20"/>
          <w:szCs w:val="20"/>
        </w:rPr>
        <w:footnoteRef/>
      </w:r>
      <w:r w:rsidRPr="002614C5">
        <w:rPr>
          <w:color w:val="auto"/>
          <w:sz w:val="20"/>
          <w:szCs w:val="20"/>
        </w:rPr>
        <w:t xml:space="preserve"> </w:t>
      </w:r>
      <w:r w:rsidRPr="002614C5">
        <w:rPr>
          <w:color w:val="auto"/>
          <w:sz w:val="20"/>
          <w:szCs w:val="20"/>
          <w:lang w:val="en-US"/>
        </w:rPr>
        <w:t>BBC News 12 November 2014, ‘Mediterranean migrants: EU rescue policy criticized’.</w:t>
      </w:r>
    </w:p>
  </w:footnote>
  <w:footnote w:id="58">
    <w:p w:rsidR="008426C3" w:rsidRPr="002614C5" w:rsidRDefault="008426C3" w:rsidP="002614C5">
      <w:pPr>
        <w:pStyle w:val="FootnoteText"/>
        <w:spacing w:line="240" w:lineRule="auto"/>
        <w:rPr>
          <w:color w:val="auto"/>
          <w:sz w:val="20"/>
          <w:szCs w:val="20"/>
          <w:lang w:val="en-US"/>
        </w:rPr>
      </w:pPr>
      <w:r w:rsidRPr="002614C5">
        <w:rPr>
          <w:rStyle w:val="FootnoteReference"/>
          <w:color w:val="auto"/>
          <w:sz w:val="20"/>
          <w:szCs w:val="20"/>
        </w:rPr>
        <w:footnoteRef/>
      </w:r>
      <w:r w:rsidRPr="002614C5">
        <w:rPr>
          <w:color w:val="auto"/>
          <w:sz w:val="20"/>
          <w:szCs w:val="20"/>
        </w:rPr>
        <w:t xml:space="preserve"> Parliamentary </w:t>
      </w:r>
      <w:proofErr w:type="spellStart"/>
      <w:r w:rsidRPr="002614C5">
        <w:rPr>
          <w:color w:val="auto"/>
          <w:sz w:val="20"/>
          <w:szCs w:val="20"/>
        </w:rPr>
        <w:t>Assemblee</w:t>
      </w:r>
      <w:proofErr w:type="spellEnd"/>
      <w:r w:rsidRPr="002614C5">
        <w:rPr>
          <w:color w:val="auto"/>
          <w:sz w:val="20"/>
          <w:szCs w:val="20"/>
        </w:rPr>
        <w:t xml:space="preserve"> of the Council of Europe, ‘Lives lost in the Mediterranean Sea: who is responsible?’, 5 April 2012, doc. 12895.</w:t>
      </w:r>
    </w:p>
  </w:footnote>
  <w:footnote w:id="59">
    <w:p w:rsidR="008426C3" w:rsidRPr="002614C5" w:rsidRDefault="008426C3" w:rsidP="002614C5">
      <w:pPr>
        <w:pStyle w:val="FootnoteText"/>
        <w:spacing w:line="240" w:lineRule="auto"/>
        <w:rPr>
          <w:color w:val="auto"/>
          <w:sz w:val="20"/>
          <w:szCs w:val="20"/>
          <w:lang w:val="en-US"/>
        </w:rPr>
      </w:pPr>
      <w:r w:rsidRPr="002614C5">
        <w:rPr>
          <w:rStyle w:val="FootnoteReference"/>
          <w:color w:val="auto"/>
          <w:sz w:val="20"/>
          <w:szCs w:val="20"/>
        </w:rPr>
        <w:footnoteRef/>
      </w:r>
      <w:r w:rsidRPr="002614C5">
        <w:rPr>
          <w:color w:val="auto"/>
          <w:sz w:val="20"/>
          <w:szCs w:val="20"/>
        </w:rPr>
        <w:t xml:space="preserve">  International Convention on Maritime Search and Rescue 1979, Annex par. 1.3.2.</w:t>
      </w:r>
    </w:p>
  </w:footnote>
  <w:footnote w:id="60">
    <w:p w:rsidR="008426C3" w:rsidRPr="002614C5" w:rsidRDefault="008426C3" w:rsidP="002614C5">
      <w:pPr>
        <w:pStyle w:val="FootnoteText"/>
        <w:spacing w:line="240" w:lineRule="auto"/>
        <w:rPr>
          <w:color w:val="auto"/>
          <w:sz w:val="20"/>
          <w:szCs w:val="20"/>
          <w:lang w:val="en-US"/>
        </w:rPr>
      </w:pPr>
      <w:r w:rsidRPr="002614C5">
        <w:rPr>
          <w:rStyle w:val="FootnoteReference"/>
          <w:color w:val="auto"/>
          <w:sz w:val="20"/>
          <w:szCs w:val="20"/>
        </w:rPr>
        <w:footnoteRef/>
      </w:r>
      <w:r w:rsidRPr="002614C5">
        <w:rPr>
          <w:color w:val="auto"/>
          <w:sz w:val="20"/>
          <w:szCs w:val="20"/>
        </w:rPr>
        <w:t xml:space="preserve"> </w:t>
      </w:r>
      <w:r w:rsidRPr="002614C5">
        <w:rPr>
          <w:color w:val="auto"/>
          <w:sz w:val="20"/>
          <w:szCs w:val="20"/>
          <w:lang w:val="en-US"/>
        </w:rPr>
        <w:t xml:space="preserve">S. </w:t>
      </w:r>
      <w:proofErr w:type="spellStart"/>
      <w:r w:rsidRPr="002614C5">
        <w:rPr>
          <w:color w:val="auto"/>
          <w:sz w:val="20"/>
          <w:szCs w:val="20"/>
          <w:lang w:val="en-US"/>
        </w:rPr>
        <w:t>Klepp</w:t>
      </w:r>
      <w:proofErr w:type="spellEnd"/>
      <w:r w:rsidRPr="002614C5">
        <w:rPr>
          <w:color w:val="auto"/>
          <w:sz w:val="20"/>
          <w:szCs w:val="20"/>
          <w:lang w:val="en-US"/>
        </w:rPr>
        <w:t xml:space="preserve">, ‘A Double Bind: Malta and the Rescue of Unwanted Migrants at Sea, a Legal Anthropological Perspective on the Humanitarian Law of the Sea’, 23 </w:t>
      </w:r>
      <w:r w:rsidRPr="002614C5">
        <w:rPr>
          <w:i/>
          <w:color w:val="auto"/>
          <w:sz w:val="20"/>
          <w:szCs w:val="20"/>
          <w:lang w:val="en-US"/>
        </w:rPr>
        <w:t>International Journal of Refugee Law</w:t>
      </w:r>
      <w:r w:rsidRPr="002614C5">
        <w:rPr>
          <w:color w:val="auto"/>
          <w:sz w:val="20"/>
          <w:szCs w:val="20"/>
          <w:lang w:val="en-US"/>
        </w:rPr>
        <w:t xml:space="preserve"> (2011), 539 at 548-551; P. </w:t>
      </w:r>
      <w:proofErr w:type="spellStart"/>
      <w:r w:rsidRPr="002614C5">
        <w:rPr>
          <w:color w:val="auto"/>
          <w:sz w:val="20"/>
          <w:szCs w:val="20"/>
          <w:lang w:val="en-US"/>
        </w:rPr>
        <w:t>Mallia</w:t>
      </w:r>
      <w:proofErr w:type="spellEnd"/>
      <w:r w:rsidRPr="002614C5">
        <w:rPr>
          <w:color w:val="auto"/>
          <w:sz w:val="20"/>
          <w:szCs w:val="20"/>
          <w:lang w:val="en-US"/>
        </w:rPr>
        <w:t>, ‘The Challenges of Irregular Maritime Migration’, Jean Monnet Occasional Paper No. 4/2013, at 11.</w:t>
      </w:r>
    </w:p>
  </w:footnote>
  <w:footnote w:id="61">
    <w:p w:rsidR="008426C3" w:rsidRPr="004427CF" w:rsidRDefault="008426C3" w:rsidP="000C6EA9">
      <w:pPr>
        <w:pStyle w:val="Heading1"/>
        <w:shd w:val="clear" w:color="auto" w:fill="FFFFFF"/>
        <w:spacing w:before="0" w:beforeAutospacing="0" w:after="0" w:afterAutospacing="0"/>
        <w:textAlignment w:val="baseline"/>
        <w:rPr>
          <w:rFonts w:asciiTheme="minorHAnsi" w:hAnsiTheme="minorHAnsi" w:cs="Arial"/>
          <w:b w:val="0"/>
          <w:sz w:val="20"/>
          <w:szCs w:val="20"/>
        </w:rPr>
      </w:pPr>
      <w:r w:rsidRPr="000C6EA9">
        <w:rPr>
          <w:rStyle w:val="FootnoteReference"/>
          <w:rFonts w:asciiTheme="minorHAnsi" w:hAnsiTheme="minorHAnsi"/>
          <w:b w:val="0"/>
          <w:sz w:val="20"/>
          <w:szCs w:val="20"/>
        </w:rPr>
        <w:footnoteRef/>
      </w:r>
      <w:r w:rsidRPr="000C6EA9">
        <w:rPr>
          <w:rFonts w:asciiTheme="minorHAnsi" w:hAnsiTheme="minorHAnsi"/>
          <w:b w:val="0"/>
          <w:sz w:val="20"/>
          <w:szCs w:val="20"/>
        </w:rPr>
        <w:t xml:space="preserve"> </w:t>
      </w:r>
      <w:proofErr w:type="spellStart"/>
      <w:r w:rsidRPr="000C6EA9">
        <w:rPr>
          <w:rFonts w:asciiTheme="minorHAnsi" w:hAnsiTheme="minorHAnsi"/>
          <w:b w:val="0"/>
          <w:sz w:val="20"/>
          <w:szCs w:val="20"/>
        </w:rPr>
        <w:t>Mallia</w:t>
      </w:r>
      <w:proofErr w:type="spellEnd"/>
      <w:r w:rsidRPr="000C6EA9">
        <w:rPr>
          <w:rFonts w:asciiTheme="minorHAnsi" w:hAnsiTheme="minorHAnsi"/>
          <w:b w:val="0"/>
          <w:sz w:val="20"/>
          <w:szCs w:val="20"/>
        </w:rPr>
        <w:t xml:space="preserve">, n. above, p. 11. See also </w:t>
      </w:r>
      <w:r w:rsidRPr="000C6EA9">
        <w:rPr>
          <w:rFonts w:asciiTheme="minorHAnsi" w:hAnsiTheme="minorHAnsi"/>
          <w:b w:val="0"/>
          <w:i/>
          <w:sz w:val="20"/>
          <w:szCs w:val="20"/>
        </w:rPr>
        <w:t>Times of Malta</w:t>
      </w:r>
      <w:r w:rsidRPr="000C6EA9">
        <w:rPr>
          <w:rFonts w:asciiTheme="minorHAnsi" w:hAnsiTheme="minorHAnsi"/>
          <w:b w:val="0"/>
          <w:sz w:val="20"/>
          <w:szCs w:val="20"/>
        </w:rPr>
        <w:t xml:space="preserve"> 26 April 2009, ‘</w:t>
      </w:r>
      <w:r w:rsidRPr="000C6EA9">
        <w:rPr>
          <w:rFonts w:asciiTheme="minorHAnsi" w:hAnsiTheme="minorHAnsi" w:cs="Arial"/>
          <w:b w:val="0"/>
          <w:sz w:val="20"/>
          <w:szCs w:val="20"/>
        </w:rPr>
        <w:t xml:space="preserve">Shrinking Malta's search and rescue area is 'not an </w:t>
      </w:r>
      <w:r w:rsidRPr="004427CF">
        <w:rPr>
          <w:rFonts w:asciiTheme="minorHAnsi" w:hAnsiTheme="minorHAnsi" w:cs="Arial"/>
          <w:b w:val="0"/>
          <w:sz w:val="20"/>
          <w:szCs w:val="20"/>
        </w:rPr>
        <w:t>option'’.</w:t>
      </w:r>
    </w:p>
  </w:footnote>
  <w:footnote w:id="62">
    <w:p w:rsidR="008426C3" w:rsidRPr="000C6EA9" w:rsidRDefault="008426C3" w:rsidP="000C6EA9">
      <w:pPr>
        <w:pStyle w:val="FootnoteText"/>
        <w:spacing w:line="240" w:lineRule="auto"/>
        <w:rPr>
          <w:color w:val="auto"/>
          <w:sz w:val="20"/>
          <w:szCs w:val="20"/>
          <w:lang w:val="en-US"/>
        </w:rPr>
      </w:pPr>
      <w:r w:rsidRPr="004427CF">
        <w:rPr>
          <w:rStyle w:val="FootnoteReference"/>
          <w:color w:val="auto"/>
          <w:sz w:val="20"/>
          <w:szCs w:val="20"/>
        </w:rPr>
        <w:footnoteRef/>
      </w:r>
      <w:r w:rsidRPr="004427CF">
        <w:rPr>
          <w:color w:val="auto"/>
          <w:sz w:val="20"/>
          <w:szCs w:val="20"/>
        </w:rPr>
        <w:t xml:space="preserve"> </w:t>
      </w:r>
      <w:proofErr w:type="spellStart"/>
      <w:r w:rsidRPr="004427CF">
        <w:rPr>
          <w:color w:val="auto"/>
          <w:sz w:val="20"/>
          <w:szCs w:val="20"/>
          <w:lang w:val="en-US"/>
        </w:rPr>
        <w:t>Klepp</w:t>
      </w:r>
      <w:proofErr w:type="spellEnd"/>
      <w:r w:rsidRPr="004427CF">
        <w:rPr>
          <w:color w:val="auto"/>
          <w:sz w:val="20"/>
          <w:szCs w:val="20"/>
          <w:lang w:val="en-US"/>
        </w:rPr>
        <w:t xml:space="preserve">, </w:t>
      </w:r>
      <w:r w:rsidRPr="004427CF">
        <w:rPr>
          <w:i/>
          <w:color w:val="auto"/>
          <w:sz w:val="20"/>
          <w:szCs w:val="20"/>
          <w:lang w:val="en-US"/>
        </w:rPr>
        <w:t>supra</w:t>
      </w:r>
      <w:r w:rsidRPr="004427CF">
        <w:rPr>
          <w:color w:val="auto"/>
          <w:sz w:val="20"/>
          <w:szCs w:val="20"/>
          <w:lang w:val="en-US"/>
        </w:rPr>
        <w:t xml:space="preserve"> note 60, at 554.</w:t>
      </w:r>
    </w:p>
  </w:footnote>
  <w:footnote w:id="63">
    <w:p w:rsidR="008426C3" w:rsidRPr="000C6EA9" w:rsidRDefault="008426C3" w:rsidP="000C6EA9">
      <w:pPr>
        <w:pStyle w:val="Heading1"/>
        <w:shd w:val="clear" w:color="auto" w:fill="FFFFFF"/>
        <w:spacing w:before="0" w:beforeAutospacing="0" w:after="0" w:afterAutospacing="0"/>
        <w:textAlignment w:val="baseline"/>
        <w:rPr>
          <w:rFonts w:asciiTheme="minorHAnsi" w:hAnsiTheme="minorHAnsi" w:cs="Arial"/>
          <w:b w:val="0"/>
          <w:sz w:val="20"/>
          <w:szCs w:val="20"/>
        </w:rPr>
      </w:pPr>
      <w:r w:rsidRPr="000C6EA9">
        <w:rPr>
          <w:rStyle w:val="FootnoteReference"/>
          <w:rFonts w:asciiTheme="minorHAnsi" w:hAnsiTheme="minorHAnsi"/>
          <w:b w:val="0"/>
          <w:sz w:val="20"/>
          <w:szCs w:val="20"/>
        </w:rPr>
        <w:footnoteRef/>
      </w:r>
      <w:r w:rsidRPr="000C6EA9">
        <w:rPr>
          <w:rFonts w:asciiTheme="minorHAnsi" w:hAnsiTheme="minorHAnsi"/>
          <w:b w:val="0"/>
          <w:sz w:val="20"/>
          <w:szCs w:val="20"/>
        </w:rPr>
        <w:t xml:space="preserve"> </w:t>
      </w:r>
      <w:r w:rsidRPr="000C6EA9">
        <w:rPr>
          <w:rFonts w:asciiTheme="minorHAnsi" w:hAnsiTheme="minorHAnsi"/>
          <w:b w:val="0"/>
          <w:i/>
          <w:sz w:val="20"/>
          <w:szCs w:val="20"/>
        </w:rPr>
        <w:t>Times of Malta</w:t>
      </w:r>
      <w:r w:rsidRPr="000C6EA9">
        <w:rPr>
          <w:rFonts w:asciiTheme="minorHAnsi" w:hAnsiTheme="minorHAnsi"/>
          <w:b w:val="0"/>
          <w:sz w:val="20"/>
          <w:szCs w:val="20"/>
        </w:rPr>
        <w:t xml:space="preserve"> 26 October 2014,</w:t>
      </w:r>
      <w:r w:rsidRPr="000C6EA9">
        <w:rPr>
          <w:rFonts w:asciiTheme="minorHAnsi" w:hAnsiTheme="minorHAnsi" w:cs="Arial"/>
          <w:b w:val="0"/>
          <w:sz w:val="20"/>
          <w:szCs w:val="20"/>
        </w:rPr>
        <w:t xml:space="preserve"> ‘Rescued migrants refused to come to Malta’.</w:t>
      </w:r>
    </w:p>
  </w:footnote>
  <w:footnote w:id="64">
    <w:p w:rsidR="008426C3" w:rsidRPr="000C6EA9" w:rsidRDefault="008426C3" w:rsidP="000C6EA9">
      <w:pPr>
        <w:pStyle w:val="Heading1"/>
        <w:shd w:val="clear" w:color="auto" w:fill="FFFFFF"/>
        <w:spacing w:before="0" w:beforeAutospacing="0" w:after="0" w:afterAutospacing="0"/>
        <w:rPr>
          <w:rFonts w:asciiTheme="minorHAnsi" w:hAnsiTheme="minorHAnsi"/>
          <w:b w:val="0"/>
          <w:bCs w:val="0"/>
          <w:sz w:val="20"/>
          <w:szCs w:val="20"/>
        </w:rPr>
      </w:pPr>
      <w:r w:rsidRPr="000C6EA9">
        <w:rPr>
          <w:rStyle w:val="FootnoteReference"/>
          <w:rFonts w:asciiTheme="minorHAnsi" w:hAnsiTheme="minorHAnsi"/>
          <w:b w:val="0"/>
          <w:sz w:val="20"/>
          <w:szCs w:val="20"/>
        </w:rPr>
        <w:footnoteRef/>
      </w:r>
      <w:r w:rsidRPr="000C6EA9">
        <w:rPr>
          <w:rFonts w:asciiTheme="minorHAnsi" w:hAnsiTheme="minorHAnsi"/>
          <w:b w:val="0"/>
          <w:sz w:val="20"/>
          <w:szCs w:val="20"/>
        </w:rPr>
        <w:t xml:space="preserve"> </w:t>
      </w:r>
      <w:r w:rsidRPr="000C6EA9">
        <w:rPr>
          <w:rFonts w:asciiTheme="minorHAnsi" w:hAnsiTheme="minorHAnsi"/>
          <w:b w:val="0"/>
          <w:i/>
          <w:sz w:val="20"/>
          <w:szCs w:val="20"/>
        </w:rPr>
        <w:t xml:space="preserve">International Business Times </w:t>
      </w:r>
      <w:r w:rsidRPr="000C6EA9">
        <w:rPr>
          <w:rFonts w:asciiTheme="minorHAnsi" w:hAnsiTheme="minorHAnsi"/>
          <w:b w:val="0"/>
          <w:sz w:val="20"/>
          <w:szCs w:val="20"/>
        </w:rPr>
        <w:t>26 September 2014, ‘</w:t>
      </w:r>
      <w:r w:rsidRPr="000C6EA9">
        <w:rPr>
          <w:rFonts w:asciiTheme="minorHAnsi" w:hAnsiTheme="minorHAnsi"/>
          <w:b w:val="0"/>
          <w:bCs w:val="0"/>
          <w:sz w:val="20"/>
          <w:szCs w:val="20"/>
        </w:rPr>
        <w:t>Nearly 300 Migrants, Mostly Syrians, Refuse To Disembark In Cyprus After Rescue’.</w:t>
      </w:r>
    </w:p>
  </w:footnote>
  <w:footnote w:id="65">
    <w:p w:rsidR="008426C3" w:rsidRPr="000C6EA9" w:rsidRDefault="008426C3" w:rsidP="000C6EA9">
      <w:pPr>
        <w:pStyle w:val="Heading1"/>
        <w:shd w:val="clear" w:color="auto" w:fill="FFFFFF"/>
        <w:spacing w:before="0" w:beforeAutospacing="0" w:after="0" w:afterAutospacing="0"/>
        <w:rPr>
          <w:rFonts w:asciiTheme="minorHAnsi" w:hAnsiTheme="minorHAnsi"/>
          <w:b w:val="0"/>
          <w:sz w:val="20"/>
          <w:szCs w:val="20"/>
        </w:rPr>
      </w:pPr>
      <w:r w:rsidRPr="000C6EA9">
        <w:rPr>
          <w:rStyle w:val="FootnoteReference"/>
          <w:rFonts w:asciiTheme="minorHAnsi" w:hAnsiTheme="minorHAnsi"/>
          <w:b w:val="0"/>
          <w:sz w:val="20"/>
          <w:szCs w:val="20"/>
        </w:rPr>
        <w:footnoteRef/>
      </w:r>
      <w:r w:rsidRPr="000C6EA9">
        <w:rPr>
          <w:rFonts w:asciiTheme="minorHAnsi" w:hAnsiTheme="minorHAnsi"/>
          <w:b w:val="0"/>
          <w:sz w:val="20"/>
          <w:szCs w:val="20"/>
        </w:rPr>
        <w:t xml:space="preserve"> Human Rights Watch Sept. 2009, ‘Pushed Back, Pushed Around. Italy’s Forced return of Boat Migrants and Asylum-Seekers’; </w:t>
      </w:r>
      <w:r w:rsidRPr="000C6EA9">
        <w:rPr>
          <w:rFonts w:asciiTheme="minorHAnsi" w:hAnsiTheme="minorHAnsi"/>
          <w:b w:val="0"/>
          <w:i/>
          <w:sz w:val="20"/>
          <w:szCs w:val="20"/>
        </w:rPr>
        <w:t>Malta Today</w:t>
      </w:r>
      <w:r w:rsidRPr="000C6EA9">
        <w:rPr>
          <w:rFonts w:asciiTheme="minorHAnsi" w:hAnsiTheme="minorHAnsi"/>
          <w:b w:val="0"/>
          <w:sz w:val="20"/>
          <w:szCs w:val="20"/>
        </w:rPr>
        <w:t xml:space="preserve"> 19 August 2014, ‘AFM denies Italian media report claiming it pushed migrants away’.</w:t>
      </w:r>
    </w:p>
  </w:footnote>
  <w:footnote w:id="66">
    <w:p w:rsidR="008426C3" w:rsidRPr="005B1272" w:rsidRDefault="008426C3" w:rsidP="000C6EA9">
      <w:pPr>
        <w:pStyle w:val="Heading2"/>
        <w:shd w:val="clear" w:color="auto" w:fill="FFFFFF"/>
        <w:spacing w:before="0"/>
        <w:textAlignment w:val="baseline"/>
        <w:rPr>
          <w:rFonts w:ascii="Georgia" w:hAnsi="Georgia"/>
          <w:b w:val="0"/>
          <w:color w:val="000000"/>
          <w:sz w:val="18"/>
          <w:szCs w:val="18"/>
        </w:rPr>
      </w:pPr>
      <w:r w:rsidRPr="000C6EA9">
        <w:rPr>
          <w:rStyle w:val="FootnoteReference"/>
          <w:rFonts w:asciiTheme="minorHAnsi" w:hAnsiTheme="minorHAnsi"/>
          <w:b w:val="0"/>
          <w:color w:val="auto"/>
          <w:sz w:val="20"/>
          <w:szCs w:val="20"/>
        </w:rPr>
        <w:footnoteRef/>
      </w:r>
      <w:r w:rsidRPr="000C6EA9">
        <w:rPr>
          <w:rFonts w:asciiTheme="minorHAnsi" w:hAnsiTheme="minorHAnsi"/>
          <w:b w:val="0"/>
          <w:color w:val="auto"/>
          <w:sz w:val="20"/>
          <w:szCs w:val="20"/>
        </w:rPr>
        <w:t xml:space="preserve"> </w:t>
      </w:r>
      <w:r w:rsidRPr="000C6EA9">
        <w:rPr>
          <w:rFonts w:asciiTheme="minorHAnsi" w:hAnsiTheme="minorHAnsi"/>
          <w:b w:val="0"/>
          <w:i/>
          <w:color w:val="auto"/>
          <w:sz w:val="20"/>
          <w:szCs w:val="20"/>
        </w:rPr>
        <w:t>ANSA</w:t>
      </w:r>
      <w:r w:rsidRPr="000C6EA9">
        <w:rPr>
          <w:rFonts w:asciiTheme="minorHAnsi" w:hAnsiTheme="minorHAnsi"/>
          <w:b w:val="0"/>
          <w:color w:val="auto"/>
          <w:sz w:val="20"/>
          <w:szCs w:val="20"/>
        </w:rPr>
        <w:t xml:space="preserve"> 15 October 2013, ‘Immigration: EU Council divided over FRONTEX guidelines’. See also Council docs. 10349/13 of 14 June 2013 and 14612/13 of 10 Oct. 2013.</w:t>
      </w:r>
    </w:p>
  </w:footnote>
  <w:footnote w:id="67">
    <w:p w:rsidR="008426C3" w:rsidRPr="004427CF" w:rsidRDefault="008426C3">
      <w:pPr>
        <w:pStyle w:val="FootnoteText"/>
        <w:rPr>
          <w:color w:val="auto"/>
          <w:sz w:val="20"/>
          <w:szCs w:val="20"/>
          <w:lang w:val="en-US"/>
        </w:rPr>
      </w:pPr>
      <w:r w:rsidRPr="004427CF">
        <w:rPr>
          <w:rStyle w:val="FootnoteReference"/>
          <w:color w:val="auto"/>
          <w:sz w:val="20"/>
          <w:szCs w:val="20"/>
        </w:rPr>
        <w:footnoteRef/>
      </w:r>
      <w:r w:rsidRPr="004427CF">
        <w:rPr>
          <w:color w:val="auto"/>
          <w:sz w:val="20"/>
          <w:szCs w:val="20"/>
        </w:rPr>
        <w:t xml:space="preserve"> Reg. 656/2014, r</w:t>
      </w:r>
      <w:proofErr w:type="spellStart"/>
      <w:r w:rsidRPr="004427CF">
        <w:rPr>
          <w:color w:val="auto"/>
          <w:sz w:val="20"/>
          <w:szCs w:val="20"/>
          <w:lang w:val="en-US"/>
        </w:rPr>
        <w:t>ecital</w:t>
      </w:r>
      <w:proofErr w:type="spellEnd"/>
      <w:r w:rsidRPr="004427CF">
        <w:rPr>
          <w:color w:val="auto"/>
          <w:sz w:val="20"/>
          <w:szCs w:val="20"/>
          <w:lang w:val="en-US"/>
        </w:rPr>
        <w:t xml:space="preserve"> 14 and 15.</w:t>
      </w:r>
    </w:p>
  </w:footnote>
  <w:footnote w:id="68">
    <w:p w:rsidR="008426C3" w:rsidRPr="004427CF" w:rsidRDefault="008426C3">
      <w:pPr>
        <w:pStyle w:val="FootnoteText"/>
        <w:rPr>
          <w:color w:val="auto"/>
          <w:sz w:val="20"/>
          <w:szCs w:val="20"/>
          <w:lang w:val="en-US"/>
        </w:rPr>
      </w:pPr>
      <w:r w:rsidRPr="004427CF">
        <w:rPr>
          <w:rStyle w:val="FootnoteReference"/>
          <w:color w:val="auto"/>
          <w:sz w:val="20"/>
          <w:szCs w:val="20"/>
        </w:rPr>
        <w:footnoteRef/>
      </w:r>
      <w:r w:rsidRPr="004427CF">
        <w:rPr>
          <w:color w:val="auto"/>
          <w:sz w:val="20"/>
          <w:szCs w:val="20"/>
        </w:rPr>
        <w:t xml:space="preserve"> Ibid, </w:t>
      </w:r>
      <w:r w:rsidRPr="004427CF">
        <w:rPr>
          <w:color w:val="auto"/>
          <w:sz w:val="20"/>
          <w:szCs w:val="20"/>
          <w:lang w:val="en-US"/>
        </w:rPr>
        <w:t>Art. 9.</w:t>
      </w:r>
    </w:p>
  </w:footnote>
  <w:footnote w:id="69">
    <w:p w:rsidR="008426C3" w:rsidRPr="004427CF" w:rsidRDefault="008426C3">
      <w:pPr>
        <w:pStyle w:val="FootnoteText"/>
        <w:rPr>
          <w:color w:val="auto"/>
          <w:sz w:val="20"/>
          <w:szCs w:val="20"/>
          <w:lang w:val="nl-NL"/>
        </w:rPr>
      </w:pPr>
      <w:r w:rsidRPr="004427CF">
        <w:rPr>
          <w:rStyle w:val="FootnoteReference"/>
          <w:color w:val="auto"/>
          <w:sz w:val="20"/>
          <w:szCs w:val="20"/>
        </w:rPr>
        <w:footnoteRef/>
      </w:r>
      <w:r w:rsidRPr="004427CF">
        <w:rPr>
          <w:color w:val="auto"/>
          <w:sz w:val="20"/>
          <w:szCs w:val="20"/>
        </w:rPr>
        <w:t xml:space="preserve"> </w:t>
      </w:r>
      <w:r w:rsidRPr="004427CF">
        <w:rPr>
          <w:color w:val="auto"/>
          <w:sz w:val="20"/>
          <w:szCs w:val="20"/>
          <w:lang w:val="nl-NL"/>
        </w:rPr>
        <w:t>Ibid. Art. 9(2)(a).</w:t>
      </w:r>
    </w:p>
  </w:footnote>
  <w:footnote w:id="70">
    <w:p w:rsidR="008426C3" w:rsidRPr="004427CF" w:rsidRDefault="008426C3">
      <w:pPr>
        <w:pStyle w:val="FootnoteText"/>
        <w:rPr>
          <w:color w:val="auto"/>
          <w:sz w:val="20"/>
          <w:szCs w:val="20"/>
          <w:lang w:val="en-US"/>
        </w:rPr>
      </w:pPr>
      <w:r w:rsidRPr="004427CF">
        <w:rPr>
          <w:rStyle w:val="FootnoteReference"/>
          <w:color w:val="auto"/>
          <w:sz w:val="20"/>
          <w:szCs w:val="20"/>
        </w:rPr>
        <w:footnoteRef/>
      </w:r>
      <w:r w:rsidRPr="004427CF">
        <w:rPr>
          <w:color w:val="auto"/>
          <w:sz w:val="20"/>
          <w:szCs w:val="20"/>
        </w:rPr>
        <w:t xml:space="preserve"> Ibid, </w:t>
      </w:r>
      <w:r w:rsidRPr="004427CF">
        <w:rPr>
          <w:color w:val="auto"/>
          <w:sz w:val="20"/>
          <w:szCs w:val="20"/>
          <w:lang w:val="en-US"/>
        </w:rPr>
        <w:t>Art. 10 (1)(c).</w:t>
      </w:r>
    </w:p>
  </w:footnote>
  <w:footnote w:id="71">
    <w:p w:rsidR="008426C3" w:rsidRPr="000C6EA9" w:rsidRDefault="008426C3">
      <w:pPr>
        <w:pStyle w:val="FootnoteText"/>
        <w:rPr>
          <w:color w:val="auto"/>
          <w:sz w:val="20"/>
          <w:szCs w:val="20"/>
          <w:lang w:val="en-US"/>
        </w:rPr>
      </w:pPr>
      <w:r w:rsidRPr="004427CF">
        <w:rPr>
          <w:rStyle w:val="FootnoteReference"/>
          <w:color w:val="auto"/>
          <w:sz w:val="20"/>
          <w:szCs w:val="20"/>
        </w:rPr>
        <w:footnoteRef/>
      </w:r>
      <w:r w:rsidRPr="004427CF">
        <w:rPr>
          <w:color w:val="auto"/>
          <w:sz w:val="20"/>
          <w:szCs w:val="20"/>
        </w:rPr>
        <w:t xml:space="preserve"> Ibid.</w:t>
      </w:r>
    </w:p>
  </w:footnote>
  <w:footnote w:id="72">
    <w:p w:rsidR="008426C3" w:rsidRPr="000C6EA9" w:rsidRDefault="008426C3" w:rsidP="000C6EA9">
      <w:pPr>
        <w:shd w:val="clear" w:color="auto" w:fill="FFFFFF"/>
        <w:spacing w:line="262" w:lineRule="atLeast"/>
        <w:textAlignment w:val="baseline"/>
        <w:rPr>
          <w:rFonts w:asciiTheme="minorHAnsi" w:hAnsiTheme="minorHAnsi" w:cs="Arial"/>
          <w:sz w:val="20"/>
          <w:szCs w:val="20"/>
        </w:rPr>
      </w:pPr>
      <w:r w:rsidRPr="000C6EA9">
        <w:rPr>
          <w:rStyle w:val="FootnoteReference"/>
          <w:rFonts w:asciiTheme="minorHAnsi" w:hAnsiTheme="minorHAnsi"/>
          <w:sz w:val="20"/>
          <w:szCs w:val="20"/>
        </w:rPr>
        <w:footnoteRef/>
      </w:r>
      <w:r w:rsidRPr="000C6EA9">
        <w:rPr>
          <w:rFonts w:asciiTheme="minorHAnsi" w:hAnsiTheme="minorHAnsi"/>
          <w:sz w:val="20"/>
          <w:szCs w:val="20"/>
        </w:rPr>
        <w:t xml:space="preserve"> </w:t>
      </w:r>
      <w:r w:rsidRPr="000C6EA9">
        <w:rPr>
          <w:rFonts w:asciiTheme="minorHAnsi" w:hAnsiTheme="minorHAnsi"/>
          <w:i/>
          <w:sz w:val="20"/>
          <w:szCs w:val="20"/>
        </w:rPr>
        <w:t>Times of Malta</w:t>
      </w:r>
      <w:r w:rsidRPr="000C6EA9">
        <w:rPr>
          <w:rFonts w:asciiTheme="minorHAnsi" w:hAnsiTheme="minorHAnsi"/>
          <w:sz w:val="20"/>
          <w:szCs w:val="20"/>
        </w:rPr>
        <w:t xml:space="preserve"> 2 </w:t>
      </w:r>
      <w:r w:rsidRPr="000C6EA9">
        <w:rPr>
          <w:rStyle w:val="articledate"/>
          <w:rFonts w:asciiTheme="minorHAnsi" w:hAnsiTheme="minorHAnsi" w:cs="Arial"/>
          <w:iCs/>
          <w:sz w:val="20"/>
          <w:szCs w:val="20"/>
          <w:bdr w:val="none" w:sz="0" w:space="0" w:color="auto" w:frame="1"/>
        </w:rPr>
        <w:t>July 2011,</w:t>
      </w:r>
      <w:r w:rsidRPr="000C6EA9">
        <w:rPr>
          <w:rStyle w:val="articledate"/>
          <w:rFonts w:asciiTheme="minorHAnsi" w:hAnsiTheme="minorHAnsi" w:cs="Arial"/>
          <w:i/>
          <w:iCs/>
          <w:sz w:val="20"/>
          <w:szCs w:val="20"/>
          <w:bdr w:val="none" w:sz="0" w:space="0" w:color="auto" w:frame="1"/>
        </w:rPr>
        <w:t xml:space="preserve">  ‘</w:t>
      </w:r>
      <w:r w:rsidRPr="000C6EA9">
        <w:rPr>
          <w:rFonts w:asciiTheme="minorHAnsi" w:hAnsiTheme="minorHAnsi" w:cs="Arial"/>
          <w:sz w:val="20"/>
          <w:szCs w:val="20"/>
        </w:rPr>
        <w:t xml:space="preserve">Army can </w:t>
      </w:r>
      <w:proofErr w:type="spellStart"/>
      <w:r w:rsidRPr="000C6EA9">
        <w:rPr>
          <w:rFonts w:asciiTheme="minorHAnsi" w:hAnsiTheme="minorHAnsi" w:cs="Arial"/>
          <w:sz w:val="20"/>
          <w:szCs w:val="20"/>
        </w:rPr>
        <w:t>honour</w:t>
      </w:r>
      <w:proofErr w:type="spellEnd"/>
      <w:r w:rsidRPr="000C6EA9">
        <w:rPr>
          <w:rFonts w:asciiTheme="minorHAnsi" w:hAnsiTheme="minorHAnsi" w:cs="Arial"/>
          <w:sz w:val="20"/>
          <w:szCs w:val="20"/>
        </w:rPr>
        <w:t xml:space="preserve"> ‘all international obligations’, AFM commander insists’. Briefing European Parliamentary Research Service 13/12/2013, ‘Irregular immigration in the EU Some national perspectives on arrival of immigrants’.</w:t>
      </w:r>
    </w:p>
  </w:footnote>
  <w:footnote w:id="73">
    <w:p w:rsidR="008426C3" w:rsidRPr="004427CF" w:rsidRDefault="008426C3">
      <w:pPr>
        <w:pStyle w:val="FootnoteText"/>
        <w:rPr>
          <w:color w:val="auto"/>
          <w:sz w:val="20"/>
          <w:szCs w:val="20"/>
        </w:rPr>
      </w:pPr>
      <w:r w:rsidRPr="004427CF">
        <w:rPr>
          <w:rStyle w:val="FootnoteReference"/>
          <w:color w:val="auto"/>
          <w:sz w:val="20"/>
          <w:szCs w:val="20"/>
        </w:rPr>
        <w:footnoteRef/>
      </w:r>
      <w:r w:rsidRPr="004427CF">
        <w:rPr>
          <w:color w:val="auto"/>
          <w:sz w:val="20"/>
          <w:szCs w:val="20"/>
        </w:rPr>
        <w:t xml:space="preserve"> I. </w:t>
      </w:r>
      <w:proofErr w:type="spellStart"/>
      <w:r w:rsidRPr="004427CF">
        <w:rPr>
          <w:color w:val="auto"/>
          <w:sz w:val="20"/>
          <w:szCs w:val="20"/>
        </w:rPr>
        <w:t>Laitinen</w:t>
      </w:r>
      <w:proofErr w:type="spellEnd"/>
      <w:r w:rsidRPr="004427CF">
        <w:rPr>
          <w:color w:val="auto"/>
          <w:sz w:val="20"/>
          <w:szCs w:val="20"/>
        </w:rPr>
        <w:t xml:space="preserve"> (</w:t>
      </w:r>
      <w:proofErr w:type="spellStart"/>
      <w:r w:rsidRPr="004427CF">
        <w:rPr>
          <w:color w:val="auto"/>
          <w:sz w:val="20"/>
          <w:szCs w:val="20"/>
        </w:rPr>
        <w:t>Frontex</w:t>
      </w:r>
      <w:proofErr w:type="spellEnd"/>
      <w:r w:rsidRPr="004427CF">
        <w:rPr>
          <w:color w:val="auto"/>
          <w:sz w:val="20"/>
          <w:szCs w:val="20"/>
        </w:rPr>
        <w:t xml:space="preserve"> director), ‘An Inside View’, </w:t>
      </w:r>
      <w:r w:rsidRPr="004427CF">
        <w:rPr>
          <w:bCs/>
          <w:color w:val="auto"/>
          <w:sz w:val="20"/>
          <w:szCs w:val="20"/>
          <w:lang w:val="en"/>
        </w:rPr>
        <w:t>EIPASCOPE 2008/3.</w:t>
      </w:r>
      <w:r w:rsidRPr="004427CF">
        <w:rPr>
          <w:color w:val="auto"/>
          <w:sz w:val="20"/>
          <w:szCs w:val="20"/>
        </w:rPr>
        <w:t xml:space="preserve"> </w:t>
      </w:r>
    </w:p>
  </w:footnote>
  <w:footnote w:id="74">
    <w:p w:rsidR="008426C3" w:rsidRPr="004427CF" w:rsidRDefault="008426C3" w:rsidP="00664858">
      <w:pPr>
        <w:pStyle w:val="FootnoteText"/>
        <w:rPr>
          <w:color w:val="auto"/>
          <w:sz w:val="20"/>
          <w:szCs w:val="20"/>
          <w:lang w:val="en-US"/>
        </w:rPr>
      </w:pPr>
      <w:r w:rsidRPr="004427CF">
        <w:rPr>
          <w:rStyle w:val="FootnoteReference"/>
          <w:color w:val="auto"/>
          <w:sz w:val="20"/>
          <w:szCs w:val="20"/>
        </w:rPr>
        <w:footnoteRef/>
      </w:r>
      <w:r w:rsidRPr="004427CF">
        <w:rPr>
          <w:color w:val="auto"/>
          <w:sz w:val="20"/>
          <w:szCs w:val="20"/>
        </w:rPr>
        <w:t xml:space="preserve"> </w:t>
      </w:r>
      <w:r w:rsidRPr="004427CF">
        <w:rPr>
          <w:i/>
          <w:color w:val="auto"/>
          <w:sz w:val="20"/>
          <w:szCs w:val="20"/>
          <w:lang w:val="en-US"/>
        </w:rPr>
        <w:t xml:space="preserve">BBC News </w:t>
      </w:r>
      <w:r w:rsidRPr="004427CF">
        <w:rPr>
          <w:color w:val="auto"/>
          <w:sz w:val="20"/>
          <w:szCs w:val="20"/>
          <w:lang w:val="en-US"/>
        </w:rPr>
        <w:t xml:space="preserve">28 October 2014, ‘UK opposes future migrant rescues in Mediterranean’. </w:t>
      </w:r>
    </w:p>
  </w:footnote>
  <w:footnote w:id="75">
    <w:p w:rsidR="008426C3" w:rsidRPr="00664858" w:rsidRDefault="008426C3">
      <w:pPr>
        <w:pStyle w:val="FootnoteText"/>
      </w:pPr>
      <w:r w:rsidRPr="004427CF">
        <w:rPr>
          <w:rStyle w:val="FootnoteReference"/>
          <w:color w:val="auto"/>
          <w:sz w:val="20"/>
          <w:szCs w:val="20"/>
        </w:rPr>
        <w:footnoteRef/>
      </w:r>
      <w:r w:rsidRPr="004427CF">
        <w:rPr>
          <w:color w:val="auto"/>
          <w:sz w:val="20"/>
          <w:szCs w:val="20"/>
        </w:rPr>
        <w:t xml:space="preserve"> UNHCR 17 October 2014, ‘UNHCR concerned over ending rescue operation in the </w:t>
      </w:r>
      <w:r w:rsidRPr="004427CF">
        <w:rPr>
          <w:color w:val="auto"/>
          <w:sz w:val="20"/>
          <w:szCs w:val="20"/>
          <w:lang w:val="en-US"/>
        </w:rPr>
        <w:t>Mediterranean</w:t>
      </w:r>
      <w:r w:rsidRPr="004427CF">
        <w:rPr>
          <w:color w:val="auto"/>
          <w:sz w:val="20"/>
          <w:szCs w:val="20"/>
        </w:rPr>
        <w:t>’.</w:t>
      </w:r>
    </w:p>
  </w:footnote>
  <w:footnote w:id="76">
    <w:p w:rsidR="008426C3" w:rsidRPr="00E504DE" w:rsidRDefault="008426C3" w:rsidP="004934F8">
      <w:pPr>
        <w:pStyle w:val="FootnoteText"/>
      </w:pPr>
      <w:r>
        <w:rPr>
          <w:rStyle w:val="FootnoteReference"/>
        </w:rPr>
        <w:footnoteRef/>
      </w:r>
      <w:r>
        <w:t xml:space="preserve"> </w:t>
      </w:r>
      <w:r w:rsidRPr="00E504DE">
        <w:t>COM(2013) 197 final</w:t>
      </w:r>
      <w:r>
        <w:t xml:space="preserve">, </w:t>
      </w:r>
      <w:r w:rsidRPr="00E504DE">
        <w:t>Paragraph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643"/>
    <w:multiLevelType w:val="hybridMultilevel"/>
    <w:tmpl w:val="30243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D2D65"/>
    <w:multiLevelType w:val="hybridMultilevel"/>
    <w:tmpl w:val="CCAEBECA"/>
    <w:lvl w:ilvl="0" w:tplc="F68AAE08">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C2225A"/>
    <w:multiLevelType w:val="hybridMultilevel"/>
    <w:tmpl w:val="C7743622"/>
    <w:lvl w:ilvl="0" w:tplc="5ACA8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D306B"/>
    <w:multiLevelType w:val="hybridMultilevel"/>
    <w:tmpl w:val="9CAE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F5AFD"/>
    <w:multiLevelType w:val="hybridMultilevel"/>
    <w:tmpl w:val="7A9A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E6BCD"/>
    <w:multiLevelType w:val="hybridMultilevel"/>
    <w:tmpl w:val="D278F708"/>
    <w:lvl w:ilvl="0" w:tplc="45EA9B7E">
      <w:numFmt w:val="bullet"/>
      <w:lvlText w:val="-"/>
      <w:lvlJc w:val="left"/>
      <w:pPr>
        <w:ind w:left="720" w:hanging="360"/>
      </w:pPr>
      <w:rPr>
        <w:rFonts w:ascii="Arial" w:eastAsiaTheme="minorHAnsi" w:hAnsi="Arial"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C5BD7"/>
    <w:multiLevelType w:val="hybridMultilevel"/>
    <w:tmpl w:val="395E4592"/>
    <w:lvl w:ilvl="0" w:tplc="AC54B55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FD6BB0"/>
    <w:multiLevelType w:val="hybridMultilevel"/>
    <w:tmpl w:val="A56E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05D4C"/>
    <w:multiLevelType w:val="hybridMultilevel"/>
    <w:tmpl w:val="9FCE3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C5E33"/>
    <w:multiLevelType w:val="multilevel"/>
    <w:tmpl w:val="07801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47282"/>
    <w:multiLevelType w:val="hybridMultilevel"/>
    <w:tmpl w:val="717E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82890"/>
    <w:multiLevelType w:val="hybridMultilevel"/>
    <w:tmpl w:val="A8E84986"/>
    <w:lvl w:ilvl="0" w:tplc="2876B50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A673F6"/>
    <w:multiLevelType w:val="hybridMultilevel"/>
    <w:tmpl w:val="2FF4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3"/>
  </w:num>
  <w:num w:numId="6">
    <w:abstractNumId w:val="8"/>
  </w:num>
  <w:num w:numId="7">
    <w:abstractNumId w:val="12"/>
  </w:num>
  <w:num w:numId="8">
    <w:abstractNumId w:val="7"/>
  </w:num>
  <w:num w:numId="9">
    <w:abstractNumId w:val="9"/>
  </w:num>
  <w:num w:numId="10">
    <w:abstractNumId w:val="0"/>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C6"/>
    <w:rsid w:val="00007900"/>
    <w:rsid w:val="0002090A"/>
    <w:rsid w:val="00025483"/>
    <w:rsid w:val="0002603C"/>
    <w:rsid w:val="00034250"/>
    <w:rsid w:val="00035FE4"/>
    <w:rsid w:val="000434EA"/>
    <w:rsid w:val="000455E3"/>
    <w:rsid w:val="0004653E"/>
    <w:rsid w:val="00050463"/>
    <w:rsid w:val="0005068C"/>
    <w:rsid w:val="00054CEE"/>
    <w:rsid w:val="000550F0"/>
    <w:rsid w:val="0006123D"/>
    <w:rsid w:val="0006144F"/>
    <w:rsid w:val="00070C98"/>
    <w:rsid w:val="00072985"/>
    <w:rsid w:val="00074789"/>
    <w:rsid w:val="00086A16"/>
    <w:rsid w:val="000A3AE9"/>
    <w:rsid w:val="000B3370"/>
    <w:rsid w:val="000C6EA9"/>
    <w:rsid w:val="000D2164"/>
    <w:rsid w:val="000D6354"/>
    <w:rsid w:val="000D7E5B"/>
    <w:rsid w:val="000E63A8"/>
    <w:rsid w:val="000F4262"/>
    <w:rsid w:val="0010027A"/>
    <w:rsid w:val="001116E5"/>
    <w:rsid w:val="0011219D"/>
    <w:rsid w:val="0011394B"/>
    <w:rsid w:val="00115572"/>
    <w:rsid w:val="00120C4E"/>
    <w:rsid w:val="00121119"/>
    <w:rsid w:val="001251A1"/>
    <w:rsid w:val="00132CC4"/>
    <w:rsid w:val="001369E7"/>
    <w:rsid w:val="00140E62"/>
    <w:rsid w:val="001410EB"/>
    <w:rsid w:val="00142B94"/>
    <w:rsid w:val="001507E0"/>
    <w:rsid w:val="00152E81"/>
    <w:rsid w:val="00162E88"/>
    <w:rsid w:val="00163BF3"/>
    <w:rsid w:val="00167E57"/>
    <w:rsid w:val="00176926"/>
    <w:rsid w:val="001A013D"/>
    <w:rsid w:val="001C194B"/>
    <w:rsid w:val="001C1B29"/>
    <w:rsid w:val="001D3B8F"/>
    <w:rsid w:val="001D7977"/>
    <w:rsid w:val="001E61DC"/>
    <w:rsid w:val="001F77F1"/>
    <w:rsid w:val="0020049A"/>
    <w:rsid w:val="002018D4"/>
    <w:rsid w:val="002031BA"/>
    <w:rsid w:val="00217254"/>
    <w:rsid w:val="00233B36"/>
    <w:rsid w:val="00235BF7"/>
    <w:rsid w:val="00240494"/>
    <w:rsid w:val="00244143"/>
    <w:rsid w:val="002450C0"/>
    <w:rsid w:val="002614C5"/>
    <w:rsid w:val="00264D0F"/>
    <w:rsid w:val="00265F14"/>
    <w:rsid w:val="002741B0"/>
    <w:rsid w:val="00294A2C"/>
    <w:rsid w:val="002A0134"/>
    <w:rsid w:val="002A6796"/>
    <w:rsid w:val="002B08EB"/>
    <w:rsid w:val="002D0DB1"/>
    <w:rsid w:val="002D5223"/>
    <w:rsid w:val="002D76C0"/>
    <w:rsid w:val="002E0B57"/>
    <w:rsid w:val="002E67A4"/>
    <w:rsid w:val="003003F4"/>
    <w:rsid w:val="0030335F"/>
    <w:rsid w:val="00315580"/>
    <w:rsid w:val="00315E82"/>
    <w:rsid w:val="00315FAA"/>
    <w:rsid w:val="00333990"/>
    <w:rsid w:val="00334205"/>
    <w:rsid w:val="003402CC"/>
    <w:rsid w:val="00345109"/>
    <w:rsid w:val="0034750D"/>
    <w:rsid w:val="00350FD5"/>
    <w:rsid w:val="003534CF"/>
    <w:rsid w:val="00354999"/>
    <w:rsid w:val="00370B05"/>
    <w:rsid w:val="00370B1B"/>
    <w:rsid w:val="003742F5"/>
    <w:rsid w:val="00375585"/>
    <w:rsid w:val="0038239C"/>
    <w:rsid w:val="003A4D2B"/>
    <w:rsid w:val="003B0BF1"/>
    <w:rsid w:val="003C0817"/>
    <w:rsid w:val="003C376F"/>
    <w:rsid w:val="003C7696"/>
    <w:rsid w:val="003D6064"/>
    <w:rsid w:val="003E764A"/>
    <w:rsid w:val="003E7A50"/>
    <w:rsid w:val="003F6269"/>
    <w:rsid w:val="004141EC"/>
    <w:rsid w:val="004409F1"/>
    <w:rsid w:val="00441BFE"/>
    <w:rsid w:val="004427CF"/>
    <w:rsid w:val="00443066"/>
    <w:rsid w:val="00443C42"/>
    <w:rsid w:val="0045471A"/>
    <w:rsid w:val="00467CE7"/>
    <w:rsid w:val="00471793"/>
    <w:rsid w:val="00486DA5"/>
    <w:rsid w:val="00490420"/>
    <w:rsid w:val="00492184"/>
    <w:rsid w:val="004934F8"/>
    <w:rsid w:val="00493640"/>
    <w:rsid w:val="00496375"/>
    <w:rsid w:val="00496885"/>
    <w:rsid w:val="004A0AE0"/>
    <w:rsid w:val="004A1D11"/>
    <w:rsid w:val="004A1D34"/>
    <w:rsid w:val="004B06FB"/>
    <w:rsid w:val="004C15B3"/>
    <w:rsid w:val="004C6DDD"/>
    <w:rsid w:val="004D3C92"/>
    <w:rsid w:val="004E1549"/>
    <w:rsid w:val="004E7AC3"/>
    <w:rsid w:val="004F417A"/>
    <w:rsid w:val="00500697"/>
    <w:rsid w:val="005027B3"/>
    <w:rsid w:val="0050449B"/>
    <w:rsid w:val="00505D8C"/>
    <w:rsid w:val="00506D11"/>
    <w:rsid w:val="00526E34"/>
    <w:rsid w:val="0053079C"/>
    <w:rsid w:val="00530A59"/>
    <w:rsid w:val="00533267"/>
    <w:rsid w:val="00540BD1"/>
    <w:rsid w:val="00544478"/>
    <w:rsid w:val="005645AB"/>
    <w:rsid w:val="005732F9"/>
    <w:rsid w:val="00581CA4"/>
    <w:rsid w:val="00582C16"/>
    <w:rsid w:val="00594D8D"/>
    <w:rsid w:val="005A21D9"/>
    <w:rsid w:val="005A39C5"/>
    <w:rsid w:val="005B1272"/>
    <w:rsid w:val="005B2BBD"/>
    <w:rsid w:val="005B7E15"/>
    <w:rsid w:val="005C775C"/>
    <w:rsid w:val="005E0367"/>
    <w:rsid w:val="005E23FC"/>
    <w:rsid w:val="005F139D"/>
    <w:rsid w:val="005F1803"/>
    <w:rsid w:val="005F25C7"/>
    <w:rsid w:val="00601679"/>
    <w:rsid w:val="00612FC0"/>
    <w:rsid w:val="00614469"/>
    <w:rsid w:val="00614887"/>
    <w:rsid w:val="006149F3"/>
    <w:rsid w:val="00615E28"/>
    <w:rsid w:val="00625214"/>
    <w:rsid w:val="0062765B"/>
    <w:rsid w:val="00631EBE"/>
    <w:rsid w:val="006419E9"/>
    <w:rsid w:val="00664858"/>
    <w:rsid w:val="00667CC8"/>
    <w:rsid w:val="00680EE9"/>
    <w:rsid w:val="00687C63"/>
    <w:rsid w:val="00691630"/>
    <w:rsid w:val="00692ABF"/>
    <w:rsid w:val="00696574"/>
    <w:rsid w:val="006B3E44"/>
    <w:rsid w:val="006B73EF"/>
    <w:rsid w:val="006C1A71"/>
    <w:rsid w:val="006D436E"/>
    <w:rsid w:val="006E5814"/>
    <w:rsid w:val="006F14A8"/>
    <w:rsid w:val="006F5A04"/>
    <w:rsid w:val="006F624B"/>
    <w:rsid w:val="00700971"/>
    <w:rsid w:val="00703347"/>
    <w:rsid w:val="00706552"/>
    <w:rsid w:val="00715B46"/>
    <w:rsid w:val="0072011D"/>
    <w:rsid w:val="0072246C"/>
    <w:rsid w:val="00726C08"/>
    <w:rsid w:val="00727ACA"/>
    <w:rsid w:val="00735635"/>
    <w:rsid w:val="00742BBC"/>
    <w:rsid w:val="0075244E"/>
    <w:rsid w:val="00762DE3"/>
    <w:rsid w:val="007645C4"/>
    <w:rsid w:val="007648F3"/>
    <w:rsid w:val="00764C56"/>
    <w:rsid w:val="00767669"/>
    <w:rsid w:val="00774B9C"/>
    <w:rsid w:val="00776EB5"/>
    <w:rsid w:val="007814FC"/>
    <w:rsid w:val="0078330C"/>
    <w:rsid w:val="00783BC7"/>
    <w:rsid w:val="00783EEA"/>
    <w:rsid w:val="007874D0"/>
    <w:rsid w:val="007A4C19"/>
    <w:rsid w:val="007B0F79"/>
    <w:rsid w:val="007C1DEA"/>
    <w:rsid w:val="007C52E2"/>
    <w:rsid w:val="007C5645"/>
    <w:rsid w:val="007E2517"/>
    <w:rsid w:val="007F183A"/>
    <w:rsid w:val="007F1C3F"/>
    <w:rsid w:val="007F2160"/>
    <w:rsid w:val="007F4C26"/>
    <w:rsid w:val="007F7701"/>
    <w:rsid w:val="00806AC6"/>
    <w:rsid w:val="00826C27"/>
    <w:rsid w:val="008343FF"/>
    <w:rsid w:val="00840AED"/>
    <w:rsid w:val="008426C3"/>
    <w:rsid w:val="0084408C"/>
    <w:rsid w:val="00844307"/>
    <w:rsid w:val="00861439"/>
    <w:rsid w:val="008737F1"/>
    <w:rsid w:val="0088680B"/>
    <w:rsid w:val="00892927"/>
    <w:rsid w:val="00895AB6"/>
    <w:rsid w:val="00897C3B"/>
    <w:rsid w:val="008A2E3A"/>
    <w:rsid w:val="008A6020"/>
    <w:rsid w:val="008B589E"/>
    <w:rsid w:val="008B62DF"/>
    <w:rsid w:val="008B73CC"/>
    <w:rsid w:val="008D3D4F"/>
    <w:rsid w:val="008D631A"/>
    <w:rsid w:val="008E449F"/>
    <w:rsid w:val="0090086D"/>
    <w:rsid w:val="00903D46"/>
    <w:rsid w:val="00904A07"/>
    <w:rsid w:val="00905B89"/>
    <w:rsid w:val="00907E06"/>
    <w:rsid w:val="009116E2"/>
    <w:rsid w:val="009144C7"/>
    <w:rsid w:val="009257A0"/>
    <w:rsid w:val="00927195"/>
    <w:rsid w:val="00940C74"/>
    <w:rsid w:val="00952353"/>
    <w:rsid w:val="00957125"/>
    <w:rsid w:val="0097559C"/>
    <w:rsid w:val="0098122F"/>
    <w:rsid w:val="00985C0B"/>
    <w:rsid w:val="009B5C50"/>
    <w:rsid w:val="009C4319"/>
    <w:rsid w:val="009D1489"/>
    <w:rsid w:val="009D5702"/>
    <w:rsid w:val="009E0F95"/>
    <w:rsid w:val="009E1EBE"/>
    <w:rsid w:val="009E268B"/>
    <w:rsid w:val="009E3495"/>
    <w:rsid w:val="009E4A09"/>
    <w:rsid w:val="00A053D5"/>
    <w:rsid w:val="00A07650"/>
    <w:rsid w:val="00A2081C"/>
    <w:rsid w:val="00A37027"/>
    <w:rsid w:val="00A37C9D"/>
    <w:rsid w:val="00A469F3"/>
    <w:rsid w:val="00A55984"/>
    <w:rsid w:val="00A578B5"/>
    <w:rsid w:val="00A601DD"/>
    <w:rsid w:val="00A66B7B"/>
    <w:rsid w:val="00A975F5"/>
    <w:rsid w:val="00AA436C"/>
    <w:rsid w:val="00AA7482"/>
    <w:rsid w:val="00AB54AE"/>
    <w:rsid w:val="00AB5696"/>
    <w:rsid w:val="00AB74BA"/>
    <w:rsid w:val="00AC220D"/>
    <w:rsid w:val="00AC5FF4"/>
    <w:rsid w:val="00AF0D99"/>
    <w:rsid w:val="00AF1311"/>
    <w:rsid w:val="00B018A5"/>
    <w:rsid w:val="00B10B2F"/>
    <w:rsid w:val="00B12577"/>
    <w:rsid w:val="00B23F9E"/>
    <w:rsid w:val="00B24FC6"/>
    <w:rsid w:val="00B25AD3"/>
    <w:rsid w:val="00B26D18"/>
    <w:rsid w:val="00B31F91"/>
    <w:rsid w:val="00B32FBB"/>
    <w:rsid w:val="00B3553D"/>
    <w:rsid w:val="00B40BB0"/>
    <w:rsid w:val="00B73022"/>
    <w:rsid w:val="00B80CBE"/>
    <w:rsid w:val="00B87131"/>
    <w:rsid w:val="00BA27AB"/>
    <w:rsid w:val="00BA5381"/>
    <w:rsid w:val="00BB4A52"/>
    <w:rsid w:val="00BD29C3"/>
    <w:rsid w:val="00BD428F"/>
    <w:rsid w:val="00BE291B"/>
    <w:rsid w:val="00BE39EB"/>
    <w:rsid w:val="00BE4F16"/>
    <w:rsid w:val="00BE625E"/>
    <w:rsid w:val="00BF2936"/>
    <w:rsid w:val="00BF6076"/>
    <w:rsid w:val="00C0053F"/>
    <w:rsid w:val="00C0055E"/>
    <w:rsid w:val="00C05953"/>
    <w:rsid w:val="00C10748"/>
    <w:rsid w:val="00C261BE"/>
    <w:rsid w:val="00C32497"/>
    <w:rsid w:val="00C51589"/>
    <w:rsid w:val="00C525C0"/>
    <w:rsid w:val="00C57B57"/>
    <w:rsid w:val="00C96602"/>
    <w:rsid w:val="00CA005F"/>
    <w:rsid w:val="00CA1D44"/>
    <w:rsid w:val="00CB19B3"/>
    <w:rsid w:val="00CB2388"/>
    <w:rsid w:val="00CB6406"/>
    <w:rsid w:val="00CC377A"/>
    <w:rsid w:val="00CC6456"/>
    <w:rsid w:val="00CC7002"/>
    <w:rsid w:val="00CC76CA"/>
    <w:rsid w:val="00CE1046"/>
    <w:rsid w:val="00CE7EBC"/>
    <w:rsid w:val="00D06DAE"/>
    <w:rsid w:val="00D120DF"/>
    <w:rsid w:val="00D15F91"/>
    <w:rsid w:val="00D2058C"/>
    <w:rsid w:val="00D215A2"/>
    <w:rsid w:val="00D50E6D"/>
    <w:rsid w:val="00D53909"/>
    <w:rsid w:val="00D61EA3"/>
    <w:rsid w:val="00D63F93"/>
    <w:rsid w:val="00D65E3E"/>
    <w:rsid w:val="00D761DC"/>
    <w:rsid w:val="00D76B66"/>
    <w:rsid w:val="00D83384"/>
    <w:rsid w:val="00D93EE1"/>
    <w:rsid w:val="00DA0C96"/>
    <w:rsid w:val="00DB2B7C"/>
    <w:rsid w:val="00DC292B"/>
    <w:rsid w:val="00DC39E8"/>
    <w:rsid w:val="00DC56F6"/>
    <w:rsid w:val="00DC7109"/>
    <w:rsid w:val="00DD7BA0"/>
    <w:rsid w:val="00DF5305"/>
    <w:rsid w:val="00DF7E63"/>
    <w:rsid w:val="00E03E0C"/>
    <w:rsid w:val="00E21609"/>
    <w:rsid w:val="00E22945"/>
    <w:rsid w:val="00E24183"/>
    <w:rsid w:val="00E27B7A"/>
    <w:rsid w:val="00E42320"/>
    <w:rsid w:val="00E43C0A"/>
    <w:rsid w:val="00E44691"/>
    <w:rsid w:val="00E504DE"/>
    <w:rsid w:val="00E51F3F"/>
    <w:rsid w:val="00E65AFB"/>
    <w:rsid w:val="00E7741E"/>
    <w:rsid w:val="00E828ED"/>
    <w:rsid w:val="00E84B99"/>
    <w:rsid w:val="00E91872"/>
    <w:rsid w:val="00E94332"/>
    <w:rsid w:val="00E95610"/>
    <w:rsid w:val="00E97460"/>
    <w:rsid w:val="00EA4C15"/>
    <w:rsid w:val="00EA6B19"/>
    <w:rsid w:val="00EB2CCB"/>
    <w:rsid w:val="00EB5BDD"/>
    <w:rsid w:val="00EC0254"/>
    <w:rsid w:val="00EC0398"/>
    <w:rsid w:val="00EC3954"/>
    <w:rsid w:val="00EC7D43"/>
    <w:rsid w:val="00EE5070"/>
    <w:rsid w:val="00EE7767"/>
    <w:rsid w:val="00EF1E59"/>
    <w:rsid w:val="00EF2648"/>
    <w:rsid w:val="00EF55E8"/>
    <w:rsid w:val="00F04A6A"/>
    <w:rsid w:val="00F0691D"/>
    <w:rsid w:val="00F131A3"/>
    <w:rsid w:val="00F1541B"/>
    <w:rsid w:val="00F15D2A"/>
    <w:rsid w:val="00F254E2"/>
    <w:rsid w:val="00F40845"/>
    <w:rsid w:val="00F4600A"/>
    <w:rsid w:val="00F47D59"/>
    <w:rsid w:val="00F53E1B"/>
    <w:rsid w:val="00F54C19"/>
    <w:rsid w:val="00F55DBC"/>
    <w:rsid w:val="00F6065F"/>
    <w:rsid w:val="00F63E45"/>
    <w:rsid w:val="00F67B5B"/>
    <w:rsid w:val="00F76F9F"/>
    <w:rsid w:val="00F80046"/>
    <w:rsid w:val="00F81F20"/>
    <w:rsid w:val="00F83F26"/>
    <w:rsid w:val="00F87210"/>
    <w:rsid w:val="00F94011"/>
    <w:rsid w:val="00FA1E27"/>
    <w:rsid w:val="00FB4C3F"/>
    <w:rsid w:val="00FB6706"/>
    <w:rsid w:val="00FD0413"/>
    <w:rsid w:val="00FD640E"/>
    <w:rsid w:val="00FD7AA1"/>
    <w:rsid w:val="00FD7EA1"/>
    <w:rsid w:val="00FE7BAA"/>
    <w:rsid w:val="00FF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C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131A3"/>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65E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4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63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AC6"/>
    <w:pPr>
      <w:ind w:left="720"/>
      <w:contextualSpacing/>
    </w:pPr>
  </w:style>
  <w:style w:type="character" w:customStyle="1" w:styleId="st1">
    <w:name w:val="st1"/>
    <w:basedOn w:val="DefaultParagraphFont"/>
    <w:rsid w:val="002D5223"/>
  </w:style>
  <w:style w:type="character" w:styleId="Hyperlink">
    <w:name w:val="Hyperlink"/>
    <w:basedOn w:val="DefaultParagraphFont"/>
    <w:uiPriority w:val="99"/>
    <w:unhideWhenUsed/>
    <w:rsid w:val="002D5223"/>
    <w:rPr>
      <w:strike w:val="0"/>
      <w:dstrike w:val="0"/>
      <w:color w:val="4EA10C"/>
      <w:u w:val="none"/>
      <w:effect w:val="none"/>
    </w:rPr>
  </w:style>
  <w:style w:type="paragraph" w:customStyle="1" w:styleId="Default">
    <w:name w:val="Default"/>
    <w:rsid w:val="00E27B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30eec3f8">
    <w:name w:val="s30eec3f8"/>
    <w:basedOn w:val="Normal"/>
    <w:rsid w:val="00C96602"/>
    <w:pPr>
      <w:spacing w:before="100" w:beforeAutospacing="1" w:after="100" w:afterAutospacing="1"/>
    </w:pPr>
  </w:style>
  <w:style w:type="character" w:customStyle="1" w:styleId="sb8d990e2">
    <w:name w:val="sb8d990e2"/>
    <w:basedOn w:val="DefaultParagraphFont"/>
    <w:rsid w:val="00C96602"/>
  </w:style>
  <w:style w:type="paragraph" w:styleId="BalloonText">
    <w:name w:val="Balloon Text"/>
    <w:basedOn w:val="Normal"/>
    <w:link w:val="BalloonTextChar"/>
    <w:uiPriority w:val="99"/>
    <w:semiHidden/>
    <w:unhideWhenUsed/>
    <w:rsid w:val="00EB2CCB"/>
    <w:rPr>
      <w:rFonts w:ascii="Tahoma" w:hAnsi="Tahoma" w:cs="Tahoma"/>
      <w:sz w:val="16"/>
      <w:szCs w:val="16"/>
    </w:rPr>
  </w:style>
  <w:style w:type="character" w:customStyle="1" w:styleId="BalloonTextChar">
    <w:name w:val="Balloon Text Char"/>
    <w:basedOn w:val="DefaultParagraphFont"/>
    <w:link w:val="BalloonText"/>
    <w:uiPriority w:val="99"/>
    <w:semiHidden/>
    <w:rsid w:val="00EB2CCB"/>
    <w:rPr>
      <w:rFonts w:ascii="Tahoma" w:hAnsi="Tahoma" w:cs="Tahoma"/>
      <w:sz w:val="16"/>
      <w:szCs w:val="16"/>
    </w:rPr>
  </w:style>
  <w:style w:type="paragraph" w:styleId="NormalWeb">
    <w:name w:val="Normal (Web)"/>
    <w:basedOn w:val="Normal"/>
    <w:uiPriority w:val="99"/>
    <w:unhideWhenUsed/>
    <w:rsid w:val="005C775C"/>
    <w:pPr>
      <w:spacing w:before="100" w:beforeAutospacing="1" w:after="100" w:afterAutospacing="1"/>
    </w:pPr>
    <w:rPr>
      <w:rFonts w:eastAsia="Times New Roman"/>
    </w:rPr>
  </w:style>
  <w:style w:type="character" w:styleId="FootnoteReference">
    <w:name w:val="footnote reference"/>
    <w:basedOn w:val="DefaultParagraphFont"/>
    <w:rsid w:val="001369E7"/>
    <w:rPr>
      <w:vertAlign w:val="superscript"/>
    </w:rPr>
  </w:style>
  <w:style w:type="character" w:customStyle="1" w:styleId="Footnoteanchor">
    <w:name w:val="Footnote anchor"/>
    <w:rsid w:val="001369E7"/>
    <w:rPr>
      <w:vertAlign w:val="superscript"/>
    </w:rPr>
  </w:style>
  <w:style w:type="paragraph" w:styleId="FootnoteText">
    <w:name w:val="footnote text"/>
    <w:aliases w:val="Footnote Text Char1,Footnote Text Char Char,Footnote Text Char1 Char Char,Footnote Text Char Char Char Char,Footnote Text Char Char1, Char,Char,Footnote,Fußnote,????? ?????? ????,Текст сноски Знак"/>
    <w:basedOn w:val="Normal"/>
    <w:link w:val="FootnoteTextChar"/>
    <w:rsid w:val="001369E7"/>
    <w:pPr>
      <w:spacing w:line="100" w:lineRule="atLeast"/>
    </w:pPr>
    <w:rPr>
      <w:rFonts w:asciiTheme="minorHAnsi" w:eastAsiaTheme="minorEastAsia" w:hAnsiTheme="minorHAnsi" w:cstheme="minorBidi"/>
      <w:color w:val="5A5A5A" w:themeColor="text1" w:themeTint="A5"/>
      <w:lang w:val="en-GB" w:eastAsia="zh-CN"/>
    </w:rPr>
  </w:style>
  <w:style w:type="character" w:customStyle="1" w:styleId="FootnoteTextChar">
    <w:name w:val="Footnote Text Char"/>
    <w:aliases w:val="Footnote Text Char1 Char,Footnote Text Char Char Char,Footnote Text Char1 Char Char Char,Footnote Text Char Char Char Char Char,Footnote Text Char Char1 Char, Char Char,Char Char,Footnote Char,Fußnote Char,????? ?????? ???? Char"/>
    <w:basedOn w:val="DefaultParagraphFont"/>
    <w:link w:val="FootnoteText"/>
    <w:rsid w:val="001369E7"/>
    <w:rPr>
      <w:rFonts w:eastAsiaTheme="minorEastAsia"/>
      <w:color w:val="5A5A5A" w:themeColor="text1" w:themeTint="A5"/>
      <w:sz w:val="24"/>
      <w:szCs w:val="24"/>
      <w:lang w:val="en-GB" w:eastAsia="zh-CN"/>
    </w:rPr>
  </w:style>
  <w:style w:type="character" w:customStyle="1" w:styleId="Heading1Char">
    <w:name w:val="Heading 1 Char"/>
    <w:basedOn w:val="DefaultParagraphFont"/>
    <w:link w:val="Heading1"/>
    <w:uiPriority w:val="9"/>
    <w:rsid w:val="00F131A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61439"/>
  </w:style>
  <w:style w:type="character" w:styleId="CommentReference">
    <w:name w:val="annotation reference"/>
    <w:basedOn w:val="DefaultParagraphFont"/>
    <w:uiPriority w:val="99"/>
    <w:semiHidden/>
    <w:unhideWhenUsed/>
    <w:rsid w:val="008E449F"/>
    <w:rPr>
      <w:sz w:val="16"/>
      <w:szCs w:val="16"/>
    </w:rPr>
  </w:style>
  <w:style w:type="paragraph" w:styleId="CommentText">
    <w:name w:val="annotation text"/>
    <w:basedOn w:val="Normal"/>
    <w:link w:val="CommentTextChar"/>
    <w:uiPriority w:val="99"/>
    <w:semiHidden/>
    <w:unhideWhenUsed/>
    <w:rsid w:val="008E449F"/>
    <w:rPr>
      <w:sz w:val="20"/>
      <w:szCs w:val="20"/>
    </w:rPr>
  </w:style>
  <w:style w:type="character" w:customStyle="1" w:styleId="CommentTextChar">
    <w:name w:val="Comment Text Char"/>
    <w:basedOn w:val="DefaultParagraphFont"/>
    <w:link w:val="CommentText"/>
    <w:uiPriority w:val="99"/>
    <w:semiHidden/>
    <w:rsid w:val="008E44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49F"/>
    <w:rPr>
      <w:b/>
      <w:bCs/>
    </w:rPr>
  </w:style>
  <w:style w:type="character" w:customStyle="1" w:styleId="CommentSubjectChar">
    <w:name w:val="Comment Subject Char"/>
    <w:basedOn w:val="CommentTextChar"/>
    <w:link w:val="CommentSubject"/>
    <w:uiPriority w:val="99"/>
    <w:semiHidden/>
    <w:rsid w:val="008E449F"/>
    <w:rPr>
      <w:rFonts w:ascii="Times New Roman" w:hAnsi="Times New Roman" w:cs="Times New Roman"/>
      <w:b/>
      <w:bCs/>
      <w:sz w:val="20"/>
      <w:szCs w:val="20"/>
    </w:rPr>
  </w:style>
  <w:style w:type="character" w:customStyle="1" w:styleId="paperstitle">
    <w:name w:val="paperstitle"/>
    <w:basedOn w:val="DefaultParagraphFont"/>
    <w:rsid w:val="001C1B29"/>
  </w:style>
  <w:style w:type="character" w:customStyle="1" w:styleId="docdate">
    <w:name w:val="docdate"/>
    <w:basedOn w:val="DefaultParagraphFont"/>
    <w:rsid w:val="001C1B29"/>
  </w:style>
  <w:style w:type="character" w:styleId="Emphasis">
    <w:name w:val="Emphasis"/>
    <w:basedOn w:val="DefaultParagraphFont"/>
    <w:qFormat/>
    <w:rsid w:val="00A469F3"/>
    <w:rPr>
      <w:i/>
      <w:iCs/>
    </w:rPr>
  </w:style>
  <w:style w:type="paragraph" w:customStyle="1" w:styleId="s8b146764">
    <w:name w:val="s8b146764"/>
    <w:basedOn w:val="Normal"/>
    <w:rsid w:val="00EF55E8"/>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AB74BA"/>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D65E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3E1B"/>
    <w:pPr>
      <w:tabs>
        <w:tab w:val="center" w:pos="4680"/>
        <w:tab w:val="right" w:pos="9360"/>
      </w:tabs>
    </w:pPr>
  </w:style>
  <w:style w:type="character" w:customStyle="1" w:styleId="HeaderChar">
    <w:name w:val="Header Char"/>
    <w:basedOn w:val="DefaultParagraphFont"/>
    <w:link w:val="Header"/>
    <w:uiPriority w:val="99"/>
    <w:rsid w:val="00F53E1B"/>
    <w:rPr>
      <w:rFonts w:ascii="Times New Roman" w:hAnsi="Times New Roman" w:cs="Times New Roman"/>
      <w:sz w:val="24"/>
      <w:szCs w:val="24"/>
    </w:rPr>
  </w:style>
  <w:style w:type="paragraph" w:styleId="Footer">
    <w:name w:val="footer"/>
    <w:basedOn w:val="Normal"/>
    <w:link w:val="FooterChar"/>
    <w:uiPriority w:val="99"/>
    <w:unhideWhenUsed/>
    <w:rsid w:val="00F53E1B"/>
    <w:pPr>
      <w:tabs>
        <w:tab w:val="center" w:pos="4680"/>
        <w:tab w:val="right" w:pos="9360"/>
      </w:tabs>
    </w:pPr>
  </w:style>
  <w:style w:type="character" w:customStyle="1" w:styleId="FooterChar">
    <w:name w:val="Footer Char"/>
    <w:basedOn w:val="DefaultParagraphFont"/>
    <w:link w:val="Footer"/>
    <w:uiPriority w:val="99"/>
    <w:rsid w:val="00F53E1B"/>
    <w:rPr>
      <w:rFonts w:ascii="Times New Roman" w:hAnsi="Times New Roman" w:cs="Times New Roman"/>
      <w:sz w:val="24"/>
      <w:szCs w:val="24"/>
    </w:rPr>
  </w:style>
  <w:style w:type="character" w:styleId="Strong">
    <w:name w:val="Strong"/>
    <w:basedOn w:val="DefaultParagraphFont"/>
    <w:uiPriority w:val="22"/>
    <w:qFormat/>
    <w:rsid w:val="00370B1B"/>
    <w:rPr>
      <w:b/>
      <w:bCs/>
    </w:rPr>
  </w:style>
  <w:style w:type="character" w:customStyle="1" w:styleId="Heading4Char">
    <w:name w:val="Heading 4 Char"/>
    <w:basedOn w:val="DefaultParagraphFont"/>
    <w:link w:val="Heading4"/>
    <w:uiPriority w:val="9"/>
    <w:semiHidden/>
    <w:rsid w:val="000E63A8"/>
    <w:rPr>
      <w:rFonts w:asciiTheme="majorHAnsi" w:eastAsiaTheme="majorEastAsia" w:hAnsiTheme="majorHAnsi" w:cstheme="majorBidi"/>
      <w:b/>
      <w:bCs/>
      <w:i/>
      <w:iCs/>
      <w:color w:val="4F81BD" w:themeColor="accent1"/>
      <w:sz w:val="24"/>
      <w:szCs w:val="24"/>
    </w:rPr>
  </w:style>
  <w:style w:type="paragraph" w:customStyle="1" w:styleId="meta">
    <w:name w:val="meta"/>
    <w:basedOn w:val="Normal"/>
    <w:rsid w:val="0030335F"/>
    <w:pPr>
      <w:spacing w:before="100" w:beforeAutospacing="1" w:after="100" w:afterAutospacing="1"/>
    </w:pPr>
    <w:rPr>
      <w:rFonts w:eastAsia="Times New Roman"/>
    </w:rPr>
  </w:style>
  <w:style w:type="character" w:customStyle="1" w:styleId="articledate">
    <w:name w:val="article_date"/>
    <w:basedOn w:val="DefaultParagraphFont"/>
    <w:rsid w:val="0030335F"/>
  </w:style>
  <w:style w:type="character" w:customStyle="1" w:styleId="watch-title">
    <w:name w:val="watch-title"/>
    <w:basedOn w:val="DefaultParagraphFont"/>
    <w:rsid w:val="00454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C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131A3"/>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65E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4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63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AC6"/>
    <w:pPr>
      <w:ind w:left="720"/>
      <w:contextualSpacing/>
    </w:pPr>
  </w:style>
  <w:style w:type="character" w:customStyle="1" w:styleId="st1">
    <w:name w:val="st1"/>
    <w:basedOn w:val="DefaultParagraphFont"/>
    <w:rsid w:val="002D5223"/>
  </w:style>
  <w:style w:type="character" w:styleId="Hyperlink">
    <w:name w:val="Hyperlink"/>
    <w:basedOn w:val="DefaultParagraphFont"/>
    <w:uiPriority w:val="99"/>
    <w:unhideWhenUsed/>
    <w:rsid w:val="002D5223"/>
    <w:rPr>
      <w:strike w:val="0"/>
      <w:dstrike w:val="0"/>
      <w:color w:val="4EA10C"/>
      <w:u w:val="none"/>
      <w:effect w:val="none"/>
    </w:rPr>
  </w:style>
  <w:style w:type="paragraph" w:customStyle="1" w:styleId="Default">
    <w:name w:val="Default"/>
    <w:rsid w:val="00E27B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30eec3f8">
    <w:name w:val="s30eec3f8"/>
    <w:basedOn w:val="Normal"/>
    <w:rsid w:val="00C96602"/>
    <w:pPr>
      <w:spacing w:before="100" w:beforeAutospacing="1" w:after="100" w:afterAutospacing="1"/>
    </w:pPr>
  </w:style>
  <w:style w:type="character" w:customStyle="1" w:styleId="sb8d990e2">
    <w:name w:val="sb8d990e2"/>
    <w:basedOn w:val="DefaultParagraphFont"/>
    <w:rsid w:val="00C96602"/>
  </w:style>
  <w:style w:type="paragraph" w:styleId="BalloonText">
    <w:name w:val="Balloon Text"/>
    <w:basedOn w:val="Normal"/>
    <w:link w:val="BalloonTextChar"/>
    <w:uiPriority w:val="99"/>
    <w:semiHidden/>
    <w:unhideWhenUsed/>
    <w:rsid w:val="00EB2CCB"/>
    <w:rPr>
      <w:rFonts w:ascii="Tahoma" w:hAnsi="Tahoma" w:cs="Tahoma"/>
      <w:sz w:val="16"/>
      <w:szCs w:val="16"/>
    </w:rPr>
  </w:style>
  <w:style w:type="character" w:customStyle="1" w:styleId="BalloonTextChar">
    <w:name w:val="Balloon Text Char"/>
    <w:basedOn w:val="DefaultParagraphFont"/>
    <w:link w:val="BalloonText"/>
    <w:uiPriority w:val="99"/>
    <w:semiHidden/>
    <w:rsid w:val="00EB2CCB"/>
    <w:rPr>
      <w:rFonts w:ascii="Tahoma" w:hAnsi="Tahoma" w:cs="Tahoma"/>
      <w:sz w:val="16"/>
      <w:szCs w:val="16"/>
    </w:rPr>
  </w:style>
  <w:style w:type="paragraph" w:styleId="NormalWeb">
    <w:name w:val="Normal (Web)"/>
    <w:basedOn w:val="Normal"/>
    <w:uiPriority w:val="99"/>
    <w:unhideWhenUsed/>
    <w:rsid w:val="005C775C"/>
    <w:pPr>
      <w:spacing w:before="100" w:beforeAutospacing="1" w:after="100" w:afterAutospacing="1"/>
    </w:pPr>
    <w:rPr>
      <w:rFonts w:eastAsia="Times New Roman"/>
    </w:rPr>
  </w:style>
  <w:style w:type="character" w:styleId="FootnoteReference">
    <w:name w:val="footnote reference"/>
    <w:basedOn w:val="DefaultParagraphFont"/>
    <w:rsid w:val="001369E7"/>
    <w:rPr>
      <w:vertAlign w:val="superscript"/>
    </w:rPr>
  </w:style>
  <w:style w:type="character" w:customStyle="1" w:styleId="Footnoteanchor">
    <w:name w:val="Footnote anchor"/>
    <w:rsid w:val="001369E7"/>
    <w:rPr>
      <w:vertAlign w:val="superscript"/>
    </w:rPr>
  </w:style>
  <w:style w:type="paragraph" w:styleId="FootnoteText">
    <w:name w:val="footnote text"/>
    <w:aliases w:val="Footnote Text Char1,Footnote Text Char Char,Footnote Text Char1 Char Char,Footnote Text Char Char Char Char,Footnote Text Char Char1, Char,Char,Footnote,Fußnote,????? ?????? ????,Текст сноски Знак"/>
    <w:basedOn w:val="Normal"/>
    <w:link w:val="FootnoteTextChar"/>
    <w:rsid w:val="001369E7"/>
    <w:pPr>
      <w:spacing w:line="100" w:lineRule="atLeast"/>
    </w:pPr>
    <w:rPr>
      <w:rFonts w:asciiTheme="minorHAnsi" w:eastAsiaTheme="minorEastAsia" w:hAnsiTheme="minorHAnsi" w:cstheme="minorBidi"/>
      <w:color w:val="5A5A5A" w:themeColor="text1" w:themeTint="A5"/>
      <w:lang w:val="en-GB" w:eastAsia="zh-CN"/>
    </w:rPr>
  </w:style>
  <w:style w:type="character" w:customStyle="1" w:styleId="FootnoteTextChar">
    <w:name w:val="Footnote Text Char"/>
    <w:aliases w:val="Footnote Text Char1 Char,Footnote Text Char Char Char,Footnote Text Char1 Char Char Char,Footnote Text Char Char Char Char Char,Footnote Text Char Char1 Char, Char Char,Char Char,Footnote Char,Fußnote Char,????? ?????? ???? Char"/>
    <w:basedOn w:val="DefaultParagraphFont"/>
    <w:link w:val="FootnoteText"/>
    <w:rsid w:val="001369E7"/>
    <w:rPr>
      <w:rFonts w:eastAsiaTheme="minorEastAsia"/>
      <w:color w:val="5A5A5A" w:themeColor="text1" w:themeTint="A5"/>
      <w:sz w:val="24"/>
      <w:szCs w:val="24"/>
      <w:lang w:val="en-GB" w:eastAsia="zh-CN"/>
    </w:rPr>
  </w:style>
  <w:style w:type="character" w:customStyle="1" w:styleId="Heading1Char">
    <w:name w:val="Heading 1 Char"/>
    <w:basedOn w:val="DefaultParagraphFont"/>
    <w:link w:val="Heading1"/>
    <w:uiPriority w:val="9"/>
    <w:rsid w:val="00F131A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61439"/>
  </w:style>
  <w:style w:type="character" w:styleId="CommentReference">
    <w:name w:val="annotation reference"/>
    <w:basedOn w:val="DefaultParagraphFont"/>
    <w:uiPriority w:val="99"/>
    <w:semiHidden/>
    <w:unhideWhenUsed/>
    <w:rsid w:val="008E449F"/>
    <w:rPr>
      <w:sz w:val="16"/>
      <w:szCs w:val="16"/>
    </w:rPr>
  </w:style>
  <w:style w:type="paragraph" w:styleId="CommentText">
    <w:name w:val="annotation text"/>
    <w:basedOn w:val="Normal"/>
    <w:link w:val="CommentTextChar"/>
    <w:uiPriority w:val="99"/>
    <w:semiHidden/>
    <w:unhideWhenUsed/>
    <w:rsid w:val="008E449F"/>
    <w:rPr>
      <w:sz w:val="20"/>
      <w:szCs w:val="20"/>
    </w:rPr>
  </w:style>
  <w:style w:type="character" w:customStyle="1" w:styleId="CommentTextChar">
    <w:name w:val="Comment Text Char"/>
    <w:basedOn w:val="DefaultParagraphFont"/>
    <w:link w:val="CommentText"/>
    <w:uiPriority w:val="99"/>
    <w:semiHidden/>
    <w:rsid w:val="008E44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49F"/>
    <w:rPr>
      <w:b/>
      <w:bCs/>
    </w:rPr>
  </w:style>
  <w:style w:type="character" w:customStyle="1" w:styleId="CommentSubjectChar">
    <w:name w:val="Comment Subject Char"/>
    <w:basedOn w:val="CommentTextChar"/>
    <w:link w:val="CommentSubject"/>
    <w:uiPriority w:val="99"/>
    <w:semiHidden/>
    <w:rsid w:val="008E449F"/>
    <w:rPr>
      <w:rFonts w:ascii="Times New Roman" w:hAnsi="Times New Roman" w:cs="Times New Roman"/>
      <w:b/>
      <w:bCs/>
      <w:sz w:val="20"/>
      <w:szCs w:val="20"/>
    </w:rPr>
  </w:style>
  <w:style w:type="character" w:customStyle="1" w:styleId="paperstitle">
    <w:name w:val="paperstitle"/>
    <w:basedOn w:val="DefaultParagraphFont"/>
    <w:rsid w:val="001C1B29"/>
  </w:style>
  <w:style w:type="character" w:customStyle="1" w:styleId="docdate">
    <w:name w:val="docdate"/>
    <w:basedOn w:val="DefaultParagraphFont"/>
    <w:rsid w:val="001C1B29"/>
  </w:style>
  <w:style w:type="character" w:styleId="Emphasis">
    <w:name w:val="Emphasis"/>
    <w:basedOn w:val="DefaultParagraphFont"/>
    <w:qFormat/>
    <w:rsid w:val="00A469F3"/>
    <w:rPr>
      <w:i/>
      <w:iCs/>
    </w:rPr>
  </w:style>
  <w:style w:type="paragraph" w:customStyle="1" w:styleId="s8b146764">
    <w:name w:val="s8b146764"/>
    <w:basedOn w:val="Normal"/>
    <w:rsid w:val="00EF55E8"/>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AB74BA"/>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D65E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3E1B"/>
    <w:pPr>
      <w:tabs>
        <w:tab w:val="center" w:pos="4680"/>
        <w:tab w:val="right" w:pos="9360"/>
      </w:tabs>
    </w:pPr>
  </w:style>
  <w:style w:type="character" w:customStyle="1" w:styleId="HeaderChar">
    <w:name w:val="Header Char"/>
    <w:basedOn w:val="DefaultParagraphFont"/>
    <w:link w:val="Header"/>
    <w:uiPriority w:val="99"/>
    <w:rsid w:val="00F53E1B"/>
    <w:rPr>
      <w:rFonts w:ascii="Times New Roman" w:hAnsi="Times New Roman" w:cs="Times New Roman"/>
      <w:sz w:val="24"/>
      <w:szCs w:val="24"/>
    </w:rPr>
  </w:style>
  <w:style w:type="paragraph" w:styleId="Footer">
    <w:name w:val="footer"/>
    <w:basedOn w:val="Normal"/>
    <w:link w:val="FooterChar"/>
    <w:uiPriority w:val="99"/>
    <w:unhideWhenUsed/>
    <w:rsid w:val="00F53E1B"/>
    <w:pPr>
      <w:tabs>
        <w:tab w:val="center" w:pos="4680"/>
        <w:tab w:val="right" w:pos="9360"/>
      </w:tabs>
    </w:pPr>
  </w:style>
  <w:style w:type="character" w:customStyle="1" w:styleId="FooterChar">
    <w:name w:val="Footer Char"/>
    <w:basedOn w:val="DefaultParagraphFont"/>
    <w:link w:val="Footer"/>
    <w:uiPriority w:val="99"/>
    <w:rsid w:val="00F53E1B"/>
    <w:rPr>
      <w:rFonts w:ascii="Times New Roman" w:hAnsi="Times New Roman" w:cs="Times New Roman"/>
      <w:sz w:val="24"/>
      <w:szCs w:val="24"/>
    </w:rPr>
  </w:style>
  <w:style w:type="character" w:styleId="Strong">
    <w:name w:val="Strong"/>
    <w:basedOn w:val="DefaultParagraphFont"/>
    <w:uiPriority w:val="22"/>
    <w:qFormat/>
    <w:rsid w:val="00370B1B"/>
    <w:rPr>
      <w:b/>
      <w:bCs/>
    </w:rPr>
  </w:style>
  <w:style w:type="character" w:customStyle="1" w:styleId="Heading4Char">
    <w:name w:val="Heading 4 Char"/>
    <w:basedOn w:val="DefaultParagraphFont"/>
    <w:link w:val="Heading4"/>
    <w:uiPriority w:val="9"/>
    <w:semiHidden/>
    <w:rsid w:val="000E63A8"/>
    <w:rPr>
      <w:rFonts w:asciiTheme="majorHAnsi" w:eastAsiaTheme="majorEastAsia" w:hAnsiTheme="majorHAnsi" w:cstheme="majorBidi"/>
      <w:b/>
      <w:bCs/>
      <w:i/>
      <w:iCs/>
      <w:color w:val="4F81BD" w:themeColor="accent1"/>
      <w:sz w:val="24"/>
      <w:szCs w:val="24"/>
    </w:rPr>
  </w:style>
  <w:style w:type="paragraph" w:customStyle="1" w:styleId="meta">
    <w:name w:val="meta"/>
    <w:basedOn w:val="Normal"/>
    <w:rsid w:val="0030335F"/>
    <w:pPr>
      <w:spacing w:before="100" w:beforeAutospacing="1" w:after="100" w:afterAutospacing="1"/>
    </w:pPr>
    <w:rPr>
      <w:rFonts w:eastAsia="Times New Roman"/>
    </w:rPr>
  </w:style>
  <w:style w:type="character" w:customStyle="1" w:styleId="articledate">
    <w:name w:val="article_date"/>
    <w:basedOn w:val="DefaultParagraphFont"/>
    <w:rsid w:val="0030335F"/>
  </w:style>
  <w:style w:type="character" w:customStyle="1" w:styleId="watch-title">
    <w:name w:val="watch-title"/>
    <w:basedOn w:val="DefaultParagraphFont"/>
    <w:rsid w:val="0045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081">
      <w:bodyDiv w:val="1"/>
      <w:marLeft w:val="0"/>
      <w:marRight w:val="0"/>
      <w:marTop w:val="0"/>
      <w:marBottom w:val="0"/>
      <w:divBdr>
        <w:top w:val="none" w:sz="0" w:space="0" w:color="auto"/>
        <w:left w:val="none" w:sz="0" w:space="0" w:color="auto"/>
        <w:bottom w:val="none" w:sz="0" w:space="0" w:color="auto"/>
        <w:right w:val="none" w:sz="0" w:space="0" w:color="auto"/>
      </w:divBdr>
    </w:div>
    <w:div w:id="75176235">
      <w:bodyDiv w:val="1"/>
      <w:marLeft w:val="0"/>
      <w:marRight w:val="0"/>
      <w:marTop w:val="0"/>
      <w:marBottom w:val="0"/>
      <w:divBdr>
        <w:top w:val="none" w:sz="0" w:space="0" w:color="auto"/>
        <w:left w:val="none" w:sz="0" w:space="0" w:color="auto"/>
        <w:bottom w:val="none" w:sz="0" w:space="0" w:color="auto"/>
        <w:right w:val="none" w:sz="0" w:space="0" w:color="auto"/>
      </w:divBdr>
    </w:div>
    <w:div w:id="92014155">
      <w:bodyDiv w:val="1"/>
      <w:marLeft w:val="0"/>
      <w:marRight w:val="0"/>
      <w:marTop w:val="0"/>
      <w:marBottom w:val="0"/>
      <w:divBdr>
        <w:top w:val="none" w:sz="0" w:space="0" w:color="auto"/>
        <w:left w:val="none" w:sz="0" w:space="0" w:color="auto"/>
        <w:bottom w:val="none" w:sz="0" w:space="0" w:color="auto"/>
        <w:right w:val="none" w:sz="0" w:space="0" w:color="auto"/>
      </w:divBdr>
    </w:div>
    <w:div w:id="100536796">
      <w:bodyDiv w:val="1"/>
      <w:marLeft w:val="0"/>
      <w:marRight w:val="0"/>
      <w:marTop w:val="0"/>
      <w:marBottom w:val="0"/>
      <w:divBdr>
        <w:top w:val="none" w:sz="0" w:space="0" w:color="auto"/>
        <w:left w:val="none" w:sz="0" w:space="0" w:color="auto"/>
        <w:bottom w:val="none" w:sz="0" w:space="0" w:color="auto"/>
        <w:right w:val="none" w:sz="0" w:space="0" w:color="auto"/>
      </w:divBdr>
    </w:div>
    <w:div w:id="142738517">
      <w:bodyDiv w:val="1"/>
      <w:marLeft w:val="0"/>
      <w:marRight w:val="0"/>
      <w:marTop w:val="0"/>
      <w:marBottom w:val="0"/>
      <w:divBdr>
        <w:top w:val="none" w:sz="0" w:space="0" w:color="auto"/>
        <w:left w:val="none" w:sz="0" w:space="0" w:color="auto"/>
        <w:bottom w:val="none" w:sz="0" w:space="0" w:color="auto"/>
        <w:right w:val="none" w:sz="0" w:space="0" w:color="auto"/>
      </w:divBdr>
    </w:div>
    <w:div w:id="174270410">
      <w:bodyDiv w:val="1"/>
      <w:marLeft w:val="0"/>
      <w:marRight w:val="0"/>
      <w:marTop w:val="0"/>
      <w:marBottom w:val="0"/>
      <w:divBdr>
        <w:top w:val="none" w:sz="0" w:space="0" w:color="auto"/>
        <w:left w:val="none" w:sz="0" w:space="0" w:color="auto"/>
        <w:bottom w:val="none" w:sz="0" w:space="0" w:color="auto"/>
        <w:right w:val="none" w:sz="0" w:space="0" w:color="auto"/>
      </w:divBdr>
    </w:div>
    <w:div w:id="175274280">
      <w:bodyDiv w:val="1"/>
      <w:marLeft w:val="0"/>
      <w:marRight w:val="0"/>
      <w:marTop w:val="0"/>
      <w:marBottom w:val="0"/>
      <w:divBdr>
        <w:top w:val="none" w:sz="0" w:space="0" w:color="auto"/>
        <w:left w:val="none" w:sz="0" w:space="0" w:color="auto"/>
        <w:bottom w:val="none" w:sz="0" w:space="0" w:color="auto"/>
        <w:right w:val="none" w:sz="0" w:space="0" w:color="auto"/>
      </w:divBdr>
    </w:div>
    <w:div w:id="323168984">
      <w:bodyDiv w:val="1"/>
      <w:marLeft w:val="0"/>
      <w:marRight w:val="0"/>
      <w:marTop w:val="0"/>
      <w:marBottom w:val="0"/>
      <w:divBdr>
        <w:top w:val="none" w:sz="0" w:space="0" w:color="auto"/>
        <w:left w:val="none" w:sz="0" w:space="0" w:color="auto"/>
        <w:bottom w:val="none" w:sz="0" w:space="0" w:color="auto"/>
        <w:right w:val="none" w:sz="0" w:space="0" w:color="auto"/>
      </w:divBdr>
    </w:div>
    <w:div w:id="417942823">
      <w:bodyDiv w:val="1"/>
      <w:marLeft w:val="0"/>
      <w:marRight w:val="0"/>
      <w:marTop w:val="0"/>
      <w:marBottom w:val="0"/>
      <w:divBdr>
        <w:top w:val="none" w:sz="0" w:space="0" w:color="auto"/>
        <w:left w:val="none" w:sz="0" w:space="0" w:color="auto"/>
        <w:bottom w:val="none" w:sz="0" w:space="0" w:color="auto"/>
        <w:right w:val="none" w:sz="0" w:space="0" w:color="auto"/>
      </w:divBdr>
    </w:div>
    <w:div w:id="433744371">
      <w:bodyDiv w:val="1"/>
      <w:marLeft w:val="0"/>
      <w:marRight w:val="0"/>
      <w:marTop w:val="0"/>
      <w:marBottom w:val="0"/>
      <w:divBdr>
        <w:top w:val="none" w:sz="0" w:space="0" w:color="auto"/>
        <w:left w:val="none" w:sz="0" w:space="0" w:color="auto"/>
        <w:bottom w:val="none" w:sz="0" w:space="0" w:color="auto"/>
        <w:right w:val="none" w:sz="0" w:space="0" w:color="auto"/>
      </w:divBdr>
    </w:div>
    <w:div w:id="479613567">
      <w:bodyDiv w:val="1"/>
      <w:marLeft w:val="0"/>
      <w:marRight w:val="0"/>
      <w:marTop w:val="0"/>
      <w:marBottom w:val="0"/>
      <w:divBdr>
        <w:top w:val="none" w:sz="0" w:space="0" w:color="auto"/>
        <w:left w:val="none" w:sz="0" w:space="0" w:color="auto"/>
        <w:bottom w:val="none" w:sz="0" w:space="0" w:color="auto"/>
        <w:right w:val="none" w:sz="0" w:space="0" w:color="auto"/>
      </w:divBdr>
    </w:div>
    <w:div w:id="619654187">
      <w:bodyDiv w:val="1"/>
      <w:marLeft w:val="0"/>
      <w:marRight w:val="0"/>
      <w:marTop w:val="0"/>
      <w:marBottom w:val="0"/>
      <w:divBdr>
        <w:top w:val="none" w:sz="0" w:space="0" w:color="auto"/>
        <w:left w:val="none" w:sz="0" w:space="0" w:color="auto"/>
        <w:bottom w:val="none" w:sz="0" w:space="0" w:color="auto"/>
        <w:right w:val="none" w:sz="0" w:space="0" w:color="auto"/>
      </w:divBdr>
    </w:div>
    <w:div w:id="642809668">
      <w:bodyDiv w:val="1"/>
      <w:marLeft w:val="0"/>
      <w:marRight w:val="0"/>
      <w:marTop w:val="0"/>
      <w:marBottom w:val="0"/>
      <w:divBdr>
        <w:top w:val="none" w:sz="0" w:space="0" w:color="auto"/>
        <w:left w:val="none" w:sz="0" w:space="0" w:color="auto"/>
        <w:bottom w:val="none" w:sz="0" w:space="0" w:color="auto"/>
        <w:right w:val="none" w:sz="0" w:space="0" w:color="auto"/>
      </w:divBdr>
    </w:div>
    <w:div w:id="647512596">
      <w:bodyDiv w:val="1"/>
      <w:marLeft w:val="0"/>
      <w:marRight w:val="0"/>
      <w:marTop w:val="0"/>
      <w:marBottom w:val="0"/>
      <w:divBdr>
        <w:top w:val="none" w:sz="0" w:space="0" w:color="auto"/>
        <w:left w:val="none" w:sz="0" w:space="0" w:color="auto"/>
        <w:bottom w:val="none" w:sz="0" w:space="0" w:color="auto"/>
        <w:right w:val="none" w:sz="0" w:space="0" w:color="auto"/>
      </w:divBdr>
    </w:div>
    <w:div w:id="663364435">
      <w:bodyDiv w:val="1"/>
      <w:marLeft w:val="0"/>
      <w:marRight w:val="0"/>
      <w:marTop w:val="0"/>
      <w:marBottom w:val="0"/>
      <w:divBdr>
        <w:top w:val="none" w:sz="0" w:space="0" w:color="auto"/>
        <w:left w:val="none" w:sz="0" w:space="0" w:color="auto"/>
        <w:bottom w:val="none" w:sz="0" w:space="0" w:color="auto"/>
        <w:right w:val="none" w:sz="0" w:space="0" w:color="auto"/>
      </w:divBdr>
    </w:div>
    <w:div w:id="768893021">
      <w:bodyDiv w:val="1"/>
      <w:marLeft w:val="0"/>
      <w:marRight w:val="0"/>
      <w:marTop w:val="0"/>
      <w:marBottom w:val="0"/>
      <w:divBdr>
        <w:top w:val="none" w:sz="0" w:space="0" w:color="auto"/>
        <w:left w:val="none" w:sz="0" w:space="0" w:color="auto"/>
        <w:bottom w:val="none" w:sz="0" w:space="0" w:color="auto"/>
        <w:right w:val="none" w:sz="0" w:space="0" w:color="auto"/>
      </w:divBdr>
    </w:div>
    <w:div w:id="769012123">
      <w:bodyDiv w:val="1"/>
      <w:marLeft w:val="0"/>
      <w:marRight w:val="0"/>
      <w:marTop w:val="0"/>
      <w:marBottom w:val="0"/>
      <w:divBdr>
        <w:top w:val="none" w:sz="0" w:space="0" w:color="auto"/>
        <w:left w:val="none" w:sz="0" w:space="0" w:color="auto"/>
        <w:bottom w:val="none" w:sz="0" w:space="0" w:color="auto"/>
        <w:right w:val="none" w:sz="0" w:space="0" w:color="auto"/>
      </w:divBdr>
    </w:div>
    <w:div w:id="793016331">
      <w:bodyDiv w:val="1"/>
      <w:marLeft w:val="0"/>
      <w:marRight w:val="0"/>
      <w:marTop w:val="0"/>
      <w:marBottom w:val="0"/>
      <w:divBdr>
        <w:top w:val="none" w:sz="0" w:space="0" w:color="auto"/>
        <w:left w:val="none" w:sz="0" w:space="0" w:color="auto"/>
        <w:bottom w:val="none" w:sz="0" w:space="0" w:color="auto"/>
        <w:right w:val="none" w:sz="0" w:space="0" w:color="auto"/>
      </w:divBdr>
      <w:divsChild>
        <w:div w:id="1005598208">
          <w:marLeft w:val="0"/>
          <w:marRight w:val="0"/>
          <w:marTop w:val="300"/>
          <w:marBottom w:val="0"/>
          <w:divBdr>
            <w:top w:val="none" w:sz="0" w:space="0" w:color="auto"/>
            <w:left w:val="none" w:sz="0" w:space="0" w:color="auto"/>
            <w:bottom w:val="none" w:sz="0" w:space="0" w:color="auto"/>
            <w:right w:val="none" w:sz="0" w:space="0" w:color="auto"/>
          </w:divBdr>
        </w:div>
      </w:divsChild>
    </w:div>
    <w:div w:id="883519777">
      <w:bodyDiv w:val="1"/>
      <w:marLeft w:val="0"/>
      <w:marRight w:val="0"/>
      <w:marTop w:val="0"/>
      <w:marBottom w:val="0"/>
      <w:divBdr>
        <w:top w:val="none" w:sz="0" w:space="0" w:color="auto"/>
        <w:left w:val="none" w:sz="0" w:space="0" w:color="auto"/>
        <w:bottom w:val="none" w:sz="0" w:space="0" w:color="auto"/>
        <w:right w:val="none" w:sz="0" w:space="0" w:color="auto"/>
      </w:divBdr>
    </w:div>
    <w:div w:id="903754488">
      <w:bodyDiv w:val="1"/>
      <w:marLeft w:val="0"/>
      <w:marRight w:val="0"/>
      <w:marTop w:val="0"/>
      <w:marBottom w:val="0"/>
      <w:divBdr>
        <w:top w:val="none" w:sz="0" w:space="0" w:color="auto"/>
        <w:left w:val="none" w:sz="0" w:space="0" w:color="auto"/>
        <w:bottom w:val="none" w:sz="0" w:space="0" w:color="auto"/>
        <w:right w:val="none" w:sz="0" w:space="0" w:color="auto"/>
      </w:divBdr>
    </w:div>
    <w:div w:id="949975427">
      <w:bodyDiv w:val="1"/>
      <w:marLeft w:val="0"/>
      <w:marRight w:val="0"/>
      <w:marTop w:val="0"/>
      <w:marBottom w:val="0"/>
      <w:divBdr>
        <w:top w:val="none" w:sz="0" w:space="0" w:color="auto"/>
        <w:left w:val="none" w:sz="0" w:space="0" w:color="auto"/>
        <w:bottom w:val="none" w:sz="0" w:space="0" w:color="auto"/>
        <w:right w:val="none" w:sz="0" w:space="0" w:color="auto"/>
      </w:divBdr>
    </w:div>
    <w:div w:id="1095319945">
      <w:bodyDiv w:val="1"/>
      <w:marLeft w:val="0"/>
      <w:marRight w:val="0"/>
      <w:marTop w:val="0"/>
      <w:marBottom w:val="0"/>
      <w:divBdr>
        <w:top w:val="none" w:sz="0" w:space="0" w:color="auto"/>
        <w:left w:val="none" w:sz="0" w:space="0" w:color="auto"/>
        <w:bottom w:val="none" w:sz="0" w:space="0" w:color="auto"/>
        <w:right w:val="none" w:sz="0" w:space="0" w:color="auto"/>
      </w:divBdr>
    </w:div>
    <w:div w:id="1137992139">
      <w:bodyDiv w:val="1"/>
      <w:marLeft w:val="0"/>
      <w:marRight w:val="0"/>
      <w:marTop w:val="0"/>
      <w:marBottom w:val="0"/>
      <w:divBdr>
        <w:top w:val="none" w:sz="0" w:space="0" w:color="auto"/>
        <w:left w:val="none" w:sz="0" w:space="0" w:color="auto"/>
        <w:bottom w:val="none" w:sz="0" w:space="0" w:color="auto"/>
        <w:right w:val="none" w:sz="0" w:space="0" w:color="auto"/>
      </w:divBdr>
    </w:div>
    <w:div w:id="1187476023">
      <w:bodyDiv w:val="1"/>
      <w:marLeft w:val="0"/>
      <w:marRight w:val="0"/>
      <w:marTop w:val="0"/>
      <w:marBottom w:val="0"/>
      <w:divBdr>
        <w:top w:val="none" w:sz="0" w:space="0" w:color="auto"/>
        <w:left w:val="none" w:sz="0" w:space="0" w:color="auto"/>
        <w:bottom w:val="none" w:sz="0" w:space="0" w:color="auto"/>
        <w:right w:val="none" w:sz="0" w:space="0" w:color="auto"/>
      </w:divBdr>
    </w:div>
    <w:div w:id="1213420536">
      <w:bodyDiv w:val="1"/>
      <w:marLeft w:val="0"/>
      <w:marRight w:val="0"/>
      <w:marTop w:val="0"/>
      <w:marBottom w:val="0"/>
      <w:divBdr>
        <w:top w:val="none" w:sz="0" w:space="0" w:color="auto"/>
        <w:left w:val="none" w:sz="0" w:space="0" w:color="auto"/>
        <w:bottom w:val="none" w:sz="0" w:space="0" w:color="auto"/>
        <w:right w:val="none" w:sz="0" w:space="0" w:color="auto"/>
      </w:divBdr>
      <w:divsChild>
        <w:div w:id="3374662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68196213">
      <w:bodyDiv w:val="1"/>
      <w:marLeft w:val="0"/>
      <w:marRight w:val="0"/>
      <w:marTop w:val="0"/>
      <w:marBottom w:val="0"/>
      <w:divBdr>
        <w:top w:val="none" w:sz="0" w:space="0" w:color="auto"/>
        <w:left w:val="none" w:sz="0" w:space="0" w:color="auto"/>
        <w:bottom w:val="none" w:sz="0" w:space="0" w:color="auto"/>
        <w:right w:val="none" w:sz="0" w:space="0" w:color="auto"/>
      </w:divBdr>
    </w:div>
    <w:div w:id="1292781765">
      <w:bodyDiv w:val="1"/>
      <w:marLeft w:val="0"/>
      <w:marRight w:val="0"/>
      <w:marTop w:val="0"/>
      <w:marBottom w:val="0"/>
      <w:divBdr>
        <w:top w:val="none" w:sz="0" w:space="0" w:color="auto"/>
        <w:left w:val="none" w:sz="0" w:space="0" w:color="auto"/>
        <w:bottom w:val="none" w:sz="0" w:space="0" w:color="auto"/>
        <w:right w:val="none" w:sz="0" w:space="0" w:color="auto"/>
      </w:divBdr>
    </w:div>
    <w:div w:id="1338848178">
      <w:bodyDiv w:val="1"/>
      <w:marLeft w:val="0"/>
      <w:marRight w:val="0"/>
      <w:marTop w:val="0"/>
      <w:marBottom w:val="0"/>
      <w:divBdr>
        <w:top w:val="none" w:sz="0" w:space="0" w:color="auto"/>
        <w:left w:val="none" w:sz="0" w:space="0" w:color="auto"/>
        <w:bottom w:val="none" w:sz="0" w:space="0" w:color="auto"/>
        <w:right w:val="none" w:sz="0" w:space="0" w:color="auto"/>
      </w:divBdr>
    </w:div>
    <w:div w:id="1389961522">
      <w:bodyDiv w:val="1"/>
      <w:marLeft w:val="0"/>
      <w:marRight w:val="0"/>
      <w:marTop w:val="0"/>
      <w:marBottom w:val="0"/>
      <w:divBdr>
        <w:top w:val="none" w:sz="0" w:space="0" w:color="auto"/>
        <w:left w:val="none" w:sz="0" w:space="0" w:color="auto"/>
        <w:bottom w:val="none" w:sz="0" w:space="0" w:color="auto"/>
        <w:right w:val="none" w:sz="0" w:space="0" w:color="auto"/>
      </w:divBdr>
    </w:div>
    <w:div w:id="1426881687">
      <w:bodyDiv w:val="1"/>
      <w:marLeft w:val="0"/>
      <w:marRight w:val="0"/>
      <w:marTop w:val="0"/>
      <w:marBottom w:val="0"/>
      <w:divBdr>
        <w:top w:val="none" w:sz="0" w:space="0" w:color="auto"/>
        <w:left w:val="none" w:sz="0" w:space="0" w:color="auto"/>
        <w:bottom w:val="none" w:sz="0" w:space="0" w:color="auto"/>
        <w:right w:val="none" w:sz="0" w:space="0" w:color="auto"/>
      </w:divBdr>
    </w:div>
    <w:div w:id="1466315560">
      <w:bodyDiv w:val="1"/>
      <w:marLeft w:val="0"/>
      <w:marRight w:val="0"/>
      <w:marTop w:val="0"/>
      <w:marBottom w:val="0"/>
      <w:divBdr>
        <w:top w:val="none" w:sz="0" w:space="0" w:color="auto"/>
        <w:left w:val="none" w:sz="0" w:space="0" w:color="auto"/>
        <w:bottom w:val="none" w:sz="0" w:space="0" w:color="auto"/>
        <w:right w:val="none" w:sz="0" w:space="0" w:color="auto"/>
      </w:divBdr>
    </w:div>
    <w:div w:id="1532382894">
      <w:bodyDiv w:val="1"/>
      <w:marLeft w:val="0"/>
      <w:marRight w:val="0"/>
      <w:marTop w:val="0"/>
      <w:marBottom w:val="0"/>
      <w:divBdr>
        <w:top w:val="none" w:sz="0" w:space="0" w:color="auto"/>
        <w:left w:val="none" w:sz="0" w:space="0" w:color="auto"/>
        <w:bottom w:val="none" w:sz="0" w:space="0" w:color="auto"/>
        <w:right w:val="none" w:sz="0" w:space="0" w:color="auto"/>
      </w:divBdr>
    </w:div>
    <w:div w:id="1600485940">
      <w:bodyDiv w:val="1"/>
      <w:marLeft w:val="0"/>
      <w:marRight w:val="0"/>
      <w:marTop w:val="0"/>
      <w:marBottom w:val="0"/>
      <w:divBdr>
        <w:top w:val="none" w:sz="0" w:space="0" w:color="auto"/>
        <w:left w:val="none" w:sz="0" w:space="0" w:color="auto"/>
        <w:bottom w:val="none" w:sz="0" w:space="0" w:color="auto"/>
        <w:right w:val="none" w:sz="0" w:space="0" w:color="auto"/>
      </w:divBdr>
      <w:divsChild>
        <w:div w:id="1900750823">
          <w:marLeft w:val="0"/>
          <w:marRight w:val="0"/>
          <w:marTop w:val="300"/>
          <w:marBottom w:val="0"/>
          <w:divBdr>
            <w:top w:val="none" w:sz="0" w:space="0" w:color="auto"/>
            <w:left w:val="none" w:sz="0" w:space="0" w:color="auto"/>
            <w:bottom w:val="none" w:sz="0" w:space="0" w:color="auto"/>
            <w:right w:val="none" w:sz="0" w:space="0" w:color="auto"/>
          </w:divBdr>
        </w:div>
      </w:divsChild>
    </w:div>
    <w:div w:id="1661037640">
      <w:bodyDiv w:val="1"/>
      <w:marLeft w:val="0"/>
      <w:marRight w:val="0"/>
      <w:marTop w:val="0"/>
      <w:marBottom w:val="0"/>
      <w:divBdr>
        <w:top w:val="none" w:sz="0" w:space="0" w:color="auto"/>
        <w:left w:val="none" w:sz="0" w:space="0" w:color="auto"/>
        <w:bottom w:val="none" w:sz="0" w:space="0" w:color="auto"/>
        <w:right w:val="none" w:sz="0" w:space="0" w:color="auto"/>
      </w:divBdr>
    </w:div>
    <w:div w:id="1668895964">
      <w:bodyDiv w:val="1"/>
      <w:marLeft w:val="0"/>
      <w:marRight w:val="0"/>
      <w:marTop w:val="0"/>
      <w:marBottom w:val="0"/>
      <w:divBdr>
        <w:top w:val="none" w:sz="0" w:space="0" w:color="auto"/>
        <w:left w:val="none" w:sz="0" w:space="0" w:color="auto"/>
        <w:bottom w:val="none" w:sz="0" w:space="0" w:color="auto"/>
        <w:right w:val="none" w:sz="0" w:space="0" w:color="auto"/>
      </w:divBdr>
    </w:div>
    <w:div w:id="1780681301">
      <w:bodyDiv w:val="1"/>
      <w:marLeft w:val="0"/>
      <w:marRight w:val="0"/>
      <w:marTop w:val="0"/>
      <w:marBottom w:val="15"/>
      <w:divBdr>
        <w:top w:val="none" w:sz="0" w:space="0" w:color="auto"/>
        <w:left w:val="none" w:sz="0" w:space="0" w:color="auto"/>
        <w:bottom w:val="none" w:sz="0" w:space="0" w:color="auto"/>
        <w:right w:val="none" w:sz="0" w:space="0" w:color="auto"/>
      </w:divBdr>
      <w:divsChild>
        <w:div w:id="1586913306">
          <w:marLeft w:val="0"/>
          <w:marRight w:val="0"/>
          <w:marTop w:val="0"/>
          <w:marBottom w:val="0"/>
          <w:divBdr>
            <w:top w:val="none" w:sz="0" w:space="0" w:color="auto"/>
            <w:left w:val="none" w:sz="0" w:space="0" w:color="auto"/>
            <w:bottom w:val="none" w:sz="0" w:space="0" w:color="auto"/>
            <w:right w:val="none" w:sz="0" w:space="0" w:color="auto"/>
          </w:divBdr>
          <w:divsChild>
            <w:div w:id="1355620477">
              <w:marLeft w:val="0"/>
              <w:marRight w:val="0"/>
              <w:marTop w:val="0"/>
              <w:marBottom w:val="0"/>
              <w:divBdr>
                <w:top w:val="none" w:sz="0" w:space="0" w:color="auto"/>
                <w:left w:val="none" w:sz="0" w:space="0" w:color="auto"/>
                <w:bottom w:val="none" w:sz="0" w:space="0" w:color="auto"/>
                <w:right w:val="none" w:sz="0" w:space="0" w:color="auto"/>
              </w:divBdr>
              <w:divsChild>
                <w:div w:id="1542546534">
                  <w:marLeft w:val="0"/>
                  <w:marRight w:val="0"/>
                  <w:marTop w:val="0"/>
                  <w:marBottom w:val="0"/>
                  <w:divBdr>
                    <w:top w:val="none" w:sz="0" w:space="0" w:color="auto"/>
                    <w:left w:val="none" w:sz="0" w:space="0" w:color="auto"/>
                    <w:bottom w:val="none" w:sz="0" w:space="0" w:color="auto"/>
                    <w:right w:val="none" w:sz="0" w:space="0" w:color="auto"/>
                  </w:divBdr>
                  <w:divsChild>
                    <w:div w:id="1993869045">
                      <w:marLeft w:val="0"/>
                      <w:marRight w:val="0"/>
                      <w:marTop w:val="0"/>
                      <w:marBottom w:val="0"/>
                      <w:divBdr>
                        <w:top w:val="none" w:sz="0" w:space="0" w:color="auto"/>
                        <w:left w:val="none" w:sz="0" w:space="0" w:color="auto"/>
                        <w:bottom w:val="none" w:sz="0" w:space="0" w:color="auto"/>
                        <w:right w:val="none" w:sz="0" w:space="0" w:color="auto"/>
                      </w:divBdr>
                      <w:divsChild>
                        <w:div w:id="1570844228">
                          <w:marLeft w:val="0"/>
                          <w:marRight w:val="0"/>
                          <w:marTop w:val="0"/>
                          <w:marBottom w:val="0"/>
                          <w:divBdr>
                            <w:top w:val="none" w:sz="0" w:space="0" w:color="auto"/>
                            <w:left w:val="none" w:sz="0" w:space="0" w:color="auto"/>
                            <w:bottom w:val="none" w:sz="0" w:space="0" w:color="auto"/>
                            <w:right w:val="none" w:sz="0" w:space="0" w:color="auto"/>
                          </w:divBdr>
                          <w:divsChild>
                            <w:div w:id="1868366620">
                              <w:marLeft w:val="0"/>
                              <w:marRight w:val="0"/>
                              <w:marTop w:val="0"/>
                              <w:marBottom w:val="0"/>
                              <w:divBdr>
                                <w:top w:val="none" w:sz="0" w:space="0" w:color="auto"/>
                                <w:left w:val="none" w:sz="0" w:space="0" w:color="auto"/>
                                <w:bottom w:val="none" w:sz="0" w:space="0" w:color="auto"/>
                                <w:right w:val="none" w:sz="0" w:space="0" w:color="auto"/>
                              </w:divBdr>
                              <w:divsChild>
                                <w:div w:id="2131967847">
                                  <w:marLeft w:val="150"/>
                                  <w:marRight w:val="150"/>
                                  <w:marTop w:val="150"/>
                                  <w:marBottom w:val="150"/>
                                  <w:divBdr>
                                    <w:top w:val="none" w:sz="0" w:space="0" w:color="auto"/>
                                    <w:left w:val="none" w:sz="0" w:space="0" w:color="auto"/>
                                    <w:bottom w:val="none" w:sz="0" w:space="0" w:color="auto"/>
                                    <w:right w:val="none" w:sz="0" w:space="0" w:color="auto"/>
                                  </w:divBdr>
                                  <w:divsChild>
                                    <w:div w:id="2001470364">
                                      <w:marLeft w:val="0"/>
                                      <w:marRight w:val="0"/>
                                      <w:marTop w:val="0"/>
                                      <w:marBottom w:val="0"/>
                                      <w:divBdr>
                                        <w:top w:val="none" w:sz="0" w:space="0" w:color="auto"/>
                                        <w:left w:val="none" w:sz="0" w:space="0" w:color="auto"/>
                                        <w:bottom w:val="none" w:sz="0" w:space="0" w:color="auto"/>
                                        <w:right w:val="none" w:sz="0" w:space="0" w:color="auto"/>
                                      </w:divBdr>
                                      <w:divsChild>
                                        <w:div w:id="503008097">
                                          <w:marLeft w:val="0"/>
                                          <w:marRight w:val="0"/>
                                          <w:marTop w:val="0"/>
                                          <w:marBottom w:val="0"/>
                                          <w:divBdr>
                                            <w:top w:val="none" w:sz="0" w:space="0" w:color="auto"/>
                                            <w:left w:val="none" w:sz="0" w:space="0" w:color="auto"/>
                                            <w:bottom w:val="none" w:sz="0" w:space="0" w:color="auto"/>
                                            <w:right w:val="none" w:sz="0" w:space="0" w:color="auto"/>
                                          </w:divBdr>
                                          <w:divsChild>
                                            <w:div w:id="1803959134">
                                              <w:marLeft w:val="0"/>
                                              <w:marRight w:val="0"/>
                                              <w:marTop w:val="0"/>
                                              <w:marBottom w:val="0"/>
                                              <w:divBdr>
                                                <w:top w:val="none" w:sz="0" w:space="0" w:color="auto"/>
                                                <w:left w:val="none" w:sz="0" w:space="0" w:color="auto"/>
                                                <w:bottom w:val="none" w:sz="0" w:space="0" w:color="auto"/>
                                                <w:right w:val="none" w:sz="0" w:space="0" w:color="auto"/>
                                              </w:divBdr>
                                              <w:divsChild>
                                                <w:div w:id="1398090798">
                                                  <w:marLeft w:val="0"/>
                                                  <w:marRight w:val="0"/>
                                                  <w:marTop w:val="0"/>
                                                  <w:marBottom w:val="0"/>
                                                  <w:divBdr>
                                                    <w:top w:val="none" w:sz="0" w:space="0" w:color="auto"/>
                                                    <w:left w:val="none" w:sz="0" w:space="0" w:color="auto"/>
                                                    <w:bottom w:val="none" w:sz="0" w:space="0" w:color="auto"/>
                                                    <w:right w:val="none" w:sz="0" w:space="0" w:color="auto"/>
                                                  </w:divBdr>
                                                  <w:divsChild>
                                                    <w:div w:id="922179228">
                                                      <w:marLeft w:val="0"/>
                                                      <w:marRight w:val="0"/>
                                                      <w:marTop w:val="0"/>
                                                      <w:marBottom w:val="0"/>
                                                      <w:divBdr>
                                                        <w:top w:val="none" w:sz="0" w:space="0" w:color="auto"/>
                                                        <w:left w:val="none" w:sz="0" w:space="0" w:color="auto"/>
                                                        <w:bottom w:val="none" w:sz="0" w:space="0" w:color="auto"/>
                                                        <w:right w:val="none" w:sz="0" w:space="0" w:color="auto"/>
                                                      </w:divBdr>
                                                      <w:divsChild>
                                                        <w:div w:id="423381953">
                                                          <w:marLeft w:val="0"/>
                                                          <w:marRight w:val="0"/>
                                                          <w:marTop w:val="0"/>
                                                          <w:marBottom w:val="0"/>
                                                          <w:divBdr>
                                                            <w:top w:val="none" w:sz="0" w:space="0" w:color="auto"/>
                                                            <w:left w:val="none" w:sz="0" w:space="0" w:color="auto"/>
                                                            <w:bottom w:val="none" w:sz="0" w:space="0" w:color="auto"/>
                                                            <w:right w:val="none" w:sz="0" w:space="0" w:color="auto"/>
                                                          </w:divBdr>
                                                        </w:div>
                                                        <w:div w:id="1308634145">
                                                          <w:marLeft w:val="0"/>
                                                          <w:marRight w:val="0"/>
                                                          <w:marTop w:val="0"/>
                                                          <w:marBottom w:val="0"/>
                                                          <w:divBdr>
                                                            <w:top w:val="none" w:sz="0" w:space="0" w:color="auto"/>
                                                            <w:left w:val="none" w:sz="0" w:space="0" w:color="auto"/>
                                                            <w:bottom w:val="none" w:sz="0" w:space="0" w:color="auto"/>
                                                            <w:right w:val="none" w:sz="0" w:space="0" w:color="auto"/>
                                                          </w:divBdr>
                                                        </w:div>
                                                        <w:div w:id="21274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798907">
      <w:bodyDiv w:val="1"/>
      <w:marLeft w:val="0"/>
      <w:marRight w:val="0"/>
      <w:marTop w:val="0"/>
      <w:marBottom w:val="0"/>
      <w:divBdr>
        <w:top w:val="none" w:sz="0" w:space="0" w:color="auto"/>
        <w:left w:val="none" w:sz="0" w:space="0" w:color="auto"/>
        <w:bottom w:val="none" w:sz="0" w:space="0" w:color="auto"/>
        <w:right w:val="none" w:sz="0" w:space="0" w:color="auto"/>
      </w:divBdr>
    </w:div>
    <w:div w:id="1890071488">
      <w:bodyDiv w:val="1"/>
      <w:marLeft w:val="0"/>
      <w:marRight w:val="0"/>
      <w:marTop w:val="0"/>
      <w:marBottom w:val="0"/>
      <w:divBdr>
        <w:top w:val="none" w:sz="0" w:space="0" w:color="auto"/>
        <w:left w:val="none" w:sz="0" w:space="0" w:color="auto"/>
        <w:bottom w:val="none" w:sz="0" w:space="0" w:color="auto"/>
        <w:right w:val="none" w:sz="0" w:space="0" w:color="auto"/>
      </w:divBdr>
    </w:div>
    <w:div w:id="19948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ldiario.es/desalambre/VIDEOS-Guardiua-Civil-ilegalmente-inmigrante_0_314268729.html" TargetMode="External"/><Relationship Id="rId1" Type="http://schemas.openxmlformats.org/officeDocument/2006/relationships/hyperlink" Target="http://europa.eu/rapid/press-release_SPEECH-13-858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F013-C4D9-4494-80E4-62E11874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7069</Words>
  <Characters>40295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47270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Heijer, Maarten den</dc:creator>
  <cp:lastModifiedBy>Heijer, Maarten den</cp:lastModifiedBy>
  <cp:revision>3</cp:revision>
  <cp:lastPrinted>2015-02-04T13:35:00Z</cp:lastPrinted>
  <dcterms:created xsi:type="dcterms:W3CDTF">2015-02-04T13:35:00Z</dcterms:created>
  <dcterms:modified xsi:type="dcterms:W3CDTF">2015-02-04T13:45:00Z</dcterms:modified>
</cp:coreProperties>
</file>