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EB9CF" w14:textId="039CBDDF" w:rsidR="006334A1" w:rsidRPr="00A53C01" w:rsidRDefault="003D6C37" w:rsidP="00A53C01">
      <w:pPr>
        <w:pStyle w:val="SectionHeading"/>
        <w:spacing w:line="312" w:lineRule="auto"/>
        <w:rPr>
          <w:rFonts w:cs="Times New Roman"/>
          <w:b/>
          <w:szCs w:val="24"/>
        </w:rPr>
      </w:pPr>
      <w:bookmarkStart w:id="0" w:name="_GoBack"/>
      <w:r w:rsidRPr="00A53C01">
        <w:rPr>
          <w:rFonts w:cs="Times New Roman"/>
          <w:b/>
          <w:i/>
          <w:szCs w:val="24"/>
        </w:rPr>
        <w:t>Un Dialogue de Sourds</w:t>
      </w:r>
      <w:r w:rsidR="006334A1" w:rsidRPr="00A53C01">
        <w:rPr>
          <w:rFonts w:cs="Times New Roman"/>
          <w:b/>
          <w:i/>
          <w:szCs w:val="24"/>
        </w:rPr>
        <w:t>:</w:t>
      </w:r>
      <w:r w:rsidR="006334A1" w:rsidRPr="00A53C01">
        <w:rPr>
          <w:rFonts w:cs="Times New Roman"/>
          <w:b/>
          <w:szCs w:val="24"/>
        </w:rPr>
        <w:t xml:space="preserve"> </w:t>
      </w:r>
      <w:r w:rsidR="000E3A86" w:rsidRPr="00A53C01">
        <w:rPr>
          <w:rFonts w:cs="Times New Roman"/>
          <w:b/>
          <w:szCs w:val="24"/>
        </w:rPr>
        <w:t xml:space="preserve">(Failed) </w:t>
      </w:r>
      <w:r w:rsidR="006334A1" w:rsidRPr="00A53C01">
        <w:rPr>
          <w:rFonts w:cs="Times New Roman"/>
          <w:b/>
          <w:szCs w:val="24"/>
        </w:rPr>
        <w:t>Securitization</w:t>
      </w:r>
      <w:r w:rsidR="00263179" w:rsidRPr="00A53C01">
        <w:rPr>
          <w:rFonts w:cs="Times New Roman"/>
          <w:b/>
          <w:szCs w:val="24"/>
        </w:rPr>
        <w:t xml:space="preserve"> in</w:t>
      </w:r>
      <w:r w:rsidR="006334A1" w:rsidRPr="00A53C01">
        <w:rPr>
          <w:rFonts w:cs="Times New Roman"/>
          <w:b/>
          <w:szCs w:val="24"/>
        </w:rPr>
        <w:t xml:space="preserve"> the Transatlantic D</w:t>
      </w:r>
      <w:r w:rsidR="00263179" w:rsidRPr="00A53C01">
        <w:rPr>
          <w:rFonts w:cs="Times New Roman"/>
          <w:b/>
          <w:szCs w:val="24"/>
        </w:rPr>
        <w:t>ebate</w:t>
      </w:r>
      <w:r w:rsidR="006334A1" w:rsidRPr="00A53C01">
        <w:rPr>
          <w:rFonts w:cs="Times New Roman"/>
          <w:b/>
          <w:szCs w:val="24"/>
        </w:rPr>
        <w:t xml:space="preserve"> </w:t>
      </w:r>
      <w:r w:rsidR="00CB179D" w:rsidRPr="00A53C01">
        <w:rPr>
          <w:rFonts w:cs="Times New Roman"/>
          <w:b/>
          <w:szCs w:val="24"/>
        </w:rPr>
        <w:t>on</w:t>
      </w:r>
      <w:r w:rsidR="006334A1" w:rsidRPr="00A53C01">
        <w:rPr>
          <w:rFonts w:cs="Times New Roman"/>
          <w:b/>
          <w:szCs w:val="24"/>
        </w:rPr>
        <w:t xml:space="preserve"> the </w:t>
      </w:r>
      <w:bookmarkEnd w:id="0"/>
      <w:r w:rsidR="006334A1" w:rsidRPr="00A53C01">
        <w:rPr>
          <w:rFonts w:cs="Times New Roman"/>
          <w:b/>
          <w:szCs w:val="24"/>
        </w:rPr>
        <w:t xml:space="preserve">China Arms Embargo </w:t>
      </w:r>
    </w:p>
    <w:p w14:paraId="7B9618DE" w14:textId="7B41C3D5" w:rsidR="006334A1" w:rsidRDefault="00144D0B" w:rsidP="00A53C01">
      <w:pPr>
        <w:spacing w:line="312" w:lineRule="auto"/>
        <w:rPr>
          <w:rFonts w:cs="Times New Roman"/>
          <w:b/>
          <w:szCs w:val="24"/>
        </w:rPr>
      </w:pPr>
      <w:r w:rsidRPr="00A53C01">
        <w:rPr>
          <w:rFonts w:cs="Times New Roman"/>
          <w:b/>
          <w:szCs w:val="24"/>
        </w:rPr>
        <w:t>Scott A.W. Brown</w:t>
      </w:r>
    </w:p>
    <w:p w14:paraId="715744AA" w14:textId="0C984B7C" w:rsidR="002F0A70" w:rsidRPr="00A53C01" w:rsidRDefault="002F0A70" w:rsidP="00A53C01">
      <w:pPr>
        <w:spacing w:line="312" w:lineRule="auto"/>
        <w:rPr>
          <w:rFonts w:cs="Times New Roman"/>
          <w:b/>
          <w:szCs w:val="24"/>
        </w:rPr>
      </w:pPr>
      <w:r>
        <w:rPr>
          <w:rFonts w:cs="Times New Roman"/>
          <w:b/>
          <w:szCs w:val="24"/>
        </w:rPr>
        <w:t>s.a.w.brown@dundee.ac.uk</w:t>
      </w:r>
    </w:p>
    <w:p w14:paraId="63C0A69F" w14:textId="77777777" w:rsidR="00604E3B" w:rsidRDefault="00604E3B" w:rsidP="00A53C01">
      <w:pPr>
        <w:spacing w:line="312" w:lineRule="auto"/>
        <w:rPr>
          <w:rFonts w:cs="Times New Roman"/>
          <w:b/>
          <w:szCs w:val="24"/>
        </w:rPr>
      </w:pPr>
    </w:p>
    <w:p w14:paraId="070DE8C5" w14:textId="31BE4BC1" w:rsidR="00BA77AF" w:rsidRDefault="00BA77AF" w:rsidP="00A53C01">
      <w:pPr>
        <w:spacing w:line="312" w:lineRule="auto"/>
        <w:rPr>
          <w:rFonts w:cs="Times New Roman"/>
          <w:b/>
          <w:color w:val="FF0000"/>
          <w:szCs w:val="24"/>
        </w:rPr>
      </w:pPr>
      <w:r>
        <w:rPr>
          <w:rFonts w:cs="Times New Roman"/>
          <w:b/>
          <w:color w:val="FF0000"/>
          <w:szCs w:val="24"/>
        </w:rPr>
        <w:t>Draft – please do not cite or circulate without author’s consent</w:t>
      </w:r>
    </w:p>
    <w:p w14:paraId="76157F37" w14:textId="6C6CFECE" w:rsidR="00BA77AF" w:rsidRPr="00BA77AF" w:rsidRDefault="00BA77AF" w:rsidP="00A53C01">
      <w:pPr>
        <w:spacing w:line="312" w:lineRule="auto"/>
        <w:rPr>
          <w:rFonts w:cs="Times New Roman"/>
          <w:b/>
          <w:color w:val="FF0000"/>
          <w:szCs w:val="24"/>
        </w:rPr>
      </w:pPr>
      <w:r>
        <w:rPr>
          <w:rFonts w:cs="Times New Roman"/>
          <w:b/>
          <w:color w:val="FF0000"/>
          <w:szCs w:val="24"/>
        </w:rPr>
        <w:t xml:space="preserve">Feedback actively encouraged! </w:t>
      </w:r>
    </w:p>
    <w:p w14:paraId="3BA778A7" w14:textId="77777777" w:rsidR="00BA77AF" w:rsidRPr="00A53C01" w:rsidRDefault="00BA77AF" w:rsidP="00A53C01">
      <w:pPr>
        <w:spacing w:line="312" w:lineRule="auto"/>
        <w:rPr>
          <w:rFonts w:cs="Times New Roman"/>
          <w:b/>
          <w:szCs w:val="24"/>
        </w:rPr>
      </w:pPr>
    </w:p>
    <w:p w14:paraId="4844EACB" w14:textId="41D023BA" w:rsidR="006334A1" w:rsidRPr="00A53C01" w:rsidRDefault="006334A1" w:rsidP="00A53C01">
      <w:pPr>
        <w:pStyle w:val="SectionHeading"/>
        <w:tabs>
          <w:tab w:val="center" w:pos="4320"/>
        </w:tabs>
        <w:spacing w:line="312" w:lineRule="auto"/>
        <w:rPr>
          <w:rFonts w:cs="Times New Roman"/>
          <w:b/>
          <w:szCs w:val="24"/>
        </w:rPr>
      </w:pPr>
      <w:r w:rsidRPr="00A53C01">
        <w:rPr>
          <w:rFonts w:cs="Times New Roman"/>
          <w:b/>
          <w:szCs w:val="24"/>
        </w:rPr>
        <w:t>Abstract</w:t>
      </w:r>
      <w:r w:rsidR="00167811" w:rsidRPr="00A53C01">
        <w:rPr>
          <w:rFonts w:cs="Times New Roman"/>
          <w:b/>
          <w:szCs w:val="24"/>
        </w:rPr>
        <w:tab/>
      </w:r>
    </w:p>
    <w:p w14:paraId="23D05327" w14:textId="61FF14C3" w:rsidR="00263179" w:rsidRPr="00A53C01" w:rsidRDefault="003408AD" w:rsidP="00A53C01">
      <w:pPr>
        <w:spacing w:line="312" w:lineRule="auto"/>
        <w:rPr>
          <w:rFonts w:cs="Times New Roman"/>
          <w:i/>
          <w:szCs w:val="24"/>
        </w:rPr>
      </w:pPr>
      <w:r w:rsidRPr="00A53C01">
        <w:rPr>
          <w:rFonts w:cs="Times New Roman"/>
          <w:i/>
          <w:szCs w:val="24"/>
        </w:rPr>
        <w:t>During</w:t>
      </w:r>
      <w:r w:rsidR="006334A1" w:rsidRPr="00A53C01">
        <w:rPr>
          <w:rFonts w:cs="Times New Roman"/>
          <w:i/>
          <w:szCs w:val="24"/>
        </w:rPr>
        <w:t xml:space="preserve"> </w:t>
      </w:r>
      <w:r w:rsidRPr="00A53C01">
        <w:rPr>
          <w:rFonts w:cs="Times New Roman"/>
          <w:i/>
          <w:szCs w:val="24"/>
        </w:rPr>
        <w:t>2003-</w:t>
      </w:r>
      <w:r w:rsidR="006334A1" w:rsidRPr="00A53C01">
        <w:rPr>
          <w:rFonts w:cs="Times New Roman"/>
          <w:i/>
          <w:szCs w:val="24"/>
        </w:rPr>
        <w:t>2005, the E</w:t>
      </w:r>
      <w:r w:rsidR="001327A8" w:rsidRPr="00A53C01">
        <w:rPr>
          <w:rFonts w:cs="Times New Roman"/>
          <w:i/>
          <w:szCs w:val="24"/>
        </w:rPr>
        <w:t>U</w:t>
      </w:r>
      <w:r w:rsidR="006334A1" w:rsidRPr="00A53C01">
        <w:rPr>
          <w:rFonts w:cs="Times New Roman"/>
          <w:i/>
          <w:szCs w:val="24"/>
        </w:rPr>
        <w:t xml:space="preserve"> contemplated lifting </w:t>
      </w:r>
      <w:r w:rsidR="00963AA7" w:rsidRPr="00A53C01">
        <w:rPr>
          <w:rFonts w:cs="Times New Roman"/>
          <w:i/>
          <w:szCs w:val="24"/>
        </w:rPr>
        <w:t>its</w:t>
      </w:r>
      <w:r w:rsidR="006334A1" w:rsidRPr="00A53C01">
        <w:rPr>
          <w:rFonts w:cs="Times New Roman"/>
          <w:i/>
          <w:szCs w:val="24"/>
        </w:rPr>
        <w:t xml:space="preserve"> arms embargo</w:t>
      </w:r>
      <w:r w:rsidR="0041523C" w:rsidRPr="00A53C01">
        <w:rPr>
          <w:rFonts w:cs="Times New Roman"/>
          <w:i/>
          <w:szCs w:val="24"/>
        </w:rPr>
        <w:t xml:space="preserve"> </w:t>
      </w:r>
      <w:r w:rsidR="006334A1" w:rsidRPr="00A53C01">
        <w:rPr>
          <w:rFonts w:cs="Times New Roman"/>
          <w:i/>
          <w:szCs w:val="24"/>
        </w:rPr>
        <w:t xml:space="preserve">imposed on China </w:t>
      </w:r>
      <w:r w:rsidR="008C0C1B" w:rsidRPr="00A53C01">
        <w:rPr>
          <w:rFonts w:cs="Times New Roman"/>
          <w:i/>
          <w:szCs w:val="24"/>
        </w:rPr>
        <w:t>following the</w:t>
      </w:r>
      <w:r w:rsidR="006334A1" w:rsidRPr="00A53C01">
        <w:rPr>
          <w:rFonts w:cs="Times New Roman"/>
          <w:i/>
          <w:szCs w:val="24"/>
        </w:rPr>
        <w:t xml:space="preserve"> 1989</w:t>
      </w:r>
      <w:r w:rsidR="008C0C1B" w:rsidRPr="00A53C01">
        <w:rPr>
          <w:rFonts w:cs="Times New Roman"/>
          <w:i/>
          <w:szCs w:val="24"/>
        </w:rPr>
        <w:t xml:space="preserve"> Tiananmen massacre</w:t>
      </w:r>
      <w:r w:rsidR="006334A1" w:rsidRPr="00A53C01">
        <w:rPr>
          <w:rFonts w:cs="Times New Roman"/>
          <w:i/>
          <w:szCs w:val="24"/>
        </w:rPr>
        <w:t>.</w:t>
      </w:r>
      <w:r w:rsidR="00263179" w:rsidRPr="00A53C01">
        <w:rPr>
          <w:rFonts w:cs="Times New Roman"/>
          <w:i/>
          <w:szCs w:val="24"/>
        </w:rPr>
        <w:t xml:space="preserve"> Ultimately, the embargo remained</w:t>
      </w:r>
      <w:r w:rsidR="008C0C1B" w:rsidRPr="00A53C01">
        <w:rPr>
          <w:rFonts w:cs="Times New Roman"/>
          <w:i/>
          <w:szCs w:val="24"/>
        </w:rPr>
        <w:t>;</w:t>
      </w:r>
      <w:r w:rsidR="00263179" w:rsidRPr="00A53C01">
        <w:rPr>
          <w:rFonts w:cs="Times New Roman"/>
          <w:i/>
          <w:szCs w:val="24"/>
        </w:rPr>
        <w:t xml:space="preserve"> </w:t>
      </w:r>
      <w:r w:rsidR="008C0C1B" w:rsidRPr="00A53C01">
        <w:rPr>
          <w:rFonts w:cs="Times New Roman"/>
          <w:i/>
          <w:szCs w:val="24"/>
        </w:rPr>
        <w:t>yet</w:t>
      </w:r>
      <w:r w:rsidR="00263179" w:rsidRPr="00A53C01">
        <w:rPr>
          <w:rFonts w:cs="Times New Roman"/>
          <w:i/>
          <w:szCs w:val="24"/>
        </w:rPr>
        <w:t xml:space="preserve"> the issue </w:t>
      </w:r>
      <w:r w:rsidR="008A3F31" w:rsidRPr="00A53C01">
        <w:rPr>
          <w:rFonts w:cs="Times New Roman"/>
          <w:i/>
          <w:szCs w:val="24"/>
        </w:rPr>
        <w:t>has not been</w:t>
      </w:r>
      <w:r w:rsidRPr="00A53C01">
        <w:rPr>
          <w:rFonts w:cs="Times New Roman"/>
          <w:i/>
          <w:szCs w:val="24"/>
        </w:rPr>
        <w:t xml:space="preserve"> resolved within</w:t>
      </w:r>
      <w:r w:rsidR="00263179" w:rsidRPr="00A53C01">
        <w:rPr>
          <w:rFonts w:cs="Times New Roman"/>
          <w:i/>
          <w:szCs w:val="24"/>
        </w:rPr>
        <w:t xml:space="preserve"> EU-China relations</w:t>
      </w:r>
      <w:r w:rsidR="00E93E37" w:rsidRPr="00A53C01">
        <w:rPr>
          <w:rFonts w:cs="Times New Roman"/>
          <w:i/>
          <w:szCs w:val="24"/>
        </w:rPr>
        <w:t xml:space="preserve">. Absent resolution, the embargo retains the capacity to create strains not only in the latter, but alos in EU-US and US-China relations. </w:t>
      </w:r>
      <w:r w:rsidR="00963AA7" w:rsidRPr="00A53C01">
        <w:rPr>
          <w:rFonts w:cs="Times New Roman"/>
          <w:i/>
          <w:szCs w:val="24"/>
        </w:rPr>
        <w:t>Previous studies of the</w:t>
      </w:r>
      <w:r w:rsidR="00C514F4" w:rsidRPr="00A53C01">
        <w:rPr>
          <w:rFonts w:cs="Times New Roman"/>
          <w:i/>
          <w:szCs w:val="24"/>
        </w:rPr>
        <w:t xml:space="preserve"> embargo</w:t>
      </w:r>
      <w:r w:rsidR="00963AA7" w:rsidRPr="00A53C01">
        <w:rPr>
          <w:rFonts w:cs="Times New Roman"/>
          <w:i/>
          <w:szCs w:val="24"/>
        </w:rPr>
        <w:t xml:space="preserve"> debate</w:t>
      </w:r>
      <w:r w:rsidR="00305B1C" w:rsidRPr="00A53C01">
        <w:rPr>
          <w:rFonts w:cs="Times New Roman"/>
          <w:i/>
          <w:szCs w:val="24"/>
        </w:rPr>
        <w:t xml:space="preserve"> </w:t>
      </w:r>
      <w:r w:rsidR="00963AA7" w:rsidRPr="00A53C01">
        <w:rPr>
          <w:rFonts w:cs="Times New Roman"/>
          <w:i/>
          <w:szCs w:val="24"/>
        </w:rPr>
        <w:t>have</w:t>
      </w:r>
      <w:r w:rsidR="008B49A0" w:rsidRPr="00A53C01">
        <w:rPr>
          <w:rFonts w:cs="Times New Roman"/>
          <w:i/>
          <w:szCs w:val="24"/>
        </w:rPr>
        <w:t xml:space="preserve"> predominantly</w:t>
      </w:r>
      <w:r w:rsidR="00963AA7" w:rsidRPr="00A53C01">
        <w:rPr>
          <w:rFonts w:cs="Times New Roman"/>
          <w:i/>
          <w:szCs w:val="24"/>
        </w:rPr>
        <w:t xml:space="preserve"> been</w:t>
      </w:r>
      <w:r w:rsidR="00C514F4" w:rsidRPr="00A53C01">
        <w:rPr>
          <w:rFonts w:cs="Times New Roman"/>
          <w:i/>
          <w:szCs w:val="24"/>
        </w:rPr>
        <w:t xml:space="preserve"> euro-centric, rendering the US as an external actor impacting on the EU’s internal d</w:t>
      </w:r>
      <w:r w:rsidR="00305B1C" w:rsidRPr="00A53C01">
        <w:rPr>
          <w:rFonts w:cs="Times New Roman"/>
          <w:i/>
          <w:szCs w:val="24"/>
        </w:rPr>
        <w:t xml:space="preserve">ebate. </w:t>
      </w:r>
      <w:r w:rsidR="00963AA7" w:rsidRPr="00A53C01">
        <w:rPr>
          <w:rFonts w:cs="Times New Roman"/>
          <w:i/>
          <w:szCs w:val="24"/>
        </w:rPr>
        <w:t>Such perspectives</w:t>
      </w:r>
      <w:r w:rsidR="00305B1C" w:rsidRPr="00A53C01">
        <w:rPr>
          <w:rFonts w:cs="Times New Roman"/>
          <w:i/>
          <w:szCs w:val="24"/>
        </w:rPr>
        <w:t xml:space="preserve"> overlook</w:t>
      </w:r>
      <w:r w:rsidR="00C514F4" w:rsidRPr="00A53C01">
        <w:rPr>
          <w:rFonts w:cs="Times New Roman"/>
          <w:i/>
          <w:szCs w:val="24"/>
        </w:rPr>
        <w:t xml:space="preserve"> the</w:t>
      </w:r>
      <w:r w:rsidR="008C0C1B" w:rsidRPr="00A53C01">
        <w:rPr>
          <w:rFonts w:cs="Times New Roman"/>
          <w:i/>
          <w:szCs w:val="24"/>
        </w:rPr>
        <w:t xml:space="preserve"> vociferous </w:t>
      </w:r>
      <w:r w:rsidRPr="00A53C01">
        <w:rPr>
          <w:rFonts w:cs="Times New Roman"/>
          <w:i/>
          <w:szCs w:val="24"/>
        </w:rPr>
        <w:t>contestation</w:t>
      </w:r>
      <w:r w:rsidR="008C0C1B" w:rsidRPr="00A53C01">
        <w:rPr>
          <w:rFonts w:cs="Times New Roman"/>
          <w:i/>
          <w:szCs w:val="24"/>
        </w:rPr>
        <w:t xml:space="preserve"> that threatened to drive a wedge in the transatlantic alliance.</w:t>
      </w:r>
      <w:r w:rsidRPr="00A53C01">
        <w:rPr>
          <w:rFonts w:cs="Times New Roman"/>
          <w:i/>
          <w:szCs w:val="24"/>
        </w:rPr>
        <w:t xml:space="preserve"> This raises an important question: why was the EU not persuaded by the US’s arguments against lifting the embargo from the outset? Delving into the transatlantic debate, we can construct an understanding of </w:t>
      </w:r>
      <w:r w:rsidR="00232426" w:rsidRPr="00A53C01">
        <w:rPr>
          <w:rFonts w:cs="Times New Roman"/>
          <w:i/>
          <w:szCs w:val="24"/>
        </w:rPr>
        <w:t>the strategic importance of the</w:t>
      </w:r>
      <w:r w:rsidR="00C706E8" w:rsidRPr="00A53C01">
        <w:rPr>
          <w:rFonts w:cs="Times New Roman"/>
          <w:i/>
          <w:szCs w:val="24"/>
        </w:rPr>
        <w:t xml:space="preserve"> issue within the context of the</w:t>
      </w:r>
      <w:r w:rsidR="00232426" w:rsidRPr="00A53C01">
        <w:rPr>
          <w:rFonts w:cs="Times New Roman"/>
          <w:i/>
          <w:szCs w:val="24"/>
        </w:rPr>
        <w:t xml:space="preserve"> US-EU-China triangle in the pos</w:t>
      </w:r>
      <w:r w:rsidR="008B49A0" w:rsidRPr="00A53C01">
        <w:rPr>
          <w:rFonts w:cs="Times New Roman"/>
          <w:i/>
          <w:szCs w:val="24"/>
        </w:rPr>
        <w:t>t-Cold War international arena</w:t>
      </w:r>
      <w:r w:rsidR="00232426" w:rsidRPr="00A53C01">
        <w:rPr>
          <w:rFonts w:cs="Times New Roman"/>
          <w:i/>
          <w:szCs w:val="24"/>
        </w:rPr>
        <w:t xml:space="preserve">. </w:t>
      </w:r>
      <w:r w:rsidR="008B49A0" w:rsidRPr="00A53C01">
        <w:rPr>
          <w:rFonts w:cs="Times New Roman"/>
          <w:i/>
          <w:szCs w:val="24"/>
        </w:rPr>
        <w:t>By employing</w:t>
      </w:r>
      <w:r w:rsidR="00860EF0" w:rsidRPr="00A53C01">
        <w:rPr>
          <w:rFonts w:cs="Times New Roman"/>
          <w:i/>
          <w:szCs w:val="24"/>
        </w:rPr>
        <w:t xml:space="preserve"> S</w:t>
      </w:r>
      <w:r w:rsidR="00C514F4" w:rsidRPr="00A53C01">
        <w:rPr>
          <w:rFonts w:cs="Times New Roman"/>
          <w:i/>
          <w:szCs w:val="24"/>
        </w:rPr>
        <w:t xml:space="preserve">ecuritization </w:t>
      </w:r>
      <w:r w:rsidR="00860EF0" w:rsidRPr="00A53C01">
        <w:rPr>
          <w:rFonts w:cs="Times New Roman"/>
          <w:i/>
          <w:szCs w:val="24"/>
        </w:rPr>
        <w:t>T</w:t>
      </w:r>
      <w:r w:rsidR="00C514F4" w:rsidRPr="00A53C01">
        <w:rPr>
          <w:rFonts w:cs="Times New Roman"/>
          <w:i/>
          <w:szCs w:val="24"/>
        </w:rPr>
        <w:t>heory,</w:t>
      </w:r>
      <w:r w:rsidRPr="00A53C01">
        <w:rPr>
          <w:rFonts w:cs="Times New Roman"/>
          <w:i/>
          <w:szCs w:val="24"/>
        </w:rPr>
        <w:t xml:space="preserve"> </w:t>
      </w:r>
      <w:r w:rsidR="008B49A0" w:rsidRPr="00A53C01">
        <w:rPr>
          <w:rFonts w:cs="Times New Roman"/>
          <w:i/>
          <w:szCs w:val="24"/>
        </w:rPr>
        <w:t>I argue</w:t>
      </w:r>
      <w:r w:rsidRPr="00A53C01">
        <w:rPr>
          <w:rFonts w:cs="Times New Roman"/>
          <w:i/>
          <w:szCs w:val="24"/>
        </w:rPr>
        <w:t xml:space="preserve"> that the</w:t>
      </w:r>
      <w:r w:rsidR="00C514F4" w:rsidRPr="00A53C01">
        <w:rPr>
          <w:rFonts w:cs="Times New Roman"/>
          <w:i/>
          <w:szCs w:val="24"/>
        </w:rPr>
        <w:t xml:space="preserve"> embargo</w:t>
      </w:r>
      <w:r w:rsidR="00B71DC1" w:rsidRPr="00A53C01">
        <w:rPr>
          <w:rFonts w:cs="Times New Roman"/>
          <w:i/>
          <w:szCs w:val="24"/>
        </w:rPr>
        <w:t>’s status</w:t>
      </w:r>
      <w:r w:rsidR="00C514F4" w:rsidRPr="00A53C01">
        <w:rPr>
          <w:rFonts w:cs="Times New Roman"/>
          <w:i/>
          <w:szCs w:val="24"/>
        </w:rPr>
        <w:t xml:space="preserve"> became securitized by US policymakers; </w:t>
      </w:r>
      <w:r w:rsidR="00232426" w:rsidRPr="00A53C01">
        <w:rPr>
          <w:rFonts w:cs="Times New Roman"/>
          <w:i/>
          <w:szCs w:val="24"/>
        </w:rPr>
        <w:t>a process that was not replicated</w:t>
      </w:r>
      <w:r w:rsidR="00C514F4" w:rsidRPr="00A53C01">
        <w:rPr>
          <w:rFonts w:cs="Times New Roman"/>
          <w:i/>
          <w:szCs w:val="24"/>
        </w:rPr>
        <w:t xml:space="preserve"> </w:t>
      </w:r>
      <w:r w:rsidR="008B49A0" w:rsidRPr="00A53C01">
        <w:rPr>
          <w:rFonts w:cs="Times New Roman"/>
          <w:i/>
          <w:szCs w:val="24"/>
        </w:rPr>
        <w:t>within</w:t>
      </w:r>
      <w:r w:rsidR="00C514F4" w:rsidRPr="00A53C01">
        <w:rPr>
          <w:rFonts w:cs="Times New Roman"/>
          <w:i/>
          <w:szCs w:val="24"/>
        </w:rPr>
        <w:t xml:space="preserve"> the EU. </w:t>
      </w:r>
      <w:r w:rsidR="004A0E30" w:rsidRPr="00A53C01">
        <w:rPr>
          <w:rFonts w:cs="Times New Roman"/>
          <w:i/>
          <w:szCs w:val="24"/>
        </w:rPr>
        <w:t>Consequently,</w:t>
      </w:r>
      <w:r w:rsidR="00305B1C" w:rsidRPr="00A53C01">
        <w:rPr>
          <w:rFonts w:cs="Times New Roman"/>
          <w:i/>
          <w:szCs w:val="24"/>
        </w:rPr>
        <w:t xml:space="preserve"> the two sides ended up </w:t>
      </w:r>
      <w:r w:rsidR="008A3F31" w:rsidRPr="00A53C01">
        <w:rPr>
          <w:rFonts w:cs="Times New Roman"/>
          <w:i/>
          <w:szCs w:val="24"/>
        </w:rPr>
        <w:t>engaged in a dialogue of the deaf.</w:t>
      </w:r>
      <w:r w:rsidR="007A3306" w:rsidRPr="00A53C01">
        <w:rPr>
          <w:rFonts w:cs="Times New Roman"/>
          <w:i/>
          <w:szCs w:val="24"/>
        </w:rPr>
        <w:t xml:space="preserve"> </w:t>
      </w:r>
    </w:p>
    <w:p w14:paraId="5D17CC7B" w14:textId="77777777" w:rsidR="0080220B" w:rsidRPr="00A53C01" w:rsidRDefault="0080220B" w:rsidP="00A53C01">
      <w:pPr>
        <w:spacing w:line="312" w:lineRule="auto"/>
        <w:rPr>
          <w:rFonts w:cs="Times New Roman"/>
          <w:i/>
          <w:szCs w:val="24"/>
        </w:rPr>
      </w:pPr>
    </w:p>
    <w:p w14:paraId="2FC57A78" w14:textId="67459144" w:rsidR="00232426" w:rsidRPr="00A53C01" w:rsidRDefault="00DB4227" w:rsidP="00DB4227">
      <w:pPr>
        <w:pStyle w:val="SectionHeading"/>
        <w:spacing w:line="312" w:lineRule="auto"/>
        <w:rPr>
          <w:rFonts w:cs="Times New Roman"/>
          <w:b/>
          <w:szCs w:val="24"/>
        </w:rPr>
      </w:pPr>
      <w:r w:rsidRPr="00DB4227">
        <w:rPr>
          <w:rFonts w:cs="Times New Roman"/>
          <w:b/>
          <w:bCs w:val="0"/>
          <w:szCs w:val="24"/>
        </w:rPr>
        <w:t>1.</w:t>
      </w:r>
      <w:r>
        <w:rPr>
          <w:rFonts w:cs="Times New Roman"/>
          <w:b/>
          <w:szCs w:val="24"/>
        </w:rPr>
        <w:t xml:space="preserve"> </w:t>
      </w:r>
      <w:r w:rsidR="00232426" w:rsidRPr="00A53C01">
        <w:rPr>
          <w:rFonts w:cs="Times New Roman"/>
          <w:b/>
          <w:szCs w:val="24"/>
        </w:rPr>
        <w:t xml:space="preserve">Introduction </w:t>
      </w:r>
    </w:p>
    <w:p w14:paraId="52EB9182" w14:textId="111C68E1" w:rsidR="00DE0571" w:rsidRDefault="00DE0571" w:rsidP="00A53C01">
      <w:pPr>
        <w:spacing w:line="312" w:lineRule="auto"/>
        <w:rPr>
          <w:rFonts w:cs="Times New Roman"/>
          <w:szCs w:val="24"/>
        </w:rPr>
      </w:pPr>
      <w:r w:rsidRPr="00A53C01">
        <w:rPr>
          <w:rFonts w:cs="Times New Roman"/>
          <w:szCs w:val="24"/>
        </w:rPr>
        <w:t>The status of the E</w:t>
      </w:r>
      <w:r w:rsidR="008D5B15" w:rsidRPr="00A53C01">
        <w:rPr>
          <w:rFonts w:cs="Times New Roman"/>
          <w:szCs w:val="24"/>
        </w:rPr>
        <w:t xml:space="preserve">uropean </w:t>
      </w:r>
      <w:r w:rsidRPr="00A53C01">
        <w:rPr>
          <w:rFonts w:cs="Times New Roman"/>
          <w:szCs w:val="24"/>
        </w:rPr>
        <w:t>U</w:t>
      </w:r>
      <w:r w:rsidR="008D5B15" w:rsidRPr="00A53C01">
        <w:rPr>
          <w:rFonts w:cs="Times New Roman"/>
          <w:szCs w:val="24"/>
        </w:rPr>
        <w:t>nion</w:t>
      </w:r>
      <w:r w:rsidRPr="00A53C01">
        <w:rPr>
          <w:rFonts w:cs="Times New Roman"/>
          <w:szCs w:val="24"/>
        </w:rPr>
        <w:t>’s arms embargo against</w:t>
      </w:r>
      <w:r w:rsidR="005208BB" w:rsidRPr="00A53C01">
        <w:rPr>
          <w:rFonts w:cs="Times New Roman"/>
          <w:szCs w:val="24"/>
        </w:rPr>
        <w:t xml:space="preserve"> the People’s Republic of</w:t>
      </w:r>
      <w:r w:rsidRPr="00A53C01">
        <w:rPr>
          <w:rFonts w:cs="Times New Roman"/>
          <w:szCs w:val="24"/>
        </w:rPr>
        <w:t xml:space="preserve"> China remains unresolved. This creates problem</w:t>
      </w:r>
      <w:r w:rsidR="00CB179D" w:rsidRPr="00A53C01">
        <w:rPr>
          <w:rFonts w:cs="Times New Roman"/>
          <w:szCs w:val="24"/>
        </w:rPr>
        <w:t>s</w:t>
      </w:r>
      <w:r w:rsidRPr="00A53C01">
        <w:rPr>
          <w:rFonts w:cs="Times New Roman"/>
          <w:szCs w:val="24"/>
        </w:rPr>
        <w:t xml:space="preserve"> for the management of </w:t>
      </w:r>
      <w:r w:rsidR="00CB179D" w:rsidRPr="00A53C01">
        <w:rPr>
          <w:rFonts w:cs="Times New Roman"/>
          <w:szCs w:val="24"/>
        </w:rPr>
        <w:t>the</w:t>
      </w:r>
      <w:r w:rsidR="004A0E30" w:rsidRPr="00A53C01">
        <w:rPr>
          <w:rFonts w:cs="Times New Roman"/>
          <w:szCs w:val="24"/>
        </w:rPr>
        <w:t>ir</w:t>
      </w:r>
      <w:r w:rsidR="00CB179D" w:rsidRPr="00A53C01">
        <w:rPr>
          <w:rFonts w:cs="Times New Roman"/>
          <w:szCs w:val="24"/>
        </w:rPr>
        <w:t xml:space="preserve"> </w:t>
      </w:r>
      <w:r w:rsidRPr="00A53C01">
        <w:rPr>
          <w:rFonts w:cs="Times New Roman"/>
          <w:szCs w:val="24"/>
        </w:rPr>
        <w:t>strategic</w:t>
      </w:r>
      <w:r w:rsidR="004A0E30" w:rsidRPr="00A53C01">
        <w:rPr>
          <w:rFonts w:cs="Times New Roman"/>
          <w:szCs w:val="24"/>
        </w:rPr>
        <w:t xml:space="preserve"> relationship</w:t>
      </w:r>
      <w:r w:rsidR="00CB179D" w:rsidRPr="00A53C01">
        <w:rPr>
          <w:rFonts w:cs="Times New Roman"/>
          <w:szCs w:val="24"/>
        </w:rPr>
        <w:t xml:space="preserve">, </w:t>
      </w:r>
      <w:r w:rsidR="004A0E30" w:rsidRPr="00A53C01">
        <w:rPr>
          <w:rFonts w:cs="Times New Roman"/>
          <w:szCs w:val="24"/>
        </w:rPr>
        <w:t>as China</w:t>
      </w:r>
      <w:r w:rsidR="00CB179D" w:rsidRPr="00A53C01">
        <w:rPr>
          <w:rFonts w:cs="Times New Roman"/>
          <w:szCs w:val="24"/>
        </w:rPr>
        <w:t xml:space="preserve"> insists that its removal is a precondition for closer political ties. The embargo has already caused one significant and very public dispute with the US </w:t>
      </w:r>
      <w:r w:rsidRPr="00A53C01">
        <w:rPr>
          <w:rFonts w:cs="Times New Roman"/>
          <w:szCs w:val="24"/>
        </w:rPr>
        <w:t xml:space="preserve">- the EU’s most important strategic partner </w:t>
      </w:r>
      <w:r w:rsidR="00CB179D" w:rsidRPr="00A53C01">
        <w:rPr>
          <w:rFonts w:cs="Times New Roman"/>
          <w:szCs w:val="24"/>
        </w:rPr>
        <w:t>–</w:t>
      </w:r>
      <w:r w:rsidRPr="00A53C01">
        <w:rPr>
          <w:rFonts w:cs="Times New Roman"/>
          <w:szCs w:val="24"/>
        </w:rPr>
        <w:t xml:space="preserve"> </w:t>
      </w:r>
      <w:r w:rsidR="00CB179D" w:rsidRPr="00A53C01">
        <w:rPr>
          <w:rFonts w:cs="Times New Roman"/>
          <w:szCs w:val="24"/>
        </w:rPr>
        <w:t xml:space="preserve">and could yet cause another </w:t>
      </w:r>
      <w:r w:rsidRPr="00A53C01">
        <w:rPr>
          <w:rFonts w:cs="Times New Roman"/>
          <w:szCs w:val="24"/>
        </w:rPr>
        <w:t>that would further debilitate the transatlantic relationship.</w:t>
      </w:r>
      <w:r w:rsidR="005811DB" w:rsidRPr="00A53C01">
        <w:rPr>
          <w:rFonts w:cs="Times New Roman"/>
          <w:szCs w:val="24"/>
        </w:rPr>
        <w:t xml:space="preserve"> The EU</w:t>
      </w:r>
      <w:r w:rsidR="0035152F">
        <w:rPr>
          <w:rFonts w:cs="Times New Roman"/>
          <w:szCs w:val="24"/>
        </w:rPr>
        <w:t xml:space="preserve"> – as a collective foreign policy actor –</w:t>
      </w:r>
      <w:r w:rsidR="005811DB" w:rsidRPr="00A53C01">
        <w:rPr>
          <w:rFonts w:cs="Times New Roman"/>
          <w:szCs w:val="24"/>
        </w:rPr>
        <w:t xml:space="preserve"> has yet to find a solution that would pr</w:t>
      </w:r>
      <w:r w:rsidR="004A0E30" w:rsidRPr="00A53C01">
        <w:rPr>
          <w:rFonts w:cs="Times New Roman"/>
          <w:szCs w:val="24"/>
        </w:rPr>
        <w:t xml:space="preserve">oduce a positive outcome in one </w:t>
      </w:r>
      <w:r w:rsidR="005811DB" w:rsidRPr="00A53C01">
        <w:rPr>
          <w:rFonts w:cs="Times New Roman"/>
          <w:szCs w:val="24"/>
        </w:rPr>
        <w:t>significant extern</w:t>
      </w:r>
      <w:r w:rsidR="004A0E30" w:rsidRPr="00A53C01">
        <w:rPr>
          <w:rFonts w:cs="Times New Roman"/>
          <w:szCs w:val="24"/>
        </w:rPr>
        <w:t>al relationship</w:t>
      </w:r>
      <w:r w:rsidR="005811DB" w:rsidRPr="00A53C01">
        <w:rPr>
          <w:rFonts w:cs="Times New Roman"/>
          <w:szCs w:val="24"/>
        </w:rPr>
        <w:t xml:space="preserve"> without simultaneously producing a negative outcome in </w:t>
      </w:r>
      <w:r w:rsidR="004A0E30" w:rsidRPr="00A53C01">
        <w:rPr>
          <w:rFonts w:cs="Times New Roman"/>
          <w:szCs w:val="24"/>
        </w:rPr>
        <w:t>another</w:t>
      </w:r>
      <w:r w:rsidR="005811DB" w:rsidRPr="00A53C01">
        <w:rPr>
          <w:rFonts w:cs="Times New Roman"/>
          <w:szCs w:val="24"/>
        </w:rPr>
        <w:t>. The status quo is</w:t>
      </w:r>
      <w:r w:rsidR="00D71A35" w:rsidRPr="00A53C01">
        <w:rPr>
          <w:rFonts w:cs="Times New Roman"/>
          <w:szCs w:val="24"/>
        </w:rPr>
        <w:t xml:space="preserve"> seemingly</w:t>
      </w:r>
      <w:r w:rsidR="000E3A86" w:rsidRPr="00A53C01">
        <w:rPr>
          <w:rFonts w:cs="Times New Roman"/>
          <w:szCs w:val="24"/>
        </w:rPr>
        <w:t xml:space="preserve"> untenable, </w:t>
      </w:r>
      <w:r w:rsidR="00D71A35" w:rsidRPr="00A53C01">
        <w:rPr>
          <w:rFonts w:cs="Times New Roman"/>
          <w:szCs w:val="24"/>
        </w:rPr>
        <w:t>with</w:t>
      </w:r>
      <w:r w:rsidR="005811DB" w:rsidRPr="00A53C01">
        <w:rPr>
          <w:rFonts w:cs="Times New Roman"/>
          <w:szCs w:val="24"/>
        </w:rPr>
        <w:t xml:space="preserve"> China repeatedly reiterat</w:t>
      </w:r>
      <w:r w:rsidR="00D71A35" w:rsidRPr="00A53C01">
        <w:rPr>
          <w:rFonts w:cs="Times New Roman"/>
          <w:szCs w:val="24"/>
        </w:rPr>
        <w:t>ing</w:t>
      </w:r>
      <w:r w:rsidR="005811DB" w:rsidRPr="00A53C01">
        <w:rPr>
          <w:rFonts w:cs="Times New Roman"/>
          <w:szCs w:val="24"/>
        </w:rPr>
        <w:t xml:space="preserve"> demand</w:t>
      </w:r>
      <w:r w:rsidR="00D71A35" w:rsidRPr="00A53C01">
        <w:rPr>
          <w:rFonts w:cs="Times New Roman"/>
          <w:szCs w:val="24"/>
        </w:rPr>
        <w:t>s</w:t>
      </w:r>
      <w:r w:rsidR="005811DB" w:rsidRPr="00A53C01">
        <w:rPr>
          <w:rFonts w:cs="Times New Roman"/>
          <w:szCs w:val="24"/>
        </w:rPr>
        <w:t xml:space="preserve"> for the embargo’s end</w:t>
      </w:r>
      <w:r w:rsidR="000E3A86" w:rsidRPr="00A53C01">
        <w:rPr>
          <w:rFonts w:cs="Times New Roman"/>
          <w:szCs w:val="24"/>
        </w:rPr>
        <w:t>;</w:t>
      </w:r>
      <w:r w:rsidR="005811DB" w:rsidRPr="00A53C01">
        <w:rPr>
          <w:rFonts w:cs="Times New Roman"/>
          <w:szCs w:val="24"/>
        </w:rPr>
        <w:t xml:space="preserve"> </w:t>
      </w:r>
      <w:r w:rsidR="00D71A35" w:rsidRPr="00A53C01">
        <w:rPr>
          <w:rFonts w:cs="Times New Roman"/>
          <w:szCs w:val="24"/>
        </w:rPr>
        <w:t xml:space="preserve">previous success in </w:t>
      </w:r>
      <w:r w:rsidR="005811DB" w:rsidRPr="00A53C01">
        <w:rPr>
          <w:rFonts w:cs="Times New Roman"/>
          <w:szCs w:val="24"/>
        </w:rPr>
        <w:t>playing EU Member States against each other</w:t>
      </w:r>
      <w:r w:rsidR="00D71A35" w:rsidRPr="00A53C01">
        <w:rPr>
          <w:rFonts w:cs="Times New Roman"/>
          <w:szCs w:val="24"/>
        </w:rPr>
        <w:t xml:space="preserve"> in other issue-areas</w:t>
      </w:r>
      <w:r w:rsidR="005811DB" w:rsidRPr="00A53C01">
        <w:rPr>
          <w:rFonts w:cs="Times New Roman"/>
          <w:szCs w:val="24"/>
        </w:rPr>
        <w:t xml:space="preserve"> </w:t>
      </w:r>
      <w:r w:rsidR="000E3A86" w:rsidRPr="00A53C01">
        <w:rPr>
          <w:rFonts w:cs="Times New Roman"/>
          <w:szCs w:val="24"/>
        </w:rPr>
        <w:t>entails that the embargo</w:t>
      </w:r>
      <w:r w:rsidR="005811DB" w:rsidRPr="00A53C01">
        <w:rPr>
          <w:rFonts w:cs="Times New Roman"/>
          <w:szCs w:val="24"/>
        </w:rPr>
        <w:t xml:space="preserve"> remains ripe for exploitation. </w:t>
      </w:r>
      <w:r w:rsidRPr="00A53C01">
        <w:rPr>
          <w:rFonts w:cs="Times New Roman"/>
          <w:szCs w:val="24"/>
        </w:rPr>
        <w:t>That</w:t>
      </w:r>
      <w:r w:rsidR="004A0E30" w:rsidRPr="00A53C01">
        <w:rPr>
          <w:rFonts w:cs="Times New Roman"/>
          <w:szCs w:val="24"/>
        </w:rPr>
        <w:t xml:space="preserve"> US and EU</w:t>
      </w:r>
      <w:r w:rsidRPr="00A53C01">
        <w:rPr>
          <w:rFonts w:cs="Times New Roman"/>
          <w:szCs w:val="24"/>
        </w:rPr>
        <w:t xml:space="preserve"> </w:t>
      </w:r>
      <w:r w:rsidRPr="00A53C01">
        <w:rPr>
          <w:rFonts w:cs="Times New Roman"/>
          <w:szCs w:val="24"/>
        </w:rPr>
        <w:lastRenderedPageBreak/>
        <w:t>policymakers have been content to sweep th</w:t>
      </w:r>
      <w:r w:rsidR="000E3A86" w:rsidRPr="00A53C01">
        <w:rPr>
          <w:rFonts w:cs="Times New Roman"/>
          <w:szCs w:val="24"/>
        </w:rPr>
        <w:t>e</w:t>
      </w:r>
      <w:r w:rsidRPr="00A53C01">
        <w:rPr>
          <w:rFonts w:cs="Times New Roman"/>
          <w:szCs w:val="24"/>
        </w:rPr>
        <w:t xml:space="preserve"> issue under the carpet for </w:t>
      </w:r>
      <w:r w:rsidR="004A0E30" w:rsidRPr="00A53C01">
        <w:rPr>
          <w:rFonts w:cs="Times New Roman"/>
          <w:szCs w:val="24"/>
        </w:rPr>
        <w:t>over a</w:t>
      </w:r>
      <w:r w:rsidR="00CB179D" w:rsidRPr="00A53C01">
        <w:rPr>
          <w:rFonts w:cs="Times New Roman"/>
          <w:szCs w:val="24"/>
        </w:rPr>
        <w:t xml:space="preserve"> decade</w:t>
      </w:r>
      <w:r w:rsidRPr="00A53C01">
        <w:rPr>
          <w:rFonts w:cs="Times New Roman"/>
          <w:szCs w:val="24"/>
        </w:rPr>
        <w:t xml:space="preserve"> has not closed the gap </w:t>
      </w:r>
      <w:r w:rsidR="000E3A86" w:rsidRPr="00A53C01">
        <w:rPr>
          <w:rFonts w:cs="Times New Roman"/>
          <w:szCs w:val="24"/>
        </w:rPr>
        <w:t>between</w:t>
      </w:r>
      <w:r w:rsidRPr="00A53C01">
        <w:rPr>
          <w:rFonts w:cs="Times New Roman"/>
          <w:szCs w:val="24"/>
        </w:rPr>
        <w:t xml:space="preserve"> their p</w:t>
      </w:r>
      <w:r w:rsidR="00E93E37" w:rsidRPr="00A53C01">
        <w:rPr>
          <w:rFonts w:cs="Times New Roman"/>
          <w:szCs w:val="24"/>
        </w:rPr>
        <w:t>ositions</w:t>
      </w:r>
      <w:r w:rsidRPr="00A53C01">
        <w:rPr>
          <w:rFonts w:cs="Times New Roman"/>
          <w:szCs w:val="24"/>
        </w:rPr>
        <w:t>. Further, the academic literature has largely failed to present compelling explanations for why the transatlantic partners’ preferences</w:t>
      </w:r>
      <w:r w:rsidR="00CB179D" w:rsidRPr="00A53C01">
        <w:rPr>
          <w:rFonts w:cs="Times New Roman"/>
          <w:szCs w:val="24"/>
        </w:rPr>
        <w:t xml:space="preserve"> regarding the embargo</w:t>
      </w:r>
      <w:r w:rsidRPr="00A53C01">
        <w:rPr>
          <w:rFonts w:cs="Times New Roman"/>
          <w:szCs w:val="24"/>
        </w:rPr>
        <w:t xml:space="preserve"> diverged </w:t>
      </w:r>
      <w:r w:rsidR="00EC65B5" w:rsidRPr="00A53C01">
        <w:rPr>
          <w:rFonts w:cs="Times New Roman"/>
          <w:szCs w:val="24"/>
        </w:rPr>
        <w:t>in the first place or why they</w:t>
      </w:r>
      <w:r w:rsidRPr="00A53C01">
        <w:rPr>
          <w:rFonts w:cs="Times New Roman"/>
          <w:szCs w:val="24"/>
        </w:rPr>
        <w:t xml:space="preserve"> failed to</w:t>
      </w:r>
      <w:r w:rsidR="000E3A86" w:rsidRPr="00A53C01">
        <w:rPr>
          <w:rFonts w:cs="Times New Roman"/>
          <w:szCs w:val="24"/>
        </w:rPr>
        <w:t xml:space="preserve"> effectively</w:t>
      </w:r>
      <w:r w:rsidRPr="00A53C01">
        <w:rPr>
          <w:rFonts w:cs="Times New Roman"/>
          <w:szCs w:val="24"/>
        </w:rPr>
        <w:t xml:space="preserve"> communicate their </w:t>
      </w:r>
      <w:r w:rsidR="00EC65B5" w:rsidRPr="00A53C01">
        <w:rPr>
          <w:rFonts w:cs="Times New Roman"/>
          <w:szCs w:val="24"/>
        </w:rPr>
        <w:t xml:space="preserve">respective </w:t>
      </w:r>
      <w:r w:rsidRPr="00A53C01">
        <w:rPr>
          <w:rFonts w:cs="Times New Roman"/>
          <w:szCs w:val="24"/>
        </w:rPr>
        <w:t xml:space="preserve">positions during the ensuing </w:t>
      </w:r>
      <w:r w:rsidR="00EC65B5" w:rsidRPr="00A53C01">
        <w:rPr>
          <w:rFonts w:cs="Times New Roman"/>
          <w:szCs w:val="24"/>
        </w:rPr>
        <w:t>fifteen-month</w:t>
      </w:r>
      <w:r w:rsidRPr="00A53C01">
        <w:rPr>
          <w:rFonts w:cs="Times New Roman"/>
          <w:szCs w:val="24"/>
        </w:rPr>
        <w:t xml:space="preserve"> debate. This paper offer</w:t>
      </w:r>
      <w:r w:rsidR="00EC65B5" w:rsidRPr="00A53C01">
        <w:rPr>
          <w:rFonts w:cs="Times New Roman"/>
          <w:szCs w:val="24"/>
        </w:rPr>
        <w:t>s</w:t>
      </w:r>
      <w:r w:rsidRPr="00A53C01">
        <w:rPr>
          <w:rFonts w:cs="Times New Roman"/>
          <w:szCs w:val="24"/>
        </w:rPr>
        <w:t xml:space="preserve"> new insights that </w:t>
      </w:r>
      <w:r w:rsidR="00BD65D3" w:rsidRPr="00A53C01">
        <w:rPr>
          <w:rFonts w:cs="Times New Roman"/>
          <w:szCs w:val="24"/>
        </w:rPr>
        <w:t>address these remaining puzzles and</w:t>
      </w:r>
      <w:r w:rsidR="00EC65B5" w:rsidRPr="00A53C01">
        <w:rPr>
          <w:rFonts w:cs="Times New Roman"/>
          <w:szCs w:val="24"/>
        </w:rPr>
        <w:t xml:space="preserve"> could</w:t>
      </w:r>
      <w:r w:rsidRPr="00A53C01">
        <w:rPr>
          <w:rFonts w:cs="Times New Roman"/>
          <w:szCs w:val="24"/>
        </w:rPr>
        <w:t xml:space="preserve"> potentially enlighten future academic and policy debates over the embargo issue and</w:t>
      </w:r>
      <w:r w:rsidR="00EC65B5" w:rsidRPr="00A53C01">
        <w:rPr>
          <w:rFonts w:cs="Times New Roman"/>
          <w:szCs w:val="24"/>
        </w:rPr>
        <w:t xml:space="preserve"> the</w:t>
      </w:r>
      <w:r w:rsidRPr="00A53C01">
        <w:rPr>
          <w:rFonts w:cs="Times New Roman"/>
          <w:szCs w:val="24"/>
        </w:rPr>
        <w:t xml:space="preserve"> divergent transatlantic responses to the rise of China more broadly. </w:t>
      </w:r>
    </w:p>
    <w:p w14:paraId="091D3B30" w14:textId="77777777" w:rsidR="006D37A3" w:rsidRDefault="006D37A3" w:rsidP="00A53C01">
      <w:pPr>
        <w:spacing w:line="312" w:lineRule="auto"/>
        <w:rPr>
          <w:rFonts w:cs="Times New Roman"/>
          <w:szCs w:val="24"/>
        </w:rPr>
      </w:pPr>
    </w:p>
    <w:p w14:paraId="4D40FD01" w14:textId="611C7B27" w:rsidR="006D37A3" w:rsidRPr="006D37A3" w:rsidRDefault="006D37A3" w:rsidP="006D37A3">
      <w:pPr>
        <w:spacing w:line="312" w:lineRule="auto"/>
        <w:rPr>
          <w:rFonts w:cs="Times New Roman"/>
          <w:szCs w:val="24"/>
        </w:rPr>
      </w:pPr>
      <w:r w:rsidRPr="006D37A3">
        <w:rPr>
          <w:rFonts w:cs="Times New Roman"/>
          <w:szCs w:val="24"/>
        </w:rPr>
        <w:t>Harnessing the analytical leverage of Securitization Theory, I argue that the embargo became securitized within the US’s domestic security space, but no parallel process not transpired within the EU. When the US attempted to articulate the security threat posed to its allies and itself by the removal of the EU’s embargo, it was unsuccessful in securitizing the latter. In the absence of a shared security narrative, US policymakers’ arguments conveyed to European counterparts were ineffective, as the latter still regarded the embargo as a ‘normal’ political issue, rather than tied to exceptional security concerns. The EU</w:t>
      </w:r>
      <w:r w:rsidR="0035152F">
        <w:rPr>
          <w:rFonts w:cs="Times New Roman"/>
          <w:szCs w:val="24"/>
        </w:rPr>
        <w:t xml:space="preserve"> Member States</w:t>
      </w:r>
      <w:r w:rsidRPr="006D37A3">
        <w:rPr>
          <w:rFonts w:cs="Times New Roman"/>
          <w:szCs w:val="24"/>
        </w:rPr>
        <w:t xml:space="preserve"> abandoned </w:t>
      </w:r>
      <w:r w:rsidR="0035152F">
        <w:rPr>
          <w:rFonts w:cs="Times New Roman"/>
          <w:szCs w:val="24"/>
        </w:rPr>
        <w:t>their</w:t>
      </w:r>
      <w:r w:rsidRPr="006D37A3">
        <w:rPr>
          <w:rFonts w:cs="Times New Roman"/>
          <w:szCs w:val="24"/>
        </w:rPr>
        <w:t xml:space="preserve"> plans not because of the success of US securitization moves, but due to China’s adoption of the Anti-Secession Law altering European assessments of the appropriateness of the </w:t>
      </w:r>
      <w:r w:rsidRPr="006D37A3">
        <w:rPr>
          <w:rFonts w:cs="Times New Roman"/>
          <w:i/>
          <w:szCs w:val="24"/>
        </w:rPr>
        <w:t>timing</w:t>
      </w:r>
      <w:r w:rsidRPr="006D37A3">
        <w:rPr>
          <w:rFonts w:cs="Times New Roman"/>
          <w:szCs w:val="24"/>
        </w:rPr>
        <w:t xml:space="preserve"> of policy change. US threats of punitive measures were a last-ditch effort, but did not sway EU</w:t>
      </w:r>
      <w:r w:rsidR="0035152F">
        <w:rPr>
          <w:rFonts w:cs="Times New Roman"/>
          <w:szCs w:val="24"/>
        </w:rPr>
        <w:t xml:space="preserve"> Member States</w:t>
      </w:r>
      <w:r w:rsidRPr="006D37A3">
        <w:rPr>
          <w:rFonts w:cs="Times New Roman"/>
          <w:szCs w:val="24"/>
        </w:rPr>
        <w:t xml:space="preserve">. The EU’s 2010 and 2011 flirtations with the idea of revisiting the embargo’s status serve as a reminder that the issue still resides within the political, rather than security, domain. Contributing to ongoing theoretical debates, I propose that we can conceptualise a </w:t>
      </w:r>
      <w:r w:rsidRPr="006D37A3">
        <w:rPr>
          <w:rFonts w:cs="Times New Roman"/>
          <w:i/>
          <w:szCs w:val="24"/>
        </w:rPr>
        <w:t>transatlantic security space</w:t>
      </w:r>
      <w:r w:rsidRPr="006D37A3">
        <w:rPr>
          <w:rFonts w:cs="Times New Roman"/>
          <w:szCs w:val="24"/>
        </w:rPr>
        <w:t xml:space="preserve">, in which securitization moves can be pursued by actors from either polity with the relevant authority to influence security considerations in the other. In this respect, the embargo represents a case study of an attempted - albeit ultimately unsuccessful - securitization move within this space. </w:t>
      </w:r>
    </w:p>
    <w:p w14:paraId="5136EE39" w14:textId="77777777" w:rsidR="006D37A3" w:rsidRPr="006D37A3" w:rsidRDefault="006D37A3" w:rsidP="006D37A3">
      <w:pPr>
        <w:spacing w:line="312" w:lineRule="auto"/>
        <w:rPr>
          <w:rFonts w:cs="Times New Roman"/>
          <w:szCs w:val="24"/>
        </w:rPr>
      </w:pPr>
      <w:r w:rsidRPr="006D37A3">
        <w:rPr>
          <w:rFonts w:cs="Times New Roman"/>
          <w:szCs w:val="24"/>
        </w:rPr>
        <w:t xml:space="preserve"> </w:t>
      </w:r>
    </w:p>
    <w:p w14:paraId="5A5FEA3F" w14:textId="1E7074AC" w:rsidR="007C4232" w:rsidRPr="007C4232" w:rsidRDefault="006D37A3" w:rsidP="007C4232">
      <w:pPr>
        <w:spacing w:line="312" w:lineRule="auto"/>
        <w:rPr>
          <w:rFonts w:cs="Times New Roman"/>
          <w:szCs w:val="24"/>
        </w:rPr>
      </w:pPr>
      <w:r w:rsidRPr="006D37A3">
        <w:rPr>
          <w:rFonts w:cs="Times New Roman"/>
          <w:szCs w:val="24"/>
        </w:rPr>
        <w:t xml:space="preserve">The subsequent section </w:t>
      </w:r>
      <w:r>
        <w:rPr>
          <w:rFonts w:cs="Times New Roman"/>
          <w:szCs w:val="24"/>
        </w:rPr>
        <w:t>brief</w:t>
      </w:r>
      <w:r w:rsidR="00DB4227">
        <w:rPr>
          <w:rFonts w:cs="Times New Roman"/>
          <w:szCs w:val="24"/>
        </w:rPr>
        <w:t>ly contextualises</w:t>
      </w:r>
      <w:r>
        <w:rPr>
          <w:rFonts w:cs="Times New Roman"/>
          <w:szCs w:val="24"/>
        </w:rPr>
        <w:t xml:space="preserve"> the embargo debate and</w:t>
      </w:r>
      <w:r w:rsidR="00DB4227">
        <w:rPr>
          <w:rFonts w:cs="Times New Roman"/>
          <w:szCs w:val="24"/>
        </w:rPr>
        <w:t xml:space="preserve"> summarises</w:t>
      </w:r>
      <w:r>
        <w:rPr>
          <w:rFonts w:cs="Times New Roman"/>
          <w:szCs w:val="24"/>
        </w:rPr>
        <w:t xml:space="preserve"> academic analys</w:t>
      </w:r>
      <w:r w:rsidR="00DB4227">
        <w:rPr>
          <w:rFonts w:cs="Times New Roman"/>
          <w:szCs w:val="24"/>
        </w:rPr>
        <w:t>e</w:t>
      </w:r>
      <w:r>
        <w:rPr>
          <w:rFonts w:cs="Times New Roman"/>
          <w:szCs w:val="24"/>
        </w:rPr>
        <w:t xml:space="preserve">s thereof. Following that, </w:t>
      </w:r>
      <w:r w:rsidR="00DB4227">
        <w:rPr>
          <w:rFonts w:cs="Times New Roman"/>
          <w:szCs w:val="24"/>
        </w:rPr>
        <w:t xml:space="preserve">section 3 </w:t>
      </w:r>
      <w:r w:rsidRPr="006D37A3">
        <w:rPr>
          <w:rFonts w:cs="Times New Roman"/>
          <w:szCs w:val="24"/>
        </w:rPr>
        <w:t>outlines the theoretical framework and its influence on method</w:t>
      </w:r>
      <w:r w:rsidR="00DB4227">
        <w:rPr>
          <w:rFonts w:cs="Times New Roman"/>
          <w:szCs w:val="24"/>
        </w:rPr>
        <w:t>ology</w:t>
      </w:r>
      <w:r w:rsidRPr="006D37A3">
        <w:rPr>
          <w:rFonts w:cs="Times New Roman"/>
          <w:szCs w:val="24"/>
        </w:rPr>
        <w:t xml:space="preserve"> and source selection. Next, we move to the empirical analysis of the evolution of the embargo case within the EU (section </w:t>
      </w:r>
      <w:r w:rsidR="00DB4227">
        <w:rPr>
          <w:rFonts w:cs="Times New Roman"/>
          <w:szCs w:val="24"/>
        </w:rPr>
        <w:t>4</w:t>
      </w:r>
      <w:r w:rsidRPr="006D37A3">
        <w:rPr>
          <w:rFonts w:cs="Times New Roman"/>
          <w:szCs w:val="24"/>
        </w:rPr>
        <w:t xml:space="preserve">) and the US’s securitizing moves in response to the proposal to lift (section </w:t>
      </w:r>
      <w:r w:rsidR="00DB4227">
        <w:rPr>
          <w:rFonts w:cs="Times New Roman"/>
          <w:szCs w:val="24"/>
        </w:rPr>
        <w:t>5</w:t>
      </w:r>
      <w:r w:rsidRPr="006D37A3">
        <w:rPr>
          <w:rFonts w:cs="Times New Roman"/>
          <w:szCs w:val="24"/>
        </w:rPr>
        <w:t xml:space="preserve">). </w:t>
      </w:r>
      <w:r w:rsidR="00DB4227">
        <w:rPr>
          <w:rFonts w:cs="Times New Roman"/>
          <w:szCs w:val="24"/>
        </w:rPr>
        <w:t>S</w:t>
      </w:r>
      <w:r w:rsidRPr="006D37A3">
        <w:rPr>
          <w:rFonts w:cs="Times New Roman"/>
          <w:szCs w:val="24"/>
        </w:rPr>
        <w:t>ection</w:t>
      </w:r>
      <w:r w:rsidR="00DB4227">
        <w:rPr>
          <w:rFonts w:cs="Times New Roman"/>
          <w:szCs w:val="24"/>
        </w:rPr>
        <w:t xml:space="preserve"> 6</w:t>
      </w:r>
      <w:r w:rsidRPr="006D37A3">
        <w:rPr>
          <w:rFonts w:cs="Times New Roman"/>
          <w:szCs w:val="24"/>
        </w:rPr>
        <w:t xml:space="preserve"> weighs the implications of diverging responses to the rise of China for the transatlantic relationship. </w:t>
      </w:r>
      <w:r w:rsidR="007C4232" w:rsidRPr="007C4232">
        <w:rPr>
          <w:rFonts w:cs="Times New Roman"/>
          <w:szCs w:val="24"/>
        </w:rPr>
        <w:t xml:space="preserve">This paper illustrates that while the US and EU engaged in substantive private and public debate, the former’s attempts to influence the course of the latter’s internal deliberations </w:t>
      </w:r>
      <w:r w:rsidR="007C4232" w:rsidRPr="007C4232">
        <w:rPr>
          <w:rFonts w:cs="Times New Roman"/>
          <w:szCs w:val="24"/>
        </w:rPr>
        <w:lastRenderedPageBreak/>
        <w:t xml:space="preserve">was unsuccessful because the concerns raised – predicated on the identification of an emerging security threat posed by China’s developing military capabilities – were not persuasive to the European audience that largely continued to conceptualise the embargo as a political and symbolic instrument, and of China as largely non-threatening to their interests.  </w:t>
      </w:r>
    </w:p>
    <w:p w14:paraId="417464D9" w14:textId="77777777" w:rsidR="006D37A3" w:rsidRDefault="006D37A3" w:rsidP="00A53C01">
      <w:pPr>
        <w:spacing w:line="312" w:lineRule="auto"/>
        <w:rPr>
          <w:rFonts w:cs="Times New Roman"/>
          <w:szCs w:val="24"/>
        </w:rPr>
      </w:pPr>
    </w:p>
    <w:p w14:paraId="3239FF12" w14:textId="72E2D6B6" w:rsidR="00DE0571" w:rsidRPr="00DB4227" w:rsidRDefault="00DB4227" w:rsidP="00DB4227">
      <w:pPr>
        <w:pStyle w:val="SectionHeading"/>
        <w:rPr>
          <w:b/>
        </w:rPr>
      </w:pPr>
      <w:r>
        <w:rPr>
          <w:b/>
        </w:rPr>
        <w:t xml:space="preserve">2. </w:t>
      </w:r>
      <w:r w:rsidRPr="00DB4227">
        <w:rPr>
          <w:b/>
        </w:rPr>
        <w:t>The Embargo Debate</w:t>
      </w:r>
    </w:p>
    <w:p w14:paraId="6B4057DA" w14:textId="2D1C0E18" w:rsidR="009C28DD" w:rsidRPr="00A53C01" w:rsidRDefault="008F11B5" w:rsidP="00A53C01">
      <w:pPr>
        <w:spacing w:line="312" w:lineRule="auto"/>
        <w:rPr>
          <w:rFonts w:cs="Times New Roman"/>
          <w:szCs w:val="24"/>
        </w:rPr>
      </w:pPr>
      <w:r w:rsidRPr="00A53C01">
        <w:rPr>
          <w:rFonts w:cs="Times New Roman"/>
          <w:szCs w:val="24"/>
        </w:rPr>
        <w:t>I</w:t>
      </w:r>
      <w:r w:rsidR="002A04A8" w:rsidRPr="00A53C01">
        <w:rPr>
          <w:rFonts w:cs="Times New Roman"/>
          <w:szCs w:val="24"/>
        </w:rPr>
        <w:t>n</w:t>
      </w:r>
      <w:r w:rsidR="001B3854" w:rsidRPr="00A53C01">
        <w:rPr>
          <w:rFonts w:cs="Times New Roman"/>
          <w:szCs w:val="24"/>
        </w:rPr>
        <w:t xml:space="preserve"> December 2003, the EU Member States</w:t>
      </w:r>
      <w:r w:rsidRPr="00A53C01">
        <w:rPr>
          <w:rFonts w:cs="Times New Roman"/>
          <w:szCs w:val="24"/>
        </w:rPr>
        <w:t xml:space="preserve"> stated to</w:t>
      </w:r>
      <w:r w:rsidR="001B3854" w:rsidRPr="00A53C01">
        <w:rPr>
          <w:rFonts w:cs="Times New Roman"/>
          <w:szCs w:val="24"/>
        </w:rPr>
        <w:t xml:space="preserve"> contemplate lifting the arms embargo </w:t>
      </w:r>
      <w:r w:rsidR="003C56D0" w:rsidRPr="00A53C01">
        <w:rPr>
          <w:rFonts w:cs="Times New Roman"/>
          <w:szCs w:val="24"/>
        </w:rPr>
        <w:t>that</w:t>
      </w:r>
      <w:r w:rsidR="001B3854" w:rsidRPr="00A53C01">
        <w:rPr>
          <w:rFonts w:cs="Times New Roman"/>
          <w:szCs w:val="24"/>
        </w:rPr>
        <w:t xml:space="preserve"> had been imposed upon China</w:t>
      </w:r>
      <w:r w:rsidR="003C56D0" w:rsidRPr="00A53C01">
        <w:rPr>
          <w:rFonts w:cs="Times New Roman"/>
          <w:szCs w:val="24"/>
        </w:rPr>
        <w:t xml:space="preserve"> in response to the Tiananmen Square massacre</w:t>
      </w:r>
      <w:r w:rsidR="002A04A8" w:rsidRPr="00A53C01">
        <w:rPr>
          <w:rFonts w:cs="Times New Roman"/>
          <w:szCs w:val="24"/>
        </w:rPr>
        <w:t xml:space="preserve"> of 1989</w:t>
      </w:r>
      <w:r w:rsidR="003C56D0" w:rsidRPr="00A53C01">
        <w:rPr>
          <w:rFonts w:cs="Times New Roman"/>
          <w:szCs w:val="24"/>
        </w:rPr>
        <w:t xml:space="preserve">. </w:t>
      </w:r>
      <w:r w:rsidR="001B3854" w:rsidRPr="00A53C01">
        <w:rPr>
          <w:rFonts w:cs="Times New Roman"/>
          <w:szCs w:val="24"/>
        </w:rPr>
        <w:t>The attempt was effectively abandoned</w:t>
      </w:r>
      <w:r w:rsidR="00316CF7" w:rsidRPr="00A53C01">
        <w:rPr>
          <w:rFonts w:cs="Times New Roman"/>
          <w:szCs w:val="24"/>
        </w:rPr>
        <w:t xml:space="preserve"> in March 2005</w:t>
      </w:r>
      <w:r w:rsidRPr="00A53C01">
        <w:rPr>
          <w:rFonts w:cs="Times New Roman"/>
          <w:szCs w:val="24"/>
        </w:rPr>
        <w:t>,</w:t>
      </w:r>
      <w:r w:rsidR="00316CF7" w:rsidRPr="00A53C01">
        <w:rPr>
          <w:rFonts w:cs="Times New Roman"/>
          <w:szCs w:val="24"/>
        </w:rPr>
        <w:t xml:space="preserve"> </w:t>
      </w:r>
      <w:r w:rsidR="002F18B8" w:rsidRPr="00A53C01">
        <w:rPr>
          <w:rFonts w:cs="Times New Roman"/>
          <w:szCs w:val="24"/>
        </w:rPr>
        <w:t>but issue has not yet been put to bed</w:t>
      </w:r>
      <w:r w:rsidR="00454E51" w:rsidRPr="00A53C01">
        <w:rPr>
          <w:rFonts w:cs="Times New Roman"/>
          <w:szCs w:val="24"/>
        </w:rPr>
        <w:t>, as China has continued to raise the issue in bilateral meetings</w:t>
      </w:r>
      <w:r w:rsidR="002F18B8" w:rsidRPr="00A53C01">
        <w:rPr>
          <w:rFonts w:cs="Times New Roman"/>
          <w:szCs w:val="24"/>
        </w:rPr>
        <w:t xml:space="preserve">. In early 2010 and again in 2011, the prospect of revisiting the issue briefly resurfaced within the EU - albeit quickly extinguished in each instance. </w:t>
      </w:r>
      <w:r w:rsidR="00C6320E" w:rsidRPr="00A53C01">
        <w:rPr>
          <w:rFonts w:cs="Times New Roman"/>
          <w:szCs w:val="24"/>
        </w:rPr>
        <w:t>Soon after the</w:t>
      </w:r>
      <w:r w:rsidR="006F27FA" w:rsidRPr="00A53C01">
        <w:rPr>
          <w:rFonts w:cs="Times New Roman"/>
          <w:szCs w:val="24"/>
        </w:rPr>
        <w:t xml:space="preserve"> 2016 ‘Brexit’</w:t>
      </w:r>
      <w:r w:rsidR="002F18B8" w:rsidRPr="00A53C01">
        <w:rPr>
          <w:rFonts w:cs="Times New Roman"/>
          <w:szCs w:val="24"/>
        </w:rPr>
        <w:t xml:space="preserve"> referendum, Chinese commentators reportedly saw an opportunity to revisit the </w:t>
      </w:r>
      <w:r w:rsidR="006F27FA" w:rsidRPr="00A53C01">
        <w:rPr>
          <w:rFonts w:cs="Times New Roman"/>
          <w:szCs w:val="24"/>
        </w:rPr>
        <w:t>embargo</w:t>
      </w:r>
      <w:r w:rsidR="002F18B8" w:rsidRPr="00A53C01">
        <w:rPr>
          <w:rFonts w:cs="Times New Roman"/>
          <w:szCs w:val="24"/>
        </w:rPr>
        <w:t xml:space="preserve">, given that the UK was perceived </w:t>
      </w:r>
      <w:r w:rsidR="00E93E37" w:rsidRPr="00A53C01">
        <w:rPr>
          <w:rFonts w:cs="Times New Roman"/>
          <w:szCs w:val="24"/>
        </w:rPr>
        <w:t>as</w:t>
      </w:r>
      <w:r w:rsidR="002F18B8" w:rsidRPr="00A53C01">
        <w:rPr>
          <w:rFonts w:cs="Times New Roman"/>
          <w:szCs w:val="24"/>
        </w:rPr>
        <w:t xml:space="preserve"> </w:t>
      </w:r>
      <w:r w:rsidR="006F27FA" w:rsidRPr="00A53C01">
        <w:rPr>
          <w:rFonts w:cs="Times New Roman"/>
          <w:szCs w:val="24"/>
        </w:rPr>
        <w:t>a key opponent</w:t>
      </w:r>
      <w:r w:rsidR="002F18B8" w:rsidRPr="00A53C01">
        <w:rPr>
          <w:rFonts w:cs="Times New Roman"/>
          <w:szCs w:val="24"/>
        </w:rPr>
        <w:t xml:space="preserve"> to </w:t>
      </w:r>
      <w:r w:rsidR="006F27FA" w:rsidRPr="00A53C01">
        <w:rPr>
          <w:rFonts w:cs="Times New Roman"/>
          <w:szCs w:val="24"/>
        </w:rPr>
        <w:t>policy change</w:t>
      </w:r>
      <w:r w:rsidR="002F18B8" w:rsidRPr="00A53C01">
        <w:rPr>
          <w:rFonts w:cs="Times New Roman"/>
          <w:szCs w:val="24"/>
        </w:rPr>
        <w:t xml:space="preserve"> (</w:t>
      </w:r>
      <w:r w:rsidR="006E7081" w:rsidRPr="00A53C01">
        <w:rPr>
          <w:rFonts w:cs="Times New Roman"/>
          <w:szCs w:val="24"/>
        </w:rPr>
        <w:t>Stanzel in ECFR, 2016: 5.13–5.27</w:t>
      </w:r>
      <w:r w:rsidR="002F18B8" w:rsidRPr="00A53C01">
        <w:rPr>
          <w:rFonts w:cs="Times New Roman"/>
          <w:szCs w:val="24"/>
        </w:rPr>
        <w:t>).</w:t>
      </w:r>
      <w:r w:rsidR="008D1E6F" w:rsidRPr="00A53C01">
        <w:rPr>
          <w:rFonts w:cs="Times New Roman"/>
          <w:szCs w:val="24"/>
        </w:rPr>
        <w:t xml:space="preserve"> </w:t>
      </w:r>
      <w:r w:rsidR="002F18B8" w:rsidRPr="00A53C01">
        <w:rPr>
          <w:rFonts w:cs="Times New Roman"/>
          <w:szCs w:val="24"/>
        </w:rPr>
        <w:t xml:space="preserve">In the </w:t>
      </w:r>
      <w:r w:rsidR="006F27FA" w:rsidRPr="00A53C01">
        <w:rPr>
          <w:rFonts w:cs="Times New Roman"/>
          <w:szCs w:val="24"/>
        </w:rPr>
        <w:t>wake</w:t>
      </w:r>
      <w:r w:rsidR="002F18B8" w:rsidRPr="00A53C01">
        <w:rPr>
          <w:rFonts w:cs="Times New Roman"/>
          <w:szCs w:val="24"/>
        </w:rPr>
        <w:t xml:space="preserve"> of Donald Trump</w:t>
      </w:r>
      <w:r w:rsidR="006F27FA" w:rsidRPr="00A53C01">
        <w:rPr>
          <w:rFonts w:cs="Times New Roman"/>
          <w:szCs w:val="24"/>
        </w:rPr>
        <w:t>’s election</w:t>
      </w:r>
      <w:r w:rsidR="002F18B8" w:rsidRPr="00A53C01">
        <w:rPr>
          <w:rFonts w:cs="Times New Roman"/>
          <w:szCs w:val="24"/>
        </w:rPr>
        <w:t xml:space="preserve">, the director of the European Council on Foreign Relations floated the idea that the </w:t>
      </w:r>
      <w:r w:rsidR="00E671DD" w:rsidRPr="00A53C01">
        <w:rPr>
          <w:rFonts w:cs="Times New Roman"/>
          <w:szCs w:val="24"/>
        </w:rPr>
        <w:t>embargo’s status</w:t>
      </w:r>
      <w:r w:rsidR="002F18B8" w:rsidRPr="00A53C01">
        <w:rPr>
          <w:rFonts w:cs="Times New Roman"/>
          <w:szCs w:val="24"/>
        </w:rPr>
        <w:t xml:space="preserve"> could</w:t>
      </w:r>
      <w:r w:rsidR="00E671DD" w:rsidRPr="00A53C01">
        <w:rPr>
          <w:rFonts w:cs="Times New Roman"/>
          <w:szCs w:val="24"/>
        </w:rPr>
        <w:t xml:space="preserve"> be</w:t>
      </w:r>
      <w:r w:rsidR="002F18B8" w:rsidRPr="00A53C01">
        <w:rPr>
          <w:rFonts w:cs="Times New Roman"/>
          <w:szCs w:val="24"/>
        </w:rPr>
        <w:t xml:space="preserve"> use</w:t>
      </w:r>
      <w:r w:rsidR="00E671DD" w:rsidRPr="00A53C01">
        <w:rPr>
          <w:rFonts w:cs="Times New Roman"/>
          <w:szCs w:val="24"/>
        </w:rPr>
        <w:t>d</w:t>
      </w:r>
      <w:r w:rsidR="002F18B8" w:rsidRPr="00A53C01">
        <w:rPr>
          <w:rFonts w:cs="Times New Roman"/>
          <w:szCs w:val="24"/>
        </w:rPr>
        <w:t xml:space="preserve"> </w:t>
      </w:r>
      <w:r w:rsidR="00E671DD" w:rsidRPr="00A53C01">
        <w:rPr>
          <w:rFonts w:cs="Times New Roman"/>
          <w:szCs w:val="24"/>
        </w:rPr>
        <w:t>as a</w:t>
      </w:r>
      <w:r w:rsidR="002F18B8" w:rsidRPr="00A53C01">
        <w:rPr>
          <w:rFonts w:cs="Times New Roman"/>
          <w:szCs w:val="24"/>
        </w:rPr>
        <w:t xml:space="preserve"> ‘threat’ to remind the new President of Europe’s importance to US interests (Leonard, 2016).</w:t>
      </w:r>
      <w:r w:rsidR="00234422" w:rsidRPr="00A53C01">
        <w:rPr>
          <w:rFonts w:cs="Times New Roman"/>
          <w:szCs w:val="24"/>
        </w:rPr>
        <w:t xml:space="preserve"> </w:t>
      </w:r>
      <w:r w:rsidR="00EB0DE7" w:rsidRPr="00A53C01">
        <w:rPr>
          <w:rFonts w:cs="Times New Roman"/>
          <w:szCs w:val="24"/>
        </w:rPr>
        <w:t>Writing in</w:t>
      </w:r>
      <w:r w:rsidR="00234422" w:rsidRPr="00A53C01">
        <w:rPr>
          <w:rFonts w:cs="Times New Roman"/>
          <w:szCs w:val="24"/>
        </w:rPr>
        <w:t xml:space="preserve"> </w:t>
      </w:r>
      <w:r w:rsidR="00C706E8" w:rsidRPr="00A53C01">
        <w:rPr>
          <w:rFonts w:cs="Times New Roman"/>
          <w:szCs w:val="24"/>
        </w:rPr>
        <w:t>China’s</w:t>
      </w:r>
      <w:r w:rsidR="008D1E6F" w:rsidRPr="00A53C01">
        <w:rPr>
          <w:rFonts w:cs="Times New Roman"/>
          <w:szCs w:val="24"/>
        </w:rPr>
        <w:t xml:space="preserve"> </w:t>
      </w:r>
      <w:r w:rsidR="008D1E6F" w:rsidRPr="00A53C01">
        <w:rPr>
          <w:rFonts w:cs="Times New Roman"/>
          <w:i/>
          <w:szCs w:val="24"/>
        </w:rPr>
        <w:t>Global Times</w:t>
      </w:r>
      <w:r w:rsidR="00EB0DE7" w:rsidRPr="00A53C01">
        <w:rPr>
          <w:rFonts w:cs="Times New Roman"/>
          <w:szCs w:val="24"/>
        </w:rPr>
        <w:t xml:space="preserve">, </w:t>
      </w:r>
      <w:r w:rsidR="00BA3D2C">
        <w:rPr>
          <w:rFonts w:cs="Times New Roman"/>
          <w:szCs w:val="24"/>
        </w:rPr>
        <w:t>Liu Jianxi (2017)</w:t>
      </w:r>
      <w:r w:rsidR="008D1E6F" w:rsidRPr="00A53C01">
        <w:rPr>
          <w:rFonts w:cs="Times New Roman"/>
          <w:szCs w:val="24"/>
        </w:rPr>
        <w:t xml:space="preserve"> </w:t>
      </w:r>
      <w:r w:rsidR="00C706E8" w:rsidRPr="00A53C01">
        <w:rPr>
          <w:rFonts w:cs="Times New Roman"/>
          <w:szCs w:val="24"/>
        </w:rPr>
        <w:t>called</w:t>
      </w:r>
      <w:r w:rsidR="008D1E6F" w:rsidRPr="00A53C01">
        <w:rPr>
          <w:rFonts w:cs="Times New Roman"/>
          <w:szCs w:val="24"/>
        </w:rPr>
        <w:t xml:space="preserve"> for the “outdated” embargo to be lifted. </w:t>
      </w:r>
      <w:r w:rsidR="00BA3D2C">
        <w:rPr>
          <w:rFonts w:cs="Times New Roman"/>
          <w:szCs w:val="24"/>
        </w:rPr>
        <w:t>In its</w:t>
      </w:r>
      <w:r w:rsidR="00DF430C">
        <w:rPr>
          <w:rFonts w:cs="Times New Roman"/>
          <w:szCs w:val="24"/>
        </w:rPr>
        <w:t xml:space="preserve"> 2014 and</w:t>
      </w:r>
      <w:r w:rsidR="00BA3D2C">
        <w:rPr>
          <w:rFonts w:cs="Times New Roman"/>
          <w:szCs w:val="24"/>
        </w:rPr>
        <w:t xml:space="preserve"> 2018 EU policy paper update</w:t>
      </w:r>
      <w:r w:rsidR="00DF430C">
        <w:rPr>
          <w:rFonts w:cs="Times New Roman"/>
          <w:szCs w:val="24"/>
        </w:rPr>
        <w:t>s</w:t>
      </w:r>
      <w:r w:rsidR="00BA3D2C">
        <w:rPr>
          <w:rFonts w:cs="Times New Roman"/>
          <w:szCs w:val="24"/>
        </w:rPr>
        <w:t>, the PRC reiterated the call for the embargo to be lifted “at an early date” (</w:t>
      </w:r>
      <w:r w:rsidR="00DF430C">
        <w:rPr>
          <w:rFonts w:cs="Times New Roman"/>
          <w:szCs w:val="24"/>
        </w:rPr>
        <w:t xml:space="preserve">MoFA, 2014; </w:t>
      </w:r>
      <w:r w:rsidR="00BA3D2C">
        <w:rPr>
          <w:rFonts w:cs="Times New Roman"/>
          <w:szCs w:val="24"/>
        </w:rPr>
        <w:t xml:space="preserve">Xinhua, 2018). </w:t>
      </w:r>
      <w:r w:rsidR="00E671DD" w:rsidRPr="00A53C01">
        <w:rPr>
          <w:rFonts w:cs="Times New Roman"/>
          <w:szCs w:val="24"/>
        </w:rPr>
        <w:t>Today</w:t>
      </w:r>
      <w:r w:rsidR="002F18B8" w:rsidRPr="00A53C01">
        <w:rPr>
          <w:rFonts w:cs="Times New Roman"/>
          <w:szCs w:val="24"/>
        </w:rPr>
        <w:t xml:space="preserve">, the embargo lies just below the surface of EU-China relations, and by extension EU-US and US-China relations. </w:t>
      </w:r>
    </w:p>
    <w:p w14:paraId="170E9CCB" w14:textId="77777777" w:rsidR="00DF430C" w:rsidRPr="00A53C01" w:rsidRDefault="00DF430C" w:rsidP="00A53C01">
      <w:pPr>
        <w:spacing w:line="312" w:lineRule="auto"/>
        <w:rPr>
          <w:rFonts w:cs="Times New Roman"/>
          <w:szCs w:val="24"/>
        </w:rPr>
      </w:pPr>
    </w:p>
    <w:p w14:paraId="7022677D" w14:textId="4D199C58" w:rsidR="002F18B8" w:rsidRPr="00A53C01" w:rsidRDefault="00995692" w:rsidP="00A53C01">
      <w:pPr>
        <w:spacing w:line="312" w:lineRule="auto"/>
        <w:rPr>
          <w:rFonts w:cs="Times New Roman"/>
          <w:szCs w:val="24"/>
        </w:rPr>
      </w:pPr>
      <w:r w:rsidRPr="00A53C01">
        <w:rPr>
          <w:rFonts w:cs="Times New Roman"/>
          <w:szCs w:val="24"/>
        </w:rPr>
        <w:t>The embargo’s return to</w:t>
      </w:r>
      <w:r w:rsidR="002F18B8" w:rsidRPr="00A53C01">
        <w:rPr>
          <w:rFonts w:cs="Times New Roman"/>
          <w:szCs w:val="24"/>
        </w:rPr>
        <w:t xml:space="preserve"> the EU’s agenda would reopen the old wound in tra</w:t>
      </w:r>
      <w:r w:rsidR="00187B68" w:rsidRPr="00A53C01">
        <w:rPr>
          <w:rFonts w:cs="Times New Roman"/>
          <w:szCs w:val="24"/>
        </w:rPr>
        <w:t>nsatlantic ties</w:t>
      </w:r>
      <w:r w:rsidR="00DE049E" w:rsidRPr="00A53C01">
        <w:rPr>
          <w:rFonts w:cs="Times New Roman"/>
          <w:szCs w:val="24"/>
        </w:rPr>
        <w:t xml:space="preserve">; the sensitivity in the US to the technological challenge posed by China has grown considerably in recent years. </w:t>
      </w:r>
      <w:r w:rsidRPr="00A53C01">
        <w:rPr>
          <w:rFonts w:cs="Times New Roman"/>
          <w:szCs w:val="24"/>
        </w:rPr>
        <w:t>P</w:t>
      </w:r>
      <w:r w:rsidR="00DE049E" w:rsidRPr="00A53C01">
        <w:rPr>
          <w:rFonts w:cs="Times New Roman"/>
          <w:szCs w:val="24"/>
        </w:rPr>
        <w:t xml:space="preserve">articipants at </w:t>
      </w:r>
      <w:r w:rsidR="00414C2F" w:rsidRPr="00A53C01">
        <w:rPr>
          <w:rFonts w:cs="Times New Roman"/>
          <w:szCs w:val="24"/>
        </w:rPr>
        <w:t>the</w:t>
      </w:r>
      <w:r w:rsidR="00DE049E" w:rsidRPr="00A53C01">
        <w:rPr>
          <w:rFonts w:cs="Times New Roman"/>
          <w:szCs w:val="24"/>
        </w:rPr>
        <w:t xml:space="preserve"> Council on Foreign Relations</w:t>
      </w:r>
      <w:r w:rsidR="00414C2F" w:rsidRPr="00A53C01">
        <w:rPr>
          <w:rFonts w:cs="Times New Roman"/>
          <w:szCs w:val="24"/>
        </w:rPr>
        <w:t>’</w:t>
      </w:r>
      <w:r w:rsidRPr="00A53C01">
        <w:rPr>
          <w:rFonts w:cs="Times New Roman"/>
          <w:szCs w:val="24"/>
        </w:rPr>
        <w:t xml:space="preserve"> (2017)</w:t>
      </w:r>
      <w:r w:rsidR="00DE049E" w:rsidRPr="00A53C01">
        <w:rPr>
          <w:rFonts w:cs="Times New Roman"/>
          <w:szCs w:val="24"/>
        </w:rPr>
        <w:t xml:space="preserve"> workshop on Chinese investment in critical US technology warned that “a powerful rival has gained or could soon gain access to sensitive and, in some cases, critical technologies that underpin American military superiority and economic might”. I</w:t>
      </w:r>
      <w:r w:rsidR="002401A8" w:rsidRPr="00A53C01">
        <w:rPr>
          <w:rFonts w:cs="Times New Roman"/>
          <w:szCs w:val="24"/>
        </w:rPr>
        <w:t xml:space="preserve">n early 2018, the House Armed Services Subcommittee on Emerging Threats and Capabilities held a hearing on ‘China’s Pursuit of Emerging and Exponential Technologies’, </w:t>
      </w:r>
      <w:r w:rsidR="00414C2F" w:rsidRPr="00A53C01">
        <w:rPr>
          <w:rFonts w:cs="Times New Roman"/>
          <w:szCs w:val="24"/>
        </w:rPr>
        <w:t>during which</w:t>
      </w:r>
      <w:r w:rsidR="002401A8" w:rsidRPr="00A53C01">
        <w:rPr>
          <w:rFonts w:cs="Times New Roman"/>
          <w:szCs w:val="24"/>
        </w:rPr>
        <w:t xml:space="preserve"> witnesses described </w:t>
      </w:r>
      <w:r w:rsidR="00602B78" w:rsidRPr="00A53C01">
        <w:rPr>
          <w:rFonts w:cs="Times New Roman"/>
          <w:szCs w:val="24"/>
        </w:rPr>
        <w:t>the</w:t>
      </w:r>
      <w:r w:rsidR="00C706E8" w:rsidRPr="00A53C01">
        <w:rPr>
          <w:rFonts w:cs="Times New Roman"/>
          <w:szCs w:val="24"/>
        </w:rPr>
        <w:t xml:space="preserve"> security</w:t>
      </w:r>
      <w:r w:rsidR="00602B78" w:rsidRPr="00A53C01">
        <w:rPr>
          <w:rFonts w:cs="Times New Roman"/>
          <w:szCs w:val="24"/>
        </w:rPr>
        <w:t xml:space="preserve"> challenges posed by China’s pursuit of high-end technology with military applications (</w:t>
      </w:r>
      <w:r w:rsidR="00102310" w:rsidRPr="00A53C01">
        <w:rPr>
          <w:rFonts w:cs="Times New Roman"/>
          <w:szCs w:val="24"/>
        </w:rPr>
        <w:t>Carter, 2018</w:t>
      </w:r>
      <w:r w:rsidR="0021465D" w:rsidRPr="00A53C01">
        <w:rPr>
          <w:rFonts w:cs="Times New Roman"/>
          <w:szCs w:val="24"/>
        </w:rPr>
        <w:t>;</w:t>
      </w:r>
      <w:r w:rsidR="00102310" w:rsidRPr="00A53C01">
        <w:rPr>
          <w:rFonts w:cs="Times New Roman"/>
          <w:szCs w:val="24"/>
        </w:rPr>
        <w:t xml:space="preserve"> Cheng, 2018).</w:t>
      </w:r>
      <w:r w:rsidR="00DE049E" w:rsidRPr="00A53C01">
        <w:rPr>
          <w:rFonts w:cs="Times New Roman"/>
          <w:szCs w:val="24"/>
        </w:rPr>
        <w:t xml:space="preserve"> Although EU exports </w:t>
      </w:r>
      <w:r w:rsidR="00DE049E" w:rsidRPr="00A53C01">
        <w:rPr>
          <w:rFonts w:cs="Times New Roman"/>
          <w:szCs w:val="24"/>
        </w:rPr>
        <w:lastRenderedPageBreak/>
        <w:t>of dual-use technologies are regulated</w:t>
      </w:r>
      <w:r w:rsidR="00DE049E" w:rsidRPr="00A53C01">
        <w:rPr>
          <w:rStyle w:val="FootnoteReference"/>
          <w:rFonts w:cs="Times New Roman"/>
          <w:szCs w:val="24"/>
        </w:rPr>
        <w:footnoteReference w:id="1"/>
      </w:r>
      <w:r w:rsidR="00C706E8" w:rsidRPr="00A53C01">
        <w:rPr>
          <w:rFonts w:cs="Times New Roman"/>
          <w:szCs w:val="24"/>
        </w:rPr>
        <w:t xml:space="preserve"> </w:t>
      </w:r>
      <w:r w:rsidR="00DE049E" w:rsidRPr="00A53C01">
        <w:rPr>
          <w:rFonts w:cs="Times New Roman"/>
          <w:szCs w:val="24"/>
        </w:rPr>
        <w:t>by common control rules</w:t>
      </w:r>
      <w:r w:rsidR="009C28DD" w:rsidRPr="00A53C01">
        <w:rPr>
          <w:rFonts w:cs="Times New Roman"/>
          <w:szCs w:val="24"/>
        </w:rPr>
        <w:t xml:space="preserve">, such items were of central concern to US policymakers during the embargo debate, and would </w:t>
      </w:r>
      <w:r w:rsidRPr="00A53C01">
        <w:rPr>
          <w:rFonts w:cs="Times New Roman"/>
          <w:szCs w:val="24"/>
        </w:rPr>
        <w:t>undoubtedly</w:t>
      </w:r>
      <w:r w:rsidR="009C28DD" w:rsidRPr="00A53C01">
        <w:rPr>
          <w:rFonts w:cs="Times New Roman"/>
          <w:szCs w:val="24"/>
        </w:rPr>
        <w:t xml:space="preserve"> constitute a central element of objections to any </w:t>
      </w:r>
      <w:r w:rsidR="00414C2F" w:rsidRPr="00A53C01">
        <w:rPr>
          <w:rFonts w:cs="Times New Roman"/>
          <w:szCs w:val="24"/>
        </w:rPr>
        <w:t xml:space="preserve">proposed policy change. </w:t>
      </w:r>
      <w:r w:rsidR="002F18B8" w:rsidRPr="00A53C01">
        <w:rPr>
          <w:rFonts w:cs="Times New Roman"/>
          <w:szCs w:val="24"/>
        </w:rPr>
        <w:t>Understanding the nature of the transatlantic dispute is vital to fully articulate the significance of the embargo in the US-EU-China strategic triangle</w:t>
      </w:r>
      <w:r w:rsidR="009C28DD" w:rsidRPr="00A53C01">
        <w:rPr>
          <w:rFonts w:cs="Times New Roman"/>
          <w:szCs w:val="24"/>
        </w:rPr>
        <w:t xml:space="preserve">. </w:t>
      </w:r>
      <w:r w:rsidR="002F18B8" w:rsidRPr="00A53C01">
        <w:rPr>
          <w:rFonts w:cs="Times New Roman"/>
          <w:szCs w:val="24"/>
        </w:rPr>
        <w:t>Serious analysis of the debate’s</w:t>
      </w:r>
      <w:r w:rsidR="00C706E8" w:rsidRPr="00A53C01">
        <w:rPr>
          <w:rFonts w:cs="Times New Roman"/>
          <w:szCs w:val="24"/>
        </w:rPr>
        <w:t xml:space="preserve"> discursive</w:t>
      </w:r>
      <w:r w:rsidR="002F18B8" w:rsidRPr="00A53C01">
        <w:rPr>
          <w:rFonts w:cs="Times New Roman"/>
          <w:szCs w:val="24"/>
        </w:rPr>
        <w:t xml:space="preserve"> </w:t>
      </w:r>
      <w:r w:rsidR="00C706E8" w:rsidRPr="00A53C01">
        <w:rPr>
          <w:rFonts w:cs="Times New Roman"/>
          <w:szCs w:val="24"/>
        </w:rPr>
        <w:t>trajectory</w:t>
      </w:r>
      <w:r w:rsidR="002F18B8" w:rsidRPr="00A53C01">
        <w:rPr>
          <w:rFonts w:cs="Times New Roman"/>
          <w:szCs w:val="24"/>
        </w:rPr>
        <w:t xml:space="preserve"> is necessary to illuminate the potential pitfalls that would lead policymakers on</w:t>
      </w:r>
      <w:r w:rsidRPr="00A53C01">
        <w:rPr>
          <w:rFonts w:cs="Times New Roman"/>
          <w:szCs w:val="24"/>
        </w:rPr>
        <w:t xml:space="preserve"> a</w:t>
      </w:r>
      <w:r w:rsidR="002F18B8" w:rsidRPr="00A53C01">
        <w:rPr>
          <w:rFonts w:cs="Times New Roman"/>
          <w:szCs w:val="24"/>
        </w:rPr>
        <w:t xml:space="preserve"> journey back down the same path should the issue be revived. </w:t>
      </w:r>
    </w:p>
    <w:p w14:paraId="69B9D630" w14:textId="77777777" w:rsidR="008F16B7" w:rsidRPr="00A53C01" w:rsidRDefault="008F16B7" w:rsidP="00A53C01">
      <w:pPr>
        <w:spacing w:line="312" w:lineRule="auto"/>
        <w:rPr>
          <w:rFonts w:cs="Times New Roman"/>
          <w:szCs w:val="24"/>
        </w:rPr>
      </w:pPr>
    </w:p>
    <w:p w14:paraId="000A890F" w14:textId="77777777" w:rsidR="00DF430C" w:rsidRDefault="00A33D9C" w:rsidP="00A53C01">
      <w:pPr>
        <w:spacing w:line="312" w:lineRule="auto"/>
        <w:rPr>
          <w:rFonts w:cs="Times New Roman"/>
          <w:szCs w:val="24"/>
        </w:rPr>
      </w:pPr>
      <w:r w:rsidRPr="00A53C01">
        <w:rPr>
          <w:rFonts w:cs="Times New Roman"/>
          <w:szCs w:val="24"/>
        </w:rPr>
        <w:t>The embargo issue has been subjected to extensive analysis by scholars interested in the impact on EU foreign policymaking and/or the development of EU-China relations. It has</w:t>
      </w:r>
      <w:r w:rsidR="001F4163" w:rsidRPr="00A53C01">
        <w:rPr>
          <w:rFonts w:cs="Times New Roman"/>
          <w:szCs w:val="24"/>
        </w:rPr>
        <w:t xml:space="preserve"> often</w:t>
      </w:r>
      <w:r w:rsidRPr="00A53C01">
        <w:rPr>
          <w:rFonts w:cs="Times New Roman"/>
          <w:szCs w:val="24"/>
        </w:rPr>
        <w:t xml:space="preserve"> been</w:t>
      </w:r>
      <w:r w:rsidR="001F4163" w:rsidRPr="00A53C01">
        <w:rPr>
          <w:rFonts w:cs="Times New Roman"/>
          <w:szCs w:val="24"/>
        </w:rPr>
        <w:t xml:space="preserve"> highlighted in the literature as</w:t>
      </w:r>
      <w:r w:rsidR="001B3854" w:rsidRPr="00A53C01">
        <w:rPr>
          <w:rFonts w:cs="Times New Roman"/>
          <w:szCs w:val="24"/>
        </w:rPr>
        <w:t xml:space="preserve"> a key obstacle to the development of a truly strategic relationship (S</w:t>
      </w:r>
      <w:r w:rsidR="001F4163" w:rsidRPr="00A53C01">
        <w:rPr>
          <w:rFonts w:cs="Times New Roman"/>
          <w:szCs w:val="24"/>
        </w:rPr>
        <w:t>cott</w:t>
      </w:r>
      <w:r w:rsidR="00D95573" w:rsidRPr="00A53C01">
        <w:rPr>
          <w:rFonts w:cs="Times New Roman"/>
          <w:szCs w:val="24"/>
        </w:rPr>
        <w:t>,</w:t>
      </w:r>
      <w:r w:rsidR="001F4163" w:rsidRPr="00A53C01">
        <w:rPr>
          <w:rFonts w:cs="Times New Roman"/>
          <w:szCs w:val="24"/>
        </w:rPr>
        <w:t xml:space="preserve"> 2011</w:t>
      </w:r>
      <w:r w:rsidR="001B3854" w:rsidRPr="00A53C01">
        <w:rPr>
          <w:rFonts w:cs="Times New Roman"/>
          <w:szCs w:val="24"/>
        </w:rPr>
        <w:t xml:space="preserve">). </w:t>
      </w:r>
      <w:r w:rsidR="00ED4003" w:rsidRPr="00A53C01">
        <w:rPr>
          <w:rFonts w:cs="Times New Roman"/>
          <w:szCs w:val="24"/>
        </w:rPr>
        <w:t>Yet t</w:t>
      </w:r>
      <w:r w:rsidRPr="00A53C01">
        <w:rPr>
          <w:rFonts w:cs="Times New Roman"/>
          <w:szCs w:val="24"/>
        </w:rPr>
        <w:t xml:space="preserve">he literature </w:t>
      </w:r>
      <w:r w:rsidR="00ED4003" w:rsidRPr="00A53C01">
        <w:rPr>
          <w:rFonts w:cs="Times New Roman"/>
          <w:szCs w:val="24"/>
        </w:rPr>
        <w:t>has largely</w:t>
      </w:r>
      <w:r w:rsidR="001B3854" w:rsidRPr="00A53C01">
        <w:rPr>
          <w:rFonts w:cs="Times New Roman"/>
          <w:szCs w:val="24"/>
        </w:rPr>
        <w:t xml:space="preserve"> overlook</w:t>
      </w:r>
      <w:r w:rsidR="00ED4003" w:rsidRPr="00A53C01">
        <w:rPr>
          <w:rFonts w:cs="Times New Roman"/>
          <w:szCs w:val="24"/>
        </w:rPr>
        <w:t>ed</w:t>
      </w:r>
      <w:r w:rsidR="001B3854" w:rsidRPr="00A53C01">
        <w:rPr>
          <w:rFonts w:cs="Times New Roman"/>
          <w:szCs w:val="24"/>
        </w:rPr>
        <w:t xml:space="preserve"> the importa</w:t>
      </w:r>
      <w:r w:rsidR="00526BF2" w:rsidRPr="00A53C01">
        <w:rPr>
          <w:rFonts w:cs="Times New Roman"/>
          <w:szCs w:val="24"/>
        </w:rPr>
        <w:t>nce of the</w:t>
      </w:r>
      <w:r w:rsidR="00ED4003" w:rsidRPr="00A53C01">
        <w:rPr>
          <w:rFonts w:cs="Times New Roman"/>
          <w:szCs w:val="24"/>
        </w:rPr>
        <w:t xml:space="preserve"> resultant</w:t>
      </w:r>
      <w:r w:rsidR="00526BF2" w:rsidRPr="00A53C01">
        <w:rPr>
          <w:rFonts w:cs="Times New Roman"/>
          <w:szCs w:val="24"/>
        </w:rPr>
        <w:t xml:space="preserve"> transatlantic debate:</w:t>
      </w:r>
      <w:r w:rsidR="001B3854" w:rsidRPr="00A53C01">
        <w:rPr>
          <w:rFonts w:cs="Times New Roman"/>
          <w:szCs w:val="24"/>
        </w:rPr>
        <w:t xml:space="preserve"> </w:t>
      </w:r>
      <w:r w:rsidRPr="00A53C01">
        <w:rPr>
          <w:rFonts w:cs="Times New Roman"/>
          <w:szCs w:val="24"/>
        </w:rPr>
        <w:t>e</w:t>
      </w:r>
      <w:r w:rsidR="00C657E1" w:rsidRPr="00A53C01">
        <w:rPr>
          <w:rFonts w:cs="Times New Roman"/>
          <w:szCs w:val="24"/>
        </w:rPr>
        <w:t>uro-centric perspectives</w:t>
      </w:r>
      <w:r w:rsidR="00D95573" w:rsidRPr="00A53C01">
        <w:rPr>
          <w:rFonts w:cs="Times New Roman"/>
          <w:szCs w:val="24"/>
        </w:rPr>
        <w:t xml:space="preserve"> </w:t>
      </w:r>
      <w:r w:rsidR="00ED4003" w:rsidRPr="00A53C01">
        <w:rPr>
          <w:rFonts w:cs="Times New Roman"/>
          <w:szCs w:val="24"/>
        </w:rPr>
        <w:t>are predominant</w:t>
      </w:r>
      <w:r w:rsidR="005D6AE7" w:rsidRPr="00A53C01">
        <w:rPr>
          <w:rFonts w:cs="Times New Roman"/>
          <w:szCs w:val="24"/>
        </w:rPr>
        <w:t xml:space="preserve"> (Kreutz, 2004; Vennesson, 2007)</w:t>
      </w:r>
      <w:r w:rsidR="001B3854" w:rsidRPr="00A53C01">
        <w:rPr>
          <w:rFonts w:cs="Times New Roman"/>
          <w:szCs w:val="24"/>
        </w:rPr>
        <w:t>,</w:t>
      </w:r>
      <w:r w:rsidR="005D6AE7" w:rsidRPr="00A53C01">
        <w:rPr>
          <w:rFonts w:cs="Times New Roman"/>
          <w:szCs w:val="24"/>
        </w:rPr>
        <w:t xml:space="preserve"> with some</w:t>
      </w:r>
      <w:r w:rsidR="001B3854" w:rsidRPr="00A53C01">
        <w:rPr>
          <w:rFonts w:cs="Times New Roman"/>
          <w:szCs w:val="24"/>
        </w:rPr>
        <w:t xml:space="preserve"> rendering the US as an</w:t>
      </w:r>
      <w:r w:rsidR="00BC59AB" w:rsidRPr="00A53C01">
        <w:rPr>
          <w:rFonts w:cs="Times New Roman"/>
          <w:szCs w:val="24"/>
        </w:rPr>
        <w:t xml:space="preserve"> external actor impacting upon </w:t>
      </w:r>
      <w:r w:rsidR="00ED4003" w:rsidRPr="00A53C01">
        <w:rPr>
          <w:rFonts w:cs="Times New Roman"/>
          <w:szCs w:val="24"/>
        </w:rPr>
        <w:t>internal</w:t>
      </w:r>
      <w:r w:rsidR="00BC59AB" w:rsidRPr="00A53C01">
        <w:rPr>
          <w:rFonts w:cs="Times New Roman"/>
          <w:szCs w:val="24"/>
        </w:rPr>
        <w:t xml:space="preserve"> EU</w:t>
      </w:r>
      <w:r w:rsidR="001B3854" w:rsidRPr="00A53C01">
        <w:rPr>
          <w:rFonts w:cs="Times New Roman"/>
          <w:szCs w:val="24"/>
        </w:rPr>
        <w:t xml:space="preserve"> </w:t>
      </w:r>
      <w:r w:rsidR="00ED4003" w:rsidRPr="00A53C01">
        <w:rPr>
          <w:rFonts w:cs="Times New Roman"/>
          <w:szCs w:val="24"/>
        </w:rPr>
        <w:t>deliberations</w:t>
      </w:r>
      <w:r w:rsidR="001B3854" w:rsidRPr="00A53C01">
        <w:rPr>
          <w:rFonts w:cs="Times New Roman"/>
          <w:szCs w:val="24"/>
        </w:rPr>
        <w:t xml:space="preserve"> (see Stumbaum, 2009</w:t>
      </w:r>
      <w:r w:rsidR="00C657E1" w:rsidRPr="00A53C01">
        <w:rPr>
          <w:rFonts w:cs="Times New Roman"/>
          <w:szCs w:val="24"/>
        </w:rPr>
        <w:t>;</w:t>
      </w:r>
      <w:r w:rsidR="001B3854" w:rsidRPr="00A53C01">
        <w:rPr>
          <w:rFonts w:cs="Times New Roman"/>
          <w:szCs w:val="24"/>
        </w:rPr>
        <w:t xml:space="preserve"> Casarini, 2009). </w:t>
      </w:r>
      <w:r w:rsidR="00C657E1" w:rsidRPr="00A53C01">
        <w:rPr>
          <w:rFonts w:cs="Times New Roman"/>
          <w:szCs w:val="24"/>
        </w:rPr>
        <w:t>Privileging</w:t>
      </w:r>
      <w:r w:rsidR="001B3854" w:rsidRPr="00A53C01">
        <w:rPr>
          <w:rFonts w:cs="Times New Roman"/>
          <w:szCs w:val="24"/>
        </w:rPr>
        <w:t xml:space="preserve"> the</w:t>
      </w:r>
      <w:r w:rsidR="00ED4003" w:rsidRPr="00A53C01">
        <w:rPr>
          <w:rFonts w:cs="Times New Roman"/>
          <w:szCs w:val="24"/>
        </w:rPr>
        <w:t>se</w:t>
      </w:r>
      <w:r w:rsidR="001B3854" w:rsidRPr="00A53C01">
        <w:rPr>
          <w:rFonts w:cs="Times New Roman"/>
          <w:szCs w:val="24"/>
        </w:rPr>
        <w:t xml:space="preserve"> dynamics</w:t>
      </w:r>
      <w:r w:rsidR="00C062DC" w:rsidRPr="00A53C01">
        <w:rPr>
          <w:rFonts w:cs="Times New Roman"/>
          <w:szCs w:val="24"/>
        </w:rPr>
        <w:t xml:space="preserve"> necessarily</w:t>
      </w:r>
      <w:r w:rsidR="001B3854" w:rsidRPr="00A53C01">
        <w:rPr>
          <w:rFonts w:cs="Times New Roman"/>
          <w:szCs w:val="24"/>
        </w:rPr>
        <w:t xml:space="preserve"> </w:t>
      </w:r>
      <w:r w:rsidR="00E06DBC" w:rsidRPr="00A53C01">
        <w:rPr>
          <w:rFonts w:cs="Times New Roman"/>
          <w:szCs w:val="24"/>
        </w:rPr>
        <w:t>precludes</w:t>
      </w:r>
      <w:r w:rsidR="001B3854" w:rsidRPr="00A53C01">
        <w:rPr>
          <w:rFonts w:cs="Times New Roman"/>
          <w:szCs w:val="24"/>
        </w:rPr>
        <w:t xml:space="preserve"> </w:t>
      </w:r>
      <w:r w:rsidR="00C062DC" w:rsidRPr="00A53C01">
        <w:rPr>
          <w:rFonts w:cs="Times New Roman"/>
          <w:szCs w:val="24"/>
        </w:rPr>
        <w:t>in-depth analysis</w:t>
      </w:r>
      <w:r w:rsidR="00F04022" w:rsidRPr="00A53C01">
        <w:rPr>
          <w:rFonts w:cs="Times New Roman"/>
          <w:szCs w:val="24"/>
        </w:rPr>
        <w:t xml:space="preserve"> of the EU-US</w:t>
      </w:r>
      <w:r w:rsidR="001B3854" w:rsidRPr="00A53C01">
        <w:rPr>
          <w:rFonts w:cs="Times New Roman"/>
          <w:szCs w:val="24"/>
        </w:rPr>
        <w:t xml:space="preserve"> debate</w:t>
      </w:r>
      <w:r w:rsidR="00F04022" w:rsidRPr="00A53C01">
        <w:rPr>
          <w:rFonts w:cs="Times New Roman"/>
          <w:szCs w:val="24"/>
        </w:rPr>
        <w:t>; this article redress</w:t>
      </w:r>
      <w:r w:rsidR="00995692" w:rsidRPr="00A53C01">
        <w:rPr>
          <w:rFonts w:cs="Times New Roman"/>
          <w:szCs w:val="24"/>
        </w:rPr>
        <w:t>es</w:t>
      </w:r>
      <w:r w:rsidR="00F04022" w:rsidRPr="00A53C01">
        <w:rPr>
          <w:rFonts w:cs="Times New Roman"/>
          <w:szCs w:val="24"/>
        </w:rPr>
        <w:t xml:space="preserve"> the </w:t>
      </w:r>
      <w:r w:rsidR="00021733" w:rsidRPr="00A53C01">
        <w:rPr>
          <w:rFonts w:cs="Times New Roman"/>
          <w:szCs w:val="24"/>
        </w:rPr>
        <w:t>imbalance, offering a more nuanced</w:t>
      </w:r>
      <w:r w:rsidR="005D6AE7" w:rsidRPr="00A53C01">
        <w:rPr>
          <w:rFonts w:cs="Times New Roman"/>
          <w:szCs w:val="24"/>
        </w:rPr>
        <w:t xml:space="preserve"> and theoretically-informed understanding of the debate’s significance, and why we witnessed an </w:t>
      </w:r>
      <w:r w:rsidR="00ED4003" w:rsidRPr="00A53C01">
        <w:rPr>
          <w:rFonts w:cs="Times New Roman"/>
          <w:szCs w:val="24"/>
        </w:rPr>
        <w:t>outcome where the embargo remained</w:t>
      </w:r>
      <w:r w:rsidR="00021733" w:rsidRPr="00A53C01">
        <w:rPr>
          <w:rFonts w:cs="Times New Roman"/>
          <w:szCs w:val="24"/>
        </w:rPr>
        <w:t xml:space="preserve"> yet le</w:t>
      </w:r>
      <w:r w:rsidR="00ED4003" w:rsidRPr="00A53C01">
        <w:rPr>
          <w:rFonts w:cs="Times New Roman"/>
          <w:szCs w:val="24"/>
        </w:rPr>
        <w:t>ft</w:t>
      </w:r>
      <w:r w:rsidR="00021733" w:rsidRPr="00A53C01">
        <w:rPr>
          <w:rFonts w:cs="Times New Roman"/>
          <w:szCs w:val="24"/>
        </w:rPr>
        <w:t xml:space="preserve"> all sides essentially dissatisfied</w:t>
      </w:r>
      <w:r w:rsidR="00ED4003" w:rsidRPr="00A53C01">
        <w:rPr>
          <w:rFonts w:cs="Times New Roman"/>
          <w:szCs w:val="24"/>
        </w:rPr>
        <w:t>.</w:t>
      </w:r>
    </w:p>
    <w:p w14:paraId="2B59EEC7" w14:textId="77777777" w:rsidR="00DF430C" w:rsidRDefault="00DF430C" w:rsidP="00A53C01">
      <w:pPr>
        <w:spacing w:line="312" w:lineRule="auto"/>
        <w:rPr>
          <w:rFonts w:cs="Times New Roman"/>
          <w:szCs w:val="24"/>
        </w:rPr>
      </w:pPr>
    </w:p>
    <w:p w14:paraId="27FCD72C" w14:textId="77777777" w:rsidR="00DF430C" w:rsidRPr="00DF430C" w:rsidRDefault="00DF430C" w:rsidP="00DF430C">
      <w:pPr>
        <w:spacing w:line="312" w:lineRule="auto"/>
        <w:rPr>
          <w:rFonts w:cs="Times New Roman"/>
          <w:szCs w:val="24"/>
        </w:rPr>
      </w:pPr>
      <w:r w:rsidRPr="00DF430C">
        <w:rPr>
          <w:rFonts w:cs="Times New Roman"/>
          <w:szCs w:val="24"/>
        </w:rPr>
        <w:t xml:space="preserve">Broad studies of EU-China relations routinely touch upon the embargo issue, with a tendency to identify the US’s objections as the causal factor in the EU abandoning its plans (e.g. Ruan, 2008). This has translated into ‘received wisdom’, as demonstrated by a recent media article claiming that the policy was kept “only after </w:t>
      </w:r>
      <w:r w:rsidRPr="00DF430C">
        <w:rPr>
          <w:rFonts w:cs="Times New Roman"/>
          <w:i/>
          <w:szCs w:val="24"/>
        </w:rPr>
        <w:t>last-minute intervention</w:t>
      </w:r>
      <w:r w:rsidRPr="00DF430C">
        <w:rPr>
          <w:rFonts w:cs="Times New Roman"/>
          <w:szCs w:val="24"/>
        </w:rPr>
        <w:t xml:space="preserve"> by President George W. Bush’s administration” [emphasis added] (Brands, 2018). This oversimplifies the empirics, as US opposition was explicit from the outset and, even when arguments intensified, did not prevent the EU from closing in on consensus around lifting. Shortly after assuming the rotating Council Presidency, the Dutch Prime Minister was told by the US ambassador that the issue was “quickly rising to the top of the US-EU agenda” (US Embassy Netherlands, 2004Xa). Attributing the EU’s ultimate retention of the embargo to US pressure is problematic given the delay of approximately fifteen months from the initiation of the transatlantic debate to the cessation of the movement towards lifting. The value of Securitization Theory is demonstrated in relation to analysing the divergence in US and EU positions in relation to the embargo, and also </w:t>
      </w:r>
      <w:r w:rsidRPr="00DF430C">
        <w:rPr>
          <w:rFonts w:cs="Times New Roman"/>
          <w:szCs w:val="24"/>
        </w:rPr>
        <w:lastRenderedPageBreak/>
        <w:t xml:space="preserve">with respect to Western policymakers’ perceptions of - and policy preferences in response to - the ‘rise’ of China more broadly.  </w:t>
      </w:r>
    </w:p>
    <w:p w14:paraId="0CDBC3A5" w14:textId="77777777" w:rsidR="00DF430C" w:rsidRPr="00DF430C" w:rsidRDefault="00DF430C" w:rsidP="00DF430C">
      <w:pPr>
        <w:spacing w:line="312" w:lineRule="auto"/>
        <w:rPr>
          <w:rFonts w:cs="Times New Roman"/>
          <w:szCs w:val="24"/>
        </w:rPr>
      </w:pPr>
    </w:p>
    <w:p w14:paraId="664E28C2" w14:textId="77777777" w:rsidR="00021733" w:rsidRPr="00A53C01" w:rsidRDefault="00021733" w:rsidP="00A53C01">
      <w:pPr>
        <w:spacing w:line="312" w:lineRule="auto"/>
        <w:rPr>
          <w:rFonts w:cs="Times New Roman"/>
          <w:szCs w:val="24"/>
        </w:rPr>
      </w:pPr>
    </w:p>
    <w:p w14:paraId="474E50D1" w14:textId="77777777" w:rsidR="00860EF0" w:rsidRPr="00A53C01" w:rsidRDefault="00860EF0" w:rsidP="00A53C01">
      <w:pPr>
        <w:spacing w:line="312" w:lineRule="auto"/>
        <w:rPr>
          <w:rFonts w:cs="Times New Roman"/>
          <w:szCs w:val="24"/>
        </w:rPr>
      </w:pPr>
    </w:p>
    <w:p w14:paraId="4BE97D86" w14:textId="77777777" w:rsidR="001327A8" w:rsidRPr="00A53C01" w:rsidRDefault="001327A8" w:rsidP="00A53C01">
      <w:pPr>
        <w:spacing w:line="312" w:lineRule="auto"/>
        <w:rPr>
          <w:rFonts w:cs="Times New Roman"/>
          <w:b/>
          <w:szCs w:val="24"/>
        </w:rPr>
      </w:pPr>
    </w:p>
    <w:p w14:paraId="2AD88B46" w14:textId="0353EB5F" w:rsidR="00862C33" w:rsidRPr="00A53C01" w:rsidRDefault="00DB4227" w:rsidP="00A53C01">
      <w:pPr>
        <w:pStyle w:val="SectionHeading"/>
        <w:spacing w:line="312" w:lineRule="auto"/>
        <w:rPr>
          <w:rFonts w:cs="Times New Roman"/>
          <w:b/>
          <w:szCs w:val="24"/>
        </w:rPr>
      </w:pPr>
      <w:r>
        <w:rPr>
          <w:rFonts w:cs="Times New Roman"/>
          <w:b/>
          <w:szCs w:val="24"/>
        </w:rPr>
        <w:t xml:space="preserve">3. </w:t>
      </w:r>
      <w:r w:rsidR="00CA5A55" w:rsidRPr="00A53C01">
        <w:rPr>
          <w:rFonts w:cs="Times New Roman"/>
          <w:b/>
          <w:szCs w:val="24"/>
        </w:rPr>
        <w:t>T</w:t>
      </w:r>
      <w:r w:rsidR="002A59F2" w:rsidRPr="00A53C01">
        <w:rPr>
          <w:rFonts w:cs="Times New Roman"/>
          <w:b/>
          <w:szCs w:val="24"/>
        </w:rPr>
        <w:t xml:space="preserve">he Transatlantic Security Space </w:t>
      </w:r>
      <w:r w:rsidR="00CA5A55" w:rsidRPr="00A53C01">
        <w:rPr>
          <w:rFonts w:cs="Times New Roman"/>
          <w:b/>
          <w:szCs w:val="24"/>
        </w:rPr>
        <w:t xml:space="preserve">as a Venue for Securitization </w:t>
      </w:r>
    </w:p>
    <w:p w14:paraId="2AAC95D3" w14:textId="03EB40EE" w:rsidR="00917A8B" w:rsidRPr="00A53C01" w:rsidRDefault="00DA4631" w:rsidP="00A53C01">
      <w:pPr>
        <w:spacing w:line="312" w:lineRule="auto"/>
        <w:rPr>
          <w:rFonts w:cs="Times New Roman"/>
          <w:szCs w:val="24"/>
        </w:rPr>
      </w:pPr>
      <w:r w:rsidRPr="00A53C01">
        <w:rPr>
          <w:rFonts w:cs="Times New Roman"/>
          <w:szCs w:val="24"/>
        </w:rPr>
        <w:t>In keeping with much of the securitization literature, discourse analysis is employed here as the methodological approach. The</w:t>
      </w:r>
      <w:r w:rsidR="0086748E" w:rsidRPr="00A53C01">
        <w:rPr>
          <w:rFonts w:cs="Times New Roman"/>
          <w:szCs w:val="24"/>
        </w:rPr>
        <w:t xml:space="preserve"> embargo</w:t>
      </w:r>
      <w:r w:rsidRPr="00A53C01">
        <w:rPr>
          <w:rFonts w:cs="Times New Roman"/>
          <w:szCs w:val="24"/>
        </w:rPr>
        <w:t xml:space="preserve"> debate in itself constitutes a single case study, but one that is layered: the</w:t>
      </w:r>
      <w:r w:rsidR="00871398" w:rsidRPr="00A53C01">
        <w:rPr>
          <w:rFonts w:cs="Times New Roman"/>
          <w:szCs w:val="24"/>
        </w:rPr>
        <w:t xml:space="preserve"> status of the EU’s</w:t>
      </w:r>
      <w:r w:rsidRPr="00A53C01">
        <w:rPr>
          <w:rFonts w:cs="Times New Roman"/>
          <w:szCs w:val="24"/>
        </w:rPr>
        <w:t xml:space="preserve"> embargo was successfully securitized within the US’s domestic security space, but not the transatlantic security space. </w:t>
      </w:r>
      <w:r w:rsidR="001510D0" w:rsidRPr="00A53C01">
        <w:rPr>
          <w:rFonts w:cs="Times New Roman"/>
          <w:szCs w:val="24"/>
        </w:rPr>
        <w:t>T</w:t>
      </w:r>
      <w:r w:rsidRPr="00A53C01">
        <w:rPr>
          <w:rFonts w:cs="Times New Roman"/>
          <w:szCs w:val="24"/>
        </w:rPr>
        <w:t xml:space="preserve">reating ‘securitization’ as </w:t>
      </w:r>
      <w:r w:rsidR="00A61849" w:rsidRPr="00A53C01">
        <w:rPr>
          <w:rFonts w:cs="Times New Roman"/>
          <w:szCs w:val="24"/>
        </w:rPr>
        <w:t>the</w:t>
      </w:r>
      <w:r w:rsidR="0086748E" w:rsidRPr="00A53C01">
        <w:rPr>
          <w:rFonts w:cs="Times New Roman"/>
          <w:szCs w:val="24"/>
        </w:rPr>
        <w:t xml:space="preserve"> explanandum</w:t>
      </w:r>
      <w:r w:rsidR="004B627F" w:rsidRPr="00A53C01">
        <w:rPr>
          <w:rFonts w:cs="Times New Roman"/>
          <w:szCs w:val="24"/>
        </w:rPr>
        <w:t xml:space="preserve"> (or dependent variable)</w:t>
      </w:r>
      <w:r w:rsidRPr="00A53C01">
        <w:rPr>
          <w:rFonts w:cs="Times New Roman"/>
          <w:szCs w:val="24"/>
        </w:rPr>
        <w:t>, we have the oppor</w:t>
      </w:r>
      <w:r w:rsidR="004B627F" w:rsidRPr="00A53C01">
        <w:rPr>
          <w:rFonts w:cs="Times New Roman"/>
          <w:szCs w:val="24"/>
        </w:rPr>
        <w:t xml:space="preserve">tunity to explore why we see a </w:t>
      </w:r>
      <w:r w:rsidR="001510D0" w:rsidRPr="00A53C01">
        <w:rPr>
          <w:rFonts w:cs="Times New Roman"/>
          <w:szCs w:val="24"/>
        </w:rPr>
        <w:t>negative</w:t>
      </w:r>
      <w:r w:rsidRPr="00A53C01">
        <w:rPr>
          <w:rFonts w:cs="Times New Roman"/>
          <w:szCs w:val="24"/>
        </w:rPr>
        <w:t xml:space="preserve"> outcome in </w:t>
      </w:r>
      <w:r w:rsidR="001510D0" w:rsidRPr="00A53C01">
        <w:rPr>
          <w:rFonts w:cs="Times New Roman"/>
          <w:szCs w:val="24"/>
        </w:rPr>
        <w:t xml:space="preserve">the main </w:t>
      </w:r>
      <w:r w:rsidR="004B627F" w:rsidRPr="00A53C01">
        <w:rPr>
          <w:rFonts w:cs="Times New Roman"/>
          <w:szCs w:val="24"/>
        </w:rPr>
        <w:t>venue</w:t>
      </w:r>
      <w:r w:rsidR="001510D0" w:rsidRPr="00A53C01">
        <w:rPr>
          <w:rFonts w:cs="Times New Roman"/>
          <w:szCs w:val="24"/>
        </w:rPr>
        <w:t xml:space="preserve"> of intere</w:t>
      </w:r>
      <w:r w:rsidR="004B627F" w:rsidRPr="00A53C01">
        <w:rPr>
          <w:rFonts w:cs="Times New Roman"/>
          <w:szCs w:val="24"/>
        </w:rPr>
        <w:t>st, despite a preceding positive</w:t>
      </w:r>
      <w:r w:rsidR="001510D0" w:rsidRPr="00A53C01">
        <w:rPr>
          <w:rFonts w:cs="Times New Roman"/>
          <w:szCs w:val="24"/>
        </w:rPr>
        <w:t xml:space="preserve"> outcome in another. It is necessary to set out that US policymakers regarded the retention of the EU’s embargo against China as an imperative for US security interests.</w:t>
      </w:r>
      <w:r w:rsidR="001510D0" w:rsidRPr="00A53C01">
        <w:rPr>
          <w:rStyle w:val="FootnoteReference"/>
          <w:rFonts w:cs="Times New Roman"/>
          <w:szCs w:val="24"/>
        </w:rPr>
        <w:footnoteReference w:id="2"/>
      </w:r>
      <w:r w:rsidR="001510D0" w:rsidRPr="00A53C01">
        <w:rPr>
          <w:rFonts w:cs="Times New Roman"/>
          <w:szCs w:val="24"/>
        </w:rPr>
        <w:t xml:space="preserve"> </w:t>
      </w:r>
      <w:r w:rsidRPr="00A53C01">
        <w:rPr>
          <w:rFonts w:cs="Times New Roman"/>
          <w:szCs w:val="24"/>
        </w:rPr>
        <w:t>The paper contributes to the section of</w:t>
      </w:r>
      <w:r w:rsidR="001510D0" w:rsidRPr="00A53C01">
        <w:rPr>
          <w:rFonts w:cs="Times New Roman"/>
          <w:szCs w:val="24"/>
        </w:rPr>
        <w:t xml:space="preserve"> the</w:t>
      </w:r>
      <w:r w:rsidRPr="00A53C01">
        <w:rPr>
          <w:rFonts w:cs="Times New Roman"/>
          <w:szCs w:val="24"/>
        </w:rPr>
        <w:t xml:space="preserve"> securitization literature </w:t>
      </w:r>
      <w:r w:rsidR="00A61849" w:rsidRPr="00A53C01">
        <w:rPr>
          <w:rFonts w:cs="Times New Roman"/>
          <w:szCs w:val="24"/>
        </w:rPr>
        <w:t>that</w:t>
      </w:r>
      <w:r w:rsidRPr="00A53C01">
        <w:rPr>
          <w:rFonts w:cs="Times New Roman"/>
          <w:szCs w:val="24"/>
        </w:rPr>
        <w:t xml:space="preserve"> demonstrates its theoretical utility for foreign policy outcomes without falling to the common selection bias of choosing a case study on the basis of a positive value for the dependent variable (Balzacq, 2011: 34). The </w:t>
      </w:r>
      <w:r w:rsidR="00917A8B" w:rsidRPr="00A53C01">
        <w:rPr>
          <w:rFonts w:cs="Times New Roman"/>
          <w:szCs w:val="24"/>
        </w:rPr>
        <w:t>timeframe</w:t>
      </w:r>
      <w:r w:rsidRPr="00A53C01">
        <w:rPr>
          <w:rFonts w:cs="Times New Roman"/>
          <w:szCs w:val="24"/>
        </w:rPr>
        <w:t xml:space="preserve"> of the study</w:t>
      </w:r>
      <w:r w:rsidR="00C81FB4" w:rsidRPr="00A53C01">
        <w:rPr>
          <w:rFonts w:cs="Times New Roman"/>
          <w:szCs w:val="24"/>
        </w:rPr>
        <w:t xml:space="preserve"> concentrates on</w:t>
      </w:r>
      <w:r w:rsidRPr="00A53C01">
        <w:rPr>
          <w:rFonts w:cs="Times New Roman"/>
          <w:szCs w:val="24"/>
        </w:rPr>
        <w:t xml:space="preserve"> the 2003-05 period - the duration of the</w:t>
      </w:r>
      <w:r w:rsidR="00A61849" w:rsidRPr="00A53C01">
        <w:rPr>
          <w:rFonts w:cs="Times New Roman"/>
          <w:szCs w:val="24"/>
        </w:rPr>
        <w:t xml:space="preserve"> substantive</w:t>
      </w:r>
      <w:r w:rsidRPr="00A53C01">
        <w:rPr>
          <w:rFonts w:cs="Times New Roman"/>
          <w:szCs w:val="24"/>
        </w:rPr>
        <w:t xml:space="preserve"> transatlantic debate. Although the issue remains alive (albeit dormant), the US effectively </w:t>
      </w:r>
      <w:r w:rsidR="001510D0" w:rsidRPr="00A53C01">
        <w:rPr>
          <w:rFonts w:cs="Times New Roman"/>
          <w:szCs w:val="24"/>
        </w:rPr>
        <w:t>ceased</w:t>
      </w:r>
      <w:r w:rsidRPr="00A53C01">
        <w:rPr>
          <w:rFonts w:cs="Times New Roman"/>
          <w:szCs w:val="24"/>
        </w:rPr>
        <w:t xml:space="preserve"> securitization moves because the EU was clearly not going to lift the embargo any time soon</w:t>
      </w:r>
      <w:r w:rsidR="00C81FB4" w:rsidRPr="00A53C01">
        <w:rPr>
          <w:rFonts w:cs="Times New Roman"/>
          <w:szCs w:val="24"/>
        </w:rPr>
        <w:t>.</w:t>
      </w:r>
      <w:r w:rsidRPr="00A53C01">
        <w:rPr>
          <w:rFonts w:cs="Times New Roman"/>
          <w:szCs w:val="24"/>
        </w:rPr>
        <w:t xml:space="preserve"> </w:t>
      </w:r>
      <w:r w:rsidR="00C81FB4" w:rsidRPr="00A53C01">
        <w:rPr>
          <w:rFonts w:cs="Times New Roman"/>
          <w:szCs w:val="24"/>
        </w:rPr>
        <w:t>T</w:t>
      </w:r>
      <w:r w:rsidR="004B627F" w:rsidRPr="00A53C01">
        <w:rPr>
          <w:rFonts w:cs="Times New Roman"/>
          <w:szCs w:val="24"/>
        </w:rPr>
        <w:t>hus</w:t>
      </w:r>
      <w:r w:rsidRPr="00A53C01">
        <w:rPr>
          <w:rFonts w:cs="Times New Roman"/>
          <w:szCs w:val="24"/>
        </w:rPr>
        <w:t xml:space="preserve"> the</w:t>
      </w:r>
      <w:r w:rsidR="004B627F" w:rsidRPr="00A53C01">
        <w:rPr>
          <w:rFonts w:cs="Times New Roman"/>
          <w:szCs w:val="24"/>
        </w:rPr>
        <w:t xml:space="preserve"> urgency of</w:t>
      </w:r>
      <w:r w:rsidRPr="00A53C01">
        <w:rPr>
          <w:rFonts w:cs="Times New Roman"/>
          <w:szCs w:val="24"/>
        </w:rPr>
        <w:t xml:space="preserve"> </w:t>
      </w:r>
      <w:r w:rsidR="004B627F" w:rsidRPr="00A53C01">
        <w:rPr>
          <w:rFonts w:cs="Times New Roman"/>
          <w:szCs w:val="24"/>
        </w:rPr>
        <w:t>getting the E</w:t>
      </w:r>
      <w:r w:rsidR="00D16546">
        <w:rPr>
          <w:rFonts w:cs="Times New Roman"/>
          <w:szCs w:val="24"/>
        </w:rPr>
        <w:t>uropean</w:t>
      </w:r>
      <w:r w:rsidR="004B627F" w:rsidRPr="00A53C01">
        <w:rPr>
          <w:rFonts w:cs="Times New Roman"/>
          <w:szCs w:val="24"/>
        </w:rPr>
        <w:t xml:space="preserve"> audience to accept</w:t>
      </w:r>
      <w:r w:rsidRPr="00A53C01">
        <w:rPr>
          <w:rFonts w:cs="Times New Roman"/>
          <w:szCs w:val="24"/>
        </w:rPr>
        <w:t xml:space="preserve"> their security concerns (formally, what we would consider ‘successful’ securitization)</w:t>
      </w:r>
      <w:r w:rsidR="004B627F" w:rsidRPr="00A53C01">
        <w:rPr>
          <w:rFonts w:cs="Times New Roman"/>
          <w:szCs w:val="24"/>
        </w:rPr>
        <w:t xml:space="preserve"> diminished. </w:t>
      </w:r>
      <w:r w:rsidR="00C81FB4" w:rsidRPr="00A53C01">
        <w:rPr>
          <w:rFonts w:cs="Times New Roman"/>
          <w:szCs w:val="24"/>
        </w:rPr>
        <w:t>T</w:t>
      </w:r>
      <w:r w:rsidR="00917A8B" w:rsidRPr="00A53C01">
        <w:rPr>
          <w:rFonts w:cs="Times New Roman"/>
          <w:szCs w:val="24"/>
        </w:rPr>
        <w:t>he paper</w:t>
      </w:r>
      <w:r w:rsidR="0003579C" w:rsidRPr="00A53C01">
        <w:rPr>
          <w:rFonts w:cs="Times New Roman"/>
          <w:szCs w:val="24"/>
        </w:rPr>
        <w:t xml:space="preserve"> underscore</w:t>
      </w:r>
      <w:r w:rsidR="00C81FB4" w:rsidRPr="00A53C01">
        <w:rPr>
          <w:rFonts w:cs="Times New Roman"/>
          <w:szCs w:val="24"/>
        </w:rPr>
        <w:t>s</w:t>
      </w:r>
      <w:r w:rsidR="0003579C" w:rsidRPr="00A53C01">
        <w:rPr>
          <w:rFonts w:cs="Times New Roman"/>
          <w:szCs w:val="24"/>
        </w:rPr>
        <w:t xml:space="preserve"> the continued non-securitization of the embargo within the EU via examination of </w:t>
      </w:r>
      <w:r w:rsidR="00C81FB4" w:rsidRPr="00A53C01">
        <w:rPr>
          <w:rFonts w:cs="Times New Roman"/>
          <w:szCs w:val="24"/>
        </w:rPr>
        <w:t xml:space="preserve">instances when the issue has been reopened. </w:t>
      </w:r>
    </w:p>
    <w:p w14:paraId="4A8EF41D" w14:textId="77777777" w:rsidR="00CB410F" w:rsidRPr="00A53C01" w:rsidRDefault="00CB410F" w:rsidP="00A53C01">
      <w:pPr>
        <w:spacing w:line="312" w:lineRule="auto"/>
        <w:rPr>
          <w:rFonts w:cs="Times New Roman"/>
          <w:szCs w:val="24"/>
        </w:rPr>
      </w:pPr>
    </w:p>
    <w:p w14:paraId="0CFEDEA4" w14:textId="60F4D05F" w:rsidR="004871AF" w:rsidRPr="00A53C01" w:rsidRDefault="00D96E28" w:rsidP="00A53C01">
      <w:pPr>
        <w:spacing w:line="312" w:lineRule="auto"/>
        <w:rPr>
          <w:rFonts w:cs="Times New Roman"/>
          <w:szCs w:val="24"/>
        </w:rPr>
      </w:pPr>
      <w:r w:rsidRPr="00A53C01">
        <w:rPr>
          <w:rFonts w:cs="Times New Roman"/>
          <w:szCs w:val="24"/>
        </w:rPr>
        <w:t>The utility of d</w:t>
      </w:r>
      <w:r w:rsidR="00917A8B" w:rsidRPr="00A53C01">
        <w:rPr>
          <w:rFonts w:cs="Times New Roman"/>
          <w:szCs w:val="24"/>
        </w:rPr>
        <w:t>iscourse analysis</w:t>
      </w:r>
      <w:r w:rsidRPr="00A53C01">
        <w:rPr>
          <w:rFonts w:cs="Times New Roman"/>
          <w:szCs w:val="24"/>
        </w:rPr>
        <w:t xml:space="preserve"> with respect to</w:t>
      </w:r>
      <w:r w:rsidR="00917A8B" w:rsidRPr="00A53C01">
        <w:rPr>
          <w:rFonts w:cs="Times New Roman"/>
          <w:szCs w:val="24"/>
        </w:rPr>
        <w:t xml:space="preserve"> securitization processes </w:t>
      </w:r>
      <w:r w:rsidR="00F662EA" w:rsidRPr="00A53C01">
        <w:rPr>
          <w:rFonts w:cs="Times New Roman"/>
          <w:szCs w:val="24"/>
        </w:rPr>
        <w:t>lies in</w:t>
      </w:r>
      <w:r w:rsidR="00917A8B" w:rsidRPr="00A53C01">
        <w:rPr>
          <w:rFonts w:cs="Times New Roman"/>
          <w:szCs w:val="24"/>
        </w:rPr>
        <w:t xml:space="preserve"> its capacity to facilitate the “[mapping of] the emergence and evolution of patterns of representations which are constitutive of a threat image” (Balzacq, 2011: 39). Here, I examine the patterns of representations used by US policymakers to construct a threat image of China in order to persuade their intended audience - EU p</w:t>
      </w:r>
      <w:r w:rsidR="00B81FDA" w:rsidRPr="00A53C01">
        <w:rPr>
          <w:rFonts w:cs="Times New Roman"/>
          <w:szCs w:val="24"/>
        </w:rPr>
        <w:t>olicymakers - to retain the</w:t>
      </w:r>
      <w:r w:rsidR="00917A8B" w:rsidRPr="00A53C01">
        <w:rPr>
          <w:rFonts w:cs="Times New Roman"/>
          <w:szCs w:val="24"/>
        </w:rPr>
        <w:t xml:space="preserve"> embargo</w:t>
      </w:r>
      <w:r w:rsidR="00C81FB4" w:rsidRPr="00A53C01">
        <w:rPr>
          <w:rFonts w:cs="Times New Roman"/>
          <w:szCs w:val="24"/>
        </w:rPr>
        <w:t xml:space="preserve"> and EU responses to these. </w:t>
      </w:r>
      <w:r w:rsidR="00917A8B" w:rsidRPr="00A53C01">
        <w:rPr>
          <w:rFonts w:cs="Times New Roman"/>
          <w:szCs w:val="24"/>
        </w:rPr>
        <w:t xml:space="preserve"> </w:t>
      </w:r>
      <w:r w:rsidR="0000218A" w:rsidRPr="00A53C01">
        <w:rPr>
          <w:rFonts w:cs="Times New Roman"/>
          <w:szCs w:val="24"/>
        </w:rPr>
        <w:t>The substance of the discourse was analysed by drawing on a variety o</w:t>
      </w:r>
      <w:r w:rsidR="00687757" w:rsidRPr="00A53C01">
        <w:rPr>
          <w:rFonts w:cs="Times New Roman"/>
          <w:szCs w:val="24"/>
        </w:rPr>
        <w:t>f primary and secondary sources; g</w:t>
      </w:r>
      <w:r w:rsidR="0000218A" w:rsidRPr="00A53C01">
        <w:rPr>
          <w:rFonts w:cs="Times New Roman"/>
          <w:szCs w:val="24"/>
        </w:rPr>
        <w:t xml:space="preserve">overnment documents, press releases, and other publicly available output were obtained through comprehensive online </w:t>
      </w:r>
      <w:r w:rsidR="0000218A" w:rsidRPr="00A53C01">
        <w:rPr>
          <w:rFonts w:cs="Times New Roman"/>
          <w:szCs w:val="24"/>
        </w:rPr>
        <w:lastRenderedPageBreak/>
        <w:t xml:space="preserve">searches. </w:t>
      </w:r>
      <w:r w:rsidR="00C81FB4" w:rsidRPr="00A53C01">
        <w:rPr>
          <w:rFonts w:cs="Times New Roman"/>
          <w:szCs w:val="24"/>
        </w:rPr>
        <w:t>L</w:t>
      </w:r>
      <w:r w:rsidR="0000218A" w:rsidRPr="00A53C01">
        <w:rPr>
          <w:rFonts w:cs="Times New Roman"/>
          <w:szCs w:val="24"/>
        </w:rPr>
        <w:t>eaked diplomatic cables that were made available by the WikiLeaks website serve as a ‘fresh’ resource in analysis of the debate.</w:t>
      </w:r>
      <w:r w:rsidR="00C56F25" w:rsidRPr="00A53C01">
        <w:rPr>
          <w:rFonts w:cs="Times New Roman"/>
          <w:szCs w:val="24"/>
        </w:rPr>
        <w:t xml:space="preserve"> </w:t>
      </w:r>
      <w:r w:rsidR="00FE11BB" w:rsidRPr="00A53C01">
        <w:rPr>
          <w:rFonts w:cs="Times New Roman"/>
          <w:szCs w:val="24"/>
        </w:rPr>
        <w:t>A total of 1</w:t>
      </w:r>
      <w:r w:rsidR="00813E36" w:rsidRPr="00A53C01">
        <w:rPr>
          <w:rFonts w:cs="Times New Roman"/>
          <w:szCs w:val="24"/>
        </w:rPr>
        <w:t>21</w:t>
      </w:r>
      <w:r w:rsidR="00C56F25" w:rsidRPr="00A53C01">
        <w:rPr>
          <w:rFonts w:cs="Times New Roman"/>
          <w:szCs w:val="24"/>
        </w:rPr>
        <w:t xml:space="preserve"> cables</w:t>
      </w:r>
      <w:r w:rsidR="00687757" w:rsidRPr="00A53C01">
        <w:rPr>
          <w:rFonts w:cs="Times New Roman"/>
          <w:szCs w:val="24"/>
        </w:rPr>
        <w:t xml:space="preserve"> mentioning the EU’s</w:t>
      </w:r>
      <w:r w:rsidRPr="00A53C01">
        <w:rPr>
          <w:rFonts w:cs="Times New Roman"/>
          <w:szCs w:val="24"/>
        </w:rPr>
        <w:t xml:space="preserve"> embargo were </w:t>
      </w:r>
      <w:r w:rsidR="00DA6B4F" w:rsidRPr="00A53C01">
        <w:rPr>
          <w:rFonts w:cs="Times New Roman"/>
          <w:szCs w:val="24"/>
        </w:rPr>
        <w:t>analysed</w:t>
      </w:r>
      <w:r w:rsidR="00414C2F" w:rsidRPr="00A53C01">
        <w:rPr>
          <w:rFonts w:cs="Times New Roman"/>
          <w:szCs w:val="24"/>
        </w:rPr>
        <w:t xml:space="preserve"> to obtain</w:t>
      </w:r>
      <w:r w:rsidR="00DD312A" w:rsidRPr="00A53C01">
        <w:rPr>
          <w:rFonts w:cs="Times New Roman"/>
          <w:szCs w:val="24"/>
        </w:rPr>
        <w:t xml:space="preserve"> </w:t>
      </w:r>
      <w:r w:rsidR="00F66DDA" w:rsidRPr="00A53C01">
        <w:rPr>
          <w:rFonts w:cs="Times New Roman"/>
          <w:szCs w:val="24"/>
        </w:rPr>
        <w:t>considerable new</w:t>
      </w:r>
      <w:r w:rsidR="0000218A" w:rsidRPr="00A53C01">
        <w:rPr>
          <w:rFonts w:cs="Times New Roman"/>
          <w:szCs w:val="24"/>
        </w:rPr>
        <w:t xml:space="preserve"> insight</w:t>
      </w:r>
      <w:r w:rsidR="00F66DDA" w:rsidRPr="00A53C01">
        <w:rPr>
          <w:rFonts w:cs="Times New Roman"/>
          <w:szCs w:val="24"/>
        </w:rPr>
        <w:t>s</w:t>
      </w:r>
      <w:r w:rsidR="00993CD8" w:rsidRPr="00A53C01">
        <w:rPr>
          <w:rFonts w:cs="Times New Roman"/>
          <w:szCs w:val="24"/>
        </w:rPr>
        <w:t xml:space="preserve"> into the US’s</w:t>
      </w:r>
      <w:r w:rsidR="0000218A" w:rsidRPr="00A53C01">
        <w:rPr>
          <w:rFonts w:cs="Times New Roman"/>
          <w:szCs w:val="24"/>
        </w:rPr>
        <w:t xml:space="preserve"> perspective and the</w:t>
      </w:r>
      <w:r w:rsidR="00993CD8" w:rsidRPr="00A53C01">
        <w:rPr>
          <w:rFonts w:cs="Times New Roman"/>
          <w:szCs w:val="24"/>
        </w:rPr>
        <w:t xml:space="preserve"> substance of the</w:t>
      </w:r>
      <w:r w:rsidR="0000218A" w:rsidRPr="00A53C01">
        <w:rPr>
          <w:rFonts w:cs="Times New Roman"/>
          <w:szCs w:val="24"/>
        </w:rPr>
        <w:t xml:space="preserve"> efforts made to persuade EU policymakers.</w:t>
      </w:r>
      <w:r w:rsidR="00F66DDA" w:rsidRPr="00A53C01">
        <w:rPr>
          <w:rFonts w:cs="Times New Roman"/>
          <w:szCs w:val="24"/>
        </w:rPr>
        <w:t xml:space="preserve"> Media </w:t>
      </w:r>
      <w:r w:rsidR="00C81FB4" w:rsidRPr="00A53C01">
        <w:rPr>
          <w:rFonts w:cs="Times New Roman"/>
          <w:szCs w:val="24"/>
        </w:rPr>
        <w:t>output</w:t>
      </w:r>
      <w:r w:rsidR="00F66DDA" w:rsidRPr="00A53C01">
        <w:rPr>
          <w:rFonts w:cs="Times New Roman"/>
          <w:szCs w:val="24"/>
        </w:rPr>
        <w:t xml:space="preserve"> provide</w:t>
      </w:r>
      <w:r w:rsidR="00C81FB4" w:rsidRPr="00A53C01">
        <w:rPr>
          <w:rFonts w:cs="Times New Roman"/>
          <w:szCs w:val="24"/>
        </w:rPr>
        <w:t>s</w:t>
      </w:r>
      <w:r w:rsidR="00F66DDA" w:rsidRPr="00A53C01">
        <w:rPr>
          <w:rFonts w:cs="Times New Roman"/>
          <w:szCs w:val="24"/>
        </w:rPr>
        <w:t xml:space="preserve"> direct quotations (speech acts) by relevant actors that were not recorded </w:t>
      </w:r>
      <w:r w:rsidRPr="00A53C01">
        <w:rPr>
          <w:rFonts w:cs="Times New Roman"/>
          <w:szCs w:val="24"/>
        </w:rPr>
        <w:t>elsewhere</w:t>
      </w:r>
      <w:r w:rsidR="00F66DDA" w:rsidRPr="00A53C01">
        <w:rPr>
          <w:rFonts w:cs="Times New Roman"/>
          <w:szCs w:val="24"/>
        </w:rPr>
        <w:t xml:space="preserve">. </w:t>
      </w:r>
      <w:r w:rsidR="00C81FB4" w:rsidRPr="00A53C01">
        <w:rPr>
          <w:rFonts w:cs="Times New Roman"/>
          <w:szCs w:val="24"/>
        </w:rPr>
        <w:t>D</w:t>
      </w:r>
      <w:r w:rsidR="00F66DDA" w:rsidRPr="00A53C01">
        <w:rPr>
          <w:rFonts w:cs="Times New Roman"/>
          <w:szCs w:val="24"/>
        </w:rPr>
        <w:t>iscourse analysis is complemented by</w:t>
      </w:r>
      <w:r w:rsidRPr="00A53C01">
        <w:rPr>
          <w:rFonts w:cs="Times New Roman"/>
          <w:szCs w:val="24"/>
        </w:rPr>
        <w:t xml:space="preserve"> drawing on</w:t>
      </w:r>
      <w:r w:rsidR="00F66DDA" w:rsidRPr="00A53C01">
        <w:rPr>
          <w:rFonts w:cs="Times New Roman"/>
          <w:szCs w:val="24"/>
        </w:rPr>
        <w:t xml:space="preserve"> semi-structured interviews with</w:t>
      </w:r>
      <w:r w:rsidRPr="00A53C01">
        <w:rPr>
          <w:rFonts w:cs="Times New Roman"/>
          <w:szCs w:val="24"/>
        </w:rPr>
        <w:t xml:space="preserve"> US and EU</w:t>
      </w:r>
      <w:r w:rsidR="00F66DDA" w:rsidRPr="00A53C01">
        <w:rPr>
          <w:rFonts w:cs="Times New Roman"/>
          <w:szCs w:val="24"/>
        </w:rPr>
        <w:t xml:space="preserve"> policy</w:t>
      </w:r>
      <w:r w:rsidR="00C81FB4" w:rsidRPr="00A53C01">
        <w:rPr>
          <w:rFonts w:cs="Times New Roman"/>
          <w:szCs w:val="24"/>
        </w:rPr>
        <w:t>makers</w:t>
      </w:r>
      <w:r w:rsidR="00F66DDA" w:rsidRPr="00A53C01">
        <w:rPr>
          <w:rFonts w:cs="Times New Roman"/>
          <w:szCs w:val="24"/>
        </w:rPr>
        <w:t xml:space="preserve"> </w:t>
      </w:r>
      <w:r w:rsidR="00FE11BB" w:rsidRPr="00A53C01">
        <w:rPr>
          <w:rFonts w:cs="Times New Roman"/>
          <w:szCs w:val="24"/>
        </w:rPr>
        <w:t>that I</w:t>
      </w:r>
      <w:r w:rsidR="00F66DDA" w:rsidRPr="00A53C01">
        <w:rPr>
          <w:rFonts w:cs="Times New Roman"/>
          <w:szCs w:val="24"/>
        </w:rPr>
        <w:t xml:space="preserve"> conduc</w:t>
      </w:r>
      <w:r w:rsidR="00A15715" w:rsidRPr="00A53C01">
        <w:rPr>
          <w:rFonts w:cs="Times New Roman"/>
          <w:szCs w:val="24"/>
        </w:rPr>
        <w:t xml:space="preserve">ted </w:t>
      </w:r>
      <w:r w:rsidR="00DD312A" w:rsidRPr="00A53C01">
        <w:rPr>
          <w:rFonts w:cs="Times New Roman"/>
          <w:szCs w:val="24"/>
        </w:rPr>
        <w:t>during</w:t>
      </w:r>
      <w:r w:rsidR="00A15715" w:rsidRPr="00A53C01">
        <w:rPr>
          <w:rFonts w:cs="Times New Roman"/>
          <w:szCs w:val="24"/>
        </w:rPr>
        <w:t xml:space="preserve"> 2010.</w:t>
      </w:r>
      <w:r w:rsidR="00993CD8" w:rsidRPr="00A53C01">
        <w:rPr>
          <w:rFonts w:cs="Times New Roman"/>
          <w:szCs w:val="24"/>
        </w:rPr>
        <w:t xml:space="preserve"> </w:t>
      </w:r>
      <w:r w:rsidR="00DD312A" w:rsidRPr="00A53C01">
        <w:rPr>
          <w:rFonts w:cs="Times New Roman"/>
          <w:szCs w:val="24"/>
        </w:rPr>
        <w:t>At the time, I did not have</w:t>
      </w:r>
      <w:r w:rsidR="00993CD8" w:rsidRPr="00A53C01">
        <w:rPr>
          <w:rFonts w:cs="Times New Roman"/>
          <w:szCs w:val="24"/>
        </w:rPr>
        <w:t xml:space="preserve"> this particular </w:t>
      </w:r>
      <w:r w:rsidR="00DD312A" w:rsidRPr="00A53C01">
        <w:rPr>
          <w:rFonts w:cs="Times New Roman"/>
          <w:szCs w:val="24"/>
        </w:rPr>
        <w:t>paper</w:t>
      </w:r>
      <w:r w:rsidR="00993CD8" w:rsidRPr="00A53C01">
        <w:rPr>
          <w:rFonts w:cs="Times New Roman"/>
          <w:szCs w:val="24"/>
        </w:rPr>
        <w:t xml:space="preserve"> in mind, but nevertheless</w:t>
      </w:r>
      <w:r w:rsidR="00DD312A" w:rsidRPr="00A53C01">
        <w:rPr>
          <w:rFonts w:cs="Times New Roman"/>
          <w:szCs w:val="24"/>
        </w:rPr>
        <w:t xml:space="preserve"> the</w:t>
      </w:r>
      <w:r w:rsidR="00FE11BB" w:rsidRPr="00A53C01">
        <w:rPr>
          <w:rFonts w:cs="Times New Roman"/>
          <w:szCs w:val="24"/>
        </w:rPr>
        <w:t xml:space="preserve"> insights</w:t>
      </w:r>
      <w:r w:rsidR="00993CD8" w:rsidRPr="00A53C01">
        <w:rPr>
          <w:rFonts w:cs="Times New Roman"/>
          <w:szCs w:val="24"/>
        </w:rPr>
        <w:t xml:space="preserve"> </w:t>
      </w:r>
      <w:r w:rsidR="00FE11BB" w:rsidRPr="00A53C01">
        <w:rPr>
          <w:rFonts w:cs="Times New Roman"/>
          <w:szCs w:val="24"/>
        </w:rPr>
        <w:t>are</w:t>
      </w:r>
      <w:r w:rsidR="00993CD8" w:rsidRPr="00A53C01">
        <w:rPr>
          <w:rFonts w:cs="Times New Roman"/>
          <w:szCs w:val="24"/>
        </w:rPr>
        <w:t xml:space="preserve"> clear</w:t>
      </w:r>
      <w:r w:rsidR="00FE11BB" w:rsidRPr="00A53C01">
        <w:rPr>
          <w:rFonts w:cs="Times New Roman"/>
          <w:szCs w:val="24"/>
        </w:rPr>
        <w:t>ly</w:t>
      </w:r>
      <w:r w:rsidR="00993CD8" w:rsidRPr="00A53C01">
        <w:rPr>
          <w:rFonts w:cs="Times New Roman"/>
          <w:szCs w:val="24"/>
        </w:rPr>
        <w:t xml:space="preserve"> relevan</w:t>
      </w:r>
      <w:r w:rsidR="00FE11BB" w:rsidRPr="00A53C01">
        <w:rPr>
          <w:rFonts w:cs="Times New Roman"/>
          <w:szCs w:val="24"/>
        </w:rPr>
        <w:t>t</w:t>
      </w:r>
      <w:r w:rsidR="00993CD8" w:rsidRPr="00A53C01">
        <w:rPr>
          <w:rFonts w:cs="Times New Roman"/>
          <w:szCs w:val="24"/>
        </w:rPr>
        <w:t xml:space="preserve">. </w:t>
      </w:r>
    </w:p>
    <w:p w14:paraId="493559BE" w14:textId="77777777" w:rsidR="00A15715" w:rsidRPr="00A53C01" w:rsidRDefault="00A15715" w:rsidP="00A53C01">
      <w:pPr>
        <w:spacing w:line="312" w:lineRule="auto"/>
        <w:rPr>
          <w:rFonts w:cs="Times New Roman"/>
          <w:szCs w:val="24"/>
        </w:rPr>
      </w:pPr>
    </w:p>
    <w:p w14:paraId="7BAF6A62" w14:textId="31D9BBE5" w:rsidR="007A133E" w:rsidRPr="00A53C01" w:rsidRDefault="00A15715" w:rsidP="00A53C01">
      <w:pPr>
        <w:spacing w:line="312" w:lineRule="auto"/>
        <w:rPr>
          <w:rFonts w:cs="Times New Roman"/>
          <w:szCs w:val="24"/>
        </w:rPr>
      </w:pPr>
      <w:r w:rsidRPr="00A53C01">
        <w:rPr>
          <w:rFonts w:cs="Times New Roman"/>
          <w:szCs w:val="24"/>
        </w:rPr>
        <w:t>Rather than rehash Securitization Theory</w:t>
      </w:r>
      <w:r w:rsidR="00B26226" w:rsidRPr="00A53C01">
        <w:rPr>
          <w:rFonts w:cs="Times New Roman"/>
          <w:szCs w:val="24"/>
        </w:rPr>
        <w:t>’s precepts</w:t>
      </w:r>
      <w:r w:rsidRPr="00A53C01">
        <w:rPr>
          <w:rStyle w:val="FootnoteReference"/>
          <w:rFonts w:cs="Times New Roman"/>
          <w:szCs w:val="24"/>
        </w:rPr>
        <w:footnoteReference w:id="3"/>
      </w:r>
      <w:r w:rsidRPr="00A53C01">
        <w:rPr>
          <w:rFonts w:cs="Times New Roman"/>
          <w:szCs w:val="24"/>
        </w:rPr>
        <w:t xml:space="preserve">, </w:t>
      </w:r>
      <w:r w:rsidR="00DD312A" w:rsidRPr="00A53C01">
        <w:rPr>
          <w:rFonts w:cs="Times New Roman"/>
          <w:szCs w:val="24"/>
        </w:rPr>
        <w:t>my</w:t>
      </w:r>
      <w:r w:rsidRPr="00A53C01">
        <w:rPr>
          <w:rFonts w:cs="Times New Roman"/>
          <w:szCs w:val="24"/>
        </w:rPr>
        <w:t xml:space="preserve"> priority is to set out </w:t>
      </w:r>
      <w:r w:rsidR="00416DD0" w:rsidRPr="00A53C01">
        <w:rPr>
          <w:rFonts w:cs="Times New Roman"/>
          <w:szCs w:val="24"/>
        </w:rPr>
        <w:t>its</w:t>
      </w:r>
      <w:r w:rsidRPr="00A53C01">
        <w:rPr>
          <w:rFonts w:cs="Times New Roman"/>
          <w:szCs w:val="24"/>
        </w:rPr>
        <w:t xml:space="preserve"> </w:t>
      </w:r>
      <w:r w:rsidR="00416DD0" w:rsidRPr="00A53C01">
        <w:rPr>
          <w:rFonts w:cs="Times New Roman"/>
          <w:szCs w:val="24"/>
        </w:rPr>
        <w:t>current application</w:t>
      </w:r>
      <w:r w:rsidRPr="00A53C01">
        <w:rPr>
          <w:rFonts w:cs="Times New Roman"/>
          <w:szCs w:val="24"/>
        </w:rPr>
        <w:t>, defining the key actors and processes. The theory</w:t>
      </w:r>
      <w:r w:rsidR="00212E2E" w:rsidRPr="00A53C01">
        <w:rPr>
          <w:rFonts w:cs="Times New Roman"/>
          <w:szCs w:val="24"/>
        </w:rPr>
        <w:t xml:space="preserve"> is</w:t>
      </w:r>
      <w:r w:rsidRPr="00A53C01">
        <w:rPr>
          <w:rFonts w:cs="Times New Roman"/>
          <w:szCs w:val="24"/>
        </w:rPr>
        <w:t xml:space="preserve"> </w:t>
      </w:r>
      <w:r w:rsidR="00416DD0" w:rsidRPr="00A53C01">
        <w:rPr>
          <w:rFonts w:cs="Times New Roman"/>
          <w:szCs w:val="24"/>
        </w:rPr>
        <w:t>employed</w:t>
      </w:r>
      <w:r w:rsidRPr="00A53C01">
        <w:rPr>
          <w:rFonts w:cs="Times New Roman"/>
          <w:szCs w:val="24"/>
        </w:rPr>
        <w:t xml:space="preserve"> to shed light on why the embargo moved from a political to a security issue in the US, but not in the </w:t>
      </w:r>
      <w:r w:rsidR="006723A8" w:rsidRPr="00A53C01">
        <w:rPr>
          <w:rFonts w:cs="Times New Roman"/>
          <w:szCs w:val="24"/>
        </w:rPr>
        <w:t>transatlantic security space when the US undertook a series of securitization moves</w:t>
      </w:r>
      <w:r w:rsidRPr="00A53C01">
        <w:rPr>
          <w:rFonts w:cs="Times New Roman"/>
          <w:szCs w:val="24"/>
        </w:rPr>
        <w:t xml:space="preserve">. This </w:t>
      </w:r>
      <w:r w:rsidR="006723A8" w:rsidRPr="00A53C01">
        <w:rPr>
          <w:rFonts w:cs="Times New Roman"/>
          <w:szCs w:val="24"/>
        </w:rPr>
        <w:t>outcome transpired</w:t>
      </w:r>
      <w:r w:rsidRPr="00A53C01">
        <w:rPr>
          <w:rFonts w:cs="Times New Roman"/>
          <w:szCs w:val="24"/>
        </w:rPr>
        <w:t xml:space="preserve"> in spite of the two sides imposing similar policies at the same time, for the same reason,</w:t>
      </w:r>
      <w:r w:rsidR="006723A8" w:rsidRPr="00A53C01">
        <w:rPr>
          <w:rFonts w:cs="Times New Roman"/>
          <w:szCs w:val="24"/>
        </w:rPr>
        <w:t xml:space="preserve"> and</w:t>
      </w:r>
      <w:r w:rsidR="00822ED0" w:rsidRPr="00A53C01">
        <w:rPr>
          <w:rFonts w:cs="Times New Roman"/>
          <w:szCs w:val="24"/>
        </w:rPr>
        <w:t xml:space="preserve"> with the same objective</w:t>
      </w:r>
      <w:r w:rsidRPr="00A53C01">
        <w:rPr>
          <w:rFonts w:cs="Times New Roman"/>
          <w:szCs w:val="24"/>
        </w:rPr>
        <w:t xml:space="preserve">. </w:t>
      </w:r>
      <w:r w:rsidR="006723A8" w:rsidRPr="00A53C01">
        <w:rPr>
          <w:rFonts w:cs="Times New Roman"/>
          <w:szCs w:val="24"/>
        </w:rPr>
        <w:t>The “necessary and sufficient conditions for securitization” to occur identified by Balzacq (2011: 32) are the “</w:t>
      </w:r>
      <w:r w:rsidR="006723A8" w:rsidRPr="00A53C01">
        <w:rPr>
          <w:rFonts w:cs="Times New Roman"/>
          <w:i/>
          <w:szCs w:val="24"/>
        </w:rPr>
        <w:t>shared critical salience</w:t>
      </w:r>
      <w:r w:rsidR="006723A8" w:rsidRPr="00A53C01">
        <w:rPr>
          <w:rFonts w:cs="Times New Roman"/>
          <w:szCs w:val="24"/>
        </w:rPr>
        <w:t xml:space="preserve"> of an issue marked by the </w:t>
      </w:r>
      <w:r w:rsidR="006723A8" w:rsidRPr="00A53C01">
        <w:rPr>
          <w:rFonts w:cs="Times New Roman"/>
          <w:i/>
          <w:szCs w:val="24"/>
        </w:rPr>
        <w:t>imperative of acting now</w:t>
      </w:r>
      <w:r w:rsidR="006723A8" w:rsidRPr="00A53C01">
        <w:rPr>
          <w:rFonts w:cs="Times New Roman"/>
          <w:szCs w:val="24"/>
        </w:rPr>
        <w:t>” [original emphasis]</w:t>
      </w:r>
      <w:r w:rsidR="007A133E" w:rsidRPr="00A53C01">
        <w:rPr>
          <w:rFonts w:cs="Times New Roman"/>
          <w:szCs w:val="24"/>
        </w:rPr>
        <w:t>, which informs the empirical analysis.</w:t>
      </w:r>
      <w:r w:rsidR="006723A8" w:rsidRPr="00A53C01">
        <w:rPr>
          <w:rFonts w:cs="Times New Roman"/>
          <w:szCs w:val="24"/>
        </w:rPr>
        <w:t xml:space="preserve"> Floyd (2016: 684) provides </w:t>
      </w:r>
      <w:r w:rsidR="007A133E" w:rsidRPr="00A53C01">
        <w:rPr>
          <w:rFonts w:cs="Times New Roman"/>
          <w:szCs w:val="24"/>
        </w:rPr>
        <w:t>a clear framework for ascertaining when securitization can be deemed successful:</w:t>
      </w:r>
    </w:p>
    <w:p w14:paraId="41A4ECC9" w14:textId="345CE729" w:rsidR="00A15715" w:rsidRPr="00A53C01" w:rsidRDefault="007A133E" w:rsidP="00A53C01">
      <w:pPr>
        <w:spacing w:line="312" w:lineRule="auto"/>
        <w:ind w:left="720" w:right="720"/>
        <w:rPr>
          <w:rFonts w:cs="Times New Roman"/>
          <w:szCs w:val="24"/>
        </w:rPr>
      </w:pPr>
      <w:r w:rsidRPr="00A53C01">
        <w:rPr>
          <w:rFonts w:cs="Times New Roman"/>
          <w:szCs w:val="24"/>
        </w:rPr>
        <w:t xml:space="preserve"> </w:t>
      </w:r>
      <w:r w:rsidRPr="00A53C01">
        <w:rPr>
          <w:rFonts w:cs="Times New Roman"/>
          <w:szCs w:val="24"/>
        </w:rPr>
        <w:br/>
      </w:r>
      <w:r w:rsidRPr="00A53C01">
        <w:rPr>
          <w:rFonts w:cs="Times New Roman"/>
          <w:szCs w:val="24"/>
        </w:rPr>
        <w:br/>
        <w:t>(1) the identification of a threat that justifies a response (securitizing move) is followed by (2) a change of behaviour (action) by a relevant agent (that is, the securitizing actor or someone instructed by the same), and</w:t>
      </w:r>
      <w:r w:rsidR="00414C2F" w:rsidRPr="00A53C01">
        <w:rPr>
          <w:rFonts w:cs="Times New Roman"/>
          <w:szCs w:val="24"/>
        </w:rPr>
        <w:t>…</w:t>
      </w:r>
      <w:r w:rsidRPr="00A53C01">
        <w:rPr>
          <w:rFonts w:cs="Times New Roman"/>
          <w:szCs w:val="24"/>
        </w:rPr>
        <w:t xml:space="preserve"> (3) the action taken is justified by the securitizing actor with reference to the threat they identified and declared in the securitizing move.</w:t>
      </w:r>
    </w:p>
    <w:p w14:paraId="601DB3CA" w14:textId="77777777" w:rsidR="004E4E35" w:rsidRPr="00A53C01" w:rsidRDefault="004E4E35" w:rsidP="00A53C01">
      <w:pPr>
        <w:spacing w:line="312" w:lineRule="auto"/>
        <w:rPr>
          <w:rFonts w:cs="Times New Roman"/>
          <w:szCs w:val="24"/>
        </w:rPr>
      </w:pPr>
    </w:p>
    <w:p w14:paraId="6080DCE4" w14:textId="41C61E43" w:rsidR="004E4E35" w:rsidRPr="00A53C01" w:rsidRDefault="007A133E" w:rsidP="00A53C01">
      <w:pPr>
        <w:spacing w:line="312" w:lineRule="auto"/>
      </w:pPr>
      <w:r w:rsidRPr="00A53C01">
        <w:rPr>
          <w:rFonts w:cs="Times New Roman"/>
          <w:szCs w:val="24"/>
        </w:rPr>
        <w:t>I will demonstrate in subsequent sections that these criteria were met in the US</w:t>
      </w:r>
      <w:r w:rsidR="008730FD" w:rsidRPr="00A53C01">
        <w:rPr>
          <w:rFonts w:cs="Times New Roman"/>
          <w:szCs w:val="24"/>
        </w:rPr>
        <w:t xml:space="preserve"> domestic context</w:t>
      </w:r>
      <w:r w:rsidRPr="00A53C01">
        <w:rPr>
          <w:rFonts w:cs="Times New Roman"/>
          <w:szCs w:val="24"/>
        </w:rPr>
        <w:t xml:space="preserve">, but not the transatlantic security space. </w:t>
      </w:r>
      <w:r w:rsidR="00F7502C" w:rsidRPr="00A53C01">
        <w:t xml:space="preserve">To </w:t>
      </w:r>
      <w:r w:rsidR="00CB5965" w:rsidRPr="00A53C01">
        <w:t>illustrate</w:t>
      </w:r>
      <w:r w:rsidR="00F7502C" w:rsidRPr="00A53C01">
        <w:t xml:space="preserve"> </w:t>
      </w:r>
      <w:r w:rsidR="004E4E35" w:rsidRPr="00A53C01">
        <w:t>that</w:t>
      </w:r>
      <w:r w:rsidR="00CB5965" w:rsidRPr="00A53C01">
        <w:t xml:space="preserve"> US policymakers’</w:t>
      </w:r>
      <w:r w:rsidR="004E4E35" w:rsidRPr="00A53C01">
        <w:t xml:space="preserve"> securitization </w:t>
      </w:r>
      <w:r w:rsidR="008730FD" w:rsidRPr="00A53C01">
        <w:t>moves</w:t>
      </w:r>
      <w:r w:rsidR="004E4E35" w:rsidRPr="00A53C01">
        <w:t xml:space="preserve"> did indeed fail</w:t>
      </w:r>
      <w:r w:rsidR="008730FD" w:rsidRPr="00A53C01">
        <w:t xml:space="preserve"> to effect change in the EU</w:t>
      </w:r>
      <w:r w:rsidR="004E4E35" w:rsidRPr="00A53C01">
        <w:t xml:space="preserve">, it is useful to map out what a </w:t>
      </w:r>
      <w:r w:rsidR="004E4E35" w:rsidRPr="00A53C01">
        <w:rPr>
          <w:i/>
        </w:rPr>
        <w:t>successful</w:t>
      </w:r>
      <w:r w:rsidR="004E4E35" w:rsidRPr="00A53C01">
        <w:t xml:space="preserve"> securitization would have looked like. For this counterfactual, I assume that the US’s approach remained the same and only </w:t>
      </w:r>
      <w:r w:rsidR="00CB5965" w:rsidRPr="00A53C01">
        <w:t xml:space="preserve">EU policymakers’ receptivity </w:t>
      </w:r>
      <w:r w:rsidR="00B26226" w:rsidRPr="00A53C01">
        <w:t>to</w:t>
      </w:r>
      <w:r w:rsidR="00CB5965" w:rsidRPr="00A53C01">
        <w:t xml:space="preserve"> security claims and subsequent</w:t>
      </w:r>
      <w:r w:rsidR="004E4E35" w:rsidRPr="00A53C01">
        <w:t xml:space="preserve"> behaviour differed. Such a reaction where US </w:t>
      </w:r>
      <w:r w:rsidR="004E4E35" w:rsidRPr="00A53C01">
        <w:lastRenderedPageBreak/>
        <w:t>secu</w:t>
      </w:r>
      <w:r w:rsidR="00F7502C" w:rsidRPr="00A53C01">
        <w:t>ri</w:t>
      </w:r>
      <w:r w:rsidR="004E4E35" w:rsidRPr="00A53C01">
        <w:t xml:space="preserve">tization moves - speech acts - were effective would entail EU policymakers being persuaded that the security threats posed by the removal of the embargo were </w:t>
      </w:r>
      <w:r w:rsidR="00B26226" w:rsidRPr="00A53C01">
        <w:t>substantive</w:t>
      </w:r>
      <w:r w:rsidR="004E4E35" w:rsidRPr="00A53C01">
        <w:t xml:space="preserve"> and consequently policy change could not be countenanced.</w:t>
      </w:r>
      <w:r w:rsidR="002C309C" w:rsidRPr="00A53C01">
        <w:t xml:space="preserve"> Within the EU’s structures, those who have purview over the determination of its foreign policy – the European Council and the General Affairs and External Relations Council</w:t>
      </w:r>
      <w:r w:rsidR="009E03D6" w:rsidRPr="00A53C01">
        <w:t xml:space="preserve"> (GAERC)</w:t>
      </w:r>
      <w:r w:rsidR="002C309C" w:rsidRPr="00A53C01">
        <w:t xml:space="preserve"> – would need to accept the </w:t>
      </w:r>
      <w:r w:rsidR="009E03D6" w:rsidRPr="00A53C01">
        <w:t xml:space="preserve">US’s arguments and bring an end to the process of preparing to lift the embargo. </w:t>
      </w:r>
      <w:r w:rsidR="004E4E35" w:rsidRPr="00A53C01">
        <w:t>This may initially occur at the working-level, with the prep</w:t>
      </w:r>
      <w:r w:rsidR="00F7502C" w:rsidRPr="00A53C01">
        <w:t>ar</w:t>
      </w:r>
      <w:r w:rsidR="004E4E35" w:rsidRPr="00A53C01">
        <w:t>atory work in the EU institutions - particularly, the Political and Security Committee</w:t>
      </w:r>
      <w:r w:rsidR="009E03D6" w:rsidRPr="00A53C01">
        <w:rPr>
          <w:rStyle w:val="FootnoteReference"/>
        </w:rPr>
        <w:footnoteReference w:id="4"/>
      </w:r>
      <w:r w:rsidR="009E03D6" w:rsidRPr="00A53C01">
        <w:t xml:space="preserve"> (PSC)</w:t>
      </w:r>
      <w:r w:rsidR="004E4E35" w:rsidRPr="00A53C01">
        <w:t xml:space="preserve"> - being brought to a halt. Ultimately, we would need to see at a minimum the process</w:t>
      </w:r>
      <w:r w:rsidR="009E03D6" w:rsidRPr="00A53C01">
        <w:t xml:space="preserve"> end</w:t>
      </w:r>
      <w:r w:rsidR="004E4E35" w:rsidRPr="00A53C01">
        <w:t xml:space="preserve"> at the level of the European Council, and possibly the </w:t>
      </w:r>
      <w:r w:rsidR="009E03D6" w:rsidRPr="00A53C01">
        <w:t xml:space="preserve">legal reinforcement of the embargo </w:t>
      </w:r>
      <w:r w:rsidR="004E4E35" w:rsidRPr="00A53C01">
        <w:t xml:space="preserve">in response to the threat. </w:t>
      </w:r>
    </w:p>
    <w:p w14:paraId="4AA6F5FD" w14:textId="77777777" w:rsidR="004E4E35" w:rsidRPr="00A53C01" w:rsidRDefault="004E4E35" w:rsidP="00A53C01">
      <w:pPr>
        <w:spacing w:line="312" w:lineRule="auto"/>
      </w:pPr>
    </w:p>
    <w:p w14:paraId="0237B89D" w14:textId="53F2A5F4" w:rsidR="004E4E35" w:rsidRPr="00A53C01" w:rsidRDefault="004E4E35" w:rsidP="00A53C01">
      <w:pPr>
        <w:spacing w:line="312" w:lineRule="auto"/>
      </w:pPr>
      <w:r w:rsidRPr="00A53C01">
        <w:t xml:space="preserve">Although cessation of the lifting process is a necessary condition, it is not sufficient in itself to indicate successful securitization: the relevant EU policymakers would need to justify the change in direction (in this case, continuity or reinforcement) with explicit reference to the threat </w:t>
      </w:r>
      <w:r w:rsidR="00967B09" w:rsidRPr="00A53C01">
        <w:t>conveyed by</w:t>
      </w:r>
      <w:r w:rsidRPr="00A53C01">
        <w:t xml:space="preserve"> US policymakers</w:t>
      </w:r>
      <w:r w:rsidR="00967B09" w:rsidRPr="00A53C01">
        <w:t>’</w:t>
      </w:r>
      <w:r w:rsidRPr="00A53C01">
        <w:t xml:space="preserve"> securitizing moves: that lifting the embargo would expedite China’s military build-up and threaten US - and thereby transatlantic - security interests. For diplomatic reasons, EU policymakers may be reluctant to be so direct in public, but nevertheless we would expect to see that reasoning </w:t>
      </w:r>
      <w:r w:rsidR="00967B09" w:rsidRPr="00A53C01">
        <w:t xml:space="preserve">conveyed in the leaked diplomatic cables, and potentially </w:t>
      </w:r>
      <w:r w:rsidRPr="00A53C01">
        <w:t xml:space="preserve">in media coverage </w:t>
      </w:r>
      <w:r w:rsidR="00967B09" w:rsidRPr="00A53C01">
        <w:t>(</w:t>
      </w:r>
      <w:r w:rsidRPr="00A53C01">
        <w:t>at the time</w:t>
      </w:r>
      <w:r w:rsidR="00967B09" w:rsidRPr="00A53C01">
        <w:t>)</w:t>
      </w:r>
      <w:r w:rsidRPr="00A53C01">
        <w:t xml:space="preserve"> </w:t>
      </w:r>
      <w:r w:rsidR="00967B09" w:rsidRPr="00A53C01">
        <w:t>through</w:t>
      </w:r>
      <w:r w:rsidRPr="00A53C01">
        <w:t xml:space="preserve"> anonymous</w:t>
      </w:r>
      <w:r w:rsidR="00967B09" w:rsidRPr="00A53C01">
        <w:t xml:space="preserve"> sources. </w:t>
      </w:r>
      <w:r w:rsidRPr="00A53C01">
        <w:t xml:space="preserve">Although the lifting of the embargo did not </w:t>
      </w:r>
      <w:r w:rsidR="00967B09" w:rsidRPr="00A53C01">
        <w:t>occur</w:t>
      </w:r>
      <w:r w:rsidRPr="00A53C01">
        <w:t>, it is evident from both public and private statements from EU policymakers that US’s securitizing moves had</w:t>
      </w:r>
      <w:r w:rsidR="00967B09" w:rsidRPr="00A53C01">
        <w:t xml:space="preserve"> not</w:t>
      </w:r>
      <w:r w:rsidRPr="00A53C01">
        <w:t xml:space="preserve"> been decisive</w:t>
      </w:r>
      <w:r w:rsidR="00967B09" w:rsidRPr="00A53C01">
        <w:t>;</w:t>
      </w:r>
      <w:r w:rsidRPr="00A53C01">
        <w:t xml:space="preserve"> </w:t>
      </w:r>
      <w:r w:rsidR="00967B09" w:rsidRPr="00A53C01">
        <w:t>instead,</w:t>
      </w:r>
      <w:r w:rsidRPr="00A53C01">
        <w:t xml:space="preserve"> calculations regarding the political environment had shifted. The EU’s position </w:t>
      </w:r>
      <w:r w:rsidR="00967B09" w:rsidRPr="00A53C01">
        <w:t xml:space="preserve">remains that the embargo constitutes a political rather than military/security policy tool, and will </w:t>
      </w:r>
      <w:r w:rsidRPr="00A53C01">
        <w:t>be lifted at some undefined point in the future</w:t>
      </w:r>
      <w:r w:rsidR="008730FD" w:rsidRPr="00A53C01">
        <w:t xml:space="preserve"> and is a political rather than military/security issue.</w:t>
      </w:r>
      <w:r w:rsidRPr="00A53C01">
        <w:t xml:space="preserve">    </w:t>
      </w:r>
    </w:p>
    <w:p w14:paraId="1B46CC1D" w14:textId="77777777" w:rsidR="007A133E" w:rsidRPr="00A53C01" w:rsidRDefault="007A133E" w:rsidP="00A53C01">
      <w:pPr>
        <w:spacing w:line="312" w:lineRule="auto"/>
        <w:rPr>
          <w:rFonts w:cs="Times New Roman"/>
          <w:szCs w:val="24"/>
        </w:rPr>
      </w:pPr>
    </w:p>
    <w:p w14:paraId="42D91739" w14:textId="4C74FDE4" w:rsidR="00C265BC" w:rsidRPr="00A53C01" w:rsidRDefault="0044189E" w:rsidP="00A53C01">
      <w:pPr>
        <w:spacing w:line="312" w:lineRule="auto"/>
        <w:rPr>
          <w:rFonts w:cs="Times New Roman"/>
          <w:szCs w:val="24"/>
        </w:rPr>
      </w:pPr>
      <w:r w:rsidRPr="00A53C01">
        <w:rPr>
          <w:rFonts w:cs="Times New Roman"/>
          <w:szCs w:val="24"/>
        </w:rPr>
        <w:t>Following</w:t>
      </w:r>
      <w:r w:rsidR="00982A68" w:rsidRPr="00A53C01">
        <w:rPr>
          <w:rFonts w:cs="Times New Roman"/>
          <w:szCs w:val="24"/>
        </w:rPr>
        <w:t xml:space="preserve"> the framework established by</w:t>
      </w:r>
      <w:r w:rsidRPr="00A53C01">
        <w:rPr>
          <w:rFonts w:cs="Times New Roman"/>
          <w:szCs w:val="24"/>
        </w:rPr>
        <w:t xml:space="preserve"> Hayes (2013), I move beyond the strictures of treating the state as the </w:t>
      </w:r>
      <w:r w:rsidR="005E4E47" w:rsidRPr="00A53C01">
        <w:rPr>
          <w:rFonts w:cs="Times New Roman"/>
          <w:szCs w:val="24"/>
        </w:rPr>
        <w:t xml:space="preserve">political unit in which securitization processes occur. Instead, the </w:t>
      </w:r>
      <w:r w:rsidR="005E4E47" w:rsidRPr="00A53C01">
        <w:rPr>
          <w:rFonts w:cs="Times New Roman"/>
          <w:i/>
          <w:szCs w:val="24"/>
        </w:rPr>
        <w:t>security space</w:t>
      </w:r>
      <w:r w:rsidR="005E4E47" w:rsidRPr="00A53C01">
        <w:rPr>
          <w:rFonts w:cs="Times New Roman"/>
          <w:szCs w:val="24"/>
        </w:rPr>
        <w:t xml:space="preserve"> is invoked as a heuristic device; this “</w:t>
      </w:r>
      <w:r w:rsidR="003C04E6" w:rsidRPr="00A53C01">
        <w:rPr>
          <w:rFonts w:cs="Times New Roman"/>
          <w:szCs w:val="24"/>
        </w:rPr>
        <w:t>concept is an effort to systematically understand the ways of social and political structures influence security outcomes. The security space frames the socio-political field i</w:t>
      </w:r>
      <w:r w:rsidR="005E4E47" w:rsidRPr="00A53C01">
        <w:rPr>
          <w:rFonts w:cs="Times New Roman"/>
          <w:szCs w:val="24"/>
        </w:rPr>
        <w:t>n which security actors operate</w:t>
      </w:r>
      <w:r w:rsidR="003C04E6" w:rsidRPr="00A53C01">
        <w:rPr>
          <w:rFonts w:cs="Times New Roman"/>
          <w:szCs w:val="24"/>
        </w:rPr>
        <w:t>”</w:t>
      </w:r>
      <w:r w:rsidR="006F6FE2" w:rsidRPr="00A53C01">
        <w:rPr>
          <w:rFonts w:cs="Times New Roman"/>
          <w:szCs w:val="24"/>
        </w:rPr>
        <w:t xml:space="preserve"> (Hayes, 2013: 4).</w:t>
      </w:r>
      <w:r w:rsidR="00C554A5">
        <w:rPr>
          <w:rFonts w:cs="Times New Roman"/>
          <w:szCs w:val="24"/>
        </w:rPr>
        <w:t xml:space="preserve"> As Neal (2009: 335) points out, “</w:t>
      </w:r>
      <w:r w:rsidR="00D57628">
        <w:rPr>
          <w:rFonts w:cs="Times New Roman"/>
          <w:szCs w:val="24"/>
        </w:rPr>
        <w:t xml:space="preserve">securitization is not reducible to speech acts alone”, but rather the wider conditions need to be analysed. </w:t>
      </w:r>
      <w:r w:rsidR="00675B00" w:rsidRPr="00A53C01">
        <w:rPr>
          <w:rFonts w:cs="Times New Roman"/>
          <w:szCs w:val="24"/>
        </w:rPr>
        <w:t xml:space="preserve">I argue that we can </w:t>
      </w:r>
      <w:r w:rsidR="00675B00" w:rsidRPr="00A53C01">
        <w:rPr>
          <w:rFonts w:cs="Times New Roman"/>
          <w:szCs w:val="24"/>
        </w:rPr>
        <w:lastRenderedPageBreak/>
        <w:t xml:space="preserve">conceptualise the </w:t>
      </w:r>
      <w:r w:rsidR="007A4586" w:rsidRPr="00A53C01">
        <w:rPr>
          <w:rFonts w:cs="Times New Roman"/>
          <w:i/>
          <w:szCs w:val="24"/>
        </w:rPr>
        <w:t>transatlantic</w:t>
      </w:r>
      <w:r w:rsidR="007A4586" w:rsidRPr="00A53C01">
        <w:rPr>
          <w:rFonts w:cs="Times New Roman"/>
          <w:szCs w:val="24"/>
        </w:rPr>
        <w:t xml:space="preserve"> security space</w:t>
      </w:r>
      <w:r w:rsidR="008730FD" w:rsidRPr="00A53C01">
        <w:rPr>
          <w:rFonts w:cs="Times New Roman"/>
          <w:szCs w:val="24"/>
        </w:rPr>
        <w:t xml:space="preserve"> </w:t>
      </w:r>
      <w:r w:rsidR="00675B00" w:rsidRPr="00A53C01">
        <w:rPr>
          <w:rFonts w:cs="Times New Roman"/>
          <w:szCs w:val="24"/>
        </w:rPr>
        <w:t>as</w:t>
      </w:r>
      <w:r w:rsidR="007A4586" w:rsidRPr="00A53C01">
        <w:rPr>
          <w:rFonts w:cs="Times New Roman"/>
          <w:szCs w:val="24"/>
        </w:rPr>
        <w:t xml:space="preserve"> the relevant frame of reference to fully understand the US-EU discursive engagement</w:t>
      </w:r>
      <w:r w:rsidR="007A133E" w:rsidRPr="00A53C01">
        <w:rPr>
          <w:rFonts w:cs="Times New Roman"/>
          <w:szCs w:val="24"/>
        </w:rPr>
        <w:t xml:space="preserve"> on the embargo</w:t>
      </w:r>
      <w:r w:rsidR="00D57628">
        <w:rPr>
          <w:rFonts w:cs="Times New Roman"/>
          <w:szCs w:val="24"/>
        </w:rPr>
        <w:t xml:space="preserve"> in context</w:t>
      </w:r>
      <w:r w:rsidR="007A4586" w:rsidRPr="00A53C01">
        <w:rPr>
          <w:rFonts w:cs="Times New Roman"/>
          <w:szCs w:val="24"/>
        </w:rPr>
        <w:t>.</w:t>
      </w:r>
      <w:r w:rsidR="000A3149" w:rsidRPr="00A53C01">
        <w:rPr>
          <w:rFonts w:cs="Times New Roman"/>
          <w:szCs w:val="24"/>
        </w:rPr>
        <w:t xml:space="preserve"> </w:t>
      </w:r>
      <w:r w:rsidR="007A133E" w:rsidRPr="00A53C01">
        <w:rPr>
          <w:rFonts w:cs="Times New Roman"/>
          <w:szCs w:val="24"/>
        </w:rPr>
        <w:t>Although the application of the terminology from Hayes (2013) to the US-European domain is (to my knowledge) new, it is</w:t>
      </w:r>
      <w:r w:rsidR="008730FD" w:rsidRPr="00A53C01">
        <w:rPr>
          <w:rFonts w:cs="Times New Roman"/>
          <w:szCs w:val="24"/>
        </w:rPr>
        <w:t xml:space="preserve"> essentially</w:t>
      </w:r>
      <w:r w:rsidR="007A133E" w:rsidRPr="00A53C01">
        <w:rPr>
          <w:rFonts w:cs="Times New Roman"/>
          <w:szCs w:val="24"/>
        </w:rPr>
        <w:t xml:space="preserve"> predicated on the </w:t>
      </w:r>
      <w:r w:rsidR="000A3149" w:rsidRPr="00A53C01">
        <w:rPr>
          <w:rFonts w:cs="Times New Roman"/>
          <w:szCs w:val="24"/>
        </w:rPr>
        <w:t xml:space="preserve">idea of </w:t>
      </w:r>
      <w:r w:rsidR="00D91029" w:rsidRPr="00A53C01">
        <w:rPr>
          <w:rFonts w:cs="Times New Roman"/>
          <w:szCs w:val="24"/>
        </w:rPr>
        <w:t>the</w:t>
      </w:r>
      <w:r w:rsidR="000A3149" w:rsidRPr="00A53C01">
        <w:rPr>
          <w:rFonts w:cs="Times New Roman"/>
          <w:szCs w:val="24"/>
        </w:rPr>
        <w:t xml:space="preserve"> </w:t>
      </w:r>
      <w:r w:rsidR="000A3149" w:rsidRPr="00A53C01">
        <w:rPr>
          <w:rFonts w:cs="Times New Roman"/>
          <w:i/>
          <w:szCs w:val="24"/>
        </w:rPr>
        <w:t>transatlantic security community</w:t>
      </w:r>
      <w:r w:rsidR="000A3149" w:rsidRPr="00A53C01">
        <w:rPr>
          <w:rFonts w:cs="Times New Roman"/>
          <w:szCs w:val="24"/>
        </w:rPr>
        <w:t xml:space="preserve">. </w:t>
      </w:r>
      <w:r w:rsidR="00C14320" w:rsidRPr="00A53C01">
        <w:rPr>
          <w:rFonts w:cs="Times New Roman"/>
          <w:szCs w:val="24"/>
        </w:rPr>
        <w:t xml:space="preserve">Rather than constituting a defined geographic boundary, the community’s size has changed over time, with waves of enlargement for two of its key institutions: the EU and the North Atlantic Treaty Organization (NATO). </w:t>
      </w:r>
      <w:r w:rsidR="00982A68" w:rsidRPr="00A53C01">
        <w:rPr>
          <w:rFonts w:cs="Times New Roman"/>
          <w:szCs w:val="24"/>
        </w:rPr>
        <w:t>Hellmann et al (2013</w:t>
      </w:r>
      <w:r w:rsidR="00EF39F9" w:rsidRPr="00A53C01">
        <w:rPr>
          <w:rFonts w:cs="Times New Roman"/>
          <w:szCs w:val="24"/>
        </w:rPr>
        <w:t>: 3</w:t>
      </w:r>
      <w:r w:rsidR="00982A68" w:rsidRPr="00A53C01">
        <w:rPr>
          <w:rFonts w:cs="Times New Roman"/>
          <w:szCs w:val="24"/>
        </w:rPr>
        <w:t xml:space="preserve">) made a compelling case for treating ‘the West’ </w:t>
      </w:r>
      <w:r w:rsidR="001E1425" w:rsidRPr="00A53C01">
        <w:rPr>
          <w:rFonts w:cs="Times New Roman"/>
          <w:szCs w:val="24"/>
        </w:rPr>
        <w:t xml:space="preserve">as a securitizing </w:t>
      </w:r>
      <w:r w:rsidR="00936D8F" w:rsidRPr="00A53C01">
        <w:rPr>
          <w:rFonts w:cs="Times New Roman"/>
          <w:szCs w:val="24"/>
        </w:rPr>
        <w:t>entity</w:t>
      </w:r>
      <w:r w:rsidR="00EF39F9" w:rsidRPr="00A53C01">
        <w:rPr>
          <w:rFonts w:cs="Times New Roman"/>
          <w:szCs w:val="24"/>
        </w:rPr>
        <w:t>, selectively invoked in specific contexts rather than a “pre-constituted political space, ready-made and waiting for social scientific inquiry”</w:t>
      </w:r>
      <w:r w:rsidR="00D15D66" w:rsidRPr="00A53C01">
        <w:rPr>
          <w:rFonts w:cs="Times New Roman"/>
          <w:szCs w:val="24"/>
        </w:rPr>
        <w:t xml:space="preserve"> and used to differentiate from the ‘non-West’ (i.e. the Othering of other states such as Russia and China - the examples used by the authors)</w:t>
      </w:r>
      <w:r w:rsidR="00EF39F9" w:rsidRPr="00A53C01">
        <w:rPr>
          <w:rFonts w:cs="Times New Roman"/>
          <w:szCs w:val="24"/>
        </w:rPr>
        <w:t>.</w:t>
      </w:r>
      <w:r w:rsidR="002929C8" w:rsidRPr="00A53C01">
        <w:rPr>
          <w:rFonts w:cs="Times New Roman"/>
          <w:szCs w:val="24"/>
        </w:rPr>
        <w:t xml:space="preserve"> </w:t>
      </w:r>
      <w:r w:rsidR="00554426" w:rsidRPr="00A53C01">
        <w:rPr>
          <w:rFonts w:cs="Times New Roman"/>
          <w:szCs w:val="24"/>
        </w:rPr>
        <w:t xml:space="preserve">This serves as a demonstration of theoretical application of securitization to a non-state entity </w:t>
      </w:r>
      <w:r w:rsidR="00C265BC" w:rsidRPr="00A53C01">
        <w:rPr>
          <w:rFonts w:cs="Times New Roman"/>
          <w:szCs w:val="24"/>
        </w:rPr>
        <w:t xml:space="preserve">predicated on shared identity. By defining </w:t>
      </w:r>
      <w:r w:rsidR="00D91029" w:rsidRPr="00A53C01">
        <w:rPr>
          <w:rFonts w:cs="Times New Roman"/>
          <w:szCs w:val="24"/>
        </w:rPr>
        <w:t>the</w:t>
      </w:r>
      <w:r w:rsidR="00C265BC" w:rsidRPr="00A53C01">
        <w:rPr>
          <w:rFonts w:cs="Times New Roman"/>
          <w:szCs w:val="24"/>
        </w:rPr>
        <w:t xml:space="preserve"> </w:t>
      </w:r>
      <w:r w:rsidR="00C265BC" w:rsidRPr="00A53C01">
        <w:rPr>
          <w:rFonts w:cs="Times New Roman"/>
          <w:i/>
          <w:szCs w:val="24"/>
        </w:rPr>
        <w:t>transatlantic</w:t>
      </w:r>
      <w:r w:rsidR="00C265BC" w:rsidRPr="00A53C01">
        <w:rPr>
          <w:rFonts w:cs="Times New Roman"/>
          <w:szCs w:val="24"/>
        </w:rPr>
        <w:t xml:space="preserve"> security space, we can </w:t>
      </w:r>
      <w:r w:rsidR="004D3F04" w:rsidRPr="00A53C01">
        <w:rPr>
          <w:rFonts w:cs="Times New Roman"/>
          <w:szCs w:val="24"/>
        </w:rPr>
        <w:t xml:space="preserve">identify with </w:t>
      </w:r>
      <w:r w:rsidR="00DC53F6" w:rsidRPr="00A53C01">
        <w:rPr>
          <w:rFonts w:cs="Times New Roman"/>
          <w:szCs w:val="24"/>
        </w:rPr>
        <w:t>greater</w:t>
      </w:r>
      <w:r w:rsidR="004D3F04" w:rsidRPr="00A53C01">
        <w:rPr>
          <w:rFonts w:cs="Times New Roman"/>
          <w:szCs w:val="24"/>
        </w:rPr>
        <w:t xml:space="preserve"> precision the relevant socio-political boundaries</w:t>
      </w:r>
      <w:r w:rsidR="00C514BF" w:rsidRPr="00A53C01">
        <w:rPr>
          <w:rFonts w:cs="Times New Roman"/>
          <w:szCs w:val="24"/>
        </w:rPr>
        <w:t xml:space="preserve"> in which agents operate and undertake securitization efforts</w:t>
      </w:r>
      <w:r w:rsidR="004D3F04" w:rsidRPr="00A53C01">
        <w:rPr>
          <w:rFonts w:cs="Times New Roman"/>
          <w:szCs w:val="24"/>
        </w:rPr>
        <w:t xml:space="preserve"> (Hayes</w:t>
      </w:r>
      <w:r w:rsidR="00C514BF" w:rsidRPr="00A53C01">
        <w:rPr>
          <w:rFonts w:cs="Times New Roman"/>
          <w:szCs w:val="24"/>
        </w:rPr>
        <w:t>, 2013:</w:t>
      </w:r>
      <w:r w:rsidR="004D3F04" w:rsidRPr="00A53C01">
        <w:rPr>
          <w:rFonts w:cs="Times New Roman"/>
          <w:szCs w:val="24"/>
        </w:rPr>
        <w:t xml:space="preserve"> </w:t>
      </w:r>
      <w:r w:rsidR="00C514BF" w:rsidRPr="00A53C01">
        <w:rPr>
          <w:rFonts w:cs="Times New Roman"/>
          <w:szCs w:val="24"/>
        </w:rPr>
        <w:t>19</w:t>
      </w:r>
      <w:r w:rsidR="004D3F04" w:rsidRPr="00A53C01">
        <w:rPr>
          <w:rFonts w:cs="Times New Roman"/>
          <w:szCs w:val="24"/>
        </w:rPr>
        <w:t>).</w:t>
      </w:r>
      <w:r w:rsidR="00C265BC" w:rsidRPr="00A53C01">
        <w:rPr>
          <w:rFonts w:cs="Times New Roman"/>
          <w:szCs w:val="24"/>
        </w:rPr>
        <w:t xml:space="preserve"> </w:t>
      </w:r>
      <w:r w:rsidR="00DC53F6" w:rsidRPr="00A53C01">
        <w:rPr>
          <w:rFonts w:cs="Times New Roman"/>
          <w:szCs w:val="24"/>
        </w:rPr>
        <w:t>The</w:t>
      </w:r>
      <w:r w:rsidR="004D3F04" w:rsidRPr="00A53C01">
        <w:rPr>
          <w:rFonts w:cs="Times New Roman"/>
          <w:szCs w:val="24"/>
        </w:rPr>
        <w:t xml:space="preserve"> </w:t>
      </w:r>
      <w:r w:rsidR="00C265BC" w:rsidRPr="00A53C01">
        <w:rPr>
          <w:rFonts w:cs="Times New Roman"/>
          <w:szCs w:val="24"/>
        </w:rPr>
        <w:t>‘</w:t>
      </w:r>
      <w:r w:rsidR="004D3F04" w:rsidRPr="00A53C01">
        <w:rPr>
          <w:rFonts w:cs="Times New Roman"/>
          <w:szCs w:val="24"/>
        </w:rPr>
        <w:t>t</w:t>
      </w:r>
      <w:r w:rsidR="00C265BC" w:rsidRPr="00A53C01">
        <w:rPr>
          <w:rFonts w:cs="Times New Roman"/>
          <w:szCs w:val="24"/>
        </w:rPr>
        <w:t>ransatlantic’</w:t>
      </w:r>
      <w:r w:rsidR="00DC53F6" w:rsidRPr="00A53C01">
        <w:rPr>
          <w:rFonts w:cs="Times New Roman"/>
          <w:szCs w:val="24"/>
        </w:rPr>
        <w:t xml:space="preserve"> designation</w:t>
      </w:r>
      <w:r w:rsidR="00C265BC" w:rsidRPr="00A53C01">
        <w:rPr>
          <w:rFonts w:cs="Times New Roman"/>
          <w:szCs w:val="24"/>
        </w:rPr>
        <w:t xml:space="preserve"> excludes the Pacific-based members of the West</w:t>
      </w:r>
      <w:r w:rsidR="00C265BC" w:rsidRPr="00A53C01">
        <w:rPr>
          <w:rStyle w:val="FootnoteReference"/>
          <w:rFonts w:cs="Times New Roman"/>
          <w:szCs w:val="24"/>
        </w:rPr>
        <w:footnoteReference w:id="5"/>
      </w:r>
      <w:r w:rsidR="00C265BC" w:rsidRPr="00A53C01">
        <w:rPr>
          <w:rFonts w:cs="Times New Roman"/>
          <w:szCs w:val="24"/>
        </w:rPr>
        <w:t xml:space="preserve"> and more accurately captures the geographical, political and security context</w:t>
      </w:r>
      <w:r w:rsidR="00DC53F6" w:rsidRPr="00A53C01">
        <w:rPr>
          <w:rFonts w:cs="Times New Roman"/>
          <w:szCs w:val="24"/>
        </w:rPr>
        <w:t>s</w:t>
      </w:r>
      <w:r w:rsidR="00C265BC" w:rsidRPr="00A53C01">
        <w:rPr>
          <w:rFonts w:cs="Times New Roman"/>
          <w:szCs w:val="24"/>
        </w:rPr>
        <w:t xml:space="preserve"> in which the EU’s proposal of revoking its embargo was contested by the two main actors.</w:t>
      </w:r>
    </w:p>
    <w:p w14:paraId="1D5CCB2A" w14:textId="77777777" w:rsidR="00C265BC" w:rsidRPr="00A53C01" w:rsidRDefault="00C265BC" w:rsidP="00A53C01">
      <w:pPr>
        <w:spacing w:line="312" w:lineRule="auto"/>
        <w:rPr>
          <w:rFonts w:cs="Times New Roman"/>
          <w:szCs w:val="24"/>
        </w:rPr>
      </w:pPr>
    </w:p>
    <w:p w14:paraId="763E5C12" w14:textId="01CD5816" w:rsidR="00896FFC" w:rsidRPr="00A53C01" w:rsidRDefault="004D3F04" w:rsidP="00A53C01">
      <w:pPr>
        <w:spacing w:line="312" w:lineRule="auto"/>
        <w:rPr>
          <w:rFonts w:cs="Times New Roman"/>
          <w:szCs w:val="24"/>
        </w:rPr>
      </w:pPr>
      <w:r w:rsidRPr="00A53C01">
        <w:rPr>
          <w:rFonts w:cs="Times New Roman"/>
          <w:szCs w:val="24"/>
        </w:rPr>
        <w:t>NATO is the obvious example of the significant degree of institutionalisation in transatlantic relations - and has been a focal point for the security communities literature (</w:t>
      </w:r>
      <w:r w:rsidR="00C514BF" w:rsidRPr="00A53C01">
        <w:rPr>
          <w:rFonts w:cs="Times New Roman"/>
          <w:szCs w:val="24"/>
        </w:rPr>
        <w:t>e.g. Williams and Neumann, 2000; Adler, 2008</w:t>
      </w:r>
      <w:r w:rsidRPr="00A53C01">
        <w:rPr>
          <w:rFonts w:cs="Times New Roman"/>
          <w:szCs w:val="24"/>
        </w:rPr>
        <w:t xml:space="preserve">) - but </w:t>
      </w:r>
      <w:r w:rsidR="00C318BF" w:rsidRPr="00A53C01">
        <w:rPr>
          <w:rFonts w:cs="Times New Roman"/>
          <w:szCs w:val="24"/>
        </w:rPr>
        <w:t xml:space="preserve">is far from the only component. </w:t>
      </w:r>
      <w:r w:rsidR="00414C2F" w:rsidRPr="00A53C01">
        <w:rPr>
          <w:rFonts w:cs="Times New Roman"/>
          <w:szCs w:val="24"/>
        </w:rPr>
        <w:t xml:space="preserve">In 1990, the Transatlantic Declaration (US-EC, 1990) formalised diplomatic ties and </w:t>
      </w:r>
      <w:r w:rsidR="00ED6656" w:rsidRPr="00A53C01">
        <w:rPr>
          <w:rFonts w:cs="Times New Roman"/>
          <w:szCs w:val="24"/>
        </w:rPr>
        <w:t>established r</w:t>
      </w:r>
      <w:r w:rsidR="002F3726" w:rsidRPr="00A53C01">
        <w:rPr>
          <w:rFonts w:cs="Times New Roman"/>
          <w:szCs w:val="24"/>
        </w:rPr>
        <w:t>egular</w:t>
      </w:r>
      <w:r w:rsidR="00C318BF" w:rsidRPr="00A53C01">
        <w:rPr>
          <w:rFonts w:cs="Times New Roman"/>
          <w:szCs w:val="24"/>
        </w:rPr>
        <w:t xml:space="preserve"> high-level and working-level</w:t>
      </w:r>
      <w:r w:rsidR="002F3726" w:rsidRPr="00A53C01">
        <w:rPr>
          <w:rFonts w:cs="Times New Roman"/>
          <w:szCs w:val="24"/>
        </w:rPr>
        <w:t xml:space="preserve"> consultative frameworks</w:t>
      </w:r>
      <w:r w:rsidR="00ED6656" w:rsidRPr="00A53C01">
        <w:rPr>
          <w:rFonts w:cs="Times New Roman"/>
          <w:szCs w:val="24"/>
        </w:rPr>
        <w:t>.</w:t>
      </w:r>
      <w:r w:rsidR="00A80FDF" w:rsidRPr="00A53C01">
        <w:rPr>
          <w:rFonts w:cs="Times New Roman"/>
          <w:szCs w:val="24"/>
        </w:rPr>
        <w:t xml:space="preserve"> The</w:t>
      </w:r>
      <w:r w:rsidR="00414C2F" w:rsidRPr="00A53C01">
        <w:rPr>
          <w:rFonts w:cs="Times New Roman"/>
          <w:szCs w:val="24"/>
        </w:rPr>
        <w:t xml:space="preserve"> framework for cooperation on global challenges was expanded under the New Transatlantic Agenda, which promised deeper</w:t>
      </w:r>
      <w:r w:rsidR="00A80FDF" w:rsidRPr="00A53C01">
        <w:rPr>
          <w:rFonts w:cs="Times New Roman"/>
          <w:szCs w:val="24"/>
        </w:rPr>
        <w:t xml:space="preserve"> </w:t>
      </w:r>
      <w:r w:rsidR="002F3726" w:rsidRPr="00A53C01">
        <w:rPr>
          <w:rFonts w:cs="Times New Roman"/>
          <w:szCs w:val="24"/>
        </w:rPr>
        <w:t>“</w:t>
      </w:r>
      <w:r w:rsidR="00A80FDF" w:rsidRPr="00A53C01">
        <w:rPr>
          <w:rFonts w:cs="Times New Roman"/>
          <w:szCs w:val="24"/>
        </w:rPr>
        <w:t>commercial, social, cultural, scientific and educational ties”</w:t>
      </w:r>
      <w:r w:rsidR="00414C2F" w:rsidRPr="00A53C01">
        <w:rPr>
          <w:rFonts w:cs="Times New Roman"/>
          <w:szCs w:val="24"/>
        </w:rPr>
        <w:t xml:space="preserve"> (US-EU, 1995)</w:t>
      </w:r>
      <w:r w:rsidR="00A80FDF" w:rsidRPr="00A53C01">
        <w:rPr>
          <w:rFonts w:cs="Times New Roman"/>
          <w:szCs w:val="24"/>
        </w:rPr>
        <w:t>.</w:t>
      </w:r>
      <w:r w:rsidR="00C318BF" w:rsidRPr="00A53C01">
        <w:rPr>
          <w:rFonts w:cs="Times New Roman"/>
          <w:szCs w:val="24"/>
        </w:rPr>
        <w:t xml:space="preserve"> The bilateral relationship </w:t>
      </w:r>
      <w:r w:rsidR="00414C2F" w:rsidRPr="00A53C01">
        <w:rPr>
          <w:rFonts w:cs="Times New Roman"/>
          <w:szCs w:val="24"/>
        </w:rPr>
        <w:t>features</w:t>
      </w:r>
      <w:r w:rsidR="00C318BF" w:rsidRPr="00A53C01">
        <w:rPr>
          <w:rFonts w:cs="Times New Roman"/>
          <w:szCs w:val="24"/>
        </w:rPr>
        <w:t xml:space="preserve"> a range of formal mechanisms for consultation and cooperation on an extensive range of issues, operating across multiple levels of governance. McGuire and Smith (2008: 36) took this up in their analysis of what they termed the “Euro-American system”, concentrating “the patterns of relations that have grown up and persisted between the societies of the North Atlantic area since 1945 and (initially Western) Europe”. They argued that while the system was changeable rather than static, in the contemporary setting the ‘Euro-American system’ </w:t>
      </w:r>
      <w:r w:rsidR="006A0F39" w:rsidRPr="00A53C01">
        <w:rPr>
          <w:rFonts w:cs="Times New Roman"/>
          <w:szCs w:val="24"/>
        </w:rPr>
        <w:t>is</w:t>
      </w:r>
      <w:r w:rsidR="00C318BF" w:rsidRPr="00A53C01">
        <w:rPr>
          <w:rFonts w:cs="Times New Roman"/>
          <w:szCs w:val="24"/>
        </w:rPr>
        <w:t xml:space="preserve"> essentially “identical to the “US-EU system” (McGuire and Smith, 2008: 37). </w:t>
      </w:r>
    </w:p>
    <w:p w14:paraId="58459E1B" w14:textId="77777777" w:rsidR="00896FFC" w:rsidRPr="00A53C01" w:rsidRDefault="00896FFC" w:rsidP="00A53C01">
      <w:pPr>
        <w:spacing w:line="312" w:lineRule="auto"/>
        <w:rPr>
          <w:rFonts w:cs="Times New Roman"/>
          <w:szCs w:val="24"/>
        </w:rPr>
      </w:pPr>
    </w:p>
    <w:p w14:paraId="3EDB783A" w14:textId="536CC98F" w:rsidR="00953380" w:rsidRPr="00A53C01" w:rsidRDefault="009C0BC7" w:rsidP="00A53C01">
      <w:pPr>
        <w:spacing w:line="312" w:lineRule="auto"/>
        <w:rPr>
          <w:rFonts w:cs="Times New Roman"/>
          <w:szCs w:val="24"/>
        </w:rPr>
      </w:pPr>
      <w:r w:rsidRPr="00A53C01">
        <w:rPr>
          <w:rFonts w:cs="Times New Roman"/>
          <w:szCs w:val="24"/>
        </w:rPr>
        <w:t xml:space="preserve">Beyond </w:t>
      </w:r>
      <w:r w:rsidR="00896FFC" w:rsidRPr="00A53C01">
        <w:rPr>
          <w:rFonts w:cs="Times New Roman"/>
          <w:szCs w:val="24"/>
        </w:rPr>
        <w:t>US and EU</w:t>
      </w:r>
      <w:r w:rsidRPr="00A53C01">
        <w:rPr>
          <w:rFonts w:cs="Times New Roman"/>
          <w:szCs w:val="24"/>
        </w:rPr>
        <w:t xml:space="preserve"> respective policies towards each other and their </w:t>
      </w:r>
      <w:r w:rsidR="00811847" w:rsidRPr="00A53C01">
        <w:rPr>
          <w:rFonts w:cs="Times New Roman"/>
          <w:szCs w:val="24"/>
        </w:rPr>
        <w:t>continuous</w:t>
      </w:r>
      <w:r w:rsidRPr="00A53C01">
        <w:rPr>
          <w:rFonts w:cs="Times New Roman"/>
          <w:szCs w:val="24"/>
        </w:rPr>
        <w:t xml:space="preserve"> interactions, McGuire and Smith (2008: 53) </w:t>
      </w:r>
      <w:r w:rsidR="00E840D8" w:rsidRPr="00A53C01">
        <w:rPr>
          <w:rFonts w:cs="Times New Roman"/>
          <w:szCs w:val="24"/>
        </w:rPr>
        <w:t>argue</w:t>
      </w:r>
      <w:r w:rsidR="006F075C" w:rsidRPr="00A53C01">
        <w:rPr>
          <w:rFonts w:cs="Times New Roman"/>
          <w:szCs w:val="24"/>
        </w:rPr>
        <w:t>d</w:t>
      </w:r>
      <w:r w:rsidR="00E840D8" w:rsidRPr="00A53C01">
        <w:rPr>
          <w:rFonts w:cs="Times New Roman"/>
          <w:szCs w:val="24"/>
        </w:rPr>
        <w:t xml:space="preserve"> that, while lacking a “single centre of authoritative decision-making” or “consistent mechanism[s] for the coordination of policies at a comprehensive level”, there is a distinctive transatlantic level of policymaking in which “both formal and informal means of regulating common problems and achieving policy convergence”</w:t>
      </w:r>
      <w:r w:rsidR="00953380" w:rsidRPr="00A53C01">
        <w:rPr>
          <w:rFonts w:cs="Times New Roman"/>
          <w:szCs w:val="24"/>
        </w:rPr>
        <w:t xml:space="preserve"> across the diplomatic, economic, and security</w:t>
      </w:r>
      <w:r w:rsidR="00811847" w:rsidRPr="00A53C01">
        <w:rPr>
          <w:rFonts w:cs="Times New Roman"/>
          <w:szCs w:val="24"/>
        </w:rPr>
        <w:t>/</w:t>
      </w:r>
      <w:r w:rsidR="00953380" w:rsidRPr="00A53C01">
        <w:rPr>
          <w:rFonts w:cs="Times New Roman"/>
          <w:szCs w:val="24"/>
        </w:rPr>
        <w:t>defence domains</w:t>
      </w:r>
      <w:r w:rsidR="00E840D8" w:rsidRPr="00A53C01">
        <w:rPr>
          <w:rFonts w:cs="Times New Roman"/>
          <w:szCs w:val="24"/>
        </w:rPr>
        <w:t xml:space="preserve"> are possible. </w:t>
      </w:r>
      <w:r w:rsidR="007467A9" w:rsidRPr="00A53C01">
        <w:rPr>
          <w:rFonts w:cs="Times New Roman"/>
          <w:szCs w:val="24"/>
        </w:rPr>
        <w:t>It is exactly the institutional framework established by the Transatlantic Declaration and New Transatlantic Agenda that McGuire and Smith</w:t>
      </w:r>
      <w:r w:rsidR="006F075C" w:rsidRPr="00A53C01">
        <w:rPr>
          <w:rFonts w:cs="Times New Roman"/>
          <w:szCs w:val="24"/>
        </w:rPr>
        <w:t xml:space="preserve"> (2008)</w:t>
      </w:r>
      <w:r w:rsidR="007467A9" w:rsidRPr="00A53C01">
        <w:rPr>
          <w:rFonts w:cs="Times New Roman"/>
          <w:szCs w:val="24"/>
        </w:rPr>
        <w:t xml:space="preserve"> identify as the location of such p</w:t>
      </w:r>
      <w:r w:rsidR="00953380" w:rsidRPr="00A53C01">
        <w:rPr>
          <w:rFonts w:cs="Times New Roman"/>
          <w:szCs w:val="24"/>
        </w:rPr>
        <w:t>olicymaking processes. The system is described as “mixed actor”, in which state, transgovernmental, and transnational actors participate in policy</w:t>
      </w:r>
      <w:r w:rsidR="00EA71BC" w:rsidRPr="00A53C01">
        <w:rPr>
          <w:rFonts w:cs="Times New Roman"/>
          <w:szCs w:val="24"/>
        </w:rPr>
        <w:t>making.</w:t>
      </w:r>
      <w:r w:rsidR="006F075C" w:rsidRPr="00A53C01">
        <w:rPr>
          <w:rFonts w:cs="Times New Roman"/>
          <w:szCs w:val="24"/>
        </w:rPr>
        <w:t xml:space="preserve"> The two sides host annual high-level summits, sectoral dialogues, </w:t>
      </w:r>
      <w:r w:rsidR="008F2C77" w:rsidRPr="00A53C01">
        <w:rPr>
          <w:rFonts w:cs="Times New Roman"/>
          <w:szCs w:val="24"/>
        </w:rPr>
        <w:t>working groups, and have a multitude of bilateral agreements ranging from aviation, to organic products, to data</w:t>
      </w:r>
      <w:r w:rsidR="00811847" w:rsidRPr="00A53C01">
        <w:rPr>
          <w:rFonts w:cs="Times New Roman"/>
          <w:szCs w:val="24"/>
        </w:rPr>
        <w:t xml:space="preserve"> privacy, to terrorist finance. T</w:t>
      </w:r>
      <w:r w:rsidR="008F2C77" w:rsidRPr="00A53C01">
        <w:rPr>
          <w:rFonts w:cs="Times New Roman"/>
          <w:szCs w:val="24"/>
        </w:rPr>
        <w:t>here are clear and substantive formal</w:t>
      </w:r>
      <w:r w:rsidR="00896FFC" w:rsidRPr="00A53C01">
        <w:rPr>
          <w:rFonts w:cs="Times New Roman"/>
          <w:szCs w:val="24"/>
        </w:rPr>
        <w:t xml:space="preserve"> and informal</w:t>
      </w:r>
      <w:r w:rsidR="00EA71BC" w:rsidRPr="00A53C01">
        <w:rPr>
          <w:rFonts w:cs="Times New Roman"/>
          <w:szCs w:val="24"/>
        </w:rPr>
        <w:t xml:space="preserve"> institutional parameters</w:t>
      </w:r>
      <w:r w:rsidR="008F2C77" w:rsidRPr="00A53C01">
        <w:rPr>
          <w:rFonts w:cs="Times New Roman"/>
          <w:szCs w:val="24"/>
        </w:rPr>
        <w:t xml:space="preserve"> to the transatlantic relationship that allow us to conceptualize a defined security space in which actors on either side can attempt securitization moves, particularly in light of extant bilateral security arrangements</w:t>
      </w:r>
      <w:r w:rsidR="00896FFC" w:rsidRPr="00A53C01">
        <w:rPr>
          <w:rFonts w:cs="Times New Roman"/>
          <w:szCs w:val="24"/>
        </w:rPr>
        <w:t xml:space="preserve">. </w:t>
      </w:r>
      <w:r w:rsidR="00EA71BC" w:rsidRPr="00A53C01">
        <w:rPr>
          <w:rFonts w:cs="Times New Roman"/>
          <w:szCs w:val="24"/>
        </w:rPr>
        <w:t xml:space="preserve"> </w:t>
      </w:r>
    </w:p>
    <w:p w14:paraId="10CE64CE" w14:textId="77777777" w:rsidR="00C318BF" w:rsidRPr="00A53C01" w:rsidRDefault="00C318BF" w:rsidP="00A53C01">
      <w:pPr>
        <w:spacing w:line="312" w:lineRule="auto"/>
        <w:rPr>
          <w:rFonts w:cs="Times New Roman"/>
          <w:szCs w:val="24"/>
        </w:rPr>
      </w:pPr>
    </w:p>
    <w:p w14:paraId="79A04C0B" w14:textId="1ACDF00E" w:rsidR="00A235E2" w:rsidRPr="00A53C01" w:rsidRDefault="002F5CFA" w:rsidP="00A53C01">
      <w:pPr>
        <w:spacing w:line="312" w:lineRule="auto"/>
        <w:rPr>
          <w:rFonts w:cs="Times New Roman"/>
          <w:szCs w:val="24"/>
        </w:rPr>
      </w:pPr>
      <w:r w:rsidRPr="00A53C01">
        <w:rPr>
          <w:rFonts w:cs="Times New Roman"/>
          <w:szCs w:val="24"/>
        </w:rPr>
        <w:t xml:space="preserve">Given the ontological starting point of security as a social construct, security spaces properly defined are constituted primarily around shared identities (Hayes, 2013: </w:t>
      </w:r>
      <w:r w:rsidR="00AF1D0B" w:rsidRPr="00A53C01">
        <w:rPr>
          <w:rFonts w:cs="Times New Roman"/>
          <w:szCs w:val="24"/>
        </w:rPr>
        <w:t>20-1</w:t>
      </w:r>
      <w:r w:rsidRPr="00A53C01">
        <w:rPr>
          <w:rFonts w:cs="Times New Roman"/>
          <w:szCs w:val="24"/>
        </w:rPr>
        <w:t>), defined by the presence of an ‘</w:t>
      </w:r>
      <w:r w:rsidR="00B76311" w:rsidRPr="00A53C01">
        <w:rPr>
          <w:rFonts w:cs="Times New Roman"/>
          <w:szCs w:val="24"/>
        </w:rPr>
        <w:t>ingroup’ in juxtaposition to</w:t>
      </w:r>
      <w:r w:rsidRPr="00A53C01">
        <w:rPr>
          <w:rFonts w:cs="Times New Roman"/>
          <w:szCs w:val="24"/>
        </w:rPr>
        <w:t xml:space="preserve"> ‘outgroups</w:t>
      </w:r>
      <w:r w:rsidR="00171747" w:rsidRPr="00A53C01">
        <w:rPr>
          <w:rFonts w:cs="Times New Roman"/>
          <w:szCs w:val="24"/>
        </w:rPr>
        <w:t>’.</w:t>
      </w:r>
      <w:r w:rsidR="00D821C2" w:rsidRPr="00A53C01">
        <w:rPr>
          <w:rFonts w:cs="Times New Roman"/>
          <w:szCs w:val="24"/>
        </w:rPr>
        <w:t xml:space="preserve"> In Hayes’ (2013) analysis</w:t>
      </w:r>
      <w:r w:rsidR="00225518" w:rsidRPr="00A53C01">
        <w:rPr>
          <w:rFonts w:cs="Times New Roman"/>
          <w:szCs w:val="24"/>
        </w:rPr>
        <w:t xml:space="preserve"> of US foreign policy, the ‘ingroup’ is defined as democracies and the ‘outgroup’ as the non-democratic Other. It is the “meaningful similarities” between democracies that “contribute to a shared security space” (Hayes, 2013: 20)</w:t>
      </w:r>
      <w:r w:rsidR="00225518" w:rsidRPr="00A53C01">
        <w:rPr>
          <w:rStyle w:val="FootnoteReference"/>
          <w:rFonts w:cs="Times New Roman"/>
          <w:szCs w:val="24"/>
        </w:rPr>
        <w:footnoteReference w:id="6"/>
      </w:r>
      <w:r w:rsidR="00225518" w:rsidRPr="00A53C01">
        <w:rPr>
          <w:rFonts w:cs="Times New Roman"/>
          <w:szCs w:val="24"/>
        </w:rPr>
        <w:t xml:space="preserve">. </w:t>
      </w:r>
      <w:r w:rsidR="00BD5992" w:rsidRPr="00A53C01">
        <w:rPr>
          <w:rFonts w:cs="Times New Roman"/>
          <w:szCs w:val="24"/>
        </w:rPr>
        <w:t>The concept</w:t>
      </w:r>
      <w:r w:rsidR="00C26551" w:rsidRPr="00A53C01">
        <w:rPr>
          <w:rFonts w:cs="Times New Roman"/>
          <w:szCs w:val="24"/>
        </w:rPr>
        <w:t xml:space="preserve"> of a</w:t>
      </w:r>
      <w:r w:rsidR="00171747" w:rsidRPr="00A53C01">
        <w:rPr>
          <w:rFonts w:cs="Times New Roman"/>
          <w:szCs w:val="24"/>
        </w:rPr>
        <w:t xml:space="preserve"> </w:t>
      </w:r>
      <w:r w:rsidR="0098534A" w:rsidRPr="00A53C01">
        <w:rPr>
          <w:rFonts w:cs="Times New Roman"/>
          <w:szCs w:val="24"/>
        </w:rPr>
        <w:t>transatlantic identity</w:t>
      </w:r>
      <w:r w:rsidR="00225518" w:rsidRPr="00A53C01">
        <w:rPr>
          <w:rFonts w:cs="Times New Roman"/>
          <w:szCs w:val="24"/>
        </w:rPr>
        <w:t xml:space="preserve"> </w:t>
      </w:r>
      <w:r w:rsidR="00C26551" w:rsidRPr="00A53C01">
        <w:rPr>
          <w:rFonts w:cs="Times New Roman"/>
          <w:szCs w:val="24"/>
        </w:rPr>
        <w:t xml:space="preserve">is </w:t>
      </w:r>
      <w:r w:rsidR="00BD5992" w:rsidRPr="00A53C01">
        <w:rPr>
          <w:rFonts w:cs="Times New Roman"/>
          <w:szCs w:val="24"/>
        </w:rPr>
        <w:t>well-established within</w:t>
      </w:r>
      <w:r w:rsidR="00171747" w:rsidRPr="00A53C01">
        <w:rPr>
          <w:rFonts w:cs="Times New Roman"/>
          <w:szCs w:val="24"/>
        </w:rPr>
        <w:t xml:space="preserve"> IR </w:t>
      </w:r>
      <w:r w:rsidR="00B76311" w:rsidRPr="00A53C01">
        <w:rPr>
          <w:rFonts w:cs="Times New Roman"/>
          <w:szCs w:val="24"/>
        </w:rPr>
        <w:t>scholarship</w:t>
      </w:r>
      <w:r w:rsidR="00171747" w:rsidRPr="00A53C01">
        <w:rPr>
          <w:rFonts w:cs="Times New Roman"/>
          <w:szCs w:val="24"/>
        </w:rPr>
        <w:t>, focussing on shared values of democracy, the rule of law, and</w:t>
      </w:r>
      <w:r w:rsidR="00FE15AA" w:rsidRPr="00A53C01">
        <w:rPr>
          <w:rFonts w:cs="Times New Roman"/>
          <w:szCs w:val="24"/>
        </w:rPr>
        <w:t>/or</w:t>
      </w:r>
      <w:r w:rsidR="00171747" w:rsidRPr="00A53C01">
        <w:rPr>
          <w:rFonts w:cs="Times New Roman"/>
          <w:szCs w:val="24"/>
        </w:rPr>
        <w:t xml:space="preserve"> significant shared cultural traits (</w:t>
      </w:r>
      <w:r w:rsidR="00FE15AA" w:rsidRPr="00A53C01">
        <w:rPr>
          <w:rFonts w:cs="Times New Roman"/>
          <w:szCs w:val="24"/>
        </w:rPr>
        <w:t xml:space="preserve">Risse-Kappen, 1996; </w:t>
      </w:r>
      <w:r w:rsidR="003D6D3F" w:rsidRPr="00A53C01">
        <w:rPr>
          <w:rFonts w:cs="Times New Roman"/>
          <w:szCs w:val="24"/>
        </w:rPr>
        <w:t>Hampton &amp; Sperling, 2002</w:t>
      </w:r>
      <w:r w:rsidR="00171747" w:rsidRPr="00A53C01">
        <w:rPr>
          <w:rFonts w:cs="Times New Roman"/>
          <w:szCs w:val="24"/>
        </w:rPr>
        <w:t xml:space="preserve">). </w:t>
      </w:r>
      <w:r w:rsidR="001348D3" w:rsidRPr="00A53C01">
        <w:rPr>
          <w:rFonts w:cs="Times New Roman"/>
          <w:szCs w:val="24"/>
        </w:rPr>
        <w:t>T</w:t>
      </w:r>
      <w:r w:rsidR="00171747" w:rsidRPr="00A53C01">
        <w:rPr>
          <w:rFonts w:cs="Times New Roman"/>
          <w:szCs w:val="24"/>
        </w:rPr>
        <w:t>he</w:t>
      </w:r>
      <w:r w:rsidR="001348D3" w:rsidRPr="00A53C01">
        <w:rPr>
          <w:rFonts w:cs="Times New Roman"/>
          <w:szCs w:val="24"/>
        </w:rPr>
        <w:t xml:space="preserve"> transatlantic security space</w:t>
      </w:r>
      <w:r w:rsidR="000C25A8" w:rsidRPr="00A53C01">
        <w:rPr>
          <w:rFonts w:cs="Times New Roman"/>
          <w:szCs w:val="24"/>
        </w:rPr>
        <w:t>’s</w:t>
      </w:r>
      <w:r w:rsidR="00171747" w:rsidRPr="00A53C01">
        <w:rPr>
          <w:rFonts w:cs="Times New Roman"/>
          <w:szCs w:val="24"/>
        </w:rPr>
        <w:t xml:space="preserve"> ‘ingroup’</w:t>
      </w:r>
      <w:r w:rsidR="001348D3" w:rsidRPr="00A53C01">
        <w:rPr>
          <w:rFonts w:cs="Times New Roman"/>
          <w:szCs w:val="24"/>
        </w:rPr>
        <w:t xml:space="preserve"> </w:t>
      </w:r>
      <w:r w:rsidR="00171747" w:rsidRPr="00A53C01">
        <w:rPr>
          <w:rFonts w:cs="Times New Roman"/>
          <w:szCs w:val="24"/>
        </w:rPr>
        <w:t>consists</w:t>
      </w:r>
      <w:r w:rsidR="008D228F" w:rsidRPr="00A53C01">
        <w:rPr>
          <w:rFonts w:cs="Times New Roman"/>
          <w:szCs w:val="24"/>
        </w:rPr>
        <w:t xml:space="preserve"> primarily</w:t>
      </w:r>
      <w:r w:rsidR="00171747" w:rsidRPr="00A53C01">
        <w:rPr>
          <w:rFonts w:cs="Times New Roman"/>
          <w:szCs w:val="24"/>
        </w:rPr>
        <w:t xml:space="preserve"> of the US and</w:t>
      </w:r>
      <w:r w:rsidR="00FE15AA" w:rsidRPr="00A53C01">
        <w:rPr>
          <w:rFonts w:cs="Times New Roman"/>
          <w:szCs w:val="24"/>
        </w:rPr>
        <w:t xml:space="preserve"> the</w:t>
      </w:r>
      <w:r w:rsidR="00171747" w:rsidRPr="00A53C01">
        <w:rPr>
          <w:rFonts w:cs="Times New Roman"/>
          <w:szCs w:val="24"/>
        </w:rPr>
        <w:t xml:space="preserve"> EU </w:t>
      </w:r>
      <w:r w:rsidR="00C554A5">
        <w:rPr>
          <w:rFonts w:cs="Times New Roman"/>
          <w:szCs w:val="24"/>
        </w:rPr>
        <w:t>and its</w:t>
      </w:r>
      <w:r w:rsidR="00FE15AA" w:rsidRPr="00A53C01">
        <w:rPr>
          <w:rFonts w:cs="Times New Roman"/>
          <w:szCs w:val="24"/>
        </w:rPr>
        <w:t xml:space="preserve"> M</w:t>
      </w:r>
      <w:r w:rsidR="001348D3" w:rsidRPr="00A53C01">
        <w:rPr>
          <w:rFonts w:cs="Times New Roman"/>
          <w:szCs w:val="24"/>
        </w:rPr>
        <w:t xml:space="preserve">ember </w:t>
      </w:r>
      <w:r w:rsidR="00FE15AA" w:rsidRPr="00A53C01">
        <w:rPr>
          <w:rFonts w:cs="Times New Roman"/>
          <w:szCs w:val="24"/>
        </w:rPr>
        <w:t>S</w:t>
      </w:r>
      <w:r w:rsidR="00C554A5">
        <w:rPr>
          <w:rFonts w:cs="Times New Roman"/>
          <w:szCs w:val="24"/>
        </w:rPr>
        <w:t>tates</w:t>
      </w:r>
      <w:r w:rsidR="001348D3" w:rsidRPr="00A53C01">
        <w:rPr>
          <w:rStyle w:val="FootnoteReference"/>
          <w:rFonts w:cs="Times New Roman"/>
          <w:szCs w:val="24"/>
        </w:rPr>
        <w:footnoteReference w:id="7"/>
      </w:r>
      <w:r w:rsidR="000C25A8" w:rsidRPr="00A53C01">
        <w:rPr>
          <w:rFonts w:cs="Times New Roman"/>
          <w:szCs w:val="24"/>
        </w:rPr>
        <w:t>.</w:t>
      </w:r>
      <w:r w:rsidR="00185280" w:rsidRPr="00A53C01">
        <w:rPr>
          <w:rFonts w:cs="Times New Roman"/>
          <w:szCs w:val="24"/>
        </w:rPr>
        <w:t xml:space="preserve"> </w:t>
      </w:r>
      <w:r w:rsidR="00B02052" w:rsidRPr="00A53C01">
        <w:rPr>
          <w:rFonts w:cs="Times New Roman"/>
          <w:szCs w:val="24"/>
        </w:rPr>
        <w:t xml:space="preserve">Rather than a binary transatlantic-ingroup/non-transatlantic-outgroup distinction, we </w:t>
      </w:r>
      <w:r w:rsidR="00C554A5">
        <w:rPr>
          <w:rFonts w:cs="Times New Roman"/>
          <w:szCs w:val="24"/>
        </w:rPr>
        <w:t>can</w:t>
      </w:r>
      <w:r w:rsidR="00B02052" w:rsidRPr="00A53C01">
        <w:rPr>
          <w:rFonts w:cs="Times New Roman"/>
          <w:szCs w:val="24"/>
        </w:rPr>
        <w:t xml:space="preserve"> delineat</w:t>
      </w:r>
      <w:r w:rsidR="00FE15AA" w:rsidRPr="00A53C01">
        <w:rPr>
          <w:rFonts w:cs="Times New Roman"/>
          <w:szCs w:val="24"/>
        </w:rPr>
        <w:t xml:space="preserve">e between different outgroups; </w:t>
      </w:r>
      <w:r w:rsidR="00B02052" w:rsidRPr="00A53C01">
        <w:rPr>
          <w:rFonts w:cs="Times New Roman"/>
          <w:szCs w:val="24"/>
        </w:rPr>
        <w:t xml:space="preserve">however, with respect to the embargo, our outgroup focal point is China - </w:t>
      </w:r>
      <w:r w:rsidR="00185280" w:rsidRPr="00A53C01">
        <w:rPr>
          <w:rFonts w:cs="Times New Roman"/>
          <w:szCs w:val="24"/>
        </w:rPr>
        <w:t>defined by its</w:t>
      </w:r>
      <w:r w:rsidR="00A235E2" w:rsidRPr="00A53C01">
        <w:rPr>
          <w:rFonts w:cs="Times New Roman"/>
          <w:szCs w:val="24"/>
        </w:rPr>
        <w:t xml:space="preserve"> closed authoritarian</w:t>
      </w:r>
      <w:r w:rsidR="00185280" w:rsidRPr="00A53C01">
        <w:rPr>
          <w:rFonts w:cs="Times New Roman"/>
          <w:szCs w:val="24"/>
        </w:rPr>
        <w:t xml:space="preserve"> political system and non-Western culture</w:t>
      </w:r>
      <w:r w:rsidR="00DC13C3" w:rsidRPr="00A53C01">
        <w:rPr>
          <w:rFonts w:cs="Times New Roman"/>
          <w:szCs w:val="24"/>
        </w:rPr>
        <w:t xml:space="preserve"> </w:t>
      </w:r>
      <w:r w:rsidR="00FC475B" w:rsidRPr="00A53C01">
        <w:rPr>
          <w:rFonts w:cs="Times New Roman"/>
          <w:szCs w:val="24"/>
        </w:rPr>
        <w:t>diametrically</w:t>
      </w:r>
      <w:r w:rsidR="00DC13C3" w:rsidRPr="00A53C01">
        <w:rPr>
          <w:rFonts w:cs="Times New Roman"/>
          <w:szCs w:val="24"/>
        </w:rPr>
        <w:t xml:space="preserve"> opp</w:t>
      </w:r>
      <w:r w:rsidR="00FC475B" w:rsidRPr="00A53C01">
        <w:rPr>
          <w:rFonts w:cs="Times New Roman"/>
          <w:szCs w:val="24"/>
        </w:rPr>
        <w:t>osed</w:t>
      </w:r>
      <w:r w:rsidR="00DC13C3" w:rsidRPr="00A53C01">
        <w:rPr>
          <w:rFonts w:cs="Times New Roman"/>
          <w:szCs w:val="24"/>
        </w:rPr>
        <w:t xml:space="preserve"> to democratic, open polities. </w:t>
      </w:r>
      <w:r w:rsidR="00667E47" w:rsidRPr="00A53C01">
        <w:rPr>
          <w:rFonts w:cs="Times New Roman"/>
          <w:szCs w:val="24"/>
        </w:rPr>
        <w:t>Even the considerable</w:t>
      </w:r>
      <w:r w:rsidR="00A235E2" w:rsidRPr="00A53C01">
        <w:rPr>
          <w:rFonts w:cs="Times New Roman"/>
          <w:szCs w:val="24"/>
        </w:rPr>
        <w:t xml:space="preserve"> extent of economic interdependence with China cannot paper over the gap </w:t>
      </w:r>
      <w:r w:rsidR="008D228F" w:rsidRPr="00A53C01">
        <w:rPr>
          <w:rFonts w:cs="Times New Roman"/>
          <w:szCs w:val="24"/>
        </w:rPr>
        <w:t>between</w:t>
      </w:r>
      <w:r w:rsidR="00A235E2" w:rsidRPr="00A53C01">
        <w:rPr>
          <w:rFonts w:cs="Times New Roman"/>
          <w:szCs w:val="24"/>
        </w:rPr>
        <w:t xml:space="preserve"> </w:t>
      </w:r>
      <w:r w:rsidR="008D228F" w:rsidRPr="00A53C01">
        <w:rPr>
          <w:rFonts w:cs="Times New Roman"/>
          <w:szCs w:val="24"/>
        </w:rPr>
        <w:t>their political</w:t>
      </w:r>
      <w:r w:rsidR="00A235E2" w:rsidRPr="00A53C01">
        <w:rPr>
          <w:rFonts w:cs="Times New Roman"/>
          <w:szCs w:val="24"/>
        </w:rPr>
        <w:t xml:space="preserve"> </w:t>
      </w:r>
      <w:r w:rsidR="00A235E2" w:rsidRPr="00A53C01">
        <w:rPr>
          <w:rFonts w:cs="Times New Roman"/>
          <w:szCs w:val="24"/>
        </w:rPr>
        <w:lastRenderedPageBreak/>
        <w:t xml:space="preserve">identities. </w:t>
      </w:r>
      <w:r w:rsidR="00B76311" w:rsidRPr="00A53C01">
        <w:rPr>
          <w:rFonts w:cs="Times New Roman"/>
          <w:szCs w:val="24"/>
        </w:rPr>
        <w:t>China’s</w:t>
      </w:r>
      <w:r w:rsidR="00A235E2" w:rsidRPr="00A53C01">
        <w:rPr>
          <w:rFonts w:cs="Times New Roman"/>
          <w:szCs w:val="24"/>
        </w:rPr>
        <w:t xml:space="preserve"> - or at least its ruling elites</w:t>
      </w:r>
      <w:r w:rsidR="008D228F" w:rsidRPr="00A53C01">
        <w:rPr>
          <w:rFonts w:cs="Times New Roman"/>
          <w:szCs w:val="24"/>
        </w:rPr>
        <w:t>’</w:t>
      </w:r>
      <w:r w:rsidR="00A235E2" w:rsidRPr="00A53C01">
        <w:rPr>
          <w:rFonts w:cs="Times New Roman"/>
          <w:szCs w:val="24"/>
        </w:rPr>
        <w:t xml:space="preserve"> -</w:t>
      </w:r>
      <w:r w:rsidR="008D228F" w:rsidRPr="00A53C01">
        <w:rPr>
          <w:rFonts w:cs="Times New Roman"/>
          <w:szCs w:val="24"/>
        </w:rPr>
        <w:t xml:space="preserve"> </w:t>
      </w:r>
      <w:r w:rsidR="00A235E2" w:rsidRPr="00A53C01">
        <w:rPr>
          <w:rFonts w:cs="Times New Roman"/>
          <w:szCs w:val="24"/>
        </w:rPr>
        <w:t>authoritarian</w:t>
      </w:r>
      <w:r w:rsidR="008D228F" w:rsidRPr="00A53C01">
        <w:rPr>
          <w:rFonts w:cs="Times New Roman"/>
          <w:szCs w:val="24"/>
        </w:rPr>
        <w:t xml:space="preserve"> character</w:t>
      </w:r>
      <w:r w:rsidR="00A235E2" w:rsidRPr="00A53C01">
        <w:rPr>
          <w:rFonts w:cs="Times New Roman"/>
          <w:szCs w:val="24"/>
        </w:rPr>
        <w:t xml:space="preserve"> with scant regard for human rights (considered as universal by the democratic powers) was heavily critiqued </w:t>
      </w:r>
      <w:r w:rsidR="008D228F" w:rsidRPr="00A53C01">
        <w:rPr>
          <w:rFonts w:cs="Times New Roman"/>
          <w:szCs w:val="24"/>
        </w:rPr>
        <w:t>in 1989</w:t>
      </w:r>
      <w:r w:rsidR="00A235E2" w:rsidRPr="00A53C01">
        <w:rPr>
          <w:rFonts w:cs="Times New Roman"/>
          <w:szCs w:val="24"/>
        </w:rPr>
        <w:t xml:space="preserve"> when the </w:t>
      </w:r>
      <w:r w:rsidR="00835588" w:rsidRPr="00A53C01">
        <w:rPr>
          <w:rFonts w:cs="Times New Roman"/>
          <w:szCs w:val="24"/>
        </w:rPr>
        <w:t>transatlantic players</w:t>
      </w:r>
      <w:r w:rsidR="00A235E2" w:rsidRPr="00A53C01">
        <w:rPr>
          <w:rFonts w:cs="Times New Roman"/>
          <w:szCs w:val="24"/>
        </w:rPr>
        <w:t xml:space="preserve"> implemented their embargoes following the Tiananmen massacre.  </w:t>
      </w:r>
    </w:p>
    <w:p w14:paraId="3B82AD58" w14:textId="36360776" w:rsidR="00B02052" w:rsidRPr="00A53C01" w:rsidRDefault="00B02052" w:rsidP="00A53C01">
      <w:pPr>
        <w:spacing w:line="312" w:lineRule="auto"/>
        <w:rPr>
          <w:rFonts w:cs="Times New Roman"/>
          <w:szCs w:val="24"/>
        </w:rPr>
      </w:pPr>
    </w:p>
    <w:p w14:paraId="5BACD853" w14:textId="085B6406" w:rsidR="00E01DBA" w:rsidRPr="00A53C01" w:rsidRDefault="001263E1" w:rsidP="00A53C01">
      <w:pPr>
        <w:pStyle w:val="CommentText"/>
        <w:spacing w:line="312" w:lineRule="auto"/>
        <w:rPr>
          <w:rFonts w:cs="Times New Roman"/>
        </w:rPr>
      </w:pPr>
      <w:r w:rsidRPr="00A53C01">
        <w:rPr>
          <w:rFonts w:cs="Times New Roman"/>
        </w:rPr>
        <w:t xml:space="preserve">Within the transatlantic security space, there </w:t>
      </w:r>
      <w:r w:rsidR="00835588" w:rsidRPr="00A53C01">
        <w:rPr>
          <w:rFonts w:cs="Times New Roman"/>
        </w:rPr>
        <w:t>is</w:t>
      </w:r>
      <w:r w:rsidRPr="00A53C01">
        <w:rPr>
          <w:rFonts w:cs="Times New Roman"/>
        </w:rPr>
        <w:t xml:space="preserve"> a</w:t>
      </w:r>
      <w:r w:rsidR="007D5A0C" w:rsidRPr="00A53C01">
        <w:rPr>
          <w:rFonts w:cs="Times New Roman"/>
        </w:rPr>
        <w:t xml:space="preserve"> plethora</w:t>
      </w:r>
      <w:r w:rsidRPr="00A53C01">
        <w:rPr>
          <w:rFonts w:cs="Times New Roman"/>
        </w:rPr>
        <w:t xml:space="preserve"> of </w:t>
      </w:r>
      <w:r w:rsidR="007D5A0C" w:rsidRPr="00A53C01">
        <w:rPr>
          <w:rFonts w:cs="Times New Roman"/>
        </w:rPr>
        <w:t>prospective</w:t>
      </w:r>
      <w:r w:rsidRPr="00A53C01">
        <w:rPr>
          <w:rFonts w:cs="Times New Roman"/>
        </w:rPr>
        <w:t xml:space="preserve"> securitizing actors</w:t>
      </w:r>
      <w:r w:rsidR="00922ABE" w:rsidRPr="00A53C01">
        <w:rPr>
          <w:rFonts w:cs="Times New Roman"/>
        </w:rPr>
        <w:t>;</w:t>
      </w:r>
      <w:r w:rsidRPr="00A53C01">
        <w:rPr>
          <w:rFonts w:cs="Times New Roman"/>
        </w:rPr>
        <w:t xml:space="preserve"> depending on the circumstances</w:t>
      </w:r>
      <w:r w:rsidR="00922ABE" w:rsidRPr="00A53C01">
        <w:rPr>
          <w:rFonts w:cs="Times New Roman"/>
        </w:rPr>
        <w:t>, officials from states or the EU institutions may attempt securitization</w:t>
      </w:r>
      <w:r w:rsidR="007D5A0C" w:rsidRPr="00A53C01">
        <w:rPr>
          <w:rFonts w:cs="Times New Roman"/>
        </w:rPr>
        <w:t xml:space="preserve">. In the present case study, US administration officials assume this role. Their efforts were directed at </w:t>
      </w:r>
      <w:r w:rsidRPr="00A53C01">
        <w:rPr>
          <w:rFonts w:cs="Times New Roman"/>
        </w:rPr>
        <w:t>persuad</w:t>
      </w:r>
      <w:r w:rsidR="007D5A0C" w:rsidRPr="00A53C01">
        <w:rPr>
          <w:rFonts w:cs="Times New Roman"/>
        </w:rPr>
        <w:t>ing</w:t>
      </w:r>
      <w:r w:rsidRPr="00A53C01">
        <w:rPr>
          <w:rFonts w:cs="Times New Roman"/>
        </w:rPr>
        <w:t xml:space="preserve"> European counterparts to maintain the embargo, thus</w:t>
      </w:r>
      <w:r w:rsidR="002F2EF0" w:rsidRPr="00A53C01">
        <w:rPr>
          <w:rFonts w:cs="Times New Roman"/>
        </w:rPr>
        <w:t xml:space="preserve"> policy elites within</w:t>
      </w:r>
      <w:r w:rsidRPr="00A53C01">
        <w:rPr>
          <w:rFonts w:cs="Times New Roman"/>
        </w:rPr>
        <w:t xml:space="preserve"> the EU</w:t>
      </w:r>
      <w:r w:rsidR="007D5A0C" w:rsidRPr="00A53C01">
        <w:rPr>
          <w:rFonts w:cs="Times New Roman"/>
        </w:rPr>
        <w:t xml:space="preserve"> and its Member States constitute</w:t>
      </w:r>
      <w:r w:rsidRPr="00A53C01">
        <w:rPr>
          <w:rFonts w:cs="Times New Roman"/>
        </w:rPr>
        <w:t xml:space="preserve"> the ‘audience’</w:t>
      </w:r>
      <w:r w:rsidR="007D5A0C" w:rsidRPr="00A53C01">
        <w:rPr>
          <w:rFonts w:cs="Times New Roman"/>
        </w:rPr>
        <w:t xml:space="preserve"> on the receiving end of US securitizing moves (speech acts)</w:t>
      </w:r>
      <w:r w:rsidRPr="00A53C01">
        <w:rPr>
          <w:rFonts w:cs="Times New Roman"/>
        </w:rPr>
        <w:t>.</w:t>
      </w:r>
      <w:r w:rsidR="003C3A77" w:rsidRPr="00A53C01">
        <w:rPr>
          <w:rFonts w:cs="Times New Roman"/>
        </w:rPr>
        <w:t xml:space="preserve"> This approach is consistent with that of focussing on </w:t>
      </w:r>
      <w:r w:rsidR="003C3A77" w:rsidRPr="00A53C01">
        <w:rPr>
          <w:rFonts w:cs="Times New Roman"/>
          <w:i/>
        </w:rPr>
        <w:t xml:space="preserve">elite </w:t>
      </w:r>
      <w:r w:rsidR="003C3A77" w:rsidRPr="00A53C01">
        <w:rPr>
          <w:rFonts w:cs="Times New Roman"/>
        </w:rPr>
        <w:t xml:space="preserve">rather than </w:t>
      </w:r>
      <w:r w:rsidR="003C3A77" w:rsidRPr="00A53C01">
        <w:rPr>
          <w:rFonts w:cs="Times New Roman"/>
          <w:i/>
        </w:rPr>
        <w:t>popular</w:t>
      </w:r>
      <w:r w:rsidR="003C3A77" w:rsidRPr="00A53C01">
        <w:rPr>
          <w:rFonts w:cs="Times New Roman"/>
        </w:rPr>
        <w:t xml:space="preserve"> audiences in Securitization Theory (Balzacq et al, 2016: 500)</w:t>
      </w:r>
      <w:r w:rsidR="00B8417E" w:rsidRPr="00A53C01">
        <w:rPr>
          <w:rFonts w:cs="Times New Roman"/>
        </w:rPr>
        <w:t>.</w:t>
      </w:r>
      <w:r w:rsidR="008C417E" w:rsidRPr="00A53C01">
        <w:rPr>
          <w:rFonts w:cs="Times New Roman"/>
        </w:rPr>
        <w:t xml:space="preserve"> </w:t>
      </w:r>
      <w:r w:rsidR="00B8417E" w:rsidRPr="00A53C01">
        <w:rPr>
          <w:rFonts w:cs="Times New Roman"/>
        </w:rPr>
        <w:t>A</w:t>
      </w:r>
      <w:r w:rsidR="008C417E" w:rsidRPr="00A53C01">
        <w:rPr>
          <w:rFonts w:cs="Times New Roman"/>
        </w:rPr>
        <w:t xml:space="preserve">s the EU foreign policymaking model is remote </w:t>
      </w:r>
      <w:r w:rsidR="00B8417E" w:rsidRPr="00A53C01">
        <w:rPr>
          <w:rFonts w:cs="Times New Roman"/>
        </w:rPr>
        <w:t>from</w:t>
      </w:r>
      <w:r w:rsidR="008C417E" w:rsidRPr="00A53C01">
        <w:rPr>
          <w:rFonts w:cs="Times New Roman"/>
        </w:rPr>
        <w:t xml:space="preserve"> the average citizen, key players at the national and supranational levels constitute the targets of securitizing moves.</w:t>
      </w:r>
      <w:r w:rsidR="00B8417E" w:rsidRPr="00A53C01">
        <w:rPr>
          <w:rFonts w:cs="Times New Roman"/>
        </w:rPr>
        <w:t xml:space="preserve"> This is reflected in the US’s approach: although public statements were frequent, it is clear that they were not directly addressing the European populace, the primary targets of their securitizing moves were EU and Member State officials. </w:t>
      </w:r>
    </w:p>
    <w:p w14:paraId="71F0243F" w14:textId="77777777" w:rsidR="00E01DBA" w:rsidRPr="00A53C01" w:rsidRDefault="00E01DBA" w:rsidP="00A53C01">
      <w:pPr>
        <w:pStyle w:val="CommentText"/>
        <w:spacing w:line="312" w:lineRule="auto"/>
        <w:rPr>
          <w:rFonts w:cs="Times New Roman"/>
        </w:rPr>
      </w:pPr>
    </w:p>
    <w:p w14:paraId="04B4A200" w14:textId="37E6BDA4" w:rsidR="003C3A77" w:rsidRPr="00A53C01" w:rsidRDefault="000321BC" w:rsidP="00A53C01">
      <w:pPr>
        <w:pStyle w:val="CommentText"/>
        <w:spacing w:line="312" w:lineRule="auto"/>
      </w:pPr>
      <w:r w:rsidRPr="00A53C01">
        <w:rPr>
          <w:rFonts w:cs="Times New Roman"/>
        </w:rPr>
        <w:t>S</w:t>
      </w:r>
      <w:r w:rsidR="00BC497C" w:rsidRPr="00A53C01">
        <w:rPr>
          <w:rFonts w:cs="Times New Roman"/>
        </w:rPr>
        <w:t>ections of the</w:t>
      </w:r>
      <w:r w:rsidR="00EA6100" w:rsidRPr="00A53C01">
        <w:rPr>
          <w:rFonts w:cs="Times New Roman"/>
        </w:rPr>
        <w:t xml:space="preserve"> elite audience may potentially become securitizing actors themselves if the initial</w:t>
      </w:r>
      <w:r w:rsidR="00E01DBA" w:rsidRPr="00A53C01">
        <w:rPr>
          <w:rFonts w:cs="Times New Roman"/>
        </w:rPr>
        <w:t xml:space="preserve"> securitizing moves prove </w:t>
      </w:r>
      <w:r w:rsidR="00B8417E" w:rsidRPr="00A53C01">
        <w:rPr>
          <w:rFonts w:cs="Times New Roman"/>
        </w:rPr>
        <w:t>successful</w:t>
      </w:r>
      <w:r w:rsidR="00EA6100" w:rsidRPr="00A53C01">
        <w:rPr>
          <w:rFonts w:cs="Times New Roman"/>
        </w:rPr>
        <w:t>.</w:t>
      </w:r>
      <w:r w:rsidR="00A25900" w:rsidRPr="00A53C01">
        <w:t xml:space="preserve"> </w:t>
      </w:r>
      <w:r w:rsidR="00BC497C" w:rsidRPr="00A53C01">
        <w:t>However, it must be specified that the embargo’s status could only be modified by the</w:t>
      </w:r>
      <w:r w:rsidR="00A25900" w:rsidRPr="00A53C01">
        <w:t xml:space="preserve"> foreign ministers (in the Council of </w:t>
      </w:r>
      <w:r w:rsidR="00E01DBA" w:rsidRPr="00A53C01">
        <w:t>the EU</w:t>
      </w:r>
      <w:r w:rsidR="00A25900" w:rsidRPr="00A53C01">
        <w:t>) or the heads of government/state (in the European Council)</w:t>
      </w:r>
      <w:r w:rsidR="00BC497C" w:rsidRPr="00A53C01">
        <w:t xml:space="preserve">, and thus are the only actors who would have been able to securitize the embargo through explicit acceptance of the claims in the US’s securitizing moves. </w:t>
      </w:r>
      <w:r w:rsidR="00A25900" w:rsidRPr="00A53C01">
        <w:t xml:space="preserve">Lower level actors, such as in the </w:t>
      </w:r>
      <w:r w:rsidR="009E03D6" w:rsidRPr="00A53C01">
        <w:t>PSC</w:t>
      </w:r>
      <w:r w:rsidR="00A25900" w:rsidRPr="00A53C01">
        <w:t>, were part of the elite audience, but could not – by themselves – ultimately securitize the embargo</w:t>
      </w:r>
      <w:r w:rsidR="00B92947" w:rsidRPr="00A53C01">
        <w:t xml:space="preserve"> as they lacked the authority to affect change. At most, if they accepted the security arguments, they could communicate their shared threat perceptions to the senior officials. </w:t>
      </w:r>
      <w:r w:rsidR="00EA6100" w:rsidRPr="00A53C01">
        <w:rPr>
          <w:rFonts w:cs="Times New Roman"/>
        </w:rPr>
        <w:t xml:space="preserve"> As we will see, the failure of US securitizing moves over the duration of the debate entails that the roles of securitizing actor and audience remained stable throughout</w:t>
      </w:r>
      <w:r w:rsidR="008C417E" w:rsidRPr="00A53C01">
        <w:rPr>
          <w:rFonts w:cs="Times New Roman"/>
        </w:rPr>
        <w:t xml:space="preserve"> - there was no point at which individuals within the EU took on the role of securitizing actors after being persuaded by US officials. </w:t>
      </w:r>
      <w:r w:rsidR="00EA6100" w:rsidRPr="00A53C01">
        <w:rPr>
          <w:rFonts w:cs="Times New Roman"/>
        </w:rPr>
        <w:t xml:space="preserve"> </w:t>
      </w:r>
    </w:p>
    <w:p w14:paraId="0DCF1B78" w14:textId="643BCADF" w:rsidR="003D6D3F" w:rsidRPr="00A53C01" w:rsidRDefault="003C3A77" w:rsidP="00A53C01">
      <w:pPr>
        <w:spacing w:line="312" w:lineRule="auto"/>
        <w:rPr>
          <w:rFonts w:cs="Times New Roman"/>
          <w:szCs w:val="24"/>
        </w:rPr>
      </w:pPr>
      <w:r w:rsidRPr="00A53C01">
        <w:rPr>
          <w:rFonts w:cs="Times New Roman"/>
          <w:szCs w:val="24"/>
        </w:rPr>
        <w:t xml:space="preserve"> </w:t>
      </w:r>
    </w:p>
    <w:p w14:paraId="2348962C" w14:textId="7BD3F2D1" w:rsidR="0002595C" w:rsidRPr="00A53C01" w:rsidRDefault="001263E1" w:rsidP="00A53C01">
      <w:pPr>
        <w:spacing w:line="312" w:lineRule="auto"/>
        <w:rPr>
          <w:rFonts w:cs="Times New Roman"/>
          <w:szCs w:val="24"/>
        </w:rPr>
      </w:pPr>
      <w:r w:rsidRPr="00A53C01">
        <w:rPr>
          <w:rFonts w:cs="Times New Roman"/>
          <w:szCs w:val="24"/>
        </w:rPr>
        <w:t>The referent object - that which needs to be secured - is the transatlantic community of states</w:t>
      </w:r>
      <w:r w:rsidR="00922ABE" w:rsidRPr="00A53C01">
        <w:rPr>
          <w:rFonts w:cs="Times New Roman"/>
          <w:szCs w:val="24"/>
        </w:rPr>
        <w:t xml:space="preserve"> with emphasis on, in the first instance, the US itself</w:t>
      </w:r>
      <w:r w:rsidR="00EA6100" w:rsidRPr="00A53C01">
        <w:rPr>
          <w:rFonts w:cs="Times New Roman"/>
          <w:szCs w:val="24"/>
        </w:rPr>
        <w:t>. In addition, the threats would extend to the US’s regional allies, particularly Taiwan</w:t>
      </w:r>
      <w:r w:rsidR="008055BE" w:rsidRPr="00A53C01">
        <w:rPr>
          <w:rFonts w:cs="Times New Roman"/>
          <w:szCs w:val="24"/>
        </w:rPr>
        <w:t>, that would in itself be considered as detrimental to the US’s security</w:t>
      </w:r>
      <w:r w:rsidR="00EA6100" w:rsidRPr="00A53C01">
        <w:rPr>
          <w:rFonts w:cs="Times New Roman"/>
          <w:szCs w:val="24"/>
        </w:rPr>
        <w:t xml:space="preserve">. The implicit assumption underpinning US arguments </w:t>
      </w:r>
      <w:r w:rsidR="00EA6100" w:rsidRPr="00A53C01">
        <w:rPr>
          <w:rFonts w:cs="Times New Roman"/>
          <w:szCs w:val="24"/>
        </w:rPr>
        <w:lastRenderedPageBreak/>
        <w:t xml:space="preserve">regarding the detrimental impact of lifting the embargo for </w:t>
      </w:r>
      <w:r w:rsidR="008055BE" w:rsidRPr="00A53C01">
        <w:rPr>
          <w:rFonts w:cs="Times New Roman"/>
          <w:szCs w:val="24"/>
        </w:rPr>
        <w:t xml:space="preserve">US </w:t>
      </w:r>
      <w:r w:rsidR="00EA6100" w:rsidRPr="00A53C01">
        <w:rPr>
          <w:rFonts w:cs="Times New Roman"/>
          <w:szCs w:val="24"/>
        </w:rPr>
        <w:t xml:space="preserve">security interests was that European actors would perceive this as detrimental to </w:t>
      </w:r>
      <w:r w:rsidR="008055BE" w:rsidRPr="00A53C01">
        <w:rPr>
          <w:rFonts w:cs="Times New Roman"/>
          <w:szCs w:val="24"/>
        </w:rPr>
        <w:t>European</w:t>
      </w:r>
      <w:r w:rsidR="00EA6100" w:rsidRPr="00A53C01">
        <w:rPr>
          <w:rFonts w:cs="Times New Roman"/>
          <w:szCs w:val="24"/>
        </w:rPr>
        <w:t xml:space="preserve"> security interests - a loss of security for </w:t>
      </w:r>
      <w:r w:rsidR="008055BE" w:rsidRPr="00A53C01">
        <w:rPr>
          <w:rFonts w:cs="Times New Roman"/>
          <w:szCs w:val="24"/>
        </w:rPr>
        <w:t>one</w:t>
      </w:r>
      <w:r w:rsidR="00EA6100" w:rsidRPr="00A53C01">
        <w:rPr>
          <w:rFonts w:cs="Times New Roman"/>
          <w:szCs w:val="24"/>
        </w:rPr>
        <w:t xml:space="preserve"> would also be a loss of security for the </w:t>
      </w:r>
      <w:r w:rsidR="008055BE" w:rsidRPr="00A53C01">
        <w:rPr>
          <w:rFonts w:cs="Times New Roman"/>
          <w:szCs w:val="24"/>
        </w:rPr>
        <w:t>other, underscoring their security interdependence</w:t>
      </w:r>
      <w:r w:rsidR="00EA6100" w:rsidRPr="00A53C01">
        <w:rPr>
          <w:rFonts w:cs="Times New Roman"/>
          <w:szCs w:val="24"/>
        </w:rPr>
        <w:t xml:space="preserve">. </w:t>
      </w:r>
      <w:r w:rsidR="008055BE" w:rsidRPr="00A53C01">
        <w:rPr>
          <w:rFonts w:cs="Times New Roman"/>
          <w:szCs w:val="24"/>
        </w:rPr>
        <w:t>The absence of the</w:t>
      </w:r>
      <w:r w:rsidRPr="00A53C01">
        <w:rPr>
          <w:rFonts w:cs="Times New Roman"/>
          <w:szCs w:val="24"/>
        </w:rPr>
        <w:t xml:space="preserve"> embargo would not, in itself, constitute the security threat, but rather China’s unchecked rise a</w:t>
      </w:r>
      <w:r w:rsidR="001F0E60" w:rsidRPr="00A53C01">
        <w:rPr>
          <w:rFonts w:cs="Times New Roman"/>
          <w:szCs w:val="24"/>
        </w:rPr>
        <w:t>nd</w:t>
      </w:r>
      <w:r w:rsidR="00EA6100" w:rsidRPr="00A53C01">
        <w:rPr>
          <w:rFonts w:cs="Times New Roman"/>
          <w:szCs w:val="24"/>
        </w:rPr>
        <w:t xml:space="preserve"> expedited</w:t>
      </w:r>
      <w:r w:rsidR="001F0E60" w:rsidRPr="00A53C01">
        <w:rPr>
          <w:rFonts w:cs="Times New Roman"/>
          <w:szCs w:val="24"/>
        </w:rPr>
        <w:t xml:space="preserve"> military modernization was the primary concern for the US policymakers</w:t>
      </w:r>
      <w:r w:rsidR="008055BE" w:rsidRPr="00A53C01">
        <w:rPr>
          <w:rFonts w:cs="Times New Roman"/>
          <w:szCs w:val="24"/>
        </w:rPr>
        <w:t>.</w:t>
      </w:r>
      <w:r w:rsidR="00922ABE" w:rsidRPr="00A53C01">
        <w:rPr>
          <w:rFonts w:cs="Times New Roman"/>
          <w:szCs w:val="24"/>
        </w:rPr>
        <w:t xml:space="preserve"> </w:t>
      </w:r>
      <w:r w:rsidR="008055BE" w:rsidRPr="00A53C01">
        <w:rPr>
          <w:rFonts w:cs="Times New Roman"/>
          <w:szCs w:val="24"/>
        </w:rPr>
        <w:t>Ending the embargo</w:t>
      </w:r>
      <w:r w:rsidR="00922ABE" w:rsidRPr="00A53C01">
        <w:rPr>
          <w:rFonts w:cs="Times New Roman"/>
          <w:szCs w:val="24"/>
        </w:rPr>
        <w:t xml:space="preserve"> would undermine the US’s ability to provide security in East Asia and, potentially, the global system</w:t>
      </w:r>
      <w:r w:rsidR="001F0E60" w:rsidRPr="00A53C01">
        <w:rPr>
          <w:rFonts w:cs="Times New Roman"/>
          <w:szCs w:val="24"/>
        </w:rPr>
        <w:t xml:space="preserve">. </w:t>
      </w:r>
      <w:r w:rsidR="008055BE" w:rsidRPr="00A53C01">
        <w:rPr>
          <w:rFonts w:cs="Times New Roman"/>
          <w:szCs w:val="24"/>
        </w:rPr>
        <w:t>Therefore</w:t>
      </w:r>
      <w:r w:rsidR="003626B1" w:rsidRPr="00A53C01">
        <w:rPr>
          <w:rFonts w:cs="Times New Roman"/>
          <w:szCs w:val="24"/>
        </w:rPr>
        <w:t xml:space="preserve"> China constitutes the referent subject</w:t>
      </w:r>
      <w:r w:rsidR="0002595C" w:rsidRPr="00A53C01">
        <w:rPr>
          <w:rFonts w:cs="Times New Roman"/>
          <w:szCs w:val="24"/>
        </w:rPr>
        <w:t xml:space="preserve">, painted as a security threat by US policymakers </w:t>
      </w:r>
      <w:r w:rsidR="00835588" w:rsidRPr="00A53C01">
        <w:rPr>
          <w:rFonts w:cs="Times New Roman"/>
          <w:szCs w:val="24"/>
        </w:rPr>
        <w:t>in</w:t>
      </w:r>
      <w:r w:rsidR="0002595C" w:rsidRPr="00A53C01">
        <w:rPr>
          <w:rFonts w:cs="Times New Roman"/>
          <w:szCs w:val="24"/>
        </w:rPr>
        <w:t xml:space="preserve"> their </w:t>
      </w:r>
      <w:r w:rsidR="00835588" w:rsidRPr="00A53C01">
        <w:rPr>
          <w:rFonts w:cs="Times New Roman"/>
          <w:szCs w:val="24"/>
        </w:rPr>
        <w:t>claims</w:t>
      </w:r>
      <w:r w:rsidR="0002595C" w:rsidRPr="00A53C01">
        <w:rPr>
          <w:rFonts w:cs="Times New Roman"/>
          <w:szCs w:val="24"/>
        </w:rPr>
        <w:t xml:space="preserve"> that the EU must maintain its embargo. </w:t>
      </w:r>
    </w:p>
    <w:p w14:paraId="34CE7C96" w14:textId="448E2ED6" w:rsidR="00A15715" w:rsidRPr="00A53C01" w:rsidRDefault="00176374" w:rsidP="00A53C01">
      <w:pPr>
        <w:tabs>
          <w:tab w:val="left" w:pos="3765"/>
        </w:tabs>
        <w:spacing w:line="312" w:lineRule="auto"/>
        <w:rPr>
          <w:rFonts w:cs="Times New Roman"/>
          <w:szCs w:val="24"/>
        </w:rPr>
      </w:pPr>
      <w:r w:rsidRPr="00A53C01">
        <w:rPr>
          <w:rFonts w:cs="Times New Roman"/>
          <w:szCs w:val="24"/>
        </w:rPr>
        <w:tab/>
      </w:r>
    </w:p>
    <w:p w14:paraId="7F406207" w14:textId="63FDA026" w:rsidR="006E08FD" w:rsidRDefault="00541995" w:rsidP="00A53C01">
      <w:pPr>
        <w:spacing w:line="312" w:lineRule="auto"/>
        <w:rPr>
          <w:rFonts w:eastAsia="Times New Roman" w:cs="Times New Roman"/>
          <w:szCs w:val="24"/>
          <w:lang w:eastAsia="en-GB"/>
        </w:rPr>
      </w:pPr>
      <w:r w:rsidRPr="00A53C01">
        <w:rPr>
          <w:rFonts w:cs="Times New Roman"/>
          <w:szCs w:val="24"/>
        </w:rPr>
        <w:t xml:space="preserve">The point of departure from ‘mainstream’ </w:t>
      </w:r>
      <w:r w:rsidR="00387204" w:rsidRPr="00A53C01">
        <w:rPr>
          <w:rFonts w:cs="Times New Roman"/>
          <w:szCs w:val="24"/>
        </w:rPr>
        <w:t>S</w:t>
      </w:r>
      <w:r w:rsidRPr="00A53C01">
        <w:rPr>
          <w:rFonts w:cs="Times New Roman"/>
          <w:szCs w:val="24"/>
        </w:rPr>
        <w:t xml:space="preserve">ecuritization </w:t>
      </w:r>
      <w:r w:rsidR="00387204" w:rsidRPr="00A53C01">
        <w:rPr>
          <w:rFonts w:cs="Times New Roman"/>
          <w:szCs w:val="24"/>
        </w:rPr>
        <w:t>T</w:t>
      </w:r>
      <w:r w:rsidRPr="00A53C01">
        <w:rPr>
          <w:rFonts w:cs="Times New Roman"/>
          <w:szCs w:val="24"/>
        </w:rPr>
        <w:t>heory</w:t>
      </w:r>
      <w:r w:rsidR="00BF527E" w:rsidRPr="00A53C01">
        <w:rPr>
          <w:rFonts w:cs="Times New Roman"/>
          <w:szCs w:val="24"/>
        </w:rPr>
        <w:t xml:space="preserve"> here</w:t>
      </w:r>
      <w:r w:rsidRPr="00A53C01">
        <w:rPr>
          <w:rFonts w:cs="Times New Roman"/>
          <w:szCs w:val="24"/>
        </w:rPr>
        <w:t xml:space="preserve"> is that securitizing moves are </w:t>
      </w:r>
      <w:r w:rsidR="00387204" w:rsidRPr="00A53C01">
        <w:rPr>
          <w:rFonts w:cs="Times New Roman"/>
          <w:szCs w:val="24"/>
        </w:rPr>
        <w:t>ordinarily</w:t>
      </w:r>
      <w:r w:rsidRPr="00A53C01">
        <w:rPr>
          <w:rFonts w:cs="Times New Roman"/>
          <w:szCs w:val="24"/>
        </w:rPr>
        <w:t xml:space="preserve"> conceptualised as concerned with affecting some policy change</w:t>
      </w:r>
      <w:r w:rsidR="00FE11BB" w:rsidRPr="00A53C01">
        <w:rPr>
          <w:rFonts w:cs="Times New Roman"/>
          <w:szCs w:val="24"/>
        </w:rPr>
        <w:t xml:space="preserve"> to deal with the identified extant threat</w:t>
      </w:r>
      <w:r w:rsidR="003626B1" w:rsidRPr="00A53C01">
        <w:rPr>
          <w:rFonts w:cs="Times New Roman"/>
          <w:szCs w:val="24"/>
        </w:rPr>
        <w:t xml:space="preserve"> (moving the issue beyond ‘normal’ politics)</w:t>
      </w:r>
      <w:r w:rsidRPr="00A53C01">
        <w:rPr>
          <w:rFonts w:cs="Times New Roman"/>
          <w:szCs w:val="24"/>
        </w:rPr>
        <w:t>,</w:t>
      </w:r>
      <w:r w:rsidR="003626B1" w:rsidRPr="00A53C01">
        <w:rPr>
          <w:rFonts w:cs="Times New Roman"/>
          <w:szCs w:val="24"/>
        </w:rPr>
        <w:t xml:space="preserve"> but in this instance the securitizing actors’ intention was to </w:t>
      </w:r>
      <w:r w:rsidR="003626B1" w:rsidRPr="00A53C01">
        <w:rPr>
          <w:rFonts w:cs="Times New Roman"/>
          <w:i/>
          <w:szCs w:val="24"/>
        </w:rPr>
        <w:t>prevent</w:t>
      </w:r>
      <w:r w:rsidR="00387204" w:rsidRPr="00A53C01">
        <w:t xml:space="preserve"> </w:t>
      </w:r>
      <w:r w:rsidR="00FE11BB" w:rsidRPr="00A53C01">
        <w:t>a</w:t>
      </w:r>
      <w:r w:rsidR="003626B1" w:rsidRPr="00A53C01">
        <w:rPr>
          <w:rFonts w:cs="Times New Roman"/>
          <w:szCs w:val="24"/>
        </w:rPr>
        <w:t xml:space="preserve"> threat</w:t>
      </w:r>
      <w:r w:rsidR="00FE11BB" w:rsidRPr="00A53C01">
        <w:rPr>
          <w:rFonts w:cs="Times New Roman"/>
          <w:szCs w:val="24"/>
        </w:rPr>
        <w:t xml:space="preserve"> from emerging by ensuring policy continuity</w:t>
      </w:r>
      <w:r w:rsidR="003626B1" w:rsidRPr="00A53C01">
        <w:rPr>
          <w:rFonts w:cs="Times New Roman"/>
          <w:szCs w:val="24"/>
        </w:rPr>
        <w:t>. This is due to the underpinning logic of the embargo having shifted for US policymakers: in the first instance, the embargoes were political symbols rather than measures to increase or maintain American/European security, but by 2003</w:t>
      </w:r>
      <w:r w:rsidR="00387204" w:rsidRPr="00A53C01">
        <w:rPr>
          <w:rFonts w:cs="Times New Roman"/>
          <w:szCs w:val="24"/>
        </w:rPr>
        <w:t xml:space="preserve"> the security rationale had taken priority</w:t>
      </w:r>
      <w:r w:rsidR="003626B1" w:rsidRPr="00A53C01">
        <w:rPr>
          <w:rFonts w:cs="Times New Roman"/>
          <w:szCs w:val="24"/>
        </w:rPr>
        <w:t xml:space="preserve">. </w:t>
      </w:r>
      <w:r w:rsidR="00387204" w:rsidRPr="00A53C01">
        <w:rPr>
          <w:rFonts w:cs="Times New Roman"/>
          <w:szCs w:val="24"/>
        </w:rPr>
        <w:t>US actors sought to bring</w:t>
      </w:r>
      <w:r w:rsidR="00192516" w:rsidRPr="00A53C01">
        <w:rPr>
          <w:rFonts w:cs="Times New Roman"/>
          <w:szCs w:val="24"/>
        </w:rPr>
        <w:t xml:space="preserve"> EU</w:t>
      </w:r>
      <w:r w:rsidR="006E08FD">
        <w:rPr>
          <w:rFonts w:cs="Times New Roman"/>
          <w:szCs w:val="24"/>
        </w:rPr>
        <w:t xml:space="preserve"> Member State</w:t>
      </w:r>
      <w:r w:rsidR="00192516" w:rsidRPr="00A53C01">
        <w:rPr>
          <w:rFonts w:cs="Times New Roman"/>
          <w:szCs w:val="24"/>
        </w:rPr>
        <w:t xml:space="preserve"> preferences into line with</w:t>
      </w:r>
      <w:r w:rsidR="00387204" w:rsidRPr="00A53C01">
        <w:rPr>
          <w:rFonts w:cs="Times New Roman"/>
          <w:szCs w:val="24"/>
        </w:rPr>
        <w:t xml:space="preserve"> their own perspective that</w:t>
      </w:r>
      <w:r w:rsidR="00192516" w:rsidRPr="00A53C01">
        <w:rPr>
          <w:rFonts w:cs="Times New Roman"/>
          <w:szCs w:val="24"/>
        </w:rPr>
        <w:t xml:space="preserve"> the </w:t>
      </w:r>
      <w:r w:rsidR="00387204" w:rsidRPr="00A53C01">
        <w:rPr>
          <w:rFonts w:cs="Times New Roman"/>
          <w:szCs w:val="24"/>
        </w:rPr>
        <w:t>security interests would be served by maintaining the embargo</w:t>
      </w:r>
      <w:r w:rsidR="00192516" w:rsidRPr="00A53C01">
        <w:rPr>
          <w:rFonts w:cs="Times New Roman"/>
          <w:szCs w:val="24"/>
        </w:rPr>
        <w:t>. The policy itself would remain constant, but its underpinning rationale would be moved from the non-security domain to the security domain. This approach accords</w:t>
      </w:r>
      <w:r w:rsidR="003626B1" w:rsidRPr="00A53C01">
        <w:rPr>
          <w:rFonts w:cs="Times New Roman"/>
          <w:szCs w:val="24"/>
        </w:rPr>
        <w:t xml:space="preserve"> </w:t>
      </w:r>
      <w:r w:rsidR="00192516" w:rsidRPr="00A53C01">
        <w:rPr>
          <w:rFonts w:cs="Times New Roman"/>
          <w:szCs w:val="24"/>
        </w:rPr>
        <w:t>with Floyd’s (2016: 678) observation that “</w:t>
      </w:r>
      <w:r w:rsidR="00192516" w:rsidRPr="00A53C01">
        <w:rPr>
          <w:rFonts w:eastAsia="Times New Roman" w:cs="Times New Roman"/>
          <w:szCs w:val="24"/>
          <w:lang w:eastAsia="en-GB"/>
        </w:rPr>
        <w:t>in liberal democracies, securitizing actors do not always revert to exceptional security policies when they address a threat”. Thus,</w:t>
      </w:r>
      <w:r w:rsidR="00C93B4B" w:rsidRPr="00A53C01">
        <w:rPr>
          <w:rFonts w:eastAsia="Times New Roman" w:cs="Times New Roman"/>
          <w:szCs w:val="24"/>
          <w:lang w:eastAsia="en-GB"/>
        </w:rPr>
        <w:t xml:space="preserve"> maint</w:t>
      </w:r>
      <w:r w:rsidR="00387204" w:rsidRPr="00A53C01">
        <w:rPr>
          <w:rFonts w:eastAsia="Times New Roman" w:cs="Times New Roman"/>
          <w:szCs w:val="24"/>
          <w:lang w:eastAsia="en-GB"/>
        </w:rPr>
        <w:t>aining</w:t>
      </w:r>
      <w:r w:rsidR="00C93B4B" w:rsidRPr="00A53C01">
        <w:rPr>
          <w:rFonts w:eastAsia="Times New Roman" w:cs="Times New Roman"/>
          <w:szCs w:val="24"/>
          <w:lang w:eastAsia="en-GB"/>
        </w:rPr>
        <w:t xml:space="preserve"> the embargo </w:t>
      </w:r>
      <w:r w:rsidR="00387204" w:rsidRPr="00A53C01">
        <w:rPr>
          <w:rFonts w:eastAsia="Times New Roman" w:cs="Times New Roman"/>
          <w:szCs w:val="24"/>
          <w:lang w:eastAsia="en-GB"/>
        </w:rPr>
        <w:t>w</w:t>
      </w:r>
      <w:r w:rsidR="00C93B4B" w:rsidRPr="00A53C01">
        <w:rPr>
          <w:rFonts w:eastAsia="Times New Roman" w:cs="Times New Roman"/>
          <w:szCs w:val="24"/>
          <w:lang w:eastAsia="en-GB"/>
        </w:rPr>
        <w:t>ould be regarded as the end result of a successful securitization process</w:t>
      </w:r>
      <w:r w:rsidR="00C93B4B" w:rsidRPr="00A53C01">
        <w:rPr>
          <w:rFonts w:eastAsia="Times New Roman" w:cs="Times New Roman"/>
          <w:i/>
          <w:szCs w:val="24"/>
          <w:lang w:eastAsia="en-GB"/>
        </w:rPr>
        <w:t xml:space="preserve"> if</w:t>
      </w:r>
      <w:r w:rsidR="00C93B4B" w:rsidRPr="00A53C01">
        <w:rPr>
          <w:rFonts w:eastAsia="Times New Roman" w:cs="Times New Roman"/>
          <w:szCs w:val="24"/>
          <w:lang w:eastAsia="en-GB"/>
        </w:rPr>
        <w:t xml:space="preserve"> EU actors had revealed </w:t>
      </w:r>
      <w:r w:rsidR="00790BB3" w:rsidRPr="00A53C01">
        <w:rPr>
          <w:rFonts w:eastAsia="Times New Roman" w:cs="Times New Roman"/>
          <w:szCs w:val="24"/>
          <w:lang w:eastAsia="en-GB"/>
        </w:rPr>
        <w:t>that they accepted the threat identified by the US and subsequently altered their preferences.</w:t>
      </w:r>
    </w:p>
    <w:p w14:paraId="13F5CA84" w14:textId="77777777" w:rsidR="006E08FD" w:rsidRDefault="006E08FD" w:rsidP="00A53C01">
      <w:pPr>
        <w:spacing w:line="312" w:lineRule="auto"/>
        <w:rPr>
          <w:rFonts w:eastAsia="Times New Roman" w:cs="Times New Roman"/>
          <w:szCs w:val="24"/>
          <w:lang w:eastAsia="en-GB"/>
        </w:rPr>
      </w:pPr>
    </w:p>
    <w:p w14:paraId="5766F554" w14:textId="015BCBE0" w:rsidR="006E08FD" w:rsidRPr="006E08FD" w:rsidRDefault="006E08FD" w:rsidP="00A53C01">
      <w:pPr>
        <w:spacing w:line="312" w:lineRule="auto"/>
        <w:rPr>
          <w:rFonts w:eastAsia="Times New Roman" w:cs="Times New Roman"/>
          <w:szCs w:val="24"/>
          <w:lang w:eastAsia="en-GB"/>
        </w:rPr>
      </w:pPr>
      <w:r>
        <w:rPr>
          <w:rFonts w:eastAsia="Times New Roman" w:cs="Times New Roman"/>
          <w:szCs w:val="24"/>
          <w:lang w:eastAsia="en-GB"/>
        </w:rPr>
        <w:t xml:space="preserve">A final point on the theoretical approach: it may appear counterintuitive to make the case for the </w:t>
      </w:r>
      <w:r>
        <w:rPr>
          <w:rFonts w:eastAsia="Times New Roman" w:cs="Times New Roman"/>
          <w:i/>
          <w:szCs w:val="24"/>
          <w:lang w:eastAsia="en-GB"/>
        </w:rPr>
        <w:t>transatlantic securitization space</w:t>
      </w:r>
      <w:r>
        <w:rPr>
          <w:rFonts w:eastAsia="Times New Roman" w:cs="Times New Roman"/>
          <w:szCs w:val="24"/>
          <w:lang w:eastAsia="en-GB"/>
        </w:rPr>
        <w:t xml:space="preserve"> by examining a failed attempt at securitization. I contend that this is not necessarily problematic. Securitisation Theory is not subject to confirmation/falsification on the basis of whether securitisation actually takes place or not. Rather, what is important here is that there are securitisation moves undertaken by actors that believe that their actions can produce the desired outcome – shifting an issue from the political to the security domain. The attempt, then, is what is important for my purposes – the detection of securitisation moves opens up the opportunity to </w:t>
      </w:r>
      <w:r w:rsidR="00AE0EC3">
        <w:rPr>
          <w:rFonts w:eastAsia="Times New Roman" w:cs="Times New Roman"/>
          <w:szCs w:val="24"/>
          <w:lang w:eastAsia="en-GB"/>
        </w:rPr>
        <w:t xml:space="preserve">conceptualise a securitisation space. </w:t>
      </w:r>
    </w:p>
    <w:p w14:paraId="35D4702A" w14:textId="31DFC331" w:rsidR="00790BB3" w:rsidRPr="00A53C01" w:rsidRDefault="00192516" w:rsidP="00A53C01">
      <w:pPr>
        <w:spacing w:line="312" w:lineRule="auto"/>
        <w:rPr>
          <w:rFonts w:eastAsia="Times New Roman" w:cs="Times New Roman"/>
          <w:szCs w:val="24"/>
          <w:lang w:eastAsia="en-GB"/>
        </w:rPr>
      </w:pPr>
      <w:r w:rsidRPr="00A53C01">
        <w:rPr>
          <w:rFonts w:eastAsia="Times New Roman" w:cs="Times New Roman"/>
          <w:szCs w:val="24"/>
          <w:lang w:eastAsia="en-GB"/>
        </w:rPr>
        <w:lastRenderedPageBreak/>
        <w:t xml:space="preserve"> </w:t>
      </w:r>
    </w:p>
    <w:p w14:paraId="56FA1768" w14:textId="45795AAD" w:rsidR="007124AD" w:rsidRPr="00A53C01" w:rsidRDefault="00DB4227" w:rsidP="00A53C01">
      <w:pPr>
        <w:pStyle w:val="SectionHeading"/>
        <w:spacing w:line="312" w:lineRule="auto"/>
        <w:rPr>
          <w:rFonts w:cs="Times New Roman"/>
          <w:b/>
          <w:szCs w:val="24"/>
        </w:rPr>
      </w:pPr>
      <w:r>
        <w:rPr>
          <w:rFonts w:cs="Times New Roman"/>
          <w:b/>
          <w:szCs w:val="24"/>
        </w:rPr>
        <w:t xml:space="preserve">4. </w:t>
      </w:r>
      <w:r w:rsidR="002A59F2" w:rsidRPr="00A53C01">
        <w:rPr>
          <w:rFonts w:cs="Times New Roman"/>
          <w:b/>
          <w:szCs w:val="24"/>
        </w:rPr>
        <w:t>European Perspectives on Lifting the Embargo</w:t>
      </w:r>
    </w:p>
    <w:p w14:paraId="359E0AF7" w14:textId="1E13F77A" w:rsidR="00604E3B" w:rsidRPr="00A53C01" w:rsidRDefault="009916BD" w:rsidP="00A53C01">
      <w:pPr>
        <w:spacing w:line="312" w:lineRule="auto"/>
        <w:rPr>
          <w:rFonts w:cs="Times New Roman"/>
          <w:iCs/>
          <w:szCs w:val="24"/>
        </w:rPr>
      </w:pPr>
      <w:r w:rsidRPr="00A53C01">
        <w:rPr>
          <w:rFonts w:cs="Times New Roman"/>
          <w:iCs/>
          <w:szCs w:val="24"/>
        </w:rPr>
        <w:t xml:space="preserve">Understanding the </w:t>
      </w:r>
      <w:r w:rsidR="003521A3" w:rsidRPr="00A53C01">
        <w:rPr>
          <w:rFonts w:cs="Times New Roman"/>
          <w:iCs/>
          <w:szCs w:val="24"/>
        </w:rPr>
        <w:t>rationale for the imposition of the EU</w:t>
      </w:r>
      <w:r w:rsidRPr="00A53C01">
        <w:rPr>
          <w:rFonts w:cs="Times New Roman"/>
          <w:iCs/>
          <w:szCs w:val="24"/>
        </w:rPr>
        <w:t xml:space="preserve"> embargo and the </w:t>
      </w:r>
      <w:r w:rsidR="003521A3" w:rsidRPr="00A53C01">
        <w:rPr>
          <w:rFonts w:cs="Times New Roman"/>
          <w:iCs/>
          <w:szCs w:val="24"/>
        </w:rPr>
        <w:t xml:space="preserve">political </w:t>
      </w:r>
      <w:r w:rsidRPr="00A53C01">
        <w:rPr>
          <w:rFonts w:cs="Times New Roman"/>
          <w:iCs/>
          <w:szCs w:val="24"/>
        </w:rPr>
        <w:t xml:space="preserve">context in which its removal </w:t>
      </w:r>
      <w:r w:rsidR="00D45AEC" w:rsidRPr="00A53C01">
        <w:rPr>
          <w:rFonts w:cs="Times New Roman"/>
          <w:iCs/>
          <w:szCs w:val="24"/>
        </w:rPr>
        <w:t>was</w:t>
      </w:r>
      <w:r w:rsidRPr="00A53C01">
        <w:rPr>
          <w:rFonts w:cs="Times New Roman"/>
          <w:iCs/>
          <w:szCs w:val="24"/>
        </w:rPr>
        <w:t xml:space="preserve"> consider</w:t>
      </w:r>
      <w:r w:rsidR="00D45AEC" w:rsidRPr="00A53C01">
        <w:rPr>
          <w:rFonts w:cs="Times New Roman"/>
          <w:iCs/>
          <w:szCs w:val="24"/>
        </w:rPr>
        <w:t>ed</w:t>
      </w:r>
      <w:r w:rsidRPr="00A53C01">
        <w:rPr>
          <w:rFonts w:cs="Times New Roman"/>
          <w:iCs/>
          <w:szCs w:val="24"/>
        </w:rPr>
        <w:t xml:space="preserve"> is</w:t>
      </w:r>
      <w:r w:rsidR="002D208B" w:rsidRPr="00A53C01">
        <w:rPr>
          <w:rFonts w:cs="Times New Roman"/>
          <w:iCs/>
          <w:szCs w:val="24"/>
        </w:rPr>
        <w:t xml:space="preserve"> a</w:t>
      </w:r>
      <w:r w:rsidRPr="00A53C01">
        <w:rPr>
          <w:rFonts w:cs="Times New Roman"/>
          <w:iCs/>
          <w:szCs w:val="24"/>
        </w:rPr>
        <w:t xml:space="preserve"> necessary </w:t>
      </w:r>
      <w:r w:rsidR="002D208B" w:rsidRPr="00A53C01">
        <w:rPr>
          <w:rFonts w:cs="Times New Roman"/>
          <w:iCs/>
          <w:szCs w:val="24"/>
        </w:rPr>
        <w:t xml:space="preserve">step towards </w:t>
      </w:r>
      <w:r w:rsidR="00D45AEC" w:rsidRPr="00A53C01">
        <w:rPr>
          <w:rFonts w:cs="Times New Roman"/>
          <w:iCs/>
          <w:szCs w:val="24"/>
        </w:rPr>
        <w:t>explaining</w:t>
      </w:r>
      <w:r w:rsidR="002D208B" w:rsidRPr="00A53C01">
        <w:rPr>
          <w:rFonts w:cs="Times New Roman"/>
          <w:iCs/>
          <w:szCs w:val="24"/>
        </w:rPr>
        <w:t xml:space="preserve"> </w:t>
      </w:r>
      <w:r w:rsidRPr="00A53C01">
        <w:rPr>
          <w:rFonts w:cs="Times New Roman"/>
          <w:iCs/>
          <w:szCs w:val="24"/>
        </w:rPr>
        <w:t>the gap b</w:t>
      </w:r>
      <w:r w:rsidR="00604E3B" w:rsidRPr="00A53C01">
        <w:rPr>
          <w:rFonts w:cs="Times New Roman"/>
          <w:iCs/>
          <w:szCs w:val="24"/>
        </w:rPr>
        <w:t xml:space="preserve">etween European and American perspectives that contributed to </w:t>
      </w:r>
      <w:r w:rsidR="002D208B" w:rsidRPr="00A53C01">
        <w:rPr>
          <w:rFonts w:cs="Times New Roman"/>
          <w:iCs/>
          <w:szCs w:val="24"/>
        </w:rPr>
        <w:t>securitization failure</w:t>
      </w:r>
      <w:r w:rsidR="003521A3" w:rsidRPr="00A53C01">
        <w:rPr>
          <w:rFonts w:cs="Times New Roman"/>
          <w:iCs/>
          <w:szCs w:val="24"/>
        </w:rPr>
        <w:t xml:space="preserve">. </w:t>
      </w:r>
      <w:r w:rsidR="002D208B" w:rsidRPr="00A53C01">
        <w:rPr>
          <w:rFonts w:cs="Times New Roman"/>
          <w:iCs/>
          <w:szCs w:val="24"/>
        </w:rPr>
        <w:t>T</w:t>
      </w:r>
      <w:r w:rsidR="003521A3" w:rsidRPr="00A53C01">
        <w:rPr>
          <w:rFonts w:cs="Times New Roman"/>
          <w:iCs/>
          <w:szCs w:val="24"/>
        </w:rPr>
        <w:t xml:space="preserve">he embargo was not originally conceived of as </w:t>
      </w:r>
      <w:r w:rsidR="002D208B" w:rsidRPr="00A53C01">
        <w:rPr>
          <w:rFonts w:cs="Times New Roman"/>
          <w:iCs/>
          <w:szCs w:val="24"/>
        </w:rPr>
        <w:t>a means to</w:t>
      </w:r>
      <w:r w:rsidR="008267C8" w:rsidRPr="00A53C01">
        <w:rPr>
          <w:rFonts w:cs="Times New Roman"/>
          <w:iCs/>
          <w:szCs w:val="24"/>
        </w:rPr>
        <w:t xml:space="preserve"> protect the EU</w:t>
      </w:r>
      <w:r w:rsidR="003521A3" w:rsidRPr="00A53C01">
        <w:rPr>
          <w:rFonts w:cs="Times New Roman"/>
          <w:iCs/>
          <w:szCs w:val="24"/>
        </w:rPr>
        <w:t xml:space="preserve"> from a threat posed by China. Instead, the embargo was a </w:t>
      </w:r>
      <w:r w:rsidR="003521A3" w:rsidRPr="00A53C01">
        <w:rPr>
          <w:rFonts w:cs="Times New Roman"/>
          <w:i/>
          <w:iCs/>
          <w:szCs w:val="24"/>
        </w:rPr>
        <w:t>political</w:t>
      </w:r>
      <w:r w:rsidR="00244EAF" w:rsidRPr="00A53C01">
        <w:rPr>
          <w:rFonts w:cs="Times New Roman"/>
          <w:iCs/>
          <w:szCs w:val="24"/>
        </w:rPr>
        <w:t xml:space="preserve"> tool used to s</w:t>
      </w:r>
      <w:r w:rsidR="002D208B" w:rsidRPr="00A53C01">
        <w:rPr>
          <w:rFonts w:cs="Times New Roman"/>
          <w:iCs/>
          <w:szCs w:val="24"/>
        </w:rPr>
        <w:t>ignal the EU’s displeasure with</w:t>
      </w:r>
      <w:r w:rsidR="00244EAF" w:rsidRPr="00A53C01">
        <w:rPr>
          <w:rFonts w:cs="Times New Roman"/>
          <w:iCs/>
          <w:szCs w:val="24"/>
        </w:rPr>
        <w:t xml:space="preserve"> violation</w:t>
      </w:r>
      <w:r w:rsidR="002D208B" w:rsidRPr="00A53C01">
        <w:rPr>
          <w:rFonts w:cs="Times New Roman"/>
          <w:iCs/>
          <w:szCs w:val="24"/>
        </w:rPr>
        <w:t>s</w:t>
      </w:r>
      <w:r w:rsidR="00244EAF" w:rsidRPr="00A53C01">
        <w:rPr>
          <w:rFonts w:cs="Times New Roman"/>
          <w:iCs/>
          <w:szCs w:val="24"/>
        </w:rPr>
        <w:t xml:space="preserve"> of </w:t>
      </w:r>
      <w:r w:rsidR="002D208B" w:rsidRPr="00A53C01">
        <w:rPr>
          <w:rFonts w:cs="Times New Roman"/>
          <w:iCs/>
          <w:szCs w:val="24"/>
        </w:rPr>
        <w:t>Chinese citizens’</w:t>
      </w:r>
      <w:r w:rsidR="00244EAF" w:rsidRPr="00A53C01">
        <w:rPr>
          <w:rFonts w:cs="Times New Roman"/>
          <w:iCs/>
          <w:szCs w:val="24"/>
        </w:rPr>
        <w:t xml:space="preserve"> physical security and</w:t>
      </w:r>
      <w:r w:rsidR="002D208B" w:rsidRPr="00A53C01">
        <w:rPr>
          <w:rFonts w:cs="Times New Roman"/>
          <w:iCs/>
          <w:szCs w:val="24"/>
        </w:rPr>
        <w:t xml:space="preserve"> the</w:t>
      </w:r>
      <w:r w:rsidR="00244EAF" w:rsidRPr="00A53C01">
        <w:rPr>
          <w:rFonts w:cs="Times New Roman"/>
          <w:iCs/>
          <w:szCs w:val="24"/>
        </w:rPr>
        <w:t xml:space="preserve"> disre</w:t>
      </w:r>
      <w:r w:rsidR="002D208B" w:rsidRPr="00A53C01">
        <w:rPr>
          <w:rFonts w:cs="Times New Roman"/>
          <w:iCs/>
          <w:szCs w:val="24"/>
        </w:rPr>
        <w:t>gard</w:t>
      </w:r>
      <w:r w:rsidR="00244EAF" w:rsidRPr="00A53C01">
        <w:rPr>
          <w:rFonts w:cs="Times New Roman"/>
          <w:iCs/>
          <w:szCs w:val="24"/>
        </w:rPr>
        <w:t xml:space="preserve"> for human rights norms valued by Europeans.</w:t>
      </w:r>
      <w:r w:rsidR="00235771" w:rsidRPr="00A53C01">
        <w:rPr>
          <w:rFonts w:cs="Times New Roman"/>
          <w:iCs/>
          <w:szCs w:val="24"/>
        </w:rPr>
        <w:t xml:space="preserve"> The </w:t>
      </w:r>
      <w:r w:rsidR="00C76A06" w:rsidRPr="00A53C01">
        <w:rPr>
          <w:rFonts w:cs="Times New Roman"/>
          <w:iCs/>
          <w:szCs w:val="24"/>
        </w:rPr>
        <w:t>objective</w:t>
      </w:r>
      <w:r w:rsidR="00235771" w:rsidRPr="00A53C01">
        <w:rPr>
          <w:rFonts w:cs="Times New Roman"/>
          <w:iCs/>
          <w:szCs w:val="24"/>
        </w:rPr>
        <w:t xml:space="preserve"> </w:t>
      </w:r>
      <w:r w:rsidR="00D45AEC" w:rsidRPr="00A53C01">
        <w:rPr>
          <w:rFonts w:cs="Times New Roman"/>
          <w:iCs/>
          <w:szCs w:val="24"/>
        </w:rPr>
        <w:t>was to prevent</w:t>
      </w:r>
      <w:r w:rsidR="00235771" w:rsidRPr="00A53C01">
        <w:rPr>
          <w:rFonts w:cs="Times New Roman"/>
          <w:iCs/>
          <w:szCs w:val="24"/>
        </w:rPr>
        <w:t xml:space="preserve"> EU states </w:t>
      </w:r>
      <w:r w:rsidR="00D45AEC" w:rsidRPr="00A53C01">
        <w:rPr>
          <w:rFonts w:cs="Times New Roman"/>
          <w:iCs/>
          <w:szCs w:val="24"/>
        </w:rPr>
        <w:t>from</w:t>
      </w:r>
      <w:r w:rsidR="00235771" w:rsidRPr="00A53C01">
        <w:rPr>
          <w:rFonts w:cs="Times New Roman"/>
          <w:iCs/>
          <w:szCs w:val="24"/>
        </w:rPr>
        <w:t xml:space="preserve"> provid</w:t>
      </w:r>
      <w:r w:rsidR="00D45AEC" w:rsidRPr="00A53C01">
        <w:rPr>
          <w:rFonts w:cs="Times New Roman"/>
          <w:iCs/>
          <w:szCs w:val="24"/>
        </w:rPr>
        <w:t>ing China with</w:t>
      </w:r>
      <w:r w:rsidR="00235771" w:rsidRPr="00A53C01">
        <w:rPr>
          <w:rFonts w:cs="Times New Roman"/>
          <w:iCs/>
          <w:szCs w:val="24"/>
        </w:rPr>
        <w:t xml:space="preserve"> </w:t>
      </w:r>
      <w:r w:rsidR="00667E47" w:rsidRPr="00A53C01">
        <w:rPr>
          <w:rFonts w:cs="Times New Roman"/>
          <w:iCs/>
          <w:szCs w:val="24"/>
        </w:rPr>
        <w:t>materiel</w:t>
      </w:r>
      <w:r w:rsidR="00235771" w:rsidRPr="00A53C01">
        <w:rPr>
          <w:rFonts w:cs="Times New Roman"/>
          <w:iCs/>
          <w:szCs w:val="24"/>
        </w:rPr>
        <w:t xml:space="preserve"> that may ultimately be used </w:t>
      </w:r>
      <w:r w:rsidR="002D208B" w:rsidRPr="00A53C01">
        <w:rPr>
          <w:rFonts w:cs="Times New Roman"/>
          <w:iCs/>
          <w:szCs w:val="24"/>
        </w:rPr>
        <w:t>for</w:t>
      </w:r>
      <w:r w:rsidR="00235771" w:rsidRPr="00A53C01">
        <w:rPr>
          <w:rFonts w:cs="Times New Roman"/>
          <w:iCs/>
          <w:szCs w:val="24"/>
        </w:rPr>
        <w:t xml:space="preserve"> </w:t>
      </w:r>
      <w:r w:rsidR="00667E47" w:rsidRPr="00A53C01">
        <w:rPr>
          <w:rFonts w:cs="Times New Roman"/>
          <w:iCs/>
          <w:szCs w:val="24"/>
        </w:rPr>
        <w:t>internal repression</w:t>
      </w:r>
      <w:r w:rsidR="002D208B" w:rsidRPr="00A53C01">
        <w:rPr>
          <w:rFonts w:cs="Times New Roman"/>
          <w:iCs/>
          <w:szCs w:val="24"/>
        </w:rPr>
        <w:t>.</w:t>
      </w:r>
      <w:r w:rsidR="00C76A06" w:rsidRPr="00A53C01">
        <w:rPr>
          <w:rFonts w:cs="Times New Roman"/>
          <w:iCs/>
          <w:szCs w:val="24"/>
        </w:rPr>
        <w:t xml:space="preserve"> I</w:t>
      </w:r>
      <w:r w:rsidR="002D208B" w:rsidRPr="00A53C01">
        <w:rPr>
          <w:rFonts w:cs="Times New Roman"/>
          <w:iCs/>
          <w:szCs w:val="24"/>
        </w:rPr>
        <w:t xml:space="preserve">mplementation was left to Member States, with no review process </w:t>
      </w:r>
      <w:r w:rsidR="00667E47" w:rsidRPr="00A53C01">
        <w:rPr>
          <w:rFonts w:cs="Times New Roman"/>
          <w:iCs/>
          <w:szCs w:val="24"/>
        </w:rPr>
        <w:t>established</w:t>
      </w:r>
      <w:r w:rsidR="002D208B" w:rsidRPr="00A53C01">
        <w:rPr>
          <w:rFonts w:cs="Times New Roman"/>
          <w:iCs/>
          <w:szCs w:val="24"/>
        </w:rPr>
        <w:t xml:space="preserve">; </w:t>
      </w:r>
      <w:r w:rsidR="006357F9" w:rsidRPr="00A53C01">
        <w:rPr>
          <w:rFonts w:cs="Times New Roman"/>
          <w:iCs/>
          <w:szCs w:val="24"/>
        </w:rPr>
        <w:t>consequently, there was no need to re</w:t>
      </w:r>
      <w:r w:rsidR="00C76A06" w:rsidRPr="00A53C01">
        <w:rPr>
          <w:rFonts w:cs="Times New Roman"/>
          <w:iCs/>
          <w:szCs w:val="24"/>
        </w:rPr>
        <w:t>visit</w:t>
      </w:r>
      <w:r w:rsidR="006357F9" w:rsidRPr="00A53C01">
        <w:rPr>
          <w:rFonts w:cs="Times New Roman"/>
          <w:iCs/>
          <w:szCs w:val="24"/>
        </w:rPr>
        <w:t xml:space="preserve"> the issue at the EU level. </w:t>
      </w:r>
    </w:p>
    <w:p w14:paraId="01D100A6" w14:textId="77777777" w:rsidR="008574CB" w:rsidRPr="00A53C01" w:rsidRDefault="008574CB" w:rsidP="00A53C01">
      <w:pPr>
        <w:spacing w:line="312" w:lineRule="auto"/>
        <w:rPr>
          <w:rFonts w:cs="Times New Roman"/>
          <w:iCs/>
          <w:szCs w:val="24"/>
        </w:rPr>
      </w:pPr>
    </w:p>
    <w:p w14:paraId="72676EEE" w14:textId="14DA7BE4" w:rsidR="008D25A8" w:rsidRPr="00A53C01" w:rsidRDefault="00583395" w:rsidP="00A53C01">
      <w:pPr>
        <w:spacing w:line="312" w:lineRule="auto"/>
        <w:rPr>
          <w:rFonts w:cs="Times New Roman"/>
          <w:iCs/>
          <w:szCs w:val="24"/>
        </w:rPr>
      </w:pPr>
      <w:r w:rsidRPr="00A53C01">
        <w:rPr>
          <w:rFonts w:cs="Times New Roman"/>
          <w:iCs/>
          <w:szCs w:val="24"/>
        </w:rPr>
        <w:t>The events of June 4</w:t>
      </w:r>
      <w:r w:rsidRPr="00A53C01">
        <w:rPr>
          <w:rFonts w:cs="Times New Roman"/>
          <w:iCs/>
          <w:szCs w:val="24"/>
          <w:vertAlign w:val="superscript"/>
        </w:rPr>
        <w:t>th</w:t>
      </w:r>
      <w:r w:rsidRPr="00A53C01">
        <w:rPr>
          <w:rFonts w:cs="Times New Roman"/>
          <w:iCs/>
          <w:szCs w:val="24"/>
        </w:rPr>
        <w:t>, 1989 at Tiananmen Square are well-documented elsewhere (</w:t>
      </w:r>
      <w:r w:rsidR="00D909DE" w:rsidRPr="00A53C01">
        <w:rPr>
          <w:rFonts w:cs="Times New Roman"/>
          <w:iCs/>
          <w:szCs w:val="24"/>
        </w:rPr>
        <w:t>e.g.</w:t>
      </w:r>
      <w:r w:rsidR="00ED6699" w:rsidRPr="00A53C01">
        <w:rPr>
          <w:rFonts w:cs="Times New Roman"/>
          <w:iCs/>
          <w:szCs w:val="24"/>
        </w:rPr>
        <w:t xml:space="preserve"> </w:t>
      </w:r>
      <w:r w:rsidR="00195228" w:rsidRPr="00A53C01">
        <w:rPr>
          <w:rFonts w:cs="Times New Roman"/>
          <w:iCs/>
          <w:szCs w:val="24"/>
        </w:rPr>
        <w:t>Suettinger, 2003</w:t>
      </w:r>
      <w:r w:rsidRPr="00A53C01">
        <w:rPr>
          <w:rFonts w:cs="Times New Roman"/>
          <w:iCs/>
          <w:szCs w:val="24"/>
        </w:rPr>
        <w:t xml:space="preserve">) </w:t>
      </w:r>
      <w:r w:rsidR="00B03D2F" w:rsidRPr="00A53C01">
        <w:rPr>
          <w:rFonts w:cs="Times New Roman"/>
          <w:iCs/>
          <w:szCs w:val="24"/>
        </w:rPr>
        <w:t>and</w:t>
      </w:r>
      <w:r w:rsidRPr="00A53C01">
        <w:rPr>
          <w:rFonts w:cs="Times New Roman"/>
          <w:iCs/>
          <w:szCs w:val="24"/>
        </w:rPr>
        <w:t xml:space="preserve"> do not need </w:t>
      </w:r>
      <w:r w:rsidR="00B03D2F" w:rsidRPr="00A53C01">
        <w:rPr>
          <w:rFonts w:cs="Times New Roman"/>
          <w:iCs/>
          <w:szCs w:val="24"/>
        </w:rPr>
        <w:t>to be recounted</w:t>
      </w:r>
      <w:r w:rsidRPr="00A53C01">
        <w:rPr>
          <w:rFonts w:cs="Times New Roman"/>
          <w:iCs/>
          <w:szCs w:val="24"/>
        </w:rPr>
        <w:t xml:space="preserve"> here. </w:t>
      </w:r>
      <w:r w:rsidR="00C76A06" w:rsidRPr="00A53C01">
        <w:rPr>
          <w:rFonts w:cs="Times New Roman"/>
          <w:iCs/>
          <w:szCs w:val="24"/>
        </w:rPr>
        <w:t>European and American</w:t>
      </w:r>
      <w:r w:rsidR="0011079D" w:rsidRPr="00A53C01">
        <w:rPr>
          <w:rFonts w:cs="Times New Roman"/>
          <w:iCs/>
          <w:szCs w:val="24"/>
        </w:rPr>
        <w:t xml:space="preserve"> policymakers were quick to condemn the government’s violence against protesters. </w:t>
      </w:r>
      <w:r w:rsidR="00B67E5D" w:rsidRPr="00A53C01">
        <w:rPr>
          <w:rFonts w:cs="Times New Roman"/>
          <w:iCs/>
          <w:szCs w:val="24"/>
        </w:rPr>
        <w:t>T</w:t>
      </w:r>
      <w:r w:rsidR="0011079D" w:rsidRPr="00A53C01">
        <w:rPr>
          <w:rFonts w:cs="Times New Roman"/>
          <w:iCs/>
          <w:szCs w:val="24"/>
        </w:rPr>
        <w:t>he European Council</w:t>
      </w:r>
      <w:r w:rsidR="00B67E5D" w:rsidRPr="00A53C01">
        <w:rPr>
          <w:rFonts w:cs="Times New Roman"/>
          <w:iCs/>
          <w:szCs w:val="24"/>
        </w:rPr>
        <w:t xml:space="preserve"> (1989: 17)</w:t>
      </w:r>
      <w:r w:rsidR="0011079D" w:rsidRPr="00A53C01">
        <w:rPr>
          <w:rFonts w:cs="Times New Roman"/>
          <w:iCs/>
          <w:szCs w:val="24"/>
        </w:rPr>
        <w:t xml:space="preserve"> censured </w:t>
      </w:r>
      <w:r w:rsidR="00A17131" w:rsidRPr="00A53C01">
        <w:rPr>
          <w:rFonts w:cs="Times New Roman"/>
          <w:iCs/>
          <w:szCs w:val="24"/>
        </w:rPr>
        <w:t>the Chinese government</w:t>
      </w:r>
      <w:r w:rsidR="00BD329D" w:rsidRPr="00A53C01">
        <w:rPr>
          <w:rFonts w:cs="Times New Roman"/>
          <w:iCs/>
          <w:szCs w:val="24"/>
        </w:rPr>
        <w:t xml:space="preserve"> </w:t>
      </w:r>
      <w:r w:rsidR="006D0438" w:rsidRPr="00A53C01">
        <w:rPr>
          <w:rFonts w:cs="Times New Roman"/>
          <w:iCs/>
          <w:szCs w:val="24"/>
        </w:rPr>
        <w:t>for the “brutal repression”, request</w:t>
      </w:r>
      <w:r w:rsidR="00C76A06" w:rsidRPr="00A53C01">
        <w:rPr>
          <w:rFonts w:cs="Times New Roman"/>
          <w:iCs/>
          <w:szCs w:val="24"/>
        </w:rPr>
        <w:t>ing</w:t>
      </w:r>
      <w:r w:rsidR="006D0438" w:rsidRPr="00A53C01">
        <w:rPr>
          <w:rFonts w:cs="Times New Roman"/>
          <w:iCs/>
          <w:szCs w:val="24"/>
        </w:rPr>
        <w:t xml:space="preserve"> </w:t>
      </w:r>
      <w:r w:rsidR="00C76A06" w:rsidRPr="00A53C01">
        <w:rPr>
          <w:rFonts w:cs="Times New Roman"/>
          <w:iCs/>
          <w:szCs w:val="24"/>
        </w:rPr>
        <w:t>the</w:t>
      </w:r>
      <w:r w:rsidR="006D0438" w:rsidRPr="00A53C01">
        <w:rPr>
          <w:rFonts w:cs="Times New Roman"/>
          <w:iCs/>
          <w:szCs w:val="24"/>
        </w:rPr>
        <w:t xml:space="preserve"> “end to the repressive actions again</w:t>
      </w:r>
      <w:r w:rsidR="00C76A06" w:rsidRPr="00A53C01">
        <w:rPr>
          <w:rFonts w:cs="Times New Roman"/>
          <w:iCs/>
          <w:szCs w:val="24"/>
        </w:rPr>
        <w:t>st those who legitimately claim</w:t>
      </w:r>
      <w:r w:rsidR="006D0438" w:rsidRPr="00A53C01">
        <w:rPr>
          <w:rFonts w:cs="Times New Roman"/>
          <w:iCs/>
          <w:szCs w:val="24"/>
        </w:rPr>
        <w:t xml:space="preserve"> their democratic rights”. The measures adopted included suspension of ministerial/high-level contacts, reduction of cooperative projects, and a commitment to raise human rights issues in </w:t>
      </w:r>
      <w:r w:rsidR="00C76A06" w:rsidRPr="00A53C01">
        <w:rPr>
          <w:rFonts w:cs="Times New Roman"/>
          <w:iCs/>
          <w:szCs w:val="24"/>
        </w:rPr>
        <w:t>international forums</w:t>
      </w:r>
      <w:r w:rsidR="006D0438" w:rsidRPr="00A53C01">
        <w:rPr>
          <w:rFonts w:cs="Times New Roman"/>
          <w:iCs/>
          <w:szCs w:val="24"/>
        </w:rPr>
        <w:t xml:space="preserve">. </w:t>
      </w:r>
      <w:r w:rsidR="008F34E6" w:rsidRPr="00A53C01">
        <w:rPr>
          <w:rFonts w:cs="Times New Roman"/>
          <w:iCs/>
          <w:szCs w:val="24"/>
        </w:rPr>
        <w:t>The d</w:t>
      </w:r>
      <w:r w:rsidR="004E5319" w:rsidRPr="00A53C01">
        <w:rPr>
          <w:rFonts w:cs="Times New Roman"/>
          <w:iCs/>
          <w:szCs w:val="24"/>
        </w:rPr>
        <w:t xml:space="preserve">eclaration stipulated the </w:t>
      </w:r>
      <w:r w:rsidR="00BD329D" w:rsidRPr="00A53C01">
        <w:rPr>
          <w:rFonts w:cs="Times New Roman"/>
          <w:iCs/>
          <w:szCs w:val="24"/>
        </w:rPr>
        <w:t>“interruption… of military cooperation and an embargo on trade in arm</w:t>
      </w:r>
      <w:r w:rsidR="008F34E6" w:rsidRPr="00A53C01">
        <w:rPr>
          <w:rFonts w:cs="Times New Roman"/>
          <w:iCs/>
          <w:szCs w:val="24"/>
        </w:rPr>
        <w:t>s</w:t>
      </w:r>
      <w:r w:rsidR="00BD329D" w:rsidRPr="00A53C01">
        <w:rPr>
          <w:rFonts w:cs="Times New Roman"/>
          <w:iCs/>
          <w:szCs w:val="24"/>
        </w:rPr>
        <w:t>” (European Council, 1989</w:t>
      </w:r>
      <w:r w:rsidR="006D0438" w:rsidRPr="00A53C01">
        <w:rPr>
          <w:rFonts w:cs="Times New Roman"/>
          <w:iCs/>
          <w:szCs w:val="24"/>
        </w:rPr>
        <w:t>: 17</w:t>
      </w:r>
      <w:r w:rsidR="00BD329D" w:rsidRPr="00A53C01">
        <w:rPr>
          <w:rFonts w:cs="Times New Roman"/>
          <w:iCs/>
          <w:szCs w:val="24"/>
        </w:rPr>
        <w:t>)</w:t>
      </w:r>
      <w:r w:rsidR="008D25A8" w:rsidRPr="00A53C01">
        <w:rPr>
          <w:rFonts w:cs="Times New Roman"/>
          <w:iCs/>
          <w:szCs w:val="24"/>
        </w:rPr>
        <w:t>. With no reference to specific arms, relat</w:t>
      </w:r>
      <w:r w:rsidR="00BB7BB0" w:rsidRPr="00A53C01">
        <w:rPr>
          <w:rFonts w:cs="Times New Roman"/>
          <w:iCs/>
          <w:szCs w:val="24"/>
        </w:rPr>
        <w:t>ed materials, or enforcement mechanisms, the embargo relied upon political commitment rather than legal force</w:t>
      </w:r>
      <w:r w:rsidR="008D25A8" w:rsidRPr="00A53C01">
        <w:rPr>
          <w:rFonts w:cs="Times New Roman"/>
          <w:iCs/>
          <w:szCs w:val="24"/>
        </w:rPr>
        <w:t xml:space="preserve">, and Member States </w:t>
      </w:r>
      <w:r w:rsidR="002C5F53" w:rsidRPr="00A53C01">
        <w:rPr>
          <w:rFonts w:cs="Times New Roman"/>
          <w:iCs/>
          <w:szCs w:val="24"/>
        </w:rPr>
        <w:t>were left to determine the scope</w:t>
      </w:r>
      <w:r w:rsidR="00560695" w:rsidRPr="00A53C01">
        <w:rPr>
          <w:rFonts w:cs="Times New Roman"/>
          <w:iCs/>
          <w:szCs w:val="24"/>
        </w:rPr>
        <w:t xml:space="preserve"> and enforcement</w:t>
      </w:r>
      <w:r w:rsidR="008D25A8" w:rsidRPr="00A53C01">
        <w:rPr>
          <w:rFonts w:cs="Times New Roman"/>
          <w:iCs/>
          <w:szCs w:val="24"/>
        </w:rPr>
        <w:t xml:space="preserve"> at the national level.</w:t>
      </w:r>
    </w:p>
    <w:p w14:paraId="72D255A9" w14:textId="77777777" w:rsidR="008D25A8" w:rsidRPr="00A53C01" w:rsidRDefault="008D25A8" w:rsidP="00A53C01">
      <w:pPr>
        <w:spacing w:line="312" w:lineRule="auto"/>
        <w:rPr>
          <w:rFonts w:cs="Times New Roman"/>
          <w:iCs/>
          <w:szCs w:val="24"/>
        </w:rPr>
      </w:pPr>
    </w:p>
    <w:p w14:paraId="29CB9C45" w14:textId="09C17F9C" w:rsidR="008574CB" w:rsidRPr="00A53C01" w:rsidRDefault="008D25A8" w:rsidP="00A53C01">
      <w:pPr>
        <w:spacing w:line="312" w:lineRule="auto"/>
        <w:rPr>
          <w:rFonts w:cs="Times New Roman"/>
          <w:iCs/>
          <w:szCs w:val="24"/>
        </w:rPr>
      </w:pPr>
      <w:r w:rsidRPr="00A53C01">
        <w:rPr>
          <w:rFonts w:cs="Times New Roman"/>
          <w:iCs/>
          <w:szCs w:val="24"/>
        </w:rPr>
        <w:t>The prospect of repeal was raised in the December 2003 European Council, representing</w:t>
      </w:r>
      <w:r w:rsidR="00115064" w:rsidRPr="00A53C01">
        <w:rPr>
          <w:rFonts w:cs="Times New Roman"/>
          <w:iCs/>
          <w:szCs w:val="24"/>
        </w:rPr>
        <w:t xml:space="preserve"> the culmination of warming political relations between the EU and China over the course of th</w:t>
      </w:r>
      <w:r w:rsidRPr="00A53C01">
        <w:rPr>
          <w:rFonts w:cs="Times New Roman"/>
          <w:iCs/>
          <w:szCs w:val="24"/>
        </w:rPr>
        <w:t>e</w:t>
      </w:r>
      <w:r w:rsidR="00115064" w:rsidRPr="00A53C01">
        <w:rPr>
          <w:rFonts w:cs="Times New Roman"/>
          <w:iCs/>
          <w:szCs w:val="24"/>
        </w:rPr>
        <w:t xml:space="preserve"> year</w:t>
      </w:r>
      <w:r w:rsidRPr="00A53C01">
        <w:rPr>
          <w:rFonts w:cs="Times New Roman"/>
          <w:iCs/>
          <w:szCs w:val="24"/>
        </w:rPr>
        <w:t>.</w:t>
      </w:r>
      <w:r w:rsidR="00115064" w:rsidRPr="00A53C01">
        <w:rPr>
          <w:rFonts w:cs="Times New Roman"/>
          <w:iCs/>
          <w:szCs w:val="24"/>
        </w:rPr>
        <w:t xml:space="preserve"> </w:t>
      </w:r>
      <w:r w:rsidRPr="00A53C01">
        <w:rPr>
          <w:rFonts w:cs="Times New Roman"/>
          <w:iCs/>
          <w:szCs w:val="24"/>
        </w:rPr>
        <w:t>T</w:t>
      </w:r>
      <w:r w:rsidR="00115064" w:rsidRPr="00A53C01">
        <w:rPr>
          <w:rFonts w:cs="Times New Roman"/>
          <w:iCs/>
          <w:szCs w:val="24"/>
        </w:rPr>
        <w:t>he two</w:t>
      </w:r>
      <w:r w:rsidRPr="00A53C01">
        <w:rPr>
          <w:rFonts w:cs="Times New Roman"/>
          <w:iCs/>
          <w:szCs w:val="24"/>
        </w:rPr>
        <w:t xml:space="preserve"> had</w:t>
      </w:r>
      <w:r w:rsidR="00115064" w:rsidRPr="00A53C01">
        <w:rPr>
          <w:rFonts w:cs="Times New Roman"/>
          <w:iCs/>
          <w:szCs w:val="24"/>
        </w:rPr>
        <w:t xml:space="preserve"> announced </w:t>
      </w:r>
      <w:r w:rsidR="003874AC" w:rsidRPr="00A53C01">
        <w:rPr>
          <w:rFonts w:cs="Times New Roman"/>
          <w:iCs/>
          <w:szCs w:val="24"/>
        </w:rPr>
        <w:t>their</w:t>
      </w:r>
      <w:r w:rsidR="00115064" w:rsidRPr="00A53C01">
        <w:rPr>
          <w:rFonts w:cs="Times New Roman"/>
          <w:iCs/>
          <w:szCs w:val="24"/>
        </w:rPr>
        <w:t xml:space="preserve"> </w:t>
      </w:r>
      <w:r w:rsidR="00B04854" w:rsidRPr="00A53C01">
        <w:rPr>
          <w:rFonts w:cs="Times New Roman"/>
          <w:iCs/>
          <w:szCs w:val="24"/>
        </w:rPr>
        <w:t>‘</w:t>
      </w:r>
      <w:r w:rsidR="00C93B4B" w:rsidRPr="00A53C01">
        <w:rPr>
          <w:rFonts w:cs="Times New Roman"/>
          <w:iCs/>
          <w:szCs w:val="24"/>
        </w:rPr>
        <w:t xml:space="preserve">comprehensive </w:t>
      </w:r>
      <w:r w:rsidR="00B04854" w:rsidRPr="00A53C01">
        <w:rPr>
          <w:rFonts w:cs="Times New Roman"/>
          <w:iCs/>
          <w:szCs w:val="24"/>
        </w:rPr>
        <w:t>strategic partnership’</w:t>
      </w:r>
      <w:r w:rsidR="003874AC" w:rsidRPr="00A53C01">
        <w:rPr>
          <w:rFonts w:cs="Times New Roman"/>
          <w:iCs/>
          <w:szCs w:val="24"/>
        </w:rPr>
        <w:t xml:space="preserve"> in October</w:t>
      </w:r>
      <w:r w:rsidR="00D51687" w:rsidRPr="00A53C01">
        <w:rPr>
          <w:rFonts w:cs="Times New Roman"/>
          <w:iCs/>
          <w:szCs w:val="24"/>
        </w:rPr>
        <w:t>, securing one of the</w:t>
      </w:r>
      <w:r w:rsidR="001644D0" w:rsidRPr="00A53C01">
        <w:rPr>
          <w:rFonts w:cs="Times New Roman"/>
          <w:iCs/>
          <w:szCs w:val="24"/>
        </w:rPr>
        <w:t xml:space="preserve"> objectives </w:t>
      </w:r>
      <w:r w:rsidR="00D51687" w:rsidRPr="00A53C01">
        <w:rPr>
          <w:rFonts w:cs="Times New Roman"/>
          <w:iCs/>
          <w:szCs w:val="24"/>
        </w:rPr>
        <w:t>set out in</w:t>
      </w:r>
      <w:r w:rsidR="001644D0" w:rsidRPr="00A53C01">
        <w:rPr>
          <w:rFonts w:cs="Times New Roman"/>
          <w:iCs/>
          <w:szCs w:val="24"/>
        </w:rPr>
        <w:t xml:space="preserve"> the </w:t>
      </w:r>
      <w:r w:rsidR="001644D0" w:rsidRPr="00A53C01">
        <w:rPr>
          <w:rFonts w:cs="Times New Roman"/>
          <w:i/>
          <w:iCs/>
          <w:szCs w:val="24"/>
        </w:rPr>
        <w:t>European Security Strategy</w:t>
      </w:r>
      <w:r w:rsidR="001644D0" w:rsidRPr="00A53C01">
        <w:rPr>
          <w:rFonts w:cs="Times New Roman"/>
          <w:iCs/>
          <w:szCs w:val="24"/>
        </w:rPr>
        <w:t xml:space="preserve"> (European Council, 200</w:t>
      </w:r>
      <w:r w:rsidR="00D11DCF" w:rsidRPr="00A53C01">
        <w:rPr>
          <w:rFonts w:cs="Times New Roman"/>
          <w:iCs/>
          <w:szCs w:val="24"/>
        </w:rPr>
        <w:t>3). China’s EU policy paper</w:t>
      </w:r>
      <w:r w:rsidR="001644D0" w:rsidRPr="00A53C01">
        <w:rPr>
          <w:rFonts w:cs="Times New Roman"/>
          <w:iCs/>
          <w:szCs w:val="24"/>
        </w:rPr>
        <w:t xml:space="preserve"> explicitly requested the removal of the embargo</w:t>
      </w:r>
      <w:r w:rsidR="004E5319" w:rsidRPr="00A53C01">
        <w:rPr>
          <w:rFonts w:cs="Times New Roman"/>
          <w:iCs/>
          <w:szCs w:val="24"/>
        </w:rPr>
        <w:t xml:space="preserve"> to facilitate “</w:t>
      </w:r>
      <w:r w:rsidR="004E5319" w:rsidRPr="00A53C01">
        <w:rPr>
          <w:rFonts w:cs="Times New Roman"/>
          <w:szCs w:val="24"/>
        </w:rPr>
        <w:t>greater bilateral cooperation on defence industry and technologies”</w:t>
      </w:r>
      <w:r w:rsidR="001644D0" w:rsidRPr="00A53C01">
        <w:rPr>
          <w:rFonts w:cs="Times New Roman"/>
          <w:iCs/>
          <w:szCs w:val="24"/>
        </w:rPr>
        <w:t xml:space="preserve"> (</w:t>
      </w:r>
      <w:r w:rsidR="003874AC" w:rsidRPr="00A53C01">
        <w:rPr>
          <w:rFonts w:cs="Times New Roman"/>
          <w:iCs/>
          <w:szCs w:val="24"/>
        </w:rPr>
        <w:t>MoFA, 2003</w:t>
      </w:r>
      <w:r w:rsidR="001644D0" w:rsidRPr="00A53C01">
        <w:rPr>
          <w:rFonts w:cs="Times New Roman"/>
          <w:iCs/>
          <w:szCs w:val="24"/>
        </w:rPr>
        <w:t>)</w:t>
      </w:r>
      <w:r w:rsidR="00D51687" w:rsidRPr="00A53C01">
        <w:rPr>
          <w:rFonts w:cs="Times New Roman"/>
          <w:iCs/>
          <w:szCs w:val="24"/>
        </w:rPr>
        <w:t>;</w:t>
      </w:r>
      <w:r w:rsidR="004E5319" w:rsidRPr="00A53C01">
        <w:rPr>
          <w:rFonts w:cs="Times New Roman"/>
          <w:iCs/>
          <w:szCs w:val="24"/>
        </w:rPr>
        <w:t xml:space="preserve"> </w:t>
      </w:r>
      <w:r w:rsidR="00D11DCF" w:rsidRPr="00A53C01">
        <w:rPr>
          <w:rFonts w:cs="Times New Roman"/>
          <w:iCs/>
          <w:szCs w:val="24"/>
        </w:rPr>
        <w:t>government officials</w:t>
      </w:r>
      <w:r w:rsidR="004E5319" w:rsidRPr="00A53C01">
        <w:rPr>
          <w:rFonts w:cs="Times New Roman"/>
          <w:iCs/>
          <w:szCs w:val="24"/>
        </w:rPr>
        <w:t xml:space="preserve"> </w:t>
      </w:r>
      <w:r w:rsidR="00EA2B07" w:rsidRPr="00A53C01">
        <w:rPr>
          <w:rFonts w:cs="Times New Roman"/>
          <w:iCs/>
          <w:szCs w:val="24"/>
        </w:rPr>
        <w:t>also</w:t>
      </w:r>
      <w:r w:rsidR="004E5319" w:rsidRPr="00A53C01">
        <w:rPr>
          <w:rFonts w:cs="Times New Roman"/>
          <w:iCs/>
          <w:szCs w:val="24"/>
        </w:rPr>
        <w:t xml:space="preserve"> </w:t>
      </w:r>
      <w:r w:rsidR="00D51687" w:rsidRPr="00A53C01">
        <w:rPr>
          <w:rFonts w:cs="Times New Roman"/>
          <w:iCs/>
          <w:szCs w:val="24"/>
        </w:rPr>
        <w:t>link</w:t>
      </w:r>
      <w:r w:rsidR="00EA2B07" w:rsidRPr="00A53C01">
        <w:rPr>
          <w:rFonts w:cs="Times New Roman"/>
          <w:iCs/>
          <w:szCs w:val="24"/>
        </w:rPr>
        <w:t>ed</w:t>
      </w:r>
      <w:r w:rsidR="004E5319" w:rsidRPr="00A53C01">
        <w:rPr>
          <w:rFonts w:cs="Times New Roman"/>
          <w:iCs/>
          <w:szCs w:val="24"/>
        </w:rPr>
        <w:t xml:space="preserve"> the</w:t>
      </w:r>
      <w:r w:rsidR="00EA2B07" w:rsidRPr="00A53C01">
        <w:rPr>
          <w:rFonts w:cs="Times New Roman"/>
          <w:iCs/>
          <w:szCs w:val="24"/>
        </w:rPr>
        <w:t xml:space="preserve"> issue to the</w:t>
      </w:r>
      <w:r w:rsidR="004E5319" w:rsidRPr="00A53C01">
        <w:rPr>
          <w:rFonts w:cs="Times New Roman"/>
          <w:iCs/>
          <w:szCs w:val="24"/>
        </w:rPr>
        <w:t xml:space="preserve"> development of the</w:t>
      </w:r>
      <w:r w:rsidR="00EA2B07" w:rsidRPr="00A53C01">
        <w:rPr>
          <w:rFonts w:cs="Times New Roman"/>
          <w:iCs/>
          <w:szCs w:val="24"/>
        </w:rPr>
        <w:t xml:space="preserve"> broader</w:t>
      </w:r>
      <w:r w:rsidR="004E5319" w:rsidRPr="00A53C01">
        <w:rPr>
          <w:rFonts w:cs="Times New Roman"/>
          <w:iCs/>
          <w:szCs w:val="24"/>
        </w:rPr>
        <w:t xml:space="preserve"> political relationship</w:t>
      </w:r>
      <w:r w:rsidR="00880AFE" w:rsidRPr="00A53C01">
        <w:rPr>
          <w:rFonts w:cs="Times New Roman"/>
          <w:iCs/>
          <w:szCs w:val="24"/>
        </w:rPr>
        <w:t xml:space="preserve">. </w:t>
      </w:r>
      <w:r w:rsidR="00D11DCF" w:rsidRPr="00A53C01">
        <w:rPr>
          <w:rFonts w:cs="Times New Roman"/>
          <w:iCs/>
          <w:szCs w:val="24"/>
        </w:rPr>
        <w:t>Receptivity to China’s overtures was evident when, i</w:t>
      </w:r>
      <w:r w:rsidR="00825F2C" w:rsidRPr="00A53C01">
        <w:rPr>
          <w:rFonts w:cs="Times New Roman"/>
          <w:iCs/>
          <w:szCs w:val="24"/>
        </w:rPr>
        <w:t xml:space="preserve">n June, </w:t>
      </w:r>
      <w:r w:rsidR="00825F2C" w:rsidRPr="00A53C01">
        <w:rPr>
          <w:rFonts w:cs="Times New Roman"/>
          <w:szCs w:val="24"/>
        </w:rPr>
        <w:t xml:space="preserve">France’s Defence Minister Michèle Alliot-Marie </w:t>
      </w:r>
      <w:r w:rsidR="00D11DCF" w:rsidRPr="00A53C01">
        <w:rPr>
          <w:rFonts w:cs="Times New Roman"/>
          <w:szCs w:val="24"/>
        </w:rPr>
        <w:t xml:space="preserve">had </w:t>
      </w:r>
      <w:r w:rsidR="00825F2C" w:rsidRPr="00A53C01">
        <w:rPr>
          <w:rFonts w:cs="Times New Roman"/>
          <w:szCs w:val="24"/>
        </w:rPr>
        <w:t xml:space="preserve">proposed </w:t>
      </w:r>
      <w:r w:rsidR="00D11DCF" w:rsidRPr="00A53C01">
        <w:rPr>
          <w:rFonts w:cs="Times New Roman"/>
          <w:szCs w:val="24"/>
        </w:rPr>
        <w:t>softening</w:t>
      </w:r>
      <w:r w:rsidR="00825F2C" w:rsidRPr="00A53C01">
        <w:rPr>
          <w:rFonts w:cs="Times New Roman"/>
          <w:szCs w:val="24"/>
        </w:rPr>
        <w:t xml:space="preserve"> the embargo to facilitate </w:t>
      </w:r>
      <w:r w:rsidR="0070793D" w:rsidRPr="00A53C01">
        <w:rPr>
          <w:rFonts w:cs="Times New Roman"/>
          <w:szCs w:val="24"/>
        </w:rPr>
        <w:t>exports of</w:t>
      </w:r>
      <w:r w:rsidR="00825F2C" w:rsidRPr="00A53C01">
        <w:rPr>
          <w:rFonts w:cs="Times New Roman"/>
          <w:szCs w:val="24"/>
        </w:rPr>
        <w:t xml:space="preserve"> “sensitive</w:t>
      </w:r>
      <w:r w:rsidR="00D11DCF" w:rsidRPr="00A53C01">
        <w:rPr>
          <w:rFonts w:cs="Times New Roman"/>
          <w:szCs w:val="24"/>
        </w:rPr>
        <w:t xml:space="preserve"> military technology”</w:t>
      </w:r>
      <w:r w:rsidR="00825F2C" w:rsidRPr="00A53C01">
        <w:rPr>
          <w:rFonts w:cs="Times New Roman"/>
          <w:szCs w:val="24"/>
        </w:rPr>
        <w:t xml:space="preserve"> (Evans-</w:t>
      </w:r>
      <w:r w:rsidR="00825F2C" w:rsidRPr="00A53C01">
        <w:rPr>
          <w:rFonts w:cs="Times New Roman"/>
          <w:szCs w:val="24"/>
        </w:rPr>
        <w:lastRenderedPageBreak/>
        <w:t>Pritchard, 2003</w:t>
      </w:r>
      <w:r w:rsidR="001D38BF" w:rsidRPr="00A53C01">
        <w:rPr>
          <w:rFonts w:cs="Times New Roman"/>
          <w:szCs w:val="24"/>
        </w:rPr>
        <w:t xml:space="preserve">). </w:t>
      </w:r>
      <w:r w:rsidR="001644D0" w:rsidRPr="00A53C01">
        <w:rPr>
          <w:rFonts w:cs="Times New Roman"/>
          <w:iCs/>
          <w:szCs w:val="24"/>
        </w:rPr>
        <w:t>That EU</w:t>
      </w:r>
      <w:r w:rsidR="003C2886" w:rsidRPr="00A53C01">
        <w:rPr>
          <w:rFonts w:cs="Times New Roman"/>
          <w:iCs/>
          <w:szCs w:val="24"/>
        </w:rPr>
        <w:t xml:space="preserve"> policymakers</w:t>
      </w:r>
      <w:r w:rsidR="001644D0" w:rsidRPr="00A53C01">
        <w:rPr>
          <w:rFonts w:cs="Times New Roman"/>
          <w:iCs/>
          <w:szCs w:val="24"/>
        </w:rPr>
        <w:t xml:space="preserve"> </w:t>
      </w:r>
      <w:r w:rsidR="003C2886" w:rsidRPr="00A53C01">
        <w:rPr>
          <w:rFonts w:cs="Times New Roman"/>
          <w:iCs/>
          <w:szCs w:val="24"/>
        </w:rPr>
        <w:t>were</w:t>
      </w:r>
      <w:r w:rsidR="001644D0" w:rsidRPr="00A53C01">
        <w:rPr>
          <w:rFonts w:cs="Times New Roman"/>
          <w:iCs/>
          <w:szCs w:val="24"/>
        </w:rPr>
        <w:t xml:space="preserve"> willing to affect policy change to advance the strategic partnership – a vague political declaration with </w:t>
      </w:r>
      <w:r w:rsidR="006F2724" w:rsidRPr="00A53C01">
        <w:rPr>
          <w:rFonts w:cs="Times New Roman"/>
          <w:iCs/>
          <w:szCs w:val="24"/>
        </w:rPr>
        <w:t>limited</w:t>
      </w:r>
      <w:r w:rsidR="001644D0" w:rsidRPr="00A53C01">
        <w:rPr>
          <w:rFonts w:cs="Times New Roman"/>
          <w:iCs/>
          <w:szCs w:val="24"/>
        </w:rPr>
        <w:t xml:space="preserve"> short-term gains – underlines the absence of security concerns</w:t>
      </w:r>
      <w:r w:rsidR="006F2724" w:rsidRPr="00A53C01">
        <w:rPr>
          <w:rFonts w:cs="Times New Roman"/>
          <w:iCs/>
          <w:szCs w:val="24"/>
        </w:rPr>
        <w:t xml:space="preserve"> pertaining to the embargo or China</w:t>
      </w:r>
      <w:r w:rsidR="00843399" w:rsidRPr="00A53C01">
        <w:rPr>
          <w:rFonts w:cs="Times New Roman"/>
          <w:iCs/>
          <w:szCs w:val="24"/>
        </w:rPr>
        <w:t>’s</w:t>
      </w:r>
      <w:r w:rsidR="0070793D" w:rsidRPr="00A53C01">
        <w:rPr>
          <w:rFonts w:cs="Times New Roman"/>
          <w:iCs/>
          <w:szCs w:val="24"/>
        </w:rPr>
        <w:t xml:space="preserve"> rise</w:t>
      </w:r>
      <w:r w:rsidR="006F2724" w:rsidRPr="00A53C01">
        <w:rPr>
          <w:rFonts w:cs="Times New Roman"/>
          <w:iCs/>
          <w:szCs w:val="24"/>
        </w:rPr>
        <w:t xml:space="preserve"> more generally</w:t>
      </w:r>
      <w:r w:rsidR="0070793D" w:rsidRPr="00A53C01">
        <w:rPr>
          <w:rFonts w:cs="Times New Roman"/>
          <w:iCs/>
          <w:szCs w:val="24"/>
        </w:rPr>
        <w:t xml:space="preserve">. </w:t>
      </w:r>
    </w:p>
    <w:p w14:paraId="0AA5FBFD" w14:textId="77777777" w:rsidR="0070793D" w:rsidRPr="00A53C01" w:rsidRDefault="0070793D" w:rsidP="00A53C01">
      <w:pPr>
        <w:spacing w:line="312" w:lineRule="auto"/>
        <w:rPr>
          <w:rFonts w:cs="Times New Roman"/>
          <w:iCs/>
          <w:szCs w:val="24"/>
        </w:rPr>
      </w:pPr>
    </w:p>
    <w:p w14:paraId="08DA742A" w14:textId="63017251" w:rsidR="00F101B1" w:rsidRPr="00A53C01" w:rsidRDefault="00F101B1" w:rsidP="00A53C01">
      <w:pPr>
        <w:spacing w:line="312" w:lineRule="auto"/>
        <w:rPr>
          <w:rFonts w:cs="Times New Roman"/>
          <w:iCs/>
          <w:szCs w:val="24"/>
        </w:rPr>
      </w:pPr>
      <w:r w:rsidRPr="00A53C01">
        <w:rPr>
          <w:rFonts w:cs="Times New Roman"/>
          <w:iCs/>
          <w:szCs w:val="24"/>
        </w:rPr>
        <w:t xml:space="preserve">Although some Member States retained concerns over human rights, they were not prominent within the internal deliberations – none opposed lifting the embargo in principle. </w:t>
      </w:r>
      <w:r w:rsidR="003623BE" w:rsidRPr="00A53C01">
        <w:rPr>
          <w:rFonts w:cs="Times New Roman"/>
          <w:iCs/>
          <w:szCs w:val="24"/>
        </w:rPr>
        <w:t>D</w:t>
      </w:r>
      <w:r w:rsidR="008574CB" w:rsidRPr="00A53C01">
        <w:rPr>
          <w:rFonts w:cs="Times New Roman"/>
          <w:iCs/>
          <w:szCs w:val="24"/>
        </w:rPr>
        <w:t>espite</w:t>
      </w:r>
      <w:r w:rsidR="001D38BF" w:rsidRPr="00A53C01">
        <w:rPr>
          <w:rFonts w:cs="Times New Roman"/>
          <w:iCs/>
          <w:szCs w:val="24"/>
        </w:rPr>
        <w:t xml:space="preserve"> persistent problems</w:t>
      </w:r>
      <w:r w:rsidR="00C9331F" w:rsidRPr="00A53C01">
        <w:rPr>
          <w:rFonts w:cs="Times New Roman"/>
          <w:iCs/>
          <w:szCs w:val="24"/>
        </w:rPr>
        <w:t xml:space="preserve">, </w:t>
      </w:r>
      <w:r w:rsidRPr="00A53C01">
        <w:rPr>
          <w:rFonts w:cs="Times New Roman"/>
          <w:iCs/>
          <w:szCs w:val="24"/>
        </w:rPr>
        <w:t>proponents</w:t>
      </w:r>
      <w:r w:rsidR="00C9331F" w:rsidRPr="00A53C01">
        <w:rPr>
          <w:rFonts w:cs="Times New Roman"/>
          <w:iCs/>
          <w:szCs w:val="24"/>
        </w:rPr>
        <w:t xml:space="preserve"> of </w:t>
      </w:r>
      <w:r w:rsidR="001A677D" w:rsidRPr="00A53C01">
        <w:rPr>
          <w:rFonts w:cs="Times New Roman"/>
          <w:iCs/>
          <w:szCs w:val="24"/>
        </w:rPr>
        <w:t>lifting</w:t>
      </w:r>
      <w:r w:rsidR="00C9331F" w:rsidRPr="00A53C01">
        <w:rPr>
          <w:rFonts w:cs="Times New Roman"/>
          <w:iCs/>
          <w:szCs w:val="24"/>
        </w:rPr>
        <w:t xml:space="preserve"> concluded that</w:t>
      </w:r>
      <w:r w:rsidR="00843399" w:rsidRPr="00A53C01">
        <w:rPr>
          <w:rFonts w:cs="Times New Roman"/>
          <w:iCs/>
          <w:szCs w:val="24"/>
        </w:rPr>
        <w:t xml:space="preserve"> China’s</w:t>
      </w:r>
      <w:r w:rsidR="00C9331F" w:rsidRPr="00A53C01">
        <w:rPr>
          <w:rFonts w:cs="Times New Roman"/>
          <w:iCs/>
          <w:szCs w:val="24"/>
        </w:rPr>
        <w:t xml:space="preserve"> progress</w:t>
      </w:r>
      <w:r w:rsidR="001D38BF" w:rsidRPr="00A53C01">
        <w:rPr>
          <w:rFonts w:cs="Times New Roman"/>
          <w:iCs/>
          <w:szCs w:val="24"/>
        </w:rPr>
        <w:t xml:space="preserve"> </w:t>
      </w:r>
      <w:r w:rsidR="00C9331F" w:rsidRPr="00A53C01">
        <w:rPr>
          <w:rFonts w:cs="Times New Roman"/>
          <w:iCs/>
          <w:szCs w:val="24"/>
        </w:rPr>
        <w:t xml:space="preserve">meant that the original </w:t>
      </w:r>
      <w:r w:rsidRPr="00A53C01">
        <w:rPr>
          <w:rFonts w:cs="Times New Roman"/>
          <w:iCs/>
          <w:szCs w:val="24"/>
        </w:rPr>
        <w:t>rationale</w:t>
      </w:r>
      <w:r w:rsidR="001A677D" w:rsidRPr="00A53C01">
        <w:rPr>
          <w:rFonts w:cs="Times New Roman"/>
          <w:iCs/>
          <w:szCs w:val="24"/>
        </w:rPr>
        <w:t xml:space="preserve"> no</w:t>
      </w:r>
      <w:r w:rsidR="00C9331F" w:rsidRPr="00A53C01">
        <w:rPr>
          <w:rFonts w:cs="Times New Roman"/>
          <w:iCs/>
          <w:szCs w:val="24"/>
        </w:rPr>
        <w:t xml:space="preserve"> longer held (Interview, 2010a).</w:t>
      </w:r>
      <w:r w:rsidR="009F2FB9" w:rsidRPr="00A53C01">
        <w:rPr>
          <w:rFonts w:cs="Times New Roman"/>
          <w:iCs/>
          <w:szCs w:val="24"/>
        </w:rPr>
        <w:t xml:space="preserve"> It is evident, however, that the decision to review the embargo</w:t>
      </w:r>
      <w:r w:rsidR="00C118F1" w:rsidRPr="00A53C01">
        <w:rPr>
          <w:rFonts w:cs="Times New Roman"/>
          <w:iCs/>
          <w:szCs w:val="24"/>
        </w:rPr>
        <w:t xml:space="preserve"> was not taken</w:t>
      </w:r>
      <w:r w:rsidR="009F2FB9" w:rsidRPr="00A53C01">
        <w:rPr>
          <w:rFonts w:cs="Times New Roman"/>
          <w:iCs/>
          <w:szCs w:val="24"/>
        </w:rPr>
        <w:t xml:space="preserve"> </w:t>
      </w:r>
      <w:r w:rsidR="00C118F1" w:rsidRPr="00A53C01">
        <w:rPr>
          <w:rFonts w:cs="Times New Roman"/>
          <w:iCs/>
          <w:szCs w:val="24"/>
        </w:rPr>
        <w:t xml:space="preserve">on this basis alone; </w:t>
      </w:r>
      <w:r w:rsidR="009F2FB9" w:rsidRPr="00A53C01">
        <w:rPr>
          <w:rFonts w:cs="Times New Roman"/>
          <w:iCs/>
          <w:szCs w:val="24"/>
        </w:rPr>
        <w:t>the wider context of China as an increasingly significant political and economic power – and thereby attraction – was key.</w:t>
      </w:r>
      <w:r w:rsidR="00396547" w:rsidRPr="00A53C01">
        <w:rPr>
          <w:rFonts w:cs="Times New Roman"/>
          <w:iCs/>
          <w:szCs w:val="24"/>
        </w:rPr>
        <w:t xml:space="preserve"> These factors were used to </w:t>
      </w:r>
      <w:r w:rsidRPr="00A53C01">
        <w:rPr>
          <w:rFonts w:cs="Times New Roman"/>
          <w:iCs/>
          <w:szCs w:val="24"/>
        </w:rPr>
        <w:t>argue that China required</w:t>
      </w:r>
      <w:r w:rsidR="00396547" w:rsidRPr="00A53C01">
        <w:rPr>
          <w:rFonts w:cs="Times New Roman"/>
          <w:iCs/>
          <w:szCs w:val="24"/>
        </w:rPr>
        <w:t xml:space="preserve"> special consideration</w:t>
      </w:r>
      <w:r w:rsidRPr="00A53C01">
        <w:rPr>
          <w:rFonts w:cs="Times New Roman"/>
          <w:iCs/>
          <w:szCs w:val="24"/>
        </w:rPr>
        <w:t xml:space="preserve"> and</w:t>
      </w:r>
      <w:r w:rsidR="00396547" w:rsidRPr="00A53C01">
        <w:rPr>
          <w:rFonts w:cs="Times New Roman"/>
          <w:iCs/>
          <w:szCs w:val="24"/>
        </w:rPr>
        <w:t xml:space="preserve"> that human rights could not be the</w:t>
      </w:r>
      <w:r w:rsidR="001A677D" w:rsidRPr="00A53C01">
        <w:rPr>
          <w:rFonts w:cs="Times New Roman"/>
          <w:iCs/>
          <w:szCs w:val="24"/>
        </w:rPr>
        <w:t xml:space="preserve"> relationship’s</w:t>
      </w:r>
      <w:r w:rsidR="00396547" w:rsidRPr="00A53C01">
        <w:rPr>
          <w:rFonts w:cs="Times New Roman"/>
          <w:iCs/>
          <w:szCs w:val="24"/>
        </w:rPr>
        <w:t xml:space="preserve"> </w:t>
      </w:r>
      <w:r w:rsidR="001A677D" w:rsidRPr="00A53C01">
        <w:rPr>
          <w:rFonts w:cs="Times New Roman"/>
          <w:iCs/>
          <w:szCs w:val="24"/>
        </w:rPr>
        <w:t>determining</w:t>
      </w:r>
      <w:r w:rsidR="00396547" w:rsidRPr="00A53C01">
        <w:rPr>
          <w:rFonts w:cs="Times New Roman"/>
          <w:iCs/>
          <w:szCs w:val="24"/>
        </w:rPr>
        <w:t xml:space="preserve"> factor. A common argument repeated within EU policymaking circles</w:t>
      </w:r>
      <w:r w:rsidR="008A3F31" w:rsidRPr="00A53C01">
        <w:rPr>
          <w:rFonts w:cs="Times New Roman"/>
          <w:iCs/>
          <w:szCs w:val="24"/>
        </w:rPr>
        <w:t xml:space="preserve"> and in direct exchanges with US officials</w:t>
      </w:r>
      <w:r w:rsidR="00396547" w:rsidRPr="00A53C01">
        <w:rPr>
          <w:rFonts w:cs="Times New Roman"/>
          <w:iCs/>
          <w:szCs w:val="24"/>
        </w:rPr>
        <w:t xml:space="preserve"> was that China’s status as a strategic partner meant that it was inconsistent to maintain </w:t>
      </w:r>
      <w:r w:rsidR="00D208D2" w:rsidRPr="00A53C01">
        <w:rPr>
          <w:rFonts w:cs="Times New Roman"/>
          <w:iCs/>
          <w:szCs w:val="24"/>
        </w:rPr>
        <w:t>an</w:t>
      </w:r>
      <w:r w:rsidR="00396547" w:rsidRPr="00A53C01">
        <w:rPr>
          <w:rFonts w:cs="Times New Roman"/>
          <w:iCs/>
          <w:szCs w:val="24"/>
        </w:rPr>
        <w:t xml:space="preserve"> arms embargo</w:t>
      </w:r>
      <w:r w:rsidR="00D208D2" w:rsidRPr="00A53C01">
        <w:rPr>
          <w:rFonts w:cs="Times New Roman"/>
          <w:iCs/>
          <w:szCs w:val="24"/>
        </w:rPr>
        <w:t xml:space="preserve"> against it</w:t>
      </w:r>
      <w:r w:rsidR="00396547" w:rsidRPr="00A53C01">
        <w:rPr>
          <w:rFonts w:cs="Times New Roman"/>
          <w:iCs/>
          <w:szCs w:val="24"/>
        </w:rPr>
        <w:t xml:space="preserve"> – unlike Burma</w:t>
      </w:r>
      <w:r w:rsidR="00400049" w:rsidRPr="00A53C01">
        <w:rPr>
          <w:rFonts w:cs="Times New Roman"/>
          <w:iCs/>
          <w:szCs w:val="24"/>
        </w:rPr>
        <w:t>, North Korea</w:t>
      </w:r>
      <w:r w:rsidR="00396547" w:rsidRPr="00A53C01">
        <w:rPr>
          <w:rFonts w:cs="Times New Roman"/>
          <w:iCs/>
          <w:szCs w:val="24"/>
        </w:rPr>
        <w:t xml:space="preserve"> </w:t>
      </w:r>
      <w:r w:rsidR="00400049" w:rsidRPr="00A53C01">
        <w:rPr>
          <w:rFonts w:cs="Times New Roman"/>
          <w:iCs/>
          <w:szCs w:val="24"/>
        </w:rPr>
        <w:t>or</w:t>
      </w:r>
      <w:r w:rsidR="00396547" w:rsidRPr="00A53C01">
        <w:rPr>
          <w:rFonts w:cs="Times New Roman"/>
          <w:iCs/>
          <w:szCs w:val="24"/>
        </w:rPr>
        <w:t xml:space="preserve"> Zimbabwe, who lacked such importance (</w:t>
      </w:r>
      <w:r w:rsidR="008A3F31" w:rsidRPr="00A53C01">
        <w:rPr>
          <w:rFonts w:cs="Times New Roman"/>
          <w:szCs w:val="24"/>
        </w:rPr>
        <w:t>e.g. US Embassy Netherlands, 2004</w:t>
      </w:r>
      <w:r w:rsidR="008F4412" w:rsidRPr="00A53C01">
        <w:rPr>
          <w:rFonts w:cs="Times New Roman"/>
          <w:szCs w:val="24"/>
        </w:rPr>
        <w:t>a</w:t>
      </w:r>
      <w:r w:rsidR="00400049" w:rsidRPr="00A53C01">
        <w:rPr>
          <w:rFonts w:cs="Times New Roman"/>
          <w:szCs w:val="24"/>
        </w:rPr>
        <w:t>; US Embassy Ireland, 2005X</w:t>
      </w:r>
      <w:r w:rsidR="008A3F31" w:rsidRPr="00A53C01">
        <w:rPr>
          <w:rFonts w:cs="Times New Roman"/>
          <w:szCs w:val="24"/>
        </w:rPr>
        <w:t>).</w:t>
      </w:r>
      <w:r w:rsidR="008A3F31" w:rsidRPr="00A53C01">
        <w:rPr>
          <w:rFonts w:cs="Times New Roman"/>
          <w:iCs/>
          <w:szCs w:val="24"/>
        </w:rPr>
        <w:t xml:space="preserve"> </w:t>
      </w:r>
      <w:r w:rsidR="00D31E21" w:rsidRPr="00A53C01">
        <w:rPr>
          <w:rFonts w:cs="Times New Roman"/>
          <w:iCs/>
          <w:szCs w:val="24"/>
        </w:rPr>
        <w:t>Irrespective of the</w:t>
      </w:r>
      <w:r w:rsidR="00D208D2" w:rsidRPr="00A53C01">
        <w:rPr>
          <w:rFonts w:cs="Times New Roman"/>
          <w:iCs/>
          <w:szCs w:val="24"/>
        </w:rPr>
        <w:t>se arguments</w:t>
      </w:r>
      <w:r w:rsidRPr="00A53C01">
        <w:rPr>
          <w:rFonts w:cs="Times New Roman"/>
          <w:iCs/>
          <w:szCs w:val="24"/>
        </w:rPr>
        <w:t>’</w:t>
      </w:r>
      <w:r w:rsidR="00D31E21" w:rsidRPr="00A53C01">
        <w:rPr>
          <w:rFonts w:cs="Times New Roman"/>
          <w:iCs/>
          <w:szCs w:val="24"/>
        </w:rPr>
        <w:t xml:space="preserve"> merit</w:t>
      </w:r>
      <w:r w:rsidR="00D208D2" w:rsidRPr="00A53C01">
        <w:rPr>
          <w:rFonts w:cs="Times New Roman"/>
          <w:iCs/>
          <w:szCs w:val="24"/>
        </w:rPr>
        <w:t>s</w:t>
      </w:r>
      <w:r w:rsidR="00D31E21" w:rsidRPr="00A53C01">
        <w:rPr>
          <w:rFonts w:cs="Times New Roman"/>
          <w:iCs/>
          <w:szCs w:val="24"/>
        </w:rPr>
        <w:t>, they reveal that the</w:t>
      </w:r>
      <w:r w:rsidR="001A677D" w:rsidRPr="00A53C01">
        <w:rPr>
          <w:rFonts w:cs="Times New Roman"/>
          <w:iCs/>
          <w:szCs w:val="24"/>
        </w:rPr>
        <w:t xml:space="preserve"> EU’s</w:t>
      </w:r>
      <w:r w:rsidR="00D31E21" w:rsidRPr="00A53C01">
        <w:rPr>
          <w:rFonts w:cs="Times New Roman"/>
          <w:iCs/>
          <w:szCs w:val="24"/>
        </w:rPr>
        <w:t xml:space="preserve"> internal deliberatio</w:t>
      </w:r>
      <w:r w:rsidR="0094727A" w:rsidRPr="00A53C01">
        <w:rPr>
          <w:rFonts w:cs="Times New Roman"/>
          <w:iCs/>
          <w:szCs w:val="24"/>
        </w:rPr>
        <w:t xml:space="preserve">ns </w:t>
      </w:r>
      <w:r w:rsidR="007000A0" w:rsidRPr="00A53C01">
        <w:rPr>
          <w:rFonts w:cs="Times New Roman"/>
          <w:iCs/>
          <w:szCs w:val="24"/>
        </w:rPr>
        <w:t>were predicated primarily on</w:t>
      </w:r>
      <w:r w:rsidR="0094727A" w:rsidRPr="00A53C01">
        <w:rPr>
          <w:rFonts w:cs="Times New Roman"/>
          <w:iCs/>
          <w:szCs w:val="24"/>
        </w:rPr>
        <w:t xml:space="preserve"> political and economic incentives</w:t>
      </w:r>
      <w:r w:rsidR="007368C7" w:rsidRPr="00A53C01">
        <w:rPr>
          <w:rFonts w:cs="Times New Roman"/>
          <w:iCs/>
          <w:szCs w:val="24"/>
        </w:rPr>
        <w:t xml:space="preserve">, with less concern </w:t>
      </w:r>
      <w:r w:rsidRPr="00A53C01">
        <w:rPr>
          <w:rFonts w:cs="Times New Roman"/>
          <w:iCs/>
          <w:szCs w:val="24"/>
        </w:rPr>
        <w:t>about</w:t>
      </w:r>
      <w:r w:rsidR="007368C7" w:rsidRPr="00A53C01">
        <w:rPr>
          <w:rFonts w:cs="Times New Roman"/>
          <w:iCs/>
          <w:szCs w:val="24"/>
        </w:rPr>
        <w:t xml:space="preserve"> the embargo’s origins. </w:t>
      </w:r>
      <w:r w:rsidRPr="00A53C01">
        <w:rPr>
          <w:rFonts w:cs="Times New Roman"/>
          <w:iCs/>
          <w:szCs w:val="24"/>
        </w:rPr>
        <w:t xml:space="preserve">Security considerations were, as we will see below, conspicuous by their absence. </w:t>
      </w:r>
    </w:p>
    <w:p w14:paraId="13B68CBC" w14:textId="77777777" w:rsidR="004B3B5E" w:rsidRPr="00A53C01" w:rsidRDefault="004B3B5E" w:rsidP="00A53C01">
      <w:pPr>
        <w:spacing w:line="312" w:lineRule="auto"/>
        <w:rPr>
          <w:rFonts w:cs="Times New Roman"/>
          <w:iCs/>
          <w:szCs w:val="24"/>
        </w:rPr>
      </w:pPr>
    </w:p>
    <w:p w14:paraId="59593A86" w14:textId="49C8F95B" w:rsidR="007C022B" w:rsidRPr="00A53C01" w:rsidRDefault="005A210A" w:rsidP="00A53C01">
      <w:pPr>
        <w:spacing w:line="312" w:lineRule="auto"/>
        <w:rPr>
          <w:rFonts w:cs="Times New Roman"/>
          <w:iCs/>
          <w:szCs w:val="24"/>
        </w:rPr>
      </w:pPr>
      <w:r w:rsidRPr="00A53C01">
        <w:rPr>
          <w:rFonts w:cs="Times New Roman"/>
          <w:iCs/>
          <w:szCs w:val="24"/>
        </w:rPr>
        <w:t xml:space="preserve">Despite the close security relationship between the US and the EU, the latter did not </w:t>
      </w:r>
      <w:r w:rsidR="00DE0FB7" w:rsidRPr="00A53C01">
        <w:rPr>
          <w:rFonts w:cs="Times New Roman"/>
          <w:iCs/>
          <w:szCs w:val="24"/>
        </w:rPr>
        <w:t>communicate the</w:t>
      </w:r>
      <w:r w:rsidR="00110019" w:rsidRPr="00A53C01">
        <w:rPr>
          <w:rFonts w:cs="Times New Roman"/>
          <w:iCs/>
          <w:szCs w:val="24"/>
        </w:rPr>
        <w:t xml:space="preserve"> intention to introduce</w:t>
      </w:r>
      <w:r w:rsidR="00182BD9" w:rsidRPr="00A53C01">
        <w:rPr>
          <w:rFonts w:cs="Times New Roman"/>
          <w:iCs/>
          <w:szCs w:val="24"/>
        </w:rPr>
        <w:t xml:space="preserve"> the embargo </w:t>
      </w:r>
      <w:r w:rsidR="00110019" w:rsidRPr="00A53C01">
        <w:rPr>
          <w:rFonts w:cs="Times New Roman"/>
          <w:iCs/>
          <w:szCs w:val="24"/>
        </w:rPr>
        <w:t>to</w:t>
      </w:r>
      <w:r w:rsidR="00182BD9" w:rsidRPr="00A53C01">
        <w:rPr>
          <w:rFonts w:cs="Times New Roman"/>
          <w:iCs/>
          <w:szCs w:val="24"/>
        </w:rPr>
        <w:t xml:space="preserve"> the agenda</w:t>
      </w:r>
      <w:r w:rsidR="00DE0FB7" w:rsidRPr="00A53C01">
        <w:rPr>
          <w:rFonts w:cs="Times New Roman"/>
          <w:iCs/>
          <w:szCs w:val="24"/>
        </w:rPr>
        <w:t xml:space="preserve"> to the </w:t>
      </w:r>
      <w:r w:rsidRPr="00A53C01">
        <w:rPr>
          <w:rFonts w:cs="Times New Roman"/>
          <w:iCs/>
          <w:szCs w:val="24"/>
        </w:rPr>
        <w:t>former.</w:t>
      </w:r>
      <w:r w:rsidR="00DE0FB7" w:rsidRPr="00A53C01">
        <w:rPr>
          <w:rFonts w:cs="Times New Roman"/>
          <w:iCs/>
          <w:szCs w:val="24"/>
        </w:rPr>
        <w:t xml:space="preserve"> </w:t>
      </w:r>
      <w:r w:rsidR="00110019" w:rsidRPr="00A53C01">
        <w:rPr>
          <w:rFonts w:cs="Times New Roman"/>
          <w:iCs/>
          <w:szCs w:val="24"/>
        </w:rPr>
        <w:t>French President Jacques Chirac – a key instigator of the move – conclud</w:t>
      </w:r>
      <w:r w:rsidRPr="00A53C01">
        <w:rPr>
          <w:rFonts w:cs="Times New Roman"/>
          <w:iCs/>
          <w:szCs w:val="24"/>
        </w:rPr>
        <w:t>ed</w:t>
      </w:r>
      <w:r w:rsidR="00110019" w:rsidRPr="00A53C01">
        <w:rPr>
          <w:rFonts w:cs="Times New Roman"/>
          <w:iCs/>
          <w:szCs w:val="24"/>
        </w:rPr>
        <w:t xml:space="preserve"> that the US would be unlikely to challenge the EU due to its weakened position following </w:t>
      </w:r>
      <w:r w:rsidR="00DE0FB7" w:rsidRPr="00A53C01">
        <w:rPr>
          <w:rFonts w:cs="Times New Roman"/>
          <w:iCs/>
          <w:szCs w:val="24"/>
        </w:rPr>
        <w:t>the controversy surrounding the Iraq war</w:t>
      </w:r>
      <w:r w:rsidR="002E7D0B" w:rsidRPr="00A53C01">
        <w:rPr>
          <w:rFonts w:cs="Times New Roman"/>
          <w:iCs/>
          <w:szCs w:val="24"/>
        </w:rPr>
        <w:t xml:space="preserve"> (Interview, 2010b)</w:t>
      </w:r>
      <w:r w:rsidR="00DE0FB7" w:rsidRPr="00A53C01">
        <w:rPr>
          <w:rFonts w:cs="Times New Roman"/>
          <w:iCs/>
          <w:szCs w:val="24"/>
        </w:rPr>
        <w:t>.</w:t>
      </w:r>
      <w:r w:rsidR="00F04B6B" w:rsidRPr="00A53C01">
        <w:rPr>
          <w:rFonts w:cs="Times New Roman"/>
          <w:iCs/>
          <w:szCs w:val="24"/>
        </w:rPr>
        <w:t xml:space="preserve"> Other</w:t>
      </w:r>
      <w:r w:rsidR="007C022B" w:rsidRPr="00A53C01">
        <w:rPr>
          <w:rFonts w:cs="Times New Roman"/>
          <w:iCs/>
          <w:szCs w:val="24"/>
        </w:rPr>
        <w:t xml:space="preserve"> French and German officials had hoped they could “get away with [lifting] without too much protest from Washington”</w:t>
      </w:r>
      <w:r w:rsidR="00F04B6B" w:rsidRPr="00A53C01">
        <w:rPr>
          <w:rFonts w:cs="Times New Roman"/>
          <w:iCs/>
          <w:szCs w:val="24"/>
        </w:rPr>
        <w:t xml:space="preserve"> (Interview, 2010c)</w:t>
      </w:r>
      <w:r w:rsidR="007C022B" w:rsidRPr="00A53C01">
        <w:rPr>
          <w:rFonts w:cs="Times New Roman"/>
          <w:iCs/>
          <w:szCs w:val="24"/>
        </w:rPr>
        <w:t>.</w:t>
      </w:r>
      <w:r w:rsidR="00F04B6B" w:rsidRPr="00A53C01">
        <w:rPr>
          <w:rFonts w:cs="Times New Roman"/>
          <w:iCs/>
          <w:szCs w:val="24"/>
        </w:rPr>
        <w:t xml:space="preserve"> </w:t>
      </w:r>
      <w:r w:rsidR="00110019" w:rsidRPr="00A53C01">
        <w:rPr>
          <w:rFonts w:cs="Times New Roman"/>
          <w:iCs/>
          <w:szCs w:val="24"/>
        </w:rPr>
        <w:t xml:space="preserve">The UK’s primary concern was the possibility of being blocked from trade-related opportunities with China if it adopted an adversarial stance (Stumbaum, 2009: 172), thus backed the review. </w:t>
      </w:r>
      <w:r w:rsidR="00DE0FB7" w:rsidRPr="00A53C01">
        <w:rPr>
          <w:rFonts w:cs="Times New Roman"/>
          <w:iCs/>
          <w:szCs w:val="24"/>
        </w:rPr>
        <w:t>The failure – or missed opportunity</w:t>
      </w:r>
      <w:r w:rsidR="0039350B" w:rsidRPr="00A53C01">
        <w:rPr>
          <w:rFonts w:cs="Times New Roman"/>
          <w:iCs/>
          <w:szCs w:val="24"/>
        </w:rPr>
        <w:t xml:space="preserve"> –</w:t>
      </w:r>
      <w:r w:rsidR="00DE0FB7" w:rsidRPr="00A53C01">
        <w:rPr>
          <w:rFonts w:cs="Times New Roman"/>
          <w:iCs/>
          <w:szCs w:val="24"/>
        </w:rPr>
        <w:t xml:space="preserve"> to open</w:t>
      </w:r>
      <w:r w:rsidR="002A4858" w:rsidRPr="00A53C01">
        <w:rPr>
          <w:rFonts w:cs="Times New Roman"/>
          <w:iCs/>
          <w:szCs w:val="24"/>
        </w:rPr>
        <w:t xml:space="preserve"> a transatlantic</w:t>
      </w:r>
      <w:r w:rsidR="00DE0FB7" w:rsidRPr="00A53C01">
        <w:rPr>
          <w:rFonts w:cs="Times New Roman"/>
          <w:iCs/>
          <w:szCs w:val="24"/>
        </w:rPr>
        <w:t xml:space="preserve"> dialogue ahead of the public announcement meant that </w:t>
      </w:r>
      <w:r w:rsidR="002A4858" w:rsidRPr="00A53C01">
        <w:rPr>
          <w:rFonts w:cs="Times New Roman"/>
          <w:iCs/>
          <w:szCs w:val="24"/>
        </w:rPr>
        <w:t>EU policymakers</w:t>
      </w:r>
      <w:r w:rsidR="00DE0FB7" w:rsidRPr="00A53C01">
        <w:rPr>
          <w:rFonts w:cs="Times New Roman"/>
          <w:iCs/>
          <w:szCs w:val="24"/>
        </w:rPr>
        <w:t xml:space="preserve"> </w:t>
      </w:r>
      <w:r w:rsidR="002A4858" w:rsidRPr="00A53C01">
        <w:rPr>
          <w:rFonts w:cs="Times New Roman"/>
          <w:iCs/>
          <w:szCs w:val="24"/>
        </w:rPr>
        <w:t>were</w:t>
      </w:r>
      <w:r w:rsidR="00DE0FB7" w:rsidRPr="00A53C01">
        <w:rPr>
          <w:rFonts w:cs="Times New Roman"/>
          <w:iCs/>
          <w:szCs w:val="24"/>
        </w:rPr>
        <w:t xml:space="preserve"> not exposed to the US’s </w:t>
      </w:r>
      <w:r w:rsidRPr="00A53C01">
        <w:rPr>
          <w:rFonts w:cs="Times New Roman"/>
          <w:iCs/>
          <w:szCs w:val="24"/>
        </w:rPr>
        <w:t>emergent</w:t>
      </w:r>
      <w:r w:rsidR="00DE0FB7" w:rsidRPr="00A53C01">
        <w:rPr>
          <w:rFonts w:cs="Times New Roman"/>
          <w:iCs/>
          <w:szCs w:val="24"/>
        </w:rPr>
        <w:t xml:space="preserve"> rationale for the importance of the maintenance of the embargo. While it is unclear that such engagement would have changed </w:t>
      </w:r>
      <w:r w:rsidR="00110019" w:rsidRPr="00A53C01">
        <w:rPr>
          <w:rFonts w:cs="Times New Roman"/>
          <w:iCs/>
          <w:szCs w:val="24"/>
        </w:rPr>
        <w:t>either side’</w:t>
      </w:r>
      <w:r w:rsidR="00DE0FB7" w:rsidRPr="00A53C01">
        <w:rPr>
          <w:rFonts w:cs="Times New Roman"/>
          <w:iCs/>
          <w:szCs w:val="24"/>
        </w:rPr>
        <w:t xml:space="preserve">s position, it would have potentially curtailed the extent to which the transatlantic </w:t>
      </w:r>
      <w:r w:rsidR="00DE0FB7" w:rsidRPr="00A53C01">
        <w:rPr>
          <w:rFonts w:cs="Times New Roman"/>
          <w:iCs/>
          <w:szCs w:val="24"/>
        </w:rPr>
        <w:lastRenderedPageBreak/>
        <w:t>dispute became public in nature</w:t>
      </w:r>
      <w:r w:rsidR="002A4858" w:rsidRPr="00A53C01">
        <w:rPr>
          <w:rFonts w:cs="Times New Roman"/>
          <w:iCs/>
          <w:szCs w:val="24"/>
        </w:rPr>
        <w:t xml:space="preserve">, </w:t>
      </w:r>
      <w:r w:rsidR="00110019" w:rsidRPr="00A53C01">
        <w:rPr>
          <w:rFonts w:cs="Times New Roman"/>
          <w:iCs/>
          <w:szCs w:val="24"/>
        </w:rPr>
        <w:t>as</w:t>
      </w:r>
      <w:r w:rsidR="002A4858" w:rsidRPr="00A53C01">
        <w:rPr>
          <w:rFonts w:cs="Times New Roman"/>
          <w:iCs/>
          <w:szCs w:val="24"/>
        </w:rPr>
        <w:t xml:space="preserve"> securitization moves </w:t>
      </w:r>
      <w:r w:rsidR="00110019" w:rsidRPr="00A53C01">
        <w:rPr>
          <w:rFonts w:cs="Times New Roman"/>
          <w:iCs/>
          <w:szCs w:val="24"/>
        </w:rPr>
        <w:t xml:space="preserve">would have been initiated through diplomatic channels earlier. </w:t>
      </w:r>
      <w:r w:rsidR="00DE0FB7" w:rsidRPr="00A53C01">
        <w:rPr>
          <w:rFonts w:cs="Times New Roman"/>
          <w:iCs/>
          <w:szCs w:val="24"/>
        </w:rPr>
        <w:t xml:space="preserve"> </w:t>
      </w:r>
    </w:p>
    <w:p w14:paraId="42AE16AA" w14:textId="6E1A6D1B" w:rsidR="002E7D0B" w:rsidRPr="00A53C01" w:rsidRDefault="004747D5" w:rsidP="00A53C01">
      <w:pPr>
        <w:tabs>
          <w:tab w:val="left" w:pos="1853"/>
        </w:tabs>
        <w:spacing w:line="312" w:lineRule="auto"/>
        <w:rPr>
          <w:rFonts w:cs="Times New Roman"/>
          <w:iCs/>
          <w:szCs w:val="24"/>
        </w:rPr>
      </w:pPr>
      <w:r w:rsidRPr="00A53C01">
        <w:rPr>
          <w:rFonts w:cs="Times New Roman"/>
          <w:iCs/>
          <w:szCs w:val="24"/>
        </w:rPr>
        <w:tab/>
      </w:r>
    </w:p>
    <w:p w14:paraId="428EB834" w14:textId="057C44A3" w:rsidR="003079BA" w:rsidRPr="00A53C01" w:rsidRDefault="00F0444F" w:rsidP="00A53C01">
      <w:pPr>
        <w:spacing w:line="312" w:lineRule="auto"/>
        <w:rPr>
          <w:rFonts w:eastAsia="Calibri" w:cs="Times New Roman"/>
          <w:iCs/>
          <w:szCs w:val="24"/>
        </w:rPr>
      </w:pPr>
      <w:r w:rsidRPr="00A53C01">
        <w:rPr>
          <w:rFonts w:cs="Times New Roman"/>
          <w:iCs/>
          <w:szCs w:val="24"/>
        </w:rPr>
        <w:t>At</w:t>
      </w:r>
      <w:r w:rsidR="008574CB" w:rsidRPr="00A53C01">
        <w:rPr>
          <w:rFonts w:cs="Times New Roman"/>
          <w:iCs/>
          <w:szCs w:val="24"/>
        </w:rPr>
        <w:t xml:space="preserve"> the January 2004 </w:t>
      </w:r>
      <w:r w:rsidR="003025C0" w:rsidRPr="00A53C01">
        <w:rPr>
          <w:rFonts w:cs="Times New Roman"/>
          <w:iCs/>
          <w:szCs w:val="24"/>
        </w:rPr>
        <w:t>GAERC</w:t>
      </w:r>
      <w:r w:rsidR="008574CB" w:rsidRPr="00A53C01">
        <w:rPr>
          <w:rFonts w:cs="Times New Roman"/>
          <w:iCs/>
          <w:szCs w:val="24"/>
        </w:rPr>
        <w:t xml:space="preserve">, all Member States </w:t>
      </w:r>
      <w:r w:rsidRPr="00A53C01">
        <w:rPr>
          <w:rFonts w:cs="Times New Roman"/>
          <w:iCs/>
          <w:szCs w:val="24"/>
        </w:rPr>
        <w:t>bar</w:t>
      </w:r>
      <w:r w:rsidR="008574CB" w:rsidRPr="00A53C01">
        <w:rPr>
          <w:rFonts w:cs="Times New Roman"/>
          <w:iCs/>
          <w:szCs w:val="24"/>
        </w:rPr>
        <w:t xml:space="preserve"> France </w:t>
      </w:r>
      <w:r w:rsidRPr="00A53C01">
        <w:rPr>
          <w:rFonts w:cs="Times New Roman"/>
          <w:iCs/>
          <w:szCs w:val="24"/>
        </w:rPr>
        <w:t>agreed</w:t>
      </w:r>
      <w:r w:rsidR="008574CB" w:rsidRPr="00A53C01">
        <w:rPr>
          <w:rFonts w:cs="Times New Roman"/>
          <w:iCs/>
          <w:szCs w:val="24"/>
        </w:rPr>
        <w:t xml:space="preserve"> to maintain the embargo </w:t>
      </w:r>
      <w:r w:rsidRPr="00A53C01">
        <w:rPr>
          <w:rFonts w:cs="Times New Roman"/>
          <w:iCs/>
          <w:szCs w:val="24"/>
        </w:rPr>
        <w:t>pending further review</w:t>
      </w:r>
      <w:r w:rsidR="008574CB" w:rsidRPr="00A53C01">
        <w:rPr>
          <w:rFonts w:cs="Times New Roman"/>
          <w:iCs/>
          <w:szCs w:val="24"/>
        </w:rPr>
        <w:t xml:space="preserve"> (Evans-Pritchard and Broughton, 2004</w:t>
      </w:r>
      <w:r w:rsidRPr="00A53C01">
        <w:rPr>
          <w:rFonts w:cs="Times New Roman"/>
          <w:iCs/>
          <w:szCs w:val="24"/>
        </w:rPr>
        <w:t xml:space="preserve">). The key issue was timing, rather than the principle of </w:t>
      </w:r>
      <w:r w:rsidR="003025C0" w:rsidRPr="00A53C01">
        <w:rPr>
          <w:rFonts w:cs="Times New Roman"/>
          <w:iCs/>
          <w:szCs w:val="24"/>
        </w:rPr>
        <w:t>policy change</w:t>
      </w:r>
      <w:r w:rsidR="008574CB" w:rsidRPr="00A53C01">
        <w:rPr>
          <w:rFonts w:cs="Times New Roman"/>
          <w:iCs/>
          <w:szCs w:val="24"/>
        </w:rPr>
        <w:t xml:space="preserve"> (Smith, C. 2004). </w:t>
      </w:r>
      <w:r w:rsidR="00667E47" w:rsidRPr="00A53C01">
        <w:rPr>
          <w:rFonts w:cs="Times New Roman"/>
          <w:iCs/>
          <w:szCs w:val="24"/>
        </w:rPr>
        <w:t>Early on, a</w:t>
      </w:r>
      <w:r w:rsidR="008574CB" w:rsidRPr="00A53C01">
        <w:rPr>
          <w:rFonts w:cs="Times New Roman"/>
          <w:iCs/>
          <w:szCs w:val="24"/>
        </w:rPr>
        <w:t xml:space="preserve"> general sense emerged that </w:t>
      </w:r>
      <w:r w:rsidR="0039350B" w:rsidRPr="00A53C01">
        <w:rPr>
          <w:rFonts w:cs="Times New Roman"/>
          <w:iCs/>
          <w:szCs w:val="24"/>
        </w:rPr>
        <w:t>the</w:t>
      </w:r>
      <w:r w:rsidR="008574CB" w:rsidRPr="00A53C01">
        <w:rPr>
          <w:rFonts w:cs="Times New Roman"/>
          <w:iCs/>
          <w:szCs w:val="24"/>
        </w:rPr>
        <w:t xml:space="preserve"> </w:t>
      </w:r>
      <w:r w:rsidR="0039350B" w:rsidRPr="00A53C01">
        <w:rPr>
          <w:rFonts w:cs="Times New Roman"/>
          <w:iCs/>
          <w:szCs w:val="24"/>
        </w:rPr>
        <w:t>embargo’s end was</w:t>
      </w:r>
      <w:r w:rsidR="008574CB" w:rsidRPr="00A53C01">
        <w:rPr>
          <w:rFonts w:cs="Times New Roman"/>
          <w:iCs/>
          <w:szCs w:val="24"/>
        </w:rPr>
        <w:t xml:space="preserve"> inevitable. </w:t>
      </w:r>
      <w:r w:rsidR="00797C56" w:rsidRPr="00A53C01">
        <w:rPr>
          <w:rFonts w:cs="Times New Roman"/>
          <w:iCs/>
          <w:szCs w:val="24"/>
        </w:rPr>
        <w:t xml:space="preserve">After a fourteen-year absence, </w:t>
      </w:r>
      <w:r w:rsidR="00667E47" w:rsidRPr="00A53C01">
        <w:rPr>
          <w:rFonts w:cs="Times New Roman"/>
          <w:iCs/>
          <w:szCs w:val="24"/>
        </w:rPr>
        <w:t>its</w:t>
      </w:r>
      <w:r w:rsidR="00797C56" w:rsidRPr="00A53C01">
        <w:rPr>
          <w:rFonts w:cs="Times New Roman"/>
          <w:iCs/>
          <w:szCs w:val="24"/>
        </w:rPr>
        <w:t xml:space="preserve"> </w:t>
      </w:r>
      <w:r w:rsidR="003079BA" w:rsidRPr="00A53C01">
        <w:rPr>
          <w:rFonts w:cs="Times New Roman"/>
          <w:iCs/>
          <w:szCs w:val="24"/>
        </w:rPr>
        <w:t xml:space="preserve">return the EU’s agenda revealed </w:t>
      </w:r>
      <w:r w:rsidR="00797C56" w:rsidRPr="00A53C01">
        <w:rPr>
          <w:rFonts w:cs="Times New Roman"/>
          <w:iCs/>
          <w:szCs w:val="24"/>
        </w:rPr>
        <w:t>that</w:t>
      </w:r>
      <w:r w:rsidR="00961A22" w:rsidRPr="00A53C01">
        <w:rPr>
          <w:rFonts w:cs="Times New Roman"/>
          <w:iCs/>
          <w:szCs w:val="24"/>
        </w:rPr>
        <w:t xml:space="preserve"> </w:t>
      </w:r>
      <w:r w:rsidR="00797C56" w:rsidRPr="00A53C01">
        <w:rPr>
          <w:rFonts w:cs="Times New Roman"/>
          <w:iCs/>
          <w:szCs w:val="24"/>
        </w:rPr>
        <w:t>policymakers still conceptualised its</w:t>
      </w:r>
      <w:r w:rsidR="00961A22" w:rsidRPr="00A53C01">
        <w:rPr>
          <w:rFonts w:cs="Times New Roman"/>
          <w:iCs/>
          <w:szCs w:val="24"/>
        </w:rPr>
        <w:t xml:space="preserve"> relevance </w:t>
      </w:r>
      <w:r w:rsidR="00797C56" w:rsidRPr="00A53C01">
        <w:rPr>
          <w:rFonts w:cs="Times New Roman"/>
          <w:iCs/>
          <w:szCs w:val="24"/>
        </w:rPr>
        <w:t>to be grounded in the</w:t>
      </w:r>
      <w:r w:rsidR="00961A22" w:rsidRPr="00A53C01">
        <w:rPr>
          <w:rFonts w:cs="Times New Roman"/>
          <w:iCs/>
          <w:szCs w:val="24"/>
        </w:rPr>
        <w:t xml:space="preserve"> original reasons for imposition. </w:t>
      </w:r>
      <w:r w:rsidR="003079BA" w:rsidRPr="00A53C01">
        <w:rPr>
          <w:rFonts w:cs="Times New Roman"/>
          <w:iCs/>
          <w:szCs w:val="24"/>
        </w:rPr>
        <w:t>These lost salience</w:t>
      </w:r>
      <w:r w:rsidR="00961A22" w:rsidRPr="00A53C01">
        <w:rPr>
          <w:rFonts w:cs="Times New Roman"/>
          <w:iCs/>
          <w:szCs w:val="24"/>
        </w:rPr>
        <w:t xml:space="preserve"> in the intervening </w:t>
      </w:r>
      <w:r w:rsidR="00797C56" w:rsidRPr="00A53C01">
        <w:rPr>
          <w:rFonts w:cs="Times New Roman"/>
          <w:iCs/>
          <w:szCs w:val="24"/>
        </w:rPr>
        <w:t>years</w:t>
      </w:r>
      <w:r w:rsidR="003079BA" w:rsidRPr="00A53C01">
        <w:rPr>
          <w:rFonts w:cs="Times New Roman"/>
          <w:iCs/>
          <w:szCs w:val="24"/>
        </w:rPr>
        <w:t xml:space="preserve"> </w:t>
      </w:r>
      <w:r w:rsidR="00961A22" w:rsidRPr="00A53C01">
        <w:rPr>
          <w:rFonts w:cs="Times New Roman"/>
          <w:iCs/>
          <w:szCs w:val="24"/>
        </w:rPr>
        <w:t xml:space="preserve">as a result of the expanding </w:t>
      </w:r>
      <w:r w:rsidR="003079BA" w:rsidRPr="00A53C01">
        <w:rPr>
          <w:rFonts w:cs="Times New Roman"/>
          <w:iCs/>
          <w:szCs w:val="24"/>
        </w:rPr>
        <w:t xml:space="preserve">economic and political opportunities to be gained from closer relations with China. </w:t>
      </w:r>
      <w:r w:rsidR="00797C56" w:rsidRPr="00A53C01">
        <w:rPr>
          <w:rFonts w:cs="Times New Roman"/>
          <w:iCs/>
          <w:szCs w:val="24"/>
        </w:rPr>
        <w:t>Essentially a</w:t>
      </w:r>
      <w:r w:rsidR="003079BA" w:rsidRPr="00A53C01">
        <w:rPr>
          <w:rFonts w:cs="Times New Roman"/>
          <w:iCs/>
          <w:szCs w:val="24"/>
        </w:rPr>
        <w:t>bsent from the internal deliberation were references to the changed security environment in East Asia, the threat potential of China’s military development, or the US’s perceived interests. Consideration of lifting in itself is indicative of a lack of securitization taking place with respect to the EU’s China policy</w:t>
      </w:r>
      <w:r w:rsidR="00027426" w:rsidRPr="00A53C01">
        <w:rPr>
          <w:rFonts w:cs="Times New Roman"/>
          <w:iCs/>
          <w:szCs w:val="24"/>
        </w:rPr>
        <w:t xml:space="preserve"> - an inference that is consolidated by</w:t>
      </w:r>
      <w:r w:rsidR="003079BA" w:rsidRPr="00A53C01">
        <w:rPr>
          <w:rFonts w:cs="Times New Roman"/>
          <w:iCs/>
          <w:szCs w:val="24"/>
        </w:rPr>
        <w:t xml:space="preserve"> close examination of the</w:t>
      </w:r>
      <w:r w:rsidR="00027426" w:rsidRPr="00A53C01">
        <w:rPr>
          <w:rFonts w:cs="Times New Roman"/>
          <w:iCs/>
          <w:szCs w:val="24"/>
        </w:rPr>
        <w:t xml:space="preserve"> transatlantic</w:t>
      </w:r>
      <w:r w:rsidR="003079BA" w:rsidRPr="00A53C01">
        <w:rPr>
          <w:rFonts w:cs="Times New Roman"/>
          <w:iCs/>
          <w:szCs w:val="24"/>
        </w:rPr>
        <w:t xml:space="preserve"> discourse around the proposal. </w:t>
      </w:r>
    </w:p>
    <w:p w14:paraId="65CC8526" w14:textId="77777777" w:rsidR="007124AD" w:rsidRPr="00A53C01" w:rsidRDefault="007124AD" w:rsidP="00A53C01">
      <w:pPr>
        <w:spacing w:line="312" w:lineRule="auto"/>
        <w:rPr>
          <w:rFonts w:cs="Times New Roman"/>
          <w:szCs w:val="24"/>
        </w:rPr>
      </w:pPr>
    </w:p>
    <w:p w14:paraId="1D5865E5" w14:textId="5B987D68" w:rsidR="007124AD" w:rsidRPr="00A53C01" w:rsidRDefault="00DB4227" w:rsidP="00A53C01">
      <w:pPr>
        <w:pStyle w:val="SectionHeading"/>
        <w:spacing w:line="312" w:lineRule="auto"/>
        <w:rPr>
          <w:rFonts w:cs="Times New Roman"/>
          <w:b/>
          <w:szCs w:val="24"/>
        </w:rPr>
      </w:pPr>
      <w:r>
        <w:rPr>
          <w:rFonts w:cs="Times New Roman"/>
          <w:b/>
          <w:szCs w:val="24"/>
        </w:rPr>
        <w:t xml:space="preserve">5. </w:t>
      </w:r>
      <w:r w:rsidR="007124AD" w:rsidRPr="00A53C01">
        <w:rPr>
          <w:rFonts w:cs="Times New Roman"/>
          <w:b/>
          <w:szCs w:val="24"/>
        </w:rPr>
        <w:t>US Securitizing Moves</w:t>
      </w:r>
      <w:r w:rsidR="008A3F31" w:rsidRPr="00A53C01">
        <w:rPr>
          <w:rFonts w:cs="Times New Roman"/>
          <w:b/>
          <w:szCs w:val="24"/>
        </w:rPr>
        <w:t xml:space="preserve"> in the Embargo Debate</w:t>
      </w:r>
    </w:p>
    <w:p w14:paraId="22969B93" w14:textId="60C6C12F" w:rsidR="007124AD" w:rsidRPr="00A53C01" w:rsidRDefault="00B67F73" w:rsidP="00A53C01">
      <w:pPr>
        <w:spacing w:line="312" w:lineRule="auto"/>
        <w:rPr>
          <w:rFonts w:cs="Times New Roman"/>
          <w:szCs w:val="24"/>
        </w:rPr>
      </w:pPr>
      <w:r w:rsidRPr="00A53C01">
        <w:rPr>
          <w:rFonts w:cs="Times New Roman"/>
          <w:szCs w:val="24"/>
        </w:rPr>
        <w:t>T</w:t>
      </w:r>
      <w:r w:rsidR="00402425" w:rsidRPr="00A53C01">
        <w:rPr>
          <w:rFonts w:cs="Times New Roman"/>
          <w:szCs w:val="24"/>
        </w:rPr>
        <w:t>he US consistently opposed the</w:t>
      </w:r>
      <w:r w:rsidRPr="00A53C01">
        <w:rPr>
          <w:rFonts w:cs="Times New Roman"/>
          <w:szCs w:val="24"/>
        </w:rPr>
        <w:t xml:space="preserve"> EU’s</w:t>
      </w:r>
      <w:r w:rsidR="00402425" w:rsidRPr="00A53C01">
        <w:rPr>
          <w:rFonts w:cs="Times New Roman"/>
          <w:szCs w:val="24"/>
        </w:rPr>
        <w:t xml:space="preserve"> proposed policy change</w:t>
      </w:r>
      <w:r w:rsidRPr="00A53C01">
        <w:rPr>
          <w:rFonts w:cs="Times New Roman"/>
          <w:szCs w:val="24"/>
        </w:rPr>
        <w:t xml:space="preserve"> during the review process </w:t>
      </w:r>
      <w:r w:rsidR="00402425" w:rsidRPr="00A53C01">
        <w:rPr>
          <w:rFonts w:cs="Times New Roman"/>
          <w:szCs w:val="24"/>
        </w:rPr>
        <w:t xml:space="preserve">through both </w:t>
      </w:r>
      <w:r w:rsidR="002A59F2" w:rsidRPr="00A53C01">
        <w:rPr>
          <w:rFonts w:cs="Times New Roman"/>
          <w:szCs w:val="24"/>
        </w:rPr>
        <w:t xml:space="preserve">public pronouncements and private diplomatic channels. Contrary to the </w:t>
      </w:r>
      <w:r w:rsidR="00402425" w:rsidRPr="00A53C01">
        <w:rPr>
          <w:rFonts w:cs="Times New Roman"/>
          <w:szCs w:val="24"/>
        </w:rPr>
        <w:t>deliberations</w:t>
      </w:r>
      <w:r w:rsidR="0035152F">
        <w:rPr>
          <w:rFonts w:cs="Times New Roman"/>
          <w:szCs w:val="24"/>
        </w:rPr>
        <w:t xml:space="preserve"> among EU Member States</w:t>
      </w:r>
      <w:r w:rsidR="002A59F2" w:rsidRPr="00A53C01">
        <w:rPr>
          <w:rFonts w:cs="Times New Roman"/>
          <w:szCs w:val="24"/>
        </w:rPr>
        <w:t>, the US’</w:t>
      </w:r>
      <w:r w:rsidR="002D3D78" w:rsidRPr="00A53C01">
        <w:rPr>
          <w:rFonts w:cs="Times New Roman"/>
          <w:szCs w:val="24"/>
        </w:rPr>
        <w:t>s</w:t>
      </w:r>
      <w:r w:rsidR="002A59F2" w:rsidRPr="00A53C01">
        <w:rPr>
          <w:rFonts w:cs="Times New Roman"/>
          <w:szCs w:val="24"/>
        </w:rPr>
        <w:t xml:space="preserve"> </w:t>
      </w:r>
      <w:r w:rsidR="00402425" w:rsidRPr="00A53C01">
        <w:rPr>
          <w:rFonts w:cs="Times New Roman"/>
          <w:szCs w:val="24"/>
        </w:rPr>
        <w:t xml:space="preserve">position was </w:t>
      </w:r>
      <w:r w:rsidR="002A59F2" w:rsidRPr="00A53C01">
        <w:rPr>
          <w:rFonts w:cs="Times New Roman"/>
          <w:szCs w:val="24"/>
        </w:rPr>
        <w:t>heavily informed by security considerations</w:t>
      </w:r>
      <w:r w:rsidR="00402425" w:rsidRPr="00A53C01">
        <w:rPr>
          <w:rFonts w:cs="Times New Roman"/>
          <w:szCs w:val="24"/>
        </w:rPr>
        <w:t xml:space="preserve">. </w:t>
      </w:r>
      <w:r w:rsidR="009B1435" w:rsidRPr="00A53C01">
        <w:rPr>
          <w:rFonts w:cs="Times New Roman"/>
          <w:szCs w:val="24"/>
        </w:rPr>
        <w:t>T</w:t>
      </w:r>
      <w:r w:rsidR="00402425" w:rsidRPr="00A53C01">
        <w:rPr>
          <w:rFonts w:cs="Times New Roman"/>
          <w:szCs w:val="24"/>
        </w:rPr>
        <w:t xml:space="preserve">his strategy of pressing the security implications for the US reveals that a </w:t>
      </w:r>
      <w:r w:rsidR="002A59F2" w:rsidRPr="00A53C01">
        <w:rPr>
          <w:rFonts w:cs="Times New Roman"/>
          <w:szCs w:val="24"/>
        </w:rPr>
        <w:t>securitization</w:t>
      </w:r>
      <w:r w:rsidR="00402425" w:rsidRPr="00A53C01">
        <w:rPr>
          <w:rFonts w:cs="Times New Roman"/>
          <w:szCs w:val="24"/>
        </w:rPr>
        <w:t xml:space="preserve"> process had occurred within </w:t>
      </w:r>
      <w:r w:rsidR="002D3D78" w:rsidRPr="00A53C01">
        <w:rPr>
          <w:rFonts w:cs="Times New Roman"/>
          <w:szCs w:val="24"/>
        </w:rPr>
        <w:t>the</w:t>
      </w:r>
      <w:r w:rsidR="00402425" w:rsidRPr="00A53C01">
        <w:rPr>
          <w:rFonts w:cs="Times New Roman"/>
          <w:szCs w:val="24"/>
        </w:rPr>
        <w:t xml:space="preserve"> domestic security space. The </w:t>
      </w:r>
      <w:r w:rsidR="002D3D78" w:rsidRPr="00A53C01">
        <w:rPr>
          <w:rFonts w:cs="Times New Roman"/>
          <w:szCs w:val="24"/>
        </w:rPr>
        <w:t>rationale</w:t>
      </w:r>
      <w:r w:rsidR="00402425" w:rsidRPr="00A53C01">
        <w:rPr>
          <w:rFonts w:cs="Times New Roman"/>
          <w:szCs w:val="24"/>
        </w:rPr>
        <w:t xml:space="preserve"> for imposing </w:t>
      </w:r>
      <w:r w:rsidR="002D3D78" w:rsidRPr="00A53C01">
        <w:rPr>
          <w:rFonts w:cs="Times New Roman"/>
          <w:szCs w:val="24"/>
        </w:rPr>
        <w:t>the US’s</w:t>
      </w:r>
      <w:r w:rsidR="00402425" w:rsidRPr="00A53C01">
        <w:rPr>
          <w:rFonts w:cs="Times New Roman"/>
          <w:szCs w:val="24"/>
        </w:rPr>
        <w:t xml:space="preserve"> own embargo had been human rights concerns, but </w:t>
      </w:r>
      <w:r w:rsidR="002D3D78" w:rsidRPr="00A53C01">
        <w:rPr>
          <w:rFonts w:cs="Times New Roman"/>
          <w:szCs w:val="24"/>
        </w:rPr>
        <w:t>in 2003</w:t>
      </w:r>
      <w:r w:rsidR="00402425" w:rsidRPr="00A53C01">
        <w:rPr>
          <w:rFonts w:cs="Times New Roman"/>
          <w:szCs w:val="24"/>
        </w:rPr>
        <w:t xml:space="preserve"> the maintenance of both its </w:t>
      </w:r>
      <w:r w:rsidR="00402425" w:rsidRPr="00A53C01">
        <w:rPr>
          <w:rFonts w:cs="Times New Roman"/>
          <w:i/>
          <w:szCs w:val="24"/>
        </w:rPr>
        <w:t>and</w:t>
      </w:r>
      <w:r w:rsidR="00402425" w:rsidRPr="00A53C01">
        <w:rPr>
          <w:rFonts w:cs="Times New Roman"/>
          <w:szCs w:val="24"/>
        </w:rPr>
        <w:t xml:space="preserve"> the EU’s</w:t>
      </w:r>
      <w:r w:rsidR="008A4CFA" w:rsidRPr="00A53C01">
        <w:rPr>
          <w:rFonts w:cs="Times New Roman"/>
          <w:szCs w:val="24"/>
        </w:rPr>
        <w:t xml:space="preserve"> embargoes</w:t>
      </w:r>
      <w:r w:rsidR="009B1435" w:rsidRPr="00A53C01">
        <w:rPr>
          <w:rFonts w:cs="Times New Roman"/>
          <w:szCs w:val="24"/>
        </w:rPr>
        <w:t xml:space="preserve"> was regarded</w:t>
      </w:r>
      <w:r w:rsidR="00402425" w:rsidRPr="00A53C01">
        <w:rPr>
          <w:rFonts w:cs="Times New Roman"/>
          <w:szCs w:val="24"/>
        </w:rPr>
        <w:t xml:space="preserve"> as </w:t>
      </w:r>
      <w:r w:rsidR="002D3D78" w:rsidRPr="00A53C01">
        <w:rPr>
          <w:rFonts w:cs="Times New Roman"/>
          <w:szCs w:val="24"/>
        </w:rPr>
        <w:t>crucial</w:t>
      </w:r>
      <w:r w:rsidR="00402425" w:rsidRPr="00A53C01">
        <w:rPr>
          <w:rFonts w:cs="Times New Roman"/>
          <w:szCs w:val="24"/>
        </w:rPr>
        <w:t xml:space="preserve"> to its own direct regional</w:t>
      </w:r>
      <w:r w:rsidR="009B1435" w:rsidRPr="00A53C01">
        <w:rPr>
          <w:rFonts w:cs="Times New Roman"/>
          <w:szCs w:val="24"/>
        </w:rPr>
        <w:t xml:space="preserve"> and global</w:t>
      </w:r>
      <w:r w:rsidR="00402425" w:rsidRPr="00A53C01">
        <w:rPr>
          <w:rFonts w:cs="Times New Roman"/>
          <w:szCs w:val="24"/>
        </w:rPr>
        <w:t xml:space="preserve"> security interests. The crux of the US’</w:t>
      </w:r>
      <w:r w:rsidR="008A4CFA" w:rsidRPr="00A53C01">
        <w:rPr>
          <w:rFonts w:cs="Times New Roman"/>
          <w:szCs w:val="24"/>
        </w:rPr>
        <w:t>s</w:t>
      </w:r>
      <w:r w:rsidR="00402425" w:rsidRPr="00A53C01">
        <w:rPr>
          <w:rFonts w:cs="Times New Roman"/>
          <w:szCs w:val="24"/>
        </w:rPr>
        <w:t xml:space="preserve"> argument </w:t>
      </w:r>
      <w:r w:rsidR="00C153D6" w:rsidRPr="00A53C01">
        <w:rPr>
          <w:rFonts w:cs="Times New Roman"/>
          <w:szCs w:val="24"/>
        </w:rPr>
        <w:t>was</w:t>
      </w:r>
      <w:r w:rsidR="00402425" w:rsidRPr="00A53C01">
        <w:rPr>
          <w:rFonts w:cs="Times New Roman"/>
          <w:szCs w:val="24"/>
        </w:rPr>
        <w:t xml:space="preserve"> </w:t>
      </w:r>
      <w:r w:rsidR="00C153D6" w:rsidRPr="00A53C01">
        <w:rPr>
          <w:rFonts w:cs="Times New Roman"/>
          <w:szCs w:val="24"/>
        </w:rPr>
        <w:t>a</w:t>
      </w:r>
      <w:r w:rsidR="00402425" w:rsidRPr="00A53C01">
        <w:rPr>
          <w:rFonts w:cs="Times New Roman"/>
          <w:szCs w:val="24"/>
        </w:rPr>
        <w:t xml:space="preserve"> potential </w:t>
      </w:r>
      <w:r w:rsidR="00C153D6" w:rsidRPr="00A53C01">
        <w:rPr>
          <w:rFonts w:cs="Times New Roman"/>
          <w:szCs w:val="24"/>
        </w:rPr>
        <w:t>scenario in which</w:t>
      </w:r>
      <w:r w:rsidR="009B1435" w:rsidRPr="00A53C01">
        <w:rPr>
          <w:rFonts w:cs="Times New Roman"/>
          <w:szCs w:val="24"/>
        </w:rPr>
        <w:t xml:space="preserve"> following the embargo’s removal, access to European military technology would lead to </w:t>
      </w:r>
      <w:r w:rsidR="008F4034" w:rsidRPr="00A53C01">
        <w:rPr>
          <w:rFonts w:cs="Times New Roman"/>
          <w:szCs w:val="24"/>
        </w:rPr>
        <w:t>China</w:t>
      </w:r>
      <w:r w:rsidR="009B1435" w:rsidRPr="00A53C01">
        <w:rPr>
          <w:rFonts w:cs="Times New Roman"/>
          <w:szCs w:val="24"/>
        </w:rPr>
        <w:t>’s expanding capabilities</w:t>
      </w:r>
      <w:r w:rsidR="00C153D6" w:rsidRPr="00A53C01">
        <w:rPr>
          <w:rFonts w:cs="Times New Roman"/>
          <w:szCs w:val="24"/>
        </w:rPr>
        <w:t xml:space="preserve"> </w:t>
      </w:r>
      <w:r w:rsidR="008F4034" w:rsidRPr="00A53C01">
        <w:rPr>
          <w:rFonts w:cs="Times New Roman"/>
          <w:szCs w:val="24"/>
        </w:rPr>
        <w:t>destabilis</w:t>
      </w:r>
      <w:r w:rsidR="009B1435" w:rsidRPr="00A53C01">
        <w:rPr>
          <w:rFonts w:cs="Times New Roman"/>
          <w:szCs w:val="24"/>
        </w:rPr>
        <w:t>ing</w:t>
      </w:r>
      <w:r w:rsidR="008F4034" w:rsidRPr="00A53C01">
        <w:rPr>
          <w:rFonts w:cs="Times New Roman"/>
          <w:szCs w:val="24"/>
        </w:rPr>
        <w:t xml:space="preserve"> the East Asian region</w:t>
      </w:r>
      <w:r w:rsidR="009B1435" w:rsidRPr="00A53C01">
        <w:rPr>
          <w:rFonts w:cs="Times New Roman"/>
          <w:szCs w:val="24"/>
        </w:rPr>
        <w:t>, with</w:t>
      </w:r>
      <w:r w:rsidR="00C153D6" w:rsidRPr="00A53C01">
        <w:rPr>
          <w:rFonts w:cs="Times New Roman"/>
          <w:szCs w:val="24"/>
        </w:rPr>
        <w:t xml:space="preserve"> negative consequences for the US and, by extension,</w:t>
      </w:r>
      <w:r w:rsidR="009B1435" w:rsidRPr="00A53C01">
        <w:rPr>
          <w:rFonts w:cs="Times New Roman"/>
          <w:szCs w:val="24"/>
        </w:rPr>
        <w:t xml:space="preserve"> the EU. Thus, the EU would be partly responsible. </w:t>
      </w:r>
      <w:r w:rsidR="008F4034" w:rsidRPr="00A53C01">
        <w:rPr>
          <w:rFonts w:cs="Times New Roman"/>
          <w:szCs w:val="24"/>
        </w:rPr>
        <w:t xml:space="preserve">This section analyses the discourse that unfolded in the transatlantic security space via </w:t>
      </w:r>
      <w:r w:rsidR="00B911D9" w:rsidRPr="00A53C01">
        <w:rPr>
          <w:rFonts w:cs="Times New Roman"/>
          <w:szCs w:val="24"/>
        </w:rPr>
        <w:t xml:space="preserve">primary and secondary sources. </w:t>
      </w:r>
      <w:r w:rsidR="002A59F2" w:rsidRPr="00A53C01">
        <w:rPr>
          <w:rFonts w:cs="Times New Roman"/>
          <w:szCs w:val="24"/>
        </w:rPr>
        <w:t>The evidence demonstrates that US</w:t>
      </w:r>
      <w:r w:rsidR="00636DF2" w:rsidRPr="00A53C01">
        <w:rPr>
          <w:rFonts w:cs="Times New Roman"/>
          <w:szCs w:val="24"/>
        </w:rPr>
        <w:t xml:space="preserve"> actors</w:t>
      </w:r>
      <w:r w:rsidR="002A59F2" w:rsidRPr="00A53C01">
        <w:rPr>
          <w:rFonts w:cs="Times New Roman"/>
          <w:szCs w:val="24"/>
        </w:rPr>
        <w:t xml:space="preserve"> undertook </w:t>
      </w:r>
      <w:r w:rsidR="008F4034" w:rsidRPr="00A53C01">
        <w:rPr>
          <w:rFonts w:cs="Times New Roman"/>
          <w:szCs w:val="24"/>
        </w:rPr>
        <w:t>explicit</w:t>
      </w:r>
      <w:r w:rsidR="002A59F2" w:rsidRPr="00A53C01">
        <w:rPr>
          <w:rFonts w:cs="Times New Roman"/>
          <w:szCs w:val="24"/>
        </w:rPr>
        <w:t xml:space="preserve"> securitizing moves</w:t>
      </w:r>
      <w:r w:rsidR="008F4034" w:rsidRPr="00A53C01">
        <w:rPr>
          <w:rFonts w:cs="Times New Roman"/>
          <w:szCs w:val="24"/>
        </w:rPr>
        <w:t xml:space="preserve"> </w:t>
      </w:r>
      <w:r w:rsidR="00636DF2" w:rsidRPr="00A53C01">
        <w:rPr>
          <w:rFonts w:cs="Times New Roman"/>
          <w:szCs w:val="24"/>
        </w:rPr>
        <w:t>(</w:t>
      </w:r>
      <w:r w:rsidR="008F4034" w:rsidRPr="00A53C01">
        <w:rPr>
          <w:rFonts w:cs="Times New Roman"/>
          <w:szCs w:val="24"/>
        </w:rPr>
        <w:t>speech acts</w:t>
      </w:r>
      <w:r w:rsidR="00636DF2" w:rsidRPr="00A53C01">
        <w:rPr>
          <w:rFonts w:cs="Times New Roman"/>
          <w:szCs w:val="24"/>
        </w:rPr>
        <w:t>)</w:t>
      </w:r>
      <w:r w:rsidR="002A59F2" w:rsidRPr="00A53C01">
        <w:rPr>
          <w:rFonts w:cs="Times New Roman"/>
          <w:szCs w:val="24"/>
        </w:rPr>
        <w:t xml:space="preserve"> in order to convince EU</w:t>
      </w:r>
      <w:r w:rsidR="00C153D6" w:rsidRPr="00A53C01">
        <w:rPr>
          <w:rFonts w:cs="Times New Roman"/>
          <w:szCs w:val="24"/>
        </w:rPr>
        <w:t xml:space="preserve"> and Member State policymakers</w:t>
      </w:r>
      <w:r w:rsidR="008F4034" w:rsidRPr="00A53C01">
        <w:rPr>
          <w:rFonts w:cs="Times New Roman"/>
          <w:szCs w:val="24"/>
        </w:rPr>
        <w:t xml:space="preserve"> (</w:t>
      </w:r>
      <w:r w:rsidR="00C153D6" w:rsidRPr="00A53C01">
        <w:rPr>
          <w:rFonts w:cs="Times New Roman"/>
          <w:szCs w:val="24"/>
        </w:rPr>
        <w:t>the elite</w:t>
      </w:r>
      <w:r w:rsidR="008F4034" w:rsidRPr="00A53C01">
        <w:rPr>
          <w:rFonts w:cs="Times New Roman"/>
          <w:szCs w:val="24"/>
        </w:rPr>
        <w:t xml:space="preserve"> audience)</w:t>
      </w:r>
      <w:r w:rsidR="002A59F2" w:rsidRPr="00A53C01">
        <w:rPr>
          <w:rFonts w:cs="Times New Roman"/>
          <w:szCs w:val="24"/>
        </w:rPr>
        <w:t xml:space="preserve"> </w:t>
      </w:r>
      <w:r w:rsidR="00636DF2" w:rsidRPr="00A53C01">
        <w:rPr>
          <w:rFonts w:cs="Times New Roman"/>
          <w:szCs w:val="24"/>
        </w:rPr>
        <w:t>that</w:t>
      </w:r>
      <w:r w:rsidR="002A59F2" w:rsidRPr="00A53C01">
        <w:rPr>
          <w:rFonts w:cs="Times New Roman"/>
          <w:szCs w:val="24"/>
        </w:rPr>
        <w:t xml:space="preserve"> the</w:t>
      </w:r>
      <w:r w:rsidR="009B1435" w:rsidRPr="00A53C01">
        <w:rPr>
          <w:rFonts w:cs="Times New Roman"/>
          <w:szCs w:val="24"/>
        </w:rPr>
        <w:t xml:space="preserve"> embargo’s</w:t>
      </w:r>
      <w:r w:rsidR="002A59F2" w:rsidRPr="00A53C01">
        <w:rPr>
          <w:rFonts w:cs="Times New Roman"/>
          <w:szCs w:val="24"/>
        </w:rPr>
        <w:t xml:space="preserve"> continuation </w:t>
      </w:r>
      <w:r w:rsidR="00636DF2" w:rsidRPr="00A53C01">
        <w:rPr>
          <w:rFonts w:cs="Times New Roman"/>
          <w:szCs w:val="24"/>
        </w:rPr>
        <w:t xml:space="preserve">was </w:t>
      </w:r>
      <w:r w:rsidR="009B1435" w:rsidRPr="00A53C01">
        <w:rPr>
          <w:rFonts w:cs="Times New Roman"/>
          <w:szCs w:val="24"/>
        </w:rPr>
        <w:t>a security imperative</w:t>
      </w:r>
      <w:r w:rsidR="00D12E3F" w:rsidRPr="00A53C01">
        <w:rPr>
          <w:rFonts w:cs="Times New Roman"/>
          <w:szCs w:val="24"/>
        </w:rPr>
        <w:t xml:space="preserve">. </w:t>
      </w:r>
    </w:p>
    <w:p w14:paraId="0653E77D" w14:textId="77777777" w:rsidR="007B73CA" w:rsidRPr="00A53C01" w:rsidRDefault="007B73CA" w:rsidP="00A53C01">
      <w:pPr>
        <w:spacing w:line="312" w:lineRule="auto"/>
        <w:rPr>
          <w:rFonts w:eastAsia="Calibri" w:cs="Times New Roman"/>
          <w:szCs w:val="24"/>
        </w:rPr>
      </w:pPr>
    </w:p>
    <w:p w14:paraId="604D0E9D" w14:textId="5F325B3D" w:rsidR="00037341" w:rsidRPr="00A53C01" w:rsidRDefault="00C36C45" w:rsidP="00A53C01">
      <w:pPr>
        <w:spacing w:line="312" w:lineRule="auto"/>
        <w:rPr>
          <w:rFonts w:eastAsia="Calibri" w:cs="Times New Roman"/>
          <w:szCs w:val="24"/>
        </w:rPr>
      </w:pPr>
      <w:r w:rsidRPr="00A53C01">
        <w:rPr>
          <w:rFonts w:cs="Times New Roman"/>
          <w:szCs w:val="24"/>
        </w:rPr>
        <w:lastRenderedPageBreak/>
        <w:t>The first public</w:t>
      </w:r>
      <w:r w:rsidR="008F4412" w:rsidRPr="00A53C01">
        <w:rPr>
          <w:rFonts w:cs="Times New Roman"/>
          <w:szCs w:val="24"/>
        </w:rPr>
        <w:t xml:space="preserve"> </w:t>
      </w:r>
      <w:r w:rsidRPr="00A53C01">
        <w:rPr>
          <w:rFonts w:cs="Times New Roman"/>
          <w:szCs w:val="24"/>
        </w:rPr>
        <w:t>statements of</w:t>
      </w:r>
      <w:r w:rsidR="008F4412" w:rsidRPr="00A53C01">
        <w:rPr>
          <w:rFonts w:cs="Times New Roman"/>
          <w:szCs w:val="24"/>
        </w:rPr>
        <w:t xml:space="preserve"> opposition</w:t>
      </w:r>
      <w:r w:rsidRPr="00A53C01">
        <w:rPr>
          <w:rFonts w:cs="Times New Roman"/>
          <w:szCs w:val="24"/>
        </w:rPr>
        <w:t xml:space="preserve"> emerged</w:t>
      </w:r>
      <w:r w:rsidR="008F4412" w:rsidRPr="00A53C01">
        <w:rPr>
          <w:rFonts w:cs="Times New Roman"/>
          <w:szCs w:val="24"/>
        </w:rPr>
        <w:t xml:space="preserve"> in early 2004, although leaked documents reveal that demarches were sent to (at least some) EU governments in late 2003</w:t>
      </w:r>
      <w:r w:rsidR="00385556" w:rsidRPr="00A53C01">
        <w:rPr>
          <w:rFonts w:cs="Times New Roman"/>
          <w:szCs w:val="24"/>
        </w:rPr>
        <w:t xml:space="preserve"> – notably, delivering these to officials with responsibility in the area of arms transfer/control</w:t>
      </w:r>
      <w:r w:rsidR="008F4412" w:rsidRPr="00A53C01">
        <w:rPr>
          <w:rFonts w:cs="Times New Roman"/>
          <w:szCs w:val="24"/>
        </w:rPr>
        <w:t xml:space="preserve"> (</w:t>
      </w:r>
      <w:r w:rsidR="0046044B" w:rsidRPr="00A53C01">
        <w:rPr>
          <w:rFonts w:cs="Times New Roman"/>
          <w:szCs w:val="24"/>
        </w:rPr>
        <w:t>e.g.</w:t>
      </w:r>
      <w:r w:rsidR="008F4412" w:rsidRPr="00A53C01">
        <w:rPr>
          <w:rFonts w:cs="Times New Roman"/>
          <w:szCs w:val="24"/>
        </w:rPr>
        <w:t xml:space="preserve"> US Embassy Netherlands, 2003).</w:t>
      </w:r>
      <w:r w:rsidR="00385556" w:rsidRPr="00A53C01">
        <w:rPr>
          <w:rFonts w:cs="Times New Roman"/>
          <w:szCs w:val="24"/>
        </w:rPr>
        <w:t xml:space="preserve"> </w:t>
      </w:r>
      <w:r w:rsidR="0011124D" w:rsidRPr="00A53C01">
        <w:rPr>
          <w:rFonts w:cs="Times New Roman"/>
          <w:szCs w:val="24"/>
        </w:rPr>
        <w:t xml:space="preserve">Diplomatic channels were used to convey that the retention of the embargo was </w:t>
      </w:r>
      <w:r w:rsidR="0011124D" w:rsidRPr="00A53C01">
        <w:rPr>
          <w:rFonts w:eastAsia="Calibri" w:cs="Times New Roman"/>
          <w:szCs w:val="24"/>
        </w:rPr>
        <w:t xml:space="preserve">considered crucial for broader regional stability. During the debate, </w:t>
      </w:r>
      <w:r w:rsidR="0011124D" w:rsidRPr="00A53C01">
        <w:rPr>
          <w:rFonts w:eastAsia="Calibri" w:cs="Times New Roman"/>
          <w:iCs/>
          <w:szCs w:val="24"/>
        </w:rPr>
        <w:t xml:space="preserve">European diplomats acknowledged that the US administration had “quietly lodged a series of formal protests” at both the national and levels (Pan, 2004). With the leaked cables, we now have insights into the substance of the arguments presented. </w:t>
      </w:r>
      <w:r w:rsidR="0011124D" w:rsidRPr="00A53C01">
        <w:rPr>
          <w:rFonts w:eastAsia="Calibri" w:cs="Times New Roman"/>
          <w:szCs w:val="24"/>
        </w:rPr>
        <w:t xml:space="preserve">For example, </w:t>
      </w:r>
      <w:r w:rsidR="0011124D" w:rsidRPr="00A53C01">
        <w:rPr>
          <w:rFonts w:cs="Times New Roman"/>
          <w:szCs w:val="24"/>
        </w:rPr>
        <w:t>i</w:t>
      </w:r>
      <w:r w:rsidR="00037341" w:rsidRPr="00A53C01">
        <w:rPr>
          <w:rFonts w:cs="Times New Roman"/>
          <w:szCs w:val="24"/>
        </w:rPr>
        <w:t>n March 2004, US officials met with representatives of the EU’s Asia-Oceania Working Party</w:t>
      </w:r>
      <w:r w:rsidR="00037341" w:rsidRPr="00A53C01">
        <w:rPr>
          <w:rStyle w:val="FootnoteReference"/>
          <w:rFonts w:cs="Times New Roman"/>
          <w:szCs w:val="24"/>
        </w:rPr>
        <w:footnoteReference w:id="8"/>
      </w:r>
      <w:r w:rsidR="006C2072" w:rsidRPr="00A53C01">
        <w:rPr>
          <w:rFonts w:cs="Times New Roman"/>
          <w:szCs w:val="24"/>
        </w:rPr>
        <w:t>, expressing</w:t>
      </w:r>
      <w:r w:rsidR="00037341" w:rsidRPr="00A53C01">
        <w:rPr>
          <w:rFonts w:cs="Times New Roman"/>
          <w:szCs w:val="24"/>
        </w:rPr>
        <w:t xml:space="preserve"> “firm opposition” predicated </w:t>
      </w:r>
    </w:p>
    <w:p w14:paraId="515B4B73" w14:textId="77777777" w:rsidR="00037341" w:rsidRPr="00A53C01" w:rsidRDefault="00037341" w:rsidP="00A53C01">
      <w:pPr>
        <w:spacing w:line="312" w:lineRule="auto"/>
        <w:rPr>
          <w:rFonts w:cs="Times New Roman"/>
          <w:szCs w:val="24"/>
        </w:rPr>
      </w:pPr>
    </w:p>
    <w:p w14:paraId="59154762" w14:textId="6C5E7840" w:rsidR="00037341" w:rsidRPr="00A53C01" w:rsidRDefault="00037341" w:rsidP="00A53C01">
      <w:pPr>
        <w:spacing w:line="312" w:lineRule="auto"/>
        <w:ind w:left="720" w:right="720"/>
        <w:rPr>
          <w:rFonts w:cs="Times New Roman"/>
          <w:szCs w:val="24"/>
        </w:rPr>
      </w:pPr>
      <w:r w:rsidRPr="00A53C01">
        <w:rPr>
          <w:rFonts w:cs="Times New Roman"/>
          <w:szCs w:val="24"/>
        </w:rPr>
        <w:t>“both on [the] assessment that China's human rights record had not improved sufficiently and on our assessment that lifting the embargo would upset the strategic balance in the region. If the US were some day obliged to come to the assistance of Taiwan in response to a Chinese attack, we would not want to be faced with advanced weaponry supplied by our European allies.” (U</w:t>
      </w:r>
      <w:r w:rsidR="00EB0DE7" w:rsidRPr="00A53C01">
        <w:rPr>
          <w:rFonts w:cs="Times New Roman"/>
          <w:szCs w:val="24"/>
        </w:rPr>
        <w:t>SMEU,</w:t>
      </w:r>
      <w:r w:rsidRPr="00A53C01">
        <w:rPr>
          <w:rFonts w:cs="Times New Roman"/>
          <w:szCs w:val="24"/>
        </w:rPr>
        <w:t xml:space="preserve"> 2004X</w:t>
      </w:r>
      <w:r w:rsidR="00004793" w:rsidRPr="00A53C01">
        <w:rPr>
          <w:rFonts w:cs="Times New Roman"/>
          <w:szCs w:val="24"/>
        </w:rPr>
        <w:t>a</w:t>
      </w:r>
      <w:r w:rsidRPr="00A53C01">
        <w:rPr>
          <w:rFonts w:cs="Times New Roman"/>
          <w:szCs w:val="24"/>
        </w:rPr>
        <w:t>)</w:t>
      </w:r>
    </w:p>
    <w:p w14:paraId="0E371BBD" w14:textId="77777777" w:rsidR="00822ED0" w:rsidRPr="00A53C01" w:rsidRDefault="00822ED0" w:rsidP="00A53C01">
      <w:pPr>
        <w:spacing w:line="312" w:lineRule="auto"/>
        <w:rPr>
          <w:rFonts w:eastAsia="Calibri" w:cs="Times New Roman"/>
          <w:szCs w:val="24"/>
        </w:rPr>
      </w:pPr>
    </w:p>
    <w:p w14:paraId="60A19D68" w14:textId="085708D9" w:rsidR="00866D6E" w:rsidRPr="00A53C01" w:rsidRDefault="00822ED0" w:rsidP="00A53C01">
      <w:pPr>
        <w:spacing w:line="312" w:lineRule="auto"/>
        <w:rPr>
          <w:rFonts w:eastAsia="Calibri" w:cs="Times New Roman"/>
          <w:szCs w:val="24"/>
        </w:rPr>
      </w:pPr>
      <w:r w:rsidRPr="00A53C01">
        <w:rPr>
          <w:rFonts w:eastAsia="Calibri" w:cs="Times New Roman"/>
          <w:szCs w:val="24"/>
        </w:rPr>
        <w:t>EU policymakers</w:t>
      </w:r>
      <w:r w:rsidR="00B67F73" w:rsidRPr="00A53C01">
        <w:rPr>
          <w:rFonts w:eastAsia="Calibri" w:cs="Times New Roman"/>
          <w:szCs w:val="24"/>
        </w:rPr>
        <w:t>’ arguments</w:t>
      </w:r>
      <w:r w:rsidRPr="00A53C01">
        <w:rPr>
          <w:rFonts w:eastAsia="Calibri" w:cs="Times New Roman"/>
          <w:szCs w:val="24"/>
        </w:rPr>
        <w:t xml:space="preserve"> indicated that </w:t>
      </w:r>
      <w:r w:rsidR="00FB56D5" w:rsidRPr="00A53C01">
        <w:rPr>
          <w:rFonts w:eastAsia="Calibri" w:cs="Times New Roman"/>
          <w:szCs w:val="24"/>
        </w:rPr>
        <w:t>US</w:t>
      </w:r>
      <w:r w:rsidRPr="00A53C01">
        <w:rPr>
          <w:rFonts w:eastAsia="Calibri" w:cs="Times New Roman"/>
          <w:szCs w:val="24"/>
        </w:rPr>
        <w:t xml:space="preserve"> concern</w:t>
      </w:r>
      <w:r w:rsidR="00FB56D5" w:rsidRPr="00A53C01">
        <w:rPr>
          <w:rFonts w:eastAsia="Calibri" w:cs="Times New Roman"/>
          <w:szCs w:val="24"/>
        </w:rPr>
        <w:t>s regarding regional stability writ large</w:t>
      </w:r>
      <w:r w:rsidRPr="00A53C01">
        <w:rPr>
          <w:rFonts w:eastAsia="Calibri" w:cs="Times New Roman"/>
          <w:szCs w:val="24"/>
        </w:rPr>
        <w:t xml:space="preserve"> had not been communicated clearly in </w:t>
      </w:r>
      <w:r w:rsidR="00C36C45" w:rsidRPr="00A53C01">
        <w:rPr>
          <w:rFonts w:eastAsia="Calibri" w:cs="Times New Roman"/>
          <w:szCs w:val="24"/>
        </w:rPr>
        <w:t>preceding</w:t>
      </w:r>
      <w:r w:rsidRPr="00A53C01">
        <w:rPr>
          <w:rFonts w:eastAsia="Calibri" w:cs="Times New Roman"/>
          <w:szCs w:val="24"/>
        </w:rPr>
        <w:t xml:space="preserve"> years. Although US actors pressed the point in private, EU officials – including some closely involved in </w:t>
      </w:r>
      <w:r w:rsidR="00C36C45" w:rsidRPr="00A53C01">
        <w:rPr>
          <w:rFonts w:eastAsia="Calibri" w:cs="Times New Roman"/>
          <w:szCs w:val="24"/>
        </w:rPr>
        <w:t>transatlantic discussions regarding</w:t>
      </w:r>
      <w:r w:rsidRPr="00A53C01">
        <w:rPr>
          <w:rFonts w:eastAsia="Calibri" w:cs="Times New Roman"/>
          <w:szCs w:val="24"/>
        </w:rPr>
        <w:t xml:space="preserve"> </w:t>
      </w:r>
      <w:r w:rsidR="00FB56D5" w:rsidRPr="00A53C01">
        <w:rPr>
          <w:rFonts w:eastAsia="Calibri" w:cs="Times New Roman"/>
          <w:szCs w:val="24"/>
        </w:rPr>
        <w:t>East Asian regional politics</w:t>
      </w:r>
      <w:r w:rsidR="006D4F8C" w:rsidRPr="00A53C01">
        <w:rPr>
          <w:rFonts w:eastAsia="Calibri" w:cs="Times New Roman"/>
          <w:szCs w:val="24"/>
        </w:rPr>
        <w:t xml:space="preserve"> </w:t>
      </w:r>
      <w:r w:rsidRPr="00A53C01">
        <w:rPr>
          <w:rFonts w:eastAsia="Calibri" w:cs="Times New Roman"/>
          <w:szCs w:val="24"/>
        </w:rPr>
        <w:t>–failed to r</w:t>
      </w:r>
      <w:r w:rsidR="00C36C45" w:rsidRPr="00A53C01">
        <w:rPr>
          <w:rFonts w:eastAsia="Calibri" w:cs="Times New Roman"/>
          <w:szCs w:val="24"/>
        </w:rPr>
        <w:t xml:space="preserve">egister the </w:t>
      </w:r>
      <w:r w:rsidR="00FE2996" w:rsidRPr="00A53C01">
        <w:rPr>
          <w:rFonts w:eastAsia="Calibri" w:cs="Times New Roman"/>
          <w:szCs w:val="24"/>
        </w:rPr>
        <w:t>ext</w:t>
      </w:r>
      <w:r w:rsidR="006D34F6" w:rsidRPr="00A53C01">
        <w:rPr>
          <w:rFonts w:eastAsia="Calibri" w:cs="Times New Roman"/>
          <w:szCs w:val="24"/>
        </w:rPr>
        <w:t>ent of these</w:t>
      </w:r>
      <w:r w:rsidRPr="00A53C01">
        <w:rPr>
          <w:rFonts w:eastAsia="Calibri" w:cs="Times New Roman"/>
          <w:szCs w:val="24"/>
        </w:rPr>
        <w:t xml:space="preserve"> anxieties</w:t>
      </w:r>
      <w:r w:rsidR="00FE2996" w:rsidRPr="00A53C01">
        <w:rPr>
          <w:rFonts w:eastAsia="Calibri" w:cs="Times New Roman"/>
          <w:szCs w:val="24"/>
        </w:rPr>
        <w:t>.</w:t>
      </w:r>
      <w:r w:rsidR="006C1FED" w:rsidRPr="00A53C01">
        <w:rPr>
          <w:rFonts w:eastAsia="Calibri" w:cs="Times New Roman"/>
          <w:szCs w:val="24"/>
        </w:rPr>
        <w:t xml:space="preserve"> In </w:t>
      </w:r>
      <w:r w:rsidR="00E90BDB" w:rsidRPr="00A53C01">
        <w:rPr>
          <w:rFonts w:eastAsia="Calibri" w:cs="Times New Roman"/>
          <w:szCs w:val="24"/>
        </w:rPr>
        <w:t>two illuminating</w:t>
      </w:r>
      <w:r w:rsidR="006C1FED" w:rsidRPr="00A53C01">
        <w:rPr>
          <w:rFonts w:eastAsia="Calibri" w:cs="Times New Roman"/>
          <w:szCs w:val="24"/>
        </w:rPr>
        <w:t xml:space="preserve"> exchange</w:t>
      </w:r>
      <w:r w:rsidR="00E90BDB" w:rsidRPr="00A53C01">
        <w:rPr>
          <w:rFonts w:eastAsia="Calibri" w:cs="Times New Roman"/>
          <w:szCs w:val="24"/>
        </w:rPr>
        <w:t>s</w:t>
      </w:r>
      <w:r w:rsidR="006C1FED" w:rsidRPr="00A53C01">
        <w:rPr>
          <w:rFonts w:eastAsia="Calibri" w:cs="Times New Roman"/>
          <w:szCs w:val="24"/>
        </w:rPr>
        <w:t>, a Dutch official had suggested that US arms sales to Taiwan were potentially a factor in explaining China’s military rise (US Embass</w:t>
      </w:r>
      <w:r w:rsidR="00466472" w:rsidRPr="00A53C01">
        <w:rPr>
          <w:rFonts w:eastAsia="Calibri" w:cs="Times New Roman"/>
          <w:szCs w:val="24"/>
        </w:rPr>
        <w:t>y</w:t>
      </w:r>
      <w:r w:rsidR="006C1FED" w:rsidRPr="00A53C01">
        <w:rPr>
          <w:rFonts w:eastAsia="Calibri" w:cs="Times New Roman"/>
          <w:szCs w:val="24"/>
        </w:rPr>
        <w:t xml:space="preserve"> Netherlands, 2004X)</w:t>
      </w:r>
      <w:r w:rsidR="00E90BDB" w:rsidRPr="00A53C01">
        <w:rPr>
          <w:rFonts w:eastAsia="Calibri" w:cs="Times New Roman"/>
          <w:szCs w:val="24"/>
        </w:rPr>
        <w:t>, and a Spanish official claimed that the China-Taiwan relationship “only heats up when the Taiwanese heat it up” (US Embassy Spain</w:t>
      </w:r>
      <w:r w:rsidR="00851DED" w:rsidRPr="00A53C01">
        <w:rPr>
          <w:rFonts w:eastAsia="Calibri" w:cs="Times New Roman"/>
          <w:szCs w:val="24"/>
        </w:rPr>
        <w:t>,</w:t>
      </w:r>
      <w:r w:rsidR="00E90BDB" w:rsidRPr="00A53C01">
        <w:rPr>
          <w:rFonts w:eastAsia="Calibri" w:cs="Times New Roman"/>
          <w:szCs w:val="24"/>
        </w:rPr>
        <w:t xml:space="preserve"> 2004X). N</w:t>
      </w:r>
      <w:r w:rsidR="006C1FED" w:rsidRPr="00A53C01">
        <w:rPr>
          <w:rFonts w:eastAsia="Calibri" w:cs="Times New Roman"/>
          <w:szCs w:val="24"/>
        </w:rPr>
        <w:t>eedless to say, th</w:t>
      </w:r>
      <w:r w:rsidR="00E90BDB" w:rsidRPr="00A53C01">
        <w:rPr>
          <w:rFonts w:eastAsia="Calibri" w:cs="Times New Roman"/>
          <w:szCs w:val="24"/>
        </w:rPr>
        <w:t>ese</w:t>
      </w:r>
      <w:r w:rsidR="006C1FED" w:rsidRPr="00A53C01">
        <w:rPr>
          <w:rFonts w:eastAsia="Calibri" w:cs="Times New Roman"/>
          <w:szCs w:val="24"/>
        </w:rPr>
        <w:t xml:space="preserve"> </w:t>
      </w:r>
      <w:r w:rsidR="00E90BDB" w:rsidRPr="00A53C01">
        <w:rPr>
          <w:rFonts w:eastAsia="Calibri" w:cs="Times New Roman"/>
          <w:szCs w:val="24"/>
        </w:rPr>
        <w:t>do not reflect</w:t>
      </w:r>
      <w:r w:rsidR="006C1FED" w:rsidRPr="00A53C01">
        <w:rPr>
          <w:rFonts w:eastAsia="Calibri" w:cs="Times New Roman"/>
          <w:szCs w:val="24"/>
        </w:rPr>
        <w:t xml:space="preserve"> US perce</w:t>
      </w:r>
      <w:r w:rsidR="00E90BDB" w:rsidRPr="00A53C01">
        <w:rPr>
          <w:rFonts w:eastAsia="Calibri" w:cs="Times New Roman"/>
          <w:szCs w:val="24"/>
        </w:rPr>
        <w:t>ptions of</w:t>
      </w:r>
      <w:r w:rsidR="006C1FED" w:rsidRPr="00A53C01">
        <w:rPr>
          <w:rFonts w:eastAsia="Calibri" w:cs="Times New Roman"/>
          <w:szCs w:val="24"/>
        </w:rPr>
        <w:t xml:space="preserve"> cross-strait dynamic</w:t>
      </w:r>
      <w:r w:rsidR="006C2072" w:rsidRPr="00A53C01">
        <w:rPr>
          <w:rFonts w:eastAsia="Calibri" w:cs="Times New Roman"/>
          <w:szCs w:val="24"/>
        </w:rPr>
        <w:t>s</w:t>
      </w:r>
      <w:r w:rsidR="006C1FED" w:rsidRPr="00A53C01">
        <w:rPr>
          <w:rFonts w:eastAsia="Calibri" w:cs="Times New Roman"/>
          <w:szCs w:val="24"/>
        </w:rPr>
        <w:t xml:space="preserve">. </w:t>
      </w:r>
      <w:r w:rsidR="00866D6E" w:rsidRPr="00A53C01">
        <w:rPr>
          <w:rFonts w:eastAsia="Calibri" w:cs="Times New Roman"/>
          <w:szCs w:val="24"/>
        </w:rPr>
        <w:t>Double-digit annual increases in military spending, signalling threats to Taiwan (cf. 1996 Taiwan Strait crisis</w:t>
      </w:r>
      <w:r w:rsidR="00C24F36" w:rsidRPr="00A53C01">
        <w:rPr>
          <w:rFonts w:eastAsia="Calibri" w:cs="Times New Roman"/>
          <w:szCs w:val="24"/>
        </w:rPr>
        <w:t>,</w:t>
      </w:r>
      <w:r w:rsidR="00866D6E" w:rsidRPr="00A53C01">
        <w:rPr>
          <w:rFonts w:eastAsia="Calibri" w:cs="Times New Roman"/>
          <w:szCs w:val="24"/>
        </w:rPr>
        <w:t xml:space="preserve"> which David Lampton (2001: 46) defined as a major turning point for US-China relations in the post Cold War era), and alleged nuclear e</w:t>
      </w:r>
      <w:r w:rsidR="00C24F36" w:rsidRPr="00A53C01">
        <w:rPr>
          <w:rFonts w:eastAsia="Calibri" w:cs="Times New Roman"/>
          <w:szCs w:val="24"/>
        </w:rPr>
        <w:t xml:space="preserve">spionage (cf. 1999 Cox Report) are a few examples of security-related manifestations that have </w:t>
      </w:r>
      <w:r w:rsidR="00866D6E" w:rsidRPr="00A53C01">
        <w:rPr>
          <w:rFonts w:eastAsia="Calibri" w:cs="Times New Roman"/>
          <w:szCs w:val="24"/>
        </w:rPr>
        <w:t xml:space="preserve">encouraged the propensity for US policymakers to employ security-centric lenses when processing new developments. </w:t>
      </w:r>
    </w:p>
    <w:p w14:paraId="26FA5E6F" w14:textId="77777777" w:rsidR="00851DED" w:rsidRPr="00A53C01" w:rsidRDefault="00851DED" w:rsidP="00A53C01">
      <w:pPr>
        <w:spacing w:line="312" w:lineRule="auto"/>
        <w:rPr>
          <w:rFonts w:eastAsia="Calibri" w:cs="Times New Roman"/>
          <w:szCs w:val="24"/>
        </w:rPr>
      </w:pPr>
    </w:p>
    <w:p w14:paraId="732FEC36" w14:textId="41E1E63E" w:rsidR="00822ED0" w:rsidRPr="00A53C01" w:rsidRDefault="006B5359" w:rsidP="00A53C01">
      <w:pPr>
        <w:spacing w:line="312" w:lineRule="auto"/>
        <w:rPr>
          <w:rFonts w:eastAsia="Calibri" w:cs="Times New Roman"/>
          <w:szCs w:val="24"/>
        </w:rPr>
      </w:pPr>
      <w:r w:rsidRPr="00A53C01">
        <w:rPr>
          <w:rFonts w:eastAsia="Calibri" w:cs="Times New Roman"/>
          <w:szCs w:val="24"/>
        </w:rPr>
        <w:lastRenderedPageBreak/>
        <w:t xml:space="preserve">The importance of the introduction of security as a consideration for the Tiananmen-era embargoes is evident when we consider that Australia lifted its China arms embargo in 1992 without US objections. Australian officials even made this point to US counterparts during the EU’s deliberations, </w:t>
      </w:r>
      <w:r w:rsidR="00882407" w:rsidRPr="00A53C01">
        <w:rPr>
          <w:rFonts w:eastAsia="Calibri" w:cs="Times New Roman"/>
          <w:szCs w:val="24"/>
        </w:rPr>
        <w:t>explaining that they had opted not to join US demarches in EU capitals as they were concerned that such moves would “risk weakening US… arguments”</w:t>
      </w:r>
      <w:r w:rsidR="003265C5" w:rsidRPr="00A53C01">
        <w:rPr>
          <w:rFonts w:eastAsia="Calibri" w:cs="Times New Roman"/>
          <w:szCs w:val="24"/>
        </w:rPr>
        <w:t>, although they now</w:t>
      </w:r>
      <w:r w:rsidR="00882407" w:rsidRPr="00A53C01">
        <w:rPr>
          <w:rFonts w:eastAsia="Calibri" w:cs="Times New Roman"/>
          <w:szCs w:val="24"/>
        </w:rPr>
        <w:t xml:space="preserve"> shared US concerns regarding “the introduction of any new destabilising armaments or technologies in the Asia Pacific region” (US Embassy </w:t>
      </w:r>
      <w:r w:rsidR="00B21750" w:rsidRPr="00A53C01">
        <w:rPr>
          <w:rFonts w:eastAsia="Calibri" w:cs="Times New Roman"/>
          <w:szCs w:val="24"/>
        </w:rPr>
        <w:t>Australia</w:t>
      </w:r>
      <w:r w:rsidR="00882407" w:rsidRPr="00A53C01">
        <w:rPr>
          <w:rFonts w:eastAsia="Calibri" w:cs="Times New Roman"/>
          <w:szCs w:val="24"/>
        </w:rPr>
        <w:t xml:space="preserve">, 2005). </w:t>
      </w:r>
      <w:r w:rsidR="00FE2996" w:rsidRPr="00A53C01">
        <w:rPr>
          <w:rFonts w:eastAsia="Calibri" w:cs="Times New Roman"/>
          <w:szCs w:val="24"/>
        </w:rPr>
        <w:t xml:space="preserve">Without direct regional presence, European policymakers were not engaged in </w:t>
      </w:r>
      <w:r w:rsidR="00C36C45" w:rsidRPr="00A53C01">
        <w:rPr>
          <w:rFonts w:eastAsia="Calibri" w:cs="Times New Roman"/>
          <w:szCs w:val="24"/>
        </w:rPr>
        <w:t>similar interpretive practices</w:t>
      </w:r>
      <w:r w:rsidR="003265C5" w:rsidRPr="00A53C01">
        <w:rPr>
          <w:rFonts w:eastAsia="Calibri" w:cs="Times New Roman"/>
          <w:szCs w:val="24"/>
        </w:rPr>
        <w:t xml:space="preserve"> as the US and Australia</w:t>
      </w:r>
      <w:r w:rsidR="00C36C45" w:rsidRPr="00A53C01">
        <w:rPr>
          <w:rFonts w:eastAsia="Calibri" w:cs="Times New Roman"/>
          <w:szCs w:val="24"/>
        </w:rPr>
        <w:t>;</w:t>
      </w:r>
      <w:r w:rsidR="00882407" w:rsidRPr="00A53C01">
        <w:rPr>
          <w:rFonts w:eastAsia="Calibri" w:cs="Times New Roman"/>
          <w:szCs w:val="24"/>
        </w:rPr>
        <w:t xml:space="preserve"> </w:t>
      </w:r>
      <w:r w:rsidR="003265C5" w:rsidRPr="00A53C01">
        <w:rPr>
          <w:rFonts w:eastAsia="Calibri" w:cs="Times New Roman"/>
          <w:szCs w:val="24"/>
        </w:rPr>
        <w:t xml:space="preserve">in turn, US </w:t>
      </w:r>
      <w:r w:rsidR="00FE2996" w:rsidRPr="00A53C01">
        <w:rPr>
          <w:rFonts w:eastAsia="Calibri" w:cs="Times New Roman"/>
          <w:szCs w:val="24"/>
        </w:rPr>
        <w:t>policymakers</w:t>
      </w:r>
      <w:r w:rsidR="003265C5" w:rsidRPr="00A53C01">
        <w:rPr>
          <w:rFonts w:eastAsia="Calibri" w:cs="Times New Roman"/>
          <w:szCs w:val="24"/>
        </w:rPr>
        <w:t xml:space="preserve"> apparently</w:t>
      </w:r>
      <w:r w:rsidR="00822ED0" w:rsidRPr="00A53C01">
        <w:rPr>
          <w:rFonts w:eastAsia="Calibri" w:cs="Times New Roman"/>
          <w:szCs w:val="24"/>
        </w:rPr>
        <w:t xml:space="preserve"> failed to </w:t>
      </w:r>
      <w:r w:rsidR="003265C5" w:rsidRPr="00A53C01">
        <w:rPr>
          <w:rFonts w:eastAsia="Calibri" w:cs="Times New Roman"/>
          <w:szCs w:val="24"/>
        </w:rPr>
        <w:t>recognise this</w:t>
      </w:r>
      <w:r w:rsidR="00822ED0" w:rsidRPr="00A53C01">
        <w:rPr>
          <w:rFonts w:eastAsia="Calibri" w:cs="Times New Roman"/>
          <w:szCs w:val="24"/>
        </w:rPr>
        <w:t xml:space="preserve">. </w:t>
      </w:r>
      <w:r w:rsidR="003265C5" w:rsidRPr="00A53C01">
        <w:rPr>
          <w:rFonts w:eastAsia="Calibri" w:cs="Times New Roman"/>
          <w:szCs w:val="24"/>
        </w:rPr>
        <w:t>The potential effectiveness of s</w:t>
      </w:r>
      <w:r w:rsidR="00FE2996" w:rsidRPr="00A53C01">
        <w:rPr>
          <w:rFonts w:eastAsia="Calibri" w:cs="Times New Roman"/>
          <w:szCs w:val="24"/>
        </w:rPr>
        <w:t>ecuritizing moves during the transatlantic debate</w:t>
      </w:r>
      <w:r w:rsidR="003265C5" w:rsidRPr="00A53C01">
        <w:rPr>
          <w:rFonts w:eastAsia="Calibri" w:cs="Times New Roman"/>
          <w:szCs w:val="24"/>
        </w:rPr>
        <w:t xml:space="preserve"> was consequently limited. </w:t>
      </w:r>
      <w:r w:rsidR="00822ED0" w:rsidRPr="00A53C01">
        <w:rPr>
          <w:rFonts w:eastAsia="Calibri" w:cs="Times New Roman"/>
          <w:szCs w:val="24"/>
        </w:rPr>
        <w:t xml:space="preserve"> </w:t>
      </w:r>
    </w:p>
    <w:p w14:paraId="2CEA7E21" w14:textId="77777777" w:rsidR="008A5760" w:rsidRPr="00A53C01" w:rsidRDefault="008A5760" w:rsidP="00A53C01">
      <w:pPr>
        <w:spacing w:line="312" w:lineRule="auto"/>
        <w:rPr>
          <w:rFonts w:eastAsia="Calibri" w:cs="Times New Roman"/>
          <w:szCs w:val="24"/>
        </w:rPr>
      </w:pPr>
    </w:p>
    <w:p w14:paraId="779222D3" w14:textId="72E4DB9C" w:rsidR="00822ED0" w:rsidRPr="00A53C01" w:rsidRDefault="006F4FC5" w:rsidP="00A53C01">
      <w:pPr>
        <w:spacing w:line="312" w:lineRule="auto"/>
        <w:rPr>
          <w:rFonts w:eastAsia="Calibri" w:cs="Times New Roman"/>
          <w:szCs w:val="24"/>
        </w:rPr>
      </w:pPr>
      <w:r w:rsidRPr="00A53C01">
        <w:rPr>
          <w:rFonts w:eastAsia="Calibri" w:cs="Times New Roman"/>
          <w:szCs w:val="24"/>
        </w:rPr>
        <w:t xml:space="preserve">Linked to concerns over China’s military expansion and regional stability was the matter of </w:t>
      </w:r>
      <w:r w:rsidR="00F20A50" w:rsidRPr="00A53C01">
        <w:rPr>
          <w:rFonts w:eastAsia="Calibri" w:cs="Times New Roman"/>
          <w:szCs w:val="24"/>
        </w:rPr>
        <w:t>credible</w:t>
      </w:r>
      <w:r w:rsidRPr="00A53C01">
        <w:rPr>
          <w:rFonts w:eastAsia="Calibri" w:cs="Times New Roman"/>
          <w:szCs w:val="24"/>
        </w:rPr>
        <w:t xml:space="preserve"> commitments to regional allies</w:t>
      </w:r>
      <w:r w:rsidR="00B41162" w:rsidRPr="00A53C01">
        <w:rPr>
          <w:rFonts w:eastAsia="Calibri" w:cs="Times New Roman"/>
          <w:szCs w:val="24"/>
        </w:rPr>
        <w:t xml:space="preserve"> – arrangements that are </w:t>
      </w:r>
      <w:r w:rsidRPr="00A53C01">
        <w:rPr>
          <w:rFonts w:eastAsia="Calibri" w:cs="Times New Roman"/>
          <w:szCs w:val="24"/>
        </w:rPr>
        <w:t xml:space="preserve">critical to </w:t>
      </w:r>
      <w:r w:rsidR="00B41162" w:rsidRPr="00A53C01">
        <w:rPr>
          <w:rFonts w:eastAsia="Calibri" w:cs="Times New Roman"/>
          <w:szCs w:val="24"/>
        </w:rPr>
        <w:t>the US’s</w:t>
      </w:r>
      <w:r w:rsidRPr="00A53C01">
        <w:rPr>
          <w:rFonts w:eastAsia="Calibri" w:cs="Times New Roman"/>
          <w:szCs w:val="24"/>
        </w:rPr>
        <w:t xml:space="preserve"> enduring self-perception of responsibility for continued stability in the Asia Pacific (Interview</w:t>
      </w:r>
      <w:r w:rsidR="0094632A" w:rsidRPr="00A53C01">
        <w:rPr>
          <w:rFonts w:eastAsia="Calibri" w:cs="Times New Roman"/>
          <w:szCs w:val="24"/>
        </w:rPr>
        <w:t>s</w:t>
      </w:r>
      <w:r w:rsidRPr="00A53C01">
        <w:rPr>
          <w:rFonts w:eastAsia="Calibri" w:cs="Times New Roman"/>
          <w:szCs w:val="24"/>
        </w:rPr>
        <w:t xml:space="preserve"> 2010</w:t>
      </w:r>
      <w:r w:rsidR="0094632A" w:rsidRPr="00A53C01">
        <w:rPr>
          <w:rFonts w:eastAsia="Calibri" w:cs="Times New Roman"/>
          <w:szCs w:val="24"/>
        </w:rPr>
        <w:t>d,</w:t>
      </w:r>
      <w:r w:rsidRPr="00A53C01">
        <w:rPr>
          <w:rFonts w:eastAsia="Calibri" w:cs="Times New Roman"/>
          <w:szCs w:val="24"/>
        </w:rPr>
        <w:t xml:space="preserve"> 2010</w:t>
      </w:r>
      <w:r w:rsidR="0094632A" w:rsidRPr="00A53C01">
        <w:rPr>
          <w:rFonts w:eastAsia="Calibri" w:cs="Times New Roman"/>
          <w:szCs w:val="24"/>
        </w:rPr>
        <w:t>e &amp;</w:t>
      </w:r>
      <w:r w:rsidRPr="00A53C01">
        <w:rPr>
          <w:rFonts w:eastAsia="Calibri" w:cs="Times New Roman"/>
          <w:szCs w:val="24"/>
        </w:rPr>
        <w:t xml:space="preserve"> 2010</w:t>
      </w:r>
      <w:r w:rsidR="0094632A" w:rsidRPr="00A53C01">
        <w:rPr>
          <w:rFonts w:eastAsia="Calibri" w:cs="Times New Roman"/>
          <w:szCs w:val="24"/>
        </w:rPr>
        <w:t>f</w:t>
      </w:r>
      <w:r w:rsidRPr="00A53C01">
        <w:rPr>
          <w:rFonts w:eastAsia="Calibri" w:cs="Times New Roman"/>
          <w:szCs w:val="24"/>
        </w:rPr>
        <w:t xml:space="preserve">). </w:t>
      </w:r>
      <w:r w:rsidR="0099021C" w:rsidRPr="00A53C01">
        <w:rPr>
          <w:rFonts w:eastAsia="Calibri" w:cs="Times New Roman"/>
          <w:szCs w:val="24"/>
        </w:rPr>
        <w:t xml:space="preserve">US policymakers are sensitive to potential shifts in regional </w:t>
      </w:r>
      <w:r w:rsidR="00B41162" w:rsidRPr="00A53C01">
        <w:rPr>
          <w:rFonts w:eastAsia="Calibri" w:cs="Times New Roman"/>
          <w:szCs w:val="24"/>
        </w:rPr>
        <w:t>distributions of power</w:t>
      </w:r>
      <w:r w:rsidR="0099021C" w:rsidRPr="00A53C01">
        <w:rPr>
          <w:rFonts w:eastAsia="Calibri" w:cs="Times New Roman"/>
          <w:szCs w:val="24"/>
        </w:rPr>
        <w:t xml:space="preserve"> and interpret </w:t>
      </w:r>
      <w:r w:rsidR="00B41162" w:rsidRPr="00A53C01">
        <w:rPr>
          <w:rFonts w:eastAsia="Calibri" w:cs="Times New Roman"/>
          <w:szCs w:val="24"/>
        </w:rPr>
        <w:t xml:space="preserve">political and economic </w:t>
      </w:r>
      <w:r w:rsidR="0099021C" w:rsidRPr="00A53C01">
        <w:rPr>
          <w:rFonts w:eastAsia="Calibri" w:cs="Times New Roman"/>
          <w:szCs w:val="24"/>
        </w:rPr>
        <w:t xml:space="preserve">developments through the prism of security. This led to their dismissal of European </w:t>
      </w:r>
      <w:r w:rsidR="00822ED0" w:rsidRPr="00A53C01">
        <w:rPr>
          <w:rFonts w:eastAsia="Calibri" w:cs="Times New Roman"/>
          <w:szCs w:val="24"/>
        </w:rPr>
        <w:t>claims that lifting the embargo would not</w:t>
      </w:r>
      <w:r w:rsidR="00B41162" w:rsidRPr="00A53C01">
        <w:rPr>
          <w:rFonts w:eastAsia="Calibri" w:cs="Times New Roman"/>
          <w:szCs w:val="24"/>
        </w:rPr>
        <w:t xml:space="preserve"> alter the regional security dynamics or</w:t>
      </w:r>
      <w:r w:rsidR="00822ED0" w:rsidRPr="00A53C01">
        <w:rPr>
          <w:rFonts w:eastAsia="Calibri" w:cs="Times New Roman"/>
          <w:szCs w:val="24"/>
        </w:rPr>
        <w:t xml:space="preserve"> increase the quantity or quality of weapons technology available to China </w:t>
      </w:r>
      <w:r w:rsidR="002511F7" w:rsidRPr="00A53C01">
        <w:rPr>
          <w:rFonts w:eastAsia="Calibri" w:cs="Times New Roman"/>
          <w:szCs w:val="24"/>
        </w:rPr>
        <w:t>as insufficient or even baseless (Interview, 2010f)</w:t>
      </w:r>
      <w:r w:rsidR="00822ED0" w:rsidRPr="00A53C01">
        <w:rPr>
          <w:rFonts w:eastAsia="Calibri" w:cs="Times New Roman"/>
          <w:szCs w:val="24"/>
        </w:rPr>
        <w:t>.</w:t>
      </w:r>
      <w:r w:rsidR="002511F7" w:rsidRPr="00A53C01">
        <w:rPr>
          <w:rFonts w:eastAsia="Calibri" w:cs="Times New Roman"/>
          <w:szCs w:val="24"/>
        </w:rPr>
        <w:t xml:space="preserve"> Even though both France and the UK had bilateral security dialogues with China (Casarini, 2009: 124)</w:t>
      </w:r>
      <w:r w:rsidR="00F66860" w:rsidRPr="00A53C01">
        <w:rPr>
          <w:rFonts w:eastAsia="Calibri" w:cs="Times New Roman"/>
          <w:szCs w:val="24"/>
        </w:rPr>
        <w:t xml:space="preserve">, the US </w:t>
      </w:r>
      <w:r w:rsidR="00B41162" w:rsidRPr="00A53C01">
        <w:rPr>
          <w:rFonts w:eastAsia="Calibri" w:cs="Times New Roman"/>
          <w:szCs w:val="24"/>
        </w:rPr>
        <w:t>essentially</w:t>
      </w:r>
      <w:r w:rsidR="00F66860" w:rsidRPr="00A53C01">
        <w:rPr>
          <w:rFonts w:eastAsia="Calibri" w:cs="Times New Roman"/>
          <w:szCs w:val="24"/>
        </w:rPr>
        <w:t xml:space="preserve"> considered Europe’s understanding of region</w:t>
      </w:r>
      <w:r w:rsidR="00B41162" w:rsidRPr="00A53C01">
        <w:rPr>
          <w:rFonts w:eastAsia="Calibri" w:cs="Times New Roman"/>
          <w:szCs w:val="24"/>
        </w:rPr>
        <w:t>al</w:t>
      </w:r>
      <w:r w:rsidR="00F66860" w:rsidRPr="00A53C01">
        <w:rPr>
          <w:rFonts w:eastAsia="Calibri" w:cs="Times New Roman"/>
          <w:szCs w:val="24"/>
        </w:rPr>
        <w:t xml:space="preserve"> geopolitics to have </w:t>
      </w:r>
      <w:r w:rsidR="00B41162" w:rsidRPr="00A53C01">
        <w:rPr>
          <w:rFonts w:eastAsia="Calibri" w:cs="Times New Roman"/>
          <w:szCs w:val="24"/>
        </w:rPr>
        <w:t>coincided</w:t>
      </w:r>
      <w:r w:rsidR="00F66860" w:rsidRPr="00A53C01">
        <w:rPr>
          <w:rFonts w:eastAsia="Calibri" w:cs="Times New Roman"/>
          <w:szCs w:val="24"/>
        </w:rPr>
        <w:t xml:space="preserve"> </w:t>
      </w:r>
      <w:r w:rsidR="00B41162" w:rsidRPr="00A53C01">
        <w:rPr>
          <w:rFonts w:eastAsia="Calibri" w:cs="Times New Roman"/>
          <w:szCs w:val="24"/>
        </w:rPr>
        <w:t>with</w:t>
      </w:r>
      <w:r w:rsidR="00F66860" w:rsidRPr="00A53C01">
        <w:rPr>
          <w:rFonts w:eastAsia="Calibri" w:cs="Times New Roman"/>
          <w:szCs w:val="24"/>
        </w:rPr>
        <w:t xml:space="preserve"> the</w:t>
      </w:r>
      <w:r w:rsidR="00B41162" w:rsidRPr="00A53C01">
        <w:rPr>
          <w:rFonts w:eastAsia="Calibri" w:cs="Times New Roman"/>
          <w:szCs w:val="24"/>
        </w:rPr>
        <w:t xml:space="preserve"> end of the</w:t>
      </w:r>
      <w:r w:rsidR="00F66860" w:rsidRPr="00A53C01">
        <w:rPr>
          <w:rFonts w:eastAsia="Calibri" w:cs="Times New Roman"/>
          <w:szCs w:val="24"/>
        </w:rPr>
        <w:t xml:space="preserve"> UK’s regional presence following Hong Kong’s retrocession (Interview 2010</w:t>
      </w:r>
      <w:r w:rsidR="0094632A" w:rsidRPr="00A53C01">
        <w:rPr>
          <w:rFonts w:eastAsia="Calibri" w:cs="Times New Roman"/>
          <w:szCs w:val="24"/>
        </w:rPr>
        <w:t>g</w:t>
      </w:r>
      <w:r w:rsidR="00F66860" w:rsidRPr="00A53C01">
        <w:rPr>
          <w:rFonts w:eastAsia="Calibri" w:cs="Times New Roman"/>
          <w:szCs w:val="24"/>
        </w:rPr>
        <w:t xml:space="preserve">). </w:t>
      </w:r>
      <w:r w:rsidR="00F66860" w:rsidRPr="00A53C01">
        <w:rPr>
          <w:rFonts w:eastAsia="Calibri" w:cs="Times New Roman"/>
          <w:szCs w:val="24"/>
          <w:vertAlign w:val="superscript"/>
        </w:rPr>
        <w:t xml:space="preserve"> </w:t>
      </w:r>
      <w:r w:rsidR="00822ED0" w:rsidRPr="00A53C01">
        <w:rPr>
          <w:rFonts w:eastAsia="Calibri" w:cs="Times New Roman"/>
          <w:szCs w:val="24"/>
        </w:rPr>
        <w:t xml:space="preserve"> </w:t>
      </w:r>
    </w:p>
    <w:p w14:paraId="39A14025" w14:textId="77777777" w:rsidR="003427FC" w:rsidRPr="00A53C01" w:rsidRDefault="003427FC" w:rsidP="00A53C01">
      <w:pPr>
        <w:spacing w:line="312" w:lineRule="auto"/>
        <w:rPr>
          <w:rFonts w:eastAsia="Calibri" w:cs="Times New Roman"/>
          <w:szCs w:val="24"/>
        </w:rPr>
      </w:pPr>
    </w:p>
    <w:p w14:paraId="0E56DFFB" w14:textId="14F8081B" w:rsidR="0043324A" w:rsidRPr="00A53C01" w:rsidRDefault="003D0764" w:rsidP="00A53C01">
      <w:pPr>
        <w:spacing w:line="312" w:lineRule="auto"/>
        <w:rPr>
          <w:rFonts w:eastAsia="Calibri" w:cs="Times New Roman"/>
          <w:szCs w:val="24"/>
        </w:rPr>
      </w:pPr>
      <w:r w:rsidRPr="00A53C01">
        <w:rPr>
          <w:rFonts w:eastAsia="Calibri" w:cs="Times New Roman"/>
          <w:szCs w:val="24"/>
        </w:rPr>
        <w:t xml:space="preserve">US policymakers hypothesised that post-embargo European transfers of </w:t>
      </w:r>
      <w:r w:rsidR="00053D5E" w:rsidRPr="00A53C01">
        <w:rPr>
          <w:rFonts w:eastAsia="Calibri" w:cs="Times New Roman"/>
          <w:szCs w:val="24"/>
        </w:rPr>
        <w:t>military-related technologies</w:t>
      </w:r>
      <w:r w:rsidR="00B67F73" w:rsidRPr="00A53C01">
        <w:rPr>
          <w:rFonts w:eastAsia="Calibri" w:cs="Times New Roman"/>
          <w:szCs w:val="24"/>
        </w:rPr>
        <w:t xml:space="preserve"> to China could</w:t>
      </w:r>
      <w:r w:rsidR="00822ED0" w:rsidRPr="00A53C01">
        <w:rPr>
          <w:rFonts w:eastAsia="Calibri" w:cs="Times New Roman"/>
          <w:szCs w:val="24"/>
        </w:rPr>
        <w:t xml:space="preserve"> be used against US </w:t>
      </w:r>
      <w:r w:rsidR="003427FC" w:rsidRPr="00A53C01">
        <w:rPr>
          <w:rFonts w:eastAsia="Calibri" w:cs="Times New Roman"/>
          <w:szCs w:val="24"/>
        </w:rPr>
        <w:t xml:space="preserve">forces </w:t>
      </w:r>
      <w:r w:rsidR="00822ED0" w:rsidRPr="00A53C01">
        <w:rPr>
          <w:rFonts w:eastAsia="Calibri" w:cs="Times New Roman"/>
          <w:szCs w:val="24"/>
        </w:rPr>
        <w:t xml:space="preserve">in future conflict </w:t>
      </w:r>
      <w:r w:rsidR="00053D5E" w:rsidRPr="00A53C01">
        <w:rPr>
          <w:rFonts w:eastAsia="Calibri" w:cs="Times New Roman"/>
          <w:szCs w:val="24"/>
        </w:rPr>
        <w:t>(Interview 2010</w:t>
      </w:r>
      <w:r w:rsidR="0094632A" w:rsidRPr="00A53C01">
        <w:rPr>
          <w:rFonts w:eastAsia="Calibri" w:cs="Times New Roman"/>
          <w:szCs w:val="24"/>
        </w:rPr>
        <w:t>h</w:t>
      </w:r>
      <w:r w:rsidR="00A807AF" w:rsidRPr="00A53C01">
        <w:rPr>
          <w:rFonts w:eastAsia="Calibri" w:cs="Times New Roman"/>
          <w:szCs w:val="24"/>
        </w:rPr>
        <w:t xml:space="preserve">; </w:t>
      </w:r>
      <w:r w:rsidR="00A807AF" w:rsidRPr="00A53C01">
        <w:rPr>
          <w:rFonts w:cs="Times New Roman"/>
          <w:szCs w:val="24"/>
        </w:rPr>
        <w:t>US</w:t>
      </w:r>
      <w:r w:rsidR="00EB0DE7" w:rsidRPr="00A53C01">
        <w:rPr>
          <w:rFonts w:cs="Times New Roman"/>
          <w:szCs w:val="24"/>
        </w:rPr>
        <w:t>MEU,</w:t>
      </w:r>
      <w:r w:rsidR="00A807AF" w:rsidRPr="00A53C01">
        <w:rPr>
          <w:rFonts w:cs="Times New Roman"/>
          <w:szCs w:val="24"/>
        </w:rPr>
        <w:t xml:space="preserve"> 2004X</w:t>
      </w:r>
      <w:r w:rsidR="00004793" w:rsidRPr="00A53C01">
        <w:rPr>
          <w:rFonts w:cs="Times New Roman"/>
          <w:szCs w:val="24"/>
        </w:rPr>
        <w:t>a</w:t>
      </w:r>
      <w:r w:rsidR="00053D5E" w:rsidRPr="00A53C01">
        <w:rPr>
          <w:rFonts w:eastAsia="Calibri" w:cs="Times New Roman"/>
          <w:szCs w:val="24"/>
        </w:rPr>
        <w:t>)</w:t>
      </w:r>
      <w:r w:rsidR="00822ED0" w:rsidRPr="00A53C01">
        <w:rPr>
          <w:rFonts w:eastAsia="Calibri" w:cs="Times New Roman"/>
          <w:szCs w:val="24"/>
        </w:rPr>
        <w:t xml:space="preserve">. </w:t>
      </w:r>
      <w:r w:rsidRPr="00A53C01">
        <w:rPr>
          <w:rFonts w:eastAsia="Calibri" w:cs="Times New Roman"/>
          <w:szCs w:val="24"/>
        </w:rPr>
        <w:t xml:space="preserve">Another scenario was that China’s force modernisation would be expedited by European technology could </w:t>
      </w:r>
      <w:r w:rsidR="00B02D8F" w:rsidRPr="00A53C01">
        <w:rPr>
          <w:rFonts w:eastAsia="Calibri" w:cs="Times New Roman"/>
          <w:szCs w:val="24"/>
        </w:rPr>
        <w:t>catalyse</w:t>
      </w:r>
      <w:r w:rsidRPr="00A53C01">
        <w:rPr>
          <w:rFonts w:eastAsia="Calibri" w:cs="Times New Roman"/>
          <w:szCs w:val="24"/>
        </w:rPr>
        <w:t xml:space="preserve"> an</w:t>
      </w:r>
      <w:r w:rsidR="00822ED0" w:rsidRPr="00A53C01">
        <w:rPr>
          <w:rFonts w:eastAsia="Calibri" w:cs="Times New Roman"/>
          <w:szCs w:val="24"/>
        </w:rPr>
        <w:t xml:space="preserve"> arms race</w:t>
      </w:r>
      <w:r w:rsidR="00363518" w:rsidRPr="00A53C01">
        <w:rPr>
          <w:rFonts w:eastAsia="Calibri" w:cs="Times New Roman"/>
          <w:szCs w:val="24"/>
        </w:rPr>
        <w:t xml:space="preserve"> that would fundamentally alter</w:t>
      </w:r>
      <w:r w:rsidR="00D428D2" w:rsidRPr="00A53C01">
        <w:rPr>
          <w:rFonts w:eastAsia="Calibri" w:cs="Times New Roman"/>
          <w:szCs w:val="24"/>
        </w:rPr>
        <w:t xml:space="preserve"> - if not destabilise </w:t>
      </w:r>
      <w:r w:rsidRPr="00A53C01">
        <w:rPr>
          <w:rFonts w:eastAsia="Calibri" w:cs="Times New Roman"/>
          <w:szCs w:val="24"/>
        </w:rPr>
        <w:t>–</w:t>
      </w:r>
      <w:r w:rsidR="00B02D8F" w:rsidRPr="00A53C01">
        <w:rPr>
          <w:rFonts w:eastAsia="Calibri" w:cs="Times New Roman"/>
          <w:szCs w:val="24"/>
        </w:rPr>
        <w:t xml:space="preserve"> the</w:t>
      </w:r>
      <w:r w:rsidRPr="00A53C01">
        <w:rPr>
          <w:rFonts w:eastAsia="Calibri" w:cs="Times New Roman"/>
          <w:szCs w:val="24"/>
        </w:rPr>
        <w:t xml:space="preserve"> regional</w:t>
      </w:r>
      <w:r w:rsidR="00822ED0" w:rsidRPr="00A53C01">
        <w:rPr>
          <w:rFonts w:eastAsia="Calibri" w:cs="Times New Roman"/>
          <w:szCs w:val="24"/>
        </w:rPr>
        <w:t xml:space="preserve"> security </w:t>
      </w:r>
      <w:r w:rsidR="00363518" w:rsidRPr="00A53C01">
        <w:rPr>
          <w:rFonts w:eastAsia="Calibri" w:cs="Times New Roman"/>
          <w:szCs w:val="24"/>
        </w:rPr>
        <w:t>environment</w:t>
      </w:r>
      <w:r w:rsidR="00822ED0" w:rsidRPr="00A53C01">
        <w:rPr>
          <w:rFonts w:eastAsia="Calibri" w:cs="Times New Roman"/>
          <w:szCs w:val="24"/>
        </w:rPr>
        <w:t>.</w:t>
      </w:r>
      <w:r w:rsidR="00225B70" w:rsidRPr="00A53C01">
        <w:rPr>
          <w:rFonts w:eastAsia="Calibri" w:cs="Times New Roman"/>
          <w:szCs w:val="24"/>
        </w:rPr>
        <w:t xml:space="preserve"> US policy</w:t>
      </w:r>
      <w:r w:rsidRPr="00A53C01">
        <w:rPr>
          <w:rFonts w:eastAsia="Calibri" w:cs="Times New Roman"/>
          <w:szCs w:val="24"/>
        </w:rPr>
        <w:t>makers</w:t>
      </w:r>
      <w:r w:rsidR="00225B70" w:rsidRPr="00A53C01">
        <w:rPr>
          <w:rFonts w:eastAsia="Calibri" w:cs="Times New Roman"/>
          <w:szCs w:val="24"/>
        </w:rPr>
        <w:t xml:space="preserve"> reas</w:t>
      </w:r>
      <w:r w:rsidR="007A3306" w:rsidRPr="00A53C01">
        <w:rPr>
          <w:rFonts w:eastAsia="Calibri" w:cs="Times New Roman"/>
          <w:szCs w:val="24"/>
        </w:rPr>
        <w:t>oned that th</w:t>
      </w:r>
      <w:r w:rsidR="00D428D2" w:rsidRPr="00A53C01">
        <w:rPr>
          <w:rFonts w:eastAsia="Calibri" w:cs="Times New Roman"/>
          <w:szCs w:val="24"/>
        </w:rPr>
        <w:t>ese</w:t>
      </w:r>
      <w:r w:rsidR="007A3306" w:rsidRPr="00A53C01">
        <w:rPr>
          <w:rFonts w:eastAsia="Calibri" w:cs="Times New Roman"/>
          <w:szCs w:val="24"/>
        </w:rPr>
        <w:t xml:space="preserve"> could not be</w:t>
      </w:r>
      <w:r w:rsidR="00D428D2" w:rsidRPr="00A53C01">
        <w:rPr>
          <w:rFonts w:eastAsia="Calibri" w:cs="Times New Roman"/>
          <w:szCs w:val="24"/>
        </w:rPr>
        <w:t xml:space="preserve"> actual</w:t>
      </w:r>
      <w:r w:rsidR="007A3306" w:rsidRPr="00A53C01">
        <w:rPr>
          <w:rFonts w:eastAsia="Calibri" w:cs="Times New Roman"/>
          <w:szCs w:val="24"/>
        </w:rPr>
        <w:t xml:space="preserve"> EU objectives, </w:t>
      </w:r>
      <w:r w:rsidR="00D428D2" w:rsidRPr="00A53C01">
        <w:rPr>
          <w:rFonts w:eastAsia="Calibri" w:cs="Times New Roman"/>
          <w:szCs w:val="24"/>
        </w:rPr>
        <w:t>inferr</w:t>
      </w:r>
      <w:r w:rsidR="00DC284C" w:rsidRPr="00A53C01">
        <w:rPr>
          <w:rFonts w:eastAsia="Calibri" w:cs="Times New Roman"/>
          <w:szCs w:val="24"/>
        </w:rPr>
        <w:t>ing</w:t>
      </w:r>
      <w:r w:rsidR="007A3306" w:rsidRPr="00A53C01">
        <w:rPr>
          <w:rFonts w:eastAsia="Calibri" w:cs="Times New Roman"/>
          <w:szCs w:val="24"/>
        </w:rPr>
        <w:t xml:space="preserve"> that </w:t>
      </w:r>
      <w:r w:rsidR="00D428D2" w:rsidRPr="00A53C01">
        <w:rPr>
          <w:rFonts w:eastAsia="Calibri" w:cs="Times New Roman"/>
          <w:szCs w:val="24"/>
        </w:rPr>
        <w:t>security implications</w:t>
      </w:r>
      <w:r w:rsidR="00822ED0" w:rsidRPr="00A53C01">
        <w:rPr>
          <w:rFonts w:eastAsia="Calibri" w:cs="Times New Roman"/>
          <w:szCs w:val="24"/>
        </w:rPr>
        <w:t xml:space="preserve"> simply had not</w:t>
      </w:r>
      <w:r w:rsidR="00D428D2" w:rsidRPr="00A53C01">
        <w:rPr>
          <w:rFonts w:eastAsia="Calibri" w:cs="Times New Roman"/>
          <w:szCs w:val="24"/>
        </w:rPr>
        <w:t xml:space="preserve"> been</w:t>
      </w:r>
      <w:r w:rsidR="00822ED0" w:rsidRPr="00A53C01">
        <w:rPr>
          <w:rFonts w:eastAsia="Calibri" w:cs="Times New Roman"/>
          <w:szCs w:val="24"/>
        </w:rPr>
        <w:t xml:space="preserve"> considered </w:t>
      </w:r>
      <w:r w:rsidR="007A3306" w:rsidRPr="00A53C01">
        <w:rPr>
          <w:rFonts w:eastAsia="Calibri" w:cs="Times New Roman"/>
          <w:szCs w:val="24"/>
        </w:rPr>
        <w:t>up to that point (Interview</w:t>
      </w:r>
      <w:r w:rsidR="0094632A" w:rsidRPr="00A53C01">
        <w:rPr>
          <w:rFonts w:eastAsia="Calibri" w:cs="Times New Roman"/>
          <w:szCs w:val="24"/>
        </w:rPr>
        <w:t>,</w:t>
      </w:r>
      <w:r w:rsidR="007A3306" w:rsidRPr="00A53C01">
        <w:rPr>
          <w:rFonts w:eastAsia="Calibri" w:cs="Times New Roman"/>
          <w:szCs w:val="24"/>
        </w:rPr>
        <w:t xml:space="preserve"> 2010</w:t>
      </w:r>
      <w:r w:rsidR="0094632A" w:rsidRPr="00A53C01">
        <w:rPr>
          <w:rFonts w:eastAsia="Calibri" w:cs="Times New Roman"/>
          <w:szCs w:val="24"/>
        </w:rPr>
        <w:t>i</w:t>
      </w:r>
      <w:r w:rsidR="007A3306" w:rsidRPr="00A53C01">
        <w:rPr>
          <w:rFonts w:eastAsia="Calibri" w:cs="Times New Roman"/>
          <w:szCs w:val="24"/>
        </w:rPr>
        <w:t>)</w:t>
      </w:r>
      <w:r w:rsidR="00822ED0" w:rsidRPr="00A53C01">
        <w:rPr>
          <w:rFonts w:eastAsia="Calibri" w:cs="Times New Roman"/>
          <w:szCs w:val="24"/>
        </w:rPr>
        <w:t>.</w:t>
      </w:r>
      <w:r w:rsidR="009B2AEC" w:rsidRPr="00A53C01">
        <w:rPr>
          <w:rFonts w:eastAsia="Calibri" w:cs="Times New Roman"/>
          <w:szCs w:val="24"/>
        </w:rPr>
        <w:t xml:space="preserve"> </w:t>
      </w:r>
      <w:r w:rsidR="00CB1694" w:rsidRPr="00A53C01">
        <w:rPr>
          <w:rFonts w:eastAsia="Calibri" w:cs="Times New Roman"/>
          <w:szCs w:val="24"/>
        </w:rPr>
        <w:t>Notwithstanding</w:t>
      </w:r>
      <w:r w:rsidR="003D6C37" w:rsidRPr="00A53C01">
        <w:rPr>
          <w:rFonts w:eastAsia="Calibri" w:cs="Times New Roman"/>
          <w:szCs w:val="24"/>
        </w:rPr>
        <w:t xml:space="preserve"> disagreements over security issues such as the Iraq war, US policymakers </w:t>
      </w:r>
      <w:r w:rsidR="00D428D2" w:rsidRPr="00A53C01">
        <w:rPr>
          <w:rFonts w:eastAsia="Calibri" w:cs="Times New Roman"/>
          <w:szCs w:val="24"/>
        </w:rPr>
        <w:t>anticipated</w:t>
      </w:r>
      <w:r w:rsidR="003D6C37" w:rsidRPr="00A53C01">
        <w:rPr>
          <w:rFonts w:eastAsia="Calibri" w:cs="Times New Roman"/>
          <w:szCs w:val="24"/>
        </w:rPr>
        <w:t xml:space="preserve"> that</w:t>
      </w:r>
      <w:r w:rsidR="00DC284C" w:rsidRPr="00A53C01">
        <w:rPr>
          <w:rFonts w:eastAsia="Calibri" w:cs="Times New Roman"/>
          <w:szCs w:val="24"/>
        </w:rPr>
        <w:t xml:space="preserve"> with respect to China</w:t>
      </w:r>
      <w:r w:rsidR="003D6C37" w:rsidRPr="00A53C01">
        <w:rPr>
          <w:rFonts w:eastAsia="Calibri" w:cs="Times New Roman"/>
          <w:szCs w:val="24"/>
        </w:rPr>
        <w:t xml:space="preserve"> European views would still largely reflect their own.</w:t>
      </w:r>
      <w:r w:rsidR="009B2AEC" w:rsidRPr="00A53C01">
        <w:rPr>
          <w:rFonts w:eastAsia="Calibri" w:cs="Times New Roman"/>
          <w:szCs w:val="24"/>
        </w:rPr>
        <w:t xml:space="preserve"> </w:t>
      </w:r>
      <w:r w:rsidR="003D6C37" w:rsidRPr="00A53C01">
        <w:rPr>
          <w:rFonts w:eastAsia="Calibri" w:cs="Times New Roman"/>
          <w:szCs w:val="24"/>
        </w:rPr>
        <w:t xml:space="preserve">The assessment that security </w:t>
      </w:r>
      <w:r w:rsidR="00D428D2" w:rsidRPr="00A53C01">
        <w:rPr>
          <w:rFonts w:eastAsia="Calibri" w:cs="Times New Roman"/>
          <w:szCs w:val="24"/>
        </w:rPr>
        <w:t>issues did not</w:t>
      </w:r>
      <w:r w:rsidR="003D6C37" w:rsidRPr="00A53C01">
        <w:rPr>
          <w:rFonts w:eastAsia="Calibri" w:cs="Times New Roman"/>
          <w:szCs w:val="24"/>
        </w:rPr>
        <w:t xml:space="preserve"> </w:t>
      </w:r>
      <w:r w:rsidR="00D428D2" w:rsidRPr="00A53C01">
        <w:rPr>
          <w:rFonts w:eastAsia="Calibri" w:cs="Times New Roman"/>
          <w:szCs w:val="24"/>
        </w:rPr>
        <w:t>feature in</w:t>
      </w:r>
      <w:r w:rsidR="003D6C37" w:rsidRPr="00A53C01">
        <w:rPr>
          <w:rFonts w:eastAsia="Calibri" w:cs="Times New Roman"/>
          <w:szCs w:val="24"/>
        </w:rPr>
        <w:t xml:space="preserve"> early</w:t>
      </w:r>
      <w:r w:rsidR="00DC284C" w:rsidRPr="00A53C01">
        <w:rPr>
          <w:rFonts w:eastAsia="Calibri" w:cs="Times New Roman"/>
          <w:szCs w:val="24"/>
        </w:rPr>
        <w:t xml:space="preserve"> European</w:t>
      </w:r>
      <w:r w:rsidR="003D6C37" w:rsidRPr="00A53C01">
        <w:rPr>
          <w:rFonts w:eastAsia="Calibri" w:cs="Times New Roman"/>
          <w:szCs w:val="24"/>
        </w:rPr>
        <w:t xml:space="preserve"> deliberations was correct, </w:t>
      </w:r>
      <w:r w:rsidR="007A3306" w:rsidRPr="00A53C01">
        <w:rPr>
          <w:rFonts w:eastAsia="Calibri" w:cs="Times New Roman"/>
          <w:szCs w:val="24"/>
        </w:rPr>
        <w:t xml:space="preserve">but the assumption that </w:t>
      </w:r>
      <w:r w:rsidR="00D428D2" w:rsidRPr="00A53C01">
        <w:rPr>
          <w:rFonts w:eastAsia="Calibri" w:cs="Times New Roman"/>
          <w:szCs w:val="24"/>
        </w:rPr>
        <w:t>raising them</w:t>
      </w:r>
      <w:r w:rsidR="003D6C37" w:rsidRPr="00A53C01">
        <w:rPr>
          <w:rFonts w:eastAsia="Calibri" w:cs="Times New Roman"/>
          <w:szCs w:val="24"/>
        </w:rPr>
        <w:t xml:space="preserve"> bilaterally</w:t>
      </w:r>
      <w:r w:rsidR="009B2AEC" w:rsidRPr="00A53C01">
        <w:rPr>
          <w:rFonts w:eastAsia="Calibri" w:cs="Times New Roman"/>
          <w:szCs w:val="24"/>
        </w:rPr>
        <w:t xml:space="preserve"> - in other </w:t>
      </w:r>
      <w:r w:rsidR="009B2AEC" w:rsidRPr="00A53C01">
        <w:rPr>
          <w:rFonts w:eastAsia="Calibri" w:cs="Times New Roman"/>
          <w:szCs w:val="24"/>
        </w:rPr>
        <w:lastRenderedPageBreak/>
        <w:t>words, initiat</w:t>
      </w:r>
      <w:r w:rsidR="00A807AF" w:rsidRPr="00A53C01">
        <w:rPr>
          <w:rFonts w:eastAsia="Calibri" w:cs="Times New Roman"/>
          <w:szCs w:val="24"/>
        </w:rPr>
        <w:t>ing</w:t>
      </w:r>
      <w:r w:rsidR="009B2AEC" w:rsidRPr="00A53C01">
        <w:rPr>
          <w:rFonts w:eastAsia="Calibri" w:cs="Times New Roman"/>
          <w:szCs w:val="24"/>
        </w:rPr>
        <w:t xml:space="preserve"> </w:t>
      </w:r>
      <w:r w:rsidR="0043324A" w:rsidRPr="00A53C01">
        <w:rPr>
          <w:rFonts w:eastAsia="Calibri" w:cs="Times New Roman"/>
          <w:szCs w:val="24"/>
        </w:rPr>
        <w:t>a securitization process</w:t>
      </w:r>
      <w:r w:rsidR="009B2AEC" w:rsidRPr="00A53C01">
        <w:rPr>
          <w:rFonts w:eastAsia="Calibri" w:cs="Times New Roman"/>
          <w:szCs w:val="24"/>
        </w:rPr>
        <w:t xml:space="preserve"> -</w:t>
      </w:r>
      <w:r w:rsidR="003D6C37" w:rsidRPr="00A53C01">
        <w:rPr>
          <w:rFonts w:eastAsia="Calibri" w:cs="Times New Roman"/>
          <w:szCs w:val="24"/>
        </w:rPr>
        <w:t xml:space="preserve"> </w:t>
      </w:r>
      <w:r w:rsidR="00D428D2" w:rsidRPr="00A53C01">
        <w:rPr>
          <w:rFonts w:eastAsia="Calibri" w:cs="Times New Roman"/>
          <w:szCs w:val="24"/>
        </w:rPr>
        <w:t>would suffice</w:t>
      </w:r>
      <w:r w:rsidR="007A3306" w:rsidRPr="00A53C01">
        <w:rPr>
          <w:rFonts w:eastAsia="Calibri" w:cs="Times New Roman"/>
          <w:szCs w:val="24"/>
        </w:rPr>
        <w:t xml:space="preserve"> </w:t>
      </w:r>
      <w:r w:rsidR="003D6C37" w:rsidRPr="00A53C01">
        <w:rPr>
          <w:rFonts w:eastAsia="Calibri" w:cs="Times New Roman"/>
          <w:szCs w:val="24"/>
        </w:rPr>
        <w:t>to change European pr</w:t>
      </w:r>
      <w:r w:rsidR="000F38FD" w:rsidRPr="00A53C01">
        <w:rPr>
          <w:rFonts w:eastAsia="Calibri" w:cs="Times New Roman"/>
          <w:szCs w:val="24"/>
        </w:rPr>
        <w:t>eferences proved to be mistaken</w:t>
      </w:r>
      <w:r w:rsidR="00A246FA" w:rsidRPr="00A53C01">
        <w:rPr>
          <w:rFonts w:eastAsia="Calibri" w:cs="Times New Roman"/>
          <w:szCs w:val="24"/>
        </w:rPr>
        <w:t xml:space="preserve">. </w:t>
      </w:r>
      <w:r w:rsidR="009B2AEC" w:rsidRPr="00A53C01">
        <w:rPr>
          <w:rFonts w:eastAsia="Calibri" w:cs="Times New Roman"/>
          <w:szCs w:val="24"/>
        </w:rPr>
        <w:t>Essentially,</w:t>
      </w:r>
      <w:r w:rsidR="003D6C37" w:rsidRPr="00A53C01">
        <w:rPr>
          <w:rFonts w:eastAsia="Calibri" w:cs="Times New Roman"/>
          <w:szCs w:val="24"/>
        </w:rPr>
        <w:t xml:space="preserve"> </w:t>
      </w:r>
      <w:r w:rsidR="009B2AEC" w:rsidRPr="00A53C01">
        <w:rPr>
          <w:rFonts w:eastAsia="Calibri" w:cs="Times New Roman"/>
          <w:szCs w:val="24"/>
        </w:rPr>
        <w:t>the salience of</w:t>
      </w:r>
      <w:r w:rsidR="0043324A" w:rsidRPr="00A53C01">
        <w:rPr>
          <w:rFonts w:eastAsia="Calibri" w:cs="Times New Roman"/>
          <w:szCs w:val="24"/>
        </w:rPr>
        <w:t xml:space="preserve"> China-related</w:t>
      </w:r>
      <w:r w:rsidR="009B2AEC" w:rsidRPr="00A53C01">
        <w:rPr>
          <w:rFonts w:eastAsia="Calibri" w:cs="Times New Roman"/>
          <w:szCs w:val="24"/>
        </w:rPr>
        <w:t xml:space="preserve"> security threats </w:t>
      </w:r>
      <w:r w:rsidR="00A246FA" w:rsidRPr="00A53C01">
        <w:rPr>
          <w:rFonts w:eastAsia="Calibri" w:cs="Times New Roman"/>
          <w:szCs w:val="24"/>
        </w:rPr>
        <w:t>within US policy discourse</w:t>
      </w:r>
      <w:r w:rsidR="009B2AEC" w:rsidRPr="00A53C01">
        <w:rPr>
          <w:rFonts w:eastAsia="Calibri" w:cs="Times New Roman"/>
          <w:szCs w:val="24"/>
        </w:rPr>
        <w:t xml:space="preserve"> created a</w:t>
      </w:r>
      <w:r w:rsidR="0043324A" w:rsidRPr="00A53C01">
        <w:rPr>
          <w:rFonts w:eastAsia="Calibri" w:cs="Times New Roman"/>
          <w:szCs w:val="24"/>
        </w:rPr>
        <w:t>n</w:t>
      </w:r>
      <w:r w:rsidR="009B2AEC" w:rsidRPr="00A53C01">
        <w:rPr>
          <w:rFonts w:eastAsia="Calibri" w:cs="Times New Roman"/>
          <w:szCs w:val="24"/>
        </w:rPr>
        <w:t xml:space="preserve"> </w:t>
      </w:r>
      <w:r w:rsidR="0043324A" w:rsidRPr="00A53C01">
        <w:rPr>
          <w:rFonts w:eastAsia="Calibri" w:cs="Times New Roman"/>
          <w:szCs w:val="24"/>
        </w:rPr>
        <w:t>expectation</w:t>
      </w:r>
      <w:r w:rsidR="009B2AEC" w:rsidRPr="00A53C01">
        <w:rPr>
          <w:rFonts w:eastAsia="Calibri" w:cs="Times New Roman"/>
          <w:szCs w:val="24"/>
        </w:rPr>
        <w:t xml:space="preserve"> that </w:t>
      </w:r>
      <w:r w:rsidR="00A246FA" w:rsidRPr="00A53C01">
        <w:rPr>
          <w:rFonts w:eastAsia="Calibri" w:cs="Times New Roman"/>
          <w:szCs w:val="24"/>
        </w:rPr>
        <w:t xml:space="preserve">once the nature of the threat was explained, then Europeans would accept then and </w:t>
      </w:r>
      <w:r w:rsidR="0043324A" w:rsidRPr="00A53C01">
        <w:rPr>
          <w:rFonts w:eastAsia="Calibri" w:cs="Times New Roman"/>
          <w:szCs w:val="24"/>
        </w:rPr>
        <w:t xml:space="preserve">opt to retain the embargo. </w:t>
      </w:r>
    </w:p>
    <w:p w14:paraId="26C33891" w14:textId="6FA4EF74" w:rsidR="00120FB6" w:rsidRPr="00A53C01" w:rsidRDefault="009B2AEC" w:rsidP="00A53C01">
      <w:pPr>
        <w:spacing w:line="312" w:lineRule="auto"/>
        <w:rPr>
          <w:rFonts w:eastAsia="Calibri" w:cs="Times New Roman"/>
          <w:szCs w:val="24"/>
        </w:rPr>
      </w:pPr>
      <w:r w:rsidRPr="00A53C01">
        <w:rPr>
          <w:rFonts w:eastAsia="Calibri" w:cs="Times New Roman"/>
          <w:szCs w:val="24"/>
        </w:rPr>
        <w:t xml:space="preserve">  </w:t>
      </w:r>
    </w:p>
    <w:p w14:paraId="63F3C9A5" w14:textId="5826ADB0" w:rsidR="00753AC0" w:rsidRPr="00A53C01" w:rsidRDefault="00120FB6" w:rsidP="00A53C01">
      <w:pPr>
        <w:spacing w:line="312" w:lineRule="auto"/>
        <w:rPr>
          <w:rFonts w:eastAsia="Calibri" w:cs="Times New Roman"/>
          <w:szCs w:val="24"/>
        </w:rPr>
      </w:pPr>
      <w:r w:rsidRPr="00A53C01">
        <w:rPr>
          <w:rFonts w:eastAsia="Calibri" w:cs="Times New Roman"/>
          <w:szCs w:val="24"/>
        </w:rPr>
        <w:t>Despite public statements and direct communication between high-level officials, EU</w:t>
      </w:r>
      <w:r w:rsidR="00753AC0" w:rsidRPr="00A53C01">
        <w:rPr>
          <w:rFonts w:eastAsia="Calibri" w:cs="Times New Roman"/>
          <w:szCs w:val="24"/>
        </w:rPr>
        <w:t xml:space="preserve"> actors</w:t>
      </w:r>
      <w:r w:rsidRPr="00A53C01">
        <w:rPr>
          <w:rFonts w:eastAsia="Calibri" w:cs="Times New Roman"/>
          <w:szCs w:val="24"/>
        </w:rPr>
        <w:t xml:space="preserve"> </w:t>
      </w:r>
      <w:r w:rsidR="00753AC0" w:rsidRPr="00A53C01">
        <w:rPr>
          <w:rFonts w:eastAsia="Calibri" w:cs="Times New Roman"/>
          <w:szCs w:val="24"/>
        </w:rPr>
        <w:t>remained</w:t>
      </w:r>
      <w:r w:rsidRPr="00A53C01">
        <w:rPr>
          <w:rFonts w:eastAsia="Calibri" w:cs="Times New Roman"/>
          <w:szCs w:val="24"/>
        </w:rPr>
        <w:t xml:space="preserve"> undeterred</w:t>
      </w:r>
      <w:r w:rsidR="0043324A" w:rsidRPr="00A53C01">
        <w:rPr>
          <w:rFonts w:eastAsia="Calibri" w:cs="Times New Roman"/>
          <w:szCs w:val="24"/>
        </w:rPr>
        <w:t>.</w:t>
      </w:r>
      <w:r w:rsidR="00753AC0" w:rsidRPr="00A53C01">
        <w:rPr>
          <w:rFonts w:eastAsia="Calibri" w:cs="Times New Roman"/>
          <w:szCs w:val="24"/>
        </w:rPr>
        <w:t xml:space="preserve"> </w:t>
      </w:r>
      <w:r w:rsidR="0043324A" w:rsidRPr="00A53C01">
        <w:rPr>
          <w:rFonts w:eastAsia="Calibri" w:cs="Times New Roman"/>
          <w:szCs w:val="24"/>
        </w:rPr>
        <w:t>E</w:t>
      </w:r>
      <w:r w:rsidR="00753AC0" w:rsidRPr="00A53C01">
        <w:rPr>
          <w:rFonts w:eastAsia="Calibri" w:cs="Times New Roman"/>
          <w:szCs w:val="24"/>
        </w:rPr>
        <w:t>vidently,</w:t>
      </w:r>
      <w:r w:rsidRPr="00A53C01">
        <w:rPr>
          <w:rFonts w:eastAsia="Calibri" w:cs="Times New Roman"/>
          <w:szCs w:val="24"/>
        </w:rPr>
        <w:t xml:space="preserve"> </w:t>
      </w:r>
      <w:r w:rsidR="00753AC0" w:rsidRPr="00A53C01">
        <w:rPr>
          <w:rFonts w:eastAsia="Calibri" w:cs="Times New Roman"/>
          <w:szCs w:val="24"/>
        </w:rPr>
        <w:t>t</w:t>
      </w:r>
      <w:r w:rsidRPr="00A53C01">
        <w:rPr>
          <w:rFonts w:eastAsia="Calibri" w:cs="Times New Roman"/>
          <w:szCs w:val="24"/>
        </w:rPr>
        <w:t>he</w:t>
      </w:r>
      <w:r w:rsidR="00753AC0" w:rsidRPr="00A53C01">
        <w:rPr>
          <w:rFonts w:eastAsia="Calibri" w:cs="Times New Roman"/>
          <w:szCs w:val="24"/>
        </w:rPr>
        <w:t xml:space="preserve"> US’s early efforts</w:t>
      </w:r>
      <w:r w:rsidRPr="00A53C01">
        <w:rPr>
          <w:rFonts w:eastAsia="Calibri" w:cs="Times New Roman"/>
          <w:szCs w:val="24"/>
        </w:rPr>
        <w:t xml:space="preserve"> </w:t>
      </w:r>
      <w:r w:rsidR="00753AC0" w:rsidRPr="00A53C01">
        <w:rPr>
          <w:rFonts w:eastAsia="Calibri" w:cs="Times New Roman"/>
          <w:szCs w:val="24"/>
        </w:rPr>
        <w:t>to convey</w:t>
      </w:r>
      <w:r w:rsidRPr="00A53C01">
        <w:rPr>
          <w:rFonts w:eastAsia="Calibri" w:cs="Times New Roman"/>
          <w:szCs w:val="24"/>
        </w:rPr>
        <w:t xml:space="preserve"> security concerns w</w:t>
      </w:r>
      <w:r w:rsidR="00753AC0" w:rsidRPr="00A53C01">
        <w:rPr>
          <w:rFonts w:eastAsia="Calibri" w:cs="Times New Roman"/>
          <w:szCs w:val="24"/>
        </w:rPr>
        <w:t>ere</w:t>
      </w:r>
      <w:r w:rsidRPr="00A53C01">
        <w:rPr>
          <w:rFonts w:eastAsia="Calibri" w:cs="Times New Roman"/>
          <w:szCs w:val="24"/>
        </w:rPr>
        <w:t xml:space="preserve"> </w:t>
      </w:r>
      <w:r w:rsidR="0043324A" w:rsidRPr="00A53C01">
        <w:rPr>
          <w:rFonts w:eastAsia="Calibri" w:cs="Times New Roman"/>
          <w:szCs w:val="24"/>
        </w:rPr>
        <w:t>not having the desired effect</w:t>
      </w:r>
      <w:r w:rsidRPr="00A53C01">
        <w:rPr>
          <w:rFonts w:eastAsia="Calibri" w:cs="Times New Roman"/>
          <w:szCs w:val="24"/>
        </w:rPr>
        <w:t xml:space="preserve">. Reasons for lifting were qualified in an attempt to allay US misgivings; the EU’s High Representative for Common Foreign and Security Policy Javier Solana stated to the press in mid-March that the </w:t>
      </w:r>
      <w:r w:rsidR="0043324A" w:rsidRPr="00A53C01">
        <w:rPr>
          <w:rFonts w:eastAsia="Calibri" w:cs="Times New Roman"/>
          <w:szCs w:val="24"/>
        </w:rPr>
        <w:t>motivation was</w:t>
      </w:r>
      <w:r w:rsidR="00317904" w:rsidRPr="00A53C01">
        <w:rPr>
          <w:rFonts w:eastAsia="Calibri" w:cs="Times New Roman"/>
          <w:szCs w:val="24"/>
        </w:rPr>
        <w:t xml:space="preserve"> to improve relations with China, not</w:t>
      </w:r>
      <w:r w:rsidRPr="00A53C01">
        <w:rPr>
          <w:rFonts w:eastAsia="Calibri" w:cs="Times New Roman"/>
          <w:szCs w:val="24"/>
        </w:rPr>
        <w:t xml:space="preserve"> “contribute to increasing arms in the region” (cited by Agence Europe, 18/03/2004). The EU</w:t>
      </w:r>
      <w:r w:rsidR="00D165BF" w:rsidRPr="00A53C01">
        <w:rPr>
          <w:rFonts w:eastAsia="Calibri" w:cs="Times New Roman"/>
          <w:szCs w:val="24"/>
        </w:rPr>
        <w:t xml:space="preserve"> maintained</w:t>
      </w:r>
      <w:r w:rsidRPr="00A53C01">
        <w:rPr>
          <w:rFonts w:eastAsia="Calibri" w:cs="Times New Roman"/>
          <w:szCs w:val="24"/>
        </w:rPr>
        <w:t xml:space="preserve"> that removing the embargo w</w:t>
      </w:r>
      <w:r w:rsidR="00D165BF" w:rsidRPr="00A53C01">
        <w:rPr>
          <w:rFonts w:eastAsia="Calibri" w:cs="Times New Roman"/>
          <w:szCs w:val="24"/>
        </w:rPr>
        <w:t>as to</w:t>
      </w:r>
      <w:r w:rsidRPr="00A53C01">
        <w:rPr>
          <w:rFonts w:eastAsia="Calibri" w:cs="Times New Roman"/>
          <w:szCs w:val="24"/>
        </w:rPr>
        <w:t xml:space="preserve"> be a political gesture, rather than substantive</w:t>
      </w:r>
      <w:r w:rsidR="003D529E" w:rsidRPr="00A53C01">
        <w:rPr>
          <w:rFonts w:eastAsia="Calibri" w:cs="Times New Roman"/>
          <w:szCs w:val="24"/>
        </w:rPr>
        <w:t>ly</w:t>
      </w:r>
      <w:r w:rsidRPr="00A53C01">
        <w:rPr>
          <w:rFonts w:eastAsia="Calibri" w:cs="Times New Roman"/>
          <w:szCs w:val="24"/>
        </w:rPr>
        <w:t xml:space="preserve"> </w:t>
      </w:r>
      <w:r w:rsidR="003D529E" w:rsidRPr="00A53C01">
        <w:rPr>
          <w:rFonts w:eastAsia="Calibri" w:cs="Times New Roman"/>
          <w:szCs w:val="24"/>
        </w:rPr>
        <w:t>affecting</w:t>
      </w:r>
      <w:r w:rsidRPr="00A53C01">
        <w:rPr>
          <w:rFonts w:eastAsia="Calibri" w:cs="Times New Roman"/>
          <w:szCs w:val="24"/>
        </w:rPr>
        <w:t xml:space="preserve"> China’s military capabilities. </w:t>
      </w:r>
      <w:r w:rsidR="00822ED0" w:rsidRPr="00A53C01">
        <w:rPr>
          <w:rFonts w:eastAsia="Calibri" w:cs="Times New Roman"/>
          <w:iCs/>
          <w:szCs w:val="24"/>
        </w:rPr>
        <w:t>The Bush administration remained unconvinced</w:t>
      </w:r>
      <w:r w:rsidRPr="00A53C01">
        <w:rPr>
          <w:rFonts w:eastAsia="Calibri" w:cs="Times New Roman"/>
          <w:iCs/>
          <w:szCs w:val="24"/>
        </w:rPr>
        <w:t xml:space="preserve">, </w:t>
      </w:r>
      <w:r w:rsidR="00753AC0" w:rsidRPr="00A53C01">
        <w:rPr>
          <w:rFonts w:eastAsia="Calibri" w:cs="Times New Roman"/>
          <w:iCs/>
          <w:szCs w:val="24"/>
        </w:rPr>
        <w:t>intensif</w:t>
      </w:r>
      <w:r w:rsidR="003D529E" w:rsidRPr="00A53C01">
        <w:rPr>
          <w:rFonts w:eastAsia="Calibri" w:cs="Times New Roman"/>
          <w:iCs/>
          <w:szCs w:val="24"/>
        </w:rPr>
        <w:t>ying</w:t>
      </w:r>
      <w:r w:rsidR="00753AC0" w:rsidRPr="00A53C01">
        <w:rPr>
          <w:rFonts w:eastAsia="Calibri" w:cs="Times New Roman"/>
          <w:iCs/>
          <w:szCs w:val="24"/>
        </w:rPr>
        <w:t xml:space="preserve"> </w:t>
      </w:r>
      <w:r w:rsidR="00822ED0" w:rsidRPr="00A53C01">
        <w:rPr>
          <w:rFonts w:eastAsia="Calibri" w:cs="Times New Roman"/>
          <w:iCs/>
          <w:szCs w:val="24"/>
        </w:rPr>
        <w:t xml:space="preserve">diplomatic </w:t>
      </w:r>
      <w:r w:rsidR="00182F22" w:rsidRPr="00A53C01">
        <w:rPr>
          <w:rFonts w:eastAsia="Calibri" w:cs="Times New Roman"/>
          <w:iCs/>
          <w:szCs w:val="24"/>
        </w:rPr>
        <w:t xml:space="preserve">efforts </w:t>
      </w:r>
      <w:r w:rsidR="00D165BF" w:rsidRPr="00A53C01">
        <w:rPr>
          <w:rFonts w:eastAsia="Calibri" w:cs="Times New Roman"/>
          <w:iCs/>
          <w:szCs w:val="24"/>
        </w:rPr>
        <w:t>to press its</w:t>
      </w:r>
      <w:r w:rsidR="00182F22" w:rsidRPr="00A53C01">
        <w:rPr>
          <w:rFonts w:eastAsia="Calibri" w:cs="Times New Roman"/>
          <w:iCs/>
          <w:szCs w:val="24"/>
        </w:rPr>
        <w:t xml:space="preserve"> case.</w:t>
      </w:r>
      <w:r w:rsidR="00197718" w:rsidRPr="00A53C01">
        <w:rPr>
          <w:rFonts w:eastAsia="Calibri" w:cs="Times New Roman"/>
          <w:iCs/>
          <w:szCs w:val="24"/>
        </w:rPr>
        <w:t xml:space="preserve"> </w:t>
      </w:r>
      <w:r w:rsidR="00154338" w:rsidRPr="00A53C01">
        <w:rPr>
          <w:rFonts w:eastAsia="Calibri" w:cs="Times New Roman"/>
          <w:iCs/>
          <w:szCs w:val="24"/>
        </w:rPr>
        <w:t>US policymakers were aware that their initial securitizing moves were ineffective</w:t>
      </w:r>
      <w:r w:rsidR="003D529E" w:rsidRPr="00A53C01">
        <w:rPr>
          <w:rFonts w:eastAsia="Calibri" w:cs="Times New Roman"/>
          <w:iCs/>
          <w:szCs w:val="24"/>
        </w:rPr>
        <w:t>;</w:t>
      </w:r>
      <w:r w:rsidR="00424630" w:rsidRPr="00A53C01">
        <w:rPr>
          <w:rFonts w:eastAsia="Calibri" w:cs="Times New Roman"/>
          <w:iCs/>
          <w:szCs w:val="24"/>
        </w:rPr>
        <w:t xml:space="preserve"> a</w:t>
      </w:r>
      <w:r w:rsidR="00822ED0" w:rsidRPr="00A53C01">
        <w:rPr>
          <w:rFonts w:eastAsia="Calibri" w:cs="Times New Roman"/>
          <w:iCs/>
          <w:szCs w:val="24"/>
        </w:rPr>
        <w:t xml:space="preserve"> State Department official commented that “to the extent that we’ve told [the EU] that this is a bad idea and they’re still considering it, that’s a concern t</w:t>
      </w:r>
      <w:r w:rsidR="00132042" w:rsidRPr="00A53C01">
        <w:rPr>
          <w:rFonts w:eastAsia="Calibri" w:cs="Times New Roman"/>
          <w:iCs/>
          <w:szCs w:val="24"/>
        </w:rPr>
        <w:t xml:space="preserve">o us” (cited by Spiegel, 2004). </w:t>
      </w:r>
    </w:p>
    <w:p w14:paraId="52723206" w14:textId="77777777" w:rsidR="00892061" w:rsidRPr="00A53C01" w:rsidRDefault="00892061" w:rsidP="00A53C01">
      <w:pPr>
        <w:spacing w:line="312" w:lineRule="auto"/>
        <w:rPr>
          <w:rFonts w:eastAsia="Calibri" w:cs="Times New Roman"/>
          <w:szCs w:val="24"/>
        </w:rPr>
      </w:pPr>
    </w:p>
    <w:p w14:paraId="1323A137" w14:textId="0CA4B439" w:rsidR="00F047B8" w:rsidRPr="00A53C01" w:rsidRDefault="00892061" w:rsidP="00A53C01">
      <w:pPr>
        <w:spacing w:line="312" w:lineRule="auto"/>
        <w:rPr>
          <w:rFonts w:eastAsia="Calibri" w:cs="Times New Roman"/>
          <w:iCs/>
          <w:szCs w:val="24"/>
        </w:rPr>
      </w:pPr>
      <w:r w:rsidRPr="00A53C01">
        <w:rPr>
          <w:rFonts w:eastAsia="Calibri" w:cs="Times New Roman"/>
          <w:iCs/>
          <w:szCs w:val="24"/>
        </w:rPr>
        <w:t xml:space="preserve">The administration’s arguments conveyed </w:t>
      </w:r>
      <w:r w:rsidR="00622A37" w:rsidRPr="00A53C01">
        <w:rPr>
          <w:rFonts w:eastAsia="Calibri" w:cs="Times New Roman"/>
          <w:iCs/>
          <w:szCs w:val="24"/>
        </w:rPr>
        <w:t>a commitment</w:t>
      </w:r>
      <w:r w:rsidRPr="00A53C01">
        <w:rPr>
          <w:rFonts w:eastAsia="Calibri" w:cs="Times New Roman"/>
          <w:iCs/>
          <w:szCs w:val="24"/>
        </w:rPr>
        <w:t xml:space="preserve"> to maintaining its own </w:t>
      </w:r>
      <w:r w:rsidRPr="00A53C01">
        <w:rPr>
          <w:rFonts w:eastAsia="Calibri" w:cs="Times New Roman"/>
          <w:i/>
          <w:iCs/>
          <w:szCs w:val="24"/>
        </w:rPr>
        <w:t>and</w:t>
      </w:r>
      <w:r w:rsidRPr="00A53C01">
        <w:rPr>
          <w:rFonts w:eastAsia="Calibri" w:cs="Times New Roman"/>
          <w:iCs/>
          <w:szCs w:val="24"/>
        </w:rPr>
        <w:t xml:space="preserve"> the EU</w:t>
      </w:r>
      <w:r w:rsidR="00424630" w:rsidRPr="00A53C01">
        <w:rPr>
          <w:rFonts w:eastAsia="Calibri" w:cs="Times New Roman"/>
          <w:iCs/>
          <w:szCs w:val="24"/>
        </w:rPr>
        <w:t>’s embargoes</w:t>
      </w:r>
      <w:r w:rsidRPr="00A53C01">
        <w:rPr>
          <w:rFonts w:eastAsia="Calibri" w:cs="Times New Roman"/>
          <w:iCs/>
          <w:szCs w:val="24"/>
        </w:rPr>
        <w:t>, but moreover that the very logic underpinning the</w:t>
      </w:r>
      <w:r w:rsidR="00424630" w:rsidRPr="00A53C01">
        <w:rPr>
          <w:rFonts w:eastAsia="Calibri" w:cs="Times New Roman"/>
          <w:iCs/>
          <w:szCs w:val="24"/>
        </w:rPr>
        <w:t>ir</w:t>
      </w:r>
      <w:r w:rsidRPr="00A53C01">
        <w:rPr>
          <w:rFonts w:eastAsia="Calibri" w:cs="Times New Roman"/>
          <w:iCs/>
          <w:szCs w:val="24"/>
        </w:rPr>
        <w:t xml:space="preserve"> </w:t>
      </w:r>
      <w:r w:rsidR="00424630" w:rsidRPr="00A53C01">
        <w:rPr>
          <w:rFonts w:eastAsia="Calibri" w:cs="Times New Roman"/>
          <w:iCs/>
          <w:szCs w:val="24"/>
        </w:rPr>
        <w:t>continuation</w:t>
      </w:r>
      <w:r w:rsidRPr="00A53C01">
        <w:rPr>
          <w:rFonts w:eastAsia="Calibri" w:cs="Times New Roman"/>
          <w:iCs/>
          <w:szCs w:val="24"/>
        </w:rPr>
        <w:t xml:space="preserve"> had </w:t>
      </w:r>
      <w:r w:rsidR="00424630" w:rsidRPr="00A53C01">
        <w:rPr>
          <w:rFonts w:eastAsia="Calibri" w:cs="Times New Roman"/>
          <w:iCs/>
          <w:szCs w:val="24"/>
        </w:rPr>
        <w:t>shifted</w:t>
      </w:r>
      <w:r w:rsidRPr="00A53C01">
        <w:rPr>
          <w:rFonts w:eastAsia="Calibri" w:cs="Times New Roman"/>
          <w:iCs/>
          <w:szCs w:val="24"/>
        </w:rPr>
        <w:t xml:space="preserve">. </w:t>
      </w:r>
      <w:r w:rsidR="0055246A" w:rsidRPr="00A53C01">
        <w:rPr>
          <w:rFonts w:eastAsia="Calibri" w:cs="Times New Roman"/>
          <w:iCs/>
          <w:szCs w:val="24"/>
        </w:rPr>
        <w:t>Per Floyd’s (2016) crite</w:t>
      </w:r>
      <w:r w:rsidR="00031E4F" w:rsidRPr="00A53C01">
        <w:rPr>
          <w:rFonts w:eastAsia="Calibri" w:cs="Times New Roman"/>
          <w:iCs/>
          <w:szCs w:val="24"/>
        </w:rPr>
        <w:t>ria for ‘successful’ securitiza</w:t>
      </w:r>
      <w:r w:rsidR="0055246A" w:rsidRPr="00A53C01">
        <w:rPr>
          <w:rFonts w:eastAsia="Calibri" w:cs="Times New Roman"/>
          <w:iCs/>
          <w:szCs w:val="24"/>
        </w:rPr>
        <w:t>t</w:t>
      </w:r>
      <w:r w:rsidR="00031E4F" w:rsidRPr="00A53C01">
        <w:rPr>
          <w:rFonts w:eastAsia="Calibri" w:cs="Times New Roman"/>
          <w:iCs/>
          <w:szCs w:val="24"/>
        </w:rPr>
        <w:t>i</w:t>
      </w:r>
      <w:r w:rsidR="0055246A" w:rsidRPr="00A53C01">
        <w:rPr>
          <w:rFonts w:eastAsia="Calibri" w:cs="Times New Roman"/>
          <w:iCs/>
          <w:szCs w:val="24"/>
        </w:rPr>
        <w:t>on, we can see that these were met within the US domestic security space:</w:t>
      </w:r>
      <w:r w:rsidR="00773109" w:rsidRPr="00A53C01">
        <w:rPr>
          <w:rFonts w:eastAsia="Calibri" w:cs="Times New Roman"/>
          <w:iCs/>
          <w:szCs w:val="24"/>
        </w:rPr>
        <w:t xml:space="preserve"> (1)</w:t>
      </w:r>
      <w:r w:rsidR="0055246A" w:rsidRPr="00A53C01">
        <w:rPr>
          <w:rFonts w:eastAsia="Calibri" w:cs="Times New Roman"/>
          <w:iCs/>
          <w:szCs w:val="24"/>
        </w:rPr>
        <w:t xml:space="preserve"> US policymakers identif</w:t>
      </w:r>
      <w:r w:rsidR="00031E4F" w:rsidRPr="00A53C01">
        <w:rPr>
          <w:rFonts w:eastAsia="Calibri" w:cs="Times New Roman"/>
          <w:iCs/>
          <w:szCs w:val="24"/>
        </w:rPr>
        <w:t>ied the (future) absence of the EU’s</w:t>
      </w:r>
      <w:r w:rsidR="0055246A" w:rsidRPr="00A53C01">
        <w:rPr>
          <w:rFonts w:eastAsia="Calibri" w:cs="Times New Roman"/>
          <w:iCs/>
          <w:szCs w:val="24"/>
        </w:rPr>
        <w:t xml:space="preserve"> embargo as contributing to a wider threat to its regional sec</w:t>
      </w:r>
      <w:r w:rsidR="00F047B8" w:rsidRPr="00A53C01">
        <w:rPr>
          <w:rFonts w:eastAsia="Calibri" w:cs="Times New Roman"/>
          <w:iCs/>
          <w:szCs w:val="24"/>
        </w:rPr>
        <w:t xml:space="preserve">urity interests, justifying a response. </w:t>
      </w:r>
      <w:r w:rsidR="00773109" w:rsidRPr="00A53C01">
        <w:rPr>
          <w:rFonts w:eastAsia="Calibri" w:cs="Times New Roman"/>
          <w:iCs/>
          <w:szCs w:val="24"/>
        </w:rPr>
        <w:t>The</w:t>
      </w:r>
      <w:r w:rsidR="00F047B8" w:rsidRPr="00A53C01">
        <w:rPr>
          <w:rFonts w:eastAsia="Calibri" w:cs="Times New Roman"/>
          <w:iCs/>
          <w:szCs w:val="24"/>
        </w:rPr>
        <w:t xml:space="preserve"> subsequent change of behaviour </w:t>
      </w:r>
      <w:r w:rsidR="00773109" w:rsidRPr="00A53C01">
        <w:rPr>
          <w:rFonts w:eastAsia="Calibri" w:cs="Times New Roman"/>
          <w:iCs/>
          <w:szCs w:val="24"/>
        </w:rPr>
        <w:t>(2)</w:t>
      </w:r>
      <w:r w:rsidR="00F047B8" w:rsidRPr="00A53C01">
        <w:rPr>
          <w:rFonts w:eastAsia="Calibri" w:cs="Times New Roman"/>
          <w:iCs/>
          <w:szCs w:val="24"/>
        </w:rPr>
        <w:t xml:space="preserve"> </w:t>
      </w:r>
      <w:r w:rsidR="00773109" w:rsidRPr="00A53C01">
        <w:rPr>
          <w:rFonts w:eastAsia="Calibri" w:cs="Times New Roman"/>
          <w:iCs/>
          <w:szCs w:val="24"/>
        </w:rPr>
        <w:t xml:space="preserve">took the form of a response that </w:t>
      </w:r>
      <w:r w:rsidR="00F047B8" w:rsidRPr="00A53C01">
        <w:rPr>
          <w:rFonts w:eastAsia="Calibri" w:cs="Times New Roman"/>
          <w:iCs/>
          <w:szCs w:val="24"/>
        </w:rPr>
        <w:t>operate</w:t>
      </w:r>
      <w:r w:rsidR="00773109" w:rsidRPr="00A53C01">
        <w:rPr>
          <w:rFonts w:eastAsia="Calibri" w:cs="Times New Roman"/>
          <w:iCs/>
          <w:szCs w:val="24"/>
        </w:rPr>
        <w:t>d</w:t>
      </w:r>
      <w:r w:rsidR="00F047B8" w:rsidRPr="00A53C01">
        <w:rPr>
          <w:rFonts w:eastAsia="Calibri" w:cs="Times New Roman"/>
          <w:iCs/>
          <w:szCs w:val="24"/>
        </w:rPr>
        <w:t xml:space="preserve"> </w:t>
      </w:r>
      <w:r w:rsidR="00031E4F" w:rsidRPr="00A53C01">
        <w:rPr>
          <w:rFonts w:eastAsia="Calibri" w:cs="Times New Roman"/>
          <w:iCs/>
          <w:szCs w:val="24"/>
        </w:rPr>
        <w:t>on</w:t>
      </w:r>
      <w:r w:rsidR="00F047B8" w:rsidRPr="00A53C01">
        <w:rPr>
          <w:rFonts w:eastAsia="Calibri" w:cs="Times New Roman"/>
          <w:iCs/>
          <w:szCs w:val="24"/>
        </w:rPr>
        <w:t xml:space="preserve"> two levels: first, the articulation of the administration’s opposition to the EU’s </w:t>
      </w:r>
      <w:r w:rsidR="00031E4F" w:rsidRPr="00A53C01">
        <w:rPr>
          <w:rFonts w:eastAsia="Calibri" w:cs="Times New Roman"/>
          <w:iCs/>
          <w:szCs w:val="24"/>
        </w:rPr>
        <w:t>proposal</w:t>
      </w:r>
      <w:r w:rsidR="00F047B8" w:rsidRPr="00A53C01">
        <w:rPr>
          <w:rFonts w:eastAsia="Calibri" w:cs="Times New Roman"/>
          <w:iCs/>
          <w:szCs w:val="24"/>
        </w:rPr>
        <w:t xml:space="preserve"> revealed the </w:t>
      </w:r>
      <w:r w:rsidR="00F047B8" w:rsidRPr="00A53C01">
        <w:rPr>
          <w:rFonts w:eastAsia="Calibri" w:cs="Times New Roman"/>
          <w:i/>
          <w:iCs/>
          <w:szCs w:val="24"/>
        </w:rPr>
        <w:t>de facto</w:t>
      </w:r>
      <w:r w:rsidR="00F047B8" w:rsidRPr="00A53C01">
        <w:rPr>
          <w:rFonts w:eastAsia="Calibri" w:cs="Times New Roman"/>
          <w:iCs/>
          <w:szCs w:val="24"/>
        </w:rPr>
        <w:t xml:space="preserve"> securitization of the US’s </w:t>
      </w:r>
      <w:r w:rsidR="00F047B8" w:rsidRPr="00A53C01">
        <w:rPr>
          <w:rFonts w:eastAsia="Calibri" w:cs="Times New Roman"/>
          <w:i/>
          <w:iCs/>
          <w:szCs w:val="24"/>
        </w:rPr>
        <w:t>own</w:t>
      </w:r>
      <w:r w:rsidR="00F047B8" w:rsidRPr="00A53C01">
        <w:rPr>
          <w:rFonts w:eastAsia="Calibri" w:cs="Times New Roman"/>
          <w:iCs/>
          <w:szCs w:val="24"/>
        </w:rPr>
        <w:t xml:space="preserve"> embargo - since its status had not been considered in the intervening years, there had been no reaffirmation of its importance; second, the initiation of the securitization move within the transatlantic</w:t>
      </w:r>
      <w:r w:rsidR="00773109" w:rsidRPr="00A53C01">
        <w:rPr>
          <w:rFonts w:eastAsia="Calibri" w:cs="Times New Roman"/>
          <w:iCs/>
          <w:szCs w:val="24"/>
        </w:rPr>
        <w:t xml:space="preserve"> security space. The response was justified</w:t>
      </w:r>
      <w:r w:rsidR="00031E4F" w:rsidRPr="00A53C01">
        <w:rPr>
          <w:rFonts w:eastAsia="Calibri" w:cs="Times New Roman"/>
          <w:iCs/>
          <w:szCs w:val="24"/>
        </w:rPr>
        <w:t xml:space="preserve"> (3)</w:t>
      </w:r>
      <w:r w:rsidR="00773109" w:rsidRPr="00A53C01">
        <w:rPr>
          <w:rFonts w:eastAsia="Calibri" w:cs="Times New Roman"/>
          <w:iCs/>
          <w:szCs w:val="24"/>
        </w:rPr>
        <w:t xml:space="preserve"> by US administration officials (the securitizing actors) with explicit referenc</w:t>
      </w:r>
      <w:r w:rsidR="002444FD" w:rsidRPr="00A53C01">
        <w:rPr>
          <w:rFonts w:eastAsia="Calibri" w:cs="Times New Roman"/>
          <w:iCs/>
          <w:szCs w:val="24"/>
        </w:rPr>
        <w:t xml:space="preserve">e to the threat posed to </w:t>
      </w:r>
      <w:r w:rsidR="00031E4F" w:rsidRPr="00A53C01">
        <w:rPr>
          <w:rFonts w:eastAsia="Calibri" w:cs="Times New Roman"/>
          <w:iCs/>
          <w:szCs w:val="24"/>
        </w:rPr>
        <w:t xml:space="preserve">national </w:t>
      </w:r>
      <w:r w:rsidR="002444FD" w:rsidRPr="00A53C01">
        <w:rPr>
          <w:rFonts w:eastAsia="Calibri" w:cs="Times New Roman"/>
          <w:iCs/>
          <w:szCs w:val="24"/>
        </w:rPr>
        <w:t xml:space="preserve">security interests and regional stability in East Asia. </w:t>
      </w:r>
      <w:r w:rsidR="00773109" w:rsidRPr="00A53C01">
        <w:rPr>
          <w:rFonts w:eastAsia="Calibri" w:cs="Times New Roman"/>
          <w:iCs/>
          <w:szCs w:val="24"/>
        </w:rPr>
        <w:t xml:space="preserve">  </w:t>
      </w:r>
      <w:r w:rsidR="00F047B8" w:rsidRPr="00A53C01">
        <w:rPr>
          <w:rFonts w:eastAsia="Calibri" w:cs="Times New Roman"/>
          <w:iCs/>
          <w:szCs w:val="24"/>
        </w:rPr>
        <w:t xml:space="preserve">  </w:t>
      </w:r>
    </w:p>
    <w:p w14:paraId="1F2F7920" w14:textId="3A4D714F" w:rsidR="00182F22" w:rsidRPr="00A53C01" w:rsidRDefault="00182F22" w:rsidP="00A53C01">
      <w:pPr>
        <w:spacing w:line="312" w:lineRule="auto"/>
        <w:rPr>
          <w:rFonts w:eastAsia="Calibri" w:cs="Times New Roman"/>
          <w:iCs/>
          <w:szCs w:val="24"/>
        </w:rPr>
      </w:pPr>
    </w:p>
    <w:p w14:paraId="71705C65" w14:textId="1CB39AD0" w:rsidR="003F238E" w:rsidRPr="00A53C01" w:rsidRDefault="00622A37" w:rsidP="00A53C01">
      <w:pPr>
        <w:spacing w:line="312" w:lineRule="auto"/>
        <w:rPr>
          <w:rFonts w:cs="Times New Roman"/>
          <w:szCs w:val="24"/>
        </w:rPr>
      </w:pPr>
      <w:r w:rsidRPr="00A53C01">
        <w:rPr>
          <w:rFonts w:cs="Times New Roman"/>
          <w:szCs w:val="24"/>
        </w:rPr>
        <w:t>A</w:t>
      </w:r>
      <w:r w:rsidR="003F238E" w:rsidRPr="00A53C01">
        <w:rPr>
          <w:rFonts w:cs="Times New Roman"/>
          <w:szCs w:val="24"/>
        </w:rPr>
        <w:t xml:space="preserve">head of the EU’s </w:t>
      </w:r>
      <w:r w:rsidR="00BC497C" w:rsidRPr="00A53C01">
        <w:rPr>
          <w:rFonts w:cs="Times New Roman"/>
          <w:szCs w:val="24"/>
        </w:rPr>
        <w:t>PSC</w:t>
      </w:r>
      <w:r w:rsidR="009C1750" w:rsidRPr="00A53C01">
        <w:rPr>
          <w:rFonts w:cs="Times New Roman"/>
          <w:szCs w:val="24"/>
        </w:rPr>
        <w:t xml:space="preserve"> April</w:t>
      </w:r>
      <w:r w:rsidR="003F238E" w:rsidRPr="00A53C01">
        <w:rPr>
          <w:rFonts w:cs="Times New Roman"/>
          <w:szCs w:val="24"/>
        </w:rPr>
        <w:t xml:space="preserve"> meeting, the</w:t>
      </w:r>
      <w:r w:rsidR="00D909DE" w:rsidRPr="00A53C01">
        <w:rPr>
          <w:rFonts w:cs="Times New Roman"/>
          <w:szCs w:val="24"/>
        </w:rPr>
        <w:t xml:space="preserve"> Council Secretariat circulate a</w:t>
      </w:r>
      <w:r w:rsidR="003F238E" w:rsidRPr="00A53C01">
        <w:rPr>
          <w:rFonts w:cs="Times New Roman"/>
          <w:szCs w:val="24"/>
        </w:rPr>
        <w:t xml:space="preserve"> </w:t>
      </w:r>
      <w:r w:rsidR="00D909DE" w:rsidRPr="00A53C01">
        <w:rPr>
          <w:rFonts w:cs="Times New Roman"/>
          <w:szCs w:val="24"/>
        </w:rPr>
        <w:t>demarche submitted by the US to</w:t>
      </w:r>
      <w:r w:rsidR="003F238E" w:rsidRPr="00A53C01">
        <w:rPr>
          <w:rFonts w:cs="Times New Roman"/>
          <w:szCs w:val="24"/>
        </w:rPr>
        <w:t xml:space="preserve"> outlin</w:t>
      </w:r>
      <w:r w:rsidR="00D909DE" w:rsidRPr="00A53C01">
        <w:rPr>
          <w:rFonts w:cs="Times New Roman"/>
          <w:szCs w:val="24"/>
        </w:rPr>
        <w:t>e</w:t>
      </w:r>
      <w:r w:rsidR="003F238E" w:rsidRPr="00A53C01">
        <w:rPr>
          <w:rFonts w:cs="Times New Roman"/>
          <w:szCs w:val="24"/>
        </w:rPr>
        <w:t xml:space="preserve"> </w:t>
      </w:r>
      <w:r w:rsidR="00D909DE" w:rsidRPr="00A53C01">
        <w:rPr>
          <w:rFonts w:cs="Times New Roman"/>
          <w:szCs w:val="24"/>
        </w:rPr>
        <w:t>their</w:t>
      </w:r>
      <w:r w:rsidR="003F238E" w:rsidRPr="00A53C01">
        <w:rPr>
          <w:rFonts w:cs="Times New Roman"/>
          <w:szCs w:val="24"/>
        </w:rPr>
        <w:t xml:space="preserve"> objections</w:t>
      </w:r>
      <w:r w:rsidR="00D909DE" w:rsidRPr="00A53C01">
        <w:rPr>
          <w:rFonts w:cs="Times New Roman"/>
          <w:szCs w:val="24"/>
        </w:rPr>
        <w:t>.</w:t>
      </w:r>
      <w:r w:rsidR="0097476A" w:rsidRPr="00A53C01">
        <w:rPr>
          <w:rStyle w:val="FootnoteReference"/>
          <w:rFonts w:cs="Times New Roman"/>
          <w:szCs w:val="24"/>
        </w:rPr>
        <w:footnoteReference w:id="9"/>
      </w:r>
      <w:r w:rsidR="009A1F18" w:rsidRPr="00A53C01">
        <w:rPr>
          <w:rFonts w:cs="Times New Roman"/>
          <w:szCs w:val="24"/>
        </w:rPr>
        <w:t xml:space="preserve"> This constituted a key component of the</w:t>
      </w:r>
      <w:r w:rsidR="00307F98" w:rsidRPr="00A53C01">
        <w:rPr>
          <w:rFonts w:cs="Times New Roman"/>
          <w:szCs w:val="24"/>
        </w:rPr>
        <w:t xml:space="preserve"> </w:t>
      </w:r>
      <w:r w:rsidR="00307F98" w:rsidRPr="00A53C01">
        <w:rPr>
          <w:rFonts w:cs="Times New Roman"/>
          <w:szCs w:val="24"/>
        </w:rPr>
        <w:lastRenderedPageBreak/>
        <w:t>US’s</w:t>
      </w:r>
      <w:r w:rsidR="009A1F18" w:rsidRPr="00A53C01">
        <w:rPr>
          <w:rFonts w:cs="Times New Roman"/>
          <w:szCs w:val="24"/>
        </w:rPr>
        <w:t xml:space="preserve"> securitizing moves – articulating the security implications of removing the embargo to a group of actors that could affect the </w:t>
      </w:r>
      <w:r w:rsidR="00307F98" w:rsidRPr="00A53C01">
        <w:rPr>
          <w:rFonts w:cs="Times New Roman"/>
          <w:szCs w:val="24"/>
        </w:rPr>
        <w:t>review</w:t>
      </w:r>
      <w:r w:rsidR="009A1F18" w:rsidRPr="00A53C01">
        <w:rPr>
          <w:rFonts w:cs="Times New Roman"/>
          <w:szCs w:val="24"/>
        </w:rPr>
        <w:t xml:space="preserve"> process</w:t>
      </w:r>
      <w:r w:rsidR="009C1750" w:rsidRPr="00A53C01">
        <w:rPr>
          <w:rFonts w:cs="Times New Roman"/>
          <w:szCs w:val="24"/>
        </w:rPr>
        <w:t xml:space="preserve"> by accepting the US’s arguments and then persuading the politicians in the Council.</w:t>
      </w:r>
      <w:r w:rsidR="009A1F18" w:rsidRPr="00A53C01">
        <w:rPr>
          <w:rFonts w:cs="Times New Roman"/>
          <w:szCs w:val="24"/>
        </w:rPr>
        <w:t xml:space="preserve"> T</w:t>
      </w:r>
      <w:r w:rsidR="003F238E" w:rsidRPr="00A53C01">
        <w:rPr>
          <w:rFonts w:cs="Times New Roman"/>
          <w:szCs w:val="24"/>
        </w:rPr>
        <w:t>his effo</w:t>
      </w:r>
      <w:r w:rsidR="0069737B" w:rsidRPr="00A53C01">
        <w:rPr>
          <w:rFonts w:cs="Times New Roman"/>
          <w:szCs w:val="24"/>
        </w:rPr>
        <w:t xml:space="preserve">rt not only </w:t>
      </w:r>
      <w:r w:rsidR="00307F98" w:rsidRPr="00A53C01">
        <w:rPr>
          <w:rFonts w:cs="Times New Roman"/>
          <w:szCs w:val="24"/>
        </w:rPr>
        <w:t>failed to</w:t>
      </w:r>
      <w:r w:rsidR="0069737B" w:rsidRPr="00A53C01">
        <w:rPr>
          <w:rFonts w:cs="Times New Roman"/>
          <w:szCs w:val="24"/>
        </w:rPr>
        <w:t xml:space="preserve"> minds</w:t>
      </w:r>
      <w:r w:rsidR="00307F98" w:rsidRPr="00A53C01">
        <w:rPr>
          <w:rFonts w:cs="Times New Roman"/>
          <w:szCs w:val="24"/>
        </w:rPr>
        <w:t>,</w:t>
      </w:r>
      <w:r w:rsidR="003F238E" w:rsidRPr="00A53C01">
        <w:rPr>
          <w:rFonts w:cs="Times New Roman"/>
          <w:szCs w:val="24"/>
        </w:rPr>
        <w:t xml:space="preserve"> </w:t>
      </w:r>
      <w:r w:rsidR="009A1F18" w:rsidRPr="00A53C01">
        <w:rPr>
          <w:rFonts w:cs="Times New Roman"/>
          <w:szCs w:val="24"/>
        </w:rPr>
        <w:t>it backfired</w:t>
      </w:r>
      <w:r w:rsidR="003F238E" w:rsidRPr="00A53C01">
        <w:rPr>
          <w:rFonts w:cs="Times New Roman"/>
          <w:szCs w:val="24"/>
        </w:rPr>
        <w:t xml:space="preserve">. </w:t>
      </w:r>
      <w:r w:rsidR="00307F98" w:rsidRPr="00A53C01">
        <w:rPr>
          <w:rFonts w:cs="Times New Roman"/>
          <w:szCs w:val="24"/>
        </w:rPr>
        <w:t>One</w:t>
      </w:r>
      <w:r w:rsidR="003F238E" w:rsidRPr="00A53C01">
        <w:rPr>
          <w:rFonts w:cs="Times New Roman"/>
          <w:szCs w:val="24"/>
        </w:rPr>
        <w:t xml:space="preserve"> British </w:t>
      </w:r>
      <w:r w:rsidR="00307F98" w:rsidRPr="00A53C01">
        <w:rPr>
          <w:rFonts w:cs="Times New Roman"/>
          <w:szCs w:val="24"/>
        </w:rPr>
        <w:t>official</w:t>
      </w:r>
      <w:r w:rsidR="003F238E" w:rsidRPr="00A53C01">
        <w:rPr>
          <w:rFonts w:cs="Times New Roman"/>
          <w:szCs w:val="24"/>
        </w:rPr>
        <w:t xml:space="preserve"> </w:t>
      </w:r>
      <w:r w:rsidR="009C1750" w:rsidRPr="00A53C01">
        <w:rPr>
          <w:rFonts w:cs="Times New Roman"/>
          <w:szCs w:val="24"/>
        </w:rPr>
        <w:t>recounted</w:t>
      </w:r>
      <w:r w:rsidR="003F238E" w:rsidRPr="00A53C01">
        <w:rPr>
          <w:rFonts w:cs="Times New Roman"/>
          <w:szCs w:val="24"/>
        </w:rPr>
        <w:t xml:space="preserve"> that the ambassadors </w:t>
      </w:r>
      <w:r w:rsidR="00307F98" w:rsidRPr="00A53C01">
        <w:rPr>
          <w:rFonts w:cs="Times New Roman"/>
          <w:szCs w:val="24"/>
        </w:rPr>
        <w:t>perceived it as</w:t>
      </w:r>
      <w:r w:rsidR="003F238E" w:rsidRPr="00A53C01">
        <w:rPr>
          <w:rFonts w:cs="Times New Roman"/>
          <w:szCs w:val="24"/>
        </w:rPr>
        <w:t xml:space="preserve"> “heavy-handed and hubristic attempt to influence the PSC” (US</w:t>
      </w:r>
      <w:r w:rsidR="00EB0DE7" w:rsidRPr="00A53C01">
        <w:rPr>
          <w:rFonts w:cs="Times New Roman"/>
          <w:szCs w:val="24"/>
        </w:rPr>
        <w:t>MEU</w:t>
      </w:r>
      <w:r w:rsidR="003F238E" w:rsidRPr="00A53C01">
        <w:rPr>
          <w:rFonts w:cs="Times New Roman"/>
          <w:szCs w:val="24"/>
        </w:rPr>
        <w:t>, 2004</w:t>
      </w:r>
      <w:r w:rsidR="00004793" w:rsidRPr="00A53C01">
        <w:rPr>
          <w:rFonts w:cs="Times New Roman"/>
          <w:szCs w:val="24"/>
        </w:rPr>
        <w:t>Xb</w:t>
      </w:r>
      <w:r w:rsidR="003F238E" w:rsidRPr="00A53C01">
        <w:rPr>
          <w:rFonts w:cs="Times New Roman"/>
          <w:szCs w:val="24"/>
        </w:rPr>
        <w:t xml:space="preserve">). The démarche evidently had </w:t>
      </w:r>
      <w:r w:rsidR="0069737B" w:rsidRPr="00A53C01">
        <w:rPr>
          <w:rFonts w:cs="Times New Roman"/>
          <w:szCs w:val="24"/>
        </w:rPr>
        <w:t>little</w:t>
      </w:r>
      <w:r w:rsidR="003F238E" w:rsidRPr="00A53C01">
        <w:rPr>
          <w:rFonts w:cs="Times New Roman"/>
          <w:szCs w:val="24"/>
        </w:rPr>
        <w:t xml:space="preserve"> discernible impact, as PSC ambassadors agreed that</w:t>
      </w:r>
      <w:r w:rsidR="0019148E" w:rsidRPr="00A53C01">
        <w:rPr>
          <w:rFonts w:cs="Times New Roman"/>
          <w:szCs w:val="24"/>
        </w:rPr>
        <w:t xml:space="preserve"> lower-level working groups would submit an issue paper to the Council</w:t>
      </w:r>
      <w:r w:rsidR="00307F98" w:rsidRPr="00A53C01">
        <w:rPr>
          <w:rFonts w:cs="Times New Roman"/>
          <w:szCs w:val="24"/>
        </w:rPr>
        <w:t xml:space="preserve"> for consideration</w:t>
      </w:r>
      <w:r w:rsidR="0019148E" w:rsidRPr="00A53C01">
        <w:rPr>
          <w:rFonts w:cs="Times New Roman"/>
          <w:szCs w:val="24"/>
        </w:rPr>
        <w:t>.</w:t>
      </w:r>
      <w:r w:rsidR="0069737B" w:rsidRPr="00A53C01">
        <w:rPr>
          <w:rFonts w:cs="Times New Roman"/>
          <w:szCs w:val="24"/>
        </w:rPr>
        <w:t xml:space="preserve"> The cable summarised where a number of Member States were on the issue, with references to remaining human rights concerns outnumbering references to regional stability twice as frequent. Where Member States raised the issue of regional stability, they sought further research on possible implications – no Member State opposed lifting the embargo or expressed alignment with the US threat assessment. Outlining the state of play, the cable’s author commented that while momentum to lift had slowed, US efforts “have not killed this idea outright” (US</w:t>
      </w:r>
      <w:r w:rsidR="00EB0DE7" w:rsidRPr="00A53C01">
        <w:rPr>
          <w:rFonts w:cs="Times New Roman"/>
          <w:szCs w:val="24"/>
        </w:rPr>
        <w:t>MEU</w:t>
      </w:r>
      <w:r w:rsidR="0069737B" w:rsidRPr="00A53C01">
        <w:rPr>
          <w:rFonts w:cs="Times New Roman"/>
          <w:szCs w:val="24"/>
        </w:rPr>
        <w:t>, 2004</w:t>
      </w:r>
      <w:r w:rsidR="00004793" w:rsidRPr="00A53C01">
        <w:rPr>
          <w:rFonts w:cs="Times New Roman"/>
          <w:szCs w:val="24"/>
        </w:rPr>
        <w:t>Xb</w:t>
      </w:r>
      <w:r w:rsidR="0069737B" w:rsidRPr="00A53C01">
        <w:rPr>
          <w:rFonts w:cs="Times New Roman"/>
          <w:szCs w:val="24"/>
        </w:rPr>
        <w:t xml:space="preserve">). </w:t>
      </w:r>
      <w:r w:rsidR="003F238E" w:rsidRPr="00A53C01">
        <w:rPr>
          <w:rFonts w:cs="Times New Roman"/>
          <w:szCs w:val="24"/>
        </w:rPr>
        <w:t xml:space="preserve">Even when US officials had gone so far as to </w:t>
      </w:r>
      <w:r w:rsidR="001A5691" w:rsidRPr="00A53C01">
        <w:rPr>
          <w:rFonts w:cs="Times New Roman"/>
          <w:szCs w:val="24"/>
        </w:rPr>
        <w:t>produce a document explicating the administration’s objections</w:t>
      </w:r>
      <w:r w:rsidR="00DB7D4E" w:rsidRPr="00A53C01">
        <w:rPr>
          <w:rFonts w:cs="Times New Roman"/>
          <w:szCs w:val="24"/>
        </w:rPr>
        <w:t xml:space="preserve"> and</w:t>
      </w:r>
      <w:r w:rsidR="001A5691" w:rsidRPr="00A53C01">
        <w:rPr>
          <w:rFonts w:cs="Times New Roman"/>
          <w:szCs w:val="24"/>
        </w:rPr>
        <w:t xml:space="preserve"> distributed it to EU officials, t</w:t>
      </w:r>
      <w:r w:rsidR="003F238E" w:rsidRPr="00A53C01">
        <w:rPr>
          <w:rFonts w:cs="Times New Roman"/>
          <w:szCs w:val="24"/>
        </w:rPr>
        <w:t>heir audience was</w:t>
      </w:r>
      <w:r w:rsidR="001A5691" w:rsidRPr="00A53C01">
        <w:rPr>
          <w:rFonts w:cs="Times New Roman"/>
          <w:szCs w:val="24"/>
        </w:rPr>
        <w:t xml:space="preserve"> still</w:t>
      </w:r>
      <w:r w:rsidR="003F238E" w:rsidRPr="00A53C01">
        <w:rPr>
          <w:rFonts w:cs="Times New Roman"/>
          <w:szCs w:val="24"/>
        </w:rPr>
        <w:t xml:space="preserve"> not receptive to the security-based arguments. </w:t>
      </w:r>
    </w:p>
    <w:p w14:paraId="4FF3D9AD" w14:textId="77777777" w:rsidR="003F238E" w:rsidRPr="00A53C01" w:rsidRDefault="003F238E" w:rsidP="00A53C01">
      <w:pPr>
        <w:spacing w:line="312" w:lineRule="auto"/>
        <w:rPr>
          <w:rFonts w:eastAsia="Calibri" w:cs="Times New Roman"/>
          <w:iCs/>
          <w:szCs w:val="24"/>
        </w:rPr>
      </w:pPr>
    </w:p>
    <w:p w14:paraId="2C8219E0" w14:textId="0D1723C8" w:rsidR="00851DED" w:rsidRPr="00A53C01" w:rsidRDefault="00FF3659" w:rsidP="00A53C01">
      <w:pPr>
        <w:spacing w:line="312" w:lineRule="auto"/>
        <w:rPr>
          <w:rFonts w:eastAsia="Calibri" w:cs="Times New Roman"/>
          <w:iCs/>
          <w:szCs w:val="24"/>
        </w:rPr>
      </w:pPr>
      <w:r w:rsidRPr="00A53C01">
        <w:rPr>
          <w:rFonts w:eastAsia="Calibri" w:cs="Times New Roman"/>
          <w:iCs/>
          <w:szCs w:val="24"/>
        </w:rPr>
        <w:t>US opposition further intensified in June, with</w:t>
      </w:r>
      <w:r w:rsidR="00176C33" w:rsidRPr="00A53C01">
        <w:rPr>
          <w:rFonts w:eastAsia="Calibri" w:cs="Times New Roman"/>
          <w:iCs/>
          <w:szCs w:val="24"/>
        </w:rPr>
        <w:t xml:space="preserve"> Secretary of State</w:t>
      </w:r>
      <w:r w:rsidR="00892061" w:rsidRPr="00A53C01">
        <w:rPr>
          <w:rFonts w:eastAsia="Calibri" w:cs="Times New Roman"/>
          <w:iCs/>
          <w:szCs w:val="24"/>
        </w:rPr>
        <w:t xml:space="preserve"> Colin</w:t>
      </w:r>
      <w:r w:rsidRPr="00A53C01">
        <w:rPr>
          <w:rFonts w:eastAsia="Calibri" w:cs="Times New Roman"/>
          <w:iCs/>
          <w:szCs w:val="24"/>
        </w:rPr>
        <w:t xml:space="preserve"> Powell</w:t>
      </w:r>
      <w:r w:rsidR="006A0802" w:rsidRPr="00A53C01">
        <w:rPr>
          <w:rFonts w:eastAsia="Calibri" w:cs="Times New Roman"/>
          <w:iCs/>
          <w:szCs w:val="24"/>
        </w:rPr>
        <w:t xml:space="preserve"> publicly</w:t>
      </w:r>
      <w:r w:rsidRPr="00A53C01">
        <w:rPr>
          <w:rFonts w:eastAsia="Calibri" w:cs="Times New Roman"/>
          <w:iCs/>
          <w:szCs w:val="24"/>
        </w:rPr>
        <w:t xml:space="preserve"> warning that </w:t>
      </w:r>
      <w:r w:rsidR="00892061" w:rsidRPr="00A53C01">
        <w:rPr>
          <w:rFonts w:eastAsia="Calibri" w:cs="Times New Roman"/>
          <w:iCs/>
          <w:szCs w:val="24"/>
        </w:rPr>
        <w:t>lifting the embargo</w:t>
      </w:r>
      <w:r w:rsidRPr="00A53C01">
        <w:rPr>
          <w:rFonts w:eastAsia="Calibri" w:cs="Times New Roman"/>
          <w:iCs/>
          <w:szCs w:val="24"/>
        </w:rPr>
        <w:t xml:space="preserve"> </w:t>
      </w:r>
      <w:r w:rsidR="00264466" w:rsidRPr="00A53C01">
        <w:rPr>
          <w:rFonts w:eastAsia="Calibri" w:cs="Times New Roman"/>
          <w:iCs/>
          <w:szCs w:val="24"/>
        </w:rPr>
        <w:t>w</w:t>
      </w:r>
      <w:r w:rsidRPr="00A53C01">
        <w:rPr>
          <w:rFonts w:eastAsia="Calibri" w:cs="Times New Roman"/>
          <w:iCs/>
          <w:szCs w:val="24"/>
        </w:rPr>
        <w:t xml:space="preserve">ould result in Member States being </w:t>
      </w:r>
      <w:r w:rsidR="008563B8" w:rsidRPr="00A53C01">
        <w:rPr>
          <w:rFonts w:eastAsia="Calibri" w:cs="Times New Roman"/>
          <w:iCs/>
          <w:szCs w:val="24"/>
        </w:rPr>
        <w:t>“denied access”</w:t>
      </w:r>
      <w:r w:rsidRPr="00A53C01">
        <w:rPr>
          <w:rFonts w:eastAsia="Calibri" w:cs="Times New Roman"/>
          <w:iCs/>
          <w:szCs w:val="24"/>
        </w:rPr>
        <w:t xml:space="preserve"> to US military technology (Webster et al, 2004). </w:t>
      </w:r>
      <w:r w:rsidR="0061124F" w:rsidRPr="00A53C01">
        <w:rPr>
          <w:rFonts w:eastAsia="Calibri" w:cs="Times New Roman"/>
          <w:iCs/>
          <w:szCs w:val="24"/>
        </w:rPr>
        <w:t xml:space="preserve">By this point, US policymakers </w:t>
      </w:r>
      <w:r w:rsidR="0098636E" w:rsidRPr="00A53C01">
        <w:rPr>
          <w:rFonts w:eastAsia="Calibri" w:cs="Times New Roman"/>
          <w:iCs/>
          <w:szCs w:val="24"/>
        </w:rPr>
        <w:t>evidently</w:t>
      </w:r>
      <w:r w:rsidR="0061124F" w:rsidRPr="00A53C01">
        <w:rPr>
          <w:rFonts w:eastAsia="Calibri" w:cs="Times New Roman"/>
          <w:iCs/>
          <w:szCs w:val="24"/>
        </w:rPr>
        <w:t xml:space="preserve"> realised that </w:t>
      </w:r>
      <w:r w:rsidR="0098636E" w:rsidRPr="00A53C01">
        <w:rPr>
          <w:rFonts w:eastAsia="Calibri" w:cs="Times New Roman"/>
          <w:iCs/>
          <w:szCs w:val="24"/>
        </w:rPr>
        <w:t xml:space="preserve">concentrating on prospective security threats was </w:t>
      </w:r>
      <w:r w:rsidR="003656B5" w:rsidRPr="00A53C01">
        <w:rPr>
          <w:rFonts w:eastAsia="Calibri" w:cs="Times New Roman"/>
          <w:iCs/>
          <w:szCs w:val="24"/>
        </w:rPr>
        <w:t>on its own</w:t>
      </w:r>
      <w:r w:rsidR="0098636E" w:rsidRPr="00A53C01">
        <w:rPr>
          <w:rFonts w:eastAsia="Calibri" w:cs="Times New Roman"/>
          <w:iCs/>
          <w:szCs w:val="24"/>
        </w:rPr>
        <w:t xml:space="preserve"> insufficient and began to introduce warnings of damage to</w:t>
      </w:r>
      <w:r w:rsidR="00F159DC" w:rsidRPr="00A53C01">
        <w:rPr>
          <w:rFonts w:eastAsia="Calibri" w:cs="Times New Roman"/>
          <w:iCs/>
          <w:szCs w:val="24"/>
        </w:rPr>
        <w:t xml:space="preserve"> the transatlantic relationship – effectively resorting to coercive tactics.</w:t>
      </w:r>
      <w:r w:rsidR="00E1616B" w:rsidRPr="00A53C01">
        <w:rPr>
          <w:rFonts w:eastAsia="Calibri" w:cs="Times New Roman"/>
          <w:iCs/>
          <w:szCs w:val="24"/>
        </w:rPr>
        <w:t xml:space="preserve"> </w:t>
      </w:r>
      <w:r w:rsidR="003656B5" w:rsidRPr="00A53C01">
        <w:rPr>
          <w:rFonts w:eastAsia="Calibri" w:cs="Times New Roman"/>
          <w:iCs/>
          <w:szCs w:val="24"/>
        </w:rPr>
        <w:t>Yet, even though many Member States rely on access to and cooperation with the US’s defence industry, these new warnings – coupled with the continued insistence regarding the threat posed by China – did not have the desired effect.</w:t>
      </w:r>
      <w:r w:rsidR="00980ACA" w:rsidRPr="00A53C01">
        <w:rPr>
          <w:rFonts w:eastAsia="Calibri" w:cs="Times New Roman"/>
          <w:iCs/>
          <w:szCs w:val="24"/>
        </w:rPr>
        <w:t xml:space="preserve"> Effectively highlighting this</w:t>
      </w:r>
      <w:r w:rsidR="00A02F0B" w:rsidRPr="00A53C01">
        <w:rPr>
          <w:rFonts w:eastAsia="Calibri" w:cs="Times New Roman"/>
          <w:iCs/>
          <w:szCs w:val="24"/>
        </w:rPr>
        <w:t>,</w:t>
      </w:r>
      <w:r w:rsidR="003656B5" w:rsidRPr="00A53C01">
        <w:rPr>
          <w:rFonts w:eastAsia="Calibri" w:cs="Times New Roman"/>
          <w:iCs/>
          <w:szCs w:val="24"/>
        </w:rPr>
        <w:t xml:space="preserve"> </w:t>
      </w:r>
      <w:r w:rsidR="00F954A0" w:rsidRPr="00A53C01">
        <w:rPr>
          <w:rFonts w:eastAsia="Calibri" w:cs="Times New Roman"/>
          <w:iCs/>
          <w:szCs w:val="24"/>
        </w:rPr>
        <w:t xml:space="preserve">Italian officials </w:t>
      </w:r>
      <w:r w:rsidR="00980ACA" w:rsidRPr="00A53C01">
        <w:rPr>
          <w:rFonts w:eastAsia="Calibri" w:cs="Times New Roman"/>
          <w:iCs/>
          <w:szCs w:val="24"/>
        </w:rPr>
        <w:t>privately argued</w:t>
      </w:r>
      <w:r w:rsidR="00F954A0" w:rsidRPr="00A53C01">
        <w:rPr>
          <w:rFonts w:eastAsia="Calibri" w:cs="Times New Roman"/>
          <w:iCs/>
          <w:szCs w:val="24"/>
        </w:rPr>
        <w:t xml:space="preserve"> that the embargo was “</w:t>
      </w:r>
      <w:r w:rsidR="00F954A0" w:rsidRPr="00A53C01">
        <w:t>applied strictly on the basis of human rights concerns… [US] arguments that emphasize strategic considerations are not directly relevant” (US Embassy Italy, 2004X)</w:t>
      </w:r>
      <w:r w:rsidR="00176C33" w:rsidRPr="00A53C01">
        <w:t xml:space="preserve">. </w:t>
      </w:r>
    </w:p>
    <w:p w14:paraId="00BCDA34" w14:textId="77777777" w:rsidR="00851DED" w:rsidRPr="00A53C01" w:rsidRDefault="00851DED" w:rsidP="00A53C01">
      <w:pPr>
        <w:spacing w:line="312" w:lineRule="auto"/>
      </w:pPr>
    </w:p>
    <w:p w14:paraId="71AC96C7" w14:textId="06793221" w:rsidR="00E96B84" w:rsidRPr="00A53C01" w:rsidRDefault="002E49F4" w:rsidP="00A53C01">
      <w:pPr>
        <w:spacing w:line="312" w:lineRule="auto"/>
        <w:rPr>
          <w:rFonts w:eastAsia="Calibri" w:cs="Times New Roman"/>
          <w:iCs/>
          <w:szCs w:val="24"/>
        </w:rPr>
      </w:pPr>
      <w:r w:rsidRPr="00A53C01">
        <w:rPr>
          <w:rFonts w:eastAsia="Calibri" w:cs="Times New Roman"/>
          <w:iCs/>
          <w:szCs w:val="24"/>
        </w:rPr>
        <w:t>T</w:t>
      </w:r>
      <w:r w:rsidR="003656B5" w:rsidRPr="00A53C01">
        <w:rPr>
          <w:rFonts w:eastAsia="Calibri" w:cs="Times New Roman"/>
          <w:iCs/>
          <w:szCs w:val="24"/>
        </w:rPr>
        <w:t>he</w:t>
      </w:r>
      <w:r w:rsidR="008008E4" w:rsidRPr="00A53C01">
        <w:rPr>
          <w:rFonts w:eastAsia="Calibri" w:cs="Times New Roman"/>
          <w:iCs/>
          <w:szCs w:val="24"/>
        </w:rPr>
        <w:t xml:space="preserve"> UK </w:t>
      </w:r>
      <w:r w:rsidR="003656B5" w:rsidRPr="00A53C01">
        <w:rPr>
          <w:rFonts w:eastAsia="Calibri" w:cs="Times New Roman"/>
          <w:iCs/>
          <w:szCs w:val="24"/>
        </w:rPr>
        <w:t>resisted</w:t>
      </w:r>
      <w:r w:rsidR="008008E4" w:rsidRPr="00A53C01">
        <w:rPr>
          <w:rFonts w:eastAsia="Calibri" w:cs="Times New Roman"/>
          <w:iCs/>
          <w:szCs w:val="24"/>
        </w:rPr>
        <w:t xml:space="preserve"> </w:t>
      </w:r>
      <w:r w:rsidR="003656B5" w:rsidRPr="00A53C01">
        <w:rPr>
          <w:rFonts w:eastAsia="Calibri" w:cs="Times New Roman"/>
          <w:iCs/>
          <w:szCs w:val="24"/>
        </w:rPr>
        <w:t>a</w:t>
      </w:r>
      <w:r w:rsidR="008008E4" w:rsidRPr="00A53C01">
        <w:rPr>
          <w:rFonts w:eastAsia="Calibri" w:cs="Times New Roman"/>
          <w:iCs/>
          <w:szCs w:val="24"/>
        </w:rPr>
        <w:t xml:space="preserve"> final decision </w:t>
      </w:r>
      <w:r w:rsidR="003656B5" w:rsidRPr="00A53C01">
        <w:rPr>
          <w:rFonts w:eastAsia="Calibri" w:cs="Times New Roman"/>
          <w:iCs/>
          <w:szCs w:val="24"/>
        </w:rPr>
        <w:t>prior to the impending</w:t>
      </w:r>
      <w:r w:rsidR="00FF3659" w:rsidRPr="00A53C01">
        <w:rPr>
          <w:rFonts w:eastAsia="Calibri" w:cs="Times New Roman"/>
          <w:iCs/>
          <w:szCs w:val="24"/>
        </w:rPr>
        <w:t xml:space="preserve"> US presidential election due to the issue’s sensitivity (Webster et al, 2004)</w:t>
      </w:r>
      <w:r w:rsidR="003656B5" w:rsidRPr="00A53C01">
        <w:rPr>
          <w:rFonts w:eastAsia="Calibri" w:cs="Times New Roman"/>
          <w:iCs/>
          <w:szCs w:val="24"/>
        </w:rPr>
        <w:t xml:space="preserve"> </w:t>
      </w:r>
      <w:r w:rsidRPr="00A53C01">
        <w:rPr>
          <w:rFonts w:eastAsia="Calibri" w:cs="Times New Roman"/>
          <w:iCs/>
          <w:szCs w:val="24"/>
        </w:rPr>
        <w:t xml:space="preserve">but did not advocate abandoning the </w:t>
      </w:r>
      <w:r w:rsidR="00835588" w:rsidRPr="00A53C01">
        <w:rPr>
          <w:rFonts w:eastAsia="Calibri" w:cs="Times New Roman"/>
          <w:iCs/>
          <w:szCs w:val="24"/>
        </w:rPr>
        <w:t>review</w:t>
      </w:r>
      <w:r w:rsidRPr="00A53C01">
        <w:rPr>
          <w:rFonts w:eastAsia="Calibri" w:cs="Times New Roman"/>
          <w:iCs/>
          <w:szCs w:val="24"/>
        </w:rPr>
        <w:t xml:space="preserve">. </w:t>
      </w:r>
      <w:r w:rsidR="00A02F0B" w:rsidRPr="00A53C01">
        <w:rPr>
          <w:rFonts w:eastAsia="Calibri" w:cs="Times New Roman"/>
          <w:iCs/>
          <w:szCs w:val="24"/>
        </w:rPr>
        <w:t>U</w:t>
      </w:r>
      <w:r w:rsidR="00DA0B3A" w:rsidRPr="00A53C01">
        <w:rPr>
          <w:rFonts w:eastAsia="Calibri" w:cs="Times New Roman"/>
          <w:iCs/>
          <w:szCs w:val="24"/>
        </w:rPr>
        <w:t>nderlin</w:t>
      </w:r>
      <w:r w:rsidR="001E708C" w:rsidRPr="00A53C01">
        <w:rPr>
          <w:rFonts w:eastAsia="Calibri" w:cs="Times New Roman"/>
          <w:iCs/>
          <w:szCs w:val="24"/>
        </w:rPr>
        <w:t>ing</w:t>
      </w:r>
      <w:r w:rsidR="00DA0B3A" w:rsidRPr="00A53C01">
        <w:rPr>
          <w:rFonts w:eastAsia="Calibri" w:cs="Times New Roman"/>
          <w:iCs/>
          <w:szCs w:val="24"/>
        </w:rPr>
        <w:t xml:space="preserve"> </w:t>
      </w:r>
      <w:r w:rsidR="00573073" w:rsidRPr="00A53C01">
        <w:rPr>
          <w:rFonts w:eastAsia="Calibri" w:cs="Times New Roman"/>
          <w:iCs/>
          <w:szCs w:val="24"/>
        </w:rPr>
        <w:t xml:space="preserve">the extent to which </w:t>
      </w:r>
      <w:r w:rsidR="00DA0B3A" w:rsidRPr="00A53C01">
        <w:rPr>
          <w:rFonts w:eastAsia="Calibri" w:cs="Times New Roman"/>
          <w:iCs/>
          <w:szCs w:val="24"/>
        </w:rPr>
        <w:t xml:space="preserve">the US’s security-based arguments were falling on deaf ears, </w:t>
      </w:r>
      <w:r w:rsidR="00D909DE" w:rsidRPr="00A53C01">
        <w:rPr>
          <w:rFonts w:eastAsia="Calibri" w:cs="Times New Roman"/>
          <w:iCs/>
          <w:szCs w:val="24"/>
        </w:rPr>
        <w:t>in June</w:t>
      </w:r>
      <w:r w:rsidR="00DA0B3A" w:rsidRPr="00A53C01">
        <w:rPr>
          <w:rFonts w:eastAsia="Calibri" w:cs="Times New Roman"/>
          <w:iCs/>
          <w:szCs w:val="24"/>
        </w:rPr>
        <w:t xml:space="preserve"> </w:t>
      </w:r>
      <w:r w:rsidR="00FF3659" w:rsidRPr="00A53C01">
        <w:rPr>
          <w:rFonts w:eastAsia="Calibri" w:cs="Times New Roman"/>
          <w:iCs/>
          <w:szCs w:val="24"/>
        </w:rPr>
        <w:t>the UK participated in its first joint naval exercise with China,</w:t>
      </w:r>
      <w:r w:rsidR="00A02F0B" w:rsidRPr="00A53C01">
        <w:rPr>
          <w:rFonts w:eastAsia="Calibri" w:cs="Times New Roman"/>
          <w:iCs/>
          <w:szCs w:val="24"/>
        </w:rPr>
        <w:t xml:space="preserve"> (</w:t>
      </w:r>
      <w:r w:rsidR="00FF3659" w:rsidRPr="00A53C01">
        <w:rPr>
          <w:rFonts w:eastAsia="Calibri" w:cs="Times New Roman"/>
          <w:iCs/>
          <w:szCs w:val="24"/>
        </w:rPr>
        <w:t xml:space="preserve">August, 2004). </w:t>
      </w:r>
      <w:r w:rsidR="007F0F56" w:rsidRPr="00A53C01">
        <w:rPr>
          <w:rFonts w:eastAsia="Calibri" w:cs="Times New Roman"/>
          <w:iCs/>
          <w:szCs w:val="24"/>
        </w:rPr>
        <w:t xml:space="preserve">One US cable based on interactions with an official from Japan’s Mission to the EU relayed </w:t>
      </w:r>
      <w:r w:rsidR="00A02F0B" w:rsidRPr="00A53C01">
        <w:rPr>
          <w:rFonts w:eastAsia="Calibri" w:cs="Times New Roman"/>
          <w:iCs/>
          <w:szCs w:val="24"/>
        </w:rPr>
        <w:t>a</w:t>
      </w:r>
      <w:r w:rsidR="007F0F56" w:rsidRPr="00A53C01">
        <w:rPr>
          <w:rFonts w:eastAsia="Calibri" w:cs="Times New Roman"/>
          <w:iCs/>
          <w:szCs w:val="24"/>
        </w:rPr>
        <w:t xml:space="preserve"> UK official’s position that US fears over the embargo being lifted were “exaggerated” (US</w:t>
      </w:r>
      <w:r w:rsidR="00EB0DE7" w:rsidRPr="00A53C01">
        <w:rPr>
          <w:rFonts w:eastAsia="Calibri" w:cs="Times New Roman"/>
          <w:iCs/>
          <w:szCs w:val="24"/>
        </w:rPr>
        <w:t>M</w:t>
      </w:r>
      <w:r w:rsidR="007F0F56" w:rsidRPr="00A53C01">
        <w:rPr>
          <w:rFonts w:eastAsia="Calibri" w:cs="Times New Roman"/>
          <w:iCs/>
          <w:szCs w:val="24"/>
        </w:rPr>
        <w:t xml:space="preserve">EU, 2004X). </w:t>
      </w:r>
      <w:r w:rsidR="00E96B84" w:rsidRPr="00A53C01">
        <w:rPr>
          <w:rFonts w:eastAsia="Calibri" w:cs="Times New Roman"/>
          <w:iCs/>
          <w:szCs w:val="24"/>
        </w:rPr>
        <w:t xml:space="preserve">The UK was not alone in seeking to advance political </w:t>
      </w:r>
      <w:r w:rsidR="00E96B84" w:rsidRPr="00A53C01">
        <w:rPr>
          <w:rFonts w:eastAsia="Calibri" w:cs="Times New Roman"/>
          <w:iCs/>
          <w:szCs w:val="24"/>
        </w:rPr>
        <w:lastRenderedPageBreak/>
        <w:t xml:space="preserve">and military ties at that time; </w:t>
      </w:r>
      <w:r w:rsidR="003F238E" w:rsidRPr="00A53C01">
        <w:rPr>
          <w:rFonts w:eastAsia="Calibri" w:cs="Times New Roman"/>
          <w:iCs/>
          <w:szCs w:val="24"/>
        </w:rPr>
        <w:t>Dutch officials had indicated that lifting was necessary</w:t>
      </w:r>
      <w:r w:rsidR="002A6927" w:rsidRPr="00A53C01">
        <w:rPr>
          <w:rFonts w:eastAsia="Calibri" w:cs="Times New Roman"/>
          <w:iCs/>
          <w:szCs w:val="24"/>
        </w:rPr>
        <w:t xml:space="preserve"> as “the EU can't</w:t>
      </w:r>
      <w:r w:rsidR="007B4AED" w:rsidRPr="00A53C01">
        <w:rPr>
          <w:rFonts w:eastAsia="Calibri" w:cs="Times New Roman"/>
          <w:iCs/>
          <w:szCs w:val="24"/>
        </w:rPr>
        <w:t xml:space="preserve"> [otherwise]</w:t>
      </w:r>
      <w:r w:rsidR="002A6927" w:rsidRPr="00A53C01">
        <w:rPr>
          <w:rFonts w:eastAsia="Calibri" w:cs="Times New Roman"/>
          <w:iCs/>
          <w:szCs w:val="24"/>
        </w:rPr>
        <w:t xml:space="preserve"> have a relationship with the Chinese military”</w:t>
      </w:r>
      <w:r w:rsidR="003F238E" w:rsidRPr="00A53C01">
        <w:rPr>
          <w:rFonts w:eastAsia="Calibri" w:cs="Times New Roman"/>
          <w:iCs/>
          <w:szCs w:val="24"/>
        </w:rPr>
        <w:t xml:space="preserve"> (US Embassy Netherlands, 2004b)</w:t>
      </w:r>
      <w:r w:rsidR="007B4AED" w:rsidRPr="00A53C01">
        <w:rPr>
          <w:rFonts w:eastAsia="Calibri" w:cs="Times New Roman"/>
          <w:iCs/>
          <w:szCs w:val="24"/>
        </w:rPr>
        <w:t>. This</w:t>
      </w:r>
      <w:r w:rsidR="003F238E" w:rsidRPr="00A53C01">
        <w:rPr>
          <w:rFonts w:eastAsia="Calibri" w:cs="Times New Roman"/>
          <w:iCs/>
          <w:szCs w:val="24"/>
        </w:rPr>
        <w:t xml:space="preserve"> undoubtedly </w:t>
      </w:r>
      <w:r w:rsidR="007B4AED" w:rsidRPr="00A53C01">
        <w:rPr>
          <w:rFonts w:eastAsia="Calibri" w:cs="Times New Roman"/>
          <w:iCs/>
          <w:szCs w:val="24"/>
        </w:rPr>
        <w:t>reinforce</w:t>
      </w:r>
      <w:r w:rsidR="001E708C" w:rsidRPr="00A53C01">
        <w:rPr>
          <w:rFonts w:eastAsia="Calibri" w:cs="Times New Roman"/>
          <w:iCs/>
          <w:szCs w:val="24"/>
        </w:rPr>
        <w:t>d</w:t>
      </w:r>
      <w:r w:rsidR="003F238E" w:rsidRPr="00A53C01">
        <w:rPr>
          <w:rFonts w:eastAsia="Calibri" w:cs="Times New Roman"/>
          <w:iCs/>
          <w:szCs w:val="24"/>
        </w:rPr>
        <w:t xml:space="preserve"> </w:t>
      </w:r>
      <w:r w:rsidR="00DB7D4E" w:rsidRPr="00A53C01">
        <w:rPr>
          <w:rFonts w:eastAsia="Calibri" w:cs="Times New Roman"/>
          <w:iCs/>
          <w:szCs w:val="24"/>
        </w:rPr>
        <w:t>concerns</w:t>
      </w:r>
      <w:r w:rsidR="007B4AED" w:rsidRPr="00A53C01">
        <w:rPr>
          <w:rFonts w:eastAsia="Calibri" w:cs="Times New Roman"/>
          <w:iCs/>
          <w:szCs w:val="24"/>
        </w:rPr>
        <w:t>,</w:t>
      </w:r>
      <w:r w:rsidR="00255335" w:rsidRPr="00A53C01">
        <w:rPr>
          <w:rFonts w:eastAsia="Calibri" w:cs="Times New Roman"/>
          <w:iCs/>
          <w:szCs w:val="24"/>
        </w:rPr>
        <w:t xml:space="preserve"> </w:t>
      </w:r>
      <w:r w:rsidR="001E708C" w:rsidRPr="00A53C01">
        <w:rPr>
          <w:rFonts w:eastAsia="Calibri" w:cs="Times New Roman"/>
          <w:iCs/>
          <w:szCs w:val="24"/>
        </w:rPr>
        <w:t>as</w:t>
      </w:r>
      <w:r w:rsidR="00255335" w:rsidRPr="00A53C01">
        <w:rPr>
          <w:rFonts w:eastAsia="Calibri" w:cs="Times New Roman"/>
          <w:iCs/>
          <w:szCs w:val="24"/>
        </w:rPr>
        <w:t xml:space="preserve"> embassy officials </w:t>
      </w:r>
      <w:r w:rsidR="001E708C" w:rsidRPr="00A53C01">
        <w:rPr>
          <w:rFonts w:eastAsia="Calibri" w:cs="Times New Roman"/>
          <w:iCs/>
          <w:szCs w:val="24"/>
        </w:rPr>
        <w:t>thereafter</w:t>
      </w:r>
      <w:r w:rsidR="00255335" w:rsidRPr="00A53C01">
        <w:rPr>
          <w:rFonts w:eastAsia="Calibri" w:cs="Times New Roman"/>
          <w:iCs/>
          <w:szCs w:val="24"/>
        </w:rPr>
        <w:t xml:space="preserve"> adopt</w:t>
      </w:r>
      <w:r w:rsidR="001E708C" w:rsidRPr="00A53C01">
        <w:rPr>
          <w:rFonts w:eastAsia="Calibri" w:cs="Times New Roman"/>
          <w:iCs/>
          <w:szCs w:val="24"/>
        </w:rPr>
        <w:t>ed</w:t>
      </w:r>
      <w:r w:rsidR="00255335" w:rsidRPr="00A53C01">
        <w:rPr>
          <w:rFonts w:eastAsia="Calibri" w:cs="Times New Roman"/>
          <w:iCs/>
          <w:szCs w:val="24"/>
        </w:rPr>
        <w:t xml:space="preserve"> a strategy of raising “specific concerns… i.e. potential Chinese re-engineering and re-export of EU origin systems” to make their case, combined with human rights and regional stability arguments given previous Dutch support for US non-proliferation goals (US Embassy Netherlands, 2004b).</w:t>
      </w:r>
      <w:r w:rsidR="00E96B84" w:rsidRPr="00A53C01">
        <w:rPr>
          <w:rFonts w:eastAsia="Calibri" w:cs="Times New Roman"/>
          <w:iCs/>
          <w:szCs w:val="24"/>
        </w:rPr>
        <w:t xml:space="preserve"> </w:t>
      </w:r>
    </w:p>
    <w:p w14:paraId="6043AE02" w14:textId="77777777" w:rsidR="00E96B84" w:rsidRPr="00A53C01" w:rsidRDefault="00E96B84" w:rsidP="00A53C01">
      <w:pPr>
        <w:spacing w:line="312" w:lineRule="auto"/>
        <w:rPr>
          <w:rFonts w:eastAsia="Calibri" w:cs="Times New Roman"/>
          <w:iCs/>
          <w:szCs w:val="24"/>
        </w:rPr>
      </w:pPr>
    </w:p>
    <w:p w14:paraId="4363B09E" w14:textId="7FB89820" w:rsidR="004454EC" w:rsidRPr="00A53C01" w:rsidRDefault="00CE382D" w:rsidP="00A53C01">
      <w:pPr>
        <w:spacing w:line="312" w:lineRule="auto"/>
        <w:rPr>
          <w:rFonts w:eastAsia="Calibri" w:cs="Times New Roman"/>
          <w:iCs/>
          <w:szCs w:val="24"/>
        </w:rPr>
      </w:pPr>
      <w:r w:rsidRPr="00A53C01">
        <w:rPr>
          <w:rFonts w:cs="Times New Roman"/>
          <w:szCs w:val="24"/>
        </w:rPr>
        <w:t>US officials were invited to an informal meeting of</w:t>
      </w:r>
      <w:r w:rsidR="00DC2D96" w:rsidRPr="00A53C01">
        <w:rPr>
          <w:rFonts w:cs="Times New Roman"/>
          <w:szCs w:val="24"/>
        </w:rPr>
        <w:t xml:space="preserve"> the</w:t>
      </w:r>
      <w:r w:rsidRPr="00A53C01">
        <w:rPr>
          <w:rFonts w:cs="Times New Roman"/>
          <w:szCs w:val="24"/>
        </w:rPr>
        <w:t xml:space="preserve"> PSC ambassadors and high-ranking EU officials</w:t>
      </w:r>
      <w:r w:rsidR="00BD5973" w:rsidRPr="00A53C01">
        <w:rPr>
          <w:rFonts w:cs="Times New Roman"/>
          <w:szCs w:val="24"/>
        </w:rPr>
        <w:t xml:space="preserve"> in July</w:t>
      </w:r>
      <w:r w:rsidRPr="00A53C01">
        <w:rPr>
          <w:rFonts w:cs="Times New Roman"/>
          <w:szCs w:val="24"/>
        </w:rPr>
        <w:t xml:space="preserve"> to brief </w:t>
      </w:r>
      <w:r w:rsidR="00BD5973" w:rsidRPr="00A53C01">
        <w:rPr>
          <w:rFonts w:cs="Times New Roman"/>
          <w:szCs w:val="24"/>
        </w:rPr>
        <w:t>their</w:t>
      </w:r>
      <w:r w:rsidRPr="00A53C01">
        <w:rPr>
          <w:rFonts w:cs="Times New Roman"/>
          <w:szCs w:val="24"/>
        </w:rPr>
        <w:t xml:space="preserve"> concerns</w:t>
      </w:r>
      <w:r w:rsidR="00BD5973" w:rsidRPr="00A53C01">
        <w:rPr>
          <w:rFonts w:cs="Times New Roman"/>
          <w:szCs w:val="24"/>
        </w:rPr>
        <w:t xml:space="preserve"> with respect to the embargo</w:t>
      </w:r>
      <w:r w:rsidRPr="00A53C01">
        <w:rPr>
          <w:rFonts w:cs="Times New Roman"/>
          <w:szCs w:val="24"/>
        </w:rPr>
        <w:t>.</w:t>
      </w:r>
      <w:r w:rsidR="001E708C" w:rsidRPr="00A53C01">
        <w:rPr>
          <w:rFonts w:cs="Times New Roman"/>
          <w:szCs w:val="24"/>
        </w:rPr>
        <w:t xml:space="preserve"> According to</w:t>
      </w:r>
      <w:r w:rsidR="004454EC" w:rsidRPr="00A53C01">
        <w:rPr>
          <w:rFonts w:cs="Times New Roman"/>
          <w:szCs w:val="24"/>
        </w:rPr>
        <w:t xml:space="preserve"> </w:t>
      </w:r>
      <w:r w:rsidR="001E708C" w:rsidRPr="00A53C01">
        <w:rPr>
          <w:rFonts w:cs="Times New Roman"/>
          <w:szCs w:val="24"/>
        </w:rPr>
        <w:t>a subsequent cable</w:t>
      </w:r>
      <w:r w:rsidR="004454EC" w:rsidRPr="00A53C01">
        <w:rPr>
          <w:rFonts w:cs="Times New Roman"/>
          <w:szCs w:val="24"/>
        </w:rPr>
        <w:t xml:space="preserve">, the US official delivering the briefing </w:t>
      </w:r>
    </w:p>
    <w:p w14:paraId="6F30F5C1" w14:textId="77777777" w:rsidR="004454EC" w:rsidRPr="00A53C01" w:rsidRDefault="004454EC" w:rsidP="00A53C01">
      <w:pPr>
        <w:spacing w:line="312" w:lineRule="auto"/>
        <w:rPr>
          <w:rFonts w:cs="Times New Roman"/>
          <w:szCs w:val="24"/>
        </w:rPr>
      </w:pPr>
    </w:p>
    <w:p w14:paraId="4450DBB5" w14:textId="096E8907" w:rsidR="004454EC" w:rsidRPr="00A53C01" w:rsidRDefault="004454EC" w:rsidP="00A53C01">
      <w:pPr>
        <w:spacing w:line="312" w:lineRule="auto"/>
        <w:ind w:left="720" w:right="720"/>
        <w:rPr>
          <w:rFonts w:cs="Times New Roman"/>
          <w:szCs w:val="24"/>
        </w:rPr>
      </w:pPr>
      <w:r w:rsidRPr="00A53C01">
        <w:rPr>
          <w:rFonts w:cs="Times New Roman"/>
          <w:szCs w:val="24"/>
        </w:rPr>
        <w:t>relayed an impressive amount of detail about China's military modernization program, and at the same time demonstrated how it was oriented toward acquiring the ability to defeat Taiwan, and the US forces protecting Taiwan, in a cross-straits conflict. He also explained how China was seeking (through industrial espionage and military-commercial partnerships) advanced weapons and dual-use technologies from the West to support this modernization (</w:t>
      </w:r>
      <w:r w:rsidR="009C1750" w:rsidRPr="00A53C01">
        <w:rPr>
          <w:rFonts w:cs="Times New Roman"/>
          <w:szCs w:val="24"/>
        </w:rPr>
        <w:t>US</w:t>
      </w:r>
      <w:r w:rsidR="00EB0DE7" w:rsidRPr="00A53C01">
        <w:rPr>
          <w:rFonts w:cs="Times New Roman"/>
          <w:szCs w:val="24"/>
        </w:rPr>
        <w:t>MEU</w:t>
      </w:r>
      <w:r w:rsidRPr="00A53C01">
        <w:rPr>
          <w:rFonts w:cs="Times New Roman"/>
          <w:szCs w:val="24"/>
        </w:rPr>
        <w:t>, 2004</w:t>
      </w:r>
      <w:r w:rsidR="00004793" w:rsidRPr="00A53C01">
        <w:rPr>
          <w:rFonts w:cs="Times New Roman"/>
          <w:szCs w:val="24"/>
        </w:rPr>
        <w:t>Xc</w:t>
      </w:r>
      <w:r w:rsidRPr="00A53C01">
        <w:rPr>
          <w:rFonts w:cs="Times New Roman"/>
          <w:szCs w:val="24"/>
        </w:rPr>
        <w:t xml:space="preserve">).  </w:t>
      </w:r>
    </w:p>
    <w:p w14:paraId="775034C4" w14:textId="77777777" w:rsidR="004454EC" w:rsidRPr="00A53C01" w:rsidRDefault="004454EC" w:rsidP="00A53C01">
      <w:pPr>
        <w:spacing w:line="312" w:lineRule="auto"/>
        <w:rPr>
          <w:rFonts w:cs="Times New Roman"/>
          <w:szCs w:val="24"/>
        </w:rPr>
      </w:pPr>
    </w:p>
    <w:p w14:paraId="4742BF28" w14:textId="31EE3456" w:rsidR="00BD5973" w:rsidRPr="00A53C01" w:rsidRDefault="004454EC" w:rsidP="00A53C01">
      <w:pPr>
        <w:spacing w:line="312" w:lineRule="auto"/>
        <w:rPr>
          <w:rFonts w:cs="Times New Roman"/>
          <w:szCs w:val="24"/>
        </w:rPr>
      </w:pPr>
      <w:r w:rsidRPr="00A53C01">
        <w:rPr>
          <w:rFonts w:cs="Times New Roman"/>
          <w:szCs w:val="24"/>
        </w:rPr>
        <w:t xml:space="preserve">Despite this direct exchange and questions about China’s military modernisation from attendees, it was subsequently </w:t>
      </w:r>
      <w:r w:rsidR="00CE382D" w:rsidRPr="00A53C01">
        <w:rPr>
          <w:rFonts w:cs="Times New Roman"/>
          <w:szCs w:val="24"/>
        </w:rPr>
        <w:t xml:space="preserve">acknowledged that the briefing “did not change any minds” </w:t>
      </w:r>
      <w:r w:rsidRPr="00A53C01">
        <w:rPr>
          <w:rFonts w:cs="Times New Roman"/>
          <w:szCs w:val="24"/>
        </w:rPr>
        <w:t>(</w:t>
      </w:r>
      <w:r w:rsidR="00902065" w:rsidRPr="00A53C01">
        <w:rPr>
          <w:rFonts w:cs="Times New Roman"/>
          <w:szCs w:val="24"/>
        </w:rPr>
        <w:t>US</w:t>
      </w:r>
      <w:r w:rsidR="00EB0DE7" w:rsidRPr="00A53C01">
        <w:rPr>
          <w:rFonts w:cs="Times New Roman"/>
          <w:szCs w:val="24"/>
        </w:rPr>
        <w:t>MEU</w:t>
      </w:r>
      <w:r w:rsidRPr="00A53C01">
        <w:rPr>
          <w:rFonts w:cs="Times New Roman"/>
          <w:szCs w:val="24"/>
        </w:rPr>
        <w:t>, 2004</w:t>
      </w:r>
      <w:r w:rsidR="00004793" w:rsidRPr="00A53C01">
        <w:rPr>
          <w:rFonts w:cs="Times New Roman"/>
          <w:szCs w:val="24"/>
        </w:rPr>
        <w:t>Xc</w:t>
      </w:r>
      <w:r w:rsidRPr="00A53C01">
        <w:rPr>
          <w:rFonts w:cs="Times New Roman"/>
          <w:szCs w:val="24"/>
        </w:rPr>
        <w:t xml:space="preserve">). </w:t>
      </w:r>
      <w:r w:rsidR="00DC2D96" w:rsidRPr="00A53C01">
        <w:rPr>
          <w:rFonts w:cs="Times New Roman"/>
          <w:szCs w:val="24"/>
        </w:rPr>
        <w:t xml:space="preserve">This meeting, and the opportunity of the US to engage in direct communication with key officials in one room, constitutes arguably the clearest example of </w:t>
      </w:r>
      <w:r w:rsidR="001E708C" w:rsidRPr="00A53C01">
        <w:rPr>
          <w:rFonts w:cs="Times New Roman"/>
          <w:szCs w:val="24"/>
        </w:rPr>
        <w:t>a securitizing move</w:t>
      </w:r>
      <w:r w:rsidR="009F45FE" w:rsidRPr="00A53C01">
        <w:rPr>
          <w:rFonts w:cs="Times New Roman"/>
          <w:szCs w:val="24"/>
        </w:rPr>
        <w:t xml:space="preserve"> – indeed, in itself a microcosm of the fifteen month process </w:t>
      </w:r>
      <w:r w:rsidR="001E708C" w:rsidRPr="00A53C01">
        <w:rPr>
          <w:rFonts w:cs="Times New Roman"/>
          <w:szCs w:val="24"/>
        </w:rPr>
        <w:t>–</w:t>
      </w:r>
      <w:r w:rsidR="00DC2D96" w:rsidRPr="00A53C01">
        <w:rPr>
          <w:rFonts w:cs="Times New Roman"/>
          <w:szCs w:val="24"/>
        </w:rPr>
        <w:t xml:space="preserve"> whereby speech acts </w:t>
      </w:r>
      <w:r w:rsidR="009F45FE" w:rsidRPr="00A53C01">
        <w:rPr>
          <w:rFonts w:cs="Times New Roman"/>
          <w:szCs w:val="24"/>
        </w:rPr>
        <w:t>were</w:t>
      </w:r>
      <w:r w:rsidR="00DC2D96" w:rsidRPr="00A53C01">
        <w:rPr>
          <w:rFonts w:cs="Times New Roman"/>
          <w:szCs w:val="24"/>
        </w:rPr>
        <w:t xml:space="preserve"> directed at the audience with the intention of changing preferences to reflect security threats</w:t>
      </w:r>
      <w:r w:rsidR="009F45FE" w:rsidRPr="00A53C01">
        <w:rPr>
          <w:rFonts w:cs="Times New Roman"/>
          <w:szCs w:val="24"/>
        </w:rPr>
        <w:t>, but ultimately unsuccessful</w:t>
      </w:r>
      <w:r w:rsidR="003060C0" w:rsidRPr="00A53C01">
        <w:rPr>
          <w:rFonts w:cs="Times New Roman"/>
          <w:szCs w:val="24"/>
        </w:rPr>
        <w:t xml:space="preserve"> in prompting Europeans to</w:t>
      </w:r>
      <w:r w:rsidR="00B82AE4" w:rsidRPr="00A53C01">
        <w:rPr>
          <w:rFonts w:cs="Times New Roman"/>
          <w:szCs w:val="24"/>
        </w:rPr>
        <w:t xml:space="preserve"> re-evaluat</w:t>
      </w:r>
      <w:r w:rsidR="003060C0" w:rsidRPr="00A53C01">
        <w:rPr>
          <w:rFonts w:cs="Times New Roman"/>
          <w:szCs w:val="24"/>
        </w:rPr>
        <w:t>e</w:t>
      </w:r>
      <w:r w:rsidR="00B82AE4" w:rsidRPr="00A53C01">
        <w:rPr>
          <w:rFonts w:cs="Times New Roman"/>
          <w:szCs w:val="24"/>
        </w:rPr>
        <w:t xml:space="preserve"> the implications of policy change. </w:t>
      </w:r>
      <w:r w:rsidR="009F45FE" w:rsidRPr="00A53C01">
        <w:rPr>
          <w:rFonts w:cs="Times New Roman"/>
          <w:szCs w:val="24"/>
        </w:rPr>
        <w:t xml:space="preserve"> </w:t>
      </w:r>
    </w:p>
    <w:p w14:paraId="372B1B2C" w14:textId="77777777" w:rsidR="00DA0B3A" w:rsidRPr="00A53C01" w:rsidRDefault="00DA0B3A" w:rsidP="00A53C01">
      <w:pPr>
        <w:spacing w:line="312" w:lineRule="auto"/>
        <w:rPr>
          <w:rFonts w:eastAsia="Calibri" w:cs="Times New Roman"/>
          <w:iCs/>
          <w:szCs w:val="24"/>
        </w:rPr>
      </w:pPr>
    </w:p>
    <w:p w14:paraId="5E4E5E22" w14:textId="524C7128" w:rsidR="00274826" w:rsidRPr="00A53C01" w:rsidRDefault="00863B01" w:rsidP="00A53C01">
      <w:pPr>
        <w:spacing w:line="312" w:lineRule="auto"/>
        <w:rPr>
          <w:rFonts w:eastAsia="Calibri" w:cs="Times New Roman"/>
          <w:iCs/>
          <w:szCs w:val="24"/>
        </w:rPr>
      </w:pPr>
      <w:r w:rsidRPr="00A53C01">
        <w:rPr>
          <w:rFonts w:eastAsia="Calibri" w:cs="Times New Roman"/>
          <w:iCs/>
          <w:szCs w:val="24"/>
        </w:rPr>
        <w:t xml:space="preserve">EU policymakers </w:t>
      </w:r>
      <w:r w:rsidR="008977DE" w:rsidRPr="00A53C01">
        <w:rPr>
          <w:rFonts w:eastAsia="Calibri" w:cs="Times New Roman"/>
          <w:iCs/>
          <w:szCs w:val="24"/>
        </w:rPr>
        <w:t>pushed</w:t>
      </w:r>
      <w:r w:rsidRPr="00A53C01">
        <w:rPr>
          <w:rFonts w:eastAsia="Calibri" w:cs="Times New Roman"/>
          <w:iCs/>
          <w:szCs w:val="24"/>
        </w:rPr>
        <w:t xml:space="preserve"> to accelerate the decision-making process in </w:t>
      </w:r>
      <w:r w:rsidR="00BD280C" w:rsidRPr="00A53C01">
        <w:rPr>
          <w:rFonts w:eastAsia="Calibri" w:cs="Times New Roman"/>
          <w:iCs/>
          <w:szCs w:val="24"/>
        </w:rPr>
        <w:t xml:space="preserve">the autumn. </w:t>
      </w:r>
      <w:r w:rsidR="009A50E8" w:rsidRPr="00A53C01">
        <w:rPr>
          <w:rFonts w:eastAsia="Calibri" w:cs="Times New Roman"/>
          <w:iCs/>
          <w:szCs w:val="24"/>
        </w:rPr>
        <w:t xml:space="preserve">The US concentrated efforts on engaging with </w:t>
      </w:r>
      <w:r w:rsidR="00835588" w:rsidRPr="00A53C01">
        <w:rPr>
          <w:rFonts w:eastAsia="Calibri" w:cs="Times New Roman"/>
          <w:iCs/>
          <w:szCs w:val="24"/>
        </w:rPr>
        <w:t>officials</w:t>
      </w:r>
      <w:r w:rsidR="009A50E8" w:rsidRPr="00A53C01">
        <w:rPr>
          <w:rFonts w:eastAsia="Calibri" w:cs="Times New Roman"/>
          <w:iCs/>
          <w:szCs w:val="24"/>
        </w:rPr>
        <w:t xml:space="preserve"> </w:t>
      </w:r>
      <w:r w:rsidR="00835588" w:rsidRPr="00A53C01">
        <w:rPr>
          <w:rFonts w:eastAsia="Calibri" w:cs="Times New Roman"/>
          <w:iCs/>
          <w:szCs w:val="24"/>
        </w:rPr>
        <w:t>from the Netherlands as the current</w:t>
      </w:r>
      <w:r w:rsidR="009A50E8" w:rsidRPr="00A53C01">
        <w:rPr>
          <w:rFonts w:eastAsia="Calibri" w:cs="Times New Roman"/>
          <w:iCs/>
          <w:szCs w:val="24"/>
        </w:rPr>
        <w:t xml:space="preserve"> Council Presidency</w:t>
      </w:r>
      <w:r w:rsidR="00835588" w:rsidRPr="00A53C01">
        <w:rPr>
          <w:rFonts w:eastAsia="Calibri" w:cs="Times New Roman"/>
          <w:iCs/>
          <w:szCs w:val="24"/>
        </w:rPr>
        <w:t xml:space="preserve"> holder</w:t>
      </w:r>
      <w:r w:rsidR="009A50E8" w:rsidRPr="00A53C01">
        <w:rPr>
          <w:rFonts w:eastAsia="Calibri" w:cs="Times New Roman"/>
          <w:iCs/>
          <w:szCs w:val="24"/>
        </w:rPr>
        <w:t xml:space="preserve">. </w:t>
      </w:r>
      <w:r w:rsidR="00A64530" w:rsidRPr="00A53C01">
        <w:rPr>
          <w:rFonts w:eastAsia="Calibri" w:cs="Times New Roman"/>
          <w:iCs/>
          <w:szCs w:val="24"/>
        </w:rPr>
        <w:t xml:space="preserve">US officials directly argued against lifting on the basis of the “enhanced threat posed by possible increased EU technology transfers” and the unsatisfactory proposals to replace the embargo, and underlined that US concerns were “broad and bipartisan” (US Embassy Netherlands, 2004Xc). </w:t>
      </w:r>
      <w:r w:rsidR="00274826" w:rsidRPr="00A53C01">
        <w:rPr>
          <w:rFonts w:eastAsia="Calibri" w:cs="Times New Roman"/>
          <w:iCs/>
          <w:szCs w:val="24"/>
        </w:rPr>
        <w:t>In a series of</w:t>
      </w:r>
      <w:r w:rsidR="00835588" w:rsidRPr="00A53C01">
        <w:rPr>
          <w:rFonts w:eastAsia="Calibri" w:cs="Times New Roman"/>
          <w:iCs/>
          <w:szCs w:val="24"/>
        </w:rPr>
        <w:t xml:space="preserve"> bilateral</w:t>
      </w:r>
      <w:r w:rsidR="00274826" w:rsidRPr="00A53C01">
        <w:rPr>
          <w:rFonts w:eastAsia="Calibri" w:cs="Times New Roman"/>
          <w:iCs/>
          <w:szCs w:val="24"/>
        </w:rPr>
        <w:t xml:space="preserve"> meetings, Deputy Assistant Secretary Greg Suchan stressed concerns over military and </w:t>
      </w:r>
      <w:r w:rsidR="00274826" w:rsidRPr="00A53C01">
        <w:rPr>
          <w:rFonts w:eastAsia="Calibri" w:cs="Times New Roman"/>
          <w:iCs/>
          <w:szCs w:val="24"/>
        </w:rPr>
        <w:lastRenderedPageBreak/>
        <w:t>human rights issues, making the case that “</w:t>
      </w:r>
      <w:r w:rsidR="00274826" w:rsidRPr="00A53C01">
        <w:t>assurances that lifting the ban would have no material consequence were hard to believe… because market pressures and lobbying by Beijing would make it very hard for member state regulators to deny sales to China without the political cover of an arms embargo” (</w:t>
      </w:r>
      <w:r w:rsidR="00EB0DE7" w:rsidRPr="00A53C01">
        <w:t>USM</w:t>
      </w:r>
      <w:r w:rsidR="00274826" w:rsidRPr="00A53C01">
        <w:t xml:space="preserve">EU, 2004X). Member State representatives responded that they were taking the US position seriously, but </w:t>
      </w:r>
      <w:r w:rsidR="009A50E8" w:rsidRPr="00A53C01">
        <w:t>countered</w:t>
      </w:r>
      <w:r w:rsidR="00274826" w:rsidRPr="00A53C01">
        <w:t xml:space="preserve"> that China had changed since </w:t>
      </w:r>
      <w:r w:rsidR="00835588" w:rsidRPr="00A53C01">
        <w:t>1989</w:t>
      </w:r>
      <w:r w:rsidR="00274826" w:rsidRPr="00A53C01">
        <w:t xml:space="preserve">, and </w:t>
      </w:r>
      <w:r w:rsidR="009A50E8" w:rsidRPr="00A53C01">
        <w:t>insisted</w:t>
      </w:r>
      <w:r w:rsidR="00274826" w:rsidRPr="00A53C01">
        <w:t xml:space="preserve"> that the US and EU had to proceed on the basis of mutual trust</w:t>
      </w:r>
      <w:r w:rsidR="00835588" w:rsidRPr="00A53C01">
        <w:t>,</w:t>
      </w:r>
      <w:r w:rsidR="00274826" w:rsidRPr="00A53C01">
        <w:t xml:space="preserve"> respect</w:t>
      </w:r>
      <w:r w:rsidR="00835588" w:rsidRPr="00A53C01">
        <w:t>ing</w:t>
      </w:r>
      <w:r w:rsidR="00274826" w:rsidRPr="00A53C01">
        <w:t xml:space="preserve"> autonomy on foreign policy (</w:t>
      </w:r>
      <w:r w:rsidR="00EB0DE7" w:rsidRPr="00A53C01">
        <w:t>USMEU</w:t>
      </w:r>
      <w:r w:rsidR="00274826" w:rsidRPr="00A53C01">
        <w:t>, 2004X</w:t>
      </w:r>
      <w:r w:rsidR="00B10197" w:rsidRPr="00A53C01">
        <w:t xml:space="preserve">). In </w:t>
      </w:r>
      <w:r w:rsidR="00D909DE" w:rsidRPr="00A53C01">
        <w:t>short</w:t>
      </w:r>
      <w:r w:rsidR="00B10197" w:rsidRPr="00A53C01">
        <w:t>, the Europeans acknowledged</w:t>
      </w:r>
      <w:r w:rsidR="00D909DE" w:rsidRPr="00A53C01">
        <w:t xml:space="preserve"> the US position</w:t>
      </w:r>
      <w:r w:rsidR="00274826" w:rsidRPr="00A53C01">
        <w:t xml:space="preserve"> but </w:t>
      </w:r>
      <w:r w:rsidR="00B10197" w:rsidRPr="00A53C01">
        <w:t xml:space="preserve">were not influenced by it. </w:t>
      </w:r>
    </w:p>
    <w:p w14:paraId="2C0CA515" w14:textId="77777777" w:rsidR="00274826" w:rsidRPr="00A53C01" w:rsidRDefault="00274826" w:rsidP="00A53C01">
      <w:pPr>
        <w:spacing w:line="312" w:lineRule="auto"/>
        <w:rPr>
          <w:rFonts w:eastAsia="Calibri" w:cs="Times New Roman"/>
          <w:iCs/>
          <w:szCs w:val="24"/>
        </w:rPr>
      </w:pPr>
    </w:p>
    <w:p w14:paraId="37B0FD0B" w14:textId="066D3804" w:rsidR="00DA0B3A" w:rsidRPr="00A53C01" w:rsidRDefault="00A64530" w:rsidP="00A53C01">
      <w:pPr>
        <w:spacing w:line="312" w:lineRule="auto"/>
        <w:rPr>
          <w:rFonts w:eastAsia="Calibri" w:cs="Times New Roman"/>
          <w:iCs/>
          <w:szCs w:val="24"/>
        </w:rPr>
      </w:pPr>
      <w:r w:rsidRPr="00A53C01">
        <w:rPr>
          <w:rFonts w:eastAsia="Calibri" w:cs="Times New Roman"/>
          <w:iCs/>
          <w:szCs w:val="24"/>
        </w:rPr>
        <w:t xml:space="preserve">Beyond </w:t>
      </w:r>
      <w:r w:rsidR="00835588" w:rsidRPr="00A53C01">
        <w:rPr>
          <w:rFonts w:eastAsia="Calibri" w:cs="Times New Roman"/>
          <w:iCs/>
          <w:szCs w:val="24"/>
        </w:rPr>
        <w:t>potential</w:t>
      </w:r>
      <w:r w:rsidRPr="00A53C01">
        <w:rPr>
          <w:rFonts w:eastAsia="Calibri" w:cs="Times New Roman"/>
          <w:iCs/>
          <w:szCs w:val="24"/>
        </w:rPr>
        <w:t xml:space="preserve"> material impact, US officials</w:t>
      </w:r>
      <w:r w:rsidR="00274826" w:rsidRPr="00A53C01">
        <w:rPr>
          <w:rFonts w:eastAsia="Calibri" w:cs="Times New Roman"/>
          <w:iCs/>
          <w:szCs w:val="24"/>
        </w:rPr>
        <w:t xml:space="preserve"> </w:t>
      </w:r>
      <w:r w:rsidR="00835588" w:rsidRPr="00A53C01">
        <w:rPr>
          <w:rFonts w:eastAsia="Calibri" w:cs="Times New Roman"/>
          <w:iCs/>
          <w:szCs w:val="24"/>
        </w:rPr>
        <w:t>warned</w:t>
      </w:r>
      <w:r w:rsidR="00274826" w:rsidRPr="00A53C01">
        <w:rPr>
          <w:rFonts w:eastAsia="Calibri" w:cs="Times New Roman"/>
          <w:iCs/>
          <w:szCs w:val="24"/>
        </w:rPr>
        <w:t xml:space="preserve"> </w:t>
      </w:r>
      <w:r w:rsidRPr="00A53C01">
        <w:rPr>
          <w:rFonts w:eastAsia="Calibri" w:cs="Times New Roman"/>
          <w:iCs/>
          <w:szCs w:val="24"/>
        </w:rPr>
        <w:t>that the “symbolism of [lifting]… at a time when China was behaving in a threatening manner vis-a-vis Taiwan would clearly send the wrong signal” (US Embassy Netherlands, 2004Xc</w:t>
      </w:r>
      <w:r w:rsidR="00C80DFA" w:rsidRPr="00A53C01">
        <w:rPr>
          <w:rFonts w:eastAsia="Calibri" w:cs="Times New Roman"/>
          <w:iCs/>
          <w:szCs w:val="24"/>
        </w:rPr>
        <w:t>).</w:t>
      </w:r>
      <w:r w:rsidR="00B73AAD" w:rsidRPr="00A53C01">
        <w:rPr>
          <w:rFonts w:eastAsia="Calibri" w:cs="Times New Roman"/>
          <w:iCs/>
          <w:szCs w:val="24"/>
        </w:rPr>
        <w:t xml:space="preserve"> Here,</w:t>
      </w:r>
      <w:r w:rsidR="00D6519A" w:rsidRPr="00A53C01">
        <w:rPr>
          <w:rFonts w:eastAsia="Calibri" w:cs="Times New Roman"/>
          <w:iCs/>
          <w:szCs w:val="24"/>
        </w:rPr>
        <w:t xml:space="preserve"> </w:t>
      </w:r>
      <w:r w:rsidR="00835588" w:rsidRPr="00A53C01">
        <w:rPr>
          <w:rFonts w:eastAsia="Calibri" w:cs="Times New Roman"/>
          <w:iCs/>
          <w:szCs w:val="24"/>
        </w:rPr>
        <w:t>the attempt to advance the</w:t>
      </w:r>
      <w:r w:rsidR="00D6519A" w:rsidRPr="00A53C01">
        <w:rPr>
          <w:rFonts w:eastAsia="Calibri" w:cs="Times New Roman"/>
          <w:iCs/>
          <w:szCs w:val="24"/>
        </w:rPr>
        <w:t xml:space="preserve"> securitizing move link</w:t>
      </w:r>
      <w:r w:rsidR="00835588" w:rsidRPr="00A53C01">
        <w:rPr>
          <w:rFonts w:eastAsia="Calibri" w:cs="Times New Roman"/>
          <w:iCs/>
          <w:szCs w:val="24"/>
        </w:rPr>
        <w:t>ed</w:t>
      </w:r>
      <w:r w:rsidR="00D6519A" w:rsidRPr="00A53C01">
        <w:rPr>
          <w:rFonts w:eastAsia="Calibri" w:cs="Times New Roman"/>
          <w:iCs/>
          <w:szCs w:val="24"/>
        </w:rPr>
        <w:t xml:space="preserve"> </w:t>
      </w:r>
      <w:r w:rsidR="00B73AAD" w:rsidRPr="00A53C01">
        <w:rPr>
          <w:rFonts w:eastAsia="Calibri" w:cs="Times New Roman"/>
          <w:iCs/>
          <w:szCs w:val="24"/>
        </w:rPr>
        <w:t>material capabilities and symbolism</w:t>
      </w:r>
      <w:r w:rsidR="00D6519A" w:rsidRPr="00A53C01">
        <w:rPr>
          <w:rFonts w:eastAsia="Calibri" w:cs="Times New Roman"/>
          <w:iCs/>
          <w:szCs w:val="24"/>
        </w:rPr>
        <w:t xml:space="preserve"> as constituent elements of a</w:t>
      </w:r>
      <w:r w:rsidR="00835588" w:rsidRPr="00A53C01">
        <w:rPr>
          <w:rFonts w:eastAsia="Calibri" w:cs="Times New Roman"/>
          <w:iCs/>
          <w:szCs w:val="24"/>
        </w:rPr>
        <w:t>n</w:t>
      </w:r>
      <w:r w:rsidR="00D6519A" w:rsidRPr="00A53C01">
        <w:rPr>
          <w:rFonts w:eastAsia="Calibri" w:cs="Times New Roman"/>
          <w:iCs/>
          <w:szCs w:val="24"/>
        </w:rPr>
        <w:t xml:space="preserve"> </w:t>
      </w:r>
      <w:r w:rsidR="00835588" w:rsidRPr="00A53C01">
        <w:rPr>
          <w:rFonts w:eastAsia="Calibri" w:cs="Times New Roman"/>
          <w:iCs/>
          <w:szCs w:val="24"/>
        </w:rPr>
        <w:t>emergent</w:t>
      </w:r>
      <w:r w:rsidR="00D6519A" w:rsidRPr="00A53C01">
        <w:rPr>
          <w:rFonts w:eastAsia="Calibri" w:cs="Times New Roman"/>
          <w:iCs/>
          <w:szCs w:val="24"/>
        </w:rPr>
        <w:t xml:space="preserve"> threat</w:t>
      </w:r>
      <w:r w:rsidR="00B73AAD" w:rsidRPr="00A53C01">
        <w:rPr>
          <w:rFonts w:eastAsia="Calibri" w:cs="Times New Roman"/>
          <w:iCs/>
          <w:szCs w:val="24"/>
        </w:rPr>
        <w:t xml:space="preserve">. </w:t>
      </w:r>
      <w:r w:rsidR="00C80DFA" w:rsidRPr="00A53C01">
        <w:rPr>
          <w:rFonts w:eastAsia="Calibri" w:cs="Times New Roman"/>
          <w:iCs/>
          <w:szCs w:val="24"/>
        </w:rPr>
        <w:t xml:space="preserve">Dutch officials expressed doubt that the embargo </w:t>
      </w:r>
      <w:r w:rsidR="00D6519A" w:rsidRPr="00A53C01">
        <w:rPr>
          <w:rFonts w:eastAsia="Calibri" w:cs="Times New Roman"/>
          <w:iCs/>
          <w:szCs w:val="24"/>
        </w:rPr>
        <w:t>mattered</w:t>
      </w:r>
      <w:r w:rsidR="00C80DFA" w:rsidRPr="00A53C01">
        <w:rPr>
          <w:rFonts w:eastAsia="Calibri" w:cs="Times New Roman"/>
          <w:iCs/>
          <w:szCs w:val="24"/>
        </w:rPr>
        <w:t xml:space="preserve"> to China’s capabilities</w:t>
      </w:r>
      <w:r w:rsidR="00624A03" w:rsidRPr="00A53C01">
        <w:rPr>
          <w:rFonts w:eastAsia="Calibri" w:cs="Times New Roman"/>
          <w:iCs/>
          <w:szCs w:val="24"/>
        </w:rPr>
        <w:t xml:space="preserve">, and </w:t>
      </w:r>
      <w:r w:rsidR="008977DE" w:rsidRPr="00A53C01">
        <w:rPr>
          <w:rFonts w:eastAsia="Calibri" w:cs="Times New Roman"/>
          <w:iCs/>
          <w:szCs w:val="24"/>
        </w:rPr>
        <w:t>Foreign Minister Bernard Bot</w:t>
      </w:r>
      <w:r w:rsidR="00B73AAD" w:rsidRPr="00A53C01">
        <w:rPr>
          <w:rFonts w:eastAsia="Calibri" w:cs="Times New Roman"/>
          <w:iCs/>
          <w:szCs w:val="24"/>
        </w:rPr>
        <w:t xml:space="preserve"> subsequently</w:t>
      </w:r>
      <w:r w:rsidR="008977DE" w:rsidRPr="00A53C01">
        <w:rPr>
          <w:rFonts w:eastAsia="Calibri" w:cs="Times New Roman"/>
          <w:iCs/>
          <w:szCs w:val="24"/>
        </w:rPr>
        <w:t xml:space="preserve"> told Ambassador Clifford Sobel </w:t>
      </w:r>
      <w:r w:rsidR="008977DE" w:rsidRPr="00A53C01">
        <w:rPr>
          <w:rFonts w:cs="Times New Roman"/>
          <w:szCs w:val="24"/>
        </w:rPr>
        <w:t>that</w:t>
      </w:r>
      <w:r w:rsidR="00C167F6" w:rsidRPr="00A53C01">
        <w:rPr>
          <w:rFonts w:cs="Times New Roman"/>
          <w:szCs w:val="24"/>
        </w:rPr>
        <w:t xml:space="preserve"> there was no doubt between that the embargo would </w:t>
      </w:r>
      <w:r w:rsidR="00835588" w:rsidRPr="00A53C01">
        <w:rPr>
          <w:rFonts w:cs="Times New Roman"/>
          <w:szCs w:val="24"/>
        </w:rPr>
        <w:t>end</w:t>
      </w:r>
      <w:r w:rsidR="00C167F6" w:rsidRPr="00A53C01">
        <w:rPr>
          <w:rFonts w:cs="Times New Roman"/>
          <w:szCs w:val="24"/>
        </w:rPr>
        <w:t xml:space="preserve"> (</w:t>
      </w:r>
      <w:r w:rsidR="00902065" w:rsidRPr="00A53C01">
        <w:rPr>
          <w:rFonts w:cs="Times New Roman"/>
          <w:szCs w:val="24"/>
        </w:rPr>
        <w:t xml:space="preserve">US Embassy </w:t>
      </w:r>
      <w:r w:rsidR="00C167F6" w:rsidRPr="00A53C01">
        <w:rPr>
          <w:rFonts w:cs="Times New Roman"/>
          <w:szCs w:val="24"/>
        </w:rPr>
        <w:t>Netherlands, 2004</w:t>
      </w:r>
      <w:r w:rsidR="00C80DFA" w:rsidRPr="00A53C01">
        <w:rPr>
          <w:rFonts w:cs="Times New Roman"/>
          <w:szCs w:val="24"/>
        </w:rPr>
        <w:t>Xd</w:t>
      </w:r>
      <w:r w:rsidR="00C167F6" w:rsidRPr="00A53C01">
        <w:rPr>
          <w:rFonts w:cs="Times New Roman"/>
          <w:szCs w:val="24"/>
        </w:rPr>
        <w:t xml:space="preserve">). </w:t>
      </w:r>
      <w:r w:rsidR="00DA0B3A" w:rsidRPr="00A53C01">
        <w:rPr>
          <w:rFonts w:eastAsia="Calibri" w:cs="Times New Roman"/>
          <w:iCs/>
          <w:szCs w:val="24"/>
        </w:rPr>
        <w:t>Chirac</w:t>
      </w:r>
      <w:r w:rsidR="000A1AFE" w:rsidRPr="00A53C01">
        <w:rPr>
          <w:rFonts w:eastAsia="Calibri" w:cs="Times New Roman"/>
          <w:iCs/>
          <w:szCs w:val="24"/>
        </w:rPr>
        <w:t xml:space="preserve"> publicly</w:t>
      </w:r>
      <w:r w:rsidR="00DA0B3A" w:rsidRPr="00A53C01">
        <w:rPr>
          <w:rFonts w:eastAsia="Calibri" w:cs="Times New Roman"/>
          <w:iCs/>
          <w:szCs w:val="24"/>
        </w:rPr>
        <w:t xml:space="preserve"> promised “to obtain the swiftest possible lifting</w:t>
      </w:r>
      <w:r w:rsidR="000504DF" w:rsidRPr="00A53C01">
        <w:rPr>
          <w:rFonts w:eastAsia="Calibri" w:cs="Times New Roman"/>
          <w:iCs/>
          <w:szCs w:val="24"/>
        </w:rPr>
        <w:t>” as the embargo was “</w:t>
      </w:r>
      <w:r w:rsidR="00DA0B3A" w:rsidRPr="00A53C01">
        <w:rPr>
          <w:rFonts w:eastAsia="Calibri" w:cs="Times New Roman"/>
          <w:iCs/>
          <w:szCs w:val="24"/>
        </w:rPr>
        <w:t>of another time, and no longer corresponds to today's realities” (cited by The Economist, 2010)</w:t>
      </w:r>
      <w:r w:rsidR="004637D3" w:rsidRPr="00A53C01">
        <w:rPr>
          <w:rFonts w:eastAsia="Calibri" w:cs="Times New Roman"/>
          <w:iCs/>
          <w:szCs w:val="24"/>
        </w:rPr>
        <w:t xml:space="preserve">. </w:t>
      </w:r>
      <w:r w:rsidR="00E47959" w:rsidRPr="00A53C01">
        <w:rPr>
          <w:rFonts w:eastAsia="Calibri" w:cs="Times New Roman"/>
          <w:iCs/>
          <w:szCs w:val="24"/>
        </w:rPr>
        <w:t>The gap between EU and US assessments of ‘today’s realities’ was under</w:t>
      </w:r>
      <w:r w:rsidR="008977DE" w:rsidRPr="00A53C01">
        <w:rPr>
          <w:rFonts w:eastAsia="Calibri" w:cs="Times New Roman"/>
          <w:iCs/>
          <w:szCs w:val="24"/>
        </w:rPr>
        <w:t>scored</w:t>
      </w:r>
      <w:r w:rsidR="00E47959" w:rsidRPr="00A53C01">
        <w:rPr>
          <w:rFonts w:eastAsia="Calibri" w:cs="Times New Roman"/>
          <w:iCs/>
          <w:szCs w:val="24"/>
        </w:rPr>
        <w:t xml:space="preserve"> by </w:t>
      </w:r>
      <w:r w:rsidR="00DA0B3A" w:rsidRPr="00A53C01">
        <w:rPr>
          <w:rFonts w:eastAsia="Calibri" w:cs="Times New Roman"/>
          <w:iCs/>
          <w:szCs w:val="24"/>
        </w:rPr>
        <w:t>Chirac</w:t>
      </w:r>
      <w:r w:rsidR="00740FE0" w:rsidRPr="00A53C01">
        <w:rPr>
          <w:rFonts w:eastAsia="Calibri" w:cs="Times New Roman"/>
          <w:iCs/>
          <w:szCs w:val="24"/>
        </w:rPr>
        <w:t xml:space="preserve"> comment</w:t>
      </w:r>
      <w:r w:rsidR="00515E3C" w:rsidRPr="00A53C01">
        <w:rPr>
          <w:rFonts w:eastAsia="Calibri" w:cs="Times New Roman"/>
          <w:iCs/>
          <w:szCs w:val="24"/>
        </w:rPr>
        <w:t>ing</w:t>
      </w:r>
      <w:r w:rsidR="001F0876" w:rsidRPr="00A53C01">
        <w:rPr>
          <w:rFonts w:eastAsia="Calibri" w:cs="Times New Roman"/>
          <w:iCs/>
          <w:szCs w:val="24"/>
        </w:rPr>
        <w:t xml:space="preserve"> that </w:t>
      </w:r>
      <w:r w:rsidR="00DA0B3A" w:rsidRPr="00A53C01">
        <w:rPr>
          <w:rFonts w:eastAsia="Calibri" w:cs="Times New Roman"/>
          <w:iCs/>
          <w:szCs w:val="24"/>
        </w:rPr>
        <w:t>“our American fr</w:t>
      </w:r>
      <w:r w:rsidR="000504DF" w:rsidRPr="00A53C01">
        <w:rPr>
          <w:rFonts w:eastAsia="Calibri" w:cs="Times New Roman"/>
          <w:iCs/>
          <w:szCs w:val="24"/>
        </w:rPr>
        <w:t xml:space="preserve">iends have strong reservations” </w:t>
      </w:r>
      <w:r w:rsidR="00740FE0" w:rsidRPr="00A53C01">
        <w:rPr>
          <w:rFonts w:eastAsia="Calibri" w:cs="Times New Roman"/>
          <w:iCs/>
          <w:szCs w:val="24"/>
        </w:rPr>
        <w:t>without offering</w:t>
      </w:r>
      <w:r w:rsidR="00515E3C" w:rsidRPr="00A53C01">
        <w:rPr>
          <w:rFonts w:eastAsia="Calibri" w:cs="Times New Roman"/>
          <w:iCs/>
          <w:szCs w:val="24"/>
        </w:rPr>
        <w:t xml:space="preserve"> any concessions to these</w:t>
      </w:r>
      <w:r w:rsidR="00DA0B3A" w:rsidRPr="00A53C01">
        <w:rPr>
          <w:rFonts w:eastAsia="Calibri" w:cs="Times New Roman"/>
          <w:iCs/>
          <w:szCs w:val="24"/>
        </w:rPr>
        <w:t xml:space="preserve"> (cited by Dombey, 2004a)</w:t>
      </w:r>
      <w:r w:rsidR="00E47959" w:rsidRPr="00A53C01">
        <w:rPr>
          <w:rFonts w:eastAsia="Calibri" w:cs="Times New Roman"/>
          <w:iCs/>
          <w:szCs w:val="24"/>
        </w:rPr>
        <w:t xml:space="preserve">. </w:t>
      </w:r>
      <w:r w:rsidR="00B34197" w:rsidRPr="00A53C01">
        <w:rPr>
          <w:rFonts w:eastAsia="Calibri" w:cs="Times New Roman"/>
          <w:iCs/>
          <w:szCs w:val="24"/>
        </w:rPr>
        <w:t>Yet</w:t>
      </w:r>
      <w:r w:rsidR="00E47959" w:rsidRPr="00A53C01">
        <w:rPr>
          <w:rFonts w:eastAsia="Calibri" w:cs="Times New Roman"/>
          <w:iCs/>
          <w:szCs w:val="24"/>
        </w:rPr>
        <w:t xml:space="preserve"> Such</w:t>
      </w:r>
      <w:r w:rsidR="00B50F53" w:rsidRPr="00A53C01">
        <w:rPr>
          <w:rFonts w:eastAsia="Calibri" w:cs="Times New Roman"/>
          <w:iCs/>
          <w:szCs w:val="24"/>
        </w:rPr>
        <w:t>an</w:t>
      </w:r>
      <w:r w:rsidR="00B34197" w:rsidRPr="00A53C01">
        <w:rPr>
          <w:rFonts w:eastAsia="Calibri" w:cs="Times New Roman"/>
          <w:iCs/>
          <w:szCs w:val="24"/>
        </w:rPr>
        <w:t xml:space="preserve"> subsequently</w:t>
      </w:r>
      <w:r w:rsidR="00274826" w:rsidRPr="00A53C01">
        <w:rPr>
          <w:rFonts w:eastAsia="Calibri" w:cs="Times New Roman"/>
          <w:iCs/>
          <w:szCs w:val="24"/>
        </w:rPr>
        <w:t xml:space="preserve"> </w:t>
      </w:r>
      <w:r w:rsidR="00B34197" w:rsidRPr="00A53C01">
        <w:rPr>
          <w:rFonts w:eastAsia="Calibri" w:cs="Times New Roman"/>
          <w:iCs/>
          <w:szCs w:val="24"/>
        </w:rPr>
        <w:t>stated</w:t>
      </w:r>
      <w:r w:rsidR="001F0876" w:rsidRPr="00A53C01">
        <w:rPr>
          <w:rFonts w:eastAsia="Calibri" w:cs="Times New Roman"/>
          <w:iCs/>
          <w:szCs w:val="24"/>
        </w:rPr>
        <w:t xml:space="preserve"> </w:t>
      </w:r>
      <w:r w:rsidR="00DA0B3A" w:rsidRPr="00A53C01">
        <w:rPr>
          <w:rFonts w:eastAsia="Calibri" w:cs="Times New Roman"/>
          <w:iCs/>
          <w:szCs w:val="24"/>
        </w:rPr>
        <w:t xml:space="preserve">that </w:t>
      </w:r>
      <w:r w:rsidR="00E47959" w:rsidRPr="00A53C01">
        <w:rPr>
          <w:rFonts w:eastAsia="Calibri" w:cs="Times New Roman"/>
          <w:iCs/>
          <w:szCs w:val="24"/>
        </w:rPr>
        <w:t>t</w:t>
      </w:r>
      <w:r w:rsidR="00DA0B3A" w:rsidRPr="00A53C01">
        <w:rPr>
          <w:rFonts w:eastAsia="Calibri" w:cs="Times New Roman"/>
          <w:iCs/>
          <w:szCs w:val="24"/>
        </w:rPr>
        <w:t>he</w:t>
      </w:r>
      <w:r w:rsidR="001F0876" w:rsidRPr="00A53C01">
        <w:rPr>
          <w:rFonts w:eastAsia="Calibri" w:cs="Times New Roman"/>
          <w:iCs/>
          <w:szCs w:val="24"/>
        </w:rPr>
        <w:t xml:space="preserve"> US</w:t>
      </w:r>
      <w:r w:rsidR="00DA0B3A" w:rsidRPr="00A53C01">
        <w:rPr>
          <w:rFonts w:eastAsia="Calibri" w:cs="Times New Roman"/>
          <w:iCs/>
          <w:szCs w:val="24"/>
        </w:rPr>
        <w:t xml:space="preserve"> was “not pessimistic about the reaction we are going to g</w:t>
      </w:r>
      <w:r w:rsidR="00E47959" w:rsidRPr="00A53C01">
        <w:rPr>
          <w:rFonts w:eastAsia="Calibri" w:cs="Times New Roman"/>
          <w:iCs/>
          <w:szCs w:val="24"/>
        </w:rPr>
        <w:t>et from EU governments</w:t>
      </w:r>
      <w:r w:rsidR="00B42863" w:rsidRPr="00A53C01">
        <w:rPr>
          <w:rFonts w:eastAsia="Calibri" w:cs="Times New Roman"/>
          <w:iCs/>
          <w:szCs w:val="24"/>
        </w:rPr>
        <w:t>”</w:t>
      </w:r>
      <w:r w:rsidR="00E47959" w:rsidRPr="00A53C01">
        <w:rPr>
          <w:rFonts w:eastAsia="Calibri" w:cs="Times New Roman"/>
          <w:iCs/>
          <w:szCs w:val="24"/>
        </w:rPr>
        <w:t xml:space="preserve"> </w:t>
      </w:r>
      <w:r w:rsidR="00DA0B3A" w:rsidRPr="00A53C01">
        <w:rPr>
          <w:rFonts w:eastAsia="Calibri" w:cs="Times New Roman"/>
          <w:iCs/>
          <w:szCs w:val="24"/>
        </w:rPr>
        <w:t>(cited by Dombey, 2004a)</w:t>
      </w:r>
      <w:r w:rsidR="00756AAC" w:rsidRPr="00A53C01">
        <w:rPr>
          <w:rFonts w:eastAsia="Calibri" w:cs="Times New Roman"/>
          <w:iCs/>
          <w:szCs w:val="24"/>
        </w:rPr>
        <w:t>.</w:t>
      </w:r>
      <w:r w:rsidR="00DA0B3A" w:rsidRPr="00A53C01">
        <w:rPr>
          <w:rFonts w:eastAsia="Calibri" w:cs="Times New Roman"/>
          <w:iCs/>
          <w:szCs w:val="24"/>
        </w:rPr>
        <w:t xml:space="preserve"> </w:t>
      </w:r>
      <w:r w:rsidR="00756AAC" w:rsidRPr="00A53C01">
        <w:rPr>
          <w:rFonts w:eastAsia="Calibri" w:cs="Times New Roman"/>
          <w:iCs/>
          <w:szCs w:val="24"/>
        </w:rPr>
        <w:t>Both</w:t>
      </w:r>
      <w:r w:rsidR="00DA0B3A" w:rsidRPr="00A53C01">
        <w:rPr>
          <w:rFonts w:eastAsia="Calibri" w:cs="Times New Roman"/>
          <w:iCs/>
          <w:szCs w:val="24"/>
        </w:rPr>
        <w:t xml:space="preserve"> s</w:t>
      </w:r>
      <w:r w:rsidR="00756AAC" w:rsidRPr="00A53C01">
        <w:rPr>
          <w:rFonts w:eastAsia="Calibri" w:cs="Times New Roman"/>
          <w:iCs/>
          <w:szCs w:val="24"/>
        </w:rPr>
        <w:t xml:space="preserve">tatements reflect an inability </w:t>
      </w:r>
      <w:r w:rsidR="00DA0B3A" w:rsidRPr="00A53C01">
        <w:rPr>
          <w:rFonts w:eastAsia="Calibri" w:cs="Times New Roman"/>
          <w:iCs/>
          <w:szCs w:val="24"/>
        </w:rPr>
        <w:t xml:space="preserve">to appreciate the </w:t>
      </w:r>
      <w:r w:rsidR="000504DF" w:rsidRPr="00A53C01">
        <w:rPr>
          <w:rFonts w:eastAsia="Calibri" w:cs="Times New Roman"/>
          <w:iCs/>
          <w:szCs w:val="24"/>
        </w:rPr>
        <w:t>distance</w:t>
      </w:r>
      <w:r w:rsidR="00DA0B3A" w:rsidRPr="00A53C01">
        <w:rPr>
          <w:rFonts w:eastAsia="Calibri" w:cs="Times New Roman"/>
          <w:iCs/>
          <w:szCs w:val="24"/>
        </w:rPr>
        <w:t xml:space="preserve"> between their positions</w:t>
      </w:r>
      <w:r w:rsidR="00E47959" w:rsidRPr="00A53C01">
        <w:rPr>
          <w:rFonts w:eastAsia="Calibri" w:cs="Times New Roman"/>
          <w:iCs/>
          <w:szCs w:val="24"/>
        </w:rPr>
        <w:t xml:space="preserve">, and by </w:t>
      </w:r>
      <w:r w:rsidR="00B34197" w:rsidRPr="00A53C01">
        <w:rPr>
          <w:rFonts w:eastAsia="Calibri" w:cs="Times New Roman"/>
          <w:iCs/>
          <w:szCs w:val="24"/>
        </w:rPr>
        <w:t>extension</w:t>
      </w:r>
      <w:r w:rsidR="00E47959" w:rsidRPr="00A53C01">
        <w:rPr>
          <w:rFonts w:eastAsia="Calibri" w:cs="Times New Roman"/>
          <w:iCs/>
          <w:szCs w:val="24"/>
        </w:rPr>
        <w:t xml:space="preserve"> the</w:t>
      </w:r>
      <w:r w:rsidR="001F0876" w:rsidRPr="00A53C01">
        <w:rPr>
          <w:rFonts w:eastAsia="Calibri" w:cs="Times New Roman"/>
          <w:iCs/>
          <w:szCs w:val="24"/>
        </w:rPr>
        <w:t xml:space="preserve"> continued</w:t>
      </w:r>
      <w:r w:rsidR="00E47959" w:rsidRPr="00A53C01">
        <w:rPr>
          <w:rFonts w:eastAsia="Calibri" w:cs="Times New Roman"/>
          <w:iCs/>
          <w:szCs w:val="24"/>
        </w:rPr>
        <w:t xml:space="preserve"> failure of the US’s securitizing moves</w:t>
      </w:r>
      <w:r w:rsidR="00DA0B3A" w:rsidRPr="00A53C01">
        <w:rPr>
          <w:rFonts w:eastAsia="Calibri" w:cs="Times New Roman"/>
          <w:iCs/>
          <w:szCs w:val="24"/>
        </w:rPr>
        <w:t>.</w:t>
      </w:r>
    </w:p>
    <w:p w14:paraId="26A21B34" w14:textId="77777777" w:rsidR="003F238E" w:rsidRPr="00A53C01" w:rsidRDefault="003F238E" w:rsidP="00A53C01">
      <w:pPr>
        <w:spacing w:line="312" w:lineRule="auto"/>
        <w:rPr>
          <w:rFonts w:cs="Times New Roman"/>
          <w:szCs w:val="24"/>
        </w:rPr>
      </w:pPr>
    </w:p>
    <w:p w14:paraId="44C068D0" w14:textId="2CDB314B" w:rsidR="00BB754C" w:rsidRPr="00A53C01" w:rsidRDefault="00A37F14" w:rsidP="00A53C01">
      <w:pPr>
        <w:spacing w:line="312" w:lineRule="auto"/>
        <w:rPr>
          <w:rFonts w:eastAsia="Calibri" w:cs="Times New Roman"/>
          <w:iCs/>
          <w:szCs w:val="24"/>
        </w:rPr>
      </w:pPr>
      <w:r w:rsidRPr="00A53C01">
        <w:rPr>
          <w:rFonts w:cs="Times New Roman"/>
          <w:szCs w:val="24"/>
        </w:rPr>
        <w:t>The US stepped up its efforts in early 2005, continu</w:t>
      </w:r>
      <w:r w:rsidR="00B81CC8" w:rsidRPr="00A53C01">
        <w:rPr>
          <w:rFonts w:cs="Times New Roman"/>
          <w:szCs w:val="24"/>
        </w:rPr>
        <w:t>ing</w:t>
      </w:r>
      <w:r w:rsidRPr="00A53C01">
        <w:rPr>
          <w:rFonts w:cs="Times New Roman"/>
          <w:szCs w:val="24"/>
        </w:rPr>
        <w:t xml:space="preserve"> with coercive language in an effort to underline the </w:t>
      </w:r>
      <w:r w:rsidR="003F750C" w:rsidRPr="00A53C01">
        <w:rPr>
          <w:rFonts w:cs="Times New Roman"/>
          <w:szCs w:val="24"/>
        </w:rPr>
        <w:t>gravity</w:t>
      </w:r>
      <w:r w:rsidRPr="00A53C01">
        <w:rPr>
          <w:rFonts w:cs="Times New Roman"/>
          <w:szCs w:val="24"/>
        </w:rPr>
        <w:t xml:space="preserve"> of the matter. </w:t>
      </w:r>
      <w:r w:rsidR="003F750C" w:rsidRPr="00A53C01">
        <w:rPr>
          <w:rFonts w:eastAsia="Calibri" w:cs="Times New Roman"/>
          <w:iCs/>
          <w:szCs w:val="24"/>
        </w:rPr>
        <w:t>One</w:t>
      </w:r>
      <w:r w:rsidR="00C167F6" w:rsidRPr="00A53C01">
        <w:rPr>
          <w:rFonts w:eastAsia="Calibri" w:cs="Times New Roman"/>
          <w:iCs/>
          <w:szCs w:val="24"/>
        </w:rPr>
        <w:t xml:space="preserve"> senior</w:t>
      </w:r>
      <w:r w:rsidRPr="00A53C01">
        <w:rPr>
          <w:rFonts w:eastAsia="Calibri" w:cs="Times New Roman"/>
          <w:iCs/>
          <w:szCs w:val="24"/>
        </w:rPr>
        <w:t xml:space="preserve"> </w:t>
      </w:r>
      <w:r w:rsidR="00C167F6" w:rsidRPr="00A53C01">
        <w:rPr>
          <w:rFonts w:eastAsia="Calibri" w:cs="Times New Roman"/>
          <w:iCs/>
          <w:szCs w:val="24"/>
        </w:rPr>
        <w:t xml:space="preserve">official warned that “a failure to understand the significance of this issue is going to result in major problems for transatlantic arms procurement” (cited by Dombey and Fidler, 2005). </w:t>
      </w:r>
      <w:r w:rsidRPr="00A53C01">
        <w:rPr>
          <w:rFonts w:eastAsia="Calibri" w:cs="Times New Roman"/>
          <w:iCs/>
          <w:szCs w:val="24"/>
        </w:rPr>
        <w:t xml:space="preserve">Newly-installed Secretary of State </w:t>
      </w:r>
      <w:r w:rsidR="00C167F6" w:rsidRPr="00A53C01">
        <w:rPr>
          <w:rFonts w:eastAsia="Calibri" w:cs="Times New Roman"/>
          <w:iCs/>
          <w:szCs w:val="24"/>
        </w:rPr>
        <w:t>Condoleezza Rice (2005</w:t>
      </w:r>
      <w:r w:rsidR="00BB754C" w:rsidRPr="00A53C01">
        <w:rPr>
          <w:rFonts w:eastAsia="Calibri" w:cs="Times New Roman"/>
          <w:iCs/>
          <w:szCs w:val="24"/>
        </w:rPr>
        <w:t>a</w:t>
      </w:r>
      <w:r w:rsidR="00C167F6" w:rsidRPr="00A53C01">
        <w:rPr>
          <w:rFonts w:eastAsia="Calibri" w:cs="Times New Roman"/>
          <w:iCs/>
          <w:szCs w:val="24"/>
        </w:rPr>
        <w:t xml:space="preserve">) </w:t>
      </w:r>
      <w:r w:rsidR="000504DF" w:rsidRPr="00A53C01">
        <w:rPr>
          <w:rFonts w:eastAsia="Calibri" w:cs="Times New Roman"/>
          <w:iCs/>
          <w:szCs w:val="24"/>
        </w:rPr>
        <w:t xml:space="preserve">denied </w:t>
      </w:r>
      <w:r w:rsidRPr="00A53C01">
        <w:rPr>
          <w:rFonts w:eastAsia="Calibri" w:cs="Times New Roman"/>
          <w:iCs/>
          <w:szCs w:val="24"/>
        </w:rPr>
        <w:t>transatlantic</w:t>
      </w:r>
      <w:r w:rsidR="00C167F6" w:rsidRPr="00A53C01">
        <w:rPr>
          <w:rFonts w:eastAsia="Calibri" w:cs="Times New Roman"/>
          <w:iCs/>
          <w:szCs w:val="24"/>
        </w:rPr>
        <w:t xml:space="preserve"> disagree</w:t>
      </w:r>
      <w:r w:rsidRPr="00A53C01">
        <w:rPr>
          <w:rFonts w:eastAsia="Calibri" w:cs="Times New Roman"/>
          <w:iCs/>
          <w:szCs w:val="24"/>
        </w:rPr>
        <w:t>ment</w:t>
      </w:r>
      <w:r w:rsidR="00C167F6" w:rsidRPr="00A53C01">
        <w:rPr>
          <w:rFonts w:eastAsia="Calibri" w:cs="Times New Roman"/>
          <w:iCs/>
          <w:szCs w:val="24"/>
        </w:rPr>
        <w:t xml:space="preserve">, </w:t>
      </w:r>
      <w:r w:rsidR="000504DF" w:rsidRPr="00A53C01">
        <w:rPr>
          <w:rFonts w:eastAsia="Calibri" w:cs="Times New Roman"/>
          <w:iCs/>
          <w:szCs w:val="24"/>
        </w:rPr>
        <w:t>claiming shared</w:t>
      </w:r>
      <w:r w:rsidR="00C167F6" w:rsidRPr="00A53C01">
        <w:rPr>
          <w:rFonts w:eastAsia="Calibri" w:cs="Times New Roman"/>
          <w:iCs/>
          <w:szCs w:val="24"/>
        </w:rPr>
        <w:t xml:space="preserve"> “concerns about how to deal with the prospect of a China that is economically rising very quickly, and of course… the political power… [and] the regional power that goes with that”. </w:t>
      </w:r>
      <w:r w:rsidR="009E45A0" w:rsidRPr="00A53C01">
        <w:rPr>
          <w:rFonts w:eastAsia="Calibri" w:cs="Times New Roman"/>
          <w:iCs/>
          <w:szCs w:val="24"/>
        </w:rPr>
        <w:t xml:space="preserve">Although not directly referencing security threats that were being communicated </w:t>
      </w:r>
      <w:r w:rsidR="00B42863" w:rsidRPr="00A53C01">
        <w:rPr>
          <w:rFonts w:eastAsia="Calibri" w:cs="Times New Roman"/>
          <w:iCs/>
          <w:szCs w:val="24"/>
        </w:rPr>
        <w:t>via</w:t>
      </w:r>
      <w:r w:rsidR="009E45A0" w:rsidRPr="00A53C01">
        <w:rPr>
          <w:rFonts w:eastAsia="Calibri" w:cs="Times New Roman"/>
          <w:iCs/>
          <w:szCs w:val="24"/>
        </w:rPr>
        <w:t xml:space="preserve"> private channels, the statement is nevertheless </w:t>
      </w:r>
      <w:r w:rsidR="005A5B66" w:rsidRPr="00A53C01">
        <w:rPr>
          <w:rFonts w:eastAsia="Calibri" w:cs="Times New Roman"/>
          <w:iCs/>
          <w:szCs w:val="24"/>
        </w:rPr>
        <w:t>illustrative of the failure of the US to identify and address</w:t>
      </w:r>
      <w:r w:rsidR="009E45A0" w:rsidRPr="00A53C01">
        <w:rPr>
          <w:rFonts w:eastAsia="Calibri" w:cs="Times New Roman"/>
          <w:iCs/>
          <w:szCs w:val="24"/>
        </w:rPr>
        <w:t xml:space="preserve"> their divergent assessments of China’s rise. </w:t>
      </w:r>
      <w:r w:rsidR="00BB754C" w:rsidRPr="00A53C01">
        <w:rPr>
          <w:rFonts w:eastAsia="Calibri" w:cs="Times New Roman"/>
          <w:iCs/>
        </w:rPr>
        <w:t xml:space="preserve">Following </w:t>
      </w:r>
      <w:r w:rsidR="00BB754C" w:rsidRPr="00A53C01">
        <w:rPr>
          <w:rFonts w:eastAsia="Calibri" w:cs="Times New Roman"/>
          <w:iCs/>
        </w:rPr>
        <w:lastRenderedPageBreak/>
        <w:t>talks with high-level EU officials, Rice (2005b) reported that the US was “being listened to”, but</w:t>
      </w:r>
      <w:r w:rsidR="00B42863" w:rsidRPr="00A53C01">
        <w:rPr>
          <w:rFonts w:eastAsia="Calibri" w:cs="Times New Roman"/>
          <w:iCs/>
        </w:rPr>
        <w:t xml:space="preserve"> also</w:t>
      </w:r>
      <w:r w:rsidR="00BB754C" w:rsidRPr="00A53C01">
        <w:rPr>
          <w:rFonts w:eastAsia="Calibri" w:cs="Times New Roman"/>
          <w:iCs/>
        </w:rPr>
        <w:t xml:space="preserve"> emphasised</w:t>
      </w:r>
      <w:r w:rsidR="00B42863" w:rsidRPr="00A53C01">
        <w:rPr>
          <w:rFonts w:eastAsia="Calibri" w:cs="Times New Roman"/>
          <w:iCs/>
        </w:rPr>
        <w:t xml:space="preserve"> apprehensions</w:t>
      </w:r>
      <w:r w:rsidR="00BB754C" w:rsidRPr="00A53C01">
        <w:rPr>
          <w:rFonts w:eastAsia="Calibri" w:cs="Times New Roman"/>
          <w:iCs/>
        </w:rPr>
        <w:t xml:space="preserve"> “about the military balance in that region and… [the impact of] technology transfers”, linking these to the </w:t>
      </w:r>
      <w:r w:rsidR="00B42863" w:rsidRPr="00A53C01">
        <w:rPr>
          <w:rFonts w:eastAsia="Calibri" w:cs="Times New Roman"/>
          <w:iCs/>
        </w:rPr>
        <w:t xml:space="preserve">embargo’s status. </w:t>
      </w:r>
      <w:r w:rsidR="00BB754C" w:rsidRPr="00A53C01">
        <w:rPr>
          <w:rFonts w:eastAsia="Calibri" w:cs="Times New Roman"/>
          <w:iCs/>
        </w:rPr>
        <w:t xml:space="preserve">  </w:t>
      </w:r>
    </w:p>
    <w:p w14:paraId="69A15DD5" w14:textId="77777777" w:rsidR="00737B2E" w:rsidRPr="00A53C01" w:rsidRDefault="00737B2E" w:rsidP="00A53C01">
      <w:pPr>
        <w:spacing w:line="312" w:lineRule="auto"/>
        <w:rPr>
          <w:rFonts w:eastAsia="Calibri" w:cs="Times New Roman"/>
          <w:iCs/>
        </w:rPr>
      </w:pPr>
    </w:p>
    <w:p w14:paraId="3B114213" w14:textId="287546A6" w:rsidR="00740046" w:rsidRPr="00A53C01" w:rsidRDefault="006A0215" w:rsidP="00A53C01">
      <w:pPr>
        <w:spacing w:line="312" w:lineRule="auto"/>
        <w:rPr>
          <w:rFonts w:eastAsia="Calibri" w:cs="Times New Roman"/>
          <w:iCs/>
          <w:szCs w:val="24"/>
        </w:rPr>
      </w:pPr>
      <w:r w:rsidRPr="00A53C01">
        <w:rPr>
          <w:rFonts w:eastAsia="Calibri" w:cs="Times New Roman"/>
          <w:iCs/>
        </w:rPr>
        <w:t xml:space="preserve">The positions of Chirac and Bush were laid bare on the public stage when the two met. </w:t>
      </w:r>
      <w:r w:rsidR="00737B2E" w:rsidRPr="00A53C01">
        <w:rPr>
          <w:rFonts w:eastAsia="Calibri" w:cs="Times New Roman"/>
          <w:iCs/>
        </w:rPr>
        <w:t>Chirac stipulated that the EU would lift the embargo</w:t>
      </w:r>
      <w:r w:rsidRPr="00A53C01">
        <w:rPr>
          <w:rFonts w:eastAsia="Calibri" w:cs="Times New Roman"/>
          <w:iCs/>
        </w:rPr>
        <w:t>, a political issue</w:t>
      </w:r>
      <w:r w:rsidR="00737B2E" w:rsidRPr="00A53C01">
        <w:rPr>
          <w:rFonts w:eastAsia="Calibri" w:cs="Times New Roman"/>
          <w:iCs/>
        </w:rPr>
        <w:t xml:space="preserve"> which constituted one of the “last obstacles to… relations with this great power of the 21</w:t>
      </w:r>
      <w:r w:rsidR="00737B2E" w:rsidRPr="00A53C01">
        <w:rPr>
          <w:rFonts w:eastAsia="Calibri" w:cs="Times New Roman"/>
          <w:iCs/>
          <w:vertAlign w:val="superscript"/>
        </w:rPr>
        <w:t>st</w:t>
      </w:r>
      <w:r w:rsidR="00A12879" w:rsidRPr="00A53C01">
        <w:rPr>
          <w:rFonts w:eastAsia="Calibri" w:cs="Times New Roman"/>
          <w:iCs/>
        </w:rPr>
        <w:t xml:space="preserve"> </w:t>
      </w:r>
      <w:r w:rsidR="00737B2E" w:rsidRPr="00A53C01">
        <w:rPr>
          <w:rFonts w:eastAsia="Calibri" w:cs="Times New Roman"/>
          <w:iCs/>
        </w:rPr>
        <w:t xml:space="preserve">Century” (cited by Rennie, 2005a). Bush, by contrast, </w:t>
      </w:r>
      <w:r w:rsidRPr="00A53C01">
        <w:rPr>
          <w:rFonts w:eastAsia="Calibri" w:cs="Times New Roman"/>
          <w:iCs/>
        </w:rPr>
        <w:t>stressed security</w:t>
      </w:r>
      <w:r w:rsidR="00B81CC8" w:rsidRPr="00A53C01">
        <w:rPr>
          <w:rFonts w:eastAsia="Calibri" w:cs="Times New Roman"/>
          <w:iCs/>
        </w:rPr>
        <w:t>:</w:t>
      </w:r>
      <w:r w:rsidRPr="00A53C01">
        <w:rPr>
          <w:rFonts w:eastAsia="Calibri" w:cs="Times New Roman"/>
          <w:iCs/>
        </w:rPr>
        <w:t xml:space="preserve"> </w:t>
      </w:r>
      <w:r w:rsidR="00737B2E" w:rsidRPr="00A53C01">
        <w:rPr>
          <w:rFonts w:eastAsia="Calibri" w:cs="Times New Roman"/>
          <w:iCs/>
        </w:rPr>
        <w:t>“the transfer of weapons would be a transfer of technology to China, which would change the balance of relations between China and Taiwan” (cited by Rennie, 2005a). Chirac claimed that the</w:t>
      </w:r>
      <w:r w:rsidR="00FF2F10" w:rsidRPr="00A53C01">
        <w:rPr>
          <w:rFonts w:eastAsia="Calibri" w:cs="Times New Roman"/>
          <w:iCs/>
        </w:rPr>
        <w:t xml:space="preserve"> embargo</w:t>
      </w:r>
      <w:r w:rsidR="00737B2E" w:rsidRPr="00A53C01">
        <w:rPr>
          <w:rFonts w:eastAsia="Calibri" w:cs="Times New Roman"/>
          <w:iCs/>
        </w:rPr>
        <w:t xml:space="preserve"> would only </w:t>
      </w:r>
      <w:r w:rsidR="00FF2F10" w:rsidRPr="00A53C01">
        <w:rPr>
          <w:rFonts w:eastAsia="Calibri" w:cs="Times New Roman"/>
          <w:iCs/>
        </w:rPr>
        <w:t>be lifted</w:t>
      </w:r>
      <w:r w:rsidR="00737B2E" w:rsidRPr="00A53C01">
        <w:rPr>
          <w:rFonts w:eastAsia="Calibri" w:cs="Times New Roman"/>
          <w:iCs/>
        </w:rPr>
        <w:t xml:space="preserve"> following </w:t>
      </w:r>
      <w:r w:rsidR="00D25CB0" w:rsidRPr="00A53C01">
        <w:rPr>
          <w:rFonts w:eastAsia="Calibri" w:cs="Times New Roman"/>
          <w:iCs/>
        </w:rPr>
        <w:t>transatlantic</w:t>
      </w:r>
      <w:r w:rsidR="00737B2E" w:rsidRPr="00A53C01">
        <w:rPr>
          <w:rFonts w:eastAsia="Calibri" w:cs="Times New Roman"/>
          <w:iCs/>
        </w:rPr>
        <w:t xml:space="preserve"> cooperating to define the necessary conditions (Bumiller, 2005)</w:t>
      </w:r>
      <w:r w:rsidR="00992317" w:rsidRPr="00A53C01">
        <w:rPr>
          <w:rFonts w:eastAsia="Calibri" w:cs="Times New Roman"/>
          <w:iCs/>
        </w:rPr>
        <w:t xml:space="preserve">, yet these diplomatic overtures </w:t>
      </w:r>
      <w:r w:rsidR="00D25CB0" w:rsidRPr="00A53C01">
        <w:rPr>
          <w:rFonts w:eastAsia="Calibri" w:cs="Times New Roman"/>
          <w:iCs/>
        </w:rPr>
        <w:t>did</w:t>
      </w:r>
      <w:r w:rsidR="00992317" w:rsidRPr="00A53C01">
        <w:rPr>
          <w:rFonts w:eastAsia="Calibri" w:cs="Times New Roman"/>
          <w:iCs/>
        </w:rPr>
        <w:t xml:space="preserve"> not </w:t>
      </w:r>
      <w:r w:rsidR="00D25CB0" w:rsidRPr="00A53C01">
        <w:rPr>
          <w:rFonts w:eastAsia="Calibri" w:cs="Times New Roman"/>
          <w:iCs/>
        </w:rPr>
        <w:t>translate</w:t>
      </w:r>
      <w:r w:rsidR="00992317" w:rsidRPr="00A53C01">
        <w:rPr>
          <w:rFonts w:eastAsia="Calibri" w:cs="Times New Roman"/>
          <w:iCs/>
        </w:rPr>
        <w:t xml:space="preserve"> into action. </w:t>
      </w:r>
      <w:r w:rsidR="00C73DD2" w:rsidRPr="00A53C01">
        <w:rPr>
          <w:rFonts w:eastAsia="Calibri" w:cs="Times New Roman"/>
          <w:iCs/>
          <w:szCs w:val="24"/>
        </w:rPr>
        <w:t>Despite</w:t>
      </w:r>
      <w:r w:rsidR="00B2559F" w:rsidRPr="00A53C01">
        <w:rPr>
          <w:rFonts w:eastAsia="Calibri" w:cs="Times New Roman"/>
          <w:iCs/>
          <w:szCs w:val="24"/>
        </w:rPr>
        <w:t xml:space="preserve"> </w:t>
      </w:r>
      <w:r w:rsidR="005A5B66" w:rsidRPr="00A53C01">
        <w:rPr>
          <w:rFonts w:eastAsia="Calibri" w:cs="Times New Roman"/>
          <w:iCs/>
          <w:szCs w:val="24"/>
        </w:rPr>
        <w:t>persistent</w:t>
      </w:r>
      <w:r w:rsidR="00B2559F" w:rsidRPr="00A53C01">
        <w:rPr>
          <w:rFonts w:eastAsia="Calibri" w:cs="Times New Roman"/>
          <w:iCs/>
          <w:szCs w:val="24"/>
        </w:rPr>
        <w:t xml:space="preserve"> US</w:t>
      </w:r>
      <w:r w:rsidR="00C73DD2" w:rsidRPr="00A53C01">
        <w:rPr>
          <w:rFonts w:eastAsia="Calibri" w:cs="Times New Roman"/>
          <w:iCs/>
          <w:szCs w:val="24"/>
        </w:rPr>
        <w:t xml:space="preserve"> </w:t>
      </w:r>
      <w:r w:rsidR="00B2559F" w:rsidRPr="00A53C01">
        <w:rPr>
          <w:rFonts w:eastAsia="Calibri" w:cs="Times New Roman"/>
          <w:iCs/>
          <w:szCs w:val="24"/>
        </w:rPr>
        <w:t>efforts</w:t>
      </w:r>
      <w:r w:rsidR="00C73DD2" w:rsidRPr="00A53C01">
        <w:rPr>
          <w:rFonts w:eastAsia="Calibri" w:cs="Times New Roman"/>
          <w:iCs/>
          <w:szCs w:val="24"/>
        </w:rPr>
        <w:t xml:space="preserve">, </w:t>
      </w:r>
      <w:r w:rsidR="00B2559F" w:rsidRPr="00A53C01">
        <w:rPr>
          <w:rFonts w:eastAsia="Calibri" w:cs="Times New Roman"/>
          <w:iCs/>
          <w:szCs w:val="24"/>
        </w:rPr>
        <w:t>all</w:t>
      </w:r>
      <w:r w:rsidR="007D2936" w:rsidRPr="00A53C01">
        <w:rPr>
          <w:rFonts w:eastAsia="Calibri" w:cs="Times New Roman"/>
          <w:iCs/>
          <w:szCs w:val="24"/>
        </w:rPr>
        <w:t xml:space="preserve"> </w:t>
      </w:r>
      <w:r w:rsidR="00B2559F" w:rsidRPr="00A53C01">
        <w:rPr>
          <w:rFonts w:eastAsia="Calibri" w:cs="Times New Roman"/>
          <w:iCs/>
          <w:szCs w:val="24"/>
        </w:rPr>
        <w:t xml:space="preserve">indicators pointed to an imminent </w:t>
      </w:r>
      <w:r w:rsidR="00FF2F10" w:rsidRPr="00A53C01">
        <w:rPr>
          <w:rFonts w:eastAsia="Calibri" w:cs="Times New Roman"/>
          <w:iCs/>
          <w:szCs w:val="24"/>
        </w:rPr>
        <w:t>unconditional</w:t>
      </w:r>
      <w:r w:rsidR="00B2559F" w:rsidRPr="00A53C01">
        <w:rPr>
          <w:rFonts w:eastAsia="Calibri" w:cs="Times New Roman"/>
          <w:iCs/>
          <w:szCs w:val="24"/>
        </w:rPr>
        <w:t xml:space="preserve"> lift</w:t>
      </w:r>
      <w:r w:rsidR="00FF2F10" w:rsidRPr="00A53C01">
        <w:rPr>
          <w:rFonts w:eastAsia="Calibri" w:cs="Times New Roman"/>
          <w:iCs/>
          <w:szCs w:val="24"/>
        </w:rPr>
        <w:t>ing</w:t>
      </w:r>
      <w:r w:rsidR="00B2559F" w:rsidRPr="00A53C01">
        <w:rPr>
          <w:rFonts w:eastAsia="Calibri" w:cs="Times New Roman"/>
          <w:iCs/>
          <w:szCs w:val="24"/>
        </w:rPr>
        <w:t xml:space="preserve">. </w:t>
      </w:r>
      <w:r w:rsidR="0091546C" w:rsidRPr="00A53C01">
        <w:rPr>
          <w:rFonts w:eastAsia="Calibri" w:cs="Times New Roman"/>
          <w:iCs/>
          <w:szCs w:val="24"/>
        </w:rPr>
        <w:t xml:space="preserve">The EU’s intentions only changed when </w:t>
      </w:r>
      <w:r w:rsidR="00B2559F" w:rsidRPr="00A53C01">
        <w:rPr>
          <w:rFonts w:eastAsia="Calibri" w:cs="Times New Roman"/>
          <w:iCs/>
          <w:szCs w:val="24"/>
        </w:rPr>
        <w:t>China adopted the</w:t>
      </w:r>
      <w:r w:rsidR="0091546C" w:rsidRPr="00A53C01">
        <w:rPr>
          <w:rFonts w:eastAsia="Calibri" w:cs="Times New Roman"/>
          <w:iCs/>
          <w:szCs w:val="24"/>
        </w:rPr>
        <w:t xml:space="preserve"> </w:t>
      </w:r>
      <w:r w:rsidR="00525D42" w:rsidRPr="00A53C01">
        <w:rPr>
          <w:rFonts w:eastAsia="Calibri" w:cs="Times New Roman"/>
          <w:iCs/>
          <w:szCs w:val="24"/>
        </w:rPr>
        <w:t>Anti-Secession Law (ASL)</w:t>
      </w:r>
      <w:r w:rsidR="00740046" w:rsidRPr="00A53C01">
        <w:rPr>
          <w:rFonts w:eastAsia="Calibri" w:cs="Times New Roman"/>
          <w:iCs/>
          <w:szCs w:val="24"/>
        </w:rPr>
        <w:t>,</w:t>
      </w:r>
      <w:r w:rsidR="00D96066" w:rsidRPr="00A53C01">
        <w:rPr>
          <w:rFonts w:eastAsia="Calibri" w:cs="Times New Roman"/>
          <w:iCs/>
          <w:szCs w:val="24"/>
        </w:rPr>
        <w:t xml:space="preserve"> </w:t>
      </w:r>
      <w:r w:rsidR="00740046" w:rsidRPr="00A53C01">
        <w:rPr>
          <w:rFonts w:eastAsia="Calibri" w:cs="Times New Roman"/>
          <w:iCs/>
          <w:szCs w:val="24"/>
        </w:rPr>
        <w:t>the significance of which lay i</w:t>
      </w:r>
      <w:r w:rsidR="006372E2" w:rsidRPr="00A53C01">
        <w:rPr>
          <w:rFonts w:eastAsia="Calibri" w:cs="Times New Roman"/>
          <w:iCs/>
          <w:szCs w:val="24"/>
        </w:rPr>
        <w:t>ts explicit reference to</w:t>
      </w:r>
      <w:r w:rsidR="00D96066" w:rsidRPr="00A53C01">
        <w:rPr>
          <w:rFonts w:eastAsia="Calibri" w:cs="Times New Roman"/>
          <w:iCs/>
          <w:szCs w:val="24"/>
        </w:rPr>
        <w:t xml:space="preserve"> “</w:t>
      </w:r>
      <w:r w:rsidR="00D96066" w:rsidRPr="00A53C01">
        <w:rPr>
          <w:rFonts w:eastAsia="Calibri" w:cs="Times New Roman"/>
          <w:i/>
          <w:iCs/>
          <w:szCs w:val="24"/>
        </w:rPr>
        <w:t>non-peaceful means</w:t>
      </w:r>
      <w:r w:rsidR="00D96066" w:rsidRPr="00A53C01">
        <w:rPr>
          <w:rFonts w:eastAsia="Calibri" w:cs="Times New Roman"/>
          <w:iCs/>
          <w:szCs w:val="24"/>
        </w:rPr>
        <w:t xml:space="preserve"> </w:t>
      </w:r>
      <w:r w:rsidR="00D96066" w:rsidRPr="00A53C01">
        <w:rPr>
          <w:rFonts w:eastAsia="Calibri" w:cs="Times New Roman"/>
          <w:i/>
          <w:iCs/>
          <w:szCs w:val="24"/>
        </w:rPr>
        <w:t>and other necessary measures</w:t>
      </w:r>
      <w:r w:rsidR="00D96066" w:rsidRPr="00A53C01">
        <w:rPr>
          <w:rFonts w:eastAsia="Calibri" w:cs="Times New Roman"/>
          <w:iCs/>
          <w:szCs w:val="24"/>
        </w:rPr>
        <w:t xml:space="preserve"> to protect China's sovereignty and territorial integrity”</w:t>
      </w:r>
      <w:r w:rsidR="006372E2" w:rsidRPr="00A53C01">
        <w:rPr>
          <w:rFonts w:eastAsia="Calibri" w:cs="Times New Roman"/>
          <w:iCs/>
          <w:szCs w:val="24"/>
        </w:rPr>
        <w:t xml:space="preserve"> vis-à-vis Taiwan</w:t>
      </w:r>
      <w:r w:rsidR="00740046" w:rsidRPr="00A53C01">
        <w:rPr>
          <w:rFonts w:eastAsia="Calibri" w:cs="Times New Roman"/>
          <w:iCs/>
          <w:szCs w:val="24"/>
        </w:rPr>
        <w:t xml:space="preserve"> </w:t>
      </w:r>
      <w:r w:rsidR="00C73DD2" w:rsidRPr="00A53C01">
        <w:rPr>
          <w:rFonts w:eastAsia="Calibri" w:cs="Times New Roman"/>
          <w:iCs/>
          <w:szCs w:val="24"/>
        </w:rPr>
        <w:t>(</w:t>
      </w:r>
      <w:r w:rsidR="00B2559F" w:rsidRPr="00A53C01">
        <w:rPr>
          <w:rFonts w:eastAsia="Calibri" w:cs="Times New Roman"/>
          <w:iCs/>
          <w:szCs w:val="24"/>
        </w:rPr>
        <w:t>PRC Embassy US, 2005</w:t>
      </w:r>
      <w:r w:rsidR="006372E2" w:rsidRPr="00A53C01">
        <w:rPr>
          <w:rFonts w:eastAsia="Calibri" w:cs="Times New Roman"/>
          <w:iCs/>
          <w:szCs w:val="24"/>
        </w:rPr>
        <w:t xml:space="preserve"> [emphasis added]</w:t>
      </w:r>
      <w:r w:rsidR="00C73DD2" w:rsidRPr="00A53C01">
        <w:rPr>
          <w:rFonts w:eastAsia="Calibri" w:cs="Times New Roman"/>
          <w:iCs/>
          <w:szCs w:val="24"/>
        </w:rPr>
        <w:t>).</w:t>
      </w:r>
      <w:r w:rsidR="00D96066" w:rsidRPr="00A53C01">
        <w:rPr>
          <w:rFonts w:eastAsia="Calibri" w:cs="Times New Roman"/>
          <w:iCs/>
          <w:szCs w:val="24"/>
        </w:rPr>
        <w:t xml:space="preserve"> US policymakers seize</w:t>
      </w:r>
      <w:r w:rsidR="00740046" w:rsidRPr="00A53C01">
        <w:rPr>
          <w:rFonts w:eastAsia="Calibri" w:cs="Times New Roman"/>
          <w:iCs/>
          <w:szCs w:val="24"/>
        </w:rPr>
        <w:t>d</w:t>
      </w:r>
      <w:r w:rsidR="00D96066" w:rsidRPr="00A53C01">
        <w:rPr>
          <w:rFonts w:eastAsia="Calibri" w:cs="Times New Roman"/>
          <w:iCs/>
          <w:szCs w:val="24"/>
        </w:rPr>
        <w:t xml:space="preserve"> upon this as evidence of the very security </w:t>
      </w:r>
      <w:r w:rsidR="00740046" w:rsidRPr="00A53C01">
        <w:rPr>
          <w:rFonts w:eastAsia="Calibri" w:cs="Times New Roman"/>
          <w:iCs/>
          <w:szCs w:val="24"/>
        </w:rPr>
        <w:t>threats</w:t>
      </w:r>
      <w:r w:rsidR="00385536" w:rsidRPr="00A53C01">
        <w:rPr>
          <w:rFonts w:eastAsia="Calibri" w:cs="Times New Roman"/>
          <w:iCs/>
          <w:szCs w:val="24"/>
        </w:rPr>
        <w:t xml:space="preserve"> </w:t>
      </w:r>
      <w:r w:rsidR="00D96066" w:rsidRPr="00A53C01">
        <w:rPr>
          <w:rFonts w:eastAsia="Calibri" w:cs="Times New Roman"/>
          <w:iCs/>
          <w:szCs w:val="24"/>
        </w:rPr>
        <w:t xml:space="preserve">that </w:t>
      </w:r>
      <w:r w:rsidR="00385536" w:rsidRPr="00A53C01">
        <w:rPr>
          <w:rFonts w:eastAsia="Calibri" w:cs="Times New Roman"/>
          <w:iCs/>
          <w:szCs w:val="24"/>
        </w:rPr>
        <w:t xml:space="preserve">they had been </w:t>
      </w:r>
      <w:r w:rsidR="006372E2" w:rsidRPr="00A53C01">
        <w:rPr>
          <w:rFonts w:eastAsia="Calibri" w:cs="Times New Roman"/>
          <w:iCs/>
          <w:szCs w:val="24"/>
        </w:rPr>
        <w:t xml:space="preserve">communicating to the EU, pressing this point to </w:t>
      </w:r>
      <w:r w:rsidR="00740046" w:rsidRPr="00A53C01">
        <w:rPr>
          <w:rFonts w:eastAsia="Calibri" w:cs="Times New Roman"/>
          <w:iCs/>
          <w:szCs w:val="24"/>
        </w:rPr>
        <w:t>an EU delegation</w:t>
      </w:r>
      <w:r w:rsidR="006372E2" w:rsidRPr="00A53C01">
        <w:rPr>
          <w:rFonts w:eastAsia="Calibri" w:cs="Times New Roman"/>
          <w:iCs/>
          <w:szCs w:val="24"/>
        </w:rPr>
        <w:t xml:space="preserve"> that had</w:t>
      </w:r>
      <w:r w:rsidR="00740046" w:rsidRPr="00A53C01">
        <w:rPr>
          <w:rFonts w:eastAsia="Calibri" w:cs="Times New Roman"/>
          <w:iCs/>
          <w:szCs w:val="24"/>
        </w:rPr>
        <w:t xml:space="preserve"> arriv</w:t>
      </w:r>
      <w:r w:rsidR="006372E2" w:rsidRPr="00A53C01">
        <w:rPr>
          <w:rFonts w:eastAsia="Calibri" w:cs="Times New Roman"/>
          <w:iCs/>
          <w:szCs w:val="24"/>
        </w:rPr>
        <w:t>ed</w:t>
      </w:r>
      <w:r w:rsidR="00740046" w:rsidRPr="00A53C01">
        <w:rPr>
          <w:rFonts w:eastAsia="Calibri" w:cs="Times New Roman"/>
          <w:iCs/>
          <w:szCs w:val="24"/>
        </w:rPr>
        <w:t xml:space="preserve"> in Washington</w:t>
      </w:r>
      <w:r w:rsidR="006372E2" w:rsidRPr="00A53C01">
        <w:rPr>
          <w:rFonts w:eastAsia="Calibri" w:cs="Times New Roman"/>
          <w:iCs/>
          <w:szCs w:val="24"/>
        </w:rPr>
        <w:t xml:space="preserve"> that same day</w:t>
      </w:r>
      <w:r w:rsidR="00740046" w:rsidRPr="00A53C01">
        <w:rPr>
          <w:rFonts w:eastAsia="Calibri" w:cs="Times New Roman"/>
          <w:iCs/>
          <w:szCs w:val="24"/>
        </w:rPr>
        <w:t xml:space="preserve"> to persuade Americans to drop their opposition to the embargo’s lifting</w:t>
      </w:r>
      <w:r w:rsidR="00B71CB4" w:rsidRPr="00A53C01">
        <w:rPr>
          <w:rFonts w:eastAsia="Calibri" w:cs="Times New Roman"/>
          <w:iCs/>
          <w:szCs w:val="24"/>
        </w:rPr>
        <w:t>.</w:t>
      </w:r>
      <w:r w:rsidR="00740046" w:rsidRPr="00A53C01">
        <w:rPr>
          <w:rFonts w:eastAsia="Calibri" w:cs="Times New Roman"/>
          <w:iCs/>
          <w:szCs w:val="24"/>
        </w:rPr>
        <w:t xml:space="preserve"> </w:t>
      </w:r>
    </w:p>
    <w:p w14:paraId="3AEFFF0B" w14:textId="77777777" w:rsidR="00C448A3" w:rsidRPr="00A53C01" w:rsidRDefault="00C448A3" w:rsidP="00A53C01">
      <w:pPr>
        <w:spacing w:line="312" w:lineRule="auto"/>
        <w:rPr>
          <w:rFonts w:eastAsia="Calibri" w:cs="Times New Roman"/>
          <w:iCs/>
          <w:szCs w:val="24"/>
        </w:rPr>
      </w:pPr>
    </w:p>
    <w:p w14:paraId="4BA3FF73" w14:textId="36241D81" w:rsidR="00FE6B81" w:rsidRPr="00A53C01" w:rsidRDefault="00B71CB4" w:rsidP="00A53C01">
      <w:pPr>
        <w:spacing w:line="312" w:lineRule="auto"/>
      </w:pPr>
      <w:r w:rsidRPr="00A53C01">
        <w:t xml:space="preserve">The ASL constituted an inflection point for the EU’s </w:t>
      </w:r>
      <w:r w:rsidR="00FE6B81" w:rsidRPr="00A53C01">
        <w:t>deliberations</w:t>
      </w:r>
      <w:r w:rsidRPr="00A53C01">
        <w:t>,</w:t>
      </w:r>
      <w:r w:rsidR="00FE6B81" w:rsidRPr="00A53C01">
        <w:t xml:space="preserve"> </w:t>
      </w:r>
      <w:r w:rsidR="00740046" w:rsidRPr="00A53C01">
        <w:t>creating</w:t>
      </w:r>
      <w:r w:rsidR="00FE6B81" w:rsidRPr="00A53C01">
        <w:t xml:space="preserve"> an opportunity for</w:t>
      </w:r>
      <w:r w:rsidRPr="00A53C01">
        <w:t xml:space="preserve"> US</w:t>
      </w:r>
      <w:r w:rsidR="00FE6B81" w:rsidRPr="00A53C01">
        <w:t xml:space="preserve"> policymakers</w:t>
      </w:r>
      <w:r w:rsidRPr="00A53C01">
        <w:t xml:space="preserve"> to</w:t>
      </w:r>
      <w:r w:rsidR="00FE6B81" w:rsidRPr="00A53C01">
        <w:t xml:space="preserve"> redouble their efforts to </w:t>
      </w:r>
      <w:r w:rsidR="00726093" w:rsidRPr="00A53C01">
        <w:t>link the embargo</w:t>
      </w:r>
      <w:r w:rsidR="00FE6B81" w:rsidRPr="00A53C01">
        <w:t xml:space="preserve"> </w:t>
      </w:r>
      <w:r w:rsidR="00726093" w:rsidRPr="00A53C01">
        <w:t>to emergent</w:t>
      </w:r>
      <w:r w:rsidR="00FE6B81" w:rsidRPr="00A53C01">
        <w:t xml:space="preserve"> security threat</w:t>
      </w:r>
      <w:r w:rsidR="00726093" w:rsidRPr="00A53C01">
        <w:t>s</w:t>
      </w:r>
      <w:r w:rsidR="00FE6B81" w:rsidRPr="00A53C01">
        <w:t xml:space="preserve">. </w:t>
      </w:r>
      <w:r w:rsidR="00C448A3" w:rsidRPr="00A53C01">
        <w:t>Rice warned</w:t>
      </w:r>
      <w:r w:rsidR="00FE6B81" w:rsidRPr="00A53C01">
        <w:t xml:space="preserve"> publicly</w:t>
      </w:r>
      <w:r w:rsidR="00C448A3" w:rsidRPr="00A53C01">
        <w:t xml:space="preserve"> that the EU “should do nothing to contribute to a circumstance in which Chinese military modernisation draws on [EU] technology. It is [the US], not Europe, that has defended the Pacific” (cited by Watts and Watt, 2005).</w:t>
      </w:r>
      <w:r w:rsidR="00C722A3" w:rsidRPr="00A53C01">
        <w:t xml:space="preserve"> </w:t>
      </w:r>
      <w:r w:rsidR="00AF11D6" w:rsidRPr="00A53C01">
        <w:t>Directly articulating</w:t>
      </w:r>
      <w:r w:rsidR="00C722A3" w:rsidRPr="00A53C01">
        <w:t xml:space="preserve"> the</w:t>
      </w:r>
      <w:r w:rsidR="00AF11D6" w:rsidRPr="00A53C01">
        <w:t xml:space="preserve"> security</w:t>
      </w:r>
      <w:r w:rsidR="00C722A3" w:rsidRPr="00A53C01">
        <w:t xml:space="preserve"> threat perceived by t</w:t>
      </w:r>
      <w:r w:rsidR="00740046" w:rsidRPr="00A53C01">
        <w:t xml:space="preserve">he US to emanate from the end of the </w:t>
      </w:r>
      <w:r w:rsidR="00C722A3" w:rsidRPr="00A53C01">
        <w:t xml:space="preserve">embargo, </w:t>
      </w:r>
      <w:r w:rsidR="00740046" w:rsidRPr="00A53C01">
        <w:t>Rice departed</w:t>
      </w:r>
      <w:r w:rsidR="003121AF" w:rsidRPr="00A53C01">
        <w:t xml:space="preserve"> from her previous assertion that the US and EU were essentially congruent in their outlooks</w:t>
      </w:r>
      <w:r w:rsidR="00726093" w:rsidRPr="00A53C01">
        <w:t>. The intent was to</w:t>
      </w:r>
      <w:r w:rsidR="003121AF" w:rsidRPr="00A53C01">
        <w:t xml:space="preserve"> </w:t>
      </w:r>
      <w:r w:rsidR="00726093" w:rsidRPr="00A53C01">
        <w:t>remind</w:t>
      </w:r>
      <w:r w:rsidR="003121AF" w:rsidRPr="00A53C01">
        <w:t xml:space="preserve"> the European audience that </w:t>
      </w:r>
      <w:r w:rsidR="00726093" w:rsidRPr="00A53C01">
        <w:t>of their differing</w:t>
      </w:r>
      <w:r w:rsidR="003121AF" w:rsidRPr="00A53C01">
        <w:t xml:space="preserve"> international </w:t>
      </w:r>
      <w:r w:rsidR="00726093" w:rsidRPr="00A53C01">
        <w:t>roles</w:t>
      </w:r>
      <w:r w:rsidR="003121AF" w:rsidRPr="00A53C01">
        <w:t>, ostensibly creating a situation in which the US has authority to decide what constitute</w:t>
      </w:r>
      <w:r w:rsidR="00365B3F" w:rsidRPr="00A53C01">
        <w:t>s</w:t>
      </w:r>
      <w:r w:rsidR="003121AF" w:rsidRPr="00A53C01">
        <w:t xml:space="preserve"> a security threat. </w:t>
      </w:r>
      <w:r w:rsidR="006B6F22" w:rsidRPr="00A53C01">
        <w:t xml:space="preserve">Implicitly, </w:t>
      </w:r>
      <w:r w:rsidR="003121AF" w:rsidRPr="00A53C01">
        <w:t>Rice also reposition</w:t>
      </w:r>
      <w:r w:rsidR="006B6F22" w:rsidRPr="00A53C01">
        <w:t>ed</w:t>
      </w:r>
      <w:r w:rsidR="003121AF" w:rsidRPr="00A53C01">
        <w:t xml:space="preserve"> the debate by </w:t>
      </w:r>
      <w:r w:rsidR="006B6F22" w:rsidRPr="00A53C01">
        <w:t>framing the transatlantic relationship as hierarchical</w:t>
      </w:r>
      <w:r w:rsidR="003121AF" w:rsidRPr="00A53C01">
        <w:t xml:space="preserve">: the line </w:t>
      </w:r>
      <w:r w:rsidR="00365B3F" w:rsidRPr="00A53C01">
        <w:t>wa</w:t>
      </w:r>
      <w:r w:rsidR="003121AF" w:rsidRPr="00A53C01">
        <w:t xml:space="preserve">s delivered as a command, rather than a request.    </w:t>
      </w:r>
      <w:r w:rsidR="00C722A3" w:rsidRPr="00A53C01">
        <w:t xml:space="preserve"> </w:t>
      </w:r>
    </w:p>
    <w:p w14:paraId="41BF56AE" w14:textId="77777777" w:rsidR="00FE6B81" w:rsidRPr="00A53C01" w:rsidRDefault="00FE6B81" w:rsidP="00A53C01">
      <w:pPr>
        <w:spacing w:line="312" w:lineRule="auto"/>
      </w:pPr>
    </w:p>
    <w:p w14:paraId="6F2E804D" w14:textId="640074A5" w:rsidR="00DF30F7" w:rsidRPr="00A53C01" w:rsidRDefault="00365B3F" w:rsidP="00A53C01">
      <w:pPr>
        <w:spacing w:line="312" w:lineRule="auto"/>
      </w:pPr>
      <w:r w:rsidRPr="00A53C01">
        <w:t xml:space="preserve">Despite </w:t>
      </w:r>
      <w:r w:rsidR="008D3BF5" w:rsidRPr="00A53C01">
        <w:t>increased efforts to persuade and growing signals of readiness to resort to coerci</w:t>
      </w:r>
      <w:r w:rsidRPr="00A53C01">
        <w:t>ve measures</w:t>
      </w:r>
      <w:r w:rsidR="008D3BF5" w:rsidRPr="00A53C01">
        <w:t>,</w:t>
      </w:r>
      <w:r w:rsidRPr="00A53C01">
        <w:t xml:space="preserve"> EU actors’</w:t>
      </w:r>
      <w:r w:rsidR="008D3BF5" w:rsidRPr="00A53C01">
        <w:t xml:space="preserve"> public and private statements indicated that the embargo </w:t>
      </w:r>
      <w:r w:rsidRPr="00A53C01">
        <w:lastRenderedPageBreak/>
        <w:t>was still not</w:t>
      </w:r>
      <w:r w:rsidR="008D3BF5" w:rsidRPr="00A53C01">
        <w:t xml:space="preserve"> securitized. </w:t>
      </w:r>
      <w:r w:rsidR="00F85B31" w:rsidRPr="00A53C01">
        <w:rPr>
          <w:rFonts w:eastAsia="Calibri" w:cs="Times New Roman"/>
          <w:iCs/>
          <w:szCs w:val="24"/>
        </w:rPr>
        <w:t>T</w:t>
      </w:r>
      <w:r w:rsidR="00400049" w:rsidRPr="00A53C01">
        <w:rPr>
          <w:rFonts w:eastAsia="Calibri" w:cs="Times New Roman"/>
          <w:iCs/>
          <w:szCs w:val="24"/>
        </w:rPr>
        <w:t xml:space="preserve">he US Mission to the EU (2005X) reported that contacts were conceding that Member States “might be persuaded… to postpone their decision”. </w:t>
      </w:r>
      <w:r w:rsidR="0090506A" w:rsidRPr="00A53C01">
        <w:rPr>
          <w:rFonts w:eastAsia="Calibri" w:cs="Times New Roman"/>
          <w:iCs/>
          <w:szCs w:val="24"/>
        </w:rPr>
        <w:t>M</w:t>
      </w:r>
      <w:r w:rsidR="00DF30F7" w:rsidRPr="00A53C01">
        <w:rPr>
          <w:rFonts w:eastAsia="Calibri" w:cs="Times New Roman"/>
          <w:iCs/>
          <w:szCs w:val="24"/>
        </w:rPr>
        <w:t>ost European proponents of lifting recognised that US political pressure was now too great (Interview, 2010</w:t>
      </w:r>
      <w:r w:rsidR="0094632A" w:rsidRPr="00A53C01">
        <w:rPr>
          <w:rFonts w:eastAsia="Calibri" w:cs="Times New Roman"/>
          <w:iCs/>
          <w:szCs w:val="24"/>
        </w:rPr>
        <w:t>j</w:t>
      </w:r>
      <w:r w:rsidR="00DF30F7" w:rsidRPr="00A53C01">
        <w:rPr>
          <w:rFonts w:eastAsia="Calibri" w:cs="Times New Roman"/>
          <w:iCs/>
          <w:szCs w:val="24"/>
        </w:rPr>
        <w:t xml:space="preserve">), </w:t>
      </w:r>
      <w:r w:rsidR="0090506A" w:rsidRPr="00A53C01">
        <w:rPr>
          <w:rFonts w:eastAsia="Calibri" w:cs="Times New Roman"/>
          <w:iCs/>
          <w:szCs w:val="24"/>
        </w:rPr>
        <w:t>concluding</w:t>
      </w:r>
      <w:r w:rsidR="00DF30F7" w:rsidRPr="00A53C01">
        <w:rPr>
          <w:rFonts w:eastAsia="Calibri" w:cs="Times New Roman"/>
          <w:iCs/>
          <w:szCs w:val="24"/>
        </w:rPr>
        <w:t xml:space="preserve"> that lifting </w:t>
      </w:r>
      <w:r w:rsidR="0090506A" w:rsidRPr="00A53C01">
        <w:rPr>
          <w:rFonts w:eastAsia="Calibri" w:cs="Times New Roman"/>
          <w:iCs/>
          <w:szCs w:val="24"/>
        </w:rPr>
        <w:t>would have to be postponed - but, importantly, not aborted</w:t>
      </w:r>
      <w:r w:rsidR="00DC68AC" w:rsidRPr="00A53C01">
        <w:rPr>
          <w:rFonts w:eastAsia="Calibri" w:cs="Times New Roman"/>
          <w:iCs/>
          <w:szCs w:val="24"/>
        </w:rPr>
        <w:t xml:space="preserve"> (US Embassy Austria, 2005)</w:t>
      </w:r>
      <w:r w:rsidR="0090506A" w:rsidRPr="00A53C01">
        <w:rPr>
          <w:rFonts w:eastAsia="Calibri" w:cs="Times New Roman"/>
          <w:iCs/>
          <w:szCs w:val="24"/>
        </w:rPr>
        <w:t>. Although the EU’s behaviour changed (stepping back from ending the embargo)</w:t>
      </w:r>
      <w:r w:rsidR="00F53D62" w:rsidRPr="00A53C01">
        <w:rPr>
          <w:rFonts w:eastAsia="Calibri" w:cs="Times New Roman"/>
          <w:iCs/>
          <w:szCs w:val="24"/>
        </w:rPr>
        <w:t xml:space="preserve">, there was no reference to the security </w:t>
      </w:r>
      <w:r w:rsidR="00FF2F10" w:rsidRPr="00A53C01">
        <w:rPr>
          <w:rFonts w:eastAsia="Calibri" w:cs="Times New Roman"/>
          <w:iCs/>
          <w:szCs w:val="24"/>
        </w:rPr>
        <w:t>reasoning</w:t>
      </w:r>
      <w:r w:rsidR="00F53D62" w:rsidRPr="00A53C01">
        <w:rPr>
          <w:rFonts w:eastAsia="Calibri" w:cs="Times New Roman"/>
          <w:iCs/>
          <w:szCs w:val="24"/>
        </w:rPr>
        <w:t xml:space="preserve"> </w:t>
      </w:r>
      <w:r w:rsidR="00FF2F10" w:rsidRPr="00A53C01">
        <w:rPr>
          <w:rFonts w:eastAsia="Calibri" w:cs="Times New Roman"/>
          <w:iCs/>
          <w:szCs w:val="24"/>
        </w:rPr>
        <w:t>utilised</w:t>
      </w:r>
      <w:r w:rsidR="00F53D62" w:rsidRPr="00A53C01">
        <w:rPr>
          <w:rFonts w:eastAsia="Calibri" w:cs="Times New Roman"/>
          <w:iCs/>
          <w:szCs w:val="24"/>
        </w:rPr>
        <w:t xml:space="preserve"> by </w:t>
      </w:r>
      <w:r w:rsidR="009F6391" w:rsidRPr="00A53C01">
        <w:rPr>
          <w:rFonts w:eastAsia="Calibri" w:cs="Times New Roman"/>
          <w:iCs/>
          <w:szCs w:val="24"/>
        </w:rPr>
        <w:t>US</w:t>
      </w:r>
      <w:r w:rsidR="00F53D62" w:rsidRPr="00A53C01">
        <w:rPr>
          <w:rFonts w:eastAsia="Calibri" w:cs="Times New Roman"/>
          <w:iCs/>
          <w:szCs w:val="24"/>
        </w:rPr>
        <w:t xml:space="preserve"> actors within the</w:t>
      </w:r>
      <w:r w:rsidR="009F6391" w:rsidRPr="00A53C01">
        <w:rPr>
          <w:rFonts w:eastAsia="Calibri" w:cs="Times New Roman"/>
          <w:iCs/>
          <w:szCs w:val="24"/>
        </w:rPr>
        <w:t>ir</w:t>
      </w:r>
      <w:r w:rsidR="00F53D62" w:rsidRPr="00A53C01">
        <w:rPr>
          <w:rFonts w:eastAsia="Calibri" w:cs="Times New Roman"/>
          <w:iCs/>
          <w:szCs w:val="24"/>
        </w:rPr>
        <w:t xml:space="preserve"> securitizing moves. </w:t>
      </w:r>
      <w:r w:rsidR="009F6391" w:rsidRPr="00A53C01">
        <w:rPr>
          <w:rFonts w:eastAsia="Calibri" w:cs="Times New Roman"/>
          <w:iCs/>
          <w:szCs w:val="24"/>
        </w:rPr>
        <w:t>That</w:t>
      </w:r>
      <w:r w:rsidR="00F53D62" w:rsidRPr="00A53C01">
        <w:rPr>
          <w:rFonts w:eastAsia="Calibri" w:cs="Times New Roman"/>
          <w:iCs/>
          <w:szCs w:val="24"/>
        </w:rPr>
        <w:t xml:space="preserve"> the EU continued to signal that the embargo </w:t>
      </w:r>
      <w:r w:rsidR="009F6391" w:rsidRPr="00A53C01">
        <w:rPr>
          <w:rFonts w:eastAsia="Calibri" w:cs="Times New Roman"/>
          <w:iCs/>
          <w:szCs w:val="24"/>
        </w:rPr>
        <w:t>would eventually end</w:t>
      </w:r>
      <w:r w:rsidR="00F53D62" w:rsidRPr="00A53C01">
        <w:rPr>
          <w:rFonts w:eastAsia="Calibri" w:cs="Times New Roman"/>
          <w:iCs/>
          <w:szCs w:val="24"/>
        </w:rPr>
        <w:t xml:space="preserve"> further reinforc</w:t>
      </w:r>
      <w:r w:rsidR="009F6391" w:rsidRPr="00A53C01">
        <w:rPr>
          <w:rFonts w:eastAsia="Calibri" w:cs="Times New Roman"/>
          <w:iCs/>
          <w:szCs w:val="24"/>
        </w:rPr>
        <w:t>es</w:t>
      </w:r>
      <w:r w:rsidR="00FF2F10" w:rsidRPr="00A53C01">
        <w:rPr>
          <w:rFonts w:eastAsia="Calibri" w:cs="Times New Roman"/>
          <w:iCs/>
          <w:szCs w:val="24"/>
        </w:rPr>
        <w:t xml:space="preserve"> the failure of efforts </w:t>
      </w:r>
      <w:r w:rsidR="00F53D62" w:rsidRPr="00A53C01">
        <w:rPr>
          <w:rFonts w:eastAsia="Calibri" w:cs="Times New Roman"/>
          <w:iCs/>
          <w:szCs w:val="24"/>
        </w:rPr>
        <w:t>to shift the issue from the political to the security doma</w:t>
      </w:r>
      <w:r w:rsidR="009F6391" w:rsidRPr="00A53C01">
        <w:rPr>
          <w:rFonts w:eastAsia="Calibri" w:cs="Times New Roman"/>
          <w:iCs/>
          <w:szCs w:val="24"/>
        </w:rPr>
        <w:t>in in the transatlantic</w:t>
      </w:r>
      <w:r w:rsidR="00F85B31" w:rsidRPr="00A53C01">
        <w:rPr>
          <w:rFonts w:eastAsia="Calibri" w:cs="Times New Roman"/>
          <w:iCs/>
          <w:szCs w:val="24"/>
        </w:rPr>
        <w:t xml:space="preserve"> security</w:t>
      </w:r>
      <w:r w:rsidR="009F6391" w:rsidRPr="00A53C01">
        <w:rPr>
          <w:rFonts w:eastAsia="Calibri" w:cs="Times New Roman"/>
          <w:iCs/>
          <w:szCs w:val="24"/>
        </w:rPr>
        <w:t xml:space="preserve"> space. </w:t>
      </w:r>
      <w:r w:rsidR="00F53D62" w:rsidRPr="00A53C01">
        <w:rPr>
          <w:rFonts w:eastAsia="Calibri" w:cs="Times New Roman"/>
          <w:iCs/>
          <w:szCs w:val="24"/>
        </w:rPr>
        <w:t xml:space="preserve"> </w:t>
      </w:r>
      <w:r w:rsidR="0090506A" w:rsidRPr="00A53C01">
        <w:rPr>
          <w:rFonts w:eastAsia="Calibri" w:cs="Times New Roman"/>
          <w:iCs/>
          <w:szCs w:val="24"/>
        </w:rPr>
        <w:t xml:space="preserve"> </w:t>
      </w:r>
    </w:p>
    <w:p w14:paraId="6C6BBA1B" w14:textId="77777777" w:rsidR="00DF30F7" w:rsidRPr="00A53C01" w:rsidRDefault="00DF30F7" w:rsidP="00A53C01">
      <w:pPr>
        <w:spacing w:line="312" w:lineRule="auto"/>
        <w:rPr>
          <w:rFonts w:eastAsia="Calibri" w:cs="Times New Roman"/>
          <w:iCs/>
          <w:szCs w:val="24"/>
        </w:rPr>
      </w:pPr>
    </w:p>
    <w:p w14:paraId="6B40FD90" w14:textId="78F196B1" w:rsidR="00C77DCA" w:rsidRPr="00A53C01" w:rsidRDefault="00F53D62" w:rsidP="00A53C01">
      <w:pPr>
        <w:spacing w:line="312" w:lineRule="auto"/>
        <w:rPr>
          <w:rFonts w:cs="Times New Roman"/>
          <w:szCs w:val="24"/>
        </w:rPr>
      </w:pPr>
      <w:r w:rsidRPr="00A53C01">
        <w:rPr>
          <w:rFonts w:eastAsia="Calibri" w:cs="Times New Roman"/>
          <w:iCs/>
          <w:szCs w:val="24"/>
        </w:rPr>
        <w:t>Th</w:t>
      </w:r>
      <w:r w:rsidR="00FA3C1D" w:rsidRPr="00A53C01">
        <w:rPr>
          <w:rFonts w:eastAsia="Calibri" w:cs="Times New Roman"/>
          <w:iCs/>
          <w:szCs w:val="24"/>
        </w:rPr>
        <w:t>is securitization failure</w:t>
      </w:r>
      <w:r w:rsidRPr="00A53C01">
        <w:rPr>
          <w:rFonts w:eastAsia="Calibri" w:cs="Times New Roman"/>
          <w:iCs/>
          <w:szCs w:val="24"/>
        </w:rPr>
        <w:t xml:space="preserve"> is </w:t>
      </w:r>
      <w:r w:rsidR="00A406C3" w:rsidRPr="00A53C01">
        <w:rPr>
          <w:rFonts w:eastAsia="Calibri" w:cs="Times New Roman"/>
          <w:iCs/>
          <w:szCs w:val="24"/>
        </w:rPr>
        <w:t>most evident when the post-ASL position</w:t>
      </w:r>
      <w:r w:rsidR="00566565" w:rsidRPr="00A53C01">
        <w:rPr>
          <w:rFonts w:eastAsia="Calibri" w:cs="Times New Roman"/>
          <w:iCs/>
          <w:szCs w:val="24"/>
        </w:rPr>
        <w:t>s</w:t>
      </w:r>
      <w:r w:rsidR="00A406C3" w:rsidRPr="00A53C01">
        <w:rPr>
          <w:rFonts w:eastAsia="Calibri" w:cs="Times New Roman"/>
          <w:iCs/>
          <w:szCs w:val="24"/>
        </w:rPr>
        <w:t xml:space="preserve"> of France</w:t>
      </w:r>
      <w:r w:rsidR="00566565" w:rsidRPr="00A53C01">
        <w:rPr>
          <w:rFonts w:eastAsia="Calibri" w:cs="Times New Roman"/>
          <w:iCs/>
          <w:szCs w:val="24"/>
        </w:rPr>
        <w:t xml:space="preserve"> and the UK</w:t>
      </w:r>
      <w:r w:rsidR="00A406C3" w:rsidRPr="00A53C01">
        <w:rPr>
          <w:rFonts w:eastAsia="Calibri" w:cs="Times New Roman"/>
          <w:iCs/>
          <w:szCs w:val="24"/>
        </w:rPr>
        <w:t xml:space="preserve"> </w:t>
      </w:r>
      <w:r w:rsidR="00566565" w:rsidRPr="00A53C01">
        <w:rPr>
          <w:rFonts w:eastAsia="Calibri" w:cs="Times New Roman"/>
          <w:iCs/>
          <w:szCs w:val="24"/>
        </w:rPr>
        <w:t>are</w:t>
      </w:r>
      <w:r w:rsidR="00A406C3" w:rsidRPr="00A53C01">
        <w:rPr>
          <w:rFonts w:eastAsia="Calibri" w:cs="Times New Roman"/>
          <w:iCs/>
          <w:szCs w:val="24"/>
        </w:rPr>
        <w:t xml:space="preserve"> considered</w:t>
      </w:r>
      <w:r w:rsidR="00D335EE" w:rsidRPr="00A53C01">
        <w:rPr>
          <w:rFonts w:eastAsia="Calibri" w:cs="Times New Roman"/>
          <w:iCs/>
          <w:szCs w:val="24"/>
        </w:rPr>
        <w:t>.</w:t>
      </w:r>
      <w:r w:rsidR="00566565" w:rsidRPr="00A53C01">
        <w:rPr>
          <w:rFonts w:eastAsia="Calibri" w:cs="Times New Roman"/>
          <w:iCs/>
          <w:szCs w:val="24"/>
        </w:rPr>
        <w:t xml:space="preserve"> </w:t>
      </w:r>
      <w:r w:rsidR="00D335EE" w:rsidRPr="00A53C01">
        <w:rPr>
          <w:rFonts w:eastAsia="Calibri" w:cs="Times New Roman"/>
          <w:iCs/>
          <w:szCs w:val="24"/>
        </w:rPr>
        <w:t>T</w:t>
      </w:r>
      <w:r w:rsidR="00566565" w:rsidRPr="00A53C01">
        <w:rPr>
          <w:rFonts w:eastAsia="Calibri" w:cs="Times New Roman"/>
          <w:iCs/>
          <w:szCs w:val="24"/>
        </w:rPr>
        <w:t xml:space="preserve">hese two states - with the greatest global presence and power projection capabilities </w:t>
      </w:r>
      <w:r w:rsidR="00D335EE" w:rsidRPr="00A53C01">
        <w:rPr>
          <w:rFonts w:eastAsia="Calibri" w:cs="Times New Roman"/>
          <w:iCs/>
          <w:szCs w:val="24"/>
        </w:rPr>
        <w:t>among</w:t>
      </w:r>
      <w:r w:rsidR="00566565" w:rsidRPr="00A53C01">
        <w:rPr>
          <w:rFonts w:eastAsia="Calibri" w:cs="Times New Roman"/>
          <w:iCs/>
          <w:szCs w:val="24"/>
        </w:rPr>
        <w:t xml:space="preserve"> the EU members - should have been the most receptive to arguments </w:t>
      </w:r>
      <w:r w:rsidR="00D335EE" w:rsidRPr="00A53C01">
        <w:rPr>
          <w:rFonts w:eastAsia="Calibri" w:cs="Times New Roman"/>
          <w:iCs/>
          <w:szCs w:val="24"/>
        </w:rPr>
        <w:t>pertaining to</w:t>
      </w:r>
      <w:r w:rsidR="00566565" w:rsidRPr="00A53C01">
        <w:rPr>
          <w:rFonts w:eastAsia="Calibri" w:cs="Times New Roman"/>
          <w:iCs/>
          <w:szCs w:val="24"/>
        </w:rPr>
        <w:t xml:space="preserve"> security threats. </w:t>
      </w:r>
      <w:r w:rsidR="007B4AED" w:rsidRPr="00A53C01">
        <w:rPr>
          <w:rFonts w:eastAsia="Calibri" w:cs="Times New Roman"/>
          <w:iCs/>
          <w:szCs w:val="24"/>
        </w:rPr>
        <w:t xml:space="preserve">Advisor to </w:t>
      </w:r>
      <w:r w:rsidR="00FF2F10" w:rsidRPr="00A53C01">
        <w:rPr>
          <w:rFonts w:eastAsia="Calibri" w:cs="Times New Roman"/>
          <w:iCs/>
          <w:szCs w:val="24"/>
        </w:rPr>
        <w:t>France’s</w:t>
      </w:r>
      <w:r w:rsidR="007B4AED" w:rsidRPr="00A53C01">
        <w:rPr>
          <w:rFonts w:eastAsia="Calibri" w:cs="Times New Roman"/>
          <w:iCs/>
          <w:szCs w:val="24"/>
        </w:rPr>
        <w:t xml:space="preserve"> Defence Minister, </w:t>
      </w:r>
      <w:r w:rsidR="00C167F6" w:rsidRPr="00A53C01">
        <w:rPr>
          <w:rFonts w:cs="Times New Roman"/>
          <w:szCs w:val="24"/>
        </w:rPr>
        <w:t xml:space="preserve">Bertrand Besancenot, </w:t>
      </w:r>
      <w:r w:rsidR="00F60583" w:rsidRPr="00A53C01">
        <w:rPr>
          <w:rFonts w:cs="Times New Roman"/>
          <w:szCs w:val="24"/>
        </w:rPr>
        <w:t xml:space="preserve">told </w:t>
      </w:r>
      <w:r w:rsidR="00C167F6" w:rsidRPr="00A53C01">
        <w:rPr>
          <w:rFonts w:cs="Times New Roman"/>
          <w:szCs w:val="24"/>
        </w:rPr>
        <w:t>Political Minister-Counselor Josiah Rosenblatt that the US’</w:t>
      </w:r>
      <w:r w:rsidR="00A406C3" w:rsidRPr="00A53C01">
        <w:rPr>
          <w:rFonts w:cs="Times New Roman"/>
          <w:szCs w:val="24"/>
        </w:rPr>
        <w:t>s</w:t>
      </w:r>
      <w:r w:rsidR="00862CD1" w:rsidRPr="00A53C01">
        <w:rPr>
          <w:rFonts w:cs="Times New Roman"/>
          <w:szCs w:val="24"/>
        </w:rPr>
        <w:t xml:space="preserve"> security</w:t>
      </w:r>
      <w:r w:rsidR="00C167F6" w:rsidRPr="00A53C01">
        <w:rPr>
          <w:rFonts w:cs="Times New Roman"/>
          <w:szCs w:val="24"/>
        </w:rPr>
        <w:t xml:space="preserve"> concerns were misplaced and France </w:t>
      </w:r>
      <w:r w:rsidR="007B4AED" w:rsidRPr="00A53C01">
        <w:rPr>
          <w:rFonts w:cs="Times New Roman"/>
          <w:szCs w:val="24"/>
        </w:rPr>
        <w:t>remained</w:t>
      </w:r>
      <w:r w:rsidR="00C167F6" w:rsidRPr="00A53C01">
        <w:rPr>
          <w:rFonts w:cs="Times New Roman"/>
          <w:szCs w:val="24"/>
        </w:rPr>
        <w:t xml:space="preserve"> comm</w:t>
      </w:r>
      <w:r w:rsidR="00902065" w:rsidRPr="00A53C01">
        <w:rPr>
          <w:rFonts w:cs="Times New Roman"/>
          <w:szCs w:val="24"/>
        </w:rPr>
        <w:t xml:space="preserve">itted to lifting (US Embassy </w:t>
      </w:r>
      <w:r w:rsidR="00C167F6" w:rsidRPr="00A53C01">
        <w:rPr>
          <w:rFonts w:cs="Times New Roman"/>
          <w:szCs w:val="24"/>
        </w:rPr>
        <w:t>France, 2005</w:t>
      </w:r>
      <w:r w:rsidR="00532C49" w:rsidRPr="00A53C01">
        <w:rPr>
          <w:rFonts w:cs="Times New Roman"/>
          <w:szCs w:val="24"/>
        </w:rPr>
        <w:t>a</w:t>
      </w:r>
      <w:r w:rsidR="00C167F6" w:rsidRPr="00A53C01">
        <w:rPr>
          <w:rFonts w:cs="Times New Roman"/>
          <w:szCs w:val="24"/>
        </w:rPr>
        <w:t>).</w:t>
      </w:r>
      <w:r w:rsidR="00532C49" w:rsidRPr="00A53C01">
        <w:rPr>
          <w:rFonts w:cs="Times New Roman"/>
          <w:szCs w:val="24"/>
        </w:rPr>
        <w:t xml:space="preserve"> Prime Minister Raffarin even stated that the ASL was “compatible” with France’s interpretation of the one-China policy, a view challenged by US officials (US Embassy France, 2005b). </w:t>
      </w:r>
      <w:r w:rsidR="00216722" w:rsidRPr="00A53C01">
        <w:rPr>
          <w:rFonts w:cs="Times New Roman"/>
          <w:szCs w:val="24"/>
        </w:rPr>
        <w:t>T</w:t>
      </w:r>
      <w:r w:rsidR="00C167F6" w:rsidRPr="00A53C01">
        <w:rPr>
          <w:rFonts w:cs="Times New Roman"/>
          <w:szCs w:val="24"/>
        </w:rPr>
        <w:t>he UK</w:t>
      </w:r>
      <w:r w:rsidR="00216722" w:rsidRPr="00A53C01">
        <w:rPr>
          <w:rFonts w:cs="Times New Roman"/>
          <w:szCs w:val="24"/>
        </w:rPr>
        <w:t xml:space="preserve"> </w:t>
      </w:r>
      <w:r w:rsidR="00862CD1" w:rsidRPr="00A53C01">
        <w:rPr>
          <w:rFonts w:cs="Times New Roman"/>
          <w:szCs w:val="24"/>
        </w:rPr>
        <w:t>opposed immediate policy change</w:t>
      </w:r>
      <w:r w:rsidR="00D335EE" w:rsidRPr="00A53C01">
        <w:rPr>
          <w:rFonts w:cs="Times New Roman"/>
          <w:szCs w:val="24"/>
        </w:rPr>
        <w:t xml:space="preserve">, but did not express support for indefinite retention; </w:t>
      </w:r>
      <w:r w:rsidR="00C167F6" w:rsidRPr="00A53C01">
        <w:rPr>
          <w:rFonts w:cs="Times New Roman"/>
          <w:szCs w:val="24"/>
        </w:rPr>
        <w:t>Foreign Minister</w:t>
      </w:r>
      <w:r w:rsidR="009E64E1" w:rsidRPr="00A53C01">
        <w:rPr>
          <w:rFonts w:cs="Times New Roman"/>
          <w:szCs w:val="24"/>
        </w:rPr>
        <w:t xml:space="preserve"> Jack</w:t>
      </w:r>
      <w:r w:rsidR="00C167F6" w:rsidRPr="00A53C01">
        <w:rPr>
          <w:rFonts w:cs="Times New Roman"/>
          <w:szCs w:val="24"/>
        </w:rPr>
        <w:t xml:space="preserve"> Straw stated that there was now a “difficult political environment” (</w:t>
      </w:r>
      <w:r w:rsidR="009E64E1" w:rsidRPr="00A53C01">
        <w:rPr>
          <w:rFonts w:cs="Times New Roman"/>
          <w:szCs w:val="24"/>
        </w:rPr>
        <w:t xml:space="preserve">cited by </w:t>
      </w:r>
      <w:r w:rsidR="00902065" w:rsidRPr="00A53C01">
        <w:rPr>
          <w:rFonts w:cs="Times New Roman"/>
          <w:szCs w:val="24"/>
        </w:rPr>
        <w:t>US</w:t>
      </w:r>
      <w:r w:rsidR="00EB0DE7" w:rsidRPr="00A53C01">
        <w:rPr>
          <w:rFonts w:cs="Times New Roman"/>
          <w:szCs w:val="24"/>
        </w:rPr>
        <w:t>MEU</w:t>
      </w:r>
      <w:r w:rsidR="00C167F6" w:rsidRPr="00A53C01">
        <w:rPr>
          <w:rFonts w:cs="Times New Roman"/>
          <w:szCs w:val="24"/>
        </w:rPr>
        <w:t>, 2005</w:t>
      </w:r>
      <w:r w:rsidR="00004793" w:rsidRPr="00A53C01">
        <w:rPr>
          <w:rFonts w:cs="Times New Roman"/>
          <w:szCs w:val="24"/>
        </w:rPr>
        <w:t>a</w:t>
      </w:r>
      <w:r w:rsidR="00FA3C1D" w:rsidRPr="00A53C01">
        <w:rPr>
          <w:rFonts w:cs="Times New Roman"/>
          <w:szCs w:val="24"/>
        </w:rPr>
        <w:t>) and Blair wanted to avoid the responsibility during the</w:t>
      </w:r>
      <w:r w:rsidR="000D171F" w:rsidRPr="00A53C01">
        <w:rPr>
          <w:rFonts w:cs="Times New Roman"/>
          <w:szCs w:val="24"/>
        </w:rPr>
        <w:t xml:space="preserve"> upcoming UK</w:t>
      </w:r>
      <w:r w:rsidR="00FA3C1D" w:rsidRPr="00A53C01">
        <w:rPr>
          <w:rFonts w:cs="Times New Roman"/>
          <w:szCs w:val="24"/>
        </w:rPr>
        <w:t xml:space="preserve"> Council Presidency </w:t>
      </w:r>
      <w:r w:rsidR="00B96133" w:rsidRPr="00A53C01">
        <w:t>(Rath, 2006: 51)</w:t>
      </w:r>
      <w:r w:rsidR="00FA3C1D" w:rsidRPr="00A53C01">
        <w:t xml:space="preserve">. </w:t>
      </w:r>
    </w:p>
    <w:p w14:paraId="3A8E8D86" w14:textId="77777777" w:rsidR="002444FD" w:rsidRPr="00A53C01" w:rsidRDefault="002444FD" w:rsidP="00A53C01">
      <w:pPr>
        <w:spacing w:line="312" w:lineRule="auto"/>
        <w:rPr>
          <w:rFonts w:cs="Times New Roman"/>
          <w:szCs w:val="24"/>
        </w:rPr>
      </w:pPr>
    </w:p>
    <w:p w14:paraId="68505324" w14:textId="3051654C" w:rsidR="00033302" w:rsidRPr="00A53C01" w:rsidRDefault="002444FD" w:rsidP="00A53C01">
      <w:pPr>
        <w:spacing w:line="312" w:lineRule="auto"/>
        <w:rPr>
          <w:rFonts w:cs="Times New Roman"/>
          <w:szCs w:val="24"/>
        </w:rPr>
      </w:pPr>
      <w:r w:rsidRPr="00A53C01">
        <w:rPr>
          <w:rFonts w:cs="Times New Roman"/>
          <w:szCs w:val="24"/>
        </w:rPr>
        <w:t xml:space="preserve">With the effective end of the </w:t>
      </w:r>
      <w:r w:rsidR="00FF2F10" w:rsidRPr="00A53C01">
        <w:rPr>
          <w:rFonts w:cs="Times New Roman"/>
          <w:szCs w:val="24"/>
        </w:rPr>
        <w:t>serious effort</w:t>
      </w:r>
      <w:r w:rsidR="00F777E0" w:rsidRPr="00A53C01">
        <w:rPr>
          <w:rFonts w:cs="Times New Roman"/>
          <w:szCs w:val="24"/>
        </w:rPr>
        <w:t xml:space="preserve"> to lift the</w:t>
      </w:r>
      <w:r w:rsidRPr="00A53C01">
        <w:rPr>
          <w:rFonts w:cs="Times New Roman"/>
          <w:szCs w:val="24"/>
        </w:rPr>
        <w:t xml:space="preserve"> embargo in March 2005, what can be said about the success or failure of the US’s securitization moves? </w:t>
      </w:r>
      <w:r w:rsidR="00F777E0" w:rsidRPr="00A53C01">
        <w:rPr>
          <w:rFonts w:cs="Times New Roman"/>
          <w:szCs w:val="24"/>
        </w:rPr>
        <w:t xml:space="preserve">That the outcome was what the US wanted could be interpreted as the success of the securitization process. </w:t>
      </w:r>
      <w:r w:rsidRPr="00A53C01">
        <w:rPr>
          <w:rFonts w:cs="Times New Roman"/>
          <w:szCs w:val="24"/>
        </w:rPr>
        <w:t>I argue that this was not the case</w:t>
      </w:r>
      <w:r w:rsidR="00F777E0" w:rsidRPr="00A53C01">
        <w:rPr>
          <w:rFonts w:cs="Times New Roman"/>
          <w:szCs w:val="24"/>
        </w:rPr>
        <w:t xml:space="preserve">. EU policymakers reconciled themselves to the reality that the timing was inappropriate, but continued support from some – including France – indicated that there had not been a shift </w:t>
      </w:r>
      <w:r w:rsidRPr="00A53C01">
        <w:rPr>
          <w:rFonts w:cs="Times New Roman"/>
          <w:szCs w:val="24"/>
        </w:rPr>
        <w:t xml:space="preserve">in the underpinning logic of the embargo. </w:t>
      </w:r>
      <w:r w:rsidR="000C3B02" w:rsidRPr="00A53C01">
        <w:rPr>
          <w:rFonts w:cs="Times New Roman"/>
          <w:szCs w:val="24"/>
        </w:rPr>
        <w:t>As the Spanish Director General for Foreign Policy put it in December 20</w:t>
      </w:r>
      <w:r w:rsidR="00282CEB" w:rsidRPr="00A53C01">
        <w:rPr>
          <w:rFonts w:cs="Times New Roman"/>
          <w:szCs w:val="24"/>
        </w:rPr>
        <w:t xml:space="preserve">06 to US </w:t>
      </w:r>
      <w:r w:rsidR="000C3B02" w:rsidRPr="00A53C01">
        <w:rPr>
          <w:rFonts w:cs="Times New Roman"/>
          <w:szCs w:val="24"/>
        </w:rPr>
        <w:t>officials, “today's China is not the same as the China of Tiananmen Square a</w:t>
      </w:r>
      <w:r w:rsidR="00282CEB" w:rsidRPr="00A53C01">
        <w:rPr>
          <w:rFonts w:cs="Times New Roman"/>
          <w:szCs w:val="24"/>
        </w:rPr>
        <w:t xml:space="preserve">nd has changed for the better. </w:t>
      </w:r>
      <w:r w:rsidR="000C3B02" w:rsidRPr="00A53C01">
        <w:rPr>
          <w:rFonts w:cs="Times New Roman"/>
          <w:szCs w:val="24"/>
        </w:rPr>
        <w:t xml:space="preserve">Spain views China as a conservative power that has not taken a destabilizing or threatening posture in world affairs” (US Embassy Spain, 2006). </w:t>
      </w:r>
      <w:r w:rsidRPr="00A53C01">
        <w:rPr>
          <w:rFonts w:cs="Times New Roman"/>
          <w:szCs w:val="24"/>
        </w:rPr>
        <w:t>T</w:t>
      </w:r>
      <w:r w:rsidR="00B42203" w:rsidRPr="00A53C01">
        <w:rPr>
          <w:rFonts w:cs="Times New Roman"/>
          <w:szCs w:val="24"/>
        </w:rPr>
        <w:t>h</w:t>
      </w:r>
      <w:r w:rsidR="00282CEB" w:rsidRPr="00A53C01">
        <w:rPr>
          <w:rFonts w:cs="Times New Roman"/>
          <w:szCs w:val="24"/>
        </w:rPr>
        <w:t>at month,</w:t>
      </w:r>
      <w:r w:rsidRPr="00A53C01">
        <w:rPr>
          <w:rFonts w:cs="Times New Roman"/>
          <w:szCs w:val="24"/>
        </w:rPr>
        <w:t xml:space="preserve"> </w:t>
      </w:r>
      <w:r w:rsidR="00282CEB" w:rsidRPr="00A53C01">
        <w:rPr>
          <w:rFonts w:cs="Times New Roman"/>
          <w:szCs w:val="24"/>
        </w:rPr>
        <w:t>the</w:t>
      </w:r>
      <w:r w:rsidR="00940876" w:rsidRPr="00A53C01">
        <w:rPr>
          <w:rFonts w:cs="Times New Roman"/>
          <w:szCs w:val="24"/>
        </w:rPr>
        <w:t xml:space="preserve"> </w:t>
      </w:r>
      <w:r w:rsidR="003025C0" w:rsidRPr="00A53C01">
        <w:rPr>
          <w:rFonts w:cs="Times New Roman"/>
          <w:szCs w:val="24"/>
        </w:rPr>
        <w:t>GAERC</w:t>
      </w:r>
      <w:r w:rsidR="004B74F4" w:rsidRPr="00A53C01">
        <w:rPr>
          <w:rFonts w:cs="Times New Roman"/>
          <w:szCs w:val="24"/>
        </w:rPr>
        <w:t xml:space="preserve"> (2006: 9) </w:t>
      </w:r>
      <w:r w:rsidR="00940876" w:rsidRPr="00A53C01">
        <w:rPr>
          <w:rFonts w:cs="Times New Roman"/>
          <w:szCs w:val="24"/>
        </w:rPr>
        <w:t xml:space="preserve">reiterated </w:t>
      </w:r>
      <w:r w:rsidR="00282CEB" w:rsidRPr="00A53C01">
        <w:rPr>
          <w:rFonts w:cs="Times New Roman"/>
          <w:szCs w:val="24"/>
        </w:rPr>
        <w:t>it</w:t>
      </w:r>
      <w:r w:rsidR="00940876" w:rsidRPr="00A53C01">
        <w:rPr>
          <w:rFonts w:cs="Times New Roman"/>
          <w:szCs w:val="24"/>
        </w:rPr>
        <w:t xml:space="preserve">s </w:t>
      </w:r>
      <w:r w:rsidR="004B74F4" w:rsidRPr="00A53C01">
        <w:rPr>
          <w:rFonts w:cs="Times New Roman"/>
          <w:szCs w:val="24"/>
        </w:rPr>
        <w:t>“willingness to carry forward work towards lifting”</w:t>
      </w:r>
      <w:r w:rsidR="00940876" w:rsidRPr="00A53C01">
        <w:rPr>
          <w:rFonts w:cs="Times New Roman"/>
          <w:szCs w:val="24"/>
        </w:rPr>
        <w:t xml:space="preserve">, albeit with no </w:t>
      </w:r>
      <w:r w:rsidR="00282CEB" w:rsidRPr="00A53C01">
        <w:rPr>
          <w:rFonts w:cs="Times New Roman"/>
          <w:szCs w:val="24"/>
        </w:rPr>
        <w:t>specified</w:t>
      </w:r>
      <w:r w:rsidR="00940876" w:rsidRPr="00A53C01">
        <w:rPr>
          <w:rFonts w:cs="Times New Roman"/>
          <w:szCs w:val="24"/>
        </w:rPr>
        <w:t xml:space="preserve"> timeframe. This could have been written off as merely a diplomatic statement to accommodate China’s preferences, had it not been for the short-</w:t>
      </w:r>
      <w:r w:rsidR="00940876" w:rsidRPr="00A53C01">
        <w:rPr>
          <w:rFonts w:cs="Times New Roman"/>
          <w:szCs w:val="24"/>
        </w:rPr>
        <w:lastRenderedPageBreak/>
        <w:t>lived revival</w:t>
      </w:r>
      <w:r w:rsidR="00282CEB" w:rsidRPr="00A53C01">
        <w:rPr>
          <w:rFonts w:cs="Times New Roman"/>
          <w:szCs w:val="24"/>
        </w:rPr>
        <w:t>s</w:t>
      </w:r>
      <w:r w:rsidR="00940876" w:rsidRPr="00A53C01">
        <w:rPr>
          <w:rFonts w:cs="Times New Roman"/>
          <w:szCs w:val="24"/>
        </w:rPr>
        <w:t xml:space="preserve"> of the issue in 2010 and 2011, where the actors involved revealed preferences predicated on forging closer politica</w:t>
      </w:r>
      <w:r w:rsidR="003B484F" w:rsidRPr="00A53C01">
        <w:rPr>
          <w:rFonts w:cs="Times New Roman"/>
          <w:szCs w:val="24"/>
        </w:rPr>
        <w:t>l and economic ties with China. The Spanish Council Presidency’s attempt was thwarted by the insistence of the new High Representative, Catherine Ashton, that it was no longer within the rotating Council presidency’s remit to unilaterally set the agenda</w:t>
      </w:r>
      <w:r w:rsidR="0000707C" w:rsidRPr="00A53C01">
        <w:rPr>
          <w:rFonts w:cs="Times New Roman"/>
          <w:szCs w:val="24"/>
        </w:rPr>
        <w:t xml:space="preserve"> (Interview</w:t>
      </w:r>
      <w:r w:rsidR="003B484F" w:rsidRPr="00A53C01">
        <w:rPr>
          <w:rFonts w:cs="Times New Roman"/>
          <w:szCs w:val="24"/>
        </w:rPr>
        <w:t>.</w:t>
      </w:r>
      <w:r w:rsidR="0000707C" w:rsidRPr="00A53C01">
        <w:rPr>
          <w:rFonts w:cs="Times New Roman"/>
          <w:szCs w:val="24"/>
        </w:rPr>
        <w:t xml:space="preserve"> 2010k)</w:t>
      </w:r>
      <w:r w:rsidR="003B484F" w:rsidRPr="00A53C01">
        <w:rPr>
          <w:rFonts w:cs="Times New Roman"/>
          <w:szCs w:val="24"/>
        </w:rPr>
        <w:t xml:space="preserve"> </w:t>
      </w:r>
    </w:p>
    <w:p w14:paraId="4A70569B" w14:textId="77777777" w:rsidR="00033302" w:rsidRPr="00A53C01" w:rsidRDefault="00033302" w:rsidP="00A53C01">
      <w:pPr>
        <w:spacing w:line="312" w:lineRule="auto"/>
        <w:rPr>
          <w:rFonts w:cs="Times New Roman"/>
          <w:szCs w:val="24"/>
        </w:rPr>
      </w:pPr>
    </w:p>
    <w:p w14:paraId="503988B2" w14:textId="56240567" w:rsidR="00D82DB3" w:rsidRPr="00A53C01" w:rsidRDefault="00B42203" w:rsidP="00A53C01">
      <w:pPr>
        <w:spacing w:line="312" w:lineRule="auto"/>
        <w:rPr>
          <w:rFonts w:cs="Times New Roman"/>
          <w:szCs w:val="24"/>
        </w:rPr>
      </w:pPr>
      <w:r w:rsidRPr="00A53C01">
        <w:rPr>
          <w:rFonts w:cs="Times New Roman"/>
          <w:szCs w:val="24"/>
        </w:rPr>
        <w:t>At the time, the Secretary of State (2010) instructed embass</w:t>
      </w:r>
      <w:r w:rsidR="00735C5C" w:rsidRPr="00A53C01">
        <w:rPr>
          <w:rFonts w:cs="Times New Roman"/>
          <w:szCs w:val="24"/>
        </w:rPr>
        <w:t>y officials</w:t>
      </w:r>
      <w:r w:rsidRPr="00A53C01">
        <w:rPr>
          <w:rFonts w:cs="Times New Roman"/>
          <w:szCs w:val="24"/>
        </w:rPr>
        <w:t xml:space="preserve"> to communicate continued opposition to lifting, </w:t>
      </w:r>
      <w:r w:rsidR="007F0F56" w:rsidRPr="00A53C01">
        <w:rPr>
          <w:rFonts w:cs="Times New Roman"/>
          <w:szCs w:val="24"/>
        </w:rPr>
        <w:t>stressing</w:t>
      </w:r>
      <w:r w:rsidRPr="00A53C01">
        <w:rPr>
          <w:rFonts w:cs="Times New Roman"/>
          <w:szCs w:val="24"/>
        </w:rPr>
        <w:t xml:space="preserve"> </w:t>
      </w:r>
      <w:r w:rsidRPr="00A53C01">
        <w:t xml:space="preserve">“serious implications for the security and stability of the Pacific region”, </w:t>
      </w:r>
      <w:r w:rsidR="00735C5C" w:rsidRPr="00A53C01">
        <w:t>warning that</w:t>
      </w:r>
      <w:r w:rsidRPr="00A53C01">
        <w:t xml:space="preserve"> “the Code of Conduct and 'toolbox' of export controls cannot replace the embargo”</w:t>
      </w:r>
      <w:r w:rsidR="00735C5C" w:rsidRPr="00A53C01">
        <w:rPr>
          <w:rStyle w:val="FootnoteReference"/>
        </w:rPr>
        <w:footnoteReference w:id="10"/>
      </w:r>
      <w:r w:rsidR="00AD2148" w:rsidRPr="00A53C01">
        <w:t xml:space="preserve">. The feedback relayed to the State Dept </w:t>
      </w:r>
      <w:r w:rsidR="00735C5C" w:rsidRPr="00A53C01">
        <w:t>from Member State contacts</w:t>
      </w:r>
      <w:r w:rsidR="007F0F56" w:rsidRPr="00A53C01">
        <w:t xml:space="preserve"> (</w:t>
      </w:r>
      <w:r w:rsidR="00DC68AC" w:rsidRPr="00A53C01">
        <w:t xml:space="preserve">US Embassy Bulgaria, 2010; </w:t>
      </w:r>
      <w:r w:rsidR="007F0F56" w:rsidRPr="00A53C01">
        <w:t>US Embassy Latvia, 2010; US Embassy Poland, 2010</w:t>
      </w:r>
      <w:r w:rsidR="007F0F56" w:rsidRPr="00A53C01">
        <w:rPr>
          <w:rFonts w:cs="Times New Roman"/>
          <w:szCs w:val="24"/>
        </w:rPr>
        <w:t>)</w:t>
      </w:r>
      <w:r w:rsidR="00D82DB3" w:rsidRPr="00A53C01">
        <w:rPr>
          <w:rFonts w:cs="Times New Roman"/>
          <w:szCs w:val="24"/>
        </w:rPr>
        <w:t>, the EU’s Mission to China (US Embassy China, 2010)</w:t>
      </w:r>
      <w:r w:rsidR="007F0F56" w:rsidRPr="00A53C01">
        <w:rPr>
          <w:rFonts w:cs="Times New Roman"/>
          <w:szCs w:val="24"/>
        </w:rPr>
        <w:t xml:space="preserve"> and the Commission (</w:t>
      </w:r>
      <w:r w:rsidR="00EB0DE7" w:rsidRPr="00A53C01">
        <w:rPr>
          <w:rFonts w:cs="Times New Roman"/>
          <w:szCs w:val="24"/>
        </w:rPr>
        <w:t>USM</w:t>
      </w:r>
      <w:r w:rsidR="007F0F56" w:rsidRPr="00A53C01">
        <w:rPr>
          <w:rFonts w:cs="Times New Roman"/>
          <w:szCs w:val="24"/>
        </w:rPr>
        <w:t>EU, 2010)</w:t>
      </w:r>
      <w:r w:rsidR="00AD2148" w:rsidRPr="00A53C01">
        <w:t xml:space="preserve"> revealed that there was little support </w:t>
      </w:r>
      <w:r w:rsidR="00735C5C" w:rsidRPr="00A53C01">
        <w:t>for reigniting the debate</w:t>
      </w:r>
      <w:r w:rsidR="00F221B1" w:rsidRPr="00A53C01">
        <w:t xml:space="preserve"> primarily due to human rights concerns</w:t>
      </w:r>
      <w:r w:rsidR="007F0F56" w:rsidRPr="00A53C01">
        <w:rPr>
          <w:rFonts w:cs="Times New Roman"/>
          <w:szCs w:val="24"/>
        </w:rPr>
        <w:t>.</w:t>
      </w:r>
      <w:r w:rsidR="00F221B1" w:rsidRPr="00A53C01">
        <w:rPr>
          <w:rFonts w:cs="Times New Roman"/>
          <w:szCs w:val="24"/>
        </w:rPr>
        <w:t xml:space="preserve"> </w:t>
      </w:r>
      <w:r w:rsidR="007F0F56" w:rsidRPr="00A53C01">
        <w:rPr>
          <w:rFonts w:cs="Times New Roman"/>
          <w:szCs w:val="24"/>
        </w:rPr>
        <w:t>One</w:t>
      </w:r>
      <w:r w:rsidR="00F221B1" w:rsidRPr="00A53C01">
        <w:rPr>
          <w:rFonts w:cs="Times New Roman"/>
          <w:szCs w:val="24"/>
        </w:rPr>
        <w:t xml:space="preserve"> French </w:t>
      </w:r>
      <w:r w:rsidR="007F0F56" w:rsidRPr="00A53C01">
        <w:rPr>
          <w:rFonts w:cs="Times New Roman"/>
          <w:szCs w:val="24"/>
        </w:rPr>
        <w:t>contact</w:t>
      </w:r>
      <w:r w:rsidR="00F221B1" w:rsidRPr="00A53C01">
        <w:rPr>
          <w:rFonts w:cs="Times New Roman"/>
          <w:szCs w:val="24"/>
        </w:rPr>
        <w:t xml:space="preserve"> </w:t>
      </w:r>
      <w:r w:rsidR="00735C5C" w:rsidRPr="00A53C01">
        <w:rPr>
          <w:rFonts w:cs="Times New Roman"/>
          <w:szCs w:val="24"/>
        </w:rPr>
        <w:t>stated</w:t>
      </w:r>
      <w:r w:rsidR="00F221B1" w:rsidRPr="00A53C01">
        <w:rPr>
          <w:rFonts w:cs="Times New Roman"/>
          <w:szCs w:val="24"/>
        </w:rPr>
        <w:t xml:space="preserve"> </w:t>
      </w:r>
      <w:r w:rsidR="007F0F56" w:rsidRPr="00A53C01">
        <w:rPr>
          <w:rFonts w:cs="Times New Roman"/>
          <w:szCs w:val="24"/>
        </w:rPr>
        <w:t>that</w:t>
      </w:r>
      <w:r w:rsidR="00735C5C" w:rsidRPr="00A53C01">
        <w:rPr>
          <w:rFonts w:cs="Times New Roman"/>
          <w:szCs w:val="24"/>
        </w:rPr>
        <w:t xml:space="preserve"> although they did not expect the </w:t>
      </w:r>
      <w:r w:rsidR="002B5FE0" w:rsidRPr="00A53C01">
        <w:rPr>
          <w:rFonts w:cs="Times New Roman"/>
          <w:szCs w:val="24"/>
        </w:rPr>
        <w:t>issue</w:t>
      </w:r>
      <w:r w:rsidR="00735C5C" w:rsidRPr="00A53C01">
        <w:rPr>
          <w:rFonts w:cs="Times New Roman"/>
          <w:szCs w:val="24"/>
        </w:rPr>
        <w:t xml:space="preserve"> to appear on the agenda, the government’s position remained that it </w:t>
      </w:r>
      <w:r w:rsidR="007F0F56" w:rsidRPr="00A53C01">
        <w:rPr>
          <w:rFonts w:cs="Times New Roman"/>
          <w:szCs w:val="24"/>
        </w:rPr>
        <w:t>was no longer “a useful tool”</w:t>
      </w:r>
      <w:r w:rsidR="00F221B1" w:rsidRPr="00A53C01">
        <w:rPr>
          <w:rFonts w:cs="Times New Roman"/>
          <w:szCs w:val="24"/>
        </w:rPr>
        <w:t xml:space="preserve"> (US Embassy France, 2010).</w:t>
      </w:r>
      <w:r w:rsidR="007B5906" w:rsidRPr="00A53C01">
        <w:rPr>
          <w:rFonts w:cs="Times New Roman"/>
          <w:szCs w:val="24"/>
        </w:rPr>
        <w:t xml:space="preserve"> </w:t>
      </w:r>
      <w:r w:rsidR="00D82DB3" w:rsidRPr="00A53C01">
        <w:rPr>
          <w:rFonts w:cs="Times New Roman"/>
          <w:szCs w:val="24"/>
        </w:rPr>
        <w:t>Tellingly, a</w:t>
      </w:r>
      <w:r w:rsidR="009C5A89" w:rsidRPr="00A53C01">
        <w:rPr>
          <w:rFonts w:cs="Times New Roman"/>
          <w:szCs w:val="24"/>
        </w:rPr>
        <w:t xml:space="preserve"> </w:t>
      </w:r>
      <w:r w:rsidR="00F221B1" w:rsidRPr="00A53C01">
        <w:rPr>
          <w:rFonts w:cs="Times New Roman"/>
          <w:szCs w:val="24"/>
        </w:rPr>
        <w:t>Slovakian official</w:t>
      </w:r>
      <w:r w:rsidR="009C5A89" w:rsidRPr="00A53C01">
        <w:rPr>
          <w:rFonts w:cs="Times New Roman"/>
          <w:szCs w:val="24"/>
        </w:rPr>
        <w:t xml:space="preserve"> </w:t>
      </w:r>
      <w:r w:rsidR="00F221B1" w:rsidRPr="00A53C01">
        <w:rPr>
          <w:rFonts w:cs="Times New Roman"/>
          <w:szCs w:val="24"/>
        </w:rPr>
        <w:t>comment</w:t>
      </w:r>
      <w:r w:rsidR="009C5A89" w:rsidRPr="00A53C01">
        <w:rPr>
          <w:rFonts w:cs="Times New Roman"/>
          <w:szCs w:val="24"/>
        </w:rPr>
        <w:t>ed</w:t>
      </w:r>
      <w:r w:rsidR="00F221B1" w:rsidRPr="00A53C01">
        <w:rPr>
          <w:rFonts w:cs="Times New Roman"/>
          <w:szCs w:val="24"/>
        </w:rPr>
        <w:t xml:space="preserve"> that </w:t>
      </w:r>
      <w:r w:rsidR="002B5FE0" w:rsidRPr="00A53C01">
        <w:rPr>
          <w:rFonts w:cs="Times New Roman"/>
          <w:szCs w:val="24"/>
        </w:rPr>
        <w:t xml:space="preserve">arguments regarding </w:t>
      </w:r>
      <w:r w:rsidR="00F221B1" w:rsidRPr="00A53C01">
        <w:t xml:space="preserve">security implications </w:t>
      </w:r>
      <w:r w:rsidR="002B5FE0" w:rsidRPr="00A53C01">
        <w:t>were less</w:t>
      </w:r>
      <w:r w:rsidR="00F221B1" w:rsidRPr="00A53C01">
        <w:t xml:space="preserve"> compelling </w:t>
      </w:r>
      <w:r w:rsidR="00D82DB3" w:rsidRPr="00A53C01">
        <w:t>than human rights</w:t>
      </w:r>
      <w:r w:rsidR="002B5FE0" w:rsidRPr="00A53C01">
        <w:t xml:space="preserve"> for Europeans</w:t>
      </w:r>
      <w:r w:rsidR="00F221B1" w:rsidRPr="00A53C01">
        <w:t xml:space="preserve"> (US Embassy Slovakia, 2010).</w:t>
      </w:r>
      <w:r w:rsidR="00D82DB3" w:rsidRPr="00A53C01">
        <w:t xml:space="preserve"> </w:t>
      </w:r>
    </w:p>
    <w:p w14:paraId="46552CA1" w14:textId="77777777" w:rsidR="00D82DB3" w:rsidRPr="00A53C01" w:rsidRDefault="00D82DB3" w:rsidP="00A53C01">
      <w:pPr>
        <w:spacing w:line="312" w:lineRule="auto"/>
      </w:pPr>
    </w:p>
    <w:p w14:paraId="7A41F73A" w14:textId="35F09305" w:rsidR="002444FD" w:rsidRPr="00A53C01" w:rsidRDefault="009C5A89" w:rsidP="00A53C01">
      <w:pPr>
        <w:spacing w:line="312" w:lineRule="auto"/>
        <w:rPr>
          <w:rFonts w:cs="Times New Roman"/>
          <w:szCs w:val="24"/>
        </w:rPr>
      </w:pPr>
      <w:r w:rsidRPr="00A53C01">
        <w:t xml:space="preserve"> </w:t>
      </w:r>
      <w:r w:rsidR="00D67B55" w:rsidRPr="00A53C01">
        <w:t xml:space="preserve">German and British officials stated that the timing was </w:t>
      </w:r>
      <w:r w:rsidR="00735C5C" w:rsidRPr="00A53C01">
        <w:t>in</w:t>
      </w:r>
      <w:r w:rsidR="00D67B55" w:rsidRPr="00A53C01">
        <w:t>appropriate</w:t>
      </w:r>
      <w:r w:rsidR="00735C5C" w:rsidRPr="00A53C01">
        <w:t>;</w:t>
      </w:r>
      <w:r w:rsidR="00D67B55" w:rsidRPr="00A53C01">
        <w:t xml:space="preserve"> while the </w:t>
      </w:r>
      <w:r w:rsidR="00735C5C" w:rsidRPr="00A53C01">
        <w:t>UK</w:t>
      </w:r>
      <w:r w:rsidR="00D67B55" w:rsidRPr="00A53C01">
        <w:t xml:space="preserve"> acknowledged</w:t>
      </w:r>
      <w:r w:rsidR="00D82DB3" w:rsidRPr="00A53C01">
        <w:t xml:space="preserve"> both</w:t>
      </w:r>
      <w:r w:rsidR="00D67B55" w:rsidRPr="00A53C01">
        <w:t xml:space="preserve"> security and human rights issues, neither expressed outright opposition to</w:t>
      </w:r>
      <w:r w:rsidR="00261582" w:rsidRPr="00A53C01">
        <w:t xml:space="preserve"> the eventual</w:t>
      </w:r>
      <w:r w:rsidR="00D67B55" w:rsidRPr="00A53C01">
        <w:t xml:space="preserve"> lifting </w:t>
      </w:r>
      <w:r w:rsidR="00261582" w:rsidRPr="00A53C01">
        <w:t xml:space="preserve">(US Embassy Germany, 2010; US Embassy UK, 2010). </w:t>
      </w:r>
      <w:r w:rsidR="00033302" w:rsidRPr="00A53C01">
        <w:t>The emphasis on human rights and ‘timing’ indicates the continued lack of securitization of the embargo within the EU</w:t>
      </w:r>
      <w:r w:rsidR="00735C5C" w:rsidRPr="00A53C01">
        <w:t>.</w:t>
      </w:r>
      <w:r w:rsidR="00033302" w:rsidRPr="00A53C01">
        <w:t xml:space="preserve"> </w:t>
      </w:r>
      <w:r w:rsidR="00735C5C" w:rsidRPr="00A53C01">
        <w:t>G</w:t>
      </w:r>
      <w:r w:rsidR="00033302" w:rsidRPr="00A53C01">
        <w:t>ranted, the US had not maintained its securitiza</w:t>
      </w:r>
      <w:r w:rsidR="00735C5C" w:rsidRPr="00A53C01">
        <w:t>tion moves beyond 2005 –</w:t>
      </w:r>
      <w:r w:rsidR="00033302" w:rsidRPr="00A53C01">
        <w:t xml:space="preserve"> </w:t>
      </w:r>
      <w:r w:rsidR="00735C5C" w:rsidRPr="00A53C01">
        <w:t>yet even as</w:t>
      </w:r>
      <w:r w:rsidR="00033302" w:rsidRPr="00A53C01">
        <w:t xml:space="preserve"> China’s military rise continued apace</w:t>
      </w:r>
      <w:r w:rsidR="00735C5C" w:rsidRPr="00A53C01">
        <w:t xml:space="preserve">, European thinking on the embargo remained devoid of threat perceptions. </w:t>
      </w:r>
      <w:r w:rsidR="003B484F" w:rsidRPr="00A53C01">
        <w:rPr>
          <w:rFonts w:cs="Times New Roman"/>
          <w:szCs w:val="24"/>
        </w:rPr>
        <w:t>Ashton’s own attempt in late 2010</w:t>
      </w:r>
      <w:r w:rsidR="00735C5C" w:rsidRPr="00A53C01">
        <w:rPr>
          <w:rFonts w:cs="Times New Roman"/>
          <w:szCs w:val="24"/>
        </w:rPr>
        <w:t>/</w:t>
      </w:r>
      <w:r w:rsidR="003B484F" w:rsidRPr="00A53C01">
        <w:rPr>
          <w:rFonts w:cs="Times New Roman"/>
          <w:szCs w:val="24"/>
        </w:rPr>
        <w:t>early 2011</w:t>
      </w:r>
      <w:r w:rsidR="00735C5C" w:rsidRPr="00A53C01">
        <w:rPr>
          <w:rFonts w:cs="Times New Roman"/>
          <w:szCs w:val="24"/>
        </w:rPr>
        <w:t>to reopen the debate</w:t>
      </w:r>
      <w:r w:rsidR="00860631" w:rsidRPr="00A53C01">
        <w:rPr>
          <w:rFonts w:cs="Times New Roman"/>
          <w:szCs w:val="24"/>
        </w:rPr>
        <w:t xml:space="preserve"> – with support</w:t>
      </w:r>
      <w:r w:rsidR="00735C5C" w:rsidRPr="00A53C01">
        <w:rPr>
          <w:rFonts w:cs="Times New Roman"/>
          <w:szCs w:val="24"/>
        </w:rPr>
        <w:t xml:space="preserve"> from</w:t>
      </w:r>
      <w:r w:rsidR="00860631" w:rsidRPr="00A53C01">
        <w:rPr>
          <w:rFonts w:cs="Times New Roman"/>
          <w:szCs w:val="24"/>
        </w:rPr>
        <w:t xml:space="preserve"> Spain –</w:t>
      </w:r>
      <w:r w:rsidR="003B484F" w:rsidRPr="00A53C01">
        <w:rPr>
          <w:rFonts w:cs="Times New Roman"/>
          <w:szCs w:val="24"/>
        </w:rPr>
        <w:t xml:space="preserve"> was opposed by the UK and France for fear of the implications for the transatlantic relationship</w:t>
      </w:r>
      <w:r w:rsidR="00033302" w:rsidRPr="00A53C01">
        <w:rPr>
          <w:rFonts w:cs="Times New Roman"/>
          <w:szCs w:val="24"/>
        </w:rPr>
        <w:t xml:space="preserve"> (</w:t>
      </w:r>
      <w:r w:rsidR="00EF1FF1" w:rsidRPr="00A53C01">
        <w:rPr>
          <w:rFonts w:cs="Times New Roman"/>
          <w:szCs w:val="24"/>
        </w:rPr>
        <w:t>Brown, 2018: 201-</w:t>
      </w:r>
      <w:r w:rsidR="00D45F7A" w:rsidRPr="00A53C01">
        <w:rPr>
          <w:rFonts w:cs="Times New Roman"/>
          <w:szCs w:val="24"/>
        </w:rPr>
        <w:t>2</w:t>
      </w:r>
      <w:r w:rsidR="00033302" w:rsidRPr="00A53C01">
        <w:rPr>
          <w:rFonts w:cs="Times New Roman"/>
          <w:szCs w:val="24"/>
        </w:rPr>
        <w:t>)</w:t>
      </w:r>
      <w:r w:rsidR="00735C5C" w:rsidRPr="00A53C01">
        <w:rPr>
          <w:rFonts w:cs="Times New Roman"/>
          <w:szCs w:val="24"/>
        </w:rPr>
        <w:t>.</w:t>
      </w:r>
      <w:r w:rsidR="003B484F" w:rsidRPr="00A53C01">
        <w:rPr>
          <w:rFonts w:cs="Times New Roman"/>
          <w:szCs w:val="24"/>
        </w:rPr>
        <w:t xml:space="preserve"> </w:t>
      </w:r>
      <w:r w:rsidR="00735C5C" w:rsidRPr="00A53C01">
        <w:rPr>
          <w:rFonts w:cs="Times New Roman"/>
          <w:szCs w:val="24"/>
        </w:rPr>
        <w:t>Even so,</w:t>
      </w:r>
      <w:r w:rsidR="003B484F" w:rsidRPr="00A53C01">
        <w:rPr>
          <w:rFonts w:cs="Times New Roman"/>
          <w:szCs w:val="24"/>
        </w:rPr>
        <w:t xml:space="preserve"> there </w:t>
      </w:r>
      <w:r w:rsidR="00B42203" w:rsidRPr="00A53C01">
        <w:rPr>
          <w:rFonts w:cs="Times New Roman"/>
          <w:szCs w:val="24"/>
        </w:rPr>
        <w:t>is no evidence of an</w:t>
      </w:r>
      <w:r w:rsidR="003B484F" w:rsidRPr="00A53C01">
        <w:rPr>
          <w:rFonts w:cs="Times New Roman"/>
          <w:szCs w:val="24"/>
        </w:rPr>
        <w:t xml:space="preserve"> attempt by these governments to securitize the embargo or reverse the commitment</w:t>
      </w:r>
      <w:r w:rsidR="0013678F" w:rsidRPr="00A53C01">
        <w:rPr>
          <w:rFonts w:cs="Times New Roman"/>
          <w:szCs w:val="24"/>
        </w:rPr>
        <w:t xml:space="preserve"> to eventual lifting</w:t>
      </w:r>
      <w:r w:rsidR="003B484F" w:rsidRPr="00A53C01">
        <w:rPr>
          <w:rFonts w:cs="Times New Roman"/>
          <w:szCs w:val="24"/>
        </w:rPr>
        <w:t xml:space="preserve"> </w:t>
      </w:r>
      <w:r w:rsidR="00B42203" w:rsidRPr="00A53C01">
        <w:rPr>
          <w:rFonts w:cs="Times New Roman"/>
          <w:szCs w:val="24"/>
        </w:rPr>
        <w:t>from</w:t>
      </w:r>
      <w:r w:rsidR="0013678F" w:rsidRPr="00A53C01">
        <w:rPr>
          <w:rFonts w:cs="Times New Roman"/>
          <w:szCs w:val="24"/>
        </w:rPr>
        <w:t xml:space="preserve"> 2006. </w:t>
      </w:r>
    </w:p>
    <w:p w14:paraId="23285968" w14:textId="77777777" w:rsidR="002444FD" w:rsidRPr="00A53C01" w:rsidRDefault="002444FD" w:rsidP="00A53C01">
      <w:pPr>
        <w:spacing w:line="312" w:lineRule="auto"/>
        <w:rPr>
          <w:rFonts w:cs="Times New Roman"/>
          <w:szCs w:val="24"/>
        </w:rPr>
      </w:pPr>
    </w:p>
    <w:p w14:paraId="5DFA9DBB" w14:textId="18225B39" w:rsidR="002444FD" w:rsidRPr="00A53C01" w:rsidRDefault="0013678F" w:rsidP="00A53C01">
      <w:pPr>
        <w:spacing w:line="312" w:lineRule="auto"/>
        <w:rPr>
          <w:rFonts w:cs="Times New Roman"/>
          <w:szCs w:val="24"/>
        </w:rPr>
      </w:pPr>
      <w:r w:rsidRPr="00A53C01">
        <w:rPr>
          <w:rFonts w:cs="Times New Roman"/>
          <w:szCs w:val="24"/>
        </w:rPr>
        <w:t xml:space="preserve">Applying Floyd’s (2016) criteria for ‘successful’ securitization in light of </w:t>
      </w:r>
      <w:r w:rsidR="003B484F" w:rsidRPr="00A53C01">
        <w:rPr>
          <w:rFonts w:cs="Times New Roman"/>
          <w:szCs w:val="24"/>
        </w:rPr>
        <w:t xml:space="preserve">the interactions within the transatlantic security space from 2003 onwards, we </w:t>
      </w:r>
      <w:r w:rsidRPr="00A53C01">
        <w:rPr>
          <w:rFonts w:cs="Times New Roman"/>
          <w:szCs w:val="24"/>
        </w:rPr>
        <w:t>must conclude</w:t>
      </w:r>
      <w:r w:rsidR="003B484F" w:rsidRPr="00A53C01">
        <w:rPr>
          <w:rFonts w:cs="Times New Roman"/>
          <w:szCs w:val="24"/>
        </w:rPr>
        <w:t xml:space="preserve"> that the US’s securitization moves ultimately failed. The U</w:t>
      </w:r>
      <w:r w:rsidR="0066682B" w:rsidRPr="00A53C01">
        <w:rPr>
          <w:rFonts w:cs="Times New Roman"/>
          <w:szCs w:val="24"/>
        </w:rPr>
        <w:t xml:space="preserve">S identified the potential creation of a </w:t>
      </w:r>
      <w:r w:rsidR="0066682B" w:rsidRPr="00A53C01">
        <w:rPr>
          <w:rFonts w:cs="Times New Roman"/>
          <w:szCs w:val="24"/>
        </w:rPr>
        <w:lastRenderedPageBreak/>
        <w:t>threat by</w:t>
      </w:r>
      <w:r w:rsidR="003B484F" w:rsidRPr="00A53C01">
        <w:rPr>
          <w:rFonts w:cs="Times New Roman"/>
          <w:szCs w:val="24"/>
        </w:rPr>
        <w:t xml:space="preserve"> the EU lifting its</w:t>
      </w:r>
      <w:r w:rsidR="0066682B" w:rsidRPr="00A53C01">
        <w:rPr>
          <w:rFonts w:cs="Times New Roman"/>
          <w:szCs w:val="24"/>
        </w:rPr>
        <w:t xml:space="preserve"> China</w:t>
      </w:r>
      <w:r w:rsidR="003B484F" w:rsidRPr="00A53C01">
        <w:rPr>
          <w:rFonts w:cs="Times New Roman"/>
          <w:szCs w:val="24"/>
        </w:rPr>
        <w:t xml:space="preserve"> arms embargo, deemed this to justify a response</w:t>
      </w:r>
      <w:r w:rsidRPr="00A53C01">
        <w:rPr>
          <w:rFonts w:cs="Times New Roman"/>
          <w:szCs w:val="24"/>
        </w:rPr>
        <w:t xml:space="preserve"> (initiation of a securitizing process)</w:t>
      </w:r>
      <w:r w:rsidR="003B484F" w:rsidRPr="00A53C01">
        <w:rPr>
          <w:rFonts w:cs="Times New Roman"/>
          <w:szCs w:val="24"/>
        </w:rPr>
        <w:t xml:space="preserve"> in the transatlantic security space. The US’s behaviour towards the EU</w:t>
      </w:r>
      <w:r w:rsidR="0066682B" w:rsidRPr="00A53C01">
        <w:rPr>
          <w:rFonts w:cs="Times New Roman"/>
          <w:szCs w:val="24"/>
        </w:rPr>
        <w:t xml:space="preserve"> evidently</w:t>
      </w:r>
      <w:r w:rsidR="003B484F" w:rsidRPr="00A53C01">
        <w:rPr>
          <w:rFonts w:cs="Times New Roman"/>
          <w:szCs w:val="24"/>
        </w:rPr>
        <w:t xml:space="preserve"> changed</w:t>
      </w:r>
      <w:r w:rsidR="0066682B" w:rsidRPr="00A53C01">
        <w:rPr>
          <w:rFonts w:cs="Times New Roman"/>
          <w:szCs w:val="24"/>
        </w:rPr>
        <w:t>;</w:t>
      </w:r>
      <w:r w:rsidR="003B484F" w:rsidRPr="00A53C01">
        <w:rPr>
          <w:rFonts w:cs="Times New Roman"/>
          <w:szCs w:val="24"/>
        </w:rPr>
        <w:t xml:space="preserve"> however</w:t>
      </w:r>
      <w:r w:rsidR="0066682B" w:rsidRPr="00A53C01">
        <w:rPr>
          <w:rFonts w:cs="Times New Roman"/>
          <w:szCs w:val="24"/>
        </w:rPr>
        <w:t>,</w:t>
      </w:r>
      <w:r w:rsidR="003B484F" w:rsidRPr="00A53C01">
        <w:rPr>
          <w:rFonts w:cs="Times New Roman"/>
          <w:szCs w:val="24"/>
        </w:rPr>
        <w:t xml:space="preserve"> its aim of effecting change in the EU’s behaviour - abandoning consideration of lifting the embargo - was not</w:t>
      </w:r>
      <w:r w:rsidR="0066682B" w:rsidRPr="00A53C01">
        <w:rPr>
          <w:rFonts w:cs="Times New Roman"/>
          <w:szCs w:val="24"/>
        </w:rPr>
        <w:t xml:space="preserve"> realised</w:t>
      </w:r>
      <w:r w:rsidR="005811DB" w:rsidRPr="00A53C01">
        <w:rPr>
          <w:rFonts w:cs="Times New Roman"/>
          <w:szCs w:val="24"/>
        </w:rPr>
        <w:t xml:space="preserve"> insofar as the substance of the US’s objections (securitizing moves) </w:t>
      </w:r>
      <w:r w:rsidR="0066682B" w:rsidRPr="00A53C01">
        <w:rPr>
          <w:rFonts w:cs="Times New Roman"/>
          <w:szCs w:val="24"/>
        </w:rPr>
        <w:t>did not</w:t>
      </w:r>
      <w:r w:rsidR="005811DB" w:rsidRPr="00A53C01">
        <w:rPr>
          <w:rFonts w:cs="Times New Roman"/>
          <w:szCs w:val="24"/>
        </w:rPr>
        <w:t xml:space="preserve"> ultimately </w:t>
      </w:r>
      <w:r w:rsidR="0066682B" w:rsidRPr="00A53C01">
        <w:rPr>
          <w:rFonts w:cs="Times New Roman"/>
          <w:szCs w:val="24"/>
        </w:rPr>
        <w:t>persuade</w:t>
      </w:r>
      <w:r w:rsidR="005811DB" w:rsidRPr="00A53C01">
        <w:rPr>
          <w:rFonts w:cs="Times New Roman"/>
          <w:szCs w:val="24"/>
        </w:rPr>
        <w:t xml:space="preserve"> the EU to </w:t>
      </w:r>
      <w:r w:rsidRPr="00A53C01">
        <w:rPr>
          <w:rFonts w:cs="Times New Roman"/>
          <w:szCs w:val="24"/>
        </w:rPr>
        <w:t>end</w:t>
      </w:r>
      <w:r w:rsidR="005811DB" w:rsidRPr="00A53C01">
        <w:rPr>
          <w:rFonts w:cs="Times New Roman"/>
          <w:szCs w:val="24"/>
        </w:rPr>
        <w:t xml:space="preserve"> the process. </w:t>
      </w:r>
      <w:r w:rsidR="0066682B" w:rsidRPr="00A53C01">
        <w:rPr>
          <w:rFonts w:cs="Times New Roman"/>
          <w:szCs w:val="24"/>
        </w:rPr>
        <w:t>EU policymakers (</w:t>
      </w:r>
      <w:r w:rsidRPr="00A53C01">
        <w:rPr>
          <w:rFonts w:cs="Times New Roman"/>
          <w:szCs w:val="24"/>
        </w:rPr>
        <w:t xml:space="preserve">the </w:t>
      </w:r>
      <w:r w:rsidR="0066682B" w:rsidRPr="00A53C01">
        <w:rPr>
          <w:rFonts w:cs="Times New Roman"/>
          <w:szCs w:val="24"/>
        </w:rPr>
        <w:t xml:space="preserve">elite audience) did not </w:t>
      </w:r>
      <w:r w:rsidR="005811DB" w:rsidRPr="00A53C01">
        <w:rPr>
          <w:rFonts w:cs="Times New Roman"/>
          <w:szCs w:val="24"/>
        </w:rPr>
        <w:t>securiti</w:t>
      </w:r>
      <w:r w:rsidR="00BB20E4" w:rsidRPr="00A53C01">
        <w:rPr>
          <w:rFonts w:cs="Times New Roman"/>
          <w:szCs w:val="24"/>
        </w:rPr>
        <w:t>ze</w:t>
      </w:r>
      <w:r w:rsidR="005811DB" w:rsidRPr="00A53C01">
        <w:rPr>
          <w:rFonts w:cs="Times New Roman"/>
          <w:szCs w:val="24"/>
        </w:rPr>
        <w:t xml:space="preserve"> </w:t>
      </w:r>
      <w:r w:rsidR="0066682B" w:rsidRPr="00A53C01">
        <w:rPr>
          <w:rFonts w:cs="Times New Roman"/>
          <w:szCs w:val="24"/>
        </w:rPr>
        <w:t>the</w:t>
      </w:r>
      <w:r w:rsidR="005811DB" w:rsidRPr="00A53C01">
        <w:rPr>
          <w:rFonts w:cs="Times New Roman"/>
          <w:szCs w:val="24"/>
        </w:rPr>
        <w:t xml:space="preserve"> embargo. The action take</w:t>
      </w:r>
      <w:r w:rsidR="004F5CD3" w:rsidRPr="00A53C01">
        <w:rPr>
          <w:rFonts w:cs="Times New Roman"/>
          <w:szCs w:val="24"/>
        </w:rPr>
        <w:t>n</w:t>
      </w:r>
      <w:r w:rsidR="005811DB" w:rsidRPr="00A53C01">
        <w:rPr>
          <w:rFonts w:cs="Times New Roman"/>
          <w:szCs w:val="24"/>
        </w:rPr>
        <w:t xml:space="preserve"> in March 2005 - ending the </w:t>
      </w:r>
      <w:r w:rsidR="004F5CD3" w:rsidRPr="00A53C01">
        <w:rPr>
          <w:rFonts w:cs="Times New Roman"/>
          <w:szCs w:val="24"/>
        </w:rPr>
        <w:t>process</w:t>
      </w:r>
      <w:r w:rsidR="005811DB" w:rsidRPr="00A53C01">
        <w:rPr>
          <w:rFonts w:cs="Times New Roman"/>
          <w:szCs w:val="24"/>
        </w:rPr>
        <w:t xml:space="preserve"> </w:t>
      </w:r>
      <w:r w:rsidR="004F5CD3" w:rsidRPr="00A53C01">
        <w:rPr>
          <w:rFonts w:cs="Times New Roman"/>
          <w:szCs w:val="24"/>
        </w:rPr>
        <w:t>that would</w:t>
      </w:r>
      <w:r w:rsidR="005811DB" w:rsidRPr="00A53C01">
        <w:rPr>
          <w:rFonts w:cs="Times New Roman"/>
          <w:szCs w:val="24"/>
        </w:rPr>
        <w:t xml:space="preserve"> </w:t>
      </w:r>
      <w:r w:rsidR="004F5CD3" w:rsidRPr="00A53C01">
        <w:rPr>
          <w:rFonts w:cs="Times New Roman"/>
          <w:szCs w:val="24"/>
        </w:rPr>
        <w:t>enable</w:t>
      </w:r>
      <w:r w:rsidR="005811DB" w:rsidRPr="00A53C01">
        <w:rPr>
          <w:rFonts w:cs="Times New Roman"/>
          <w:szCs w:val="24"/>
        </w:rPr>
        <w:t xml:space="preserve"> lift</w:t>
      </w:r>
      <w:r w:rsidR="004F5CD3" w:rsidRPr="00A53C01">
        <w:rPr>
          <w:rFonts w:cs="Times New Roman"/>
          <w:szCs w:val="24"/>
        </w:rPr>
        <w:t>ing</w:t>
      </w:r>
      <w:r w:rsidR="005811DB" w:rsidRPr="00A53C01">
        <w:rPr>
          <w:rFonts w:cs="Times New Roman"/>
          <w:szCs w:val="24"/>
        </w:rPr>
        <w:t xml:space="preserve"> </w:t>
      </w:r>
      <w:r w:rsidR="004F5CD3" w:rsidRPr="00A53C01">
        <w:rPr>
          <w:rFonts w:cs="Times New Roman"/>
          <w:szCs w:val="24"/>
        </w:rPr>
        <w:t>within months</w:t>
      </w:r>
      <w:r w:rsidR="005811DB" w:rsidRPr="00A53C01">
        <w:rPr>
          <w:rFonts w:cs="Times New Roman"/>
          <w:szCs w:val="24"/>
        </w:rPr>
        <w:t xml:space="preserve"> </w:t>
      </w:r>
      <w:r w:rsidR="004F5CD3" w:rsidRPr="00A53C01">
        <w:rPr>
          <w:rFonts w:cs="Times New Roman"/>
          <w:szCs w:val="24"/>
        </w:rPr>
        <w:t>–</w:t>
      </w:r>
      <w:r w:rsidR="005811DB" w:rsidRPr="00A53C01">
        <w:rPr>
          <w:rFonts w:cs="Times New Roman"/>
          <w:szCs w:val="24"/>
        </w:rPr>
        <w:t xml:space="preserve"> </w:t>
      </w:r>
      <w:r w:rsidR="004F5CD3" w:rsidRPr="00A53C01">
        <w:rPr>
          <w:rFonts w:cs="Times New Roman"/>
          <w:szCs w:val="24"/>
        </w:rPr>
        <w:t xml:space="preserve">was not predicated on acceptance of </w:t>
      </w:r>
      <w:r w:rsidR="005811DB" w:rsidRPr="00A53C01">
        <w:rPr>
          <w:rFonts w:cs="Times New Roman"/>
          <w:szCs w:val="24"/>
        </w:rPr>
        <w:t xml:space="preserve">the threat identified by the US </w:t>
      </w:r>
      <w:r w:rsidR="004F5CD3" w:rsidRPr="00A53C01">
        <w:rPr>
          <w:rFonts w:cs="Times New Roman"/>
          <w:szCs w:val="24"/>
        </w:rPr>
        <w:t>in</w:t>
      </w:r>
      <w:r w:rsidR="005811DB" w:rsidRPr="00A53C01">
        <w:rPr>
          <w:rFonts w:cs="Times New Roman"/>
          <w:szCs w:val="24"/>
        </w:rPr>
        <w:t xml:space="preserve"> its securitizing moves. </w:t>
      </w:r>
      <w:r w:rsidR="004F5CD3" w:rsidRPr="00A53C01">
        <w:rPr>
          <w:rFonts w:cs="Times New Roman"/>
          <w:szCs w:val="24"/>
        </w:rPr>
        <w:t>The</w:t>
      </w:r>
      <w:r w:rsidR="005811DB" w:rsidRPr="00A53C01">
        <w:rPr>
          <w:rFonts w:cs="Times New Roman"/>
          <w:szCs w:val="24"/>
        </w:rPr>
        <w:t xml:space="preserve"> embargo at that time</w:t>
      </w:r>
      <w:r w:rsidR="004F5CD3" w:rsidRPr="00A53C01">
        <w:rPr>
          <w:rFonts w:cs="Times New Roman"/>
          <w:szCs w:val="24"/>
        </w:rPr>
        <w:t xml:space="preserve"> -</w:t>
      </w:r>
      <w:r w:rsidR="005811DB" w:rsidRPr="00A53C01">
        <w:rPr>
          <w:rFonts w:cs="Times New Roman"/>
          <w:szCs w:val="24"/>
        </w:rPr>
        <w:t xml:space="preserve"> and in the present</w:t>
      </w:r>
      <w:r w:rsidR="004F5CD3" w:rsidRPr="00A53C01">
        <w:rPr>
          <w:rFonts w:cs="Times New Roman"/>
          <w:szCs w:val="24"/>
        </w:rPr>
        <w:t xml:space="preserve"> -</w:t>
      </w:r>
      <w:r w:rsidR="005811DB" w:rsidRPr="00A53C01">
        <w:rPr>
          <w:rFonts w:cs="Times New Roman"/>
          <w:szCs w:val="24"/>
        </w:rPr>
        <w:t xml:space="preserve"> remains decidedly non-securitized. </w:t>
      </w:r>
      <w:r w:rsidR="004F5CD3" w:rsidRPr="00A53C01">
        <w:rPr>
          <w:rFonts w:cs="Times New Roman"/>
          <w:szCs w:val="24"/>
        </w:rPr>
        <w:t>C</w:t>
      </w:r>
      <w:r w:rsidR="0066682B" w:rsidRPr="00A53C01">
        <w:rPr>
          <w:rFonts w:cs="Times New Roman"/>
          <w:szCs w:val="24"/>
        </w:rPr>
        <w:t>ables</w:t>
      </w:r>
      <w:r w:rsidR="004F5CD3" w:rsidRPr="00A53C01">
        <w:rPr>
          <w:rFonts w:cs="Times New Roman"/>
          <w:szCs w:val="24"/>
        </w:rPr>
        <w:t xml:space="preserve"> show that, over the years, US </w:t>
      </w:r>
      <w:r w:rsidR="0066682B" w:rsidRPr="00A53C01">
        <w:rPr>
          <w:rFonts w:cs="Times New Roman"/>
          <w:szCs w:val="24"/>
        </w:rPr>
        <w:t xml:space="preserve">officials have consulted with European counterparts whenever there is speculation that the issue may be revived. Consistently, EU actors assert that they understand the US’s security concerns, yet explain that the embargo will remain </w:t>
      </w:r>
      <w:r w:rsidR="004F5CD3" w:rsidRPr="00A53C01">
        <w:rPr>
          <w:rFonts w:cs="Times New Roman"/>
          <w:szCs w:val="24"/>
        </w:rPr>
        <w:t>as the timing is not right in light of</w:t>
      </w:r>
      <w:r w:rsidR="0066682B" w:rsidRPr="00A53C01">
        <w:rPr>
          <w:rFonts w:cs="Times New Roman"/>
          <w:szCs w:val="24"/>
        </w:rPr>
        <w:t xml:space="preserve"> continued problems in China’s human rights record</w:t>
      </w:r>
      <w:r w:rsidR="004F5CD3" w:rsidRPr="00A53C01">
        <w:rPr>
          <w:rFonts w:cs="Times New Roman"/>
          <w:szCs w:val="24"/>
        </w:rPr>
        <w:t xml:space="preserve">. </w:t>
      </w:r>
      <w:r w:rsidR="0066682B" w:rsidRPr="00A53C01">
        <w:rPr>
          <w:rFonts w:cs="Times New Roman"/>
          <w:szCs w:val="24"/>
        </w:rPr>
        <w:t xml:space="preserve"> </w:t>
      </w:r>
    </w:p>
    <w:p w14:paraId="4FB66408" w14:textId="77777777" w:rsidR="002444FD" w:rsidRPr="00A53C01" w:rsidRDefault="002444FD" w:rsidP="00A53C01">
      <w:pPr>
        <w:spacing w:line="312" w:lineRule="auto"/>
        <w:rPr>
          <w:rFonts w:cs="Times New Roman"/>
          <w:szCs w:val="24"/>
        </w:rPr>
      </w:pPr>
    </w:p>
    <w:p w14:paraId="11CE515E" w14:textId="040FF878" w:rsidR="007124AD" w:rsidRPr="00A53C01" w:rsidRDefault="00DB4227" w:rsidP="00A53C01">
      <w:pPr>
        <w:pStyle w:val="SectionHeading"/>
        <w:spacing w:line="312" w:lineRule="auto"/>
        <w:rPr>
          <w:rFonts w:cs="Times New Roman"/>
          <w:b/>
          <w:szCs w:val="24"/>
        </w:rPr>
      </w:pPr>
      <w:r>
        <w:rPr>
          <w:rFonts w:cs="Times New Roman"/>
          <w:b/>
          <w:szCs w:val="24"/>
        </w:rPr>
        <w:t xml:space="preserve">6. </w:t>
      </w:r>
      <w:r w:rsidR="007124AD" w:rsidRPr="00A53C01">
        <w:rPr>
          <w:rFonts w:cs="Times New Roman"/>
          <w:b/>
          <w:szCs w:val="24"/>
        </w:rPr>
        <w:t xml:space="preserve">Implications for Transatlantic </w:t>
      </w:r>
      <w:r w:rsidR="00104745" w:rsidRPr="00A53C01">
        <w:rPr>
          <w:rFonts w:cs="Times New Roman"/>
          <w:b/>
          <w:szCs w:val="24"/>
        </w:rPr>
        <w:t>Responses</w:t>
      </w:r>
      <w:r w:rsidR="007124AD" w:rsidRPr="00A53C01">
        <w:rPr>
          <w:rFonts w:cs="Times New Roman"/>
          <w:b/>
          <w:szCs w:val="24"/>
        </w:rPr>
        <w:t xml:space="preserve"> to China’s Rise</w:t>
      </w:r>
    </w:p>
    <w:p w14:paraId="7297D492" w14:textId="0CA4984A" w:rsidR="00104745" w:rsidRPr="00A53C01" w:rsidRDefault="002A59F2" w:rsidP="00A53C01">
      <w:pPr>
        <w:spacing w:line="312" w:lineRule="auto"/>
        <w:rPr>
          <w:rFonts w:cs="Times New Roman"/>
          <w:szCs w:val="24"/>
        </w:rPr>
      </w:pPr>
      <w:r w:rsidRPr="00A53C01">
        <w:rPr>
          <w:rFonts w:cs="Times New Roman"/>
          <w:szCs w:val="24"/>
        </w:rPr>
        <w:t>The transatlantic embargo debate cannot be compartmentalized from the wider</w:t>
      </w:r>
      <w:r w:rsidR="00104745" w:rsidRPr="00A53C01">
        <w:rPr>
          <w:rFonts w:cs="Times New Roman"/>
          <w:szCs w:val="24"/>
        </w:rPr>
        <w:t xml:space="preserve"> context of the US’</w:t>
      </w:r>
      <w:r w:rsidR="001828FB" w:rsidRPr="00A53C01">
        <w:rPr>
          <w:rFonts w:cs="Times New Roman"/>
          <w:szCs w:val="24"/>
        </w:rPr>
        <w:t>s</w:t>
      </w:r>
      <w:r w:rsidR="00104745" w:rsidRPr="00A53C01">
        <w:rPr>
          <w:rFonts w:cs="Times New Roman"/>
          <w:szCs w:val="24"/>
        </w:rPr>
        <w:t xml:space="preserve"> and EU’s responses to the rise of China</w:t>
      </w:r>
      <w:r w:rsidR="001828FB" w:rsidRPr="00A53C01">
        <w:rPr>
          <w:rFonts w:cs="Times New Roman"/>
          <w:szCs w:val="24"/>
        </w:rPr>
        <w:t>, or indeed the</w:t>
      </w:r>
      <w:r w:rsidR="00426C0C" w:rsidRPr="00A53C01">
        <w:rPr>
          <w:rFonts w:cs="Times New Roman"/>
          <w:szCs w:val="24"/>
        </w:rPr>
        <w:t>ir</w:t>
      </w:r>
      <w:r w:rsidR="001828FB" w:rsidRPr="00A53C01">
        <w:rPr>
          <w:rFonts w:cs="Times New Roman"/>
          <w:szCs w:val="24"/>
        </w:rPr>
        <w:t xml:space="preserve"> </w:t>
      </w:r>
      <w:r w:rsidR="00426C0C" w:rsidRPr="00A53C01">
        <w:rPr>
          <w:rFonts w:cs="Times New Roman"/>
          <w:szCs w:val="24"/>
        </w:rPr>
        <w:t>bilateral</w:t>
      </w:r>
      <w:r w:rsidR="001828FB" w:rsidRPr="00A53C01">
        <w:rPr>
          <w:rFonts w:cs="Times New Roman"/>
          <w:szCs w:val="24"/>
        </w:rPr>
        <w:t xml:space="preserve"> relationship</w:t>
      </w:r>
      <w:r w:rsidR="00104745" w:rsidRPr="00A53C01">
        <w:rPr>
          <w:rFonts w:cs="Times New Roman"/>
          <w:szCs w:val="24"/>
        </w:rPr>
        <w:t xml:space="preserve">. Yet, </w:t>
      </w:r>
      <w:r w:rsidR="00DD3E69" w:rsidRPr="00A53C01">
        <w:rPr>
          <w:rFonts w:cs="Times New Roman"/>
          <w:szCs w:val="24"/>
        </w:rPr>
        <w:t>the literature has</w:t>
      </w:r>
      <w:r w:rsidR="00104745" w:rsidRPr="00A53C01">
        <w:rPr>
          <w:rFonts w:cs="Times New Roman"/>
          <w:szCs w:val="24"/>
        </w:rPr>
        <w:t xml:space="preserve"> </w:t>
      </w:r>
      <w:r w:rsidR="00604E3B" w:rsidRPr="00A53C01">
        <w:rPr>
          <w:rFonts w:cs="Times New Roman"/>
          <w:szCs w:val="24"/>
        </w:rPr>
        <w:t>rarely</w:t>
      </w:r>
      <w:r w:rsidR="00DD3E69" w:rsidRPr="00A53C01">
        <w:rPr>
          <w:rFonts w:cs="Times New Roman"/>
          <w:szCs w:val="24"/>
        </w:rPr>
        <w:t xml:space="preserve"> </w:t>
      </w:r>
      <w:r w:rsidR="00604E3B" w:rsidRPr="00A53C01">
        <w:rPr>
          <w:rFonts w:cs="Times New Roman"/>
          <w:szCs w:val="24"/>
        </w:rPr>
        <w:t>linked</w:t>
      </w:r>
      <w:r w:rsidR="00426C0C" w:rsidRPr="00A53C01">
        <w:rPr>
          <w:rFonts w:cs="Times New Roman"/>
          <w:szCs w:val="24"/>
        </w:rPr>
        <w:t xml:space="preserve"> the issue</w:t>
      </w:r>
      <w:r w:rsidR="00604E3B" w:rsidRPr="00A53C01">
        <w:rPr>
          <w:rFonts w:cs="Times New Roman"/>
          <w:szCs w:val="24"/>
        </w:rPr>
        <w:t xml:space="preserve"> to the broader trajectories of </w:t>
      </w:r>
      <w:r w:rsidR="001828FB" w:rsidRPr="00A53C01">
        <w:rPr>
          <w:rFonts w:cs="Times New Roman"/>
          <w:szCs w:val="24"/>
        </w:rPr>
        <w:t>their respective</w:t>
      </w:r>
      <w:r w:rsidR="00604E3B" w:rsidRPr="00A53C01">
        <w:rPr>
          <w:rFonts w:cs="Times New Roman"/>
          <w:szCs w:val="24"/>
        </w:rPr>
        <w:t xml:space="preserve"> foreign policies. </w:t>
      </w:r>
      <w:r w:rsidR="004F5CD3" w:rsidRPr="00A53C01">
        <w:rPr>
          <w:rFonts w:cs="Times New Roman"/>
          <w:szCs w:val="24"/>
        </w:rPr>
        <w:t>R</w:t>
      </w:r>
      <w:r w:rsidR="00604E3B" w:rsidRPr="00A53C01">
        <w:rPr>
          <w:rFonts w:cs="Times New Roman"/>
          <w:szCs w:val="24"/>
        </w:rPr>
        <w:t>ecent scholarshi</w:t>
      </w:r>
      <w:r w:rsidR="004F5CD3" w:rsidRPr="00A53C01">
        <w:rPr>
          <w:rFonts w:cs="Times New Roman"/>
          <w:szCs w:val="24"/>
        </w:rPr>
        <w:t>p has, somewhat understandably,</w:t>
      </w:r>
      <w:r w:rsidR="00DD3E69" w:rsidRPr="00A53C01">
        <w:rPr>
          <w:rFonts w:cs="Times New Roman"/>
          <w:szCs w:val="24"/>
        </w:rPr>
        <w:t xml:space="preserve"> moved on from the</w:t>
      </w:r>
      <w:r w:rsidR="00604E3B" w:rsidRPr="00A53C01">
        <w:rPr>
          <w:rFonts w:cs="Times New Roman"/>
          <w:szCs w:val="24"/>
        </w:rPr>
        <w:t xml:space="preserve"> embargo </w:t>
      </w:r>
      <w:r w:rsidR="00AE44C1" w:rsidRPr="00A53C01">
        <w:rPr>
          <w:rFonts w:cs="Times New Roman"/>
          <w:szCs w:val="24"/>
        </w:rPr>
        <w:t>given</w:t>
      </w:r>
      <w:r w:rsidR="00AA7319" w:rsidRPr="00A53C01">
        <w:rPr>
          <w:rFonts w:cs="Times New Roman"/>
          <w:szCs w:val="24"/>
        </w:rPr>
        <w:t xml:space="preserve"> its </w:t>
      </w:r>
      <w:r w:rsidR="00AE44C1" w:rsidRPr="00A53C01">
        <w:rPr>
          <w:rFonts w:cs="Times New Roman"/>
          <w:szCs w:val="24"/>
        </w:rPr>
        <w:t>absence</w:t>
      </w:r>
      <w:r w:rsidR="00AA7319" w:rsidRPr="00A53C01">
        <w:rPr>
          <w:rFonts w:cs="Times New Roman"/>
          <w:szCs w:val="24"/>
        </w:rPr>
        <w:t xml:space="preserve"> from the EU’s agenda</w:t>
      </w:r>
      <w:r w:rsidR="00604E3B" w:rsidRPr="00A53C01">
        <w:rPr>
          <w:rFonts w:cs="Times New Roman"/>
          <w:szCs w:val="24"/>
        </w:rPr>
        <w:t xml:space="preserve">. </w:t>
      </w:r>
      <w:r w:rsidR="00426C0C" w:rsidRPr="00A53C01">
        <w:rPr>
          <w:rFonts w:cs="Times New Roman"/>
          <w:szCs w:val="24"/>
        </w:rPr>
        <w:t>However,</w:t>
      </w:r>
      <w:r w:rsidR="00604E3B" w:rsidRPr="00A53C01">
        <w:rPr>
          <w:rFonts w:cs="Times New Roman"/>
          <w:szCs w:val="24"/>
        </w:rPr>
        <w:t xml:space="preserve"> </w:t>
      </w:r>
      <w:r w:rsidR="00426C0C" w:rsidRPr="00A53C01">
        <w:rPr>
          <w:rFonts w:cs="Times New Roman"/>
          <w:szCs w:val="24"/>
        </w:rPr>
        <w:t>we miss</w:t>
      </w:r>
      <w:r w:rsidR="00604E3B" w:rsidRPr="00A53C01">
        <w:rPr>
          <w:rFonts w:cs="Times New Roman"/>
          <w:szCs w:val="24"/>
        </w:rPr>
        <w:t xml:space="preserve"> important insights pertaining to understanding the differences between US and EU responses to the rise of China and the consequential challenges posed to potential US-EU cooperation on managing China’s integration with the status quo order</w:t>
      </w:r>
      <w:r w:rsidR="001828FB" w:rsidRPr="00A53C01">
        <w:rPr>
          <w:rFonts w:cs="Times New Roman"/>
          <w:szCs w:val="24"/>
        </w:rPr>
        <w:t xml:space="preserve"> - a goal consis</w:t>
      </w:r>
      <w:r w:rsidR="003D39E6">
        <w:rPr>
          <w:rFonts w:cs="Times New Roman"/>
          <w:szCs w:val="24"/>
        </w:rPr>
        <w:t xml:space="preserve">tent with their </w:t>
      </w:r>
      <w:r w:rsidR="001828FB" w:rsidRPr="00A53C01">
        <w:rPr>
          <w:rFonts w:cs="Times New Roman"/>
          <w:szCs w:val="24"/>
        </w:rPr>
        <w:t>overarching strategic goals</w:t>
      </w:r>
      <w:r w:rsidR="00426C0C" w:rsidRPr="00A53C01">
        <w:rPr>
          <w:rFonts w:cs="Times New Roman"/>
          <w:szCs w:val="24"/>
        </w:rPr>
        <w:t xml:space="preserve"> (Brown, 2018: </w:t>
      </w:r>
      <w:r w:rsidR="001F59C6" w:rsidRPr="00A53C01">
        <w:rPr>
          <w:rFonts w:cs="Times New Roman"/>
          <w:szCs w:val="24"/>
        </w:rPr>
        <w:t>5</w:t>
      </w:r>
      <w:r w:rsidR="00426C0C" w:rsidRPr="00A53C01">
        <w:rPr>
          <w:rFonts w:cs="Times New Roman"/>
          <w:szCs w:val="24"/>
        </w:rPr>
        <w:t>)</w:t>
      </w:r>
      <w:r w:rsidR="00604E3B" w:rsidRPr="00A53C01">
        <w:rPr>
          <w:rFonts w:cs="Times New Roman"/>
          <w:szCs w:val="24"/>
        </w:rPr>
        <w:t>.</w:t>
      </w:r>
      <w:r w:rsidR="000C3B02" w:rsidRPr="00A53C01">
        <w:rPr>
          <w:rFonts w:cs="Times New Roman"/>
          <w:szCs w:val="24"/>
        </w:rPr>
        <w:t xml:space="preserve"> </w:t>
      </w:r>
      <w:r w:rsidR="00426C0C" w:rsidRPr="00A53C01">
        <w:rPr>
          <w:rFonts w:cs="Times New Roman"/>
          <w:szCs w:val="24"/>
        </w:rPr>
        <w:t>Here</w:t>
      </w:r>
      <w:r w:rsidR="00604E3B" w:rsidRPr="00A53C01">
        <w:rPr>
          <w:rFonts w:cs="Times New Roman"/>
          <w:szCs w:val="24"/>
        </w:rPr>
        <w:t>, I</w:t>
      </w:r>
      <w:r w:rsidR="001828FB" w:rsidRPr="00A53C01">
        <w:rPr>
          <w:rFonts w:cs="Times New Roman"/>
          <w:szCs w:val="24"/>
        </w:rPr>
        <w:t xml:space="preserve"> briefly</w:t>
      </w:r>
      <w:r w:rsidR="00604E3B" w:rsidRPr="00A53C01">
        <w:rPr>
          <w:rFonts w:cs="Times New Roman"/>
          <w:szCs w:val="24"/>
        </w:rPr>
        <w:t xml:space="preserve"> outline</w:t>
      </w:r>
      <w:r w:rsidR="00832652" w:rsidRPr="00A53C01">
        <w:rPr>
          <w:rFonts w:cs="Times New Roman"/>
          <w:szCs w:val="24"/>
        </w:rPr>
        <w:t xml:space="preserve"> some of the insights </w:t>
      </w:r>
      <w:r w:rsidR="00EC2625" w:rsidRPr="00A53C01">
        <w:rPr>
          <w:rFonts w:cs="Times New Roman"/>
          <w:szCs w:val="24"/>
        </w:rPr>
        <w:t>that</w:t>
      </w:r>
      <w:r w:rsidR="00832652" w:rsidRPr="00A53C01">
        <w:rPr>
          <w:rFonts w:cs="Times New Roman"/>
          <w:szCs w:val="24"/>
        </w:rPr>
        <w:t xml:space="preserve"> a securitization lens </w:t>
      </w:r>
      <w:r w:rsidR="00EC2625" w:rsidRPr="00A53C01">
        <w:rPr>
          <w:rFonts w:cs="Times New Roman"/>
          <w:szCs w:val="24"/>
        </w:rPr>
        <w:t>can add to our</w:t>
      </w:r>
      <w:r w:rsidR="00832652" w:rsidRPr="00A53C01">
        <w:rPr>
          <w:rFonts w:cs="Times New Roman"/>
          <w:szCs w:val="24"/>
        </w:rPr>
        <w:t xml:space="preserve"> understand</w:t>
      </w:r>
      <w:r w:rsidR="00EC2625" w:rsidRPr="00A53C01">
        <w:rPr>
          <w:rFonts w:cs="Times New Roman"/>
          <w:szCs w:val="24"/>
        </w:rPr>
        <w:t>ing of</w:t>
      </w:r>
      <w:r w:rsidR="00832652" w:rsidRPr="00A53C01">
        <w:rPr>
          <w:rFonts w:cs="Times New Roman"/>
          <w:szCs w:val="24"/>
        </w:rPr>
        <w:t xml:space="preserve"> </w:t>
      </w:r>
      <w:r w:rsidR="00604E3B" w:rsidRPr="00A53C01">
        <w:rPr>
          <w:rFonts w:cs="Times New Roman"/>
          <w:szCs w:val="24"/>
        </w:rPr>
        <w:t>the wider implications of the transatlantic divide over the</w:t>
      </w:r>
      <w:r w:rsidR="00832652" w:rsidRPr="00A53C01">
        <w:rPr>
          <w:rFonts w:cs="Times New Roman"/>
          <w:szCs w:val="24"/>
        </w:rPr>
        <w:t xml:space="preserve"> embargo</w:t>
      </w:r>
      <w:r w:rsidR="00604E3B" w:rsidRPr="00A53C01">
        <w:rPr>
          <w:rFonts w:cs="Times New Roman"/>
          <w:szCs w:val="24"/>
        </w:rPr>
        <w:t>.</w:t>
      </w:r>
    </w:p>
    <w:p w14:paraId="0D1EEEBC" w14:textId="77777777" w:rsidR="00604E3B" w:rsidRPr="00A53C01" w:rsidRDefault="00604E3B" w:rsidP="00A53C01">
      <w:pPr>
        <w:spacing w:line="312" w:lineRule="auto"/>
        <w:rPr>
          <w:rFonts w:cs="Times New Roman"/>
          <w:szCs w:val="24"/>
        </w:rPr>
      </w:pPr>
    </w:p>
    <w:p w14:paraId="6998F875" w14:textId="15B9386B" w:rsidR="001828FB" w:rsidRPr="00A53C01" w:rsidRDefault="000E7FA3" w:rsidP="00A53C01">
      <w:pPr>
        <w:spacing w:line="312" w:lineRule="auto"/>
        <w:rPr>
          <w:rFonts w:cs="Times New Roman"/>
          <w:szCs w:val="24"/>
        </w:rPr>
      </w:pPr>
      <w:r w:rsidRPr="00A53C01">
        <w:rPr>
          <w:rFonts w:cs="Times New Roman"/>
          <w:szCs w:val="24"/>
        </w:rPr>
        <w:t>T</w:t>
      </w:r>
      <w:r w:rsidR="001828FB" w:rsidRPr="00A53C01">
        <w:rPr>
          <w:rFonts w:cs="Times New Roman"/>
          <w:szCs w:val="24"/>
        </w:rPr>
        <w:t xml:space="preserve">he debate highlighted the variation in the salience of security as an overarching concern with respect to China’s rise in the US and </w:t>
      </w:r>
      <w:r w:rsidR="00AC4D60" w:rsidRPr="00A53C01">
        <w:rPr>
          <w:rFonts w:cs="Times New Roman"/>
          <w:szCs w:val="24"/>
        </w:rPr>
        <w:t>EU</w:t>
      </w:r>
      <w:r w:rsidR="00DF00E9" w:rsidRPr="00A53C01">
        <w:rPr>
          <w:rFonts w:cs="Times New Roman"/>
          <w:szCs w:val="24"/>
        </w:rPr>
        <w:t>.</w:t>
      </w:r>
      <w:r w:rsidR="00A33BC9" w:rsidRPr="00A53C01">
        <w:rPr>
          <w:rFonts w:eastAsia="Calibri" w:cs="Times New Roman"/>
          <w:iCs/>
          <w:szCs w:val="24"/>
        </w:rPr>
        <w:t xml:space="preserve"> </w:t>
      </w:r>
      <w:r w:rsidR="00DF00E9" w:rsidRPr="00A53C01">
        <w:rPr>
          <w:rFonts w:cs="Times New Roman"/>
          <w:szCs w:val="24"/>
        </w:rPr>
        <w:t>T</w:t>
      </w:r>
      <w:r w:rsidR="006B3681" w:rsidRPr="00A53C01">
        <w:rPr>
          <w:rFonts w:cs="Times New Roman"/>
          <w:szCs w:val="24"/>
        </w:rPr>
        <w:t>h</w:t>
      </w:r>
      <w:r w:rsidR="00DF00E9" w:rsidRPr="00A53C01">
        <w:rPr>
          <w:rFonts w:cs="Times New Roman"/>
          <w:szCs w:val="24"/>
        </w:rPr>
        <w:t xml:space="preserve">eir explicit foreign policy objectives </w:t>
      </w:r>
      <w:r w:rsidRPr="00A53C01">
        <w:rPr>
          <w:rFonts w:cs="Times New Roman"/>
          <w:szCs w:val="24"/>
        </w:rPr>
        <w:t>had been</w:t>
      </w:r>
      <w:r w:rsidR="00DF00E9" w:rsidRPr="00A53C01">
        <w:rPr>
          <w:rFonts w:cs="Times New Roman"/>
          <w:szCs w:val="24"/>
        </w:rPr>
        <w:t xml:space="preserve"> consistently framed around strategies of engagement </w:t>
      </w:r>
      <w:r w:rsidRPr="00A53C01">
        <w:rPr>
          <w:rFonts w:cs="Times New Roman"/>
          <w:szCs w:val="24"/>
        </w:rPr>
        <w:t>to</w:t>
      </w:r>
      <w:r w:rsidR="00AE44C1" w:rsidRPr="00A53C01">
        <w:rPr>
          <w:rFonts w:cs="Times New Roman"/>
          <w:szCs w:val="24"/>
        </w:rPr>
        <w:t xml:space="preserve"> facilitat</w:t>
      </w:r>
      <w:r w:rsidRPr="00A53C01">
        <w:rPr>
          <w:rFonts w:cs="Times New Roman"/>
          <w:szCs w:val="24"/>
        </w:rPr>
        <w:t>e</w:t>
      </w:r>
      <w:r w:rsidR="00DF00E9" w:rsidRPr="00A53C01">
        <w:rPr>
          <w:rFonts w:cs="Times New Roman"/>
          <w:szCs w:val="24"/>
        </w:rPr>
        <w:t xml:space="preserve"> </w:t>
      </w:r>
      <w:r w:rsidR="006B3681" w:rsidRPr="00A53C01">
        <w:rPr>
          <w:rFonts w:cs="Times New Roman"/>
          <w:szCs w:val="24"/>
        </w:rPr>
        <w:t xml:space="preserve">China’s </w:t>
      </w:r>
      <w:r w:rsidR="00DF00E9" w:rsidRPr="00A53C01">
        <w:rPr>
          <w:rFonts w:cs="Times New Roman"/>
          <w:szCs w:val="24"/>
        </w:rPr>
        <w:t xml:space="preserve">integration with the international system. China’s economic development fostered perceptions of opportunity, but the implications of its expanding military power and potential to exert influence in </w:t>
      </w:r>
      <w:r w:rsidR="00205C4B" w:rsidRPr="00A53C01">
        <w:rPr>
          <w:rFonts w:cs="Times New Roman"/>
          <w:szCs w:val="24"/>
        </w:rPr>
        <w:t>East Asia</w:t>
      </w:r>
      <w:r w:rsidR="00DF00E9" w:rsidRPr="00A53C01">
        <w:rPr>
          <w:rFonts w:cs="Times New Roman"/>
          <w:szCs w:val="24"/>
        </w:rPr>
        <w:t xml:space="preserve"> were felt most sharply by the US due to its regional presence and ties to </w:t>
      </w:r>
      <w:r w:rsidR="006B3681" w:rsidRPr="00A53C01">
        <w:rPr>
          <w:rFonts w:cs="Times New Roman"/>
          <w:szCs w:val="24"/>
        </w:rPr>
        <w:t>various</w:t>
      </w:r>
      <w:r w:rsidR="00DF00E9" w:rsidRPr="00A53C01">
        <w:rPr>
          <w:rFonts w:cs="Times New Roman"/>
          <w:szCs w:val="24"/>
        </w:rPr>
        <w:t xml:space="preserve"> regional actors. </w:t>
      </w:r>
      <w:r w:rsidR="00205C4B" w:rsidRPr="00A53C01">
        <w:rPr>
          <w:rFonts w:cs="Times New Roman"/>
          <w:szCs w:val="24"/>
        </w:rPr>
        <w:t>Devoid of such</w:t>
      </w:r>
      <w:r w:rsidR="00DF00E9" w:rsidRPr="00A53C01">
        <w:rPr>
          <w:rFonts w:cs="Times New Roman"/>
          <w:szCs w:val="24"/>
        </w:rPr>
        <w:t xml:space="preserve"> presence or responsibilities, </w:t>
      </w:r>
      <w:r w:rsidR="0035152F">
        <w:rPr>
          <w:rFonts w:cs="Times New Roman"/>
          <w:szCs w:val="24"/>
        </w:rPr>
        <w:t>Eruopean</w:t>
      </w:r>
      <w:r w:rsidR="00DF00E9" w:rsidRPr="00A53C01">
        <w:rPr>
          <w:rFonts w:cs="Times New Roman"/>
          <w:szCs w:val="24"/>
        </w:rPr>
        <w:t xml:space="preserve"> policymakers’ perceptions of the positive aspects of China’s </w:t>
      </w:r>
      <w:r w:rsidR="00DF00E9" w:rsidRPr="00A53C01">
        <w:rPr>
          <w:rFonts w:cs="Times New Roman"/>
          <w:szCs w:val="24"/>
        </w:rPr>
        <w:lastRenderedPageBreak/>
        <w:t>were not qualified</w:t>
      </w:r>
      <w:r w:rsidR="00205C4B" w:rsidRPr="00A53C01">
        <w:rPr>
          <w:rFonts w:cs="Times New Roman"/>
          <w:szCs w:val="24"/>
        </w:rPr>
        <w:t xml:space="preserve"> by security concerns</w:t>
      </w:r>
      <w:r w:rsidR="00DF00E9" w:rsidRPr="00A53C01">
        <w:rPr>
          <w:rFonts w:cs="Times New Roman"/>
          <w:szCs w:val="24"/>
        </w:rPr>
        <w:t xml:space="preserve"> </w:t>
      </w:r>
      <w:r w:rsidR="007026F5" w:rsidRPr="00A53C01">
        <w:rPr>
          <w:rFonts w:cs="Times New Roman"/>
          <w:szCs w:val="24"/>
        </w:rPr>
        <w:t>as</w:t>
      </w:r>
      <w:r w:rsidR="00323990" w:rsidRPr="00A53C01">
        <w:rPr>
          <w:rFonts w:cs="Times New Roman"/>
          <w:szCs w:val="24"/>
        </w:rPr>
        <w:t xml:space="preserve"> with</w:t>
      </w:r>
      <w:r w:rsidR="007026F5" w:rsidRPr="00A53C01">
        <w:rPr>
          <w:rFonts w:cs="Times New Roman"/>
          <w:szCs w:val="24"/>
        </w:rPr>
        <w:t xml:space="preserve"> those of their US counterparts.</w:t>
      </w:r>
      <w:r w:rsidR="00DF00E9" w:rsidRPr="00A53C01">
        <w:rPr>
          <w:rFonts w:cs="Times New Roman"/>
          <w:szCs w:val="24"/>
        </w:rPr>
        <w:t xml:space="preserve"> The perceived implications for the US’s regional and broader national security interests presented by China’s rise facilitated an environment within its own domestic </w:t>
      </w:r>
      <w:r w:rsidR="00323990" w:rsidRPr="00A53C01">
        <w:rPr>
          <w:rFonts w:cs="Times New Roman"/>
          <w:szCs w:val="24"/>
        </w:rPr>
        <w:t>security</w:t>
      </w:r>
      <w:r w:rsidR="00DF00E9" w:rsidRPr="00A53C01">
        <w:rPr>
          <w:rFonts w:cs="Times New Roman"/>
          <w:szCs w:val="24"/>
        </w:rPr>
        <w:t xml:space="preserve"> space where securiti</w:t>
      </w:r>
      <w:r w:rsidR="00DB0774" w:rsidRPr="00A53C01">
        <w:rPr>
          <w:rFonts w:cs="Times New Roman"/>
          <w:szCs w:val="24"/>
        </w:rPr>
        <w:t>z</w:t>
      </w:r>
      <w:r w:rsidR="00DF00E9" w:rsidRPr="00A53C01">
        <w:rPr>
          <w:rFonts w:cs="Times New Roman"/>
          <w:szCs w:val="24"/>
        </w:rPr>
        <w:t xml:space="preserve">ation of issues previously confined to the domain of ‘ordinary’ politics was </w:t>
      </w:r>
      <w:r w:rsidR="003752EB" w:rsidRPr="00A53C01">
        <w:rPr>
          <w:rFonts w:cs="Times New Roman"/>
          <w:szCs w:val="24"/>
        </w:rPr>
        <w:t xml:space="preserve">both feasible and largely uncontested. US media coverage of the embargo, commentary from analysts, and </w:t>
      </w:r>
      <w:r w:rsidR="00323990" w:rsidRPr="00A53C01">
        <w:rPr>
          <w:rFonts w:cs="Times New Roman"/>
          <w:szCs w:val="24"/>
        </w:rPr>
        <w:t xml:space="preserve">domestic policy discourse revealed </w:t>
      </w:r>
      <w:r w:rsidR="003752EB" w:rsidRPr="00A53C01">
        <w:rPr>
          <w:rFonts w:cs="Times New Roman"/>
          <w:szCs w:val="24"/>
        </w:rPr>
        <w:t xml:space="preserve">no opposing narrative to the </w:t>
      </w:r>
      <w:r w:rsidR="00323990" w:rsidRPr="00A53C01">
        <w:rPr>
          <w:rFonts w:cs="Times New Roman"/>
          <w:szCs w:val="24"/>
        </w:rPr>
        <w:t>government’s</w:t>
      </w:r>
      <w:r w:rsidR="003752EB" w:rsidRPr="00A53C01">
        <w:rPr>
          <w:rFonts w:cs="Times New Roman"/>
          <w:szCs w:val="24"/>
        </w:rPr>
        <w:t xml:space="preserve"> position (and thereby securiti</w:t>
      </w:r>
      <w:r w:rsidR="00DB0774" w:rsidRPr="00A53C01">
        <w:rPr>
          <w:rFonts w:cs="Times New Roman"/>
          <w:szCs w:val="24"/>
        </w:rPr>
        <w:t>z</w:t>
      </w:r>
      <w:r w:rsidR="003752EB" w:rsidRPr="00A53C01">
        <w:rPr>
          <w:rFonts w:cs="Times New Roman"/>
          <w:szCs w:val="24"/>
        </w:rPr>
        <w:t>ation moves) –</w:t>
      </w:r>
      <w:r w:rsidR="00323990" w:rsidRPr="00A53C01">
        <w:rPr>
          <w:rFonts w:cs="Times New Roman"/>
          <w:szCs w:val="24"/>
        </w:rPr>
        <w:t xml:space="preserve"> a </w:t>
      </w:r>
      <w:r w:rsidR="003752EB" w:rsidRPr="00A53C01">
        <w:rPr>
          <w:rFonts w:cs="Times New Roman"/>
          <w:szCs w:val="24"/>
        </w:rPr>
        <w:t>seemingly</w:t>
      </w:r>
      <w:r w:rsidR="00C15693" w:rsidRPr="00A53C01">
        <w:rPr>
          <w:rFonts w:cs="Times New Roman"/>
          <w:szCs w:val="24"/>
        </w:rPr>
        <w:t xml:space="preserve"> </w:t>
      </w:r>
      <w:r w:rsidR="003752EB" w:rsidRPr="00A53C01">
        <w:rPr>
          <w:rFonts w:cs="Times New Roman"/>
          <w:szCs w:val="24"/>
        </w:rPr>
        <w:t xml:space="preserve">rare instance of unity in the </w:t>
      </w:r>
      <w:r w:rsidR="00756CE6" w:rsidRPr="00A53C01">
        <w:rPr>
          <w:rFonts w:cs="Times New Roman"/>
          <w:szCs w:val="24"/>
        </w:rPr>
        <w:t>Washington</w:t>
      </w:r>
      <w:r w:rsidR="003752EB" w:rsidRPr="00A53C01">
        <w:rPr>
          <w:rFonts w:cs="Times New Roman"/>
          <w:szCs w:val="24"/>
        </w:rPr>
        <w:t xml:space="preserve"> policy community. </w:t>
      </w:r>
    </w:p>
    <w:p w14:paraId="75049870" w14:textId="77777777" w:rsidR="00E54629" w:rsidRPr="00A53C01" w:rsidRDefault="00E54629" w:rsidP="00A53C01">
      <w:pPr>
        <w:spacing w:line="312" w:lineRule="auto"/>
        <w:rPr>
          <w:rFonts w:cs="Times New Roman"/>
          <w:szCs w:val="24"/>
        </w:rPr>
      </w:pPr>
    </w:p>
    <w:p w14:paraId="2DC963D1" w14:textId="1C9E11AA" w:rsidR="00E54629" w:rsidRPr="00A53C01" w:rsidRDefault="00E54629" w:rsidP="00A53C01">
      <w:pPr>
        <w:spacing w:line="312" w:lineRule="auto"/>
        <w:rPr>
          <w:rFonts w:cs="Times New Roman"/>
          <w:szCs w:val="24"/>
        </w:rPr>
      </w:pPr>
      <w:r w:rsidRPr="00A53C01">
        <w:rPr>
          <w:rFonts w:eastAsia="Calibri" w:cs="Times New Roman"/>
          <w:iCs/>
          <w:szCs w:val="24"/>
        </w:rPr>
        <w:t xml:space="preserve">EU policymakers </w:t>
      </w:r>
      <w:r w:rsidR="00756CE6" w:rsidRPr="00A53C01">
        <w:rPr>
          <w:rFonts w:eastAsia="Calibri" w:cs="Times New Roman"/>
          <w:iCs/>
          <w:szCs w:val="24"/>
        </w:rPr>
        <w:t>failed to</w:t>
      </w:r>
      <w:r w:rsidRPr="00A53C01">
        <w:rPr>
          <w:rFonts w:eastAsia="Calibri" w:cs="Times New Roman"/>
          <w:iCs/>
          <w:szCs w:val="24"/>
        </w:rPr>
        <w:t xml:space="preserve"> anticipate </w:t>
      </w:r>
      <w:r w:rsidR="00323990" w:rsidRPr="00A53C01">
        <w:rPr>
          <w:rFonts w:eastAsia="Calibri" w:cs="Times New Roman"/>
          <w:iCs/>
          <w:szCs w:val="24"/>
        </w:rPr>
        <w:t xml:space="preserve">the initial US reaction </w:t>
      </w:r>
      <w:r w:rsidR="006F6C73" w:rsidRPr="00A53C01">
        <w:rPr>
          <w:rFonts w:eastAsia="Calibri" w:cs="Times New Roman"/>
          <w:iCs/>
          <w:szCs w:val="24"/>
        </w:rPr>
        <w:t>or</w:t>
      </w:r>
      <w:r w:rsidR="00323990" w:rsidRPr="00A53C01">
        <w:rPr>
          <w:rFonts w:eastAsia="Calibri" w:cs="Times New Roman"/>
          <w:iCs/>
          <w:szCs w:val="24"/>
        </w:rPr>
        <w:t xml:space="preserve"> its intensification</w:t>
      </w:r>
      <w:r w:rsidR="006F6C73" w:rsidRPr="00A53C01">
        <w:rPr>
          <w:rFonts w:eastAsia="Calibri" w:cs="Times New Roman"/>
          <w:iCs/>
          <w:szCs w:val="24"/>
        </w:rPr>
        <w:t xml:space="preserve"> over time</w:t>
      </w:r>
      <w:r w:rsidRPr="00A53C01">
        <w:rPr>
          <w:rFonts w:eastAsia="Calibri" w:cs="Times New Roman"/>
          <w:iCs/>
          <w:szCs w:val="24"/>
        </w:rPr>
        <w:t xml:space="preserve">. On the </w:t>
      </w:r>
      <w:r w:rsidR="00756CE6" w:rsidRPr="00A53C01">
        <w:rPr>
          <w:rFonts w:eastAsia="Calibri" w:cs="Times New Roman"/>
          <w:iCs/>
          <w:szCs w:val="24"/>
        </w:rPr>
        <w:t>US side</w:t>
      </w:r>
      <w:r w:rsidRPr="00A53C01">
        <w:rPr>
          <w:rFonts w:eastAsia="Calibri" w:cs="Times New Roman"/>
          <w:iCs/>
          <w:szCs w:val="24"/>
        </w:rPr>
        <w:t xml:space="preserve">, </w:t>
      </w:r>
      <w:r w:rsidR="00756CE6" w:rsidRPr="00A53C01">
        <w:rPr>
          <w:rFonts w:eastAsia="Calibri" w:cs="Times New Roman"/>
          <w:iCs/>
          <w:szCs w:val="24"/>
        </w:rPr>
        <w:t>key actors apparently</w:t>
      </w:r>
      <w:r w:rsidRPr="00A53C01">
        <w:rPr>
          <w:rFonts w:eastAsia="Calibri" w:cs="Times New Roman"/>
          <w:iCs/>
          <w:szCs w:val="24"/>
        </w:rPr>
        <w:t xml:space="preserve"> expect</w:t>
      </w:r>
      <w:r w:rsidR="00756CE6" w:rsidRPr="00A53C01">
        <w:rPr>
          <w:rFonts w:eastAsia="Calibri" w:cs="Times New Roman"/>
          <w:iCs/>
          <w:szCs w:val="24"/>
        </w:rPr>
        <w:t>ed</w:t>
      </w:r>
      <w:r w:rsidRPr="00A53C01">
        <w:rPr>
          <w:rFonts w:eastAsia="Calibri" w:cs="Times New Roman"/>
          <w:iCs/>
          <w:szCs w:val="24"/>
        </w:rPr>
        <w:t xml:space="preserve"> </w:t>
      </w:r>
      <w:r w:rsidR="00756CE6" w:rsidRPr="00A53C01">
        <w:rPr>
          <w:rFonts w:eastAsia="Calibri" w:cs="Times New Roman"/>
          <w:iCs/>
          <w:szCs w:val="24"/>
        </w:rPr>
        <w:t>t</w:t>
      </w:r>
      <w:r w:rsidRPr="00A53C01">
        <w:rPr>
          <w:rFonts w:eastAsia="Calibri" w:cs="Times New Roman"/>
          <w:iCs/>
          <w:szCs w:val="24"/>
        </w:rPr>
        <w:t>he proposal</w:t>
      </w:r>
      <w:r w:rsidR="00756CE6" w:rsidRPr="00A53C01">
        <w:rPr>
          <w:rFonts w:eastAsia="Calibri" w:cs="Times New Roman"/>
          <w:iCs/>
          <w:szCs w:val="24"/>
        </w:rPr>
        <w:t xml:space="preserve"> to be dropped</w:t>
      </w:r>
      <w:r w:rsidRPr="00A53C01">
        <w:rPr>
          <w:rFonts w:eastAsia="Calibri" w:cs="Times New Roman"/>
          <w:iCs/>
          <w:szCs w:val="24"/>
        </w:rPr>
        <w:t xml:space="preserve"> relatively quickly </w:t>
      </w:r>
      <w:r w:rsidR="00756CE6" w:rsidRPr="00A53C01">
        <w:rPr>
          <w:rFonts w:eastAsia="Calibri" w:cs="Times New Roman"/>
          <w:iCs/>
          <w:szCs w:val="24"/>
        </w:rPr>
        <w:t xml:space="preserve">following </w:t>
      </w:r>
      <w:r w:rsidR="00323990" w:rsidRPr="00A53C01">
        <w:rPr>
          <w:rFonts w:eastAsia="Calibri" w:cs="Times New Roman"/>
          <w:iCs/>
          <w:szCs w:val="24"/>
        </w:rPr>
        <w:t>articulation</w:t>
      </w:r>
      <w:r w:rsidR="00756CE6" w:rsidRPr="00A53C01">
        <w:rPr>
          <w:rFonts w:eastAsia="Calibri" w:cs="Times New Roman"/>
          <w:iCs/>
          <w:szCs w:val="24"/>
        </w:rPr>
        <w:t xml:space="preserve"> of their</w:t>
      </w:r>
      <w:r w:rsidRPr="00A53C01">
        <w:rPr>
          <w:rFonts w:eastAsia="Calibri" w:cs="Times New Roman"/>
          <w:iCs/>
          <w:szCs w:val="24"/>
        </w:rPr>
        <w:t xml:space="preserve"> security concerns.</w:t>
      </w:r>
      <w:r w:rsidR="00457F3F" w:rsidRPr="00A53C01">
        <w:rPr>
          <w:rFonts w:eastAsia="Calibri" w:cs="Times New Roman"/>
          <w:iCs/>
          <w:szCs w:val="24"/>
        </w:rPr>
        <w:t xml:space="preserve"> </w:t>
      </w:r>
      <w:r w:rsidR="00457F3F" w:rsidRPr="00A53C01">
        <w:rPr>
          <w:rFonts w:cs="Times New Roman"/>
          <w:szCs w:val="24"/>
        </w:rPr>
        <w:t xml:space="preserve">The main strategy for attempting to persuade the </w:t>
      </w:r>
      <w:r w:rsidR="0035152F">
        <w:rPr>
          <w:rFonts w:cs="Times New Roman"/>
          <w:szCs w:val="24"/>
        </w:rPr>
        <w:t>Member States</w:t>
      </w:r>
      <w:r w:rsidR="00457F3F" w:rsidRPr="00A53C01">
        <w:rPr>
          <w:rFonts w:cs="Times New Roman"/>
          <w:szCs w:val="24"/>
        </w:rPr>
        <w:t xml:space="preserve"> to maintain </w:t>
      </w:r>
      <w:r w:rsidR="0035152F">
        <w:rPr>
          <w:rFonts w:cs="Times New Roman"/>
          <w:szCs w:val="24"/>
        </w:rPr>
        <w:t>the EU-level</w:t>
      </w:r>
      <w:r w:rsidR="00457F3F" w:rsidRPr="00A53C01">
        <w:rPr>
          <w:rFonts w:cs="Times New Roman"/>
          <w:szCs w:val="24"/>
        </w:rPr>
        <w:t xml:space="preserve"> embargo was to convince policymakers that</w:t>
      </w:r>
      <w:r w:rsidR="008F5957" w:rsidRPr="00A53C01">
        <w:rPr>
          <w:rFonts w:cs="Times New Roman"/>
          <w:szCs w:val="24"/>
        </w:rPr>
        <w:t xml:space="preserve"> the move would have negative ramifications for security interests. </w:t>
      </w:r>
      <w:r w:rsidR="00457F3F" w:rsidRPr="00A53C01">
        <w:rPr>
          <w:rFonts w:cs="Times New Roman"/>
          <w:szCs w:val="24"/>
        </w:rPr>
        <w:t xml:space="preserve">The construction of this </w:t>
      </w:r>
      <w:r w:rsidR="006F6C73" w:rsidRPr="00A53C01">
        <w:rPr>
          <w:rFonts w:cs="Times New Roman"/>
          <w:szCs w:val="24"/>
        </w:rPr>
        <w:t>narrative</w:t>
      </w:r>
      <w:r w:rsidR="00457F3F" w:rsidRPr="00A53C01">
        <w:rPr>
          <w:rFonts w:cs="Times New Roman"/>
          <w:szCs w:val="24"/>
        </w:rPr>
        <w:t xml:space="preserve"> was evident from</w:t>
      </w:r>
      <w:r w:rsidR="006F6C73" w:rsidRPr="00A53C01">
        <w:rPr>
          <w:rFonts w:cs="Times New Roman"/>
          <w:szCs w:val="24"/>
        </w:rPr>
        <w:t xml:space="preserve"> the</w:t>
      </w:r>
      <w:r w:rsidR="00457F3F" w:rsidRPr="00A53C01">
        <w:rPr>
          <w:rFonts w:cs="Times New Roman"/>
          <w:szCs w:val="24"/>
        </w:rPr>
        <w:t xml:space="preserve"> outset</w:t>
      </w:r>
      <w:r w:rsidR="006F6C73" w:rsidRPr="00A53C01">
        <w:rPr>
          <w:rFonts w:cs="Times New Roman"/>
          <w:szCs w:val="24"/>
        </w:rPr>
        <w:t>, even as</w:t>
      </w:r>
      <w:r w:rsidR="00457F3F" w:rsidRPr="00A53C01">
        <w:rPr>
          <w:rFonts w:cs="Times New Roman"/>
          <w:szCs w:val="24"/>
        </w:rPr>
        <w:t xml:space="preserve"> the original </w:t>
      </w:r>
      <w:r w:rsidR="00457F3F" w:rsidRPr="00A53C01">
        <w:rPr>
          <w:rFonts w:cs="Times New Roman"/>
          <w:i/>
          <w:szCs w:val="24"/>
        </w:rPr>
        <w:t>political</w:t>
      </w:r>
      <w:r w:rsidR="00457F3F" w:rsidRPr="00A53C01">
        <w:rPr>
          <w:rFonts w:cs="Times New Roman"/>
          <w:szCs w:val="24"/>
        </w:rPr>
        <w:t xml:space="preserve"> reasons for the embargo</w:t>
      </w:r>
      <w:r w:rsidR="006F6C73" w:rsidRPr="00A53C01">
        <w:rPr>
          <w:rFonts w:cs="Times New Roman"/>
          <w:szCs w:val="24"/>
        </w:rPr>
        <w:t xml:space="preserve"> were discussed by transatlantic interlocutors.</w:t>
      </w:r>
      <w:r w:rsidR="00E4481A" w:rsidRPr="00A53C01">
        <w:rPr>
          <w:rFonts w:cs="Times New Roman"/>
          <w:szCs w:val="24"/>
        </w:rPr>
        <w:t xml:space="preserve"> </w:t>
      </w:r>
      <w:r w:rsidR="006F6C73" w:rsidRPr="00A53C01">
        <w:rPr>
          <w:rFonts w:cs="Times New Roman"/>
          <w:szCs w:val="24"/>
        </w:rPr>
        <w:t xml:space="preserve">The failure of persuasive efforts was clear as US policymakers resorted to coercive </w:t>
      </w:r>
      <w:r w:rsidR="00C27E70" w:rsidRPr="00A53C01">
        <w:rPr>
          <w:rFonts w:cs="Times New Roman"/>
          <w:szCs w:val="24"/>
        </w:rPr>
        <w:t>language, threatening to retaliate to the embargo being lifted by cutting off defence sector access.</w:t>
      </w:r>
      <w:r w:rsidR="0015612C" w:rsidRPr="00A53C01">
        <w:rPr>
          <w:rFonts w:cs="Times New Roman"/>
          <w:szCs w:val="24"/>
        </w:rPr>
        <w:t xml:space="preserve"> </w:t>
      </w:r>
      <w:r w:rsidRPr="00A53C01">
        <w:rPr>
          <w:rFonts w:eastAsia="Calibri" w:cs="Times New Roman"/>
          <w:szCs w:val="24"/>
        </w:rPr>
        <w:t xml:space="preserve">The </w:t>
      </w:r>
      <w:r w:rsidR="00604E3B" w:rsidRPr="00A53C01">
        <w:rPr>
          <w:rFonts w:cs="Times New Roman"/>
          <w:szCs w:val="24"/>
        </w:rPr>
        <w:t>failed securitization moves</w:t>
      </w:r>
      <w:r w:rsidRPr="00A53C01">
        <w:rPr>
          <w:rFonts w:cs="Times New Roman"/>
          <w:szCs w:val="24"/>
        </w:rPr>
        <w:t xml:space="preserve"> </w:t>
      </w:r>
      <w:r w:rsidR="00604E3B" w:rsidRPr="00A53C01">
        <w:rPr>
          <w:rFonts w:cs="Times New Roman"/>
          <w:szCs w:val="24"/>
        </w:rPr>
        <w:t xml:space="preserve">indicates that </w:t>
      </w:r>
      <w:r w:rsidRPr="00A53C01">
        <w:rPr>
          <w:rFonts w:cs="Times New Roman"/>
          <w:szCs w:val="24"/>
        </w:rPr>
        <w:t>although we can talk meaningfully of a transatlantic alliance and, indeed, a</w:t>
      </w:r>
      <w:r w:rsidR="00604E3B" w:rsidRPr="00A53C01">
        <w:rPr>
          <w:rFonts w:cs="Times New Roman"/>
          <w:szCs w:val="24"/>
        </w:rPr>
        <w:t xml:space="preserve"> transatlantic security space,</w:t>
      </w:r>
      <w:r w:rsidRPr="00A53C01">
        <w:rPr>
          <w:rFonts w:cs="Times New Roman"/>
          <w:szCs w:val="24"/>
        </w:rPr>
        <w:t xml:space="preserve"> the</w:t>
      </w:r>
      <w:r w:rsidR="0015612C" w:rsidRPr="00A53C01">
        <w:rPr>
          <w:rFonts w:cs="Times New Roman"/>
          <w:szCs w:val="24"/>
        </w:rPr>
        <w:t>se</w:t>
      </w:r>
      <w:r w:rsidRPr="00A53C01">
        <w:rPr>
          <w:rFonts w:cs="Times New Roman"/>
          <w:szCs w:val="24"/>
        </w:rPr>
        <w:t xml:space="preserve"> </w:t>
      </w:r>
      <w:r w:rsidR="0015612C" w:rsidRPr="00A53C01">
        <w:rPr>
          <w:rFonts w:cs="Times New Roman"/>
          <w:szCs w:val="24"/>
        </w:rPr>
        <w:t>are</w:t>
      </w:r>
      <w:r w:rsidR="00604E3B" w:rsidRPr="00A53C01">
        <w:rPr>
          <w:rFonts w:cs="Times New Roman"/>
          <w:szCs w:val="24"/>
        </w:rPr>
        <w:t xml:space="preserve"> no guarantee</w:t>
      </w:r>
      <w:r w:rsidRPr="00A53C01">
        <w:rPr>
          <w:rFonts w:cs="Times New Roman"/>
          <w:szCs w:val="24"/>
        </w:rPr>
        <w:t>s</w:t>
      </w:r>
      <w:r w:rsidR="00604E3B" w:rsidRPr="00A53C01">
        <w:rPr>
          <w:rFonts w:cs="Times New Roman"/>
          <w:szCs w:val="24"/>
        </w:rPr>
        <w:t xml:space="preserve"> </w:t>
      </w:r>
      <w:r w:rsidRPr="00A53C01">
        <w:rPr>
          <w:rFonts w:cs="Times New Roman"/>
          <w:szCs w:val="24"/>
        </w:rPr>
        <w:t>for</w:t>
      </w:r>
      <w:r w:rsidR="00604E3B" w:rsidRPr="00A53C01">
        <w:rPr>
          <w:rFonts w:cs="Times New Roman"/>
          <w:szCs w:val="24"/>
        </w:rPr>
        <w:t xml:space="preserve"> </w:t>
      </w:r>
      <w:r w:rsidR="0015612C" w:rsidRPr="00A53C01">
        <w:rPr>
          <w:rFonts w:cs="Times New Roman"/>
          <w:szCs w:val="24"/>
        </w:rPr>
        <w:t>the success of</w:t>
      </w:r>
      <w:r w:rsidR="00604E3B" w:rsidRPr="00A53C01">
        <w:rPr>
          <w:rFonts w:cs="Times New Roman"/>
          <w:szCs w:val="24"/>
        </w:rPr>
        <w:t xml:space="preserve"> securitization</w:t>
      </w:r>
      <w:r w:rsidRPr="00A53C01">
        <w:rPr>
          <w:rFonts w:cs="Times New Roman"/>
          <w:szCs w:val="24"/>
        </w:rPr>
        <w:t xml:space="preserve"> moves. This is </w:t>
      </w:r>
      <w:r w:rsidR="0015612C" w:rsidRPr="00A53C01">
        <w:rPr>
          <w:rFonts w:cs="Times New Roman"/>
          <w:szCs w:val="24"/>
        </w:rPr>
        <w:t>true</w:t>
      </w:r>
      <w:r w:rsidRPr="00A53C01">
        <w:rPr>
          <w:rFonts w:cs="Times New Roman"/>
          <w:szCs w:val="24"/>
        </w:rPr>
        <w:t xml:space="preserve"> </w:t>
      </w:r>
      <w:r w:rsidR="0015612C" w:rsidRPr="00A53C01">
        <w:rPr>
          <w:rFonts w:cs="Times New Roman"/>
          <w:szCs w:val="24"/>
        </w:rPr>
        <w:t>of</w:t>
      </w:r>
      <w:r w:rsidRPr="00A53C01">
        <w:rPr>
          <w:rFonts w:cs="Times New Roman"/>
          <w:szCs w:val="24"/>
        </w:rPr>
        <w:t xml:space="preserve"> any given security space, but that it happened at the transatlantic level against the background of the fallout over the Iraq war </w:t>
      </w:r>
      <w:r w:rsidR="0060332A" w:rsidRPr="00A53C01">
        <w:rPr>
          <w:rFonts w:cs="Times New Roman"/>
          <w:szCs w:val="24"/>
        </w:rPr>
        <w:t>only served to reinforce the wider narrative of a transatlantic rift in</w:t>
      </w:r>
      <w:r w:rsidR="00F25A99" w:rsidRPr="00A53C01">
        <w:rPr>
          <w:rFonts w:cs="Times New Roman"/>
          <w:szCs w:val="24"/>
        </w:rPr>
        <w:t xml:space="preserve"> the post-Cold War environment. </w:t>
      </w:r>
      <w:r w:rsidR="00B750E9" w:rsidRPr="00A53C01">
        <w:rPr>
          <w:rFonts w:cs="Times New Roman"/>
          <w:szCs w:val="24"/>
        </w:rPr>
        <w:t>Post-</w:t>
      </w:r>
      <w:r w:rsidR="00F25A99" w:rsidRPr="00A53C01">
        <w:rPr>
          <w:rFonts w:cs="Times New Roman"/>
          <w:szCs w:val="24"/>
        </w:rPr>
        <w:t>debate</w:t>
      </w:r>
      <w:r w:rsidR="00B750E9" w:rsidRPr="00A53C01">
        <w:rPr>
          <w:rFonts w:cs="Times New Roman"/>
          <w:szCs w:val="24"/>
        </w:rPr>
        <w:t>,</w:t>
      </w:r>
      <w:r w:rsidR="00F25A99" w:rsidRPr="00A53C01">
        <w:rPr>
          <w:rFonts w:cs="Times New Roman"/>
          <w:szCs w:val="24"/>
        </w:rPr>
        <w:t xml:space="preserve"> the US a</w:t>
      </w:r>
      <w:r w:rsidR="00FC362B" w:rsidRPr="00A53C01">
        <w:rPr>
          <w:rFonts w:cs="Times New Roman"/>
          <w:szCs w:val="24"/>
        </w:rPr>
        <w:t xml:space="preserve">nd </w:t>
      </w:r>
      <w:r w:rsidR="00F25A99" w:rsidRPr="00A53C01">
        <w:rPr>
          <w:rFonts w:cs="Times New Roman"/>
          <w:szCs w:val="24"/>
        </w:rPr>
        <w:t xml:space="preserve">EU </w:t>
      </w:r>
      <w:r w:rsidR="00B750E9" w:rsidRPr="00A53C01">
        <w:rPr>
          <w:rFonts w:cs="Times New Roman"/>
          <w:szCs w:val="24"/>
        </w:rPr>
        <w:t>agreed</w:t>
      </w:r>
      <w:r w:rsidR="00F25A99" w:rsidRPr="00A53C01">
        <w:rPr>
          <w:rFonts w:cs="Times New Roman"/>
          <w:szCs w:val="24"/>
        </w:rPr>
        <w:t xml:space="preserve"> to </w:t>
      </w:r>
      <w:r w:rsidR="008A3F31" w:rsidRPr="00A53C01">
        <w:rPr>
          <w:rFonts w:cs="Times New Roman"/>
          <w:szCs w:val="24"/>
        </w:rPr>
        <w:t>establish a bilateral</w:t>
      </w:r>
      <w:r w:rsidR="00F25A99" w:rsidRPr="00A53C01">
        <w:rPr>
          <w:rFonts w:cs="Times New Roman"/>
          <w:szCs w:val="24"/>
        </w:rPr>
        <w:t xml:space="preserve"> East Asia</w:t>
      </w:r>
      <w:r w:rsidR="008A3F31" w:rsidRPr="00A53C01">
        <w:rPr>
          <w:rFonts w:cs="Times New Roman"/>
          <w:szCs w:val="24"/>
        </w:rPr>
        <w:t>n Strategic Dialogue</w:t>
      </w:r>
      <w:r w:rsidR="00B750E9" w:rsidRPr="00A53C01">
        <w:rPr>
          <w:rFonts w:cs="Times New Roman"/>
          <w:szCs w:val="24"/>
        </w:rPr>
        <w:t xml:space="preserve">, with some EU officials conceding that this would be necessary </w:t>
      </w:r>
      <w:r w:rsidR="001A7CAC" w:rsidRPr="00A53C01">
        <w:rPr>
          <w:rFonts w:cs="Times New Roman"/>
          <w:szCs w:val="24"/>
        </w:rPr>
        <w:t>prior to lifting</w:t>
      </w:r>
      <w:r w:rsidR="00B750E9" w:rsidRPr="00A53C01">
        <w:rPr>
          <w:rFonts w:cs="Times New Roman"/>
          <w:szCs w:val="24"/>
        </w:rPr>
        <w:t xml:space="preserve"> (US Embassy Spain, 2005X). </w:t>
      </w:r>
      <w:r w:rsidR="002136AD" w:rsidRPr="00A53C01">
        <w:rPr>
          <w:rFonts w:cs="Times New Roman"/>
          <w:szCs w:val="24"/>
        </w:rPr>
        <w:t xml:space="preserve">However, the evidence </w:t>
      </w:r>
      <w:r w:rsidR="001A7CAC" w:rsidRPr="00A53C01">
        <w:rPr>
          <w:rFonts w:cs="Times New Roman"/>
          <w:szCs w:val="24"/>
        </w:rPr>
        <w:t>does not</w:t>
      </w:r>
      <w:r w:rsidR="002136AD" w:rsidRPr="00A53C01">
        <w:rPr>
          <w:rFonts w:cs="Times New Roman"/>
          <w:szCs w:val="24"/>
        </w:rPr>
        <w:t xml:space="preserve"> suggest that transatlantic perspectives </w:t>
      </w:r>
      <w:r w:rsidR="001A7CAC" w:rsidRPr="00A53C01">
        <w:rPr>
          <w:rFonts w:cs="Times New Roman"/>
          <w:szCs w:val="24"/>
        </w:rPr>
        <w:t xml:space="preserve">had </w:t>
      </w:r>
      <w:r w:rsidR="002136AD" w:rsidRPr="00A53C01">
        <w:rPr>
          <w:rFonts w:cs="Times New Roman"/>
          <w:szCs w:val="24"/>
        </w:rPr>
        <w:t xml:space="preserve">converged – </w:t>
      </w:r>
      <w:r w:rsidR="001A7CAC" w:rsidRPr="00A53C01">
        <w:rPr>
          <w:rFonts w:cs="Times New Roman"/>
          <w:szCs w:val="24"/>
        </w:rPr>
        <w:t>when</w:t>
      </w:r>
      <w:r w:rsidR="002136AD" w:rsidRPr="00A53C01">
        <w:rPr>
          <w:rFonts w:cs="Times New Roman"/>
          <w:szCs w:val="24"/>
        </w:rPr>
        <w:t xml:space="preserve"> the embargo has been touted to return to the agenda, EU officials have tended to focus on the problem of timing, particularly given China’s human rights</w:t>
      </w:r>
      <w:r w:rsidR="007462CA" w:rsidRPr="00A53C01">
        <w:rPr>
          <w:rFonts w:cs="Times New Roman"/>
          <w:szCs w:val="24"/>
        </w:rPr>
        <w:t xml:space="preserve"> situation.</w:t>
      </w:r>
      <w:r w:rsidR="001A7CAC" w:rsidRPr="00A53C01">
        <w:rPr>
          <w:rFonts w:cs="Times New Roman"/>
          <w:szCs w:val="24"/>
        </w:rPr>
        <w:t xml:space="preserve"> </w:t>
      </w:r>
      <w:r w:rsidR="007462CA" w:rsidRPr="00A53C01">
        <w:rPr>
          <w:rFonts w:cs="Times New Roman"/>
          <w:szCs w:val="24"/>
        </w:rPr>
        <w:t>O</w:t>
      </w:r>
      <w:r w:rsidR="00F41E08" w:rsidRPr="00A53C01">
        <w:rPr>
          <w:rFonts w:cs="Times New Roman"/>
          <w:szCs w:val="24"/>
        </w:rPr>
        <w:t>u</w:t>
      </w:r>
      <w:r w:rsidR="00B750E9" w:rsidRPr="00A53C01">
        <w:rPr>
          <w:rFonts w:cs="Times New Roman"/>
          <w:szCs w:val="24"/>
        </w:rPr>
        <w:t>tright opposition</w:t>
      </w:r>
      <w:r w:rsidR="007462CA" w:rsidRPr="00A53C01">
        <w:rPr>
          <w:rFonts w:cs="Times New Roman"/>
          <w:szCs w:val="24"/>
        </w:rPr>
        <w:t xml:space="preserve"> to lifting</w:t>
      </w:r>
      <w:r w:rsidR="00B750E9" w:rsidRPr="00A53C01">
        <w:rPr>
          <w:rFonts w:cs="Times New Roman"/>
          <w:szCs w:val="24"/>
        </w:rPr>
        <w:t xml:space="preserve"> </w:t>
      </w:r>
      <w:r w:rsidR="007462CA" w:rsidRPr="00A53C01">
        <w:rPr>
          <w:rFonts w:cs="Times New Roman"/>
          <w:szCs w:val="24"/>
        </w:rPr>
        <w:t>predicated</w:t>
      </w:r>
      <w:r w:rsidR="00B750E9" w:rsidRPr="00A53C01">
        <w:rPr>
          <w:rFonts w:cs="Times New Roman"/>
          <w:szCs w:val="24"/>
        </w:rPr>
        <w:t xml:space="preserve"> </w:t>
      </w:r>
      <w:r w:rsidR="00F41E08" w:rsidRPr="00A53C01">
        <w:rPr>
          <w:rFonts w:cs="Times New Roman"/>
          <w:szCs w:val="24"/>
        </w:rPr>
        <w:t xml:space="preserve">security </w:t>
      </w:r>
      <w:r w:rsidR="00B750E9" w:rsidRPr="00A53C01">
        <w:rPr>
          <w:rFonts w:cs="Times New Roman"/>
          <w:szCs w:val="24"/>
        </w:rPr>
        <w:t xml:space="preserve">concerns </w:t>
      </w:r>
      <w:r w:rsidR="000D171F" w:rsidRPr="00A53C01">
        <w:rPr>
          <w:rFonts w:cs="Times New Roman"/>
          <w:szCs w:val="24"/>
        </w:rPr>
        <w:t>has not emerged</w:t>
      </w:r>
      <w:r w:rsidR="002136AD" w:rsidRPr="00A53C01">
        <w:rPr>
          <w:rFonts w:cs="Times New Roman"/>
          <w:szCs w:val="24"/>
        </w:rPr>
        <w:t xml:space="preserve">. </w:t>
      </w:r>
      <w:r w:rsidR="00F25A99" w:rsidRPr="00A53C01">
        <w:rPr>
          <w:rFonts w:cs="Times New Roman"/>
          <w:szCs w:val="24"/>
        </w:rPr>
        <w:t>As such, the potential for reigniting the debate remains real</w:t>
      </w:r>
      <w:r w:rsidR="00DB0774" w:rsidRPr="00A53C01">
        <w:rPr>
          <w:rFonts w:cs="Times New Roman"/>
          <w:szCs w:val="24"/>
        </w:rPr>
        <w:t xml:space="preserve">. </w:t>
      </w:r>
    </w:p>
    <w:p w14:paraId="0ACFF63B" w14:textId="77777777" w:rsidR="00E54629" w:rsidRPr="00A53C01" w:rsidRDefault="00E54629" w:rsidP="00A53C01">
      <w:pPr>
        <w:spacing w:line="312" w:lineRule="auto"/>
        <w:rPr>
          <w:rFonts w:cs="Times New Roman"/>
          <w:szCs w:val="24"/>
        </w:rPr>
      </w:pPr>
    </w:p>
    <w:p w14:paraId="6901D4DF" w14:textId="534FA8FB" w:rsidR="00581822" w:rsidRPr="00A53C01" w:rsidRDefault="00647C01" w:rsidP="00A53C01">
      <w:pPr>
        <w:spacing w:line="312" w:lineRule="auto"/>
        <w:rPr>
          <w:rFonts w:cs="Times New Roman"/>
          <w:szCs w:val="24"/>
        </w:rPr>
      </w:pPr>
      <w:r w:rsidRPr="00A53C01">
        <w:rPr>
          <w:rFonts w:cs="Times New Roman"/>
          <w:szCs w:val="24"/>
        </w:rPr>
        <w:t xml:space="preserve">The debate also </w:t>
      </w:r>
      <w:r w:rsidR="00DD5588" w:rsidRPr="00A53C01">
        <w:rPr>
          <w:rFonts w:cs="Times New Roman"/>
          <w:szCs w:val="24"/>
        </w:rPr>
        <w:t>reveals</w:t>
      </w:r>
      <w:r w:rsidRPr="00A53C01">
        <w:rPr>
          <w:rFonts w:cs="Times New Roman"/>
          <w:szCs w:val="24"/>
        </w:rPr>
        <w:t xml:space="preserve"> the securiti</w:t>
      </w:r>
      <w:r w:rsidR="00DB0774" w:rsidRPr="00A53C01">
        <w:rPr>
          <w:rFonts w:cs="Times New Roman"/>
          <w:szCs w:val="24"/>
        </w:rPr>
        <w:t>z</w:t>
      </w:r>
      <w:r w:rsidR="00DD5588" w:rsidRPr="00A53C01">
        <w:rPr>
          <w:rFonts w:cs="Times New Roman"/>
          <w:szCs w:val="24"/>
        </w:rPr>
        <w:t>ation of China’s</w:t>
      </w:r>
      <w:r w:rsidRPr="00A53C01">
        <w:rPr>
          <w:rFonts w:cs="Times New Roman"/>
          <w:szCs w:val="24"/>
        </w:rPr>
        <w:t xml:space="preserve"> </w:t>
      </w:r>
      <w:r w:rsidR="00DB0774" w:rsidRPr="00A53C01">
        <w:rPr>
          <w:rFonts w:cs="Times New Roman"/>
          <w:szCs w:val="24"/>
        </w:rPr>
        <w:t>occurring</w:t>
      </w:r>
      <w:r w:rsidRPr="00A53C01">
        <w:rPr>
          <w:rFonts w:cs="Times New Roman"/>
          <w:szCs w:val="24"/>
        </w:rPr>
        <w:t xml:space="preserve"> within US institutions; this in itself was not new, but</w:t>
      </w:r>
      <w:r w:rsidR="00DB0774" w:rsidRPr="00A53C01">
        <w:rPr>
          <w:rFonts w:cs="Times New Roman"/>
          <w:szCs w:val="24"/>
        </w:rPr>
        <w:t xml:space="preserve"> arguably</w:t>
      </w:r>
      <w:r w:rsidRPr="00A53C01">
        <w:rPr>
          <w:rFonts w:cs="Times New Roman"/>
          <w:szCs w:val="24"/>
        </w:rPr>
        <w:t xml:space="preserve"> the administration’s </w:t>
      </w:r>
      <w:r w:rsidR="000C3B02" w:rsidRPr="00A53C01">
        <w:rPr>
          <w:rFonts w:cs="Times New Roman"/>
          <w:szCs w:val="24"/>
        </w:rPr>
        <w:t>p</w:t>
      </w:r>
      <w:r w:rsidR="00DD5588" w:rsidRPr="00A53C01">
        <w:rPr>
          <w:rFonts w:cs="Times New Roman"/>
          <w:szCs w:val="24"/>
        </w:rPr>
        <w:t>ublic rhetoric throughout|</w:t>
      </w:r>
      <w:r w:rsidR="00DB0774" w:rsidRPr="00A53C01">
        <w:rPr>
          <w:rFonts w:cs="Times New Roman"/>
          <w:szCs w:val="24"/>
        </w:rPr>
        <w:t xml:space="preserve"> </w:t>
      </w:r>
      <w:r w:rsidRPr="00A53C01">
        <w:rPr>
          <w:rFonts w:cs="Times New Roman"/>
          <w:szCs w:val="24"/>
        </w:rPr>
        <w:t>made this clearer than previously had been the case. Yet, few scholars have approached the US-China relationship by utilising securiti</w:t>
      </w:r>
      <w:r w:rsidR="00DB0774" w:rsidRPr="00A53C01">
        <w:rPr>
          <w:rFonts w:cs="Times New Roman"/>
          <w:szCs w:val="24"/>
        </w:rPr>
        <w:t>z</w:t>
      </w:r>
      <w:r w:rsidRPr="00A53C01">
        <w:rPr>
          <w:rFonts w:cs="Times New Roman"/>
          <w:szCs w:val="24"/>
        </w:rPr>
        <w:t>ation as a theoretical perspective</w:t>
      </w:r>
      <w:r w:rsidR="00DB0774" w:rsidRPr="00A53C01">
        <w:rPr>
          <w:rFonts w:cs="Times New Roman"/>
          <w:szCs w:val="24"/>
        </w:rPr>
        <w:t xml:space="preserve"> </w:t>
      </w:r>
      <w:r w:rsidR="00AC1798" w:rsidRPr="00A53C01">
        <w:rPr>
          <w:rFonts w:cs="Times New Roman"/>
          <w:szCs w:val="24"/>
        </w:rPr>
        <w:t>on</w:t>
      </w:r>
      <w:r w:rsidR="00DB0774" w:rsidRPr="00A53C01">
        <w:rPr>
          <w:rFonts w:cs="Times New Roman"/>
          <w:szCs w:val="24"/>
        </w:rPr>
        <w:t xml:space="preserve"> specific </w:t>
      </w:r>
      <w:r w:rsidR="00DB0774" w:rsidRPr="00A53C01">
        <w:rPr>
          <w:rFonts w:cs="Times New Roman"/>
          <w:szCs w:val="24"/>
        </w:rPr>
        <w:lastRenderedPageBreak/>
        <w:t>events or developments</w:t>
      </w:r>
      <w:r w:rsidRPr="00A53C01">
        <w:rPr>
          <w:rFonts w:cs="Times New Roman"/>
          <w:szCs w:val="24"/>
        </w:rPr>
        <w:t xml:space="preserve"> – Hayes (2013) being a notable exception. Hayes’ (2013: 159) observation that “powerful economic ties are not sufficient to keep relations… out of the realm of security”. Although realist perspectives </w:t>
      </w:r>
      <w:r w:rsidR="00C36D0F" w:rsidRPr="00A53C01">
        <w:rPr>
          <w:rFonts w:cs="Times New Roman"/>
          <w:szCs w:val="24"/>
        </w:rPr>
        <w:t>essentially</w:t>
      </w:r>
      <w:r w:rsidRPr="00A53C01">
        <w:rPr>
          <w:rFonts w:cs="Times New Roman"/>
          <w:szCs w:val="24"/>
        </w:rPr>
        <w:t xml:space="preserve"> dominate the US-China relations literature and Securiti</w:t>
      </w:r>
      <w:r w:rsidR="00DB0774" w:rsidRPr="00A53C01">
        <w:rPr>
          <w:rFonts w:cs="Times New Roman"/>
          <w:szCs w:val="24"/>
        </w:rPr>
        <w:t>z</w:t>
      </w:r>
      <w:r w:rsidRPr="00A53C01">
        <w:rPr>
          <w:rFonts w:cs="Times New Roman"/>
          <w:szCs w:val="24"/>
        </w:rPr>
        <w:t xml:space="preserve">ation Theory has predominantly been employed by European scholars, there is scope for ‘doing more’ by bringing the two </w:t>
      </w:r>
      <w:r w:rsidR="00373210" w:rsidRPr="00A53C01">
        <w:rPr>
          <w:rFonts w:cs="Times New Roman"/>
          <w:szCs w:val="24"/>
        </w:rPr>
        <w:t xml:space="preserve">camps </w:t>
      </w:r>
      <w:r w:rsidRPr="00A53C01">
        <w:rPr>
          <w:rFonts w:cs="Times New Roman"/>
          <w:szCs w:val="24"/>
        </w:rPr>
        <w:t>together. In contrast, the EU-China relationship has not seen the same processes of securiti</w:t>
      </w:r>
      <w:r w:rsidR="00DB0774" w:rsidRPr="00A53C01">
        <w:rPr>
          <w:rFonts w:cs="Times New Roman"/>
          <w:szCs w:val="24"/>
        </w:rPr>
        <w:t>z</w:t>
      </w:r>
      <w:r w:rsidRPr="00A53C01">
        <w:rPr>
          <w:rFonts w:cs="Times New Roman"/>
          <w:szCs w:val="24"/>
        </w:rPr>
        <w:t xml:space="preserve">ation, </w:t>
      </w:r>
      <w:r w:rsidR="00EF1FF1" w:rsidRPr="00A53C01">
        <w:rPr>
          <w:rFonts w:cs="Times New Roman"/>
          <w:szCs w:val="24"/>
        </w:rPr>
        <w:t xml:space="preserve">instead </w:t>
      </w:r>
      <w:r w:rsidRPr="00A53C01">
        <w:rPr>
          <w:rFonts w:cs="Times New Roman"/>
          <w:szCs w:val="24"/>
        </w:rPr>
        <w:t>embod</w:t>
      </w:r>
      <w:r w:rsidR="00373210" w:rsidRPr="00A53C01">
        <w:rPr>
          <w:rFonts w:cs="Times New Roman"/>
          <w:szCs w:val="24"/>
        </w:rPr>
        <w:t>ying</w:t>
      </w:r>
      <w:r w:rsidRPr="00A53C01">
        <w:rPr>
          <w:rFonts w:cs="Times New Roman"/>
          <w:szCs w:val="24"/>
        </w:rPr>
        <w:t xml:space="preserve"> “unconditional engagement”</w:t>
      </w:r>
      <w:r w:rsidR="00EF1FF1" w:rsidRPr="00A53C01">
        <w:rPr>
          <w:rFonts w:cs="Times New Roman"/>
          <w:szCs w:val="24"/>
        </w:rPr>
        <w:t xml:space="preserve"> (Fox and Godement, 2009)</w:t>
      </w:r>
      <w:r w:rsidRPr="00A53C01">
        <w:rPr>
          <w:rFonts w:cs="Times New Roman"/>
          <w:szCs w:val="24"/>
        </w:rPr>
        <w:t xml:space="preserve">. </w:t>
      </w:r>
    </w:p>
    <w:p w14:paraId="432B1410" w14:textId="77777777" w:rsidR="00581822" w:rsidRPr="00A53C01" w:rsidRDefault="00581822" w:rsidP="00A53C01">
      <w:pPr>
        <w:spacing w:line="312" w:lineRule="auto"/>
        <w:rPr>
          <w:rFonts w:cs="Times New Roman"/>
          <w:szCs w:val="24"/>
        </w:rPr>
      </w:pPr>
    </w:p>
    <w:p w14:paraId="7BCA1A74" w14:textId="59B1235D" w:rsidR="00581822" w:rsidRPr="00A53C01" w:rsidRDefault="00665A16" w:rsidP="00A53C01">
      <w:pPr>
        <w:spacing w:line="312" w:lineRule="auto"/>
        <w:rPr>
          <w:rFonts w:cs="Times New Roman"/>
          <w:szCs w:val="24"/>
        </w:rPr>
      </w:pPr>
      <w:r w:rsidRPr="00A53C01">
        <w:rPr>
          <w:rFonts w:cs="Times New Roman"/>
          <w:szCs w:val="24"/>
        </w:rPr>
        <w:t>The paper’s</w:t>
      </w:r>
      <w:r w:rsidR="001A1A81" w:rsidRPr="00A53C01">
        <w:rPr>
          <w:rFonts w:cs="Times New Roman"/>
          <w:szCs w:val="24"/>
        </w:rPr>
        <w:t xml:space="preserve"> theoretical contribution</w:t>
      </w:r>
      <w:r w:rsidRPr="00A53C01">
        <w:rPr>
          <w:rFonts w:cs="Times New Roman"/>
          <w:szCs w:val="24"/>
        </w:rPr>
        <w:t xml:space="preserve"> is </w:t>
      </w:r>
      <w:r w:rsidR="00373210" w:rsidRPr="00A53C01">
        <w:rPr>
          <w:rFonts w:cs="Times New Roman"/>
          <w:szCs w:val="24"/>
        </w:rPr>
        <w:t>confined to</w:t>
      </w:r>
      <w:r w:rsidRPr="00A53C01">
        <w:rPr>
          <w:rFonts w:cs="Times New Roman"/>
          <w:szCs w:val="24"/>
        </w:rPr>
        <w:t xml:space="preserve"> the</w:t>
      </w:r>
      <w:r w:rsidR="00373210" w:rsidRPr="00A53C01">
        <w:rPr>
          <w:rFonts w:cs="Times New Roman"/>
          <w:szCs w:val="24"/>
        </w:rPr>
        <w:t xml:space="preserve"> novel</w:t>
      </w:r>
      <w:r w:rsidRPr="00A53C01">
        <w:rPr>
          <w:rFonts w:cs="Times New Roman"/>
          <w:szCs w:val="24"/>
        </w:rPr>
        <w:t xml:space="preserve"> conceptualisation of the transatlantic securiti</w:t>
      </w:r>
      <w:r w:rsidR="00DB0774" w:rsidRPr="00A53C01">
        <w:rPr>
          <w:rFonts w:cs="Times New Roman"/>
          <w:szCs w:val="24"/>
        </w:rPr>
        <w:t>z</w:t>
      </w:r>
      <w:r w:rsidRPr="00A53C01">
        <w:rPr>
          <w:rFonts w:cs="Times New Roman"/>
          <w:szCs w:val="24"/>
        </w:rPr>
        <w:t xml:space="preserve">ation space, </w:t>
      </w:r>
      <w:r w:rsidR="00373210" w:rsidRPr="00A53C01">
        <w:rPr>
          <w:rFonts w:cs="Times New Roman"/>
          <w:szCs w:val="24"/>
        </w:rPr>
        <w:t>which</w:t>
      </w:r>
      <w:r w:rsidRPr="00A53C01">
        <w:rPr>
          <w:rFonts w:cs="Times New Roman"/>
          <w:szCs w:val="24"/>
        </w:rPr>
        <w:t xml:space="preserve"> could be </w:t>
      </w:r>
      <w:r w:rsidR="00373210" w:rsidRPr="00A53C01">
        <w:rPr>
          <w:rFonts w:cs="Times New Roman"/>
          <w:szCs w:val="24"/>
        </w:rPr>
        <w:t>leveraged</w:t>
      </w:r>
      <w:r w:rsidRPr="00A53C01">
        <w:rPr>
          <w:rFonts w:cs="Times New Roman"/>
          <w:szCs w:val="24"/>
        </w:rPr>
        <w:t xml:space="preserve"> elsewhere in the Securitization Theory and the transatlantic studies literatures. </w:t>
      </w:r>
      <w:r w:rsidR="00211E77" w:rsidRPr="00A53C01">
        <w:rPr>
          <w:rFonts w:cs="Times New Roman"/>
          <w:szCs w:val="24"/>
        </w:rPr>
        <w:t>Co</w:t>
      </w:r>
      <w:r w:rsidR="005D5145" w:rsidRPr="00A53C01">
        <w:rPr>
          <w:rFonts w:cs="Times New Roman"/>
          <w:szCs w:val="24"/>
        </w:rPr>
        <w:t>ncentrat</w:t>
      </w:r>
      <w:r w:rsidR="00211E77" w:rsidRPr="00A53C01">
        <w:rPr>
          <w:rFonts w:cs="Times New Roman"/>
          <w:szCs w:val="24"/>
        </w:rPr>
        <w:t>ing</w:t>
      </w:r>
      <w:r w:rsidR="005D5145" w:rsidRPr="00A53C01">
        <w:rPr>
          <w:rFonts w:cs="Times New Roman"/>
          <w:szCs w:val="24"/>
        </w:rPr>
        <w:t xml:space="preserve"> on t</w:t>
      </w:r>
      <w:r w:rsidR="00211E77" w:rsidRPr="00A53C01">
        <w:rPr>
          <w:rFonts w:cs="Times New Roman"/>
          <w:szCs w:val="24"/>
        </w:rPr>
        <w:t>he transatlantic embargo debate via</w:t>
      </w:r>
      <w:r w:rsidR="005D5145" w:rsidRPr="00A53C01">
        <w:rPr>
          <w:rFonts w:cs="Times New Roman"/>
          <w:szCs w:val="24"/>
        </w:rPr>
        <w:t xml:space="preserve"> Securitization Theory </w:t>
      </w:r>
      <w:r w:rsidR="00211E77" w:rsidRPr="00A53C01">
        <w:rPr>
          <w:rFonts w:cs="Times New Roman"/>
          <w:szCs w:val="24"/>
        </w:rPr>
        <w:t>provide</w:t>
      </w:r>
      <w:r w:rsidR="00581822" w:rsidRPr="00A53C01">
        <w:rPr>
          <w:rFonts w:cs="Times New Roman"/>
          <w:szCs w:val="24"/>
        </w:rPr>
        <w:t>s</w:t>
      </w:r>
      <w:r w:rsidR="00211E77" w:rsidRPr="00A53C01">
        <w:rPr>
          <w:rFonts w:cs="Times New Roman"/>
          <w:szCs w:val="24"/>
        </w:rPr>
        <w:t xml:space="preserve"> a nuanced</w:t>
      </w:r>
      <w:r w:rsidR="005D5145" w:rsidRPr="00A53C01">
        <w:rPr>
          <w:rFonts w:cs="Times New Roman"/>
          <w:szCs w:val="24"/>
        </w:rPr>
        <w:t xml:space="preserve"> expla</w:t>
      </w:r>
      <w:r w:rsidR="00211E77" w:rsidRPr="00A53C01">
        <w:rPr>
          <w:rFonts w:cs="Times New Roman"/>
          <w:szCs w:val="24"/>
        </w:rPr>
        <w:t xml:space="preserve">nation of how the </w:t>
      </w:r>
      <w:r w:rsidR="00667EDB" w:rsidRPr="00A53C01">
        <w:rPr>
          <w:rFonts w:cs="Times New Roman"/>
          <w:szCs w:val="24"/>
        </w:rPr>
        <w:t xml:space="preserve">underpinning rationales of </w:t>
      </w:r>
      <w:r w:rsidR="005E673B" w:rsidRPr="00A53C01">
        <w:rPr>
          <w:rFonts w:cs="Times New Roman"/>
          <w:szCs w:val="24"/>
        </w:rPr>
        <w:t>diverging preferences</w:t>
      </w:r>
      <w:r w:rsidR="00211E77" w:rsidRPr="00A53C01">
        <w:rPr>
          <w:rFonts w:cs="Times New Roman"/>
          <w:szCs w:val="24"/>
        </w:rPr>
        <w:t xml:space="preserve"> produced</w:t>
      </w:r>
      <w:r w:rsidR="005E673B" w:rsidRPr="00A53C01">
        <w:rPr>
          <w:rFonts w:cs="Times New Roman"/>
          <w:szCs w:val="24"/>
        </w:rPr>
        <w:t xml:space="preserve"> </w:t>
      </w:r>
      <w:r w:rsidR="00211E77" w:rsidRPr="00A53C01">
        <w:rPr>
          <w:rFonts w:cs="Times New Roman"/>
          <w:szCs w:val="24"/>
        </w:rPr>
        <w:t>a</w:t>
      </w:r>
      <w:r w:rsidR="005E673B" w:rsidRPr="00A53C01">
        <w:rPr>
          <w:rFonts w:cs="Times New Roman"/>
          <w:szCs w:val="24"/>
        </w:rPr>
        <w:t xml:space="preserve"> </w:t>
      </w:r>
      <w:r w:rsidR="00667EDB" w:rsidRPr="00A53C01">
        <w:rPr>
          <w:rFonts w:cs="Times New Roman"/>
          <w:szCs w:val="24"/>
        </w:rPr>
        <w:t xml:space="preserve">protracted </w:t>
      </w:r>
      <w:r w:rsidR="00211E77" w:rsidRPr="00A53C01">
        <w:rPr>
          <w:rFonts w:cs="Times New Roman"/>
          <w:szCs w:val="24"/>
        </w:rPr>
        <w:t>debate</w:t>
      </w:r>
      <w:r w:rsidR="00667EDB" w:rsidRPr="00A53C01">
        <w:rPr>
          <w:rFonts w:cs="Times New Roman"/>
          <w:szCs w:val="24"/>
        </w:rPr>
        <w:t>,</w:t>
      </w:r>
      <w:r w:rsidR="00581822" w:rsidRPr="00A53C01">
        <w:rPr>
          <w:rFonts w:cs="Times New Roman"/>
          <w:szCs w:val="24"/>
        </w:rPr>
        <w:t xml:space="preserve"> demonstrates the embargo’s status as outside of the security domain for the EU, and points to the continued relevance of the issue in the context of the so-called US-EU-China strategic triangle. </w:t>
      </w:r>
      <w:r w:rsidR="005E673B" w:rsidRPr="00A53C01">
        <w:rPr>
          <w:rFonts w:cs="Times New Roman"/>
          <w:szCs w:val="24"/>
        </w:rPr>
        <w:t xml:space="preserve">The findings suggest that Securitization Theory might offer scholars alternative angles from which to approach US and EU responses to the rise of China. </w:t>
      </w:r>
      <w:r w:rsidR="00581822" w:rsidRPr="00A53C01">
        <w:rPr>
          <w:rFonts w:cs="Times New Roman"/>
          <w:szCs w:val="24"/>
        </w:rPr>
        <w:t>F</w:t>
      </w:r>
      <w:r w:rsidR="005E673B" w:rsidRPr="00A53C01">
        <w:rPr>
          <w:rFonts w:cs="Times New Roman"/>
          <w:szCs w:val="24"/>
        </w:rPr>
        <w:t xml:space="preserve">or instance, </w:t>
      </w:r>
      <w:r w:rsidR="00581822" w:rsidRPr="00A53C01">
        <w:rPr>
          <w:rFonts w:cs="Times New Roman"/>
          <w:szCs w:val="24"/>
        </w:rPr>
        <w:t xml:space="preserve">it could offer new insights into </w:t>
      </w:r>
      <w:r w:rsidR="005E673B" w:rsidRPr="00A53C01">
        <w:rPr>
          <w:rFonts w:cs="Times New Roman"/>
          <w:szCs w:val="24"/>
        </w:rPr>
        <w:t>China’s short-lived involvement in the EU’s Galileo satellite programme</w:t>
      </w:r>
      <w:r w:rsidR="00581822" w:rsidRPr="00A53C01">
        <w:rPr>
          <w:rFonts w:cs="Times New Roman"/>
          <w:szCs w:val="24"/>
        </w:rPr>
        <w:t>,</w:t>
      </w:r>
      <w:r w:rsidR="005E673B" w:rsidRPr="00A53C01">
        <w:rPr>
          <w:rFonts w:cs="Times New Roman"/>
          <w:szCs w:val="24"/>
        </w:rPr>
        <w:t xml:space="preserve"> </w:t>
      </w:r>
      <w:r w:rsidR="00581822" w:rsidRPr="00A53C01">
        <w:rPr>
          <w:rFonts w:cs="Times New Roman"/>
          <w:szCs w:val="24"/>
        </w:rPr>
        <w:t>given</w:t>
      </w:r>
      <w:r w:rsidR="005E673B" w:rsidRPr="00A53C01">
        <w:rPr>
          <w:rFonts w:cs="Times New Roman"/>
          <w:szCs w:val="24"/>
        </w:rPr>
        <w:t xml:space="preserve"> the US</w:t>
      </w:r>
      <w:r w:rsidR="00581822" w:rsidRPr="00A53C01">
        <w:rPr>
          <w:rFonts w:cs="Times New Roman"/>
          <w:szCs w:val="24"/>
        </w:rPr>
        <w:t>’s</w:t>
      </w:r>
      <w:r w:rsidR="005E673B" w:rsidRPr="00A53C01">
        <w:rPr>
          <w:rFonts w:cs="Times New Roman"/>
          <w:szCs w:val="24"/>
        </w:rPr>
        <w:t xml:space="preserve"> object</w:t>
      </w:r>
      <w:r w:rsidR="00581822" w:rsidRPr="00A53C01">
        <w:rPr>
          <w:rFonts w:cs="Times New Roman"/>
          <w:szCs w:val="24"/>
        </w:rPr>
        <w:t>ions</w:t>
      </w:r>
      <w:r w:rsidR="005E673B" w:rsidRPr="00A53C01">
        <w:rPr>
          <w:rFonts w:cs="Times New Roman"/>
          <w:szCs w:val="24"/>
        </w:rPr>
        <w:t xml:space="preserve"> </w:t>
      </w:r>
      <w:r w:rsidR="00581822" w:rsidRPr="00A53C01">
        <w:rPr>
          <w:rFonts w:cs="Times New Roman"/>
          <w:szCs w:val="24"/>
        </w:rPr>
        <w:t xml:space="preserve">that </w:t>
      </w:r>
      <w:r w:rsidR="005E673B" w:rsidRPr="00A53C01">
        <w:rPr>
          <w:rFonts w:cs="Times New Roman"/>
          <w:szCs w:val="24"/>
        </w:rPr>
        <w:t>China to obtain Western dual-use technologies</w:t>
      </w:r>
      <w:r w:rsidR="00581822" w:rsidRPr="00A53C01">
        <w:rPr>
          <w:rFonts w:cs="Times New Roman"/>
          <w:szCs w:val="24"/>
        </w:rPr>
        <w:t xml:space="preserve">. Other examples could include US and EU responses to </w:t>
      </w:r>
      <w:r w:rsidR="005E673B" w:rsidRPr="00A53C01">
        <w:rPr>
          <w:rFonts w:cs="Times New Roman"/>
          <w:szCs w:val="24"/>
        </w:rPr>
        <w:t>China’s</w:t>
      </w:r>
      <w:r w:rsidR="00EF1FF1" w:rsidRPr="00A53C01">
        <w:rPr>
          <w:rFonts w:cs="Times New Roman"/>
          <w:szCs w:val="24"/>
        </w:rPr>
        <w:t xml:space="preserve"> 2007</w:t>
      </w:r>
      <w:r w:rsidR="005E673B" w:rsidRPr="00A53C01">
        <w:rPr>
          <w:rFonts w:cs="Times New Roman"/>
          <w:szCs w:val="24"/>
        </w:rPr>
        <w:t xml:space="preserve"> anti-satellite </w:t>
      </w:r>
      <w:r w:rsidR="00EF1FF1" w:rsidRPr="00A53C01">
        <w:rPr>
          <w:rFonts w:cs="Times New Roman"/>
          <w:szCs w:val="24"/>
        </w:rPr>
        <w:t>test</w:t>
      </w:r>
      <w:r w:rsidR="005E673B" w:rsidRPr="00A53C01">
        <w:rPr>
          <w:rFonts w:cs="Times New Roman"/>
          <w:szCs w:val="24"/>
        </w:rPr>
        <w:t>, aggressive approach to</w:t>
      </w:r>
      <w:r w:rsidR="00EF1FF1" w:rsidRPr="00A53C01">
        <w:rPr>
          <w:rFonts w:cs="Times New Roman"/>
          <w:szCs w:val="24"/>
        </w:rPr>
        <w:t xml:space="preserve"> the South China Sea</w:t>
      </w:r>
      <w:r w:rsidR="005E673B" w:rsidRPr="00A53C01">
        <w:rPr>
          <w:rFonts w:cs="Times New Roman"/>
          <w:szCs w:val="24"/>
        </w:rPr>
        <w:t xml:space="preserve"> territorial disputes, the Belt and Road Initiative, investment in infrastructure</w:t>
      </w:r>
      <w:r w:rsidR="00DA4822" w:rsidRPr="00A53C01">
        <w:rPr>
          <w:rFonts w:cs="Times New Roman"/>
          <w:szCs w:val="24"/>
        </w:rPr>
        <w:t xml:space="preserve"> projects around the world, </w:t>
      </w:r>
      <w:r w:rsidR="00581822" w:rsidRPr="00A53C01">
        <w:rPr>
          <w:rFonts w:cs="Times New Roman"/>
          <w:szCs w:val="24"/>
        </w:rPr>
        <w:t>or</w:t>
      </w:r>
      <w:r w:rsidR="005E673B" w:rsidRPr="00A53C01">
        <w:rPr>
          <w:rFonts w:cs="Times New Roman"/>
          <w:szCs w:val="24"/>
        </w:rPr>
        <w:t xml:space="preserve"> rapidly expanding quantum communications and computin</w:t>
      </w:r>
      <w:r w:rsidR="00D9507F" w:rsidRPr="00A53C01">
        <w:rPr>
          <w:rFonts w:cs="Times New Roman"/>
          <w:szCs w:val="24"/>
        </w:rPr>
        <w:t>g technologies</w:t>
      </w:r>
      <w:r w:rsidR="00581822" w:rsidRPr="00A53C01">
        <w:rPr>
          <w:rFonts w:cs="Times New Roman"/>
          <w:szCs w:val="24"/>
        </w:rPr>
        <w:t xml:space="preserve">.  </w:t>
      </w:r>
    </w:p>
    <w:p w14:paraId="4481A670" w14:textId="77777777" w:rsidR="00581822" w:rsidRPr="00A53C01" w:rsidRDefault="00581822" w:rsidP="00A53C01">
      <w:pPr>
        <w:spacing w:line="312" w:lineRule="auto"/>
        <w:rPr>
          <w:rFonts w:cs="Times New Roman"/>
          <w:szCs w:val="24"/>
        </w:rPr>
      </w:pPr>
    </w:p>
    <w:p w14:paraId="19EF2ACD" w14:textId="7E0B92DC" w:rsidR="00A26C76" w:rsidRPr="00A53C01" w:rsidRDefault="00581822" w:rsidP="00A53C01">
      <w:pPr>
        <w:spacing w:line="312" w:lineRule="auto"/>
        <w:rPr>
          <w:rFonts w:cs="Times New Roman"/>
          <w:szCs w:val="24"/>
        </w:rPr>
      </w:pPr>
      <w:r w:rsidRPr="00A53C01">
        <w:rPr>
          <w:rFonts w:cs="Times New Roman"/>
          <w:szCs w:val="24"/>
        </w:rPr>
        <w:t xml:space="preserve">Understanding how China’s rise affects US and EU </w:t>
      </w:r>
      <w:r w:rsidR="00341AB1" w:rsidRPr="00A53C01">
        <w:rPr>
          <w:rFonts w:cs="Times New Roman"/>
          <w:szCs w:val="24"/>
        </w:rPr>
        <w:t xml:space="preserve">conceptualisations of the international order in the post-Cold War era could also be investigated by employing </w:t>
      </w:r>
      <w:r w:rsidR="005E673B" w:rsidRPr="00A53C01">
        <w:rPr>
          <w:rFonts w:cs="Times New Roman"/>
          <w:szCs w:val="24"/>
        </w:rPr>
        <w:t xml:space="preserve">Buzan and </w:t>
      </w:r>
      <w:r w:rsidR="00A26C76" w:rsidRPr="00A53C01">
        <w:rPr>
          <w:rFonts w:cs="Times New Roman"/>
          <w:szCs w:val="24"/>
        </w:rPr>
        <w:t xml:space="preserve">Wæver’s (2009: 257) </w:t>
      </w:r>
      <w:r w:rsidR="00341AB1" w:rsidRPr="00A53C01">
        <w:rPr>
          <w:rFonts w:cs="Times New Roman"/>
          <w:szCs w:val="24"/>
        </w:rPr>
        <w:t>model</w:t>
      </w:r>
      <w:r w:rsidR="00A26C76" w:rsidRPr="00A53C01">
        <w:rPr>
          <w:rFonts w:cs="Times New Roman"/>
          <w:szCs w:val="24"/>
        </w:rPr>
        <w:t xml:space="preserve"> of </w:t>
      </w:r>
      <w:r w:rsidR="00A26C76" w:rsidRPr="00A53C01">
        <w:rPr>
          <w:rFonts w:cs="Times New Roman"/>
          <w:i/>
          <w:szCs w:val="24"/>
        </w:rPr>
        <w:t>macrosecuriti</w:t>
      </w:r>
      <w:r w:rsidR="00DB0774" w:rsidRPr="00A53C01">
        <w:rPr>
          <w:rFonts w:cs="Times New Roman"/>
          <w:i/>
          <w:szCs w:val="24"/>
        </w:rPr>
        <w:t>z</w:t>
      </w:r>
      <w:r w:rsidR="00A26C76" w:rsidRPr="00A53C01">
        <w:rPr>
          <w:rFonts w:cs="Times New Roman"/>
          <w:i/>
          <w:szCs w:val="24"/>
        </w:rPr>
        <w:t>ations</w:t>
      </w:r>
      <w:r w:rsidR="00A26C76" w:rsidRPr="00A53C01">
        <w:rPr>
          <w:rFonts w:cs="Times New Roman"/>
          <w:szCs w:val="24"/>
        </w:rPr>
        <w:t xml:space="preserve">, defined as </w:t>
      </w:r>
    </w:p>
    <w:p w14:paraId="3056D083" w14:textId="7E09B864" w:rsidR="00A26C76" w:rsidRPr="00A53C01" w:rsidRDefault="00A26C76" w:rsidP="00A53C01">
      <w:pPr>
        <w:spacing w:line="312" w:lineRule="auto"/>
        <w:ind w:left="810" w:right="720"/>
        <w:rPr>
          <w:rFonts w:cs="Times New Roman"/>
          <w:szCs w:val="24"/>
        </w:rPr>
      </w:pPr>
      <w:r w:rsidRPr="00A53C01">
        <w:rPr>
          <w:rFonts w:cs="Times New Roman"/>
          <w:szCs w:val="24"/>
        </w:rPr>
        <w:br/>
        <w:t>securiti</w:t>
      </w:r>
      <w:r w:rsidR="00DB0774" w:rsidRPr="00A53C01">
        <w:rPr>
          <w:rFonts w:cs="Times New Roman"/>
          <w:szCs w:val="24"/>
        </w:rPr>
        <w:t>z</w:t>
      </w:r>
      <w:r w:rsidRPr="00A53C01">
        <w:rPr>
          <w:rFonts w:cs="Times New Roman"/>
          <w:szCs w:val="24"/>
        </w:rPr>
        <w:t>ations that speak to referent objects higher than those at the middle level (for example, 'universal' religions or political ideologies; one or more of the primary institutions of international society) and which aim to incorporate and coordinate multiple lower level securiti</w:t>
      </w:r>
      <w:r w:rsidR="00DB0774" w:rsidRPr="00A53C01">
        <w:rPr>
          <w:rFonts w:cs="Times New Roman"/>
          <w:szCs w:val="24"/>
        </w:rPr>
        <w:t>z</w:t>
      </w:r>
      <w:r w:rsidRPr="00A53C01">
        <w:rPr>
          <w:rFonts w:cs="Times New Roman"/>
          <w:szCs w:val="24"/>
        </w:rPr>
        <w:t>ation.</w:t>
      </w:r>
    </w:p>
    <w:p w14:paraId="4A73845E" w14:textId="77777777" w:rsidR="00A26C76" w:rsidRPr="00A53C01" w:rsidRDefault="00A26C76" w:rsidP="00A53C01">
      <w:pPr>
        <w:spacing w:line="312" w:lineRule="auto"/>
        <w:ind w:left="810" w:right="720"/>
        <w:rPr>
          <w:rFonts w:cs="Times New Roman"/>
          <w:szCs w:val="24"/>
        </w:rPr>
      </w:pPr>
    </w:p>
    <w:p w14:paraId="1A16754A" w14:textId="1D0E00C7" w:rsidR="00871644" w:rsidRPr="00A53C01" w:rsidRDefault="00A26C76" w:rsidP="00A53C01">
      <w:pPr>
        <w:spacing w:line="312" w:lineRule="auto"/>
        <w:rPr>
          <w:rFonts w:cs="Times New Roman"/>
          <w:szCs w:val="24"/>
        </w:rPr>
      </w:pPr>
      <w:r w:rsidRPr="00A53C01">
        <w:rPr>
          <w:rFonts w:cs="Times New Roman"/>
          <w:szCs w:val="24"/>
        </w:rPr>
        <w:t>Macrosecuriti</w:t>
      </w:r>
      <w:r w:rsidR="00DB0774" w:rsidRPr="00A53C01">
        <w:rPr>
          <w:rFonts w:cs="Times New Roman"/>
          <w:szCs w:val="24"/>
        </w:rPr>
        <w:t>z</w:t>
      </w:r>
      <w:r w:rsidRPr="00A53C01">
        <w:rPr>
          <w:rFonts w:cs="Times New Roman"/>
          <w:szCs w:val="24"/>
        </w:rPr>
        <w:t xml:space="preserve">ations “such as the Cold War, will impose a hierarchy on the lower level ones incorporated within them” (Buzan and Wæver, 2009: 257). The evidence from the embargo debate </w:t>
      </w:r>
      <w:r w:rsidR="00871644" w:rsidRPr="00A53C01">
        <w:rPr>
          <w:rFonts w:cs="Times New Roman"/>
          <w:szCs w:val="24"/>
        </w:rPr>
        <w:t xml:space="preserve">is insufficient on its own, but with the salience of ‘China threat’ and </w:t>
      </w:r>
      <w:r w:rsidR="00871644" w:rsidRPr="00A53C01">
        <w:rPr>
          <w:rFonts w:cs="Times New Roman"/>
          <w:szCs w:val="24"/>
        </w:rPr>
        <w:lastRenderedPageBreak/>
        <w:t xml:space="preserve">‘power transition’ narratives in US political discourse, there is scope </w:t>
      </w:r>
      <w:r w:rsidR="00D9507F" w:rsidRPr="00A53C01">
        <w:rPr>
          <w:rFonts w:cs="Times New Roman"/>
          <w:szCs w:val="24"/>
        </w:rPr>
        <w:t>to investigate</w:t>
      </w:r>
      <w:r w:rsidR="00871644" w:rsidRPr="00A53C01">
        <w:rPr>
          <w:rFonts w:cs="Times New Roman"/>
          <w:szCs w:val="24"/>
        </w:rPr>
        <w:t xml:space="preserve"> whether this would constitute the (attempted) securiti</w:t>
      </w:r>
      <w:r w:rsidR="00DB0774" w:rsidRPr="00A53C01">
        <w:rPr>
          <w:rFonts w:cs="Times New Roman"/>
          <w:szCs w:val="24"/>
        </w:rPr>
        <w:t>z</w:t>
      </w:r>
      <w:r w:rsidR="00871644" w:rsidRPr="00A53C01">
        <w:rPr>
          <w:rFonts w:cs="Times New Roman"/>
          <w:szCs w:val="24"/>
        </w:rPr>
        <w:t xml:space="preserve">ation of China’s rise as a threat to the US, the transatlantic alliance, the ‘West’, or the international order more broadly. </w:t>
      </w:r>
    </w:p>
    <w:p w14:paraId="1065ECA7" w14:textId="7ED64CB8" w:rsidR="00177E52" w:rsidRPr="00A53C01" w:rsidRDefault="00177E52" w:rsidP="00A53C01">
      <w:pPr>
        <w:spacing w:line="312" w:lineRule="auto"/>
        <w:rPr>
          <w:rFonts w:cs="Times New Roman"/>
          <w:szCs w:val="24"/>
        </w:rPr>
      </w:pPr>
    </w:p>
    <w:p w14:paraId="617CF060" w14:textId="0408CAF5" w:rsidR="007124AD" w:rsidRPr="00A53C01" w:rsidRDefault="00871644" w:rsidP="00A53C01">
      <w:pPr>
        <w:pStyle w:val="SectionHeading"/>
        <w:spacing w:line="312" w:lineRule="auto"/>
        <w:rPr>
          <w:rFonts w:cs="Times New Roman"/>
          <w:b/>
          <w:szCs w:val="24"/>
        </w:rPr>
      </w:pPr>
      <w:r w:rsidRPr="00A53C01">
        <w:rPr>
          <w:rFonts w:cs="Times New Roman"/>
          <w:b/>
          <w:szCs w:val="24"/>
        </w:rPr>
        <w:t>Conclusion</w:t>
      </w:r>
    </w:p>
    <w:p w14:paraId="47A3BC23" w14:textId="334CFD06" w:rsidR="001A1A81" w:rsidRPr="00A53C01" w:rsidRDefault="00D9507F" w:rsidP="00A53C01">
      <w:pPr>
        <w:spacing w:line="312" w:lineRule="auto"/>
        <w:rPr>
          <w:rFonts w:cs="Times New Roman"/>
          <w:szCs w:val="24"/>
        </w:rPr>
      </w:pPr>
      <w:r w:rsidRPr="00A53C01">
        <w:rPr>
          <w:rFonts w:cs="Times New Roman"/>
          <w:szCs w:val="24"/>
        </w:rPr>
        <w:t>The</w:t>
      </w:r>
      <w:r w:rsidR="00871644" w:rsidRPr="00A53C01">
        <w:rPr>
          <w:rFonts w:cs="Times New Roman"/>
          <w:szCs w:val="24"/>
        </w:rPr>
        <w:t xml:space="preserve"> protracted nature of transatlantic debate over whether the EU should remove or retain its arms embargo against China stemmed from divergent understandings of the implications of policy change. Securitization Theory </w:t>
      </w:r>
      <w:r w:rsidR="00043DEC" w:rsidRPr="00A53C01">
        <w:rPr>
          <w:rFonts w:cs="Times New Roman"/>
          <w:szCs w:val="24"/>
        </w:rPr>
        <w:t>illuminated</w:t>
      </w:r>
      <w:r w:rsidR="00871644" w:rsidRPr="00A53C01">
        <w:rPr>
          <w:rFonts w:cs="Times New Roman"/>
          <w:szCs w:val="24"/>
        </w:rPr>
        <w:t xml:space="preserve"> </w:t>
      </w:r>
      <w:r w:rsidR="00043DEC" w:rsidRPr="00A53C01">
        <w:rPr>
          <w:rFonts w:cs="Times New Roman"/>
          <w:szCs w:val="24"/>
        </w:rPr>
        <w:t>how</w:t>
      </w:r>
      <w:r w:rsidR="00871644" w:rsidRPr="00A53C01">
        <w:rPr>
          <w:rFonts w:cs="Times New Roman"/>
          <w:szCs w:val="24"/>
        </w:rPr>
        <w:t xml:space="preserve"> US policymakers treated the issue </w:t>
      </w:r>
      <w:r w:rsidR="001A1A81" w:rsidRPr="00A53C01">
        <w:rPr>
          <w:rFonts w:cs="Times New Roman"/>
          <w:szCs w:val="24"/>
        </w:rPr>
        <w:t xml:space="preserve">as </w:t>
      </w:r>
      <w:r w:rsidRPr="00A53C01">
        <w:rPr>
          <w:rFonts w:cs="Times New Roman"/>
          <w:szCs w:val="24"/>
        </w:rPr>
        <w:t>a</w:t>
      </w:r>
      <w:r w:rsidR="001A1A81" w:rsidRPr="00A53C01">
        <w:rPr>
          <w:rFonts w:cs="Times New Roman"/>
          <w:szCs w:val="24"/>
        </w:rPr>
        <w:t xml:space="preserve"> security threat, and in the transatlantic security space attempted to justify to</w:t>
      </w:r>
      <w:r w:rsidRPr="00A53C01">
        <w:rPr>
          <w:rFonts w:cs="Times New Roman"/>
          <w:szCs w:val="24"/>
        </w:rPr>
        <w:t xml:space="preserve"> the</w:t>
      </w:r>
      <w:r w:rsidR="001A1A81" w:rsidRPr="00A53C01">
        <w:rPr>
          <w:rFonts w:cs="Times New Roman"/>
          <w:szCs w:val="24"/>
        </w:rPr>
        <w:t xml:space="preserve"> EU </w:t>
      </w:r>
      <w:r w:rsidRPr="00A53C01">
        <w:rPr>
          <w:rFonts w:cs="Times New Roman"/>
          <w:szCs w:val="24"/>
        </w:rPr>
        <w:t>audience</w:t>
      </w:r>
      <w:r w:rsidR="001A1A81" w:rsidRPr="00A53C01">
        <w:rPr>
          <w:rFonts w:cs="Times New Roman"/>
          <w:szCs w:val="24"/>
        </w:rPr>
        <w:t xml:space="preserve"> that maintaining the embargo </w:t>
      </w:r>
      <w:r w:rsidRPr="00A53C01">
        <w:rPr>
          <w:rFonts w:cs="Times New Roman"/>
          <w:szCs w:val="24"/>
        </w:rPr>
        <w:t>constituted</w:t>
      </w:r>
      <w:r w:rsidR="001A1A81" w:rsidRPr="00A53C01">
        <w:rPr>
          <w:rFonts w:cs="Times New Roman"/>
          <w:szCs w:val="24"/>
        </w:rPr>
        <w:t xml:space="preserve"> an imperative for security</w:t>
      </w:r>
      <w:r w:rsidR="004B0358" w:rsidRPr="00A53C01">
        <w:rPr>
          <w:rFonts w:cs="Times New Roman"/>
          <w:szCs w:val="24"/>
        </w:rPr>
        <w:t>. The failure of US policymaker’s</w:t>
      </w:r>
      <w:r w:rsidR="001A1A81" w:rsidRPr="00A53C01">
        <w:rPr>
          <w:rFonts w:cs="Times New Roman"/>
          <w:szCs w:val="24"/>
        </w:rPr>
        <w:t xml:space="preserve"> securit</w:t>
      </w:r>
      <w:r w:rsidR="00DB0774" w:rsidRPr="00A53C01">
        <w:rPr>
          <w:rFonts w:cs="Times New Roman"/>
          <w:szCs w:val="24"/>
        </w:rPr>
        <w:t>iza</w:t>
      </w:r>
      <w:r w:rsidR="001A1A81" w:rsidRPr="00A53C01">
        <w:rPr>
          <w:rFonts w:cs="Times New Roman"/>
          <w:szCs w:val="24"/>
        </w:rPr>
        <w:t xml:space="preserve">tion moves </w:t>
      </w:r>
      <w:r w:rsidR="004B0358" w:rsidRPr="00A53C01">
        <w:rPr>
          <w:rFonts w:cs="Times New Roman"/>
          <w:szCs w:val="24"/>
        </w:rPr>
        <w:t xml:space="preserve">resulted in </w:t>
      </w:r>
      <w:r w:rsidRPr="00A53C01">
        <w:rPr>
          <w:rFonts w:cs="Times New Roman"/>
          <w:szCs w:val="24"/>
        </w:rPr>
        <w:t>a dialogue of the deaf</w:t>
      </w:r>
      <w:r w:rsidR="001A1A81" w:rsidRPr="00A53C01">
        <w:rPr>
          <w:rFonts w:cs="Times New Roman"/>
          <w:szCs w:val="24"/>
        </w:rPr>
        <w:t>, with the EU</w:t>
      </w:r>
      <w:r w:rsidRPr="00A53C01">
        <w:rPr>
          <w:rFonts w:cs="Times New Roman"/>
          <w:szCs w:val="24"/>
        </w:rPr>
        <w:t xml:space="preserve"> essentially</w:t>
      </w:r>
      <w:r w:rsidR="001A1A81" w:rsidRPr="00A53C01">
        <w:rPr>
          <w:rFonts w:cs="Times New Roman"/>
          <w:szCs w:val="24"/>
        </w:rPr>
        <w:t xml:space="preserve"> operating in a different context</w:t>
      </w:r>
      <w:r w:rsidR="004B0358" w:rsidRPr="00A53C01">
        <w:rPr>
          <w:rFonts w:cs="Times New Roman"/>
          <w:szCs w:val="24"/>
        </w:rPr>
        <w:t xml:space="preserve"> wherein political and economic opportunities dominated preferences for policy formation towards China. </w:t>
      </w:r>
      <w:r w:rsidR="00437597" w:rsidRPr="00A53C01">
        <w:rPr>
          <w:rFonts w:cs="Times New Roman"/>
          <w:szCs w:val="24"/>
        </w:rPr>
        <w:t xml:space="preserve">The empirical evidence illustrated </w:t>
      </w:r>
      <w:r w:rsidR="00043DEC" w:rsidRPr="00A53C01">
        <w:rPr>
          <w:rFonts w:cs="Times New Roman"/>
          <w:szCs w:val="24"/>
        </w:rPr>
        <w:t>that security narratives were invoked by</w:t>
      </w:r>
      <w:r w:rsidR="00437597" w:rsidRPr="00A53C01">
        <w:rPr>
          <w:rFonts w:cs="Times New Roman"/>
          <w:szCs w:val="24"/>
        </w:rPr>
        <w:t xml:space="preserve"> </w:t>
      </w:r>
      <w:r w:rsidR="001A1A81" w:rsidRPr="00A53C01">
        <w:rPr>
          <w:rFonts w:cs="Times New Roman"/>
          <w:szCs w:val="24"/>
        </w:rPr>
        <w:t>U</w:t>
      </w:r>
      <w:r w:rsidR="00437597" w:rsidRPr="00A53C01">
        <w:rPr>
          <w:rFonts w:cs="Times New Roman"/>
          <w:szCs w:val="24"/>
        </w:rPr>
        <w:t>S</w:t>
      </w:r>
      <w:r w:rsidR="001A1A81" w:rsidRPr="00A53C01">
        <w:rPr>
          <w:rFonts w:cs="Times New Roman"/>
          <w:szCs w:val="24"/>
        </w:rPr>
        <w:t xml:space="preserve"> actors in public and private forums, but their EU interlocutors </w:t>
      </w:r>
      <w:r w:rsidR="00043DEC" w:rsidRPr="00A53C01">
        <w:rPr>
          <w:rFonts w:cs="Times New Roman"/>
          <w:szCs w:val="24"/>
        </w:rPr>
        <w:t>remained</w:t>
      </w:r>
      <w:r w:rsidR="00437597" w:rsidRPr="00A53C01">
        <w:rPr>
          <w:rFonts w:cs="Times New Roman"/>
          <w:szCs w:val="24"/>
        </w:rPr>
        <w:t xml:space="preserve"> unreceptive</w:t>
      </w:r>
      <w:r w:rsidR="001A1A81" w:rsidRPr="00A53C01">
        <w:rPr>
          <w:rFonts w:cs="Times New Roman"/>
          <w:szCs w:val="24"/>
        </w:rPr>
        <w:t xml:space="preserve">. The end of the EU’s efforts in March 2005 </w:t>
      </w:r>
      <w:r w:rsidR="005B4A3A" w:rsidRPr="00A53C01">
        <w:rPr>
          <w:rFonts w:cs="Times New Roman"/>
          <w:szCs w:val="24"/>
        </w:rPr>
        <w:t>cannot</w:t>
      </w:r>
      <w:r w:rsidR="001A1A81" w:rsidRPr="00A53C01">
        <w:rPr>
          <w:rFonts w:cs="Times New Roman"/>
          <w:szCs w:val="24"/>
        </w:rPr>
        <w:t xml:space="preserve"> be seen as caving to US pressure</w:t>
      </w:r>
      <w:r w:rsidR="00437597" w:rsidRPr="00A53C01">
        <w:rPr>
          <w:rFonts w:cs="Times New Roman"/>
          <w:szCs w:val="24"/>
        </w:rPr>
        <w:t>;</w:t>
      </w:r>
      <w:r w:rsidR="001A1A81" w:rsidRPr="00A53C01">
        <w:rPr>
          <w:rFonts w:cs="Times New Roman"/>
          <w:szCs w:val="24"/>
        </w:rPr>
        <w:t xml:space="preserve"> rather</w:t>
      </w:r>
      <w:r w:rsidR="00437597" w:rsidRPr="00A53C01">
        <w:rPr>
          <w:rFonts w:cs="Times New Roman"/>
          <w:szCs w:val="24"/>
        </w:rPr>
        <w:t>,</w:t>
      </w:r>
      <w:r w:rsidR="001A1A81" w:rsidRPr="00A53C01">
        <w:rPr>
          <w:rFonts w:cs="Times New Roman"/>
          <w:szCs w:val="24"/>
        </w:rPr>
        <w:t xml:space="preserve"> </w:t>
      </w:r>
      <w:r w:rsidR="00437597" w:rsidRPr="00A53C01">
        <w:rPr>
          <w:rFonts w:cs="Times New Roman"/>
          <w:szCs w:val="24"/>
        </w:rPr>
        <w:t>China’s</w:t>
      </w:r>
      <w:r w:rsidR="001A1A81" w:rsidRPr="00A53C01">
        <w:rPr>
          <w:rFonts w:cs="Times New Roman"/>
          <w:szCs w:val="24"/>
        </w:rPr>
        <w:t xml:space="preserve"> </w:t>
      </w:r>
      <w:r w:rsidR="00871644" w:rsidRPr="00A53C01">
        <w:rPr>
          <w:rFonts w:cs="Times New Roman"/>
          <w:szCs w:val="24"/>
        </w:rPr>
        <w:t>adoption of the Anti-Secession Law</w:t>
      </w:r>
      <w:r w:rsidR="001A1A81" w:rsidRPr="00A53C01">
        <w:rPr>
          <w:rFonts w:cs="Times New Roman"/>
          <w:szCs w:val="24"/>
        </w:rPr>
        <w:t xml:space="preserve"> impacted </w:t>
      </w:r>
      <w:r w:rsidR="00437597" w:rsidRPr="00A53C01">
        <w:rPr>
          <w:rFonts w:cs="Times New Roman"/>
          <w:szCs w:val="24"/>
        </w:rPr>
        <w:t>European</w:t>
      </w:r>
      <w:r w:rsidR="001A1A81" w:rsidRPr="00A53C01">
        <w:rPr>
          <w:rFonts w:cs="Times New Roman"/>
          <w:szCs w:val="24"/>
        </w:rPr>
        <w:t xml:space="preserve"> deliberations </w:t>
      </w:r>
      <w:r w:rsidR="00437597" w:rsidRPr="00A53C01">
        <w:rPr>
          <w:rFonts w:cs="Times New Roman"/>
          <w:szCs w:val="24"/>
        </w:rPr>
        <w:t>over</w:t>
      </w:r>
      <w:r w:rsidR="001A1A81" w:rsidRPr="00A53C01">
        <w:rPr>
          <w:rFonts w:cs="Times New Roman"/>
          <w:szCs w:val="24"/>
        </w:rPr>
        <w:t xml:space="preserve"> the appropriateness of the timing</w:t>
      </w:r>
      <w:r w:rsidR="005B4A3A" w:rsidRPr="00A53C01">
        <w:rPr>
          <w:rFonts w:cs="Times New Roman"/>
          <w:szCs w:val="24"/>
        </w:rPr>
        <w:t xml:space="preserve"> -</w:t>
      </w:r>
      <w:r w:rsidR="001A1A81" w:rsidRPr="00A53C01">
        <w:rPr>
          <w:rFonts w:cs="Times New Roman"/>
          <w:szCs w:val="24"/>
        </w:rPr>
        <w:t xml:space="preserve"> but not the principle or implications</w:t>
      </w:r>
      <w:r w:rsidR="005B4A3A" w:rsidRPr="00A53C01">
        <w:rPr>
          <w:rFonts w:cs="Times New Roman"/>
          <w:szCs w:val="24"/>
        </w:rPr>
        <w:t xml:space="preserve"> -</w:t>
      </w:r>
      <w:r w:rsidR="001A1A81" w:rsidRPr="00A53C01">
        <w:rPr>
          <w:rFonts w:cs="Times New Roman"/>
          <w:szCs w:val="24"/>
        </w:rPr>
        <w:t xml:space="preserve"> of liftin</w:t>
      </w:r>
      <w:r w:rsidR="00043DEC" w:rsidRPr="00A53C01">
        <w:rPr>
          <w:rFonts w:cs="Times New Roman"/>
          <w:szCs w:val="24"/>
        </w:rPr>
        <w:t>g. The 2006 Council Conclusions</w:t>
      </w:r>
      <w:r w:rsidR="001A1A81" w:rsidRPr="00A53C01">
        <w:rPr>
          <w:rFonts w:cs="Times New Roman"/>
          <w:szCs w:val="24"/>
        </w:rPr>
        <w:t xml:space="preserve"> and the</w:t>
      </w:r>
      <w:r w:rsidR="005B4A3A" w:rsidRPr="00A53C01">
        <w:rPr>
          <w:rFonts w:cs="Times New Roman"/>
          <w:szCs w:val="24"/>
        </w:rPr>
        <w:t xml:space="preserve"> EU’s</w:t>
      </w:r>
      <w:r w:rsidR="001A1A81" w:rsidRPr="00A53C01">
        <w:rPr>
          <w:rFonts w:cs="Times New Roman"/>
          <w:szCs w:val="24"/>
        </w:rPr>
        <w:t xml:space="preserve"> 2010/11 </w:t>
      </w:r>
      <w:r w:rsidR="005B4A3A" w:rsidRPr="00A53C01">
        <w:rPr>
          <w:rFonts w:cs="Times New Roman"/>
          <w:szCs w:val="24"/>
        </w:rPr>
        <w:t>(brief)</w:t>
      </w:r>
      <w:r w:rsidR="001A1A81" w:rsidRPr="00A53C01">
        <w:rPr>
          <w:rFonts w:cs="Times New Roman"/>
          <w:szCs w:val="24"/>
        </w:rPr>
        <w:t xml:space="preserve"> </w:t>
      </w:r>
      <w:r w:rsidR="00056475" w:rsidRPr="00A53C01">
        <w:rPr>
          <w:rFonts w:cs="Times New Roman"/>
          <w:szCs w:val="24"/>
        </w:rPr>
        <w:t>dalliance</w:t>
      </w:r>
      <w:r w:rsidR="005B4A3A" w:rsidRPr="00A53C01">
        <w:rPr>
          <w:rFonts w:cs="Times New Roman"/>
          <w:szCs w:val="24"/>
        </w:rPr>
        <w:t xml:space="preserve"> with the notion of revi</w:t>
      </w:r>
      <w:r w:rsidR="00043DEC" w:rsidRPr="00A53C01">
        <w:rPr>
          <w:rFonts w:cs="Times New Roman"/>
          <w:szCs w:val="24"/>
        </w:rPr>
        <w:t>siting</w:t>
      </w:r>
      <w:r w:rsidR="005B4A3A" w:rsidRPr="00A53C01">
        <w:rPr>
          <w:rFonts w:cs="Times New Roman"/>
          <w:szCs w:val="24"/>
        </w:rPr>
        <w:t xml:space="preserve"> the embargo</w:t>
      </w:r>
      <w:r w:rsidR="00043DEC" w:rsidRPr="00A53C01">
        <w:rPr>
          <w:rFonts w:cs="Times New Roman"/>
          <w:szCs w:val="24"/>
        </w:rPr>
        <w:t>’s status</w:t>
      </w:r>
      <w:r w:rsidR="005B4A3A" w:rsidRPr="00A53C01">
        <w:rPr>
          <w:rFonts w:cs="Times New Roman"/>
          <w:szCs w:val="24"/>
        </w:rPr>
        <w:t xml:space="preserve"> </w:t>
      </w:r>
      <w:r w:rsidR="00043DEC" w:rsidRPr="00A53C01">
        <w:rPr>
          <w:rFonts w:cs="Times New Roman"/>
          <w:szCs w:val="24"/>
        </w:rPr>
        <w:t>underline the failure of securitization in the EU</w:t>
      </w:r>
      <w:r w:rsidR="001A1A81" w:rsidRPr="00A53C01">
        <w:rPr>
          <w:rFonts w:cs="Times New Roman"/>
          <w:szCs w:val="24"/>
        </w:rPr>
        <w:t xml:space="preserve"> </w:t>
      </w:r>
      <w:r w:rsidR="00043DEC" w:rsidRPr="00A53C01">
        <w:rPr>
          <w:rFonts w:cs="Times New Roman"/>
          <w:szCs w:val="24"/>
        </w:rPr>
        <w:t>and</w:t>
      </w:r>
      <w:r w:rsidR="001A1A81" w:rsidRPr="00A53C01">
        <w:rPr>
          <w:rFonts w:cs="Times New Roman"/>
          <w:szCs w:val="24"/>
        </w:rPr>
        <w:t xml:space="preserve">, by extension, the transatlantic security space </w:t>
      </w:r>
      <w:r w:rsidR="005B4A3A" w:rsidRPr="00A53C01">
        <w:rPr>
          <w:rFonts w:cs="Times New Roman"/>
          <w:szCs w:val="24"/>
        </w:rPr>
        <w:t>writ large</w:t>
      </w:r>
      <w:r w:rsidR="001A1A81" w:rsidRPr="00A53C01">
        <w:rPr>
          <w:rFonts w:cs="Times New Roman"/>
          <w:szCs w:val="24"/>
        </w:rPr>
        <w:t xml:space="preserve">. </w:t>
      </w:r>
    </w:p>
    <w:p w14:paraId="34C6A0D5" w14:textId="5B38B423" w:rsidR="007C4232" w:rsidRDefault="007C4232">
      <w:pPr>
        <w:jc w:val="left"/>
        <w:rPr>
          <w:rFonts w:cs="Times New Roman"/>
          <w:szCs w:val="24"/>
        </w:rPr>
      </w:pPr>
      <w:r>
        <w:rPr>
          <w:rFonts w:cs="Times New Roman"/>
          <w:szCs w:val="24"/>
        </w:rPr>
        <w:br w:type="page"/>
      </w:r>
    </w:p>
    <w:p w14:paraId="05FA7D48" w14:textId="2FA4D466" w:rsidR="006D5392" w:rsidRPr="00A53C01" w:rsidRDefault="006D5392" w:rsidP="008523CF">
      <w:pPr>
        <w:pStyle w:val="SectionHeading"/>
        <w:spacing w:line="240" w:lineRule="auto"/>
        <w:rPr>
          <w:rFonts w:cs="Times New Roman"/>
          <w:b/>
          <w:szCs w:val="24"/>
        </w:rPr>
      </w:pPr>
      <w:r w:rsidRPr="00A53C01">
        <w:rPr>
          <w:rFonts w:cs="Times New Roman"/>
          <w:b/>
          <w:szCs w:val="24"/>
        </w:rPr>
        <w:lastRenderedPageBreak/>
        <w:t>References</w:t>
      </w:r>
      <w:r w:rsidR="00B14510" w:rsidRPr="00A53C01">
        <w:rPr>
          <w:rStyle w:val="FootnoteReference"/>
          <w:rFonts w:cs="Times New Roman"/>
          <w:b/>
          <w:szCs w:val="24"/>
        </w:rPr>
        <w:footnoteReference w:id="11"/>
      </w:r>
    </w:p>
    <w:p w14:paraId="75A4D95E" w14:textId="43451E3A" w:rsidR="006D5392" w:rsidRPr="00A53C01" w:rsidRDefault="006D5392" w:rsidP="008523CF">
      <w:pPr>
        <w:rPr>
          <w:rFonts w:cs="Times New Roman"/>
          <w:szCs w:val="24"/>
        </w:rPr>
      </w:pPr>
      <w:r w:rsidRPr="00A53C01">
        <w:rPr>
          <w:rFonts w:cs="Times New Roman"/>
          <w:szCs w:val="24"/>
        </w:rPr>
        <w:t xml:space="preserve">Balzacq, Thierry (2011) ‘Enquiries into methods: A new framework for securitization analaysis’ in Balzacq, T (ed.) </w:t>
      </w:r>
      <w:r w:rsidRPr="00A53C01">
        <w:rPr>
          <w:rFonts w:cs="Times New Roman"/>
          <w:i/>
          <w:szCs w:val="24"/>
        </w:rPr>
        <w:t>Securitization Theory: How Security Problems Emerge and Dissolve</w:t>
      </w:r>
      <w:r w:rsidRPr="00A53C01">
        <w:rPr>
          <w:rFonts w:cs="Times New Roman"/>
          <w:szCs w:val="24"/>
        </w:rPr>
        <w:t xml:space="preserve">, London: Routledge. </w:t>
      </w:r>
    </w:p>
    <w:p w14:paraId="177BC8AC" w14:textId="66D0515F" w:rsidR="00A15715" w:rsidRPr="00A53C01" w:rsidRDefault="00A15715" w:rsidP="008523CF">
      <w:pPr>
        <w:rPr>
          <w:rFonts w:cs="Times New Roman"/>
          <w:szCs w:val="24"/>
        </w:rPr>
      </w:pPr>
      <w:r w:rsidRPr="00A53C01">
        <w:rPr>
          <w:rFonts w:cs="Times New Roman"/>
          <w:szCs w:val="24"/>
        </w:rPr>
        <w:t>Balzacq, Thierry, Léonard, Sarah, and Ruzicka, Jan (201</w:t>
      </w:r>
      <w:r w:rsidR="00DF0491" w:rsidRPr="00A53C01">
        <w:rPr>
          <w:rFonts w:cs="Times New Roman"/>
          <w:szCs w:val="24"/>
        </w:rPr>
        <w:t>6</w:t>
      </w:r>
      <w:r w:rsidRPr="00A53C01">
        <w:rPr>
          <w:rFonts w:cs="Times New Roman"/>
          <w:szCs w:val="24"/>
        </w:rPr>
        <w:t xml:space="preserve">) ‘‘Securitization’ revisited: theory and cases’, </w:t>
      </w:r>
      <w:r w:rsidRPr="00A53C01">
        <w:rPr>
          <w:rFonts w:cs="Times New Roman"/>
          <w:i/>
          <w:szCs w:val="24"/>
        </w:rPr>
        <w:t>International Relations</w:t>
      </w:r>
      <w:r w:rsidRPr="00A53C01">
        <w:rPr>
          <w:rFonts w:cs="Times New Roman"/>
          <w:szCs w:val="24"/>
        </w:rPr>
        <w:t>, 30:4, pp494-531</w:t>
      </w:r>
    </w:p>
    <w:p w14:paraId="121B4041" w14:textId="77777777" w:rsidR="00E227CD" w:rsidRPr="00A53C01" w:rsidRDefault="00E227CD" w:rsidP="008523CF">
      <w:pPr>
        <w:rPr>
          <w:rFonts w:cs="Times New Roman"/>
          <w:szCs w:val="24"/>
        </w:rPr>
      </w:pPr>
      <w:r w:rsidRPr="00A53C01">
        <w:rPr>
          <w:rFonts w:cs="Times New Roman"/>
          <w:szCs w:val="24"/>
        </w:rPr>
        <w:t xml:space="preserve">Brands, Hal (2018) ‘There's a Crack between the US and Europe Over China’, </w:t>
      </w:r>
      <w:r w:rsidRPr="00A53C01">
        <w:rPr>
          <w:rFonts w:cs="Times New Roman"/>
          <w:i/>
          <w:szCs w:val="24"/>
        </w:rPr>
        <w:t>Bloomberg</w:t>
      </w:r>
      <w:r w:rsidRPr="00A53C01">
        <w:rPr>
          <w:rFonts w:cs="Times New Roman"/>
          <w:szCs w:val="24"/>
        </w:rPr>
        <w:t>, 09/02/2018 Retrieved through</w:t>
      </w:r>
    </w:p>
    <w:p w14:paraId="26272BE6" w14:textId="3A7CA686" w:rsidR="00E227CD" w:rsidRPr="00A53C01" w:rsidRDefault="00BA77AF" w:rsidP="008523CF">
      <w:pPr>
        <w:rPr>
          <w:rFonts w:cs="Times New Roman"/>
          <w:szCs w:val="24"/>
        </w:rPr>
      </w:pPr>
      <w:hyperlink r:id="rId8" w:history="1">
        <w:r w:rsidR="00E227CD" w:rsidRPr="00A53C01">
          <w:rPr>
            <w:rStyle w:val="Hyperlink"/>
            <w:rFonts w:cs="Times New Roman"/>
            <w:szCs w:val="24"/>
          </w:rPr>
          <w:t>https://www.bloomberg.com/view/articles/2018-02-09/there-s-a-crack-between-the-u-s-and-europe-over-china</w:t>
        </w:r>
      </w:hyperlink>
      <w:r w:rsidR="00E227CD" w:rsidRPr="00A53C01">
        <w:rPr>
          <w:rFonts w:cs="Times New Roman"/>
          <w:szCs w:val="24"/>
        </w:rPr>
        <w:t xml:space="preserve"> </w:t>
      </w:r>
    </w:p>
    <w:p w14:paraId="2AFAA54F" w14:textId="002B8E3C" w:rsidR="005B4A3A" w:rsidRPr="00A53C01" w:rsidRDefault="005B4A3A" w:rsidP="008523CF">
      <w:pPr>
        <w:rPr>
          <w:rFonts w:cs="Times New Roman"/>
          <w:szCs w:val="24"/>
        </w:rPr>
      </w:pPr>
      <w:r w:rsidRPr="00A53C01">
        <w:rPr>
          <w:rFonts w:cs="Times New Roman"/>
          <w:szCs w:val="24"/>
        </w:rPr>
        <w:t xml:space="preserve">Brown, Scott AW (2018) </w:t>
      </w:r>
      <w:r w:rsidRPr="00A53C01">
        <w:rPr>
          <w:rFonts w:cs="Times New Roman"/>
          <w:i/>
          <w:szCs w:val="24"/>
        </w:rPr>
        <w:t>Power, Perception and Foreign Policymaking: US and EU Responses to the Rise of China</w:t>
      </w:r>
      <w:r w:rsidRPr="00A53C01">
        <w:rPr>
          <w:rFonts w:cs="Times New Roman"/>
          <w:szCs w:val="24"/>
        </w:rPr>
        <w:t xml:space="preserve">, London: Routledge.  </w:t>
      </w:r>
    </w:p>
    <w:p w14:paraId="5B986B93" w14:textId="42D40E1C" w:rsidR="008E1B59" w:rsidRPr="00A53C01" w:rsidRDefault="008E1B59" w:rsidP="008523CF">
      <w:pPr>
        <w:rPr>
          <w:rFonts w:cs="Times New Roman"/>
          <w:szCs w:val="24"/>
        </w:rPr>
      </w:pPr>
      <w:r w:rsidRPr="00A53C01">
        <w:rPr>
          <w:rFonts w:cs="Times New Roman"/>
          <w:szCs w:val="24"/>
        </w:rPr>
        <w:t xml:space="preserve">Buzan, Barry and </w:t>
      </w:r>
      <w:r w:rsidR="003752EB" w:rsidRPr="00A53C01">
        <w:rPr>
          <w:rFonts w:cs="Times New Roman"/>
          <w:szCs w:val="24"/>
        </w:rPr>
        <w:t xml:space="preserve">Wæver, Ole (2009) ‘Macrosecuritisation and Security Constellations: Reconsidering Scale in Securitisation Theory’, </w:t>
      </w:r>
      <w:r w:rsidR="003752EB" w:rsidRPr="00A53C01">
        <w:rPr>
          <w:rFonts w:cs="Times New Roman"/>
          <w:i/>
          <w:szCs w:val="24"/>
        </w:rPr>
        <w:t>Review of International Studies</w:t>
      </w:r>
      <w:r w:rsidR="003752EB" w:rsidRPr="00A53C01">
        <w:rPr>
          <w:rFonts w:cs="Times New Roman"/>
          <w:szCs w:val="24"/>
        </w:rPr>
        <w:t>, 35:2, pp253-276</w:t>
      </w:r>
    </w:p>
    <w:p w14:paraId="1B4F7FC7" w14:textId="61DECB15" w:rsidR="00E84DC8" w:rsidRPr="00A53C01" w:rsidRDefault="00E84DC8" w:rsidP="008523CF">
      <w:pPr>
        <w:rPr>
          <w:rFonts w:cs="Times New Roman"/>
          <w:szCs w:val="24"/>
        </w:rPr>
      </w:pPr>
      <w:r w:rsidRPr="00A53C01">
        <w:rPr>
          <w:rFonts w:cs="Times New Roman"/>
          <w:szCs w:val="24"/>
        </w:rPr>
        <w:t xml:space="preserve">Council on Foreign Relations (2017) </w:t>
      </w:r>
      <w:r w:rsidRPr="00A53C01">
        <w:rPr>
          <w:rFonts w:cs="Times New Roman"/>
          <w:i/>
          <w:szCs w:val="24"/>
        </w:rPr>
        <w:t>Chinese Investment in Critical US Technology: Risks to US Security Interests</w:t>
      </w:r>
      <w:r w:rsidRPr="00A53C01">
        <w:rPr>
          <w:rFonts w:cs="Times New Roman"/>
          <w:szCs w:val="24"/>
        </w:rPr>
        <w:t xml:space="preserve">, </w:t>
      </w:r>
      <w:hyperlink r:id="rId9" w:history="1">
        <w:r w:rsidR="00902065" w:rsidRPr="00A53C01">
          <w:rPr>
            <w:rStyle w:val="Hyperlink"/>
            <w:rFonts w:cs="Times New Roman"/>
            <w:szCs w:val="24"/>
          </w:rPr>
          <w:t>https://www.cfr.org/report/chinese-investment-critical-us-technology-risks-us-security-interests</w:t>
        </w:r>
      </w:hyperlink>
      <w:r w:rsidR="00902065" w:rsidRPr="00A53C01">
        <w:rPr>
          <w:rFonts w:cs="Times New Roman"/>
          <w:szCs w:val="24"/>
        </w:rPr>
        <w:t xml:space="preserve"> [accessed 08/01/2018]</w:t>
      </w:r>
    </w:p>
    <w:p w14:paraId="056C7F84" w14:textId="3592F439" w:rsidR="008F34E6" w:rsidRPr="00A53C01" w:rsidRDefault="008F34E6" w:rsidP="008523CF">
      <w:pPr>
        <w:widowControl w:val="0"/>
        <w:autoSpaceDE w:val="0"/>
        <w:autoSpaceDN w:val="0"/>
        <w:adjustRightInd w:val="0"/>
        <w:jc w:val="left"/>
        <w:rPr>
          <w:rFonts w:eastAsiaTheme="minorEastAsia" w:cs="Times New Roman"/>
          <w:color w:val="000000"/>
          <w:szCs w:val="24"/>
          <w:lang w:val="en-US"/>
        </w:rPr>
      </w:pPr>
      <w:r w:rsidRPr="00A53C01">
        <w:rPr>
          <w:rFonts w:eastAsiaTheme="minorEastAsia" w:cs="Times New Roman"/>
          <w:color w:val="000000"/>
          <w:szCs w:val="24"/>
          <w:lang w:val="en-US"/>
        </w:rPr>
        <w:t xml:space="preserve">European Council (1989) </w:t>
      </w:r>
      <w:r w:rsidRPr="00A53C01">
        <w:rPr>
          <w:rFonts w:eastAsiaTheme="minorEastAsia" w:cs="Times New Roman"/>
          <w:i/>
          <w:iCs/>
          <w:color w:val="000000"/>
          <w:szCs w:val="24"/>
          <w:lang w:val="en-US"/>
        </w:rPr>
        <w:t xml:space="preserve">EU Declaration on China </w:t>
      </w:r>
      <w:r w:rsidRPr="00A53C01">
        <w:rPr>
          <w:rFonts w:eastAsiaTheme="minorEastAsia" w:cs="Times New Roman"/>
          <w:color w:val="000000"/>
          <w:szCs w:val="24"/>
          <w:lang w:val="en-US"/>
        </w:rPr>
        <w:t xml:space="preserve">– </w:t>
      </w:r>
      <w:r w:rsidRPr="00A53C01">
        <w:rPr>
          <w:rFonts w:eastAsiaTheme="minorEastAsia" w:cs="Times New Roman"/>
          <w:i/>
          <w:iCs/>
          <w:color w:val="000000"/>
          <w:szCs w:val="24"/>
          <w:lang w:val="en-US"/>
        </w:rPr>
        <w:t>Presidency Conclusions</w:t>
      </w:r>
      <w:r w:rsidRPr="00A53C01">
        <w:rPr>
          <w:rFonts w:eastAsiaTheme="minorEastAsia" w:cs="Times New Roman"/>
          <w:color w:val="000000"/>
          <w:szCs w:val="24"/>
          <w:lang w:val="en-US"/>
        </w:rPr>
        <w:t>, June 26–27</w:t>
      </w:r>
      <w:r w:rsidRPr="00A53C01">
        <w:rPr>
          <w:rFonts w:eastAsiaTheme="minorEastAsia" w:cs="Times New Roman"/>
          <w:color w:val="000000"/>
          <w:szCs w:val="24"/>
          <w:vertAlign w:val="superscript"/>
          <w:lang w:val="en-US"/>
        </w:rPr>
        <w:t>th</w:t>
      </w:r>
      <w:r w:rsidRPr="00A53C01">
        <w:rPr>
          <w:rFonts w:eastAsiaTheme="minorEastAsia" w:cs="Times New Roman"/>
          <w:color w:val="000000"/>
          <w:szCs w:val="24"/>
          <w:lang w:val="en-US"/>
        </w:rPr>
        <w:t xml:space="preserve">, Madrid: European Council </w:t>
      </w:r>
    </w:p>
    <w:p w14:paraId="2789CA29" w14:textId="0C80026A" w:rsidR="007D38CC" w:rsidRPr="00A53C01" w:rsidRDefault="007D38CC" w:rsidP="008523CF">
      <w:pPr>
        <w:widowControl w:val="0"/>
        <w:autoSpaceDE w:val="0"/>
        <w:autoSpaceDN w:val="0"/>
        <w:adjustRightInd w:val="0"/>
        <w:jc w:val="left"/>
        <w:rPr>
          <w:rFonts w:eastAsiaTheme="minorEastAsia" w:cs="Times New Roman"/>
          <w:color w:val="000000"/>
          <w:szCs w:val="24"/>
        </w:rPr>
      </w:pPr>
      <w:r w:rsidRPr="00A53C01">
        <w:rPr>
          <w:rFonts w:eastAsiaTheme="minorEastAsia" w:cs="Times New Roman"/>
          <w:color w:val="000000"/>
          <w:szCs w:val="24"/>
        </w:rPr>
        <w:t xml:space="preserve">European Council (2003) </w:t>
      </w:r>
      <w:r w:rsidRPr="00A53C01">
        <w:rPr>
          <w:rFonts w:eastAsiaTheme="minorEastAsia" w:cs="Times New Roman"/>
          <w:i/>
          <w:color w:val="000000"/>
          <w:szCs w:val="24"/>
        </w:rPr>
        <w:t>European Security Strategy: A Secure Europe in a Better World</w:t>
      </w:r>
      <w:r w:rsidRPr="00A53C01">
        <w:rPr>
          <w:rFonts w:eastAsiaTheme="minorEastAsia" w:cs="Times New Roman"/>
          <w:color w:val="000000"/>
          <w:szCs w:val="24"/>
        </w:rPr>
        <w:t>, Brussels: European Council</w:t>
      </w:r>
    </w:p>
    <w:p w14:paraId="14E15F6D" w14:textId="3D0F4BF1" w:rsidR="00C6320E" w:rsidRPr="00A53C01" w:rsidRDefault="00C6320E" w:rsidP="008523CF">
      <w:pPr>
        <w:widowControl w:val="0"/>
        <w:autoSpaceDE w:val="0"/>
        <w:autoSpaceDN w:val="0"/>
        <w:adjustRightInd w:val="0"/>
        <w:jc w:val="left"/>
        <w:rPr>
          <w:rFonts w:eastAsiaTheme="minorEastAsia" w:cs="Times New Roman"/>
          <w:color w:val="000000"/>
          <w:szCs w:val="24"/>
        </w:rPr>
      </w:pPr>
      <w:r w:rsidRPr="00A53C01">
        <w:rPr>
          <w:rFonts w:eastAsiaTheme="minorEastAsia" w:cs="Times New Roman"/>
          <w:color w:val="000000"/>
          <w:szCs w:val="24"/>
        </w:rPr>
        <w:t xml:space="preserve">European Council on Foreign Relations (2016) ‘How China and Asia See Brexit’ </w:t>
      </w:r>
      <w:r w:rsidRPr="00A53C01">
        <w:rPr>
          <w:rFonts w:eastAsiaTheme="minorEastAsia" w:cs="Times New Roman"/>
          <w:i/>
          <w:color w:val="000000"/>
          <w:szCs w:val="24"/>
        </w:rPr>
        <w:t>ECFR’s World in 30 Minutes</w:t>
      </w:r>
      <w:r w:rsidRPr="00A53C01">
        <w:rPr>
          <w:rFonts w:eastAsiaTheme="minorEastAsia" w:cs="Times New Roman"/>
          <w:color w:val="000000"/>
          <w:szCs w:val="24"/>
        </w:rPr>
        <w:t xml:space="preserve"> (podcast), 13/09/16 Retrieved through </w:t>
      </w:r>
      <w:hyperlink r:id="rId10" w:history="1">
        <w:r w:rsidRPr="00A53C01">
          <w:rPr>
            <w:rStyle w:val="Hyperlink"/>
            <w:rFonts w:eastAsiaTheme="minorEastAsia" w:cs="Times New Roman"/>
            <w:szCs w:val="24"/>
          </w:rPr>
          <w:t>www.ecfr.eu/podcasts/episode/ecfrs_world_in_30_minutes_how_china_and_asia_see_brexit</w:t>
        </w:r>
      </w:hyperlink>
      <w:r w:rsidRPr="00A53C01">
        <w:rPr>
          <w:rFonts w:eastAsiaTheme="minorEastAsia" w:cs="Times New Roman"/>
          <w:color w:val="000000"/>
          <w:szCs w:val="24"/>
        </w:rPr>
        <w:t xml:space="preserve">    </w:t>
      </w:r>
    </w:p>
    <w:p w14:paraId="47AD174D" w14:textId="7FAA7312" w:rsidR="007D38CC" w:rsidRPr="00A53C01" w:rsidRDefault="007D38CC" w:rsidP="008523CF">
      <w:pPr>
        <w:widowControl w:val="0"/>
        <w:autoSpaceDE w:val="0"/>
        <w:autoSpaceDN w:val="0"/>
        <w:adjustRightInd w:val="0"/>
        <w:jc w:val="left"/>
        <w:rPr>
          <w:rFonts w:eastAsiaTheme="minorEastAsia" w:cs="Times New Roman"/>
          <w:iCs/>
          <w:color w:val="000000"/>
          <w:szCs w:val="24"/>
        </w:rPr>
      </w:pPr>
      <w:r w:rsidRPr="00A53C01">
        <w:rPr>
          <w:rFonts w:eastAsiaTheme="minorEastAsia" w:cs="Times New Roman"/>
          <w:iCs/>
          <w:color w:val="000000"/>
          <w:szCs w:val="24"/>
        </w:rPr>
        <w:t xml:space="preserve">Evans-Pritchard, Ambrose (2003) ‘EU Viewed by China as World Power to Rival US’ </w:t>
      </w:r>
      <w:r w:rsidRPr="00A53C01">
        <w:rPr>
          <w:rFonts w:eastAsiaTheme="minorEastAsia" w:cs="Times New Roman"/>
          <w:i/>
          <w:iCs/>
          <w:color w:val="000000"/>
          <w:szCs w:val="24"/>
        </w:rPr>
        <w:t>Daily Telegraph</w:t>
      </w:r>
      <w:r w:rsidRPr="00A53C01">
        <w:rPr>
          <w:rFonts w:eastAsiaTheme="minorEastAsia" w:cs="Times New Roman"/>
          <w:iCs/>
          <w:color w:val="000000"/>
          <w:szCs w:val="24"/>
        </w:rPr>
        <w:t>, 14/10/03. Retrieved 12/10/17 from</w:t>
      </w:r>
      <w:r w:rsidRPr="00A53C01">
        <w:rPr>
          <w:rFonts w:cs="Times New Roman"/>
          <w:szCs w:val="24"/>
        </w:rPr>
        <w:t xml:space="preserve"> </w:t>
      </w:r>
      <w:hyperlink r:id="rId11" w:history="1">
        <w:r w:rsidRPr="00A53C01">
          <w:rPr>
            <w:rStyle w:val="Hyperlink"/>
            <w:rFonts w:eastAsiaTheme="minorEastAsia" w:cs="Times New Roman"/>
            <w:iCs/>
            <w:szCs w:val="24"/>
          </w:rPr>
          <w:t>http://www.telegraph.co.uk/news/worldnews/asia/china/1444109/EU-viewed-by-China-as-world-power-to-rival-US.html</w:t>
        </w:r>
      </w:hyperlink>
      <w:r w:rsidRPr="00A53C01">
        <w:rPr>
          <w:rFonts w:eastAsiaTheme="minorEastAsia" w:cs="Times New Roman"/>
          <w:iCs/>
          <w:color w:val="000000"/>
          <w:szCs w:val="24"/>
        </w:rPr>
        <w:t xml:space="preserve">  </w:t>
      </w:r>
    </w:p>
    <w:p w14:paraId="7EDF1233" w14:textId="5DB3677F" w:rsidR="00982949" w:rsidRPr="00A53C01" w:rsidRDefault="008929FA" w:rsidP="008523CF">
      <w:pPr>
        <w:rPr>
          <w:rFonts w:eastAsia="Calibri" w:cs="Times New Roman"/>
          <w:szCs w:val="24"/>
        </w:rPr>
      </w:pPr>
      <w:r w:rsidRPr="00A53C01">
        <w:rPr>
          <w:rFonts w:eastAsia="Calibri" w:cs="Times New Roman"/>
          <w:iCs/>
          <w:szCs w:val="24"/>
        </w:rPr>
        <w:t xml:space="preserve">Evans-Pritchard, Ambrose and Broughton, Philip (2004) ‘EU Snubs Paris over Arms for China’, </w:t>
      </w:r>
      <w:r w:rsidRPr="00A53C01">
        <w:rPr>
          <w:rFonts w:eastAsia="Calibri" w:cs="Times New Roman"/>
          <w:i/>
          <w:iCs/>
          <w:szCs w:val="24"/>
        </w:rPr>
        <w:t>Daily Telegraph</w:t>
      </w:r>
      <w:r w:rsidRPr="00A53C01">
        <w:rPr>
          <w:rFonts w:eastAsia="Calibri" w:cs="Times New Roman"/>
          <w:iCs/>
          <w:szCs w:val="24"/>
        </w:rPr>
        <w:t>, 27/01/04.</w:t>
      </w:r>
      <w:r w:rsidR="00982949" w:rsidRPr="00A53C01">
        <w:rPr>
          <w:rFonts w:eastAsia="Calibri" w:cs="Times New Roman"/>
          <w:iCs/>
          <w:szCs w:val="24"/>
        </w:rPr>
        <w:t xml:space="preserve"> Retrieved </w:t>
      </w:r>
      <w:r w:rsidR="00982949" w:rsidRPr="00A53C01">
        <w:rPr>
          <w:rFonts w:eastAsia="Calibri" w:cs="Times New Roman"/>
          <w:szCs w:val="24"/>
        </w:rPr>
        <w:t xml:space="preserve">08/10/12 from </w:t>
      </w:r>
      <w:hyperlink r:id="rId12" w:history="1">
        <w:r w:rsidR="00982949" w:rsidRPr="00A53C01">
          <w:rPr>
            <w:rFonts w:eastAsia="Calibri" w:cs="Times New Roman"/>
            <w:szCs w:val="24"/>
            <w:u w:val="single"/>
          </w:rPr>
          <w:t>http://www.newsbank.com</w:t>
        </w:r>
      </w:hyperlink>
      <w:r w:rsidR="00982949" w:rsidRPr="00A53C01">
        <w:rPr>
          <w:rFonts w:eastAsia="Calibri" w:cs="Times New Roman"/>
          <w:szCs w:val="24"/>
          <w:u w:val="single"/>
        </w:rPr>
        <w:t xml:space="preserve"> </w:t>
      </w:r>
      <w:r w:rsidR="00982949" w:rsidRPr="00A53C01">
        <w:rPr>
          <w:rFonts w:eastAsia="Calibri" w:cs="Times New Roman"/>
          <w:szCs w:val="24"/>
        </w:rPr>
        <w:t xml:space="preserve">   </w:t>
      </w:r>
    </w:p>
    <w:p w14:paraId="44ACCCA8" w14:textId="77604B3E" w:rsidR="009B056A" w:rsidRPr="00A53C01" w:rsidRDefault="009B056A" w:rsidP="008523CF">
      <w:pPr>
        <w:widowControl w:val="0"/>
        <w:autoSpaceDE w:val="0"/>
        <w:autoSpaceDN w:val="0"/>
        <w:adjustRightInd w:val="0"/>
        <w:jc w:val="left"/>
        <w:rPr>
          <w:rFonts w:eastAsiaTheme="minorEastAsia" w:cs="Times New Roman"/>
          <w:color w:val="000000"/>
          <w:szCs w:val="24"/>
          <w:lang w:val="en-US"/>
        </w:rPr>
      </w:pPr>
      <w:r w:rsidRPr="00A53C01">
        <w:rPr>
          <w:rFonts w:eastAsiaTheme="minorEastAsia" w:cs="Times New Roman"/>
          <w:color w:val="000000"/>
          <w:szCs w:val="24"/>
          <w:lang w:val="en-US"/>
        </w:rPr>
        <w:t>F</w:t>
      </w:r>
      <w:r w:rsidR="00192516" w:rsidRPr="00A53C01">
        <w:rPr>
          <w:rFonts w:eastAsiaTheme="minorEastAsia" w:cs="Times New Roman"/>
          <w:color w:val="000000"/>
          <w:szCs w:val="24"/>
          <w:lang w:val="en-US"/>
        </w:rPr>
        <w:t>loyd</w:t>
      </w:r>
      <w:r w:rsidRPr="00A53C01">
        <w:rPr>
          <w:rFonts w:eastAsiaTheme="minorEastAsia" w:cs="Times New Roman"/>
          <w:color w:val="000000"/>
          <w:szCs w:val="24"/>
          <w:lang w:val="en-US"/>
        </w:rPr>
        <w:t xml:space="preserve">, Rita (2016) ‘Extraordinary or Ordinary Emergency Measures: What, and Who, Defines the ‘Success’ of Securitization?’, </w:t>
      </w:r>
      <w:r w:rsidRPr="00A53C01">
        <w:rPr>
          <w:rFonts w:eastAsiaTheme="minorEastAsia" w:cs="Times New Roman"/>
          <w:i/>
          <w:color w:val="000000"/>
          <w:szCs w:val="24"/>
          <w:lang w:val="en-US"/>
        </w:rPr>
        <w:t>Cambridge Review of International Affairs</w:t>
      </w:r>
      <w:r w:rsidRPr="00A53C01">
        <w:rPr>
          <w:rFonts w:eastAsiaTheme="minorEastAsia" w:cs="Times New Roman"/>
          <w:color w:val="000000"/>
          <w:szCs w:val="24"/>
          <w:lang w:val="en-US"/>
        </w:rPr>
        <w:t>, 29:2, pp677-694</w:t>
      </w:r>
    </w:p>
    <w:p w14:paraId="0C8EB0C9" w14:textId="12C2E2E8" w:rsidR="004B74F4" w:rsidRPr="00A53C01" w:rsidRDefault="004B74F4" w:rsidP="008523CF">
      <w:pPr>
        <w:rPr>
          <w:rFonts w:cs="Times New Roman"/>
          <w:szCs w:val="24"/>
        </w:rPr>
      </w:pPr>
      <w:r w:rsidRPr="00A53C01">
        <w:rPr>
          <w:rFonts w:cs="Times New Roman"/>
          <w:szCs w:val="24"/>
        </w:rPr>
        <w:t xml:space="preserve">General Affairs and External Relations Council (2006) </w:t>
      </w:r>
      <w:r w:rsidRPr="00A53C01">
        <w:rPr>
          <w:rFonts w:cs="Times New Roman"/>
          <w:i/>
          <w:szCs w:val="24"/>
        </w:rPr>
        <w:t>2271</w:t>
      </w:r>
      <w:r w:rsidRPr="00A53C01">
        <w:rPr>
          <w:rFonts w:cs="Times New Roman"/>
          <w:i/>
          <w:szCs w:val="24"/>
          <w:vertAlign w:val="superscript"/>
        </w:rPr>
        <w:t>st</w:t>
      </w:r>
      <w:r w:rsidRPr="00A53C01">
        <w:rPr>
          <w:rFonts w:cs="Times New Roman"/>
          <w:i/>
          <w:szCs w:val="24"/>
        </w:rPr>
        <w:t xml:space="preserve"> Council Meeting – General Affairs and External Relations</w:t>
      </w:r>
      <w:r w:rsidRPr="00A53C01">
        <w:rPr>
          <w:rFonts w:cs="Times New Roman"/>
          <w:szCs w:val="24"/>
        </w:rPr>
        <w:t xml:space="preserve">, </w:t>
      </w:r>
      <w:r w:rsidRPr="00A53C01">
        <w:rPr>
          <w:rFonts w:cs="Times New Roman"/>
          <w:i/>
          <w:szCs w:val="24"/>
        </w:rPr>
        <w:t>11-12 December 2006</w:t>
      </w:r>
      <w:r w:rsidRPr="00A53C01">
        <w:rPr>
          <w:rFonts w:cs="Times New Roman"/>
          <w:szCs w:val="24"/>
        </w:rPr>
        <w:t xml:space="preserve">, Brussels: Council of the European Union. </w:t>
      </w:r>
      <w:hyperlink r:id="rId13" w:history="1">
        <w:r w:rsidRPr="00A53C01">
          <w:rPr>
            <w:rStyle w:val="Hyperlink"/>
            <w:rFonts w:cs="Times New Roman"/>
            <w:szCs w:val="24"/>
          </w:rPr>
          <w:t>http://europa.eu/rapid/press-release_PRES-06-353_en.htm</w:t>
        </w:r>
      </w:hyperlink>
      <w:r w:rsidRPr="00A53C01">
        <w:rPr>
          <w:rFonts w:cs="Times New Roman"/>
          <w:szCs w:val="24"/>
        </w:rPr>
        <w:t xml:space="preserve"> [accessed 20/11/17]</w:t>
      </w:r>
    </w:p>
    <w:p w14:paraId="49B59161" w14:textId="535BF017" w:rsidR="003D6D3F" w:rsidRPr="00A53C01" w:rsidRDefault="003D6D3F" w:rsidP="008523CF">
      <w:pPr>
        <w:rPr>
          <w:rFonts w:cs="Times New Roman"/>
          <w:szCs w:val="24"/>
        </w:rPr>
      </w:pPr>
      <w:r w:rsidRPr="00A53C01">
        <w:rPr>
          <w:rFonts w:cs="Times New Roman"/>
          <w:szCs w:val="24"/>
        </w:rPr>
        <w:t>Hampton, Mary and Sperling, James (2002) ‘Positive/Negative Identity in the Euro- Atlantic Communities: Germany's Past, Europe's Future?’</w:t>
      </w:r>
      <w:r w:rsidR="004E5319" w:rsidRPr="00A53C01">
        <w:rPr>
          <w:rFonts w:cs="Times New Roman"/>
          <w:szCs w:val="24"/>
        </w:rPr>
        <w:t>,</w:t>
      </w:r>
      <w:r w:rsidRPr="00A53C01">
        <w:rPr>
          <w:rFonts w:cs="Times New Roman"/>
          <w:szCs w:val="24"/>
        </w:rPr>
        <w:t xml:space="preserve"> </w:t>
      </w:r>
      <w:r w:rsidRPr="00A53C01">
        <w:rPr>
          <w:rFonts w:cs="Times New Roman"/>
          <w:i/>
          <w:szCs w:val="24"/>
        </w:rPr>
        <w:t>Journal of European Integration</w:t>
      </w:r>
      <w:r w:rsidRPr="00A53C01">
        <w:rPr>
          <w:rFonts w:cs="Times New Roman"/>
          <w:szCs w:val="24"/>
        </w:rPr>
        <w:t>, 24:4, pp281-301</w:t>
      </w:r>
    </w:p>
    <w:p w14:paraId="2C54F105" w14:textId="53F59B7E" w:rsidR="00BD5992" w:rsidRPr="00A53C01" w:rsidRDefault="00E3031E" w:rsidP="008523CF">
      <w:pPr>
        <w:rPr>
          <w:rFonts w:cs="Times New Roman"/>
          <w:szCs w:val="24"/>
        </w:rPr>
      </w:pPr>
      <w:r w:rsidRPr="00A53C01">
        <w:rPr>
          <w:rFonts w:cs="Times New Roman"/>
          <w:szCs w:val="24"/>
        </w:rPr>
        <w:t xml:space="preserve">Hayes, Jarrod (2013) </w:t>
      </w:r>
      <w:r w:rsidR="00BD5992" w:rsidRPr="00A53C01">
        <w:rPr>
          <w:rFonts w:cs="Times New Roman"/>
          <w:i/>
          <w:szCs w:val="24"/>
        </w:rPr>
        <w:t>Constructing National Security: US Relations with India and China</w:t>
      </w:r>
      <w:r w:rsidR="00BD5992" w:rsidRPr="00A53C01">
        <w:rPr>
          <w:rFonts w:cs="Times New Roman"/>
          <w:szCs w:val="24"/>
        </w:rPr>
        <w:t xml:space="preserve">, Cambridge: Cambridge University Press </w:t>
      </w:r>
    </w:p>
    <w:p w14:paraId="4BC536B7" w14:textId="132D9D82" w:rsidR="005B2C9E" w:rsidRPr="00A53C01" w:rsidRDefault="005B2C9E" w:rsidP="008523CF">
      <w:pPr>
        <w:rPr>
          <w:rFonts w:cs="Times New Roman"/>
          <w:szCs w:val="24"/>
        </w:rPr>
      </w:pPr>
      <w:r w:rsidRPr="00A53C01">
        <w:rPr>
          <w:rFonts w:cs="Times New Roman"/>
          <w:szCs w:val="24"/>
        </w:rPr>
        <w:t xml:space="preserve">Interview (2010a) </w:t>
      </w:r>
      <w:r w:rsidRPr="00A53C01">
        <w:rPr>
          <w:rFonts w:cs="Times New Roman"/>
          <w:i/>
          <w:szCs w:val="24"/>
        </w:rPr>
        <w:t>French foreign policy official</w:t>
      </w:r>
      <w:r w:rsidRPr="00A53C01">
        <w:rPr>
          <w:rFonts w:cs="Times New Roman"/>
          <w:szCs w:val="24"/>
        </w:rPr>
        <w:t xml:space="preserve">. Paris, 21/05/10. </w:t>
      </w:r>
    </w:p>
    <w:p w14:paraId="52A8FCE9" w14:textId="58004497" w:rsidR="005B2C9E" w:rsidRPr="00A53C01" w:rsidRDefault="005B2C9E" w:rsidP="008523CF">
      <w:pPr>
        <w:rPr>
          <w:rFonts w:cs="Times New Roman"/>
          <w:szCs w:val="24"/>
        </w:rPr>
      </w:pPr>
      <w:r w:rsidRPr="00A53C01">
        <w:rPr>
          <w:rFonts w:cs="Times New Roman"/>
          <w:szCs w:val="24"/>
        </w:rPr>
        <w:t xml:space="preserve">Interview (2010b) </w:t>
      </w:r>
      <w:r w:rsidRPr="00A53C01">
        <w:rPr>
          <w:rFonts w:cs="Times New Roman"/>
          <w:i/>
          <w:szCs w:val="24"/>
        </w:rPr>
        <w:t>EU policy official</w:t>
      </w:r>
      <w:r w:rsidRPr="00A53C01">
        <w:rPr>
          <w:rFonts w:cs="Times New Roman"/>
          <w:szCs w:val="24"/>
        </w:rPr>
        <w:t xml:space="preserve"> </w:t>
      </w:r>
      <w:r w:rsidRPr="00A53C01">
        <w:rPr>
          <w:rFonts w:cs="Times New Roman"/>
          <w:i/>
          <w:szCs w:val="24"/>
        </w:rPr>
        <w:t>(1)</w:t>
      </w:r>
      <w:r w:rsidRPr="00A53C01">
        <w:rPr>
          <w:rFonts w:cs="Times New Roman"/>
          <w:szCs w:val="24"/>
        </w:rPr>
        <w:t xml:space="preserve">. Brussels, 01/06/10.  </w:t>
      </w:r>
    </w:p>
    <w:p w14:paraId="40372C1D" w14:textId="1D542FD2" w:rsidR="005B2C9E" w:rsidRPr="00A53C01" w:rsidRDefault="005B2C9E" w:rsidP="008523CF">
      <w:pPr>
        <w:rPr>
          <w:rFonts w:cs="Times New Roman"/>
          <w:szCs w:val="24"/>
        </w:rPr>
      </w:pPr>
      <w:r w:rsidRPr="00A53C01">
        <w:rPr>
          <w:rFonts w:cs="Times New Roman"/>
          <w:szCs w:val="24"/>
        </w:rPr>
        <w:lastRenderedPageBreak/>
        <w:t xml:space="preserve">Interview (2010c) </w:t>
      </w:r>
      <w:r w:rsidRPr="00A53C01">
        <w:rPr>
          <w:rFonts w:cs="Times New Roman"/>
          <w:i/>
          <w:szCs w:val="24"/>
        </w:rPr>
        <w:t>Thomas Klau, POSITION</w:t>
      </w:r>
      <w:r w:rsidRPr="00A53C01">
        <w:rPr>
          <w:rFonts w:cs="Times New Roman"/>
          <w:szCs w:val="24"/>
        </w:rPr>
        <w:t>. Paris, 20/05/10.</w:t>
      </w:r>
    </w:p>
    <w:p w14:paraId="799C5EA5" w14:textId="41BB5265" w:rsidR="005B2C9E" w:rsidRPr="00A53C01" w:rsidRDefault="005B2C9E" w:rsidP="008523CF">
      <w:pPr>
        <w:rPr>
          <w:rFonts w:cs="Times New Roman"/>
          <w:szCs w:val="24"/>
        </w:rPr>
      </w:pPr>
      <w:r w:rsidRPr="00A53C01">
        <w:rPr>
          <w:rFonts w:cs="Times New Roman"/>
          <w:szCs w:val="24"/>
        </w:rPr>
        <w:t xml:space="preserve">Interview (2010d) </w:t>
      </w:r>
      <w:r w:rsidRPr="00A53C01">
        <w:rPr>
          <w:rFonts w:cs="Times New Roman"/>
          <w:i/>
          <w:szCs w:val="24"/>
        </w:rPr>
        <w:t xml:space="preserve">Randy Schriver, POSITION. </w:t>
      </w:r>
      <w:r w:rsidRPr="00A53C01">
        <w:rPr>
          <w:rFonts w:cs="Times New Roman"/>
          <w:szCs w:val="24"/>
        </w:rPr>
        <w:t>Arlington, VA. 07/07/10.</w:t>
      </w:r>
    </w:p>
    <w:p w14:paraId="2129F635" w14:textId="4A54D4FE" w:rsidR="005B2C9E" w:rsidRPr="00A53C01" w:rsidRDefault="005B2C9E" w:rsidP="008523CF">
      <w:pPr>
        <w:rPr>
          <w:rFonts w:cs="Times New Roman"/>
          <w:szCs w:val="24"/>
        </w:rPr>
      </w:pPr>
      <w:r w:rsidRPr="00A53C01">
        <w:rPr>
          <w:rFonts w:cs="Times New Roman"/>
          <w:szCs w:val="24"/>
        </w:rPr>
        <w:t xml:space="preserve">Interview (2010e) </w:t>
      </w:r>
      <w:r w:rsidRPr="00A53C01">
        <w:rPr>
          <w:rFonts w:cs="Times New Roman"/>
          <w:i/>
          <w:szCs w:val="24"/>
        </w:rPr>
        <w:t>Daniel Blumenthal</w:t>
      </w:r>
      <w:r w:rsidRPr="00A53C01">
        <w:rPr>
          <w:rFonts w:cs="Times New Roman"/>
          <w:szCs w:val="24"/>
        </w:rPr>
        <w:t xml:space="preserve">, </w:t>
      </w:r>
      <w:r w:rsidRPr="00A53C01">
        <w:rPr>
          <w:rFonts w:cs="Times New Roman"/>
          <w:i/>
          <w:szCs w:val="24"/>
        </w:rPr>
        <w:t>POSITION</w:t>
      </w:r>
      <w:r w:rsidRPr="00A53C01">
        <w:rPr>
          <w:rFonts w:cs="Times New Roman"/>
          <w:szCs w:val="24"/>
        </w:rPr>
        <w:t xml:space="preserve">. Washington D.C. 15/07/10. </w:t>
      </w:r>
    </w:p>
    <w:p w14:paraId="12B2B909" w14:textId="337BE81F" w:rsidR="005B2C9E" w:rsidRPr="00A53C01" w:rsidRDefault="005B2C9E" w:rsidP="008523CF">
      <w:pPr>
        <w:rPr>
          <w:rFonts w:cs="Times New Roman"/>
          <w:szCs w:val="24"/>
        </w:rPr>
      </w:pPr>
      <w:r w:rsidRPr="00A53C01">
        <w:rPr>
          <w:rFonts w:cs="Times New Roman"/>
          <w:szCs w:val="24"/>
        </w:rPr>
        <w:t xml:space="preserve">Interview (2010f) </w:t>
      </w:r>
      <w:r w:rsidRPr="00A53C01">
        <w:rPr>
          <w:rFonts w:cs="Times New Roman"/>
          <w:i/>
          <w:szCs w:val="24"/>
        </w:rPr>
        <w:t>US policy aide</w:t>
      </w:r>
      <w:r w:rsidRPr="00A53C01">
        <w:rPr>
          <w:rFonts w:cs="Times New Roman"/>
          <w:szCs w:val="24"/>
        </w:rPr>
        <w:t>. Washington, D.C. 06/07/10.</w:t>
      </w:r>
    </w:p>
    <w:p w14:paraId="3046E7C8" w14:textId="3384AA8E" w:rsidR="005B2C9E" w:rsidRPr="00A53C01" w:rsidRDefault="005B2C9E" w:rsidP="008523CF">
      <w:pPr>
        <w:rPr>
          <w:rFonts w:cs="Times New Roman"/>
          <w:szCs w:val="24"/>
        </w:rPr>
      </w:pPr>
      <w:r w:rsidRPr="00A53C01">
        <w:rPr>
          <w:rFonts w:cs="Times New Roman"/>
          <w:szCs w:val="24"/>
        </w:rPr>
        <w:t xml:space="preserve">Interview (2010g) </w:t>
      </w:r>
      <w:r w:rsidRPr="00A53C01">
        <w:rPr>
          <w:rFonts w:cs="Times New Roman"/>
          <w:i/>
          <w:szCs w:val="24"/>
        </w:rPr>
        <w:t>Dennis Wilder</w:t>
      </w:r>
      <w:r w:rsidRPr="00A53C01">
        <w:rPr>
          <w:rFonts w:cs="Times New Roman"/>
          <w:szCs w:val="24"/>
        </w:rPr>
        <w:t xml:space="preserve">, </w:t>
      </w:r>
      <w:r w:rsidRPr="00A53C01">
        <w:rPr>
          <w:rFonts w:cs="Times New Roman"/>
          <w:i/>
          <w:szCs w:val="24"/>
        </w:rPr>
        <w:t>POISITION</w:t>
      </w:r>
      <w:r w:rsidRPr="00A53C01">
        <w:rPr>
          <w:rFonts w:cs="Times New Roman"/>
          <w:szCs w:val="24"/>
        </w:rPr>
        <w:t>. Washington, D.C. 15/07/10.</w:t>
      </w:r>
    </w:p>
    <w:p w14:paraId="69703817" w14:textId="038FD365" w:rsidR="005B2C9E" w:rsidRPr="00A53C01" w:rsidRDefault="005B2C9E" w:rsidP="008523CF">
      <w:r w:rsidRPr="00A53C01">
        <w:rPr>
          <w:rFonts w:cs="Times New Roman"/>
          <w:szCs w:val="24"/>
        </w:rPr>
        <w:t xml:space="preserve">Interview (2010h) </w:t>
      </w:r>
      <w:r w:rsidRPr="00A53C01">
        <w:rPr>
          <w:rFonts w:cs="Times New Roman"/>
          <w:i/>
          <w:szCs w:val="24"/>
        </w:rPr>
        <w:t>Robert Sutter</w:t>
      </w:r>
      <w:r w:rsidRPr="00A53C01">
        <w:rPr>
          <w:rFonts w:cs="Times New Roman"/>
          <w:szCs w:val="24"/>
        </w:rPr>
        <w:t xml:space="preserve">, </w:t>
      </w:r>
      <w:r w:rsidRPr="00A53C01">
        <w:rPr>
          <w:rFonts w:cs="Times New Roman"/>
          <w:i/>
          <w:szCs w:val="24"/>
        </w:rPr>
        <w:t>POISITION</w:t>
      </w:r>
      <w:r w:rsidRPr="00A53C01">
        <w:rPr>
          <w:rFonts w:cs="Times New Roman"/>
          <w:szCs w:val="24"/>
        </w:rPr>
        <w:t xml:space="preserve">. Washington, D.C. </w:t>
      </w:r>
      <w:r w:rsidRPr="00A53C01">
        <w:t>29/06/10</w:t>
      </w:r>
    </w:p>
    <w:p w14:paraId="4726138A" w14:textId="7D2C11DA" w:rsidR="005B2C9E" w:rsidRPr="00A53C01" w:rsidRDefault="005B2C9E" w:rsidP="008523CF">
      <w:pPr>
        <w:rPr>
          <w:rFonts w:cs="Times New Roman"/>
          <w:szCs w:val="24"/>
        </w:rPr>
      </w:pPr>
      <w:r w:rsidRPr="00A53C01">
        <w:rPr>
          <w:rFonts w:cs="Times New Roman"/>
          <w:szCs w:val="24"/>
        </w:rPr>
        <w:t xml:space="preserve">Interview (2010i) </w:t>
      </w:r>
      <w:r w:rsidRPr="00A53C01">
        <w:rPr>
          <w:rFonts w:cs="Times New Roman"/>
          <w:i/>
          <w:szCs w:val="24"/>
        </w:rPr>
        <w:t>F</w:t>
      </w:r>
      <w:r w:rsidRPr="00A53C01">
        <w:rPr>
          <w:i/>
        </w:rPr>
        <w:t>ormer senior US administration official</w:t>
      </w:r>
      <w:r w:rsidRPr="00A53C01">
        <w:t>, Washington D.C., 15/07/10.</w:t>
      </w:r>
    </w:p>
    <w:p w14:paraId="6FB87A02" w14:textId="1EB5C957" w:rsidR="005B2C9E" w:rsidRPr="00A53C01" w:rsidRDefault="005B2C9E" w:rsidP="008523CF">
      <w:r w:rsidRPr="00A53C01">
        <w:rPr>
          <w:rFonts w:cs="Times New Roman"/>
        </w:rPr>
        <w:t xml:space="preserve">Interview (2010j) </w:t>
      </w:r>
      <w:r w:rsidRPr="00A53C01">
        <w:rPr>
          <w:rFonts w:cs="Times New Roman"/>
          <w:i/>
        </w:rPr>
        <w:t>EU policy official (2)</w:t>
      </w:r>
      <w:r w:rsidRPr="00A53C01">
        <w:rPr>
          <w:rFonts w:cs="Times New Roman"/>
        </w:rPr>
        <w:t>, Brussels, 04/06/10.</w:t>
      </w:r>
    </w:p>
    <w:p w14:paraId="6D513082" w14:textId="052BD245" w:rsidR="0000707C" w:rsidRPr="00A53C01" w:rsidRDefault="0000707C" w:rsidP="008523CF">
      <w:pPr>
        <w:widowControl w:val="0"/>
        <w:tabs>
          <w:tab w:val="left" w:pos="220"/>
          <w:tab w:val="left" w:pos="720"/>
        </w:tabs>
        <w:autoSpaceDE w:val="0"/>
        <w:autoSpaceDN w:val="0"/>
        <w:adjustRightInd w:val="0"/>
        <w:jc w:val="left"/>
        <w:rPr>
          <w:rFonts w:ascii="Times Roman" w:eastAsiaTheme="minorEastAsia" w:hAnsi="Times Roman" w:cs="Times Roman"/>
          <w:color w:val="000000"/>
          <w:szCs w:val="24"/>
          <w:lang w:val="en-US"/>
        </w:rPr>
      </w:pPr>
      <w:r w:rsidRPr="00A53C01">
        <w:rPr>
          <w:rFonts w:cs="Times New Roman"/>
          <w:szCs w:val="24"/>
        </w:rPr>
        <w:t xml:space="preserve">Interview (2010k) </w:t>
      </w:r>
      <w:r w:rsidR="004E0874">
        <w:rPr>
          <w:rFonts w:eastAsiaTheme="minorEastAsia" w:cs="Times New Roman"/>
          <w:i/>
          <w:color w:val="000000"/>
          <w:szCs w:val="24"/>
          <w:lang w:val="en-US"/>
        </w:rPr>
        <w:t>X</w:t>
      </w:r>
      <w:r w:rsidRPr="00A53C01">
        <w:rPr>
          <w:rFonts w:eastAsiaTheme="minorEastAsia" w:cs="Times New Roman"/>
          <w:color w:val="000000"/>
          <w:szCs w:val="24"/>
          <w:lang w:val="en-US"/>
        </w:rPr>
        <w:t xml:space="preserve">, Brussels, 31/05/10. </w:t>
      </w:r>
      <w:r w:rsidRPr="00A53C01">
        <w:rPr>
          <w:rFonts w:ascii="Times Roman" w:eastAsiaTheme="minorEastAsia" w:hAnsi="Times Roman" w:cs="Times Roman"/>
          <w:color w:val="000000"/>
          <w:szCs w:val="24"/>
          <w:lang w:val="en-US"/>
        </w:rPr>
        <w:t> </w:t>
      </w:r>
    </w:p>
    <w:p w14:paraId="002A4EEB" w14:textId="416776C7" w:rsidR="00006D88" w:rsidRPr="00A53C01" w:rsidRDefault="00006D88" w:rsidP="008523CF">
      <w:pPr>
        <w:rPr>
          <w:rFonts w:cs="Times New Roman"/>
          <w:szCs w:val="24"/>
        </w:rPr>
      </w:pPr>
      <w:r w:rsidRPr="00A53C01">
        <w:rPr>
          <w:rFonts w:cs="Times New Roman"/>
          <w:szCs w:val="24"/>
        </w:rPr>
        <w:t xml:space="preserve">Lampton, David (2001) </w:t>
      </w:r>
      <w:r w:rsidRPr="00A53C01">
        <w:rPr>
          <w:rFonts w:cs="Times New Roman"/>
          <w:i/>
          <w:szCs w:val="24"/>
        </w:rPr>
        <w:t>Same Bed, Different Dreams: Managing US-China Relations 1989-2000</w:t>
      </w:r>
      <w:r w:rsidRPr="00A53C01">
        <w:rPr>
          <w:rFonts w:cs="Times New Roman"/>
          <w:szCs w:val="24"/>
        </w:rPr>
        <w:t xml:space="preserve">, London: University of California Press </w:t>
      </w:r>
    </w:p>
    <w:p w14:paraId="6E35997E" w14:textId="09B1E8AB" w:rsidR="0080220B" w:rsidRPr="00A53C01" w:rsidRDefault="0080220B" w:rsidP="008523CF">
      <w:pPr>
        <w:rPr>
          <w:rFonts w:cs="Times New Roman"/>
          <w:szCs w:val="24"/>
        </w:rPr>
      </w:pPr>
      <w:r w:rsidRPr="00A53C01">
        <w:rPr>
          <w:rFonts w:cs="Times New Roman"/>
          <w:szCs w:val="24"/>
        </w:rPr>
        <w:t xml:space="preserve">Leonard, Mark (2016) </w:t>
      </w:r>
      <w:r w:rsidRPr="00A53C01">
        <w:rPr>
          <w:rFonts w:cs="Times New Roman"/>
          <w:i/>
          <w:szCs w:val="24"/>
        </w:rPr>
        <w:t>Europe, Alone in Trump’s World.</w:t>
      </w:r>
      <w:r w:rsidRPr="00A53C01">
        <w:rPr>
          <w:rFonts w:cs="Times New Roman"/>
          <w:szCs w:val="24"/>
        </w:rPr>
        <w:t xml:space="preserve"> Retrieved 01/12/17 from </w:t>
      </w:r>
      <w:hyperlink r:id="rId14" w:history="1">
        <w:r w:rsidRPr="00A53C01">
          <w:rPr>
            <w:rStyle w:val="Hyperlink"/>
            <w:rFonts w:cs="Times New Roman"/>
            <w:szCs w:val="24"/>
          </w:rPr>
          <w:t>http://www.ecfr.eu/article/commentary_europe_alone_in_trumps_world7075</w:t>
        </w:r>
      </w:hyperlink>
      <w:r w:rsidRPr="00A53C01">
        <w:rPr>
          <w:rFonts w:cs="Times New Roman"/>
          <w:szCs w:val="24"/>
        </w:rPr>
        <w:t xml:space="preserve"> </w:t>
      </w:r>
    </w:p>
    <w:p w14:paraId="557C00C3" w14:textId="1BFD726F" w:rsidR="00EB0DE7" w:rsidRPr="00A53C01" w:rsidRDefault="00EB0DE7" w:rsidP="008523CF">
      <w:pPr>
        <w:rPr>
          <w:i/>
        </w:rPr>
      </w:pPr>
      <w:r w:rsidRPr="00A53C01">
        <w:rPr>
          <w:rFonts w:cs="Times New Roman"/>
          <w:szCs w:val="24"/>
        </w:rPr>
        <w:t xml:space="preserve">Liu, </w:t>
      </w:r>
      <w:r w:rsidRPr="00A53C01">
        <w:t>Jianxi (2017) Time to lift EU’s outdated arms embargo on China</w:t>
      </w:r>
      <w:r w:rsidR="00DF430C">
        <w:t>. Retriev</w:t>
      </w:r>
      <w:r w:rsidR="00DF430C" w:rsidRPr="00A53C01">
        <w:t>ed</w:t>
      </w:r>
      <w:r w:rsidRPr="00A53C01">
        <w:t xml:space="preserve"> 08/01/18 from </w:t>
      </w:r>
      <w:hyperlink r:id="rId15" w:history="1">
        <w:r w:rsidRPr="00A53C01">
          <w:rPr>
            <w:rStyle w:val="Hyperlink"/>
          </w:rPr>
          <w:t>http://www.globaltimes.cn/content/1049431.shtml</w:t>
        </w:r>
      </w:hyperlink>
      <w:r w:rsidRPr="00A53C01">
        <w:t xml:space="preserve"> </w:t>
      </w:r>
    </w:p>
    <w:p w14:paraId="2E56A6A4" w14:textId="62732E5B" w:rsidR="006F62B0" w:rsidRPr="00A53C01" w:rsidRDefault="00150381" w:rsidP="008523CF">
      <w:pPr>
        <w:rPr>
          <w:rFonts w:cs="Times New Roman"/>
          <w:szCs w:val="24"/>
        </w:rPr>
      </w:pPr>
      <w:r w:rsidRPr="00A53C01">
        <w:rPr>
          <w:rFonts w:cs="Times New Roman"/>
          <w:szCs w:val="24"/>
        </w:rPr>
        <w:t>McGuire, Steven and</w:t>
      </w:r>
      <w:r w:rsidR="006F62B0" w:rsidRPr="00A53C01">
        <w:rPr>
          <w:rFonts w:cs="Times New Roman"/>
          <w:szCs w:val="24"/>
        </w:rPr>
        <w:t xml:space="preserve"> Smith, Michael (2008) </w:t>
      </w:r>
      <w:r w:rsidR="006F62B0" w:rsidRPr="00A53C01">
        <w:rPr>
          <w:rFonts w:cs="Times New Roman"/>
          <w:i/>
          <w:szCs w:val="24"/>
        </w:rPr>
        <w:t>The European Union and the United States: Competition and Convergence in the Global Arena</w:t>
      </w:r>
      <w:r w:rsidR="006F62B0" w:rsidRPr="00A53C01">
        <w:rPr>
          <w:rFonts w:cs="Times New Roman"/>
          <w:szCs w:val="24"/>
        </w:rPr>
        <w:t>, Basingstoke: Palgrave Macmillan</w:t>
      </w:r>
    </w:p>
    <w:p w14:paraId="2D7772F1" w14:textId="060FE7DC" w:rsidR="004E5319" w:rsidRPr="00A53C01" w:rsidRDefault="004E5319" w:rsidP="008523CF">
      <w:pPr>
        <w:jc w:val="left"/>
        <w:rPr>
          <w:rFonts w:eastAsia="Calibri" w:cs="Times New Roman"/>
          <w:szCs w:val="24"/>
        </w:rPr>
      </w:pPr>
      <w:r w:rsidRPr="00A53C01">
        <w:rPr>
          <w:rFonts w:eastAsia="Calibri" w:cs="Times New Roman"/>
          <w:szCs w:val="24"/>
        </w:rPr>
        <w:t xml:space="preserve">Ministry of Foreign Affairs </w:t>
      </w:r>
      <w:r w:rsidRPr="00A53C01">
        <w:rPr>
          <w:rFonts w:cs="Times New Roman"/>
          <w:szCs w:val="24"/>
        </w:rPr>
        <w:t>of the People’s Republic of China</w:t>
      </w:r>
      <w:r w:rsidRPr="00A53C01">
        <w:rPr>
          <w:rFonts w:eastAsia="Calibri" w:cs="Times New Roman"/>
          <w:szCs w:val="24"/>
        </w:rPr>
        <w:t xml:space="preserve"> (2003) </w:t>
      </w:r>
      <w:r w:rsidRPr="00A53C01">
        <w:rPr>
          <w:rFonts w:eastAsia="Calibri" w:cs="Times New Roman"/>
          <w:i/>
          <w:szCs w:val="24"/>
        </w:rPr>
        <w:t>China’s EU Policy Paper</w:t>
      </w:r>
      <w:r w:rsidRPr="00A53C01">
        <w:rPr>
          <w:rFonts w:eastAsia="Calibri" w:cs="Times New Roman"/>
          <w:szCs w:val="24"/>
        </w:rPr>
        <w:t xml:space="preserve">, Beijing: MoFA. Retrieved 12/10/17 from </w:t>
      </w:r>
      <w:hyperlink r:id="rId16" w:history="1">
        <w:r w:rsidRPr="00A53C01">
          <w:rPr>
            <w:rStyle w:val="Hyperlink"/>
            <w:rFonts w:eastAsia="Calibri" w:cs="Times New Roman"/>
            <w:szCs w:val="24"/>
          </w:rPr>
          <w:t>http://www.fmprc.gov.cn/eng/topics/ceupp/t27708.htm</w:t>
        </w:r>
      </w:hyperlink>
      <w:r w:rsidRPr="00A53C01">
        <w:rPr>
          <w:rFonts w:eastAsia="Calibri" w:cs="Times New Roman"/>
          <w:szCs w:val="24"/>
        </w:rPr>
        <w:t xml:space="preserve"> </w:t>
      </w:r>
    </w:p>
    <w:p w14:paraId="461FC507" w14:textId="3398A26E" w:rsidR="0080220B" w:rsidRPr="00A53C01" w:rsidRDefault="0080220B" w:rsidP="008523CF">
      <w:pPr>
        <w:rPr>
          <w:rFonts w:cs="Times New Roman"/>
          <w:szCs w:val="24"/>
        </w:rPr>
      </w:pPr>
      <w:r w:rsidRPr="00A53C01">
        <w:rPr>
          <w:rFonts w:cs="Times New Roman"/>
          <w:szCs w:val="24"/>
        </w:rPr>
        <w:t xml:space="preserve">Ministry of Foreign Affairs of the People’s Republic of China (2014) </w:t>
      </w:r>
      <w:r w:rsidRPr="00A53C01">
        <w:rPr>
          <w:rFonts w:cs="Times New Roman"/>
          <w:i/>
          <w:szCs w:val="24"/>
        </w:rPr>
        <w:t>China's Policy Paper on the EU: Deepen the China-EU Comprehensive Strategic Partnership for Mutual Benefit and Win-win Cooperation</w:t>
      </w:r>
      <w:r w:rsidRPr="00A53C01">
        <w:rPr>
          <w:rFonts w:cs="Times New Roman"/>
          <w:szCs w:val="24"/>
        </w:rPr>
        <w:t xml:space="preserve">, Beijing: MoFA. Retrieved 04/11/17 from </w:t>
      </w:r>
      <w:hyperlink r:id="rId17" w:history="1">
        <w:r w:rsidRPr="00A53C01">
          <w:rPr>
            <w:rStyle w:val="Hyperlink"/>
            <w:rFonts w:cs="Times New Roman"/>
            <w:szCs w:val="24"/>
          </w:rPr>
          <w:t>http://www.fmprc.gov.cn/mfa_eng/wjdt_665385/wjzcs/t1143406.shtml</w:t>
        </w:r>
      </w:hyperlink>
      <w:r w:rsidRPr="00A53C01">
        <w:rPr>
          <w:rFonts w:cs="Times New Roman"/>
          <w:szCs w:val="24"/>
        </w:rPr>
        <w:t xml:space="preserve"> </w:t>
      </w:r>
    </w:p>
    <w:p w14:paraId="3F3CFD07" w14:textId="5D19A81E" w:rsidR="00D57628" w:rsidRPr="00D57628" w:rsidRDefault="00D57628" w:rsidP="008523CF">
      <w:pPr>
        <w:rPr>
          <w:rFonts w:cs="Times New Roman"/>
          <w:szCs w:val="24"/>
        </w:rPr>
      </w:pPr>
      <w:r>
        <w:rPr>
          <w:rFonts w:cs="Times New Roman"/>
          <w:szCs w:val="24"/>
        </w:rPr>
        <w:t xml:space="preserve">Neal, Andrew (2009) ‘Securitization and Risk at the EU Border: The Origins of Frontex’, </w:t>
      </w:r>
      <w:r>
        <w:rPr>
          <w:rFonts w:cs="Times New Roman"/>
          <w:i/>
          <w:szCs w:val="24"/>
        </w:rPr>
        <w:t xml:space="preserve">Journal of Common Market Studies, </w:t>
      </w:r>
      <w:r>
        <w:rPr>
          <w:rFonts w:cs="Times New Roman"/>
          <w:szCs w:val="24"/>
        </w:rPr>
        <w:t>47:2, pp.333-356</w:t>
      </w:r>
    </w:p>
    <w:p w14:paraId="6B386CEE" w14:textId="7D80EA93" w:rsidR="00B2559F" w:rsidRPr="00A53C01" w:rsidRDefault="00B2559F" w:rsidP="008523CF">
      <w:pPr>
        <w:rPr>
          <w:rFonts w:cs="Times New Roman"/>
          <w:szCs w:val="24"/>
        </w:rPr>
      </w:pPr>
      <w:r w:rsidRPr="00A53C01">
        <w:rPr>
          <w:rFonts w:cs="Times New Roman"/>
          <w:szCs w:val="24"/>
        </w:rPr>
        <w:t>People’s Republic of China Embassy to the United States (2005)</w:t>
      </w:r>
      <w:r w:rsidR="00C16E84" w:rsidRPr="00A53C01">
        <w:t xml:space="preserve"> </w:t>
      </w:r>
      <w:r w:rsidR="00C16E84" w:rsidRPr="00A53C01">
        <w:rPr>
          <w:rFonts w:cs="Times New Roman"/>
          <w:i/>
          <w:szCs w:val="24"/>
        </w:rPr>
        <w:t>Anti-Secession Law</w:t>
      </w:r>
      <w:r w:rsidR="00C16E84" w:rsidRPr="00A53C01">
        <w:rPr>
          <w:rFonts w:cs="Times New Roman"/>
          <w:szCs w:val="24"/>
        </w:rPr>
        <w:t>, Retrieved 13/12/17 from</w:t>
      </w:r>
      <w:r w:rsidRPr="00A53C01">
        <w:rPr>
          <w:rFonts w:cs="Times New Roman"/>
          <w:szCs w:val="24"/>
        </w:rPr>
        <w:t xml:space="preserve"> </w:t>
      </w:r>
      <w:hyperlink r:id="rId18" w:history="1">
        <w:r w:rsidRPr="00A53C01">
          <w:rPr>
            <w:rStyle w:val="Hyperlink"/>
            <w:rFonts w:cs="Times New Roman"/>
            <w:szCs w:val="24"/>
          </w:rPr>
          <w:t>http://www.china-embassy.org/eng/zt/999999999/t187406.htm</w:t>
        </w:r>
      </w:hyperlink>
      <w:r w:rsidRPr="00A53C01">
        <w:rPr>
          <w:rFonts w:cs="Times New Roman"/>
          <w:szCs w:val="24"/>
        </w:rPr>
        <w:t xml:space="preserve"> </w:t>
      </w:r>
    </w:p>
    <w:p w14:paraId="3F56EA97" w14:textId="180EAC81" w:rsidR="00FE15AA" w:rsidRPr="00A53C01" w:rsidRDefault="00FE15AA" w:rsidP="008523CF">
      <w:pPr>
        <w:rPr>
          <w:rFonts w:cs="Times New Roman"/>
          <w:szCs w:val="24"/>
        </w:rPr>
      </w:pPr>
      <w:r w:rsidRPr="00A53C01">
        <w:rPr>
          <w:rFonts w:cs="Times New Roman"/>
          <w:szCs w:val="24"/>
        </w:rPr>
        <w:t xml:space="preserve">Risse-Kappen, Thomas (1995) ‘Collective Identity in a Democratic Community: The Case of NATO’ in Risse, T (ed) </w:t>
      </w:r>
      <w:r w:rsidRPr="00A53C01">
        <w:rPr>
          <w:rFonts w:cs="Times New Roman"/>
          <w:i/>
          <w:szCs w:val="24"/>
        </w:rPr>
        <w:t>Domestic Politics and Norm Diffusion in International Relations: Ideas Do Not Float Freely</w:t>
      </w:r>
      <w:r w:rsidRPr="00A53C01">
        <w:rPr>
          <w:rFonts w:cs="Times New Roman"/>
          <w:szCs w:val="24"/>
        </w:rPr>
        <w:t>, London: Routledge/UACES</w:t>
      </w:r>
    </w:p>
    <w:p w14:paraId="1B38BE40" w14:textId="1054ED51" w:rsidR="00370104" w:rsidRPr="00A53C01" w:rsidRDefault="00370104" w:rsidP="008523CF">
      <w:pPr>
        <w:rPr>
          <w:rFonts w:cs="Times New Roman"/>
          <w:szCs w:val="24"/>
        </w:rPr>
      </w:pPr>
      <w:r w:rsidRPr="00A53C01">
        <w:rPr>
          <w:rFonts w:cs="Times New Roman"/>
          <w:szCs w:val="24"/>
        </w:rPr>
        <w:t xml:space="preserve">Ruan, Zongze (2008) ‘China-EU-US Relations: Shaping a Constructive Future’ in Shambaugh, D, Sanschneider, E, and Zhou, H (eds) </w:t>
      </w:r>
      <w:r w:rsidRPr="00A53C01">
        <w:rPr>
          <w:rFonts w:cs="Times New Roman"/>
          <w:i/>
          <w:szCs w:val="24"/>
        </w:rPr>
        <w:t>China-Europe Relations: Perceptions, Policies and Prospects</w:t>
      </w:r>
      <w:r w:rsidRPr="00A53C01">
        <w:rPr>
          <w:rFonts w:cs="Times New Roman"/>
          <w:szCs w:val="24"/>
        </w:rPr>
        <w:t xml:space="preserve">, London: Routledge </w:t>
      </w:r>
    </w:p>
    <w:p w14:paraId="6F1094C7" w14:textId="6427D44A" w:rsidR="00644BFA" w:rsidRPr="00A53C01" w:rsidRDefault="00644BFA" w:rsidP="008523CF">
      <w:pPr>
        <w:rPr>
          <w:rFonts w:cs="Times New Roman"/>
          <w:szCs w:val="24"/>
        </w:rPr>
      </w:pPr>
      <w:r w:rsidRPr="00A53C01">
        <w:rPr>
          <w:rFonts w:cs="Times New Roman"/>
          <w:szCs w:val="24"/>
        </w:rPr>
        <w:t xml:space="preserve">Secretary of State (2010) </w:t>
      </w:r>
      <w:r w:rsidRPr="00A53C01">
        <w:rPr>
          <w:rFonts w:cs="Times New Roman"/>
          <w:i/>
          <w:szCs w:val="24"/>
        </w:rPr>
        <w:t>Supporting the EU Arms Embargo on China</w:t>
      </w:r>
      <w:r w:rsidRPr="00A53C01">
        <w:rPr>
          <w:rFonts w:cs="Times New Roman"/>
          <w:szCs w:val="24"/>
        </w:rPr>
        <w:t xml:space="preserve">, </w:t>
      </w:r>
      <w:r w:rsidRPr="00A53C01">
        <w:t xml:space="preserve">10STATE13969. Retrieved 15/02/18 from </w:t>
      </w:r>
      <w:hyperlink r:id="rId19" w:history="1">
        <w:r w:rsidRPr="00A53C01">
          <w:rPr>
            <w:rStyle w:val="Hyperlink"/>
          </w:rPr>
          <w:t>https://wikileaks.org/plusd/cables/10STATE13969_a.html</w:t>
        </w:r>
      </w:hyperlink>
      <w:r w:rsidRPr="00A53C01">
        <w:t xml:space="preserve"> </w:t>
      </w:r>
    </w:p>
    <w:p w14:paraId="47736CDA" w14:textId="77777777" w:rsidR="008929FA" w:rsidRPr="00A53C01" w:rsidRDefault="008929FA" w:rsidP="008523CF">
      <w:pPr>
        <w:rPr>
          <w:rFonts w:cs="Times New Roman"/>
          <w:szCs w:val="24"/>
        </w:rPr>
      </w:pPr>
      <w:r w:rsidRPr="00A53C01">
        <w:rPr>
          <w:rFonts w:cs="Times New Roman"/>
          <w:szCs w:val="24"/>
        </w:rPr>
        <w:t xml:space="preserve">Stumbaum, May-Britt (2009) </w:t>
      </w:r>
      <w:r w:rsidRPr="00A53C01">
        <w:rPr>
          <w:rFonts w:cs="Times New Roman"/>
          <w:i/>
          <w:szCs w:val="24"/>
        </w:rPr>
        <w:t>The European Union and China: Decision-Making in EU Foreign Policy towards the People’s Republic of China</w:t>
      </w:r>
      <w:r w:rsidRPr="00A53C01">
        <w:rPr>
          <w:rFonts w:cs="Times New Roman"/>
          <w:szCs w:val="24"/>
        </w:rPr>
        <w:t xml:space="preserve"> Munich: NOMOS/DGAP</w:t>
      </w:r>
    </w:p>
    <w:p w14:paraId="757C552F" w14:textId="7D2E653F" w:rsidR="008F4412" w:rsidRPr="00A53C01" w:rsidRDefault="00195228" w:rsidP="008523CF">
      <w:pPr>
        <w:rPr>
          <w:rFonts w:cs="Times New Roman"/>
          <w:szCs w:val="24"/>
        </w:rPr>
      </w:pPr>
      <w:r w:rsidRPr="00A53C01">
        <w:rPr>
          <w:rFonts w:cs="Times New Roman"/>
          <w:szCs w:val="24"/>
        </w:rPr>
        <w:t xml:space="preserve">Suettinger, Robert (2003) </w:t>
      </w:r>
      <w:r w:rsidRPr="00A53C01">
        <w:rPr>
          <w:rFonts w:cs="Times New Roman"/>
          <w:i/>
          <w:szCs w:val="24"/>
        </w:rPr>
        <w:t>Beyond Tiananmen: The Politics of US-China Relations 1989-2000</w:t>
      </w:r>
      <w:r w:rsidRPr="00A53C01">
        <w:rPr>
          <w:rFonts w:cs="Times New Roman"/>
          <w:szCs w:val="24"/>
        </w:rPr>
        <w:t>, Washington, DC: Brookings Institution Press</w:t>
      </w:r>
    </w:p>
    <w:p w14:paraId="6F038C47" w14:textId="2C056AC1" w:rsidR="008F4412" w:rsidRPr="00A53C01" w:rsidRDefault="008F4412" w:rsidP="008523CF">
      <w:pPr>
        <w:rPr>
          <w:rFonts w:cs="Times New Roman"/>
          <w:szCs w:val="24"/>
        </w:rPr>
      </w:pPr>
      <w:r w:rsidRPr="00A53C01">
        <w:rPr>
          <w:rFonts w:cs="Times New Roman"/>
          <w:szCs w:val="24"/>
        </w:rPr>
        <w:t xml:space="preserve">United States Embassy Netherlands (2003) </w:t>
      </w:r>
      <w:r w:rsidRPr="00A53C01">
        <w:rPr>
          <w:rFonts w:cs="Times New Roman"/>
          <w:i/>
          <w:szCs w:val="24"/>
        </w:rPr>
        <w:t xml:space="preserve">Dutch MFA on EU’s China Arms Embargo, </w:t>
      </w:r>
      <w:r w:rsidRPr="00A53C01">
        <w:rPr>
          <w:rFonts w:cs="Times New Roman"/>
          <w:szCs w:val="24"/>
        </w:rPr>
        <w:t xml:space="preserve">03THEHAGUE3168. Retrieved </w:t>
      </w:r>
      <w:r w:rsidR="0046044B" w:rsidRPr="00A53C01">
        <w:rPr>
          <w:rFonts w:cs="Times New Roman"/>
          <w:szCs w:val="24"/>
        </w:rPr>
        <w:t>15</w:t>
      </w:r>
      <w:r w:rsidRPr="00A53C01">
        <w:rPr>
          <w:rFonts w:cs="Times New Roman"/>
          <w:szCs w:val="24"/>
        </w:rPr>
        <w:t>/0</w:t>
      </w:r>
      <w:r w:rsidR="0046044B" w:rsidRPr="00A53C01">
        <w:rPr>
          <w:rFonts w:cs="Times New Roman"/>
          <w:szCs w:val="24"/>
        </w:rPr>
        <w:t>2</w:t>
      </w:r>
      <w:r w:rsidRPr="00A53C01">
        <w:rPr>
          <w:rFonts w:cs="Times New Roman"/>
          <w:szCs w:val="24"/>
        </w:rPr>
        <w:t>/1</w:t>
      </w:r>
      <w:r w:rsidR="0046044B" w:rsidRPr="00A53C01">
        <w:rPr>
          <w:rFonts w:cs="Times New Roman"/>
          <w:szCs w:val="24"/>
        </w:rPr>
        <w:t>8</w:t>
      </w:r>
      <w:r w:rsidRPr="00A53C01">
        <w:rPr>
          <w:rFonts w:cs="Times New Roman"/>
          <w:szCs w:val="24"/>
        </w:rPr>
        <w:t xml:space="preserve"> from</w:t>
      </w:r>
    </w:p>
    <w:p w14:paraId="7629676A" w14:textId="61A4C0B6" w:rsidR="008F4412" w:rsidRPr="00A53C01" w:rsidRDefault="00BA77AF" w:rsidP="008523CF">
      <w:pPr>
        <w:rPr>
          <w:rFonts w:cs="Times New Roman"/>
          <w:szCs w:val="24"/>
        </w:rPr>
      </w:pPr>
      <w:hyperlink r:id="rId20" w:history="1">
        <w:r w:rsidR="008F4412" w:rsidRPr="00A53C01">
          <w:rPr>
            <w:rStyle w:val="Hyperlink"/>
            <w:rFonts w:cs="Times New Roman"/>
            <w:szCs w:val="24"/>
          </w:rPr>
          <w:t>https://wikileaks.org/plusd/cables/03THEHAGUE3168_a.html</w:t>
        </w:r>
      </w:hyperlink>
      <w:r w:rsidR="008F4412" w:rsidRPr="00A53C01">
        <w:rPr>
          <w:rFonts w:cs="Times New Roman"/>
          <w:szCs w:val="24"/>
        </w:rPr>
        <w:t xml:space="preserve">  </w:t>
      </w:r>
    </w:p>
    <w:p w14:paraId="5E81D043" w14:textId="15CF3620" w:rsidR="00C514BF" w:rsidRPr="00A53C01" w:rsidRDefault="006F075C" w:rsidP="008523CF">
      <w:pPr>
        <w:rPr>
          <w:rFonts w:cs="Times New Roman"/>
          <w:szCs w:val="24"/>
        </w:rPr>
      </w:pPr>
      <w:r w:rsidRPr="00A53C01">
        <w:rPr>
          <w:rFonts w:cs="Times New Roman"/>
          <w:szCs w:val="24"/>
        </w:rPr>
        <w:t xml:space="preserve">United States – European Communities </w:t>
      </w:r>
      <w:r w:rsidR="00C514BF" w:rsidRPr="00A53C01">
        <w:rPr>
          <w:rFonts w:cs="Times New Roman"/>
          <w:szCs w:val="24"/>
        </w:rPr>
        <w:t xml:space="preserve">(1990) </w:t>
      </w:r>
      <w:r w:rsidR="00C514BF" w:rsidRPr="00A53C01">
        <w:rPr>
          <w:rFonts w:cs="Times New Roman"/>
          <w:i/>
          <w:szCs w:val="24"/>
        </w:rPr>
        <w:t>Transatlantic Declaration on US-EC Relations</w:t>
      </w:r>
      <w:r w:rsidRPr="00A53C01">
        <w:rPr>
          <w:rFonts w:cs="Times New Roman"/>
          <w:szCs w:val="24"/>
        </w:rPr>
        <w:t>. Retrieved 04/11/17 from</w:t>
      </w:r>
      <w:r w:rsidR="00C514BF" w:rsidRPr="00A53C01">
        <w:rPr>
          <w:rFonts w:cs="Times New Roman"/>
          <w:szCs w:val="24"/>
        </w:rPr>
        <w:t xml:space="preserve"> </w:t>
      </w:r>
      <w:hyperlink r:id="rId21" w:history="1">
        <w:r w:rsidRPr="00A53C01">
          <w:rPr>
            <w:rStyle w:val="Hyperlink"/>
            <w:rFonts w:cs="Times New Roman"/>
            <w:szCs w:val="24"/>
          </w:rPr>
          <w:t>https://useu.usmission.gov/declaration-u-s-ec-relations/</w:t>
        </w:r>
      </w:hyperlink>
      <w:r w:rsidRPr="00A53C01">
        <w:rPr>
          <w:rFonts w:cs="Times New Roman"/>
          <w:szCs w:val="24"/>
        </w:rPr>
        <w:t xml:space="preserve"> </w:t>
      </w:r>
    </w:p>
    <w:p w14:paraId="5C6ED3C2" w14:textId="77777777" w:rsidR="00ED6699" w:rsidRPr="00A53C01" w:rsidRDefault="00ED6699" w:rsidP="008523CF">
      <w:pPr>
        <w:rPr>
          <w:rFonts w:cs="Times New Roman"/>
          <w:szCs w:val="24"/>
        </w:rPr>
      </w:pPr>
    </w:p>
    <w:p w14:paraId="303AA270" w14:textId="77777777" w:rsidR="006F075C" w:rsidRPr="00A53C01" w:rsidRDefault="006F075C" w:rsidP="008523CF">
      <w:pPr>
        <w:rPr>
          <w:rFonts w:cs="Times New Roman"/>
          <w:szCs w:val="24"/>
        </w:rPr>
      </w:pPr>
      <w:r w:rsidRPr="00A53C01">
        <w:rPr>
          <w:rFonts w:cs="Times New Roman"/>
          <w:szCs w:val="24"/>
        </w:rPr>
        <w:t xml:space="preserve">United States – European Union (1995) </w:t>
      </w:r>
      <w:r w:rsidRPr="00A53C01">
        <w:rPr>
          <w:rFonts w:cs="Times New Roman"/>
          <w:i/>
          <w:szCs w:val="24"/>
        </w:rPr>
        <w:t xml:space="preserve">The New Transatlantic Agenda. </w:t>
      </w:r>
      <w:r w:rsidRPr="00A53C01">
        <w:rPr>
          <w:rFonts w:cs="Times New Roman"/>
          <w:szCs w:val="24"/>
        </w:rPr>
        <w:t>Retrieved 04/11/17 from</w:t>
      </w:r>
    </w:p>
    <w:p w14:paraId="55AA83B6" w14:textId="600FDEAA" w:rsidR="006F075C" w:rsidRPr="00A53C01" w:rsidRDefault="00BA77AF" w:rsidP="008523CF">
      <w:pPr>
        <w:rPr>
          <w:rFonts w:cs="Times New Roman"/>
          <w:szCs w:val="24"/>
        </w:rPr>
      </w:pPr>
      <w:hyperlink r:id="rId22" w:history="1">
        <w:r w:rsidR="006F075C" w:rsidRPr="00A53C01">
          <w:rPr>
            <w:rStyle w:val="Hyperlink"/>
            <w:rFonts w:cs="Times New Roman"/>
            <w:szCs w:val="24"/>
          </w:rPr>
          <w:t>http://eeas.europa.eu/archives/docs/us/docs/new_transatlantic_agenda_en.pdf</w:t>
        </w:r>
      </w:hyperlink>
      <w:r w:rsidR="006F075C" w:rsidRPr="00A53C01">
        <w:rPr>
          <w:rFonts w:cs="Times New Roman"/>
          <w:szCs w:val="24"/>
        </w:rPr>
        <w:t xml:space="preserve"> </w:t>
      </w:r>
    </w:p>
    <w:p w14:paraId="5DD60B72" w14:textId="26A5686F" w:rsidR="001A3618" w:rsidRDefault="00E1616B" w:rsidP="008523CF">
      <w:pPr>
        <w:widowControl w:val="0"/>
        <w:autoSpaceDE w:val="0"/>
        <w:autoSpaceDN w:val="0"/>
        <w:adjustRightInd w:val="0"/>
        <w:jc w:val="left"/>
        <w:rPr>
          <w:rFonts w:eastAsiaTheme="minorEastAsia" w:cs="Times New Roman"/>
          <w:color w:val="000000"/>
          <w:szCs w:val="24"/>
          <w:lang w:val="en-US"/>
        </w:rPr>
      </w:pPr>
      <w:r w:rsidRPr="00A53C01">
        <w:rPr>
          <w:rFonts w:eastAsiaTheme="minorEastAsia" w:cs="Times New Roman"/>
          <w:color w:val="000000"/>
          <w:szCs w:val="24"/>
          <w:lang w:val="en-US"/>
        </w:rPr>
        <w:t xml:space="preserve">Webster, Philip, Watson, Roland, and Bremner, Charles (2004) ‘Britain Aims to Lift Arms Ban on China’ </w:t>
      </w:r>
      <w:r w:rsidRPr="00A53C01">
        <w:rPr>
          <w:rFonts w:ascii="Times" w:eastAsiaTheme="minorEastAsia" w:hAnsi="Times" w:cs="Times"/>
          <w:i/>
          <w:iCs/>
          <w:color w:val="000000"/>
          <w:szCs w:val="24"/>
          <w:lang w:val="en-US"/>
        </w:rPr>
        <w:t>The Times</w:t>
      </w:r>
      <w:r w:rsidRPr="00A53C01">
        <w:rPr>
          <w:rFonts w:eastAsiaTheme="minorEastAsia" w:cs="Times New Roman"/>
          <w:color w:val="000000"/>
          <w:szCs w:val="24"/>
          <w:lang w:val="en-US"/>
        </w:rPr>
        <w:t xml:space="preserve">, 31/05/2004. Retrieved </w:t>
      </w:r>
      <w:r w:rsidR="00A469F9" w:rsidRPr="00A53C01">
        <w:rPr>
          <w:rFonts w:eastAsiaTheme="minorEastAsia" w:cs="Times New Roman"/>
          <w:color w:val="000000"/>
          <w:szCs w:val="24"/>
          <w:lang w:val="en-US"/>
        </w:rPr>
        <w:t>14</w:t>
      </w:r>
      <w:r w:rsidRPr="00A53C01">
        <w:rPr>
          <w:rFonts w:eastAsiaTheme="minorEastAsia" w:cs="Times New Roman"/>
          <w:color w:val="000000"/>
          <w:szCs w:val="24"/>
          <w:lang w:val="en-US"/>
        </w:rPr>
        <w:t>/</w:t>
      </w:r>
      <w:r w:rsidR="00A469F9" w:rsidRPr="00A53C01">
        <w:rPr>
          <w:rFonts w:eastAsiaTheme="minorEastAsia" w:cs="Times New Roman"/>
          <w:color w:val="000000"/>
          <w:szCs w:val="24"/>
          <w:lang w:val="en-US"/>
        </w:rPr>
        <w:t>02</w:t>
      </w:r>
      <w:r w:rsidRPr="00A53C01">
        <w:rPr>
          <w:rFonts w:eastAsiaTheme="minorEastAsia" w:cs="Times New Roman"/>
          <w:color w:val="000000"/>
          <w:szCs w:val="24"/>
          <w:lang w:val="en-US"/>
        </w:rPr>
        <w:t>/</w:t>
      </w:r>
      <w:r w:rsidR="00A469F9" w:rsidRPr="00A53C01">
        <w:rPr>
          <w:rFonts w:eastAsiaTheme="minorEastAsia" w:cs="Times New Roman"/>
          <w:color w:val="000000"/>
          <w:szCs w:val="24"/>
          <w:lang w:val="en-US"/>
        </w:rPr>
        <w:t>18</w:t>
      </w:r>
      <w:r w:rsidRPr="00A53C01">
        <w:rPr>
          <w:rFonts w:eastAsiaTheme="minorEastAsia" w:cs="Times New Roman"/>
          <w:color w:val="000000"/>
          <w:szCs w:val="24"/>
          <w:lang w:val="en-US"/>
        </w:rPr>
        <w:t xml:space="preserve"> </w:t>
      </w:r>
      <w:r w:rsidR="00A469F9" w:rsidRPr="00A53C01">
        <w:rPr>
          <w:rFonts w:eastAsiaTheme="minorEastAsia" w:cs="Times New Roman"/>
          <w:color w:val="000000"/>
          <w:szCs w:val="24"/>
          <w:lang w:val="en-US"/>
        </w:rPr>
        <w:t xml:space="preserve">from </w:t>
      </w:r>
      <w:hyperlink r:id="rId23" w:history="1">
        <w:r w:rsidR="00A469F9" w:rsidRPr="00A53C01">
          <w:rPr>
            <w:rStyle w:val="Hyperlink"/>
            <w:rFonts w:eastAsiaTheme="minorEastAsia" w:cs="Times New Roman"/>
            <w:szCs w:val="24"/>
            <w:lang w:val="en-US"/>
          </w:rPr>
          <w:t>https://global.factiva.com/redir/default.aspx?P=sa&amp;an=T000000020040601e06100001&amp;cat=a&amp;ep=ASE</w:t>
        </w:r>
      </w:hyperlink>
      <w:r w:rsidR="00A469F9">
        <w:rPr>
          <w:rFonts w:eastAsiaTheme="minorEastAsia" w:cs="Times New Roman"/>
          <w:color w:val="000000"/>
          <w:szCs w:val="24"/>
          <w:lang w:val="en-US"/>
        </w:rPr>
        <w:t xml:space="preserve"> </w:t>
      </w:r>
      <w:r>
        <w:rPr>
          <w:rFonts w:eastAsiaTheme="minorEastAsia" w:cs="Times New Roman"/>
          <w:color w:val="000000"/>
          <w:szCs w:val="24"/>
          <w:lang w:val="en-US"/>
        </w:rPr>
        <w:t xml:space="preserve"> </w:t>
      </w:r>
    </w:p>
    <w:p w14:paraId="651BD5C1" w14:textId="35A5D437" w:rsidR="00DF430C" w:rsidRPr="00A53C01" w:rsidRDefault="00DF430C" w:rsidP="008523CF">
      <w:pPr>
        <w:widowControl w:val="0"/>
        <w:autoSpaceDE w:val="0"/>
        <w:autoSpaceDN w:val="0"/>
        <w:adjustRightInd w:val="0"/>
        <w:jc w:val="left"/>
        <w:rPr>
          <w:rFonts w:ascii="Times" w:eastAsiaTheme="minorEastAsia" w:hAnsi="Times" w:cs="Times"/>
          <w:color w:val="000000"/>
          <w:szCs w:val="24"/>
          <w:lang w:val="en-US"/>
        </w:rPr>
      </w:pPr>
      <w:r>
        <w:rPr>
          <w:rFonts w:eastAsiaTheme="minorEastAsia" w:cs="Times New Roman"/>
          <w:color w:val="000000"/>
          <w:szCs w:val="24"/>
          <w:lang w:val="en-US"/>
        </w:rPr>
        <w:t xml:space="preserve">Xinhua (2018) </w:t>
      </w:r>
      <w:r w:rsidRPr="00DF430C">
        <w:rPr>
          <w:rFonts w:eastAsiaTheme="minorEastAsia" w:cs="Times New Roman"/>
          <w:i/>
          <w:color w:val="000000"/>
          <w:szCs w:val="24"/>
          <w:lang w:val="en-US"/>
        </w:rPr>
        <w:t>Full text of China's Policy Paper on the European Union.</w:t>
      </w:r>
      <w:r>
        <w:rPr>
          <w:rFonts w:eastAsiaTheme="minorEastAsia" w:cs="Times New Roman"/>
          <w:color w:val="000000"/>
          <w:szCs w:val="24"/>
          <w:lang w:val="en-US"/>
        </w:rPr>
        <w:t xml:space="preserve"> Retrieved 08/01/19 from </w:t>
      </w:r>
      <w:hyperlink r:id="rId24" w:history="1">
        <w:r w:rsidRPr="00565544">
          <w:rPr>
            <w:rStyle w:val="Hyperlink"/>
            <w:rFonts w:eastAsiaTheme="minorEastAsia" w:cs="Times New Roman"/>
            <w:szCs w:val="24"/>
            <w:lang w:val="en-US"/>
          </w:rPr>
          <w:t>http://www.xinhuanet.com/english/2018-12/18/c_137681829.htm</w:t>
        </w:r>
      </w:hyperlink>
      <w:r>
        <w:rPr>
          <w:rFonts w:eastAsiaTheme="minorEastAsia" w:cs="Times New Roman"/>
          <w:color w:val="000000"/>
          <w:szCs w:val="24"/>
          <w:lang w:val="en-US"/>
        </w:rPr>
        <w:t xml:space="preserve">  </w:t>
      </w:r>
    </w:p>
    <w:sectPr w:rsidR="00DF430C" w:rsidRPr="00A53C01" w:rsidSect="00814E0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B0BE7" w14:textId="77777777" w:rsidR="002B5FE0" w:rsidRDefault="002B5FE0" w:rsidP="00A15715">
      <w:r>
        <w:separator/>
      </w:r>
    </w:p>
  </w:endnote>
  <w:endnote w:type="continuationSeparator" w:id="0">
    <w:p w14:paraId="0F70F144" w14:textId="77777777" w:rsidR="002B5FE0" w:rsidRDefault="002B5FE0" w:rsidP="00A1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377820"/>
      <w:docPartObj>
        <w:docPartGallery w:val="Page Numbers (Bottom of Page)"/>
        <w:docPartUnique/>
      </w:docPartObj>
    </w:sdtPr>
    <w:sdtEndPr>
      <w:rPr>
        <w:noProof/>
      </w:rPr>
    </w:sdtEndPr>
    <w:sdtContent>
      <w:p w14:paraId="0185330A" w14:textId="21B102B5" w:rsidR="002B5FE0" w:rsidRDefault="002B5FE0">
        <w:pPr>
          <w:pStyle w:val="Footer"/>
          <w:jc w:val="center"/>
        </w:pPr>
        <w:r>
          <w:fldChar w:fldCharType="begin"/>
        </w:r>
        <w:r>
          <w:instrText xml:space="preserve"> PAGE   \* MERGEFORMAT </w:instrText>
        </w:r>
        <w:r>
          <w:fldChar w:fldCharType="separate"/>
        </w:r>
        <w:r w:rsidR="00BA77AF">
          <w:rPr>
            <w:noProof/>
          </w:rPr>
          <w:t>21</w:t>
        </w:r>
        <w:r>
          <w:rPr>
            <w:noProof/>
          </w:rPr>
          <w:fldChar w:fldCharType="end"/>
        </w:r>
      </w:p>
    </w:sdtContent>
  </w:sdt>
  <w:p w14:paraId="40C3535E" w14:textId="77777777" w:rsidR="002B5FE0" w:rsidRDefault="002B5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26A1D" w14:textId="77777777" w:rsidR="002B5FE0" w:rsidRDefault="002B5FE0" w:rsidP="00A15715">
      <w:r>
        <w:separator/>
      </w:r>
    </w:p>
  </w:footnote>
  <w:footnote w:type="continuationSeparator" w:id="0">
    <w:p w14:paraId="1E0B096A" w14:textId="77777777" w:rsidR="002B5FE0" w:rsidRDefault="002B5FE0" w:rsidP="00A15715">
      <w:r>
        <w:continuationSeparator/>
      </w:r>
    </w:p>
  </w:footnote>
  <w:footnote w:id="1">
    <w:p w14:paraId="16B2F97C" w14:textId="00829A51" w:rsidR="002B5FE0" w:rsidRDefault="002B5FE0">
      <w:pPr>
        <w:pStyle w:val="FootnoteText"/>
      </w:pPr>
      <w:r>
        <w:rPr>
          <w:rStyle w:val="FootnoteReference"/>
        </w:rPr>
        <w:footnoteRef/>
      </w:r>
      <w:r>
        <w:t xml:space="preserve"> </w:t>
      </w:r>
      <w:r w:rsidRPr="00DE049E">
        <w:t xml:space="preserve"> Regulation (EC) No 428/2009</w:t>
      </w:r>
    </w:p>
  </w:footnote>
  <w:footnote w:id="2">
    <w:p w14:paraId="0B5B856B" w14:textId="0AA008C4" w:rsidR="002B5FE0" w:rsidRDefault="002B5FE0">
      <w:pPr>
        <w:pStyle w:val="FootnoteText"/>
      </w:pPr>
      <w:r>
        <w:rPr>
          <w:rStyle w:val="FootnoteReference"/>
        </w:rPr>
        <w:footnoteRef/>
      </w:r>
      <w:r>
        <w:t xml:space="preserve"> </w:t>
      </w:r>
      <w:r>
        <w:rPr>
          <w:rFonts w:cs="Times New Roman"/>
          <w:szCs w:val="24"/>
        </w:rPr>
        <w:t>By extension, I surmise that the US’s own embargo was simultaneously securitized, though its status was never up for discussion (nor has it been subsequently).</w:t>
      </w:r>
    </w:p>
  </w:footnote>
  <w:footnote w:id="3">
    <w:p w14:paraId="5BD139D0" w14:textId="11112B43" w:rsidR="002B5FE0" w:rsidRDefault="002B5FE0" w:rsidP="00A215D7">
      <w:pPr>
        <w:pStyle w:val="FootnoteText"/>
      </w:pPr>
      <w:r>
        <w:rPr>
          <w:rStyle w:val="FootnoteReference"/>
        </w:rPr>
        <w:footnoteRef/>
      </w:r>
      <w:r>
        <w:t xml:space="preserve"> For a recent overview of Securitization Theory and a critical reflection on its contributions, see Balzacq et al (2016). </w:t>
      </w:r>
    </w:p>
  </w:footnote>
  <w:footnote w:id="4">
    <w:p w14:paraId="06B79D57" w14:textId="6FF3BA23" w:rsidR="002B5FE0" w:rsidRPr="009E03D6" w:rsidRDefault="002B5FE0">
      <w:pPr>
        <w:pStyle w:val="FootnoteText"/>
        <w:rPr>
          <w:lang w:val="en-US"/>
        </w:rPr>
      </w:pPr>
      <w:r>
        <w:rPr>
          <w:rStyle w:val="FootnoteReference"/>
        </w:rPr>
        <w:footnoteRef/>
      </w:r>
      <w:r>
        <w:t xml:space="preserve"> The ambassadorial-level</w:t>
      </w:r>
      <w:r w:rsidRPr="00E01DBA">
        <w:t xml:space="preserve"> preparatory body</w:t>
      </w:r>
      <w:r>
        <w:t xml:space="preserve"> of the Council</w:t>
      </w:r>
    </w:p>
  </w:footnote>
  <w:footnote w:id="5">
    <w:p w14:paraId="47276AD9" w14:textId="77777777" w:rsidR="002B5FE0" w:rsidRDefault="002B5FE0" w:rsidP="00A215D7">
      <w:pPr>
        <w:pStyle w:val="FootnoteText"/>
      </w:pPr>
      <w:r>
        <w:rPr>
          <w:rStyle w:val="FootnoteReference"/>
        </w:rPr>
        <w:footnoteRef/>
      </w:r>
      <w:r>
        <w:t xml:space="preserve"> A caveat: Japan made clear its preference that the EU should retain its embargo, but mostly confined its efforts to private diplomatic channels, rather than engaging in the public debate. </w:t>
      </w:r>
    </w:p>
  </w:footnote>
  <w:footnote w:id="6">
    <w:p w14:paraId="17E42182" w14:textId="61269A3F" w:rsidR="002B5FE0" w:rsidRPr="00225518" w:rsidRDefault="002B5FE0" w:rsidP="00A215D7">
      <w:pPr>
        <w:pStyle w:val="FootnoteText"/>
        <w:rPr>
          <w:i/>
          <w:lang w:val="en-US"/>
        </w:rPr>
      </w:pPr>
      <w:r>
        <w:rPr>
          <w:rStyle w:val="FootnoteReference"/>
        </w:rPr>
        <w:footnoteRef/>
      </w:r>
      <w:r>
        <w:t xml:space="preserve"> </w:t>
      </w:r>
      <w:r>
        <w:rPr>
          <w:lang w:val="en-US"/>
        </w:rPr>
        <w:t xml:space="preserve">Hayes uses the US, Germany and France as examples of different variants of democracies but still connected through the underpinning similarity that is their status as democratic states. </w:t>
      </w:r>
    </w:p>
  </w:footnote>
  <w:footnote w:id="7">
    <w:p w14:paraId="6FC97678" w14:textId="7682B64D" w:rsidR="002B5FE0" w:rsidRDefault="002B5FE0" w:rsidP="00A215D7">
      <w:pPr>
        <w:pStyle w:val="FootnoteText"/>
      </w:pPr>
      <w:r>
        <w:rPr>
          <w:rStyle w:val="FootnoteReference"/>
        </w:rPr>
        <w:footnoteRef/>
      </w:r>
      <w:r>
        <w:t xml:space="preserve"> Others - such as Canada, non-EU European states, and NATO - may also be regarded as part of the ‘ingroup’; however, as non-participants in the embargo debate they do not require consideration.   </w:t>
      </w:r>
    </w:p>
  </w:footnote>
  <w:footnote w:id="8">
    <w:p w14:paraId="2DEE9132" w14:textId="25D8D033" w:rsidR="002B5FE0" w:rsidRPr="00037341" w:rsidRDefault="002B5FE0">
      <w:pPr>
        <w:pStyle w:val="FootnoteText"/>
        <w:rPr>
          <w:lang w:val="en-US"/>
        </w:rPr>
      </w:pPr>
      <w:r>
        <w:rPr>
          <w:rStyle w:val="FootnoteReference"/>
        </w:rPr>
        <w:footnoteRef/>
      </w:r>
      <w:r>
        <w:t xml:space="preserve"> </w:t>
      </w:r>
      <w:r>
        <w:rPr>
          <w:lang w:val="en-US"/>
        </w:rPr>
        <w:t xml:space="preserve">A preparatory body of the European Council </w:t>
      </w:r>
    </w:p>
  </w:footnote>
  <w:footnote w:id="9">
    <w:p w14:paraId="764D3CAD" w14:textId="68EF3B77" w:rsidR="002B5FE0" w:rsidRPr="0097476A" w:rsidRDefault="002B5FE0">
      <w:pPr>
        <w:pStyle w:val="FootnoteText"/>
        <w:rPr>
          <w:lang w:val="en-US"/>
        </w:rPr>
      </w:pPr>
      <w:r>
        <w:rPr>
          <w:rStyle w:val="FootnoteReference"/>
        </w:rPr>
        <w:footnoteRef/>
      </w:r>
      <w:r>
        <w:t xml:space="preserve"> The full text of the </w:t>
      </w:r>
      <w:r w:rsidRPr="00622A37">
        <w:rPr>
          <w:rFonts w:cs="Times New Roman"/>
          <w:szCs w:val="24"/>
        </w:rPr>
        <w:t>démarche</w:t>
      </w:r>
      <w:r w:rsidRPr="0097476A">
        <w:t xml:space="preserve"> </w:t>
      </w:r>
      <w:r>
        <w:t xml:space="preserve">was not included in the cable. </w:t>
      </w:r>
    </w:p>
  </w:footnote>
  <w:footnote w:id="10">
    <w:p w14:paraId="108485A0" w14:textId="6438E117" w:rsidR="002B5FE0" w:rsidRPr="00735C5C" w:rsidRDefault="002B5FE0">
      <w:pPr>
        <w:pStyle w:val="FootnoteText"/>
        <w:rPr>
          <w:lang w:val="en-US"/>
        </w:rPr>
      </w:pPr>
      <w:r>
        <w:rPr>
          <w:rStyle w:val="FootnoteReference"/>
        </w:rPr>
        <w:footnoteRef/>
      </w:r>
      <w:r>
        <w:t xml:space="preserve"> </w:t>
      </w:r>
      <w:r>
        <w:rPr>
          <w:lang w:val="en-US"/>
        </w:rPr>
        <w:t xml:space="preserve">The Code of Conduct became legally binding in 2008, but evidently was regarded as problematic in Washington. </w:t>
      </w:r>
    </w:p>
  </w:footnote>
  <w:footnote w:id="11">
    <w:p w14:paraId="617520BF" w14:textId="4055F1B8" w:rsidR="002B5FE0" w:rsidRDefault="002B5FE0" w:rsidP="00A215D7">
      <w:pPr>
        <w:pStyle w:val="FootnoteText"/>
      </w:pPr>
      <w:r>
        <w:rPr>
          <w:rStyle w:val="FootnoteReference"/>
        </w:rPr>
        <w:footnoteRef/>
      </w:r>
      <w:r>
        <w:t xml:space="preserve"> Interviewee affiliations noted at time of interview, not publication.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B50214"/>
    <w:multiLevelType w:val="hybridMultilevel"/>
    <w:tmpl w:val="D48E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A1"/>
    <w:rsid w:val="0000218A"/>
    <w:rsid w:val="00004793"/>
    <w:rsid w:val="0000692D"/>
    <w:rsid w:val="00006D88"/>
    <w:rsid w:val="0000707C"/>
    <w:rsid w:val="000147D7"/>
    <w:rsid w:val="00021733"/>
    <w:rsid w:val="0002328A"/>
    <w:rsid w:val="0002595C"/>
    <w:rsid w:val="00027426"/>
    <w:rsid w:val="00031E4F"/>
    <w:rsid w:val="000321BC"/>
    <w:rsid w:val="00033302"/>
    <w:rsid w:val="0003352A"/>
    <w:rsid w:val="0003579C"/>
    <w:rsid w:val="00036315"/>
    <w:rsid w:val="00037341"/>
    <w:rsid w:val="00043DEC"/>
    <w:rsid w:val="00045F1C"/>
    <w:rsid w:val="000460AC"/>
    <w:rsid w:val="000504DF"/>
    <w:rsid w:val="000513E5"/>
    <w:rsid w:val="00053D5E"/>
    <w:rsid w:val="00056475"/>
    <w:rsid w:val="00060DB2"/>
    <w:rsid w:val="0006108D"/>
    <w:rsid w:val="000662CD"/>
    <w:rsid w:val="00070BAE"/>
    <w:rsid w:val="00070D8B"/>
    <w:rsid w:val="00075BAF"/>
    <w:rsid w:val="0008362F"/>
    <w:rsid w:val="000943E6"/>
    <w:rsid w:val="000A1518"/>
    <w:rsid w:val="000A1AFE"/>
    <w:rsid w:val="000A3149"/>
    <w:rsid w:val="000B221B"/>
    <w:rsid w:val="000C25A8"/>
    <w:rsid w:val="000C3B02"/>
    <w:rsid w:val="000C41CF"/>
    <w:rsid w:val="000D171F"/>
    <w:rsid w:val="000D2F4E"/>
    <w:rsid w:val="000E1BC0"/>
    <w:rsid w:val="000E1EB2"/>
    <w:rsid w:val="000E3A86"/>
    <w:rsid w:val="000E7E0E"/>
    <w:rsid w:val="000E7F7D"/>
    <w:rsid w:val="000E7FA3"/>
    <w:rsid w:val="000F3462"/>
    <w:rsid w:val="000F38FD"/>
    <w:rsid w:val="000F7A66"/>
    <w:rsid w:val="00100D74"/>
    <w:rsid w:val="00101B69"/>
    <w:rsid w:val="00102310"/>
    <w:rsid w:val="00104745"/>
    <w:rsid w:val="00106AEF"/>
    <w:rsid w:val="00110019"/>
    <w:rsid w:val="0011079D"/>
    <w:rsid w:val="00110D2F"/>
    <w:rsid w:val="0011124D"/>
    <w:rsid w:val="00113E9C"/>
    <w:rsid w:val="00115064"/>
    <w:rsid w:val="00116F33"/>
    <w:rsid w:val="00120FB6"/>
    <w:rsid w:val="00124FE2"/>
    <w:rsid w:val="001263E1"/>
    <w:rsid w:val="00132042"/>
    <w:rsid w:val="001327A8"/>
    <w:rsid w:val="00132833"/>
    <w:rsid w:val="00134854"/>
    <w:rsid w:val="001348D3"/>
    <w:rsid w:val="0013678F"/>
    <w:rsid w:val="00144D0B"/>
    <w:rsid w:val="00150381"/>
    <w:rsid w:val="001510D0"/>
    <w:rsid w:val="00154338"/>
    <w:rsid w:val="0015612C"/>
    <w:rsid w:val="001644D0"/>
    <w:rsid w:val="00166221"/>
    <w:rsid w:val="0016748C"/>
    <w:rsid w:val="00167811"/>
    <w:rsid w:val="001704AE"/>
    <w:rsid w:val="00171747"/>
    <w:rsid w:val="00176374"/>
    <w:rsid w:val="00176C33"/>
    <w:rsid w:val="00177E52"/>
    <w:rsid w:val="0018127B"/>
    <w:rsid w:val="001828FB"/>
    <w:rsid w:val="00182B70"/>
    <w:rsid w:val="00182BD9"/>
    <w:rsid w:val="00182F22"/>
    <w:rsid w:val="00185280"/>
    <w:rsid w:val="00187114"/>
    <w:rsid w:val="00187B68"/>
    <w:rsid w:val="0019148E"/>
    <w:rsid w:val="00192516"/>
    <w:rsid w:val="00192F7E"/>
    <w:rsid w:val="00194965"/>
    <w:rsid w:val="00195228"/>
    <w:rsid w:val="00197718"/>
    <w:rsid w:val="001A1A81"/>
    <w:rsid w:val="001A3618"/>
    <w:rsid w:val="001A490F"/>
    <w:rsid w:val="001A5691"/>
    <w:rsid w:val="001A60BC"/>
    <w:rsid w:val="001A677D"/>
    <w:rsid w:val="001A7CAC"/>
    <w:rsid w:val="001B047C"/>
    <w:rsid w:val="001B3854"/>
    <w:rsid w:val="001C3212"/>
    <w:rsid w:val="001C3879"/>
    <w:rsid w:val="001C42F0"/>
    <w:rsid w:val="001C7132"/>
    <w:rsid w:val="001D065C"/>
    <w:rsid w:val="001D2DDB"/>
    <w:rsid w:val="001D381B"/>
    <w:rsid w:val="001D38BF"/>
    <w:rsid w:val="001E1425"/>
    <w:rsid w:val="001E152E"/>
    <w:rsid w:val="001E1CD9"/>
    <w:rsid w:val="001E473F"/>
    <w:rsid w:val="001E708C"/>
    <w:rsid w:val="001F0876"/>
    <w:rsid w:val="001F0E60"/>
    <w:rsid w:val="001F4163"/>
    <w:rsid w:val="001F59C6"/>
    <w:rsid w:val="002009F0"/>
    <w:rsid w:val="00205C4B"/>
    <w:rsid w:val="00211E77"/>
    <w:rsid w:val="00212E2E"/>
    <w:rsid w:val="002136AD"/>
    <w:rsid w:val="0021465D"/>
    <w:rsid w:val="00216722"/>
    <w:rsid w:val="00225518"/>
    <w:rsid w:val="00225B70"/>
    <w:rsid w:val="002261D2"/>
    <w:rsid w:val="00231FA5"/>
    <w:rsid w:val="00232426"/>
    <w:rsid w:val="00234422"/>
    <w:rsid w:val="00235771"/>
    <w:rsid w:val="00237D5A"/>
    <w:rsid w:val="002401A8"/>
    <w:rsid w:val="0024146F"/>
    <w:rsid w:val="0024319E"/>
    <w:rsid w:val="002444FD"/>
    <w:rsid w:val="00244EAF"/>
    <w:rsid w:val="00247811"/>
    <w:rsid w:val="002511F7"/>
    <w:rsid w:val="0025139B"/>
    <w:rsid w:val="00255335"/>
    <w:rsid w:val="00257EA6"/>
    <w:rsid w:val="00261582"/>
    <w:rsid w:val="00263179"/>
    <w:rsid w:val="00264466"/>
    <w:rsid w:val="00274826"/>
    <w:rsid w:val="00280ED9"/>
    <w:rsid w:val="00282CEB"/>
    <w:rsid w:val="002847A6"/>
    <w:rsid w:val="00287128"/>
    <w:rsid w:val="002929C8"/>
    <w:rsid w:val="002A04A8"/>
    <w:rsid w:val="002A0A83"/>
    <w:rsid w:val="002A4858"/>
    <w:rsid w:val="002A59F2"/>
    <w:rsid w:val="002A6927"/>
    <w:rsid w:val="002B5FE0"/>
    <w:rsid w:val="002C309C"/>
    <w:rsid w:val="002C5C8F"/>
    <w:rsid w:val="002C5F53"/>
    <w:rsid w:val="002C74A2"/>
    <w:rsid w:val="002D208B"/>
    <w:rsid w:val="002D3D78"/>
    <w:rsid w:val="002E1639"/>
    <w:rsid w:val="002E49F4"/>
    <w:rsid w:val="002E7D0B"/>
    <w:rsid w:val="002F0A70"/>
    <w:rsid w:val="002F18B8"/>
    <w:rsid w:val="002F2EF0"/>
    <w:rsid w:val="002F2FD6"/>
    <w:rsid w:val="002F3726"/>
    <w:rsid w:val="002F5137"/>
    <w:rsid w:val="002F5CFA"/>
    <w:rsid w:val="002F7542"/>
    <w:rsid w:val="003025C0"/>
    <w:rsid w:val="00305B1C"/>
    <w:rsid w:val="003060C0"/>
    <w:rsid w:val="003079BA"/>
    <w:rsid w:val="00307F98"/>
    <w:rsid w:val="003121AF"/>
    <w:rsid w:val="0031245B"/>
    <w:rsid w:val="00313BE9"/>
    <w:rsid w:val="00313E21"/>
    <w:rsid w:val="0031522E"/>
    <w:rsid w:val="0031557B"/>
    <w:rsid w:val="00316CF7"/>
    <w:rsid w:val="00317904"/>
    <w:rsid w:val="00323990"/>
    <w:rsid w:val="003265C5"/>
    <w:rsid w:val="003408AD"/>
    <w:rsid w:val="00341AB1"/>
    <w:rsid w:val="003427FC"/>
    <w:rsid w:val="0034640C"/>
    <w:rsid w:val="0035152F"/>
    <w:rsid w:val="003521A3"/>
    <w:rsid w:val="00357EC5"/>
    <w:rsid w:val="003623BE"/>
    <w:rsid w:val="003626B1"/>
    <w:rsid w:val="00363518"/>
    <w:rsid w:val="003656B5"/>
    <w:rsid w:val="00365B3F"/>
    <w:rsid w:val="00370104"/>
    <w:rsid w:val="00373210"/>
    <w:rsid w:val="003752EB"/>
    <w:rsid w:val="003765C2"/>
    <w:rsid w:val="00380F3B"/>
    <w:rsid w:val="00383418"/>
    <w:rsid w:val="00385536"/>
    <w:rsid w:val="00385556"/>
    <w:rsid w:val="00387204"/>
    <w:rsid w:val="003874AC"/>
    <w:rsid w:val="0039350B"/>
    <w:rsid w:val="00396547"/>
    <w:rsid w:val="003A13F7"/>
    <w:rsid w:val="003A7780"/>
    <w:rsid w:val="003B484F"/>
    <w:rsid w:val="003C04E6"/>
    <w:rsid w:val="003C2886"/>
    <w:rsid w:val="003C3A77"/>
    <w:rsid w:val="003C56D0"/>
    <w:rsid w:val="003C7DE6"/>
    <w:rsid w:val="003D0764"/>
    <w:rsid w:val="003D39E6"/>
    <w:rsid w:val="003D529E"/>
    <w:rsid w:val="003D6C37"/>
    <w:rsid w:val="003D6D3F"/>
    <w:rsid w:val="003D6E30"/>
    <w:rsid w:val="003E0E6F"/>
    <w:rsid w:val="003E7A34"/>
    <w:rsid w:val="003F0345"/>
    <w:rsid w:val="003F238E"/>
    <w:rsid w:val="003F750C"/>
    <w:rsid w:val="003F75F1"/>
    <w:rsid w:val="00400049"/>
    <w:rsid w:val="00401581"/>
    <w:rsid w:val="00402425"/>
    <w:rsid w:val="0041151D"/>
    <w:rsid w:val="00414C2F"/>
    <w:rsid w:val="0041523C"/>
    <w:rsid w:val="00416DA9"/>
    <w:rsid w:val="00416DD0"/>
    <w:rsid w:val="00421780"/>
    <w:rsid w:val="00421E73"/>
    <w:rsid w:val="00424630"/>
    <w:rsid w:val="004246BF"/>
    <w:rsid w:val="004261B1"/>
    <w:rsid w:val="00426C0C"/>
    <w:rsid w:val="00430917"/>
    <w:rsid w:val="0043324A"/>
    <w:rsid w:val="004345C3"/>
    <w:rsid w:val="00437597"/>
    <w:rsid w:val="0044189E"/>
    <w:rsid w:val="004454EC"/>
    <w:rsid w:val="00445899"/>
    <w:rsid w:val="004536CB"/>
    <w:rsid w:val="00454E51"/>
    <w:rsid w:val="00456468"/>
    <w:rsid w:val="00456B7E"/>
    <w:rsid w:val="00457F3F"/>
    <w:rsid w:val="0046044B"/>
    <w:rsid w:val="004605BF"/>
    <w:rsid w:val="004637D3"/>
    <w:rsid w:val="00466472"/>
    <w:rsid w:val="004711AB"/>
    <w:rsid w:val="004747D5"/>
    <w:rsid w:val="00474A45"/>
    <w:rsid w:val="00476E15"/>
    <w:rsid w:val="004871AF"/>
    <w:rsid w:val="004A0E30"/>
    <w:rsid w:val="004A3F3C"/>
    <w:rsid w:val="004B0358"/>
    <w:rsid w:val="004B2577"/>
    <w:rsid w:val="004B3B5E"/>
    <w:rsid w:val="004B627F"/>
    <w:rsid w:val="004B6779"/>
    <w:rsid w:val="004B74F4"/>
    <w:rsid w:val="004B7FB0"/>
    <w:rsid w:val="004C2A2F"/>
    <w:rsid w:val="004D3F04"/>
    <w:rsid w:val="004D51AE"/>
    <w:rsid w:val="004E0795"/>
    <w:rsid w:val="004E0874"/>
    <w:rsid w:val="004E0BFE"/>
    <w:rsid w:val="004E38CD"/>
    <w:rsid w:val="004E4E35"/>
    <w:rsid w:val="004E5319"/>
    <w:rsid w:val="004E7A76"/>
    <w:rsid w:val="004E7D97"/>
    <w:rsid w:val="004F5CD3"/>
    <w:rsid w:val="00506026"/>
    <w:rsid w:val="00515E3C"/>
    <w:rsid w:val="00520519"/>
    <w:rsid w:val="005208BB"/>
    <w:rsid w:val="00525D42"/>
    <w:rsid w:val="00526BF2"/>
    <w:rsid w:val="00532C49"/>
    <w:rsid w:val="00540AE3"/>
    <w:rsid w:val="00540B8E"/>
    <w:rsid w:val="00541995"/>
    <w:rsid w:val="00544C0D"/>
    <w:rsid w:val="0055246A"/>
    <w:rsid w:val="00554426"/>
    <w:rsid w:val="00560695"/>
    <w:rsid w:val="00566565"/>
    <w:rsid w:val="00567E65"/>
    <w:rsid w:val="00570CFC"/>
    <w:rsid w:val="00571654"/>
    <w:rsid w:val="00573073"/>
    <w:rsid w:val="005811DB"/>
    <w:rsid w:val="005812C3"/>
    <w:rsid w:val="00581822"/>
    <w:rsid w:val="00583395"/>
    <w:rsid w:val="00592081"/>
    <w:rsid w:val="00594992"/>
    <w:rsid w:val="005A08AE"/>
    <w:rsid w:val="005A1B77"/>
    <w:rsid w:val="005A210A"/>
    <w:rsid w:val="005A5B66"/>
    <w:rsid w:val="005B2BD8"/>
    <w:rsid w:val="005B2C9E"/>
    <w:rsid w:val="005B4A3A"/>
    <w:rsid w:val="005C0053"/>
    <w:rsid w:val="005C5474"/>
    <w:rsid w:val="005D3176"/>
    <w:rsid w:val="005D5145"/>
    <w:rsid w:val="005D6AE7"/>
    <w:rsid w:val="005E1D4D"/>
    <w:rsid w:val="005E23EB"/>
    <w:rsid w:val="005E48E7"/>
    <w:rsid w:val="005E4E47"/>
    <w:rsid w:val="005E673B"/>
    <w:rsid w:val="00602B78"/>
    <w:rsid w:val="0060332A"/>
    <w:rsid w:val="00604E3B"/>
    <w:rsid w:val="0060687F"/>
    <w:rsid w:val="0061124F"/>
    <w:rsid w:val="0061680F"/>
    <w:rsid w:val="00616FCA"/>
    <w:rsid w:val="00622A37"/>
    <w:rsid w:val="00623D08"/>
    <w:rsid w:val="00624A03"/>
    <w:rsid w:val="006334A1"/>
    <w:rsid w:val="006357F9"/>
    <w:rsid w:val="00636DF2"/>
    <w:rsid w:val="006372E2"/>
    <w:rsid w:val="00643348"/>
    <w:rsid w:val="00644BFA"/>
    <w:rsid w:val="00645B9B"/>
    <w:rsid w:val="00647C01"/>
    <w:rsid w:val="006648B1"/>
    <w:rsid w:val="00665A16"/>
    <w:rsid w:val="00666537"/>
    <w:rsid w:val="0066682B"/>
    <w:rsid w:val="00667E47"/>
    <w:rsid w:val="00667EDB"/>
    <w:rsid w:val="006723A8"/>
    <w:rsid w:val="00673A0D"/>
    <w:rsid w:val="00675B00"/>
    <w:rsid w:val="006870B6"/>
    <w:rsid w:val="00687757"/>
    <w:rsid w:val="0069737B"/>
    <w:rsid w:val="00697A4F"/>
    <w:rsid w:val="006A0215"/>
    <w:rsid w:val="006A0802"/>
    <w:rsid w:val="006A0F39"/>
    <w:rsid w:val="006A7BFE"/>
    <w:rsid w:val="006B29A8"/>
    <w:rsid w:val="006B3681"/>
    <w:rsid w:val="006B5359"/>
    <w:rsid w:val="006B6F22"/>
    <w:rsid w:val="006C1FED"/>
    <w:rsid w:val="006C2072"/>
    <w:rsid w:val="006D0438"/>
    <w:rsid w:val="006D34F6"/>
    <w:rsid w:val="006D37A3"/>
    <w:rsid w:val="006D4F8C"/>
    <w:rsid w:val="006D5392"/>
    <w:rsid w:val="006D62F8"/>
    <w:rsid w:val="006D684C"/>
    <w:rsid w:val="006E08FD"/>
    <w:rsid w:val="006E4395"/>
    <w:rsid w:val="006E4B1F"/>
    <w:rsid w:val="006E7081"/>
    <w:rsid w:val="006F075C"/>
    <w:rsid w:val="006F2724"/>
    <w:rsid w:val="006F27FA"/>
    <w:rsid w:val="006F4FC5"/>
    <w:rsid w:val="006F62B0"/>
    <w:rsid w:val="006F6C73"/>
    <w:rsid w:val="006F6FE2"/>
    <w:rsid w:val="006F7770"/>
    <w:rsid w:val="007000A0"/>
    <w:rsid w:val="007026F5"/>
    <w:rsid w:val="00703B4B"/>
    <w:rsid w:val="00705534"/>
    <w:rsid w:val="0070608E"/>
    <w:rsid w:val="0070793D"/>
    <w:rsid w:val="007100EC"/>
    <w:rsid w:val="007124AD"/>
    <w:rsid w:val="0071566A"/>
    <w:rsid w:val="00726093"/>
    <w:rsid w:val="00727321"/>
    <w:rsid w:val="00735C5C"/>
    <w:rsid w:val="007368C7"/>
    <w:rsid w:val="00737B2E"/>
    <w:rsid w:val="00740046"/>
    <w:rsid w:val="00740FE0"/>
    <w:rsid w:val="00743EDA"/>
    <w:rsid w:val="00744124"/>
    <w:rsid w:val="007462CA"/>
    <w:rsid w:val="007467A9"/>
    <w:rsid w:val="00753AC0"/>
    <w:rsid w:val="00755517"/>
    <w:rsid w:val="00756AAC"/>
    <w:rsid w:val="00756CE6"/>
    <w:rsid w:val="0076052B"/>
    <w:rsid w:val="00765C82"/>
    <w:rsid w:val="00773109"/>
    <w:rsid w:val="00773B1A"/>
    <w:rsid w:val="007755AD"/>
    <w:rsid w:val="00780D47"/>
    <w:rsid w:val="00785126"/>
    <w:rsid w:val="00785A18"/>
    <w:rsid w:val="00790BB3"/>
    <w:rsid w:val="0079484F"/>
    <w:rsid w:val="00797C56"/>
    <w:rsid w:val="007A0DDB"/>
    <w:rsid w:val="007A133E"/>
    <w:rsid w:val="007A3306"/>
    <w:rsid w:val="007A4586"/>
    <w:rsid w:val="007A5323"/>
    <w:rsid w:val="007B33B7"/>
    <w:rsid w:val="007B4AED"/>
    <w:rsid w:val="007B5906"/>
    <w:rsid w:val="007B73CA"/>
    <w:rsid w:val="007C022B"/>
    <w:rsid w:val="007C23E2"/>
    <w:rsid w:val="007C2FDF"/>
    <w:rsid w:val="007C4232"/>
    <w:rsid w:val="007C6651"/>
    <w:rsid w:val="007C70EF"/>
    <w:rsid w:val="007D2936"/>
    <w:rsid w:val="007D38CC"/>
    <w:rsid w:val="007D44C7"/>
    <w:rsid w:val="007D5A0C"/>
    <w:rsid w:val="007D7C10"/>
    <w:rsid w:val="007F0F56"/>
    <w:rsid w:val="007F4A20"/>
    <w:rsid w:val="007F52F6"/>
    <w:rsid w:val="008008E4"/>
    <w:rsid w:val="0080220B"/>
    <w:rsid w:val="008055BE"/>
    <w:rsid w:val="00806BB2"/>
    <w:rsid w:val="00811847"/>
    <w:rsid w:val="00813E36"/>
    <w:rsid w:val="00814E04"/>
    <w:rsid w:val="00822ED0"/>
    <w:rsid w:val="0082530C"/>
    <w:rsid w:val="00825F2C"/>
    <w:rsid w:val="008267C8"/>
    <w:rsid w:val="00832652"/>
    <w:rsid w:val="00835588"/>
    <w:rsid w:val="00837563"/>
    <w:rsid w:val="00843399"/>
    <w:rsid w:val="00847F51"/>
    <w:rsid w:val="008509B3"/>
    <w:rsid w:val="00851DED"/>
    <w:rsid w:val="008523CF"/>
    <w:rsid w:val="008563B8"/>
    <w:rsid w:val="008571E0"/>
    <w:rsid w:val="008574CB"/>
    <w:rsid w:val="00860631"/>
    <w:rsid w:val="00860EF0"/>
    <w:rsid w:val="0086228F"/>
    <w:rsid w:val="00862C33"/>
    <w:rsid w:val="00862CD1"/>
    <w:rsid w:val="00863B01"/>
    <w:rsid w:val="008664F1"/>
    <w:rsid w:val="00866D6E"/>
    <w:rsid w:val="0086748E"/>
    <w:rsid w:val="008678B4"/>
    <w:rsid w:val="00871398"/>
    <w:rsid w:val="00871644"/>
    <w:rsid w:val="008730FD"/>
    <w:rsid w:val="00874A3F"/>
    <w:rsid w:val="008771B4"/>
    <w:rsid w:val="00880AFE"/>
    <w:rsid w:val="00882407"/>
    <w:rsid w:val="0088455A"/>
    <w:rsid w:val="00891C18"/>
    <w:rsid w:val="00892061"/>
    <w:rsid w:val="008929FA"/>
    <w:rsid w:val="00896FFC"/>
    <w:rsid w:val="008977DE"/>
    <w:rsid w:val="008A3F31"/>
    <w:rsid w:val="008A4CFA"/>
    <w:rsid w:val="008A5760"/>
    <w:rsid w:val="008A5C82"/>
    <w:rsid w:val="008A64BA"/>
    <w:rsid w:val="008B49A0"/>
    <w:rsid w:val="008C0C1B"/>
    <w:rsid w:val="008C417E"/>
    <w:rsid w:val="008C479C"/>
    <w:rsid w:val="008D1E6F"/>
    <w:rsid w:val="008D228F"/>
    <w:rsid w:val="008D25A8"/>
    <w:rsid w:val="008D3BF5"/>
    <w:rsid w:val="008D5B15"/>
    <w:rsid w:val="008D7EFC"/>
    <w:rsid w:val="008E1B59"/>
    <w:rsid w:val="008E465E"/>
    <w:rsid w:val="008E5C8F"/>
    <w:rsid w:val="008F11B5"/>
    <w:rsid w:val="008F16B7"/>
    <w:rsid w:val="008F2C77"/>
    <w:rsid w:val="008F34E6"/>
    <w:rsid w:val="008F4034"/>
    <w:rsid w:val="008F4412"/>
    <w:rsid w:val="008F5957"/>
    <w:rsid w:val="00902065"/>
    <w:rsid w:val="00902184"/>
    <w:rsid w:val="0090506A"/>
    <w:rsid w:val="0091546C"/>
    <w:rsid w:val="00917A8B"/>
    <w:rsid w:val="00921B62"/>
    <w:rsid w:val="00922ABE"/>
    <w:rsid w:val="00923087"/>
    <w:rsid w:val="009323EF"/>
    <w:rsid w:val="00936D8F"/>
    <w:rsid w:val="00936EA0"/>
    <w:rsid w:val="00940876"/>
    <w:rsid w:val="0094632A"/>
    <w:rsid w:val="0094727A"/>
    <w:rsid w:val="00953380"/>
    <w:rsid w:val="00961A22"/>
    <w:rsid w:val="00963AA7"/>
    <w:rsid w:val="00967B09"/>
    <w:rsid w:val="009703C1"/>
    <w:rsid w:val="0097167A"/>
    <w:rsid w:val="0097476A"/>
    <w:rsid w:val="00980ACA"/>
    <w:rsid w:val="00982949"/>
    <w:rsid w:val="00982A68"/>
    <w:rsid w:val="00982B34"/>
    <w:rsid w:val="00983ABA"/>
    <w:rsid w:val="0098534A"/>
    <w:rsid w:val="0098636E"/>
    <w:rsid w:val="0099021C"/>
    <w:rsid w:val="00990ACB"/>
    <w:rsid w:val="009916BD"/>
    <w:rsid w:val="00992317"/>
    <w:rsid w:val="00993CD8"/>
    <w:rsid w:val="00995692"/>
    <w:rsid w:val="009A1F18"/>
    <w:rsid w:val="009A50E8"/>
    <w:rsid w:val="009B056A"/>
    <w:rsid w:val="009B1435"/>
    <w:rsid w:val="009B2602"/>
    <w:rsid w:val="009B2AEC"/>
    <w:rsid w:val="009B315E"/>
    <w:rsid w:val="009C0BC7"/>
    <w:rsid w:val="009C1750"/>
    <w:rsid w:val="009C28DD"/>
    <w:rsid w:val="009C5A89"/>
    <w:rsid w:val="009D080F"/>
    <w:rsid w:val="009D44EF"/>
    <w:rsid w:val="009E03D6"/>
    <w:rsid w:val="009E45A0"/>
    <w:rsid w:val="009E64E1"/>
    <w:rsid w:val="009F2FB9"/>
    <w:rsid w:val="009F45FE"/>
    <w:rsid w:val="009F5142"/>
    <w:rsid w:val="009F6391"/>
    <w:rsid w:val="00A012B9"/>
    <w:rsid w:val="00A02F0B"/>
    <w:rsid w:val="00A12879"/>
    <w:rsid w:val="00A15715"/>
    <w:rsid w:val="00A17131"/>
    <w:rsid w:val="00A215D7"/>
    <w:rsid w:val="00A235E2"/>
    <w:rsid w:val="00A23A67"/>
    <w:rsid w:val="00A246FA"/>
    <w:rsid w:val="00A25900"/>
    <w:rsid w:val="00A26C76"/>
    <w:rsid w:val="00A33BC9"/>
    <w:rsid w:val="00A33D9C"/>
    <w:rsid w:val="00A36D27"/>
    <w:rsid w:val="00A37F14"/>
    <w:rsid w:val="00A406C3"/>
    <w:rsid w:val="00A442F5"/>
    <w:rsid w:val="00A469F9"/>
    <w:rsid w:val="00A504CD"/>
    <w:rsid w:val="00A53C01"/>
    <w:rsid w:val="00A550E1"/>
    <w:rsid w:val="00A61849"/>
    <w:rsid w:val="00A64530"/>
    <w:rsid w:val="00A72B03"/>
    <w:rsid w:val="00A75586"/>
    <w:rsid w:val="00A807AF"/>
    <w:rsid w:val="00A80FDF"/>
    <w:rsid w:val="00A95EC3"/>
    <w:rsid w:val="00AA7319"/>
    <w:rsid w:val="00AB1A11"/>
    <w:rsid w:val="00AB2688"/>
    <w:rsid w:val="00AC1798"/>
    <w:rsid w:val="00AC4D60"/>
    <w:rsid w:val="00AD2148"/>
    <w:rsid w:val="00AD4621"/>
    <w:rsid w:val="00AD5CF9"/>
    <w:rsid w:val="00AE04F9"/>
    <w:rsid w:val="00AE0EC3"/>
    <w:rsid w:val="00AE121C"/>
    <w:rsid w:val="00AE44C1"/>
    <w:rsid w:val="00AF11D6"/>
    <w:rsid w:val="00AF1D0B"/>
    <w:rsid w:val="00AF662C"/>
    <w:rsid w:val="00B02052"/>
    <w:rsid w:val="00B02D8F"/>
    <w:rsid w:val="00B03D2F"/>
    <w:rsid w:val="00B04854"/>
    <w:rsid w:val="00B10197"/>
    <w:rsid w:val="00B14400"/>
    <w:rsid w:val="00B14510"/>
    <w:rsid w:val="00B21750"/>
    <w:rsid w:val="00B2559F"/>
    <w:rsid w:val="00B26226"/>
    <w:rsid w:val="00B34197"/>
    <w:rsid w:val="00B35F65"/>
    <w:rsid w:val="00B3646D"/>
    <w:rsid w:val="00B400AE"/>
    <w:rsid w:val="00B4047E"/>
    <w:rsid w:val="00B41162"/>
    <w:rsid w:val="00B42203"/>
    <w:rsid w:val="00B42863"/>
    <w:rsid w:val="00B452B3"/>
    <w:rsid w:val="00B50F53"/>
    <w:rsid w:val="00B5395E"/>
    <w:rsid w:val="00B55390"/>
    <w:rsid w:val="00B67E5D"/>
    <w:rsid w:val="00B67F73"/>
    <w:rsid w:val="00B71CB4"/>
    <w:rsid w:val="00B71DC1"/>
    <w:rsid w:val="00B72DFD"/>
    <w:rsid w:val="00B73AAD"/>
    <w:rsid w:val="00B750E9"/>
    <w:rsid w:val="00B76311"/>
    <w:rsid w:val="00B767AE"/>
    <w:rsid w:val="00B77422"/>
    <w:rsid w:val="00B81CC8"/>
    <w:rsid w:val="00B81FDA"/>
    <w:rsid w:val="00B82AE4"/>
    <w:rsid w:val="00B8417E"/>
    <w:rsid w:val="00B9000C"/>
    <w:rsid w:val="00B911D9"/>
    <w:rsid w:val="00B92947"/>
    <w:rsid w:val="00B92964"/>
    <w:rsid w:val="00B96133"/>
    <w:rsid w:val="00B97DEF"/>
    <w:rsid w:val="00BA3D2C"/>
    <w:rsid w:val="00BA77AF"/>
    <w:rsid w:val="00BB20E4"/>
    <w:rsid w:val="00BB2B6B"/>
    <w:rsid w:val="00BB4CEC"/>
    <w:rsid w:val="00BB754C"/>
    <w:rsid w:val="00BB7BB0"/>
    <w:rsid w:val="00BB7E19"/>
    <w:rsid w:val="00BC497C"/>
    <w:rsid w:val="00BC499A"/>
    <w:rsid w:val="00BC59AB"/>
    <w:rsid w:val="00BD280C"/>
    <w:rsid w:val="00BD329D"/>
    <w:rsid w:val="00BD3A0D"/>
    <w:rsid w:val="00BD5973"/>
    <w:rsid w:val="00BD5992"/>
    <w:rsid w:val="00BD5C0D"/>
    <w:rsid w:val="00BD65D3"/>
    <w:rsid w:val="00BE7668"/>
    <w:rsid w:val="00BF5083"/>
    <w:rsid w:val="00BF527E"/>
    <w:rsid w:val="00C015B1"/>
    <w:rsid w:val="00C06237"/>
    <w:rsid w:val="00C062DC"/>
    <w:rsid w:val="00C118F1"/>
    <w:rsid w:val="00C11E1E"/>
    <w:rsid w:val="00C14320"/>
    <w:rsid w:val="00C152B8"/>
    <w:rsid w:val="00C153D6"/>
    <w:rsid w:val="00C15693"/>
    <w:rsid w:val="00C167F6"/>
    <w:rsid w:val="00C16E84"/>
    <w:rsid w:val="00C215CD"/>
    <w:rsid w:val="00C24CFF"/>
    <w:rsid w:val="00C24DF6"/>
    <w:rsid w:val="00C24F36"/>
    <w:rsid w:val="00C26551"/>
    <w:rsid w:val="00C265BC"/>
    <w:rsid w:val="00C27E70"/>
    <w:rsid w:val="00C318BF"/>
    <w:rsid w:val="00C35C03"/>
    <w:rsid w:val="00C36C45"/>
    <w:rsid w:val="00C36D0F"/>
    <w:rsid w:val="00C448A3"/>
    <w:rsid w:val="00C514BF"/>
    <w:rsid w:val="00C514F4"/>
    <w:rsid w:val="00C51804"/>
    <w:rsid w:val="00C53B6D"/>
    <w:rsid w:val="00C554A5"/>
    <w:rsid w:val="00C56F25"/>
    <w:rsid w:val="00C6320E"/>
    <w:rsid w:val="00C657E1"/>
    <w:rsid w:val="00C706E8"/>
    <w:rsid w:val="00C706EA"/>
    <w:rsid w:val="00C722A3"/>
    <w:rsid w:val="00C73DD2"/>
    <w:rsid w:val="00C76A06"/>
    <w:rsid w:val="00C77A7E"/>
    <w:rsid w:val="00C77DCA"/>
    <w:rsid w:val="00C80DFA"/>
    <w:rsid w:val="00C81FB4"/>
    <w:rsid w:val="00C82520"/>
    <w:rsid w:val="00C84297"/>
    <w:rsid w:val="00C86EE3"/>
    <w:rsid w:val="00C9331F"/>
    <w:rsid w:val="00C93B4B"/>
    <w:rsid w:val="00CA235E"/>
    <w:rsid w:val="00CA5A55"/>
    <w:rsid w:val="00CB0C62"/>
    <w:rsid w:val="00CB1694"/>
    <w:rsid w:val="00CB179D"/>
    <w:rsid w:val="00CB410F"/>
    <w:rsid w:val="00CB43DD"/>
    <w:rsid w:val="00CB5965"/>
    <w:rsid w:val="00CD2398"/>
    <w:rsid w:val="00CD6F0F"/>
    <w:rsid w:val="00CE0776"/>
    <w:rsid w:val="00CE2135"/>
    <w:rsid w:val="00CE382D"/>
    <w:rsid w:val="00CF487A"/>
    <w:rsid w:val="00CF6777"/>
    <w:rsid w:val="00CF7D26"/>
    <w:rsid w:val="00D1013F"/>
    <w:rsid w:val="00D11DCF"/>
    <w:rsid w:val="00D12E3F"/>
    <w:rsid w:val="00D15D66"/>
    <w:rsid w:val="00D16546"/>
    <w:rsid w:val="00D165BF"/>
    <w:rsid w:val="00D208D2"/>
    <w:rsid w:val="00D210B3"/>
    <w:rsid w:val="00D25CB0"/>
    <w:rsid w:val="00D31E21"/>
    <w:rsid w:val="00D335EE"/>
    <w:rsid w:val="00D36E37"/>
    <w:rsid w:val="00D428D2"/>
    <w:rsid w:val="00D43096"/>
    <w:rsid w:val="00D45AEC"/>
    <w:rsid w:val="00D45F7A"/>
    <w:rsid w:val="00D4708A"/>
    <w:rsid w:val="00D51687"/>
    <w:rsid w:val="00D57617"/>
    <w:rsid w:val="00D57628"/>
    <w:rsid w:val="00D6188E"/>
    <w:rsid w:val="00D6519A"/>
    <w:rsid w:val="00D66071"/>
    <w:rsid w:val="00D67B55"/>
    <w:rsid w:val="00D71A35"/>
    <w:rsid w:val="00D76EE6"/>
    <w:rsid w:val="00D821C2"/>
    <w:rsid w:val="00D824CD"/>
    <w:rsid w:val="00D82DB3"/>
    <w:rsid w:val="00D833F1"/>
    <w:rsid w:val="00D84BD8"/>
    <w:rsid w:val="00D909DE"/>
    <w:rsid w:val="00D91029"/>
    <w:rsid w:val="00D9507F"/>
    <w:rsid w:val="00D95454"/>
    <w:rsid w:val="00D95573"/>
    <w:rsid w:val="00D95DBD"/>
    <w:rsid w:val="00D96066"/>
    <w:rsid w:val="00D96E28"/>
    <w:rsid w:val="00DA0B3A"/>
    <w:rsid w:val="00DA22CE"/>
    <w:rsid w:val="00DA4631"/>
    <w:rsid w:val="00DA4822"/>
    <w:rsid w:val="00DA6B4F"/>
    <w:rsid w:val="00DB0774"/>
    <w:rsid w:val="00DB0929"/>
    <w:rsid w:val="00DB4227"/>
    <w:rsid w:val="00DB5B76"/>
    <w:rsid w:val="00DB7D4E"/>
    <w:rsid w:val="00DC13C3"/>
    <w:rsid w:val="00DC284C"/>
    <w:rsid w:val="00DC2D96"/>
    <w:rsid w:val="00DC53F6"/>
    <w:rsid w:val="00DC68AC"/>
    <w:rsid w:val="00DD312A"/>
    <w:rsid w:val="00DD3E69"/>
    <w:rsid w:val="00DD5588"/>
    <w:rsid w:val="00DD63B1"/>
    <w:rsid w:val="00DD6B1E"/>
    <w:rsid w:val="00DE049E"/>
    <w:rsid w:val="00DE0571"/>
    <w:rsid w:val="00DE0FB7"/>
    <w:rsid w:val="00DE430C"/>
    <w:rsid w:val="00DE59CB"/>
    <w:rsid w:val="00DF00E9"/>
    <w:rsid w:val="00DF0491"/>
    <w:rsid w:val="00DF30F7"/>
    <w:rsid w:val="00DF430C"/>
    <w:rsid w:val="00DF6024"/>
    <w:rsid w:val="00DF6FFF"/>
    <w:rsid w:val="00E01DBA"/>
    <w:rsid w:val="00E02864"/>
    <w:rsid w:val="00E05D03"/>
    <w:rsid w:val="00E06DBC"/>
    <w:rsid w:val="00E1616B"/>
    <w:rsid w:val="00E20222"/>
    <w:rsid w:val="00E227CD"/>
    <w:rsid w:val="00E3031E"/>
    <w:rsid w:val="00E32BAE"/>
    <w:rsid w:val="00E4481A"/>
    <w:rsid w:val="00E44F28"/>
    <w:rsid w:val="00E4655F"/>
    <w:rsid w:val="00E46B98"/>
    <w:rsid w:val="00E47959"/>
    <w:rsid w:val="00E54629"/>
    <w:rsid w:val="00E61806"/>
    <w:rsid w:val="00E6510B"/>
    <w:rsid w:val="00E671DD"/>
    <w:rsid w:val="00E73E9C"/>
    <w:rsid w:val="00E8105B"/>
    <w:rsid w:val="00E840D8"/>
    <w:rsid w:val="00E84DC8"/>
    <w:rsid w:val="00E90BDB"/>
    <w:rsid w:val="00E92C3A"/>
    <w:rsid w:val="00E93E37"/>
    <w:rsid w:val="00E96B84"/>
    <w:rsid w:val="00EA22BA"/>
    <w:rsid w:val="00EA2B07"/>
    <w:rsid w:val="00EA5922"/>
    <w:rsid w:val="00EA6100"/>
    <w:rsid w:val="00EA71BC"/>
    <w:rsid w:val="00EB0DE7"/>
    <w:rsid w:val="00EC2625"/>
    <w:rsid w:val="00EC540F"/>
    <w:rsid w:val="00EC5BE5"/>
    <w:rsid w:val="00EC65B5"/>
    <w:rsid w:val="00EC7C98"/>
    <w:rsid w:val="00ED4003"/>
    <w:rsid w:val="00ED6386"/>
    <w:rsid w:val="00ED6656"/>
    <w:rsid w:val="00ED6699"/>
    <w:rsid w:val="00ED69FD"/>
    <w:rsid w:val="00EF1FF1"/>
    <w:rsid w:val="00EF39F9"/>
    <w:rsid w:val="00EF6DB5"/>
    <w:rsid w:val="00EF7C7A"/>
    <w:rsid w:val="00EF7D91"/>
    <w:rsid w:val="00F005DD"/>
    <w:rsid w:val="00F04022"/>
    <w:rsid w:val="00F0444F"/>
    <w:rsid w:val="00F047B8"/>
    <w:rsid w:val="00F04B6B"/>
    <w:rsid w:val="00F07BB9"/>
    <w:rsid w:val="00F101B1"/>
    <w:rsid w:val="00F14BF1"/>
    <w:rsid w:val="00F159DC"/>
    <w:rsid w:val="00F20A50"/>
    <w:rsid w:val="00F221B1"/>
    <w:rsid w:val="00F25A99"/>
    <w:rsid w:val="00F26417"/>
    <w:rsid w:val="00F31AB4"/>
    <w:rsid w:val="00F353EF"/>
    <w:rsid w:val="00F41E08"/>
    <w:rsid w:val="00F42C1D"/>
    <w:rsid w:val="00F438C8"/>
    <w:rsid w:val="00F47135"/>
    <w:rsid w:val="00F500B2"/>
    <w:rsid w:val="00F501F5"/>
    <w:rsid w:val="00F53D62"/>
    <w:rsid w:val="00F568DE"/>
    <w:rsid w:val="00F6023F"/>
    <w:rsid w:val="00F60583"/>
    <w:rsid w:val="00F61A9C"/>
    <w:rsid w:val="00F61AB5"/>
    <w:rsid w:val="00F65D09"/>
    <w:rsid w:val="00F662EA"/>
    <w:rsid w:val="00F66860"/>
    <w:rsid w:val="00F66D38"/>
    <w:rsid w:val="00F66DDA"/>
    <w:rsid w:val="00F74A16"/>
    <w:rsid w:val="00F7502C"/>
    <w:rsid w:val="00F777E0"/>
    <w:rsid w:val="00F836E7"/>
    <w:rsid w:val="00F841DF"/>
    <w:rsid w:val="00F85B31"/>
    <w:rsid w:val="00F927BB"/>
    <w:rsid w:val="00F95407"/>
    <w:rsid w:val="00F954A0"/>
    <w:rsid w:val="00FA0932"/>
    <w:rsid w:val="00FA3474"/>
    <w:rsid w:val="00FA3C1D"/>
    <w:rsid w:val="00FA5E2E"/>
    <w:rsid w:val="00FB1742"/>
    <w:rsid w:val="00FB34A7"/>
    <w:rsid w:val="00FB56D5"/>
    <w:rsid w:val="00FB5FD6"/>
    <w:rsid w:val="00FB70E1"/>
    <w:rsid w:val="00FC115B"/>
    <w:rsid w:val="00FC362B"/>
    <w:rsid w:val="00FC475B"/>
    <w:rsid w:val="00FC68C6"/>
    <w:rsid w:val="00FD0C9B"/>
    <w:rsid w:val="00FE11BB"/>
    <w:rsid w:val="00FE15AA"/>
    <w:rsid w:val="00FE2996"/>
    <w:rsid w:val="00FE4EE7"/>
    <w:rsid w:val="00FE6B81"/>
    <w:rsid w:val="00FF2F10"/>
    <w:rsid w:val="00FF3659"/>
    <w:rsid w:val="00FF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ED1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A1"/>
    <w:pPr>
      <w:jc w:val="both"/>
    </w:pPr>
    <w:rPr>
      <w:rFonts w:ascii="Times New Roman" w:eastAsiaTheme="minorHAnsi" w:hAnsi="Times New Roman"/>
      <w:szCs w:val="22"/>
      <w:lang w:val="en-GB"/>
    </w:rPr>
  </w:style>
  <w:style w:type="paragraph" w:styleId="Heading1">
    <w:name w:val="heading 1"/>
    <w:aliases w:val="Title 1"/>
    <w:basedOn w:val="Normal"/>
    <w:next w:val="Normal"/>
    <w:link w:val="Heading1Char"/>
    <w:autoRedefine/>
    <w:uiPriority w:val="9"/>
    <w:qFormat/>
    <w:rsid w:val="00B35F65"/>
    <w:pPr>
      <w:keepNext/>
      <w:keepLines/>
      <w:spacing w:before="480" w:line="259" w:lineRule="auto"/>
      <w:jc w:val="left"/>
      <w:outlineLvl w:val="0"/>
    </w:pPr>
    <w:rPr>
      <w:rFonts w:eastAsiaTheme="majorEastAsia" w:cstheme="majorBidi"/>
      <w:b/>
      <w:bCs/>
      <w:i/>
      <w:szCs w:val="32"/>
    </w:rPr>
  </w:style>
  <w:style w:type="paragraph" w:styleId="Heading2">
    <w:name w:val="heading 2"/>
    <w:basedOn w:val="Normal"/>
    <w:next w:val="Normal"/>
    <w:link w:val="Heading2Char"/>
    <w:uiPriority w:val="9"/>
    <w:semiHidden/>
    <w:unhideWhenUsed/>
    <w:qFormat/>
    <w:rsid w:val="006334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section Heading"/>
    <w:basedOn w:val="Normal"/>
    <w:next w:val="Normal"/>
    <w:link w:val="Heading3Char"/>
    <w:autoRedefine/>
    <w:uiPriority w:val="9"/>
    <w:unhideWhenUsed/>
    <w:qFormat/>
    <w:rsid w:val="00B35F65"/>
    <w:pPr>
      <w:keepNext/>
      <w:keepLines/>
      <w:spacing w:before="200" w:line="360" w:lineRule="auto"/>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24CFF"/>
    <w:rPr>
      <w:rFonts w:ascii="Times New Roman" w:hAnsi="Times New Roman"/>
      <w:b/>
      <w:bCs/>
      <w:smallCaps/>
      <w:spacing w:val="5"/>
      <w:sz w:val="28"/>
    </w:rPr>
  </w:style>
  <w:style w:type="character" w:customStyle="1" w:styleId="Heading1Char">
    <w:name w:val="Heading 1 Char"/>
    <w:aliases w:val="Title 1 Char"/>
    <w:basedOn w:val="DefaultParagraphFont"/>
    <w:link w:val="Heading1"/>
    <w:uiPriority w:val="9"/>
    <w:rsid w:val="00B35F65"/>
    <w:rPr>
      <w:rFonts w:ascii="Times New Roman" w:eastAsiaTheme="majorEastAsia" w:hAnsi="Times New Roman" w:cstheme="majorBidi"/>
      <w:b/>
      <w:bCs/>
      <w:i/>
      <w:szCs w:val="32"/>
      <w:lang w:val="en-GB"/>
    </w:rPr>
  </w:style>
  <w:style w:type="character" w:customStyle="1" w:styleId="Heading3Char">
    <w:name w:val="Heading 3 Char"/>
    <w:aliases w:val="Subsection Heading Char"/>
    <w:basedOn w:val="DefaultParagraphFont"/>
    <w:link w:val="Heading3"/>
    <w:uiPriority w:val="9"/>
    <w:rsid w:val="00B35F65"/>
    <w:rPr>
      <w:rFonts w:ascii="Times New Roman" w:eastAsiaTheme="majorEastAsia" w:hAnsi="Times New Roman" w:cstheme="majorBidi"/>
      <w:bCs/>
      <w:i/>
      <w:szCs w:val="22"/>
      <w:lang w:val="en-GB"/>
    </w:rPr>
  </w:style>
  <w:style w:type="paragraph" w:customStyle="1" w:styleId="SectionHeading">
    <w:name w:val="Section Heading"/>
    <w:basedOn w:val="Heading2"/>
    <w:qFormat/>
    <w:rsid w:val="006334A1"/>
    <w:pPr>
      <w:keepLines w:val="0"/>
      <w:spacing w:before="0" w:line="360" w:lineRule="auto"/>
    </w:pPr>
    <w:rPr>
      <w:rFonts w:ascii="Times New Roman" w:hAnsi="Times New Roman"/>
      <w:b w:val="0"/>
      <w:color w:val="auto"/>
      <w:sz w:val="24"/>
      <w:szCs w:val="28"/>
      <w:lang w:val="en-US"/>
    </w:rPr>
  </w:style>
  <w:style w:type="character" w:customStyle="1" w:styleId="Heading2Char">
    <w:name w:val="Heading 2 Char"/>
    <w:basedOn w:val="DefaultParagraphFont"/>
    <w:link w:val="Heading2"/>
    <w:uiPriority w:val="9"/>
    <w:semiHidden/>
    <w:rsid w:val="006334A1"/>
    <w:rPr>
      <w:rFonts w:asciiTheme="majorHAnsi" w:eastAsiaTheme="majorEastAsia" w:hAnsiTheme="majorHAnsi" w:cstheme="majorBidi"/>
      <w:b/>
      <w:bCs/>
      <w:color w:val="4F81BD" w:themeColor="accent1"/>
      <w:sz w:val="26"/>
      <w:szCs w:val="26"/>
      <w:lang w:val="en-GB"/>
    </w:rPr>
  </w:style>
  <w:style w:type="paragraph" w:styleId="DocumentMap">
    <w:name w:val="Document Map"/>
    <w:basedOn w:val="Normal"/>
    <w:link w:val="DocumentMapChar"/>
    <w:uiPriority w:val="99"/>
    <w:semiHidden/>
    <w:unhideWhenUsed/>
    <w:rsid w:val="006334A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334A1"/>
    <w:rPr>
      <w:rFonts w:ascii="Lucida Grande" w:eastAsiaTheme="minorHAnsi" w:hAnsi="Lucida Grande" w:cs="Lucida Grande"/>
      <w:lang w:val="en-GB"/>
    </w:rPr>
  </w:style>
  <w:style w:type="character" w:styleId="CommentReference">
    <w:name w:val="annotation reference"/>
    <w:basedOn w:val="DefaultParagraphFont"/>
    <w:uiPriority w:val="99"/>
    <w:semiHidden/>
    <w:unhideWhenUsed/>
    <w:rsid w:val="007124AD"/>
    <w:rPr>
      <w:sz w:val="18"/>
      <w:szCs w:val="18"/>
    </w:rPr>
  </w:style>
  <w:style w:type="paragraph" w:styleId="CommentText">
    <w:name w:val="annotation text"/>
    <w:basedOn w:val="Normal"/>
    <w:link w:val="CommentTextChar"/>
    <w:uiPriority w:val="99"/>
    <w:unhideWhenUsed/>
    <w:rsid w:val="007124AD"/>
    <w:rPr>
      <w:szCs w:val="24"/>
    </w:rPr>
  </w:style>
  <w:style w:type="character" w:customStyle="1" w:styleId="CommentTextChar">
    <w:name w:val="Comment Text Char"/>
    <w:basedOn w:val="DefaultParagraphFont"/>
    <w:link w:val="CommentText"/>
    <w:uiPriority w:val="99"/>
    <w:rsid w:val="007124AD"/>
    <w:rPr>
      <w:rFonts w:ascii="Times New Roman" w:eastAsiaTheme="minorHAnsi" w:hAnsi="Times New Roman"/>
      <w:lang w:val="en-GB"/>
    </w:rPr>
  </w:style>
  <w:style w:type="paragraph" w:styleId="CommentSubject">
    <w:name w:val="annotation subject"/>
    <w:basedOn w:val="CommentText"/>
    <w:next w:val="CommentText"/>
    <w:link w:val="CommentSubjectChar"/>
    <w:uiPriority w:val="99"/>
    <w:semiHidden/>
    <w:unhideWhenUsed/>
    <w:rsid w:val="007124AD"/>
    <w:rPr>
      <w:b/>
      <w:bCs/>
      <w:sz w:val="20"/>
      <w:szCs w:val="20"/>
    </w:rPr>
  </w:style>
  <w:style w:type="character" w:customStyle="1" w:styleId="CommentSubjectChar">
    <w:name w:val="Comment Subject Char"/>
    <w:basedOn w:val="CommentTextChar"/>
    <w:link w:val="CommentSubject"/>
    <w:uiPriority w:val="99"/>
    <w:semiHidden/>
    <w:rsid w:val="007124AD"/>
    <w:rPr>
      <w:rFonts w:ascii="Times New Roman" w:eastAsiaTheme="minorHAnsi" w:hAnsi="Times New Roman"/>
      <w:b/>
      <w:bCs/>
      <w:sz w:val="20"/>
      <w:szCs w:val="20"/>
      <w:lang w:val="en-GB"/>
    </w:rPr>
  </w:style>
  <w:style w:type="paragraph" w:styleId="BalloonText">
    <w:name w:val="Balloon Text"/>
    <w:basedOn w:val="Normal"/>
    <w:link w:val="BalloonTextChar"/>
    <w:uiPriority w:val="99"/>
    <w:semiHidden/>
    <w:unhideWhenUsed/>
    <w:rsid w:val="007124AD"/>
    <w:rPr>
      <w:rFonts w:cs="Times New Roman"/>
      <w:sz w:val="18"/>
      <w:szCs w:val="18"/>
    </w:rPr>
  </w:style>
  <w:style w:type="character" w:customStyle="1" w:styleId="BalloonTextChar">
    <w:name w:val="Balloon Text Char"/>
    <w:basedOn w:val="DefaultParagraphFont"/>
    <w:link w:val="BalloonText"/>
    <w:uiPriority w:val="99"/>
    <w:semiHidden/>
    <w:rsid w:val="007124AD"/>
    <w:rPr>
      <w:rFonts w:ascii="Times New Roman" w:eastAsiaTheme="minorHAnsi" w:hAnsi="Times New Roman" w:cs="Times New Roman"/>
      <w:sz w:val="18"/>
      <w:szCs w:val="18"/>
      <w:lang w:val="en-GB"/>
    </w:rPr>
  </w:style>
  <w:style w:type="paragraph" w:styleId="EndnoteText">
    <w:name w:val="endnote text"/>
    <w:basedOn w:val="Normal"/>
    <w:link w:val="EndnoteTextChar"/>
    <w:uiPriority w:val="99"/>
    <w:semiHidden/>
    <w:unhideWhenUsed/>
    <w:rsid w:val="00A15715"/>
    <w:rPr>
      <w:sz w:val="20"/>
      <w:szCs w:val="20"/>
    </w:rPr>
  </w:style>
  <w:style w:type="character" w:customStyle="1" w:styleId="EndnoteTextChar">
    <w:name w:val="Endnote Text Char"/>
    <w:basedOn w:val="DefaultParagraphFont"/>
    <w:link w:val="EndnoteText"/>
    <w:uiPriority w:val="99"/>
    <w:semiHidden/>
    <w:rsid w:val="00A15715"/>
    <w:rPr>
      <w:rFonts w:ascii="Times New Roman" w:eastAsiaTheme="minorHAnsi" w:hAnsi="Times New Roman"/>
      <w:sz w:val="20"/>
      <w:szCs w:val="20"/>
      <w:lang w:val="en-GB"/>
    </w:rPr>
  </w:style>
  <w:style w:type="character" w:styleId="EndnoteReference">
    <w:name w:val="endnote reference"/>
    <w:basedOn w:val="DefaultParagraphFont"/>
    <w:uiPriority w:val="99"/>
    <w:semiHidden/>
    <w:unhideWhenUsed/>
    <w:rsid w:val="00A15715"/>
    <w:rPr>
      <w:vertAlign w:val="superscript"/>
    </w:rPr>
  </w:style>
  <w:style w:type="paragraph" w:styleId="FootnoteText">
    <w:name w:val="footnote text"/>
    <w:basedOn w:val="Normal"/>
    <w:link w:val="FootnoteTextChar"/>
    <w:uiPriority w:val="99"/>
    <w:unhideWhenUsed/>
    <w:rsid w:val="00A15715"/>
    <w:rPr>
      <w:sz w:val="20"/>
      <w:szCs w:val="20"/>
    </w:rPr>
  </w:style>
  <w:style w:type="character" w:customStyle="1" w:styleId="FootnoteTextChar">
    <w:name w:val="Footnote Text Char"/>
    <w:basedOn w:val="DefaultParagraphFont"/>
    <w:link w:val="FootnoteText"/>
    <w:uiPriority w:val="99"/>
    <w:rsid w:val="00A15715"/>
    <w:rPr>
      <w:rFonts w:ascii="Times New Roman" w:eastAsiaTheme="minorHAnsi" w:hAnsi="Times New Roman"/>
      <w:sz w:val="20"/>
      <w:szCs w:val="20"/>
      <w:lang w:val="en-GB"/>
    </w:rPr>
  </w:style>
  <w:style w:type="character" w:styleId="FootnoteReference">
    <w:name w:val="footnote reference"/>
    <w:basedOn w:val="DefaultParagraphFont"/>
    <w:uiPriority w:val="99"/>
    <w:unhideWhenUsed/>
    <w:rsid w:val="00A15715"/>
    <w:rPr>
      <w:vertAlign w:val="superscript"/>
    </w:rPr>
  </w:style>
  <w:style w:type="character" w:styleId="Hyperlink">
    <w:name w:val="Hyperlink"/>
    <w:basedOn w:val="DefaultParagraphFont"/>
    <w:uiPriority w:val="99"/>
    <w:unhideWhenUsed/>
    <w:rsid w:val="00825F2C"/>
    <w:rPr>
      <w:color w:val="0000FF" w:themeColor="hyperlink"/>
      <w:u w:val="single"/>
    </w:rPr>
  </w:style>
  <w:style w:type="character" w:styleId="FollowedHyperlink">
    <w:name w:val="FollowedHyperlink"/>
    <w:basedOn w:val="DefaultParagraphFont"/>
    <w:uiPriority w:val="99"/>
    <w:semiHidden/>
    <w:unhideWhenUsed/>
    <w:rsid w:val="007D38CC"/>
    <w:rPr>
      <w:color w:val="800080" w:themeColor="followedHyperlink"/>
      <w:u w:val="single"/>
    </w:rPr>
  </w:style>
  <w:style w:type="paragraph" w:styleId="Revision">
    <w:name w:val="Revision"/>
    <w:hidden/>
    <w:uiPriority w:val="99"/>
    <w:semiHidden/>
    <w:rsid w:val="00902065"/>
    <w:rPr>
      <w:rFonts w:ascii="Times New Roman" w:eastAsiaTheme="minorHAnsi" w:hAnsi="Times New Roman"/>
      <w:szCs w:val="22"/>
      <w:lang w:val="en-GB"/>
    </w:rPr>
  </w:style>
  <w:style w:type="paragraph" w:styleId="Header">
    <w:name w:val="header"/>
    <w:basedOn w:val="Normal"/>
    <w:link w:val="HeaderChar"/>
    <w:uiPriority w:val="99"/>
    <w:unhideWhenUsed/>
    <w:rsid w:val="00426C0C"/>
    <w:pPr>
      <w:tabs>
        <w:tab w:val="center" w:pos="4513"/>
        <w:tab w:val="right" w:pos="9026"/>
      </w:tabs>
    </w:pPr>
  </w:style>
  <w:style w:type="character" w:customStyle="1" w:styleId="HeaderChar">
    <w:name w:val="Header Char"/>
    <w:basedOn w:val="DefaultParagraphFont"/>
    <w:link w:val="Header"/>
    <w:uiPriority w:val="99"/>
    <w:rsid w:val="00426C0C"/>
    <w:rPr>
      <w:rFonts w:ascii="Times New Roman" w:eastAsiaTheme="minorHAnsi" w:hAnsi="Times New Roman"/>
      <w:szCs w:val="22"/>
      <w:lang w:val="en-GB"/>
    </w:rPr>
  </w:style>
  <w:style w:type="paragraph" w:styleId="Footer">
    <w:name w:val="footer"/>
    <w:basedOn w:val="Normal"/>
    <w:link w:val="FooterChar"/>
    <w:uiPriority w:val="99"/>
    <w:unhideWhenUsed/>
    <w:rsid w:val="00426C0C"/>
    <w:pPr>
      <w:tabs>
        <w:tab w:val="center" w:pos="4513"/>
        <w:tab w:val="right" w:pos="9026"/>
      </w:tabs>
    </w:pPr>
  </w:style>
  <w:style w:type="character" w:customStyle="1" w:styleId="FooterChar">
    <w:name w:val="Footer Char"/>
    <w:basedOn w:val="DefaultParagraphFont"/>
    <w:link w:val="Footer"/>
    <w:uiPriority w:val="99"/>
    <w:rsid w:val="00426C0C"/>
    <w:rPr>
      <w:rFonts w:ascii="Times New Roman" w:eastAsiaTheme="minorHAnsi" w:hAnsi="Times New Roman"/>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040">
      <w:bodyDiv w:val="1"/>
      <w:marLeft w:val="0"/>
      <w:marRight w:val="0"/>
      <w:marTop w:val="0"/>
      <w:marBottom w:val="0"/>
      <w:divBdr>
        <w:top w:val="none" w:sz="0" w:space="0" w:color="auto"/>
        <w:left w:val="none" w:sz="0" w:space="0" w:color="auto"/>
        <w:bottom w:val="none" w:sz="0" w:space="0" w:color="auto"/>
        <w:right w:val="none" w:sz="0" w:space="0" w:color="auto"/>
      </w:divBdr>
    </w:div>
    <w:div w:id="29039486">
      <w:bodyDiv w:val="1"/>
      <w:marLeft w:val="0"/>
      <w:marRight w:val="0"/>
      <w:marTop w:val="0"/>
      <w:marBottom w:val="0"/>
      <w:divBdr>
        <w:top w:val="none" w:sz="0" w:space="0" w:color="auto"/>
        <w:left w:val="none" w:sz="0" w:space="0" w:color="auto"/>
        <w:bottom w:val="none" w:sz="0" w:space="0" w:color="auto"/>
        <w:right w:val="none" w:sz="0" w:space="0" w:color="auto"/>
      </w:divBdr>
      <w:divsChild>
        <w:div w:id="1927227907">
          <w:marLeft w:val="0"/>
          <w:marRight w:val="0"/>
          <w:marTop w:val="0"/>
          <w:marBottom w:val="0"/>
          <w:divBdr>
            <w:top w:val="none" w:sz="0" w:space="0" w:color="auto"/>
            <w:left w:val="none" w:sz="0" w:space="0" w:color="auto"/>
            <w:bottom w:val="none" w:sz="0" w:space="0" w:color="auto"/>
            <w:right w:val="none" w:sz="0" w:space="0" w:color="auto"/>
          </w:divBdr>
        </w:div>
        <w:div w:id="1535771087">
          <w:marLeft w:val="0"/>
          <w:marRight w:val="0"/>
          <w:marTop w:val="0"/>
          <w:marBottom w:val="0"/>
          <w:divBdr>
            <w:top w:val="none" w:sz="0" w:space="0" w:color="auto"/>
            <w:left w:val="none" w:sz="0" w:space="0" w:color="auto"/>
            <w:bottom w:val="none" w:sz="0" w:space="0" w:color="auto"/>
            <w:right w:val="none" w:sz="0" w:space="0" w:color="auto"/>
          </w:divBdr>
        </w:div>
        <w:div w:id="1641690047">
          <w:marLeft w:val="0"/>
          <w:marRight w:val="0"/>
          <w:marTop w:val="0"/>
          <w:marBottom w:val="0"/>
          <w:divBdr>
            <w:top w:val="none" w:sz="0" w:space="0" w:color="auto"/>
            <w:left w:val="none" w:sz="0" w:space="0" w:color="auto"/>
            <w:bottom w:val="none" w:sz="0" w:space="0" w:color="auto"/>
            <w:right w:val="none" w:sz="0" w:space="0" w:color="auto"/>
          </w:divBdr>
        </w:div>
        <w:div w:id="1298536903">
          <w:marLeft w:val="0"/>
          <w:marRight w:val="0"/>
          <w:marTop w:val="0"/>
          <w:marBottom w:val="0"/>
          <w:divBdr>
            <w:top w:val="none" w:sz="0" w:space="0" w:color="auto"/>
            <w:left w:val="none" w:sz="0" w:space="0" w:color="auto"/>
            <w:bottom w:val="none" w:sz="0" w:space="0" w:color="auto"/>
            <w:right w:val="none" w:sz="0" w:space="0" w:color="auto"/>
          </w:divBdr>
        </w:div>
        <w:div w:id="46075580">
          <w:marLeft w:val="0"/>
          <w:marRight w:val="0"/>
          <w:marTop w:val="0"/>
          <w:marBottom w:val="0"/>
          <w:divBdr>
            <w:top w:val="none" w:sz="0" w:space="0" w:color="auto"/>
            <w:left w:val="none" w:sz="0" w:space="0" w:color="auto"/>
            <w:bottom w:val="none" w:sz="0" w:space="0" w:color="auto"/>
            <w:right w:val="none" w:sz="0" w:space="0" w:color="auto"/>
          </w:divBdr>
        </w:div>
        <w:div w:id="1261836574">
          <w:marLeft w:val="0"/>
          <w:marRight w:val="0"/>
          <w:marTop w:val="0"/>
          <w:marBottom w:val="0"/>
          <w:divBdr>
            <w:top w:val="none" w:sz="0" w:space="0" w:color="auto"/>
            <w:left w:val="none" w:sz="0" w:space="0" w:color="auto"/>
            <w:bottom w:val="none" w:sz="0" w:space="0" w:color="auto"/>
            <w:right w:val="none" w:sz="0" w:space="0" w:color="auto"/>
          </w:divBdr>
        </w:div>
        <w:div w:id="368839298">
          <w:marLeft w:val="0"/>
          <w:marRight w:val="0"/>
          <w:marTop w:val="0"/>
          <w:marBottom w:val="0"/>
          <w:divBdr>
            <w:top w:val="none" w:sz="0" w:space="0" w:color="auto"/>
            <w:left w:val="none" w:sz="0" w:space="0" w:color="auto"/>
            <w:bottom w:val="none" w:sz="0" w:space="0" w:color="auto"/>
            <w:right w:val="none" w:sz="0" w:space="0" w:color="auto"/>
          </w:divBdr>
        </w:div>
        <w:div w:id="595407514">
          <w:marLeft w:val="0"/>
          <w:marRight w:val="0"/>
          <w:marTop w:val="0"/>
          <w:marBottom w:val="0"/>
          <w:divBdr>
            <w:top w:val="none" w:sz="0" w:space="0" w:color="auto"/>
            <w:left w:val="none" w:sz="0" w:space="0" w:color="auto"/>
            <w:bottom w:val="none" w:sz="0" w:space="0" w:color="auto"/>
            <w:right w:val="none" w:sz="0" w:space="0" w:color="auto"/>
          </w:divBdr>
        </w:div>
        <w:div w:id="1453817740">
          <w:marLeft w:val="0"/>
          <w:marRight w:val="0"/>
          <w:marTop w:val="0"/>
          <w:marBottom w:val="0"/>
          <w:divBdr>
            <w:top w:val="none" w:sz="0" w:space="0" w:color="auto"/>
            <w:left w:val="none" w:sz="0" w:space="0" w:color="auto"/>
            <w:bottom w:val="none" w:sz="0" w:space="0" w:color="auto"/>
            <w:right w:val="none" w:sz="0" w:space="0" w:color="auto"/>
          </w:divBdr>
        </w:div>
        <w:div w:id="1455445960">
          <w:marLeft w:val="0"/>
          <w:marRight w:val="0"/>
          <w:marTop w:val="0"/>
          <w:marBottom w:val="0"/>
          <w:divBdr>
            <w:top w:val="none" w:sz="0" w:space="0" w:color="auto"/>
            <w:left w:val="none" w:sz="0" w:space="0" w:color="auto"/>
            <w:bottom w:val="none" w:sz="0" w:space="0" w:color="auto"/>
            <w:right w:val="none" w:sz="0" w:space="0" w:color="auto"/>
          </w:divBdr>
        </w:div>
        <w:div w:id="732970164">
          <w:marLeft w:val="0"/>
          <w:marRight w:val="0"/>
          <w:marTop w:val="0"/>
          <w:marBottom w:val="0"/>
          <w:divBdr>
            <w:top w:val="none" w:sz="0" w:space="0" w:color="auto"/>
            <w:left w:val="none" w:sz="0" w:space="0" w:color="auto"/>
            <w:bottom w:val="none" w:sz="0" w:space="0" w:color="auto"/>
            <w:right w:val="none" w:sz="0" w:space="0" w:color="auto"/>
          </w:divBdr>
        </w:div>
        <w:div w:id="1695424025">
          <w:marLeft w:val="0"/>
          <w:marRight w:val="0"/>
          <w:marTop w:val="0"/>
          <w:marBottom w:val="0"/>
          <w:divBdr>
            <w:top w:val="none" w:sz="0" w:space="0" w:color="auto"/>
            <w:left w:val="none" w:sz="0" w:space="0" w:color="auto"/>
            <w:bottom w:val="none" w:sz="0" w:space="0" w:color="auto"/>
            <w:right w:val="none" w:sz="0" w:space="0" w:color="auto"/>
          </w:divBdr>
        </w:div>
        <w:div w:id="609169894">
          <w:marLeft w:val="0"/>
          <w:marRight w:val="0"/>
          <w:marTop w:val="0"/>
          <w:marBottom w:val="0"/>
          <w:divBdr>
            <w:top w:val="none" w:sz="0" w:space="0" w:color="auto"/>
            <w:left w:val="none" w:sz="0" w:space="0" w:color="auto"/>
            <w:bottom w:val="none" w:sz="0" w:space="0" w:color="auto"/>
            <w:right w:val="none" w:sz="0" w:space="0" w:color="auto"/>
          </w:divBdr>
        </w:div>
        <w:div w:id="1775248232">
          <w:marLeft w:val="0"/>
          <w:marRight w:val="0"/>
          <w:marTop w:val="0"/>
          <w:marBottom w:val="0"/>
          <w:divBdr>
            <w:top w:val="none" w:sz="0" w:space="0" w:color="auto"/>
            <w:left w:val="none" w:sz="0" w:space="0" w:color="auto"/>
            <w:bottom w:val="none" w:sz="0" w:space="0" w:color="auto"/>
            <w:right w:val="none" w:sz="0" w:space="0" w:color="auto"/>
          </w:divBdr>
        </w:div>
        <w:div w:id="1871913100">
          <w:marLeft w:val="0"/>
          <w:marRight w:val="0"/>
          <w:marTop w:val="0"/>
          <w:marBottom w:val="0"/>
          <w:divBdr>
            <w:top w:val="none" w:sz="0" w:space="0" w:color="auto"/>
            <w:left w:val="none" w:sz="0" w:space="0" w:color="auto"/>
            <w:bottom w:val="none" w:sz="0" w:space="0" w:color="auto"/>
            <w:right w:val="none" w:sz="0" w:space="0" w:color="auto"/>
          </w:divBdr>
        </w:div>
        <w:div w:id="663975627">
          <w:marLeft w:val="0"/>
          <w:marRight w:val="0"/>
          <w:marTop w:val="0"/>
          <w:marBottom w:val="0"/>
          <w:divBdr>
            <w:top w:val="none" w:sz="0" w:space="0" w:color="auto"/>
            <w:left w:val="none" w:sz="0" w:space="0" w:color="auto"/>
            <w:bottom w:val="none" w:sz="0" w:space="0" w:color="auto"/>
            <w:right w:val="none" w:sz="0" w:space="0" w:color="auto"/>
          </w:divBdr>
        </w:div>
        <w:div w:id="2113043862">
          <w:marLeft w:val="0"/>
          <w:marRight w:val="0"/>
          <w:marTop w:val="0"/>
          <w:marBottom w:val="0"/>
          <w:divBdr>
            <w:top w:val="none" w:sz="0" w:space="0" w:color="auto"/>
            <w:left w:val="none" w:sz="0" w:space="0" w:color="auto"/>
            <w:bottom w:val="none" w:sz="0" w:space="0" w:color="auto"/>
            <w:right w:val="none" w:sz="0" w:space="0" w:color="auto"/>
          </w:divBdr>
        </w:div>
        <w:div w:id="292715313">
          <w:marLeft w:val="0"/>
          <w:marRight w:val="0"/>
          <w:marTop w:val="0"/>
          <w:marBottom w:val="0"/>
          <w:divBdr>
            <w:top w:val="none" w:sz="0" w:space="0" w:color="auto"/>
            <w:left w:val="none" w:sz="0" w:space="0" w:color="auto"/>
            <w:bottom w:val="none" w:sz="0" w:space="0" w:color="auto"/>
            <w:right w:val="none" w:sz="0" w:space="0" w:color="auto"/>
          </w:divBdr>
        </w:div>
        <w:div w:id="847447272">
          <w:marLeft w:val="0"/>
          <w:marRight w:val="0"/>
          <w:marTop w:val="0"/>
          <w:marBottom w:val="0"/>
          <w:divBdr>
            <w:top w:val="none" w:sz="0" w:space="0" w:color="auto"/>
            <w:left w:val="none" w:sz="0" w:space="0" w:color="auto"/>
            <w:bottom w:val="none" w:sz="0" w:space="0" w:color="auto"/>
            <w:right w:val="none" w:sz="0" w:space="0" w:color="auto"/>
          </w:divBdr>
        </w:div>
        <w:div w:id="919339081">
          <w:marLeft w:val="0"/>
          <w:marRight w:val="0"/>
          <w:marTop w:val="0"/>
          <w:marBottom w:val="0"/>
          <w:divBdr>
            <w:top w:val="none" w:sz="0" w:space="0" w:color="auto"/>
            <w:left w:val="none" w:sz="0" w:space="0" w:color="auto"/>
            <w:bottom w:val="none" w:sz="0" w:space="0" w:color="auto"/>
            <w:right w:val="none" w:sz="0" w:space="0" w:color="auto"/>
          </w:divBdr>
        </w:div>
      </w:divsChild>
    </w:div>
    <w:div w:id="73628884">
      <w:bodyDiv w:val="1"/>
      <w:marLeft w:val="0"/>
      <w:marRight w:val="0"/>
      <w:marTop w:val="0"/>
      <w:marBottom w:val="0"/>
      <w:divBdr>
        <w:top w:val="none" w:sz="0" w:space="0" w:color="auto"/>
        <w:left w:val="none" w:sz="0" w:space="0" w:color="auto"/>
        <w:bottom w:val="none" w:sz="0" w:space="0" w:color="auto"/>
        <w:right w:val="none" w:sz="0" w:space="0" w:color="auto"/>
      </w:divBdr>
    </w:div>
    <w:div w:id="134223809">
      <w:bodyDiv w:val="1"/>
      <w:marLeft w:val="0"/>
      <w:marRight w:val="0"/>
      <w:marTop w:val="0"/>
      <w:marBottom w:val="0"/>
      <w:divBdr>
        <w:top w:val="none" w:sz="0" w:space="0" w:color="auto"/>
        <w:left w:val="none" w:sz="0" w:space="0" w:color="auto"/>
        <w:bottom w:val="none" w:sz="0" w:space="0" w:color="auto"/>
        <w:right w:val="none" w:sz="0" w:space="0" w:color="auto"/>
      </w:divBdr>
    </w:div>
    <w:div w:id="324405428">
      <w:bodyDiv w:val="1"/>
      <w:marLeft w:val="0"/>
      <w:marRight w:val="0"/>
      <w:marTop w:val="0"/>
      <w:marBottom w:val="0"/>
      <w:divBdr>
        <w:top w:val="none" w:sz="0" w:space="0" w:color="auto"/>
        <w:left w:val="none" w:sz="0" w:space="0" w:color="auto"/>
        <w:bottom w:val="none" w:sz="0" w:space="0" w:color="auto"/>
        <w:right w:val="none" w:sz="0" w:space="0" w:color="auto"/>
      </w:divBdr>
    </w:div>
    <w:div w:id="632634024">
      <w:bodyDiv w:val="1"/>
      <w:marLeft w:val="0"/>
      <w:marRight w:val="0"/>
      <w:marTop w:val="0"/>
      <w:marBottom w:val="0"/>
      <w:divBdr>
        <w:top w:val="none" w:sz="0" w:space="0" w:color="auto"/>
        <w:left w:val="none" w:sz="0" w:space="0" w:color="auto"/>
        <w:bottom w:val="none" w:sz="0" w:space="0" w:color="auto"/>
        <w:right w:val="none" w:sz="0" w:space="0" w:color="auto"/>
      </w:divBdr>
    </w:div>
    <w:div w:id="642660400">
      <w:bodyDiv w:val="1"/>
      <w:marLeft w:val="0"/>
      <w:marRight w:val="0"/>
      <w:marTop w:val="0"/>
      <w:marBottom w:val="0"/>
      <w:divBdr>
        <w:top w:val="none" w:sz="0" w:space="0" w:color="auto"/>
        <w:left w:val="none" w:sz="0" w:space="0" w:color="auto"/>
        <w:bottom w:val="none" w:sz="0" w:space="0" w:color="auto"/>
        <w:right w:val="none" w:sz="0" w:space="0" w:color="auto"/>
      </w:divBdr>
    </w:div>
    <w:div w:id="723068318">
      <w:bodyDiv w:val="1"/>
      <w:marLeft w:val="0"/>
      <w:marRight w:val="0"/>
      <w:marTop w:val="0"/>
      <w:marBottom w:val="0"/>
      <w:divBdr>
        <w:top w:val="none" w:sz="0" w:space="0" w:color="auto"/>
        <w:left w:val="none" w:sz="0" w:space="0" w:color="auto"/>
        <w:bottom w:val="none" w:sz="0" w:space="0" w:color="auto"/>
        <w:right w:val="none" w:sz="0" w:space="0" w:color="auto"/>
      </w:divBdr>
      <w:divsChild>
        <w:div w:id="355355648">
          <w:marLeft w:val="0"/>
          <w:marRight w:val="0"/>
          <w:marTop w:val="0"/>
          <w:marBottom w:val="0"/>
          <w:divBdr>
            <w:top w:val="none" w:sz="0" w:space="0" w:color="auto"/>
            <w:left w:val="none" w:sz="0" w:space="0" w:color="auto"/>
            <w:bottom w:val="none" w:sz="0" w:space="0" w:color="auto"/>
            <w:right w:val="none" w:sz="0" w:space="0" w:color="auto"/>
          </w:divBdr>
        </w:div>
        <w:div w:id="884415854">
          <w:marLeft w:val="0"/>
          <w:marRight w:val="0"/>
          <w:marTop w:val="0"/>
          <w:marBottom w:val="0"/>
          <w:divBdr>
            <w:top w:val="none" w:sz="0" w:space="0" w:color="auto"/>
            <w:left w:val="none" w:sz="0" w:space="0" w:color="auto"/>
            <w:bottom w:val="none" w:sz="0" w:space="0" w:color="auto"/>
            <w:right w:val="none" w:sz="0" w:space="0" w:color="auto"/>
          </w:divBdr>
        </w:div>
        <w:div w:id="62873754">
          <w:marLeft w:val="0"/>
          <w:marRight w:val="0"/>
          <w:marTop w:val="0"/>
          <w:marBottom w:val="0"/>
          <w:divBdr>
            <w:top w:val="none" w:sz="0" w:space="0" w:color="auto"/>
            <w:left w:val="none" w:sz="0" w:space="0" w:color="auto"/>
            <w:bottom w:val="none" w:sz="0" w:space="0" w:color="auto"/>
            <w:right w:val="none" w:sz="0" w:space="0" w:color="auto"/>
          </w:divBdr>
        </w:div>
      </w:divsChild>
    </w:div>
    <w:div w:id="737172593">
      <w:bodyDiv w:val="1"/>
      <w:marLeft w:val="0"/>
      <w:marRight w:val="0"/>
      <w:marTop w:val="0"/>
      <w:marBottom w:val="0"/>
      <w:divBdr>
        <w:top w:val="none" w:sz="0" w:space="0" w:color="auto"/>
        <w:left w:val="none" w:sz="0" w:space="0" w:color="auto"/>
        <w:bottom w:val="none" w:sz="0" w:space="0" w:color="auto"/>
        <w:right w:val="none" w:sz="0" w:space="0" w:color="auto"/>
      </w:divBdr>
    </w:div>
    <w:div w:id="774449381">
      <w:bodyDiv w:val="1"/>
      <w:marLeft w:val="0"/>
      <w:marRight w:val="0"/>
      <w:marTop w:val="0"/>
      <w:marBottom w:val="0"/>
      <w:divBdr>
        <w:top w:val="none" w:sz="0" w:space="0" w:color="auto"/>
        <w:left w:val="none" w:sz="0" w:space="0" w:color="auto"/>
        <w:bottom w:val="none" w:sz="0" w:space="0" w:color="auto"/>
        <w:right w:val="none" w:sz="0" w:space="0" w:color="auto"/>
      </w:divBdr>
    </w:div>
    <w:div w:id="861552423">
      <w:bodyDiv w:val="1"/>
      <w:marLeft w:val="0"/>
      <w:marRight w:val="0"/>
      <w:marTop w:val="0"/>
      <w:marBottom w:val="0"/>
      <w:divBdr>
        <w:top w:val="none" w:sz="0" w:space="0" w:color="auto"/>
        <w:left w:val="none" w:sz="0" w:space="0" w:color="auto"/>
        <w:bottom w:val="none" w:sz="0" w:space="0" w:color="auto"/>
        <w:right w:val="none" w:sz="0" w:space="0" w:color="auto"/>
      </w:divBdr>
    </w:div>
    <w:div w:id="924191300">
      <w:bodyDiv w:val="1"/>
      <w:marLeft w:val="0"/>
      <w:marRight w:val="0"/>
      <w:marTop w:val="0"/>
      <w:marBottom w:val="0"/>
      <w:divBdr>
        <w:top w:val="none" w:sz="0" w:space="0" w:color="auto"/>
        <w:left w:val="none" w:sz="0" w:space="0" w:color="auto"/>
        <w:bottom w:val="none" w:sz="0" w:space="0" w:color="auto"/>
        <w:right w:val="none" w:sz="0" w:space="0" w:color="auto"/>
      </w:divBdr>
    </w:div>
    <w:div w:id="962005139">
      <w:bodyDiv w:val="1"/>
      <w:marLeft w:val="0"/>
      <w:marRight w:val="0"/>
      <w:marTop w:val="0"/>
      <w:marBottom w:val="0"/>
      <w:divBdr>
        <w:top w:val="none" w:sz="0" w:space="0" w:color="auto"/>
        <w:left w:val="none" w:sz="0" w:space="0" w:color="auto"/>
        <w:bottom w:val="none" w:sz="0" w:space="0" w:color="auto"/>
        <w:right w:val="none" w:sz="0" w:space="0" w:color="auto"/>
      </w:divBdr>
    </w:div>
    <w:div w:id="1025909091">
      <w:bodyDiv w:val="1"/>
      <w:marLeft w:val="0"/>
      <w:marRight w:val="0"/>
      <w:marTop w:val="0"/>
      <w:marBottom w:val="0"/>
      <w:divBdr>
        <w:top w:val="none" w:sz="0" w:space="0" w:color="auto"/>
        <w:left w:val="none" w:sz="0" w:space="0" w:color="auto"/>
        <w:bottom w:val="none" w:sz="0" w:space="0" w:color="auto"/>
        <w:right w:val="none" w:sz="0" w:space="0" w:color="auto"/>
      </w:divBdr>
    </w:div>
    <w:div w:id="1035277133">
      <w:bodyDiv w:val="1"/>
      <w:marLeft w:val="0"/>
      <w:marRight w:val="0"/>
      <w:marTop w:val="0"/>
      <w:marBottom w:val="0"/>
      <w:divBdr>
        <w:top w:val="none" w:sz="0" w:space="0" w:color="auto"/>
        <w:left w:val="none" w:sz="0" w:space="0" w:color="auto"/>
        <w:bottom w:val="none" w:sz="0" w:space="0" w:color="auto"/>
        <w:right w:val="none" w:sz="0" w:space="0" w:color="auto"/>
      </w:divBdr>
      <w:divsChild>
        <w:div w:id="1354724524">
          <w:marLeft w:val="0"/>
          <w:marRight w:val="0"/>
          <w:marTop w:val="0"/>
          <w:marBottom w:val="0"/>
          <w:divBdr>
            <w:top w:val="none" w:sz="0" w:space="0" w:color="auto"/>
            <w:left w:val="none" w:sz="0" w:space="0" w:color="auto"/>
            <w:bottom w:val="none" w:sz="0" w:space="0" w:color="auto"/>
            <w:right w:val="none" w:sz="0" w:space="0" w:color="auto"/>
          </w:divBdr>
        </w:div>
        <w:div w:id="255942009">
          <w:marLeft w:val="0"/>
          <w:marRight w:val="0"/>
          <w:marTop w:val="0"/>
          <w:marBottom w:val="0"/>
          <w:divBdr>
            <w:top w:val="none" w:sz="0" w:space="0" w:color="auto"/>
            <w:left w:val="none" w:sz="0" w:space="0" w:color="auto"/>
            <w:bottom w:val="none" w:sz="0" w:space="0" w:color="auto"/>
            <w:right w:val="none" w:sz="0" w:space="0" w:color="auto"/>
          </w:divBdr>
        </w:div>
        <w:div w:id="43065647">
          <w:marLeft w:val="0"/>
          <w:marRight w:val="0"/>
          <w:marTop w:val="0"/>
          <w:marBottom w:val="0"/>
          <w:divBdr>
            <w:top w:val="none" w:sz="0" w:space="0" w:color="auto"/>
            <w:left w:val="none" w:sz="0" w:space="0" w:color="auto"/>
            <w:bottom w:val="none" w:sz="0" w:space="0" w:color="auto"/>
            <w:right w:val="none" w:sz="0" w:space="0" w:color="auto"/>
          </w:divBdr>
        </w:div>
        <w:div w:id="302538253">
          <w:marLeft w:val="0"/>
          <w:marRight w:val="0"/>
          <w:marTop w:val="0"/>
          <w:marBottom w:val="0"/>
          <w:divBdr>
            <w:top w:val="none" w:sz="0" w:space="0" w:color="auto"/>
            <w:left w:val="none" w:sz="0" w:space="0" w:color="auto"/>
            <w:bottom w:val="none" w:sz="0" w:space="0" w:color="auto"/>
            <w:right w:val="none" w:sz="0" w:space="0" w:color="auto"/>
          </w:divBdr>
        </w:div>
      </w:divsChild>
    </w:div>
    <w:div w:id="1037897491">
      <w:bodyDiv w:val="1"/>
      <w:marLeft w:val="0"/>
      <w:marRight w:val="0"/>
      <w:marTop w:val="0"/>
      <w:marBottom w:val="0"/>
      <w:divBdr>
        <w:top w:val="none" w:sz="0" w:space="0" w:color="auto"/>
        <w:left w:val="none" w:sz="0" w:space="0" w:color="auto"/>
        <w:bottom w:val="none" w:sz="0" w:space="0" w:color="auto"/>
        <w:right w:val="none" w:sz="0" w:space="0" w:color="auto"/>
      </w:divBdr>
    </w:div>
    <w:div w:id="1059942195">
      <w:bodyDiv w:val="1"/>
      <w:marLeft w:val="0"/>
      <w:marRight w:val="0"/>
      <w:marTop w:val="0"/>
      <w:marBottom w:val="0"/>
      <w:divBdr>
        <w:top w:val="none" w:sz="0" w:space="0" w:color="auto"/>
        <w:left w:val="none" w:sz="0" w:space="0" w:color="auto"/>
        <w:bottom w:val="none" w:sz="0" w:space="0" w:color="auto"/>
        <w:right w:val="none" w:sz="0" w:space="0" w:color="auto"/>
      </w:divBdr>
    </w:div>
    <w:div w:id="1106385833">
      <w:bodyDiv w:val="1"/>
      <w:marLeft w:val="0"/>
      <w:marRight w:val="0"/>
      <w:marTop w:val="0"/>
      <w:marBottom w:val="0"/>
      <w:divBdr>
        <w:top w:val="none" w:sz="0" w:space="0" w:color="auto"/>
        <w:left w:val="none" w:sz="0" w:space="0" w:color="auto"/>
        <w:bottom w:val="none" w:sz="0" w:space="0" w:color="auto"/>
        <w:right w:val="none" w:sz="0" w:space="0" w:color="auto"/>
      </w:divBdr>
    </w:div>
    <w:div w:id="1125853629">
      <w:bodyDiv w:val="1"/>
      <w:marLeft w:val="0"/>
      <w:marRight w:val="0"/>
      <w:marTop w:val="0"/>
      <w:marBottom w:val="0"/>
      <w:divBdr>
        <w:top w:val="none" w:sz="0" w:space="0" w:color="auto"/>
        <w:left w:val="none" w:sz="0" w:space="0" w:color="auto"/>
        <w:bottom w:val="none" w:sz="0" w:space="0" w:color="auto"/>
        <w:right w:val="none" w:sz="0" w:space="0" w:color="auto"/>
      </w:divBdr>
    </w:div>
    <w:div w:id="1132013680">
      <w:bodyDiv w:val="1"/>
      <w:marLeft w:val="0"/>
      <w:marRight w:val="0"/>
      <w:marTop w:val="0"/>
      <w:marBottom w:val="0"/>
      <w:divBdr>
        <w:top w:val="none" w:sz="0" w:space="0" w:color="auto"/>
        <w:left w:val="none" w:sz="0" w:space="0" w:color="auto"/>
        <w:bottom w:val="none" w:sz="0" w:space="0" w:color="auto"/>
        <w:right w:val="none" w:sz="0" w:space="0" w:color="auto"/>
      </w:divBdr>
    </w:div>
    <w:div w:id="1138576098">
      <w:bodyDiv w:val="1"/>
      <w:marLeft w:val="0"/>
      <w:marRight w:val="0"/>
      <w:marTop w:val="0"/>
      <w:marBottom w:val="0"/>
      <w:divBdr>
        <w:top w:val="none" w:sz="0" w:space="0" w:color="auto"/>
        <w:left w:val="none" w:sz="0" w:space="0" w:color="auto"/>
        <w:bottom w:val="none" w:sz="0" w:space="0" w:color="auto"/>
        <w:right w:val="none" w:sz="0" w:space="0" w:color="auto"/>
      </w:divBdr>
    </w:div>
    <w:div w:id="1176961784">
      <w:bodyDiv w:val="1"/>
      <w:marLeft w:val="0"/>
      <w:marRight w:val="0"/>
      <w:marTop w:val="0"/>
      <w:marBottom w:val="0"/>
      <w:divBdr>
        <w:top w:val="none" w:sz="0" w:space="0" w:color="auto"/>
        <w:left w:val="none" w:sz="0" w:space="0" w:color="auto"/>
        <w:bottom w:val="none" w:sz="0" w:space="0" w:color="auto"/>
        <w:right w:val="none" w:sz="0" w:space="0" w:color="auto"/>
      </w:divBdr>
      <w:divsChild>
        <w:div w:id="1372880156">
          <w:marLeft w:val="0"/>
          <w:marRight w:val="0"/>
          <w:marTop w:val="0"/>
          <w:marBottom w:val="0"/>
          <w:divBdr>
            <w:top w:val="none" w:sz="0" w:space="0" w:color="auto"/>
            <w:left w:val="none" w:sz="0" w:space="0" w:color="auto"/>
            <w:bottom w:val="none" w:sz="0" w:space="0" w:color="auto"/>
            <w:right w:val="none" w:sz="0" w:space="0" w:color="auto"/>
          </w:divBdr>
          <w:divsChild>
            <w:div w:id="1761177119">
              <w:marLeft w:val="0"/>
              <w:marRight w:val="0"/>
              <w:marTop w:val="0"/>
              <w:marBottom w:val="0"/>
              <w:divBdr>
                <w:top w:val="none" w:sz="0" w:space="0" w:color="auto"/>
                <w:left w:val="none" w:sz="0" w:space="0" w:color="auto"/>
                <w:bottom w:val="none" w:sz="0" w:space="0" w:color="auto"/>
                <w:right w:val="none" w:sz="0" w:space="0" w:color="auto"/>
              </w:divBdr>
              <w:divsChild>
                <w:div w:id="11147108">
                  <w:marLeft w:val="0"/>
                  <w:marRight w:val="0"/>
                  <w:marTop w:val="0"/>
                  <w:marBottom w:val="0"/>
                  <w:divBdr>
                    <w:top w:val="none" w:sz="0" w:space="0" w:color="auto"/>
                    <w:left w:val="none" w:sz="0" w:space="0" w:color="auto"/>
                    <w:bottom w:val="none" w:sz="0" w:space="0" w:color="auto"/>
                    <w:right w:val="none" w:sz="0" w:space="0" w:color="auto"/>
                  </w:divBdr>
                  <w:divsChild>
                    <w:div w:id="687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19651">
      <w:bodyDiv w:val="1"/>
      <w:marLeft w:val="0"/>
      <w:marRight w:val="0"/>
      <w:marTop w:val="0"/>
      <w:marBottom w:val="0"/>
      <w:divBdr>
        <w:top w:val="none" w:sz="0" w:space="0" w:color="auto"/>
        <w:left w:val="none" w:sz="0" w:space="0" w:color="auto"/>
        <w:bottom w:val="none" w:sz="0" w:space="0" w:color="auto"/>
        <w:right w:val="none" w:sz="0" w:space="0" w:color="auto"/>
      </w:divBdr>
      <w:divsChild>
        <w:div w:id="2054771845">
          <w:marLeft w:val="0"/>
          <w:marRight w:val="0"/>
          <w:marTop w:val="0"/>
          <w:marBottom w:val="0"/>
          <w:divBdr>
            <w:top w:val="none" w:sz="0" w:space="0" w:color="auto"/>
            <w:left w:val="none" w:sz="0" w:space="0" w:color="auto"/>
            <w:bottom w:val="none" w:sz="0" w:space="0" w:color="auto"/>
            <w:right w:val="none" w:sz="0" w:space="0" w:color="auto"/>
          </w:divBdr>
        </w:div>
        <w:div w:id="392579988">
          <w:marLeft w:val="0"/>
          <w:marRight w:val="0"/>
          <w:marTop w:val="0"/>
          <w:marBottom w:val="0"/>
          <w:divBdr>
            <w:top w:val="none" w:sz="0" w:space="0" w:color="auto"/>
            <w:left w:val="none" w:sz="0" w:space="0" w:color="auto"/>
            <w:bottom w:val="none" w:sz="0" w:space="0" w:color="auto"/>
            <w:right w:val="none" w:sz="0" w:space="0" w:color="auto"/>
          </w:divBdr>
        </w:div>
        <w:div w:id="417949822">
          <w:marLeft w:val="0"/>
          <w:marRight w:val="0"/>
          <w:marTop w:val="0"/>
          <w:marBottom w:val="0"/>
          <w:divBdr>
            <w:top w:val="none" w:sz="0" w:space="0" w:color="auto"/>
            <w:left w:val="none" w:sz="0" w:space="0" w:color="auto"/>
            <w:bottom w:val="none" w:sz="0" w:space="0" w:color="auto"/>
            <w:right w:val="none" w:sz="0" w:space="0" w:color="auto"/>
          </w:divBdr>
        </w:div>
        <w:div w:id="1303851947">
          <w:marLeft w:val="0"/>
          <w:marRight w:val="0"/>
          <w:marTop w:val="0"/>
          <w:marBottom w:val="0"/>
          <w:divBdr>
            <w:top w:val="none" w:sz="0" w:space="0" w:color="auto"/>
            <w:left w:val="none" w:sz="0" w:space="0" w:color="auto"/>
            <w:bottom w:val="none" w:sz="0" w:space="0" w:color="auto"/>
            <w:right w:val="none" w:sz="0" w:space="0" w:color="auto"/>
          </w:divBdr>
        </w:div>
      </w:divsChild>
    </w:div>
    <w:div w:id="1307199960">
      <w:bodyDiv w:val="1"/>
      <w:marLeft w:val="0"/>
      <w:marRight w:val="0"/>
      <w:marTop w:val="0"/>
      <w:marBottom w:val="0"/>
      <w:divBdr>
        <w:top w:val="none" w:sz="0" w:space="0" w:color="auto"/>
        <w:left w:val="none" w:sz="0" w:space="0" w:color="auto"/>
        <w:bottom w:val="none" w:sz="0" w:space="0" w:color="auto"/>
        <w:right w:val="none" w:sz="0" w:space="0" w:color="auto"/>
      </w:divBdr>
    </w:div>
    <w:div w:id="1412700992">
      <w:bodyDiv w:val="1"/>
      <w:marLeft w:val="0"/>
      <w:marRight w:val="0"/>
      <w:marTop w:val="0"/>
      <w:marBottom w:val="0"/>
      <w:divBdr>
        <w:top w:val="none" w:sz="0" w:space="0" w:color="auto"/>
        <w:left w:val="none" w:sz="0" w:space="0" w:color="auto"/>
        <w:bottom w:val="none" w:sz="0" w:space="0" w:color="auto"/>
        <w:right w:val="none" w:sz="0" w:space="0" w:color="auto"/>
      </w:divBdr>
      <w:divsChild>
        <w:div w:id="1147556298">
          <w:marLeft w:val="0"/>
          <w:marRight w:val="0"/>
          <w:marTop w:val="0"/>
          <w:marBottom w:val="0"/>
          <w:divBdr>
            <w:top w:val="none" w:sz="0" w:space="0" w:color="auto"/>
            <w:left w:val="none" w:sz="0" w:space="0" w:color="auto"/>
            <w:bottom w:val="none" w:sz="0" w:space="0" w:color="auto"/>
            <w:right w:val="none" w:sz="0" w:space="0" w:color="auto"/>
          </w:divBdr>
          <w:divsChild>
            <w:div w:id="403995485">
              <w:marLeft w:val="0"/>
              <w:marRight w:val="0"/>
              <w:marTop w:val="0"/>
              <w:marBottom w:val="0"/>
              <w:divBdr>
                <w:top w:val="none" w:sz="0" w:space="0" w:color="auto"/>
                <w:left w:val="none" w:sz="0" w:space="0" w:color="auto"/>
                <w:bottom w:val="none" w:sz="0" w:space="0" w:color="auto"/>
                <w:right w:val="none" w:sz="0" w:space="0" w:color="auto"/>
              </w:divBdr>
              <w:divsChild>
                <w:div w:id="850607846">
                  <w:marLeft w:val="0"/>
                  <w:marRight w:val="0"/>
                  <w:marTop w:val="0"/>
                  <w:marBottom w:val="0"/>
                  <w:divBdr>
                    <w:top w:val="none" w:sz="0" w:space="0" w:color="auto"/>
                    <w:left w:val="none" w:sz="0" w:space="0" w:color="auto"/>
                    <w:bottom w:val="none" w:sz="0" w:space="0" w:color="auto"/>
                    <w:right w:val="none" w:sz="0" w:space="0" w:color="auto"/>
                  </w:divBdr>
                  <w:divsChild>
                    <w:div w:id="16089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13341">
      <w:bodyDiv w:val="1"/>
      <w:marLeft w:val="0"/>
      <w:marRight w:val="0"/>
      <w:marTop w:val="0"/>
      <w:marBottom w:val="0"/>
      <w:divBdr>
        <w:top w:val="none" w:sz="0" w:space="0" w:color="auto"/>
        <w:left w:val="none" w:sz="0" w:space="0" w:color="auto"/>
        <w:bottom w:val="none" w:sz="0" w:space="0" w:color="auto"/>
        <w:right w:val="none" w:sz="0" w:space="0" w:color="auto"/>
      </w:divBdr>
    </w:div>
    <w:div w:id="1440099187">
      <w:bodyDiv w:val="1"/>
      <w:marLeft w:val="0"/>
      <w:marRight w:val="0"/>
      <w:marTop w:val="0"/>
      <w:marBottom w:val="0"/>
      <w:divBdr>
        <w:top w:val="none" w:sz="0" w:space="0" w:color="auto"/>
        <w:left w:val="none" w:sz="0" w:space="0" w:color="auto"/>
        <w:bottom w:val="none" w:sz="0" w:space="0" w:color="auto"/>
        <w:right w:val="none" w:sz="0" w:space="0" w:color="auto"/>
      </w:divBdr>
    </w:div>
    <w:div w:id="1653757721">
      <w:bodyDiv w:val="1"/>
      <w:marLeft w:val="0"/>
      <w:marRight w:val="0"/>
      <w:marTop w:val="0"/>
      <w:marBottom w:val="0"/>
      <w:divBdr>
        <w:top w:val="none" w:sz="0" w:space="0" w:color="auto"/>
        <w:left w:val="none" w:sz="0" w:space="0" w:color="auto"/>
        <w:bottom w:val="none" w:sz="0" w:space="0" w:color="auto"/>
        <w:right w:val="none" w:sz="0" w:space="0" w:color="auto"/>
      </w:divBdr>
    </w:div>
    <w:div w:id="1722365208">
      <w:bodyDiv w:val="1"/>
      <w:marLeft w:val="0"/>
      <w:marRight w:val="0"/>
      <w:marTop w:val="0"/>
      <w:marBottom w:val="0"/>
      <w:divBdr>
        <w:top w:val="none" w:sz="0" w:space="0" w:color="auto"/>
        <w:left w:val="none" w:sz="0" w:space="0" w:color="auto"/>
        <w:bottom w:val="none" w:sz="0" w:space="0" w:color="auto"/>
        <w:right w:val="none" w:sz="0" w:space="0" w:color="auto"/>
      </w:divBdr>
    </w:div>
    <w:div w:id="1821992464">
      <w:bodyDiv w:val="1"/>
      <w:marLeft w:val="0"/>
      <w:marRight w:val="0"/>
      <w:marTop w:val="0"/>
      <w:marBottom w:val="0"/>
      <w:divBdr>
        <w:top w:val="none" w:sz="0" w:space="0" w:color="auto"/>
        <w:left w:val="none" w:sz="0" w:space="0" w:color="auto"/>
        <w:bottom w:val="none" w:sz="0" w:space="0" w:color="auto"/>
        <w:right w:val="none" w:sz="0" w:space="0" w:color="auto"/>
      </w:divBdr>
    </w:div>
    <w:div w:id="1874733812">
      <w:bodyDiv w:val="1"/>
      <w:marLeft w:val="0"/>
      <w:marRight w:val="0"/>
      <w:marTop w:val="0"/>
      <w:marBottom w:val="0"/>
      <w:divBdr>
        <w:top w:val="none" w:sz="0" w:space="0" w:color="auto"/>
        <w:left w:val="none" w:sz="0" w:space="0" w:color="auto"/>
        <w:bottom w:val="none" w:sz="0" w:space="0" w:color="auto"/>
        <w:right w:val="none" w:sz="0" w:space="0" w:color="auto"/>
      </w:divBdr>
    </w:div>
    <w:div w:id="1963807766">
      <w:bodyDiv w:val="1"/>
      <w:marLeft w:val="0"/>
      <w:marRight w:val="0"/>
      <w:marTop w:val="0"/>
      <w:marBottom w:val="0"/>
      <w:divBdr>
        <w:top w:val="none" w:sz="0" w:space="0" w:color="auto"/>
        <w:left w:val="none" w:sz="0" w:space="0" w:color="auto"/>
        <w:bottom w:val="none" w:sz="0" w:space="0" w:color="auto"/>
        <w:right w:val="none" w:sz="0" w:space="0" w:color="auto"/>
      </w:divBdr>
    </w:div>
    <w:div w:id="2067751414">
      <w:bodyDiv w:val="1"/>
      <w:marLeft w:val="0"/>
      <w:marRight w:val="0"/>
      <w:marTop w:val="0"/>
      <w:marBottom w:val="0"/>
      <w:divBdr>
        <w:top w:val="none" w:sz="0" w:space="0" w:color="auto"/>
        <w:left w:val="none" w:sz="0" w:space="0" w:color="auto"/>
        <w:bottom w:val="none" w:sz="0" w:space="0" w:color="auto"/>
        <w:right w:val="none" w:sz="0" w:space="0" w:color="auto"/>
      </w:divBdr>
    </w:div>
    <w:div w:id="2106684352">
      <w:bodyDiv w:val="1"/>
      <w:marLeft w:val="0"/>
      <w:marRight w:val="0"/>
      <w:marTop w:val="0"/>
      <w:marBottom w:val="0"/>
      <w:divBdr>
        <w:top w:val="none" w:sz="0" w:space="0" w:color="auto"/>
        <w:left w:val="none" w:sz="0" w:space="0" w:color="auto"/>
        <w:bottom w:val="none" w:sz="0" w:space="0" w:color="auto"/>
        <w:right w:val="none" w:sz="0" w:space="0" w:color="auto"/>
      </w:divBdr>
    </w:div>
    <w:div w:id="2122793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view/articles/2018-02-09/there-s-a-crack-between-the-u-s-and-europe-over-china" TargetMode="External"/><Relationship Id="rId13" Type="http://schemas.openxmlformats.org/officeDocument/2006/relationships/hyperlink" Target="http://europa.eu/rapid/press-release_PRES-06-353_en.htm" TargetMode="External"/><Relationship Id="rId18" Type="http://schemas.openxmlformats.org/officeDocument/2006/relationships/hyperlink" Target="http://www.china-embassy.org/eng/zt/999999999/t187406.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seu.usmission.gov/declaration-u-s-ec-relations/" TargetMode="External"/><Relationship Id="rId7" Type="http://schemas.openxmlformats.org/officeDocument/2006/relationships/endnotes" Target="endnotes.xml"/><Relationship Id="rId12" Type="http://schemas.openxmlformats.org/officeDocument/2006/relationships/hyperlink" Target="http://www.newsbank.com" TargetMode="External"/><Relationship Id="rId17" Type="http://schemas.openxmlformats.org/officeDocument/2006/relationships/hyperlink" Target="http://www.fmprc.gov.cn/mfa_eng/wjdt_665385/wjzcs/t1143406.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mprc.gov.cn/eng/topics/ceupp/t27708.htm" TargetMode="External"/><Relationship Id="rId20" Type="http://schemas.openxmlformats.org/officeDocument/2006/relationships/hyperlink" Target="https://wikileaks.org/plusd/cables/03THEHAGUE3168_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graph.co.uk/news/worldnews/asia/china/1444109/EU-viewed-by-China-as-world-power-to-rival-US.html" TargetMode="External"/><Relationship Id="rId24" Type="http://schemas.openxmlformats.org/officeDocument/2006/relationships/hyperlink" Target="http://www.xinhuanet.com/english/2018-12/18/c_137681829.htm" TargetMode="External"/><Relationship Id="rId5" Type="http://schemas.openxmlformats.org/officeDocument/2006/relationships/webSettings" Target="webSettings.xml"/><Relationship Id="rId15" Type="http://schemas.openxmlformats.org/officeDocument/2006/relationships/hyperlink" Target="http://www.globaltimes.cn/content/1049431.shtml" TargetMode="External"/><Relationship Id="rId23" Type="http://schemas.openxmlformats.org/officeDocument/2006/relationships/hyperlink" Target="https://global.factiva.com/redir/default.aspx?P=sa&amp;an=T000000020040601e06100001&amp;cat=a&amp;ep=ASE" TargetMode="External"/><Relationship Id="rId10" Type="http://schemas.openxmlformats.org/officeDocument/2006/relationships/hyperlink" Target="http://www.ecfr.eu/podcasts/episode/ecfrs_world_in_30_minutes_how_china_and_asia_see_brexit" TargetMode="External"/><Relationship Id="rId19" Type="http://schemas.openxmlformats.org/officeDocument/2006/relationships/hyperlink" Target="https://wikileaks.org/plusd/cables/10STATE13969_a.html" TargetMode="External"/><Relationship Id="rId4" Type="http://schemas.openxmlformats.org/officeDocument/2006/relationships/settings" Target="settings.xml"/><Relationship Id="rId9" Type="http://schemas.openxmlformats.org/officeDocument/2006/relationships/hyperlink" Target="https://www.cfr.org/report/chinese-investment-critical-us-technology-risks-us-security-interests" TargetMode="External"/><Relationship Id="rId14" Type="http://schemas.openxmlformats.org/officeDocument/2006/relationships/hyperlink" Target="http://www.ecfr.eu/article/commentary_europe_alone_in_trumps_world7075" TargetMode="External"/><Relationship Id="rId22" Type="http://schemas.openxmlformats.org/officeDocument/2006/relationships/hyperlink" Target="http://eeas.europa.eu/archives/docs/us/docs/new_transatlantic_agenda_e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C24E6-FDD6-4025-87C4-B254A3E0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14596</TotalTime>
  <Pages>30</Pages>
  <Words>11992</Words>
  <Characters>68360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GATech</Company>
  <LinksUpToDate>false</LinksUpToDate>
  <CharactersWithSpaces>80192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Brown</dc:creator>
  <cp:keywords/>
  <dc:description/>
  <cp:lastModifiedBy>Scott Brown</cp:lastModifiedBy>
  <cp:revision>612</cp:revision>
  <dcterms:created xsi:type="dcterms:W3CDTF">2017-07-24T18:50:00Z</dcterms:created>
  <dcterms:modified xsi:type="dcterms:W3CDTF">2019-04-30T09:32:00Z</dcterms:modified>
</cp:coreProperties>
</file>