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1C" w:rsidRPr="00630421" w:rsidRDefault="006A3C1C" w:rsidP="006A3C1C">
      <w:pPr>
        <w:jc w:val="center"/>
        <w:rPr>
          <w:rFonts w:ascii="Times New Roman" w:hAnsi="Times New Roman" w:cs="Times New Roman"/>
          <w:b/>
          <w:sz w:val="24"/>
          <w:szCs w:val="24"/>
          <w:lang w:val="en-GB"/>
        </w:rPr>
      </w:pPr>
      <w:r w:rsidRPr="00630421">
        <w:rPr>
          <w:rFonts w:ascii="Times New Roman" w:hAnsi="Times New Roman" w:cs="Times New Roman"/>
          <w:b/>
          <w:sz w:val="24"/>
          <w:szCs w:val="24"/>
          <w:lang w:val="en-GB"/>
        </w:rPr>
        <w:t>The European Semester: Habitation or Improvement?</w:t>
      </w:r>
    </w:p>
    <w:p w:rsidR="006A3C1C" w:rsidRPr="00630421" w:rsidRDefault="006A3C1C" w:rsidP="006A3C1C">
      <w:pPr>
        <w:jc w:val="center"/>
        <w:rPr>
          <w:rFonts w:ascii="Times New Roman" w:hAnsi="Times New Roman" w:cs="Times New Roman"/>
          <w:sz w:val="24"/>
          <w:szCs w:val="24"/>
          <w:lang w:val="en-GB"/>
        </w:rPr>
      </w:pPr>
      <w:r w:rsidRPr="00630421">
        <w:rPr>
          <w:rFonts w:ascii="Times New Roman" w:hAnsi="Times New Roman" w:cs="Times New Roman"/>
          <w:sz w:val="24"/>
          <w:szCs w:val="24"/>
          <w:lang w:val="en-GB"/>
        </w:rPr>
        <w:t xml:space="preserve">Dr Maja Savevska </w:t>
      </w:r>
    </w:p>
    <w:p w:rsidR="00CE272B" w:rsidRPr="00630421" w:rsidRDefault="00CE272B" w:rsidP="00CE272B">
      <w:pPr>
        <w:shd w:val="clear" w:color="auto" w:fill="FFFFFF"/>
        <w:spacing w:after="0" w:line="240" w:lineRule="auto"/>
        <w:jc w:val="center"/>
        <w:rPr>
          <w:rFonts w:ascii="Times New Roman" w:eastAsia="Times New Roman" w:hAnsi="Times New Roman" w:cs="Times New Roman"/>
          <w:color w:val="222222"/>
          <w:sz w:val="24"/>
          <w:szCs w:val="24"/>
        </w:rPr>
      </w:pPr>
      <w:r w:rsidRPr="00630421">
        <w:rPr>
          <w:rFonts w:ascii="Times New Roman" w:eastAsia="Times New Roman" w:hAnsi="Times New Roman" w:cs="Times New Roman"/>
          <w:color w:val="222222"/>
          <w:sz w:val="24"/>
          <w:szCs w:val="24"/>
        </w:rPr>
        <w:t>Assistant Professor - International Political Economy</w:t>
      </w:r>
    </w:p>
    <w:p w:rsidR="00CE272B" w:rsidRPr="00630421" w:rsidRDefault="00CE272B" w:rsidP="00CE272B">
      <w:pPr>
        <w:shd w:val="clear" w:color="auto" w:fill="FFFFFF"/>
        <w:spacing w:after="0" w:line="240" w:lineRule="auto"/>
        <w:jc w:val="center"/>
        <w:rPr>
          <w:rFonts w:ascii="Times New Roman" w:eastAsia="Times New Roman" w:hAnsi="Times New Roman" w:cs="Times New Roman"/>
          <w:color w:val="222222"/>
          <w:sz w:val="24"/>
          <w:szCs w:val="24"/>
        </w:rPr>
      </w:pPr>
      <w:r w:rsidRPr="00630421">
        <w:rPr>
          <w:rFonts w:ascii="Times New Roman" w:eastAsia="Times New Roman" w:hAnsi="Times New Roman" w:cs="Times New Roman"/>
          <w:color w:val="222222"/>
          <w:sz w:val="24"/>
          <w:szCs w:val="24"/>
        </w:rPr>
        <w:t>Department of Political Science and International Relations</w:t>
      </w:r>
    </w:p>
    <w:p w:rsidR="00CE272B" w:rsidRPr="00630421" w:rsidRDefault="00CE272B" w:rsidP="00CE272B">
      <w:pPr>
        <w:shd w:val="clear" w:color="auto" w:fill="FFFFFF"/>
        <w:spacing w:after="0" w:line="240" w:lineRule="auto"/>
        <w:jc w:val="center"/>
        <w:rPr>
          <w:rFonts w:ascii="Times New Roman" w:eastAsia="Times New Roman" w:hAnsi="Times New Roman" w:cs="Times New Roman"/>
          <w:color w:val="222222"/>
          <w:sz w:val="24"/>
          <w:szCs w:val="24"/>
        </w:rPr>
      </w:pPr>
      <w:r w:rsidRPr="00630421">
        <w:rPr>
          <w:rFonts w:ascii="Times New Roman" w:eastAsia="Times New Roman" w:hAnsi="Times New Roman" w:cs="Times New Roman"/>
          <w:color w:val="222222"/>
          <w:sz w:val="24"/>
          <w:szCs w:val="24"/>
        </w:rPr>
        <w:t xml:space="preserve">SHSS | Nazarbayev </w:t>
      </w:r>
      <w:r w:rsidR="009424FA" w:rsidRPr="00630421">
        <w:rPr>
          <w:rFonts w:ascii="Times New Roman" w:eastAsia="Times New Roman" w:hAnsi="Times New Roman" w:cs="Times New Roman"/>
          <w:color w:val="222222"/>
          <w:sz w:val="24"/>
          <w:szCs w:val="24"/>
        </w:rPr>
        <w:t>University</w:t>
      </w:r>
    </w:p>
    <w:p w:rsidR="00CE272B" w:rsidRPr="00630421" w:rsidRDefault="00CE272B" w:rsidP="00CE272B">
      <w:pPr>
        <w:shd w:val="clear" w:color="auto" w:fill="FFFFFF"/>
        <w:spacing w:after="0" w:line="240" w:lineRule="auto"/>
        <w:jc w:val="center"/>
        <w:rPr>
          <w:rFonts w:ascii="Times New Roman" w:eastAsia="Times New Roman" w:hAnsi="Times New Roman" w:cs="Times New Roman"/>
          <w:color w:val="222222"/>
          <w:sz w:val="24"/>
          <w:szCs w:val="24"/>
        </w:rPr>
      </w:pPr>
      <w:r w:rsidRPr="00630421">
        <w:rPr>
          <w:rFonts w:ascii="Times New Roman" w:eastAsia="Times New Roman" w:hAnsi="Times New Roman" w:cs="Times New Roman"/>
          <w:color w:val="222222"/>
          <w:sz w:val="24"/>
          <w:szCs w:val="24"/>
        </w:rPr>
        <w:t>Email: </w:t>
      </w:r>
      <w:hyperlink r:id="rId8" w:tgtFrame="_blank" w:history="1">
        <w:r w:rsidRPr="00630421">
          <w:rPr>
            <w:rFonts w:ascii="Times New Roman" w:eastAsia="Times New Roman" w:hAnsi="Times New Roman" w:cs="Times New Roman"/>
            <w:color w:val="1155CC"/>
            <w:sz w:val="24"/>
            <w:szCs w:val="24"/>
            <w:u w:val="single"/>
          </w:rPr>
          <w:t>maja.savevska@nu.edu.kz</w:t>
        </w:r>
      </w:hyperlink>
      <w:r w:rsidRPr="00630421">
        <w:rPr>
          <w:rFonts w:ascii="Times New Roman" w:eastAsia="Times New Roman" w:hAnsi="Times New Roman" w:cs="Times New Roman"/>
          <w:color w:val="222222"/>
          <w:sz w:val="24"/>
          <w:szCs w:val="24"/>
        </w:rPr>
        <w:t> | </w:t>
      </w:r>
      <w:hyperlink r:id="rId9" w:tgtFrame="_blank" w:history="1">
        <w:r w:rsidRPr="00630421">
          <w:rPr>
            <w:rFonts w:ascii="Times New Roman" w:eastAsia="Times New Roman" w:hAnsi="Times New Roman" w:cs="Times New Roman"/>
            <w:color w:val="1155CC"/>
            <w:sz w:val="24"/>
            <w:szCs w:val="24"/>
            <w:u w:val="single"/>
          </w:rPr>
          <w:t>msavevska@gmail.com</w:t>
        </w:r>
      </w:hyperlink>
    </w:p>
    <w:p w:rsidR="00CE272B" w:rsidRDefault="00CE272B" w:rsidP="00CE272B">
      <w:pPr>
        <w:shd w:val="clear" w:color="auto" w:fill="FFFFFF"/>
        <w:spacing w:after="0" w:line="240" w:lineRule="auto"/>
        <w:jc w:val="center"/>
        <w:rPr>
          <w:rFonts w:ascii="Times New Roman" w:eastAsia="Times New Roman" w:hAnsi="Times New Roman" w:cs="Times New Roman"/>
          <w:color w:val="222222"/>
          <w:sz w:val="24"/>
          <w:szCs w:val="24"/>
        </w:rPr>
      </w:pPr>
      <w:r w:rsidRPr="00630421">
        <w:rPr>
          <w:rFonts w:ascii="Times New Roman" w:eastAsia="Times New Roman" w:hAnsi="Times New Roman" w:cs="Times New Roman"/>
          <w:color w:val="222222"/>
          <w:sz w:val="24"/>
          <w:szCs w:val="24"/>
        </w:rPr>
        <w:t xml:space="preserve">Phone: +77078070069 </w:t>
      </w:r>
    </w:p>
    <w:p w:rsidR="00A86CB6" w:rsidRPr="00630421" w:rsidRDefault="00A86CB6" w:rsidP="00CE272B">
      <w:pPr>
        <w:shd w:val="clear" w:color="auto" w:fill="FFFFFF"/>
        <w:spacing w:after="0" w:line="240" w:lineRule="auto"/>
        <w:jc w:val="center"/>
        <w:rPr>
          <w:rFonts w:ascii="Times New Roman" w:eastAsia="Times New Roman" w:hAnsi="Times New Roman" w:cs="Times New Roman"/>
          <w:color w:val="222222"/>
          <w:sz w:val="24"/>
          <w:szCs w:val="24"/>
        </w:rPr>
      </w:pPr>
    </w:p>
    <w:p w:rsidR="00A86CB6" w:rsidRPr="00630421" w:rsidRDefault="00A86CB6" w:rsidP="00A86CB6">
      <w:pPr>
        <w:jc w:val="center"/>
        <w:rPr>
          <w:rFonts w:ascii="Times New Roman" w:hAnsi="Times New Roman" w:cs="Times New Roman"/>
          <w:sz w:val="24"/>
          <w:szCs w:val="24"/>
          <w:lang w:val="en-GB"/>
        </w:rPr>
      </w:pPr>
      <w:r>
        <w:rPr>
          <w:rFonts w:ascii="Times New Roman" w:hAnsi="Times New Roman" w:cs="Times New Roman"/>
          <w:sz w:val="24"/>
          <w:szCs w:val="24"/>
          <w:lang w:val="en-GB"/>
        </w:rPr>
        <w:t>Paper presented at the 2017 EUSA Conference, Miami, Florida.</w:t>
      </w:r>
    </w:p>
    <w:p w:rsidR="001707BD" w:rsidRPr="001707BD" w:rsidRDefault="001707BD" w:rsidP="001707BD">
      <w:pPr>
        <w:pStyle w:val="Heading1"/>
        <w:rPr>
          <w:color w:val="auto"/>
          <w:lang w:val="en-GB"/>
        </w:rPr>
      </w:pPr>
      <w:r w:rsidRPr="001707BD">
        <w:rPr>
          <w:color w:val="auto"/>
          <w:lang w:val="en-GB"/>
        </w:rPr>
        <w:t>Introduction</w:t>
      </w:r>
    </w:p>
    <w:p w:rsidR="002A6955" w:rsidRPr="00630421" w:rsidRDefault="00FA1E1A" w:rsidP="007A608F">
      <w:pPr>
        <w:spacing w:line="240" w:lineRule="auto"/>
        <w:jc w:val="both"/>
        <w:rPr>
          <w:rFonts w:ascii="Times New Roman" w:hAnsi="Times New Roman" w:cs="Times New Roman"/>
          <w:sz w:val="24"/>
          <w:szCs w:val="24"/>
          <w:lang w:val="en-GB"/>
        </w:rPr>
      </w:pPr>
      <w:r w:rsidRPr="00630421">
        <w:rPr>
          <w:rFonts w:ascii="Times New Roman" w:hAnsi="Times New Roman" w:cs="Times New Roman"/>
          <w:sz w:val="24"/>
          <w:szCs w:val="24"/>
          <w:lang w:val="en-GB"/>
        </w:rPr>
        <w:t xml:space="preserve">Prior to the Great Recession, </w:t>
      </w:r>
      <w:proofErr w:type="spellStart"/>
      <w:r w:rsidRPr="00630421">
        <w:rPr>
          <w:rFonts w:ascii="Times New Roman" w:hAnsi="Times New Roman" w:cs="Times New Roman"/>
          <w:sz w:val="24"/>
          <w:szCs w:val="24"/>
          <w:lang w:val="en-GB"/>
        </w:rPr>
        <w:t>Harmes</w:t>
      </w:r>
      <w:proofErr w:type="spellEnd"/>
      <w:r w:rsidRPr="00630421">
        <w:rPr>
          <w:rFonts w:ascii="Times New Roman" w:hAnsi="Times New Roman" w:cs="Times New Roman"/>
          <w:sz w:val="24"/>
          <w:szCs w:val="24"/>
          <w:lang w:val="en-GB"/>
        </w:rPr>
        <w:t xml:space="preserve"> (2006) painted a bleak, albeit slightly overblown, picture of </w:t>
      </w:r>
      <w:r w:rsidR="007A0C24" w:rsidRPr="00630421">
        <w:rPr>
          <w:rFonts w:ascii="Times New Roman" w:hAnsi="Times New Roman" w:cs="Times New Roman"/>
          <w:sz w:val="24"/>
          <w:szCs w:val="24"/>
          <w:lang w:val="en-GB"/>
        </w:rPr>
        <w:t xml:space="preserve">the existence of </w:t>
      </w:r>
      <w:r w:rsidRPr="00630421">
        <w:rPr>
          <w:rFonts w:ascii="Times New Roman" w:hAnsi="Times New Roman" w:cs="Times New Roman"/>
          <w:sz w:val="24"/>
          <w:szCs w:val="24"/>
          <w:lang w:val="en-GB"/>
        </w:rPr>
        <w:t>a Hayekian</w:t>
      </w:r>
      <w:r w:rsidR="0062740D">
        <w:rPr>
          <w:rFonts w:ascii="Times New Roman" w:hAnsi="Times New Roman" w:cs="Times New Roman"/>
          <w:sz w:val="24"/>
          <w:szCs w:val="24"/>
          <w:lang w:val="en-GB"/>
        </w:rPr>
        <w:t>,</w:t>
      </w:r>
      <w:r w:rsidRPr="00630421">
        <w:rPr>
          <w:rFonts w:ascii="Times New Roman" w:hAnsi="Times New Roman" w:cs="Times New Roman"/>
          <w:sz w:val="24"/>
          <w:szCs w:val="24"/>
          <w:lang w:val="en-GB"/>
        </w:rPr>
        <w:t xml:space="preserve"> m</w:t>
      </w:r>
      <w:r w:rsidR="00397995" w:rsidRPr="00630421">
        <w:rPr>
          <w:rFonts w:ascii="Times New Roman" w:hAnsi="Times New Roman" w:cs="Times New Roman"/>
          <w:sz w:val="24"/>
          <w:szCs w:val="24"/>
          <w:lang w:val="en-GB"/>
        </w:rPr>
        <w:t>arket-preserving</w:t>
      </w:r>
      <w:r w:rsidRPr="00630421">
        <w:rPr>
          <w:rFonts w:ascii="Times New Roman" w:hAnsi="Times New Roman" w:cs="Times New Roman"/>
          <w:sz w:val="24"/>
          <w:szCs w:val="24"/>
          <w:lang w:val="en-GB"/>
        </w:rPr>
        <w:t xml:space="preserve"> </w:t>
      </w:r>
      <w:r w:rsidR="00397995" w:rsidRPr="00630421">
        <w:rPr>
          <w:rFonts w:ascii="Times New Roman" w:hAnsi="Times New Roman" w:cs="Times New Roman"/>
          <w:sz w:val="24"/>
          <w:szCs w:val="24"/>
          <w:lang w:val="en-GB"/>
        </w:rPr>
        <w:t>federalism</w:t>
      </w:r>
      <w:r w:rsidRPr="00630421">
        <w:rPr>
          <w:rFonts w:ascii="Times New Roman" w:hAnsi="Times New Roman" w:cs="Times New Roman"/>
          <w:sz w:val="24"/>
          <w:szCs w:val="24"/>
          <w:lang w:val="en-GB"/>
        </w:rPr>
        <w:t xml:space="preserve"> </w:t>
      </w:r>
      <w:r w:rsidR="007A0C24" w:rsidRPr="00630421">
        <w:rPr>
          <w:rFonts w:ascii="Times New Roman" w:hAnsi="Times New Roman" w:cs="Times New Roman"/>
          <w:sz w:val="24"/>
          <w:szCs w:val="24"/>
          <w:lang w:val="en-GB"/>
        </w:rPr>
        <w:t>in the Eurozone. Th</w:t>
      </w:r>
      <w:r w:rsidRPr="00630421">
        <w:rPr>
          <w:rFonts w:ascii="Times New Roman" w:hAnsi="Times New Roman" w:cs="Times New Roman"/>
          <w:sz w:val="24"/>
          <w:szCs w:val="24"/>
          <w:lang w:val="en-GB"/>
        </w:rPr>
        <w:t>erein</w:t>
      </w:r>
      <w:r w:rsidR="00E24CDC" w:rsidRPr="00630421">
        <w:rPr>
          <w:rFonts w:ascii="Times New Roman" w:hAnsi="Times New Roman" w:cs="Times New Roman"/>
          <w:sz w:val="24"/>
          <w:szCs w:val="24"/>
          <w:lang w:val="en-GB"/>
        </w:rPr>
        <w:t>,</w:t>
      </w:r>
      <w:r w:rsidRPr="00630421">
        <w:rPr>
          <w:rFonts w:ascii="Times New Roman" w:hAnsi="Times New Roman" w:cs="Times New Roman"/>
          <w:sz w:val="24"/>
          <w:szCs w:val="24"/>
          <w:lang w:val="en-GB"/>
        </w:rPr>
        <w:t xml:space="preserve"> the </w:t>
      </w:r>
      <w:proofErr w:type="spellStart"/>
      <w:r w:rsidR="007A0C24" w:rsidRPr="00630421">
        <w:rPr>
          <w:rFonts w:ascii="Times New Roman" w:hAnsi="Times New Roman" w:cs="Times New Roman"/>
          <w:sz w:val="24"/>
          <w:szCs w:val="24"/>
          <w:lang w:val="en-GB"/>
        </w:rPr>
        <w:t>disembedded</w:t>
      </w:r>
      <w:proofErr w:type="spellEnd"/>
      <w:r w:rsidR="007A0C24" w:rsidRPr="00630421">
        <w:rPr>
          <w:rFonts w:ascii="Times New Roman" w:hAnsi="Times New Roman" w:cs="Times New Roman"/>
          <w:sz w:val="24"/>
          <w:szCs w:val="24"/>
          <w:lang w:val="en-GB"/>
        </w:rPr>
        <w:t xml:space="preserve"> economy, which </w:t>
      </w:r>
      <w:r w:rsidR="0062740D">
        <w:rPr>
          <w:rFonts w:ascii="Times New Roman" w:hAnsi="Times New Roman" w:cs="Times New Roman"/>
          <w:sz w:val="24"/>
          <w:szCs w:val="24"/>
          <w:lang w:val="en-GB"/>
        </w:rPr>
        <w:t>operates</w:t>
      </w:r>
      <w:r w:rsidR="007A0C24" w:rsidRPr="00630421">
        <w:rPr>
          <w:rFonts w:ascii="Times New Roman" w:hAnsi="Times New Roman" w:cs="Times New Roman"/>
          <w:sz w:val="24"/>
          <w:szCs w:val="24"/>
          <w:lang w:val="en-GB"/>
        </w:rPr>
        <w:t xml:space="preserve"> one level above </w:t>
      </w:r>
      <w:r w:rsidR="0062740D">
        <w:rPr>
          <w:rFonts w:ascii="Times New Roman" w:hAnsi="Times New Roman" w:cs="Times New Roman"/>
          <w:sz w:val="24"/>
          <w:szCs w:val="24"/>
          <w:lang w:val="en-GB"/>
        </w:rPr>
        <w:t>the market-correcting polity, i</w:t>
      </w:r>
      <w:r w:rsidR="007A0C24" w:rsidRPr="00630421">
        <w:rPr>
          <w:rFonts w:ascii="Times New Roman" w:hAnsi="Times New Roman" w:cs="Times New Roman"/>
          <w:sz w:val="24"/>
          <w:szCs w:val="24"/>
          <w:lang w:val="en-GB"/>
        </w:rPr>
        <w:t>s exerting disciplinary pressure on</w:t>
      </w:r>
      <w:r w:rsidRPr="00630421">
        <w:rPr>
          <w:rFonts w:ascii="Times New Roman" w:hAnsi="Times New Roman" w:cs="Times New Roman"/>
          <w:sz w:val="24"/>
          <w:szCs w:val="24"/>
          <w:lang w:val="en-GB"/>
        </w:rPr>
        <w:t xml:space="preserve"> </w:t>
      </w:r>
      <w:r w:rsidR="007A0C24" w:rsidRPr="00630421">
        <w:rPr>
          <w:rFonts w:ascii="Times New Roman" w:hAnsi="Times New Roman" w:cs="Times New Roman"/>
          <w:sz w:val="24"/>
          <w:szCs w:val="24"/>
          <w:lang w:val="en-GB"/>
        </w:rPr>
        <w:t>sovereign states, which</w:t>
      </w:r>
      <w:r w:rsidR="0062740D">
        <w:rPr>
          <w:rFonts w:ascii="Times New Roman" w:hAnsi="Times New Roman" w:cs="Times New Roman"/>
          <w:sz w:val="24"/>
          <w:szCs w:val="24"/>
          <w:lang w:val="en-GB"/>
        </w:rPr>
        <w:t>,</w:t>
      </w:r>
      <w:r w:rsidR="007A0C24" w:rsidRPr="00630421">
        <w:rPr>
          <w:rFonts w:ascii="Times New Roman" w:hAnsi="Times New Roman" w:cs="Times New Roman"/>
          <w:sz w:val="24"/>
          <w:szCs w:val="24"/>
          <w:lang w:val="en-GB"/>
        </w:rPr>
        <w:t xml:space="preserve"> in turn, led to jurisdictional competition and </w:t>
      </w:r>
      <w:r w:rsidR="00E24CDC" w:rsidRPr="00630421">
        <w:rPr>
          <w:rFonts w:ascii="Times New Roman" w:hAnsi="Times New Roman" w:cs="Times New Roman"/>
          <w:sz w:val="24"/>
          <w:szCs w:val="24"/>
          <w:lang w:val="en-GB"/>
        </w:rPr>
        <w:t>diminished</w:t>
      </w:r>
      <w:r w:rsidR="007A0C24" w:rsidRPr="00630421">
        <w:rPr>
          <w:rFonts w:ascii="Times New Roman" w:hAnsi="Times New Roman" w:cs="Times New Roman"/>
          <w:sz w:val="24"/>
          <w:szCs w:val="24"/>
          <w:lang w:val="en-GB"/>
        </w:rPr>
        <w:t xml:space="preserve"> policy space </w:t>
      </w:r>
      <w:r w:rsidR="00397995" w:rsidRPr="00630421">
        <w:rPr>
          <w:rFonts w:ascii="Times New Roman" w:hAnsi="Times New Roman" w:cs="Times New Roman"/>
          <w:sz w:val="24"/>
          <w:szCs w:val="24"/>
          <w:lang w:val="en-GB"/>
        </w:rPr>
        <w:t>(</w:t>
      </w:r>
      <w:proofErr w:type="spellStart"/>
      <w:r w:rsidR="00397995" w:rsidRPr="00630421">
        <w:rPr>
          <w:rFonts w:ascii="Times New Roman" w:hAnsi="Times New Roman" w:cs="Times New Roman"/>
          <w:sz w:val="24"/>
          <w:szCs w:val="24"/>
          <w:lang w:val="en-GB"/>
        </w:rPr>
        <w:t>Harmes</w:t>
      </w:r>
      <w:proofErr w:type="spellEnd"/>
      <w:r w:rsidR="00397995" w:rsidRPr="00630421">
        <w:rPr>
          <w:rFonts w:ascii="Times New Roman" w:hAnsi="Times New Roman" w:cs="Times New Roman"/>
          <w:sz w:val="24"/>
          <w:szCs w:val="24"/>
          <w:lang w:val="en-GB"/>
        </w:rPr>
        <w:t xml:space="preserve">, 2006). </w:t>
      </w:r>
      <w:r w:rsidR="007A0C24" w:rsidRPr="00630421">
        <w:rPr>
          <w:rFonts w:ascii="Times New Roman" w:hAnsi="Times New Roman" w:cs="Times New Roman"/>
          <w:sz w:val="24"/>
          <w:szCs w:val="24"/>
          <w:lang w:val="en-GB"/>
        </w:rPr>
        <w:t xml:space="preserve">As the concept of disembeddedness </w:t>
      </w:r>
      <w:r w:rsidR="00644E1E" w:rsidRPr="00630421">
        <w:rPr>
          <w:rFonts w:ascii="Times New Roman" w:hAnsi="Times New Roman" w:cs="Times New Roman"/>
          <w:sz w:val="24"/>
          <w:szCs w:val="24"/>
          <w:lang w:val="en-GB"/>
        </w:rPr>
        <w:t>gained</w:t>
      </w:r>
      <w:r w:rsidR="007A0C24" w:rsidRPr="00630421">
        <w:rPr>
          <w:rFonts w:ascii="Times New Roman" w:hAnsi="Times New Roman" w:cs="Times New Roman"/>
          <w:sz w:val="24"/>
          <w:szCs w:val="24"/>
          <w:lang w:val="en-GB"/>
        </w:rPr>
        <w:t xml:space="preserve"> traction in the E</w:t>
      </w:r>
      <w:r w:rsidR="00E24CDC" w:rsidRPr="00630421">
        <w:rPr>
          <w:rFonts w:ascii="Times New Roman" w:hAnsi="Times New Roman" w:cs="Times New Roman"/>
          <w:sz w:val="24"/>
          <w:szCs w:val="24"/>
          <w:lang w:val="en-GB"/>
        </w:rPr>
        <w:t>uropean S</w:t>
      </w:r>
      <w:r w:rsidR="007A0C24" w:rsidRPr="00630421">
        <w:rPr>
          <w:rFonts w:ascii="Times New Roman" w:hAnsi="Times New Roman" w:cs="Times New Roman"/>
          <w:sz w:val="24"/>
          <w:szCs w:val="24"/>
          <w:lang w:val="en-GB"/>
        </w:rPr>
        <w:t xml:space="preserve">tudies literature, </w:t>
      </w:r>
      <w:r w:rsidR="00E24CDC" w:rsidRPr="00630421">
        <w:rPr>
          <w:rFonts w:ascii="Times New Roman" w:hAnsi="Times New Roman" w:cs="Times New Roman"/>
          <w:sz w:val="24"/>
          <w:szCs w:val="24"/>
          <w:lang w:val="en-GB"/>
        </w:rPr>
        <w:t>more scholars resorted to Polanyi’s critique of the Gold St</w:t>
      </w:r>
      <w:r w:rsidR="001354DF" w:rsidRPr="00630421">
        <w:rPr>
          <w:rFonts w:ascii="Times New Roman" w:hAnsi="Times New Roman" w:cs="Times New Roman"/>
          <w:sz w:val="24"/>
          <w:szCs w:val="24"/>
          <w:lang w:val="en-GB"/>
        </w:rPr>
        <w:t>andard</w:t>
      </w:r>
      <w:r w:rsidR="00E24CDC" w:rsidRPr="00630421">
        <w:rPr>
          <w:rFonts w:ascii="Times New Roman" w:hAnsi="Times New Roman" w:cs="Times New Roman"/>
          <w:sz w:val="24"/>
          <w:szCs w:val="24"/>
          <w:lang w:val="en-GB"/>
        </w:rPr>
        <w:t xml:space="preserve"> as an expedient way of making sense of the never-ending restructuring of the European Union</w:t>
      </w:r>
      <w:r w:rsidR="002A6955" w:rsidRPr="00630421">
        <w:rPr>
          <w:rFonts w:ascii="Times New Roman" w:hAnsi="Times New Roman" w:cs="Times New Roman"/>
          <w:sz w:val="24"/>
          <w:szCs w:val="24"/>
          <w:lang w:val="en-GB"/>
        </w:rPr>
        <w:t xml:space="preserve"> (EU)</w:t>
      </w:r>
      <w:r w:rsidR="00E24CDC" w:rsidRPr="00630421">
        <w:rPr>
          <w:rFonts w:ascii="Times New Roman" w:hAnsi="Times New Roman" w:cs="Times New Roman"/>
          <w:sz w:val="24"/>
          <w:szCs w:val="24"/>
          <w:lang w:val="en-GB"/>
        </w:rPr>
        <w:t xml:space="preserve"> governance structure. </w:t>
      </w:r>
      <w:r w:rsidR="002A6955" w:rsidRPr="00630421">
        <w:rPr>
          <w:rFonts w:ascii="Times New Roman" w:hAnsi="Times New Roman" w:cs="Times New Roman"/>
          <w:sz w:val="24"/>
          <w:szCs w:val="24"/>
        </w:rPr>
        <w:t xml:space="preserve">A critical appraisal of that literature informs us that Polanyi is used in two opposite ways when explaining the EU integration project. </w:t>
      </w:r>
      <w:r w:rsidR="00AA27F1" w:rsidRPr="00630421">
        <w:rPr>
          <w:rFonts w:ascii="Times New Roman" w:hAnsi="Times New Roman" w:cs="Times New Roman"/>
          <w:sz w:val="24"/>
          <w:szCs w:val="24"/>
        </w:rPr>
        <w:t>On the one hand,</w:t>
      </w:r>
      <w:r w:rsidR="002A6955" w:rsidRPr="00630421">
        <w:rPr>
          <w:rFonts w:ascii="Times New Roman" w:hAnsi="Times New Roman" w:cs="Times New Roman"/>
          <w:sz w:val="24"/>
          <w:szCs w:val="24"/>
        </w:rPr>
        <w:t xml:space="preserve"> scholars rooted in the critical economy tradition render the EU disemb</w:t>
      </w:r>
      <w:r w:rsidR="005A2FD0">
        <w:rPr>
          <w:rFonts w:ascii="Times New Roman" w:hAnsi="Times New Roman" w:cs="Times New Roman"/>
          <w:sz w:val="24"/>
          <w:szCs w:val="24"/>
        </w:rPr>
        <w:t>edded by looking at the marketiz</w:t>
      </w:r>
      <w:r w:rsidR="002A6955" w:rsidRPr="00630421">
        <w:rPr>
          <w:rFonts w:ascii="Times New Roman" w:hAnsi="Times New Roman" w:cs="Times New Roman"/>
          <w:sz w:val="24"/>
          <w:szCs w:val="24"/>
        </w:rPr>
        <w:t>ation dynamics</w:t>
      </w:r>
      <w:r w:rsidR="00B816AC" w:rsidRPr="00630421">
        <w:rPr>
          <w:rFonts w:ascii="Times New Roman" w:hAnsi="Times New Roman" w:cs="Times New Roman"/>
          <w:sz w:val="24"/>
          <w:szCs w:val="24"/>
        </w:rPr>
        <w:t xml:space="preserve"> (</w:t>
      </w:r>
      <w:proofErr w:type="spellStart"/>
      <w:r w:rsidR="00B816AC" w:rsidRPr="00630421">
        <w:rPr>
          <w:rFonts w:ascii="Times New Roman" w:hAnsi="Times New Roman" w:cs="Times New Roman"/>
          <w:sz w:val="24"/>
          <w:szCs w:val="24"/>
        </w:rPr>
        <w:t>O</w:t>
      </w:r>
      <w:r w:rsidR="003D339A" w:rsidRPr="00630421">
        <w:rPr>
          <w:rFonts w:ascii="Times New Roman" w:hAnsi="Times New Roman" w:cs="Times New Roman"/>
          <w:sz w:val="24"/>
          <w:szCs w:val="24"/>
        </w:rPr>
        <w:t>verbeek</w:t>
      </w:r>
      <w:proofErr w:type="spellEnd"/>
      <w:r w:rsidR="003D339A" w:rsidRPr="00630421">
        <w:rPr>
          <w:rFonts w:ascii="Times New Roman" w:hAnsi="Times New Roman" w:cs="Times New Roman"/>
          <w:sz w:val="24"/>
          <w:szCs w:val="24"/>
        </w:rPr>
        <w:t xml:space="preserve"> and van Apeldoorn, 2012</w:t>
      </w:r>
      <w:r w:rsidR="00B816AC" w:rsidRPr="00630421">
        <w:rPr>
          <w:rFonts w:ascii="Times New Roman" w:hAnsi="Times New Roman" w:cs="Times New Roman"/>
          <w:sz w:val="24"/>
          <w:szCs w:val="24"/>
        </w:rPr>
        <w:t>)</w:t>
      </w:r>
      <w:r w:rsidR="00AA27F1" w:rsidRPr="00630421">
        <w:rPr>
          <w:rFonts w:ascii="Times New Roman" w:hAnsi="Times New Roman" w:cs="Times New Roman"/>
          <w:sz w:val="24"/>
          <w:szCs w:val="24"/>
        </w:rPr>
        <w:t xml:space="preserve">. Yet, other </w:t>
      </w:r>
      <w:r w:rsidR="002A6955" w:rsidRPr="00630421">
        <w:rPr>
          <w:rFonts w:ascii="Times New Roman" w:hAnsi="Times New Roman" w:cs="Times New Roman"/>
          <w:sz w:val="24"/>
          <w:szCs w:val="24"/>
        </w:rPr>
        <w:t>scholars</w:t>
      </w:r>
      <w:r w:rsidR="00644E1E" w:rsidRPr="00630421">
        <w:rPr>
          <w:rFonts w:ascii="Times New Roman" w:hAnsi="Times New Roman" w:cs="Times New Roman"/>
          <w:sz w:val="24"/>
          <w:szCs w:val="24"/>
        </w:rPr>
        <w:t xml:space="preserve"> </w:t>
      </w:r>
      <w:r w:rsidR="002A6955" w:rsidRPr="00630421">
        <w:rPr>
          <w:rFonts w:ascii="Times New Roman" w:hAnsi="Times New Roman" w:cs="Times New Roman"/>
          <w:sz w:val="24"/>
          <w:szCs w:val="24"/>
        </w:rPr>
        <w:t>have identified a re-embedding tendency by bringing forward instances of social and environmental protection</w:t>
      </w:r>
      <w:r w:rsidR="00B816AC" w:rsidRPr="00630421">
        <w:rPr>
          <w:rFonts w:ascii="Times New Roman" w:hAnsi="Times New Roman" w:cs="Times New Roman"/>
          <w:sz w:val="24"/>
          <w:szCs w:val="24"/>
        </w:rPr>
        <w:t xml:space="preserve"> (</w:t>
      </w:r>
      <w:proofErr w:type="spellStart"/>
      <w:r w:rsidR="003D339A" w:rsidRPr="00630421">
        <w:rPr>
          <w:rFonts w:ascii="Times New Roman" w:hAnsi="Times New Roman" w:cs="Times New Roman"/>
          <w:sz w:val="24"/>
          <w:szCs w:val="24"/>
        </w:rPr>
        <w:t>Caporaso</w:t>
      </w:r>
      <w:proofErr w:type="spellEnd"/>
      <w:r w:rsidR="003D339A" w:rsidRPr="00630421">
        <w:rPr>
          <w:rFonts w:ascii="Times New Roman" w:hAnsi="Times New Roman" w:cs="Times New Roman"/>
          <w:sz w:val="24"/>
          <w:szCs w:val="24"/>
        </w:rPr>
        <w:t xml:space="preserve"> and </w:t>
      </w:r>
      <w:proofErr w:type="spellStart"/>
      <w:r w:rsidR="003D339A" w:rsidRPr="00630421">
        <w:rPr>
          <w:rFonts w:ascii="Times New Roman" w:hAnsi="Times New Roman" w:cs="Times New Roman"/>
          <w:sz w:val="24"/>
          <w:szCs w:val="24"/>
        </w:rPr>
        <w:t>Tarrow</w:t>
      </w:r>
      <w:proofErr w:type="spellEnd"/>
      <w:r w:rsidR="003D339A" w:rsidRPr="00630421">
        <w:rPr>
          <w:rFonts w:ascii="Times New Roman" w:hAnsi="Times New Roman" w:cs="Times New Roman"/>
          <w:sz w:val="24"/>
          <w:szCs w:val="24"/>
        </w:rPr>
        <w:t>, 2009</w:t>
      </w:r>
      <w:r w:rsidR="00B816AC" w:rsidRPr="00630421">
        <w:rPr>
          <w:rFonts w:ascii="Times New Roman" w:hAnsi="Times New Roman" w:cs="Times New Roman"/>
          <w:sz w:val="24"/>
          <w:szCs w:val="24"/>
        </w:rPr>
        <w:t>).</w:t>
      </w:r>
    </w:p>
    <w:p w:rsidR="00B816AC" w:rsidRPr="00630421" w:rsidRDefault="00B816AC" w:rsidP="007A608F">
      <w:pPr>
        <w:spacing w:line="240" w:lineRule="auto"/>
        <w:jc w:val="both"/>
        <w:rPr>
          <w:rFonts w:ascii="Times New Roman" w:hAnsi="Times New Roman" w:cs="Times New Roman"/>
          <w:sz w:val="24"/>
          <w:szCs w:val="24"/>
        </w:rPr>
      </w:pPr>
      <w:r w:rsidRPr="00630421">
        <w:rPr>
          <w:rFonts w:ascii="Times New Roman" w:hAnsi="Times New Roman" w:cs="Times New Roman"/>
          <w:sz w:val="24"/>
          <w:szCs w:val="24"/>
          <w:lang w:val="en-GB"/>
        </w:rPr>
        <w:t xml:space="preserve">As the Eurozone crisis continued unabated, each new Polanyian intervention on the ‘state of dis/embeddedness’ </w:t>
      </w:r>
      <w:r w:rsidR="00AA27F1" w:rsidRPr="00630421">
        <w:rPr>
          <w:rFonts w:ascii="Times New Roman" w:hAnsi="Times New Roman" w:cs="Times New Roman"/>
          <w:sz w:val="24"/>
          <w:szCs w:val="24"/>
          <w:lang w:val="en-GB"/>
        </w:rPr>
        <w:t xml:space="preserve">in the EU </w:t>
      </w:r>
      <w:r w:rsidRPr="00630421">
        <w:rPr>
          <w:rFonts w:ascii="Times New Roman" w:hAnsi="Times New Roman" w:cs="Times New Roman"/>
          <w:sz w:val="24"/>
          <w:szCs w:val="24"/>
          <w:lang w:val="en-GB"/>
        </w:rPr>
        <w:t>became more sophisticated and nuanced. In a re</w:t>
      </w:r>
      <w:r w:rsidR="003D339A" w:rsidRPr="00630421">
        <w:rPr>
          <w:rFonts w:ascii="Times New Roman" w:hAnsi="Times New Roman" w:cs="Times New Roman"/>
          <w:sz w:val="24"/>
          <w:szCs w:val="24"/>
          <w:lang w:val="en-GB"/>
        </w:rPr>
        <w:t>cent</w:t>
      </w:r>
      <w:r w:rsidR="008C7966" w:rsidRPr="00630421">
        <w:rPr>
          <w:rFonts w:ascii="Times New Roman" w:hAnsi="Times New Roman" w:cs="Times New Roman"/>
          <w:sz w:val="24"/>
          <w:szCs w:val="24"/>
          <w:lang w:val="en-GB"/>
        </w:rPr>
        <w:t>ly</w:t>
      </w:r>
      <w:r w:rsidR="003D339A" w:rsidRPr="00630421">
        <w:rPr>
          <w:rFonts w:ascii="Times New Roman" w:hAnsi="Times New Roman" w:cs="Times New Roman"/>
          <w:sz w:val="24"/>
          <w:szCs w:val="24"/>
          <w:lang w:val="en-GB"/>
        </w:rPr>
        <w:t xml:space="preserve"> edited volume, entitled </w:t>
      </w:r>
      <w:r w:rsidR="003D339A" w:rsidRPr="00630421">
        <w:rPr>
          <w:rFonts w:ascii="Times New Roman" w:hAnsi="Times New Roman" w:cs="Times New Roman"/>
          <w:i/>
          <w:sz w:val="24"/>
          <w:szCs w:val="24"/>
          <w:lang w:val="en-GB"/>
        </w:rPr>
        <w:t>The</w:t>
      </w:r>
      <w:r w:rsidRPr="00630421">
        <w:rPr>
          <w:rFonts w:ascii="Times New Roman" w:hAnsi="Times New Roman" w:cs="Times New Roman"/>
          <w:i/>
          <w:sz w:val="24"/>
          <w:szCs w:val="24"/>
        </w:rPr>
        <w:t xml:space="preserve"> Future of the Euro</w:t>
      </w:r>
      <w:r w:rsidRPr="00630421">
        <w:rPr>
          <w:rFonts w:ascii="Times New Roman" w:hAnsi="Times New Roman" w:cs="Times New Roman"/>
          <w:sz w:val="24"/>
          <w:szCs w:val="24"/>
        </w:rPr>
        <w:t xml:space="preserve">, </w:t>
      </w:r>
      <w:proofErr w:type="spellStart"/>
      <w:r w:rsidRPr="00630421">
        <w:rPr>
          <w:rFonts w:ascii="Times New Roman" w:hAnsi="Times New Roman" w:cs="Times New Roman"/>
          <w:sz w:val="24"/>
          <w:szCs w:val="24"/>
        </w:rPr>
        <w:t>Matthijs</w:t>
      </w:r>
      <w:proofErr w:type="spellEnd"/>
      <w:r w:rsidRPr="00630421">
        <w:rPr>
          <w:rFonts w:ascii="Times New Roman" w:hAnsi="Times New Roman" w:cs="Times New Roman"/>
          <w:sz w:val="24"/>
          <w:szCs w:val="24"/>
        </w:rPr>
        <w:t xml:space="preserve"> and Blyth (2015) </w:t>
      </w:r>
      <w:r w:rsidR="0027457B">
        <w:rPr>
          <w:rFonts w:ascii="Times New Roman" w:hAnsi="Times New Roman" w:cs="Times New Roman"/>
          <w:sz w:val="24"/>
          <w:szCs w:val="24"/>
        </w:rPr>
        <w:t>argue</w:t>
      </w:r>
      <w:r w:rsidRPr="00630421">
        <w:rPr>
          <w:rFonts w:ascii="Times New Roman" w:hAnsi="Times New Roman" w:cs="Times New Roman"/>
          <w:sz w:val="24"/>
          <w:szCs w:val="24"/>
        </w:rPr>
        <w:t xml:space="preserve"> that </w:t>
      </w:r>
      <w:r w:rsidR="000E6C6E" w:rsidRPr="00630421">
        <w:rPr>
          <w:rFonts w:ascii="Times New Roman" w:hAnsi="Times New Roman" w:cs="Times New Roman"/>
          <w:sz w:val="24"/>
          <w:szCs w:val="24"/>
        </w:rPr>
        <w:t>enduring</w:t>
      </w:r>
      <w:r w:rsidRPr="00630421">
        <w:rPr>
          <w:rFonts w:ascii="Times New Roman" w:hAnsi="Times New Roman" w:cs="Times New Roman"/>
          <w:sz w:val="24"/>
          <w:szCs w:val="24"/>
        </w:rPr>
        <w:t xml:space="preserve"> problems in the Eurozone stems from the lack of its embeddedness in three forgotten unions: a) financial union which entails more than mere banking union, b) fiscal union which entails not only supranational economic governance but also issuance of common debt instruments, and c) political union with sufficient democratic legitimacy. This paper builds</w:t>
      </w:r>
      <w:r w:rsidR="000E6C6E" w:rsidRPr="00630421">
        <w:rPr>
          <w:rFonts w:ascii="Times New Roman" w:hAnsi="Times New Roman" w:cs="Times New Roman"/>
          <w:sz w:val="24"/>
          <w:szCs w:val="24"/>
        </w:rPr>
        <w:t xml:space="preserve"> on their efforts, </w:t>
      </w:r>
      <w:r w:rsidR="00AA27F1" w:rsidRPr="00630421">
        <w:rPr>
          <w:rFonts w:ascii="Times New Roman" w:hAnsi="Times New Roman" w:cs="Times New Roman"/>
          <w:sz w:val="24"/>
          <w:szCs w:val="24"/>
        </w:rPr>
        <w:t>however</w:t>
      </w:r>
      <w:r w:rsidR="000E6C6E" w:rsidRPr="00630421">
        <w:rPr>
          <w:rFonts w:ascii="Times New Roman" w:hAnsi="Times New Roman" w:cs="Times New Roman"/>
          <w:sz w:val="24"/>
          <w:szCs w:val="24"/>
        </w:rPr>
        <w:t xml:space="preserve"> it argues</w:t>
      </w:r>
      <w:r w:rsidRPr="00630421">
        <w:rPr>
          <w:rFonts w:ascii="Times New Roman" w:hAnsi="Times New Roman" w:cs="Times New Roman"/>
          <w:sz w:val="24"/>
          <w:szCs w:val="24"/>
        </w:rPr>
        <w:t xml:space="preserve"> that it is not enough to embed the E</w:t>
      </w:r>
      <w:r w:rsidR="000E6C6E" w:rsidRPr="00630421">
        <w:rPr>
          <w:rFonts w:ascii="Times New Roman" w:hAnsi="Times New Roman" w:cs="Times New Roman"/>
          <w:sz w:val="24"/>
          <w:szCs w:val="24"/>
        </w:rPr>
        <w:t xml:space="preserve">conomic and </w:t>
      </w:r>
      <w:r w:rsidRPr="00630421">
        <w:rPr>
          <w:rFonts w:ascii="Times New Roman" w:hAnsi="Times New Roman" w:cs="Times New Roman"/>
          <w:sz w:val="24"/>
          <w:szCs w:val="24"/>
        </w:rPr>
        <w:t>M</w:t>
      </w:r>
      <w:r w:rsidR="000E6C6E" w:rsidRPr="00630421">
        <w:rPr>
          <w:rFonts w:ascii="Times New Roman" w:hAnsi="Times New Roman" w:cs="Times New Roman"/>
          <w:sz w:val="24"/>
          <w:szCs w:val="24"/>
        </w:rPr>
        <w:t xml:space="preserve">onetary </w:t>
      </w:r>
      <w:r w:rsidRPr="00630421">
        <w:rPr>
          <w:rFonts w:ascii="Times New Roman" w:hAnsi="Times New Roman" w:cs="Times New Roman"/>
          <w:sz w:val="24"/>
          <w:szCs w:val="24"/>
        </w:rPr>
        <w:t>U</w:t>
      </w:r>
      <w:r w:rsidR="000E6C6E" w:rsidRPr="00630421">
        <w:rPr>
          <w:rFonts w:ascii="Times New Roman" w:hAnsi="Times New Roman" w:cs="Times New Roman"/>
          <w:sz w:val="24"/>
          <w:szCs w:val="24"/>
        </w:rPr>
        <w:t>nion (EMU)</w:t>
      </w:r>
      <w:r w:rsidRPr="00630421">
        <w:rPr>
          <w:rFonts w:ascii="Times New Roman" w:hAnsi="Times New Roman" w:cs="Times New Roman"/>
          <w:sz w:val="24"/>
          <w:szCs w:val="24"/>
        </w:rPr>
        <w:t xml:space="preserve"> in a scaled up financial, fiscal and political union</w:t>
      </w:r>
      <w:r w:rsidR="00644E1E" w:rsidRPr="00630421">
        <w:rPr>
          <w:rFonts w:ascii="Times New Roman" w:hAnsi="Times New Roman" w:cs="Times New Roman"/>
          <w:sz w:val="24"/>
          <w:szCs w:val="24"/>
        </w:rPr>
        <w:t>s</w:t>
      </w:r>
      <w:r w:rsidRPr="00630421">
        <w:rPr>
          <w:rFonts w:ascii="Times New Roman" w:hAnsi="Times New Roman" w:cs="Times New Roman"/>
          <w:sz w:val="24"/>
          <w:szCs w:val="24"/>
        </w:rPr>
        <w:t>. For the euro problems to disappear we need to embe</w:t>
      </w:r>
      <w:r w:rsidR="00644E1E" w:rsidRPr="00630421">
        <w:rPr>
          <w:rFonts w:ascii="Times New Roman" w:hAnsi="Times New Roman" w:cs="Times New Roman"/>
          <w:sz w:val="24"/>
          <w:szCs w:val="24"/>
        </w:rPr>
        <w:t>d the single market and</w:t>
      </w:r>
      <w:r w:rsidRPr="00630421">
        <w:rPr>
          <w:rFonts w:ascii="Times New Roman" w:hAnsi="Times New Roman" w:cs="Times New Roman"/>
          <w:sz w:val="24"/>
          <w:szCs w:val="24"/>
        </w:rPr>
        <w:t xml:space="preserve"> currency in a social Europe </w:t>
      </w:r>
      <w:r w:rsidR="000E6C6E" w:rsidRPr="00630421">
        <w:rPr>
          <w:rFonts w:ascii="Times New Roman" w:hAnsi="Times New Roman" w:cs="Times New Roman"/>
          <w:sz w:val="24"/>
          <w:szCs w:val="24"/>
        </w:rPr>
        <w:t xml:space="preserve">because the </w:t>
      </w:r>
      <w:r w:rsidRPr="00630421">
        <w:rPr>
          <w:rFonts w:ascii="Times New Roman" w:hAnsi="Times New Roman" w:cs="Times New Roman"/>
          <w:sz w:val="24"/>
          <w:szCs w:val="24"/>
        </w:rPr>
        <w:t xml:space="preserve">mere scaling up of prerogatives at the </w:t>
      </w:r>
      <w:r w:rsidR="00644E1E" w:rsidRPr="00630421">
        <w:rPr>
          <w:rFonts w:ascii="Times New Roman" w:hAnsi="Times New Roman" w:cs="Times New Roman"/>
          <w:sz w:val="24"/>
          <w:szCs w:val="24"/>
        </w:rPr>
        <w:t>regional</w:t>
      </w:r>
      <w:r w:rsidRPr="00630421">
        <w:rPr>
          <w:rFonts w:ascii="Times New Roman" w:hAnsi="Times New Roman" w:cs="Times New Roman"/>
          <w:sz w:val="24"/>
          <w:szCs w:val="24"/>
        </w:rPr>
        <w:t xml:space="preserve"> level would not in itself resolve the social malaise that </w:t>
      </w:r>
      <w:r w:rsidR="00AA27F1" w:rsidRPr="00630421">
        <w:rPr>
          <w:rFonts w:ascii="Times New Roman" w:hAnsi="Times New Roman" w:cs="Times New Roman"/>
          <w:sz w:val="24"/>
          <w:szCs w:val="24"/>
        </w:rPr>
        <w:t xml:space="preserve">can be solved </w:t>
      </w:r>
      <w:r w:rsidRPr="00630421">
        <w:rPr>
          <w:rFonts w:ascii="Times New Roman" w:hAnsi="Times New Roman" w:cs="Times New Roman"/>
          <w:sz w:val="24"/>
          <w:szCs w:val="24"/>
        </w:rPr>
        <w:t xml:space="preserve">by pro-growth policy solutions. </w:t>
      </w:r>
      <w:r w:rsidR="00D50700" w:rsidRPr="00630421">
        <w:rPr>
          <w:rFonts w:ascii="Times New Roman" w:hAnsi="Times New Roman" w:cs="Times New Roman"/>
          <w:sz w:val="24"/>
          <w:szCs w:val="24"/>
        </w:rPr>
        <w:t xml:space="preserve">The very act of scaling </w:t>
      </w:r>
      <w:r w:rsidR="00AA27F1" w:rsidRPr="00630421">
        <w:rPr>
          <w:rFonts w:ascii="Times New Roman" w:hAnsi="Times New Roman" w:cs="Times New Roman"/>
          <w:sz w:val="24"/>
          <w:szCs w:val="24"/>
        </w:rPr>
        <w:t>up a policy area or of strengthened coordination at the EU level</w:t>
      </w:r>
      <w:r w:rsidR="00D50700" w:rsidRPr="00630421">
        <w:rPr>
          <w:rFonts w:ascii="Times New Roman" w:hAnsi="Times New Roman" w:cs="Times New Roman"/>
          <w:sz w:val="24"/>
          <w:szCs w:val="24"/>
        </w:rPr>
        <w:t xml:space="preserve"> does not make the structure </w:t>
      </w:r>
      <w:r w:rsidR="00644E1E" w:rsidRPr="00630421">
        <w:rPr>
          <w:rFonts w:ascii="Times New Roman" w:hAnsi="Times New Roman" w:cs="Times New Roman"/>
          <w:sz w:val="24"/>
          <w:szCs w:val="24"/>
        </w:rPr>
        <w:t xml:space="preserve">embedded or </w:t>
      </w:r>
      <w:r w:rsidR="00D50700" w:rsidRPr="00630421">
        <w:rPr>
          <w:rFonts w:ascii="Times New Roman" w:hAnsi="Times New Roman" w:cs="Times New Roman"/>
          <w:sz w:val="24"/>
          <w:szCs w:val="24"/>
        </w:rPr>
        <w:t xml:space="preserve">disembedded, but the substance of the policy </w:t>
      </w:r>
      <w:r w:rsidR="0027457B">
        <w:rPr>
          <w:rFonts w:ascii="Times New Roman" w:hAnsi="Times New Roman" w:cs="Times New Roman"/>
          <w:sz w:val="24"/>
          <w:szCs w:val="24"/>
        </w:rPr>
        <w:t>choices</w:t>
      </w:r>
      <w:r w:rsidR="0027457B">
        <w:rPr>
          <w:rFonts w:ascii="Times New Roman" w:hAnsi="Times New Roman" w:cs="Times New Roman"/>
          <w:color w:val="000000"/>
          <w:sz w:val="24"/>
          <w:szCs w:val="24"/>
          <w:shd w:val="clear" w:color="auto" w:fill="FFFFFF"/>
        </w:rPr>
        <w:t xml:space="preserve"> that set competitiveness as their</w:t>
      </w:r>
      <w:r w:rsidR="00D50700" w:rsidRPr="00630421">
        <w:rPr>
          <w:rFonts w:ascii="Times New Roman" w:hAnsi="Times New Roman" w:cs="Times New Roman"/>
          <w:color w:val="000000"/>
          <w:sz w:val="24"/>
          <w:szCs w:val="24"/>
          <w:shd w:val="clear" w:color="auto" w:fill="FFFFFF"/>
        </w:rPr>
        <w:t xml:space="preserve"> objective and internal deval</w:t>
      </w:r>
      <w:r w:rsidR="0027457B">
        <w:rPr>
          <w:rFonts w:ascii="Times New Roman" w:hAnsi="Times New Roman" w:cs="Times New Roman"/>
          <w:color w:val="000000"/>
          <w:sz w:val="24"/>
          <w:szCs w:val="24"/>
          <w:shd w:val="clear" w:color="auto" w:fill="FFFFFF"/>
        </w:rPr>
        <w:t>uation as their</w:t>
      </w:r>
      <w:r w:rsidR="00D50700" w:rsidRPr="00630421">
        <w:rPr>
          <w:rFonts w:ascii="Times New Roman" w:hAnsi="Times New Roman" w:cs="Times New Roman"/>
          <w:color w:val="000000"/>
          <w:sz w:val="24"/>
          <w:szCs w:val="24"/>
          <w:shd w:val="clear" w:color="auto" w:fill="FFFFFF"/>
        </w:rPr>
        <w:t xml:space="preserve"> means</w:t>
      </w:r>
      <w:r w:rsidR="006A3C1C" w:rsidRPr="00630421">
        <w:rPr>
          <w:rFonts w:ascii="Times New Roman" w:hAnsi="Times New Roman" w:cs="Times New Roman"/>
          <w:color w:val="000000"/>
          <w:sz w:val="24"/>
          <w:szCs w:val="24"/>
          <w:shd w:val="clear" w:color="auto" w:fill="FFFFFF"/>
        </w:rPr>
        <w:t xml:space="preserve">. </w:t>
      </w:r>
      <w:r w:rsidR="00D50700" w:rsidRPr="00630421">
        <w:rPr>
          <w:rFonts w:ascii="Times New Roman" w:hAnsi="Times New Roman" w:cs="Times New Roman"/>
          <w:sz w:val="24"/>
          <w:szCs w:val="24"/>
        </w:rPr>
        <w:t>From a Polanyian perspective it is the quality of the policies and not the level of their enactment that result</w:t>
      </w:r>
      <w:r w:rsidR="00443772" w:rsidRPr="00630421">
        <w:rPr>
          <w:rFonts w:ascii="Times New Roman" w:hAnsi="Times New Roman" w:cs="Times New Roman"/>
          <w:sz w:val="24"/>
          <w:szCs w:val="24"/>
        </w:rPr>
        <w:t>s</w:t>
      </w:r>
      <w:r w:rsidR="00D50700" w:rsidRPr="00630421">
        <w:rPr>
          <w:rFonts w:ascii="Times New Roman" w:hAnsi="Times New Roman" w:cs="Times New Roman"/>
          <w:sz w:val="24"/>
          <w:szCs w:val="24"/>
        </w:rPr>
        <w:t xml:space="preserve"> in a </w:t>
      </w:r>
      <w:r w:rsidR="00443772" w:rsidRPr="00630421">
        <w:rPr>
          <w:rFonts w:ascii="Times New Roman" w:hAnsi="Times New Roman" w:cs="Times New Roman"/>
          <w:sz w:val="24"/>
          <w:szCs w:val="24"/>
        </w:rPr>
        <w:t xml:space="preserve">disembedded predicament. </w:t>
      </w:r>
    </w:p>
    <w:p w:rsidR="00C53E6A" w:rsidRPr="00630421" w:rsidRDefault="00644E1E" w:rsidP="00226CDD">
      <w:pPr>
        <w:spacing w:line="240" w:lineRule="auto"/>
        <w:jc w:val="both"/>
        <w:rPr>
          <w:rFonts w:ascii="Times New Roman" w:hAnsi="Times New Roman" w:cs="Times New Roman"/>
          <w:sz w:val="24"/>
          <w:szCs w:val="24"/>
        </w:rPr>
      </w:pPr>
      <w:r w:rsidRPr="00630421">
        <w:rPr>
          <w:rFonts w:ascii="Times New Roman" w:hAnsi="Times New Roman" w:cs="Times New Roman"/>
          <w:sz w:val="24"/>
          <w:szCs w:val="24"/>
        </w:rPr>
        <w:t>My intervention in the ongoing debates consists of advocating a Polanyian perspective that abandon</w:t>
      </w:r>
      <w:r w:rsidR="008C7966" w:rsidRPr="00630421">
        <w:rPr>
          <w:rFonts w:ascii="Times New Roman" w:hAnsi="Times New Roman" w:cs="Times New Roman"/>
          <w:sz w:val="24"/>
          <w:szCs w:val="24"/>
        </w:rPr>
        <w:t>s</w:t>
      </w:r>
      <w:r w:rsidRPr="00630421">
        <w:rPr>
          <w:rFonts w:ascii="Times New Roman" w:hAnsi="Times New Roman" w:cs="Times New Roman"/>
          <w:sz w:val="24"/>
          <w:szCs w:val="24"/>
        </w:rPr>
        <w:t xml:space="preserve"> the terminological fight </w:t>
      </w:r>
      <w:r w:rsidR="00443772" w:rsidRPr="00630421">
        <w:rPr>
          <w:rFonts w:ascii="Times New Roman" w:hAnsi="Times New Roman" w:cs="Times New Roman"/>
          <w:sz w:val="24"/>
          <w:szCs w:val="24"/>
        </w:rPr>
        <w:t>over</w:t>
      </w:r>
      <w:r w:rsidRPr="00630421">
        <w:rPr>
          <w:rFonts w:ascii="Times New Roman" w:hAnsi="Times New Roman" w:cs="Times New Roman"/>
          <w:sz w:val="24"/>
          <w:szCs w:val="24"/>
        </w:rPr>
        <w:t xml:space="preserve"> qualifying the</w:t>
      </w:r>
      <w:r w:rsidR="00AA27F1" w:rsidRPr="00630421">
        <w:rPr>
          <w:rFonts w:ascii="Times New Roman" w:hAnsi="Times New Roman" w:cs="Times New Roman"/>
          <w:sz w:val="24"/>
          <w:szCs w:val="24"/>
        </w:rPr>
        <w:t xml:space="preserve"> Eurozone</w:t>
      </w:r>
      <w:r w:rsidRPr="00630421">
        <w:rPr>
          <w:rFonts w:ascii="Times New Roman" w:hAnsi="Times New Roman" w:cs="Times New Roman"/>
          <w:sz w:val="24"/>
          <w:szCs w:val="24"/>
        </w:rPr>
        <w:t xml:space="preserve"> as embedded or </w:t>
      </w:r>
      <w:r w:rsidR="00C928FF" w:rsidRPr="00630421">
        <w:rPr>
          <w:rFonts w:ascii="Times New Roman" w:hAnsi="Times New Roman" w:cs="Times New Roman"/>
          <w:sz w:val="24"/>
          <w:szCs w:val="24"/>
        </w:rPr>
        <w:t>disembedded. Instead, this paper</w:t>
      </w:r>
      <w:r w:rsidRPr="00630421">
        <w:rPr>
          <w:rFonts w:ascii="Times New Roman" w:hAnsi="Times New Roman" w:cs="Times New Roman"/>
          <w:sz w:val="24"/>
          <w:szCs w:val="24"/>
        </w:rPr>
        <w:t xml:space="preserve"> exploit</w:t>
      </w:r>
      <w:r w:rsidR="00C928FF" w:rsidRPr="00630421">
        <w:rPr>
          <w:rFonts w:ascii="Times New Roman" w:hAnsi="Times New Roman" w:cs="Times New Roman"/>
          <w:sz w:val="24"/>
          <w:szCs w:val="24"/>
        </w:rPr>
        <w:t>s</w:t>
      </w:r>
      <w:r w:rsidR="00AA27F1" w:rsidRPr="00630421">
        <w:rPr>
          <w:rFonts w:ascii="Times New Roman" w:hAnsi="Times New Roman" w:cs="Times New Roman"/>
          <w:sz w:val="24"/>
          <w:szCs w:val="24"/>
        </w:rPr>
        <w:t xml:space="preserve"> the analytical potential of Polanyi’s concepts</w:t>
      </w:r>
      <w:r w:rsidRPr="00630421">
        <w:rPr>
          <w:rFonts w:ascii="Times New Roman" w:hAnsi="Times New Roman" w:cs="Times New Roman"/>
          <w:sz w:val="24"/>
          <w:szCs w:val="24"/>
        </w:rPr>
        <w:t xml:space="preserve"> of improvement and habitation </w:t>
      </w:r>
      <w:r w:rsidR="00443772" w:rsidRPr="00630421">
        <w:rPr>
          <w:rFonts w:ascii="Times New Roman" w:hAnsi="Times New Roman" w:cs="Times New Roman"/>
          <w:sz w:val="24"/>
          <w:szCs w:val="24"/>
        </w:rPr>
        <w:t>by examining</w:t>
      </w:r>
      <w:r w:rsidRPr="00630421">
        <w:rPr>
          <w:rFonts w:ascii="Times New Roman" w:hAnsi="Times New Roman" w:cs="Times New Roman"/>
          <w:sz w:val="24"/>
          <w:szCs w:val="24"/>
        </w:rPr>
        <w:t xml:space="preserve"> the effects of the European Semester on the social policies of member states. </w:t>
      </w:r>
      <w:r w:rsidR="00C53E6A" w:rsidRPr="00630421">
        <w:rPr>
          <w:rFonts w:ascii="Times New Roman" w:hAnsi="Times New Roman" w:cs="Times New Roman"/>
          <w:sz w:val="24"/>
          <w:szCs w:val="24"/>
        </w:rPr>
        <w:t xml:space="preserve">The paper is divided in five sections. Following the introduction, </w:t>
      </w:r>
      <w:r w:rsidR="00C53E6A" w:rsidRPr="00630421">
        <w:rPr>
          <w:rFonts w:ascii="Times New Roman" w:hAnsi="Times New Roman" w:cs="Times New Roman"/>
          <w:sz w:val="24"/>
          <w:szCs w:val="24"/>
        </w:rPr>
        <w:lastRenderedPageBreak/>
        <w:t xml:space="preserve">the second section </w:t>
      </w:r>
      <w:r w:rsidR="00A02E11">
        <w:rPr>
          <w:rFonts w:ascii="Times New Roman" w:hAnsi="Times New Roman" w:cs="Times New Roman"/>
          <w:sz w:val="24"/>
          <w:szCs w:val="24"/>
        </w:rPr>
        <w:t>discusses the conceptual contradictions present in Polanyi’s concepts of dis/embeddedness. The paper then proceeds to assess to what extend the embedded currency area approach deviates from its Polan</w:t>
      </w:r>
      <w:r w:rsidR="00DB1100">
        <w:rPr>
          <w:rFonts w:ascii="Times New Roman" w:hAnsi="Times New Roman" w:cs="Times New Roman"/>
          <w:sz w:val="24"/>
          <w:szCs w:val="24"/>
        </w:rPr>
        <w:t>yian roots and concludes by introducing two other forgotten Polanyian concepts that are bette</w:t>
      </w:r>
      <w:r w:rsidR="00E0253F">
        <w:rPr>
          <w:rFonts w:ascii="Times New Roman" w:hAnsi="Times New Roman" w:cs="Times New Roman"/>
          <w:sz w:val="24"/>
          <w:szCs w:val="24"/>
        </w:rPr>
        <w:t>r suited at measuring the extent</w:t>
      </w:r>
      <w:r w:rsidR="00DB1100">
        <w:rPr>
          <w:rFonts w:ascii="Times New Roman" w:hAnsi="Times New Roman" w:cs="Times New Roman"/>
          <w:sz w:val="24"/>
          <w:szCs w:val="24"/>
        </w:rPr>
        <w:t xml:space="preserve"> of dis/embeddedness. </w:t>
      </w:r>
    </w:p>
    <w:p w:rsidR="00AF7770" w:rsidRPr="00DF399C" w:rsidRDefault="00AF7770" w:rsidP="00DF399C">
      <w:pPr>
        <w:pStyle w:val="Heading1"/>
        <w:rPr>
          <w:i/>
          <w:color w:val="auto"/>
        </w:rPr>
      </w:pPr>
      <w:r w:rsidRPr="00DF399C">
        <w:rPr>
          <w:color w:val="auto"/>
        </w:rPr>
        <w:t xml:space="preserve">Polanyi’s use in European Studies </w:t>
      </w:r>
    </w:p>
    <w:p w:rsidR="00B97333" w:rsidRPr="00DD6029" w:rsidRDefault="00B97333" w:rsidP="007A608F">
      <w:pPr>
        <w:spacing w:after="240" w:line="240" w:lineRule="auto"/>
        <w:jc w:val="both"/>
        <w:rPr>
          <w:rFonts w:ascii="Times New Roman" w:hAnsi="Times New Roman" w:cs="Times New Roman"/>
          <w:sz w:val="24"/>
          <w:szCs w:val="24"/>
        </w:rPr>
      </w:pPr>
      <w:r w:rsidRPr="00DD6029">
        <w:rPr>
          <w:rFonts w:ascii="Times New Roman" w:hAnsi="Times New Roman" w:cs="Times New Roman"/>
          <w:sz w:val="24"/>
          <w:szCs w:val="24"/>
        </w:rPr>
        <w:t xml:space="preserve">In an attempt to describe the socio-economic transformations of the European Union, increasing number of scholars have made reference to Polanyi’s double-movement thesis. While Polanyi is fairly prominent among sociologists, anthropologists and critical political economists, recourse to his work has become common among EU studies scholars. His concepts of disembedded and double-movement </w:t>
      </w:r>
      <w:r w:rsidR="00E31D2B" w:rsidRPr="00DD6029">
        <w:rPr>
          <w:rFonts w:ascii="Times New Roman" w:hAnsi="Times New Roman" w:cs="Times New Roman"/>
          <w:sz w:val="24"/>
          <w:szCs w:val="24"/>
        </w:rPr>
        <w:t>have</w:t>
      </w:r>
      <w:r w:rsidRPr="00DD6029">
        <w:rPr>
          <w:rFonts w:ascii="Times New Roman" w:hAnsi="Times New Roman" w:cs="Times New Roman"/>
          <w:sz w:val="24"/>
          <w:szCs w:val="24"/>
        </w:rPr>
        <w:t xml:space="preserve"> become the new catchphrases because </w:t>
      </w:r>
      <w:r w:rsidR="00E31D2B" w:rsidRPr="00DD6029">
        <w:rPr>
          <w:rFonts w:ascii="Times New Roman" w:hAnsi="Times New Roman" w:cs="Times New Roman"/>
          <w:sz w:val="24"/>
          <w:szCs w:val="24"/>
        </w:rPr>
        <w:t xml:space="preserve">the current economic predicament is reminiscent of the </w:t>
      </w:r>
      <w:r w:rsidR="00E31D2B" w:rsidRPr="00DD6029">
        <w:rPr>
          <w:rFonts w:ascii="Times New Roman" w:hAnsi="Times New Roman" w:cs="Times New Roman"/>
          <w:i/>
          <w:sz w:val="24"/>
          <w:szCs w:val="24"/>
        </w:rPr>
        <w:t xml:space="preserve">laissez-faire </w:t>
      </w:r>
      <w:r w:rsidR="00E31D2B" w:rsidRPr="00DD6029">
        <w:rPr>
          <w:rFonts w:ascii="Times New Roman" w:hAnsi="Times New Roman" w:cs="Times New Roman"/>
          <w:sz w:val="24"/>
          <w:szCs w:val="24"/>
        </w:rPr>
        <w:t>capitalism that Polanyi criticized. M</w:t>
      </w:r>
      <w:r w:rsidRPr="00DD6029">
        <w:rPr>
          <w:rFonts w:ascii="Times New Roman" w:hAnsi="Times New Roman" w:cs="Times New Roman"/>
          <w:sz w:val="24"/>
          <w:szCs w:val="24"/>
        </w:rPr>
        <w:t xml:space="preserve">uch like the Gold Standard, where macroeconomic imbalances where </w:t>
      </w:r>
      <w:r w:rsidR="00E31D2B" w:rsidRPr="00DD6029">
        <w:rPr>
          <w:rFonts w:ascii="Times New Roman" w:hAnsi="Times New Roman" w:cs="Times New Roman"/>
          <w:sz w:val="24"/>
          <w:szCs w:val="24"/>
        </w:rPr>
        <w:t xml:space="preserve">corrected via adjustment of domestic prices and wages, adjustment in the Eurozone happens via internal devaluation. </w:t>
      </w:r>
    </w:p>
    <w:p w:rsidR="00A6415A" w:rsidRDefault="00B97333" w:rsidP="007A608F">
      <w:pPr>
        <w:spacing w:after="240" w:line="240" w:lineRule="auto"/>
        <w:jc w:val="both"/>
        <w:rPr>
          <w:rFonts w:ascii="Times New Roman" w:hAnsi="Times New Roman" w:cs="Times New Roman"/>
          <w:sz w:val="24"/>
          <w:szCs w:val="24"/>
        </w:rPr>
      </w:pPr>
      <w:r w:rsidRPr="00DD6029">
        <w:rPr>
          <w:rFonts w:ascii="Times New Roman" w:hAnsi="Times New Roman" w:cs="Times New Roman"/>
          <w:sz w:val="24"/>
          <w:szCs w:val="24"/>
        </w:rPr>
        <w:t xml:space="preserve">A critical appraisal of the literature informs us that Polanyi has been used in two opposite ways when explaining the EU integration project. On the one hand we have a group of scholars rooted in the critical economy tradition which render the EU disembedded by looking at the evidence of the intensified </w:t>
      </w:r>
      <w:r w:rsidR="00AF5444" w:rsidRPr="00DD6029">
        <w:rPr>
          <w:rFonts w:ascii="Times New Roman" w:hAnsi="Times New Roman" w:cs="Times New Roman"/>
          <w:sz w:val="24"/>
          <w:szCs w:val="24"/>
        </w:rPr>
        <w:t>marketization</w:t>
      </w:r>
      <w:r w:rsidRPr="00DD6029">
        <w:rPr>
          <w:rFonts w:ascii="Times New Roman" w:hAnsi="Times New Roman" w:cs="Times New Roman"/>
          <w:sz w:val="24"/>
          <w:szCs w:val="24"/>
        </w:rPr>
        <w:t xml:space="preserve"> of social relations. On the other hand,</w:t>
      </w:r>
      <w:r w:rsidR="00946202" w:rsidRPr="00DD6029">
        <w:rPr>
          <w:rFonts w:ascii="Times New Roman" w:hAnsi="Times New Roman" w:cs="Times New Roman"/>
          <w:sz w:val="24"/>
          <w:szCs w:val="24"/>
        </w:rPr>
        <w:t xml:space="preserve"> EU studies</w:t>
      </w:r>
      <w:r w:rsidRPr="00DD6029">
        <w:rPr>
          <w:rFonts w:ascii="Times New Roman" w:hAnsi="Times New Roman" w:cs="Times New Roman"/>
          <w:sz w:val="24"/>
          <w:szCs w:val="24"/>
        </w:rPr>
        <w:t xml:space="preserve"> scholars</w:t>
      </w:r>
      <w:r w:rsidR="00946202" w:rsidRPr="00DD6029">
        <w:rPr>
          <w:rFonts w:ascii="Times New Roman" w:hAnsi="Times New Roman" w:cs="Times New Roman"/>
          <w:sz w:val="24"/>
          <w:szCs w:val="24"/>
        </w:rPr>
        <w:t xml:space="preserve"> </w:t>
      </w:r>
      <w:r w:rsidRPr="00DD6029">
        <w:rPr>
          <w:rFonts w:ascii="Times New Roman" w:hAnsi="Times New Roman" w:cs="Times New Roman"/>
          <w:sz w:val="24"/>
          <w:szCs w:val="24"/>
        </w:rPr>
        <w:t>have identified a re-embedding tendency by bringing forward instances of social and environmental protection</w:t>
      </w:r>
      <w:r w:rsidR="00515A46" w:rsidRPr="00DD6029">
        <w:rPr>
          <w:rFonts w:ascii="Times New Roman" w:hAnsi="Times New Roman" w:cs="Times New Roman"/>
          <w:sz w:val="24"/>
          <w:szCs w:val="24"/>
        </w:rPr>
        <w:t xml:space="preserve"> that supposedly embed the EU project at a regional level</w:t>
      </w:r>
      <w:r w:rsidRPr="00DD6029">
        <w:rPr>
          <w:rFonts w:ascii="Times New Roman" w:hAnsi="Times New Roman" w:cs="Times New Roman"/>
          <w:sz w:val="24"/>
          <w:szCs w:val="24"/>
        </w:rPr>
        <w:t xml:space="preserve">. </w:t>
      </w:r>
    </w:p>
    <w:p w:rsidR="001A4643" w:rsidRDefault="00B97333" w:rsidP="007A608F">
      <w:pPr>
        <w:spacing w:after="240" w:line="240" w:lineRule="auto"/>
        <w:jc w:val="both"/>
        <w:rPr>
          <w:rFonts w:ascii="Times New Roman" w:hAnsi="Times New Roman" w:cs="Times New Roman"/>
          <w:sz w:val="24"/>
          <w:szCs w:val="24"/>
        </w:rPr>
      </w:pPr>
      <w:r w:rsidRPr="00114F8E">
        <w:rPr>
          <w:rFonts w:ascii="Times New Roman" w:hAnsi="Times New Roman" w:cs="Times New Roman"/>
          <w:sz w:val="24"/>
          <w:szCs w:val="24"/>
        </w:rPr>
        <w:t>Hettne (1997; 2002) is among the first scholars in the EU studies literature who inspired by Polanyi asserted that the EU regionalism represents a form of counter-movement that embeds the global economy within a regional block.</w:t>
      </w:r>
      <w:r w:rsidR="00544C6A">
        <w:rPr>
          <w:rStyle w:val="FootnoteReference"/>
          <w:rFonts w:ascii="Times New Roman" w:hAnsi="Times New Roman" w:cs="Times New Roman"/>
          <w:sz w:val="24"/>
          <w:szCs w:val="24"/>
        </w:rPr>
        <w:footnoteReference w:id="1"/>
      </w:r>
      <w:r w:rsidRPr="00114F8E">
        <w:rPr>
          <w:rFonts w:ascii="Times New Roman" w:hAnsi="Times New Roman" w:cs="Times New Roman"/>
          <w:sz w:val="24"/>
          <w:szCs w:val="24"/>
        </w:rPr>
        <w:t xml:space="preserve"> He identified </w:t>
      </w:r>
      <w:r w:rsidR="00196B2C" w:rsidRPr="00114F8E">
        <w:rPr>
          <w:rFonts w:ascii="Times New Roman" w:hAnsi="Times New Roman" w:cs="Times New Roman"/>
          <w:sz w:val="24"/>
          <w:szCs w:val="24"/>
        </w:rPr>
        <w:t>a</w:t>
      </w:r>
      <w:r w:rsidRPr="00114F8E">
        <w:rPr>
          <w:rFonts w:ascii="Times New Roman" w:hAnsi="Times New Roman" w:cs="Times New Roman"/>
          <w:sz w:val="24"/>
          <w:szCs w:val="24"/>
        </w:rPr>
        <w:t xml:space="preserve"> neo-mercantilist transnational protec</w:t>
      </w:r>
      <w:r w:rsidR="00196B2C" w:rsidRPr="00114F8E">
        <w:rPr>
          <w:rFonts w:ascii="Times New Roman" w:hAnsi="Times New Roman" w:cs="Times New Roman"/>
          <w:sz w:val="24"/>
          <w:szCs w:val="24"/>
        </w:rPr>
        <w:t xml:space="preserve">tionism, the so called </w:t>
      </w:r>
      <w:r w:rsidRPr="00114F8E">
        <w:rPr>
          <w:rFonts w:ascii="Times New Roman" w:hAnsi="Times New Roman" w:cs="Times New Roman"/>
          <w:sz w:val="24"/>
          <w:szCs w:val="24"/>
        </w:rPr>
        <w:t xml:space="preserve">new </w:t>
      </w:r>
      <w:r w:rsidR="00196B2C" w:rsidRPr="00114F8E">
        <w:rPr>
          <w:rFonts w:ascii="Times New Roman" w:hAnsi="Times New Roman" w:cs="Times New Roman"/>
          <w:sz w:val="24"/>
          <w:szCs w:val="24"/>
        </w:rPr>
        <w:t>regionalism that</w:t>
      </w:r>
      <w:r w:rsidRPr="00114F8E">
        <w:rPr>
          <w:rFonts w:ascii="Times New Roman" w:hAnsi="Times New Roman" w:cs="Times New Roman"/>
          <w:sz w:val="24"/>
          <w:szCs w:val="24"/>
        </w:rPr>
        <w:t xml:space="preserve"> is capable of resisting the dictates of </w:t>
      </w:r>
      <w:r w:rsidR="00682B5F" w:rsidRPr="00114F8E">
        <w:rPr>
          <w:rFonts w:ascii="Times New Roman" w:hAnsi="Times New Roman" w:cs="Times New Roman"/>
          <w:sz w:val="24"/>
          <w:szCs w:val="24"/>
        </w:rPr>
        <w:t>the unregulated global economy.</w:t>
      </w:r>
      <w:r w:rsidR="00A6415A" w:rsidRPr="00114F8E">
        <w:rPr>
          <w:rFonts w:ascii="Times New Roman" w:hAnsi="Times New Roman" w:cs="Times New Roman"/>
          <w:sz w:val="24"/>
          <w:szCs w:val="24"/>
        </w:rPr>
        <w:t xml:space="preserve"> EU regionalism </w:t>
      </w:r>
      <w:r w:rsidR="00682B5F" w:rsidRPr="00114F8E">
        <w:rPr>
          <w:rFonts w:ascii="Times New Roman" w:hAnsi="Times New Roman" w:cs="Times New Roman"/>
          <w:sz w:val="24"/>
          <w:szCs w:val="24"/>
        </w:rPr>
        <w:t>is seen as a</w:t>
      </w:r>
      <w:r w:rsidR="00A6415A" w:rsidRPr="00114F8E">
        <w:rPr>
          <w:rFonts w:ascii="Times New Roman" w:hAnsi="Times New Roman" w:cs="Times New Roman"/>
          <w:sz w:val="24"/>
          <w:szCs w:val="24"/>
        </w:rPr>
        <w:t xml:space="preserve"> counter-movement that is capable of saving the welfare state from the neo</w:t>
      </w:r>
      <w:r w:rsidR="00682B5F" w:rsidRPr="00114F8E">
        <w:rPr>
          <w:rFonts w:ascii="Times New Roman" w:hAnsi="Times New Roman" w:cs="Times New Roman"/>
          <w:sz w:val="24"/>
          <w:szCs w:val="24"/>
        </w:rPr>
        <w:t>liberal logic of globalization. T</w:t>
      </w:r>
      <w:r w:rsidR="00A6415A" w:rsidRPr="00114F8E">
        <w:rPr>
          <w:rFonts w:ascii="Times New Roman" w:hAnsi="Times New Roman" w:cs="Times New Roman"/>
          <w:sz w:val="24"/>
          <w:szCs w:val="24"/>
        </w:rPr>
        <w:t xml:space="preserve">he empirical evidence seems to support </w:t>
      </w:r>
      <w:r w:rsidR="00682B5F" w:rsidRPr="00114F8E">
        <w:rPr>
          <w:rFonts w:ascii="Times New Roman" w:hAnsi="Times New Roman" w:cs="Times New Roman"/>
          <w:sz w:val="24"/>
          <w:szCs w:val="24"/>
        </w:rPr>
        <w:t xml:space="preserve">his thesis because globalization has not been the exogenous shock that has led to retrenchment of the welfare state. The competitive pressures take place in a regional block where 70% of trade is intra-regional and </w:t>
      </w:r>
      <w:r w:rsidR="00544C6A">
        <w:rPr>
          <w:rFonts w:ascii="Times New Roman" w:hAnsi="Times New Roman" w:cs="Times New Roman"/>
          <w:sz w:val="24"/>
          <w:szCs w:val="24"/>
        </w:rPr>
        <w:t>where</w:t>
      </w:r>
      <w:r w:rsidR="00682B5F" w:rsidRPr="00114F8E">
        <w:rPr>
          <w:rFonts w:ascii="Times New Roman" w:hAnsi="Times New Roman" w:cs="Times New Roman"/>
          <w:sz w:val="24"/>
          <w:szCs w:val="24"/>
        </w:rPr>
        <w:t xml:space="preserve"> competition is not solely based on costs, but on </w:t>
      </w:r>
      <w:bookmarkStart w:id="0" w:name="_GoBack"/>
      <w:bookmarkEnd w:id="0"/>
      <w:r w:rsidR="00682B5F" w:rsidRPr="00114F8E">
        <w:rPr>
          <w:rFonts w:ascii="Times New Roman" w:hAnsi="Times New Roman" w:cs="Times New Roman"/>
          <w:sz w:val="24"/>
          <w:szCs w:val="24"/>
        </w:rPr>
        <w:t xml:space="preserve">quality that is enhanced by the welfare state itself (See Hay and </w:t>
      </w:r>
      <w:proofErr w:type="spellStart"/>
      <w:r w:rsidR="00682B5F" w:rsidRPr="00114F8E">
        <w:rPr>
          <w:rFonts w:ascii="Times New Roman" w:hAnsi="Times New Roman" w:cs="Times New Roman"/>
          <w:sz w:val="24"/>
          <w:szCs w:val="24"/>
        </w:rPr>
        <w:t>Wincott</w:t>
      </w:r>
      <w:proofErr w:type="spellEnd"/>
      <w:r w:rsidR="00682B5F" w:rsidRPr="00114F8E">
        <w:rPr>
          <w:rFonts w:ascii="Times New Roman" w:hAnsi="Times New Roman" w:cs="Times New Roman"/>
          <w:sz w:val="24"/>
          <w:szCs w:val="24"/>
        </w:rPr>
        <w:t xml:space="preserve">, 2012). </w:t>
      </w:r>
      <w:r w:rsidR="00544C6A">
        <w:rPr>
          <w:rFonts w:ascii="Times New Roman" w:hAnsi="Times New Roman" w:cs="Times New Roman"/>
          <w:sz w:val="24"/>
          <w:szCs w:val="24"/>
        </w:rPr>
        <w:t xml:space="preserve">Yet, what </w:t>
      </w:r>
      <w:proofErr w:type="spellStart"/>
      <w:r w:rsidR="00544C6A">
        <w:rPr>
          <w:rFonts w:ascii="Times New Roman" w:hAnsi="Times New Roman" w:cs="Times New Roman"/>
          <w:sz w:val="24"/>
          <w:szCs w:val="24"/>
        </w:rPr>
        <w:t>Hettne</w:t>
      </w:r>
      <w:proofErr w:type="spellEnd"/>
      <w:r w:rsidR="00544C6A">
        <w:rPr>
          <w:rFonts w:ascii="Times New Roman" w:hAnsi="Times New Roman" w:cs="Times New Roman"/>
          <w:sz w:val="24"/>
          <w:szCs w:val="24"/>
        </w:rPr>
        <w:t xml:space="preserve"> did not foresee is the fact that Europeanization would become a</w:t>
      </w:r>
      <w:r w:rsidR="00101501">
        <w:rPr>
          <w:rFonts w:ascii="Times New Roman" w:hAnsi="Times New Roman" w:cs="Times New Roman"/>
          <w:sz w:val="24"/>
          <w:szCs w:val="24"/>
        </w:rPr>
        <w:t xml:space="preserve"> source of disembeddedness</w:t>
      </w:r>
      <w:r w:rsidR="00544C6A">
        <w:rPr>
          <w:rFonts w:ascii="Times New Roman" w:hAnsi="Times New Roman" w:cs="Times New Roman"/>
          <w:sz w:val="24"/>
          <w:szCs w:val="24"/>
        </w:rPr>
        <w:t xml:space="preserve">. </w:t>
      </w:r>
      <w:r w:rsidR="00544C6A" w:rsidRPr="00544C6A">
        <w:rPr>
          <w:rFonts w:ascii="Times New Roman" w:hAnsi="Times New Roman" w:cs="Times New Roman"/>
          <w:sz w:val="24"/>
        </w:rPr>
        <w:t>The fact that the EU trade regime protects certain producers from the external pressure of a global, free-trade market does not mean that it does not promote internally</w:t>
      </w:r>
      <w:r w:rsidR="001A4643">
        <w:rPr>
          <w:rFonts w:ascii="Times New Roman" w:hAnsi="Times New Roman" w:cs="Times New Roman"/>
          <w:sz w:val="24"/>
        </w:rPr>
        <w:t xml:space="preserve"> a single m</w:t>
      </w:r>
      <w:r w:rsidR="00544C6A" w:rsidRPr="00544C6A">
        <w:rPr>
          <w:rFonts w:ascii="Times New Roman" w:hAnsi="Times New Roman" w:cs="Times New Roman"/>
          <w:sz w:val="24"/>
        </w:rPr>
        <w:t>arket along competitive lin</w:t>
      </w:r>
      <w:r w:rsidR="00544C6A" w:rsidRPr="001A4643">
        <w:rPr>
          <w:rFonts w:ascii="Times New Roman" w:hAnsi="Times New Roman" w:cs="Times New Roman"/>
          <w:sz w:val="24"/>
          <w:szCs w:val="24"/>
        </w:rPr>
        <w:t>es.</w:t>
      </w:r>
      <w:r w:rsidR="001A4643" w:rsidRPr="001A4643">
        <w:rPr>
          <w:rFonts w:ascii="Times New Roman" w:hAnsi="Times New Roman" w:cs="Times New Roman"/>
          <w:sz w:val="24"/>
          <w:szCs w:val="24"/>
        </w:rPr>
        <w:t xml:space="preserve"> As a rejoinder to the open regionalism thesis, </w:t>
      </w:r>
      <w:proofErr w:type="spellStart"/>
      <w:r w:rsidR="001A4643" w:rsidRPr="001A4643">
        <w:rPr>
          <w:rFonts w:ascii="Times New Roman" w:hAnsi="Times New Roman" w:cs="Times New Roman"/>
          <w:sz w:val="24"/>
          <w:szCs w:val="24"/>
        </w:rPr>
        <w:t>Abdelal</w:t>
      </w:r>
      <w:proofErr w:type="spellEnd"/>
      <w:r w:rsidR="001A4643" w:rsidRPr="001A4643">
        <w:rPr>
          <w:rFonts w:ascii="Times New Roman" w:hAnsi="Times New Roman" w:cs="Times New Roman"/>
          <w:sz w:val="24"/>
          <w:szCs w:val="24"/>
        </w:rPr>
        <w:t xml:space="preserve"> and </w:t>
      </w:r>
      <w:proofErr w:type="spellStart"/>
      <w:r w:rsidR="001A4643" w:rsidRPr="001A4643">
        <w:rPr>
          <w:rFonts w:ascii="Times New Roman" w:hAnsi="Times New Roman" w:cs="Times New Roman"/>
          <w:sz w:val="24"/>
          <w:szCs w:val="24"/>
        </w:rPr>
        <w:t>Meunier</w:t>
      </w:r>
      <w:proofErr w:type="spellEnd"/>
      <w:r w:rsidR="001A4643" w:rsidRPr="001A4643">
        <w:rPr>
          <w:rFonts w:ascii="Times New Roman" w:hAnsi="Times New Roman" w:cs="Times New Roman"/>
          <w:sz w:val="24"/>
          <w:szCs w:val="24"/>
        </w:rPr>
        <w:t xml:space="preserve"> (2010) have shown how the European vision of ‘managed </w:t>
      </w:r>
      <w:proofErr w:type="spellStart"/>
      <w:r w:rsidR="001A4643" w:rsidRPr="001A4643">
        <w:rPr>
          <w:rFonts w:ascii="Times New Roman" w:hAnsi="Times New Roman" w:cs="Times New Roman"/>
          <w:sz w:val="24"/>
          <w:szCs w:val="24"/>
        </w:rPr>
        <w:t>globalisation</w:t>
      </w:r>
      <w:proofErr w:type="spellEnd"/>
      <w:r w:rsidR="001A4643" w:rsidRPr="001A4643">
        <w:rPr>
          <w:rFonts w:ascii="Times New Roman" w:hAnsi="Times New Roman" w:cs="Times New Roman"/>
          <w:sz w:val="24"/>
          <w:szCs w:val="24"/>
        </w:rPr>
        <w:t>’ has been a force for liberalization that actively pursues the construction and expansion of the free-market by opening previously closed frontiers for capital accumulation.</w:t>
      </w:r>
      <w:r w:rsidR="00610E77">
        <w:rPr>
          <w:rStyle w:val="FootnoteReference"/>
          <w:rFonts w:ascii="Times New Roman" w:hAnsi="Times New Roman" w:cs="Times New Roman"/>
          <w:sz w:val="24"/>
          <w:szCs w:val="24"/>
        </w:rPr>
        <w:footnoteReference w:id="2"/>
      </w:r>
    </w:p>
    <w:p w:rsidR="00610E77" w:rsidRPr="001A4643" w:rsidRDefault="00610E77" w:rsidP="007A608F">
      <w:pPr>
        <w:spacing w:after="240" w:line="240" w:lineRule="auto"/>
        <w:jc w:val="both"/>
        <w:rPr>
          <w:rFonts w:ascii="Times New Roman" w:hAnsi="Times New Roman" w:cs="Times New Roman"/>
          <w:sz w:val="24"/>
        </w:rPr>
      </w:pPr>
    </w:p>
    <w:p w:rsidR="002D32EC" w:rsidRPr="002D32EC" w:rsidRDefault="00515A46" w:rsidP="002D32EC">
      <w:pPr>
        <w:spacing w:after="240" w:line="240" w:lineRule="auto"/>
        <w:jc w:val="both"/>
        <w:rPr>
          <w:rFonts w:ascii="Times New Roman" w:hAnsi="Times New Roman" w:cs="Times New Roman"/>
          <w:sz w:val="24"/>
        </w:rPr>
      </w:pPr>
      <w:r w:rsidRPr="00DD6029">
        <w:rPr>
          <w:rFonts w:ascii="Times New Roman" w:hAnsi="Times New Roman" w:cs="Times New Roman"/>
          <w:sz w:val="24"/>
          <w:szCs w:val="24"/>
        </w:rPr>
        <w:t xml:space="preserve">Recently, </w:t>
      </w:r>
      <w:proofErr w:type="spellStart"/>
      <w:r w:rsidR="00B97333" w:rsidRPr="00DD6029">
        <w:rPr>
          <w:rFonts w:ascii="Times New Roman" w:hAnsi="Times New Roman" w:cs="Times New Roman"/>
          <w:sz w:val="24"/>
          <w:szCs w:val="24"/>
        </w:rPr>
        <w:t>Caporaso</w:t>
      </w:r>
      <w:proofErr w:type="spellEnd"/>
      <w:r w:rsidR="00B97333" w:rsidRPr="00DD6029">
        <w:rPr>
          <w:rFonts w:ascii="Times New Roman" w:hAnsi="Times New Roman" w:cs="Times New Roman"/>
          <w:sz w:val="24"/>
          <w:szCs w:val="24"/>
        </w:rPr>
        <w:t xml:space="preserve"> and </w:t>
      </w:r>
      <w:proofErr w:type="spellStart"/>
      <w:r w:rsidR="00B97333" w:rsidRPr="00DD6029">
        <w:rPr>
          <w:rFonts w:ascii="Times New Roman" w:hAnsi="Times New Roman" w:cs="Times New Roman"/>
          <w:sz w:val="24"/>
          <w:szCs w:val="24"/>
        </w:rPr>
        <w:t>Tarrow</w:t>
      </w:r>
      <w:proofErr w:type="spellEnd"/>
      <w:r w:rsidR="00B97333" w:rsidRPr="00DD6029">
        <w:rPr>
          <w:rFonts w:ascii="Times New Roman" w:hAnsi="Times New Roman" w:cs="Times New Roman"/>
          <w:sz w:val="24"/>
          <w:szCs w:val="24"/>
        </w:rPr>
        <w:t xml:space="preserve"> (2009) and Copeland (2009), although starting from different premises</w:t>
      </w:r>
      <w:r w:rsidRPr="00DD6029">
        <w:rPr>
          <w:rFonts w:ascii="Times New Roman" w:hAnsi="Times New Roman" w:cs="Times New Roman"/>
          <w:sz w:val="24"/>
          <w:szCs w:val="24"/>
        </w:rPr>
        <w:t>,</w:t>
      </w:r>
      <w:r w:rsidR="00B97333" w:rsidRPr="00DD6029">
        <w:rPr>
          <w:rFonts w:ascii="Times New Roman" w:hAnsi="Times New Roman" w:cs="Times New Roman"/>
          <w:sz w:val="24"/>
          <w:szCs w:val="24"/>
        </w:rPr>
        <w:t xml:space="preserve"> have reached a similar conclusion about the emergence of a trend of re-embeddedness at the supranational level. The </w:t>
      </w:r>
      <w:r w:rsidR="00196B2C" w:rsidRPr="00DD6029">
        <w:rPr>
          <w:rFonts w:ascii="Times New Roman" w:hAnsi="Times New Roman" w:cs="Times New Roman"/>
          <w:sz w:val="24"/>
          <w:szCs w:val="24"/>
        </w:rPr>
        <w:t>European Court of Justice (</w:t>
      </w:r>
      <w:r w:rsidR="00B97333" w:rsidRPr="00DD6029">
        <w:rPr>
          <w:rFonts w:ascii="Times New Roman" w:hAnsi="Times New Roman" w:cs="Times New Roman"/>
          <w:sz w:val="24"/>
          <w:szCs w:val="24"/>
        </w:rPr>
        <w:t>ECJ</w:t>
      </w:r>
      <w:r w:rsidR="00196B2C" w:rsidRPr="00DD6029">
        <w:rPr>
          <w:rFonts w:ascii="Times New Roman" w:hAnsi="Times New Roman" w:cs="Times New Roman"/>
          <w:sz w:val="24"/>
          <w:szCs w:val="24"/>
        </w:rPr>
        <w:t>)</w:t>
      </w:r>
      <w:r w:rsidR="00B97333" w:rsidRPr="00DD6029">
        <w:rPr>
          <w:rFonts w:ascii="Times New Roman" w:hAnsi="Times New Roman" w:cs="Times New Roman"/>
          <w:sz w:val="24"/>
          <w:szCs w:val="24"/>
        </w:rPr>
        <w:t xml:space="preserve"> has been declared by </w:t>
      </w:r>
      <w:proofErr w:type="spellStart"/>
      <w:r w:rsidR="00B97333" w:rsidRPr="00DD6029">
        <w:rPr>
          <w:rFonts w:ascii="Times New Roman" w:hAnsi="Times New Roman" w:cs="Times New Roman"/>
          <w:sz w:val="24"/>
          <w:szCs w:val="24"/>
        </w:rPr>
        <w:t>Tarrow</w:t>
      </w:r>
      <w:proofErr w:type="spellEnd"/>
      <w:r w:rsidR="00B97333" w:rsidRPr="00DD6029">
        <w:rPr>
          <w:rFonts w:ascii="Times New Roman" w:hAnsi="Times New Roman" w:cs="Times New Roman"/>
          <w:sz w:val="24"/>
          <w:szCs w:val="24"/>
        </w:rPr>
        <w:t xml:space="preserve"> and </w:t>
      </w:r>
      <w:proofErr w:type="spellStart"/>
      <w:r w:rsidR="00B97333" w:rsidRPr="00DD6029">
        <w:rPr>
          <w:rFonts w:ascii="Times New Roman" w:hAnsi="Times New Roman" w:cs="Times New Roman"/>
          <w:sz w:val="24"/>
          <w:szCs w:val="24"/>
        </w:rPr>
        <w:t>Caporaso</w:t>
      </w:r>
      <w:proofErr w:type="spellEnd"/>
      <w:r w:rsidR="00B97333" w:rsidRPr="00DD6029">
        <w:rPr>
          <w:rFonts w:ascii="Times New Roman" w:hAnsi="Times New Roman" w:cs="Times New Roman"/>
          <w:sz w:val="24"/>
          <w:szCs w:val="24"/>
        </w:rPr>
        <w:t xml:space="preserve"> (2009) as an agent who brought Polanyi to Brussels, by extending social rights not only to the workers but their </w:t>
      </w:r>
      <w:r w:rsidRPr="00DD6029">
        <w:rPr>
          <w:rFonts w:ascii="Times New Roman" w:hAnsi="Times New Roman" w:cs="Times New Roman"/>
          <w:sz w:val="24"/>
          <w:szCs w:val="24"/>
        </w:rPr>
        <w:t>economically unproductive family members</w:t>
      </w:r>
      <w:r w:rsidR="00B97333" w:rsidRPr="00DD6029">
        <w:rPr>
          <w:rFonts w:ascii="Times New Roman" w:hAnsi="Times New Roman" w:cs="Times New Roman"/>
          <w:sz w:val="24"/>
          <w:szCs w:val="24"/>
        </w:rPr>
        <w:t>.</w:t>
      </w:r>
      <w:r w:rsidR="00610E77">
        <w:rPr>
          <w:rStyle w:val="FootnoteReference"/>
          <w:rFonts w:ascii="Times New Roman" w:hAnsi="Times New Roman" w:cs="Times New Roman"/>
          <w:sz w:val="24"/>
          <w:szCs w:val="24"/>
        </w:rPr>
        <w:footnoteReference w:id="3"/>
      </w:r>
      <w:r w:rsidR="00B97333" w:rsidRPr="00DD6029">
        <w:rPr>
          <w:rFonts w:ascii="Times New Roman" w:hAnsi="Times New Roman" w:cs="Times New Roman"/>
          <w:sz w:val="24"/>
          <w:szCs w:val="24"/>
        </w:rPr>
        <w:t xml:space="preserve"> They adopt an overly optimistic tone and identify </w:t>
      </w:r>
      <w:proofErr w:type="spellStart"/>
      <w:r w:rsidR="00B97333" w:rsidRPr="00DD6029">
        <w:rPr>
          <w:rFonts w:ascii="Times New Roman" w:hAnsi="Times New Roman" w:cs="Times New Roman"/>
          <w:sz w:val="24"/>
          <w:szCs w:val="24"/>
        </w:rPr>
        <w:t>decommodifying</w:t>
      </w:r>
      <w:proofErr w:type="spellEnd"/>
      <w:r w:rsidR="00B97333" w:rsidRPr="00DD6029">
        <w:rPr>
          <w:rFonts w:ascii="Times New Roman" w:hAnsi="Times New Roman" w:cs="Times New Roman"/>
          <w:sz w:val="24"/>
          <w:szCs w:val="24"/>
        </w:rPr>
        <w:t xml:space="preserve"> tendencies in the recent ECJ case law. Similar</w:t>
      </w:r>
      <w:r w:rsidRPr="00DD6029">
        <w:rPr>
          <w:rFonts w:ascii="Times New Roman" w:hAnsi="Times New Roman" w:cs="Times New Roman"/>
          <w:sz w:val="24"/>
          <w:szCs w:val="24"/>
        </w:rPr>
        <w:t>ly, Copeland (2009</w:t>
      </w:r>
      <w:r w:rsidR="007E2872" w:rsidRPr="00DD6029">
        <w:rPr>
          <w:rFonts w:ascii="Times New Roman" w:hAnsi="Times New Roman" w:cs="Times New Roman"/>
          <w:sz w:val="24"/>
          <w:szCs w:val="24"/>
        </w:rPr>
        <w:t>) by</w:t>
      </w:r>
      <w:r w:rsidR="00BB0E3F" w:rsidRPr="00DD6029">
        <w:rPr>
          <w:rFonts w:ascii="Times New Roman" w:hAnsi="Times New Roman" w:cs="Times New Roman"/>
          <w:sz w:val="24"/>
          <w:szCs w:val="24"/>
        </w:rPr>
        <w:t xml:space="preserve"> examining the effect of the social dimension of the Lisbon Agenda </w:t>
      </w:r>
      <w:r w:rsidRPr="00DD6029">
        <w:rPr>
          <w:rFonts w:ascii="Times New Roman" w:hAnsi="Times New Roman" w:cs="Times New Roman"/>
          <w:sz w:val="24"/>
          <w:szCs w:val="24"/>
        </w:rPr>
        <w:t>declared</w:t>
      </w:r>
      <w:r w:rsidR="00B97333" w:rsidRPr="00DD6029">
        <w:rPr>
          <w:rFonts w:ascii="Times New Roman" w:hAnsi="Times New Roman" w:cs="Times New Roman"/>
          <w:sz w:val="24"/>
          <w:szCs w:val="24"/>
        </w:rPr>
        <w:t xml:space="preserve"> the emergence of a counter-movement and </w:t>
      </w:r>
      <w:r w:rsidR="00BB0E3F" w:rsidRPr="00DD6029">
        <w:rPr>
          <w:rFonts w:ascii="Times New Roman" w:hAnsi="Times New Roman" w:cs="Times New Roman"/>
          <w:sz w:val="24"/>
          <w:szCs w:val="24"/>
        </w:rPr>
        <w:t>a</w:t>
      </w:r>
      <w:r w:rsidR="002D32EC">
        <w:rPr>
          <w:rFonts w:ascii="Times New Roman" w:hAnsi="Times New Roman" w:cs="Times New Roman"/>
          <w:sz w:val="24"/>
          <w:szCs w:val="24"/>
        </w:rPr>
        <w:t xml:space="preserve"> Third Great Transformation.</w:t>
      </w:r>
      <w:r w:rsidR="00361657" w:rsidRPr="00DD6029">
        <w:rPr>
          <w:rStyle w:val="FootnoteReference"/>
          <w:rFonts w:ascii="Times New Roman" w:hAnsi="Times New Roman" w:cs="Times New Roman"/>
          <w:sz w:val="24"/>
          <w:szCs w:val="24"/>
        </w:rPr>
        <w:footnoteReference w:id="4"/>
      </w:r>
      <w:r w:rsidR="002D32EC">
        <w:rPr>
          <w:rFonts w:ascii="Times New Roman" w:hAnsi="Times New Roman" w:cs="Times New Roman"/>
          <w:sz w:val="24"/>
          <w:szCs w:val="24"/>
        </w:rPr>
        <w:t xml:space="preserve"> </w:t>
      </w:r>
      <w:r w:rsidR="002D32EC">
        <w:rPr>
          <w:rFonts w:ascii="Times New Roman" w:hAnsi="Times New Roman" w:cs="Times New Roman"/>
          <w:sz w:val="24"/>
        </w:rPr>
        <w:t>Their intervention has been subject to two types of critiques:</w:t>
      </w:r>
      <w:r w:rsidR="002D32EC" w:rsidRPr="002D32EC">
        <w:rPr>
          <w:rFonts w:ascii="Times New Roman" w:hAnsi="Times New Roman" w:cs="Times New Roman"/>
          <w:sz w:val="24"/>
        </w:rPr>
        <w:t xml:space="preserve"> one points towards their selective reading of the evidence and another claims that the extension of the social citizenship itself serves to undermine the welfare state achievements.</w:t>
      </w:r>
      <w:r w:rsidR="002D32EC">
        <w:rPr>
          <w:rStyle w:val="FootnoteReference"/>
          <w:rFonts w:ascii="Times New Roman" w:hAnsi="Times New Roman" w:cs="Times New Roman"/>
          <w:sz w:val="24"/>
        </w:rPr>
        <w:footnoteReference w:id="5"/>
      </w:r>
    </w:p>
    <w:p w:rsidR="009839F2" w:rsidRDefault="00B97333" w:rsidP="007A608F">
      <w:pPr>
        <w:spacing w:after="240" w:line="240" w:lineRule="auto"/>
        <w:jc w:val="both"/>
        <w:rPr>
          <w:rFonts w:ascii="Times New Roman" w:hAnsi="Times New Roman" w:cs="Times New Roman"/>
          <w:sz w:val="24"/>
          <w:szCs w:val="24"/>
        </w:rPr>
      </w:pPr>
      <w:r w:rsidRPr="00DD6029">
        <w:rPr>
          <w:rFonts w:ascii="Times New Roman" w:hAnsi="Times New Roman" w:cs="Times New Roman"/>
          <w:sz w:val="24"/>
          <w:szCs w:val="24"/>
        </w:rPr>
        <w:t>Somewhat different usage of Polanyi</w:t>
      </w:r>
      <w:r w:rsidR="00C0500B" w:rsidRPr="00DD6029">
        <w:rPr>
          <w:rFonts w:ascii="Times New Roman" w:hAnsi="Times New Roman" w:cs="Times New Roman"/>
          <w:sz w:val="24"/>
          <w:szCs w:val="24"/>
        </w:rPr>
        <w:t xml:space="preserve"> </w:t>
      </w:r>
      <w:r w:rsidRPr="00DD6029">
        <w:rPr>
          <w:rFonts w:ascii="Times New Roman" w:hAnsi="Times New Roman" w:cs="Times New Roman"/>
          <w:sz w:val="24"/>
          <w:szCs w:val="24"/>
        </w:rPr>
        <w:t>is evident in the critical p</w:t>
      </w:r>
      <w:r w:rsidR="00C66D70">
        <w:rPr>
          <w:rFonts w:ascii="Times New Roman" w:hAnsi="Times New Roman" w:cs="Times New Roman"/>
          <w:sz w:val="24"/>
          <w:szCs w:val="24"/>
        </w:rPr>
        <w:t>olitical economy literature where a</w:t>
      </w:r>
      <w:r w:rsidRPr="00DD6029">
        <w:rPr>
          <w:rFonts w:ascii="Times New Roman" w:hAnsi="Times New Roman" w:cs="Times New Roman"/>
          <w:sz w:val="24"/>
          <w:szCs w:val="24"/>
        </w:rPr>
        <w:t xml:space="preserve"> number of critical scholars have increasingly resorted to the works of Polanyi, whose conceptual apparatus opens a venue for enriching their analysis with a normative commitment. One can discern two lines of arguments within the critica</w:t>
      </w:r>
      <w:r w:rsidR="007E2872" w:rsidRPr="00DD6029">
        <w:rPr>
          <w:rFonts w:ascii="Times New Roman" w:hAnsi="Times New Roman" w:cs="Times New Roman"/>
          <w:sz w:val="24"/>
          <w:szCs w:val="24"/>
        </w:rPr>
        <w:t>l political economy literature</w:t>
      </w:r>
      <w:r w:rsidRPr="00DD6029">
        <w:rPr>
          <w:rFonts w:ascii="Times New Roman" w:hAnsi="Times New Roman" w:cs="Times New Roman"/>
          <w:sz w:val="24"/>
          <w:szCs w:val="24"/>
        </w:rPr>
        <w:t>: the new-constitutionalism view</w:t>
      </w:r>
      <w:r w:rsidR="00C66D70">
        <w:rPr>
          <w:rFonts w:ascii="Times New Roman" w:hAnsi="Times New Roman" w:cs="Times New Roman"/>
          <w:sz w:val="24"/>
          <w:szCs w:val="24"/>
        </w:rPr>
        <w:t xml:space="preserve"> (also known as the Canadian IPE)</w:t>
      </w:r>
      <w:r w:rsidRPr="00DD6029">
        <w:rPr>
          <w:rFonts w:ascii="Times New Roman" w:hAnsi="Times New Roman" w:cs="Times New Roman"/>
          <w:sz w:val="24"/>
          <w:szCs w:val="24"/>
        </w:rPr>
        <w:t xml:space="preserve"> and the </w:t>
      </w:r>
      <w:r w:rsidR="00C66D70">
        <w:rPr>
          <w:rFonts w:ascii="Times New Roman" w:hAnsi="Times New Roman" w:cs="Times New Roman"/>
          <w:sz w:val="24"/>
          <w:szCs w:val="24"/>
        </w:rPr>
        <w:lastRenderedPageBreak/>
        <w:t>Amsterdam critical IPE</w:t>
      </w:r>
      <w:r w:rsidRPr="00DD6029">
        <w:rPr>
          <w:rFonts w:ascii="Times New Roman" w:hAnsi="Times New Roman" w:cs="Times New Roman"/>
          <w:sz w:val="24"/>
          <w:szCs w:val="24"/>
        </w:rPr>
        <w:t xml:space="preserve"> account. </w:t>
      </w:r>
      <w:r w:rsidR="007E2872" w:rsidRPr="00DD6029">
        <w:rPr>
          <w:rFonts w:ascii="Times New Roman" w:hAnsi="Times New Roman" w:cs="Times New Roman"/>
          <w:sz w:val="24"/>
          <w:szCs w:val="24"/>
        </w:rPr>
        <w:t>The former approach</w:t>
      </w:r>
      <w:r w:rsidR="0077205E" w:rsidRPr="00DD6029">
        <w:rPr>
          <w:rFonts w:ascii="Times New Roman" w:hAnsi="Times New Roman" w:cs="Times New Roman"/>
          <w:sz w:val="24"/>
          <w:szCs w:val="24"/>
        </w:rPr>
        <w:t>,</w:t>
      </w:r>
      <w:r w:rsidR="007E2872" w:rsidRPr="00DD6029">
        <w:rPr>
          <w:rFonts w:ascii="Times New Roman" w:hAnsi="Times New Roman" w:cs="Times New Roman"/>
          <w:sz w:val="24"/>
          <w:szCs w:val="24"/>
        </w:rPr>
        <w:t xml:space="preserve"> represented by </w:t>
      </w:r>
      <w:r w:rsidR="0077205E" w:rsidRPr="00DD6029">
        <w:rPr>
          <w:rFonts w:ascii="Times New Roman" w:hAnsi="Times New Roman" w:cs="Times New Roman"/>
          <w:sz w:val="24"/>
          <w:szCs w:val="24"/>
        </w:rPr>
        <w:t>Gill (1995; 1998; 2012)</w:t>
      </w:r>
      <w:r w:rsidR="00C0500B" w:rsidRPr="00DD6029">
        <w:rPr>
          <w:rFonts w:ascii="Times New Roman" w:hAnsi="Times New Roman" w:cs="Times New Roman"/>
          <w:sz w:val="24"/>
          <w:szCs w:val="24"/>
        </w:rPr>
        <w:t xml:space="preserve">, Gill and Cutler (2014) </w:t>
      </w:r>
      <w:r w:rsidR="0077205E" w:rsidRPr="00DD6029">
        <w:rPr>
          <w:rFonts w:ascii="Times New Roman" w:hAnsi="Times New Roman" w:cs="Times New Roman"/>
          <w:sz w:val="24"/>
          <w:szCs w:val="24"/>
        </w:rPr>
        <w:t xml:space="preserve">and </w:t>
      </w:r>
      <w:proofErr w:type="spellStart"/>
      <w:r w:rsidR="0077205E" w:rsidRPr="00DD6029">
        <w:rPr>
          <w:rFonts w:ascii="Times New Roman" w:hAnsi="Times New Roman" w:cs="Times New Roman"/>
          <w:sz w:val="24"/>
          <w:szCs w:val="24"/>
        </w:rPr>
        <w:t>Harmes</w:t>
      </w:r>
      <w:proofErr w:type="spellEnd"/>
      <w:r w:rsidRPr="00DD6029">
        <w:rPr>
          <w:rFonts w:ascii="Times New Roman" w:hAnsi="Times New Roman" w:cs="Times New Roman"/>
          <w:sz w:val="24"/>
          <w:szCs w:val="24"/>
        </w:rPr>
        <w:t xml:space="preserve"> (2001; 2006; 2012)</w:t>
      </w:r>
      <w:r w:rsidR="0077205E" w:rsidRPr="00DD6029">
        <w:rPr>
          <w:rFonts w:ascii="Times New Roman" w:hAnsi="Times New Roman" w:cs="Times New Roman"/>
          <w:sz w:val="24"/>
          <w:szCs w:val="24"/>
        </w:rPr>
        <w:t>,</w:t>
      </w:r>
      <w:r w:rsidRPr="00DD6029">
        <w:rPr>
          <w:rFonts w:ascii="Times New Roman" w:hAnsi="Times New Roman" w:cs="Times New Roman"/>
          <w:sz w:val="24"/>
          <w:szCs w:val="24"/>
        </w:rPr>
        <w:t xml:space="preserve"> </w:t>
      </w:r>
      <w:r w:rsidR="007E2872" w:rsidRPr="00DD6029">
        <w:rPr>
          <w:rFonts w:ascii="Times New Roman" w:hAnsi="Times New Roman" w:cs="Times New Roman"/>
          <w:sz w:val="24"/>
          <w:szCs w:val="24"/>
        </w:rPr>
        <w:t>renders</w:t>
      </w:r>
      <w:r w:rsidRPr="00DD6029">
        <w:rPr>
          <w:rFonts w:ascii="Times New Roman" w:hAnsi="Times New Roman" w:cs="Times New Roman"/>
          <w:sz w:val="24"/>
          <w:szCs w:val="24"/>
        </w:rPr>
        <w:t xml:space="preserve"> </w:t>
      </w:r>
      <w:r w:rsidR="0077205E" w:rsidRPr="00DD6029">
        <w:rPr>
          <w:rFonts w:ascii="Times New Roman" w:hAnsi="Times New Roman" w:cs="Times New Roman"/>
          <w:sz w:val="24"/>
          <w:szCs w:val="24"/>
        </w:rPr>
        <w:t>the EU</w:t>
      </w:r>
      <w:r w:rsidRPr="00DD6029">
        <w:rPr>
          <w:rFonts w:ascii="Times New Roman" w:hAnsi="Times New Roman" w:cs="Times New Roman"/>
          <w:sz w:val="24"/>
          <w:szCs w:val="24"/>
        </w:rPr>
        <w:t xml:space="preserve"> unequiv</w:t>
      </w:r>
      <w:r w:rsidR="0077205E" w:rsidRPr="00DD6029">
        <w:rPr>
          <w:rFonts w:ascii="Times New Roman" w:hAnsi="Times New Roman" w:cs="Times New Roman"/>
          <w:sz w:val="24"/>
          <w:szCs w:val="24"/>
        </w:rPr>
        <w:t xml:space="preserve">ocally </w:t>
      </w:r>
      <w:proofErr w:type="spellStart"/>
      <w:r w:rsidR="0077205E" w:rsidRPr="00DD6029">
        <w:rPr>
          <w:rFonts w:ascii="Times New Roman" w:hAnsi="Times New Roman" w:cs="Times New Roman"/>
          <w:sz w:val="24"/>
          <w:szCs w:val="24"/>
        </w:rPr>
        <w:t>disembedded</w:t>
      </w:r>
      <w:proofErr w:type="spellEnd"/>
      <w:r w:rsidR="0077205E" w:rsidRPr="00DD6029">
        <w:rPr>
          <w:rFonts w:ascii="Times New Roman" w:hAnsi="Times New Roman" w:cs="Times New Roman"/>
          <w:sz w:val="24"/>
          <w:szCs w:val="24"/>
        </w:rPr>
        <w:t>,</w:t>
      </w:r>
      <w:r w:rsidR="00C35DD2">
        <w:rPr>
          <w:rStyle w:val="FootnoteReference"/>
          <w:rFonts w:ascii="Times New Roman" w:hAnsi="Times New Roman" w:cs="Times New Roman"/>
          <w:sz w:val="24"/>
          <w:szCs w:val="24"/>
        </w:rPr>
        <w:footnoteReference w:id="6"/>
      </w:r>
      <w:r w:rsidR="0077205E" w:rsidRPr="00DD6029">
        <w:rPr>
          <w:rFonts w:ascii="Times New Roman" w:hAnsi="Times New Roman" w:cs="Times New Roman"/>
          <w:sz w:val="24"/>
          <w:szCs w:val="24"/>
        </w:rPr>
        <w:t xml:space="preserve"> </w:t>
      </w:r>
      <w:r w:rsidRPr="00DD6029">
        <w:rPr>
          <w:rFonts w:ascii="Times New Roman" w:hAnsi="Times New Roman" w:cs="Times New Roman"/>
          <w:sz w:val="24"/>
          <w:szCs w:val="24"/>
        </w:rPr>
        <w:t xml:space="preserve">while </w:t>
      </w:r>
      <w:r w:rsidR="0077205E" w:rsidRPr="00DD6029">
        <w:rPr>
          <w:rFonts w:ascii="Times New Roman" w:hAnsi="Times New Roman" w:cs="Times New Roman"/>
          <w:sz w:val="24"/>
          <w:szCs w:val="24"/>
        </w:rPr>
        <w:t xml:space="preserve">the latter view, represented by </w:t>
      </w:r>
      <w:r w:rsidRPr="00DD6029">
        <w:rPr>
          <w:rFonts w:ascii="Times New Roman" w:hAnsi="Times New Roman" w:cs="Times New Roman"/>
          <w:sz w:val="24"/>
          <w:szCs w:val="24"/>
        </w:rPr>
        <w:t xml:space="preserve">van Apeldoorn, </w:t>
      </w:r>
      <w:proofErr w:type="spellStart"/>
      <w:r w:rsidRPr="00DD6029">
        <w:rPr>
          <w:rFonts w:ascii="Times New Roman" w:hAnsi="Times New Roman" w:cs="Times New Roman"/>
          <w:sz w:val="24"/>
          <w:szCs w:val="24"/>
        </w:rPr>
        <w:t>Drahokoupil</w:t>
      </w:r>
      <w:proofErr w:type="spellEnd"/>
      <w:r w:rsidRPr="00DD6029">
        <w:rPr>
          <w:rFonts w:ascii="Times New Roman" w:hAnsi="Times New Roman" w:cs="Times New Roman"/>
          <w:sz w:val="24"/>
          <w:szCs w:val="24"/>
        </w:rPr>
        <w:t xml:space="preserve"> and Horn’s (2008), </w:t>
      </w:r>
      <w:proofErr w:type="spellStart"/>
      <w:r w:rsidRPr="00DD6029">
        <w:rPr>
          <w:rFonts w:ascii="Times New Roman" w:hAnsi="Times New Roman" w:cs="Times New Roman"/>
          <w:sz w:val="24"/>
          <w:szCs w:val="24"/>
        </w:rPr>
        <w:t>Bohle</w:t>
      </w:r>
      <w:proofErr w:type="spellEnd"/>
      <w:r w:rsidRPr="00DD6029">
        <w:rPr>
          <w:rFonts w:ascii="Times New Roman" w:hAnsi="Times New Roman" w:cs="Times New Roman"/>
          <w:sz w:val="24"/>
          <w:szCs w:val="24"/>
        </w:rPr>
        <w:t xml:space="preserve"> and </w:t>
      </w:r>
      <w:proofErr w:type="spellStart"/>
      <w:r w:rsidRPr="00DD6029">
        <w:rPr>
          <w:rFonts w:ascii="Times New Roman" w:hAnsi="Times New Roman" w:cs="Times New Roman"/>
          <w:sz w:val="24"/>
          <w:szCs w:val="24"/>
        </w:rPr>
        <w:t>Greskovits’s</w:t>
      </w:r>
      <w:proofErr w:type="spellEnd"/>
      <w:r w:rsidRPr="00DD6029">
        <w:rPr>
          <w:rFonts w:ascii="Times New Roman" w:hAnsi="Times New Roman" w:cs="Times New Roman"/>
          <w:sz w:val="24"/>
          <w:szCs w:val="24"/>
        </w:rPr>
        <w:t xml:space="preserve"> (2007) and </w:t>
      </w:r>
      <w:proofErr w:type="spellStart"/>
      <w:r w:rsidRPr="00DD6029">
        <w:rPr>
          <w:rFonts w:ascii="Times New Roman" w:hAnsi="Times New Roman" w:cs="Times New Roman"/>
          <w:sz w:val="24"/>
          <w:szCs w:val="24"/>
        </w:rPr>
        <w:t>Overbeek</w:t>
      </w:r>
      <w:proofErr w:type="spellEnd"/>
      <w:r w:rsidRPr="00DD6029">
        <w:rPr>
          <w:rFonts w:ascii="Times New Roman" w:hAnsi="Times New Roman" w:cs="Times New Roman"/>
          <w:sz w:val="24"/>
          <w:szCs w:val="24"/>
        </w:rPr>
        <w:t xml:space="preserve"> and van Apeldoorn’s (2012)</w:t>
      </w:r>
      <w:r w:rsidR="0077205E" w:rsidRPr="00DD6029">
        <w:rPr>
          <w:rFonts w:ascii="Times New Roman" w:hAnsi="Times New Roman" w:cs="Times New Roman"/>
          <w:sz w:val="24"/>
          <w:szCs w:val="24"/>
        </w:rPr>
        <w:t>,</w:t>
      </w:r>
      <w:r w:rsidRPr="00DD6029">
        <w:rPr>
          <w:rFonts w:ascii="Times New Roman" w:hAnsi="Times New Roman" w:cs="Times New Roman"/>
          <w:sz w:val="24"/>
          <w:szCs w:val="24"/>
        </w:rPr>
        <w:t xml:space="preserve"> </w:t>
      </w:r>
      <w:r w:rsidR="00651445" w:rsidRPr="00DD6029">
        <w:rPr>
          <w:rFonts w:ascii="Times New Roman" w:hAnsi="Times New Roman" w:cs="Times New Roman"/>
          <w:sz w:val="24"/>
          <w:szCs w:val="24"/>
        </w:rPr>
        <w:t>classifies</w:t>
      </w:r>
      <w:r w:rsidR="0077205E" w:rsidRPr="00DD6029">
        <w:rPr>
          <w:rFonts w:ascii="Times New Roman" w:hAnsi="Times New Roman" w:cs="Times New Roman"/>
          <w:sz w:val="24"/>
          <w:szCs w:val="24"/>
        </w:rPr>
        <w:t xml:space="preserve"> the EU </w:t>
      </w:r>
      <w:r w:rsidR="00651445" w:rsidRPr="00DD6029">
        <w:rPr>
          <w:rFonts w:ascii="Times New Roman" w:hAnsi="Times New Roman" w:cs="Times New Roman"/>
          <w:sz w:val="24"/>
          <w:szCs w:val="24"/>
        </w:rPr>
        <w:t xml:space="preserve">integration project </w:t>
      </w:r>
      <w:r w:rsidR="0077205E" w:rsidRPr="00DD6029">
        <w:rPr>
          <w:rFonts w:ascii="Times New Roman" w:hAnsi="Times New Roman" w:cs="Times New Roman"/>
          <w:sz w:val="24"/>
          <w:szCs w:val="24"/>
        </w:rPr>
        <w:t xml:space="preserve">as </w:t>
      </w:r>
      <w:r w:rsidRPr="00DD6029">
        <w:rPr>
          <w:rFonts w:ascii="Times New Roman" w:hAnsi="Times New Roman" w:cs="Times New Roman"/>
          <w:sz w:val="24"/>
          <w:szCs w:val="24"/>
        </w:rPr>
        <w:t>embedded neoliber</w:t>
      </w:r>
      <w:r w:rsidR="0077205E" w:rsidRPr="00DD6029">
        <w:rPr>
          <w:rFonts w:ascii="Times New Roman" w:hAnsi="Times New Roman" w:cs="Times New Roman"/>
          <w:sz w:val="24"/>
          <w:szCs w:val="24"/>
        </w:rPr>
        <w:t>alism</w:t>
      </w:r>
      <w:r w:rsidRPr="00DD6029">
        <w:rPr>
          <w:rFonts w:ascii="Times New Roman" w:hAnsi="Times New Roman" w:cs="Times New Roman"/>
          <w:sz w:val="24"/>
          <w:szCs w:val="24"/>
        </w:rPr>
        <w:t>.</w:t>
      </w:r>
    </w:p>
    <w:p w:rsidR="002200D9" w:rsidRPr="00DD6029" w:rsidRDefault="00EF0A74" w:rsidP="007A608F">
      <w:pPr>
        <w:spacing w:line="240" w:lineRule="auto"/>
        <w:jc w:val="both"/>
        <w:rPr>
          <w:rFonts w:ascii="Times New Roman" w:hAnsi="Times New Roman" w:cs="Times New Roman"/>
          <w:sz w:val="24"/>
          <w:szCs w:val="24"/>
        </w:rPr>
      </w:pPr>
      <w:r w:rsidRPr="00DD6029">
        <w:rPr>
          <w:rFonts w:ascii="Times New Roman" w:hAnsi="Times New Roman" w:cs="Times New Roman"/>
          <w:sz w:val="24"/>
          <w:szCs w:val="24"/>
        </w:rPr>
        <w:t>The latest iterati</w:t>
      </w:r>
      <w:r w:rsidR="006C7EF5" w:rsidRPr="00DD6029">
        <w:rPr>
          <w:rFonts w:ascii="Times New Roman" w:hAnsi="Times New Roman" w:cs="Times New Roman"/>
          <w:sz w:val="24"/>
          <w:szCs w:val="24"/>
        </w:rPr>
        <w:t>on of Polanyian interventions ca</w:t>
      </w:r>
      <w:r w:rsidRPr="00DD6029">
        <w:rPr>
          <w:rFonts w:ascii="Times New Roman" w:hAnsi="Times New Roman" w:cs="Times New Roman"/>
          <w:sz w:val="24"/>
          <w:szCs w:val="24"/>
        </w:rPr>
        <w:t xml:space="preserve">me from the edited volume of Blyth and </w:t>
      </w:r>
      <w:proofErr w:type="spellStart"/>
      <w:r w:rsidRPr="00DD6029">
        <w:rPr>
          <w:rFonts w:ascii="Times New Roman" w:hAnsi="Times New Roman" w:cs="Times New Roman"/>
          <w:sz w:val="24"/>
          <w:szCs w:val="24"/>
        </w:rPr>
        <w:t>Matthijs</w:t>
      </w:r>
      <w:proofErr w:type="spellEnd"/>
      <w:r w:rsidRPr="00DD6029">
        <w:rPr>
          <w:rFonts w:ascii="Times New Roman" w:hAnsi="Times New Roman" w:cs="Times New Roman"/>
          <w:sz w:val="24"/>
          <w:szCs w:val="24"/>
        </w:rPr>
        <w:t xml:space="preserve"> </w:t>
      </w:r>
      <w:r w:rsidR="00F33D61" w:rsidRPr="00DD6029">
        <w:rPr>
          <w:rFonts w:ascii="Times New Roman" w:hAnsi="Times New Roman" w:cs="Times New Roman"/>
          <w:sz w:val="24"/>
          <w:szCs w:val="24"/>
        </w:rPr>
        <w:t xml:space="preserve">(2015) </w:t>
      </w:r>
      <w:r w:rsidRPr="00DD6029">
        <w:rPr>
          <w:rFonts w:ascii="Times New Roman" w:hAnsi="Times New Roman" w:cs="Times New Roman"/>
          <w:sz w:val="24"/>
          <w:szCs w:val="24"/>
        </w:rPr>
        <w:t>wherein renowned scholars</w:t>
      </w:r>
      <w:r w:rsidR="002200D9" w:rsidRPr="00DD6029">
        <w:rPr>
          <w:rFonts w:ascii="Times New Roman" w:hAnsi="Times New Roman" w:cs="Times New Roman"/>
          <w:sz w:val="24"/>
          <w:szCs w:val="24"/>
        </w:rPr>
        <w:t xml:space="preserve"> discuss the minimal </w:t>
      </w:r>
      <w:r w:rsidR="000A7B1D" w:rsidRPr="00DD6029">
        <w:rPr>
          <w:rFonts w:ascii="Times New Roman" w:hAnsi="Times New Roman" w:cs="Times New Roman"/>
          <w:sz w:val="24"/>
          <w:szCs w:val="24"/>
        </w:rPr>
        <w:t>conditions</w:t>
      </w:r>
      <w:r w:rsidR="002200D9" w:rsidRPr="00DD6029">
        <w:rPr>
          <w:rFonts w:ascii="Times New Roman" w:hAnsi="Times New Roman" w:cs="Times New Roman"/>
          <w:sz w:val="24"/>
          <w:szCs w:val="24"/>
        </w:rPr>
        <w:t xml:space="preserve"> necessary for proper function</w:t>
      </w:r>
      <w:r w:rsidR="00AF5444" w:rsidRPr="00DD6029">
        <w:rPr>
          <w:rFonts w:ascii="Times New Roman" w:hAnsi="Times New Roman" w:cs="Times New Roman"/>
          <w:sz w:val="24"/>
          <w:szCs w:val="24"/>
        </w:rPr>
        <w:t>ing</w:t>
      </w:r>
      <w:r w:rsidR="002200D9" w:rsidRPr="00DD6029">
        <w:rPr>
          <w:rFonts w:ascii="Times New Roman" w:hAnsi="Times New Roman" w:cs="Times New Roman"/>
          <w:sz w:val="24"/>
          <w:szCs w:val="24"/>
        </w:rPr>
        <w:t xml:space="preserve"> of the monetary union.</w:t>
      </w:r>
      <w:r w:rsidR="00CE3EAC" w:rsidRPr="00DD6029">
        <w:rPr>
          <w:rFonts w:ascii="Times New Roman" w:hAnsi="Times New Roman" w:cs="Times New Roman"/>
          <w:sz w:val="24"/>
          <w:szCs w:val="24"/>
        </w:rPr>
        <w:t xml:space="preserve"> </w:t>
      </w:r>
      <w:r w:rsidR="00F35605" w:rsidRPr="00DD6029">
        <w:rPr>
          <w:rFonts w:ascii="Times New Roman" w:hAnsi="Times New Roman" w:cs="Times New Roman"/>
          <w:sz w:val="24"/>
          <w:szCs w:val="24"/>
        </w:rPr>
        <w:t>McNamara’s (2015)</w:t>
      </w:r>
      <w:r w:rsidR="009C0481" w:rsidRPr="00DD6029">
        <w:rPr>
          <w:rFonts w:ascii="Times New Roman" w:hAnsi="Times New Roman" w:cs="Times New Roman"/>
          <w:sz w:val="24"/>
          <w:szCs w:val="24"/>
        </w:rPr>
        <w:t xml:space="preserve"> intervention is particularly </w:t>
      </w:r>
      <w:r w:rsidR="006C7EF5" w:rsidRPr="00DD6029">
        <w:rPr>
          <w:rFonts w:ascii="Times New Roman" w:hAnsi="Times New Roman" w:cs="Times New Roman"/>
          <w:sz w:val="24"/>
          <w:szCs w:val="24"/>
        </w:rPr>
        <w:t>pertinent because it put</w:t>
      </w:r>
      <w:r w:rsidR="00A72ACA" w:rsidRPr="00DD6029">
        <w:rPr>
          <w:rFonts w:ascii="Times New Roman" w:hAnsi="Times New Roman" w:cs="Times New Roman"/>
          <w:sz w:val="24"/>
          <w:szCs w:val="24"/>
        </w:rPr>
        <w:t>s</w:t>
      </w:r>
      <w:r w:rsidR="006C7EF5" w:rsidRPr="00DD6029">
        <w:rPr>
          <w:rFonts w:ascii="Times New Roman" w:hAnsi="Times New Roman" w:cs="Times New Roman"/>
          <w:sz w:val="24"/>
          <w:szCs w:val="24"/>
        </w:rPr>
        <w:t xml:space="preserve"> forward an alternative </w:t>
      </w:r>
      <w:r w:rsidR="00C23A91" w:rsidRPr="00DD6029">
        <w:rPr>
          <w:rFonts w:ascii="Times New Roman" w:hAnsi="Times New Roman" w:cs="Times New Roman"/>
          <w:sz w:val="24"/>
          <w:szCs w:val="24"/>
        </w:rPr>
        <w:t xml:space="preserve">approach </w:t>
      </w:r>
      <w:r w:rsidR="006C7EF5" w:rsidRPr="00DD6029">
        <w:rPr>
          <w:rFonts w:ascii="Times New Roman" w:hAnsi="Times New Roman" w:cs="Times New Roman"/>
          <w:sz w:val="24"/>
          <w:szCs w:val="24"/>
        </w:rPr>
        <w:t>to t</w:t>
      </w:r>
      <w:r w:rsidR="007610E1" w:rsidRPr="00DD6029">
        <w:rPr>
          <w:rFonts w:ascii="Times New Roman" w:hAnsi="Times New Roman" w:cs="Times New Roman"/>
          <w:sz w:val="24"/>
          <w:szCs w:val="24"/>
        </w:rPr>
        <w:t>he optimum currency area theory (OCA) called</w:t>
      </w:r>
      <w:r w:rsidR="006C7EF5" w:rsidRPr="00DD6029">
        <w:rPr>
          <w:rFonts w:ascii="Times New Roman" w:hAnsi="Times New Roman" w:cs="Times New Roman"/>
          <w:sz w:val="24"/>
          <w:szCs w:val="24"/>
        </w:rPr>
        <w:t xml:space="preserve"> </w:t>
      </w:r>
      <w:r w:rsidR="007610E1" w:rsidRPr="00DD6029">
        <w:rPr>
          <w:rFonts w:ascii="Times New Roman" w:hAnsi="Times New Roman" w:cs="Times New Roman"/>
          <w:sz w:val="24"/>
          <w:szCs w:val="24"/>
        </w:rPr>
        <w:t xml:space="preserve">an embedded currency area (ECA). </w:t>
      </w:r>
      <w:r w:rsidR="00665918" w:rsidRPr="00DD6029">
        <w:rPr>
          <w:rFonts w:ascii="Times New Roman" w:hAnsi="Times New Roman" w:cs="Times New Roman"/>
          <w:sz w:val="24"/>
          <w:szCs w:val="24"/>
        </w:rPr>
        <w:t>The ECA approach draws on Polanyi’s ‘embedded markets’ thesis and argues that for a s</w:t>
      </w:r>
      <w:r w:rsidR="007610E1" w:rsidRPr="00DD6029">
        <w:rPr>
          <w:rFonts w:ascii="Times New Roman" w:hAnsi="Times New Roman" w:cs="Times New Roman"/>
          <w:sz w:val="24"/>
          <w:szCs w:val="24"/>
        </w:rPr>
        <w:t xml:space="preserve">mooth functioning of the ECA </w:t>
      </w:r>
      <w:r w:rsidR="00665918" w:rsidRPr="00DD6029">
        <w:rPr>
          <w:rFonts w:ascii="Times New Roman" w:hAnsi="Times New Roman" w:cs="Times New Roman"/>
          <w:sz w:val="24"/>
          <w:szCs w:val="24"/>
        </w:rPr>
        <w:t>we need four minimum conditions</w:t>
      </w:r>
      <w:r w:rsidR="007610E1" w:rsidRPr="00DD6029">
        <w:rPr>
          <w:rFonts w:ascii="Times New Roman" w:hAnsi="Times New Roman" w:cs="Times New Roman"/>
          <w:sz w:val="24"/>
          <w:szCs w:val="24"/>
        </w:rPr>
        <w:t>: a) legitimate lender of last resort capable of bestowing market confidence and ensuring liquidity, b) fiscal redistributive setup, c) banking</w:t>
      </w:r>
      <w:r w:rsidR="00665918" w:rsidRPr="00DD6029">
        <w:rPr>
          <w:rFonts w:ascii="Times New Roman" w:hAnsi="Times New Roman" w:cs="Times New Roman"/>
          <w:sz w:val="24"/>
          <w:szCs w:val="24"/>
        </w:rPr>
        <w:t xml:space="preserve"> union, and d) political union. </w:t>
      </w:r>
      <w:r w:rsidR="00F16489" w:rsidRPr="00DD6029">
        <w:rPr>
          <w:rFonts w:ascii="Times New Roman" w:hAnsi="Times New Roman" w:cs="Times New Roman"/>
          <w:sz w:val="24"/>
          <w:szCs w:val="24"/>
        </w:rPr>
        <w:t xml:space="preserve">Having postulated those four criteria, the contributors then </w:t>
      </w:r>
      <w:r w:rsidR="00633459" w:rsidRPr="00DD6029">
        <w:rPr>
          <w:rFonts w:ascii="Times New Roman" w:hAnsi="Times New Roman" w:cs="Times New Roman"/>
          <w:sz w:val="24"/>
          <w:szCs w:val="24"/>
        </w:rPr>
        <w:t xml:space="preserve">assess the extent to which the euro project meets or derogates from those standards. </w:t>
      </w:r>
      <w:r w:rsidR="00F35605" w:rsidRPr="00DD6029">
        <w:rPr>
          <w:rFonts w:ascii="Times New Roman" w:hAnsi="Times New Roman" w:cs="Times New Roman"/>
          <w:sz w:val="24"/>
          <w:szCs w:val="24"/>
        </w:rPr>
        <w:t xml:space="preserve">Jones (2015) </w:t>
      </w:r>
      <w:r w:rsidR="00964380" w:rsidRPr="00DD6029">
        <w:rPr>
          <w:rFonts w:ascii="Times New Roman" w:hAnsi="Times New Roman" w:cs="Times New Roman"/>
          <w:sz w:val="24"/>
          <w:szCs w:val="24"/>
        </w:rPr>
        <w:t>provides an in-depth examination of the incomplete banking union, which lacked a union-wide supervision, resolution and deposit insurance schemes</w:t>
      </w:r>
      <w:r w:rsidR="00B84C85" w:rsidRPr="00DD6029">
        <w:rPr>
          <w:rFonts w:ascii="Times New Roman" w:hAnsi="Times New Roman" w:cs="Times New Roman"/>
          <w:sz w:val="24"/>
          <w:szCs w:val="24"/>
        </w:rPr>
        <w:t xml:space="preserve"> prior to the crisis</w:t>
      </w:r>
      <w:r w:rsidR="00964380" w:rsidRPr="00DD6029">
        <w:rPr>
          <w:rFonts w:ascii="Times New Roman" w:hAnsi="Times New Roman" w:cs="Times New Roman"/>
          <w:sz w:val="24"/>
          <w:szCs w:val="24"/>
        </w:rPr>
        <w:t xml:space="preserve">. To this day, </w:t>
      </w:r>
      <w:r w:rsidR="00B84C85" w:rsidRPr="00DD6029">
        <w:rPr>
          <w:rFonts w:ascii="Times New Roman" w:hAnsi="Times New Roman" w:cs="Times New Roman"/>
          <w:sz w:val="24"/>
          <w:szCs w:val="24"/>
        </w:rPr>
        <w:t xml:space="preserve">despite the enormous progress, </w:t>
      </w:r>
      <w:r w:rsidR="00964380" w:rsidRPr="00DD6029">
        <w:rPr>
          <w:rFonts w:ascii="Times New Roman" w:hAnsi="Times New Roman" w:cs="Times New Roman"/>
          <w:sz w:val="24"/>
          <w:szCs w:val="24"/>
        </w:rPr>
        <w:t xml:space="preserve">only the common supervision mechanism is in place, while the resolution mechanism with its foreseen fund is half-way in the making and the </w:t>
      </w:r>
      <w:r w:rsidR="007F2C39">
        <w:rPr>
          <w:rFonts w:ascii="Times New Roman" w:hAnsi="Times New Roman" w:cs="Times New Roman"/>
          <w:sz w:val="24"/>
          <w:szCs w:val="24"/>
        </w:rPr>
        <w:t>deposit</w:t>
      </w:r>
      <w:r w:rsidR="00964380" w:rsidRPr="00DD6029">
        <w:rPr>
          <w:rFonts w:ascii="Times New Roman" w:hAnsi="Times New Roman" w:cs="Times New Roman"/>
          <w:sz w:val="24"/>
          <w:szCs w:val="24"/>
        </w:rPr>
        <w:t xml:space="preserve"> insurance is still fragmented along national lines. </w:t>
      </w:r>
      <w:proofErr w:type="spellStart"/>
      <w:r w:rsidR="0064003D" w:rsidRPr="00DD6029">
        <w:rPr>
          <w:rFonts w:ascii="Times New Roman" w:hAnsi="Times New Roman" w:cs="Times New Roman"/>
          <w:sz w:val="24"/>
          <w:szCs w:val="24"/>
        </w:rPr>
        <w:t>Jabko</w:t>
      </w:r>
      <w:r w:rsidR="00B84C85" w:rsidRPr="00DD6029">
        <w:rPr>
          <w:rFonts w:ascii="Times New Roman" w:hAnsi="Times New Roman" w:cs="Times New Roman"/>
          <w:sz w:val="24"/>
          <w:szCs w:val="24"/>
        </w:rPr>
        <w:t>’s</w:t>
      </w:r>
      <w:proofErr w:type="spellEnd"/>
      <w:r w:rsidR="00B84C85" w:rsidRPr="00DD6029">
        <w:rPr>
          <w:rFonts w:ascii="Times New Roman" w:hAnsi="Times New Roman" w:cs="Times New Roman"/>
          <w:sz w:val="24"/>
          <w:szCs w:val="24"/>
        </w:rPr>
        <w:t xml:space="preserve"> (2015) </w:t>
      </w:r>
      <w:r w:rsidR="00FC7125" w:rsidRPr="00DD6029">
        <w:rPr>
          <w:rFonts w:ascii="Times New Roman" w:hAnsi="Times New Roman" w:cs="Times New Roman"/>
          <w:sz w:val="24"/>
          <w:szCs w:val="24"/>
        </w:rPr>
        <w:t>chapter examines</w:t>
      </w:r>
      <w:r w:rsidR="00B84C85" w:rsidRPr="00DD6029">
        <w:rPr>
          <w:rFonts w:ascii="Times New Roman" w:hAnsi="Times New Roman" w:cs="Times New Roman"/>
          <w:sz w:val="24"/>
          <w:szCs w:val="24"/>
        </w:rPr>
        <w:t xml:space="preserve"> the political obstacles to building a full-scale fiscal and economic union with mutualized debt instruments. Despite the attempts </w:t>
      </w:r>
      <w:r w:rsidR="00FC7125" w:rsidRPr="00DD6029">
        <w:rPr>
          <w:rFonts w:ascii="Times New Roman" w:hAnsi="Times New Roman" w:cs="Times New Roman"/>
          <w:sz w:val="24"/>
          <w:szCs w:val="24"/>
        </w:rPr>
        <w:t>to increase coordination of fiscal and economic policies under the European Semester and the European Stability Mechanism, the EMU derogates from the standards of embedded currency area and this fact is unlikel</w:t>
      </w:r>
      <w:r w:rsidR="007F2C39">
        <w:rPr>
          <w:rFonts w:ascii="Times New Roman" w:hAnsi="Times New Roman" w:cs="Times New Roman"/>
          <w:sz w:val="24"/>
          <w:szCs w:val="24"/>
        </w:rPr>
        <w:t>y to change in the near future.</w:t>
      </w:r>
    </w:p>
    <w:p w:rsidR="00F35605" w:rsidRPr="00DD6029" w:rsidRDefault="00A6746A" w:rsidP="007A608F">
      <w:pPr>
        <w:spacing w:line="240" w:lineRule="auto"/>
        <w:jc w:val="both"/>
        <w:rPr>
          <w:rFonts w:ascii="Times New Roman" w:hAnsi="Times New Roman" w:cs="Times New Roman"/>
          <w:sz w:val="24"/>
          <w:szCs w:val="24"/>
        </w:rPr>
      </w:pPr>
      <w:r w:rsidRPr="00DD6029">
        <w:rPr>
          <w:rFonts w:ascii="Times New Roman" w:hAnsi="Times New Roman" w:cs="Times New Roman"/>
          <w:sz w:val="24"/>
          <w:szCs w:val="24"/>
        </w:rPr>
        <w:t xml:space="preserve">The </w:t>
      </w:r>
      <w:r w:rsidRPr="00DD6029">
        <w:rPr>
          <w:rFonts w:ascii="Times New Roman" w:hAnsi="Times New Roman" w:cs="Times New Roman"/>
          <w:i/>
          <w:sz w:val="24"/>
          <w:szCs w:val="24"/>
        </w:rPr>
        <w:t>Future of the Euro</w:t>
      </w:r>
      <w:r w:rsidR="007B1C68" w:rsidRPr="00DD6029">
        <w:rPr>
          <w:rFonts w:ascii="Times New Roman" w:hAnsi="Times New Roman" w:cs="Times New Roman"/>
          <w:sz w:val="24"/>
          <w:szCs w:val="24"/>
        </w:rPr>
        <w:t xml:space="preserve"> contains comprehensive accounts of the limitations of the current governance arrangements of the single currency and the merits of the contributors’ conclusions are difficult to contests. However, this paper </w:t>
      </w:r>
      <w:r w:rsidR="00B61326" w:rsidRPr="00DD6029">
        <w:rPr>
          <w:rFonts w:ascii="Times New Roman" w:hAnsi="Times New Roman" w:cs="Times New Roman"/>
          <w:sz w:val="24"/>
          <w:szCs w:val="24"/>
        </w:rPr>
        <w:t xml:space="preserve">attempts to make a conceptual contribution to their analysis by warning against one fallacy: the mistake of conflating embeddedness with </w:t>
      </w:r>
      <w:r w:rsidR="001401E1">
        <w:rPr>
          <w:rFonts w:ascii="Times New Roman" w:hAnsi="Times New Roman" w:cs="Times New Roman"/>
          <w:sz w:val="24"/>
          <w:szCs w:val="24"/>
        </w:rPr>
        <w:t xml:space="preserve">strengthening of the </w:t>
      </w:r>
      <w:r w:rsidR="00B61326" w:rsidRPr="00DD6029">
        <w:rPr>
          <w:rFonts w:ascii="Times New Roman" w:hAnsi="Times New Roman" w:cs="Times New Roman"/>
          <w:sz w:val="24"/>
          <w:szCs w:val="24"/>
        </w:rPr>
        <w:t>supranational governance mechanisms</w:t>
      </w:r>
      <w:r w:rsidR="001401E1">
        <w:rPr>
          <w:rFonts w:ascii="Times New Roman" w:hAnsi="Times New Roman" w:cs="Times New Roman"/>
          <w:sz w:val="24"/>
          <w:szCs w:val="24"/>
        </w:rPr>
        <w:t xml:space="preserve"> i.e. with scaling up of </w:t>
      </w:r>
      <w:r w:rsidR="00631633">
        <w:rPr>
          <w:rFonts w:ascii="Times New Roman" w:hAnsi="Times New Roman" w:cs="Times New Roman"/>
          <w:sz w:val="24"/>
          <w:szCs w:val="24"/>
        </w:rPr>
        <w:t>prerogatives to the EU-level</w:t>
      </w:r>
      <w:r w:rsidR="00B61326" w:rsidRPr="00DD6029">
        <w:rPr>
          <w:rFonts w:ascii="Times New Roman" w:hAnsi="Times New Roman" w:cs="Times New Roman"/>
          <w:sz w:val="24"/>
          <w:szCs w:val="24"/>
        </w:rPr>
        <w:t xml:space="preserve">. </w:t>
      </w:r>
      <w:r w:rsidR="004C24FB" w:rsidRPr="00DD6029">
        <w:rPr>
          <w:rFonts w:ascii="Times New Roman" w:hAnsi="Times New Roman" w:cs="Times New Roman"/>
          <w:sz w:val="24"/>
          <w:szCs w:val="24"/>
        </w:rPr>
        <w:t xml:space="preserve">Namely, much like the earlier iterations of Polanyian analysis of the EU project, Blyth and </w:t>
      </w:r>
      <w:proofErr w:type="spellStart"/>
      <w:r w:rsidR="004C24FB" w:rsidRPr="00DD6029">
        <w:rPr>
          <w:rFonts w:ascii="Times New Roman" w:hAnsi="Times New Roman" w:cs="Times New Roman"/>
          <w:sz w:val="24"/>
          <w:szCs w:val="24"/>
        </w:rPr>
        <w:t>Matthijs</w:t>
      </w:r>
      <w:proofErr w:type="spellEnd"/>
      <w:r w:rsidR="004C24FB" w:rsidRPr="00DD6029">
        <w:rPr>
          <w:rFonts w:ascii="Times New Roman" w:hAnsi="Times New Roman" w:cs="Times New Roman"/>
          <w:sz w:val="24"/>
          <w:szCs w:val="24"/>
        </w:rPr>
        <w:t>’</w:t>
      </w:r>
      <w:r w:rsidR="00E6277D" w:rsidRPr="00DD6029">
        <w:rPr>
          <w:rFonts w:ascii="Times New Roman" w:hAnsi="Times New Roman" w:cs="Times New Roman"/>
          <w:sz w:val="24"/>
          <w:szCs w:val="24"/>
        </w:rPr>
        <w:t xml:space="preserve"> intervention is based on an understanding of Polanyi’s concepts that I wish to challenge in this paper. </w:t>
      </w:r>
      <w:r w:rsidR="008C45A7" w:rsidRPr="00DD6029">
        <w:rPr>
          <w:rFonts w:ascii="Times New Roman" w:hAnsi="Times New Roman" w:cs="Times New Roman"/>
          <w:sz w:val="24"/>
          <w:szCs w:val="24"/>
        </w:rPr>
        <w:t>By drawing on the insights of the ever-expanding neo-Polanyian scholarship, I argue that the way embeddedness is understood by the ECA approach bears little resemblance with</w:t>
      </w:r>
      <w:r w:rsidR="00F15BA9">
        <w:rPr>
          <w:rFonts w:ascii="Times New Roman" w:hAnsi="Times New Roman" w:cs="Times New Roman"/>
          <w:sz w:val="24"/>
          <w:szCs w:val="24"/>
        </w:rPr>
        <w:t xml:space="preserve"> the way Polanyi used the </w:t>
      </w:r>
      <w:r w:rsidR="00226CDD">
        <w:rPr>
          <w:rFonts w:ascii="Times New Roman" w:hAnsi="Times New Roman" w:cs="Times New Roman"/>
          <w:sz w:val="24"/>
          <w:szCs w:val="24"/>
        </w:rPr>
        <w:t xml:space="preserve">concept. </w:t>
      </w:r>
    </w:p>
    <w:p w:rsidR="008C45A7" w:rsidRPr="00DF399C" w:rsidRDefault="00F23552" w:rsidP="00DF399C">
      <w:pPr>
        <w:pStyle w:val="Heading1"/>
        <w:rPr>
          <w:color w:val="auto"/>
        </w:rPr>
      </w:pPr>
      <w:r>
        <w:rPr>
          <w:color w:val="auto"/>
        </w:rPr>
        <w:t>Embedded</w:t>
      </w:r>
      <w:r w:rsidR="00DF399C" w:rsidRPr="00DF399C">
        <w:rPr>
          <w:color w:val="auto"/>
        </w:rPr>
        <w:t xml:space="preserve"> versus Dis</w:t>
      </w:r>
      <w:r>
        <w:rPr>
          <w:color w:val="auto"/>
        </w:rPr>
        <w:t>embedded</w:t>
      </w:r>
      <w:r w:rsidR="00DF399C" w:rsidRPr="00DF399C">
        <w:rPr>
          <w:color w:val="auto"/>
        </w:rPr>
        <w:t xml:space="preserve"> </w:t>
      </w:r>
    </w:p>
    <w:p w:rsidR="00F23552" w:rsidRPr="00630421" w:rsidRDefault="00372A6F"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Neo-Polanyian scholars have</w:t>
      </w:r>
      <w:r w:rsidR="00F23552" w:rsidRPr="00630421">
        <w:rPr>
          <w:rFonts w:ascii="Times New Roman" w:hAnsi="Times New Roman" w:cs="Times New Roman"/>
          <w:sz w:val="24"/>
          <w:szCs w:val="24"/>
        </w:rPr>
        <w:t xml:space="preserve"> not reached a consensus on the issue of whether the concepts of embedded and disembedded were used in descriptive, normative, or analytical manner as ideal-types (</w:t>
      </w:r>
      <w:proofErr w:type="spellStart"/>
      <w:r w:rsidR="00F23552" w:rsidRPr="00630421">
        <w:rPr>
          <w:rFonts w:ascii="Times New Roman" w:hAnsi="Times New Roman" w:cs="Times New Roman"/>
          <w:sz w:val="24"/>
          <w:szCs w:val="24"/>
        </w:rPr>
        <w:t>Gemici</w:t>
      </w:r>
      <w:proofErr w:type="spellEnd"/>
      <w:r w:rsidR="00F23552" w:rsidRPr="00630421">
        <w:rPr>
          <w:rFonts w:ascii="Times New Roman" w:hAnsi="Times New Roman" w:cs="Times New Roman"/>
          <w:sz w:val="24"/>
          <w:szCs w:val="24"/>
        </w:rPr>
        <w:t xml:space="preserve">, 2008). </w:t>
      </w:r>
      <w:r w:rsidR="00E231F3">
        <w:rPr>
          <w:rFonts w:ascii="Times New Roman" w:hAnsi="Times New Roman" w:cs="Times New Roman"/>
          <w:sz w:val="24"/>
          <w:szCs w:val="24"/>
        </w:rPr>
        <w:t>The</w:t>
      </w:r>
      <w:r w:rsidR="006D5A3F" w:rsidRPr="007D7419">
        <w:rPr>
          <w:rFonts w:ascii="Times New Roman" w:hAnsi="Times New Roman" w:cs="Times New Roman"/>
          <w:sz w:val="24"/>
          <w:szCs w:val="24"/>
        </w:rPr>
        <w:t xml:space="preserve"> concept</w:t>
      </w:r>
      <w:r w:rsidR="006D5A3F">
        <w:rPr>
          <w:rFonts w:ascii="Times New Roman" w:hAnsi="Times New Roman" w:cs="Times New Roman"/>
          <w:sz w:val="24"/>
          <w:szCs w:val="24"/>
        </w:rPr>
        <w:t>s</w:t>
      </w:r>
      <w:r w:rsidR="006D5A3F" w:rsidRPr="007D7419">
        <w:rPr>
          <w:rFonts w:ascii="Times New Roman" w:hAnsi="Times New Roman" w:cs="Times New Roman"/>
          <w:sz w:val="24"/>
          <w:szCs w:val="24"/>
        </w:rPr>
        <w:t xml:space="preserve"> of </w:t>
      </w:r>
      <w:r w:rsidR="006D5A3F">
        <w:rPr>
          <w:rFonts w:ascii="Times New Roman" w:hAnsi="Times New Roman" w:cs="Times New Roman"/>
          <w:sz w:val="24"/>
          <w:szCs w:val="24"/>
        </w:rPr>
        <w:t>dis/embeddedness are</w:t>
      </w:r>
      <w:r w:rsidR="006D5A3F" w:rsidRPr="007D7419">
        <w:rPr>
          <w:rFonts w:ascii="Times New Roman" w:hAnsi="Times New Roman" w:cs="Times New Roman"/>
          <w:sz w:val="24"/>
          <w:szCs w:val="24"/>
        </w:rPr>
        <w:t xml:space="preserve"> not underpinn</w:t>
      </w:r>
      <w:r w:rsidR="006D5A3F">
        <w:rPr>
          <w:rFonts w:ascii="Times New Roman" w:hAnsi="Times New Roman" w:cs="Times New Roman"/>
          <w:sz w:val="24"/>
          <w:szCs w:val="24"/>
        </w:rPr>
        <w:t>ed by a single coherent meaning</w:t>
      </w:r>
      <w:r w:rsidR="00F23552" w:rsidRPr="00630421">
        <w:rPr>
          <w:rFonts w:ascii="Times New Roman" w:hAnsi="Times New Roman" w:cs="Times New Roman"/>
          <w:sz w:val="24"/>
          <w:szCs w:val="24"/>
        </w:rPr>
        <w:t xml:space="preserve">. Polanyi </w:t>
      </w:r>
      <w:r w:rsidR="00987A0F">
        <w:rPr>
          <w:rFonts w:ascii="Times New Roman" w:hAnsi="Times New Roman" w:cs="Times New Roman"/>
          <w:sz w:val="24"/>
          <w:szCs w:val="24"/>
        </w:rPr>
        <w:t>used</w:t>
      </w:r>
      <w:r w:rsidR="00F23552" w:rsidRPr="00630421">
        <w:rPr>
          <w:rFonts w:ascii="Times New Roman" w:hAnsi="Times New Roman" w:cs="Times New Roman"/>
          <w:sz w:val="24"/>
          <w:szCs w:val="24"/>
        </w:rPr>
        <w:t xml:space="preserve"> the term</w:t>
      </w:r>
      <w:r w:rsidR="00987A0F">
        <w:rPr>
          <w:rFonts w:ascii="Times New Roman" w:hAnsi="Times New Roman" w:cs="Times New Roman"/>
          <w:sz w:val="24"/>
          <w:szCs w:val="24"/>
        </w:rPr>
        <w:t>s</w:t>
      </w:r>
      <w:r w:rsidR="00F23552" w:rsidRPr="00630421">
        <w:rPr>
          <w:rFonts w:ascii="Times New Roman" w:hAnsi="Times New Roman" w:cs="Times New Roman"/>
          <w:sz w:val="24"/>
          <w:szCs w:val="24"/>
        </w:rPr>
        <w:t xml:space="preserve"> foremost as a political category, rather than </w:t>
      </w:r>
      <w:r w:rsidR="00F23552" w:rsidRPr="00630421">
        <w:rPr>
          <w:rFonts w:ascii="Times New Roman" w:hAnsi="Times New Roman" w:cs="Times New Roman"/>
          <w:sz w:val="24"/>
          <w:szCs w:val="24"/>
        </w:rPr>
        <w:lastRenderedPageBreak/>
        <w:t>as an accurate historical representation</w:t>
      </w:r>
      <w:r w:rsidR="00987A0F">
        <w:rPr>
          <w:rFonts w:ascii="Times New Roman" w:hAnsi="Times New Roman" w:cs="Times New Roman"/>
          <w:sz w:val="24"/>
          <w:szCs w:val="24"/>
        </w:rPr>
        <w:t xml:space="preserve"> (</w:t>
      </w:r>
      <w:proofErr w:type="spellStart"/>
      <w:r w:rsidR="00987A0F">
        <w:rPr>
          <w:rFonts w:ascii="Times New Roman" w:hAnsi="Times New Roman" w:cs="Times New Roman"/>
          <w:sz w:val="24"/>
          <w:szCs w:val="24"/>
        </w:rPr>
        <w:t>Lacher</w:t>
      </w:r>
      <w:proofErr w:type="spellEnd"/>
      <w:r w:rsidR="00987A0F">
        <w:rPr>
          <w:rFonts w:ascii="Times New Roman" w:hAnsi="Times New Roman" w:cs="Times New Roman"/>
          <w:sz w:val="24"/>
          <w:szCs w:val="24"/>
        </w:rPr>
        <w:t>,</w:t>
      </w:r>
      <w:r w:rsidR="00987A0F" w:rsidRPr="00987A0F">
        <w:rPr>
          <w:rFonts w:ascii="Times New Roman" w:hAnsi="Times New Roman" w:cs="Times New Roman"/>
          <w:sz w:val="24"/>
          <w:szCs w:val="24"/>
        </w:rPr>
        <w:t xml:space="preserve"> </w:t>
      </w:r>
      <w:r w:rsidR="00987A0F">
        <w:rPr>
          <w:rFonts w:ascii="Times New Roman" w:hAnsi="Times New Roman" w:cs="Times New Roman"/>
          <w:sz w:val="24"/>
          <w:szCs w:val="24"/>
        </w:rPr>
        <w:t>1999; 2007)</w:t>
      </w:r>
      <w:r w:rsidR="00F23552" w:rsidRPr="00630421">
        <w:rPr>
          <w:rFonts w:ascii="Times New Roman" w:hAnsi="Times New Roman" w:cs="Times New Roman"/>
          <w:sz w:val="24"/>
          <w:szCs w:val="24"/>
        </w:rPr>
        <w:t xml:space="preserve">. Hence, </w:t>
      </w:r>
      <w:r w:rsidR="00AF5957">
        <w:rPr>
          <w:rFonts w:ascii="Times New Roman" w:hAnsi="Times New Roman" w:cs="Times New Roman"/>
          <w:sz w:val="24"/>
          <w:szCs w:val="24"/>
        </w:rPr>
        <w:t>his</w:t>
      </w:r>
      <w:r w:rsidR="00F23552" w:rsidRPr="00630421">
        <w:rPr>
          <w:rFonts w:ascii="Times New Roman" w:hAnsi="Times New Roman" w:cs="Times New Roman"/>
          <w:sz w:val="24"/>
          <w:szCs w:val="24"/>
        </w:rPr>
        <w:t xml:space="preserve"> insightful critique of the self-regulating market should not be reduced to a mere statement of fact and taken literally, but should be read against the backdrop of his </w:t>
      </w:r>
      <w:r>
        <w:rPr>
          <w:rFonts w:ascii="Times New Roman" w:hAnsi="Times New Roman" w:cs="Times New Roman"/>
          <w:sz w:val="24"/>
          <w:szCs w:val="24"/>
        </w:rPr>
        <w:t>normative</w:t>
      </w:r>
      <w:r w:rsidR="00F23552" w:rsidRPr="00630421">
        <w:rPr>
          <w:rFonts w:ascii="Times New Roman" w:hAnsi="Times New Roman" w:cs="Times New Roman"/>
          <w:sz w:val="24"/>
          <w:szCs w:val="24"/>
        </w:rPr>
        <w:t xml:space="preserve"> commitment</w:t>
      </w:r>
      <w:r w:rsidR="00447328">
        <w:rPr>
          <w:rFonts w:ascii="Times New Roman" w:hAnsi="Times New Roman" w:cs="Times New Roman"/>
          <w:sz w:val="24"/>
          <w:szCs w:val="24"/>
        </w:rPr>
        <w:t xml:space="preserve"> (Block and</w:t>
      </w:r>
      <w:r w:rsidR="005307C9">
        <w:rPr>
          <w:rFonts w:ascii="Times New Roman" w:hAnsi="Times New Roman" w:cs="Times New Roman"/>
          <w:sz w:val="24"/>
          <w:szCs w:val="24"/>
        </w:rPr>
        <w:t xml:space="preserve"> Somers, 2014)</w:t>
      </w:r>
      <w:r w:rsidR="00F23552" w:rsidRPr="00630421">
        <w:rPr>
          <w:rFonts w:ascii="Times New Roman" w:hAnsi="Times New Roman" w:cs="Times New Roman"/>
          <w:sz w:val="24"/>
          <w:szCs w:val="24"/>
        </w:rPr>
        <w:t xml:space="preserve">. </w:t>
      </w:r>
    </w:p>
    <w:p w:rsidR="00372A6F" w:rsidRPr="007D7419" w:rsidRDefault="00372A6F" w:rsidP="007A608F">
      <w:pPr>
        <w:spacing w:after="240" w:line="240" w:lineRule="auto"/>
        <w:jc w:val="both"/>
        <w:rPr>
          <w:rFonts w:ascii="Times New Roman" w:hAnsi="Times New Roman" w:cs="Times New Roman"/>
          <w:sz w:val="24"/>
          <w:szCs w:val="24"/>
        </w:rPr>
      </w:pPr>
      <w:r w:rsidRPr="007D7419">
        <w:rPr>
          <w:rFonts w:ascii="Times New Roman" w:hAnsi="Times New Roman" w:cs="Times New Roman"/>
          <w:sz w:val="24"/>
          <w:szCs w:val="24"/>
        </w:rPr>
        <w:t xml:space="preserve">Scholars have identified two major problems with Polanyi’s concepts of dis/embeddedness: </w:t>
      </w:r>
      <w:r>
        <w:rPr>
          <w:rFonts w:ascii="Times New Roman" w:hAnsi="Times New Roman" w:cs="Times New Roman"/>
          <w:sz w:val="24"/>
          <w:szCs w:val="24"/>
        </w:rPr>
        <w:t>a)</w:t>
      </w:r>
      <w:r w:rsidRPr="007D7419">
        <w:rPr>
          <w:rFonts w:ascii="Times New Roman" w:hAnsi="Times New Roman" w:cs="Times New Roman"/>
          <w:sz w:val="24"/>
          <w:szCs w:val="24"/>
        </w:rPr>
        <w:t xml:space="preserve"> it is empirically inaccurate and </w:t>
      </w:r>
      <w:r>
        <w:rPr>
          <w:rFonts w:ascii="Times New Roman" w:hAnsi="Times New Roman" w:cs="Times New Roman"/>
          <w:sz w:val="24"/>
          <w:szCs w:val="24"/>
        </w:rPr>
        <w:t>b)</w:t>
      </w:r>
      <w:r w:rsidRPr="007D7419">
        <w:rPr>
          <w:rFonts w:ascii="Times New Roman" w:hAnsi="Times New Roman" w:cs="Times New Roman"/>
          <w:sz w:val="24"/>
          <w:szCs w:val="24"/>
        </w:rPr>
        <w:t xml:space="preserve"> it is riddled with conceptual contradictions. Scholars who </w:t>
      </w:r>
      <w:r>
        <w:rPr>
          <w:rFonts w:ascii="Times New Roman" w:hAnsi="Times New Roman" w:cs="Times New Roman"/>
          <w:sz w:val="24"/>
          <w:szCs w:val="24"/>
        </w:rPr>
        <w:t>read</w:t>
      </w:r>
      <w:r w:rsidRPr="007D7419">
        <w:rPr>
          <w:rFonts w:ascii="Times New Roman" w:hAnsi="Times New Roman" w:cs="Times New Roman"/>
          <w:sz w:val="24"/>
          <w:szCs w:val="24"/>
        </w:rPr>
        <w:t xml:space="preserve"> </w:t>
      </w:r>
      <w:r w:rsidRPr="007D7419">
        <w:rPr>
          <w:rFonts w:ascii="Times New Roman" w:hAnsi="Times New Roman" w:cs="Times New Roman"/>
          <w:i/>
          <w:sz w:val="24"/>
          <w:szCs w:val="24"/>
        </w:rPr>
        <w:t xml:space="preserve">The Great Transformation </w:t>
      </w:r>
      <w:r w:rsidRPr="007D7419">
        <w:rPr>
          <w:rFonts w:ascii="Times New Roman" w:hAnsi="Times New Roman" w:cs="Times New Roman"/>
          <w:sz w:val="24"/>
          <w:szCs w:val="24"/>
        </w:rPr>
        <w:t>(TGT) in descriptive terms challenge Polanyi’s conclusions</w:t>
      </w:r>
      <w:r w:rsidR="00F61D9B">
        <w:rPr>
          <w:rFonts w:ascii="Times New Roman" w:hAnsi="Times New Roman" w:cs="Times New Roman"/>
          <w:sz w:val="24"/>
          <w:szCs w:val="24"/>
        </w:rPr>
        <w:t xml:space="preserve"> for being historically inaccurate. Namely, </w:t>
      </w:r>
      <w:r w:rsidR="00016E12">
        <w:rPr>
          <w:rFonts w:ascii="Times New Roman" w:hAnsi="Times New Roman" w:cs="Times New Roman"/>
          <w:sz w:val="24"/>
          <w:szCs w:val="24"/>
        </w:rPr>
        <w:t>Polanyi is criticized</w:t>
      </w:r>
      <w:r w:rsidRPr="007D7419">
        <w:rPr>
          <w:rFonts w:ascii="Times New Roman" w:hAnsi="Times New Roman" w:cs="Times New Roman"/>
          <w:sz w:val="24"/>
          <w:szCs w:val="24"/>
        </w:rPr>
        <w:t xml:space="preserve"> both for his rendering of pre-modern societies as embedded and </w:t>
      </w:r>
      <w:r w:rsidRPr="007D7419">
        <w:rPr>
          <w:rFonts w:ascii="Times New Roman" w:hAnsi="Times New Roman" w:cs="Times New Roman"/>
          <w:i/>
          <w:sz w:val="24"/>
          <w:szCs w:val="24"/>
        </w:rPr>
        <w:t>laissez-faire</w:t>
      </w:r>
      <w:r w:rsidRPr="007D7419">
        <w:rPr>
          <w:rFonts w:ascii="Times New Roman" w:hAnsi="Times New Roman" w:cs="Times New Roman"/>
          <w:sz w:val="24"/>
          <w:szCs w:val="24"/>
        </w:rPr>
        <w:t xml:space="preserve"> capitalism as disembedded (Holmes, 2012). By bringing forward evidence for the existence of price-setting markets and rod currencies in the pre-modern world, scholars claim that disembeddedness is not an exclusive feature of </w:t>
      </w:r>
      <w:r w:rsidRPr="007D7419">
        <w:rPr>
          <w:rFonts w:ascii="Times New Roman" w:hAnsi="Times New Roman" w:cs="Times New Roman"/>
          <w:i/>
          <w:sz w:val="24"/>
          <w:szCs w:val="24"/>
        </w:rPr>
        <w:t>laissez-faire</w:t>
      </w:r>
      <w:r w:rsidRPr="007D7419">
        <w:rPr>
          <w:rFonts w:ascii="Times New Roman" w:hAnsi="Times New Roman" w:cs="Times New Roman"/>
          <w:sz w:val="24"/>
          <w:szCs w:val="24"/>
        </w:rPr>
        <w:t xml:space="preserve"> capitalism (Latham, 1997; Silver, 1983). However, these claims are based on a conflation between trade and the market system as def</w:t>
      </w:r>
      <w:r w:rsidR="0047491B">
        <w:rPr>
          <w:rFonts w:ascii="Times New Roman" w:hAnsi="Times New Roman" w:cs="Times New Roman"/>
          <w:sz w:val="24"/>
          <w:szCs w:val="24"/>
        </w:rPr>
        <w:t>ined by Polanyi</w:t>
      </w:r>
      <w:r w:rsidRPr="007D7419">
        <w:rPr>
          <w:rFonts w:ascii="Times New Roman" w:hAnsi="Times New Roman" w:cs="Times New Roman"/>
          <w:sz w:val="24"/>
          <w:szCs w:val="24"/>
        </w:rPr>
        <w:t xml:space="preserve">. Polanyi himself does not deny the operation of the principle of exchange in pre-capitalist societies, but only the market system as a distinct institutional pattern predicated on </w:t>
      </w:r>
      <w:r w:rsidR="00F61D9B" w:rsidRPr="007D7419">
        <w:rPr>
          <w:rFonts w:ascii="Times New Roman" w:hAnsi="Times New Roman" w:cs="Times New Roman"/>
          <w:sz w:val="24"/>
          <w:szCs w:val="24"/>
        </w:rPr>
        <w:t>economizing</w:t>
      </w:r>
      <w:r w:rsidRPr="007D7419">
        <w:rPr>
          <w:rFonts w:ascii="Times New Roman" w:hAnsi="Times New Roman" w:cs="Times New Roman"/>
          <w:sz w:val="24"/>
          <w:szCs w:val="24"/>
        </w:rPr>
        <w:t xml:space="preserve"> rationality (Polanyi, 1977</w:t>
      </w:r>
      <w:r>
        <w:rPr>
          <w:rFonts w:ascii="Times New Roman" w:hAnsi="Times New Roman" w:cs="Times New Roman"/>
          <w:sz w:val="24"/>
          <w:szCs w:val="24"/>
        </w:rPr>
        <w:t>). A</w:t>
      </w:r>
      <w:r w:rsidR="00F61D9B">
        <w:rPr>
          <w:rFonts w:ascii="Times New Roman" w:hAnsi="Times New Roman" w:cs="Times New Roman"/>
          <w:sz w:val="24"/>
          <w:szCs w:val="24"/>
        </w:rPr>
        <w:t>lthough a</w:t>
      </w:r>
      <w:r w:rsidRPr="007D7419">
        <w:rPr>
          <w:rFonts w:ascii="Times New Roman" w:hAnsi="Times New Roman" w:cs="Times New Roman"/>
          <w:sz w:val="24"/>
          <w:szCs w:val="24"/>
        </w:rPr>
        <w:t>cts of bart</w:t>
      </w:r>
      <w:r>
        <w:rPr>
          <w:rFonts w:ascii="Times New Roman" w:hAnsi="Times New Roman" w:cs="Times New Roman"/>
          <w:sz w:val="24"/>
          <w:szCs w:val="24"/>
        </w:rPr>
        <w:t>er are universal, that did not preclude</w:t>
      </w:r>
      <w:r w:rsidRPr="007D7419">
        <w:rPr>
          <w:rFonts w:ascii="Times New Roman" w:hAnsi="Times New Roman" w:cs="Times New Roman"/>
          <w:sz w:val="24"/>
          <w:szCs w:val="24"/>
        </w:rPr>
        <w:t xml:space="preserve"> Polanyi </w:t>
      </w:r>
      <w:r>
        <w:rPr>
          <w:rFonts w:ascii="Times New Roman" w:hAnsi="Times New Roman" w:cs="Times New Roman"/>
          <w:sz w:val="24"/>
          <w:szCs w:val="24"/>
        </w:rPr>
        <w:t>to make</w:t>
      </w:r>
      <w:r w:rsidRPr="007D7419">
        <w:rPr>
          <w:rFonts w:ascii="Times New Roman" w:hAnsi="Times New Roman" w:cs="Times New Roman"/>
          <w:sz w:val="24"/>
          <w:szCs w:val="24"/>
        </w:rPr>
        <w:t xml:space="preserve"> a </w:t>
      </w:r>
      <w:r>
        <w:rPr>
          <w:rFonts w:ascii="Times New Roman" w:hAnsi="Times New Roman" w:cs="Times New Roman"/>
          <w:sz w:val="24"/>
          <w:szCs w:val="24"/>
        </w:rPr>
        <w:t xml:space="preserve">conceptual </w:t>
      </w:r>
      <w:r w:rsidRPr="007D7419">
        <w:rPr>
          <w:rFonts w:ascii="Times New Roman" w:hAnsi="Times New Roman" w:cs="Times New Roman"/>
          <w:sz w:val="24"/>
          <w:szCs w:val="24"/>
        </w:rPr>
        <w:t>distinction between loca</w:t>
      </w:r>
      <w:r>
        <w:rPr>
          <w:rFonts w:ascii="Times New Roman" w:hAnsi="Times New Roman" w:cs="Times New Roman"/>
          <w:sz w:val="24"/>
          <w:szCs w:val="24"/>
        </w:rPr>
        <w:t>l, external and internal trade.</w:t>
      </w:r>
      <w:r w:rsidR="00F61D9B">
        <w:rPr>
          <w:rFonts w:ascii="Times New Roman" w:hAnsi="Times New Roman" w:cs="Times New Roman"/>
          <w:sz w:val="24"/>
          <w:szCs w:val="24"/>
        </w:rPr>
        <w:t xml:space="preserve"> According to Polanyi, only the latter type of exchange (internal trade)</w:t>
      </w:r>
      <w:r>
        <w:rPr>
          <w:rFonts w:ascii="Times New Roman" w:hAnsi="Times New Roman" w:cs="Times New Roman"/>
          <w:sz w:val="24"/>
          <w:szCs w:val="24"/>
        </w:rPr>
        <w:t xml:space="preserve"> has</w:t>
      </w:r>
      <w:r w:rsidRPr="007D7419">
        <w:rPr>
          <w:rFonts w:ascii="Times New Roman" w:hAnsi="Times New Roman" w:cs="Times New Roman"/>
          <w:sz w:val="24"/>
          <w:szCs w:val="24"/>
        </w:rPr>
        <w:t xml:space="preserve"> a com</w:t>
      </w:r>
      <w:r>
        <w:rPr>
          <w:rFonts w:ascii="Times New Roman" w:hAnsi="Times New Roman" w:cs="Times New Roman"/>
          <w:sz w:val="24"/>
          <w:szCs w:val="24"/>
        </w:rPr>
        <w:t xml:space="preserve">petitive underpinning, and </w:t>
      </w:r>
      <w:r w:rsidRPr="007D7419">
        <w:rPr>
          <w:rFonts w:ascii="Times New Roman" w:hAnsi="Times New Roman" w:cs="Times New Roman"/>
          <w:sz w:val="24"/>
          <w:szCs w:val="24"/>
        </w:rPr>
        <w:t>developed due to state in</w:t>
      </w:r>
      <w:r>
        <w:rPr>
          <w:rFonts w:ascii="Times New Roman" w:hAnsi="Times New Roman" w:cs="Times New Roman"/>
          <w:sz w:val="24"/>
          <w:szCs w:val="24"/>
        </w:rPr>
        <w:t xml:space="preserve">tervention. While local and external trade </w:t>
      </w:r>
      <w:r w:rsidRPr="007D7419">
        <w:rPr>
          <w:rFonts w:ascii="Times New Roman" w:hAnsi="Times New Roman" w:cs="Times New Roman"/>
          <w:sz w:val="24"/>
          <w:szCs w:val="24"/>
        </w:rPr>
        <w:t>are associated with fairs and ports, and as such were p</w:t>
      </w:r>
      <w:r w:rsidR="006D5A3F">
        <w:rPr>
          <w:rFonts w:ascii="Times New Roman" w:hAnsi="Times New Roman" w:cs="Times New Roman"/>
          <w:sz w:val="24"/>
          <w:szCs w:val="24"/>
        </w:rPr>
        <w:t>resent in pre-modern societies.</w:t>
      </w:r>
      <w:r w:rsidR="002C2E83">
        <w:rPr>
          <w:rStyle w:val="FootnoteReference"/>
          <w:rFonts w:ascii="Times New Roman" w:hAnsi="Times New Roman" w:cs="Times New Roman"/>
          <w:sz w:val="24"/>
          <w:szCs w:val="24"/>
        </w:rPr>
        <w:footnoteReference w:id="7"/>
      </w:r>
    </w:p>
    <w:p w:rsidR="00016E12" w:rsidRDefault="00016E12" w:rsidP="007A608F">
      <w:pPr>
        <w:spacing w:line="240" w:lineRule="auto"/>
        <w:jc w:val="both"/>
        <w:rPr>
          <w:rFonts w:ascii="Times New Roman" w:hAnsi="Times New Roman" w:cs="Times New Roman"/>
          <w:sz w:val="24"/>
          <w:szCs w:val="24"/>
        </w:rPr>
      </w:pPr>
      <w:r>
        <w:rPr>
          <w:rFonts w:ascii="Times New Roman" w:hAnsi="Times New Roman" w:cs="Times New Roman"/>
          <w:sz w:val="24"/>
          <w:szCs w:val="24"/>
        </w:rPr>
        <w:t>Polanyi (1957) did not idealiz</w:t>
      </w:r>
      <w:r w:rsidRPr="007D7419">
        <w:rPr>
          <w:rFonts w:ascii="Times New Roman" w:hAnsi="Times New Roman" w:cs="Times New Roman"/>
          <w:sz w:val="24"/>
          <w:szCs w:val="24"/>
        </w:rPr>
        <w:t>e the pre-modern organization of the economy, which undoubtedly would be predicated on social norms that exert structural violence</w:t>
      </w:r>
      <w:r w:rsidR="007F2C39">
        <w:rPr>
          <w:rFonts w:ascii="Times New Roman" w:hAnsi="Times New Roman" w:cs="Times New Roman"/>
          <w:sz w:val="24"/>
          <w:szCs w:val="24"/>
        </w:rPr>
        <w:t xml:space="preserve"> towards individuals</w:t>
      </w:r>
      <w:r w:rsidRPr="007D7419">
        <w:rPr>
          <w:rFonts w:ascii="Times New Roman" w:hAnsi="Times New Roman" w:cs="Times New Roman"/>
          <w:sz w:val="24"/>
          <w:szCs w:val="24"/>
        </w:rPr>
        <w:t xml:space="preserve">. But rather, Polanyi (1957) was using evidence from ancient civilizations to refute the </w:t>
      </w:r>
      <w:r>
        <w:rPr>
          <w:rFonts w:ascii="Times New Roman" w:hAnsi="Times New Roman" w:cs="Times New Roman"/>
          <w:sz w:val="24"/>
          <w:szCs w:val="24"/>
        </w:rPr>
        <w:t xml:space="preserve">tendency of </w:t>
      </w:r>
      <w:r w:rsidRPr="007D7419">
        <w:rPr>
          <w:rFonts w:ascii="Times New Roman" w:hAnsi="Times New Roman" w:cs="Times New Roman"/>
          <w:sz w:val="24"/>
          <w:szCs w:val="24"/>
        </w:rPr>
        <w:t>neoclassical economic</w:t>
      </w:r>
      <w:r>
        <w:rPr>
          <w:rFonts w:ascii="Times New Roman" w:hAnsi="Times New Roman" w:cs="Times New Roman"/>
          <w:sz w:val="24"/>
          <w:szCs w:val="24"/>
        </w:rPr>
        <w:t>s to naturalize</w:t>
      </w:r>
      <w:r w:rsidRPr="007D7419">
        <w:rPr>
          <w:rFonts w:ascii="Times New Roman" w:hAnsi="Times New Roman" w:cs="Times New Roman"/>
          <w:sz w:val="24"/>
          <w:szCs w:val="24"/>
        </w:rPr>
        <w:t xml:space="preserve"> the competitive price-setting market, which was a mere historical artefact rather than a universally valid norm. In doing so, Polanyi was performing a double critique of both the market society and pre-modern </w:t>
      </w:r>
      <w:r w:rsidR="00DC5AE8" w:rsidRPr="007D7419">
        <w:rPr>
          <w:rFonts w:ascii="Times New Roman" w:hAnsi="Times New Roman" w:cs="Times New Roman"/>
          <w:sz w:val="24"/>
          <w:szCs w:val="24"/>
        </w:rPr>
        <w:t>civilizations</w:t>
      </w:r>
      <w:r w:rsidRPr="007D7419">
        <w:rPr>
          <w:rFonts w:ascii="Times New Roman" w:hAnsi="Times New Roman" w:cs="Times New Roman"/>
          <w:sz w:val="24"/>
          <w:szCs w:val="24"/>
        </w:rPr>
        <w:t xml:space="preserve"> by advocating the building of a ‘ne</w:t>
      </w:r>
      <w:r>
        <w:rPr>
          <w:rFonts w:ascii="Times New Roman" w:hAnsi="Times New Roman" w:cs="Times New Roman"/>
          <w:sz w:val="24"/>
          <w:szCs w:val="24"/>
        </w:rPr>
        <w:t xml:space="preserve">w </w:t>
      </w:r>
      <w:r w:rsidR="00DC5AE8">
        <w:rPr>
          <w:rFonts w:ascii="Times New Roman" w:hAnsi="Times New Roman" w:cs="Times New Roman"/>
          <w:sz w:val="24"/>
          <w:szCs w:val="24"/>
        </w:rPr>
        <w:t>civilization</w:t>
      </w:r>
      <w:r w:rsidR="00447328">
        <w:rPr>
          <w:rFonts w:ascii="Times New Roman" w:hAnsi="Times New Roman" w:cs="Times New Roman"/>
          <w:sz w:val="24"/>
          <w:szCs w:val="24"/>
        </w:rPr>
        <w:t>’ (</w:t>
      </w:r>
      <w:proofErr w:type="spellStart"/>
      <w:r w:rsidR="00447328">
        <w:rPr>
          <w:rFonts w:ascii="Times New Roman" w:hAnsi="Times New Roman" w:cs="Times New Roman"/>
          <w:sz w:val="24"/>
          <w:szCs w:val="24"/>
        </w:rPr>
        <w:t>Inayatullah</w:t>
      </w:r>
      <w:proofErr w:type="spellEnd"/>
      <w:r w:rsidR="00447328">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Blaney</w:t>
      </w:r>
      <w:proofErr w:type="spellEnd"/>
      <w:r>
        <w:rPr>
          <w:rFonts w:ascii="Times New Roman" w:hAnsi="Times New Roman" w:cs="Times New Roman"/>
          <w:sz w:val="24"/>
          <w:szCs w:val="24"/>
        </w:rPr>
        <w:t>, 1999, p.</w:t>
      </w:r>
      <w:r w:rsidRPr="007D7419">
        <w:rPr>
          <w:rFonts w:ascii="Times New Roman" w:hAnsi="Times New Roman" w:cs="Times New Roman"/>
          <w:sz w:val="24"/>
          <w:szCs w:val="24"/>
        </w:rPr>
        <w:t xml:space="preserve">330). </w:t>
      </w:r>
    </w:p>
    <w:p w:rsidR="00261DB7" w:rsidRDefault="00016E12" w:rsidP="007A608F">
      <w:pPr>
        <w:spacing w:after="240" w:line="240" w:lineRule="auto"/>
        <w:jc w:val="both"/>
        <w:rPr>
          <w:rFonts w:ascii="Times New Roman" w:hAnsi="Times New Roman" w:cs="Times New Roman"/>
          <w:sz w:val="24"/>
          <w:szCs w:val="24"/>
        </w:rPr>
      </w:pPr>
      <w:r w:rsidRPr="007D7419">
        <w:rPr>
          <w:rFonts w:ascii="Times New Roman" w:hAnsi="Times New Roman" w:cs="Times New Roman"/>
          <w:sz w:val="24"/>
          <w:szCs w:val="24"/>
        </w:rPr>
        <w:t xml:space="preserve">The second criticism of Polanyi’s (1944) work </w:t>
      </w:r>
      <w:r>
        <w:rPr>
          <w:rFonts w:ascii="Times New Roman" w:hAnsi="Times New Roman" w:cs="Times New Roman"/>
          <w:sz w:val="24"/>
          <w:szCs w:val="24"/>
        </w:rPr>
        <w:t xml:space="preserve">is more difficult to defend because it </w:t>
      </w:r>
      <w:r w:rsidRPr="007D7419">
        <w:rPr>
          <w:rFonts w:ascii="Times New Roman" w:hAnsi="Times New Roman" w:cs="Times New Roman"/>
          <w:sz w:val="24"/>
          <w:szCs w:val="24"/>
        </w:rPr>
        <w:t xml:space="preserve">reveals a conceptual contradiction between his </w:t>
      </w:r>
      <w:r w:rsidR="006F5EB6" w:rsidRPr="007D7419">
        <w:rPr>
          <w:rFonts w:ascii="Times New Roman" w:hAnsi="Times New Roman" w:cs="Times New Roman"/>
          <w:sz w:val="24"/>
          <w:szCs w:val="24"/>
        </w:rPr>
        <w:t>assertions</w:t>
      </w:r>
      <w:r w:rsidRPr="007D7419">
        <w:rPr>
          <w:rFonts w:ascii="Times New Roman" w:hAnsi="Times New Roman" w:cs="Times New Roman"/>
          <w:sz w:val="24"/>
          <w:szCs w:val="24"/>
        </w:rPr>
        <w:t xml:space="preserve"> that all economic activities are socially embedded and his conclusion that the </w:t>
      </w:r>
      <w:r w:rsidRPr="007D7419">
        <w:rPr>
          <w:rFonts w:ascii="Times New Roman" w:hAnsi="Times New Roman" w:cs="Times New Roman"/>
          <w:i/>
          <w:sz w:val="24"/>
          <w:szCs w:val="24"/>
        </w:rPr>
        <w:t>laissez-faire</w:t>
      </w:r>
      <w:r w:rsidRPr="007D7419">
        <w:rPr>
          <w:rFonts w:ascii="Times New Roman" w:hAnsi="Times New Roman" w:cs="Times New Roman"/>
          <w:sz w:val="24"/>
          <w:szCs w:val="24"/>
        </w:rPr>
        <w:t xml:space="preserve"> economy was disembedded (Block, 2003</w:t>
      </w:r>
      <w:r>
        <w:rPr>
          <w:rFonts w:ascii="Times New Roman" w:hAnsi="Times New Roman" w:cs="Times New Roman"/>
          <w:sz w:val="24"/>
          <w:szCs w:val="24"/>
        </w:rPr>
        <w:t>, 2012</w:t>
      </w:r>
      <w:r w:rsidRPr="007D7419">
        <w:rPr>
          <w:rFonts w:ascii="Times New Roman" w:hAnsi="Times New Roman" w:cs="Times New Roman"/>
          <w:sz w:val="24"/>
          <w:szCs w:val="24"/>
        </w:rPr>
        <w:t xml:space="preserve">; </w:t>
      </w:r>
      <w:r w:rsidR="00447328">
        <w:rPr>
          <w:rFonts w:ascii="Times New Roman" w:hAnsi="Times New Roman" w:cs="Times New Roman"/>
          <w:sz w:val="24"/>
          <w:szCs w:val="24"/>
        </w:rPr>
        <w:t>Block and</w:t>
      </w:r>
      <w:r w:rsidR="00C36B62">
        <w:rPr>
          <w:rFonts w:ascii="Times New Roman" w:hAnsi="Times New Roman" w:cs="Times New Roman"/>
          <w:sz w:val="24"/>
          <w:szCs w:val="24"/>
        </w:rPr>
        <w:t xml:space="preserve"> Somers, 2014</w:t>
      </w:r>
      <w:r w:rsidRPr="007D7419">
        <w:rPr>
          <w:rFonts w:ascii="Times New Roman" w:hAnsi="Times New Roman" w:cs="Times New Roman"/>
          <w:sz w:val="24"/>
          <w:szCs w:val="24"/>
        </w:rPr>
        <w:t>). At the conceptual level the qualifier ‘embedded’ is redundant because every economy, including the most free-market one is embedded in the social fabric (</w:t>
      </w:r>
      <w:proofErr w:type="spellStart"/>
      <w:r w:rsidRPr="007D7419">
        <w:rPr>
          <w:rFonts w:ascii="Times New Roman" w:hAnsi="Times New Roman" w:cs="Times New Roman"/>
          <w:sz w:val="24"/>
          <w:szCs w:val="24"/>
        </w:rPr>
        <w:t>Krippner</w:t>
      </w:r>
      <w:proofErr w:type="spellEnd"/>
      <w:r w:rsidRPr="007D7419">
        <w:rPr>
          <w:rFonts w:ascii="Times New Roman" w:hAnsi="Times New Roman" w:cs="Times New Roman"/>
          <w:sz w:val="24"/>
          <w:szCs w:val="24"/>
        </w:rPr>
        <w:t xml:space="preserve">, 2004). </w:t>
      </w:r>
      <w:r w:rsidR="00CE492F">
        <w:rPr>
          <w:rFonts w:ascii="Times New Roman" w:hAnsi="Times New Roman" w:cs="Times New Roman"/>
          <w:sz w:val="24"/>
          <w:szCs w:val="24"/>
        </w:rPr>
        <w:t xml:space="preserve">Thus, it follows that if we accept a) Polanyi’s thesis that the market is always embedded and b) his premise that the realization of the self-regulating market is utopian, </w:t>
      </w:r>
      <w:r w:rsidR="00B15E35">
        <w:rPr>
          <w:rFonts w:ascii="Times New Roman" w:hAnsi="Times New Roman" w:cs="Times New Roman"/>
          <w:sz w:val="24"/>
          <w:szCs w:val="24"/>
        </w:rPr>
        <w:t xml:space="preserve">then </w:t>
      </w:r>
      <w:r w:rsidR="00CE492F">
        <w:rPr>
          <w:rFonts w:ascii="Times New Roman" w:hAnsi="Times New Roman" w:cs="Times New Roman"/>
          <w:sz w:val="24"/>
          <w:szCs w:val="24"/>
        </w:rPr>
        <w:t>we cannot have institutional s</w:t>
      </w:r>
      <w:r w:rsidR="00B16A98">
        <w:rPr>
          <w:rFonts w:ascii="Times New Roman" w:hAnsi="Times New Roman" w:cs="Times New Roman"/>
          <w:sz w:val="24"/>
          <w:szCs w:val="24"/>
        </w:rPr>
        <w:t>tructures that are disembedded.</w:t>
      </w:r>
      <w:r w:rsidR="00CB7D42">
        <w:rPr>
          <w:rStyle w:val="FootnoteReference"/>
          <w:rFonts w:ascii="Times New Roman" w:hAnsi="Times New Roman" w:cs="Times New Roman"/>
          <w:sz w:val="24"/>
          <w:szCs w:val="24"/>
        </w:rPr>
        <w:footnoteReference w:id="8"/>
      </w:r>
      <w:r w:rsidR="00B16A98">
        <w:rPr>
          <w:rFonts w:ascii="Times New Roman" w:hAnsi="Times New Roman" w:cs="Times New Roman"/>
          <w:sz w:val="24"/>
          <w:szCs w:val="24"/>
        </w:rPr>
        <w:t xml:space="preserve"> </w:t>
      </w:r>
    </w:p>
    <w:p w:rsidR="007F1028" w:rsidRDefault="00261DB7"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016E12" w:rsidRPr="007D7419">
        <w:rPr>
          <w:rFonts w:ascii="Times New Roman" w:hAnsi="Times New Roman" w:cs="Times New Roman"/>
          <w:sz w:val="24"/>
          <w:szCs w:val="24"/>
        </w:rPr>
        <w:t xml:space="preserve">oes </w:t>
      </w:r>
      <w:r>
        <w:rPr>
          <w:rFonts w:ascii="Times New Roman" w:hAnsi="Times New Roman" w:cs="Times New Roman"/>
          <w:sz w:val="24"/>
          <w:szCs w:val="24"/>
        </w:rPr>
        <w:t>the above weakness</w:t>
      </w:r>
      <w:r w:rsidR="00370A83">
        <w:rPr>
          <w:rFonts w:ascii="Times New Roman" w:hAnsi="Times New Roman" w:cs="Times New Roman"/>
          <w:sz w:val="24"/>
          <w:szCs w:val="24"/>
        </w:rPr>
        <w:t xml:space="preserve"> </w:t>
      </w:r>
      <w:r w:rsidR="00016E12" w:rsidRPr="007D7419">
        <w:rPr>
          <w:rFonts w:ascii="Times New Roman" w:hAnsi="Times New Roman" w:cs="Times New Roman"/>
          <w:sz w:val="24"/>
          <w:szCs w:val="24"/>
        </w:rPr>
        <w:t xml:space="preserve">mean that we have reached a defeatist position, where embeddedness starts to lose its meaning by incorporating everything within itself, as argued by </w:t>
      </w:r>
      <w:proofErr w:type="spellStart"/>
      <w:r w:rsidR="00016E12" w:rsidRPr="007D7419">
        <w:rPr>
          <w:rFonts w:ascii="Times New Roman" w:hAnsi="Times New Roman" w:cs="Times New Roman"/>
          <w:sz w:val="24"/>
          <w:szCs w:val="24"/>
        </w:rPr>
        <w:t>Granovetter</w:t>
      </w:r>
      <w:proofErr w:type="spellEnd"/>
      <w:r w:rsidR="00016E12" w:rsidRPr="007D7419">
        <w:rPr>
          <w:rFonts w:ascii="Times New Roman" w:hAnsi="Times New Roman" w:cs="Times New Roman"/>
          <w:sz w:val="24"/>
          <w:szCs w:val="24"/>
        </w:rPr>
        <w:t xml:space="preserve"> (2004)</w:t>
      </w:r>
      <w:r w:rsidR="00370A83" w:rsidRPr="007D7419">
        <w:rPr>
          <w:rFonts w:ascii="Times New Roman" w:hAnsi="Times New Roman" w:cs="Times New Roman"/>
          <w:sz w:val="24"/>
          <w:szCs w:val="24"/>
        </w:rPr>
        <w:t>?</w:t>
      </w:r>
      <w:r w:rsidR="00016E12" w:rsidRPr="007D7419">
        <w:rPr>
          <w:rFonts w:ascii="Times New Roman" w:hAnsi="Times New Roman" w:cs="Times New Roman"/>
          <w:sz w:val="24"/>
          <w:szCs w:val="24"/>
        </w:rPr>
        <w:t xml:space="preserve"> One road to salvation is via Dale’s (2010</w:t>
      </w:r>
      <w:r w:rsidR="00545D38">
        <w:rPr>
          <w:rFonts w:ascii="Times New Roman" w:hAnsi="Times New Roman" w:cs="Times New Roman"/>
          <w:sz w:val="24"/>
          <w:szCs w:val="24"/>
        </w:rPr>
        <w:t>, 2012</w:t>
      </w:r>
      <w:r w:rsidR="00016E12" w:rsidRPr="007D7419">
        <w:rPr>
          <w:rFonts w:ascii="Times New Roman" w:hAnsi="Times New Roman" w:cs="Times New Roman"/>
          <w:sz w:val="24"/>
          <w:szCs w:val="24"/>
        </w:rPr>
        <w:t>) emphasis on Polanyi’s idea of the market as an instituted process, which acknowledges the social</w:t>
      </w:r>
      <w:r w:rsidR="00016E12">
        <w:rPr>
          <w:rFonts w:ascii="Times New Roman" w:hAnsi="Times New Roman" w:cs="Times New Roman"/>
          <w:sz w:val="24"/>
          <w:szCs w:val="24"/>
        </w:rPr>
        <w:t>/legal/institutional</w:t>
      </w:r>
      <w:r w:rsidR="00016E12" w:rsidRPr="007D7419">
        <w:rPr>
          <w:rFonts w:ascii="Times New Roman" w:hAnsi="Times New Roman" w:cs="Times New Roman"/>
          <w:sz w:val="24"/>
          <w:szCs w:val="24"/>
        </w:rPr>
        <w:t xml:space="preserve"> aspect of the economy, all the while enabling </w:t>
      </w:r>
      <w:r>
        <w:rPr>
          <w:rFonts w:ascii="Times New Roman" w:hAnsi="Times New Roman" w:cs="Times New Roman"/>
          <w:sz w:val="24"/>
          <w:szCs w:val="24"/>
        </w:rPr>
        <w:t>us to deploy the concept of dis</w:t>
      </w:r>
      <w:r w:rsidR="00016E12" w:rsidRPr="007D7419">
        <w:rPr>
          <w:rFonts w:ascii="Times New Roman" w:hAnsi="Times New Roman" w:cs="Times New Roman"/>
          <w:sz w:val="24"/>
          <w:szCs w:val="24"/>
        </w:rPr>
        <w:t>embedded</w:t>
      </w:r>
      <w:r>
        <w:rPr>
          <w:rFonts w:ascii="Times New Roman" w:hAnsi="Times New Roman" w:cs="Times New Roman"/>
          <w:sz w:val="24"/>
          <w:szCs w:val="24"/>
        </w:rPr>
        <w:t>ness</w:t>
      </w:r>
      <w:r w:rsidR="00016E12" w:rsidRPr="007D7419">
        <w:rPr>
          <w:rFonts w:ascii="Times New Roman" w:hAnsi="Times New Roman" w:cs="Times New Roman"/>
          <w:sz w:val="24"/>
          <w:szCs w:val="24"/>
        </w:rPr>
        <w:t xml:space="preserve"> when observ</w:t>
      </w:r>
      <w:r w:rsidR="00016E12">
        <w:rPr>
          <w:rFonts w:ascii="Times New Roman" w:hAnsi="Times New Roman" w:cs="Times New Roman"/>
          <w:sz w:val="24"/>
          <w:szCs w:val="24"/>
        </w:rPr>
        <w:t>ing</w:t>
      </w:r>
      <w:r w:rsidR="00016E12" w:rsidRPr="007D7419">
        <w:rPr>
          <w:rFonts w:ascii="Times New Roman" w:hAnsi="Times New Roman" w:cs="Times New Roman"/>
          <w:sz w:val="24"/>
          <w:szCs w:val="24"/>
        </w:rPr>
        <w:t xml:space="preserve"> the </w:t>
      </w:r>
      <w:r w:rsidR="00D83B13">
        <w:rPr>
          <w:rFonts w:ascii="Times New Roman" w:hAnsi="Times New Roman" w:cs="Times New Roman"/>
          <w:sz w:val="24"/>
          <w:szCs w:val="24"/>
        </w:rPr>
        <w:t xml:space="preserve">operation of the </w:t>
      </w:r>
      <w:r w:rsidR="00016E12" w:rsidRPr="007D7419">
        <w:rPr>
          <w:rFonts w:ascii="Times New Roman" w:hAnsi="Times New Roman" w:cs="Times New Roman"/>
          <w:sz w:val="24"/>
          <w:szCs w:val="24"/>
        </w:rPr>
        <w:t xml:space="preserve">autonomous market forces. Thus, even when Polanyi characterized nineteenth century England as disembedded, the disembeddedness does not negate the institutional embedding, but it signifies a state where the market economy is disconnected from the social norms of duty and egalitarianism, and is constituted instead by </w:t>
      </w:r>
      <w:r w:rsidR="00016E12" w:rsidRPr="00CE492F">
        <w:rPr>
          <w:rFonts w:ascii="Times New Roman" w:hAnsi="Times New Roman" w:cs="Times New Roman"/>
          <w:sz w:val="24"/>
          <w:szCs w:val="24"/>
        </w:rPr>
        <w:t>norms of profit-seeking and social atomism (Dale, 2010</w:t>
      </w:r>
      <w:r w:rsidR="00545D38">
        <w:rPr>
          <w:rFonts w:ascii="Times New Roman" w:hAnsi="Times New Roman" w:cs="Times New Roman"/>
          <w:sz w:val="24"/>
          <w:szCs w:val="24"/>
        </w:rPr>
        <w:t>, 2012</w:t>
      </w:r>
      <w:r w:rsidR="00016E12" w:rsidRPr="00CE492F">
        <w:rPr>
          <w:rFonts w:ascii="Times New Roman" w:hAnsi="Times New Roman" w:cs="Times New Roman"/>
          <w:sz w:val="24"/>
          <w:szCs w:val="24"/>
        </w:rPr>
        <w:t>; Watson, 2009</w:t>
      </w:r>
      <w:r w:rsidR="00BB76BD">
        <w:rPr>
          <w:rFonts w:ascii="Times New Roman" w:hAnsi="Times New Roman" w:cs="Times New Roman"/>
          <w:sz w:val="24"/>
          <w:szCs w:val="24"/>
        </w:rPr>
        <w:t xml:space="preserve">, </w:t>
      </w:r>
      <w:r w:rsidR="005650D8">
        <w:rPr>
          <w:rFonts w:ascii="Times New Roman" w:hAnsi="Times New Roman" w:cs="Times New Roman"/>
          <w:sz w:val="24"/>
          <w:szCs w:val="24"/>
        </w:rPr>
        <w:t>2014</w:t>
      </w:r>
      <w:r w:rsidR="00016E12" w:rsidRPr="00CE492F">
        <w:rPr>
          <w:rFonts w:ascii="Times New Roman" w:hAnsi="Times New Roman" w:cs="Times New Roman"/>
          <w:sz w:val="24"/>
          <w:szCs w:val="24"/>
        </w:rPr>
        <w:t xml:space="preserve">). </w:t>
      </w:r>
      <w:r w:rsidR="00C25E57" w:rsidRPr="00CE492F">
        <w:rPr>
          <w:rFonts w:ascii="Times New Roman" w:hAnsi="Times New Roman" w:cs="Times New Roman"/>
          <w:sz w:val="24"/>
          <w:szCs w:val="24"/>
        </w:rPr>
        <w:t xml:space="preserve">Despite Dale’s attempts to rescue Polanyi’s concepts of dis/embeddedness, this paper argues for a radical break with the two concepts </w:t>
      </w:r>
      <w:r w:rsidR="007F1028" w:rsidRPr="00CE492F">
        <w:rPr>
          <w:rFonts w:ascii="Times New Roman" w:hAnsi="Times New Roman" w:cs="Times New Roman"/>
          <w:sz w:val="24"/>
          <w:szCs w:val="24"/>
        </w:rPr>
        <w:t>either by avoiding their usage all together or by redefining them in terms of tendencies that will allow us to escape their representation as all-or-noth</w:t>
      </w:r>
      <w:r w:rsidR="00D83B13">
        <w:rPr>
          <w:rFonts w:ascii="Times New Roman" w:hAnsi="Times New Roman" w:cs="Times New Roman"/>
          <w:sz w:val="24"/>
          <w:szCs w:val="24"/>
        </w:rPr>
        <w:t>ing phenomena.</w:t>
      </w:r>
      <w:r w:rsidR="007F1028" w:rsidRPr="00CE492F">
        <w:rPr>
          <w:rFonts w:ascii="Times New Roman" w:hAnsi="Times New Roman" w:cs="Times New Roman"/>
          <w:sz w:val="24"/>
          <w:szCs w:val="24"/>
        </w:rPr>
        <w:t xml:space="preserve"> Either way, the widespread recourse to these concepts requires a more detailed conceptual </w:t>
      </w:r>
      <w:r w:rsidR="00CE492F">
        <w:rPr>
          <w:rFonts w:ascii="Times New Roman" w:hAnsi="Times New Roman" w:cs="Times New Roman"/>
          <w:sz w:val="24"/>
          <w:szCs w:val="24"/>
        </w:rPr>
        <w:t>demarcation</w:t>
      </w:r>
      <w:r w:rsidR="007F1028" w:rsidRPr="00CE492F">
        <w:rPr>
          <w:rFonts w:ascii="Times New Roman" w:hAnsi="Times New Roman" w:cs="Times New Roman"/>
          <w:sz w:val="24"/>
          <w:szCs w:val="24"/>
        </w:rPr>
        <w:t xml:space="preserve"> </w:t>
      </w:r>
      <w:r w:rsidR="00CE492F">
        <w:rPr>
          <w:rFonts w:ascii="Times New Roman" w:hAnsi="Times New Roman" w:cs="Times New Roman"/>
          <w:sz w:val="24"/>
          <w:szCs w:val="24"/>
        </w:rPr>
        <w:t xml:space="preserve">and specification </w:t>
      </w:r>
      <w:r w:rsidR="007F1028" w:rsidRPr="00CE492F">
        <w:rPr>
          <w:rFonts w:ascii="Times New Roman" w:hAnsi="Times New Roman" w:cs="Times New Roman"/>
          <w:sz w:val="24"/>
          <w:szCs w:val="24"/>
        </w:rPr>
        <w:t xml:space="preserve">of their meaning. </w:t>
      </w:r>
    </w:p>
    <w:p w:rsidR="009917D0" w:rsidRPr="009917D0" w:rsidRDefault="008A2DF7" w:rsidP="009917D0">
      <w:pPr>
        <w:spacing w:after="240" w:line="240" w:lineRule="auto"/>
        <w:jc w:val="both"/>
        <w:rPr>
          <w:rFonts w:ascii="Times New Roman" w:hAnsi="Times New Roman" w:cs="Times New Roman"/>
          <w:sz w:val="24"/>
        </w:rPr>
      </w:pPr>
      <w:r w:rsidRPr="008A2DF7">
        <w:rPr>
          <w:rFonts w:ascii="Times New Roman" w:hAnsi="Times New Roman" w:cs="Times New Roman"/>
          <w:sz w:val="24"/>
        </w:rPr>
        <w:t xml:space="preserve">My intervention in the ongoing debate on embeddedness aims to recuperate a latent formulation, present in Polanyi’s (1944) writing.  I put forward a reading of Polanyi (1944) that acknowledges that </w:t>
      </w:r>
      <w:r w:rsidRPr="008A2DF7">
        <w:rPr>
          <w:rFonts w:ascii="Times New Roman" w:hAnsi="Times New Roman" w:cs="Times New Roman"/>
          <w:i/>
          <w:sz w:val="24"/>
        </w:rPr>
        <w:t>the embedding tendency is immanent to the disembedding one</w:t>
      </w:r>
      <w:r w:rsidRPr="008A2DF7">
        <w:rPr>
          <w:rFonts w:ascii="Times New Roman" w:hAnsi="Times New Roman" w:cs="Times New Roman"/>
          <w:sz w:val="24"/>
        </w:rPr>
        <w:t>. In his critique of the market society, Polanyi observed that the commodification of land and labor, which was secured through the enclosure movement that created compet</w:t>
      </w:r>
      <w:r>
        <w:rPr>
          <w:rFonts w:ascii="Times New Roman" w:hAnsi="Times New Roman" w:cs="Times New Roman"/>
          <w:sz w:val="24"/>
        </w:rPr>
        <w:t>itive markets for land and labo</w:t>
      </w:r>
      <w:r w:rsidRPr="008A2DF7">
        <w:rPr>
          <w:rFonts w:ascii="Times New Roman" w:hAnsi="Times New Roman" w:cs="Times New Roman"/>
          <w:sz w:val="24"/>
        </w:rPr>
        <w:t>r, immediately engendered counter-measures aimed at sec</w:t>
      </w:r>
      <w:r>
        <w:rPr>
          <w:rFonts w:ascii="Times New Roman" w:hAnsi="Times New Roman" w:cs="Times New Roman"/>
          <w:sz w:val="24"/>
        </w:rPr>
        <w:t>uring the wellbeing of the labo</w:t>
      </w:r>
      <w:r w:rsidR="00E15D98">
        <w:rPr>
          <w:rFonts w:ascii="Times New Roman" w:hAnsi="Times New Roman" w:cs="Times New Roman"/>
          <w:sz w:val="24"/>
        </w:rPr>
        <w:t>r force. Thus, it follows, r</w:t>
      </w:r>
      <w:r w:rsidRPr="008A2DF7">
        <w:rPr>
          <w:rFonts w:ascii="Times New Roman" w:hAnsi="Times New Roman" w:cs="Times New Roman"/>
          <w:sz w:val="24"/>
        </w:rPr>
        <w:t>ather than arguing</w:t>
      </w:r>
      <w:r w:rsidR="00D148AF">
        <w:rPr>
          <w:rFonts w:ascii="Times New Roman" w:hAnsi="Times New Roman" w:cs="Times New Roman"/>
          <w:sz w:val="24"/>
        </w:rPr>
        <w:t xml:space="preserve"> whether the Eurozone </w:t>
      </w:r>
      <w:r w:rsidRPr="008A2DF7">
        <w:rPr>
          <w:rFonts w:ascii="Times New Roman" w:hAnsi="Times New Roman" w:cs="Times New Roman"/>
          <w:sz w:val="24"/>
        </w:rPr>
        <w:t xml:space="preserve">is disembedded or embedded, we need to acknowledge that the two tendencies are equally present and </w:t>
      </w:r>
      <w:r w:rsidR="00717909">
        <w:rPr>
          <w:rFonts w:ascii="Times New Roman" w:hAnsi="Times New Roman" w:cs="Times New Roman"/>
          <w:sz w:val="24"/>
        </w:rPr>
        <w:t xml:space="preserve">underpinned by two forgotten Polanyian principles: a) economic liberalism i.e. the improvement principle and b) </w:t>
      </w:r>
      <w:r w:rsidR="00DB1AB9">
        <w:rPr>
          <w:rFonts w:ascii="Times New Roman" w:hAnsi="Times New Roman" w:cs="Times New Roman"/>
          <w:sz w:val="24"/>
        </w:rPr>
        <w:t>socio-environmental</w:t>
      </w:r>
      <w:r w:rsidR="00717909">
        <w:rPr>
          <w:rFonts w:ascii="Times New Roman" w:hAnsi="Times New Roman" w:cs="Times New Roman"/>
          <w:sz w:val="24"/>
        </w:rPr>
        <w:t xml:space="preserve"> protection i.e. the habitation principle.</w:t>
      </w:r>
      <w:r w:rsidR="00717909">
        <w:rPr>
          <w:rStyle w:val="FootnoteReference"/>
          <w:rFonts w:ascii="Times New Roman" w:hAnsi="Times New Roman" w:cs="Times New Roman"/>
          <w:sz w:val="24"/>
        </w:rPr>
        <w:footnoteReference w:id="9"/>
      </w:r>
      <w:r w:rsidR="00717909">
        <w:rPr>
          <w:rFonts w:ascii="Times New Roman" w:hAnsi="Times New Roman" w:cs="Times New Roman"/>
          <w:sz w:val="24"/>
        </w:rPr>
        <w:t xml:space="preserve"> Institutional change is a derivative of the dialectical interplay between the two principles.</w:t>
      </w:r>
      <w:r w:rsidR="009917D0">
        <w:rPr>
          <w:rStyle w:val="FootnoteReference"/>
          <w:rFonts w:ascii="Times New Roman" w:hAnsi="Times New Roman" w:cs="Times New Roman"/>
          <w:sz w:val="24"/>
        </w:rPr>
        <w:footnoteReference w:id="10"/>
      </w:r>
      <w:r w:rsidR="00717909">
        <w:rPr>
          <w:rFonts w:ascii="Times New Roman" w:hAnsi="Times New Roman" w:cs="Times New Roman"/>
          <w:sz w:val="24"/>
        </w:rPr>
        <w:t xml:space="preserve"> </w:t>
      </w:r>
      <w:r w:rsidR="000C5106">
        <w:rPr>
          <w:rFonts w:ascii="Times New Roman" w:hAnsi="Times New Roman" w:cs="Times New Roman"/>
          <w:sz w:val="24"/>
        </w:rPr>
        <w:lastRenderedPageBreak/>
        <w:t xml:space="preserve">What determines the level of dis/embeddedness is the level of socio-environmental protection, not the level of governance where economic regulation takes place, as postulated by the embedded currency area approach. </w:t>
      </w:r>
    </w:p>
    <w:p w:rsidR="00856991" w:rsidRPr="0090118E" w:rsidRDefault="00917161" w:rsidP="0090118E">
      <w:pPr>
        <w:pStyle w:val="Heading1"/>
        <w:rPr>
          <w:color w:val="auto"/>
        </w:rPr>
      </w:pPr>
      <w:r>
        <w:rPr>
          <w:color w:val="auto"/>
        </w:rPr>
        <w:t xml:space="preserve">How </w:t>
      </w:r>
      <w:proofErr w:type="gramStart"/>
      <w:r>
        <w:rPr>
          <w:color w:val="auto"/>
        </w:rPr>
        <w:t>Deep</w:t>
      </w:r>
      <w:proofErr w:type="gramEnd"/>
      <w:r>
        <w:rPr>
          <w:color w:val="auto"/>
        </w:rPr>
        <w:t xml:space="preserve"> are the Polanyian R</w:t>
      </w:r>
      <w:r w:rsidR="00672C54">
        <w:rPr>
          <w:color w:val="auto"/>
        </w:rPr>
        <w:t xml:space="preserve">oots of the </w:t>
      </w:r>
      <w:r>
        <w:rPr>
          <w:color w:val="auto"/>
        </w:rPr>
        <w:t>Embedded Currency Area Approach?</w:t>
      </w:r>
    </w:p>
    <w:p w:rsidR="00FC5E08" w:rsidRDefault="00D64730"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above challenges to Polanyi’s concepts of dis/embeddedness, it is worthwhile exploring </w:t>
      </w:r>
      <w:r w:rsidR="00F45776">
        <w:rPr>
          <w:rFonts w:ascii="Times New Roman" w:hAnsi="Times New Roman" w:cs="Times New Roman"/>
          <w:sz w:val="24"/>
          <w:szCs w:val="24"/>
        </w:rPr>
        <w:t>how</w:t>
      </w:r>
      <w:r w:rsidR="004304F7">
        <w:rPr>
          <w:rFonts w:ascii="Times New Roman" w:hAnsi="Times New Roman" w:cs="Times New Roman"/>
          <w:sz w:val="24"/>
          <w:szCs w:val="24"/>
        </w:rPr>
        <w:t xml:space="preserve"> </w:t>
      </w:r>
      <w:r w:rsidR="00CC4F32">
        <w:rPr>
          <w:rFonts w:ascii="Times New Roman" w:hAnsi="Times New Roman" w:cs="Times New Roman"/>
          <w:sz w:val="24"/>
          <w:szCs w:val="24"/>
        </w:rPr>
        <w:t xml:space="preserve">the </w:t>
      </w:r>
      <w:r>
        <w:rPr>
          <w:rFonts w:ascii="Times New Roman" w:hAnsi="Times New Roman" w:cs="Times New Roman"/>
          <w:sz w:val="24"/>
          <w:szCs w:val="24"/>
        </w:rPr>
        <w:t>embedd</w:t>
      </w:r>
      <w:r w:rsidR="00DA5082">
        <w:rPr>
          <w:rFonts w:ascii="Times New Roman" w:hAnsi="Times New Roman" w:cs="Times New Roman"/>
          <w:sz w:val="24"/>
          <w:szCs w:val="24"/>
        </w:rPr>
        <w:t>ed currency area</w:t>
      </w:r>
      <w:r w:rsidR="00CC4F32">
        <w:rPr>
          <w:rFonts w:ascii="Times New Roman" w:hAnsi="Times New Roman" w:cs="Times New Roman"/>
          <w:sz w:val="24"/>
          <w:szCs w:val="24"/>
        </w:rPr>
        <w:t xml:space="preserve"> (ECA)</w:t>
      </w:r>
      <w:r w:rsidR="00DA5082">
        <w:rPr>
          <w:rFonts w:ascii="Times New Roman" w:hAnsi="Times New Roman" w:cs="Times New Roman"/>
          <w:sz w:val="24"/>
          <w:szCs w:val="24"/>
        </w:rPr>
        <w:t xml:space="preserve"> approach</w:t>
      </w:r>
      <w:r w:rsidR="00F45776">
        <w:rPr>
          <w:rFonts w:ascii="Times New Roman" w:hAnsi="Times New Roman" w:cs="Times New Roman"/>
          <w:sz w:val="24"/>
          <w:szCs w:val="24"/>
        </w:rPr>
        <w:t xml:space="preserve"> withstands the limits of the dis/embeddedness concepts</w:t>
      </w:r>
      <w:r w:rsidR="00DA5082">
        <w:rPr>
          <w:rFonts w:ascii="Times New Roman" w:hAnsi="Times New Roman" w:cs="Times New Roman"/>
          <w:sz w:val="24"/>
          <w:szCs w:val="24"/>
        </w:rPr>
        <w:t xml:space="preserve">. </w:t>
      </w:r>
      <w:r w:rsidR="00273F42">
        <w:rPr>
          <w:rFonts w:ascii="Times New Roman" w:hAnsi="Times New Roman" w:cs="Times New Roman"/>
          <w:sz w:val="24"/>
          <w:szCs w:val="24"/>
        </w:rPr>
        <w:t xml:space="preserve">In this paper, I argue that the ECA weakness is not its analysis of the design flaws of the Eurozone </w:t>
      </w:r>
      <w:r w:rsidR="00273F42" w:rsidRPr="00273F42">
        <w:rPr>
          <w:rFonts w:ascii="Times New Roman" w:hAnsi="Times New Roman" w:cs="Times New Roman"/>
          <w:i/>
          <w:sz w:val="24"/>
          <w:szCs w:val="24"/>
        </w:rPr>
        <w:t>per se</w:t>
      </w:r>
      <w:r w:rsidR="00FC5E08">
        <w:rPr>
          <w:rFonts w:ascii="Times New Roman" w:hAnsi="Times New Roman" w:cs="Times New Roman"/>
          <w:sz w:val="24"/>
          <w:szCs w:val="24"/>
        </w:rPr>
        <w:t xml:space="preserve">, which </w:t>
      </w:r>
      <w:r w:rsidR="00B45432">
        <w:rPr>
          <w:rFonts w:ascii="Times New Roman" w:hAnsi="Times New Roman" w:cs="Times New Roman"/>
          <w:sz w:val="24"/>
          <w:szCs w:val="24"/>
        </w:rPr>
        <w:t>contains</w:t>
      </w:r>
      <w:r w:rsidR="00FC5E08">
        <w:rPr>
          <w:rFonts w:ascii="Times New Roman" w:hAnsi="Times New Roman" w:cs="Times New Roman"/>
          <w:sz w:val="24"/>
          <w:szCs w:val="24"/>
        </w:rPr>
        <w:t xml:space="preserve"> a widely shared diagnosis among leading economists from all spectrums</w:t>
      </w:r>
      <w:r w:rsidR="0098576E">
        <w:rPr>
          <w:rFonts w:ascii="Times New Roman" w:hAnsi="Times New Roman" w:cs="Times New Roman"/>
          <w:sz w:val="24"/>
          <w:szCs w:val="24"/>
        </w:rPr>
        <w:t xml:space="preserve"> (</w:t>
      </w:r>
      <w:proofErr w:type="spellStart"/>
      <w:r w:rsidR="0098576E">
        <w:rPr>
          <w:rFonts w:ascii="Times New Roman" w:hAnsi="Times New Roman" w:cs="Times New Roman"/>
          <w:sz w:val="24"/>
          <w:szCs w:val="24"/>
        </w:rPr>
        <w:t>Bagus</w:t>
      </w:r>
      <w:proofErr w:type="spellEnd"/>
      <w:r w:rsidR="0098576E">
        <w:rPr>
          <w:rFonts w:ascii="Times New Roman" w:hAnsi="Times New Roman" w:cs="Times New Roman"/>
          <w:sz w:val="24"/>
          <w:szCs w:val="24"/>
        </w:rPr>
        <w:t>, 2012; Lane, 2012; Krugman, 2012)</w:t>
      </w:r>
      <w:r w:rsidR="00FC5E08">
        <w:rPr>
          <w:rFonts w:ascii="Times New Roman" w:hAnsi="Times New Roman" w:cs="Times New Roman"/>
          <w:sz w:val="24"/>
          <w:szCs w:val="24"/>
        </w:rPr>
        <w:t xml:space="preserve">. Rather, the limit of the ECA is its underspecified Polanyian theoretical foundation. </w:t>
      </w:r>
    </w:p>
    <w:p w:rsidR="00FA1722" w:rsidRDefault="00DA5082"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At a conceptual level, the foremost</w:t>
      </w:r>
      <w:r w:rsidR="00437351">
        <w:rPr>
          <w:rFonts w:ascii="Times New Roman" w:hAnsi="Times New Roman" w:cs="Times New Roman"/>
          <w:sz w:val="24"/>
          <w:szCs w:val="24"/>
        </w:rPr>
        <w:t xml:space="preserve"> problem facing the ECA view is its </w:t>
      </w:r>
      <w:r w:rsidR="00CC4F32">
        <w:rPr>
          <w:rFonts w:ascii="Times New Roman" w:hAnsi="Times New Roman" w:cs="Times New Roman"/>
          <w:sz w:val="24"/>
          <w:szCs w:val="24"/>
        </w:rPr>
        <w:t xml:space="preserve">lack of justification of revoking Polanyi’s thesis about </w:t>
      </w:r>
      <w:r w:rsidR="005B4E15">
        <w:rPr>
          <w:rFonts w:ascii="Times New Roman" w:hAnsi="Times New Roman" w:cs="Times New Roman"/>
          <w:sz w:val="24"/>
          <w:szCs w:val="24"/>
        </w:rPr>
        <w:t xml:space="preserve">the </w:t>
      </w:r>
      <w:r w:rsidR="00CC4F32">
        <w:rPr>
          <w:rFonts w:ascii="Times New Roman" w:hAnsi="Times New Roman" w:cs="Times New Roman"/>
          <w:sz w:val="24"/>
          <w:szCs w:val="24"/>
        </w:rPr>
        <w:t xml:space="preserve">embeddedness of markets. ECA does not contain </w:t>
      </w:r>
      <w:r w:rsidR="0061684E">
        <w:rPr>
          <w:rFonts w:ascii="Times New Roman" w:hAnsi="Times New Roman" w:cs="Times New Roman"/>
          <w:sz w:val="24"/>
          <w:szCs w:val="24"/>
        </w:rPr>
        <w:t>convincing arguments</w:t>
      </w:r>
      <w:r w:rsidR="00CC4F32">
        <w:rPr>
          <w:rFonts w:ascii="Times New Roman" w:hAnsi="Times New Roman" w:cs="Times New Roman"/>
          <w:sz w:val="24"/>
          <w:szCs w:val="24"/>
        </w:rPr>
        <w:t xml:space="preserve"> that explain why the postulated four key elements for an optimal functioning of a currency union </w:t>
      </w:r>
      <w:r w:rsidR="0061684E">
        <w:rPr>
          <w:rFonts w:ascii="Times New Roman" w:hAnsi="Times New Roman" w:cs="Times New Roman"/>
          <w:sz w:val="24"/>
          <w:szCs w:val="24"/>
        </w:rPr>
        <w:t>are Polanyian in na</w:t>
      </w:r>
      <w:r w:rsidR="00B45432">
        <w:rPr>
          <w:rFonts w:ascii="Times New Roman" w:hAnsi="Times New Roman" w:cs="Times New Roman"/>
          <w:sz w:val="24"/>
          <w:szCs w:val="24"/>
        </w:rPr>
        <w:t>ture, i.e. t</w:t>
      </w:r>
      <w:r w:rsidR="00273F42">
        <w:rPr>
          <w:rFonts w:ascii="Times New Roman" w:hAnsi="Times New Roman" w:cs="Times New Roman"/>
          <w:sz w:val="24"/>
          <w:szCs w:val="24"/>
        </w:rPr>
        <w:t xml:space="preserve">he weakness in the ECA </w:t>
      </w:r>
      <w:r w:rsidR="0061684E">
        <w:rPr>
          <w:rFonts w:ascii="Times New Roman" w:hAnsi="Times New Roman" w:cs="Times New Roman"/>
          <w:sz w:val="24"/>
          <w:szCs w:val="24"/>
        </w:rPr>
        <w:t>approach is not in its conclusion, but in its premises. ECA is right to conclude that the Eurozone is a</w:t>
      </w:r>
      <w:r w:rsidR="00FA1722">
        <w:rPr>
          <w:rFonts w:ascii="Times New Roman" w:hAnsi="Times New Roman" w:cs="Times New Roman"/>
          <w:sz w:val="24"/>
          <w:szCs w:val="24"/>
        </w:rPr>
        <w:t xml:space="preserve"> suboptimal union because it has</w:t>
      </w:r>
      <w:r w:rsidR="0061684E">
        <w:rPr>
          <w:rFonts w:ascii="Times New Roman" w:hAnsi="Times New Roman" w:cs="Times New Roman"/>
          <w:sz w:val="24"/>
          <w:szCs w:val="24"/>
        </w:rPr>
        <w:t xml:space="preserve"> a hesitant lender of last resort, partial banking union, limited fiscal redistribution and little political solidarity. </w:t>
      </w:r>
      <w:r w:rsidR="00354E3E">
        <w:rPr>
          <w:rFonts w:ascii="Times New Roman" w:hAnsi="Times New Roman" w:cs="Times New Roman"/>
          <w:sz w:val="24"/>
          <w:szCs w:val="24"/>
        </w:rPr>
        <w:t>However, where it errs is in its omission to explain what makes the</w:t>
      </w:r>
      <w:r w:rsidR="005B4E15">
        <w:rPr>
          <w:rFonts w:ascii="Times New Roman" w:hAnsi="Times New Roman" w:cs="Times New Roman"/>
          <w:sz w:val="24"/>
          <w:szCs w:val="24"/>
        </w:rPr>
        <w:t>se</w:t>
      </w:r>
      <w:r w:rsidR="00354E3E">
        <w:rPr>
          <w:rFonts w:ascii="Times New Roman" w:hAnsi="Times New Roman" w:cs="Times New Roman"/>
          <w:sz w:val="24"/>
          <w:szCs w:val="24"/>
        </w:rPr>
        <w:t xml:space="preserve"> four </w:t>
      </w:r>
      <w:r w:rsidR="005B4E15">
        <w:rPr>
          <w:rFonts w:ascii="Times New Roman" w:hAnsi="Times New Roman" w:cs="Times New Roman"/>
          <w:sz w:val="24"/>
          <w:szCs w:val="24"/>
        </w:rPr>
        <w:t>features</w:t>
      </w:r>
      <w:r w:rsidR="00354E3E">
        <w:rPr>
          <w:rFonts w:ascii="Times New Roman" w:hAnsi="Times New Roman" w:cs="Times New Roman"/>
          <w:sz w:val="24"/>
          <w:szCs w:val="24"/>
        </w:rPr>
        <w:t xml:space="preserve"> distinctly Polanyian. The ECA </w:t>
      </w:r>
      <w:r w:rsidR="001A0FED" w:rsidRPr="00E3003A">
        <w:rPr>
          <w:rFonts w:ascii="Times New Roman" w:hAnsi="Times New Roman" w:cs="Times New Roman"/>
          <w:i/>
          <w:sz w:val="24"/>
          <w:szCs w:val="24"/>
        </w:rPr>
        <w:t>a priori</w:t>
      </w:r>
      <w:r w:rsidR="001A0FED">
        <w:rPr>
          <w:rFonts w:ascii="Times New Roman" w:hAnsi="Times New Roman" w:cs="Times New Roman"/>
          <w:sz w:val="24"/>
          <w:szCs w:val="24"/>
        </w:rPr>
        <w:t xml:space="preserve"> asserts its Polanyian roots rather that engage in theoretical assessment of such claims. </w:t>
      </w:r>
      <w:r w:rsidR="0009799C">
        <w:rPr>
          <w:rFonts w:ascii="Times New Roman" w:hAnsi="Times New Roman" w:cs="Times New Roman"/>
          <w:sz w:val="24"/>
          <w:szCs w:val="24"/>
        </w:rPr>
        <w:t xml:space="preserve">Moreover, it logically follows that countries which have centralized the prerogatives over monetary, fiscal and financial unions in a single authority are </w:t>
      </w:r>
      <w:r w:rsidR="00E3003A">
        <w:rPr>
          <w:rFonts w:ascii="Times New Roman" w:hAnsi="Times New Roman" w:cs="Times New Roman"/>
          <w:sz w:val="24"/>
          <w:szCs w:val="24"/>
        </w:rPr>
        <w:t xml:space="preserve">embedded. Such assertion is problematic </w:t>
      </w:r>
      <w:r w:rsidR="0009799C">
        <w:rPr>
          <w:rFonts w:ascii="Times New Roman" w:hAnsi="Times New Roman" w:cs="Times New Roman"/>
          <w:sz w:val="24"/>
          <w:szCs w:val="24"/>
        </w:rPr>
        <w:t xml:space="preserve">from a Polanyian perspective because even in the case of the US, which over the course of history has scaled up the </w:t>
      </w:r>
      <w:r w:rsidR="00FA1722">
        <w:rPr>
          <w:rFonts w:ascii="Times New Roman" w:hAnsi="Times New Roman" w:cs="Times New Roman"/>
          <w:sz w:val="24"/>
          <w:szCs w:val="24"/>
        </w:rPr>
        <w:t>four</w:t>
      </w:r>
      <w:r w:rsidR="0009799C">
        <w:rPr>
          <w:rFonts w:ascii="Times New Roman" w:hAnsi="Times New Roman" w:cs="Times New Roman"/>
          <w:sz w:val="24"/>
          <w:szCs w:val="24"/>
        </w:rPr>
        <w:t xml:space="preserve"> prerogatives at the federal level,</w:t>
      </w:r>
      <w:r w:rsidR="00E3003A">
        <w:rPr>
          <w:rStyle w:val="FootnoteReference"/>
          <w:rFonts w:ascii="Times New Roman" w:hAnsi="Times New Roman" w:cs="Times New Roman"/>
          <w:sz w:val="24"/>
          <w:szCs w:val="24"/>
        </w:rPr>
        <w:footnoteReference w:id="11"/>
      </w:r>
      <w:r w:rsidR="0009799C">
        <w:rPr>
          <w:rFonts w:ascii="Times New Roman" w:hAnsi="Times New Roman" w:cs="Times New Roman"/>
          <w:sz w:val="24"/>
          <w:szCs w:val="24"/>
        </w:rPr>
        <w:t xml:space="preserve"> the </w:t>
      </w:r>
      <w:r w:rsidR="00FA1722">
        <w:rPr>
          <w:rFonts w:ascii="Times New Roman" w:hAnsi="Times New Roman" w:cs="Times New Roman"/>
          <w:sz w:val="24"/>
          <w:szCs w:val="24"/>
        </w:rPr>
        <w:t xml:space="preserve">disembedding tendency has left labor and nature dangerously exposed to </w:t>
      </w:r>
      <w:r w:rsidR="00C65C74">
        <w:rPr>
          <w:rFonts w:ascii="Times New Roman" w:hAnsi="Times New Roman" w:cs="Times New Roman"/>
          <w:sz w:val="24"/>
          <w:szCs w:val="24"/>
        </w:rPr>
        <w:t xml:space="preserve">the wimps of the market forces. Countries that are fully embedded from the ECA point of view can be disembedded from Polanyian perspective because what determines the level of embeddedness is the operation of the habitation principle i.e. </w:t>
      </w:r>
      <w:r w:rsidR="00E661BB">
        <w:rPr>
          <w:rFonts w:ascii="Times New Roman" w:hAnsi="Times New Roman" w:cs="Times New Roman"/>
          <w:sz w:val="24"/>
          <w:szCs w:val="24"/>
        </w:rPr>
        <w:t>the level of social protection</w:t>
      </w:r>
      <w:r w:rsidR="00C65C74">
        <w:rPr>
          <w:rFonts w:ascii="Times New Roman" w:hAnsi="Times New Roman" w:cs="Times New Roman"/>
          <w:sz w:val="24"/>
          <w:szCs w:val="24"/>
        </w:rPr>
        <w:t xml:space="preserve">. </w:t>
      </w:r>
    </w:p>
    <w:p w:rsidR="00696E6A" w:rsidRDefault="00CD26A4"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D9771B" w:rsidRPr="00883C43">
        <w:rPr>
          <w:rFonts w:ascii="Times New Roman" w:hAnsi="Times New Roman" w:cs="Times New Roman"/>
          <w:sz w:val="24"/>
          <w:szCs w:val="24"/>
        </w:rPr>
        <w:t xml:space="preserve">CA’s degree of embeddedness, which is a comparative metrics deduced from historical instances </w:t>
      </w:r>
      <w:r w:rsidR="001A0FED" w:rsidRPr="00883C43">
        <w:rPr>
          <w:rFonts w:ascii="Times New Roman" w:hAnsi="Times New Roman" w:cs="Times New Roman"/>
          <w:sz w:val="24"/>
          <w:szCs w:val="24"/>
        </w:rPr>
        <w:t xml:space="preserve">of currency unions, is solely a </w:t>
      </w:r>
      <w:r w:rsidR="00D9771B" w:rsidRPr="00883C43">
        <w:rPr>
          <w:rFonts w:ascii="Times New Roman" w:hAnsi="Times New Roman" w:cs="Times New Roman"/>
          <w:sz w:val="24"/>
          <w:szCs w:val="24"/>
        </w:rPr>
        <w:t xml:space="preserve">measure of centralization of monetary power rather than a Polanyian measure of embeddedness. </w:t>
      </w:r>
      <w:r w:rsidR="005B4E15" w:rsidRPr="00883C43">
        <w:rPr>
          <w:rFonts w:ascii="Times New Roman" w:hAnsi="Times New Roman" w:cs="Times New Roman"/>
          <w:sz w:val="24"/>
          <w:szCs w:val="24"/>
        </w:rPr>
        <w:t>It is well known fact that the EU is marked by a constitutional asymmetry between the market-making and market-correcting competences (</w:t>
      </w:r>
      <w:proofErr w:type="spellStart"/>
      <w:r w:rsidR="005B4E15" w:rsidRPr="00883C43">
        <w:rPr>
          <w:rFonts w:ascii="Times New Roman" w:hAnsi="Times New Roman" w:cs="Times New Roman"/>
          <w:sz w:val="24"/>
          <w:szCs w:val="24"/>
        </w:rPr>
        <w:t>Scharpf</w:t>
      </w:r>
      <w:proofErr w:type="spellEnd"/>
      <w:r w:rsidR="005B4E15" w:rsidRPr="00883C43">
        <w:rPr>
          <w:rFonts w:ascii="Times New Roman" w:hAnsi="Times New Roman" w:cs="Times New Roman"/>
          <w:sz w:val="24"/>
          <w:szCs w:val="24"/>
        </w:rPr>
        <w:t xml:space="preserve">, </w:t>
      </w:r>
      <w:r w:rsidR="005D0788" w:rsidRPr="00883C43">
        <w:rPr>
          <w:rFonts w:ascii="Times New Roman" w:hAnsi="Times New Roman" w:cs="Times New Roman"/>
          <w:sz w:val="24"/>
          <w:szCs w:val="24"/>
        </w:rPr>
        <w:t xml:space="preserve">2015). Similarly, </w:t>
      </w:r>
      <w:r w:rsidR="0097422C">
        <w:rPr>
          <w:rFonts w:ascii="Times New Roman" w:hAnsi="Times New Roman" w:cs="Times New Roman"/>
          <w:sz w:val="24"/>
          <w:szCs w:val="24"/>
        </w:rPr>
        <w:t xml:space="preserve">in the Eurozone </w:t>
      </w:r>
      <w:r w:rsidR="005D0788" w:rsidRPr="00883C43">
        <w:rPr>
          <w:rFonts w:ascii="Times New Roman" w:hAnsi="Times New Roman" w:cs="Times New Roman"/>
          <w:sz w:val="24"/>
          <w:szCs w:val="24"/>
        </w:rPr>
        <w:t>we can observe an asymmetric gov</w:t>
      </w:r>
      <w:r w:rsidR="00DC4107">
        <w:rPr>
          <w:rFonts w:ascii="Times New Roman" w:hAnsi="Times New Roman" w:cs="Times New Roman"/>
          <w:sz w:val="24"/>
          <w:szCs w:val="24"/>
        </w:rPr>
        <w:t xml:space="preserve">ernance structure, whereby the regulatory prerogatives </w:t>
      </w:r>
      <w:r w:rsidR="00154779">
        <w:rPr>
          <w:rFonts w:ascii="Times New Roman" w:hAnsi="Times New Roman" w:cs="Times New Roman"/>
          <w:sz w:val="24"/>
          <w:szCs w:val="24"/>
        </w:rPr>
        <w:t xml:space="preserve">over the </w:t>
      </w:r>
      <w:r w:rsidR="00DC4107">
        <w:rPr>
          <w:rFonts w:ascii="Times New Roman" w:hAnsi="Times New Roman" w:cs="Times New Roman"/>
          <w:sz w:val="24"/>
          <w:szCs w:val="24"/>
        </w:rPr>
        <w:t>monetary, banking</w:t>
      </w:r>
      <w:r w:rsidR="00154779">
        <w:rPr>
          <w:rFonts w:ascii="Times New Roman" w:hAnsi="Times New Roman" w:cs="Times New Roman"/>
          <w:sz w:val="24"/>
          <w:szCs w:val="24"/>
        </w:rPr>
        <w:t xml:space="preserve"> and fiscal unions are </w:t>
      </w:r>
      <w:r w:rsidR="008F4EFF">
        <w:rPr>
          <w:rFonts w:ascii="Times New Roman" w:hAnsi="Times New Roman" w:cs="Times New Roman"/>
          <w:sz w:val="24"/>
          <w:szCs w:val="24"/>
        </w:rPr>
        <w:t>incomplete and shared between the EU</w:t>
      </w:r>
      <w:r w:rsidR="00154779">
        <w:rPr>
          <w:rFonts w:ascii="Times New Roman" w:hAnsi="Times New Roman" w:cs="Times New Roman"/>
          <w:sz w:val="24"/>
          <w:szCs w:val="24"/>
        </w:rPr>
        <w:t xml:space="preserve"> and member states</w:t>
      </w:r>
      <w:r w:rsidR="00ED3E88">
        <w:rPr>
          <w:rFonts w:ascii="Times New Roman" w:hAnsi="Times New Roman" w:cs="Times New Roman"/>
          <w:sz w:val="24"/>
          <w:szCs w:val="24"/>
        </w:rPr>
        <w:t xml:space="preserve"> i.e. we have horizontal and vertical fragmentation of </w:t>
      </w:r>
      <w:r w:rsidR="004D5216">
        <w:rPr>
          <w:rFonts w:ascii="Times New Roman" w:hAnsi="Times New Roman" w:cs="Times New Roman"/>
          <w:sz w:val="24"/>
          <w:szCs w:val="24"/>
        </w:rPr>
        <w:t>competences</w:t>
      </w:r>
      <w:r w:rsidR="00385751">
        <w:rPr>
          <w:rFonts w:ascii="Times New Roman" w:hAnsi="Times New Roman" w:cs="Times New Roman"/>
          <w:sz w:val="24"/>
          <w:szCs w:val="24"/>
        </w:rPr>
        <w:t xml:space="preserve"> (Lane, 2012)</w:t>
      </w:r>
      <w:r w:rsidR="00154779">
        <w:rPr>
          <w:rFonts w:ascii="Times New Roman" w:hAnsi="Times New Roman" w:cs="Times New Roman"/>
          <w:sz w:val="24"/>
          <w:szCs w:val="24"/>
        </w:rPr>
        <w:t>. Although we have</w:t>
      </w:r>
      <w:r w:rsidR="005D0788" w:rsidRPr="00883C43">
        <w:rPr>
          <w:rFonts w:ascii="Times New Roman" w:hAnsi="Times New Roman" w:cs="Times New Roman"/>
          <w:sz w:val="24"/>
          <w:szCs w:val="24"/>
        </w:rPr>
        <w:t xml:space="preserve"> common central bank, </w:t>
      </w:r>
      <w:r w:rsidR="00154779">
        <w:rPr>
          <w:rFonts w:ascii="Times New Roman" w:hAnsi="Times New Roman" w:cs="Times New Roman"/>
          <w:sz w:val="24"/>
          <w:szCs w:val="24"/>
        </w:rPr>
        <w:t>its</w:t>
      </w:r>
      <w:r w:rsidR="005D0788" w:rsidRPr="00883C43">
        <w:rPr>
          <w:rFonts w:ascii="Times New Roman" w:hAnsi="Times New Roman" w:cs="Times New Roman"/>
          <w:sz w:val="24"/>
          <w:szCs w:val="24"/>
        </w:rPr>
        <w:t xml:space="preserve"> key lender of last resort </w:t>
      </w:r>
      <w:r w:rsidR="005275A3">
        <w:rPr>
          <w:rFonts w:ascii="Times New Roman" w:hAnsi="Times New Roman" w:cs="Times New Roman"/>
          <w:sz w:val="24"/>
          <w:szCs w:val="24"/>
        </w:rPr>
        <w:t xml:space="preserve">function </w:t>
      </w:r>
      <w:r w:rsidR="005D0788" w:rsidRPr="00883C43">
        <w:rPr>
          <w:rFonts w:ascii="Times New Roman" w:hAnsi="Times New Roman" w:cs="Times New Roman"/>
          <w:sz w:val="24"/>
          <w:szCs w:val="24"/>
        </w:rPr>
        <w:t>was legally challenged</w:t>
      </w:r>
      <w:r w:rsidR="00E01296" w:rsidRPr="00883C43">
        <w:rPr>
          <w:rFonts w:ascii="Times New Roman" w:hAnsi="Times New Roman" w:cs="Times New Roman"/>
          <w:sz w:val="24"/>
          <w:szCs w:val="24"/>
        </w:rPr>
        <w:t xml:space="preserve"> and not properly exercised until 2012</w:t>
      </w:r>
      <w:r w:rsidR="00D504A4" w:rsidRPr="00883C43">
        <w:rPr>
          <w:rFonts w:ascii="Times New Roman" w:hAnsi="Times New Roman" w:cs="Times New Roman"/>
          <w:sz w:val="24"/>
          <w:szCs w:val="24"/>
        </w:rPr>
        <w:t xml:space="preserve"> when under the leadership of Mario Draghi the ECB proved to be more </w:t>
      </w:r>
      <w:r w:rsidR="00D504A4" w:rsidRPr="00A6012A">
        <w:rPr>
          <w:rFonts w:ascii="Times New Roman" w:hAnsi="Times New Roman" w:cs="Times New Roman"/>
          <w:sz w:val="24"/>
          <w:szCs w:val="24"/>
        </w:rPr>
        <w:t xml:space="preserve">decisive than European politicians in saving the </w:t>
      </w:r>
      <w:r w:rsidR="00883C43" w:rsidRPr="00A6012A">
        <w:rPr>
          <w:rFonts w:ascii="Times New Roman" w:hAnsi="Times New Roman" w:cs="Times New Roman"/>
          <w:sz w:val="24"/>
          <w:szCs w:val="24"/>
        </w:rPr>
        <w:t>euro</w:t>
      </w:r>
      <w:r w:rsidR="00D504A4" w:rsidRPr="00A6012A">
        <w:rPr>
          <w:rFonts w:ascii="Times New Roman" w:hAnsi="Times New Roman" w:cs="Times New Roman"/>
          <w:sz w:val="24"/>
          <w:szCs w:val="24"/>
        </w:rPr>
        <w:t xml:space="preserve"> by increasing liquidity via vari</w:t>
      </w:r>
      <w:r w:rsidR="00D265E4" w:rsidRPr="00A6012A">
        <w:rPr>
          <w:rFonts w:ascii="Times New Roman" w:hAnsi="Times New Roman" w:cs="Times New Roman"/>
          <w:sz w:val="24"/>
          <w:szCs w:val="24"/>
        </w:rPr>
        <w:t xml:space="preserve">ous instruments </w:t>
      </w:r>
      <w:r w:rsidR="00D265E4" w:rsidRPr="00A6012A">
        <w:rPr>
          <w:rFonts w:ascii="Times New Roman" w:hAnsi="Times New Roman" w:cs="Times New Roman"/>
          <w:sz w:val="24"/>
          <w:szCs w:val="24"/>
        </w:rPr>
        <w:lastRenderedPageBreak/>
        <w:t>(Schmidt, 2014)</w:t>
      </w:r>
      <w:r w:rsidR="00696E6A" w:rsidRPr="00A6012A">
        <w:rPr>
          <w:rFonts w:ascii="Times New Roman" w:hAnsi="Times New Roman" w:cs="Times New Roman"/>
          <w:sz w:val="24"/>
          <w:szCs w:val="24"/>
        </w:rPr>
        <w:t>.</w:t>
      </w:r>
      <w:r w:rsidR="00D265E4" w:rsidRPr="00A6012A">
        <w:rPr>
          <w:rStyle w:val="FootnoteReference"/>
          <w:rFonts w:ascii="Times New Roman" w:hAnsi="Times New Roman" w:cs="Times New Roman"/>
          <w:sz w:val="24"/>
          <w:szCs w:val="24"/>
        </w:rPr>
        <w:footnoteReference w:id="12"/>
      </w:r>
      <w:r w:rsidR="005D0788" w:rsidRPr="00A6012A">
        <w:rPr>
          <w:rFonts w:ascii="Times New Roman" w:hAnsi="Times New Roman" w:cs="Times New Roman"/>
          <w:sz w:val="24"/>
          <w:szCs w:val="24"/>
        </w:rPr>
        <w:t xml:space="preserve"> </w:t>
      </w:r>
      <w:r w:rsidR="009C1185" w:rsidRPr="00A6012A">
        <w:rPr>
          <w:rFonts w:ascii="Times New Roman" w:hAnsi="Times New Roman" w:cs="Times New Roman"/>
          <w:sz w:val="24"/>
          <w:szCs w:val="24"/>
        </w:rPr>
        <w:t xml:space="preserve">The ECB’s balance sheet has ballooned to </w:t>
      </w:r>
      <w:r w:rsidR="009C1185" w:rsidRPr="00A6012A">
        <w:rPr>
          <w:rFonts w:ascii="Times New Roman" w:hAnsi="Times New Roman" w:cs="Times New Roman"/>
          <w:color w:val="545454"/>
          <w:sz w:val="24"/>
          <w:szCs w:val="24"/>
          <w:shd w:val="clear" w:color="auto" w:fill="FFFFFF"/>
        </w:rPr>
        <w:t>€</w:t>
      </w:r>
      <w:r w:rsidR="009C1185" w:rsidRPr="00A6012A">
        <w:rPr>
          <w:rFonts w:ascii="Times New Roman" w:hAnsi="Times New Roman" w:cs="Times New Roman"/>
          <w:sz w:val="24"/>
          <w:szCs w:val="24"/>
        </w:rPr>
        <w:t xml:space="preserve">4 trillion thanks to its </w:t>
      </w:r>
      <w:r w:rsidR="009C1185" w:rsidRPr="00A6012A">
        <w:rPr>
          <w:rFonts w:ascii="Times New Roman" w:hAnsi="Times New Roman" w:cs="Times New Roman"/>
          <w:color w:val="545454"/>
          <w:sz w:val="24"/>
          <w:szCs w:val="24"/>
          <w:shd w:val="clear" w:color="auto" w:fill="FFFFFF"/>
        </w:rPr>
        <w:t>€</w:t>
      </w:r>
      <w:r w:rsidR="009C1185" w:rsidRPr="00A6012A">
        <w:rPr>
          <w:rFonts w:ascii="Times New Roman" w:hAnsi="Times New Roman" w:cs="Times New Roman"/>
          <w:sz w:val="24"/>
          <w:szCs w:val="24"/>
        </w:rPr>
        <w:t xml:space="preserve">80 billion monthly purchases of public and private bonds under its various Assets Purchases Programmes in </w:t>
      </w:r>
      <w:r w:rsidR="00A6012A">
        <w:rPr>
          <w:rFonts w:ascii="Times New Roman" w:hAnsi="Times New Roman" w:cs="Times New Roman"/>
          <w:sz w:val="24"/>
          <w:szCs w:val="24"/>
        </w:rPr>
        <w:t xml:space="preserve">late 2015 and </w:t>
      </w:r>
      <w:r w:rsidR="009C1185" w:rsidRPr="00A6012A">
        <w:rPr>
          <w:rFonts w:ascii="Times New Roman" w:hAnsi="Times New Roman" w:cs="Times New Roman"/>
          <w:sz w:val="24"/>
          <w:szCs w:val="24"/>
        </w:rPr>
        <w:t xml:space="preserve">2016, which were scaled back to </w:t>
      </w:r>
      <w:r w:rsidR="009C1185" w:rsidRPr="00A6012A">
        <w:rPr>
          <w:rFonts w:ascii="Times New Roman" w:hAnsi="Times New Roman" w:cs="Times New Roman"/>
          <w:color w:val="545454"/>
          <w:sz w:val="24"/>
          <w:szCs w:val="24"/>
          <w:shd w:val="clear" w:color="auto" w:fill="FFFFFF"/>
        </w:rPr>
        <w:t>€</w:t>
      </w:r>
      <w:r w:rsidR="009C1185" w:rsidRPr="00A6012A">
        <w:rPr>
          <w:rFonts w:ascii="Times New Roman" w:hAnsi="Times New Roman" w:cs="Times New Roman"/>
          <w:sz w:val="24"/>
          <w:szCs w:val="24"/>
        </w:rPr>
        <w:t xml:space="preserve">60 billion in 2017. </w:t>
      </w:r>
      <w:r w:rsidR="009C1185" w:rsidRPr="00A6012A">
        <w:rPr>
          <w:rFonts w:ascii="Times New Roman" w:hAnsi="Times New Roman" w:cs="Times New Roman"/>
          <w:color w:val="000000"/>
          <w:sz w:val="24"/>
          <w:szCs w:val="24"/>
          <w:shd w:val="clear" w:color="auto" w:fill="FFFFFF"/>
        </w:rPr>
        <w:t xml:space="preserve">It has to be noted that the public sector PPs comes with some unfortunate strings attached, such as the 33% limit of purchases per issuer and issue share. </w:t>
      </w:r>
      <w:r w:rsidR="00154779" w:rsidRPr="00A6012A">
        <w:rPr>
          <w:rFonts w:ascii="Times New Roman" w:hAnsi="Times New Roman" w:cs="Times New Roman"/>
          <w:sz w:val="24"/>
          <w:szCs w:val="24"/>
        </w:rPr>
        <w:t>Yet,</w:t>
      </w:r>
      <w:r w:rsidR="00696E6A" w:rsidRPr="00A6012A">
        <w:rPr>
          <w:rFonts w:ascii="Times New Roman" w:hAnsi="Times New Roman" w:cs="Times New Roman"/>
          <w:sz w:val="24"/>
          <w:szCs w:val="24"/>
        </w:rPr>
        <w:t xml:space="preserve"> despite Draghi’s effort to make the ECB a real central bank, we have seen </w:t>
      </w:r>
      <w:r w:rsidR="002E1F65">
        <w:rPr>
          <w:rFonts w:ascii="Times New Roman" w:hAnsi="Times New Roman" w:cs="Times New Roman"/>
          <w:sz w:val="24"/>
          <w:szCs w:val="24"/>
        </w:rPr>
        <w:t>some worrying practices when</w:t>
      </w:r>
      <w:r w:rsidR="00696E6A" w:rsidRPr="00A6012A">
        <w:rPr>
          <w:rFonts w:ascii="Times New Roman" w:hAnsi="Times New Roman" w:cs="Times New Roman"/>
          <w:sz w:val="24"/>
          <w:szCs w:val="24"/>
        </w:rPr>
        <w:t xml:space="preserve"> the ECB has refused to provide liquidity to Greek banks in 2015 </w:t>
      </w:r>
      <w:r w:rsidR="00B32760" w:rsidRPr="00A6012A">
        <w:rPr>
          <w:rFonts w:ascii="Times New Roman" w:hAnsi="Times New Roman" w:cs="Times New Roman"/>
          <w:sz w:val="24"/>
          <w:szCs w:val="24"/>
        </w:rPr>
        <w:t>for</w:t>
      </w:r>
      <w:r w:rsidR="00696E6A" w:rsidRPr="00A6012A">
        <w:rPr>
          <w:rFonts w:ascii="Times New Roman" w:hAnsi="Times New Roman" w:cs="Times New Roman"/>
          <w:sz w:val="24"/>
          <w:szCs w:val="24"/>
        </w:rPr>
        <w:t xml:space="preserve"> political reasons</w:t>
      </w:r>
      <w:r w:rsidR="00B32760" w:rsidRPr="00A6012A">
        <w:rPr>
          <w:rFonts w:ascii="Times New Roman" w:hAnsi="Times New Roman" w:cs="Times New Roman"/>
          <w:sz w:val="24"/>
          <w:szCs w:val="24"/>
        </w:rPr>
        <w:t xml:space="preserve"> when the newly elected </w:t>
      </w:r>
      <w:proofErr w:type="spellStart"/>
      <w:r w:rsidR="00B32760" w:rsidRPr="00A6012A">
        <w:rPr>
          <w:rFonts w:ascii="Times New Roman" w:hAnsi="Times New Roman" w:cs="Times New Roman"/>
          <w:sz w:val="24"/>
          <w:szCs w:val="24"/>
        </w:rPr>
        <w:t>Syriza</w:t>
      </w:r>
      <w:proofErr w:type="spellEnd"/>
      <w:r w:rsidR="00B32760" w:rsidRPr="00A6012A">
        <w:rPr>
          <w:rFonts w:ascii="Times New Roman" w:hAnsi="Times New Roman" w:cs="Times New Roman"/>
          <w:sz w:val="24"/>
          <w:szCs w:val="24"/>
        </w:rPr>
        <w:t xml:space="preserve"> government put the third bailout on a referendum. </w:t>
      </w:r>
      <w:r w:rsidR="00E83C82" w:rsidRPr="00A6012A">
        <w:rPr>
          <w:rFonts w:ascii="Times New Roman" w:hAnsi="Times New Roman" w:cs="Times New Roman"/>
          <w:sz w:val="24"/>
          <w:szCs w:val="24"/>
        </w:rPr>
        <w:t xml:space="preserve">The cutting of Greek banks form the Emergency Liquidity Assistance resulted in capital controls </w:t>
      </w:r>
      <w:r w:rsidR="008F4EFF" w:rsidRPr="00A6012A">
        <w:rPr>
          <w:rFonts w:ascii="Times New Roman" w:hAnsi="Times New Roman" w:cs="Times New Roman"/>
          <w:sz w:val="24"/>
          <w:szCs w:val="24"/>
        </w:rPr>
        <w:t>aimed at</w:t>
      </w:r>
      <w:r w:rsidR="00E83C82" w:rsidRPr="00A6012A">
        <w:rPr>
          <w:rFonts w:ascii="Times New Roman" w:hAnsi="Times New Roman" w:cs="Times New Roman"/>
          <w:sz w:val="24"/>
          <w:szCs w:val="24"/>
        </w:rPr>
        <w:t xml:space="preserve"> prevent</w:t>
      </w:r>
      <w:r w:rsidR="008F4EFF" w:rsidRPr="00A6012A">
        <w:rPr>
          <w:rFonts w:ascii="Times New Roman" w:hAnsi="Times New Roman" w:cs="Times New Roman"/>
          <w:sz w:val="24"/>
          <w:szCs w:val="24"/>
        </w:rPr>
        <w:t>ing</w:t>
      </w:r>
      <w:r w:rsidR="00E83C82" w:rsidRPr="00A6012A">
        <w:rPr>
          <w:rFonts w:ascii="Times New Roman" w:hAnsi="Times New Roman" w:cs="Times New Roman"/>
          <w:sz w:val="24"/>
          <w:szCs w:val="24"/>
        </w:rPr>
        <w:t xml:space="preserve"> run</w:t>
      </w:r>
      <w:r w:rsidR="008F4EFF" w:rsidRPr="00A6012A">
        <w:rPr>
          <w:rFonts w:ascii="Times New Roman" w:hAnsi="Times New Roman" w:cs="Times New Roman"/>
          <w:sz w:val="24"/>
          <w:szCs w:val="24"/>
        </w:rPr>
        <w:t>s</w:t>
      </w:r>
      <w:r w:rsidR="00E83C82" w:rsidRPr="00A6012A">
        <w:rPr>
          <w:rFonts w:ascii="Times New Roman" w:hAnsi="Times New Roman" w:cs="Times New Roman"/>
          <w:sz w:val="24"/>
          <w:szCs w:val="24"/>
        </w:rPr>
        <w:t xml:space="preserve"> on banks.</w:t>
      </w:r>
      <w:r w:rsidR="00E83C82">
        <w:rPr>
          <w:rFonts w:ascii="Times New Roman" w:hAnsi="Times New Roman" w:cs="Times New Roman"/>
          <w:sz w:val="24"/>
          <w:szCs w:val="24"/>
        </w:rPr>
        <w:t xml:space="preserve"> </w:t>
      </w:r>
    </w:p>
    <w:p w:rsidR="00B67031" w:rsidRDefault="00154779"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Likewise, we see a fragmented division of prerog</w:t>
      </w:r>
      <w:r w:rsidR="003B4189">
        <w:rPr>
          <w:rFonts w:ascii="Times New Roman" w:hAnsi="Times New Roman" w:cs="Times New Roman"/>
          <w:sz w:val="24"/>
          <w:szCs w:val="24"/>
        </w:rPr>
        <w:t>atives over the banking union. The EU</w:t>
      </w:r>
      <w:r>
        <w:rPr>
          <w:rFonts w:ascii="Times New Roman" w:hAnsi="Times New Roman" w:cs="Times New Roman"/>
          <w:sz w:val="24"/>
          <w:szCs w:val="24"/>
        </w:rPr>
        <w:t xml:space="preserve"> attempted f</w:t>
      </w:r>
      <w:r w:rsidR="005D0788" w:rsidRPr="005275A3">
        <w:rPr>
          <w:rFonts w:ascii="Times New Roman" w:hAnsi="Times New Roman" w:cs="Times New Roman"/>
          <w:sz w:val="24"/>
          <w:szCs w:val="24"/>
        </w:rPr>
        <w:t xml:space="preserve">inancial integration </w:t>
      </w:r>
      <w:r w:rsidR="00883C43" w:rsidRPr="005275A3">
        <w:rPr>
          <w:rFonts w:ascii="Times New Roman" w:hAnsi="Times New Roman" w:cs="Times New Roman"/>
          <w:sz w:val="24"/>
          <w:szCs w:val="24"/>
        </w:rPr>
        <w:t xml:space="preserve">without </w:t>
      </w:r>
      <w:r w:rsidR="00005182" w:rsidRPr="005275A3">
        <w:rPr>
          <w:rFonts w:ascii="Times New Roman" w:hAnsi="Times New Roman" w:cs="Times New Roman"/>
          <w:sz w:val="24"/>
          <w:szCs w:val="24"/>
        </w:rPr>
        <w:t>creation of a common banking union whereby the authority to supervise and resolve</w:t>
      </w:r>
      <w:r w:rsidR="00360526">
        <w:rPr>
          <w:rFonts w:ascii="Times New Roman" w:hAnsi="Times New Roman" w:cs="Times New Roman"/>
          <w:sz w:val="24"/>
          <w:szCs w:val="24"/>
        </w:rPr>
        <w:t xml:space="preserve"> banks</w:t>
      </w:r>
      <w:r w:rsidR="00005182" w:rsidRPr="005275A3">
        <w:rPr>
          <w:rFonts w:ascii="Times New Roman" w:hAnsi="Times New Roman" w:cs="Times New Roman"/>
          <w:sz w:val="24"/>
          <w:szCs w:val="24"/>
        </w:rPr>
        <w:t xml:space="preserve"> would be s</w:t>
      </w:r>
      <w:r w:rsidR="00B32760" w:rsidRPr="005275A3">
        <w:rPr>
          <w:rFonts w:ascii="Times New Roman" w:hAnsi="Times New Roman" w:cs="Times New Roman"/>
          <w:sz w:val="24"/>
          <w:szCs w:val="24"/>
        </w:rPr>
        <w:t>caled up at supranational level.</w:t>
      </w:r>
      <w:r w:rsidR="00782026" w:rsidRPr="005275A3">
        <w:rPr>
          <w:rStyle w:val="FootnoteReference"/>
          <w:rFonts w:ascii="Times New Roman" w:hAnsi="Times New Roman" w:cs="Times New Roman"/>
          <w:sz w:val="24"/>
          <w:szCs w:val="24"/>
        </w:rPr>
        <w:footnoteReference w:id="13"/>
      </w:r>
      <w:r w:rsidR="00005182" w:rsidRPr="005275A3">
        <w:rPr>
          <w:rFonts w:ascii="Times New Roman" w:hAnsi="Times New Roman" w:cs="Times New Roman"/>
          <w:sz w:val="24"/>
          <w:szCs w:val="24"/>
        </w:rPr>
        <w:t xml:space="preserve"> </w:t>
      </w:r>
      <w:r w:rsidR="00B67031" w:rsidRPr="005275A3">
        <w:rPr>
          <w:rFonts w:ascii="Times New Roman" w:hAnsi="Times New Roman" w:cs="Times New Roman"/>
          <w:sz w:val="24"/>
          <w:szCs w:val="24"/>
        </w:rPr>
        <w:t>In the effort to curb the systemic risk in the financial system</w:t>
      </w:r>
      <w:r w:rsidR="003B4189">
        <w:rPr>
          <w:rFonts w:ascii="Times New Roman" w:hAnsi="Times New Roman" w:cs="Times New Roman"/>
          <w:sz w:val="24"/>
          <w:szCs w:val="24"/>
        </w:rPr>
        <w:t xml:space="preserve"> in the aftermath of the financial crisis</w:t>
      </w:r>
      <w:r w:rsidR="00B67031" w:rsidRPr="005275A3">
        <w:rPr>
          <w:rFonts w:ascii="Times New Roman" w:hAnsi="Times New Roman" w:cs="Times New Roman"/>
          <w:sz w:val="24"/>
          <w:szCs w:val="24"/>
        </w:rPr>
        <w:t>, European countries have scaled up the macro-prudential policy framework at the EU level, mainly by creating a European System of Financial Supervision.</w:t>
      </w:r>
      <w:r w:rsidR="00B67031" w:rsidRPr="005275A3">
        <w:rPr>
          <w:rStyle w:val="FootnoteReference"/>
          <w:rFonts w:ascii="Times New Roman" w:hAnsi="Times New Roman" w:cs="Times New Roman"/>
          <w:sz w:val="24"/>
          <w:szCs w:val="24"/>
        </w:rPr>
        <w:footnoteReference w:id="14"/>
      </w:r>
      <w:r w:rsidR="00B67031" w:rsidRPr="005275A3">
        <w:rPr>
          <w:rFonts w:ascii="Times New Roman" w:hAnsi="Times New Roman" w:cs="Times New Roman"/>
          <w:sz w:val="24"/>
          <w:szCs w:val="24"/>
        </w:rPr>
        <w:t xml:space="preserve"> </w:t>
      </w:r>
      <w:r>
        <w:rPr>
          <w:rFonts w:ascii="Times New Roman" w:hAnsi="Times New Roman" w:cs="Times New Roman"/>
          <w:sz w:val="24"/>
          <w:szCs w:val="24"/>
        </w:rPr>
        <w:t>Yet, d</w:t>
      </w:r>
      <w:r w:rsidR="00890B68">
        <w:rPr>
          <w:rFonts w:ascii="Times New Roman" w:hAnsi="Times New Roman" w:cs="Times New Roman"/>
          <w:sz w:val="24"/>
          <w:szCs w:val="24"/>
        </w:rPr>
        <w:t xml:space="preserve">espite the efforts, the </w:t>
      </w:r>
      <w:r w:rsidR="00890B68">
        <w:rPr>
          <w:rFonts w:ascii="Times New Roman" w:hAnsi="Times New Roman" w:cs="Times New Roman"/>
          <w:sz w:val="24"/>
          <w:szCs w:val="24"/>
        </w:rPr>
        <w:lastRenderedPageBreak/>
        <w:t xml:space="preserve">banking union is half-way through with two of the three pillars, the Single Supervision Mechanism, the Single Resolution Mechanism, and the Deposit Insurance Scheme, yet to be </w:t>
      </w:r>
      <w:r w:rsidR="00360526">
        <w:rPr>
          <w:rFonts w:ascii="Times New Roman" w:hAnsi="Times New Roman" w:cs="Times New Roman"/>
          <w:sz w:val="24"/>
          <w:szCs w:val="24"/>
        </w:rPr>
        <w:t>instituted</w:t>
      </w:r>
      <w:r w:rsidR="003B4189">
        <w:rPr>
          <w:rFonts w:ascii="Times New Roman" w:hAnsi="Times New Roman" w:cs="Times New Roman"/>
          <w:sz w:val="24"/>
          <w:szCs w:val="24"/>
        </w:rPr>
        <w:t xml:space="preserve"> (see Jones, 2015)</w:t>
      </w:r>
      <w:r w:rsidR="00890B68">
        <w:rPr>
          <w:rFonts w:ascii="Times New Roman" w:hAnsi="Times New Roman" w:cs="Times New Roman"/>
          <w:sz w:val="24"/>
          <w:szCs w:val="24"/>
        </w:rPr>
        <w:t xml:space="preserve">. </w:t>
      </w:r>
    </w:p>
    <w:p w:rsidR="004A4EEF" w:rsidRDefault="00154779" w:rsidP="007A60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the fiscal aspect is least likely to see a decrease in </w:t>
      </w:r>
      <w:r w:rsidR="003B4189">
        <w:rPr>
          <w:rFonts w:ascii="Times New Roman" w:hAnsi="Times New Roman" w:cs="Times New Roman"/>
          <w:sz w:val="24"/>
          <w:szCs w:val="24"/>
        </w:rPr>
        <w:t>its</w:t>
      </w:r>
      <w:r>
        <w:rPr>
          <w:rFonts w:ascii="Times New Roman" w:hAnsi="Times New Roman" w:cs="Times New Roman"/>
          <w:sz w:val="24"/>
          <w:szCs w:val="24"/>
        </w:rPr>
        <w:t xml:space="preserve"> asymmetric structure </w:t>
      </w:r>
      <w:r w:rsidR="003B4189">
        <w:rPr>
          <w:rFonts w:ascii="Times New Roman" w:hAnsi="Times New Roman" w:cs="Times New Roman"/>
          <w:sz w:val="24"/>
          <w:szCs w:val="24"/>
        </w:rPr>
        <w:t>because</w:t>
      </w:r>
      <w:r>
        <w:rPr>
          <w:rFonts w:ascii="Times New Roman" w:hAnsi="Times New Roman" w:cs="Times New Roman"/>
          <w:sz w:val="24"/>
          <w:szCs w:val="24"/>
        </w:rPr>
        <w:t xml:space="preserve"> member states will continue to guard their fiscal prerogatives</w:t>
      </w:r>
      <w:r w:rsidR="00E5326B">
        <w:rPr>
          <w:rFonts w:ascii="Times New Roman" w:hAnsi="Times New Roman" w:cs="Times New Roman"/>
          <w:sz w:val="24"/>
          <w:szCs w:val="24"/>
        </w:rPr>
        <w:t xml:space="preserve"> (</w:t>
      </w:r>
      <w:proofErr w:type="spellStart"/>
      <w:r w:rsidR="00E5326B">
        <w:rPr>
          <w:rFonts w:ascii="Times New Roman" w:hAnsi="Times New Roman" w:cs="Times New Roman"/>
          <w:sz w:val="24"/>
          <w:szCs w:val="24"/>
        </w:rPr>
        <w:t>Jabko</w:t>
      </w:r>
      <w:proofErr w:type="spellEnd"/>
      <w:r w:rsidR="00E5326B">
        <w:rPr>
          <w:rFonts w:ascii="Times New Roman" w:hAnsi="Times New Roman" w:cs="Times New Roman"/>
          <w:sz w:val="24"/>
          <w:szCs w:val="24"/>
        </w:rPr>
        <w:t>, 2015)</w:t>
      </w:r>
      <w:r>
        <w:rPr>
          <w:rFonts w:ascii="Times New Roman" w:hAnsi="Times New Roman" w:cs="Times New Roman"/>
          <w:sz w:val="24"/>
          <w:szCs w:val="24"/>
        </w:rPr>
        <w:t>. The post-crisis reforms have achieved a c</w:t>
      </w:r>
      <w:r w:rsidR="00A86E45" w:rsidRPr="006C53FF">
        <w:rPr>
          <w:rFonts w:ascii="Times New Roman" w:hAnsi="Times New Roman" w:cs="Times New Roman"/>
          <w:sz w:val="24"/>
          <w:szCs w:val="24"/>
        </w:rPr>
        <w:t xml:space="preserve">oordination of fiscal and economic policies without </w:t>
      </w:r>
      <w:r w:rsidR="00360526" w:rsidRPr="006C53FF">
        <w:rPr>
          <w:rFonts w:ascii="Times New Roman" w:hAnsi="Times New Roman" w:cs="Times New Roman"/>
          <w:sz w:val="24"/>
          <w:szCs w:val="24"/>
        </w:rPr>
        <w:t xml:space="preserve">mutualization of debt. The fiscal redistribution comes in the form of </w:t>
      </w:r>
      <w:r w:rsidR="00A86E45" w:rsidRPr="006C53FF">
        <w:rPr>
          <w:rFonts w:ascii="Times New Roman" w:hAnsi="Times New Roman" w:cs="Times New Roman"/>
          <w:sz w:val="24"/>
          <w:szCs w:val="24"/>
        </w:rPr>
        <w:t xml:space="preserve">a stabilization fund, the European Stability </w:t>
      </w:r>
      <w:r w:rsidR="00360526" w:rsidRPr="006C53FF">
        <w:rPr>
          <w:rFonts w:ascii="Times New Roman" w:hAnsi="Times New Roman" w:cs="Times New Roman"/>
          <w:sz w:val="24"/>
          <w:szCs w:val="24"/>
        </w:rPr>
        <w:t>Mechanism</w:t>
      </w:r>
      <w:r w:rsidR="002E1F65">
        <w:rPr>
          <w:rFonts w:ascii="Times New Roman" w:hAnsi="Times New Roman" w:cs="Times New Roman"/>
          <w:sz w:val="24"/>
          <w:szCs w:val="24"/>
        </w:rPr>
        <w:t>,</w:t>
      </w:r>
      <w:r w:rsidR="00360526" w:rsidRPr="006C53FF">
        <w:rPr>
          <w:rFonts w:ascii="Times New Roman" w:hAnsi="Times New Roman" w:cs="Times New Roman"/>
          <w:sz w:val="24"/>
          <w:szCs w:val="24"/>
        </w:rPr>
        <w:t xml:space="preserve"> </w:t>
      </w:r>
      <w:r w:rsidR="002E1F65">
        <w:rPr>
          <w:rFonts w:ascii="Times New Roman" w:hAnsi="Times New Roman" w:cs="Times New Roman"/>
          <w:sz w:val="24"/>
          <w:szCs w:val="24"/>
        </w:rPr>
        <w:t>which</w:t>
      </w:r>
      <w:r w:rsidR="006C53FF" w:rsidRPr="006C53FF">
        <w:rPr>
          <w:rFonts w:ascii="Times New Roman" w:hAnsi="Times New Roman" w:cs="Times New Roman"/>
          <w:sz w:val="24"/>
          <w:szCs w:val="24"/>
        </w:rPr>
        <w:t xml:space="preserve"> </w:t>
      </w:r>
      <w:r w:rsidR="00A86E45" w:rsidRPr="006C53FF">
        <w:rPr>
          <w:rFonts w:ascii="Times New Roman" w:hAnsi="Times New Roman" w:cs="Times New Roman"/>
          <w:sz w:val="24"/>
          <w:szCs w:val="24"/>
        </w:rPr>
        <w:t>provide</w:t>
      </w:r>
      <w:r w:rsidR="006C53FF" w:rsidRPr="006C53FF">
        <w:rPr>
          <w:rFonts w:ascii="Times New Roman" w:hAnsi="Times New Roman" w:cs="Times New Roman"/>
          <w:sz w:val="24"/>
          <w:szCs w:val="24"/>
        </w:rPr>
        <w:t>s</w:t>
      </w:r>
      <w:r w:rsidR="00A86E45" w:rsidRPr="006C53FF">
        <w:rPr>
          <w:rFonts w:ascii="Times New Roman" w:hAnsi="Times New Roman" w:cs="Times New Roman"/>
          <w:sz w:val="24"/>
          <w:szCs w:val="24"/>
        </w:rPr>
        <w:t xml:space="preserve"> public risk sharing </w:t>
      </w:r>
      <w:r w:rsidR="006C53FF" w:rsidRPr="006C53FF">
        <w:rPr>
          <w:rFonts w:ascii="Times New Roman" w:hAnsi="Times New Roman" w:cs="Times New Roman"/>
          <w:sz w:val="24"/>
          <w:szCs w:val="24"/>
        </w:rPr>
        <w:t>when the</w:t>
      </w:r>
      <w:r w:rsidR="00A86E45" w:rsidRPr="006C53FF">
        <w:rPr>
          <w:rFonts w:ascii="Times New Roman" w:hAnsi="Times New Roman" w:cs="Times New Roman"/>
          <w:sz w:val="24"/>
          <w:szCs w:val="24"/>
        </w:rPr>
        <w:t xml:space="preserve"> market-based risk sharing</w:t>
      </w:r>
      <w:r w:rsidR="006C53FF" w:rsidRPr="006C53FF">
        <w:rPr>
          <w:rFonts w:ascii="Times New Roman" w:hAnsi="Times New Roman" w:cs="Times New Roman"/>
          <w:sz w:val="24"/>
          <w:szCs w:val="24"/>
        </w:rPr>
        <w:t xml:space="preserve"> dries up</w:t>
      </w:r>
      <w:r w:rsidR="00A86E45" w:rsidRPr="006C53FF">
        <w:rPr>
          <w:rFonts w:ascii="Times New Roman" w:hAnsi="Times New Roman" w:cs="Times New Roman"/>
          <w:sz w:val="24"/>
          <w:szCs w:val="24"/>
        </w:rPr>
        <w:t>.</w:t>
      </w:r>
      <w:r w:rsidR="00137B36" w:rsidRPr="00137B36">
        <w:rPr>
          <w:rFonts w:ascii="Times New Roman" w:hAnsi="Times New Roman" w:cs="Times New Roman"/>
          <w:sz w:val="24"/>
          <w:szCs w:val="24"/>
        </w:rPr>
        <w:t xml:space="preserve"> </w:t>
      </w:r>
      <w:r w:rsidR="00137B36">
        <w:rPr>
          <w:rFonts w:ascii="Times New Roman" w:hAnsi="Times New Roman" w:cs="Times New Roman"/>
          <w:sz w:val="24"/>
          <w:szCs w:val="24"/>
        </w:rPr>
        <w:t>The great macroeconomic imbalances among member states called into being a new policy cycle, called the European Semester, whose objective is closer coordination of economic and fiscal policies of member states which are bound by the revised Stability and Growth Pact thanks to the Six and Two Packs,</w:t>
      </w:r>
      <w:r w:rsidR="00137B36">
        <w:rPr>
          <w:rStyle w:val="FootnoteReference"/>
          <w:rFonts w:ascii="Times New Roman" w:hAnsi="Times New Roman" w:cs="Times New Roman"/>
          <w:sz w:val="24"/>
          <w:szCs w:val="24"/>
        </w:rPr>
        <w:footnoteReference w:id="15"/>
      </w:r>
      <w:r w:rsidR="001D50C7" w:rsidRPr="006C53FF">
        <w:rPr>
          <w:rFonts w:ascii="Times New Roman" w:hAnsi="Times New Roman" w:cs="Times New Roman"/>
          <w:sz w:val="24"/>
          <w:szCs w:val="24"/>
        </w:rPr>
        <w:t xml:space="preserve"> </w:t>
      </w:r>
      <w:r w:rsidR="00137B36">
        <w:rPr>
          <w:rFonts w:ascii="Times New Roman" w:hAnsi="Times New Roman" w:cs="Times New Roman"/>
          <w:sz w:val="24"/>
          <w:szCs w:val="24"/>
        </w:rPr>
        <w:t xml:space="preserve">the Euro Plus Pact and the Fiscal Compact. </w:t>
      </w:r>
    </w:p>
    <w:p w:rsidR="004A4EEF" w:rsidRDefault="00436027" w:rsidP="007A608F">
      <w:pPr>
        <w:spacing w:after="240" w:line="240" w:lineRule="auto"/>
        <w:jc w:val="both"/>
        <w:rPr>
          <w:rFonts w:ascii="Times New Roman" w:hAnsi="Times New Roman" w:cs="Times New Roman"/>
          <w:sz w:val="24"/>
          <w:szCs w:val="18"/>
        </w:rPr>
      </w:pPr>
      <w:r w:rsidRPr="00436027">
        <w:rPr>
          <w:rFonts w:ascii="Times New Roman" w:hAnsi="Times New Roman" w:cs="Times New Roman"/>
          <w:sz w:val="24"/>
          <w:szCs w:val="18"/>
        </w:rPr>
        <w:t>Under the new rules, the Commission a) publishes Annual Growth Survey where it singles out key priorities for the upcoming year, which from 2015 include a Eurozone specific recommendations, b) publishes Alert Mechanism Report which single</w:t>
      </w:r>
      <w:r w:rsidR="002E1F65">
        <w:rPr>
          <w:rFonts w:ascii="Times New Roman" w:hAnsi="Times New Roman" w:cs="Times New Roman"/>
          <w:sz w:val="24"/>
          <w:szCs w:val="18"/>
        </w:rPr>
        <w:t>s</w:t>
      </w:r>
      <w:r w:rsidRPr="00436027">
        <w:rPr>
          <w:rFonts w:ascii="Times New Roman" w:hAnsi="Times New Roman" w:cs="Times New Roman"/>
          <w:sz w:val="24"/>
          <w:szCs w:val="18"/>
        </w:rPr>
        <w:t xml:space="preserve"> out which member states will need in-depth review in light of their macroeconomic  imbalances and fiscal deficits, c) sends fact finding missions to countries identified via the Alert Mechanism Report, d) conducts in-depth reviews of member states’ macroeconomic and structural reforms and publishes detailed country reports of the countries under review, e) gives country specific recommendations following the evaluation of the Stability or Convergence Programs and the National Reform Programs submitted by member states where they outline the policies they have implemented in light of meeting the 2020 Agenda and the Stability and Growth Pact, f) conducts progress reports on countries that are under the excessive deficit and excessive imbalance procedures, and g) </w:t>
      </w:r>
      <w:r w:rsidRPr="00436027">
        <w:rPr>
          <w:rFonts w:ascii="Times New Roman" w:hAnsi="Times New Roman" w:cs="Times New Roman"/>
          <w:i/>
          <w:sz w:val="24"/>
          <w:szCs w:val="18"/>
        </w:rPr>
        <w:t xml:space="preserve">ex ante </w:t>
      </w:r>
      <w:r w:rsidRPr="00436027">
        <w:rPr>
          <w:rFonts w:ascii="Times New Roman" w:hAnsi="Times New Roman" w:cs="Times New Roman"/>
          <w:sz w:val="24"/>
          <w:szCs w:val="18"/>
        </w:rPr>
        <w:t>approves the member states’ budgets. These prerogatives are on top of the Commission’s increased conditionality powers when helping to administer the national assistance programs under the European Financial Stabilization Mech</w:t>
      </w:r>
      <w:r w:rsidR="002E1F65">
        <w:rPr>
          <w:rFonts w:ascii="Times New Roman" w:hAnsi="Times New Roman" w:cs="Times New Roman"/>
          <w:sz w:val="24"/>
          <w:szCs w:val="18"/>
        </w:rPr>
        <w:t>anism</w:t>
      </w:r>
      <w:r w:rsidRPr="00436027">
        <w:rPr>
          <w:rFonts w:ascii="Times New Roman" w:hAnsi="Times New Roman" w:cs="Times New Roman"/>
          <w:sz w:val="24"/>
          <w:szCs w:val="18"/>
        </w:rPr>
        <w:t xml:space="preserve"> and European Stability Mechanism. </w:t>
      </w:r>
    </w:p>
    <w:p w:rsidR="00A4383E" w:rsidRDefault="00A86E45" w:rsidP="007A60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of the above three areas</w:t>
      </w:r>
      <w:r w:rsidR="00E83BD5">
        <w:rPr>
          <w:rFonts w:ascii="Times New Roman" w:hAnsi="Times New Roman" w:cs="Times New Roman"/>
          <w:sz w:val="24"/>
          <w:szCs w:val="24"/>
        </w:rPr>
        <w:t>, monetary, banking and fiscal unions,</w:t>
      </w:r>
      <w:r>
        <w:rPr>
          <w:rFonts w:ascii="Times New Roman" w:hAnsi="Times New Roman" w:cs="Times New Roman"/>
          <w:sz w:val="24"/>
          <w:szCs w:val="24"/>
        </w:rPr>
        <w:t xml:space="preserve"> are marked by incremental scaling up of prerogatives and transfer of competences to the EU-level. </w:t>
      </w:r>
      <w:r w:rsidR="00ED3451">
        <w:rPr>
          <w:rFonts w:ascii="Times New Roman" w:hAnsi="Times New Roman" w:cs="Times New Roman"/>
          <w:sz w:val="24"/>
          <w:szCs w:val="24"/>
        </w:rPr>
        <w:t xml:space="preserve">According to the ECA </w:t>
      </w:r>
      <w:r w:rsidR="00E83BD5">
        <w:rPr>
          <w:rFonts w:ascii="Times New Roman" w:hAnsi="Times New Roman" w:cs="Times New Roman"/>
          <w:sz w:val="24"/>
          <w:szCs w:val="24"/>
        </w:rPr>
        <w:t xml:space="preserve">approach these reforms </w:t>
      </w:r>
      <w:r w:rsidR="0069738C">
        <w:rPr>
          <w:rFonts w:ascii="Times New Roman" w:hAnsi="Times New Roman" w:cs="Times New Roman"/>
          <w:sz w:val="24"/>
          <w:szCs w:val="24"/>
        </w:rPr>
        <w:t>have made</w:t>
      </w:r>
      <w:r w:rsidR="00E83BD5">
        <w:rPr>
          <w:rFonts w:ascii="Times New Roman" w:hAnsi="Times New Roman" w:cs="Times New Roman"/>
          <w:sz w:val="24"/>
          <w:szCs w:val="24"/>
        </w:rPr>
        <w:t xml:space="preserve"> </w:t>
      </w:r>
      <w:r w:rsidR="00ED3451">
        <w:rPr>
          <w:rFonts w:ascii="Times New Roman" w:hAnsi="Times New Roman" w:cs="Times New Roman"/>
          <w:sz w:val="24"/>
          <w:szCs w:val="24"/>
        </w:rPr>
        <w:t>the Eurozone more embedded</w:t>
      </w:r>
      <w:r w:rsidR="00E83BD5">
        <w:rPr>
          <w:rFonts w:ascii="Times New Roman" w:hAnsi="Times New Roman" w:cs="Times New Roman"/>
          <w:sz w:val="24"/>
          <w:szCs w:val="24"/>
        </w:rPr>
        <w:t xml:space="preserve"> than before the G</w:t>
      </w:r>
      <w:r w:rsidR="0069738C">
        <w:rPr>
          <w:rFonts w:ascii="Times New Roman" w:hAnsi="Times New Roman" w:cs="Times New Roman"/>
          <w:sz w:val="24"/>
          <w:szCs w:val="24"/>
        </w:rPr>
        <w:t>reat Recession, even though the</w:t>
      </w:r>
      <w:r w:rsidR="00E83BD5">
        <w:rPr>
          <w:rFonts w:ascii="Times New Roman" w:hAnsi="Times New Roman" w:cs="Times New Roman"/>
          <w:sz w:val="24"/>
          <w:szCs w:val="24"/>
        </w:rPr>
        <w:t xml:space="preserve"> embeddedness is </w:t>
      </w:r>
      <w:r w:rsidR="0069738C">
        <w:rPr>
          <w:rFonts w:ascii="Times New Roman" w:hAnsi="Times New Roman" w:cs="Times New Roman"/>
          <w:sz w:val="24"/>
          <w:szCs w:val="24"/>
        </w:rPr>
        <w:t xml:space="preserve">still </w:t>
      </w:r>
      <w:r w:rsidR="00E83BD5">
        <w:rPr>
          <w:rFonts w:ascii="Times New Roman" w:hAnsi="Times New Roman" w:cs="Times New Roman"/>
          <w:sz w:val="24"/>
          <w:szCs w:val="24"/>
        </w:rPr>
        <w:t>partial</w:t>
      </w:r>
      <w:r w:rsidR="00A4383E">
        <w:rPr>
          <w:rFonts w:ascii="Times New Roman" w:hAnsi="Times New Roman" w:cs="Times New Roman"/>
          <w:sz w:val="24"/>
          <w:szCs w:val="24"/>
        </w:rPr>
        <w:t xml:space="preserve">. In this paper, I want to challenge the view that this reduction in vertical and horizontal fragmentation has made the EU more embedded from a Polanyian perspective. I do not want to challenge the fact that </w:t>
      </w:r>
      <w:r w:rsidR="00A46AE3">
        <w:rPr>
          <w:rFonts w:ascii="Times New Roman" w:hAnsi="Times New Roman" w:cs="Times New Roman"/>
          <w:sz w:val="24"/>
          <w:szCs w:val="24"/>
        </w:rPr>
        <w:t>this centralization of authority has made t</w:t>
      </w:r>
      <w:r w:rsidR="00A4383E">
        <w:rPr>
          <w:rFonts w:ascii="Times New Roman" w:hAnsi="Times New Roman" w:cs="Times New Roman"/>
          <w:sz w:val="24"/>
          <w:szCs w:val="24"/>
        </w:rPr>
        <w:t>he currency union more optima</w:t>
      </w:r>
      <w:r w:rsidR="0059607C">
        <w:rPr>
          <w:rFonts w:ascii="Times New Roman" w:hAnsi="Times New Roman" w:cs="Times New Roman"/>
          <w:sz w:val="24"/>
          <w:szCs w:val="24"/>
        </w:rPr>
        <w:t>l in sense of preventing easy breakdown of its financial system and restoring market confidence. Rather I want to underscore the limits of such maneuvers in producing optimal</w:t>
      </w:r>
      <w:r w:rsidR="00557AC8">
        <w:rPr>
          <w:rFonts w:ascii="Times New Roman" w:hAnsi="Times New Roman" w:cs="Times New Roman"/>
          <w:sz w:val="24"/>
          <w:szCs w:val="24"/>
        </w:rPr>
        <w:t>,</w:t>
      </w:r>
      <w:r w:rsidR="0059607C">
        <w:rPr>
          <w:rFonts w:ascii="Times New Roman" w:hAnsi="Times New Roman" w:cs="Times New Roman"/>
          <w:sz w:val="24"/>
          <w:szCs w:val="24"/>
        </w:rPr>
        <w:t xml:space="preserve"> </w:t>
      </w:r>
      <w:r w:rsidR="002A76DD">
        <w:rPr>
          <w:rFonts w:ascii="Times New Roman" w:hAnsi="Times New Roman" w:cs="Times New Roman"/>
          <w:sz w:val="24"/>
          <w:szCs w:val="24"/>
        </w:rPr>
        <w:t xml:space="preserve">Polanyian </w:t>
      </w:r>
      <w:r w:rsidR="0059607C">
        <w:rPr>
          <w:rFonts w:ascii="Times New Roman" w:hAnsi="Times New Roman" w:cs="Times New Roman"/>
          <w:sz w:val="24"/>
          <w:szCs w:val="24"/>
        </w:rPr>
        <w:t xml:space="preserve">outcomes </w:t>
      </w:r>
      <w:r w:rsidR="002A76DD">
        <w:rPr>
          <w:rFonts w:ascii="Times New Roman" w:hAnsi="Times New Roman" w:cs="Times New Roman"/>
          <w:sz w:val="24"/>
          <w:szCs w:val="24"/>
        </w:rPr>
        <w:t>which presuppose the sustainability of humans’</w:t>
      </w:r>
      <w:r w:rsidR="0009799C">
        <w:rPr>
          <w:rFonts w:ascii="Times New Roman" w:hAnsi="Times New Roman" w:cs="Times New Roman"/>
          <w:sz w:val="24"/>
          <w:szCs w:val="24"/>
        </w:rPr>
        <w:t xml:space="preserve"> livelihood</w:t>
      </w:r>
      <w:r w:rsidR="008D41BE">
        <w:rPr>
          <w:rFonts w:ascii="Times New Roman" w:hAnsi="Times New Roman" w:cs="Times New Roman"/>
          <w:sz w:val="24"/>
          <w:szCs w:val="24"/>
        </w:rPr>
        <w:t xml:space="preserve"> by strengthening the socio-environmental protection principle. </w:t>
      </w:r>
      <w:r w:rsidR="000173AB">
        <w:rPr>
          <w:rFonts w:ascii="Times New Roman" w:hAnsi="Times New Roman" w:cs="Times New Roman"/>
          <w:sz w:val="24"/>
          <w:szCs w:val="24"/>
        </w:rPr>
        <w:t xml:space="preserve">While the scaling up of banking and fiscal regulation salvages the productive enterprises from the commodity fiction of money, the Eurozone remains </w:t>
      </w:r>
      <w:r w:rsidR="000173AB">
        <w:rPr>
          <w:rFonts w:ascii="Times New Roman" w:hAnsi="Times New Roman" w:cs="Times New Roman"/>
          <w:sz w:val="24"/>
          <w:szCs w:val="24"/>
        </w:rPr>
        <w:lastRenderedPageBreak/>
        <w:t xml:space="preserve">disembedded unless we save </w:t>
      </w:r>
      <w:r w:rsidR="00A02545">
        <w:rPr>
          <w:rFonts w:ascii="Times New Roman" w:hAnsi="Times New Roman" w:cs="Times New Roman"/>
          <w:sz w:val="24"/>
          <w:szCs w:val="24"/>
        </w:rPr>
        <w:t>women and man,</w:t>
      </w:r>
      <w:r w:rsidR="000173AB">
        <w:rPr>
          <w:rFonts w:ascii="Times New Roman" w:hAnsi="Times New Roman" w:cs="Times New Roman"/>
          <w:sz w:val="24"/>
          <w:szCs w:val="24"/>
        </w:rPr>
        <w:t xml:space="preserve"> and the environment from the commodity fiction of nature and labor.  </w:t>
      </w:r>
    </w:p>
    <w:p w:rsidR="00E5326B" w:rsidRPr="00154293" w:rsidRDefault="00154293" w:rsidP="00154293">
      <w:pPr>
        <w:pStyle w:val="Heading1"/>
        <w:rPr>
          <w:rFonts w:ascii="Times New Roman" w:hAnsi="Times New Roman" w:cs="Times New Roman"/>
          <w:color w:val="auto"/>
          <w:sz w:val="24"/>
          <w:szCs w:val="24"/>
        </w:rPr>
      </w:pPr>
      <w:r w:rsidRPr="00154293">
        <w:rPr>
          <w:color w:val="auto"/>
        </w:rPr>
        <w:t>Eurozone State of Dis/Embeddedness</w:t>
      </w:r>
    </w:p>
    <w:p w:rsidR="00FC45E8" w:rsidRDefault="00A743CC" w:rsidP="00FA172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substitute for the ECA’s level of centralization measure of embeddedness, this paper </w:t>
      </w:r>
      <w:r w:rsidR="0017108B">
        <w:rPr>
          <w:rFonts w:ascii="Times New Roman" w:hAnsi="Times New Roman" w:cs="Times New Roman"/>
          <w:sz w:val="24"/>
          <w:szCs w:val="24"/>
        </w:rPr>
        <w:t xml:space="preserve">argues that two </w:t>
      </w:r>
      <w:r w:rsidR="000172ED">
        <w:rPr>
          <w:rFonts w:ascii="Times New Roman" w:hAnsi="Times New Roman" w:cs="Times New Roman"/>
          <w:sz w:val="24"/>
          <w:szCs w:val="24"/>
        </w:rPr>
        <w:t xml:space="preserve">other forgotten </w:t>
      </w:r>
      <w:r w:rsidR="0042555A">
        <w:rPr>
          <w:rFonts w:ascii="Times New Roman" w:hAnsi="Times New Roman" w:cs="Times New Roman"/>
          <w:sz w:val="24"/>
          <w:szCs w:val="24"/>
        </w:rPr>
        <w:t>Polanyian</w:t>
      </w:r>
      <w:r w:rsidR="0017108B">
        <w:rPr>
          <w:rFonts w:ascii="Times New Roman" w:hAnsi="Times New Roman" w:cs="Times New Roman"/>
          <w:sz w:val="24"/>
          <w:szCs w:val="24"/>
        </w:rPr>
        <w:t xml:space="preserve"> concepts</w:t>
      </w:r>
      <w:r w:rsidR="004F5A41">
        <w:rPr>
          <w:rFonts w:ascii="Times New Roman" w:hAnsi="Times New Roman" w:cs="Times New Roman"/>
          <w:sz w:val="24"/>
          <w:szCs w:val="24"/>
        </w:rPr>
        <w:t xml:space="preserve"> </w:t>
      </w:r>
      <w:r w:rsidR="0017108B">
        <w:rPr>
          <w:rFonts w:ascii="Times New Roman" w:hAnsi="Times New Roman" w:cs="Times New Roman"/>
          <w:sz w:val="24"/>
          <w:szCs w:val="24"/>
        </w:rPr>
        <w:t xml:space="preserve">offer us a </w:t>
      </w:r>
      <w:r>
        <w:rPr>
          <w:rFonts w:ascii="Times New Roman" w:hAnsi="Times New Roman" w:cs="Times New Roman"/>
          <w:sz w:val="24"/>
          <w:szCs w:val="24"/>
        </w:rPr>
        <w:t>better</w:t>
      </w:r>
      <w:r w:rsidR="0017108B">
        <w:rPr>
          <w:rFonts w:ascii="Times New Roman" w:hAnsi="Times New Roman" w:cs="Times New Roman"/>
          <w:sz w:val="24"/>
          <w:szCs w:val="24"/>
        </w:rPr>
        <w:t xml:space="preserve"> </w:t>
      </w:r>
      <w:r>
        <w:rPr>
          <w:rFonts w:ascii="Times New Roman" w:hAnsi="Times New Roman" w:cs="Times New Roman"/>
          <w:sz w:val="24"/>
          <w:szCs w:val="24"/>
        </w:rPr>
        <w:t>way of</w:t>
      </w:r>
      <w:r w:rsidR="0017108B">
        <w:rPr>
          <w:rFonts w:ascii="Times New Roman" w:hAnsi="Times New Roman" w:cs="Times New Roman"/>
          <w:sz w:val="24"/>
          <w:szCs w:val="24"/>
        </w:rPr>
        <w:t xml:space="preserve"> assessing the extent of </w:t>
      </w:r>
      <w:r w:rsidR="00041CB8">
        <w:rPr>
          <w:rFonts w:ascii="Times New Roman" w:hAnsi="Times New Roman" w:cs="Times New Roman"/>
          <w:sz w:val="24"/>
          <w:szCs w:val="24"/>
        </w:rPr>
        <w:t>dis/</w:t>
      </w:r>
      <w:r w:rsidR="0017108B">
        <w:rPr>
          <w:rFonts w:ascii="Times New Roman" w:hAnsi="Times New Roman" w:cs="Times New Roman"/>
          <w:sz w:val="24"/>
          <w:szCs w:val="24"/>
        </w:rPr>
        <w:t>embed</w:t>
      </w:r>
      <w:r>
        <w:rPr>
          <w:rFonts w:ascii="Times New Roman" w:hAnsi="Times New Roman" w:cs="Times New Roman"/>
          <w:sz w:val="24"/>
          <w:szCs w:val="24"/>
        </w:rPr>
        <w:t>dedness of the Eurozone.</w:t>
      </w:r>
      <w:r w:rsidR="004F5A41">
        <w:rPr>
          <w:rFonts w:ascii="Times New Roman" w:hAnsi="Times New Roman" w:cs="Times New Roman"/>
          <w:sz w:val="24"/>
          <w:szCs w:val="24"/>
        </w:rPr>
        <w:t xml:space="preserve"> The following two sections of the paper attempt to introduce the concepts new-constitutionalism and habitation vs. </w:t>
      </w:r>
      <w:r w:rsidR="000172ED">
        <w:rPr>
          <w:rFonts w:ascii="Times New Roman" w:hAnsi="Times New Roman" w:cs="Times New Roman"/>
          <w:sz w:val="24"/>
          <w:szCs w:val="24"/>
        </w:rPr>
        <w:t>improvement</w:t>
      </w:r>
      <w:r w:rsidR="004F5A41">
        <w:rPr>
          <w:rFonts w:ascii="Times New Roman" w:hAnsi="Times New Roman" w:cs="Times New Roman"/>
          <w:sz w:val="24"/>
          <w:szCs w:val="24"/>
        </w:rPr>
        <w:t xml:space="preserve">. </w:t>
      </w:r>
    </w:p>
    <w:p w:rsidR="000172ED" w:rsidRPr="006F5EB6" w:rsidRDefault="000172ED" w:rsidP="000172ED">
      <w:pPr>
        <w:pStyle w:val="Heading3"/>
        <w:rPr>
          <w:i/>
          <w:color w:val="auto"/>
          <w:sz w:val="24"/>
        </w:rPr>
      </w:pPr>
      <w:r w:rsidRPr="006F5EB6">
        <w:rPr>
          <w:i/>
          <w:color w:val="auto"/>
          <w:sz w:val="24"/>
        </w:rPr>
        <w:t xml:space="preserve">New Constitutionalism </w:t>
      </w:r>
    </w:p>
    <w:p w:rsidR="00D864AD" w:rsidRPr="00325909" w:rsidRDefault="000F3697" w:rsidP="00325909">
      <w:pPr>
        <w:spacing w:after="240" w:line="240" w:lineRule="auto"/>
        <w:jc w:val="both"/>
        <w:rPr>
          <w:rFonts w:ascii="Times New Roman" w:hAnsi="Times New Roman" w:cs="Times New Roman"/>
          <w:sz w:val="24"/>
          <w:szCs w:val="24"/>
        </w:rPr>
      </w:pPr>
      <w:r w:rsidRPr="000F3697">
        <w:rPr>
          <w:rFonts w:ascii="Times New Roman" w:hAnsi="Times New Roman" w:cs="Times New Roman"/>
          <w:sz w:val="24"/>
        </w:rPr>
        <w:t xml:space="preserve">Although generally attributed </w:t>
      </w:r>
      <w:r w:rsidRPr="00D864AD">
        <w:rPr>
          <w:rFonts w:ascii="Times New Roman" w:hAnsi="Times New Roman" w:cs="Times New Roman"/>
          <w:sz w:val="24"/>
          <w:szCs w:val="24"/>
        </w:rPr>
        <w:t xml:space="preserve">to </w:t>
      </w:r>
      <w:r w:rsidR="00D864AD" w:rsidRPr="00D864AD">
        <w:rPr>
          <w:rFonts w:ascii="Times New Roman" w:hAnsi="Times New Roman" w:cs="Times New Roman"/>
          <w:sz w:val="24"/>
          <w:szCs w:val="24"/>
        </w:rPr>
        <w:t xml:space="preserve">Gill (1995, 2003), </w:t>
      </w:r>
      <w:proofErr w:type="spellStart"/>
      <w:r w:rsidR="00D864AD" w:rsidRPr="00D864AD">
        <w:rPr>
          <w:rFonts w:ascii="Times New Roman" w:hAnsi="Times New Roman" w:cs="Times New Roman"/>
          <w:sz w:val="24"/>
          <w:szCs w:val="24"/>
        </w:rPr>
        <w:t>Harmes</w:t>
      </w:r>
      <w:proofErr w:type="spellEnd"/>
      <w:r w:rsidR="00D864AD" w:rsidRPr="00D864AD">
        <w:rPr>
          <w:rFonts w:ascii="Times New Roman" w:hAnsi="Times New Roman" w:cs="Times New Roman"/>
          <w:sz w:val="24"/>
          <w:szCs w:val="24"/>
        </w:rPr>
        <w:t xml:space="preserve"> (2006) and Gill and Cutler </w:t>
      </w:r>
      <w:r w:rsidR="00D864AD" w:rsidRPr="00325909">
        <w:rPr>
          <w:rFonts w:ascii="Times New Roman" w:hAnsi="Times New Roman" w:cs="Times New Roman"/>
          <w:sz w:val="24"/>
          <w:szCs w:val="24"/>
        </w:rPr>
        <w:t>(2014)</w:t>
      </w:r>
      <w:r w:rsidRPr="00325909">
        <w:rPr>
          <w:rFonts w:ascii="Times New Roman" w:hAnsi="Times New Roman" w:cs="Times New Roman"/>
          <w:sz w:val="24"/>
          <w:szCs w:val="24"/>
        </w:rPr>
        <w:t xml:space="preserve">, the concept of new-constitutionalism was introduced by </w:t>
      </w:r>
      <w:r w:rsidRPr="005C1FCC">
        <w:rPr>
          <w:rFonts w:ascii="Times New Roman" w:hAnsi="Times New Roman" w:cs="Times New Roman"/>
          <w:sz w:val="24"/>
          <w:szCs w:val="24"/>
        </w:rPr>
        <w:t>Polanyi</w:t>
      </w:r>
      <w:r w:rsidR="00325909" w:rsidRPr="005C1FCC">
        <w:rPr>
          <w:rFonts w:ascii="Times New Roman" w:hAnsi="Times New Roman" w:cs="Times New Roman"/>
          <w:sz w:val="24"/>
          <w:szCs w:val="24"/>
        </w:rPr>
        <w:t xml:space="preserve"> (</w:t>
      </w:r>
      <w:r w:rsidR="005C1FCC" w:rsidRPr="005C1FCC">
        <w:rPr>
          <w:rFonts w:ascii="Times New Roman" w:hAnsi="Times New Roman" w:cs="Times New Roman"/>
          <w:sz w:val="24"/>
          <w:szCs w:val="24"/>
        </w:rPr>
        <w:t>1944: 234</w:t>
      </w:r>
      <w:r w:rsidR="00325909" w:rsidRPr="005C1FCC">
        <w:rPr>
          <w:rFonts w:ascii="Times New Roman" w:hAnsi="Times New Roman" w:cs="Times New Roman"/>
          <w:sz w:val="24"/>
          <w:szCs w:val="24"/>
        </w:rPr>
        <w:t>)</w:t>
      </w:r>
      <w:r w:rsidRPr="005C1FCC">
        <w:rPr>
          <w:rFonts w:ascii="Times New Roman" w:hAnsi="Times New Roman" w:cs="Times New Roman"/>
          <w:sz w:val="24"/>
          <w:szCs w:val="24"/>
        </w:rPr>
        <w:t xml:space="preserve"> to denot</w:t>
      </w:r>
      <w:r w:rsidR="00F74545" w:rsidRPr="005C1FCC">
        <w:rPr>
          <w:rFonts w:ascii="Times New Roman" w:hAnsi="Times New Roman" w:cs="Times New Roman"/>
          <w:sz w:val="24"/>
          <w:szCs w:val="24"/>
        </w:rPr>
        <w:t>e those policy measures, like</w:t>
      </w:r>
      <w:r w:rsidRPr="005C1FCC">
        <w:rPr>
          <w:rFonts w:ascii="Times New Roman" w:hAnsi="Times New Roman" w:cs="Times New Roman"/>
          <w:sz w:val="24"/>
          <w:szCs w:val="24"/>
        </w:rPr>
        <w:t xml:space="preserve"> the Gold Standard, that insulated the economy not from top-down meddling from the Crown, but from bottom-up democratic pressure.</w:t>
      </w:r>
      <w:r w:rsidR="00D864AD" w:rsidRPr="005C1FCC">
        <w:rPr>
          <w:rStyle w:val="FootnoteReference"/>
          <w:rFonts w:ascii="Times New Roman" w:hAnsi="Times New Roman" w:cs="Times New Roman"/>
          <w:sz w:val="24"/>
          <w:szCs w:val="24"/>
        </w:rPr>
        <w:footnoteReference w:id="16"/>
      </w:r>
      <w:r w:rsidRPr="005C1FCC">
        <w:rPr>
          <w:rFonts w:ascii="Times New Roman" w:hAnsi="Times New Roman" w:cs="Times New Roman"/>
          <w:sz w:val="24"/>
          <w:szCs w:val="24"/>
        </w:rPr>
        <w:t xml:space="preserve"> </w:t>
      </w:r>
      <w:r w:rsidR="00F74545" w:rsidRPr="005C1FCC">
        <w:rPr>
          <w:rFonts w:ascii="Times New Roman" w:hAnsi="Times New Roman" w:cs="Times New Roman"/>
          <w:sz w:val="24"/>
          <w:szCs w:val="24"/>
        </w:rPr>
        <w:t xml:space="preserve">In contrast to the old constitutional safeguards from the </w:t>
      </w:r>
      <w:r w:rsidR="00F74545" w:rsidRPr="005C1FCC">
        <w:rPr>
          <w:rFonts w:ascii="Times New Roman" w:hAnsi="Times New Roman" w:cs="Times New Roman"/>
          <w:color w:val="000000"/>
          <w:sz w:val="24"/>
          <w:szCs w:val="24"/>
        </w:rPr>
        <w:t>seventeenth century</w:t>
      </w:r>
      <w:r w:rsidR="00F74545" w:rsidRPr="005C1FCC">
        <w:rPr>
          <w:rFonts w:ascii="Times New Roman" w:hAnsi="Times New Roman" w:cs="Times New Roman"/>
          <w:sz w:val="24"/>
          <w:szCs w:val="24"/>
        </w:rPr>
        <w:t xml:space="preserve"> that were securing the market from the</w:t>
      </w:r>
      <w:r w:rsidR="00F74545" w:rsidRPr="00325909">
        <w:rPr>
          <w:rFonts w:ascii="Times New Roman" w:hAnsi="Times New Roman" w:cs="Times New Roman"/>
          <w:sz w:val="24"/>
          <w:szCs w:val="24"/>
        </w:rPr>
        <w:t xml:space="preserve"> interference from the Crown, the new-constitutionalism that emerged in the </w:t>
      </w:r>
      <w:r w:rsidR="00F74545" w:rsidRPr="00325909">
        <w:rPr>
          <w:rFonts w:ascii="Times New Roman" w:hAnsi="Times New Roman" w:cs="Times New Roman"/>
          <w:color w:val="000000"/>
          <w:sz w:val="24"/>
          <w:szCs w:val="24"/>
        </w:rPr>
        <w:t xml:space="preserve">nineteenth century </w:t>
      </w:r>
      <w:r w:rsidR="00F74545" w:rsidRPr="00325909">
        <w:rPr>
          <w:rFonts w:ascii="Times New Roman" w:hAnsi="Times New Roman" w:cs="Times New Roman"/>
          <w:sz w:val="24"/>
          <w:szCs w:val="24"/>
        </w:rPr>
        <w:t>relied on the insulation of the market from democratic control.</w:t>
      </w:r>
      <w:r w:rsidR="00126106">
        <w:rPr>
          <w:rStyle w:val="FootnoteReference"/>
          <w:rFonts w:ascii="Times New Roman" w:hAnsi="Times New Roman" w:cs="Times New Roman"/>
          <w:sz w:val="24"/>
          <w:szCs w:val="24"/>
        </w:rPr>
        <w:footnoteReference w:id="17"/>
      </w:r>
      <w:r w:rsidR="00F74545" w:rsidRPr="00325909">
        <w:rPr>
          <w:rFonts w:ascii="Times New Roman" w:hAnsi="Times New Roman" w:cs="Times New Roman"/>
          <w:sz w:val="24"/>
          <w:szCs w:val="24"/>
        </w:rPr>
        <w:t xml:space="preserve"> </w:t>
      </w:r>
      <w:r w:rsidRPr="00325909">
        <w:rPr>
          <w:rFonts w:ascii="Times New Roman" w:hAnsi="Times New Roman" w:cs="Times New Roman"/>
          <w:sz w:val="24"/>
          <w:szCs w:val="24"/>
        </w:rPr>
        <w:t>This concept is particularly relevant when trying to make sense of the increasing depoliticization of the decision-making process which is the most insidious actualization of the idea of the self-regulating market.</w:t>
      </w:r>
      <w:r w:rsidR="00F27133" w:rsidRPr="00F27133">
        <w:rPr>
          <w:rFonts w:ascii="Times New Roman" w:hAnsi="Times New Roman" w:cs="Times New Roman"/>
          <w:sz w:val="24"/>
          <w:szCs w:val="24"/>
        </w:rPr>
        <w:t xml:space="preserve"> </w:t>
      </w:r>
      <w:r w:rsidR="00F27133" w:rsidRPr="00325909">
        <w:rPr>
          <w:rFonts w:ascii="Times New Roman" w:hAnsi="Times New Roman" w:cs="Times New Roman"/>
          <w:sz w:val="24"/>
          <w:szCs w:val="24"/>
        </w:rPr>
        <w:t xml:space="preserve">New-constitutionalism under no circumstances implies the hollowing out of the state, but rather a redefinition of the public purpose, whereby major regulatory choices are </w:t>
      </w:r>
      <w:r w:rsidR="00A36791" w:rsidRPr="00325909">
        <w:rPr>
          <w:rFonts w:ascii="Times New Roman" w:hAnsi="Times New Roman" w:cs="Times New Roman"/>
          <w:sz w:val="24"/>
          <w:szCs w:val="24"/>
        </w:rPr>
        <w:t>depoliticized</w:t>
      </w:r>
      <w:r w:rsidR="00A36791">
        <w:rPr>
          <w:rFonts w:ascii="Times New Roman" w:hAnsi="Times New Roman" w:cs="Times New Roman"/>
          <w:sz w:val="24"/>
          <w:szCs w:val="24"/>
        </w:rPr>
        <w:t>. The act of depoliticiz</w:t>
      </w:r>
      <w:r w:rsidR="00F27133" w:rsidRPr="00325909">
        <w:rPr>
          <w:rFonts w:ascii="Times New Roman" w:hAnsi="Times New Roman" w:cs="Times New Roman"/>
          <w:sz w:val="24"/>
          <w:szCs w:val="24"/>
        </w:rPr>
        <w:t>ation does not imply a disappearance of politics altogether, but rather signifies the disappearance of the au</w:t>
      </w:r>
      <w:r w:rsidR="00720EC6">
        <w:rPr>
          <w:rFonts w:ascii="Times New Roman" w:hAnsi="Times New Roman" w:cs="Times New Roman"/>
          <w:sz w:val="24"/>
          <w:szCs w:val="24"/>
        </w:rPr>
        <w:t xml:space="preserve">tonomy of the political. </w:t>
      </w:r>
    </w:p>
    <w:p w:rsidR="00BC6ECA" w:rsidRDefault="000360F8" w:rsidP="00BC6ECA">
      <w:pPr>
        <w:spacing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Embedding the Eurozone in common banking, fiscal and political union, as argued by the ECA approach, might produce optimal outcomes, but such scaling up of prerogatives that is </w:t>
      </w:r>
      <w:r w:rsidR="00A62A89">
        <w:rPr>
          <w:rFonts w:ascii="Times New Roman" w:hAnsi="Times New Roman" w:cs="Times New Roman"/>
          <w:color w:val="000000"/>
          <w:sz w:val="24"/>
          <w:szCs w:val="24"/>
        </w:rPr>
        <w:t xml:space="preserve">already </w:t>
      </w:r>
      <w:r>
        <w:rPr>
          <w:rFonts w:ascii="Times New Roman" w:hAnsi="Times New Roman" w:cs="Times New Roman"/>
          <w:color w:val="000000"/>
          <w:sz w:val="24"/>
          <w:szCs w:val="24"/>
        </w:rPr>
        <w:t xml:space="preserve">under way </w:t>
      </w:r>
      <w:r w:rsidR="00F424B2">
        <w:rPr>
          <w:rFonts w:ascii="Times New Roman" w:hAnsi="Times New Roman" w:cs="Times New Roman"/>
          <w:color w:val="000000"/>
          <w:sz w:val="24"/>
          <w:szCs w:val="24"/>
        </w:rPr>
        <w:t xml:space="preserve">engenders new problems. Namely, it reifies the existing trend of </w:t>
      </w:r>
      <w:r w:rsidR="008F02F0">
        <w:rPr>
          <w:rFonts w:ascii="Times New Roman" w:hAnsi="Times New Roman" w:cs="Times New Roman"/>
          <w:sz w:val="24"/>
          <w:szCs w:val="24"/>
        </w:rPr>
        <w:t>technocratiz</w:t>
      </w:r>
      <w:r w:rsidR="00F424B2" w:rsidRPr="00325909">
        <w:rPr>
          <w:rFonts w:ascii="Times New Roman" w:hAnsi="Times New Roman" w:cs="Times New Roman"/>
          <w:sz w:val="24"/>
          <w:szCs w:val="24"/>
        </w:rPr>
        <w:t>ation of the policy-making postulates the policy issues as apolitical, which, in effect, removes political and moral considerations from key decisions that have direct distributive consequences on people’s livelihoods.</w:t>
      </w:r>
      <w:r w:rsidR="006B5168">
        <w:rPr>
          <w:rFonts w:ascii="Times New Roman" w:hAnsi="Times New Roman" w:cs="Times New Roman"/>
          <w:sz w:val="24"/>
          <w:szCs w:val="24"/>
        </w:rPr>
        <w:t xml:space="preserve"> </w:t>
      </w:r>
      <w:r w:rsidR="00ED2AF2">
        <w:rPr>
          <w:rFonts w:ascii="Times New Roman" w:hAnsi="Times New Roman" w:cs="Times New Roman"/>
          <w:sz w:val="24"/>
          <w:szCs w:val="24"/>
        </w:rPr>
        <w:t>So, although we can welcome the centralization of</w:t>
      </w:r>
      <w:r w:rsidR="00704BB1">
        <w:rPr>
          <w:rFonts w:ascii="Times New Roman" w:hAnsi="Times New Roman" w:cs="Times New Roman"/>
          <w:sz w:val="24"/>
          <w:szCs w:val="24"/>
        </w:rPr>
        <w:t xml:space="preserve"> monetary authority, </w:t>
      </w:r>
      <w:r w:rsidR="00ED2AF2">
        <w:rPr>
          <w:rFonts w:ascii="Times New Roman" w:hAnsi="Times New Roman" w:cs="Times New Roman"/>
          <w:sz w:val="24"/>
          <w:szCs w:val="24"/>
        </w:rPr>
        <w:t>which</w:t>
      </w:r>
      <w:r w:rsidR="00704BB1">
        <w:rPr>
          <w:rFonts w:ascii="Times New Roman" w:hAnsi="Times New Roman" w:cs="Times New Roman"/>
          <w:sz w:val="24"/>
          <w:szCs w:val="24"/>
        </w:rPr>
        <w:t>, in turn,</w:t>
      </w:r>
      <w:r w:rsidR="00ED2AF2">
        <w:rPr>
          <w:rFonts w:ascii="Times New Roman" w:hAnsi="Times New Roman" w:cs="Times New Roman"/>
          <w:sz w:val="24"/>
          <w:szCs w:val="24"/>
        </w:rPr>
        <w:t xml:space="preserve"> can stabilize marke</w:t>
      </w:r>
      <w:r w:rsidR="00BC6ECA">
        <w:rPr>
          <w:rFonts w:ascii="Times New Roman" w:hAnsi="Times New Roman" w:cs="Times New Roman"/>
          <w:sz w:val="24"/>
          <w:szCs w:val="24"/>
        </w:rPr>
        <w:t>t expectations, we need to be wa</w:t>
      </w:r>
      <w:r w:rsidR="00704BB1">
        <w:rPr>
          <w:rFonts w:ascii="Times New Roman" w:hAnsi="Times New Roman" w:cs="Times New Roman"/>
          <w:sz w:val="24"/>
          <w:szCs w:val="24"/>
        </w:rPr>
        <w:t>ry of ECB’s</w:t>
      </w:r>
      <w:r w:rsidR="00ED2AF2">
        <w:rPr>
          <w:rFonts w:ascii="Times New Roman" w:hAnsi="Times New Roman" w:cs="Times New Roman"/>
          <w:sz w:val="24"/>
          <w:szCs w:val="24"/>
        </w:rPr>
        <w:t xml:space="preserve"> </w:t>
      </w:r>
      <w:r w:rsidR="00BC6ECA">
        <w:rPr>
          <w:rFonts w:ascii="Times New Roman" w:hAnsi="Times New Roman" w:cs="Times New Roman"/>
          <w:sz w:val="24"/>
          <w:szCs w:val="24"/>
        </w:rPr>
        <w:t xml:space="preserve">vast unchecked powers. The ECB has discretionary authority </w:t>
      </w:r>
      <w:r w:rsidR="00704BB1">
        <w:rPr>
          <w:rFonts w:ascii="Times New Roman" w:hAnsi="Times New Roman" w:cs="Times New Roman"/>
          <w:sz w:val="24"/>
          <w:szCs w:val="24"/>
        </w:rPr>
        <w:t>when and how it</w:t>
      </w:r>
      <w:r w:rsidR="00BC6ECA">
        <w:rPr>
          <w:rFonts w:ascii="Times New Roman" w:hAnsi="Times New Roman" w:cs="Times New Roman"/>
          <w:sz w:val="24"/>
          <w:szCs w:val="24"/>
        </w:rPr>
        <w:t xml:space="preserve"> exercise</w:t>
      </w:r>
      <w:r w:rsidR="00704BB1">
        <w:rPr>
          <w:rFonts w:ascii="Times New Roman" w:hAnsi="Times New Roman" w:cs="Times New Roman"/>
          <w:sz w:val="24"/>
          <w:szCs w:val="24"/>
        </w:rPr>
        <w:t>s</w:t>
      </w:r>
      <w:r w:rsidR="00BC6ECA">
        <w:rPr>
          <w:rFonts w:ascii="Times New Roman" w:hAnsi="Times New Roman" w:cs="Times New Roman"/>
          <w:sz w:val="24"/>
          <w:szCs w:val="24"/>
        </w:rPr>
        <w:t xml:space="preserve"> its lender of last resort function i.e. it can discriminate among member states by deciding not to provide liquidity to certain national banking system for political ends and consequently </w:t>
      </w:r>
      <w:r w:rsidR="00704BB1">
        <w:rPr>
          <w:rFonts w:ascii="Times New Roman" w:hAnsi="Times New Roman" w:cs="Times New Roman"/>
          <w:sz w:val="24"/>
          <w:szCs w:val="24"/>
        </w:rPr>
        <w:t>cut the financing of</w:t>
      </w:r>
      <w:r w:rsidR="00BC6ECA">
        <w:rPr>
          <w:rFonts w:ascii="Times New Roman" w:hAnsi="Times New Roman" w:cs="Times New Roman"/>
          <w:sz w:val="24"/>
          <w:szCs w:val="24"/>
        </w:rPr>
        <w:t xml:space="preserve"> the </w:t>
      </w:r>
      <w:r w:rsidR="00704BB1">
        <w:rPr>
          <w:rFonts w:ascii="Times New Roman" w:hAnsi="Times New Roman" w:cs="Times New Roman"/>
          <w:sz w:val="24"/>
          <w:szCs w:val="24"/>
        </w:rPr>
        <w:t xml:space="preserve">respective </w:t>
      </w:r>
      <w:r w:rsidR="00BC6ECA">
        <w:rPr>
          <w:rFonts w:ascii="Times New Roman" w:hAnsi="Times New Roman" w:cs="Times New Roman"/>
          <w:sz w:val="24"/>
          <w:szCs w:val="24"/>
        </w:rPr>
        <w:t>government. It can do so simply by a) not accepting certain sovereign bonds as collateral in its regular open market operations</w:t>
      </w:r>
      <w:r w:rsidR="00BC6ECA">
        <w:rPr>
          <w:rStyle w:val="FootnoteReference"/>
          <w:rFonts w:ascii="Times New Roman" w:hAnsi="Times New Roman" w:cs="Times New Roman"/>
          <w:sz w:val="24"/>
          <w:szCs w:val="24"/>
        </w:rPr>
        <w:footnoteReference w:id="18"/>
      </w:r>
      <w:r w:rsidR="00BC6ECA">
        <w:rPr>
          <w:rFonts w:ascii="Times New Roman" w:hAnsi="Times New Roman" w:cs="Times New Roman"/>
          <w:sz w:val="24"/>
          <w:szCs w:val="24"/>
        </w:rPr>
        <w:t xml:space="preserve"> </w:t>
      </w:r>
      <w:r w:rsidR="00BC6ECA">
        <w:rPr>
          <w:rFonts w:ascii="Times New Roman" w:hAnsi="Times New Roman" w:cs="Times New Roman"/>
          <w:sz w:val="24"/>
          <w:szCs w:val="24"/>
        </w:rPr>
        <w:lastRenderedPageBreak/>
        <w:t xml:space="preserve">and standing facilities, b) refusing to buy certain sovereign bonds as part of its Public Sector </w:t>
      </w:r>
      <w:r w:rsidR="00433B6D">
        <w:rPr>
          <w:rFonts w:ascii="Times New Roman" w:hAnsi="Times New Roman" w:cs="Times New Roman"/>
          <w:sz w:val="24"/>
          <w:szCs w:val="24"/>
        </w:rPr>
        <w:t xml:space="preserve">Purchases Programmes, and c) </w:t>
      </w:r>
      <w:r w:rsidR="00BC6ECA">
        <w:rPr>
          <w:rFonts w:ascii="Times New Roman" w:hAnsi="Times New Roman" w:cs="Times New Roman"/>
          <w:sz w:val="24"/>
          <w:szCs w:val="24"/>
        </w:rPr>
        <w:t xml:space="preserve">refusing to engage in OMT unless the government at stake has agreed on its terms of financing. ECB can out of a sudden turn information-insensitive sovereign debt into information-sensitive debt and bring a country to a brink of involuntary default in a context of dried-up interbank credit lines and shrinking deposit base, as was the case of Greece in 2015. </w:t>
      </w:r>
      <w:r w:rsidR="00D60534">
        <w:rPr>
          <w:rFonts w:ascii="Times New Roman" w:hAnsi="Times New Roman" w:cs="Times New Roman"/>
          <w:sz w:val="24"/>
          <w:szCs w:val="24"/>
        </w:rPr>
        <w:t xml:space="preserve">So the question of what exactly in the scaled up governance set-up will make the Eurozone embedded from Polanyian perspective remains unanswered. Nothing in the existing rulebook guarantees that the ECB will indiscriminately generate market confidence in all member states. </w:t>
      </w:r>
    </w:p>
    <w:p w:rsidR="00D864AD" w:rsidRPr="004A4AEA" w:rsidRDefault="00D60534" w:rsidP="003137EB">
      <w:pPr>
        <w:spacing w:after="240" w:line="240" w:lineRule="auto"/>
        <w:jc w:val="both"/>
        <w:rPr>
          <w:rFonts w:ascii="Times New Roman" w:eastAsiaTheme="minorEastAsia" w:hAnsi="Times New Roman" w:cs="Times New Roman"/>
          <w:sz w:val="24"/>
          <w:szCs w:val="24"/>
          <w:lang w:eastAsia="zh-CN"/>
        </w:rPr>
      </w:pPr>
      <w:r w:rsidRPr="00A77F36">
        <w:rPr>
          <w:rFonts w:ascii="Times New Roman" w:hAnsi="Times New Roman" w:cs="Times New Roman"/>
          <w:sz w:val="24"/>
          <w:szCs w:val="24"/>
        </w:rPr>
        <w:t xml:space="preserve">The same logic applies to the banking union in the making. </w:t>
      </w:r>
      <w:r w:rsidR="00E741FB" w:rsidRPr="00A77F36">
        <w:rPr>
          <w:rFonts w:ascii="Times New Roman" w:hAnsi="Times New Roman" w:cs="Times New Roman"/>
          <w:sz w:val="24"/>
          <w:szCs w:val="24"/>
        </w:rPr>
        <w:t xml:space="preserve">The recent financial integration is secured by a) an </w:t>
      </w:r>
      <w:r w:rsidR="00433B6D">
        <w:rPr>
          <w:rFonts w:ascii="Times New Roman" w:hAnsi="Times New Roman" w:cs="Times New Roman"/>
          <w:sz w:val="24"/>
          <w:szCs w:val="24"/>
        </w:rPr>
        <w:t>institutional depoliticiz</w:t>
      </w:r>
      <w:r w:rsidR="00E741FB" w:rsidRPr="00A77F36">
        <w:rPr>
          <w:rFonts w:ascii="Times New Roman" w:hAnsi="Times New Roman" w:cs="Times New Roman"/>
          <w:sz w:val="24"/>
          <w:szCs w:val="24"/>
        </w:rPr>
        <w:t xml:space="preserve">ation that consists of delegating decision-making powers to unelected regulatory, and b) </w:t>
      </w:r>
      <w:r w:rsidR="00433B6D">
        <w:rPr>
          <w:rFonts w:ascii="Times New Roman" w:hAnsi="Times New Roman" w:cs="Times New Roman"/>
          <w:sz w:val="24"/>
          <w:szCs w:val="24"/>
        </w:rPr>
        <w:t>a rule-based depoliticiz</w:t>
      </w:r>
      <w:r w:rsidR="00E741FB" w:rsidRPr="00A77F36">
        <w:rPr>
          <w:rFonts w:ascii="Times New Roman" w:hAnsi="Times New Roman" w:cs="Times New Roman"/>
          <w:sz w:val="24"/>
          <w:szCs w:val="24"/>
        </w:rPr>
        <w:t>ation predicated on the spread of self-monitoring norms, which are</w:t>
      </w:r>
      <w:r w:rsidR="00CA4120">
        <w:rPr>
          <w:rFonts w:ascii="Times New Roman" w:hAnsi="Times New Roman" w:cs="Times New Roman"/>
          <w:sz w:val="24"/>
          <w:szCs w:val="24"/>
        </w:rPr>
        <w:t xml:space="preserve"> maintained in the new Basel IV</w:t>
      </w:r>
      <w:r w:rsidR="00E741FB" w:rsidRPr="00A77F36">
        <w:rPr>
          <w:rFonts w:ascii="Times New Roman" w:hAnsi="Times New Roman" w:cs="Times New Roman"/>
          <w:sz w:val="24"/>
          <w:szCs w:val="24"/>
        </w:rPr>
        <w:t xml:space="preserve"> Accord that does little to change the practice of entrusting banks with their own internal assessment (</w:t>
      </w:r>
      <w:r w:rsidR="00433B6D" w:rsidRPr="00A77F36">
        <w:rPr>
          <w:rFonts w:ascii="Times New Roman" w:hAnsi="Times New Roman" w:cs="Times New Roman"/>
          <w:sz w:val="24"/>
          <w:szCs w:val="24"/>
        </w:rPr>
        <w:t>Burnham, 2011</w:t>
      </w:r>
      <w:r w:rsidR="00433B6D">
        <w:rPr>
          <w:rFonts w:ascii="Times New Roman" w:hAnsi="Times New Roman" w:cs="Times New Roman"/>
          <w:sz w:val="24"/>
          <w:szCs w:val="24"/>
        </w:rPr>
        <w:t xml:space="preserve">; </w:t>
      </w:r>
      <w:proofErr w:type="spellStart"/>
      <w:r w:rsidR="00E741FB" w:rsidRPr="00A77F36">
        <w:rPr>
          <w:rFonts w:ascii="Times New Roman" w:hAnsi="Times New Roman" w:cs="Times New Roman"/>
          <w:sz w:val="24"/>
          <w:szCs w:val="24"/>
        </w:rPr>
        <w:t>Macartney</w:t>
      </w:r>
      <w:proofErr w:type="spellEnd"/>
      <w:r w:rsidR="00E741FB" w:rsidRPr="00A77F36">
        <w:rPr>
          <w:rFonts w:ascii="Times New Roman" w:hAnsi="Times New Roman" w:cs="Times New Roman"/>
          <w:sz w:val="24"/>
          <w:szCs w:val="24"/>
        </w:rPr>
        <w:t xml:space="preserve">, 2011; Major, 2012). The sheer size and technicality of the financial operations are used as an excuse to endow banks with power to self-comply within a loosely defined regulatory framework. The growth of the financial sector, which has been the epicenter of the Great Recession, has been the other side of the coin of the privatized Keynesian regime predicated on a </w:t>
      </w:r>
      <w:r w:rsidR="00721EF3">
        <w:rPr>
          <w:rFonts w:ascii="Times New Roman" w:hAnsi="Times New Roman" w:cs="Times New Roman"/>
          <w:sz w:val="24"/>
          <w:szCs w:val="24"/>
        </w:rPr>
        <w:t>crisis-prone</w:t>
      </w:r>
      <w:r w:rsidR="00E741FB" w:rsidRPr="00A77F36">
        <w:rPr>
          <w:rFonts w:ascii="Times New Roman" w:hAnsi="Times New Roman" w:cs="Times New Roman"/>
          <w:sz w:val="24"/>
          <w:szCs w:val="24"/>
        </w:rPr>
        <w:t xml:space="preserve"> growth model dependent an ever-growing private debt that compensates for the diminished purchasing power of labor due to falling wages (Hay and </w:t>
      </w:r>
      <w:proofErr w:type="spellStart"/>
      <w:r w:rsidR="00E741FB" w:rsidRPr="00A77F36">
        <w:rPr>
          <w:rFonts w:ascii="Times New Roman" w:hAnsi="Times New Roman" w:cs="Times New Roman"/>
          <w:sz w:val="24"/>
          <w:szCs w:val="24"/>
        </w:rPr>
        <w:t>Wincott</w:t>
      </w:r>
      <w:proofErr w:type="spellEnd"/>
      <w:r w:rsidR="00E741FB" w:rsidRPr="00A77F36">
        <w:rPr>
          <w:rFonts w:ascii="Times New Roman" w:hAnsi="Times New Roman" w:cs="Times New Roman"/>
          <w:sz w:val="24"/>
          <w:szCs w:val="24"/>
        </w:rPr>
        <w:t>, 2012</w:t>
      </w:r>
      <w:r w:rsidR="00433B6D">
        <w:rPr>
          <w:rFonts w:ascii="Times New Roman" w:hAnsi="Times New Roman" w:cs="Times New Roman"/>
          <w:sz w:val="24"/>
          <w:szCs w:val="24"/>
        </w:rPr>
        <w:t xml:space="preserve">; </w:t>
      </w:r>
      <w:proofErr w:type="spellStart"/>
      <w:r w:rsidR="00433B6D" w:rsidRPr="00A77F36">
        <w:rPr>
          <w:rFonts w:ascii="Times New Roman" w:hAnsi="Times New Roman" w:cs="Times New Roman"/>
          <w:sz w:val="24"/>
          <w:szCs w:val="24"/>
        </w:rPr>
        <w:t>Palley</w:t>
      </w:r>
      <w:proofErr w:type="spellEnd"/>
      <w:r w:rsidR="00433B6D" w:rsidRPr="00A77F36">
        <w:rPr>
          <w:rFonts w:ascii="Times New Roman" w:hAnsi="Times New Roman" w:cs="Times New Roman"/>
          <w:sz w:val="24"/>
          <w:szCs w:val="24"/>
        </w:rPr>
        <w:t>, 2012</w:t>
      </w:r>
      <w:r w:rsidR="00E741FB" w:rsidRPr="00A77F36">
        <w:rPr>
          <w:rFonts w:ascii="Times New Roman" w:hAnsi="Times New Roman" w:cs="Times New Roman"/>
          <w:sz w:val="24"/>
          <w:szCs w:val="24"/>
        </w:rPr>
        <w:t xml:space="preserve">). While the Great Recession has enabled the scaling up of the macro-prudential power at the EU level under the Single Supervisory and Resolution Mechanisms (Baker and </w:t>
      </w:r>
      <w:proofErr w:type="spellStart"/>
      <w:r w:rsidR="00E741FB" w:rsidRPr="00A77F36">
        <w:rPr>
          <w:rFonts w:ascii="Times New Roman" w:hAnsi="Times New Roman" w:cs="Times New Roman"/>
          <w:sz w:val="24"/>
          <w:szCs w:val="24"/>
        </w:rPr>
        <w:t>Widmaier</w:t>
      </w:r>
      <w:proofErr w:type="spellEnd"/>
      <w:r w:rsidR="00E741FB" w:rsidRPr="00A77F36">
        <w:rPr>
          <w:rFonts w:ascii="Times New Roman" w:hAnsi="Times New Roman" w:cs="Times New Roman"/>
          <w:sz w:val="24"/>
          <w:szCs w:val="24"/>
        </w:rPr>
        <w:t xml:space="preserve">, 2014), little effort is made to change the finance-led accumulation model </w:t>
      </w:r>
      <w:r w:rsidR="00A62A89">
        <w:rPr>
          <w:rFonts w:ascii="Times New Roman" w:hAnsi="Times New Roman" w:cs="Times New Roman"/>
          <w:sz w:val="24"/>
          <w:szCs w:val="24"/>
        </w:rPr>
        <w:t>or the exogenous view of finance that is the twenty first century embodiment of the idea of the self-</w:t>
      </w:r>
      <w:r w:rsidR="00EF2BAC">
        <w:rPr>
          <w:rFonts w:ascii="Times New Roman" w:hAnsi="Times New Roman" w:cs="Times New Roman"/>
          <w:sz w:val="24"/>
          <w:szCs w:val="24"/>
        </w:rPr>
        <w:t>regulating</w:t>
      </w:r>
      <w:r w:rsidR="00A62A89">
        <w:rPr>
          <w:rFonts w:ascii="Times New Roman" w:hAnsi="Times New Roman" w:cs="Times New Roman"/>
          <w:sz w:val="24"/>
          <w:szCs w:val="24"/>
        </w:rPr>
        <w:t xml:space="preserve"> market</w:t>
      </w:r>
      <w:r w:rsidR="00E741FB" w:rsidRPr="00A77F36">
        <w:rPr>
          <w:rFonts w:ascii="Times New Roman" w:hAnsi="Times New Roman" w:cs="Times New Roman"/>
          <w:sz w:val="24"/>
          <w:szCs w:val="24"/>
        </w:rPr>
        <w:t xml:space="preserve">. Together with the monetary and the fiscal reforms </w:t>
      </w:r>
      <w:r w:rsidR="00E741FB" w:rsidRPr="00A77F36">
        <w:rPr>
          <w:rFonts w:ascii="Times New Roman" w:eastAsiaTheme="minorEastAsia" w:hAnsi="Times New Roman" w:cs="Times New Roman"/>
          <w:sz w:val="24"/>
          <w:szCs w:val="24"/>
          <w:lang w:eastAsia="zh-CN"/>
        </w:rPr>
        <w:t xml:space="preserve">the new macro-prudential regulation with its technocratic style of governance, which is the pinnacle of the disembedding tendency, have enabled the market to </w:t>
      </w:r>
      <w:r w:rsidR="004A4AEA">
        <w:rPr>
          <w:rFonts w:ascii="Times New Roman" w:eastAsiaTheme="minorEastAsia" w:hAnsi="Times New Roman" w:cs="Times New Roman"/>
          <w:sz w:val="24"/>
          <w:szCs w:val="24"/>
          <w:lang w:eastAsia="zh-CN"/>
        </w:rPr>
        <w:t xml:space="preserve">escape political control. </w:t>
      </w:r>
      <w:r w:rsidR="00D864AD" w:rsidRPr="00325909">
        <w:rPr>
          <w:rFonts w:ascii="Times New Roman" w:hAnsi="Times New Roman" w:cs="Times New Roman"/>
          <w:color w:val="000000"/>
          <w:sz w:val="24"/>
          <w:szCs w:val="24"/>
        </w:rPr>
        <w:t xml:space="preserve">In their analysis of the genealogy of the macro-prudential debates, which can be traced back to institutionalist economics of Veblen and Galbraith, Baker and </w:t>
      </w:r>
      <w:proofErr w:type="spellStart"/>
      <w:r w:rsidR="00D864AD" w:rsidRPr="00325909">
        <w:rPr>
          <w:rFonts w:ascii="Times New Roman" w:hAnsi="Times New Roman" w:cs="Times New Roman"/>
          <w:color w:val="000000"/>
          <w:sz w:val="24"/>
          <w:szCs w:val="24"/>
        </w:rPr>
        <w:t>Widmaier</w:t>
      </w:r>
      <w:proofErr w:type="spellEnd"/>
      <w:r w:rsidR="00D864AD" w:rsidRPr="00325909">
        <w:rPr>
          <w:rFonts w:ascii="Times New Roman" w:hAnsi="Times New Roman" w:cs="Times New Roman"/>
          <w:color w:val="000000"/>
          <w:sz w:val="24"/>
          <w:szCs w:val="24"/>
        </w:rPr>
        <w:t xml:space="preserve"> (2014) underscore the legitimacy deficit embodied in the macro-prudential policy solutions </w:t>
      </w:r>
      <w:r w:rsidR="00F27133">
        <w:rPr>
          <w:rFonts w:ascii="Times New Roman" w:hAnsi="Times New Roman" w:cs="Times New Roman"/>
          <w:color w:val="000000"/>
          <w:sz w:val="24"/>
          <w:szCs w:val="24"/>
        </w:rPr>
        <w:t xml:space="preserve">in the EU </w:t>
      </w:r>
      <w:r w:rsidR="00D864AD" w:rsidRPr="00325909">
        <w:rPr>
          <w:rFonts w:ascii="Times New Roman" w:hAnsi="Times New Roman" w:cs="Times New Roman"/>
          <w:color w:val="000000"/>
          <w:sz w:val="24"/>
          <w:szCs w:val="24"/>
        </w:rPr>
        <w:t xml:space="preserve">that require regulatory autonomy. According to them, the current macro-prudential regime is ‘a technocratic project designed by technocrats for technocrats’ (Baker and </w:t>
      </w:r>
      <w:proofErr w:type="spellStart"/>
      <w:r w:rsidR="00D864AD" w:rsidRPr="00325909">
        <w:rPr>
          <w:rFonts w:ascii="Times New Roman" w:hAnsi="Times New Roman" w:cs="Times New Roman"/>
          <w:color w:val="000000"/>
          <w:sz w:val="24"/>
          <w:szCs w:val="24"/>
        </w:rPr>
        <w:t>Widmaier</w:t>
      </w:r>
      <w:proofErr w:type="spellEnd"/>
      <w:r w:rsidR="00D864AD" w:rsidRPr="00325909">
        <w:rPr>
          <w:rFonts w:ascii="Times New Roman" w:hAnsi="Times New Roman" w:cs="Times New Roman"/>
          <w:color w:val="000000"/>
          <w:sz w:val="24"/>
          <w:szCs w:val="24"/>
        </w:rPr>
        <w:t xml:space="preserve">, 2014, p. 490). </w:t>
      </w:r>
    </w:p>
    <w:p w:rsidR="00977454" w:rsidRPr="00EF5D27" w:rsidRDefault="00977454" w:rsidP="009774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fiscal policy domain, although being </w:t>
      </w:r>
      <w:r w:rsidR="00A420E5">
        <w:rPr>
          <w:rFonts w:ascii="Times New Roman" w:hAnsi="Times New Roman" w:cs="Times New Roman"/>
          <w:sz w:val="24"/>
          <w:szCs w:val="24"/>
        </w:rPr>
        <w:t>characterized by</w:t>
      </w:r>
      <w:r w:rsidR="008D05A8">
        <w:rPr>
          <w:rFonts w:ascii="Times New Roman" w:hAnsi="Times New Roman" w:cs="Times New Roman"/>
          <w:sz w:val="24"/>
          <w:szCs w:val="24"/>
        </w:rPr>
        <w:t xml:space="preserve"> less</w:t>
      </w:r>
      <w:r w:rsidR="00A420E5">
        <w:rPr>
          <w:rFonts w:ascii="Times New Roman" w:hAnsi="Times New Roman" w:cs="Times New Roman"/>
          <w:sz w:val="24"/>
          <w:szCs w:val="24"/>
        </w:rPr>
        <w:t xml:space="preserve"> </w:t>
      </w:r>
      <w:r w:rsidR="00A420E5">
        <w:rPr>
          <w:rFonts w:ascii="Times New Roman" w:hAnsi="Times New Roman" w:cs="Times New Roman"/>
          <w:sz w:val="24"/>
          <w:szCs w:val="24"/>
          <w:shd w:val="clear" w:color="auto" w:fill="FFFFFF"/>
        </w:rPr>
        <w:t>delegation of power to non-majoritarian bodies</w:t>
      </w:r>
      <w:r>
        <w:rPr>
          <w:rFonts w:ascii="Times New Roman" w:hAnsi="Times New Roman" w:cs="Times New Roman"/>
          <w:sz w:val="24"/>
          <w:szCs w:val="24"/>
        </w:rPr>
        <w:t>, is predicated on a</w:t>
      </w:r>
      <w:r w:rsidRPr="00EF5D27">
        <w:rPr>
          <w:rFonts w:ascii="Times New Roman" w:hAnsi="Times New Roman" w:cs="Times New Roman"/>
          <w:sz w:val="24"/>
          <w:szCs w:val="24"/>
        </w:rPr>
        <w:t xml:space="preserve"> new policy cycle </w:t>
      </w:r>
      <w:r w:rsidR="00CA0B1B">
        <w:rPr>
          <w:rFonts w:ascii="Times New Roman" w:hAnsi="Times New Roman" w:cs="Times New Roman"/>
          <w:sz w:val="24"/>
          <w:szCs w:val="24"/>
        </w:rPr>
        <w:t>that</w:t>
      </w:r>
      <w:r w:rsidRPr="00EF5D27">
        <w:rPr>
          <w:rFonts w:ascii="Times New Roman" w:hAnsi="Times New Roman" w:cs="Times New Roman"/>
          <w:sz w:val="24"/>
          <w:szCs w:val="24"/>
        </w:rPr>
        <w:t xml:space="preserve"> inaugurated a turn towards greater intervention into membe</w:t>
      </w:r>
      <w:r w:rsidR="00CA0B1B">
        <w:rPr>
          <w:rFonts w:ascii="Times New Roman" w:hAnsi="Times New Roman" w:cs="Times New Roman"/>
          <w:sz w:val="24"/>
          <w:szCs w:val="24"/>
        </w:rPr>
        <w:t>r states’ domestic fiscal, labo</w:t>
      </w:r>
      <w:r w:rsidRPr="00EF5D27">
        <w:rPr>
          <w:rFonts w:ascii="Times New Roman" w:hAnsi="Times New Roman" w:cs="Times New Roman"/>
          <w:sz w:val="24"/>
          <w:szCs w:val="24"/>
        </w:rPr>
        <w:t xml:space="preserve">r, industrial and social policies. The post-crisis reforms have increased the surveillance capacity of the European Commission and whether the reforms increases its power and how it does it is consequential for the distribution of power in the union. And just like in the case of the IMF’s incremental expansion of its prerogatives, a question imposes itself whether this new expansion in the Commission’s mission might be the ‘result, not of organizational success,’ but of persistent failure to stabilize the economies of member states’ (Barnett and </w:t>
      </w:r>
      <w:proofErr w:type="spellStart"/>
      <w:r w:rsidRPr="00EF5D27">
        <w:rPr>
          <w:rFonts w:ascii="Times New Roman" w:hAnsi="Times New Roman" w:cs="Times New Roman"/>
          <w:sz w:val="24"/>
          <w:szCs w:val="24"/>
        </w:rPr>
        <w:t>Finnemore</w:t>
      </w:r>
      <w:proofErr w:type="spellEnd"/>
      <w:r w:rsidRPr="00EF5D27">
        <w:rPr>
          <w:rFonts w:ascii="Times New Roman" w:hAnsi="Times New Roman" w:cs="Times New Roman"/>
          <w:sz w:val="24"/>
          <w:szCs w:val="24"/>
        </w:rPr>
        <w:t xml:space="preserve">, 2004:45). </w:t>
      </w:r>
    </w:p>
    <w:p w:rsidR="00EF366B" w:rsidRPr="00EF5D27" w:rsidRDefault="00C5121E" w:rsidP="00EF366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post-crisis reforms further constitutionalize a consolidation state, which recent study by </w:t>
      </w:r>
      <w:proofErr w:type="spellStart"/>
      <w:r>
        <w:rPr>
          <w:rFonts w:ascii="Times New Roman" w:hAnsi="Times New Roman" w:cs="Times New Roman"/>
          <w:sz w:val="24"/>
          <w:szCs w:val="24"/>
        </w:rPr>
        <w:t>Haffert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Mehrtens</w:t>
      </w:r>
      <w:proofErr w:type="spellEnd"/>
      <w:r>
        <w:rPr>
          <w:rFonts w:ascii="Times New Roman" w:hAnsi="Times New Roman" w:cs="Times New Roman"/>
          <w:sz w:val="24"/>
          <w:szCs w:val="24"/>
        </w:rPr>
        <w:t xml:space="preserve"> (2015) shows leads to a permanent redefinition of the fiscal capacity of the states even long after the threat of crisis has disappeared because the gains from the temporary austerity are used to promote tax cuts rather than return to pre-crisis expenditure levels. </w:t>
      </w:r>
      <w:r w:rsidR="00EF366B" w:rsidRPr="00EF5D27">
        <w:rPr>
          <w:rFonts w:ascii="Times New Roman" w:hAnsi="Times New Roman" w:cs="Times New Roman"/>
          <w:sz w:val="24"/>
          <w:szCs w:val="24"/>
        </w:rPr>
        <w:t>Although the room for rule violation is present even under the new European Semester</w:t>
      </w:r>
      <w:r w:rsidR="00EF366B">
        <w:rPr>
          <w:rFonts w:ascii="Times New Roman" w:hAnsi="Times New Roman" w:cs="Times New Roman"/>
          <w:sz w:val="24"/>
          <w:szCs w:val="24"/>
        </w:rPr>
        <w:t xml:space="preserve"> (ES)</w:t>
      </w:r>
      <w:r w:rsidR="00EF366B" w:rsidRPr="00EF5D27">
        <w:rPr>
          <w:rFonts w:ascii="Times New Roman" w:hAnsi="Times New Roman" w:cs="Times New Roman"/>
          <w:sz w:val="24"/>
          <w:szCs w:val="24"/>
        </w:rPr>
        <w:t xml:space="preserve">, contrary to the OMC whose non-binding nature diminished its prescriptive pull, the ES </w:t>
      </w:r>
      <w:r w:rsidR="00EF366B" w:rsidRPr="00EF5D27">
        <w:rPr>
          <w:rFonts w:ascii="Times New Roman" w:hAnsi="Times New Roman" w:cs="Times New Roman"/>
          <w:sz w:val="24"/>
          <w:szCs w:val="24"/>
        </w:rPr>
        <w:lastRenderedPageBreak/>
        <w:t xml:space="preserve">is marked by higher degree of </w:t>
      </w:r>
      <w:r w:rsidR="00426A8D" w:rsidRPr="00EF5D27">
        <w:rPr>
          <w:rFonts w:ascii="Times New Roman" w:hAnsi="Times New Roman" w:cs="Times New Roman"/>
          <w:sz w:val="24"/>
          <w:szCs w:val="24"/>
        </w:rPr>
        <w:t>behavioral</w:t>
      </w:r>
      <w:r w:rsidR="00EF366B" w:rsidRPr="00EF5D27">
        <w:rPr>
          <w:rFonts w:ascii="Times New Roman" w:hAnsi="Times New Roman" w:cs="Times New Roman"/>
          <w:sz w:val="24"/>
          <w:szCs w:val="24"/>
        </w:rPr>
        <w:t xml:space="preserve"> effectiveness. The evidence suggests that since its </w:t>
      </w:r>
      <w:r w:rsidR="00EF366B">
        <w:rPr>
          <w:rFonts w:ascii="Times New Roman" w:hAnsi="Times New Roman" w:cs="Times New Roman"/>
          <w:sz w:val="24"/>
          <w:szCs w:val="24"/>
        </w:rPr>
        <w:t>inception</w:t>
      </w:r>
      <w:r w:rsidR="00EF366B" w:rsidRPr="00EF5D27">
        <w:rPr>
          <w:rFonts w:ascii="Times New Roman" w:hAnsi="Times New Roman" w:cs="Times New Roman"/>
          <w:sz w:val="24"/>
          <w:szCs w:val="24"/>
        </w:rPr>
        <w:t xml:space="preserve"> in 2011</w:t>
      </w:r>
      <w:r w:rsidR="00EF366B">
        <w:rPr>
          <w:rFonts w:ascii="Times New Roman" w:hAnsi="Times New Roman" w:cs="Times New Roman"/>
          <w:sz w:val="24"/>
          <w:szCs w:val="24"/>
        </w:rPr>
        <w:t>,</w:t>
      </w:r>
      <w:r w:rsidR="00EF366B" w:rsidRPr="00EF5D27">
        <w:rPr>
          <w:rFonts w:ascii="Times New Roman" w:hAnsi="Times New Roman" w:cs="Times New Roman"/>
          <w:sz w:val="24"/>
          <w:szCs w:val="24"/>
        </w:rPr>
        <w:t xml:space="preserve"> the ES has resulted in inducing greater convergence and compliance with the r</w:t>
      </w:r>
      <w:r w:rsidR="00426A8D">
        <w:rPr>
          <w:rFonts w:ascii="Times New Roman" w:hAnsi="Times New Roman" w:cs="Times New Roman"/>
          <w:sz w:val="24"/>
          <w:szCs w:val="24"/>
        </w:rPr>
        <w:t>evised SGP rules thanks to the excessive deficit procedure and the excessive macroeconomic imbalance procedure</w:t>
      </w:r>
      <w:r w:rsidR="00EF366B" w:rsidRPr="00EF5D27">
        <w:rPr>
          <w:rFonts w:ascii="Times New Roman" w:hAnsi="Times New Roman" w:cs="Times New Roman"/>
          <w:sz w:val="24"/>
          <w:szCs w:val="24"/>
        </w:rPr>
        <w:t>.</w:t>
      </w:r>
      <w:r w:rsidR="00DD7485">
        <w:rPr>
          <w:rStyle w:val="FootnoteReference"/>
          <w:rFonts w:ascii="Times New Roman" w:hAnsi="Times New Roman" w:cs="Times New Roman"/>
          <w:sz w:val="24"/>
          <w:szCs w:val="24"/>
        </w:rPr>
        <w:footnoteReference w:id="19"/>
      </w:r>
      <w:r w:rsidR="00EF366B" w:rsidRPr="00EF5D27">
        <w:rPr>
          <w:rFonts w:ascii="Times New Roman" w:hAnsi="Times New Roman" w:cs="Times New Roman"/>
          <w:sz w:val="24"/>
          <w:szCs w:val="24"/>
        </w:rPr>
        <w:t xml:space="preserve">  As of March 2016, excessive deficit procedure has been closed for 17 countries whose governmental deficits have been stabilized and made to comply with the existing rules, although at a price of a notable increase in the public debt of some of those countries, such as Italy, Belgium, and Austria.</w:t>
      </w:r>
      <w:r w:rsidR="00EF366B" w:rsidRPr="00EF5D27">
        <w:rPr>
          <w:rStyle w:val="FootnoteReference"/>
          <w:rFonts w:ascii="Times New Roman" w:hAnsi="Times New Roman" w:cs="Times New Roman"/>
          <w:sz w:val="24"/>
          <w:szCs w:val="24"/>
        </w:rPr>
        <w:footnoteReference w:id="20"/>
      </w:r>
      <w:r w:rsidR="00EF366B" w:rsidRPr="00EF5D27">
        <w:rPr>
          <w:rFonts w:ascii="Times New Roman" w:hAnsi="Times New Roman" w:cs="Times New Roman"/>
          <w:sz w:val="24"/>
          <w:szCs w:val="24"/>
        </w:rPr>
        <w:t xml:space="preserve"> The ongoing EDP for Croatia, Cyprus, Portugal, Slovenia, France, Ireland, Greece, Spain, and the UK promises to be as effective in inducing compliance with the rules. Likewise, the MIP has resulted in 18 countries being subject to in-depth review in 2016, where </w:t>
      </w:r>
      <w:r w:rsidR="00EF366B" w:rsidRPr="00EF5D27">
        <w:rPr>
          <w:rFonts w:ascii="Times New Roman" w:hAnsi="Times New Roman" w:cs="Times New Roman"/>
          <w:color w:val="000000"/>
          <w:sz w:val="24"/>
          <w:szCs w:val="24"/>
          <w:shd w:val="clear" w:color="auto" w:fill="FFFFFF"/>
        </w:rPr>
        <w:t>Bulgaria, Croatia, France, Italy and Portugal remain in the excessive imbalances category without triggering the Excessive Imbalances Procedure.</w:t>
      </w:r>
      <w:r w:rsidR="00EF366B" w:rsidRPr="00EF5D27">
        <w:rPr>
          <w:rStyle w:val="FootnoteReference"/>
          <w:rFonts w:ascii="Times New Roman" w:hAnsi="Times New Roman" w:cs="Times New Roman"/>
          <w:color w:val="000000"/>
          <w:sz w:val="24"/>
          <w:szCs w:val="24"/>
          <w:shd w:val="clear" w:color="auto" w:fill="FFFFFF"/>
        </w:rPr>
        <w:footnoteReference w:id="21"/>
      </w:r>
    </w:p>
    <w:p w:rsidR="00EF366B" w:rsidRPr="00D80ED1" w:rsidRDefault="004064A0" w:rsidP="00D80ED1">
      <w:pPr>
        <w:pStyle w:val="Heading3"/>
        <w:rPr>
          <w:i/>
          <w:color w:val="auto"/>
          <w:sz w:val="24"/>
        </w:rPr>
      </w:pPr>
      <w:r>
        <w:rPr>
          <w:i/>
          <w:color w:val="auto"/>
          <w:sz w:val="24"/>
        </w:rPr>
        <w:t>Improvement v</w:t>
      </w:r>
      <w:r w:rsidR="003E2123">
        <w:rPr>
          <w:i/>
          <w:color w:val="auto"/>
          <w:sz w:val="24"/>
        </w:rPr>
        <w:t>er</w:t>
      </w:r>
      <w:r>
        <w:rPr>
          <w:i/>
          <w:color w:val="auto"/>
          <w:sz w:val="24"/>
        </w:rPr>
        <w:t>s</w:t>
      </w:r>
      <w:r w:rsidR="003E2123">
        <w:rPr>
          <w:i/>
          <w:color w:val="auto"/>
          <w:sz w:val="24"/>
        </w:rPr>
        <w:t>us</w:t>
      </w:r>
      <w:r>
        <w:rPr>
          <w:i/>
          <w:color w:val="auto"/>
          <w:sz w:val="24"/>
        </w:rPr>
        <w:t xml:space="preserve"> </w:t>
      </w:r>
      <w:r w:rsidR="00D80ED1" w:rsidRPr="00D80ED1">
        <w:rPr>
          <w:i/>
          <w:color w:val="auto"/>
          <w:sz w:val="24"/>
        </w:rPr>
        <w:t xml:space="preserve">Habitation Principle </w:t>
      </w:r>
    </w:p>
    <w:p w:rsidR="00AC1C49" w:rsidRDefault="00AC1C49" w:rsidP="00325909">
      <w:pPr>
        <w:spacing w:after="240" w:line="240" w:lineRule="auto"/>
        <w:jc w:val="both"/>
        <w:rPr>
          <w:rFonts w:ascii="Times New Roman" w:hAnsi="Times New Roman" w:cs="Times New Roman"/>
          <w:sz w:val="24"/>
          <w:szCs w:val="24"/>
        </w:rPr>
      </w:pPr>
      <w:r>
        <w:rPr>
          <w:rFonts w:ascii="Times New Roman" w:hAnsi="Times New Roman" w:cs="Times New Roman"/>
          <w:color w:val="000000"/>
          <w:sz w:val="24"/>
          <w:szCs w:val="24"/>
        </w:rPr>
        <w:t>O</w:t>
      </w:r>
      <w:r w:rsidR="00791E62" w:rsidRPr="004064A0">
        <w:rPr>
          <w:rFonts w:ascii="Times New Roman" w:hAnsi="Times New Roman" w:cs="Times New Roman"/>
          <w:color w:val="000000"/>
          <w:sz w:val="24"/>
          <w:szCs w:val="24"/>
        </w:rPr>
        <w:t>ther forgotten Polanyian concept</w:t>
      </w:r>
      <w:r w:rsidR="004064A0" w:rsidRPr="004064A0">
        <w:rPr>
          <w:rFonts w:ascii="Times New Roman" w:hAnsi="Times New Roman" w:cs="Times New Roman"/>
          <w:color w:val="000000"/>
          <w:sz w:val="24"/>
          <w:szCs w:val="24"/>
        </w:rPr>
        <w:t>s that are</w:t>
      </w:r>
      <w:r w:rsidR="00791E62" w:rsidRPr="004064A0">
        <w:rPr>
          <w:rFonts w:ascii="Times New Roman" w:hAnsi="Times New Roman" w:cs="Times New Roman"/>
          <w:color w:val="000000"/>
          <w:sz w:val="24"/>
          <w:szCs w:val="24"/>
        </w:rPr>
        <w:t xml:space="preserve"> especially relevant when evaluating the extent of dis/embeddedness of an</w:t>
      </w:r>
      <w:r w:rsidR="004064A0" w:rsidRPr="004064A0">
        <w:rPr>
          <w:rFonts w:ascii="Times New Roman" w:hAnsi="Times New Roman" w:cs="Times New Roman"/>
          <w:color w:val="000000"/>
          <w:sz w:val="24"/>
          <w:szCs w:val="24"/>
        </w:rPr>
        <w:t xml:space="preserve">y given political </w:t>
      </w:r>
      <w:r w:rsidRPr="004064A0">
        <w:rPr>
          <w:rFonts w:ascii="Times New Roman" w:hAnsi="Times New Roman" w:cs="Times New Roman"/>
          <w:color w:val="000000"/>
          <w:sz w:val="24"/>
          <w:szCs w:val="24"/>
        </w:rPr>
        <w:t>economy</w:t>
      </w:r>
      <w:r w:rsidR="004064A0" w:rsidRPr="004064A0">
        <w:rPr>
          <w:rFonts w:ascii="Times New Roman" w:hAnsi="Times New Roman" w:cs="Times New Roman"/>
          <w:color w:val="000000"/>
          <w:sz w:val="24"/>
          <w:szCs w:val="24"/>
        </w:rPr>
        <w:t xml:space="preserve"> are economic liberalism or the improvement principle and</w:t>
      </w:r>
      <w:r w:rsidR="00791E62" w:rsidRPr="004064A0">
        <w:rPr>
          <w:rFonts w:ascii="Times New Roman" w:hAnsi="Times New Roman" w:cs="Times New Roman"/>
          <w:color w:val="000000"/>
          <w:sz w:val="24"/>
          <w:szCs w:val="24"/>
        </w:rPr>
        <w:t xml:space="preserve"> socio-environmental protection or the habitation principle</w:t>
      </w:r>
      <w:r w:rsidR="004064A0" w:rsidRPr="004064A0">
        <w:rPr>
          <w:rFonts w:ascii="Times New Roman" w:hAnsi="Times New Roman" w:cs="Times New Roman"/>
          <w:color w:val="000000"/>
          <w:sz w:val="24"/>
          <w:szCs w:val="24"/>
        </w:rPr>
        <w:t xml:space="preserve">. </w:t>
      </w:r>
      <w:r w:rsidR="004064A0" w:rsidRPr="004064A0">
        <w:rPr>
          <w:rFonts w:ascii="Times New Roman" w:hAnsi="Times New Roman" w:cs="Times New Roman"/>
          <w:sz w:val="24"/>
          <w:szCs w:val="24"/>
        </w:rPr>
        <w:t xml:space="preserve">Polanyi (1944) used these two principles to denote the measures that </w:t>
      </w:r>
      <w:r>
        <w:rPr>
          <w:rFonts w:ascii="Times New Roman" w:hAnsi="Times New Roman" w:cs="Times New Roman"/>
          <w:sz w:val="24"/>
          <w:szCs w:val="24"/>
        </w:rPr>
        <w:t>spread the commodity form</w:t>
      </w:r>
      <w:r w:rsidR="004064A0" w:rsidRPr="004064A0">
        <w:rPr>
          <w:rFonts w:ascii="Times New Roman" w:hAnsi="Times New Roman" w:cs="Times New Roman"/>
          <w:sz w:val="24"/>
          <w:szCs w:val="24"/>
        </w:rPr>
        <w:t xml:space="preserve"> and those that dealt with the dislocations produced by economic </w:t>
      </w:r>
      <w:r w:rsidR="00BA4DF0">
        <w:rPr>
          <w:rFonts w:ascii="Times New Roman" w:hAnsi="Times New Roman" w:cs="Times New Roman"/>
          <w:sz w:val="24"/>
          <w:szCs w:val="24"/>
        </w:rPr>
        <w:t>libe</w:t>
      </w:r>
      <w:r w:rsidR="00BA4DF0" w:rsidRPr="00AC1C49">
        <w:rPr>
          <w:rFonts w:ascii="Times New Roman" w:hAnsi="Times New Roman" w:cs="Times New Roman"/>
          <w:sz w:val="24"/>
          <w:szCs w:val="24"/>
        </w:rPr>
        <w:t>ralism.</w:t>
      </w:r>
      <w:r w:rsidR="004064A0" w:rsidRPr="00AC1C49">
        <w:rPr>
          <w:rStyle w:val="FootnoteReference"/>
          <w:rFonts w:ascii="Times New Roman" w:hAnsi="Times New Roman" w:cs="Times New Roman"/>
          <w:sz w:val="24"/>
          <w:szCs w:val="24"/>
        </w:rPr>
        <w:footnoteReference w:id="22"/>
      </w:r>
      <w:r w:rsidRPr="00AC1C49">
        <w:rPr>
          <w:rFonts w:ascii="Times New Roman" w:hAnsi="Times New Roman" w:cs="Times New Roman"/>
          <w:sz w:val="24"/>
          <w:szCs w:val="24"/>
        </w:rPr>
        <w:t>In his analysis, he made it explicit that the unfolding of economic liberalism was instantaneously followed by protectionism. Contrary to the ‘belief in spontaneous progress,’ Polanyi (1944, p. 39) underscored the role of government in the extension of both the improvement and the habitation principle</w:t>
      </w:r>
      <w:r w:rsidR="00725DB8">
        <w:rPr>
          <w:rFonts w:ascii="Times New Roman" w:hAnsi="Times New Roman" w:cs="Times New Roman"/>
          <w:sz w:val="24"/>
          <w:szCs w:val="24"/>
        </w:rPr>
        <w:t>s</w:t>
      </w:r>
      <w:r w:rsidRPr="00AC1C49">
        <w:rPr>
          <w:rFonts w:ascii="Times New Roman" w:hAnsi="Times New Roman" w:cs="Times New Roman"/>
          <w:sz w:val="24"/>
          <w:szCs w:val="24"/>
        </w:rPr>
        <w:t>.</w:t>
      </w:r>
    </w:p>
    <w:p w:rsidR="008F60C7" w:rsidRDefault="00D46FC0" w:rsidP="008F60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From a Polanyian perspective, the extent of the</w:t>
      </w:r>
      <w:r w:rsidR="00D053BE">
        <w:rPr>
          <w:rFonts w:ascii="Times New Roman" w:hAnsi="Times New Roman" w:cs="Times New Roman"/>
          <w:sz w:val="24"/>
          <w:szCs w:val="24"/>
        </w:rPr>
        <w:t xml:space="preserve"> Eurozone</w:t>
      </w:r>
      <w:r>
        <w:rPr>
          <w:rFonts w:ascii="Times New Roman" w:hAnsi="Times New Roman" w:cs="Times New Roman"/>
          <w:sz w:val="24"/>
          <w:szCs w:val="24"/>
        </w:rPr>
        <w:t xml:space="preserve"> dis/embeddedness depends not on the level of centralization of policy making, but on the interplay between the two principles i.e. the extent to which women and nature are protected from the vicissitudes from the market. </w:t>
      </w:r>
      <w:r w:rsidR="00D552B2">
        <w:rPr>
          <w:rFonts w:ascii="Times New Roman" w:hAnsi="Times New Roman" w:cs="Times New Roman"/>
          <w:sz w:val="24"/>
          <w:szCs w:val="24"/>
        </w:rPr>
        <w:t>The state of s</w:t>
      </w:r>
      <w:r w:rsidR="00D053BE">
        <w:rPr>
          <w:rFonts w:ascii="Times New Roman" w:hAnsi="Times New Roman" w:cs="Times New Roman"/>
          <w:sz w:val="24"/>
          <w:szCs w:val="24"/>
        </w:rPr>
        <w:t xml:space="preserve">ocial Europe is the gauge of dis/embeddedness. </w:t>
      </w:r>
      <w:r w:rsidR="008F60C7">
        <w:rPr>
          <w:rFonts w:ascii="Times New Roman" w:hAnsi="Times New Roman" w:cs="Times New Roman"/>
          <w:sz w:val="24"/>
          <w:szCs w:val="24"/>
        </w:rPr>
        <w:t>The examination of</w:t>
      </w:r>
      <w:r w:rsidR="008F60C7" w:rsidRPr="007F0657">
        <w:rPr>
          <w:rFonts w:ascii="Times New Roman" w:hAnsi="Times New Roman" w:cs="Times New Roman"/>
          <w:sz w:val="24"/>
          <w:szCs w:val="24"/>
        </w:rPr>
        <w:t xml:space="preserve"> the</w:t>
      </w:r>
      <w:r w:rsidR="008F60C7">
        <w:rPr>
          <w:rFonts w:ascii="Times New Roman" w:hAnsi="Times New Roman" w:cs="Times New Roman"/>
          <w:sz w:val="24"/>
          <w:szCs w:val="24"/>
        </w:rPr>
        <w:t xml:space="preserve"> latest</w:t>
      </w:r>
      <w:r w:rsidR="008F60C7" w:rsidRPr="007F0657">
        <w:rPr>
          <w:rFonts w:ascii="Times New Roman" w:hAnsi="Times New Roman" w:cs="Times New Roman"/>
          <w:sz w:val="24"/>
          <w:szCs w:val="24"/>
        </w:rPr>
        <w:t xml:space="preserve"> in-depth reviews </w:t>
      </w:r>
      <w:r w:rsidR="008F60C7">
        <w:rPr>
          <w:rFonts w:ascii="Times New Roman" w:hAnsi="Times New Roman" w:cs="Times New Roman"/>
          <w:sz w:val="24"/>
          <w:szCs w:val="24"/>
        </w:rPr>
        <w:t xml:space="preserve">(18 country reports in 2016) </w:t>
      </w:r>
      <w:r w:rsidR="008F60C7" w:rsidRPr="007F0657">
        <w:rPr>
          <w:rFonts w:ascii="Times New Roman" w:hAnsi="Times New Roman" w:cs="Times New Roman"/>
          <w:sz w:val="24"/>
          <w:szCs w:val="24"/>
        </w:rPr>
        <w:t>and the country specific recommendation</w:t>
      </w:r>
      <w:r w:rsidR="008F60C7">
        <w:rPr>
          <w:rFonts w:ascii="Times New Roman" w:hAnsi="Times New Roman" w:cs="Times New Roman"/>
          <w:sz w:val="24"/>
          <w:szCs w:val="24"/>
        </w:rPr>
        <w:t>s</w:t>
      </w:r>
      <w:r w:rsidR="008F60C7" w:rsidRPr="007F0657">
        <w:rPr>
          <w:rFonts w:ascii="Times New Roman" w:hAnsi="Times New Roman" w:cs="Times New Roman"/>
          <w:sz w:val="24"/>
          <w:szCs w:val="24"/>
        </w:rPr>
        <w:t xml:space="preserve"> suggests that we have a continuation of the type of pro-market liberal con</w:t>
      </w:r>
      <w:r w:rsidR="008F60C7">
        <w:rPr>
          <w:rFonts w:ascii="Times New Roman" w:hAnsi="Times New Roman" w:cs="Times New Roman"/>
          <w:sz w:val="24"/>
          <w:szCs w:val="24"/>
        </w:rPr>
        <w:t>ception of social Europe inaugurated with the Lisbon Agenda that represents</w:t>
      </w:r>
      <w:r w:rsidR="008F60C7" w:rsidRPr="007F0657">
        <w:rPr>
          <w:rFonts w:ascii="Times New Roman" w:hAnsi="Times New Roman" w:cs="Times New Roman"/>
          <w:sz w:val="24"/>
          <w:szCs w:val="24"/>
        </w:rPr>
        <w:t xml:space="preserve"> a fundamental departure from the </w:t>
      </w:r>
      <w:proofErr w:type="spellStart"/>
      <w:r w:rsidR="008F60C7" w:rsidRPr="007F0657">
        <w:rPr>
          <w:rFonts w:ascii="Times New Roman" w:hAnsi="Times New Roman" w:cs="Times New Roman"/>
          <w:sz w:val="24"/>
          <w:szCs w:val="24"/>
        </w:rPr>
        <w:t>Delors</w:t>
      </w:r>
      <w:proofErr w:type="spellEnd"/>
      <w:r w:rsidR="008F60C7" w:rsidRPr="007F0657">
        <w:rPr>
          <w:rFonts w:ascii="Times New Roman" w:hAnsi="Times New Roman" w:cs="Times New Roman"/>
          <w:sz w:val="24"/>
          <w:szCs w:val="24"/>
        </w:rPr>
        <w:t>’ original idea of embedding the single market in social regulation. Although the impetus given to social policy reforms has never been bigger than in the post-crisis period, the content of the policies promoted is centered on a market-driven transformation. The existing recognition of the importance of social policy is admirable and we should applaud the efforts to address important social concerns, such as structural and youth unemployment, homelessness, in-work poverty etc. Yet, we need to subject to greater scrutiny what is promoted as the logic</w:t>
      </w:r>
      <w:r w:rsidR="008F60C7">
        <w:rPr>
          <w:rFonts w:ascii="Times New Roman" w:hAnsi="Times New Roman" w:cs="Times New Roman"/>
          <w:sz w:val="24"/>
          <w:szCs w:val="24"/>
        </w:rPr>
        <w:t>al</w:t>
      </w:r>
      <w:r w:rsidR="008F60C7" w:rsidRPr="007F0657">
        <w:rPr>
          <w:rFonts w:ascii="Times New Roman" w:hAnsi="Times New Roman" w:cs="Times New Roman"/>
          <w:sz w:val="24"/>
          <w:szCs w:val="24"/>
        </w:rPr>
        <w:t xml:space="preserve"> and inevitable solution to the social malaise. </w:t>
      </w:r>
    </w:p>
    <w:p w:rsidR="008F60C7" w:rsidRPr="00947531" w:rsidRDefault="008F60C7" w:rsidP="00D52EF6">
      <w:pPr>
        <w:spacing w:after="240" w:line="240" w:lineRule="auto"/>
        <w:jc w:val="both"/>
        <w:rPr>
          <w:rFonts w:ascii="Times New Roman" w:hAnsi="Times New Roman" w:cs="Times New Roman"/>
          <w:sz w:val="24"/>
          <w:szCs w:val="24"/>
        </w:rPr>
      </w:pPr>
      <w:r w:rsidRPr="00081770">
        <w:rPr>
          <w:rFonts w:ascii="Times New Roman" w:hAnsi="Times New Roman" w:cs="Times New Roman"/>
          <w:sz w:val="24"/>
          <w:szCs w:val="24"/>
        </w:rPr>
        <w:t>The current predicament of the European political economies is such that most countries are in line with the fiscal rules; all the while their social indicators are dire. In the latest Annual Growth Survey, the Commission has singled out three key priorities: investm</w:t>
      </w:r>
      <w:r>
        <w:rPr>
          <w:rFonts w:ascii="Times New Roman" w:hAnsi="Times New Roman" w:cs="Times New Roman"/>
          <w:sz w:val="24"/>
          <w:szCs w:val="24"/>
        </w:rPr>
        <w:t>ent, structural reforms of labo</w:t>
      </w:r>
      <w:r w:rsidRPr="00081770">
        <w:rPr>
          <w:rFonts w:ascii="Times New Roman" w:hAnsi="Times New Roman" w:cs="Times New Roman"/>
          <w:sz w:val="24"/>
          <w:szCs w:val="24"/>
        </w:rPr>
        <w:t>r markets, and responsible fiscal policies</w:t>
      </w:r>
      <w:r>
        <w:rPr>
          <w:rFonts w:ascii="Times New Roman" w:hAnsi="Times New Roman" w:cs="Times New Roman"/>
          <w:sz w:val="24"/>
          <w:szCs w:val="24"/>
        </w:rPr>
        <w:t xml:space="preserve"> (COM/2016/725)</w:t>
      </w:r>
      <w:r w:rsidRPr="00081770">
        <w:rPr>
          <w:rFonts w:ascii="Times New Roman" w:hAnsi="Times New Roman" w:cs="Times New Roman"/>
          <w:sz w:val="24"/>
          <w:szCs w:val="24"/>
        </w:rPr>
        <w:t xml:space="preserve">. However the re-launching of investment does not entail any public investment that will jeopardize the fiscal </w:t>
      </w:r>
      <w:r w:rsidRPr="00081770">
        <w:rPr>
          <w:rFonts w:ascii="Times New Roman" w:hAnsi="Times New Roman" w:cs="Times New Roman"/>
          <w:sz w:val="24"/>
          <w:szCs w:val="24"/>
        </w:rPr>
        <w:lastRenderedPageBreak/>
        <w:t xml:space="preserve">position of member states. Likewise, the </w:t>
      </w:r>
      <w:r w:rsidRPr="00947531">
        <w:rPr>
          <w:rFonts w:ascii="Times New Roman" w:hAnsi="Times New Roman" w:cs="Times New Roman"/>
          <w:sz w:val="24"/>
          <w:szCs w:val="24"/>
        </w:rPr>
        <w:t>structural reforms focused on modernization of</w:t>
      </w:r>
      <w:r>
        <w:rPr>
          <w:rFonts w:ascii="Times New Roman" w:hAnsi="Times New Roman" w:cs="Times New Roman"/>
          <w:sz w:val="24"/>
          <w:szCs w:val="24"/>
        </w:rPr>
        <w:t xml:space="preserve"> labor market policies consist</w:t>
      </w:r>
      <w:r w:rsidRPr="00947531">
        <w:rPr>
          <w:rFonts w:ascii="Times New Roman" w:hAnsi="Times New Roman" w:cs="Times New Roman"/>
          <w:sz w:val="24"/>
          <w:szCs w:val="24"/>
        </w:rPr>
        <w:t xml:space="preserve"> of fiscally sustainable activation policies and commitment to the </w:t>
      </w:r>
      <w:proofErr w:type="spellStart"/>
      <w:r w:rsidRPr="00947531">
        <w:rPr>
          <w:rFonts w:ascii="Times New Roman" w:hAnsi="Times New Roman" w:cs="Times New Roman"/>
          <w:sz w:val="24"/>
          <w:szCs w:val="24"/>
        </w:rPr>
        <w:t>flexicurity</w:t>
      </w:r>
      <w:proofErr w:type="spellEnd"/>
      <w:r w:rsidRPr="00947531">
        <w:rPr>
          <w:rFonts w:ascii="Times New Roman" w:hAnsi="Times New Roman" w:cs="Times New Roman"/>
          <w:sz w:val="24"/>
          <w:szCs w:val="24"/>
        </w:rPr>
        <w:t xml:space="preserve"> model, which already has resulted in increase of the flexible contract</w:t>
      </w:r>
      <w:r>
        <w:rPr>
          <w:rFonts w:ascii="Times New Roman" w:hAnsi="Times New Roman" w:cs="Times New Roman"/>
          <w:sz w:val="24"/>
          <w:szCs w:val="24"/>
        </w:rPr>
        <w:t>s</w:t>
      </w:r>
      <w:r w:rsidRPr="00947531">
        <w:rPr>
          <w:rFonts w:ascii="Times New Roman" w:hAnsi="Times New Roman" w:cs="Times New Roman"/>
          <w:sz w:val="24"/>
          <w:szCs w:val="24"/>
        </w:rPr>
        <w:t xml:space="preserve"> and in-work poverty even in countries whose economies have performed well</w:t>
      </w:r>
      <w:r w:rsidR="0021070C">
        <w:rPr>
          <w:rFonts w:ascii="Times New Roman" w:hAnsi="Times New Roman" w:cs="Times New Roman"/>
          <w:sz w:val="24"/>
          <w:szCs w:val="24"/>
        </w:rPr>
        <w:t>,</w:t>
      </w:r>
      <w:r w:rsidRPr="00947531">
        <w:rPr>
          <w:rFonts w:ascii="Times New Roman" w:hAnsi="Times New Roman" w:cs="Times New Roman"/>
          <w:sz w:val="24"/>
          <w:szCs w:val="24"/>
        </w:rPr>
        <w:t xml:space="preserve"> such as Germany (SWD/2016/75). Finally, the responsible fiscal policies presuppose that ‘social protection systems should be modernized to efficiently respond to risks throughout the lifecycle while remaining fiscally sustainable in view of the upcoming demographic challenges’ (COM/2015/690: 5). </w:t>
      </w:r>
      <w:r>
        <w:rPr>
          <w:rFonts w:ascii="Times New Roman" w:hAnsi="Times New Roman" w:cs="Times New Roman"/>
          <w:sz w:val="24"/>
          <w:szCs w:val="24"/>
        </w:rPr>
        <w:t>The Euro Area R</w:t>
      </w:r>
      <w:r w:rsidRPr="00947531">
        <w:rPr>
          <w:rFonts w:ascii="Times New Roman" w:hAnsi="Times New Roman" w:cs="Times New Roman"/>
          <w:sz w:val="24"/>
          <w:szCs w:val="24"/>
        </w:rPr>
        <w:t>ecommendations</w:t>
      </w:r>
      <w:r>
        <w:rPr>
          <w:rFonts w:ascii="Times New Roman" w:hAnsi="Times New Roman" w:cs="Times New Roman"/>
          <w:sz w:val="24"/>
          <w:szCs w:val="24"/>
        </w:rPr>
        <w:t xml:space="preserve"> which are now streamlined in the AGS</w:t>
      </w:r>
      <w:r w:rsidRPr="00947531">
        <w:rPr>
          <w:rFonts w:ascii="Times New Roman" w:hAnsi="Times New Roman" w:cs="Times New Roman"/>
          <w:sz w:val="24"/>
          <w:szCs w:val="24"/>
        </w:rPr>
        <w:t xml:space="preserve"> follow similar dictum</w:t>
      </w:r>
      <w:r w:rsidR="00D52EF6">
        <w:rPr>
          <w:rFonts w:ascii="Times New Roman" w:hAnsi="Times New Roman" w:cs="Times New Roman"/>
          <w:sz w:val="24"/>
          <w:szCs w:val="24"/>
        </w:rPr>
        <w:t xml:space="preserve"> (COM/2016</w:t>
      </w:r>
      <w:r w:rsidRPr="00947531">
        <w:rPr>
          <w:rFonts w:ascii="Times New Roman" w:hAnsi="Times New Roman" w:cs="Times New Roman"/>
          <w:sz w:val="24"/>
          <w:szCs w:val="24"/>
        </w:rPr>
        <w:t>/</w:t>
      </w:r>
      <w:r w:rsidR="00D52EF6">
        <w:rPr>
          <w:rFonts w:ascii="Times New Roman" w:hAnsi="Times New Roman" w:cs="Times New Roman"/>
          <w:sz w:val="24"/>
          <w:szCs w:val="24"/>
        </w:rPr>
        <w:t>726</w:t>
      </w:r>
      <w:r w:rsidRPr="00947531">
        <w:rPr>
          <w:rFonts w:ascii="Times New Roman" w:hAnsi="Times New Roman" w:cs="Times New Roman"/>
          <w:sz w:val="24"/>
          <w:szCs w:val="24"/>
        </w:rPr>
        <w:t>).</w:t>
      </w:r>
    </w:p>
    <w:p w:rsidR="008F60C7" w:rsidRDefault="008F60C7" w:rsidP="008F60C7">
      <w:pPr>
        <w:spacing w:line="240" w:lineRule="auto"/>
        <w:jc w:val="both"/>
        <w:rPr>
          <w:rFonts w:ascii="Times New Roman" w:hAnsi="Times New Roman" w:cs="Times New Roman"/>
          <w:sz w:val="24"/>
          <w:szCs w:val="24"/>
        </w:rPr>
      </w:pPr>
      <w:r w:rsidRPr="00947531">
        <w:rPr>
          <w:rFonts w:ascii="Times New Roman" w:hAnsi="Times New Roman" w:cs="Times New Roman"/>
          <w:sz w:val="24"/>
          <w:szCs w:val="24"/>
        </w:rPr>
        <w:t xml:space="preserve">Although there is no problem with reforming the social policy by substituting ineffective cash transfers with suitable childcare services that have a better record of increasing the </w:t>
      </w:r>
      <w:r w:rsidR="00C916F1" w:rsidRPr="00947531">
        <w:rPr>
          <w:rFonts w:ascii="Times New Roman" w:hAnsi="Times New Roman" w:cs="Times New Roman"/>
          <w:sz w:val="24"/>
          <w:szCs w:val="24"/>
        </w:rPr>
        <w:t>labor</w:t>
      </w:r>
      <w:r w:rsidRPr="00947531">
        <w:rPr>
          <w:rFonts w:ascii="Times New Roman" w:hAnsi="Times New Roman" w:cs="Times New Roman"/>
          <w:sz w:val="24"/>
          <w:szCs w:val="24"/>
        </w:rPr>
        <w:t xml:space="preserve"> participation rate of women, such adjustments made in the absence of prosperous economy are insignificant and counterproductive because they drag aggregate demand further down. Countries are encouraged to cut unit </w:t>
      </w:r>
      <w:r w:rsidR="00C916F1" w:rsidRPr="00947531">
        <w:rPr>
          <w:rFonts w:ascii="Times New Roman" w:hAnsi="Times New Roman" w:cs="Times New Roman"/>
          <w:sz w:val="24"/>
          <w:szCs w:val="24"/>
        </w:rPr>
        <w:t>labor</w:t>
      </w:r>
      <w:r w:rsidRPr="00947531">
        <w:rPr>
          <w:rFonts w:ascii="Times New Roman" w:hAnsi="Times New Roman" w:cs="Times New Roman"/>
          <w:sz w:val="24"/>
          <w:szCs w:val="24"/>
        </w:rPr>
        <w:t xml:space="preserve"> costs (Italy), provide incentives for later retirement (even Germany), promote greater wage moderation (especially France),</w:t>
      </w:r>
      <w:r>
        <w:rPr>
          <w:rFonts w:ascii="Times New Roman" w:hAnsi="Times New Roman" w:cs="Times New Roman"/>
          <w:sz w:val="24"/>
          <w:szCs w:val="24"/>
        </w:rPr>
        <w:t xml:space="preserve"> increase retirement age,</w:t>
      </w:r>
      <w:r w:rsidRPr="00947531">
        <w:rPr>
          <w:rFonts w:ascii="Times New Roman" w:hAnsi="Times New Roman" w:cs="Times New Roman"/>
          <w:sz w:val="24"/>
          <w:szCs w:val="24"/>
        </w:rPr>
        <w:t xml:space="preserve"> get rid of branch-level agreements and move towards company-level bargaining which is consid</w:t>
      </w:r>
      <w:r>
        <w:rPr>
          <w:rFonts w:ascii="Times New Roman" w:hAnsi="Times New Roman" w:cs="Times New Roman"/>
          <w:sz w:val="24"/>
          <w:szCs w:val="24"/>
        </w:rPr>
        <w:t xml:space="preserve">ered more business friendly. </w:t>
      </w:r>
    </w:p>
    <w:p w:rsidR="00AF16FA" w:rsidRDefault="00C916F1" w:rsidP="00AF16F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aftermath of the crisis we can identify a continuation to the commitment to social Europe </w:t>
      </w:r>
      <w:r w:rsidR="00423352">
        <w:rPr>
          <w:rFonts w:ascii="Times New Roman" w:hAnsi="Times New Roman" w:cs="Times New Roman"/>
          <w:sz w:val="24"/>
          <w:szCs w:val="24"/>
        </w:rPr>
        <w:t>centered</w:t>
      </w:r>
      <w:r>
        <w:rPr>
          <w:rFonts w:ascii="Times New Roman" w:hAnsi="Times New Roman" w:cs="Times New Roman"/>
          <w:sz w:val="24"/>
          <w:szCs w:val="24"/>
        </w:rPr>
        <w:t xml:space="preserve"> on a new social paradigm that is </w:t>
      </w:r>
      <w:r w:rsidRPr="00C916F1">
        <w:rPr>
          <w:rStyle w:val="Emphasis"/>
          <w:rFonts w:ascii="Times New Roman" w:hAnsi="Times New Roman" w:cs="Times New Roman"/>
          <w:i w:val="0"/>
          <w:sz w:val="24"/>
        </w:rPr>
        <w:t>predicated on the idea that social policy represents an investment with market returns, i.e. it is denominated in monetary returns.</w:t>
      </w:r>
      <w:r>
        <w:rPr>
          <w:rStyle w:val="FootnoteReference"/>
          <w:rFonts w:ascii="Times New Roman" w:hAnsi="Times New Roman" w:cs="Times New Roman"/>
          <w:iCs/>
          <w:sz w:val="24"/>
        </w:rPr>
        <w:footnoteReference w:id="23"/>
      </w:r>
      <w:r>
        <w:rPr>
          <w:rStyle w:val="Emphasis"/>
          <w:rFonts w:ascii="Times New Roman" w:hAnsi="Times New Roman" w:cs="Times New Roman"/>
          <w:i w:val="0"/>
          <w:sz w:val="24"/>
        </w:rPr>
        <w:t xml:space="preserve"> </w:t>
      </w:r>
      <w:r w:rsidRPr="004F52EF">
        <w:rPr>
          <w:rFonts w:ascii="Times New Roman" w:hAnsi="Times New Roman" w:cs="Times New Roman"/>
          <w:sz w:val="24"/>
          <w:szCs w:val="24"/>
        </w:rPr>
        <w:t>The disembeddedness of</w:t>
      </w:r>
      <w:r>
        <w:rPr>
          <w:rFonts w:ascii="Times New Roman" w:hAnsi="Times New Roman" w:cs="Times New Roman"/>
          <w:sz w:val="24"/>
          <w:szCs w:val="24"/>
        </w:rPr>
        <w:t xml:space="preserve"> the euro from a </w:t>
      </w:r>
      <w:proofErr w:type="spellStart"/>
      <w:r>
        <w:rPr>
          <w:rFonts w:ascii="Times New Roman" w:hAnsi="Times New Roman" w:cs="Times New Roman"/>
          <w:sz w:val="24"/>
          <w:szCs w:val="24"/>
        </w:rPr>
        <w:t>Delorsean</w:t>
      </w:r>
      <w:proofErr w:type="spellEnd"/>
      <w:r>
        <w:rPr>
          <w:rFonts w:ascii="Times New Roman" w:hAnsi="Times New Roman" w:cs="Times New Roman"/>
          <w:sz w:val="24"/>
          <w:szCs w:val="24"/>
        </w:rPr>
        <w:t xml:space="preserve"> version of</w:t>
      </w:r>
      <w:r w:rsidRPr="004F52EF">
        <w:rPr>
          <w:rFonts w:ascii="Times New Roman" w:hAnsi="Times New Roman" w:cs="Times New Roman"/>
          <w:sz w:val="24"/>
          <w:szCs w:val="24"/>
        </w:rPr>
        <w:t xml:space="preserve"> social Europe is visible not only in the actual efforts of disseminating a new social paradigm predicated on marketization, but also in the measures not implemented in the aftermath of the financial crisis. The non-action of the political authorities speaks great volumes about the rootedness of the idea of the self-regulating market, even more than the policies that actively institute the idea itself. The lack of public sector investment during the biggest economic slump in recent decades is indicative of the politics of inaction. The Politics of Inaction sheds perfect light on the shallowness of the social cohesion discourse </w:t>
      </w:r>
      <w:r w:rsidR="00577122">
        <w:rPr>
          <w:rFonts w:ascii="Times New Roman" w:hAnsi="Times New Roman" w:cs="Times New Roman"/>
          <w:sz w:val="24"/>
          <w:szCs w:val="24"/>
        </w:rPr>
        <w:t>of the EU.</w:t>
      </w:r>
      <w:r w:rsidR="00AF16FA">
        <w:rPr>
          <w:rStyle w:val="FootnoteReference"/>
          <w:rFonts w:ascii="Times New Roman" w:hAnsi="Times New Roman" w:cs="Times New Roman"/>
          <w:sz w:val="24"/>
          <w:szCs w:val="24"/>
        </w:rPr>
        <w:footnoteReference w:id="24"/>
      </w:r>
    </w:p>
    <w:p w:rsidR="00C916F1" w:rsidRDefault="00AF16FA" w:rsidP="00325909">
      <w:pPr>
        <w:spacing w:after="240" w:line="240" w:lineRule="auto"/>
        <w:jc w:val="both"/>
        <w:rPr>
          <w:rFonts w:ascii="Times New Roman" w:hAnsi="Times New Roman" w:cs="Times New Roman"/>
          <w:sz w:val="24"/>
          <w:szCs w:val="24"/>
        </w:rPr>
      </w:pPr>
      <w:r w:rsidRPr="006D41FE">
        <w:rPr>
          <w:rFonts w:ascii="Times New Roman" w:hAnsi="Times New Roman" w:cs="Times New Roman"/>
          <w:sz w:val="24"/>
          <w:szCs w:val="24"/>
        </w:rPr>
        <w:t xml:space="preserve">Despite the self-congratulatory overtones in its latest Annual Growth Surveys, the business of making the EU a more </w:t>
      </w:r>
      <w:r>
        <w:rPr>
          <w:rFonts w:ascii="Times New Roman" w:hAnsi="Times New Roman" w:cs="Times New Roman"/>
          <w:sz w:val="24"/>
          <w:szCs w:val="24"/>
        </w:rPr>
        <w:t xml:space="preserve">socially </w:t>
      </w:r>
      <w:r w:rsidRPr="006D41FE">
        <w:rPr>
          <w:rFonts w:ascii="Times New Roman" w:hAnsi="Times New Roman" w:cs="Times New Roman"/>
          <w:sz w:val="24"/>
          <w:szCs w:val="24"/>
        </w:rPr>
        <w:t xml:space="preserve">inclusive is still not finished. </w:t>
      </w:r>
      <w:r>
        <w:rPr>
          <w:rFonts w:ascii="Times New Roman" w:hAnsi="Times New Roman" w:cs="Times New Roman"/>
          <w:sz w:val="24"/>
          <w:szCs w:val="24"/>
          <w:lang w:val="en-CA"/>
        </w:rPr>
        <w:t>The commitment to ‘g</w:t>
      </w:r>
      <w:r w:rsidRPr="006D41FE">
        <w:rPr>
          <w:rFonts w:ascii="Times New Roman" w:hAnsi="Times New Roman" w:cs="Times New Roman"/>
          <w:sz w:val="24"/>
          <w:szCs w:val="24"/>
          <w:lang w:val="en-CA"/>
        </w:rPr>
        <w:t xml:space="preserve">rowth friendly fiscal consolidation’ is </w:t>
      </w:r>
      <w:r>
        <w:rPr>
          <w:rFonts w:ascii="Times New Roman" w:hAnsi="Times New Roman" w:cs="Times New Roman"/>
          <w:sz w:val="24"/>
          <w:szCs w:val="24"/>
          <w:lang w:val="en-CA"/>
        </w:rPr>
        <w:t>empty rhetoric which</w:t>
      </w:r>
      <w:r w:rsidRPr="006D41FE">
        <w:rPr>
          <w:rFonts w:ascii="Times New Roman" w:hAnsi="Times New Roman" w:cs="Times New Roman"/>
          <w:sz w:val="24"/>
          <w:szCs w:val="24"/>
          <w:lang w:val="en-CA"/>
        </w:rPr>
        <w:t xml:space="preserve"> is actually based on the </w:t>
      </w:r>
      <w:r>
        <w:rPr>
          <w:rFonts w:ascii="Times New Roman" w:hAnsi="Times New Roman" w:cs="Times New Roman"/>
          <w:sz w:val="24"/>
          <w:szCs w:val="24"/>
          <w:lang w:val="en-CA"/>
        </w:rPr>
        <w:t>pursuit</w:t>
      </w:r>
      <w:r w:rsidRPr="006D41FE">
        <w:rPr>
          <w:rFonts w:ascii="Times New Roman" w:hAnsi="Times New Roman" w:cs="Times New Roman"/>
          <w:sz w:val="24"/>
          <w:szCs w:val="24"/>
          <w:lang w:val="en-CA"/>
        </w:rPr>
        <w:t xml:space="preserve"> of immediate fiscal consolidation and absence of any growth supporting measures. The deficit countries are encouraged to cut expenditure and put their public spending in order. </w:t>
      </w:r>
      <w:r>
        <w:rPr>
          <w:rFonts w:ascii="Times New Roman" w:hAnsi="Times New Roman" w:cs="Times New Roman"/>
          <w:sz w:val="24"/>
          <w:szCs w:val="24"/>
          <w:lang w:val="en-CA"/>
        </w:rPr>
        <w:t xml:space="preserve">And </w:t>
      </w:r>
      <w:r w:rsidRPr="006D41FE">
        <w:rPr>
          <w:rFonts w:ascii="Times New Roman" w:hAnsi="Times New Roman" w:cs="Times New Roman"/>
          <w:sz w:val="24"/>
          <w:szCs w:val="24"/>
        </w:rPr>
        <w:t xml:space="preserve">although Germany is advised that there is space for public sector investment given its </w:t>
      </w:r>
      <w:r w:rsidR="00842364">
        <w:rPr>
          <w:rFonts w:ascii="Times New Roman" w:hAnsi="Times New Roman" w:cs="Times New Roman"/>
          <w:sz w:val="24"/>
          <w:szCs w:val="24"/>
        </w:rPr>
        <w:t xml:space="preserve">persistent </w:t>
      </w:r>
      <w:r w:rsidRPr="006D41FE">
        <w:rPr>
          <w:rFonts w:ascii="Times New Roman" w:hAnsi="Times New Roman" w:cs="Times New Roman"/>
          <w:sz w:val="24"/>
          <w:szCs w:val="24"/>
        </w:rPr>
        <w:t>surpluses (SWD/2016/75), t</w:t>
      </w:r>
      <w:r w:rsidR="00842364">
        <w:rPr>
          <w:rFonts w:ascii="Times New Roman" w:hAnsi="Times New Roman" w:cs="Times New Roman"/>
          <w:sz w:val="24"/>
          <w:szCs w:val="24"/>
        </w:rPr>
        <w:t>he asymmetric</w:t>
      </w:r>
      <w:r w:rsidRPr="006D41FE">
        <w:rPr>
          <w:rFonts w:ascii="Times New Roman" w:hAnsi="Times New Roman" w:cs="Times New Roman"/>
          <w:sz w:val="24"/>
          <w:szCs w:val="24"/>
        </w:rPr>
        <w:t xml:space="preserve"> power between debtor</w:t>
      </w:r>
      <w:r w:rsidR="00842364">
        <w:rPr>
          <w:rFonts w:ascii="Times New Roman" w:hAnsi="Times New Roman" w:cs="Times New Roman"/>
          <w:sz w:val="24"/>
          <w:szCs w:val="24"/>
        </w:rPr>
        <w:t>s</w:t>
      </w:r>
      <w:r w:rsidRPr="006D41FE">
        <w:rPr>
          <w:rFonts w:ascii="Times New Roman" w:hAnsi="Times New Roman" w:cs="Times New Roman"/>
          <w:sz w:val="24"/>
          <w:szCs w:val="24"/>
        </w:rPr>
        <w:t xml:space="preserve"> and creditor</w:t>
      </w:r>
      <w:r w:rsidR="00842364">
        <w:rPr>
          <w:rFonts w:ascii="Times New Roman" w:hAnsi="Times New Roman" w:cs="Times New Roman"/>
          <w:sz w:val="24"/>
          <w:szCs w:val="24"/>
        </w:rPr>
        <w:t>s</w:t>
      </w:r>
      <w:r w:rsidRPr="006D41FE">
        <w:rPr>
          <w:rFonts w:ascii="Times New Roman" w:hAnsi="Times New Roman" w:cs="Times New Roman"/>
          <w:sz w:val="24"/>
          <w:szCs w:val="24"/>
        </w:rPr>
        <w:t xml:space="preserve"> </w:t>
      </w:r>
      <w:r w:rsidR="00842364">
        <w:rPr>
          <w:rFonts w:ascii="Times New Roman" w:hAnsi="Times New Roman" w:cs="Times New Roman"/>
          <w:sz w:val="24"/>
          <w:szCs w:val="24"/>
        </w:rPr>
        <w:t>is</w:t>
      </w:r>
      <w:r w:rsidRPr="006D41FE">
        <w:rPr>
          <w:rFonts w:ascii="Times New Roman" w:hAnsi="Times New Roman" w:cs="Times New Roman"/>
          <w:sz w:val="24"/>
          <w:szCs w:val="24"/>
        </w:rPr>
        <w:t xml:space="preserve"> </w:t>
      </w:r>
      <w:r w:rsidRPr="006D41FE">
        <w:rPr>
          <w:rFonts w:ascii="Times New Roman" w:hAnsi="Times New Roman" w:cs="Times New Roman"/>
          <w:sz w:val="24"/>
          <w:szCs w:val="24"/>
        </w:rPr>
        <w:lastRenderedPageBreak/>
        <w:t>inscribed in the post-crisis institutional set-up and prevents an effective resolution of the imbalance problem</w:t>
      </w:r>
      <w:r>
        <w:rPr>
          <w:rFonts w:ascii="Times New Roman" w:hAnsi="Times New Roman" w:cs="Times New Roman"/>
          <w:sz w:val="24"/>
          <w:szCs w:val="24"/>
        </w:rPr>
        <w:t xml:space="preserve"> (Dawson, 2015). </w:t>
      </w:r>
    </w:p>
    <w:p w:rsidR="00A36791" w:rsidRPr="002E4276" w:rsidRDefault="002E4276" w:rsidP="002E4276">
      <w:pPr>
        <w:pStyle w:val="Heading1"/>
        <w:rPr>
          <w:color w:val="auto"/>
        </w:rPr>
      </w:pPr>
      <w:r w:rsidRPr="002E4276">
        <w:rPr>
          <w:color w:val="auto"/>
        </w:rPr>
        <w:t>Conclusion</w:t>
      </w:r>
    </w:p>
    <w:p w:rsidR="006E6152" w:rsidRPr="006E6152" w:rsidRDefault="00D155C5" w:rsidP="00FA172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Compared to the pre-crisis baseline we have a significant transfer of national responsibility to the EU-level, which according to the ECA approach should make the EU more embedded, albeit limited. Yet, from a Polanyian point of view what the reforms do is insulate the economic domain from political control. </w:t>
      </w:r>
      <w:r w:rsidR="00693F80">
        <w:rPr>
          <w:rFonts w:ascii="Times New Roman" w:hAnsi="Times New Roman" w:cs="Times New Roman"/>
          <w:sz w:val="24"/>
          <w:szCs w:val="24"/>
        </w:rPr>
        <w:t>The newly constitutionalized post-reform package predicated on self-imposed</w:t>
      </w:r>
      <w:r w:rsidR="00B2673F">
        <w:rPr>
          <w:rFonts w:ascii="Times New Roman" w:hAnsi="Times New Roman" w:cs="Times New Roman"/>
          <w:sz w:val="24"/>
          <w:szCs w:val="24"/>
        </w:rPr>
        <w:t xml:space="preserve"> and</w:t>
      </w:r>
      <w:r w:rsidR="00693F80">
        <w:rPr>
          <w:rFonts w:ascii="Times New Roman" w:hAnsi="Times New Roman" w:cs="Times New Roman"/>
          <w:sz w:val="24"/>
          <w:szCs w:val="24"/>
        </w:rPr>
        <w:t xml:space="preserve"> constraining formulas, only exacerbate the democratic deficit. And although the </w:t>
      </w:r>
      <w:proofErr w:type="spellStart"/>
      <w:r w:rsidR="00693F80">
        <w:rPr>
          <w:rFonts w:ascii="Times New Roman" w:hAnsi="Times New Roman" w:cs="Times New Roman"/>
          <w:sz w:val="24"/>
          <w:szCs w:val="24"/>
          <w:shd w:val="clear" w:color="auto" w:fill="FFFFFF"/>
        </w:rPr>
        <w:t>Eurocrats</w:t>
      </w:r>
      <w:proofErr w:type="spellEnd"/>
      <w:r w:rsidR="00693F80">
        <w:rPr>
          <w:rFonts w:ascii="Times New Roman" w:hAnsi="Times New Roman" w:cs="Times New Roman"/>
          <w:sz w:val="24"/>
          <w:szCs w:val="24"/>
          <w:shd w:val="clear" w:color="auto" w:fill="FFFFFF"/>
        </w:rPr>
        <w:t>’ dream ‘is empirically over and normatively unsustainable’ (</w:t>
      </w:r>
      <w:r w:rsidR="00693F80" w:rsidRPr="00F6712A">
        <w:rPr>
          <w:rFonts w:ascii="Times New Roman" w:hAnsi="Times New Roman" w:cs="Times New Roman"/>
          <w:sz w:val="24"/>
          <w:szCs w:val="24"/>
        </w:rPr>
        <w:t xml:space="preserve">Chalmers, </w:t>
      </w:r>
      <w:proofErr w:type="spellStart"/>
      <w:r w:rsidR="00693F80" w:rsidRPr="00F6712A">
        <w:rPr>
          <w:rFonts w:ascii="Times New Roman" w:hAnsi="Times New Roman" w:cs="Times New Roman"/>
          <w:sz w:val="24"/>
          <w:szCs w:val="24"/>
        </w:rPr>
        <w:t>Jachtenfuchs</w:t>
      </w:r>
      <w:proofErr w:type="spellEnd"/>
      <w:r w:rsidR="00693F80" w:rsidRPr="00F6712A">
        <w:rPr>
          <w:rFonts w:ascii="Times New Roman" w:hAnsi="Times New Roman" w:cs="Times New Roman"/>
          <w:sz w:val="24"/>
          <w:szCs w:val="24"/>
        </w:rPr>
        <w:t xml:space="preserve"> and </w:t>
      </w:r>
      <w:proofErr w:type="spellStart"/>
      <w:r w:rsidR="00693F80">
        <w:rPr>
          <w:rFonts w:ascii="Times New Roman" w:hAnsi="Times New Roman" w:cs="Times New Roman"/>
          <w:sz w:val="24"/>
          <w:szCs w:val="24"/>
        </w:rPr>
        <w:t>Joerges</w:t>
      </w:r>
      <w:proofErr w:type="spellEnd"/>
      <w:r w:rsidR="00693F80">
        <w:rPr>
          <w:rFonts w:ascii="Times New Roman" w:hAnsi="Times New Roman" w:cs="Times New Roman"/>
          <w:sz w:val="24"/>
          <w:szCs w:val="24"/>
        </w:rPr>
        <w:t xml:space="preserve">, 2016: </w:t>
      </w:r>
      <w:r w:rsidR="00693F80">
        <w:rPr>
          <w:rFonts w:ascii="Times New Roman" w:hAnsi="Times New Roman" w:cs="Times New Roman"/>
          <w:sz w:val="24"/>
          <w:szCs w:val="24"/>
          <w:shd w:val="clear" w:color="auto" w:fill="FFFFFF"/>
        </w:rPr>
        <w:t xml:space="preserve">21), it still continues unabated. </w:t>
      </w:r>
      <w:r w:rsidR="002E4276">
        <w:rPr>
          <w:rFonts w:ascii="Times New Roman" w:hAnsi="Times New Roman" w:cs="Times New Roman"/>
          <w:sz w:val="24"/>
          <w:szCs w:val="24"/>
          <w:shd w:val="clear" w:color="auto" w:fill="FFFFFF"/>
        </w:rPr>
        <w:t>It is this technocratic ethos that is the source of societal counter-movements that might or might not lead to double-move</w:t>
      </w:r>
      <w:r w:rsidR="00B2673F">
        <w:rPr>
          <w:rFonts w:ascii="Times New Roman" w:hAnsi="Times New Roman" w:cs="Times New Roman"/>
          <w:sz w:val="24"/>
          <w:szCs w:val="24"/>
          <w:shd w:val="clear" w:color="auto" w:fill="FFFFFF"/>
        </w:rPr>
        <w:t>ment, which is not predestined.</w:t>
      </w:r>
      <w:r w:rsidR="002E4276">
        <w:rPr>
          <w:rStyle w:val="FootnoteReference"/>
          <w:rFonts w:ascii="Times New Roman" w:hAnsi="Times New Roman" w:cs="Times New Roman"/>
          <w:sz w:val="24"/>
          <w:szCs w:val="24"/>
          <w:shd w:val="clear" w:color="auto" w:fill="FFFFFF"/>
        </w:rPr>
        <w:footnoteReference w:id="25"/>
      </w:r>
      <w:r w:rsidR="00B2673F">
        <w:rPr>
          <w:rFonts w:ascii="Times New Roman" w:hAnsi="Times New Roman" w:cs="Times New Roman"/>
          <w:sz w:val="24"/>
          <w:szCs w:val="24"/>
          <w:shd w:val="clear" w:color="auto" w:fill="FFFFFF"/>
        </w:rPr>
        <w:t xml:space="preserve"> </w:t>
      </w:r>
      <w:r w:rsidR="00693F80">
        <w:rPr>
          <w:rFonts w:ascii="Times New Roman" w:hAnsi="Times New Roman" w:cs="Times New Roman"/>
          <w:sz w:val="24"/>
          <w:szCs w:val="24"/>
        </w:rPr>
        <w:t>Notwithstanding the fact that t</w:t>
      </w:r>
      <w:r w:rsidR="00693F80" w:rsidRPr="00484CFA">
        <w:rPr>
          <w:rFonts w:ascii="Times New Roman" w:hAnsi="Times New Roman" w:cs="Times New Roman"/>
          <w:sz w:val="24"/>
          <w:szCs w:val="24"/>
        </w:rPr>
        <w:t xml:space="preserve">he need for convergence and reduction of imbalances among member states </w:t>
      </w:r>
      <w:r w:rsidR="00693F80">
        <w:rPr>
          <w:rFonts w:ascii="Times New Roman" w:hAnsi="Times New Roman" w:cs="Times New Roman"/>
          <w:sz w:val="24"/>
          <w:szCs w:val="24"/>
        </w:rPr>
        <w:t>necessitated</w:t>
      </w:r>
      <w:r w:rsidR="00693F80" w:rsidRPr="00484CFA">
        <w:rPr>
          <w:rFonts w:ascii="Times New Roman" w:hAnsi="Times New Roman" w:cs="Times New Roman"/>
          <w:sz w:val="24"/>
          <w:szCs w:val="24"/>
        </w:rPr>
        <w:t xml:space="preserve"> a more centralized, extensive and intrusive surveillance</w:t>
      </w:r>
      <w:r w:rsidR="00693F80">
        <w:rPr>
          <w:rFonts w:ascii="Times New Roman" w:hAnsi="Times New Roman" w:cs="Times New Roman"/>
          <w:sz w:val="24"/>
          <w:szCs w:val="24"/>
        </w:rPr>
        <w:t xml:space="preserve"> mechanism,</w:t>
      </w:r>
      <w:r w:rsidR="00693F80" w:rsidRPr="00484CFA">
        <w:rPr>
          <w:rFonts w:ascii="Times New Roman" w:hAnsi="Times New Roman" w:cs="Times New Roman"/>
          <w:sz w:val="24"/>
          <w:szCs w:val="24"/>
        </w:rPr>
        <w:t xml:space="preserve"> there are some normative concerns that</w:t>
      </w:r>
      <w:r w:rsidR="00693F80">
        <w:rPr>
          <w:rFonts w:ascii="Times New Roman" w:hAnsi="Times New Roman" w:cs="Times New Roman"/>
          <w:sz w:val="24"/>
          <w:szCs w:val="24"/>
        </w:rPr>
        <w:t xml:space="preserve"> need</w:t>
      </w:r>
      <w:r w:rsidR="00693F80" w:rsidRPr="00484CFA">
        <w:rPr>
          <w:rFonts w:ascii="Times New Roman" w:hAnsi="Times New Roman" w:cs="Times New Roman"/>
          <w:sz w:val="24"/>
          <w:szCs w:val="24"/>
        </w:rPr>
        <w:t xml:space="preserve"> to </w:t>
      </w:r>
      <w:r w:rsidR="00693F80">
        <w:rPr>
          <w:rFonts w:ascii="Times New Roman" w:hAnsi="Times New Roman" w:cs="Times New Roman"/>
          <w:sz w:val="24"/>
          <w:szCs w:val="24"/>
        </w:rPr>
        <w:t xml:space="preserve">be </w:t>
      </w:r>
      <w:r w:rsidR="00693F80" w:rsidRPr="00484CFA">
        <w:rPr>
          <w:rFonts w:ascii="Times New Roman" w:hAnsi="Times New Roman" w:cs="Times New Roman"/>
          <w:sz w:val="24"/>
          <w:szCs w:val="24"/>
        </w:rPr>
        <w:t>address</w:t>
      </w:r>
      <w:r w:rsidR="00693F80">
        <w:rPr>
          <w:rFonts w:ascii="Times New Roman" w:hAnsi="Times New Roman" w:cs="Times New Roman"/>
          <w:sz w:val="24"/>
          <w:szCs w:val="24"/>
        </w:rPr>
        <w:t>ed</w:t>
      </w:r>
      <w:r w:rsidR="00693F80" w:rsidRPr="00484CFA">
        <w:rPr>
          <w:rFonts w:ascii="Times New Roman" w:hAnsi="Times New Roman" w:cs="Times New Roman"/>
          <w:sz w:val="24"/>
          <w:szCs w:val="24"/>
        </w:rPr>
        <w:t xml:space="preserve">. </w:t>
      </w:r>
      <w:r w:rsidR="00693F80">
        <w:rPr>
          <w:rFonts w:ascii="Times New Roman" w:hAnsi="Times New Roman" w:cs="Times New Roman"/>
          <w:sz w:val="24"/>
          <w:szCs w:val="24"/>
        </w:rPr>
        <w:t xml:space="preserve">Thus, scholars like </w:t>
      </w:r>
      <w:r w:rsidR="00693F80" w:rsidRPr="00484CFA">
        <w:rPr>
          <w:rFonts w:ascii="Times New Roman" w:hAnsi="Times New Roman" w:cs="Times New Roman"/>
          <w:sz w:val="24"/>
          <w:szCs w:val="24"/>
        </w:rPr>
        <w:t xml:space="preserve">Dawson (2015) </w:t>
      </w:r>
      <w:r w:rsidR="00693F80">
        <w:rPr>
          <w:rFonts w:ascii="Times New Roman" w:hAnsi="Times New Roman" w:cs="Times New Roman"/>
          <w:sz w:val="24"/>
          <w:szCs w:val="24"/>
        </w:rPr>
        <w:t>have emphasized</w:t>
      </w:r>
      <w:r w:rsidR="00693F80" w:rsidRPr="00484CFA">
        <w:rPr>
          <w:rFonts w:ascii="Times New Roman" w:hAnsi="Times New Roman" w:cs="Times New Roman"/>
          <w:sz w:val="24"/>
          <w:szCs w:val="24"/>
        </w:rPr>
        <w:t xml:space="preserve"> </w:t>
      </w:r>
      <w:r w:rsidR="00693F80">
        <w:rPr>
          <w:rFonts w:ascii="Times New Roman" w:hAnsi="Times New Roman" w:cs="Times New Roman"/>
          <w:sz w:val="24"/>
          <w:szCs w:val="24"/>
        </w:rPr>
        <w:t xml:space="preserve">the need for a </w:t>
      </w:r>
      <w:r w:rsidR="00693F80" w:rsidRPr="00484CFA">
        <w:rPr>
          <w:rFonts w:ascii="Times New Roman" w:hAnsi="Times New Roman" w:cs="Times New Roman"/>
          <w:sz w:val="24"/>
          <w:szCs w:val="24"/>
        </w:rPr>
        <w:t xml:space="preserve">new mechanism of </w:t>
      </w:r>
      <w:r w:rsidR="00693F80">
        <w:rPr>
          <w:rFonts w:ascii="Times New Roman" w:hAnsi="Times New Roman" w:cs="Times New Roman"/>
          <w:sz w:val="24"/>
          <w:szCs w:val="24"/>
        </w:rPr>
        <w:t>political and legal accountability that can restore legitimacy in the system.</w:t>
      </w:r>
      <w:r>
        <w:rPr>
          <w:rFonts w:ascii="Times New Roman" w:hAnsi="Times New Roman" w:cs="Times New Roman"/>
          <w:sz w:val="24"/>
          <w:szCs w:val="24"/>
        </w:rPr>
        <w:t xml:space="preserve"> </w:t>
      </w:r>
    </w:p>
    <w:p w:rsidR="00953735" w:rsidRPr="00953735" w:rsidRDefault="003D339A" w:rsidP="00953735">
      <w:pPr>
        <w:pStyle w:val="Heading1"/>
        <w:rPr>
          <w:color w:val="auto"/>
        </w:rPr>
      </w:pPr>
      <w:r w:rsidRPr="00235B48">
        <w:rPr>
          <w:color w:val="auto"/>
        </w:rPr>
        <w:t xml:space="preserve">References: </w:t>
      </w:r>
    </w:p>
    <w:p w:rsidR="0063792D" w:rsidRPr="008C1292" w:rsidRDefault="00F67B2C"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Abdelal</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Rawi</w:t>
      </w:r>
      <w:proofErr w:type="spellEnd"/>
      <w:r w:rsidRPr="008C1292">
        <w:rPr>
          <w:rFonts w:ascii="Times New Roman" w:hAnsi="Times New Roman" w:cs="Times New Roman"/>
          <w:sz w:val="24"/>
          <w:szCs w:val="24"/>
        </w:rPr>
        <w:t xml:space="preserve"> and Sophie </w:t>
      </w:r>
      <w:proofErr w:type="spellStart"/>
      <w:r w:rsidRPr="008C1292">
        <w:rPr>
          <w:rFonts w:ascii="Times New Roman" w:hAnsi="Times New Roman" w:cs="Times New Roman"/>
          <w:sz w:val="24"/>
          <w:szCs w:val="24"/>
        </w:rPr>
        <w:t>Meunier</w:t>
      </w:r>
      <w:proofErr w:type="spellEnd"/>
      <w:r w:rsidRPr="008C1292">
        <w:rPr>
          <w:rFonts w:ascii="Times New Roman" w:hAnsi="Times New Roman" w:cs="Times New Roman"/>
          <w:sz w:val="24"/>
          <w:szCs w:val="24"/>
        </w:rPr>
        <w:t xml:space="preserve"> (2010) Managed Globalization: Doctrine, Practice and Promise,</w:t>
      </w:r>
      <w:r w:rsidRPr="008C1292">
        <w:rPr>
          <w:rFonts w:ascii="Times New Roman" w:hAnsi="Times New Roman" w:cs="Times New Roman"/>
          <w:i/>
          <w:sz w:val="24"/>
          <w:szCs w:val="24"/>
        </w:rPr>
        <w:t xml:space="preserve"> Journal of European Public Policy</w:t>
      </w:r>
      <w:r w:rsidRPr="008C1292">
        <w:rPr>
          <w:rFonts w:ascii="Times New Roman" w:hAnsi="Times New Roman" w:cs="Times New Roman"/>
          <w:sz w:val="24"/>
          <w:szCs w:val="24"/>
        </w:rPr>
        <w:t xml:space="preserve">, 17(3): 350-367. </w:t>
      </w:r>
    </w:p>
    <w:p w:rsidR="0063792D" w:rsidRPr="008C1292" w:rsidRDefault="0063792D"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Ashiagbor</w:t>
      </w:r>
      <w:proofErr w:type="spellEnd"/>
      <w:r w:rsidRPr="008C1292">
        <w:rPr>
          <w:rFonts w:ascii="Times New Roman" w:hAnsi="Times New Roman" w:cs="Times New Roman"/>
          <w:sz w:val="24"/>
          <w:szCs w:val="24"/>
        </w:rPr>
        <w:t xml:space="preserve">, Diamond (2013) Unravelling the Embedded Liberal Bargain: </w:t>
      </w:r>
      <w:proofErr w:type="spellStart"/>
      <w:r w:rsidRPr="008C1292">
        <w:rPr>
          <w:rFonts w:ascii="Times New Roman" w:hAnsi="Times New Roman" w:cs="Times New Roman"/>
          <w:sz w:val="24"/>
          <w:szCs w:val="24"/>
        </w:rPr>
        <w:t>Labour</w:t>
      </w:r>
      <w:proofErr w:type="spellEnd"/>
      <w:r w:rsidRPr="008C1292">
        <w:rPr>
          <w:rFonts w:ascii="Times New Roman" w:hAnsi="Times New Roman" w:cs="Times New Roman"/>
          <w:sz w:val="24"/>
          <w:szCs w:val="24"/>
        </w:rPr>
        <w:t xml:space="preserve"> and Social Welfare Law in the Context of EU Market Integration, </w:t>
      </w:r>
      <w:r w:rsidRPr="008C1292">
        <w:rPr>
          <w:rFonts w:ascii="Times New Roman" w:hAnsi="Times New Roman" w:cs="Times New Roman"/>
          <w:i/>
          <w:sz w:val="24"/>
          <w:szCs w:val="24"/>
        </w:rPr>
        <w:t>European Law Journal.</w:t>
      </w:r>
      <w:r w:rsidRPr="008C1292">
        <w:rPr>
          <w:rFonts w:ascii="Times New Roman" w:hAnsi="Times New Roman" w:cs="Times New Roman"/>
          <w:sz w:val="24"/>
          <w:szCs w:val="24"/>
        </w:rPr>
        <w:t xml:space="preserve"> 19(3): 303-324. </w:t>
      </w:r>
    </w:p>
    <w:p w:rsidR="00F67B2C" w:rsidRPr="008C1292" w:rsidRDefault="00AC1E2F"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Bagus</w:t>
      </w:r>
      <w:proofErr w:type="spellEnd"/>
      <w:r w:rsidRPr="008C1292">
        <w:rPr>
          <w:rFonts w:ascii="Times New Roman" w:hAnsi="Times New Roman" w:cs="Times New Roman"/>
          <w:sz w:val="24"/>
          <w:szCs w:val="24"/>
        </w:rPr>
        <w:t xml:space="preserve">, Philipp (2012) </w:t>
      </w:r>
      <w:proofErr w:type="gramStart"/>
      <w:r w:rsidRPr="008C1292">
        <w:rPr>
          <w:rFonts w:ascii="Times New Roman" w:hAnsi="Times New Roman" w:cs="Times New Roman"/>
          <w:i/>
          <w:sz w:val="24"/>
          <w:szCs w:val="24"/>
        </w:rPr>
        <w:t>The</w:t>
      </w:r>
      <w:proofErr w:type="gramEnd"/>
      <w:r w:rsidRPr="008C1292">
        <w:rPr>
          <w:rFonts w:ascii="Times New Roman" w:hAnsi="Times New Roman" w:cs="Times New Roman"/>
          <w:i/>
          <w:sz w:val="24"/>
          <w:szCs w:val="24"/>
        </w:rPr>
        <w:t xml:space="preserve"> Tragedy of the Euro</w:t>
      </w:r>
      <w:r w:rsidR="008D604C">
        <w:rPr>
          <w:rFonts w:ascii="Times New Roman" w:hAnsi="Times New Roman" w:cs="Times New Roman"/>
          <w:sz w:val="24"/>
          <w:szCs w:val="24"/>
        </w:rPr>
        <w:t xml:space="preserve">, </w:t>
      </w:r>
      <w:proofErr w:type="spellStart"/>
      <w:r w:rsidR="008D604C">
        <w:rPr>
          <w:rFonts w:ascii="Times New Roman" w:hAnsi="Times New Roman" w:cs="Times New Roman"/>
          <w:sz w:val="24"/>
          <w:szCs w:val="24"/>
        </w:rPr>
        <w:t>Mise</w:t>
      </w:r>
      <w:proofErr w:type="spellEnd"/>
      <w:r w:rsidRPr="008C1292">
        <w:rPr>
          <w:rFonts w:ascii="Times New Roman" w:hAnsi="Times New Roman" w:cs="Times New Roman"/>
          <w:sz w:val="24"/>
          <w:szCs w:val="24"/>
        </w:rPr>
        <w:t xml:space="preserve"> Institute. </w:t>
      </w:r>
    </w:p>
    <w:p w:rsidR="008C1292" w:rsidRPr="008C1292" w:rsidRDefault="00E32F79"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Baker, Andrew and </w:t>
      </w:r>
      <w:proofErr w:type="spellStart"/>
      <w:r w:rsidRPr="008C1292">
        <w:rPr>
          <w:rFonts w:ascii="Times New Roman" w:hAnsi="Times New Roman" w:cs="Times New Roman"/>
          <w:sz w:val="24"/>
          <w:szCs w:val="24"/>
        </w:rPr>
        <w:t>Widmaier</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Wasley</w:t>
      </w:r>
      <w:proofErr w:type="spellEnd"/>
      <w:r w:rsidRPr="008C1292">
        <w:rPr>
          <w:rFonts w:ascii="Times New Roman" w:hAnsi="Times New Roman" w:cs="Times New Roman"/>
          <w:sz w:val="24"/>
          <w:szCs w:val="24"/>
        </w:rPr>
        <w:t xml:space="preserve"> (2014) The Institutionalist Roots of </w:t>
      </w:r>
      <w:proofErr w:type="spellStart"/>
      <w:r w:rsidRPr="008C1292">
        <w:rPr>
          <w:rFonts w:ascii="Times New Roman" w:hAnsi="Times New Roman" w:cs="Times New Roman"/>
          <w:sz w:val="24"/>
          <w:szCs w:val="24"/>
        </w:rPr>
        <w:t>Macroprudential</w:t>
      </w:r>
      <w:proofErr w:type="spellEnd"/>
      <w:r w:rsidRPr="008C1292">
        <w:rPr>
          <w:rFonts w:ascii="Times New Roman" w:hAnsi="Times New Roman" w:cs="Times New Roman"/>
          <w:sz w:val="24"/>
          <w:szCs w:val="24"/>
        </w:rPr>
        <w:t xml:space="preserve"> Ideas: Veblen and Galbraith on Regulation, Policy Success and Overconfidence, </w:t>
      </w:r>
      <w:r w:rsidRPr="008C1292">
        <w:rPr>
          <w:rFonts w:ascii="Times New Roman" w:hAnsi="Times New Roman" w:cs="Times New Roman"/>
          <w:i/>
          <w:sz w:val="24"/>
          <w:szCs w:val="24"/>
        </w:rPr>
        <w:t>New Political Economy</w:t>
      </w:r>
      <w:r w:rsidRPr="008C1292">
        <w:rPr>
          <w:rFonts w:ascii="Times New Roman" w:hAnsi="Times New Roman" w:cs="Times New Roman"/>
          <w:sz w:val="24"/>
          <w:szCs w:val="24"/>
        </w:rPr>
        <w:t xml:space="preserve">, 19, 487-506. </w:t>
      </w:r>
    </w:p>
    <w:p w:rsidR="008C1292" w:rsidRPr="008C1292" w:rsidRDefault="008C1292"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Barnett, Michael and Martha </w:t>
      </w:r>
      <w:proofErr w:type="spellStart"/>
      <w:r w:rsidRPr="008C1292">
        <w:rPr>
          <w:rFonts w:ascii="Times New Roman" w:hAnsi="Times New Roman" w:cs="Times New Roman"/>
          <w:sz w:val="24"/>
          <w:szCs w:val="24"/>
        </w:rPr>
        <w:t>Finnemore</w:t>
      </w:r>
      <w:proofErr w:type="spellEnd"/>
      <w:r w:rsidRPr="008C1292">
        <w:rPr>
          <w:rFonts w:ascii="Times New Roman" w:hAnsi="Times New Roman" w:cs="Times New Roman"/>
          <w:sz w:val="24"/>
          <w:szCs w:val="24"/>
        </w:rPr>
        <w:t xml:space="preserve"> (2004) </w:t>
      </w:r>
      <w:r w:rsidRPr="008C1292">
        <w:rPr>
          <w:rFonts w:ascii="Times New Roman" w:hAnsi="Times New Roman" w:cs="Times New Roman"/>
          <w:i/>
          <w:sz w:val="24"/>
          <w:szCs w:val="24"/>
        </w:rPr>
        <w:t>Rules for the World: International</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 xml:space="preserve">Organizations in Global Politics, </w:t>
      </w:r>
      <w:r w:rsidRPr="008C1292">
        <w:rPr>
          <w:rFonts w:ascii="Times New Roman" w:hAnsi="Times New Roman" w:cs="Times New Roman"/>
          <w:sz w:val="24"/>
          <w:szCs w:val="24"/>
        </w:rPr>
        <w:t xml:space="preserve">Ithaca, NY: Cornell University Press. </w:t>
      </w:r>
    </w:p>
    <w:p w:rsidR="00953735" w:rsidRPr="008C1292" w:rsidRDefault="0095373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Bieling</w:t>
      </w:r>
      <w:proofErr w:type="spellEnd"/>
      <w:r w:rsidRPr="008C1292">
        <w:rPr>
          <w:rFonts w:ascii="Times New Roman" w:hAnsi="Times New Roman" w:cs="Times New Roman"/>
          <w:sz w:val="24"/>
          <w:szCs w:val="24"/>
        </w:rPr>
        <w:t>, Hans-Jürgen</w:t>
      </w:r>
      <w:r w:rsidRPr="008C1292">
        <w:rPr>
          <w:rFonts w:ascii="Times New Roman" w:hAnsi="Times New Roman" w:cs="Times New Roman"/>
          <w:b/>
          <w:sz w:val="24"/>
          <w:szCs w:val="24"/>
        </w:rPr>
        <w:t xml:space="preserve"> </w:t>
      </w:r>
      <w:r w:rsidRPr="008C1292">
        <w:rPr>
          <w:rFonts w:ascii="Times New Roman" w:hAnsi="Times New Roman" w:cs="Times New Roman"/>
          <w:sz w:val="24"/>
          <w:szCs w:val="24"/>
        </w:rPr>
        <w:t>(2003) Social Forces in the Making of the New European Economy: The Case of Financial Market Integration,</w:t>
      </w:r>
      <w:r w:rsidRPr="008C1292">
        <w:rPr>
          <w:rFonts w:ascii="Times New Roman" w:hAnsi="Times New Roman" w:cs="Times New Roman"/>
          <w:i/>
          <w:sz w:val="24"/>
          <w:szCs w:val="24"/>
        </w:rPr>
        <w:t xml:space="preserve"> New Political Economy</w:t>
      </w:r>
      <w:r w:rsidRPr="008C1292">
        <w:rPr>
          <w:rFonts w:ascii="Times New Roman" w:hAnsi="Times New Roman" w:cs="Times New Roman"/>
          <w:sz w:val="24"/>
          <w:szCs w:val="24"/>
        </w:rPr>
        <w:t>, 8(2): 203-224</w:t>
      </w:r>
      <w:r w:rsidRPr="008C1292">
        <w:rPr>
          <w:rFonts w:ascii="Times New Roman" w:hAnsi="Times New Roman" w:cs="Times New Roman"/>
          <w:color w:val="231F20"/>
          <w:sz w:val="24"/>
          <w:szCs w:val="24"/>
        </w:rPr>
        <w:t>.</w:t>
      </w:r>
    </w:p>
    <w:p w:rsidR="00953735" w:rsidRPr="008C1292" w:rsidRDefault="00525CC3"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Bohle</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Dorothee</w:t>
      </w:r>
      <w:proofErr w:type="spellEnd"/>
      <w:r w:rsidRPr="008C1292">
        <w:rPr>
          <w:rFonts w:ascii="Times New Roman" w:hAnsi="Times New Roman" w:cs="Times New Roman"/>
          <w:sz w:val="24"/>
          <w:szCs w:val="24"/>
        </w:rPr>
        <w:t xml:space="preserve"> and </w:t>
      </w:r>
      <w:proofErr w:type="spellStart"/>
      <w:r w:rsidRPr="008C1292">
        <w:rPr>
          <w:rFonts w:ascii="Times New Roman" w:hAnsi="Times New Roman" w:cs="Times New Roman"/>
          <w:sz w:val="24"/>
          <w:szCs w:val="24"/>
        </w:rPr>
        <w:t>Béla</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Greskovits</w:t>
      </w:r>
      <w:proofErr w:type="spellEnd"/>
      <w:r w:rsidRPr="008C1292">
        <w:rPr>
          <w:rFonts w:ascii="Times New Roman" w:hAnsi="Times New Roman" w:cs="Times New Roman"/>
          <w:sz w:val="24"/>
          <w:szCs w:val="24"/>
        </w:rPr>
        <w:t xml:space="preserve"> (2007) Neoliberalism, Embedded Neoliberalism and </w:t>
      </w:r>
      <w:proofErr w:type="spellStart"/>
      <w:r w:rsidRPr="008C1292">
        <w:rPr>
          <w:rFonts w:ascii="Times New Roman" w:hAnsi="Times New Roman" w:cs="Times New Roman"/>
          <w:sz w:val="24"/>
          <w:szCs w:val="24"/>
        </w:rPr>
        <w:t>Neocorporatism</w:t>
      </w:r>
      <w:proofErr w:type="spellEnd"/>
      <w:r w:rsidRPr="008C1292">
        <w:rPr>
          <w:rFonts w:ascii="Times New Roman" w:hAnsi="Times New Roman" w:cs="Times New Roman"/>
          <w:sz w:val="24"/>
          <w:szCs w:val="24"/>
        </w:rPr>
        <w:t>: Towards Transnational Capitalism in Central-Eastern Eur</w:t>
      </w:r>
      <w:r w:rsidR="00B61B4A" w:rsidRPr="008C1292">
        <w:rPr>
          <w:rFonts w:ascii="Times New Roman" w:hAnsi="Times New Roman" w:cs="Times New Roman"/>
          <w:sz w:val="24"/>
          <w:szCs w:val="24"/>
        </w:rPr>
        <w:t>ope,</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West European Politics,</w:t>
      </w:r>
      <w:r w:rsidRPr="008C1292">
        <w:rPr>
          <w:rFonts w:ascii="Times New Roman" w:hAnsi="Times New Roman" w:cs="Times New Roman"/>
          <w:sz w:val="24"/>
          <w:szCs w:val="24"/>
        </w:rPr>
        <w:t xml:space="preserve"> </w:t>
      </w:r>
      <w:proofErr w:type="gramStart"/>
      <w:r w:rsidRPr="008C1292">
        <w:rPr>
          <w:rFonts w:ascii="Times New Roman" w:hAnsi="Times New Roman" w:cs="Times New Roman"/>
          <w:sz w:val="24"/>
          <w:szCs w:val="24"/>
        </w:rPr>
        <w:t>30</w:t>
      </w:r>
      <w:proofErr w:type="gramEnd"/>
      <w:r w:rsidRPr="008C1292">
        <w:rPr>
          <w:rFonts w:ascii="Times New Roman" w:hAnsi="Times New Roman" w:cs="Times New Roman"/>
          <w:sz w:val="24"/>
          <w:szCs w:val="24"/>
        </w:rPr>
        <w:t xml:space="preserve">(3): 443-466. </w:t>
      </w:r>
    </w:p>
    <w:p w:rsidR="00E231F3" w:rsidRPr="008C1292" w:rsidRDefault="00E231F3"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Block, F</w:t>
      </w:r>
      <w:r w:rsidR="00BB76BD" w:rsidRPr="008C1292">
        <w:rPr>
          <w:rFonts w:ascii="Times New Roman" w:hAnsi="Times New Roman" w:cs="Times New Roman"/>
          <w:sz w:val="24"/>
          <w:szCs w:val="24"/>
        </w:rPr>
        <w:t>red</w:t>
      </w:r>
      <w:r w:rsidRPr="008C1292">
        <w:rPr>
          <w:rFonts w:ascii="Times New Roman" w:hAnsi="Times New Roman" w:cs="Times New Roman"/>
          <w:sz w:val="24"/>
          <w:szCs w:val="24"/>
        </w:rPr>
        <w:t xml:space="preserve"> (2003) Karl Polanyi and the Writing of the ’’Great Transformation’’</w:t>
      </w:r>
      <w:r w:rsidR="00B61B4A" w:rsidRPr="008C1292">
        <w:rPr>
          <w:rFonts w:ascii="Times New Roman" w:hAnsi="Times New Roman" w:cs="Times New Roman"/>
          <w:sz w:val="24"/>
          <w:szCs w:val="24"/>
        </w:rPr>
        <w:t>,</w:t>
      </w:r>
      <w:r w:rsidRPr="008C1292">
        <w:rPr>
          <w:rFonts w:ascii="Times New Roman" w:hAnsi="Times New Roman" w:cs="Times New Roman"/>
          <w:sz w:val="24"/>
          <w:szCs w:val="24"/>
        </w:rPr>
        <w:t xml:space="preserve"> </w:t>
      </w:r>
      <w:r w:rsidR="00B61B4A" w:rsidRPr="008C1292">
        <w:rPr>
          <w:rFonts w:ascii="Times New Roman" w:hAnsi="Times New Roman" w:cs="Times New Roman"/>
          <w:sz w:val="24"/>
          <w:szCs w:val="24"/>
          <w:lang w:eastAsia="zh-CN"/>
        </w:rPr>
        <w:t>i</w:t>
      </w:r>
      <w:r w:rsidRPr="008C1292">
        <w:rPr>
          <w:rFonts w:ascii="Times New Roman" w:hAnsi="Times New Roman" w:cs="Times New Roman"/>
          <w:sz w:val="24"/>
          <w:szCs w:val="24"/>
          <w:lang w:eastAsia="zh-CN"/>
        </w:rPr>
        <w:t xml:space="preserve">n </w:t>
      </w:r>
      <w:proofErr w:type="spellStart"/>
      <w:r w:rsidRPr="008C1292">
        <w:rPr>
          <w:rFonts w:ascii="Times New Roman" w:hAnsi="Times New Roman" w:cs="Times New Roman"/>
          <w:sz w:val="24"/>
          <w:szCs w:val="24"/>
          <w:lang w:eastAsia="zh-CN"/>
        </w:rPr>
        <w:t>J.Go</w:t>
      </w:r>
      <w:proofErr w:type="spellEnd"/>
      <w:r w:rsidRPr="008C1292">
        <w:rPr>
          <w:rFonts w:ascii="Times New Roman" w:hAnsi="Times New Roman" w:cs="Times New Roman"/>
          <w:sz w:val="24"/>
          <w:szCs w:val="24"/>
          <w:lang w:eastAsia="zh-CN"/>
        </w:rPr>
        <w:t xml:space="preserve"> (ed</w:t>
      </w:r>
      <w:r w:rsidR="00BB76BD" w:rsidRPr="008C1292">
        <w:rPr>
          <w:rFonts w:ascii="Times New Roman" w:hAnsi="Times New Roman" w:cs="Times New Roman"/>
          <w:sz w:val="24"/>
          <w:szCs w:val="24"/>
          <w:lang w:eastAsia="zh-CN"/>
        </w:rPr>
        <w:t>.</w:t>
      </w:r>
      <w:r w:rsidRPr="008C1292">
        <w:rPr>
          <w:rFonts w:ascii="Times New Roman" w:hAnsi="Times New Roman" w:cs="Times New Roman"/>
          <w:sz w:val="24"/>
          <w:szCs w:val="24"/>
          <w:lang w:eastAsia="zh-CN"/>
        </w:rPr>
        <w:t xml:space="preserve">) </w:t>
      </w:r>
      <w:r w:rsidRPr="008C1292">
        <w:rPr>
          <w:rFonts w:ascii="Times New Roman" w:hAnsi="Times New Roman" w:cs="Times New Roman"/>
          <w:i/>
          <w:sz w:val="24"/>
          <w:szCs w:val="24"/>
          <w:lang w:eastAsia="zh-CN"/>
        </w:rPr>
        <w:t>Political Power and Social Theory</w:t>
      </w:r>
      <w:r w:rsidRPr="008C1292">
        <w:rPr>
          <w:rFonts w:ascii="Times New Roman" w:hAnsi="Times New Roman" w:cs="Times New Roman"/>
          <w:sz w:val="24"/>
          <w:szCs w:val="24"/>
          <w:lang w:eastAsia="zh-CN"/>
        </w:rPr>
        <w:t>, vol. 23, Bingley: Emerald Group, pp. 269-291.</w:t>
      </w:r>
    </w:p>
    <w:p w:rsidR="00E231F3" w:rsidRPr="008C1292" w:rsidRDefault="00E231F3"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lastRenderedPageBreak/>
        <w:t>Block, F</w:t>
      </w:r>
      <w:r w:rsidR="00BB76BD" w:rsidRPr="008C1292">
        <w:rPr>
          <w:rFonts w:ascii="Times New Roman" w:hAnsi="Times New Roman" w:cs="Times New Roman"/>
          <w:sz w:val="24"/>
          <w:szCs w:val="24"/>
        </w:rPr>
        <w:t>red</w:t>
      </w:r>
      <w:r w:rsidRPr="008C1292">
        <w:rPr>
          <w:rFonts w:ascii="Times New Roman" w:hAnsi="Times New Roman" w:cs="Times New Roman"/>
          <w:sz w:val="24"/>
          <w:szCs w:val="24"/>
        </w:rPr>
        <w:t xml:space="preserve"> (2012) Varieties of What? Should We Still Be Using the Concept of Capitalism</w:t>
      </w:r>
      <w:proofErr w:type="gramStart"/>
      <w:r w:rsidRPr="008C1292">
        <w:rPr>
          <w:rFonts w:ascii="Times New Roman" w:hAnsi="Times New Roman" w:cs="Times New Roman"/>
          <w:sz w:val="24"/>
          <w:szCs w:val="24"/>
        </w:rPr>
        <w:t>?</w:t>
      </w:r>
      <w:r w:rsidR="00B61B4A" w:rsidRPr="008C1292">
        <w:rPr>
          <w:rFonts w:ascii="Times New Roman" w:hAnsi="Times New Roman" w:cs="Times New Roman"/>
          <w:sz w:val="24"/>
          <w:szCs w:val="24"/>
        </w:rPr>
        <w:t>,</w:t>
      </w:r>
      <w:proofErr w:type="gramEnd"/>
      <w:r w:rsidR="00B61B4A" w:rsidRPr="008C1292">
        <w:rPr>
          <w:rFonts w:ascii="Times New Roman" w:hAnsi="Times New Roman" w:cs="Times New Roman"/>
          <w:sz w:val="24"/>
          <w:szCs w:val="24"/>
        </w:rPr>
        <w:t xml:space="preserve"> </w:t>
      </w:r>
      <w:r w:rsidRPr="008C1292">
        <w:rPr>
          <w:rFonts w:ascii="Times New Roman" w:hAnsi="Times New Roman" w:cs="Times New Roman"/>
          <w:i/>
          <w:sz w:val="24"/>
          <w:szCs w:val="24"/>
        </w:rPr>
        <w:t>Political Power and Social Theory,</w:t>
      </w:r>
      <w:r w:rsidRPr="008C1292">
        <w:rPr>
          <w:rFonts w:ascii="Times New Roman" w:hAnsi="Times New Roman" w:cs="Times New Roman"/>
          <w:sz w:val="24"/>
          <w:szCs w:val="24"/>
        </w:rPr>
        <w:t xml:space="preserve"> 23, 269-291. </w:t>
      </w:r>
    </w:p>
    <w:p w:rsidR="00720EC6" w:rsidRPr="008C1292" w:rsidRDefault="00E231F3"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Block, F</w:t>
      </w:r>
      <w:r w:rsidR="00BB76BD" w:rsidRPr="008C1292">
        <w:rPr>
          <w:rFonts w:ascii="Times New Roman" w:hAnsi="Times New Roman" w:cs="Times New Roman"/>
          <w:sz w:val="24"/>
          <w:szCs w:val="24"/>
        </w:rPr>
        <w:t>red</w:t>
      </w:r>
      <w:r w:rsidRPr="008C1292">
        <w:rPr>
          <w:rFonts w:ascii="Times New Roman" w:hAnsi="Times New Roman" w:cs="Times New Roman"/>
          <w:sz w:val="24"/>
          <w:szCs w:val="24"/>
        </w:rPr>
        <w:t xml:space="preserve"> and M</w:t>
      </w:r>
      <w:r w:rsidR="00BB76BD" w:rsidRPr="008C1292">
        <w:rPr>
          <w:rFonts w:ascii="Times New Roman" w:hAnsi="Times New Roman" w:cs="Times New Roman"/>
          <w:sz w:val="24"/>
          <w:szCs w:val="24"/>
        </w:rPr>
        <w:t xml:space="preserve">argaret </w:t>
      </w:r>
      <w:r w:rsidRPr="008C1292">
        <w:rPr>
          <w:rFonts w:ascii="Times New Roman" w:hAnsi="Times New Roman" w:cs="Times New Roman"/>
          <w:sz w:val="24"/>
          <w:szCs w:val="24"/>
        </w:rPr>
        <w:t xml:space="preserve">R. </w:t>
      </w:r>
      <w:r w:rsidR="00B61B4A" w:rsidRPr="008C1292">
        <w:rPr>
          <w:rFonts w:ascii="Times New Roman" w:hAnsi="Times New Roman" w:cs="Times New Roman"/>
          <w:sz w:val="24"/>
          <w:szCs w:val="24"/>
        </w:rPr>
        <w:t xml:space="preserve">Sommers </w:t>
      </w:r>
      <w:r w:rsidRPr="008C1292">
        <w:rPr>
          <w:rFonts w:ascii="Times New Roman" w:hAnsi="Times New Roman" w:cs="Times New Roman"/>
          <w:sz w:val="24"/>
          <w:szCs w:val="24"/>
        </w:rPr>
        <w:t xml:space="preserve">(2014) </w:t>
      </w:r>
      <w:r w:rsidRPr="008C1292">
        <w:rPr>
          <w:rFonts w:ascii="Times New Roman" w:hAnsi="Times New Roman" w:cs="Times New Roman"/>
          <w:i/>
          <w:sz w:val="24"/>
          <w:szCs w:val="24"/>
        </w:rPr>
        <w:t>The Power of Market Fundamentalism: Karl Polanyi’s Critique</w:t>
      </w:r>
      <w:r w:rsidRPr="008C1292">
        <w:rPr>
          <w:rFonts w:ascii="Times New Roman" w:hAnsi="Times New Roman" w:cs="Times New Roman"/>
          <w:sz w:val="24"/>
          <w:szCs w:val="24"/>
        </w:rPr>
        <w:t>, Cambridge, MA, Harvard University Press.</w:t>
      </w:r>
    </w:p>
    <w:p w:rsidR="00720EC6" w:rsidRPr="008C1292" w:rsidRDefault="00720EC6"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Burawoy</w:t>
      </w:r>
      <w:proofErr w:type="spellEnd"/>
      <w:r w:rsidRPr="008C1292">
        <w:rPr>
          <w:rFonts w:ascii="Times New Roman" w:hAnsi="Times New Roman" w:cs="Times New Roman"/>
          <w:sz w:val="24"/>
          <w:szCs w:val="24"/>
        </w:rPr>
        <w:t xml:space="preserve">, Michael (2010) From Polanyi to </w:t>
      </w:r>
      <w:proofErr w:type="spellStart"/>
      <w:r w:rsidRPr="008C1292">
        <w:rPr>
          <w:rFonts w:ascii="Times New Roman" w:hAnsi="Times New Roman" w:cs="Times New Roman"/>
          <w:sz w:val="24"/>
          <w:szCs w:val="24"/>
        </w:rPr>
        <w:t>Polyanna</w:t>
      </w:r>
      <w:proofErr w:type="spellEnd"/>
      <w:r w:rsidRPr="008C1292">
        <w:rPr>
          <w:rFonts w:ascii="Times New Roman" w:hAnsi="Times New Roman" w:cs="Times New Roman"/>
          <w:sz w:val="24"/>
          <w:szCs w:val="24"/>
        </w:rPr>
        <w:t xml:space="preserve">: The False Optimism of Global </w:t>
      </w:r>
      <w:proofErr w:type="spellStart"/>
      <w:r w:rsidRPr="008C1292">
        <w:rPr>
          <w:rFonts w:ascii="Times New Roman" w:hAnsi="Times New Roman" w:cs="Times New Roman"/>
          <w:sz w:val="24"/>
          <w:szCs w:val="24"/>
        </w:rPr>
        <w:t>Labour</w:t>
      </w:r>
      <w:proofErr w:type="spellEnd"/>
      <w:r w:rsidRPr="008C1292">
        <w:rPr>
          <w:rFonts w:ascii="Times New Roman" w:hAnsi="Times New Roman" w:cs="Times New Roman"/>
          <w:sz w:val="24"/>
          <w:szCs w:val="24"/>
        </w:rPr>
        <w:t xml:space="preserve"> Studies, </w:t>
      </w:r>
      <w:r w:rsidRPr="008C1292">
        <w:rPr>
          <w:rFonts w:ascii="Times New Roman" w:hAnsi="Times New Roman" w:cs="Times New Roman"/>
          <w:i/>
          <w:sz w:val="24"/>
          <w:szCs w:val="24"/>
        </w:rPr>
        <w:t xml:space="preserve">Global </w:t>
      </w:r>
      <w:proofErr w:type="spellStart"/>
      <w:r w:rsidRPr="008C1292">
        <w:rPr>
          <w:rFonts w:ascii="Times New Roman" w:hAnsi="Times New Roman" w:cs="Times New Roman"/>
          <w:i/>
          <w:sz w:val="24"/>
          <w:szCs w:val="24"/>
        </w:rPr>
        <w:t>Labour</w:t>
      </w:r>
      <w:proofErr w:type="spellEnd"/>
      <w:r w:rsidRPr="008C1292">
        <w:rPr>
          <w:rFonts w:ascii="Times New Roman" w:hAnsi="Times New Roman" w:cs="Times New Roman"/>
          <w:i/>
          <w:sz w:val="24"/>
          <w:szCs w:val="24"/>
        </w:rPr>
        <w:t xml:space="preserve"> Journal</w:t>
      </w:r>
      <w:r w:rsidRPr="008C1292">
        <w:rPr>
          <w:rFonts w:ascii="Times New Roman" w:hAnsi="Times New Roman" w:cs="Times New Roman"/>
          <w:sz w:val="24"/>
          <w:szCs w:val="24"/>
        </w:rPr>
        <w:t xml:space="preserve">, 1(2): 301-313. </w:t>
      </w:r>
    </w:p>
    <w:p w:rsidR="00720EC6" w:rsidRPr="008C1292" w:rsidRDefault="00720EC6"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Burnham, Peter (2011) </w:t>
      </w:r>
      <w:proofErr w:type="spellStart"/>
      <w:r w:rsidRPr="008C1292">
        <w:rPr>
          <w:rFonts w:ascii="Times New Roman" w:hAnsi="Times New Roman" w:cs="Times New Roman"/>
          <w:sz w:val="24"/>
          <w:szCs w:val="24"/>
        </w:rPr>
        <w:t>Depoliticising</w:t>
      </w:r>
      <w:proofErr w:type="spellEnd"/>
      <w:r w:rsidRPr="008C1292">
        <w:rPr>
          <w:rFonts w:ascii="Times New Roman" w:hAnsi="Times New Roman" w:cs="Times New Roman"/>
          <w:sz w:val="24"/>
          <w:szCs w:val="24"/>
        </w:rPr>
        <w:t xml:space="preserve"> Monetary Policy: The Minimum Lending Rate Experiment in Britain in the 1970s, </w:t>
      </w:r>
      <w:r w:rsidRPr="008C1292">
        <w:rPr>
          <w:rFonts w:ascii="Times New Roman" w:hAnsi="Times New Roman" w:cs="Times New Roman"/>
          <w:i/>
          <w:sz w:val="24"/>
          <w:szCs w:val="24"/>
        </w:rPr>
        <w:t>New Political Economy</w:t>
      </w:r>
      <w:r w:rsidRPr="008C1292">
        <w:rPr>
          <w:rFonts w:ascii="Times New Roman" w:hAnsi="Times New Roman" w:cs="Times New Roman"/>
          <w:sz w:val="24"/>
          <w:szCs w:val="24"/>
        </w:rPr>
        <w:t>, 16 (4): 463–480.</w:t>
      </w:r>
    </w:p>
    <w:p w:rsidR="00525CC3" w:rsidRPr="008C1292" w:rsidRDefault="003D339A"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Caporaso</w:t>
      </w:r>
      <w:proofErr w:type="spellEnd"/>
      <w:r w:rsidRPr="008C1292">
        <w:rPr>
          <w:rFonts w:ascii="Times New Roman" w:hAnsi="Times New Roman" w:cs="Times New Roman"/>
          <w:sz w:val="24"/>
          <w:szCs w:val="24"/>
        </w:rPr>
        <w:t xml:space="preserve">, James and Sidney </w:t>
      </w:r>
      <w:proofErr w:type="spellStart"/>
      <w:r w:rsidRPr="008C1292">
        <w:rPr>
          <w:rFonts w:ascii="Times New Roman" w:hAnsi="Times New Roman" w:cs="Times New Roman"/>
          <w:sz w:val="24"/>
          <w:szCs w:val="24"/>
        </w:rPr>
        <w:t>Tarrow</w:t>
      </w:r>
      <w:proofErr w:type="spellEnd"/>
      <w:r w:rsidRPr="008C1292">
        <w:rPr>
          <w:rFonts w:ascii="Times New Roman" w:hAnsi="Times New Roman" w:cs="Times New Roman"/>
          <w:sz w:val="24"/>
          <w:szCs w:val="24"/>
        </w:rPr>
        <w:t xml:space="preserve"> (2009) Polanyi in Brussels: Supranational Institutions and the Transnational Embedding of Markets, </w:t>
      </w:r>
      <w:r w:rsidRPr="008C1292">
        <w:rPr>
          <w:rFonts w:ascii="Times New Roman" w:hAnsi="Times New Roman" w:cs="Times New Roman"/>
          <w:i/>
          <w:sz w:val="24"/>
          <w:szCs w:val="24"/>
        </w:rPr>
        <w:t>International Organization</w:t>
      </w:r>
      <w:r w:rsidRPr="008C1292">
        <w:rPr>
          <w:rFonts w:ascii="Times New Roman" w:hAnsi="Times New Roman" w:cs="Times New Roman"/>
          <w:sz w:val="24"/>
          <w:szCs w:val="24"/>
        </w:rPr>
        <w:t>, 63 (4): 593-620.</w:t>
      </w:r>
    </w:p>
    <w:p w:rsidR="00CE3410" w:rsidRPr="008C1292" w:rsidRDefault="00AE2AC5"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Copeland, Paul (2009) International Political Economy and European Integration: Applying Karl Polanyi’s ‘The Great Transformation’. </w:t>
      </w:r>
      <w:r w:rsidRPr="008C1292">
        <w:rPr>
          <w:rFonts w:ascii="Times New Roman" w:hAnsi="Times New Roman" w:cs="Times New Roman"/>
          <w:i/>
          <w:sz w:val="24"/>
          <w:szCs w:val="24"/>
        </w:rPr>
        <w:t>IPEG Papers on Global Political Economy</w:t>
      </w:r>
      <w:r w:rsidRPr="008C1292">
        <w:rPr>
          <w:rFonts w:ascii="Times New Roman" w:hAnsi="Times New Roman" w:cs="Times New Roman"/>
          <w:sz w:val="24"/>
          <w:szCs w:val="24"/>
        </w:rPr>
        <w:t xml:space="preserve">, 40: July 2009. </w:t>
      </w:r>
    </w:p>
    <w:p w:rsidR="00960FB2" w:rsidRPr="008C1292" w:rsidRDefault="00960FB2"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Coeuré</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Benoît</w:t>
      </w:r>
      <w:proofErr w:type="spellEnd"/>
      <w:r w:rsidRPr="008C1292">
        <w:rPr>
          <w:rFonts w:ascii="Times New Roman" w:hAnsi="Times New Roman" w:cs="Times New Roman"/>
          <w:sz w:val="24"/>
          <w:szCs w:val="24"/>
        </w:rPr>
        <w:t xml:space="preserve"> (2012) Risk-Sharing in EMU: Before, During and After the Crisis, </w:t>
      </w:r>
      <w:proofErr w:type="spellStart"/>
      <w:r w:rsidRPr="008C1292">
        <w:rPr>
          <w:rFonts w:ascii="Times New Roman" w:hAnsi="Times New Roman" w:cs="Times New Roman"/>
          <w:sz w:val="24"/>
          <w:szCs w:val="24"/>
        </w:rPr>
        <w:t>Julis-Babinowitz</w:t>
      </w:r>
      <w:proofErr w:type="spellEnd"/>
      <w:r w:rsidRPr="008C1292">
        <w:rPr>
          <w:rFonts w:ascii="Times New Roman" w:hAnsi="Times New Roman" w:cs="Times New Roman"/>
          <w:sz w:val="24"/>
          <w:szCs w:val="24"/>
        </w:rPr>
        <w:t xml:space="preserve"> Center for Public Policy and Finance, Princeton University, 20 April 2012. </w:t>
      </w:r>
    </w:p>
    <w:p w:rsidR="00545D38" w:rsidRPr="008C1292" w:rsidRDefault="00545D38"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Dale, Gareth (2014) Karl Polanyi in Vienna</w:t>
      </w:r>
      <w:r w:rsidR="00B61B4A" w:rsidRPr="008C1292">
        <w:rPr>
          <w:rFonts w:ascii="Times New Roman" w:hAnsi="Times New Roman" w:cs="Times New Roman"/>
          <w:sz w:val="24"/>
          <w:szCs w:val="24"/>
        </w:rPr>
        <w:t>: Guild S</w:t>
      </w:r>
      <w:r w:rsidRPr="008C1292">
        <w:rPr>
          <w:rFonts w:ascii="Times New Roman" w:hAnsi="Times New Roman" w:cs="Times New Roman"/>
          <w:sz w:val="24"/>
          <w:szCs w:val="24"/>
        </w:rPr>
        <w:t>ocialism, A</w:t>
      </w:r>
      <w:r w:rsidR="00B61B4A" w:rsidRPr="008C1292">
        <w:rPr>
          <w:rFonts w:ascii="Times New Roman" w:hAnsi="Times New Roman" w:cs="Times New Roman"/>
          <w:sz w:val="24"/>
          <w:szCs w:val="24"/>
        </w:rPr>
        <w:t xml:space="preserve">ustro-Marxism, and </w:t>
      </w:r>
      <w:proofErr w:type="spellStart"/>
      <w:r w:rsidR="00B61B4A" w:rsidRPr="008C1292">
        <w:rPr>
          <w:rFonts w:ascii="Times New Roman" w:hAnsi="Times New Roman" w:cs="Times New Roman"/>
          <w:sz w:val="24"/>
          <w:szCs w:val="24"/>
        </w:rPr>
        <w:t>Duczynska’s</w:t>
      </w:r>
      <w:proofErr w:type="spellEnd"/>
      <w:r w:rsidR="00B61B4A" w:rsidRPr="008C1292">
        <w:rPr>
          <w:rFonts w:ascii="Times New Roman" w:hAnsi="Times New Roman" w:cs="Times New Roman"/>
          <w:sz w:val="24"/>
          <w:szCs w:val="24"/>
        </w:rPr>
        <w:t xml:space="preserve"> Alternative,</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Historical Materialism: Research in Critical Marxian Theory</w:t>
      </w:r>
      <w:r w:rsidRPr="008C1292">
        <w:rPr>
          <w:rFonts w:ascii="Times New Roman" w:hAnsi="Times New Roman" w:cs="Times New Roman"/>
          <w:sz w:val="24"/>
          <w:szCs w:val="24"/>
        </w:rPr>
        <w:t>, 22(1): 34-66.</w:t>
      </w:r>
    </w:p>
    <w:p w:rsidR="00545D38" w:rsidRPr="008C1292" w:rsidRDefault="00545D38"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Dale, Gareth (2012) Double Movement and </w:t>
      </w:r>
      <w:proofErr w:type="spellStart"/>
      <w:r w:rsidRPr="008C1292">
        <w:rPr>
          <w:rFonts w:ascii="Times New Roman" w:hAnsi="Times New Roman" w:cs="Times New Roman"/>
          <w:sz w:val="24"/>
          <w:szCs w:val="24"/>
        </w:rPr>
        <w:t>Pendular</w:t>
      </w:r>
      <w:proofErr w:type="spellEnd"/>
      <w:r w:rsidRPr="008C1292">
        <w:rPr>
          <w:rFonts w:ascii="Times New Roman" w:hAnsi="Times New Roman" w:cs="Times New Roman"/>
          <w:sz w:val="24"/>
          <w:szCs w:val="24"/>
        </w:rPr>
        <w:t xml:space="preserve"> Forces: A </w:t>
      </w:r>
      <w:proofErr w:type="spellStart"/>
      <w:r w:rsidRPr="008C1292">
        <w:rPr>
          <w:rFonts w:ascii="Times New Roman" w:hAnsi="Times New Roman" w:cs="Times New Roman"/>
          <w:sz w:val="24"/>
          <w:szCs w:val="24"/>
        </w:rPr>
        <w:t>Polanyian</w:t>
      </w:r>
      <w:proofErr w:type="spellEnd"/>
      <w:r w:rsidRPr="008C1292">
        <w:rPr>
          <w:rFonts w:ascii="Times New Roman" w:hAnsi="Times New Roman" w:cs="Times New Roman"/>
          <w:sz w:val="24"/>
          <w:szCs w:val="24"/>
        </w:rPr>
        <w:t xml:space="preserve"> Perspectives on the Neoliberal A</w:t>
      </w:r>
      <w:r w:rsidR="00B61B4A" w:rsidRPr="008C1292">
        <w:rPr>
          <w:rFonts w:ascii="Times New Roman" w:hAnsi="Times New Roman" w:cs="Times New Roman"/>
          <w:sz w:val="24"/>
          <w:szCs w:val="24"/>
        </w:rPr>
        <w:t>ge,</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Current Sociology</w:t>
      </w:r>
      <w:r w:rsidRPr="008C1292">
        <w:rPr>
          <w:rFonts w:ascii="Times New Roman" w:hAnsi="Times New Roman" w:cs="Times New Roman"/>
          <w:sz w:val="24"/>
          <w:szCs w:val="24"/>
        </w:rPr>
        <w:t xml:space="preserve">, 60(1): 3-27. </w:t>
      </w:r>
    </w:p>
    <w:p w:rsidR="001958C7" w:rsidRPr="008C1292" w:rsidRDefault="00545D38"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Dale, Gareth (2010) </w:t>
      </w:r>
      <w:r w:rsidRPr="008C1292">
        <w:rPr>
          <w:rFonts w:ascii="Times New Roman" w:hAnsi="Times New Roman" w:cs="Times New Roman"/>
          <w:i/>
          <w:sz w:val="24"/>
          <w:szCs w:val="24"/>
        </w:rPr>
        <w:t>Karl Polanyi: The limits of the market</w:t>
      </w:r>
      <w:r w:rsidR="00B61B4A" w:rsidRPr="008C1292">
        <w:rPr>
          <w:rFonts w:ascii="Times New Roman" w:hAnsi="Times New Roman" w:cs="Times New Roman"/>
          <w:sz w:val="24"/>
          <w:szCs w:val="24"/>
        </w:rPr>
        <w:t>,</w:t>
      </w:r>
      <w:r w:rsidRPr="008C1292">
        <w:rPr>
          <w:rFonts w:ascii="Times New Roman" w:hAnsi="Times New Roman" w:cs="Times New Roman"/>
          <w:sz w:val="24"/>
          <w:szCs w:val="24"/>
        </w:rPr>
        <w:t xml:space="preserve"> Cambridge: Polity Press. </w:t>
      </w:r>
    </w:p>
    <w:p w:rsidR="001958C7" w:rsidRPr="008C1292" w:rsidRDefault="001958C7"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Damian Chalmers, Markus </w:t>
      </w:r>
      <w:proofErr w:type="spellStart"/>
      <w:r w:rsidRPr="008C1292">
        <w:rPr>
          <w:rFonts w:ascii="Times New Roman" w:hAnsi="Times New Roman" w:cs="Times New Roman"/>
          <w:sz w:val="24"/>
          <w:szCs w:val="24"/>
        </w:rPr>
        <w:t>Jachtenfuchs</w:t>
      </w:r>
      <w:proofErr w:type="spellEnd"/>
      <w:r w:rsidRPr="008C1292">
        <w:rPr>
          <w:rFonts w:ascii="Times New Roman" w:hAnsi="Times New Roman" w:cs="Times New Roman"/>
          <w:sz w:val="24"/>
          <w:szCs w:val="24"/>
        </w:rPr>
        <w:t xml:space="preserve"> and Christian </w:t>
      </w:r>
      <w:proofErr w:type="spellStart"/>
      <w:r w:rsidRPr="008C1292">
        <w:rPr>
          <w:rFonts w:ascii="Times New Roman" w:hAnsi="Times New Roman" w:cs="Times New Roman"/>
          <w:sz w:val="24"/>
          <w:szCs w:val="24"/>
        </w:rPr>
        <w:t>Joerges</w:t>
      </w:r>
      <w:proofErr w:type="spellEnd"/>
      <w:r w:rsidRPr="008C1292">
        <w:rPr>
          <w:rFonts w:ascii="Times New Roman" w:hAnsi="Times New Roman" w:cs="Times New Roman"/>
          <w:sz w:val="24"/>
          <w:szCs w:val="24"/>
        </w:rPr>
        <w:t xml:space="preserve"> (2016) </w:t>
      </w:r>
      <w:proofErr w:type="gramStart"/>
      <w:r w:rsidRPr="008C1292">
        <w:rPr>
          <w:rFonts w:ascii="Times New Roman" w:hAnsi="Times New Roman" w:cs="Times New Roman"/>
          <w:i/>
          <w:sz w:val="24"/>
          <w:szCs w:val="24"/>
        </w:rPr>
        <w:t>The</w:t>
      </w:r>
      <w:proofErr w:type="gramEnd"/>
      <w:r w:rsidRPr="008C1292">
        <w:rPr>
          <w:rFonts w:ascii="Times New Roman" w:hAnsi="Times New Roman" w:cs="Times New Roman"/>
          <w:i/>
          <w:sz w:val="24"/>
          <w:szCs w:val="24"/>
        </w:rPr>
        <w:t xml:space="preserve"> End of the </w:t>
      </w:r>
      <w:proofErr w:type="spellStart"/>
      <w:r w:rsidRPr="008C1292">
        <w:rPr>
          <w:rFonts w:ascii="Times New Roman" w:hAnsi="Times New Roman" w:cs="Times New Roman"/>
          <w:i/>
          <w:sz w:val="24"/>
          <w:szCs w:val="24"/>
        </w:rPr>
        <w:t>Eurocrats</w:t>
      </w:r>
      <w:proofErr w:type="spellEnd"/>
      <w:r w:rsidRPr="008C1292">
        <w:rPr>
          <w:rFonts w:ascii="Times New Roman" w:hAnsi="Times New Roman" w:cs="Times New Roman"/>
          <w:i/>
          <w:sz w:val="24"/>
          <w:szCs w:val="24"/>
        </w:rPr>
        <w:t>’ Dream: Adjusting to European Diversity</w:t>
      </w:r>
      <w:r w:rsidRPr="008C1292">
        <w:rPr>
          <w:rFonts w:ascii="Times New Roman" w:hAnsi="Times New Roman" w:cs="Times New Roman"/>
          <w:sz w:val="24"/>
          <w:szCs w:val="24"/>
        </w:rPr>
        <w:t xml:space="preserve">, Cambridge University Press. </w:t>
      </w:r>
    </w:p>
    <w:p w:rsidR="008C05C2" w:rsidRPr="008C1292" w:rsidRDefault="008C05C2"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Dawson, Mark (2015) The Legal and Political Accountability Structure of ‘Post-Crisis’ EU Economic Governance, </w:t>
      </w:r>
      <w:r w:rsidRPr="008C1292">
        <w:rPr>
          <w:rFonts w:ascii="Times New Roman" w:hAnsi="Times New Roman" w:cs="Times New Roman"/>
          <w:i/>
          <w:sz w:val="24"/>
          <w:szCs w:val="24"/>
        </w:rPr>
        <w:t xml:space="preserve">Journal of Common Market Studies, </w:t>
      </w:r>
      <w:r w:rsidRPr="008C1292">
        <w:rPr>
          <w:rFonts w:ascii="Times New Roman" w:hAnsi="Times New Roman" w:cs="Times New Roman"/>
          <w:sz w:val="24"/>
          <w:szCs w:val="24"/>
        </w:rPr>
        <w:t xml:space="preserve">53(5): 976-993. </w:t>
      </w:r>
    </w:p>
    <w:p w:rsidR="00953735" w:rsidRPr="008C1292" w:rsidRDefault="0095373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Frangakis</w:t>
      </w:r>
      <w:proofErr w:type="spellEnd"/>
      <w:r w:rsidRPr="008C1292">
        <w:rPr>
          <w:rFonts w:ascii="Times New Roman" w:hAnsi="Times New Roman" w:cs="Times New Roman"/>
          <w:sz w:val="24"/>
          <w:szCs w:val="24"/>
        </w:rPr>
        <w:t>, Marcia (2009) EU Financial Market I</w:t>
      </w:r>
      <w:r w:rsidR="00B61B4A" w:rsidRPr="008C1292">
        <w:rPr>
          <w:rFonts w:ascii="Times New Roman" w:hAnsi="Times New Roman" w:cs="Times New Roman"/>
          <w:sz w:val="24"/>
          <w:szCs w:val="24"/>
        </w:rPr>
        <w:t>ntegration Policy, i</w:t>
      </w:r>
      <w:r w:rsidRPr="008C1292">
        <w:rPr>
          <w:rFonts w:ascii="Times New Roman" w:hAnsi="Times New Roman" w:cs="Times New Roman"/>
          <w:sz w:val="24"/>
          <w:szCs w:val="24"/>
        </w:rPr>
        <w:t xml:space="preserve">n J. </w:t>
      </w:r>
      <w:proofErr w:type="spellStart"/>
      <w:r w:rsidRPr="008C1292">
        <w:rPr>
          <w:rFonts w:ascii="Times New Roman" w:hAnsi="Times New Roman" w:cs="Times New Roman"/>
          <w:sz w:val="24"/>
          <w:szCs w:val="24"/>
        </w:rPr>
        <w:t>Grahl</w:t>
      </w:r>
      <w:proofErr w:type="spellEnd"/>
      <w:r w:rsidRPr="008C1292">
        <w:rPr>
          <w:rFonts w:ascii="Times New Roman" w:hAnsi="Times New Roman" w:cs="Times New Roman"/>
          <w:sz w:val="24"/>
          <w:szCs w:val="24"/>
        </w:rPr>
        <w:t xml:space="preserve"> (ed.) </w:t>
      </w:r>
      <w:r w:rsidRPr="008C1292">
        <w:rPr>
          <w:rFonts w:ascii="Times New Roman" w:hAnsi="Times New Roman" w:cs="Times New Roman"/>
          <w:i/>
          <w:sz w:val="24"/>
          <w:szCs w:val="24"/>
        </w:rPr>
        <w:t>Global Finance and Social Europe</w:t>
      </w:r>
      <w:r w:rsidRPr="008C1292">
        <w:rPr>
          <w:rFonts w:ascii="Times New Roman" w:hAnsi="Times New Roman" w:cs="Times New Roman"/>
          <w:sz w:val="24"/>
          <w:szCs w:val="24"/>
        </w:rPr>
        <w:t>, Cheltenham: Edward Elgar, pp. 91-114.</w:t>
      </w:r>
    </w:p>
    <w:p w:rsidR="00E231F3" w:rsidRPr="008C1292" w:rsidRDefault="00E231F3"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Gemici</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Kurtulus</w:t>
      </w:r>
      <w:proofErr w:type="spellEnd"/>
      <w:r w:rsidRPr="008C1292">
        <w:rPr>
          <w:rFonts w:ascii="Times New Roman" w:hAnsi="Times New Roman" w:cs="Times New Roman"/>
          <w:sz w:val="24"/>
          <w:szCs w:val="24"/>
        </w:rPr>
        <w:t xml:space="preserve"> (2008) Karl Polanyi and the Anatomies of Embe</w:t>
      </w:r>
      <w:r w:rsidR="00B61B4A" w:rsidRPr="008C1292">
        <w:rPr>
          <w:rFonts w:ascii="Times New Roman" w:hAnsi="Times New Roman" w:cs="Times New Roman"/>
          <w:sz w:val="24"/>
          <w:szCs w:val="24"/>
        </w:rPr>
        <w:t>ddedness,</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Socio-Economic Review,</w:t>
      </w:r>
      <w:r w:rsidRPr="008C1292">
        <w:rPr>
          <w:rFonts w:ascii="Times New Roman" w:hAnsi="Times New Roman" w:cs="Times New Roman"/>
          <w:sz w:val="24"/>
          <w:szCs w:val="24"/>
        </w:rPr>
        <w:t xml:space="preserve"> 6(1): 5-33.</w:t>
      </w:r>
    </w:p>
    <w:p w:rsidR="00AE2AC5" w:rsidRPr="008C1292" w:rsidRDefault="00AE2AC5"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Gill, Stephen (1998) New Constitutionalism, Democratization and Global Political E</w:t>
      </w:r>
      <w:r w:rsidR="00B61B4A" w:rsidRPr="008C1292">
        <w:rPr>
          <w:rFonts w:ascii="Times New Roman" w:hAnsi="Times New Roman" w:cs="Times New Roman"/>
          <w:sz w:val="24"/>
          <w:szCs w:val="24"/>
        </w:rPr>
        <w:t>conomy,</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Pacifica Review,</w:t>
      </w:r>
      <w:r w:rsidRPr="008C1292">
        <w:rPr>
          <w:rFonts w:ascii="Times New Roman" w:hAnsi="Times New Roman" w:cs="Times New Roman"/>
          <w:sz w:val="24"/>
          <w:szCs w:val="24"/>
        </w:rPr>
        <w:t xml:space="preserve"> 10(1): 23-39. </w:t>
      </w:r>
    </w:p>
    <w:p w:rsidR="00AE2AC5" w:rsidRPr="008C1292" w:rsidRDefault="00AE2AC5"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Gill, Stephen (1995)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Global </w:t>
      </w:r>
      <w:proofErr w:type="spellStart"/>
      <w:r w:rsidRPr="008C1292">
        <w:rPr>
          <w:rFonts w:ascii="Times New Roman" w:hAnsi="Times New Roman" w:cs="Times New Roman"/>
          <w:sz w:val="24"/>
          <w:szCs w:val="24"/>
        </w:rPr>
        <w:t>Panopticon</w:t>
      </w:r>
      <w:proofErr w:type="spellEnd"/>
      <w:r w:rsidRPr="008C1292">
        <w:rPr>
          <w:rFonts w:ascii="Times New Roman" w:hAnsi="Times New Roman" w:cs="Times New Roman"/>
          <w:sz w:val="24"/>
          <w:szCs w:val="24"/>
        </w:rPr>
        <w:t>? The Neoliberal State, Economic Life and Democratic S</w:t>
      </w:r>
      <w:r w:rsidR="00B61B4A" w:rsidRPr="008C1292">
        <w:rPr>
          <w:rFonts w:ascii="Times New Roman" w:hAnsi="Times New Roman" w:cs="Times New Roman"/>
          <w:sz w:val="24"/>
          <w:szCs w:val="24"/>
        </w:rPr>
        <w:t>urveillance,</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Alternatives,</w:t>
      </w:r>
      <w:r w:rsidRPr="008C1292">
        <w:rPr>
          <w:rFonts w:ascii="Times New Roman" w:hAnsi="Times New Roman" w:cs="Times New Roman"/>
          <w:sz w:val="24"/>
          <w:szCs w:val="24"/>
        </w:rPr>
        <w:t xml:space="preserve"> 20(1): 1-49.</w:t>
      </w:r>
    </w:p>
    <w:p w:rsidR="0047491B" w:rsidRPr="008C1292" w:rsidRDefault="00AE2AC5"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Gill, Stephen and A. Claire Cutler (2014) </w:t>
      </w:r>
      <w:r w:rsidRPr="008C1292">
        <w:rPr>
          <w:rFonts w:ascii="Times New Roman" w:hAnsi="Times New Roman" w:cs="Times New Roman"/>
          <w:i/>
          <w:sz w:val="24"/>
          <w:szCs w:val="24"/>
        </w:rPr>
        <w:t>New Constitutionalism and World Order</w:t>
      </w:r>
      <w:r w:rsidR="00B61B4A" w:rsidRPr="008C1292">
        <w:rPr>
          <w:rFonts w:ascii="Times New Roman" w:hAnsi="Times New Roman" w:cs="Times New Roman"/>
          <w:sz w:val="24"/>
          <w:szCs w:val="24"/>
        </w:rPr>
        <w:t>,</w:t>
      </w:r>
      <w:r w:rsidRPr="008C1292">
        <w:rPr>
          <w:rFonts w:ascii="Times New Roman" w:hAnsi="Times New Roman" w:cs="Times New Roman"/>
          <w:sz w:val="24"/>
          <w:szCs w:val="24"/>
        </w:rPr>
        <w:t xml:space="preserve"> New York: NY, Cambridge University Press. </w:t>
      </w:r>
    </w:p>
    <w:p w:rsidR="00953735" w:rsidRPr="008C1292" w:rsidRDefault="0047491B"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Granovetter</w:t>
      </w:r>
      <w:proofErr w:type="spellEnd"/>
      <w:r w:rsidRPr="008C1292">
        <w:rPr>
          <w:rFonts w:ascii="Times New Roman" w:hAnsi="Times New Roman" w:cs="Times New Roman"/>
          <w:sz w:val="24"/>
          <w:szCs w:val="24"/>
        </w:rPr>
        <w:t>, Mark (2004) Polanyi Symposium: A Conversation on E</w:t>
      </w:r>
      <w:r w:rsidR="00B61B4A" w:rsidRPr="008C1292">
        <w:rPr>
          <w:rFonts w:ascii="Times New Roman" w:hAnsi="Times New Roman" w:cs="Times New Roman"/>
          <w:sz w:val="24"/>
          <w:szCs w:val="24"/>
        </w:rPr>
        <w:t>mbeddedness,</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Socio-Economic Review,</w:t>
      </w:r>
      <w:r w:rsidRPr="008C1292">
        <w:rPr>
          <w:rFonts w:ascii="Times New Roman" w:hAnsi="Times New Roman" w:cs="Times New Roman"/>
          <w:sz w:val="24"/>
          <w:szCs w:val="24"/>
        </w:rPr>
        <w:t xml:space="preserve"> 2(1): 109-135.</w:t>
      </w:r>
    </w:p>
    <w:p w:rsidR="00953735" w:rsidRPr="008C1292" w:rsidRDefault="0095373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lastRenderedPageBreak/>
        <w:t>Gros</w:t>
      </w:r>
      <w:proofErr w:type="spellEnd"/>
      <w:r w:rsidRPr="008C1292">
        <w:rPr>
          <w:rFonts w:ascii="Times New Roman" w:hAnsi="Times New Roman" w:cs="Times New Roman"/>
          <w:sz w:val="24"/>
          <w:szCs w:val="24"/>
        </w:rPr>
        <w:t xml:space="preserve">, Daniel (2012) On the Stability of Public Debt in a Monetary Union, </w:t>
      </w:r>
      <w:r w:rsidRPr="008C1292">
        <w:rPr>
          <w:rFonts w:ascii="Times New Roman" w:hAnsi="Times New Roman" w:cs="Times New Roman"/>
          <w:i/>
          <w:sz w:val="24"/>
          <w:szCs w:val="24"/>
        </w:rPr>
        <w:t>Journal of Common Market Studies</w:t>
      </w:r>
      <w:r w:rsidRPr="008C1292">
        <w:rPr>
          <w:rFonts w:ascii="Times New Roman" w:hAnsi="Times New Roman" w:cs="Times New Roman"/>
          <w:sz w:val="24"/>
          <w:szCs w:val="24"/>
        </w:rPr>
        <w:t xml:space="preserve">, 50 (2): 36-48. </w:t>
      </w:r>
    </w:p>
    <w:p w:rsidR="00953735" w:rsidRPr="008C1292" w:rsidRDefault="00953735"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Grossman, Emiliano and Patrick </w:t>
      </w:r>
      <w:proofErr w:type="spellStart"/>
      <w:r w:rsidRPr="008C1292">
        <w:rPr>
          <w:rFonts w:ascii="Times New Roman" w:hAnsi="Times New Roman" w:cs="Times New Roman"/>
          <w:sz w:val="24"/>
          <w:szCs w:val="24"/>
        </w:rPr>
        <w:t>Leblond</w:t>
      </w:r>
      <w:proofErr w:type="spellEnd"/>
      <w:r w:rsidRPr="008C1292">
        <w:rPr>
          <w:rFonts w:ascii="Times New Roman" w:hAnsi="Times New Roman" w:cs="Times New Roman"/>
          <w:sz w:val="24"/>
          <w:szCs w:val="24"/>
        </w:rPr>
        <w:t xml:space="preserve"> (2011) European Financial Integration: Finally the Great Leap Forward</w:t>
      </w:r>
      <w:proofErr w:type="gramStart"/>
      <w:r w:rsidRPr="008C1292">
        <w:rPr>
          <w:rFonts w:ascii="Times New Roman" w:hAnsi="Times New Roman" w:cs="Times New Roman"/>
          <w:sz w:val="24"/>
          <w:szCs w:val="24"/>
        </w:rPr>
        <w:t>?,</w:t>
      </w:r>
      <w:proofErr w:type="gramEnd"/>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 xml:space="preserve">Journal of Common Market Studies, </w:t>
      </w:r>
      <w:r w:rsidRPr="008C1292">
        <w:rPr>
          <w:rFonts w:ascii="Times New Roman" w:hAnsi="Times New Roman" w:cs="Times New Roman"/>
          <w:sz w:val="24"/>
          <w:szCs w:val="24"/>
        </w:rPr>
        <w:t xml:space="preserve">49(2): 413-435. </w:t>
      </w:r>
    </w:p>
    <w:p w:rsidR="00516495" w:rsidRPr="008C1292" w:rsidRDefault="0051649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Haffert</w:t>
      </w:r>
      <w:proofErr w:type="spellEnd"/>
      <w:r w:rsidRPr="008C1292">
        <w:rPr>
          <w:rFonts w:ascii="Times New Roman" w:hAnsi="Times New Roman" w:cs="Times New Roman"/>
          <w:sz w:val="24"/>
          <w:szCs w:val="24"/>
        </w:rPr>
        <w:t xml:space="preserve">, Lukas and Philip </w:t>
      </w:r>
      <w:proofErr w:type="spellStart"/>
      <w:r w:rsidRPr="008C1292">
        <w:rPr>
          <w:rFonts w:ascii="Times New Roman" w:hAnsi="Times New Roman" w:cs="Times New Roman"/>
          <w:sz w:val="24"/>
          <w:szCs w:val="24"/>
        </w:rPr>
        <w:t>Mahrtens</w:t>
      </w:r>
      <w:proofErr w:type="spellEnd"/>
      <w:r w:rsidRPr="008C1292">
        <w:rPr>
          <w:rFonts w:ascii="Times New Roman" w:hAnsi="Times New Roman" w:cs="Times New Roman"/>
          <w:sz w:val="24"/>
          <w:szCs w:val="24"/>
        </w:rPr>
        <w:t xml:space="preserve"> (2015) From Austerity to Expansion? Consolidation, Budget Surpluses, and the Decline of the Fiscal Capacity, </w:t>
      </w:r>
      <w:r w:rsidRPr="008C1292">
        <w:rPr>
          <w:rFonts w:ascii="Times New Roman" w:hAnsi="Times New Roman" w:cs="Times New Roman"/>
          <w:i/>
          <w:sz w:val="24"/>
          <w:szCs w:val="24"/>
        </w:rPr>
        <w:t>Politics &amp; Society</w:t>
      </w:r>
      <w:r w:rsidRPr="008C1292">
        <w:rPr>
          <w:rFonts w:ascii="Times New Roman" w:hAnsi="Times New Roman" w:cs="Times New Roman"/>
          <w:sz w:val="24"/>
          <w:szCs w:val="24"/>
        </w:rPr>
        <w:t xml:space="preserve">, 43(1): 119-148. </w:t>
      </w:r>
    </w:p>
    <w:p w:rsidR="00720EC6" w:rsidRPr="008C1292" w:rsidRDefault="003D339A"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Harmes</w:t>
      </w:r>
      <w:proofErr w:type="spellEnd"/>
      <w:r w:rsidRPr="008C1292">
        <w:rPr>
          <w:rFonts w:ascii="Times New Roman" w:hAnsi="Times New Roman" w:cs="Times New Roman"/>
          <w:sz w:val="24"/>
          <w:szCs w:val="24"/>
        </w:rPr>
        <w:t xml:space="preserve">, Adams (2006) Neoliberalism and Multilevel Governance, </w:t>
      </w:r>
      <w:r w:rsidRPr="008C1292">
        <w:rPr>
          <w:rFonts w:ascii="Times New Roman" w:hAnsi="Times New Roman" w:cs="Times New Roman"/>
          <w:i/>
          <w:sz w:val="24"/>
          <w:szCs w:val="24"/>
        </w:rPr>
        <w:t>Review of International</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Political Economy</w:t>
      </w:r>
      <w:r w:rsidRPr="008C1292">
        <w:rPr>
          <w:rFonts w:ascii="Times New Roman" w:hAnsi="Times New Roman" w:cs="Times New Roman"/>
          <w:sz w:val="24"/>
          <w:szCs w:val="24"/>
        </w:rPr>
        <w:t xml:space="preserve">, 13(5): 725-749.  </w:t>
      </w:r>
    </w:p>
    <w:p w:rsidR="00720EC6" w:rsidRPr="008C1292" w:rsidRDefault="00720EC6"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Hay, Colin and Daniel </w:t>
      </w:r>
      <w:proofErr w:type="spellStart"/>
      <w:r w:rsidRPr="008C1292">
        <w:rPr>
          <w:rFonts w:ascii="Times New Roman" w:hAnsi="Times New Roman" w:cs="Times New Roman"/>
          <w:sz w:val="24"/>
          <w:szCs w:val="24"/>
        </w:rPr>
        <w:t>Wincott</w:t>
      </w:r>
      <w:proofErr w:type="spellEnd"/>
      <w:r w:rsidRPr="008C1292">
        <w:rPr>
          <w:rFonts w:ascii="Times New Roman" w:hAnsi="Times New Roman" w:cs="Times New Roman"/>
          <w:sz w:val="24"/>
          <w:szCs w:val="24"/>
        </w:rPr>
        <w:t xml:space="preserve"> (2012) </w:t>
      </w:r>
      <w:r w:rsidRPr="008C1292">
        <w:rPr>
          <w:rFonts w:ascii="Times New Roman" w:hAnsi="Times New Roman" w:cs="Times New Roman"/>
          <w:i/>
          <w:sz w:val="24"/>
          <w:szCs w:val="24"/>
        </w:rPr>
        <w:t>Political Economy of European Welfare Capitalism</w:t>
      </w:r>
      <w:r w:rsidRPr="008C1292">
        <w:rPr>
          <w:rFonts w:ascii="Times New Roman" w:hAnsi="Times New Roman" w:cs="Times New Roman"/>
          <w:sz w:val="24"/>
          <w:szCs w:val="24"/>
        </w:rPr>
        <w:t>. Basingstoke, Hampshire: Palgrave Macmillan.</w:t>
      </w:r>
    </w:p>
    <w:p w:rsidR="00AE2AC5" w:rsidRPr="008C1292" w:rsidRDefault="00AE2AC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Hettne</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Bjöne</w:t>
      </w:r>
      <w:proofErr w:type="spellEnd"/>
      <w:r w:rsidRPr="008C1292">
        <w:rPr>
          <w:rFonts w:ascii="Times New Roman" w:hAnsi="Times New Roman" w:cs="Times New Roman"/>
          <w:sz w:val="24"/>
          <w:szCs w:val="24"/>
        </w:rPr>
        <w:t xml:space="preserve"> (2002) Discourses on Utopianism: Polanyi and the Search for World Order, </w:t>
      </w:r>
      <w:r w:rsidRPr="008C1292">
        <w:rPr>
          <w:rFonts w:ascii="Times New Roman" w:hAnsi="Times New Roman" w:cs="Times New Roman"/>
          <w:i/>
          <w:iCs/>
          <w:sz w:val="24"/>
          <w:szCs w:val="24"/>
        </w:rPr>
        <w:t>International Studies Association Annual Convention</w:t>
      </w:r>
      <w:r w:rsidRPr="008C1292">
        <w:rPr>
          <w:rFonts w:ascii="Times New Roman" w:hAnsi="Times New Roman" w:cs="Times New Roman"/>
          <w:sz w:val="24"/>
          <w:szCs w:val="24"/>
        </w:rPr>
        <w:t>, New Orleans, March 24-27.</w:t>
      </w:r>
    </w:p>
    <w:p w:rsidR="0063792D" w:rsidRPr="008C1292" w:rsidRDefault="00AE2AC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Hettne</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Bjöne</w:t>
      </w:r>
      <w:proofErr w:type="spellEnd"/>
      <w:r w:rsidRPr="008C1292">
        <w:rPr>
          <w:rFonts w:ascii="Times New Roman" w:hAnsi="Times New Roman" w:cs="Times New Roman"/>
          <w:sz w:val="24"/>
          <w:szCs w:val="24"/>
        </w:rPr>
        <w:t xml:space="preserve"> (1997) Europe in a World of Regions. In R. Falk and T. </w:t>
      </w:r>
      <w:proofErr w:type="spellStart"/>
      <w:r w:rsidRPr="008C1292">
        <w:rPr>
          <w:rFonts w:ascii="Times New Roman" w:hAnsi="Times New Roman" w:cs="Times New Roman"/>
          <w:sz w:val="24"/>
          <w:szCs w:val="24"/>
        </w:rPr>
        <w:t>Szentes</w:t>
      </w:r>
      <w:proofErr w:type="spellEnd"/>
      <w:r w:rsidRPr="008C1292">
        <w:rPr>
          <w:rFonts w:ascii="Times New Roman" w:hAnsi="Times New Roman" w:cs="Times New Roman"/>
          <w:sz w:val="24"/>
          <w:szCs w:val="24"/>
        </w:rPr>
        <w:t xml:space="preserve"> (eds.) </w:t>
      </w:r>
      <w:r w:rsidRPr="008C1292">
        <w:rPr>
          <w:rFonts w:ascii="Times New Roman" w:hAnsi="Times New Roman" w:cs="Times New Roman"/>
          <w:i/>
          <w:sz w:val="24"/>
          <w:szCs w:val="24"/>
        </w:rPr>
        <w:t>New Europe in the Changing Global System</w:t>
      </w:r>
      <w:r w:rsidRPr="008C1292">
        <w:rPr>
          <w:rFonts w:ascii="Times New Roman" w:hAnsi="Times New Roman" w:cs="Times New Roman"/>
          <w:sz w:val="24"/>
          <w:szCs w:val="24"/>
        </w:rPr>
        <w:t>, United Nations University Press, pp. 16-40.</w:t>
      </w:r>
    </w:p>
    <w:p w:rsidR="0063792D" w:rsidRPr="008C1292" w:rsidRDefault="0063792D"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Höpner</w:t>
      </w:r>
      <w:proofErr w:type="spellEnd"/>
      <w:r w:rsidRPr="008C1292">
        <w:rPr>
          <w:rFonts w:ascii="Times New Roman" w:hAnsi="Times New Roman" w:cs="Times New Roman"/>
          <w:sz w:val="24"/>
          <w:szCs w:val="24"/>
        </w:rPr>
        <w:t xml:space="preserve">, Martin and Armin </w:t>
      </w:r>
      <w:proofErr w:type="spellStart"/>
      <w:r w:rsidRPr="008C1292">
        <w:rPr>
          <w:rFonts w:ascii="Times New Roman" w:hAnsi="Times New Roman" w:cs="Times New Roman"/>
          <w:sz w:val="24"/>
          <w:szCs w:val="24"/>
        </w:rPr>
        <w:t>Schäfer</w:t>
      </w:r>
      <w:proofErr w:type="spellEnd"/>
      <w:r w:rsidRPr="008C1292">
        <w:rPr>
          <w:rFonts w:ascii="Times New Roman" w:hAnsi="Times New Roman" w:cs="Times New Roman"/>
          <w:sz w:val="24"/>
          <w:szCs w:val="24"/>
        </w:rPr>
        <w:t xml:space="preserve"> (2010) A New Phase of European Integration: Organized Capitalism in Post-Ricardian Europe, </w:t>
      </w:r>
      <w:r w:rsidRPr="008C1292">
        <w:rPr>
          <w:rFonts w:ascii="Times New Roman" w:hAnsi="Times New Roman" w:cs="Times New Roman"/>
          <w:i/>
          <w:sz w:val="24"/>
          <w:szCs w:val="24"/>
        </w:rPr>
        <w:t>West European Politics</w:t>
      </w:r>
      <w:r w:rsidRPr="008C1292">
        <w:rPr>
          <w:rFonts w:ascii="Times New Roman" w:hAnsi="Times New Roman" w:cs="Times New Roman"/>
          <w:sz w:val="24"/>
          <w:szCs w:val="24"/>
        </w:rPr>
        <w:t>, 33 (2): 344-368.</w:t>
      </w:r>
    </w:p>
    <w:p w:rsidR="005A2FD0" w:rsidRPr="008C1292" w:rsidRDefault="005A2FD0"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Inayatullah</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Naeem</w:t>
      </w:r>
      <w:proofErr w:type="spellEnd"/>
      <w:r w:rsidRPr="008C1292">
        <w:rPr>
          <w:rFonts w:ascii="Times New Roman" w:hAnsi="Times New Roman" w:cs="Times New Roman"/>
          <w:sz w:val="24"/>
          <w:szCs w:val="24"/>
        </w:rPr>
        <w:t xml:space="preserve"> and David L. </w:t>
      </w:r>
      <w:proofErr w:type="spellStart"/>
      <w:r w:rsidRPr="008C1292">
        <w:rPr>
          <w:rFonts w:ascii="Times New Roman" w:hAnsi="Times New Roman" w:cs="Times New Roman"/>
          <w:sz w:val="24"/>
          <w:szCs w:val="24"/>
        </w:rPr>
        <w:t>Blaney</w:t>
      </w:r>
      <w:proofErr w:type="spellEnd"/>
      <w:r w:rsidRPr="008C1292">
        <w:rPr>
          <w:rFonts w:ascii="Times New Roman" w:hAnsi="Times New Roman" w:cs="Times New Roman"/>
          <w:sz w:val="24"/>
          <w:szCs w:val="24"/>
        </w:rPr>
        <w:t xml:space="preserve"> (1999) Towards an Ethnological IPE: Karl Polanyi’s Double Critique of Capitalism, </w:t>
      </w:r>
      <w:r w:rsidRPr="008C1292">
        <w:rPr>
          <w:rFonts w:ascii="Times New Roman" w:hAnsi="Times New Roman" w:cs="Times New Roman"/>
          <w:i/>
          <w:sz w:val="24"/>
          <w:szCs w:val="24"/>
        </w:rPr>
        <w:t>Millennium Journal of International Studies</w:t>
      </w:r>
      <w:r w:rsidRPr="008C1292">
        <w:rPr>
          <w:rFonts w:ascii="Times New Roman" w:hAnsi="Times New Roman" w:cs="Times New Roman"/>
          <w:sz w:val="24"/>
          <w:szCs w:val="24"/>
        </w:rPr>
        <w:t xml:space="preserve">, 28, 311-340. </w:t>
      </w:r>
    </w:p>
    <w:p w:rsidR="0048130F" w:rsidRPr="008C1292" w:rsidRDefault="001E6B8E"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Jabko</w:t>
      </w:r>
      <w:proofErr w:type="spellEnd"/>
      <w:r w:rsidRPr="008C1292">
        <w:rPr>
          <w:rFonts w:ascii="Times New Roman" w:hAnsi="Times New Roman" w:cs="Times New Roman"/>
          <w:sz w:val="24"/>
          <w:szCs w:val="24"/>
        </w:rPr>
        <w:t xml:space="preserve">, Nicolas (2015)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Elusive Economic Government and the Forgotten Fiscal Union, </w:t>
      </w:r>
      <w:r w:rsidR="00B61B4A" w:rsidRPr="008C1292">
        <w:rPr>
          <w:rFonts w:ascii="Times New Roman" w:hAnsi="Times New Roman" w:cs="Times New Roman"/>
          <w:sz w:val="24"/>
          <w:szCs w:val="24"/>
        </w:rPr>
        <w:t>i</w:t>
      </w:r>
      <w:r w:rsidRPr="008C1292">
        <w:rPr>
          <w:rFonts w:ascii="Times New Roman" w:hAnsi="Times New Roman" w:cs="Times New Roman"/>
          <w:sz w:val="24"/>
          <w:szCs w:val="24"/>
        </w:rPr>
        <w:t xml:space="preserve">n M. </w:t>
      </w:r>
      <w:proofErr w:type="spellStart"/>
      <w:r w:rsidRPr="008C1292">
        <w:rPr>
          <w:rFonts w:ascii="Times New Roman" w:hAnsi="Times New Roman" w:cs="Times New Roman"/>
          <w:sz w:val="24"/>
          <w:szCs w:val="24"/>
        </w:rPr>
        <w:t>Matthijs</w:t>
      </w:r>
      <w:proofErr w:type="spellEnd"/>
      <w:r w:rsidRPr="008C1292">
        <w:rPr>
          <w:rFonts w:ascii="Times New Roman" w:hAnsi="Times New Roman" w:cs="Times New Roman"/>
          <w:sz w:val="24"/>
          <w:szCs w:val="24"/>
        </w:rPr>
        <w:t xml:space="preserve"> and M. Blyth (eds.) </w:t>
      </w:r>
      <w:r w:rsidRPr="008C1292">
        <w:rPr>
          <w:rFonts w:ascii="Times New Roman" w:hAnsi="Times New Roman" w:cs="Times New Roman"/>
          <w:i/>
          <w:sz w:val="24"/>
          <w:szCs w:val="24"/>
        </w:rPr>
        <w:t>The Future of the Euro</w:t>
      </w:r>
      <w:r w:rsidR="00B61B4A" w:rsidRPr="008C1292">
        <w:rPr>
          <w:rFonts w:ascii="Times New Roman" w:hAnsi="Times New Roman" w:cs="Times New Roman"/>
          <w:sz w:val="24"/>
          <w:szCs w:val="24"/>
        </w:rPr>
        <w:t xml:space="preserve">, </w:t>
      </w:r>
      <w:r w:rsidRPr="008C1292">
        <w:rPr>
          <w:rFonts w:ascii="Times New Roman" w:hAnsi="Times New Roman" w:cs="Times New Roman"/>
          <w:sz w:val="24"/>
          <w:szCs w:val="24"/>
        </w:rPr>
        <w:t xml:space="preserve">Oxford University Press, pp: 70-89. </w:t>
      </w:r>
    </w:p>
    <w:p w:rsidR="0048130F" w:rsidRPr="008C1292" w:rsidRDefault="0048130F"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Jabłecki</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Juliusz</w:t>
      </w:r>
      <w:proofErr w:type="spellEnd"/>
      <w:r w:rsidRPr="008C1292">
        <w:rPr>
          <w:rFonts w:ascii="Times New Roman" w:hAnsi="Times New Roman" w:cs="Times New Roman"/>
          <w:sz w:val="24"/>
          <w:szCs w:val="24"/>
        </w:rPr>
        <w:t xml:space="preserve"> (2012) The European Sovereign-Debt Crisis: A Failure of Regulation</w:t>
      </w:r>
      <w:proofErr w:type="gramStart"/>
      <w:r w:rsidRPr="008C1292">
        <w:rPr>
          <w:rFonts w:ascii="Times New Roman" w:hAnsi="Times New Roman" w:cs="Times New Roman"/>
          <w:sz w:val="24"/>
          <w:szCs w:val="24"/>
        </w:rPr>
        <w:t>?,</w:t>
      </w:r>
      <w:proofErr w:type="gramEnd"/>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Critical Review: A Journal of Politics and Society</w:t>
      </w:r>
      <w:r w:rsidRPr="008C1292">
        <w:rPr>
          <w:rFonts w:ascii="Times New Roman" w:hAnsi="Times New Roman" w:cs="Times New Roman"/>
          <w:sz w:val="24"/>
          <w:szCs w:val="24"/>
        </w:rPr>
        <w:t xml:space="preserve">, 24(1): 1-35. </w:t>
      </w:r>
    </w:p>
    <w:p w:rsidR="001E6B8E" w:rsidRPr="008C1292" w:rsidRDefault="001E6B8E"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Jones, Erik (2015)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Forgotten Financial Inion, </w:t>
      </w:r>
      <w:r w:rsidR="00B61B4A" w:rsidRPr="008C1292">
        <w:rPr>
          <w:rFonts w:ascii="Times New Roman" w:hAnsi="Times New Roman" w:cs="Times New Roman"/>
          <w:sz w:val="24"/>
          <w:szCs w:val="24"/>
        </w:rPr>
        <w:t>i</w:t>
      </w:r>
      <w:r w:rsidRPr="008C1292">
        <w:rPr>
          <w:rFonts w:ascii="Times New Roman" w:hAnsi="Times New Roman" w:cs="Times New Roman"/>
          <w:sz w:val="24"/>
          <w:szCs w:val="24"/>
        </w:rPr>
        <w:t xml:space="preserve">n M. </w:t>
      </w:r>
      <w:proofErr w:type="spellStart"/>
      <w:r w:rsidRPr="008C1292">
        <w:rPr>
          <w:rFonts w:ascii="Times New Roman" w:hAnsi="Times New Roman" w:cs="Times New Roman"/>
          <w:sz w:val="24"/>
          <w:szCs w:val="24"/>
        </w:rPr>
        <w:t>Matthijs</w:t>
      </w:r>
      <w:proofErr w:type="spellEnd"/>
      <w:r w:rsidRPr="008C1292">
        <w:rPr>
          <w:rFonts w:ascii="Times New Roman" w:hAnsi="Times New Roman" w:cs="Times New Roman"/>
          <w:sz w:val="24"/>
          <w:szCs w:val="24"/>
        </w:rPr>
        <w:t xml:space="preserve"> and M. Blyth (eds.) </w:t>
      </w:r>
      <w:r w:rsidRPr="008C1292">
        <w:rPr>
          <w:rFonts w:ascii="Times New Roman" w:hAnsi="Times New Roman" w:cs="Times New Roman"/>
          <w:i/>
          <w:sz w:val="24"/>
          <w:szCs w:val="24"/>
        </w:rPr>
        <w:t>The Future of the Euro</w:t>
      </w:r>
      <w:r w:rsidR="00B61B4A" w:rsidRPr="008C1292">
        <w:rPr>
          <w:rFonts w:ascii="Times New Roman" w:hAnsi="Times New Roman" w:cs="Times New Roman"/>
          <w:sz w:val="24"/>
          <w:szCs w:val="24"/>
        </w:rPr>
        <w:t>,</w:t>
      </w:r>
      <w:r w:rsidRPr="008C1292">
        <w:rPr>
          <w:rFonts w:ascii="Times New Roman" w:hAnsi="Times New Roman" w:cs="Times New Roman"/>
          <w:sz w:val="24"/>
          <w:szCs w:val="24"/>
        </w:rPr>
        <w:t xml:space="preserve"> Oxford University Press</w:t>
      </w:r>
      <w:r w:rsidR="009266CA" w:rsidRPr="008C1292">
        <w:rPr>
          <w:rFonts w:ascii="Times New Roman" w:hAnsi="Times New Roman" w:cs="Times New Roman"/>
          <w:sz w:val="24"/>
          <w:szCs w:val="24"/>
        </w:rPr>
        <w:t>, pp: 44-69</w:t>
      </w:r>
      <w:r w:rsidRPr="008C1292">
        <w:rPr>
          <w:rFonts w:ascii="Times New Roman" w:hAnsi="Times New Roman" w:cs="Times New Roman"/>
          <w:sz w:val="24"/>
          <w:szCs w:val="24"/>
        </w:rPr>
        <w:t>.</w:t>
      </w:r>
    </w:p>
    <w:p w:rsidR="00E356C0" w:rsidRPr="008C1292" w:rsidRDefault="0047491B"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Krippner</w:t>
      </w:r>
      <w:proofErr w:type="spellEnd"/>
      <w:r w:rsidRPr="008C1292">
        <w:rPr>
          <w:rFonts w:ascii="Times New Roman" w:hAnsi="Times New Roman" w:cs="Times New Roman"/>
          <w:sz w:val="24"/>
          <w:szCs w:val="24"/>
        </w:rPr>
        <w:t xml:space="preserve">, Greta (2004) Polanyi Symposium: A Conversation on Embeddedness. </w:t>
      </w:r>
      <w:r w:rsidRPr="008C1292">
        <w:rPr>
          <w:rFonts w:ascii="Times New Roman" w:hAnsi="Times New Roman" w:cs="Times New Roman"/>
          <w:i/>
          <w:sz w:val="24"/>
          <w:szCs w:val="24"/>
        </w:rPr>
        <w:t>Socio-Economic Review,</w:t>
      </w:r>
      <w:r w:rsidRPr="008C1292">
        <w:rPr>
          <w:rFonts w:ascii="Times New Roman" w:hAnsi="Times New Roman" w:cs="Times New Roman"/>
          <w:sz w:val="24"/>
          <w:szCs w:val="24"/>
        </w:rPr>
        <w:t xml:space="preserve"> 2(1): 109-135.</w:t>
      </w:r>
    </w:p>
    <w:p w:rsidR="00E356C0" w:rsidRPr="008C1292" w:rsidRDefault="00E356C0"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Krugman, Paul (2012) </w:t>
      </w:r>
      <w:r w:rsidRPr="008C1292">
        <w:rPr>
          <w:rFonts w:ascii="Times New Roman" w:hAnsi="Times New Roman" w:cs="Times New Roman"/>
          <w:i/>
          <w:sz w:val="24"/>
          <w:szCs w:val="24"/>
        </w:rPr>
        <w:t>End This Depression Now</w:t>
      </w:r>
      <w:r w:rsidRPr="008C1292">
        <w:rPr>
          <w:rFonts w:ascii="Times New Roman" w:hAnsi="Times New Roman" w:cs="Times New Roman"/>
          <w:sz w:val="24"/>
          <w:szCs w:val="24"/>
        </w:rPr>
        <w:t xml:space="preserve">, New York, NY: W.W. Norton &amp; Company. </w:t>
      </w:r>
    </w:p>
    <w:p w:rsidR="00E231F3" w:rsidRPr="008C1292" w:rsidRDefault="00E231F3"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Lacher</w:t>
      </w:r>
      <w:proofErr w:type="spellEnd"/>
      <w:r w:rsidRPr="008C1292">
        <w:rPr>
          <w:rFonts w:ascii="Times New Roman" w:hAnsi="Times New Roman" w:cs="Times New Roman"/>
          <w:sz w:val="24"/>
          <w:szCs w:val="24"/>
        </w:rPr>
        <w:t xml:space="preserve">, Hannes (2007) The Slight Transformation: Contesting </w:t>
      </w:r>
      <w:r w:rsidR="00B61B4A" w:rsidRPr="008C1292">
        <w:rPr>
          <w:rFonts w:ascii="Times New Roman" w:hAnsi="Times New Roman" w:cs="Times New Roman"/>
          <w:sz w:val="24"/>
          <w:szCs w:val="24"/>
        </w:rPr>
        <w:t>the Legacy of Karl Polanyi, i</w:t>
      </w:r>
      <w:r w:rsidRPr="008C1292">
        <w:rPr>
          <w:rFonts w:ascii="Times New Roman" w:hAnsi="Times New Roman" w:cs="Times New Roman"/>
          <w:sz w:val="24"/>
          <w:szCs w:val="24"/>
        </w:rPr>
        <w:t xml:space="preserve">n A. </w:t>
      </w:r>
      <w:proofErr w:type="spellStart"/>
      <w:r w:rsidRPr="008C1292">
        <w:rPr>
          <w:rFonts w:ascii="Times New Roman" w:hAnsi="Times New Roman" w:cs="Times New Roman"/>
          <w:sz w:val="24"/>
          <w:szCs w:val="24"/>
        </w:rPr>
        <w:t>Buğra</w:t>
      </w:r>
      <w:proofErr w:type="spellEnd"/>
      <w:r w:rsidRPr="008C1292">
        <w:rPr>
          <w:rFonts w:ascii="Times New Roman" w:hAnsi="Times New Roman" w:cs="Times New Roman"/>
          <w:sz w:val="24"/>
          <w:szCs w:val="24"/>
        </w:rPr>
        <w:t xml:space="preserve"> and K. </w:t>
      </w:r>
      <w:proofErr w:type="spellStart"/>
      <w:r w:rsidRPr="008C1292">
        <w:rPr>
          <w:rFonts w:ascii="Times New Roman" w:hAnsi="Times New Roman" w:cs="Times New Roman"/>
          <w:sz w:val="24"/>
          <w:szCs w:val="24"/>
        </w:rPr>
        <w:t>Ağartan</w:t>
      </w:r>
      <w:proofErr w:type="spellEnd"/>
      <w:r w:rsidRPr="008C1292">
        <w:rPr>
          <w:rFonts w:ascii="Times New Roman" w:hAnsi="Times New Roman" w:cs="Times New Roman"/>
          <w:i/>
          <w:sz w:val="24"/>
          <w:szCs w:val="24"/>
        </w:rPr>
        <w:t xml:space="preserve"> </w:t>
      </w:r>
      <w:r w:rsidRPr="008C1292">
        <w:rPr>
          <w:rFonts w:ascii="Times New Roman" w:hAnsi="Times New Roman" w:cs="Times New Roman"/>
          <w:sz w:val="24"/>
          <w:szCs w:val="24"/>
        </w:rPr>
        <w:t>(eds.)</w:t>
      </w:r>
      <w:r w:rsidRPr="008C1292">
        <w:rPr>
          <w:rFonts w:ascii="Times New Roman" w:hAnsi="Times New Roman" w:cs="Times New Roman"/>
          <w:i/>
          <w:sz w:val="24"/>
          <w:szCs w:val="24"/>
        </w:rPr>
        <w:t xml:space="preserve"> Reading Karl Polanyi for the Twenty-first Century: Market Economy as a Political Project</w:t>
      </w:r>
      <w:r w:rsidRPr="008C1292">
        <w:rPr>
          <w:rFonts w:ascii="Times New Roman" w:hAnsi="Times New Roman" w:cs="Times New Roman"/>
          <w:sz w:val="24"/>
          <w:szCs w:val="24"/>
        </w:rPr>
        <w:t xml:space="preserve">, New York, NY: Palgrave Macmillan, pp. 50-64. </w:t>
      </w:r>
    </w:p>
    <w:p w:rsidR="009266CA" w:rsidRPr="008C1292" w:rsidRDefault="00E231F3"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Lacher</w:t>
      </w:r>
      <w:proofErr w:type="spellEnd"/>
      <w:r w:rsidRPr="008C1292">
        <w:rPr>
          <w:rFonts w:ascii="Times New Roman" w:hAnsi="Times New Roman" w:cs="Times New Roman"/>
          <w:sz w:val="24"/>
          <w:szCs w:val="24"/>
        </w:rPr>
        <w:t xml:space="preserve">, Hannes (1999)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Politics of the Market: Re‐Reading Karl Polanyi. </w:t>
      </w:r>
      <w:r w:rsidRPr="008C1292">
        <w:rPr>
          <w:rFonts w:ascii="Times New Roman" w:hAnsi="Times New Roman" w:cs="Times New Roman"/>
          <w:i/>
          <w:sz w:val="24"/>
          <w:szCs w:val="24"/>
        </w:rPr>
        <w:t>Global Society,</w:t>
      </w:r>
      <w:r w:rsidRPr="008C1292">
        <w:rPr>
          <w:rFonts w:ascii="Times New Roman" w:hAnsi="Times New Roman" w:cs="Times New Roman"/>
          <w:sz w:val="24"/>
          <w:szCs w:val="24"/>
        </w:rPr>
        <w:t xml:space="preserve"> 13(3): 313-326. </w:t>
      </w:r>
    </w:p>
    <w:p w:rsidR="00720EC6" w:rsidRPr="008C1292" w:rsidRDefault="00370FC5"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Lane, Philip R (2012)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European Sovereign Debt Crisis, </w:t>
      </w:r>
      <w:r w:rsidRPr="008C1292">
        <w:rPr>
          <w:rFonts w:ascii="Times New Roman" w:hAnsi="Times New Roman" w:cs="Times New Roman"/>
          <w:i/>
          <w:sz w:val="24"/>
          <w:szCs w:val="24"/>
        </w:rPr>
        <w:t>Journal of Economic Perspectives</w:t>
      </w:r>
      <w:r w:rsidRPr="008C1292">
        <w:rPr>
          <w:rFonts w:ascii="Times New Roman" w:hAnsi="Times New Roman" w:cs="Times New Roman"/>
          <w:sz w:val="24"/>
          <w:szCs w:val="24"/>
        </w:rPr>
        <w:t xml:space="preserve">, 26(3): 49-68. </w:t>
      </w:r>
    </w:p>
    <w:p w:rsidR="00720EC6" w:rsidRPr="008C1292" w:rsidRDefault="00720EC6"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Macartney</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Huw</w:t>
      </w:r>
      <w:proofErr w:type="spellEnd"/>
      <w:r w:rsidRPr="008C1292">
        <w:rPr>
          <w:rFonts w:ascii="Times New Roman" w:hAnsi="Times New Roman" w:cs="Times New Roman"/>
          <w:sz w:val="24"/>
          <w:szCs w:val="24"/>
        </w:rPr>
        <w:t xml:space="preserve"> (2011) Finance Unraveled: A Historical Materialist Analysis of EU Public Policy, </w:t>
      </w:r>
      <w:r w:rsidRPr="008C1292">
        <w:rPr>
          <w:rFonts w:ascii="Times New Roman" w:hAnsi="Times New Roman" w:cs="Times New Roman"/>
          <w:i/>
          <w:sz w:val="24"/>
          <w:szCs w:val="24"/>
        </w:rPr>
        <w:t>Competition and Change</w:t>
      </w:r>
      <w:r w:rsidRPr="008C1292">
        <w:rPr>
          <w:rFonts w:ascii="Times New Roman" w:hAnsi="Times New Roman" w:cs="Times New Roman"/>
          <w:sz w:val="24"/>
          <w:szCs w:val="24"/>
        </w:rPr>
        <w:t xml:space="preserve">, 15(1): 48-70. </w:t>
      </w:r>
    </w:p>
    <w:p w:rsidR="00720EC6" w:rsidRPr="008C1292" w:rsidRDefault="00720EC6"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lastRenderedPageBreak/>
        <w:t xml:space="preserve">Major, Aaron (2012) Neoliberalism and the New International Financial Architecture, </w:t>
      </w:r>
      <w:r w:rsidRPr="008C1292">
        <w:rPr>
          <w:rFonts w:ascii="Times New Roman" w:hAnsi="Times New Roman" w:cs="Times New Roman"/>
          <w:i/>
          <w:sz w:val="24"/>
          <w:szCs w:val="24"/>
        </w:rPr>
        <w:t>Review of International Political Economy</w:t>
      </w:r>
      <w:r w:rsidRPr="008C1292">
        <w:rPr>
          <w:rFonts w:ascii="Times New Roman" w:hAnsi="Times New Roman" w:cs="Times New Roman"/>
          <w:sz w:val="24"/>
          <w:szCs w:val="24"/>
        </w:rPr>
        <w:t xml:space="preserve">, 19(4): 536-561. </w:t>
      </w:r>
    </w:p>
    <w:p w:rsidR="00953735" w:rsidRPr="008C1292" w:rsidRDefault="003D339A"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Matthijs</w:t>
      </w:r>
      <w:proofErr w:type="spellEnd"/>
      <w:r w:rsidRPr="008C1292">
        <w:rPr>
          <w:rFonts w:ascii="Times New Roman" w:hAnsi="Times New Roman" w:cs="Times New Roman"/>
          <w:sz w:val="24"/>
          <w:szCs w:val="24"/>
        </w:rPr>
        <w:t xml:space="preserve">, Matthias and Mark Blyth (2015) </w:t>
      </w:r>
      <w:r w:rsidRPr="008C1292">
        <w:rPr>
          <w:rFonts w:ascii="Times New Roman" w:hAnsi="Times New Roman" w:cs="Times New Roman"/>
          <w:i/>
          <w:sz w:val="24"/>
          <w:szCs w:val="24"/>
        </w:rPr>
        <w:t>The Future of the Euro</w:t>
      </w:r>
      <w:r w:rsidR="00B61B4A" w:rsidRPr="008C1292">
        <w:rPr>
          <w:rFonts w:ascii="Times New Roman" w:hAnsi="Times New Roman" w:cs="Times New Roman"/>
          <w:sz w:val="24"/>
          <w:szCs w:val="24"/>
        </w:rPr>
        <w:t>,</w:t>
      </w:r>
      <w:r w:rsidRPr="008C1292">
        <w:rPr>
          <w:rFonts w:ascii="Times New Roman" w:hAnsi="Times New Roman" w:cs="Times New Roman"/>
          <w:sz w:val="24"/>
          <w:szCs w:val="24"/>
        </w:rPr>
        <w:t xml:space="preserve"> Oxford University Press.</w:t>
      </w:r>
    </w:p>
    <w:p w:rsidR="009266CA" w:rsidRPr="008C1292" w:rsidRDefault="009266CA"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McNamara, Kathleen R. (2015)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Forgotten Problem of Embeddedness: History Lessons for the Euro, </w:t>
      </w:r>
      <w:r w:rsidR="00B61B4A" w:rsidRPr="008C1292">
        <w:rPr>
          <w:rFonts w:ascii="Times New Roman" w:hAnsi="Times New Roman" w:cs="Times New Roman"/>
          <w:sz w:val="24"/>
          <w:szCs w:val="24"/>
        </w:rPr>
        <w:t>i</w:t>
      </w:r>
      <w:r w:rsidRPr="008C1292">
        <w:rPr>
          <w:rFonts w:ascii="Times New Roman" w:hAnsi="Times New Roman" w:cs="Times New Roman"/>
          <w:sz w:val="24"/>
          <w:szCs w:val="24"/>
        </w:rPr>
        <w:t xml:space="preserve">n M. </w:t>
      </w:r>
      <w:proofErr w:type="spellStart"/>
      <w:r w:rsidRPr="008C1292">
        <w:rPr>
          <w:rFonts w:ascii="Times New Roman" w:hAnsi="Times New Roman" w:cs="Times New Roman"/>
          <w:sz w:val="24"/>
          <w:szCs w:val="24"/>
        </w:rPr>
        <w:t>Matthijs</w:t>
      </w:r>
      <w:proofErr w:type="spellEnd"/>
      <w:r w:rsidRPr="008C1292">
        <w:rPr>
          <w:rFonts w:ascii="Times New Roman" w:hAnsi="Times New Roman" w:cs="Times New Roman"/>
          <w:sz w:val="24"/>
          <w:szCs w:val="24"/>
        </w:rPr>
        <w:t xml:space="preserve"> and M. Blyth (eds.) </w:t>
      </w:r>
      <w:r w:rsidRPr="008C1292">
        <w:rPr>
          <w:rFonts w:ascii="Times New Roman" w:hAnsi="Times New Roman" w:cs="Times New Roman"/>
          <w:i/>
          <w:sz w:val="24"/>
          <w:szCs w:val="24"/>
        </w:rPr>
        <w:t>The Future of the Euro</w:t>
      </w:r>
      <w:r w:rsidR="00B61B4A" w:rsidRPr="008C1292">
        <w:rPr>
          <w:rFonts w:ascii="Times New Roman" w:hAnsi="Times New Roman" w:cs="Times New Roman"/>
          <w:sz w:val="24"/>
          <w:szCs w:val="24"/>
        </w:rPr>
        <w:t xml:space="preserve">, </w:t>
      </w:r>
      <w:r w:rsidRPr="008C1292">
        <w:rPr>
          <w:rFonts w:ascii="Times New Roman" w:hAnsi="Times New Roman" w:cs="Times New Roman"/>
          <w:sz w:val="24"/>
          <w:szCs w:val="24"/>
        </w:rPr>
        <w:t>Oxford University Press, pp: 21-43.</w:t>
      </w:r>
    </w:p>
    <w:p w:rsidR="00953735" w:rsidRPr="008C1292" w:rsidRDefault="0095373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Mügge</w:t>
      </w:r>
      <w:proofErr w:type="spellEnd"/>
      <w:r w:rsidRPr="008C1292">
        <w:rPr>
          <w:rFonts w:ascii="Times New Roman" w:hAnsi="Times New Roman" w:cs="Times New Roman"/>
          <w:sz w:val="24"/>
          <w:szCs w:val="24"/>
        </w:rPr>
        <w:t xml:space="preserve">, Daniel (2013)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Political Economy of Europeanized Financial R</w:t>
      </w:r>
      <w:r w:rsidR="00B61B4A" w:rsidRPr="008C1292">
        <w:rPr>
          <w:rFonts w:ascii="Times New Roman" w:hAnsi="Times New Roman" w:cs="Times New Roman"/>
          <w:sz w:val="24"/>
          <w:szCs w:val="24"/>
        </w:rPr>
        <w:t>egulation,</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 xml:space="preserve">Journal of European Public Policy, </w:t>
      </w:r>
      <w:r w:rsidRPr="008C1292">
        <w:rPr>
          <w:rFonts w:ascii="Times New Roman" w:hAnsi="Times New Roman" w:cs="Times New Roman"/>
          <w:sz w:val="24"/>
          <w:szCs w:val="24"/>
        </w:rPr>
        <w:t xml:space="preserve">20(3): 458-470. </w:t>
      </w:r>
    </w:p>
    <w:p w:rsidR="00720EC6" w:rsidRPr="008C1292" w:rsidRDefault="003D339A"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Overbeek</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Henk</w:t>
      </w:r>
      <w:proofErr w:type="spellEnd"/>
      <w:r w:rsidRPr="008C1292">
        <w:rPr>
          <w:rFonts w:ascii="Times New Roman" w:hAnsi="Times New Roman" w:cs="Times New Roman"/>
          <w:sz w:val="24"/>
          <w:szCs w:val="24"/>
        </w:rPr>
        <w:t xml:space="preserve"> and </w:t>
      </w:r>
      <w:proofErr w:type="spellStart"/>
      <w:r w:rsidRPr="008C1292">
        <w:rPr>
          <w:rFonts w:ascii="Times New Roman" w:hAnsi="Times New Roman" w:cs="Times New Roman"/>
          <w:sz w:val="24"/>
          <w:szCs w:val="24"/>
        </w:rPr>
        <w:t>Bastiaan</w:t>
      </w:r>
      <w:proofErr w:type="spellEnd"/>
      <w:r w:rsidRPr="008C1292">
        <w:rPr>
          <w:rFonts w:ascii="Times New Roman" w:hAnsi="Times New Roman" w:cs="Times New Roman"/>
          <w:sz w:val="24"/>
          <w:szCs w:val="24"/>
        </w:rPr>
        <w:t xml:space="preserve"> van Apeldoorn (eds.) (2012) </w:t>
      </w:r>
      <w:r w:rsidRPr="008C1292">
        <w:rPr>
          <w:rFonts w:ascii="Times New Roman" w:hAnsi="Times New Roman" w:cs="Times New Roman"/>
          <w:i/>
          <w:sz w:val="24"/>
          <w:szCs w:val="24"/>
        </w:rPr>
        <w:t>Neoliberalism in Crisis</w:t>
      </w:r>
      <w:r w:rsidR="00B61B4A" w:rsidRPr="008C1292">
        <w:rPr>
          <w:rFonts w:ascii="Times New Roman" w:hAnsi="Times New Roman" w:cs="Times New Roman"/>
          <w:sz w:val="24"/>
          <w:szCs w:val="24"/>
        </w:rPr>
        <w:t>,</w:t>
      </w:r>
      <w:r w:rsidRPr="008C1292">
        <w:rPr>
          <w:rFonts w:ascii="Times New Roman" w:hAnsi="Times New Roman" w:cs="Times New Roman"/>
          <w:sz w:val="24"/>
          <w:szCs w:val="24"/>
        </w:rPr>
        <w:t xml:space="preserve"> Hampshire: Palgrave Macmillan.</w:t>
      </w:r>
    </w:p>
    <w:p w:rsidR="005A2FD0" w:rsidRPr="008C1292" w:rsidRDefault="00720EC6"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Palley</w:t>
      </w:r>
      <w:proofErr w:type="spellEnd"/>
      <w:r w:rsidRPr="008C1292">
        <w:rPr>
          <w:rFonts w:ascii="Times New Roman" w:hAnsi="Times New Roman" w:cs="Times New Roman"/>
          <w:sz w:val="24"/>
          <w:szCs w:val="24"/>
        </w:rPr>
        <w:t xml:space="preserve">, Thomas I. (2013) Europe’s Crisis </w:t>
      </w:r>
      <w:r w:rsidR="00061C74" w:rsidRPr="008C1292">
        <w:rPr>
          <w:rFonts w:ascii="Times New Roman" w:hAnsi="Times New Roman" w:cs="Times New Roman"/>
          <w:sz w:val="24"/>
          <w:szCs w:val="24"/>
        </w:rPr>
        <w:t>without</w:t>
      </w:r>
      <w:r w:rsidRPr="008C1292">
        <w:rPr>
          <w:rFonts w:ascii="Times New Roman" w:hAnsi="Times New Roman" w:cs="Times New Roman"/>
          <w:sz w:val="24"/>
          <w:szCs w:val="24"/>
        </w:rPr>
        <w:t xml:space="preserve"> End: The Consequence of Neoliberalism, </w:t>
      </w:r>
      <w:r w:rsidRPr="008C1292">
        <w:rPr>
          <w:rFonts w:ascii="Times New Roman" w:hAnsi="Times New Roman" w:cs="Times New Roman"/>
          <w:i/>
          <w:sz w:val="24"/>
          <w:szCs w:val="24"/>
        </w:rPr>
        <w:t>Contributions to Political Economy</w:t>
      </w:r>
      <w:r w:rsidRPr="008C1292">
        <w:rPr>
          <w:rFonts w:ascii="Times New Roman" w:hAnsi="Times New Roman" w:cs="Times New Roman"/>
          <w:sz w:val="24"/>
          <w:szCs w:val="24"/>
        </w:rPr>
        <w:t xml:space="preserve">, 32 (1): 29-50. </w:t>
      </w:r>
    </w:p>
    <w:p w:rsidR="00C6577B" w:rsidRPr="008C1292" w:rsidRDefault="005A2FD0"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Peacock, Mark (2006) </w:t>
      </w:r>
      <w:proofErr w:type="gramStart"/>
      <w:r w:rsidRPr="008C1292">
        <w:rPr>
          <w:rFonts w:ascii="Times New Roman" w:hAnsi="Times New Roman" w:cs="Times New Roman"/>
          <w:sz w:val="24"/>
          <w:szCs w:val="24"/>
        </w:rPr>
        <w:t>The</w:t>
      </w:r>
      <w:proofErr w:type="gramEnd"/>
      <w:r w:rsidRPr="008C1292">
        <w:rPr>
          <w:rFonts w:ascii="Times New Roman" w:hAnsi="Times New Roman" w:cs="Times New Roman"/>
          <w:sz w:val="24"/>
          <w:szCs w:val="24"/>
        </w:rPr>
        <w:t xml:space="preserve"> Origins of Money in Ancient Greece: The Political Economy of Coinage and Exchange, </w:t>
      </w:r>
      <w:r w:rsidRPr="008C1292">
        <w:rPr>
          <w:rFonts w:ascii="Times New Roman" w:hAnsi="Times New Roman" w:cs="Times New Roman"/>
          <w:i/>
          <w:sz w:val="24"/>
          <w:szCs w:val="24"/>
        </w:rPr>
        <w:t>Cambridge Journal of Economics,</w:t>
      </w:r>
      <w:r w:rsidRPr="008C1292">
        <w:rPr>
          <w:rFonts w:ascii="Times New Roman" w:hAnsi="Times New Roman" w:cs="Times New Roman"/>
          <w:sz w:val="24"/>
          <w:szCs w:val="24"/>
        </w:rPr>
        <w:t xml:space="preserve"> 30, 637-650. </w:t>
      </w:r>
    </w:p>
    <w:p w:rsidR="00C6577B" w:rsidRPr="008C1292" w:rsidRDefault="00C6577B"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Polanyi, Karl (1977) </w:t>
      </w:r>
      <w:r w:rsidRPr="008C1292">
        <w:rPr>
          <w:rFonts w:ascii="Times New Roman" w:hAnsi="Times New Roman" w:cs="Times New Roman"/>
          <w:i/>
          <w:sz w:val="24"/>
          <w:szCs w:val="24"/>
        </w:rPr>
        <w:t>The Livelihood of Man</w:t>
      </w:r>
      <w:r w:rsidRPr="008C1292">
        <w:rPr>
          <w:rFonts w:ascii="Times New Roman" w:hAnsi="Times New Roman" w:cs="Times New Roman"/>
          <w:sz w:val="24"/>
          <w:szCs w:val="24"/>
        </w:rPr>
        <w:t xml:space="preserve">, edited by Harry W. Pearson. New York, NY: Academic Press. </w:t>
      </w:r>
    </w:p>
    <w:p w:rsidR="00C6577B" w:rsidRPr="008C1292" w:rsidRDefault="00C6577B"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Polanyi, Karl (1957) The Economy as Instituted Process, in K. Polanyi, C.M. </w:t>
      </w:r>
      <w:proofErr w:type="spellStart"/>
      <w:r w:rsidRPr="008C1292">
        <w:rPr>
          <w:rFonts w:ascii="Times New Roman" w:hAnsi="Times New Roman" w:cs="Times New Roman"/>
          <w:sz w:val="24"/>
          <w:szCs w:val="24"/>
        </w:rPr>
        <w:t>Arensberg</w:t>
      </w:r>
      <w:proofErr w:type="spellEnd"/>
      <w:r w:rsidRPr="008C1292">
        <w:rPr>
          <w:rFonts w:ascii="Times New Roman" w:hAnsi="Times New Roman" w:cs="Times New Roman"/>
          <w:sz w:val="24"/>
          <w:szCs w:val="24"/>
        </w:rPr>
        <w:t xml:space="preserve"> and H. W. Pearson (eds.) </w:t>
      </w:r>
      <w:r w:rsidRPr="008C1292">
        <w:rPr>
          <w:rFonts w:ascii="Times New Roman" w:hAnsi="Times New Roman" w:cs="Times New Roman"/>
          <w:i/>
          <w:sz w:val="24"/>
          <w:szCs w:val="24"/>
        </w:rPr>
        <w:t>Trade and Market in the Early Empires</w:t>
      </w:r>
      <w:r w:rsidRPr="008C1292">
        <w:rPr>
          <w:rFonts w:ascii="Times New Roman" w:hAnsi="Times New Roman" w:cs="Times New Roman"/>
          <w:sz w:val="24"/>
          <w:szCs w:val="24"/>
        </w:rPr>
        <w:t>, New York, NY: The Free Press, pp. 243-270.</w:t>
      </w:r>
    </w:p>
    <w:p w:rsidR="00C6577B" w:rsidRPr="008C1292" w:rsidRDefault="00C6577B"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Polanyi, Karl (2001[1944]) </w:t>
      </w:r>
      <w:proofErr w:type="gramStart"/>
      <w:r w:rsidRPr="008C1292">
        <w:rPr>
          <w:rFonts w:ascii="Times New Roman" w:hAnsi="Times New Roman" w:cs="Times New Roman"/>
          <w:i/>
          <w:sz w:val="24"/>
          <w:szCs w:val="24"/>
        </w:rPr>
        <w:t>The</w:t>
      </w:r>
      <w:proofErr w:type="gramEnd"/>
      <w:r w:rsidRPr="008C1292">
        <w:rPr>
          <w:rFonts w:ascii="Times New Roman" w:hAnsi="Times New Roman" w:cs="Times New Roman"/>
          <w:i/>
          <w:sz w:val="24"/>
          <w:szCs w:val="24"/>
        </w:rPr>
        <w:t xml:space="preserve"> Great Transformation</w:t>
      </w:r>
      <w:r w:rsidRPr="008C1292">
        <w:rPr>
          <w:rFonts w:ascii="Times New Roman" w:hAnsi="Times New Roman" w:cs="Times New Roman"/>
          <w:sz w:val="24"/>
          <w:szCs w:val="24"/>
        </w:rPr>
        <w:t xml:space="preserve">, Boston, MA: Beacon Press. </w:t>
      </w:r>
    </w:p>
    <w:p w:rsidR="005A2FD0" w:rsidRPr="008C1292" w:rsidRDefault="005A2FD0"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Saiag</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Hadrien</w:t>
      </w:r>
      <w:proofErr w:type="spellEnd"/>
      <w:r w:rsidRPr="008C1292">
        <w:rPr>
          <w:rFonts w:ascii="Times New Roman" w:hAnsi="Times New Roman" w:cs="Times New Roman"/>
          <w:sz w:val="24"/>
          <w:szCs w:val="24"/>
        </w:rPr>
        <w:t xml:space="preserve"> (2014) Towards a Neo-Polanyian Approach to Money: Integrating the Concept of Debt, </w:t>
      </w:r>
      <w:r w:rsidRPr="008C1292">
        <w:rPr>
          <w:rFonts w:ascii="Times New Roman" w:hAnsi="Times New Roman" w:cs="Times New Roman"/>
          <w:i/>
          <w:sz w:val="24"/>
          <w:szCs w:val="24"/>
        </w:rPr>
        <w:t>Economy &amp; Society</w:t>
      </w:r>
      <w:r w:rsidRPr="008C1292">
        <w:rPr>
          <w:rFonts w:ascii="Times New Roman" w:hAnsi="Times New Roman" w:cs="Times New Roman"/>
          <w:sz w:val="24"/>
          <w:szCs w:val="24"/>
        </w:rPr>
        <w:t xml:space="preserve">, 43, 559-581. </w:t>
      </w:r>
    </w:p>
    <w:p w:rsidR="00BB76BD" w:rsidRPr="008C1292" w:rsidRDefault="005B4E15"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Scharpf</w:t>
      </w:r>
      <w:proofErr w:type="spellEnd"/>
      <w:r w:rsidRPr="008C1292">
        <w:rPr>
          <w:rFonts w:ascii="Times New Roman" w:hAnsi="Times New Roman" w:cs="Times New Roman"/>
          <w:sz w:val="24"/>
          <w:szCs w:val="24"/>
        </w:rPr>
        <w:t xml:space="preserve">, </w:t>
      </w:r>
      <w:proofErr w:type="spellStart"/>
      <w:r w:rsidRPr="008C1292">
        <w:rPr>
          <w:rFonts w:ascii="Times New Roman" w:hAnsi="Times New Roman" w:cs="Times New Roman"/>
          <w:sz w:val="24"/>
          <w:szCs w:val="24"/>
        </w:rPr>
        <w:t>Frtiz</w:t>
      </w:r>
      <w:proofErr w:type="spellEnd"/>
      <w:r w:rsidRPr="008C1292">
        <w:rPr>
          <w:rFonts w:ascii="Times New Roman" w:hAnsi="Times New Roman" w:cs="Times New Roman"/>
          <w:sz w:val="24"/>
          <w:szCs w:val="24"/>
        </w:rPr>
        <w:t xml:space="preserve"> W. (2015) </w:t>
      </w:r>
      <w:proofErr w:type="gramStart"/>
      <w:r w:rsidRPr="008C1292">
        <w:rPr>
          <w:rFonts w:ascii="Times New Roman" w:hAnsi="Times New Roman" w:cs="Times New Roman"/>
          <w:sz w:val="24"/>
          <w:szCs w:val="24"/>
        </w:rPr>
        <w:t>A</w:t>
      </w:r>
      <w:proofErr w:type="gramEnd"/>
      <w:r w:rsidRPr="008C1292">
        <w:rPr>
          <w:rFonts w:ascii="Times New Roman" w:hAnsi="Times New Roman" w:cs="Times New Roman"/>
          <w:sz w:val="24"/>
          <w:szCs w:val="24"/>
        </w:rPr>
        <w:t xml:space="preserve"> Perspective on</w:t>
      </w:r>
      <w:r w:rsidR="00B61B4A" w:rsidRPr="008C1292">
        <w:rPr>
          <w:rFonts w:ascii="Times New Roman" w:hAnsi="Times New Roman" w:cs="Times New Roman"/>
          <w:sz w:val="24"/>
          <w:szCs w:val="24"/>
        </w:rPr>
        <w:t xml:space="preserve"> Multilevel European Democracy, </w:t>
      </w:r>
      <w:r w:rsidRPr="008C1292">
        <w:rPr>
          <w:rFonts w:ascii="Times New Roman" w:hAnsi="Times New Roman" w:cs="Times New Roman"/>
          <w:i/>
          <w:sz w:val="24"/>
          <w:szCs w:val="24"/>
        </w:rPr>
        <w:t>European Law Journal</w:t>
      </w:r>
      <w:r w:rsidRPr="008C1292">
        <w:rPr>
          <w:rFonts w:ascii="Times New Roman" w:hAnsi="Times New Roman" w:cs="Times New Roman"/>
          <w:sz w:val="24"/>
          <w:szCs w:val="24"/>
        </w:rPr>
        <w:t xml:space="preserve">, 21(3): 384-405. </w:t>
      </w:r>
    </w:p>
    <w:p w:rsidR="00BB76BD" w:rsidRPr="008C1292" w:rsidRDefault="00BB76BD"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 xml:space="preserve">Schmidt, Vivien A. (2014) Speaking to the Markets or to the People? A Discursive Institutionalist Analysis of the EU’s Sovereign Debt Crisis, </w:t>
      </w:r>
      <w:r w:rsidRPr="008C1292">
        <w:rPr>
          <w:rFonts w:ascii="Times New Roman" w:hAnsi="Times New Roman" w:cs="Times New Roman"/>
          <w:i/>
          <w:sz w:val="24"/>
          <w:szCs w:val="24"/>
        </w:rPr>
        <w:t>British Journal of Politics and International Relations</w:t>
      </w:r>
      <w:r w:rsidRPr="008C1292">
        <w:rPr>
          <w:rFonts w:ascii="Times New Roman" w:hAnsi="Times New Roman" w:cs="Times New Roman"/>
          <w:sz w:val="24"/>
          <w:szCs w:val="24"/>
        </w:rPr>
        <w:t>, 1(16): 188-209.</w:t>
      </w:r>
    </w:p>
    <w:p w:rsidR="001A17D3" w:rsidRPr="008C1292" w:rsidRDefault="001A17D3"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Steinback</w:t>
      </w:r>
      <w:proofErr w:type="spellEnd"/>
      <w:r w:rsidRPr="008C1292">
        <w:rPr>
          <w:rFonts w:ascii="Times New Roman" w:hAnsi="Times New Roman" w:cs="Times New Roman"/>
          <w:sz w:val="24"/>
          <w:szCs w:val="24"/>
        </w:rPr>
        <w:t xml:space="preserve">, Armin (2015) The Mutualization of </w:t>
      </w:r>
      <w:r w:rsidR="004427B0" w:rsidRPr="008C1292">
        <w:rPr>
          <w:rFonts w:ascii="Times New Roman" w:hAnsi="Times New Roman" w:cs="Times New Roman"/>
          <w:sz w:val="24"/>
          <w:szCs w:val="24"/>
        </w:rPr>
        <w:t>Sovereign</w:t>
      </w:r>
      <w:r w:rsidRPr="008C1292">
        <w:rPr>
          <w:rFonts w:ascii="Times New Roman" w:hAnsi="Times New Roman" w:cs="Times New Roman"/>
          <w:sz w:val="24"/>
          <w:szCs w:val="24"/>
        </w:rPr>
        <w:t xml:space="preserve"> Debt: </w:t>
      </w:r>
      <w:r w:rsidR="004427B0" w:rsidRPr="008C1292">
        <w:rPr>
          <w:rFonts w:ascii="Times New Roman" w:hAnsi="Times New Roman" w:cs="Times New Roman"/>
          <w:sz w:val="24"/>
          <w:szCs w:val="24"/>
        </w:rPr>
        <w:t>Comparing</w:t>
      </w:r>
      <w:r w:rsidRPr="008C1292">
        <w:rPr>
          <w:rFonts w:ascii="Times New Roman" w:hAnsi="Times New Roman" w:cs="Times New Roman"/>
          <w:sz w:val="24"/>
          <w:szCs w:val="24"/>
        </w:rPr>
        <w:t xml:space="preserve"> the American Past and the European Present, </w:t>
      </w:r>
      <w:r w:rsidRPr="008C1292">
        <w:rPr>
          <w:rFonts w:ascii="Times New Roman" w:hAnsi="Times New Roman" w:cs="Times New Roman"/>
          <w:i/>
          <w:sz w:val="24"/>
          <w:szCs w:val="24"/>
        </w:rPr>
        <w:t>Journal of Common Market Studies</w:t>
      </w:r>
      <w:r w:rsidRPr="008C1292">
        <w:rPr>
          <w:rFonts w:ascii="Times New Roman" w:hAnsi="Times New Roman" w:cs="Times New Roman"/>
          <w:sz w:val="24"/>
          <w:szCs w:val="24"/>
        </w:rPr>
        <w:t xml:space="preserve">, 53(5): 1110-1125. </w:t>
      </w:r>
    </w:p>
    <w:p w:rsidR="00587FAB" w:rsidRPr="008C1292" w:rsidRDefault="00587FAB"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Sylla</w:t>
      </w:r>
      <w:proofErr w:type="spellEnd"/>
      <w:r w:rsidRPr="008C1292">
        <w:rPr>
          <w:rFonts w:ascii="Times New Roman" w:hAnsi="Times New Roman" w:cs="Times New Roman"/>
          <w:sz w:val="24"/>
          <w:szCs w:val="24"/>
        </w:rPr>
        <w:t xml:space="preserve">, Richard (1998) US Securities Markets and the Banking Systems, 1790-1830, </w:t>
      </w:r>
      <w:r w:rsidRPr="008C1292">
        <w:rPr>
          <w:rFonts w:ascii="Times New Roman" w:hAnsi="Times New Roman" w:cs="Times New Roman"/>
          <w:i/>
          <w:sz w:val="24"/>
          <w:szCs w:val="24"/>
        </w:rPr>
        <w:t>Revie</w:t>
      </w:r>
      <w:r w:rsidR="004427B0" w:rsidRPr="008C1292">
        <w:rPr>
          <w:rFonts w:ascii="Times New Roman" w:hAnsi="Times New Roman" w:cs="Times New Roman"/>
          <w:i/>
          <w:sz w:val="24"/>
          <w:szCs w:val="24"/>
        </w:rPr>
        <w:t>w</w:t>
      </w:r>
      <w:r w:rsidRPr="008C1292">
        <w:rPr>
          <w:rFonts w:ascii="Times New Roman" w:hAnsi="Times New Roman" w:cs="Times New Roman"/>
          <w:i/>
          <w:sz w:val="24"/>
          <w:szCs w:val="24"/>
        </w:rPr>
        <w:t xml:space="preserve"> of the Federal Reserve Bank of St. Loui</w:t>
      </w:r>
      <w:r w:rsidRPr="008C1292">
        <w:rPr>
          <w:rFonts w:ascii="Times New Roman" w:hAnsi="Times New Roman" w:cs="Times New Roman"/>
          <w:sz w:val="24"/>
          <w:szCs w:val="24"/>
        </w:rPr>
        <w:t xml:space="preserve">s, May/June: 83-98. </w:t>
      </w:r>
    </w:p>
    <w:p w:rsidR="00587FAB" w:rsidRPr="008C1292" w:rsidRDefault="00587FAB" w:rsidP="008C1292">
      <w:pPr>
        <w:spacing w:line="240" w:lineRule="auto"/>
        <w:rPr>
          <w:rFonts w:ascii="Times New Roman" w:hAnsi="Times New Roman" w:cs="Times New Roman"/>
          <w:sz w:val="24"/>
          <w:szCs w:val="24"/>
        </w:rPr>
      </w:pPr>
      <w:proofErr w:type="spellStart"/>
      <w:r w:rsidRPr="008C1292">
        <w:rPr>
          <w:rFonts w:ascii="Times New Roman" w:hAnsi="Times New Roman" w:cs="Times New Roman"/>
          <w:sz w:val="24"/>
          <w:szCs w:val="24"/>
        </w:rPr>
        <w:t>Sylla</w:t>
      </w:r>
      <w:proofErr w:type="spellEnd"/>
      <w:r w:rsidRPr="008C1292">
        <w:rPr>
          <w:rFonts w:ascii="Times New Roman" w:hAnsi="Times New Roman" w:cs="Times New Roman"/>
          <w:sz w:val="24"/>
          <w:szCs w:val="24"/>
        </w:rPr>
        <w:t xml:space="preserve">, Richard (2009) Comparing the UK and US Financial Systems, 1790-1830, in J. </w:t>
      </w:r>
      <w:proofErr w:type="spellStart"/>
      <w:r w:rsidRPr="008C1292">
        <w:rPr>
          <w:rFonts w:ascii="Times New Roman" w:hAnsi="Times New Roman" w:cs="Times New Roman"/>
          <w:sz w:val="24"/>
          <w:szCs w:val="24"/>
        </w:rPr>
        <w:t>Atack</w:t>
      </w:r>
      <w:proofErr w:type="spellEnd"/>
      <w:r w:rsidRPr="008C1292">
        <w:rPr>
          <w:rFonts w:ascii="Times New Roman" w:hAnsi="Times New Roman" w:cs="Times New Roman"/>
          <w:sz w:val="24"/>
          <w:szCs w:val="24"/>
        </w:rPr>
        <w:t xml:space="preserve"> and J. Neal (eds.) </w:t>
      </w:r>
      <w:r w:rsidRPr="008C1292">
        <w:rPr>
          <w:rFonts w:ascii="Times New Roman" w:hAnsi="Times New Roman" w:cs="Times New Roman"/>
          <w:i/>
          <w:sz w:val="24"/>
          <w:szCs w:val="24"/>
        </w:rPr>
        <w:t>The Origins and Development of Financial Markets and Institutions: From the Seventeen Century to the Present</w:t>
      </w:r>
      <w:r w:rsidRPr="008C1292">
        <w:rPr>
          <w:rFonts w:ascii="Times New Roman" w:hAnsi="Times New Roman" w:cs="Times New Roman"/>
          <w:sz w:val="24"/>
          <w:szCs w:val="24"/>
        </w:rPr>
        <w:t xml:space="preserve">, Cambridge University Press, pp. 209-240. </w:t>
      </w:r>
    </w:p>
    <w:p w:rsidR="00CE3410" w:rsidRPr="008C1292" w:rsidRDefault="00DE3225" w:rsidP="008C129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Apeldoorn, </w:t>
      </w:r>
      <w:proofErr w:type="spellStart"/>
      <w:r>
        <w:rPr>
          <w:rFonts w:ascii="Times New Roman" w:hAnsi="Times New Roman" w:cs="Times New Roman"/>
          <w:sz w:val="24"/>
          <w:szCs w:val="24"/>
        </w:rPr>
        <w:t>Bastiaan</w:t>
      </w:r>
      <w:proofErr w:type="spellEnd"/>
      <w:r>
        <w:rPr>
          <w:rFonts w:ascii="Times New Roman" w:hAnsi="Times New Roman" w:cs="Times New Roman"/>
          <w:sz w:val="24"/>
          <w:szCs w:val="24"/>
        </w:rPr>
        <w:t>,</w:t>
      </w:r>
      <w:r w:rsidR="00525CC3" w:rsidRPr="008C1292">
        <w:rPr>
          <w:rFonts w:ascii="Times New Roman" w:hAnsi="Times New Roman" w:cs="Times New Roman"/>
          <w:sz w:val="24"/>
          <w:szCs w:val="24"/>
        </w:rPr>
        <w:t xml:space="preserve"> Jan </w:t>
      </w:r>
      <w:proofErr w:type="spellStart"/>
      <w:r w:rsidR="00525CC3" w:rsidRPr="008C1292">
        <w:rPr>
          <w:rFonts w:ascii="Times New Roman" w:hAnsi="Times New Roman" w:cs="Times New Roman"/>
          <w:sz w:val="24"/>
          <w:szCs w:val="24"/>
        </w:rPr>
        <w:t>Drahokoupil</w:t>
      </w:r>
      <w:proofErr w:type="spellEnd"/>
      <w:r w:rsidR="00525CC3" w:rsidRPr="008C1292">
        <w:rPr>
          <w:rFonts w:ascii="Times New Roman" w:hAnsi="Times New Roman" w:cs="Times New Roman"/>
          <w:sz w:val="24"/>
          <w:szCs w:val="24"/>
        </w:rPr>
        <w:t xml:space="preserve"> and Laura Horn (eds.) (2008) </w:t>
      </w:r>
      <w:r w:rsidR="00525CC3" w:rsidRPr="008C1292">
        <w:rPr>
          <w:rFonts w:ascii="Times New Roman" w:hAnsi="Times New Roman" w:cs="Times New Roman"/>
          <w:i/>
          <w:sz w:val="24"/>
          <w:szCs w:val="24"/>
        </w:rPr>
        <w:t>Contradictions and Limits of Neoliberal European</w:t>
      </w:r>
      <w:r w:rsidR="00525CC3" w:rsidRPr="008C1292">
        <w:rPr>
          <w:rFonts w:ascii="Times New Roman" w:hAnsi="Times New Roman" w:cs="Times New Roman"/>
          <w:sz w:val="24"/>
          <w:szCs w:val="24"/>
        </w:rPr>
        <w:t xml:space="preserve"> </w:t>
      </w:r>
      <w:r w:rsidR="00525CC3" w:rsidRPr="008C1292">
        <w:rPr>
          <w:rFonts w:ascii="Times New Roman" w:hAnsi="Times New Roman" w:cs="Times New Roman"/>
          <w:i/>
          <w:sz w:val="24"/>
          <w:szCs w:val="24"/>
        </w:rPr>
        <w:t>Governance</w:t>
      </w:r>
      <w:r w:rsidR="00525CC3" w:rsidRPr="008C1292">
        <w:rPr>
          <w:rFonts w:ascii="Times New Roman" w:hAnsi="Times New Roman" w:cs="Times New Roman"/>
          <w:sz w:val="24"/>
          <w:szCs w:val="24"/>
        </w:rPr>
        <w:t xml:space="preserve">: </w:t>
      </w:r>
      <w:r w:rsidR="00525CC3" w:rsidRPr="008C1292">
        <w:rPr>
          <w:rFonts w:ascii="Times New Roman" w:hAnsi="Times New Roman" w:cs="Times New Roman"/>
          <w:i/>
          <w:sz w:val="24"/>
          <w:szCs w:val="24"/>
        </w:rPr>
        <w:t>From Lisbon to Lisbon</w:t>
      </w:r>
      <w:r w:rsidR="00B61B4A" w:rsidRPr="008C1292">
        <w:rPr>
          <w:rFonts w:ascii="Times New Roman" w:hAnsi="Times New Roman" w:cs="Times New Roman"/>
          <w:sz w:val="24"/>
          <w:szCs w:val="24"/>
        </w:rPr>
        <w:t>,</w:t>
      </w:r>
      <w:r w:rsidR="00525CC3" w:rsidRPr="008C1292">
        <w:rPr>
          <w:rFonts w:ascii="Times New Roman" w:hAnsi="Times New Roman" w:cs="Times New Roman"/>
          <w:sz w:val="24"/>
          <w:szCs w:val="24"/>
        </w:rPr>
        <w:t xml:space="preserve"> New York, NY: Palgrave Macmillan. </w:t>
      </w:r>
    </w:p>
    <w:p w:rsidR="00CE3410" w:rsidRPr="008C1292" w:rsidRDefault="00CE3410"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lastRenderedPageBreak/>
        <w:t xml:space="preserve">Varoufakis, </w:t>
      </w:r>
      <w:proofErr w:type="spellStart"/>
      <w:r w:rsidRPr="008C1292">
        <w:rPr>
          <w:rFonts w:ascii="Times New Roman" w:hAnsi="Times New Roman" w:cs="Times New Roman"/>
          <w:sz w:val="24"/>
          <w:szCs w:val="24"/>
        </w:rPr>
        <w:t>Yanis</w:t>
      </w:r>
      <w:proofErr w:type="spellEnd"/>
      <w:r w:rsidRPr="008C1292">
        <w:rPr>
          <w:rFonts w:ascii="Times New Roman" w:hAnsi="Times New Roman" w:cs="Times New Roman"/>
          <w:sz w:val="24"/>
          <w:szCs w:val="24"/>
        </w:rPr>
        <w:t xml:space="preserve"> (2013) From Contagion to Incoherence: Towards a Model of the Unfolding Eurozone Crisis, </w:t>
      </w:r>
      <w:r w:rsidRPr="008C1292">
        <w:rPr>
          <w:rFonts w:ascii="Times New Roman" w:hAnsi="Times New Roman" w:cs="Times New Roman"/>
          <w:i/>
          <w:sz w:val="24"/>
          <w:szCs w:val="24"/>
        </w:rPr>
        <w:t>Contributions to Political Economy</w:t>
      </w:r>
      <w:r w:rsidRPr="008C1292">
        <w:rPr>
          <w:rFonts w:ascii="Times New Roman" w:hAnsi="Times New Roman" w:cs="Times New Roman"/>
          <w:sz w:val="24"/>
          <w:szCs w:val="24"/>
        </w:rPr>
        <w:t xml:space="preserve">, 32(1): 51-71. </w:t>
      </w:r>
    </w:p>
    <w:p w:rsidR="005650D8" w:rsidRPr="008C1292" w:rsidRDefault="005650D8" w:rsidP="008C1292">
      <w:pPr>
        <w:spacing w:line="240" w:lineRule="auto"/>
        <w:rPr>
          <w:rFonts w:ascii="Times New Roman" w:hAnsi="Times New Roman" w:cs="Times New Roman"/>
          <w:sz w:val="24"/>
          <w:szCs w:val="24"/>
        </w:rPr>
      </w:pPr>
      <w:r w:rsidRPr="008C1292">
        <w:rPr>
          <w:rFonts w:ascii="Times New Roman" w:hAnsi="Times New Roman" w:cs="Times New Roman"/>
          <w:sz w:val="24"/>
          <w:szCs w:val="24"/>
        </w:rPr>
        <w:t>Watson, Matthew (2014) The Great Transformation and Progressive Possibilities: The Political Limits of Polanyi’s Marxian History of Economic I</w:t>
      </w:r>
      <w:r w:rsidR="00B61B4A" w:rsidRPr="008C1292">
        <w:rPr>
          <w:rFonts w:ascii="Times New Roman" w:hAnsi="Times New Roman" w:cs="Times New Roman"/>
          <w:sz w:val="24"/>
          <w:szCs w:val="24"/>
        </w:rPr>
        <w:t>deas,</w:t>
      </w:r>
      <w:r w:rsidRPr="008C1292">
        <w:rPr>
          <w:rFonts w:ascii="Times New Roman" w:hAnsi="Times New Roman" w:cs="Times New Roman"/>
          <w:sz w:val="24"/>
          <w:szCs w:val="24"/>
        </w:rPr>
        <w:t xml:space="preserve"> </w:t>
      </w:r>
      <w:r w:rsidRPr="008C1292">
        <w:rPr>
          <w:rFonts w:ascii="Times New Roman" w:hAnsi="Times New Roman" w:cs="Times New Roman"/>
          <w:i/>
          <w:sz w:val="24"/>
          <w:szCs w:val="24"/>
        </w:rPr>
        <w:t>Economy &amp; Society</w:t>
      </w:r>
      <w:r w:rsidRPr="008C1292">
        <w:rPr>
          <w:rFonts w:ascii="Times New Roman" w:hAnsi="Times New Roman" w:cs="Times New Roman"/>
          <w:sz w:val="24"/>
          <w:szCs w:val="24"/>
        </w:rPr>
        <w:t>, 43: 603-625.</w:t>
      </w:r>
    </w:p>
    <w:p w:rsidR="00E24CDC" w:rsidRPr="008C1292" w:rsidRDefault="005650D8" w:rsidP="008C1292">
      <w:pPr>
        <w:spacing w:line="240" w:lineRule="auto"/>
        <w:rPr>
          <w:rFonts w:ascii="Times New Roman" w:hAnsi="Times New Roman" w:cs="Times New Roman"/>
          <w:sz w:val="24"/>
          <w:szCs w:val="24"/>
        </w:rPr>
      </w:pPr>
      <w:r w:rsidRPr="008C1292">
        <w:rPr>
          <w:rStyle w:val="apple-style-span"/>
          <w:rFonts w:ascii="Times New Roman" w:hAnsi="Times New Roman" w:cs="Times New Roman"/>
          <w:color w:val="000000"/>
          <w:sz w:val="24"/>
          <w:szCs w:val="24"/>
        </w:rPr>
        <w:t xml:space="preserve">Watson, Matthew (2009) ‘Habitation versus Improvement' and a Polanyian Perspective on Bank Bail-Outs, </w:t>
      </w:r>
      <w:r w:rsidRPr="008C1292">
        <w:rPr>
          <w:rStyle w:val="Emphasis"/>
          <w:rFonts w:ascii="Times New Roman" w:eastAsiaTheme="majorEastAsia" w:hAnsi="Times New Roman" w:cs="Times New Roman"/>
          <w:color w:val="000000"/>
          <w:sz w:val="24"/>
          <w:szCs w:val="24"/>
        </w:rPr>
        <w:t>Politics</w:t>
      </w:r>
      <w:r w:rsidRPr="008C1292">
        <w:rPr>
          <w:rStyle w:val="apple-style-span"/>
          <w:rFonts w:ascii="Times New Roman" w:hAnsi="Times New Roman" w:cs="Times New Roman"/>
          <w:color w:val="000000"/>
          <w:sz w:val="24"/>
          <w:szCs w:val="24"/>
        </w:rPr>
        <w:t xml:space="preserve">, </w:t>
      </w:r>
      <w:proofErr w:type="gramStart"/>
      <w:r w:rsidRPr="008C1292">
        <w:rPr>
          <w:rStyle w:val="apple-style-span"/>
          <w:rFonts w:ascii="Times New Roman" w:hAnsi="Times New Roman" w:cs="Times New Roman"/>
          <w:color w:val="000000"/>
          <w:sz w:val="24"/>
          <w:szCs w:val="24"/>
        </w:rPr>
        <w:t>29</w:t>
      </w:r>
      <w:proofErr w:type="gramEnd"/>
      <w:r w:rsidRPr="008C1292">
        <w:rPr>
          <w:rStyle w:val="apple-style-span"/>
          <w:rFonts w:ascii="Times New Roman" w:hAnsi="Times New Roman" w:cs="Times New Roman"/>
          <w:color w:val="000000"/>
          <w:sz w:val="24"/>
          <w:szCs w:val="24"/>
        </w:rPr>
        <w:t xml:space="preserve">(3):183-192. </w:t>
      </w:r>
      <w:r w:rsidRPr="008C1292">
        <w:rPr>
          <w:rFonts w:ascii="Times New Roman" w:hAnsi="Times New Roman" w:cs="Times New Roman"/>
          <w:sz w:val="24"/>
          <w:szCs w:val="24"/>
        </w:rPr>
        <w:t xml:space="preserve"> </w:t>
      </w:r>
    </w:p>
    <w:sectPr w:rsidR="00E24CDC" w:rsidRPr="008C12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9E" w:rsidRDefault="00373C9E" w:rsidP="00361657">
      <w:pPr>
        <w:spacing w:after="0" w:line="240" w:lineRule="auto"/>
      </w:pPr>
      <w:r>
        <w:separator/>
      </w:r>
    </w:p>
  </w:endnote>
  <w:endnote w:type="continuationSeparator" w:id="0">
    <w:p w:rsidR="00373C9E" w:rsidRDefault="00373C9E" w:rsidP="0036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00000000" w:usb1="5200FDFF"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1462"/>
      <w:docPartObj>
        <w:docPartGallery w:val="Page Numbers (Bottom of Page)"/>
        <w:docPartUnique/>
      </w:docPartObj>
    </w:sdtPr>
    <w:sdtEndPr>
      <w:rPr>
        <w:noProof/>
      </w:rPr>
    </w:sdtEndPr>
    <w:sdtContent>
      <w:p w:rsidR="00712500" w:rsidRDefault="00712500">
        <w:pPr>
          <w:pStyle w:val="Footer"/>
          <w:jc w:val="right"/>
        </w:pPr>
        <w:r>
          <w:fldChar w:fldCharType="begin"/>
        </w:r>
        <w:r>
          <w:instrText xml:space="preserve"> PAGE   \* MERGEFORMAT </w:instrText>
        </w:r>
        <w:r>
          <w:fldChar w:fldCharType="separate"/>
        </w:r>
        <w:r w:rsidR="00093FA0">
          <w:rPr>
            <w:noProof/>
          </w:rPr>
          <w:t>18</w:t>
        </w:r>
        <w:r>
          <w:rPr>
            <w:noProof/>
          </w:rPr>
          <w:fldChar w:fldCharType="end"/>
        </w:r>
      </w:p>
    </w:sdtContent>
  </w:sdt>
  <w:p w:rsidR="00712500" w:rsidRDefault="0071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9E" w:rsidRDefault="00373C9E" w:rsidP="00361657">
      <w:pPr>
        <w:spacing w:after="0" w:line="240" w:lineRule="auto"/>
      </w:pPr>
      <w:r>
        <w:separator/>
      </w:r>
    </w:p>
  </w:footnote>
  <w:footnote w:type="continuationSeparator" w:id="0">
    <w:p w:rsidR="00373C9E" w:rsidRDefault="00373C9E" w:rsidP="00361657">
      <w:pPr>
        <w:spacing w:after="0" w:line="240" w:lineRule="auto"/>
      </w:pPr>
      <w:r>
        <w:continuationSeparator/>
      </w:r>
    </w:p>
  </w:footnote>
  <w:footnote w:id="1">
    <w:p w:rsidR="00544C6A" w:rsidRPr="00AF4BDC" w:rsidRDefault="00544C6A" w:rsidP="00544C6A">
      <w:pPr>
        <w:spacing w:after="0" w:line="240" w:lineRule="auto"/>
        <w:rPr>
          <w:rFonts w:ascii="Times New Roman" w:hAnsi="Times New Roman" w:cs="Times New Roman"/>
          <w:sz w:val="18"/>
          <w:szCs w:val="18"/>
        </w:rPr>
      </w:pPr>
      <w:r w:rsidRPr="00AF4BDC">
        <w:rPr>
          <w:rStyle w:val="FootnoteReference"/>
          <w:rFonts w:ascii="Times New Roman" w:hAnsi="Times New Roman" w:cs="Times New Roman"/>
          <w:sz w:val="18"/>
          <w:szCs w:val="18"/>
        </w:rPr>
        <w:footnoteRef/>
      </w:r>
      <w:r w:rsidRPr="00AF4BDC">
        <w:rPr>
          <w:rFonts w:ascii="Times New Roman" w:hAnsi="Times New Roman" w:cs="Times New Roman"/>
          <w:sz w:val="18"/>
          <w:szCs w:val="18"/>
        </w:rPr>
        <w:t xml:space="preserve"> Although Polanyi (1945) himself has flirted with the idea of ‘regional planning’ as a counter-force to globalization, he was aware of the limitations of such undertaking. What Polanyi called protectionism was referring to measures aimed at safeguarding people and nature from the vicissitudes of the market, rather than trade protectionism, which can be one small component of the same.</w:t>
      </w:r>
    </w:p>
  </w:footnote>
  <w:footnote w:id="2">
    <w:p w:rsidR="00610E77" w:rsidRPr="00610E77" w:rsidRDefault="00610E77" w:rsidP="00610E77">
      <w:pPr>
        <w:spacing w:after="0" w:line="240" w:lineRule="auto"/>
        <w:rPr>
          <w:rFonts w:ascii="Times New Roman" w:hAnsi="Times New Roman" w:cs="Times New Roman"/>
          <w:sz w:val="18"/>
          <w:szCs w:val="18"/>
        </w:rPr>
      </w:pPr>
      <w:r w:rsidRPr="00AF4BDC">
        <w:rPr>
          <w:rStyle w:val="FootnoteReference"/>
          <w:rFonts w:ascii="Times New Roman" w:hAnsi="Times New Roman" w:cs="Times New Roman"/>
          <w:sz w:val="18"/>
          <w:szCs w:val="18"/>
        </w:rPr>
        <w:footnoteRef/>
      </w:r>
      <w:r w:rsidRPr="00AF4BDC">
        <w:rPr>
          <w:rFonts w:ascii="Times New Roman" w:hAnsi="Times New Roman" w:cs="Times New Roman"/>
          <w:sz w:val="18"/>
          <w:szCs w:val="18"/>
        </w:rPr>
        <w:t xml:space="preserve"> Parallel to the efforts of creating a competitive home market, the EU is actively promoting the diffusion of competition rules abroad. Opening every possible market for competition has been taken to the extreme in that the Commission actively endeavors to open even the public procurement markets abroad as seen in the new proposal for regulation on the access to the international public procurement markets (COM/2012/124). To that end, the EU has deployed various instruments, both bilateral and multilateral, the most contentious being the competition chapters in the Comprehensive Economic and Trade</w:t>
      </w:r>
      <w:r w:rsidRPr="00610E77">
        <w:rPr>
          <w:rFonts w:ascii="Times New Roman" w:hAnsi="Times New Roman" w:cs="Times New Roman"/>
          <w:sz w:val="18"/>
          <w:szCs w:val="18"/>
        </w:rPr>
        <w:t xml:space="preserve"> Agreement between Canada and the EU and the Transatlantic Trade and Investment Partnership between USA and the EU.</w:t>
      </w:r>
      <w:r>
        <w:rPr>
          <w:rFonts w:ascii="Times New Roman" w:hAnsi="Times New Roman" w:cs="Times New Roman"/>
          <w:sz w:val="18"/>
          <w:szCs w:val="18"/>
        </w:rPr>
        <w:t xml:space="preserve"> </w:t>
      </w:r>
      <w:r w:rsidRPr="00610E77">
        <w:rPr>
          <w:rFonts w:ascii="Times New Roman" w:hAnsi="Times New Roman" w:cs="Times New Roman"/>
          <w:sz w:val="18"/>
          <w:szCs w:val="18"/>
        </w:rPr>
        <w:t xml:space="preserve">To this day the EU has incorporated competition provisions in various agreements involving other jurisdictions, such as the </w:t>
      </w:r>
      <w:proofErr w:type="spellStart"/>
      <w:r w:rsidRPr="00610E77">
        <w:rPr>
          <w:rFonts w:ascii="Times New Roman" w:hAnsi="Times New Roman" w:cs="Times New Roman"/>
          <w:sz w:val="18"/>
          <w:szCs w:val="18"/>
        </w:rPr>
        <w:t>Stabilisation</w:t>
      </w:r>
      <w:proofErr w:type="spellEnd"/>
      <w:r w:rsidRPr="00610E77">
        <w:rPr>
          <w:rFonts w:ascii="Times New Roman" w:hAnsi="Times New Roman" w:cs="Times New Roman"/>
          <w:sz w:val="18"/>
          <w:szCs w:val="18"/>
        </w:rPr>
        <w:t xml:space="preserve"> and Association Agreements with Albania, Macedonia, Croatia, Montenegro, and Turkey and the Partnership and Cooperation Agreements with Russia, Ukraine, Moldova, Georgia, Azerbaijan, an</w:t>
      </w:r>
      <w:r>
        <w:rPr>
          <w:rFonts w:ascii="Times New Roman" w:hAnsi="Times New Roman" w:cs="Times New Roman"/>
          <w:sz w:val="18"/>
          <w:szCs w:val="18"/>
        </w:rPr>
        <w:t>d Armenia</w:t>
      </w:r>
      <w:r w:rsidRPr="00610E77">
        <w:rPr>
          <w:rFonts w:ascii="Times New Roman" w:hAnsi="Times New Roman" w:cs="Times New Roman"/>
          <w:sz w:val="18"/>
          <w:szCs w:val="18"/>
        </w:rPr>
        <w:t xml:space="preserve">. The former types of agreements, whose objective is the approximation of the </w:t>
      </w:r>
      <w:r w:rsidRPr="00610E77">
        <w:rPr>
          <w:rFonts w:ascii="Times New Roman" w:hAnsi="Times New Roman" w:cs="Times New Roman"/>
          <w:i/>
          <w:sz w:val="18"/>
          <w:szCs w:val="18"/>
        </w:rPr>
        <w:t xml:space="preserve">acquis </w:t>
      </w:r>
      <w:proofErr w:type="spellStart"/>
      <w:r w:rsidRPr="00610E77">
        <w:rPr>
          <w:rFonts w:ascii="Times New Roman" w:hAnsi="Times New Roman" w:cs="Times New Roman"/>
          <w:i/>
          <w:sz w:val="18"/>
          <w:szCs w:val="18"/>
        </w:rPr>
        <w:t>communautaire</w:t>
      </w:r>
      <w:proofErr w:type="spellEnd"/>
      <w:r w:rsidRPr="00610E77">
        <w:rPr>
          <w:rFonts w:ascii="Times New Roman" w:hAnsi="Times New Roman" w:cs="Times New Roman"/>
          <w:sz w:val="18"/>
          <w:szCs w:val="18"/>
        </w:rPr>
        <w:t xml:space="preserve"> with the national legislation of the candidate member states, have included provisions that target the public monopolies. On top of those, it has signed agreements solely dedicated to competition with the USA, Canada, Japan and South Korea and various Memoranda of Understandings and annexes to many bilateral agreement</w:t>
      </w:r>
      <w:r>
        <w:rPr>
          <w:rFonts w:ascii="Times New Roman" w:hAnsi="Times New Roman" w:cs="Times New Roman"/>
          <w:sz w:val="18"/>
          <w:szCs w:val="18"/>
        </w:rPr>
        <w:t>s</w:t>
      </w:r>
      <w:r w:rsidRPr="00610E77">
        <w:rPr>
          <w:rFonts w:ascii="Times New Roman" w:hAnsi="Times New Roman" w:cs="Times New Roman"/>
          <w:sz w:val="18"/>
          <w:szCs w:val="18"/>
        </w:rPr>
        <w:t xml:space="preserve">.  Concomitantly to the bilateral venue, the EU has used a few multilateral platforms in the effort of establishing a global competition regime, such as the WTO Agreement on Government Procurement revised in 2014 that is in effect a </w:t>
      </w:r>
      <w:proofErr w:type="spellStart"/>
      <w:r w:rsidRPr="00610E77">
        <w:rPr>
          <w:rFonts w:ascii="Times New Roman" w:hAnsi="Times New Roman" w:cs="Times New Roman"/>
          <w:sz w:val="18"/>
          <w:szCs w:val="18"/>
        </w:rPr>
        <w:t>plurilateral</w:t>
      </w:r>
      <w:proofErr w:type="spellEnd"/>
      <w:r w:rsidRPr="00610E77">
        <w:rPr>
          <w:rFonts w:ascii="Times New Roman" w:hAnsi="Times New Roman" w:cs="Times New Roman"/>
          <w:sz w:val="18"/>
          <w:szCs w:val="18"/>
        </w:rPr>
        <w:t xml:space="preserve"> agreement in which the EU opens up its procurement market on a reciprocal basis. In addition, it actively participates in the informal efforts of the International Competition Network (ICN), whose main function is epistemic in that it engages in both ontological persuasion. </w:t>
      </w:r>
    </w:p>
  </w:footnote>
  <w:footnote w:id="3">
    <w:p w:rsidR="00610E77" w:rsidRPr="00610E77" w:rsidRDefault="00610E77">
      <w:pPr>
        <w:pStyle w:val="FootnoteText"/>
        <w:rPr>
          <w:rFonts w:ascii="Times New Roman" w:hAnsi="Times New Roman" w:cs="Times New Roman"/>
          <w:sz w:val="18"/>
          <w:szCs w:val="18"/>
        </w:rPr>
      </w:pPr>
      <w:r w:rsidRPr="00610E77">
        <w:rPr>
          <w:rStyle w:val="FootnoteReference"/>
          <w:rFonts w:ascii="Times New Roman" w:hAnsi="Times New Roman" w:cs="Times New Roman"/>
          <w:sz w:val="18"/>
          <w:szCs w:val="18"/>
        </w:rPr>
        <w:footnoteRef/>
      </w:r>
      <w:r w:rsidRPr="00610E77">
        <w:rPr>
          <w:rFonts w:ascii="Times New Roman" w:hAnsi="Times New Roman" w:cs="Times New Roman"/>
          <w:sz w:val="18"/>
          <w:szCs w:val="18"/>
        </w:rPr>
        <w:t xml:space="preserve"> What the above scholars have in common is an </w:t>
      </w:r>
      <w:proofErr w:type="spellStart"/>
      <w:r w:rsidRPr="00610E77">
        <w:rPr>
          <w:rFonts w:ascii="Times New Roman" w:hAnsi="Times New Roman" w:cs="Times New Roman"/>
          <w:sz w:val="18"/>
          <w:szCs w:val="18"/>
        </w:rPr>
        <w:t>Esping-Andersenian</w:t>
      </w:r>
      <w:proofErr w:type="spellEnd"/>
      <w:r w:rsidRPr="00610E77">
        <w:rPr>
          <w:rFonts w:ascii="Times New Roman" w:hAnsi="Times New Roman" w:cs="Times New Roman"/>
          <w:sz w:val="18"/>
          <w:szCs w:val="18"/>
        </w:rPr>
        <w:t xml:space="preserve"> (1990) understanding of social policy which considers the policy measures that increase the welfare of the labor force to be </w:t>
      </w:r>
      <w:proofErr w:type="spellStart"/>
      <w:r w:rsidRPr="00610E77">
        <w:rPr>
          <w:rFonts w:ascii="Times New Roman" w:hAnsi="Times New Roman" w:cs="Times New Roman"/>
          <w:sz w:val="18"/>
          <w:szCs w:val="18"/>
        </w:rPr>
        <w:t>decommodifying</w:t>
      </w:r>
      <w:proofErr w:type="spellEnd"/>
      <w:r w:rsidRPr="00610E77">
        <w:rPr>
          <w:rFonts w:ascii="Times New Roman" w:hAnsi="Times New Roman" w:cs="Times New Roman"/>
          <w:sz w:val="18"/>
          <w:szCs w:val="18"/>
        </w:rPr>
        <w:t xml:space="preserve"> in nature. This paper salutes their effort of bringing forward the instances that strengthen the social dimension of the integration process, yet it endeavors not to overstate their potential in embedding the economy. This paper follows </w:t>
      </w:r>
      <w:proofErr w:type="spellStart"/>
      <w:r w:rsidRPr="00610E77">
        <w:rPr>
          <w:rFonts w:ascii="Times New Roman" w:hAnsi="Times New Roman" w:cs="Times New Roman"/>
          <w:sz w:val="18"/>
          <w:szCs w:val="18"/>
        </w:rPr>
        <w:t>Lacher’s</w:t>
      </w:r>
      <w:proofErr w:type="spellEnd"/>
      <w:r w:rsidRPr="00610E77">
        <w:rPr>
          <w:rFonts w:ascii="Times New Roman" w:hAnsi="Times New Roman" w:cs="Times New Roman"/>
          <w:sz w:val="18"/>
          <w:szCs w:val="18"/>
        </w:rPr>
        <w:t xml:space="preserve"> (1999; 2007), Watson’s (2014), </w:t>
      </w:r>
      <w:proofErr w:type="spellStart"/>
      <w:r w:rsidRPr="00610E77">
        <w:rPr>
          <w:rStyle w:val="Emphasis"/>
          <w:rFonts w:ascii="Times New Roman" w:hAnsi="Times New Roman" w:cs="Times New Roman"/>
          <w:sz w:val="18"/>
          <w:szCs w:val="18"/>
        </w:rPr>
        <w:t>Burawoy’s</w:t>
      </w:r>
      <w:proofErr w:type="spellEnd"/>
      <w:r w:rsidRPr="00610E77">
        <w:rPr>
          <w:rStyle w:val="Emphasis"/>
          <w:rFonts w:ascii="Times New Roman" w:hAnsi="Times New Roman" w:cs="Times New Roman"/>
          <w:sz w:val="18"/>
          <w:szCs w:val="18"/>
        </w:rPr>
        <w:t xml:space="preserve"> (2003; 2010) and Dale’s (2010; 2012) </w:t>
      </w:r>
      <w:r w:rsidRPr="00610E77">
        <w:rPr>
          <w:rFonts w:ascii="Times New Roman" w:hAnsi="Times New Roman" w:cs="Times New Roman"/>
          <w:sz w:val="18"/>
          <w:szCs w:val="18"/>
        </w:rPr>
        <w:t xml:space="preserve">interpretations of Polanyi that puts emphasis on the limit of the progressive interpretation of the social protection when it occurs in the context of continued commodification. Dale (2010: 233) has rightly noted that a return of Polanyi to Brussels would require the realization of his ‘maximum </w:t>
      </w:r>
      <w:proofErr w:type="spellStart"/>
      <w:r w:rsidRPr="00610E77">
        <w:rPr>
          <w:rFonts w:ascii="Times New Roman" w:hAnsi="Times New Roman" w:cs="Times New Roman"/>
          <w:sz w:val="18"/>
          <w:szCs w:val="18"/>
        </w:rPr>
        <w:t>programme</w:t>
      </w:r>
      <w:proofErr w:type="spellEnd"/>
      <w:r w:rsidRPr="00610E77">
        <w:rPr>
          <w:rFonts w:ascii="Times New Roman" w:hAnsi="Times New Roman" w:cs="Times New Roman"/>
          <w:sz w:val="18"/>
          <w:szCs w:val="18"/>
        </w:rPr>
        <w:t xml:space="preserve"> – the wholesale </w:t>
      </w:r>
      <w:proofErr w:type="spellStart"/>
      <w:r w:rsidRPr="00610E77">
        <w:rPr>
          <w:rFonts w:ascii="Times New Roman" w:hAnsi="Times New Roman" w:cs="Times New Roman"/>
          <w:sz w:val="18"/>
          <w:szCs w:val="18"/>
        </w:rPr>
        <w:t>decommodification</w:t>
      </w:r>
      <w:proofErr w:type="spellEnd"/>
      <w:r w:rsidRPr="00610E77">
        <w:rPr>
          <w:rFonts w:ascii="Times New Roman" w:hAnsi="Times New Roman" w:cs="Times New Roman"/>
          <w:sz w:val="18"/>
          <w:szCs w:val="18"/>
        </w:rPr>
        <w:t>’.</w:t>
      </w:r>
    </w:p>
  </w:footnote>
  <w:footnote w:id="4">
    <w:p w:rsidR="00F23552" w:rsidRPr="00361657" w:rsidRDefault="00F23552" w:rsidP="004F1AD6">
      <w:pPr>
        <w:pStyle w:val="FootnoteText"/>
        <w:rPr>
          <w:sz w:val="18"/>
        </w:rPr>
      </w:pPr>
      <w:r w:rsidRPr="00610E77">
        <w:rPr>
          <w:rStyle w:val="FootnoteReference"/>
          <w:rFonts w:ascii="Times New Roman" w:hAnsi="Times New Roman" w:cs="Times New Roman"/>
          <w:sz w:val="18"/>
          <w:szCs w:val="18"/>
        </w:rPr>
        <w:footnoteRef/>
      </w:r>
      <w:r w:rsidRPr="00610E77">
        <w:rPr>
          <w:rFonts w:ascii="Times New Roman" w:hAnsi="Times New Roman" w:cs="Times New Roman"/>
          <w:sz w:val="18"/>
          <w:szCs w:val="18"/>
        </w:rPr>
        <w:t xml:space="preserve"> I have to make one semantic clarification over the term protectionism. Polanyi (1944) used the term in a different way than it is used in common parlance generally referring to trade matters. Herein, protectionism refers not to trade protectionism, but to those measures aimed at defending people’s livelihoods and nature from the vicissitudes of the market (Polanyi: 1944).</w:t>
      </w:r>
    </w:p>
  </w:footnote>
  <w:footnote w:id="5">
    <w:p w:rsidR="002D32EC" w:rsidRPr="002D32EC" w:rsidRDefault="002D32EC" w:rsidP="002D32EC">
      <w:pPr>
        <w:spacing w:after="0" w:line="240" w:lineRule="auto"/>
        <w:rPr>
          <w:rFonts w:ascii="Times New Roman" w:hAnsi="Times New Roman" w:cs="Times New Roman"/>
          <w:sz w:val="18"/>
          <w:szCs w:val="18"/>
        </w:rPr>
      </w:pPr>
      <w:r w:rsidRPr="002D32EC">
        <w:rPr>
          <w:rStyle w:val="FootnoteReference"/>
          <w:rFonts w:ascii="Times New Roman" w:hAnsi="Times New Roman" w:cs="Times New Roman"/>
          <w:sz w:val="18"/>
          <w:szCs w:val="18"/>
        </w:rPr>
        <w:footnoteRef/>
      </w:r>
      <w:r w:rsidRPr="002D32EC">
        <w:rPr>
          <w:rFonts w:ascii="Times New Roman" w:hAnsi="Times New Roman" w:cs="Times New Roman"/>
          <w:sz w:val="18"/>
          <w:szCs w:val="18"/>
        </w:rPr>
        <w:t xml:space="preserve"> Scholars like </w:t>
      </w:r>
      <w:proofErr w:type="spellStart"/>
      <w:r w:rsidRPr="002D32EC">
        <w:rPr>
          <w:rFonts w:ascii="Times New Roman" w:hAnsi="Times New Roman" w:cs="Times New Roman"/>
          <w:sz w:val="18"/>
          <w:szCs w:val="18"/>
        </w:rPr>
        <w:t>Ashiagbor</w:t>
      </w:r>
      <w:proofErr w:type="spellEnd"/>
      <w:r w:rsidRPr="002D32EC">
        <w:rPr>
          <w:rFonts w:ascii="Times New Roman" w:hAnsi="Times New Roman" w:cs="Times New Roman"/>
          <w:sz w:val="18"/>
          <w:szCs w:val="18"/>
        </w:rPr>
        <w:t xml:space="preserve"> (2013), </w:t>
      </w:r>
      <w:proofErr w:type="spellStart"/>
      <w:r w:rsidRPr="002D32EC">
        <w:rPr>
          <w:rFonts w:ascii="Times New Roman" w:hAnsi="Times New Roman" w:cs="Times New Roman"/>
          <w:sz w:val="18"/>
          <w:szCs w:val="18"/>
        </w:rPr>
        <w:t>Höpner</w:t>
      </w:r>
      <w:proofErr w:type="spellEnd"/>
      <w:r w:rsidRPr="002D32EC">
        <w:rPr>
          <w:rFonts w:ascii="Times New Roman" w:hAnsi="Times New Roman" w:cs="Times New Roman"/>
          <w:sz w:val="18"/>
          <w:szCs w:val="18"/>
        </w:rPr>
        <w:t xml:space="preserve"> and </w:t>
      </w:r>
      <w:proofErr w:type="spellStart"/>
      <w:r w:rsidRPr="002D32EC">
        <w:rPr>
          <w:rFonts w:ascii="Times New Roman" w:hAnsi="Times New Roman" w:cs="Times New Roman"/>
          <w:sz w:val="18"/>
          <w:szCs w:val="18"/>
        </w:rPr>
        <w:t>Schäfer</w:t>
      </w:r>
      <w:proofErr w:type="spellEnd"/>
      <w:r w:rsidRPr="002D32EC">
        <w:rPr>
          <w:rFonts w:ascii="Times New Roman" w:hAnsi="Times New Roman" w:cs="Times New Roman"/>
          <w:sz w:val="18"/>
          <w:szCs w:val="18"/>
        </w:rPr>
        <w:t xml:space="preserve"> </w:t>
      </w:r>
      <w:r w:rsidR="009550BA">
        <w:rPr>
          <w:rFonts w:ascii="Times New Roman" w:hAnsi="Times New Roman" w:cs="Times New Roman"/>
          <w:sz w:val="18"/>
          <w:szCs w:val="18"/>
        </w:rPr>
        <w:t>(2010</w:t>
      </w:r>
      <w:r w:rsidRPr="002D32EC">
        <w:rPr>
          <w:rFonts w:ascii="Times New Roman" w:hAnsi="Times New Roman" w:cs="Times New Roman"/>
          <w:sz w:val="18"/>
          <w:szCs w:val="18"/>
        </w:rPr>
        <w:t xml:space="preserve">) and Lindstrom (2010) have raised concerns about their selective reading of the evidence. Despite the ECJ’s efforts in expanding the access of social security systems to the family members of the migrant workers, such extension of the EU social citizenship unfolded in the guise of even deepened liberalization of the Common Market. The jurisprudence of the ECJ includes the cases of </w:t>
      </w:r>
      <w:r w:rsidRPr="002D32EC">
        <w:rPr>
          <w:rFonts w:ascii="Times New Roman" w:hAnsi="Times New Roman" w:cs="Times New Roman"/>
          <w:i/>
          <w:sz w:val="18"/>
          <w:szCs w:val="18"/>
        </w:rPr>
        <w:t>Viking</w:t>
      </w:r>
      <w:r w:rsidRPr="002D32EC">
        <w:rPr>
          <w:rFonts w:ascii="Times New Roman" w:hAnsi="Times New Roman" w:cs="Times New Roman"/>
          <w:sz w:val="18"/>
          <w:szCs w:val="18"/>
        </w:rPr>
        <w:t xml:space="preserve"> (C-438/05), </w:t>
      </w:r>
      <w:r w:rsidRPr="002D32EC">
        <w:rPr>
          <w:rFonts w:ascii="Times New Roman" w:hAnsi="Times New Roman" w:cs="Times New Roman"/>
          <w:i/>
          <w:sz w:val="18"/>
          <w:szCs w:val="18"/>
        </w:rPr>
        <w:t>Laval</w:t>
      </w:r>
      <w:r w:rsidRPr="002D32EC">
        <w:rPr>
          <w:rFonts w:ascii="Times New Roman" w:hAnsi="Times New Roman" w:cs="Times New Roman"/>
          <w:sz w:val="18"/>
          <w:szCs w:val="18"/>
        </w:rPr>
        <w:t xml:space="preserve"> (C-341/05), </w:t>
      </w:r>
      <w:proofErr w:type="spellStart"/>
      <w:r w:rsidRPr="002D32EC">
        <w:rPr>
          <w:rFonts w:ascii="Times New Roman" w:hAnsi="Times New Roman" w:cs="Times New Roman"/>
          <w:i/>
          <w:sz w:val="18"/>
          <w:szCs w:val="18"/>
        </w:rPr>
        <w:t>Rüffert</w:t>
      </w:r>
      <w:proofErr w:type="spellEnd"/>
      <w:r w:rsidRPr="002D32EC">
        <w:rPr>
          <w:rFonts w:ascii="Times New Roman" w:hAnsi="Times New Roman" w:cs="Times New Roman"/>
          <w:sz w:val="18"/>
          <w:szCs w:val="18"/>
        </w:rPr>
        <w:t xml:space="preserve"> (C-346-06), </w:t>
      </w:r>
      <w:proofErr w:type="spellStart"/>
      <w:r w:rsidRPr="002D32EC">
        <w:rPr>
          <w:rFonts w:ascii="Times New Roman" w:hAnsi="Times New Roman" w:cs="Times New Roman"/>
          <w:i/>
          <w:sz w:val="18"/>
          <w:szCs w:val="18"/>
        </w:rPr>
        <w:t>Centros</w:t>
      </w:r>
      <w:proofErr w:type="spellEnd"/>
      <w:r w:rsidRPr="002D32EC">
        <w:rPr>
          <w:rFonts w:ascii="Times New Roman" w:hAnsi="Times New Roman" w:cs="Times New Roman"/>
          <w:sz w:val="18"/>
          <w:szCs w:val="18"/>
        </w:rPr>
        <w:t xml:space="preserve"> (C-212/97), </w:t>
      </w:r>
      <w:r w:rsidRPr="002D32EC">
        <w:rPr>
          <w:rFonts w:ascii="Times New Roman" w:hAnsi="Times New Roman" w:cs="Times New Roman"/>
          <w:i/>
          <w:sz w:val="18"/>
          <w:szCs w:val="18"/>
        </w:rPr>
        <w:t>Inspire Act</w:t>
      </w:r>
      <w:r w:rsidRPr="002D32EC">
        <w:rPr>
          <w:rFonts w:ascii="Times New Roman" w:hAnsi="Times New Roman" w:cs="Times New Roman"/>
          <w:sz w:val="18"/>
          <w:szCs w:val="18"/>
        </w:rPr>
        <w:t xml:space="preserve"> (167/01) and </w:t>
      </w:r>
      <w:proofErr w:type="spellStart"/>
      <w:r w:rsidRPr="002D32EC">
        <w:rPr>
          <w:rFonts w:ascii="Times New Roman" w:hAnsi="Times New Roman" w:cs="Times New Roman"/>
          <w:i/>
          <w:sz w:val="18"/>
          <w:szCs w:val="18"/>
        </w:rPr>
        <w:t>Uberseering</w:t>
      </w:r>
      <w:proofErr w:type="spellEnd"/>
      <w:r w:rsidRPr="002D32EC">
        <w:rPr>
          <w:rFonts w:ascii="Times New Roman" w:hAnsi="Times New Roman" w:cs="Times New Roman"/>
          <w:sz w:val="18"/>
          <w:szCs w:val="18"/>
        </w:rPr>
        <w:t xml:space="preserve"> (C-208/00) which reveal a continued juridical bias towards negative market integration. The internal market freedom norms, as embodied in the ‘freedom to provide services’ and ‘freedom of establishment’, continue to trump the social objectives in the ECJ jurisprudence (</w:t>
      </w:r>
      <w:proofErr w:type="spellStart"/>
      <w:r w:rsidRPr="002D32EC">
        <w:rPr>
          <w:rFonts w:ascii="Times New Roman" w:hAnsi="Times New Roman" w:cs="Times New Roman"/>
          <w:sz w:val="18"/>
          <w:szCs w:val="18"/>
        </w:rPr>
        <w:t>Ashiagbor</w:t>
      </w:r>
      <w:proofErr w:type="spellEnd"/>
      <w:r w:rsidRPr="002D32EC">
        <w:rPr>
          <w:rFonts w:ascii="Times New Roman" w:hAnsi="Times New Roman" w:cs="Times New Roman"/>
          <w:sz w:val="18"/>
          <w:szCs w:val="18"/>
        </w:rPr>
        <w:t xml:space="preserve">, 2013). Moreover, the ECJ in its recent case law went a step further in interpreting what constitutes an impediment to market access, which goes beyond being non-discriminatory towards non-nationals. By declaring certain trade union actions as disproportioned, the ECJ, </w:t>
      </w:r>
      <w:proofErr w:type="spellStart"/>
      <w:r w:rsidR="009550BA">
        <w:rPr>
          <w:rFonts w:ascii="Times New Roman" w:hAnsi="Times New Roman" w:cs="Times New Roman"/>
          <w:sz w:val="18"/>
          <w:szCs w:val="18"/>
        </w:rPr>
        <w:t>Höpner</w:t>
      </w:r>
      <w:proofErr w:type="spellEnd"/>
      <w:r w:rsidR="009550BA">
        <w:rPr>
          <w:rFonts w:ascii="Times New Roman" w:hAnsi="Times New Roman" w:cs="Times New Roman"/>
          <w:sz w:val="18"/>
          <w:szCs w:val="18"/>
        </w:rPr>
        <w:t xml:space="preserve"> and </w:t>
      </w:r>
      <w:proofErr w:type="spellStart"/>
      <w:r w:rsidR="009550BA">
        <w:rPr>
          <w:rFonts w:ascii="Times New Roman" w:hAnsi="Times New Roman" w:cs="Times New Roman"/>
          <w:sz w:val="18"/>
          <w:szCs w:val="18"/>
        </w:rPr>
        <w:t>Schäfer</w:t>
      </w:r>
      <w:proofErr w:type="spellEnd"/>
      <w:r w:rsidR="009550BA">
        <w:rPr>
          <w:rFonts w:ascii="Times New Roman" w:hAnsi="Times New Roman" w:cs="Times New Roman"/>
          <w:sz w:val="18"/>
          <w:szCs w:val="18"/>
        </w:rPr>
        <w:t xml:space="preserve"> (2010</w:t>
      </w:r>
      <w:r w:rsidRPr="002D32EC">
        <w:rPr>
          <w:rFonts w:ascii="Times New Roman" w:hAnsi="Times New Roman" w:cs="Times New Roman"/>
          <w:sz w:val="18"/>
          <w:szCs w:val="18"/>
        </w:rPr>
        <w:t xml:space="preserve">) argue, have derailed the achievements of the welfare state. </w:t>
      </w:r>
      <w:proofErr w:type="spellStart"/>
      <w:r w:rsidRPr="002D32EC">
        <w:rPr>
          <w:rFonts w:ascii="Times New Roman" w:hAnsi="Times New Roman" w:cs="Times New Roman"/>
          <w:sz w:val="18"/>
          <w:szCs w:val="18"/>
        </w:rPr>
        <w:t>Ashiagbor</w:t>
      </w:r>
      <w:proofErr w:type="spellEnd"/>
      <w:r w:rsidRPr="002D32EC">
        <w:rPr>
          <w:rFonts w:ascii="Times New Roman" w:hAnsi="Times New Roman" w:cs="Times New Roman"/>
          <w:sz w:val="18"/>
          <w:szCs w:val="18"/>
        </w:rPr>
        <w:t xml:space="preserve"> (2013) even laments the demise of the original compromise at the heart of the EU project that embedded the Common Market in diverse national welfare systems. She argues that the ECJ by expanding the access to social provisions to non-nationals effectively gives the option of ‘exit’ to EU citizens; hence it undermines the solidarity of the welfare state and creates pressure for further disembeddedness. </w:t>
      </w:r>
    </w:p>
  </w:footnote>
  <w:footnote w:id="6">
    <w:p w:rsidR="00C35DD2" w:rsidRPr="00C35DD2" w:rsidRDefault="00C35DD2" w:rsidP="00C35DD2">
      <w:pPr>
        <w:spacing w:after="240" w:line="240" w:lineRule="auto"/>
        <w:rPr>
          <w:rFonts w:ascii="Times New Roman" w:hAnsi="Times New Roman" w:cs="Times New Roman"/>
          <w:sz w:val="16"/>
          <w:szCs w:val="16"/>
        </w:rPr>
      </w:pPr>
      <w:r w:rsidRPr="00C35DD2">
        <w:rPr>
          <w:rStyle w:val="FootnoteReference"/>
          <w:rFonts w:ascii="Times New Roman" w:hAnsi="Times New Roman" w:cs="Times New Roman"/>
          <w:sz w:val="16"/>
          <w:szCs w:val="16"/>
        </w:rPr>
        <w:footnoteRef/>
      </w:r>
      <w:r w:rsidRPr="00C35DD2">
        <w:rPr>
          <w:rFonts w:ascii="Times New Roman" w:hAnsi="Times New Roman" w:cs="Times New Roman"/>
          <w:sz w:val="16"/>
          <w:szCs w:val="16"/>
        </w:rPr>
        <w:t xml:space="preserve"> The biggest shortcoming of the Canadian IPE view is the problematic link between their conclusion and the premise on which they build the argument. Namely, they formulate the argument about the current predicament of the EU by looking only at the surface of the structure, i.e. deeming it </w:t>
      </w:r>
      <w:proofErr w:type="spellStart"/>
      <w:r w:rsidRPr="00C35DD2">
        <w:rPr>
          <w:rFonts w:ascii="Times New Roman" w:hAnsi="Times New Roman" w:cs="Times New Roman"/>
          <w:sz w:val="16"/>
          <w:szCs w:val="16"/>
        </w:rPr>
        <w:t>disembedded</w:t>
      </w:r>
      <w:proofErr w:type="spellEnd"/>
      <w:r w:rsidRPr="00C35DD2">
        <w:rPr>
          <w:rFonts w:ascii="Times New Roman" w:hAnsi="Times New Roman" w:cs="Times New Roman"/>
          <w:sz w:val="16"/>
          <w:szCs w:val="16"/>
        </w:rPr>
        <w:t xml:space="preserve"> because there is an asymmetry in the competence between the EU and member states. The EU is </w:t>
      </w:r>
      <w:proofErr w:type="spellStart"/>
      <w:r w:rsidRPr="00C35DD2">
        <w:rPr>
          <w:rFonts w:ascii="Times New Roman" w:hAnsi="Times New Roman" w:cs="Times New Roman"/>
          <w:sz w:val="16"/>
          <w:szCs w:val="16"/>
        </w:rPr>
        <w:t>disembedded</w:t>
      </w:r>
      <w:proofErr w:type="spellEnd"/>
      <w:r w:rsidRPr="00C35DD2">
        <w:rPr>
          <w:rFonts w:ascii="Times New Roman" w:hAnsi="Times New Roman" w:cs="Times New Roman"/>
          <w:sz w:val="16"/>
          <w:szCs w:val="16"/>
        </w:rPr>
        <w:t xml:space="preserve"> because monetary, competition and trade policies are scaled up at the EU level, while social and environmental policies are still </w:t>
      </w:r>
      <w:proofErr w:type="spellStart"/>
      <w:r w:rsidRPr="00C35DD2">
        <w:rPr>
          <w:rFonts w:ascii="Times New Roman" w:hAnsi="Times New Roman" w:cs="Times New Roman"/>
          <w:sz w:val="16"/>
          <w:szCs w:val="16"/>
        </w:rPr>
        <w:t>decentralised</w:t>
      </w:r>
      <w:proofErr w:type="spellEnd"/>
      <w:r w:rsidRPr="00C35DD2">
        <w:rPr>
          <w:rFonts w:ascii="Times New Roman" w:hAnsi="Times New Roman" w:cs="Times New Roman"/>
          <w:sz w:val="16"/>
          <w:szCs w:val="16"/>
        </w:rPr>
        <w:t xml:space="preserve">. However, this asymmetry in the competences does not necessarily lead to </w:t>
      </w:r>
      <w:proofErr w:type="spellStart"/>
      <w:r w:rsidRPr="00C35DD2">
        <w:rPr>
          <w:rFonts w:ascii="Times New Roman" w:hAnsi="Times New Roman" w:cs="Times New Roman"/>
          <w:sz w:val="16"/>
          <w:szCs w:val="16"/>
        </w:rPr>
        <w:t>disembeddedness</w:t>
      </w:r>
      <w:proofErr w:type="spellEnd"/>
      <w:r w:rsidRPr="00C35DD2">
        <w:rPr>
          <w:rFonts w:ascii="Times New Roman" w:hAnsi="Times New Roman" w:cs="Times New Roman"/>
          <w:sz w:val="16"/>
          <w:szCs w:val="16"/>
        </w:rPr>
        <w:t xml:space="preserve"> in a </w:t>
      </w:r>
      <w:proofErr w:type="spellStart"/>
      <w:r w:rsidRPr="00C35DD2">
        <w:rPr>
          <w:rFonts w:ascii="Times New Roman" w:hAnsi="Times New Roman" w:cs="Times New Roman"/>
          <w:sz w:val="16"/>
          <w:szCs w:val="16"/>
        </w:rPr>
        <w:t>Polanyian</w:t>
      </w:r>
      <w:proofErr w:type="spellEnd"/>
      <w:r w:rsidRPr="00C35DD2">
        <w:rPr>
          <w:rFonts w:ascii="Times New Roman" w:hAnsi="Times New Roman" w:cs="Times New Roman"/>
          <w:sz w:val="16"/>
          <w:szCs w:val="16"/>
        </w:rPr>
        <w:t xml:space="preserve"> sense. The level at which the policy is formulated matter less than the actual quality of the measures that it institutes. </w:t>
      </w:r>
    </w:p>
  </w:footnote>
  <w:footnote w:id="7">
    <w:p w:rsidR="002C2E83" w:rsidRPr="005A2FD0" w:rsidRDefault="002C2E83" w:rsidP="002C2E83">
      <w:pPr>
        <w:pStyle w:val="FootnoteText"/>
        <w:rPr>
          <w:rFonts w:ascii="Times New Roman" w:hAnsi="Times New Roman" w:cs="Times New Roman"/>
          <w:sz w:val="18"/>
        </w:rPr>
      </w:pPr>
      <w:r w:rsidRPr="005A2FD0">
        <w:rPr>
          <w:rStyle w:val="FootnoteReference"/>
          <w:rFonts w:ascii="Times New Roman" w:hAnsi="Times New Roman" w:cs="Times New Roman"/>
          <w:sz w:val="18"/>
        </w:rPr>
        <w:footnoteRef/>
      </w:r>
      <w:r w:rsidRPr="005A2FD0">
        <w:rPr>
          <w:rFonts w:ascii="Times New Roman" w:hAnsi="Times New Roman" w:cs="Times New Roman"/>
          <w:sz w:val="18"/>
        </w:rPr>
        <w:t xml:space="preserve"> Likewise, although Polanyi (1977) never denied the circulation of currencies in pre-modern societies, he was able to recognize that the money used in pre-capitalist societies was not a commodity, but an institution concerned with debt obligation. By analyzing the different functions of money (all-purpose vs. special purpose money), Polanyi (1977) was able to demonstrate how in pre-capitalist societies money was not governed through the principle of exchange, but through norms of reciprocity (</w:t>
      </w:r>
      <w:proofErr w:type="spellStart"/>
      <w:r w:rsidRPr="005A2FD0">
        <w:rPr>
          <w:rFonts w:ascii="Times New Roman" w:hAnsi="Times New Roman" w:cs="Times New Roman"/>
          <w:sz w:val="18"/>
        </w:rPr>
        <w:t>Saiag</w:t>
      </w:r>
      <w:proofErr w:type="spellEnd"/>
      <w:r w:rsidRPr="005A2FD0">
        <w:rPr>
          <w:rFonts w:ascii="Times New Roman" w:hAnsi="Times New Roman" w:cs="Times New Roman"/>
          <w:sz w:val="18"/>
        </w:rPr>
        <w:t>, 2014). Despite his historically grounded assertion that money predates the market, which is also supported by recent research on the origin of money (see Peacock, 2004, 2006), the orthodox view still holds that barter produces money and the different functions of money (unit of account and means of payment) follow from its function as a medium of exchange. In addition, Polanyi (1977) criticized the catallactic view of money because of its inability to factor in the state and the central banking into the concept of</w:t>
      </w:r>
      <w:r w:rsidR="00D83B13">
        <w:rPr>
          <w:rFonts w:ascii="Times New Roman" w:hAnsi="Times New Roman" w:cs="Times New Roman"/>
          <w:sz w:val="18"/>
        </w:rPr>
        <w:t xml:space="preserve"> money</w:t>
      </w:r>
      <w:r w:rsidRPr="005A2FD0">
        <w:rPr>
          <w:rFonts w:ascii="Times New Roman" w:hAnsi="Times New Roman" w:cs="Times New Roman"/>
          <w:sz w:val="18"/>
        </w:rPr>
        <w:t>.</w:t>
      </w:r>
    </w:p>
  </w:footnote>
  <w:footnote w:id="8">
    <w:p w:rsidR="00CB7D42" w:rsidRPr="006F5EB6" w:rsidRDefault="00CB7D42">
      <w:pPr>
        <w:pStyle w:val="FootnoteText"/>
        <w:rPr>
          <w:rFonts w:ascii="Times New Roman" w:hAnsi="Times New Roman" w:cs="Times New Roman"/>
          <w:sz w:val="18"/>
          <w:szCs w:val="18"/>
        </w:rPr>
      </w:pPr>
      <w:r w:rsidRPr="006F5EB6">
        <w:rPr>
          <w:rStyle w:val="FootnoteReference"/>
          <w:rFonts w:ascii="Times New Roman" w:hAnsi="Times New Roman" w:cs="Times New Roman"/>
          <w:sz w:val="18"/>
          <w:szCs w:val="18"/>
        </w:rPr>
        <w:footnoteRef/>
      </w:r>
      <w:r w:rsidRPr="006F5EB6">
        <w:rPr>
          <w:rFonts w:ascii="Times New Roman" w:hAnsi="Times New Roman" w:cs="Times New Roman"/>
          <w:sz w:val="18"/>
          <w:szCs w:val="18"/>
        </w:rPr>
        <w:t xml:space="preserve"> Even when Polanyi was criticizing the Gold Standard as one </w:t>
      </w:r>
      <w:r w:rsidR="006F5EB6" w:rsidRPr="006F5EB6">
        <w:rPr>
          <w:rFonts w:ascii="Times New Roman" w:hAnsi="Times New Roman" w:cs="Times New Roman"/>
          <w:sz w:val="18"/>
          <w:szCs w:val="18"/>
        </w:rPr>
        <w:t xml:space="preserve">of the key institution that was putting in practice the idea of the self-regulating market, he was careful to note that the </w:t>
      </w:r>
      <w:r w:rsidR="006F5EB6">
        <w:rPr>
          <w:rFonts w:ascii="Times New Roman" w:hAnsi="Times New Roman" w:cs="Times New Roman"/>
          <w:sz w:val="18"/>
          <w:szCs w:val="18"/>
        </w:rPr>
        <w:t xml:space="preserve">Bank of England </w:t>
      </w:r>
      <w:r w:rsidR="006F5EB6" w:rsidRPr="006F5EB6">
        <w:rPr>
          <w:rFonts w:ascii="Times New Roman" w:hAnsi="Times New Roman" w:cs="Times New Roman"/>
          <w:sz w:val="18"/>
          <w:szCs w:val="18"/>
        </w:rPr>
        <w:t>‘reduced the automatism of the gold standard to a mere pretense’ (Polanyi: 1944: 204</w:t>
      </w:r>
      <w:r w:rsidR="006F5EB6">
        <w:rPr>
          <w:rFonts w:ascii="Times New Roman" w:hAnsi="Times New Roman" w:cs="Times New Roman"/>
          <w:sz w:val="18"/>
          <w:szCs w:val="18"/>
        </w:rPr>
        <w:t xml:space="preserve">). </w:t>
      </w:r>
      <w:r w:rsidR="00D75D92">
        <w:rPr>
          <w:rFonts w:ascii="Times New Roman" w:hAnsi="Times New Roman" w:cs="Times New Roman"/>
          <w:sz w:val="18"/>
          <w:szCs w:val="18"/>
        </w:rPr>
        <w:t xml:space="preserve">This is the most interesting operation of the </w:t>
      </w:r>
      <w:r w:rsidR="00D83B13">
        <w:rPr>
          <w:rFonts w:ascii="Times New Roman" w:hAnsi="Times New Roman" w:cs="Times New Roman"/>
          <w:sz w:val="18"/>
          <w:szCs w:val="18"/>
        </w:rPr>
        <w:t>social protection</w:t>
      </w:r>
      <w:r w:rsidR="00D75D92">
        <w:rPr>
          <w:rFonts w:ascii="Times New Roman" w:hAnsi="Times New Roman" w:cs="Times New Roman"/>
          <w:sz w:val="18"/>
          <w:szCs w:val="18"/>
        </w:rPr>
        <w:t xml:space="preserve"> principle because it aims to protect the productive organization that the liberalizing principle has produced in the first place. It is here that we see the commodity fiction of money, which we tend to sideline and focus on labor and nature alone</w:t>
      </w:r>
      <w:r w:rsidR="00002182">
        <w:rPr>
          <w:rFonts w:ascii="Times New Roman" w:hAnsi="Times New Roman" w:cs="Times New Roman"/>
          <w:sz w:val="18"/>
          <w:szCs w:val="18"/>
        </w:rPr>
        <w:t xml:space="preserve"> (Polanyi, 1944: 138)</w:t>
      </w:r>
      <w:r w:rsidR="00D75D92">
        <w:rPr>
          <w:rFonts w:ascii="Times New Roman" w:hAnsi="Times New Roman" w:cs="Times New Roman"/>
          <w:sz w:val="18"/>
          <w:szCs w:val="18"/>
        </w:rPr>
        <w:t>. Similarly,</w:t>
      </w:r>
      <w:r w:rsidR="00002182">
        <w:rPr>
          <w:rFonts w:ascii="Times New Roman" w:hAnsi="Times New Roman" w:cs="Times New Roman"/>
          <w:sz w:val="18"/>
          <w:szCs w:val="18"/>
        </w:rPr>
        <w:t xml:space="preserve"> today</w:t>
      </w:r>
      <w:r w:rsidR="00D75D92">
        <w:rPr>
          <w:rFonts w:ascii="Times New Roman" w:hAnsi="Times New Roman" w:cs="Times New Roman"/>
          <w:sz w:val="18"/>
          <w:szCs w:val="18"/>
        </w:rPr>
        <w:t xml:space="preserve"> the central bank policy of Quantitative Easing has reduced the operation of the self-regulating market to pretense because the latter if left unchecked will annihilate purchasing power itself. The function </w:t>
      </w:r>
      <w:r w:rsidR="00002182">
        <w:rPr>
          <w:rFonts w:ascii="Times New Roman" w:hAnsi="Times New Roman" w:cs="Times New Roman"/>
          <w:sz w:val="18"/>
          <w:szCs w:val="18"/>
        </w:rPr>
        <w:t>of</w:t>
      </w:r>
      <w:r w:rsidR="00D75D92">
        <w:rPr>
          <w:rFonts w:ascii="Times New Roman" w:hAnsi="Times New Roman" w:cs="Times New Roman"/>
          <w:sz w:val="18"/>
          <w:szCs w:val="18"/>
        </w:rPr>
        <w:t xml:space="preserve"> QE was to save the system from </w:t>
      </w:r>
      <w:r w:rsidR="00002182">
        <w:rPr>
          <w:rFonts w:ascii="Times New Roman" w:hAnsi="Times New Roman" w:cs="Times New Roman"/>
          <w:sz w:val="18"/>
          <w:szCs w:val="18"/>
        </w:rPr>
        <w:t xml:space="preserve">the commodity function. This is what I mean when I say that the embedding tendency is immanent to the disembedding. </w:t>
      </w:r>
    </w:p>
  </w:footnote>
  <w:footnote w:id="9">
    <w:p w:rsidR="00717909" w:rsidRPr="004F1AD6" w:rsidRDefault="00717909" w:rsidP="004F1AD6">
      <w:pPr>
        <w:spacing w:after="0" w:line="240" w:lineRule="auto"/>
        <w:rPr>
          <w:rFonts w:ascii="Times New Roman" w:hAnsi="Times New Roman" w:cs="Times New Roman"/>
          <w:sz w:val="18"/>
          <w:szCs w:val="18"/>
        </w:rPr>
      </w:pPr>
      <w:r w:rsidRPr="004F1AD6">
        <w:rPr>
          <w:rStyle w:val="FootnoteReference"/>
          <w:rFonts w:ascii="Times New Roman" w:hAnsi="Times New Roman" w:cs="Times New Roman"/>
          <w:sz w:val="18"/>
          <w:szCs w:val="18"/>
        </w:rPr>
        <w:footnoteRef/>
      </w:r>
      <w:r w:rsidRPr="004F1AD6">
        <w:rPr>
          <w:rFonts w:ascii="Times New Roman" w:hAnsi="Times New Roman" w:cs="Times New Roman"/>
          <w:sz w:val="18"/>
          <w:szCs w:val="18"/>
        </w:rPr>
        <w:t xml:space="preserve"> </w:t>
      </w:r>
      <w:r w:rsidRPr="004F1AD6">
        <w:rPr>
          <w:rStyle w:val="apple-style-span"/>
          <w:rFonts w:ascii="Times New Roman" w:hAnsi="Times New Roman" w:cs="Times New Roman"/>
          <w:color w:val="000000"/>
          <w:sz w:val="18"/>
          <w:szCs w:val="18"/>
        </w:rPr>
        <w:t xml:space="preserve">Polanyi (1944, p. 138) saw the double-movement as: </w:t>
      </w:r>
      <w:r w:rsidRPr="004F1AD6">
        <w:rPr>
          <w:rFonts w:ascii="Times New Roman" w:eastAsia="Arial Unicode MS" w:hAnsi="Times New Roman" w:cs="Times New Roman"/>
          <w:sz w:val="18"/>
          <w:szCs w:val="18"/>
        </w:rPr>
        <w:t xml:space="preserve">the action of two organizing principles in society, each of them setting itself speciﬁc institutional aims, having the support of deﬁnite social forces and using its own distinctive methods. The one was the principle of economic liberalism, aiming at the establishment of a self-regulating market, relying on the support of the trading classes, and using largely </w:t>
      </w:r>
      <w:r w:rsidRPr="006F3379">
        <w:rPr>
          <w:rFonts w:ascii="Times New Roman" w:eastAsia="Arial Unicode MS" w:hAnsi="Times New Roman" w:cs="Times New Roman"/>
          <w:i/>
          <w:sz w:val="18"/>
          <w:szCs w:val="18"/>
        </w:rPr>
        <w:t>laissez-faire</w:t>
      </w:r>
      <w:r w:rsidRPr="004F1AD6">
        <w:rPr>
          <w:rFonts w:ascii="Times New Roman" w:eastAsia="Arial Unicode MS" w:hAnsi="Times New Roman" w:cs="Times New Roman"/>
          <w:sz w:val="18"/>
          <w:szCs w:val="18"/>
        </w:rPr>
        <w:t xml:space="preserve"> and free trade as its methods; the other was the principle of social protection aiming at the conservation of man and nature as well as productive organization, relying on the varying support of those most immediately a</w:t>
      </w:r>
      <w:r w:rsidRPr="004F1AD6">
        <w:rPr>
          <w:rFonts w:ascii="Cambria Math" w:eastAsia="Arial Unicode MS" w:hAnsi="Cambria Math" w:cs="Cambria Math"/>
          <w:sz w:val="18"/>
          <w:szCs w:val="18"/>
        </w:rPr>
        <w:t>ﬀ</w:t>
      </w:r>
      <w:r w:rsidRPr="004F1AD6">
        <w:rPr>
          <w:rFonts w:ascii="Times New Roman" w:hAnsi="Times New Roman" w:cs="Times New Roman"/>
          <w:sz w:val="18"/>
          <w:szCs w:val="18"/>
        </w:rPr>
        <w:t>ected by the deleterious action of the market – primarily, but not exclusively, the working and the landed classes – and using protective legislation, restrictive associations, and other instruments of intervention as its methods.</w:t>
      </w:r>
    </w:p>
  </w:footnote>
  <w:footnote w:id="10">
    <w:p w:rsidR="009917D0" w:rsidRPr="009917D0" w:rsidRDefault="009917D0" w:rsidP="004F1AD6">
      <w:pPr>
        <w:spacing w:after="0" w:line="240" w:lineRule="auto"/>
        <w:rPr>
          <w:rFonts w:ascii="Times New Roman" w:hAnsi="Times New Roman" w:cs="Times New Roman"/>
          <w:sz w:val="18"/>
        </w:rPr>
      </w:pPr>
      <w:r w:rsidRPr="004F1AD6">
        <w:rPr>
          <w:rStyle w:val="FootnoteReference"/>
          <w:rFonts w:ascii="Times New Roman" w:hAnsi="Times New Roman" w:cs="Times New Roman"/>
          <w:sz w:val="18"/>
          <w:szCs w:val="18"/>
        </w:rPr>
        <w:footnoteRef/>
      </w:r>
      <w:r w:rsidRPr="004F1AD6">
        <w:rPr>
          <w:rFonts w:ascii="Times New Roman" w:hAnsi="Times New Roman" w:cs="Times New Roman"/>
          <w:sz w:val="18"/>
          <w:szCs w:val="18"/>
        </w:rPr>
        <w:t xml:space="preserve"> We need to be wary of the tendency in recent scholarship to proclaim the emergence of another counter-movement whenever we see the operation of the principle of habitation. Such assertions rely on simplified notions of </w:t>
      </w:r>
      <w:proofErr w:type="spellStart"/>
      <w:r w:rsidRPr="004F1AD6">
        <w:rPr>
          <w:rFonts w:ascii="Times New Roman" w:hAnsi="Times New Roman" w:cs="Times New Roman"/>
          <w:sz w:val="18"/>
          <w:szCs w:val="18"/>
        </w:rPr>
        <w:t>pendular</w:t>
      </w:r>
      <w:proofErr w:type="spellEnd"/>
      <w:r w:rsidRPr="004F1AD6">
        <w:rPr>
          <w:rFonts w:ascii="Times New Roman" w:hAnsi="Times New Roman" w:cs="Times New Roman"/>
          <w:sz w:val="18"/>
          <w:szCs w:val="18"/>
        </w:rPr>
        <w:t xml:space="preserve"> swings that do not capture the dialectical interaction between the two operating principles (</w:t>
      </w:r>
      <w:proofErr w:type="spellStart"/>
      <w:r w:rsidRPr="004F1AD6">
        <w:rPr>
          <w:rFonts w:ascii="Times New Roman" w:hAnsi="Times New Roman" w:cs="Times New Roman"/>
          <w:sz w:val="18"/>
          <w:szCs w:val="18"/>
        </w:rPr>
        <w:t>Cangiani</w:t>
      </w:r>
      <w:proofErr w:type="spellEnd"/>
      <w:r w:rsidRPr="004F1AD6">
        <w:rPr>
          <w:rFonts w:ascii="Times New Roman" w:hAnsi="Times New Roman" w:cs="Times New Roman"/>
          <w:sz w:val="18"/>
          <w:szCs w:val="18"/>
        </w:rPr>
        <w:t>, 2011). Dale (2012) rightly emphasizes that the representation of capitalist development in oscillatory terms negates the actual dialectics within capitalism.</w:t>
      </w:r>
      <w:r w:rsidR="00D83B13">
        <w:rPr>
          <w:rFonts w:ascii="Times New Roman" w:hAnsi="Times New Roman" w:cs="Times New Roman"/>
          <w:sz w:val="18"/>
          <w:szCs w:val="18"/>
        </w:rPr>
        <w:t xml:space="preserve"> </w:t>
      </w:r>
      <w:r w:rsidRPr="004F1AD6">
        <w:rPr>
          <w:rFonts w:ascii="Times New Roman" w:hAnsi="Times New Roman" w:cs="Times New Roman"/>
          <w:sz w:val="18"/>
          <w:szCs w:val="18"/>
        </w:rPr>
        <w:t xml:space="preserve">The results of the interaction of the two principles cannot be </w:t>
      </w:r>
      <w:r w:rsidRPr="004F1AD6">
        <w:rPr>
          <w:rFonts w:ascii="Times New Roman" w:hAnsi="Times New Roman" w:cs="Times New Roman"/>
          <w:i/>
          <w:sz w:val="18"/>
          <w:szCs w:val="18"/>
        </w:rPr>
        <w:t>a priori</w:t>
      </w:r>
      <w:r w:rsidRPr="004F1AD6">
        <w:rPr>
          <w:rFonts w:ascii="Times New Roman" w:hAnsi="Times New Roman" w:cs="Times New Roman"/>
          <w:sz w:val="18"/>
          <w:szCs w:val="18"/>
        </w:rPr>
        <w:t xml:space="preserve"> assumed to follow a specific swing order. Social change is contingent on the </w:t>
      </w:r>
      <w:proofErr w:type="spellStart"/>
      <w:r w:rsidRPr="004F1AD6">
        <w:rPr>
          <w:rFonts w:ascii="Times New Roman" w:hAnsi="Times New Roman" w:cs="Times New Roman"/>
          <w:sz w:val="18"/>
          <w:szCs w:val="18"/>
        </w:rPr>
        <w:t>spatio</w:t>
      </w:r>
      <w:proofErr w:type="spellEnd"/>
      <w:r w:rsidRPr="004F1AD6">
        <w:rPr>
          <w:rFonts w:ascii="Times New Roman" w:hAnsi="Times New Roman" w:cs="Times New Roman"/>
          <w:sz w:val="18"/>
          <w:szCs w:val="18"/>
        </w:rPr>
        <w:t xml:space="preserve">-temporal context, which means that the principle of improvement in nineteenth century England is qualitatively different from the one that underpins the neoliberal agenda today. Likewise, the principle of habitation is constituted by protective measures which have different features from the ones Polanyi studied. Thus, a proper Polanyian analysis would not simply find evidence of protectionism and declare the emergence of another counter-movement or a Third Great Transformation, as numerous scholars tend to do (for ex. Becher, 2012; </w:t>
      </w:r>
      <w:proofErr w:type="spellStart"/>
      <w:r w:rsidRPr="004F1AD6">
        <w:rPr>
          <w:rFonts w:ascii="Times New Roman" w:hAnsi="Times New Roman" w:cs="Times New Roman"/>
          <w:sz w:val="18"/>
          <w:szCs w:val="18"/>
        </w:rPr>
        <w:t>Caporaso</w:t>
      </w:r>
      <w:proofErr w:type="spellEnd"/>
      <w:r w:rsidRPr="004F1AD6">
        <w:rPr>
          <w:rFonts w:ascii="Times New Roman" w:hAnsi="Times New Roman" w:cs="Times New Roman"/>
          <w:sz w:val="18"/>
          <w:szCs w:val="18"/>
        </w:rPr>
        <w:t xml:space="preserve"> and </w:t>
      </w:r>
      <w:proofErr w:type="spellStart"/>
      <w:r w:rsidRPr="004F1AD6">
        <w:rPr>
          <w:rFonts w:ascii="Times New Roman" w:hAnsi="Times New Roman" w:cs="Times New Roman"/>
          <w:sz w:val="18"/>
          <w:szCs w:val="18"/>
        </w:rPr>
        <w:t>Tarrow</w:t>
      </w:r>
      <w:proofErr w:type="spellEnd"/>
      <w:r w:rsidRPr="004F1AD6">
        <w:rPr>
          <w:rFonts w:ascii="Times New Roman" w:hAnsi="Times New Roman" w:cs="Times New Roman"/>
          <w:sz w:val="18"/>
          <w:szCs w:val="18"/>
        </w:rPr>
        <w:t xml:space="preserve">, 2009; Gill and Cutler, 2014; </w:t>
      </w:r>
      <w:proofErr w:type="spellStart"/>
      <w:r w:rsidRPr="004F1AD6">
        <w:rPr>
          <w:rFonts w:ascii="Times New Roman" w:hAnsi="Times New Roman" w:cs="Times New Roman"/>
          <w:sz w:val="18"/>
          <w:szCs w:val="18"/>
        </w:rPr>
        <w:t>Harmes</w:t>
      </w:r>
      <w:proofErr w:type="spellEnd"/>
      <w:r w:rsidRPr="004F1AD6">
        <w:rPr>
          <w:rFonts w:ascii="Times New Roman" w:hAnsi="Times New Roman" w:cs="Times New Roman"/>
          <w:sz w:val="18"/>
          <w:szCs w:val="18"/>
        </w:rPr>
        <w:t xml:space="preserve">, 2006), but would rather evaluate the quality of those measures on their own terms. The mere existence of the habitation principle does not in any way signify the emergence of a double-movement. Notwithstanding the common practice of conflating the two, especially with the growing regressive right-wing forces in Europe and </w:t>
      </w:r>
      <w:proofErr w:type="spellStart"/>
      <w:r w:rsidRPr="004F1AD6">
        <w:rPr>
          <w:rFonts w:ascii="Times New Roman" w:hAnsi="Times New Roman" w:cs="Times New Roman"/>
          <w:sz w:val="18"/>
          <w:szCs w:val="18"/>
        </w:rPr>
        <w:t>Trumpism</w:t>
      </w:r>
      <w:proofErr w:type="spellEnd"/>
      <w:r w:rsidRPr="004F1AD6">
        <w:rPr>
          <w:rFonts w:ascii="Times New Roman" w:hAnsi="Times New Roman" w:cs="Times New Roman"/>
          <w:sz w:val="18"/>
          <w:szCs w:val="18"/>
        </w:rPr>
        <w:t xml:space="preserve"> in the US, we must make a conceptual distinction between them. While the existence of embedding tendency is indisputable within the capitalist relations of production, the double-movement is questionable. According to Polanyi (1944, pp. 247-248), the double-movement forms only when certain conditions are met: a) when the market society ‘refuses to function’, and b) when a ‘revolutionary situation’ crystallizes and society tries to escape a compete annihilation by the self-regulating market.</w:t>
      </w:r>
      <w:r w:rsidRPr="009917D0">
        <w:rPr>
          <w:rFonts w:ascii="Times New Roman" w:hAnsi="Times New Roman" w:cs="Times New Roman"/>
          <w:sz w:val="18"/>
        </w:rPr>
        <w:t xml:space="preserve"> </w:t>
      </w:r>
    </w:p>
  </w:footnote>
  <w:footnote w:id="11">
    <w:p w:rsidR="00E3003A" w:rsidRPr="00587FAB" w:rsidRDefault="00E3003A" w:rsidP="00587FAB">
      <w:pPr>
        <w:pStyle w:val="FootnoteText"/>
        <w:rPr>
          <w:rFonts w:ascii="Times New Roman" w:hAnsi="Times New Roman" w:cs="Times New Roman"/>
          <w:sz w:val="18"/>
          <w:szCs w:val="18"/>
        </w:rPr>
      </w:pPr>
      <w:r w:rsidRPr="00587FAB">
        <w:rPr>
          <w:rStyle w:val="FootnoteReference"/>
          <w:rFonts w:ascii="Times New Roman" w:hAnsi="Times New Roman" w:cs="Times New Roman"/>
          <w:sz w:val="18"/>
          <w:szCs w:val="18"/>
        </w:rPr>
        <w:footnoteRef/>
      </w:r>
      <w:r w:rsidRPr="00587FAB">
        <w:rPr>
          <w:rFonts w:ascii="Times New Roman" w:hAnsi="Times New Roman" w:cs="Times New Roman"/>
          <w:sz w:val="18"/>
          <w:szCs w:val="18"/>
        </w:rPr>
        <w:t xml:space="preserve"> See </w:t>
      </w:r>
      <w:proofErr w:type="spellStart"/>
      <w:r w:rsidRPr="00587FAB">
        <w:rPr>
          <w:rFonts w:ascii="Times New Roman" w:hAnsi="Times New Roman" w:cs="Times New Roman"/>
          <w:sz w:val="18"/>
          <w:szCs w:val="18"/>
        </w:rPr>
        <w:t>Steinback</w:t>
      </w:r>
      <w:proofErr w:type="spellEnd"/>
      <w:r w:rsidRPr="00587FAB">
        <w:rPr>
          <w:rFonts w:ascii="Times New Roman" w:hAnsi="Times New Roman" w:cs="Times New Roman"/>
          <w:sz w:val="18"/>
          <w:szCs w:val="18"/>
        </w:rPr>
        <w:t xml:space="preserve"> (2015) for a comparative analysis of the sovereign debt assumption in the US and the Eurozone and </w:t>
      </w:r>
      <w:proofErr w:type="spellStart"/>
      <w:r w:rsidRPr="00587FAB">
        <w:rPr>
          <w:rFonts w:ascii="Times New Roman" w:hAnsi="Times New Roman" w:cs="Times New Roman"/>
          <w:sz w:val="18"/>
          <w:szCs w:val="18"/>
        </w:rPr>
        <w:t>Sylla</w:t>
      </w:r>
      <w:proofErr w:type="spellEnd"/>
      <w:r w:rsidRPr="00587FAB">
        <w:rPr>
          <w:rFonts w:ascii="Times New Roman" w:hAnsi="Times New Roman" w:cs="Times New Roman"/>
          <w:sz w:val="18"/>
          <w:szCs w:val="18"/>
        </w:rPr>
        <w:t xml:space="preserve"> (1998) for a detailed historical analysis of </w:t>
      </w:r>
      <w:r w:rsidR="00587FAB" w:rsidRPr="00587FAB">
        <w:rPr>
          <w:rFonts w:ascii="Times New Roman" w:hAnsi="Times New Roman" w:cs="Times New Roman"/>
          <w:sz w:val="18"/>
          <w:szCs w:val="18"/>
        </w:rPr>
        <w:t xml:space="preserve">the </w:t>
      </w:r>
      <w:r w:rsidRPr="00587FAB">
        <w:rPr>
          <w:rFonts w:ascii="Times New Roman" w:hAnsi="Times New Roman" w:cs="Times New Roman"/>
          <w:sz w:val="18"/>
          <w:szCs w:val="18"/>
        </w:rPr>
        <w:t>role of Hamilton’s debt restructuring</w:t>
      </w:r>
      <w:r w:rsidR="00587FAB" w:rsidRPr="00587FAB">
        <w:rPr>
          <w:rFonts w:ascii="Times New Roman" w:hAnsi="Times New Roman" w:cs="Times New Roman"/>
          <w:sz w:val="18"/>
          <w:szCs w:val="18"/>
        </w:rPr>
        <w:t xml:space="preserve"> which in a matter of two years produced remarkable results in that the T-bills were sold at 100 or 120% of par rather than 15 cents on the dollar (</w:t>
      </w:r>
      <w:proofErr w:type="spellStart"/>
      <w:r w:rsidR="00587FAB" w:rsidRPr="00587FAB">
        <w:rPr>
          <w:rFonts w:ascii="Times New Roman" w:hAnsi="Times New Roman" w:cs="Times New Roman"/>
          <w:sz w:val="18"/>
          <w:szCs w:val="18"/>
        </w:rPr>
        <w:t>Sylla</w:t>
      </w:r>
      <w:proofErr w:type="spellEnd"/>
      <w:r w:rsidR="00587FAB" w:rsidRPr="00587FAB">
        <w:rPr>
          <w:rFonts w:ascii="Times New Roman" w:hAnsi="Times New Roman" w:cs="Times New Roman"/>
          <w:sz w:val="18"/>
          <w:szCs w:val="18"/>
        </w:rPr>
        <w:t xml:space="preserve"> 2009). The struggles between the federalist and the nationalist gave rise to the unique US banking system in that because states lost the power to coin fiat money under the new Constitution, they started chartering banks </w:t>
      </w:r>
      <w:proofErr w:type="spellStart"/>
      <w:r w:rsidR="00587FAB" w:rsidRPr="006F3379">
        <w:rPr>
          <w:rFonts w:ascii="Times New Roman" w:hAnsi="Times New Roman" w:cs="Times New Roman"/>
          <w:i/>
          <w:sz w:val="18"/>
          <w:szCs w:val="18"/>
        </w:rPr>
        <w:t>en</w:t>
      </w:r>
      <w:proofErr w:type="spellEnd"/>
      <w:r w:rsidR="00587FAB" w:rsidRPr="006F3379">
        <w:rPr>
          <w:rFonts w:ascii="Times New Roman" w:hAnsi="Times New Roman" w:cs="Times New Roman"/>
          <w:i/>
          <w:sz w:val="18"/>
          <w:szCs w:val="18"/>
        </w:rPr>
        <w:t xml:space="preserve"> mass</w:t>
      </w:r>
      <w:r w:rsidR="00587FAB" w:rsidRPr="00587FAB">
        <w:rPr>
          <w:rFonts w:ascii="Times New Roman" w:hAnsi="Times New Roman" w:cs="Times New Roman"/>
          <w:sz w:val="18"/>
          <w:szCs w:val="18"/>
        </w:rPr>
        <w:t xml:space="preserve">. So for a long period of time we had a disembedded banking union. </w:t>
      </w:r>
    </w:p>
  </w:footnote>
  <w:footnote w:id="12">
    <w:p w:rsidR="002E1F65" w:rsidRPr="00782026" w:rsidRDefault="00D265E4" w:rsidP="00B229C0">
      <w:pPr>
        <w:spacing w:after="0" w:line="240" w:lineRule="auto"/>
        <w:rPr>
          <w:rFonts w:ascii="Times New Roman" w:hAnsi="Times New Roman" w:cs="Times New Roman"/>
          <w:color w:val="000000"/>
          <w:sz w:val="18"/>
          <w:szCs w:val="20"/>
          <w:shd w:val="clear" w:color="auto" w:fill="FFFFFF"/>
        </w:rPr>
      </w:pPr>
      <w:r w:rsidRPr="00782026">
        <w:rPr>
          <w:rStyle w:val="FootnoteReference"/>
          <w:rFonts w:ascii="Times New Roman" w:hAnsi="Times New Roman" w:cs="Times New Roman"/>
          <w:sz w:val="18"/>
          <w:szCs w:val="20"/>
        </w:rPr>
        <w:footnoteRef/>
      </w:r>
      <w:r w:rsidRPr="00782026">
        <w:rPr>
          <w:rFonts w:ascii="Times New Roman" w:hAnsi="Times New Roman" w:cs="Times New Roman"/>
          <w:sz w:val="18"/>
          <w:szCs w:val="20"/>
        </w:rPr>
        <w:t xml:space="preserve"> Besides its regular short term refinancing operations, in December 2011 the ECB conducted its first Long Term Refinancing Operation with a three year maturity, which was followed with another one in February 2012 (ECB, 2014). These were followed by Targeted Long Term Refinancing Operations with four year maturity in June 2014 and March 2016 (the last batch of the 4 TLTROs II was in March 2017). In the context of a dried up interbank system, the LTROs, which totaled to </w:t>
      </w:r>
      <w:r w:rsidR="003E46E7" w:rsidRPr="003E46E7">
        <w:rPr>
          <w:rFonts w:ascii="Arial" w:hAnsi="Arial" w:cs="Arial"/>
          <w:color w:val="545454"/>
          <w:sz w:val="18"/>
          <w:shd w:val="clear" w:color="auto" w:fill="FFFFFF"/>
        </w:rPr>
        <w:t>€</w:t>
      </w:r>
      <w:r w:rsidRPr="00782026">
        <w:rPr>
          <w:rFonts w:ascii="Times New Roman" w:hAnsi="Times New Roman" w:cs="Times New Roman"/>
          <w:sz w:val="18"/>
          <w:szCs w:val="20"/>
        </w:rPr>
        <w:t>1 trillion, and the TLTROs provided liquidity to the troubled Eurozone banks (</w:t>
      </w:r>
      <w:proofErr w:type="spellStart"/>
      <w:r w:rsidRPr="00782026">
        <w:rPr>
          <w:rFonts w:ascii="Times New Roman" w:hAnsi="Times New Roman" w:cs="Times New Roman"/>
          <w:sz w:val="18"/>
          <w:szCs w:val="20"/>
        </w:rPr>
        <w:t>Gros</w:t>
      </w:r>
      <w:proofErr w:type="spellEnd"/>
      <w:r w:rsidRPr="00782026">
        <w:rPr>
          <w:rFonts w:ascii="Times New Roman" w:hAnsi="Times New Roman" w:cs="Times New Roman"/>
          <w:sz w:val="18"/>
          <w:szCs w:val="20"/>
        </w:rPr>
        <w:t xml:space="preserve">, 2012; Varoufakis, 2013). In addition to its open market operations, the ECB </w:t>
      </w:r>
      <w:r w:rsidR="009C1185">
        <w:rPr>
          <w:rFonts w:ascii="Times New Roman" w:hAnsi="Times New Roman" w:cs="Times New Roman"/>
          <w:sz w:val="18"/>
          <w:szCs w:val="20"/>
        </w:rPr>
        <w:t>has conducted various Asset P</w:t>
      </w:r>
      <w:r w:rsidRPr="00782026">
        <w:rPr>
          <w:rFonts w:ascii="Times New Roman" w:hAnsi="Times New Roman" w:cs="Times New Roman"/>
          <w:sz w:val="18"/>
          <w:szCs w:val="20"/>
        </w:rPr>
        <w:t xml:space="preserve">urchase </w:t>
      </w:r>
      <w:r w:rsidR="009C1185" w:rsidRPr="00782026">
        <w:rPr>
          <w:rFonts w:ascii="Times New Roman" w:hAnsi="Times New Roman" w:cs="Times New Roman"/>
          <w:sz w:val="18"/>
          <w:szCs w:val="20"/>
        </w:rPr>
        <w:t>Program</w:t>
      </w:r>
      <w:r w:rsidR="009C1185">
        <w:rPr>
          <w:rFonts w:ascii="Times New Roman" w:hAnsi="Times New Roman" w:cs="Times New Roman"/>
          <w:sz w:val="18"/>
          <w:szCs w:val="20"/>
        </w:rPr>
        <w:t>me</w:t>
      </w:r>
      <w:r w:rsidR="009C1185" w:rsidRPr="00782026">
        <w:rPr>
          <w:rFonts w:ascii="Times New Roman" w:hAnsi="Times New Roman" w:cs="Times New Roman"/>
          <w:sz w:val="18"/>
          <w:szCs w:val="20"/>
        </w:rPr>
        <w:t>s</w:t>
      </w:r>
      <w:r w:rsidRPr="00782026">
        <w:rPr>
          <w:rFonts w:ascii="Times New Roman" w:hAnsi="Times New Roman" w:cs="Times New Roman"/>
          <w:sz w:val="18"/>
          <w:szCs w:val="20"/>
        </w:rPr>
        <w:t xml:space="preserve"> (PP), the so called outright operations such as the three </w:t>
      </w:r>
      <w:r w:rsidRPr="00782026">
        <w:rPr>
          <w:rFonts w:ascii="Times New Roman" w:hAnsi="Times New Roman" w:cs="Times New Roman"/>
          <w:color w:val="000000"/>
          <w:sz w:val="18"/>
          <w:szCs w:val="20"/>
          <w:shd w:val="clear" w:color="auto" w:fill="FFFFFF"/>
        </w:rPr>
        <w:t xml:space="preserve">covered bond PPs which started in 2009, 2011 and 2014 respectively, the asset-backed securities PP which started in November 2014, the sovereign bonds PP which started in March 2015, and corporate bonds </w:t>
      </w:r>
      <w:r w:rsidR="003E46E7">
        <w:rPr>
          <w:rFonts w:ascii="Times New Roman" w:hAnsi="Times New Roman" w:cs="Times New Roman"/>
          <w:color w:val="000000"/>
          <w:sz w:val="18"/>
          <w:szCs w:val="20"/>
          <w:shd w:val="clear" w:color="auto" w:fill="FFFFFF"/>
        </w:rPr>
        <w:t>PP which started in June 2016</w:t>
      </w:r>
      <w:r w:rsidR="009C1185">
        <w:rPr>
          <w:rFonts w:ascii="Times New Roman" w:hAnsi="Times New Roman" w:cs="Times New Roman"/>
          <w:color w:val="000000"/>
          <w:sz w:val="18"/>
          <w:szCs w:val="20"/>
          <w:shd w:val="clear" w:color="auto" w:fill="FFFFFF"/>
        </w:rPr>
        <w:t xml:space="preserve">. </w:t>
      </w:r>
      <w:r w:rsidRPr="00782026">
        <w:rPr>
          <w:rFonts w:ascii="Times New Roman" w:hAnsi="Times New Roman" w:cs="Times New Roman"/>
          <w:color w:val="000000"/>
          <w:sz w:val="18"/>
          <w:szCs w:val="20"/>
          <w:shd w:val="clear" w:color="auto" w:fill="FFFFFF"/>
        </w:rPr>
        <w:t xml:space="preserve">Finally, </w:t>
      </w:r>
      <w:r w:rsidR="004D5216">
        <w:rPr>
          <w:rFonts w:ascii="Times New Roman" w:hAnsi="Times New Roman" w:cs="Times New Roman"/>
          <w:color w:val="000000"/>
          <w:sz w:val="18"/>
          <w:szCs w:val="20"/>
          <w:shd w:val="clear" w:color="auto" w:fill="FFFFFF"/>
        </w:rPr>
        <w:t xml:space="preserve">besides the QE, the ECB committed to buy unlimited amount of sovereign debt under its </w:t>
      </w:r>
      <w:r w:rsidRPr="00782026">
        <w:rPr>
          <w:rFonts w:ascii="Times New Roman" w:hAnsi="Times New Roman" w:cs="Times New Roman"/>
          <w:color w:val="000000"/>
          <w:sz w:val="18"/>
          <w:szCs w:val="20"/>
          <w:shd w:val="clear" w:color="auto" w:fill="FFFFFF"/>
        </w:rPr>
        <w:t>Outright Monetary Transactions program that was announced in 2012 and has not been initiated yet. The OMT managed to pass the judicial hurdles</w:t>
      </w:r>
      <w:r w:rsidR="008C355D">
        <w:rPr>
          <w:rFonts w:ascii="Times New Roman" w:hAnsi="Times New Roman" w:cs="Times New Roman"/>
          <w:color w:val="000000"/>
          <w:sz w:val="18"/>
          <w:szCs w:val="20"/>
          <w:shd w:val="clear" w:color="auto" w:fill="FFFFFF"/>
        </w:rPr>
        <w:t xml:space="preserve">. </w:t>
      </w:r>
      <w:r w:rsidRPr="00782026">
        <w:rPr>
          <w:rFonts w:ascii="Times New Roman" w:hAnsi="Times New Roman" w:cs="Times New Roman"/>
          <w:color w:val="000000"/>
          <w:sz w:val="18"/>
          <w:szCs w:val="20"/>
          <w:shd w:val="clear" w:color="auto" w:fill="FFFFFF"/>
        </w:rPr>
        <w:t>However, the OMT support is conditional on member states first applying for financial assistance from the European Stability Mechanism which entails underta</w:t>
      </w:r>
      <w:r w:rsidR="00782026" w:rsidRPr="00782026">
        <w:rPr>
          <w:rFonts w:ascii="Times New Roman" w:hAnsi="Times New Roman" w:cs="Times New Roman"/>
          <w:color w:val="000000"/>
          <w:sz w:val="18"/>
          <w:szCs w:val="20"/>
          <w:shd w:val="clear" w:color="auto" w:fill="FFFFFF"/>
        </w:rPr>
        <w:t>king further austerity measures.</w:t>
      </w:r>
    </w:p>
  </w:footnote>
  <w:footnote w:id="13">
    <w:p w:rsidR="002E1F65" w:rsidRPr="00B67031" w:rsidRDefault="00782026" w:rsidP="00B229C0">
      <w:pPr>
        <w:spacing w:after="0" w:line="240" w:lineRule="auto"/>
        <w:rPr>
          <w:rFonts w:ascii="Times New Roman" w:hAnsi="Times New Roman" w:cs="Times New Roman"/>
          <w:sz w:val="18"/>
        </w:rPr>
      </w:pPr>
      <w:r w:rsidRPr="006D336D">
        <w:rPr>
          <w:rStyle w:val="FootnoteReference"/>
          <w:rFonts w:ascii="Times New Roman" w:hAnsi="Times New Roman" w:cs="Times New Roman"/>
          <w:sz w:val="18"/>
        </w:rPr>
        <w:footnoteRef/>
      </w:r>
      <w:r w:rsidRPr="006D336D">
        <w:rPr>
          <w:rFonts w:ascii="Times New Roman" w:hAnsi="Times New Roman" w:cs="Times New Roman"/>
          <w:sz w:val="18"/>
        </w:rPr>
        <w:t xml:space="preserve"> Although one of the core pillars of the Single Market project was the integration of financial markets that was supposed to allocate resources more effectively across the Union, It was not until the jumpstart of the Single Market Project in the 1980s when financial liberalization gained impetus. The first legislative efforts of tearing down the barriers to the free movement of capital were made in the late 1980s with the adoption of the liberalization Directive (88/361/EEC) and the banking coordination Directive (</w:t>
      </w:r>
      <w:r w:rsidRPr="006D336D">
        <w:rPr>
          <w:rStyle w:val="Strong"/>
          <w:rFonts w:ascii="Times New Roman" w:eastAsiaTheme="majorEastAsia" w:hAnsi="Times New Roman" w:cs="Times New Roman"/>
          <w:b w:val="0"/>
          <w:color w:val="000000"/>
          <w:sz w:val="18"/>
          <w:shd w:val="clear" w:color="auto" w:fill="FFFFFF"/>
        </w:rPr>
        <w:t>89/646/EEC), which were based on the mutual recognition principle</w:t>
      </w:r>
      <w:r w:rsidRPr="006D336D">
        <w:rPr>
          <w:rStyle w:val="Strong"/>
          <w:rFonts w:ascii="Times New Roman" w:eastAsiaTheme="majorEastAsia" w:hAnsi="Times New Roman" w:cs="Times New Roman"/>
          <w:color w:val="000000"/>
          <w:sz w:val="18"/>
          <w:shd w:val="clear" w:color="auto" w:fill="FFFFFF"/>
        </w:rPr>
        <w:t xml:space="preserve"> </w:t>
      </w:r>
      <w:r w:rsidRPr="006D336D">
        <w:rPr>
          <w:rStyle w:val="Strong"/>
          <w:rFonts w:ascii="Times New Roman" w:eastAsiaTheme="majorEastAsia" w:hAnsi="Times New Roman" w:cs="Times New Roman"/>
          <w:b w:val="0"/>
          <w:color w:val="000000"/>
          <w:sz w:val="18"/>
          <w:shd w:val="clear" w:color="auto" w:fill="FFFFFF"/>
        </w:rPr>
        <w:t>(</w:t>
      </w:r>
      <w:proofErr w:type="spellStart"/>
      <w:r w:rsidR="00953735">
        <w:rPr>
          <w:rFonts w:ascii="Times New Roman" w:hAnsi="Times New Roman" w:cs="Times New Roman"/>
          <w:sz w:val="18"/>
        </w:rPr>
        <w:t>Mügge</w:t>
      </w:r>
      <w:proofErr w:type="spellEnd"/>
      <w:r w:rsidR="00953735">
        <w:rPr>
          <w:rFonts w:ascii="Times New Roman" w:hAnsi="Times New Roman" w:cs="Times New Roman"/>
          <w:sz w:val="18"/>
        </w:rPr>
        <w:t>, 2013</w:t>
      </w:r>
      <w:r w:rsidRPr="006D336D">
        <w:rPr>
          <w:rFonts w:ascii="Times New Roman" w:hAnsi="Times New Roman" w:cs="Times New Roman"/>
          <w:sz w:val="18"/>
        </w:rPr>
        <w:t>)</w:t>
      </w:r>
      <w:r w:rsidRPr="006D336D">
        <w:rPr>
          <w:rFonts w:ascii="Times New Roman" w:hAnsi="Times New Roman" w:cs="Times New Roman"/>
          <w:b/>
          <w:sz w:val="18"/>
        </w:rPr>
        <w:t>.</w:t>
      </w:r>
      <w:r w:rsidRPr="006D336D">
        <w:rPr>
          <w:rFonts w:ascii="Times New Roman" w:hAnsi="Times New Roman" w:cs="Times New Roman"/>
          <w:sz w:val="18"/>
        </w:rPr>
        <w:t xml:space="preserve"> The Maastricht Treaty and the foreseen EMU, which was supposed to eliminate the exchange-rate transaction costs, provided additional incentives for the full integration of the financial services market (</w:t>
      </w:r>
      <w:proofErr w:type="spellStart"/>
      <w:r w:rsidRPr="006D336D">
        <w:rPr>
          <w:rFonts w:ascii="Times New Roman" w:hAnsi="Times New Roman" w:cs="Times New Roman"/>
          <w:sz w:val="18"/>
        </w:rPr>
        <w:t>Bieling</w:t>
      </w:r>
      <w:proofErr w:type="spellEnd"/>
      <w:r w:rsidRPr="006D336D">
        <w:rPr>
          <w:rFonts w:ascii="Times New Roman" w:hAnsi="Times New Roman" w:cs="Times New Roman"/>
          <w:sz w:val="18"/>
        </w:rPr>
        <w:t xml:space="preserve">, 2011). The Financial Services Action Plan (FSAP), launched in 1999 following the Cardiff European Council’s Conclusions (1998), targeted the institutional obstacles that prevented cross-border integration by foreseeing greater coordination and harmonization of EU-wide regulation, whose substance is marked by a ‘pro-competitive’ direction’ </w:t>
      </w:r>
      <w:r w:rsidRPr="006D336D">
        <w:rPr>
          <w:rFonts w:ascii="Times New Roman" w:hAnsi="Times New Roman" w:cs="Times New Roman"/>
          <w:color w:val="231F20"/>
          <w:sz w:val="18"/>
        </w:rPr>
        <w:t>(</w:t>
      </w:r>
      <w:proofErr w:type="spellStart"/>
      <w:r w:rsidR="00953735">
        <w:rPr>
          <w:rFonts w:ascii="Times New Roman" w:hAnsi="Times New Roman" w:cs="Times New Roman"/>
          <w:sz w:val="18"/>
        </w:rPr>
        <w:t>Mügge</w:t>
      </w:r>
      <w:proofErr w:type="spellEnd"/>
      <w:r w:rsidR="00953735">
        <w:rPr>
          <w:rFonts w:ascii="Times New Roman" w:hAnsi="Times New Roman" w:cs="Times New Roman"/>
          <w:sz w:val="18"/>
        </w:rPr>
        <w:t>, 2013</w:t>
      </w:r>
      <w:r w:rsidRPr="006D336D">
        <w:rPr>
          <w:rFonts w:ascii="Times New Roman" w:hAnsi="Times New Roman" w:cs="Times New Roman"/>
          <w:sz w:val="18"/>
        </w:rPr>
        <w:t xml:space="preserve">: </w:t>
      </w:r>
      <w:r w:rsidRPr="006D336D">
        <w:rPr>
          <w:rFonts w:ascii="Times New Roman" w:hAnsi="Times New Roman" w:cs="Times New Roman"/>
          <w:color w:val="231F20"/>
          <w:sz w:val="18"/>
        </w:rPr>
        <w:t>992;</w:t>
      </w:r>
      <w:r w:rsidRPr="006D336D">
        <w:rPr>
          <w:rFonts w:ascii="Times New Roman" w:hAnsi="Times New Roman" w:cs="Times New Roman"/>
          <w:sz w:val="18"/>
        </w:rPr>
        <w:t xml:space="preserve"> </w:t>
      </w:r>
      <w:proofErr w:type="spellStart"/>
      <w:r w:rsidRPr="006D336D">
        <w:rPr>
          <w:rFonts w:ascii="Times New Roman" w:hAnsi="Times New Roman" w:cs="Times New Roman"/>
          <w:sz w:val="18"/>
        </w:rPr>
        <w:t>Frangakis</w:t>
      </w:r>
      <w:proofErr w:type="spellEnd"/>
      <w:r w:rsidRPr="006D336D">
        <w:rPr>
          <w:rFonts w:ascii="Times New Roman" w:hAnsi="Times New Roman" w:cs="Times New Roman"/>
          <w:sz w:val="18"/>
        </w:rPr>
        <w:t>: 2009</w:t>
      </w:r>
      <w:r w:rsidRPr="006D336D">
        <w:rPr>
          <w:rFonts w:ascii="Times New Roman" w:hAnsi="Times New Roman" w:cs="Times New Roman"/>
          <w:color w:val="231F20"/>
          <w:sz w:val="18"/>
        </w:rPr>
        <w:t>).</w:t>
      </w:r>
      <w:r w:rsidRPr="006D336D">
        <w:rPr>
          <w:rFonts w:ascii="Times New Roman" w:hAnsi="Times New Roman" w:cs="Times New Roman"/>
          <w:sz w:val="18"/>
        </w:rPr>
        <w:t xml:space="preserve"> The FSAP was an ambitious project which introduced 42 measures, 39 of which were implemented by the predicted deadline in 2004 (DG Internal Market, 2007). In order to facilitate the process of fast and smooth adoption of legislative measures, the </w:t>
      </w:r>
      <w:proofErr w:type="spellStart"/>
      <w:r w:rsidRPr="006D336D">
        <w:rPr>
          <w:rFonts w:ascii="Times New Roman" w:hAnsi="Times New Roman" w:cs="Times New Roman"/>
          <w:sz w:val="18"/>
        </w:rPr>
        <w:t>Lamfalussy</w:t>
      </w:r>
      <w:proofErr w:type="spellEnd"/>
      <w:r w:rsidRPr="006D336D">
        <w:rPr>
          <w:rFonts w:ascii="Times New Roman" w:hAnsi="Times New Roman" w:cs="Times New Roman"/>
          <w:sz w:val="18"/>
        </w:rPr>
        <w:t xml:space="preserve"> process was launched in 2001, which envisaged the adoption of framework legislation by the Council of Ministers and delegated the technical legislation to the Commission and the respective committees: the European Securities Committee, the Committee of European Banking Supervisors, the Committee of European Securities Regulators, and the Committee of European Insurance and Occupational Pensions Supervision, which have been replaced with three new authorities under the European System of Financial Supervision (Grossman and </w:t>
      </w:r>
      <w:proofErr w:type="spellStart"/>
      <w:r w:rsidRPr="006D336D">
        <w:rPr>
          <w:rFonts w:ascii="Times New Roman" w:hAnsi="Times New Roman" w:cs="Times New Roman"/>
          <w:sz w:val="18"/>
        </w:rPr>
        <w:t>Le</w:t>
      </w:r>
      <w:r w:rsidR="00953735">
        <w:rPr>
          <w:rFonts w:ascii="Times New Roman" w:hAnsi="Times New Roman" w:cs="Times New Roman"/>
          <w:sz w:val="18"/>
        </w:rPr>
        <w:t>blond</w:t>
      </w:r>
      <w:proofErr w:type="spellEnd"/>
      <w:r w:rsidR="00953735">
        <w:rPr>
          <w:rFonts w:ascii="Times New Roman" w:hAnsi="Times New Roman" w:cs="Times New Roman"/>
          <w:sz w:val="18"/>
        </w:rPr>
        <w:t xml:space="preserve">, 2011; </w:t>
      </w:r>
      <w:proofErr w:type="spellStart"/>
      <w:r w:rsidR="00953735">
        <w:rPr>
          <w:rFonts w:ascii="Times New Roman" w:hAnsi="Times New Roman" w:cs="Times New Roman"/>
          <w:sz w:val="18"/>
        </w:rPr>
        <w:t>Mügge</w:t>
      </w:r>
      <w:proofErr w:type="spellEnd"/>
      <w:r w:rsidR="00953735">
        <w:rPr>
          <w:rFonts w:ascii="Times New Roman" w:hAnsi="Times New Roman" w:cs="Times New Roman"/>
          <w:sz w:val="18"/>
        </w:rPr>
        <w:t>, 2013</w:t>
      </w:r>
      <w:r w:rsidRPr="006D336D">
        <w:rPr>
          <w:rFonts w:ascii="Times New Roman" w:hAnsi="Times New Roman" w:cs="Times New Roman"/>
          <w:sz w:val="18"/>
        </w:rPr>
        <w:t xml:space="preserve">). The FSAP and the </w:t>
      </w:r>
      <w:proofErr w:type="spellStart"/>
      <w:r w:rsidRPr="006D336D">
        <w:rPr>
          <w:rFonts w:ascii="Times New Roman" w:hAnsi="Times New Roman" w:cs="Times New Roman"/>
          <w:sz w:val="18"/>
        </w:rPr>
        <w:t>Lamfalussy</w:t>
      </w:r>
      <w:proofErr w:type="spellEnd"/>
      <w:r w:rsidRPr="006D336D">
        <w:rPr>
          <w:rFonts w:ascii="Times New Roman" w:hAnsi="Times New Roman" w:cs="Times New Roman"/>
          <w:sz w:val="18"/>
        </w:rPr>
        <w:t xml:space="preserve"> process have undeniably succeeded in securing a </w:t>
      </w:r>
      <w:r w:rsidRPr="006D336D">
        <w:rPr>
          <w:rFonts w:ascii="Times New Roman" w:hAnsi="Times New Roman" w:cs="Times New Roman"/>
          <w:i/>
          <w:sz w:val="18"/>
        </w:rPr>
        <w:t xml:space="preserve">de jure </w:t>
      </w:r>
      <w:r w:rsidRPr="006D336D">
        <w:rPr>
          <w:rFonts w:ascii="Times New Roman" w:hAnsi="Times New Roman" w:cs="Times New Roman"/>
          <w:sz w:val="18"/>
        </w:rPr>
        <w:t xml:space="preserve">liberalization of the financial services market given that by the end of 2008 all of the 27 Member States had transposed the 26 Directives (DG Single Market, 2010). And although </w:t>
      </w:r>
      <w:r w:rsidRPr="006D336D">
        <w:rPr>
          <w:rFonts w:ascii="Times New Roman" w:hAnsi="Times New Roman" w:cs="Times New Roman"/>
          <w:i/>
          <w:sz w:val="18"/>
        </w:rPr>
        <w:t>de facto</w:t>
      </w:r>
      <w:r w:rsidRPr="006D336D">
        <w:rPr>
          <w:rFonts w:ascii="Times New Roman" w:hAnsi="Times New Roman" w:cs="Times New Roman"/>
          <w:sz w:val="18"/>
        </w:rPr>
        <w:t xml:space="preserve"> liberalization was still not fully completed by the start of the Eurozone crisis, with the money markets seeing the fasted integration (</w:t>
      </w:r>
      <w:proofErr w:type="spellStart"/>
      <w:r w:rsidRPr="006D336D">
        <w:rPr>
          <w:rFonts w:ascii="Times New Roman" w:hAnsi="Times New Roman" w:cs="Times New Roman"/>
          <w:sz w:val="18"/>
        </w:rPr>
        <w:t>Coeuré</w:t>
      </w:r>
      <w:proofErr w:type="spellEnd"/>
      <w:r w:rsidRPr="006D336D">
        <w:rPr>
          <w:rFonts w:ascii="Times New Roman" w:hAnsi="Times New Roman" w:cs="Times New Roman"/>
          <w:sz w:val="18"/>
        </w:rPr>
        <w:t>, 2012), the volume of cross-border interbank transactions and the share of investment in mutual funds in other member states were increasing at high p</w:t>
      </w:r>
      <w:r w:rsidR="00953735">
        <w:rPr>
          <w:rFonts w:ascii="Times New Roman" w:hAnsi="Times New Roman" w:cs="Times New Roman"/>
          <w:sz w:val="18"/>
        </w:rPr>
        <w:t xml:space="preserve">ace (Grossman and </w:t>
      </w:r>
      <w:proofErr w:type="spellStart"/>
      <w:r w:rsidR="00953735">
        <w:rPr>
          <w:rFonts w:ascii="Times New Roman" w:hAnsi="Times New Roman" w:cs="Times New Roman"/>
          <w:sz w:val="18"/>
        </w:rPr>
        <w:t>Leblond</w:t>
      </w:r>
      <w:proofErr w:type="spellEnd"/>
      <w:r w:rsidR="00953735">
        <w:rPr>
          <w:rFonts w:ascii="Times New Roman" w:hAnsi="Times New Roman" w:cs="Times New Roman"/>
          <w:sz w:val="18"/>
        </w:rPr>
        <w:t>, 2011</w:t>
      </w:r>
      <w:r w:rsidRPr="006D336D">
        <w:rPr>
          <w:rFonts w:ascii="Times New Roman" w:hAnsi="Times New Roman" w:cs="Times New Roman"/>
          <w:sz w:val="18"/>
        </w:rPr>
        <w:t xml:space="preserve">). </w:t>
      </w:r>
      <w:proofErr w:type="spellStart"/>
      <w:r w:rsidRPr="006D336D">
        <w:rPr>
          <w:rFonts w:ascii="Times New Roman" w:hAnsi="Times New Roman" w:cs="Times New Roman"/>
          <w:sz w:val="18"/>
        </w:rPr>
        <w:t>Coeuré</w:t>
      </w:r>
      <w:proofErr w:type="spellEnd"/>
      <w:r w:rsidRPr="006D336D">
        <w:rPr>
          <w:rFonts w:ascii="Times New Roman" w:hAnsi="Times New Roman" w:cs="Times New Roman"/>
          <w:sz w:val="18"/>
        </w:rPr>
        <w:t xml:space="preserve"> (2012) notes that these private-risk sharing mechanism in the EU were significantly impaired by the crisis and financial markets have fragmented along national lines. </w:t>
      </w:r>
    </w:p>
  </w:footnote>
  <w:footnote w:id="14">
    <w:p w:rsidR="00B67031" w:rsidRPr="005C1FCC" w:rsidRDefault="00B67031" w:rsidP="004F1AD6">
      <w:pPr>
        <w:spacing w:after="0" w:line="240" w:lineRule="auto"/>
        <w:rPr>
          <w:rFonts w:ascii="Times New Roman" w:hAnsi="Times New Roman" w:cs="Times New Roman"/>
          <w:sz w:val="20"/>
          <w:szCs w:val="18"/>
        </w:rPr>
      </w:pPr>
      <w:r w:rsidRPr="00B67031">
        <w:rPr>
          <w:rStyle w:val="FootnoteReference"/>
          <w:rFonts w:ascii="Times New Roman" w:hAnsi="Times New Roman" w:cs="Times New Roman"/>
          <w:sz w:val="18"/>
          <w:szCs w:val="18"/>
        </w:rPr>
        <w:footnoteRef/>
      </w:r>
      <w:r w:rsidR="00DD6A9A">
        <w:rPr>
          <w:rFonts w:ascii="Times New Roman" w:hAnsi="Times New Roman" w:cs="Times New Roman"/>
          <w:sz w:val="18"/>
          <w:szCs w:val="18"/>
        </w:rPr>
        <w:t xml:space="preserve"> T</w:t>
      </w:r>
      <w:r w:rsidRPr="00B67031">
        <w:rPr>
          <w:rFonts w:ascii="Times New Roman" w:hAnsi="Times New Roman" w:cs="Times New Roman"/>
          <w:color w:val="000000"/>
          <w:sz w:val="18"/>
          <w:szCs w:val="18"/>
        </w:rPr>
        <w:t xml:space="preserve">hree European Supervisory Authorities: the European Banking Authority, the European Securities and Markets Authority, and the European Insurance and Occupational Pensions Authority, and the European Systemic Risk Board (ESRB), which was established following the suggestion of the </w:t>
      </w:r>
      <w:proofErr w:type="spellStart"/>
      <w:r w:rsidRPr="00B67031">
        <w:rPr>
          <w:rFonts w:ascii="Times New Roman" w:hAnsi="Times New Roman" w:cs="Times New Roman"/>
          <w:color w:val="000000"/>
          <w:sz w:val="18"/>
          <w:szCs w:val="18"/>
        </w:rPr>
        <w:t>Larosière</w:t>
      </w:r>
      <w:proofErr w:type="spellEnd"/>
      <w:r w:rsidRPr="00B67031">
        <w:rPr>
          <w:rFonts w:ascii="Times New Roman" w:hAnsi="Times New Roman" w:cs="Times New Roman"/>
          <w:color w:val="000000"/>
          <w:sz w:val="18"/>
          <w:szCs w:val="18"/>
        </w:rPr>
        <w:t xml:space="preserve"> group</w:t>
      </w:r>
      <w:r w:rsidRPr="00B67031">
        <w:rPr>
          <w:rFonts w:ascii="Times New Roman" w:hAnsi="Times New Roman" w:cs="Times New Roman"/>
          <w:color w:val="333333"/>
          <w:sz w:val="18"/>
          <w:szCs w:val="18"/>
          <w:shd w:val="clear" w:color="auto" w:fill="FFFFFF"/>
        </w:rPr>
        <w:t xml:space="preserve"> (</w:t>
      </w:r>
      <w:r w:rsidRPr="00B67031">
        <w:rPr>
          <w:rFonts w:ascii="Times New Roman" w:hAnsi="Times New Roman" w:cs="Times New Roman"/>
          <w:color w:val="000000"/>
          <w:sz w:val="18"/>
          <w:szCs w:val="18"/>
        </w:rPr>
        <w:t xml:space="preserve">Regulation EU/1092/2010). </w:t>
      </w:r>
      <w:r w:rsidR="00DD6A9A" w:rsidRPr="00DD6A9A">
        <w:rPr>
          <w:rFonts w:ascii="Times New Roman" w:hAnsi="Times New Roman" w:cs="Times New Roman"/>
          <w:color w:val="000000"/>
          <w:sz w:val="18"/>
        </w:rPr>
        <w:t>The new macro-prudential rules that are in line with the Basel III guidelines</w:t>
      </w:r>
      <w:r w:rsidR="00DD6A9A">
        <w:rPr>
          <w:rFonts w:ascii="Times New Roman" w:hAnsi="Times New Roman" w:cs="Times New Roman"/>
          <w:color w:val="000000"/>
          <w:sz w:val="18"/>
        </w:rPr>
        <w:t xml:space="preserve"> (yet to be implemented)</w:t>
      </w:r>
      <w:r w:rsidR="00DD6A9A" w:rsidRPr="00DD6A9A">
        <w:rPr>
          <w:rFonts w:ascii="Times New Roman" w:hAnsi="Times New Roman" w:cs="Times New Roman"/>
          <w:color w:val="000000"/>
          <w:sz w:val="18"/>
        </w:rPr>
        <w:t xml:space="preserve"> provide national authorities with various instruments, such as counter-cyclical capital buffers (up to 2.5% of risk-weighted assets), global systematically important institutions (G-SII) buffer (between 1% and 3.5% of risk-weighted assets), other systematically important institutions (O-SII) buffer (up to 2% of risk-weighted assets) and limits on loans-to-value caps. The ECB is empowered to establish higher capital buffers than those required by the national authorities within the new Single Supervisory Mechanism within the Eurozone (</w:t>
      </w:r>
      <w:r w:rsidR="00DD6A9A" w:rsidRPr="00DD6A9A">
        <w:rPr>
          <w:rFonts w:ascii="Times New Roman" w:hAnsi="Times New Roman" w:cs="Times New Roman"/>
          <w:sz w:val="18"/>
        </w:rPr>
        <w:t>Council Regulation 1024/2013/EU).</w:t>
      </w:r>
      <w:r w:rsidR="005C1FCC" w:rsidRPr="005C1FCC">
        <w:rPr>
          <w:rFonts w:ascii="Times New Roman" w:hAnsi="Times New Roman" w:cs="Times New Roman"/>
          <w:sz w:val="18"/>
        </w:rPr>
        <w:t xml:space="preserve"> The</w:t>
      </w:r>
      <w:r w:rsidR="005C1FCC">
        <w:rPr>
          <w:rFonts w:ascii="Times New Roman" w:hAnsi="Times New Roman" w:cs="Times New Roman"/>
          <w:sz w:val="18"/>
        </w:rPr>
        <w:t>se</w:t>
      </w:r>
      <w:r w:rsidR="005C1FCC" w:rsidRPr="005C1FCC">
        <w:rPr>
          <w:rFonts w:ascii="Times New Roman" w:hAnsi="Times New Roman" w:cs="Times New Roman"/>
          <w:sz w:val="18"/>
        </w:rPr>
        <w:t xml:space="preserve"> new regulation and supervisory measures are not without their critiques. </w:t>
      </w:r>
      <w:proofErr w:type="spellStart"/>
      <w:r w:rsidR="005C1FCC" w:rsidRPr="005C1FCC">
        <w:rPr>
          <w:rFonts w:ascii="Times New Roman" w:hAnsi="Times New Roman" w:cs="Times New Roman"/>
          <w:sz w:val="18"/>
        </w:rPr>
        <w:t>Jabłecki</w:t>
      </w:r>
      <w:proofErr w:type="spellEnd"/>
      <w:r w:rsidR="005C1FCC" w:rsidRPr="005C1FCC">
        <w:rPr>
          <w:rFonts w:ascii="Times New Roman" w:hAnsi="Times New Roman" w:cs="Times New Roman"/>
          <w:sz w:val="18"/>
        </w:rPr>
        <w:t xml:space="preserve"> (2012: 13) argues that they both acted ‘pro-cyclically by, on the one hand, encouraging banks to acquire sovereign exposures and, on the other, punishing banks for these exposures after they had been acquired’.</w:t>
      </w:r>
    </w:p>
  </w:footnote>
  <w:footnote w:id="15">
    <w:p w:rsidR="00137B36" w:rsidRPr="004F1AD6" w:rsidRDefault="00137B36" w:rsidP="00B229C0">
      <w:pPr>
        <w:spacing w:after="0" w:line="240" w:lineRule="auto"/>
        <w:rPr>
          <w:rFonts w:ascii="Times New Roman" w:hAnsi="Times New Roman" w:cs="Times New Roman"/>
          <w:sz w:val="18"/>
          <w:szCs w:val="18"/>
        </w:rPr>
      </w:pPr>
      <w:r w:rsidRPr="004F1AD6">
        <w:rPr>
          <w:rStyle w:val="FootnoteReference"/>
          <w:rFonts w:ascii="Times New Roman" w:hAnsi="Times New Roman" w:cs="Times New Roman"/>
          <w:sz w:val="18"/>
          <w:szCs w:val="18"/>
        </w:rPr>
        <w:footnoteRef/>
      </w:r>
      <w:r w:rsidRPr="004F1AD6">
        <w:rPr>
          <w:rFonts w:ascii="Times New Roman" w:hAnsi="Times New Roman" w:cs="Times New Roman"/>
          <w:sz w:val="18"/>
          <w:szCs w:val="18"/>
        </w:rPr>
        <w:t xml:space="preserve"> In late 2011 five Regulations and one Directive, the so called Six-Pack, were adopted with the aim of strengthening the budgetary surveillance mechanism. The revised Stability and Growth Pact now consists of a) preventive arm, which leaves the policy options of early warning and policy advice to the European Commission and obliges countries to comply with the Medium-Term Objectives, and b) dissuasive arm with its semi-automatic sanction envisaged under the excessive deficit procedure and excessive imbalance procedure (Regulation (EC) no. 1177/2011)</w:t>
      </w:r>
      <w:r w:rsidR="001418E4" w:rsidRPr="004F1AD6">
        <w:rPr>
          <w:rFonts w:ascii="Times New Roman" w:hAnsi="Times New Roman" w:cs="Times New Roman"/>
          <w:sz w:val="18"/>
          <w:szCs w:val="18"/>
        </w:rPr>
        <w:t xml:space="preserve">. </w:t>
      </w:r>
      <w:r w:rsidRPr="004F1AD6">
        <w:rPr>
          <w:rFonts w:ascii="Times New Roman" w:hAnsi="Times New Roman" w:cs="Times New Roman"/>
          <w:sz w:val="18"/>
          <w:szCs w:val="18"/>
        </w:rPr>
        <w:t xml:space="preserve"> </w:t>
      </w:r>
    </w:p>
  </w:footnote>
  <w:footnote w:id="16">
    <w:p w:rsidR="00D864AD" w:rsidRPr="004F1AD6" w:rsidRDefault="00D864AD" w:rsidP="00D864AD">
      <w:pPr>
        <w:spacing w:after="0" w:line="240" w:lineRule="auto"/>
        <w:rPr>
          <w:rFonts w:ascii="Times New Roman" w:hAnsi="Times New Roman" w:cs="Times New Roman"/>
          <w:sz w:val="18"/>
          <w:szCs w:val="18"/>
        </w:rPr>
      </w:pPr>
      <w:r w:rsidRPr="004F1AD6">
        <w:rPr>
          <w:rStyle w:val="FootnoteReference"/>
          <w:rFonts w:ascii="Times New Roman" w:hAnsi="Times New Roman" w:cs="Times New Roman"/>
          <w:sz w:val="18"/>
          <w:szCs w:val="18"/>
        </w:rPr>
        <w:footnoteRef/>
      </w:r>
      <w:r w:rsidRPr="004F1AD6">
        <w:rPr>
          <w:rFonts w:ascii="Times New Roman" w:hAnsi="Times New Roman" w:cs="Times New Roman"/>
          <w:sz w:val="18"/>
          <w:szCs w:val="18"/>
        </w:rPr>
        <w:t xml:space="preserve"> However, we should note that a Polanyian understanding of new-constitutionalism is different from the way the new-constitutionalism scholars such as Gill and Cutler (2014) define it. Namely, the latter can be charged with conflating the liberalization principle with new-constitutionalism. While for Polanyi new-constitutionalism is limited only to some </w:t>
      </w:r>
      <w:proofErr w:type="spellStart"/>
      <w:r w:rsidRPr="004F1AD6">
        <w:rPr>
          <w:rFonts w:ascii="Times New Roman" w:hAnsi="Times New Roman" w:cs="Times New Roman"/>
          <w:sz w:val="18"/>
          <w:szCs w:val="18"/>
        </w:rPr>
        <w:t>depoliticisation</w:t>
      </w:r>
      <w:proofErr w:type="spellEnd"/>
      <w:r w:rsidRPr="004F1AD6">
        <w:rPr>
          <w:rFonts w:ascii="Times New Roman" w:hAnsi="Times New Roman" w:cs="Times New Roman"/>
          <w:sz w:val="18"/>
          <w:szCs w:val="18"/>
        </w:rPr>
        <w:t xml:space="preserve"> dynamics in the governance process, the likes of Gill and Cutler (2014) tend to group under this category all the measures that extend the commodity form i.e. all legal lock-in mechanisms that underpin the global forces of</w:t>
      </w:r>
      <w:r w:rsidRPr="00D864AD">
        <w:rPr>
          <w:rFonts w:ascii="Times New Roman" w:hAnsi="Times New Roman" w:cs="Times New Roman"/>
          <w:sz w:val="18"/>
        </w:rPr>
        <w:t xml:space="preserve"> </w:t>
      </w:r>
      <w:r w:rsidRPr="004F1AD6">
        <w:rPr>
          <w:rFonts w:ascii="Times New Roman" w:hAnsi="Times New Roman" w:cs="Times New Roman"/>
          <w:sz w:val="18"/>
          <w:szCs w:val="18"/>
        </w:rPr>
        <w:t xml:space="preserve">commodification. This becomes problematic especially in the contemporary context where even the measures that extend a genuine social or environmental protection are themselves predicated on the commodity form (example is emission trading scheme or market-based social insurance). If we follow Gill and Cutler’s (2014) logic then everything can be classified as new-constitutionalism and scholars are deprived of the ability to distinguish the liberalization from the habitation dynamics because both are nowadays predicated on marketization. </w:t>
      </w:r>
    </w:p>
  </w:footnote>
  <w:footnote w:id="17">
    <w:p w:rsidR="00126106" w:rsidRPr="00126106" w:rsidRDefault="00126106" w:rsidP="00126106">
      <w:pPr>
        <w:pStyle w:val="FootnoteText"/>
        <w:rPr>
          <w:rFonts w:ascii="Times New Roman" w:hAnsi="Times New Roman" w:cs="Times New Roman"/>
          <w:sz w:val="18"/>
        </w:rPr>
      </w:pPr>
      <w:r w:rsidRPr="00126106">
        <w:rPr>
          <w:rStyle w:val="FootnoteReference"/>
          <w:rFonts w:ascii="Times New Roman" w:hAnsi="Times New Roman" w:cs="Times New Roman"/>
          <w:sz w:val="18"/>
        </w:rPr>
        <w:footnoteRef/>
      </w:r>
      <w:r w:rsidRPr="00126106">
        <w:rPr>
          <w:rFonts w:ascii="Times New Roman" w:hAnsi="Times New Roman" w:cs="Times New Roman"/>
          <w:sz w:val="18"/>
        </w:rPr>
        <w:t xml:space="preserve"> </w:t>
      </w:r>
      <w:r w:rsidR="0081429B">
        <w:rPr>
          <w:rFonts w:ascii="Times New Roman" w:hAnsi="Times New Roman" w:cs="Times New Roman"/>
          <w:sz w:val="18"/>
        </w:rPr>
        <w:t>Notice the parallels in the</w:t>
      </w:r>
      <w:r w:rsidRPr="00126106">
        <w:rPr>
          <w:rFonts w:ascii="Times New Roman" w:hAnsi="Times New Roman" w:cs="Times New Roman"/>
          <w:sz w:val="18"/>
        </w:rPr>
        <w:t xml:space="preserve"> way the Char</w:t>
      </w:r>
      <w:r>
        <w:rPr>
          <w:rFonts w:ascii="Times New Roman" w:hAnsi="Times New Roman" w:cs="Times New Roman"/>
          <w:sz w:val="18"/>
        </w:rPr>
        <w:t>tists movement was considered an</w:t>
      </w:r>
      <w:r w:rsidRPr="00126106">
        <w:rPr>
          <w:rFonts w:ascii="Times New Roman" w:hAnsi="Times New Roman" w:cs="Times New Roman"/>
          <w:sz w:val="18"/>
        </w:rPr>
        <w:t xml:space="preserve"> impeachment to the Constitution (Polanyi, 1944), </w:t>
      </w:r>
      <w:r w:rsidR="0081429B">
        <w:rPr>
          <w:rFonts w:ascii="Times New Roman" w:hAnsi="Times New Roman" w:cs="Times New Roman"/>
          <w:sz w:val="18"/>
        </w:rPr>
        <w:t xml:space="preserve">and </w:t>
      </w:r>
      <w:r w:rsidRPr="00126106">
        <w:rPr>
          <w:rFonts w:ascii="Times New Roman" w:hAnsi="Times New Roman" w:cs="Times New Roman"/>
          <w:sz w:val="18"/>
        </w:rPr>
        <w:t>the plan for holding referendum on the bail-out in Greece</w:t>
      </w:r>
      <w:r w:rsidR="0081429B">
        <w:rPr>
          <w:rFonts w:ascii="Times New Roman" w:hAnsi="Times New Roman" w:cs="Times New Roman"/>
          <w:sz w:val="18"/>
        </w:rPr>
        <w:t>, which</w:t>
      </w:r>
      <w:r w:rsidRPr="00126106">
        <w:rPr>
          <w:rFonts w:ascii="Times New Roman" w:hAnsi="Times New Roman" w:cs="Times New Roman"/>
          <w:sz w:val="18"/>
        </w:rPr>
        <w:t xml:space="preserve"> was likewise perceived as a violations </w:t>
      </w:r>
      <w:r w:rsidR="009A6FBF">
        <w:rPr>
          <w:rFonts w:ascii="Times New Roman" w:hAnsi="Times New Roman" w:cs="Times New Roman"/>
          <w:sz w:val="18"/>
        </w:rPr>
        <w:t>of</w:t>
      </w:r>
      <w:r w:rsidRPr="00126106">
        <w:rPr>
          <w:rFonts w:ascii="Times New Roman" w:hAnsi="Times New Roman" w:cs="Times New Roman"/>
          <w:sz w:val="18"/>
        </w:rPr>
        <w:t xml:space="preserve"> the EU</w:t>
      </w:r>
      <w:r>
        <w:rPr>
          <w:rFonts w:ascii="Times New Roman" w:hAnsi="Times New Roman" w:cs="Times New Roman"/>
          <w:sz w:val="18"/>
        </w:rPr>
        <w:t xml:space="preserve"> Treaties by the EU leadership</w:t>
      </w:r>
      <w:r w:rsidRPr="00126106">
        <w:rPr>
          <w:rFonts w:ascii="Times New Roman" w:hAnsi="Times New Roman" w:cs="Times New Roman"/>
          <w:sz w:val="18"/>
        </w:rPr>
        <w:t xml:space="preserve">. The instalment of unelected leaders </w:t>
      </w:r>
      <w:proofErr w:type="spellStart"/>
      <w:r w:rsidRPr="00126106">
        <w:rPr>
          <w:rFonts w:ascii="Times New Roman" w:hAnsi="Times New Roman" w:cs="Times New Roman"/>
          <w:sz w:val="18"/>
        </w:rPr>
        <w:t>Papademos</w:t>
      </w:r>
      <w:proofErr w:type="spellEnd"/>
      <w:r w:rsidRPr="00126106">
        <w:rPr>
          <w:rFonts w:ascii="Times New Roman" w:hAnsi="Times New Roman" w:cs="Times New Roman"/>
          <w:sz w:val="18"/>
        </w:rPr>
        <w:t xml:space="preserve"> and Monti in Greece and Italy respectively showed that democracy can be hold to ransom if international debt obligations demand that.</w:t>
      </w:r>
    </w:p>
  </w:footnote>
  <w:footnote w:id="18">
    <w:p w:rsidR="00BC6ECA" w:rsidRDefault="00BC6ECA" w:rsidP="00BC6ECA">
      <w:pPr>
        <w:pStyle w:val="FootnoteText"/>
      </w:pPr>
      <w:r w:rsidRPr="004F1AD6">
        <w:rPr>
          <w:rStyle w:val="FootnoteReference"/>
          <w:rFonts w:ascii="Times New Roman" w:hAnsi="Times New Roman" w:cs="Times New Roman"/>
          <w:sz w:val="18"/>
          <w:szCs w:val="18"/>
        </w:rPr>
        <w:footnoteRef/>
      </w:r>
      <w:r w:rsidRPr="004F1AD6">
        <w:rPr>
          <w:rFonts w:ascii="Times New Roman" w:hAnsi="Times New Roman" w:cs="Times New Roman"/>
          <w:sz w:val="18"/>
          <w:szCs w:val="18"/>
        </w:rPr>
        <w:t xml:space="preserve"> See </w:t>
      </w:r>
      <w:proofErr w:type="spellStart"/>
      <w:r w:rsidRPr="004F1AD6">
        <w:rPr>
          <w:rFonts w:ascii="Times New Roman" w:hAnsi="Times New Roman" w:cs="Times New Roman"/>
          <w:sz w:val="18"/>
          <w:szCs w:val="18"/>
        </w:rPr>
        <w:t>Bagus</w:t>
      </w:r>
      <w:proofErr w:type="spellEnd"/>
      <w:r w:rsidRPr="004F1AD6">
        <w:rPr>
          <w:rFonts w:ascii="Times New Roman" w:hAnsi="Times New Roman" w:cs="Times New Roman"/>
          <w:sz w:val="18"/>
          <w:szCs w:val="18"/>
        </w:rPr>
        <w:t xml:space="preserve"> (2012) for the difference between the Fed’s and the ECB’s open market operations. While the former can buy T-bills outright, the latter lends money to the banks which post sovereign bonds as collateral.</w:t>
      </w:r>
      <w:r>
        <w:t xml:space="preserve"> </w:t>
      </w:r>
    </w:p>
  </w:footnote>
  <w:footnote w:id="19">
    <w:p w:rsidR="00DD7485" w:rsidRPr="004064A0" w:rsidRDefault="00DD7485">
      <w:pPr>
        <w:pStyle w:val="FootnoteText"/>
        <w:rPr>
          <w:rFonts w:ascii="Times New Roman" w:hAnsi="Times New Roman" w:cs="Times New Roman"/>
          <w:sz w:val="18"/>
          <w:szCs w:val="18"/>
        </w:rPr>
      </w:pPr>
      <w:r w:rsidRPr="004064A0">
        <w:rPr>
          <w:rStyle w:val="FootnoteReference"/>
          <w:rFonts w:ascii="Times New Roman" w:hAnsi="Times New Roman" w:cs="Times New Roman"/>
          <w:sz w:val="18"/>
          <w:szCs w:val="18"/>
        </w:rPr>
        <w:footnoteRef/>
      </w:r>
      <w:r w:rsidRPr="004064A0">
        <w:rPr>
          <w:rFonts w:ascii="Times New Roman" w:hAnsi="Times New Roman" w:cs="Times New Roman"/>
          <w:sz w:val="18"/>
          <w:szCs w:val="18"/>
        </w:rPr>
        <w:t xml:space="preserve"> Although there is bias towards surplus countries, in that none has been put under MIP procedures. </w:t>
      </w:r>
    </w:p>
  </w:footnote>
  <w:footnote w:id="20">
    <w:p w:rsidR="00EF366B" w:rsidRPr="004064A0" w:rsidRDefault="00EF366B" w:rsidP="00EF366B">
      <w:pPr>
        <w:spacing w:after="0" w:line="240" w:lineRule="auto"/>
        <w:jc w:val="both"/>
        <w:rPr>
          <w:rFonts w:ascii="Times New Roman" w:hAnsi="Times New Roman" w:cs="Times New Roman"/>
          <w:sz w:val="18"/>
          <w:szCs w:val="18"/>
        </w:rPr>
      </w:pPr>
      <w:r w:rsidRPr="004064A0">
        <w:rPr>
          <w:rStyle w:val="FootnoteReference"/>
          <w:rFonts w:ascii="Times New Roman" w:hAnsi="Times New Roman" w:cs="Times New Roman"/>
          <w:sz w:val="18"/>
          <w:szCs w:val="18"/>
        </w:rPr>
        <w:footnoteRef/>
      </w:r>
      <w:r w:rsidRPr="004064A0">
        <w:rPr>
          <w:rFonts w:ascii="Times New Roman" w:hAnsi="Times New Roman" w:cs="Times New Roman"/>
          <w:sz w:val="18"/>
          <w:szCs w:val="18"/>
        </w:rPr>
        <w:t xml:space="preserve"> List of countries with closed EDP: Italy, Belgium, Hungary, Czech Republic, Denmark, Finland, Latvia, Lithuania, Luxembourg, Poland, Romania, Slovakia, Germany, Malta, The Netherlands, Bulgaria, Austria. </w:t>
      </w:r>
    </w:p>
  </w:footnote>
  <w:footnote w:id="21">
    <w:p w:rsidR="00EF366B" w:rsidRPr="004064A0" w:rsidRDefault="00EF366B" w:rsidP="00EF366B">
      <w:pPr>
        <w:spacing w:after="0" w:line="240" w:lineRule="auto"/>
        <w:rPr>
          <w:rFonts w:ascii="Times New Roman" w:hAnsi="Times New Roman" w:cs="Times New Roman"/>
          <w:color w:val="000000"/>
          <w:sz w:val="18"/>
          <w:szCs w:val="18"/>
          <w:shd w:val="clear" w:color="auto" w:fill="FFFFFF"/>
        </w:rPr>
      </w:pPr>
      <w:r w:rsidRPr="004064A0">
        <w:rPr>
          <w:rStyle w:val="FootnoteReference"/>
          <w:rFonts w:ascii="Times New Roman" w:hAnsi="Times New Roman" w:cs="Times New Roman"/>
          <w:sz w:val="18"/>
          <w:szCs w:val="18"/>
        </w:rPr>
        <w:footnoteRef/>
      </w:r>
      <w:r w:rsidRPr="004064A0">
        <w:rPr>
          <w:rFonts w:ascii="Times New Roman" w:hAnsi="Times New Roman" w:cs="Times New Roman"/>
          <w:sz w:val="18"/>
          <w:szCs w:val="18"/>
        </w:rPr>
        <w:t xml:space="preserve"> </w:t>
      </w:r>
      <w:r w:rsidRPr="004064A0">
        <w:rPr>
          <w:rFonts w:ascii="Times New Roman" w:hAnsi="Times New Roman" w:cs="Times New Roman"/>
          <w:color w:val="000000"/>
          <w:sz w:val="18"/>
          <w:szCs w:val="18"/>
          <w:shd w:val="clear" w:color="auto" w:fill="FFFFFF"/>
        </w:rPr>
        <w:t>Finland, Germany, Ireland, The Netherlands, Spain, Sweden and Slovenia are found to experience imbalances.</w:t>
      </w:r>
    </w:p>
  </w:footnote>
  <w:footnote w:id="22">
    <w:p w:rsidR="004064A0" w:rsidRPr="004064A0" w:rsidRDefault="004064A0" w:rsidP="004064A0">
      <w:pPr>
        <w:spacing w:after="0" w:line="240" w:lineRule="auto"/>
        <w:rPr>
          <w:rFonts w:ascii="Times New Roman" w:hAnsi="Times New Roman" w:cs="Times New Roman"/>
          <w:color w:val="000000"/>
          <w:sz w:val="18"/>
          <w:szCs w:val="18"/>
        </w:rPr>
      </w:pPr>
      <w:r w:rsidRPr="004064A0">
        <w:rPr>
          <w:rStyle w:val="FootnoteReference"/>
          <w:rFonts w:ascii="Times New Roman" w:hAnsi="Times New Roman" w:cs="Times New Roman"/>
          <w:sz w:val="18"/>
          <w:szCs w:val="18"/>
        </w:rPr>
        <w:footnoteRef/>
      </w:r>
      <w:r w:rsidRPr="004064A0">
        <w:rPr>
          <w:rFonts w:ascii="Times New Roman" w:hAnsi="Times New Roman" w:cs="Times New Roman"/>
          <w:sz w:val="18"/>
          <w:szCs w:val="18"/>
        </w:rPr>
        <w:t xml:space="preserve"> Contrary to the ‘belief in spontaneous progress,’ Polanyi (1944, p. 39) underscored the role of government in the extension of both the improvement and the habitation principle.</w:t>
      </w:r>
    </w:p>
  </w:footnote>
  <w:footnote w:id="23">
    <w:p w:rsidR="00C916F1" w:rsidRPr="00574D55" w:rsidRDefault="00C916F1" w:rsidP="00574D55">
      <w:pPr>
        <w:spacing w:after="0" w:line="240" w:lineRule="auto"/>
        <w:rPr>
          <w:rFonts w:ascii="Times New Roman" w:hAnsi="Times New Roman" w:cs="Times New Roman"/>
          <w:iCs/>
          <w:sz w:val="18"/>
          <w:szCs w:val="18"/>
        </w:rPr>
      </w:pPr>
      <w:r w:rsidRPr="00574D55">
        <w:rPr>
          <w:rStyle w:val="FootnoteReference"/>
          <w:rFonts w:ascii="Times New Roman" w:hAnsi="Times New Roman" w:cs="Times New Roman"/>
          <w:sz w:val="18"/>
          <w:szCs w:val="18"/>
        </w:rPr>
        <w:footnoteRef/>
      </w:r>
      <w:r w:rsidRPr="00574D55">
        <w:rPr>
          <w:rFonts w:ascii="Times New Roman" w:hAnsi="Times New Roman" w:cs="Times New Roman"/>
          <w:sz w:val="18"/>
          <w:szCs w:val="18"/>
        </w:rPr>
        <w:t xml:space="preserve"> </w:t>
      </w:r>
      <w:r w:rsidRPr="00574D55">
        <w:rPr>
          <w:rStyle w:val="Emphasis"/>
          <w:rFonts w:ascii="Times New Roman" w:hAnsi="Times New Roman" w:cs="Times New Roman"/>
          <w:i w:val="0"/>
          <w:sz w:val="18"/>
          <w:szCs w:val="18"/>
        </w:rPr>
        <w:t>If we look at the 2020 Strategy, which is implemented and promoted via the European Semester, we see a turn towards an active welfare state regime centered on active labor market policies, flexible labor laws, active aging, up-skilling of the labor force and commitment to lifelong learning. Social investment is justified by the fact that the knowledge-based economy with its growth and jobs imperative requires investment in a skilled workforce (COM/2010/2020)</w:t>
      </w:r>
      <w:r w:rsidRPr="00574D55">
        <w:rPr>
          <w:rFonts w:ascii="Times New Roman" w:hAnsi="Times New Roman" w:cs="Times New Roman"/>
          <w:i/>
          <w:color w:val="000000"/>
          <w:sz w:val="18"/>
          <w:szCs w:val="18"/>
        </w:rPr>
        <w:t xml:space="preserve">. </w:t>
      </w:r>
      <w:r w:rsidRPr="00574D55">
        <w:rPr>
          <w:rFonts w:ascii="Times New Roman" w:hAnsi="Times New Roman" w:cs="Times New Roman"/>
          <w:sz w:val="18"/>
          <w:szCs w:val="18"/>
        </w:rPr>
        <w:t>The objective of the new policy is to enable to workforce to adjust to the needs of the globalized economy</w:t>
      </w:r>
      <w:r w:rsidRPr="00574D55">
        <w:rPr>
          <w:rFonts w:ascii="Times New Roman" w:hAnsi="Times New Roman" w:cs="Times New Roman"/>
          <w:sz w:val="18"/>
          <w:szCs w:val="18"/>
          <w:lang w:eastAsia="en-GB"/>
        </w:rPr>
        <w:t xml:space="preserve">. </w:t>
      </w:r>
      <w:r w:rsidRPr="00574D55">
        <w:rPr>
          <w:rFonts w:ascii="Times New Roman" w:hAnsi="Times New Roman" w:cs="Times New Roman"/>
          <w:sz w:val="18"/>
          <w:szCs w:val="18"/>
        </w:rPr>
        <w:t xml:space="preserve">The modernization of the European social models entails the expansion of the logic of the market, whereby the social policies are considered to be input in good economic governance. </w:t>
      </w:r>
      <w:r w:rsidRPr="00574D55">
        <w:rPr>
          <w:rFonts w:ascii="Times New Roman" w:hAnsi="Times New Roman" w:cs="Times New Roman"/>
          <w:color w:val="000000"/>
          <w:sz w:val="18"/>
          <w:szCs w:val="18"/>
        </w:rPr>
        <w:t>Contrary to the conventional social protection measures, the new social investment policy is concerned with increasing human capital by up-skilling the workforce, providing incentives to work, and promoting longer working lives, thereby enabling capital to exploit the marginal productivity of ol</w:t>
      </w:r>
      <w:r w:rsidR="00DE3225">
        <w:rPr>
          <w:rFonts w:ascii="Times New Roman" w:hAnsi="Times New Roman" w:cs="Times New Roman"/>
          <w:color w:val="000000"/>
          <w:sz w:val="18"/>
          <w:szCs w:val="18"/>
        </w:rPr>
        <w:t>der workers</w:t>
      </w:r>
      <w:r w:rsidRPr="00574D55">
        <w:rPr>
          <w:rFonts w:ascii="Times New Roman" w:hAnsi="Times New Roman" w:cs="Times New Roman"/>
          <w:color w:val="000000"/>
          <w:sz w:val="18"/>
          <w:szCs w:val="18"/>
        </w:rPr>
        <w:t>.</w:t>
      </w:r>
    </w:p>
  </w:footnote>
  <w:footnote w:id="24">
    <w:p w:rsidR="00AF16FA" w:rsidRPr="00AF16FA" w:rsidRDefault="00AF16FA" w:rsidP="00AF16FA">
      <w:pPr>
        <w:spacing w:after="0" w:line="240" w:lineRule="auto"/>
        <w:rPr>
          <w:rFonts w:ascii="Times New Roman" w:hAnsi="Times New Roman" w:cs="Times New Roman"/>
          <w:iCs/>
          <w:sz w:val="18"/>
          <w:szCs w:val="18"/>
        </w:rPr>
      </w:pPr>
      <w:r w:rsidRPr="00AF16FA">
        <w:rPr>
          <w:rStyle w:val="FootnoteReference"/>
          <w:rFonts w:ascii="Times New Roman" w:hAnsi="Times New Roman" w:cs="Times New Roman"/>
          <w:sz w:val="18"/>
          <w:szCs w:val="18"/>
        </w:rPr>
        <w:footnoteRef/>
      </w:r>
      <w:r w:rsidRPr="00AF16FA">
        <w:rPr>
          <w:rFonts w:ascii="Times New Roman" w:hAnsi="Times New Roman" w:cs="Times New Roman"/>
          <w:sz w:val="18"/>
          <w:szCs w:val="18"/>
        </w:rPr>
        <w:t xml:space="preserve"> While the EU acknowledges the role of the labor market in securing social cohesion, it refrains itself from engaging in any demand-side measures to stimulate the economy and correct the dire state of unemployment. Not only has the EU abandoned its commitment to full employment, which can be interpreted as a sign of welfare state retrenchment, but it has given up its efforts to correct the prolonged slump. At the policy level we witness a paradox whereby the EU has singled out the labor market as the best guarantor of social inclusion, all the while at best itself refraining from measures to create jobs and at worst pursuing austerity that damage the wellbeing of the workforce. </w:t>
      </w:r>
    </w:p>
  </w:footnote>
  <w:footnote w:id="25">
    <w:p w:rsidR="002E4276" w:rsidRPr="002E4276" w:rsidRDefault="002E4276">
      <w:pPr>
        <w:pStyle w:val="FootnoteText"/>
        <w:rPr>
          <w:rFonts w:ascii="Times New Roman" w:hAnsi="Times New Roman" w:cs="Times New Roman"/>
          <w:sz w:val="18"/>
        </w:rPr>
      </w:pPr>
      <w:r w:rsidRPr="004064A0">
        <w:rPr>
          <w:rStyle w:val="FootnoteReference"/>
          <w:rFonts w:ascii="Times New Roman" w:hAnsi="Times New Roman" w:cs="Times New Roman"/>
          <w:sz w:val="18"/>
          <w:szCs w:val="18"/>
        </w:rPr>
        <w:footnoteRef/>
      </w:r>
      <w:r w:rsidRPr="004064A0">
        <w:rPr>
          <w:rFonts w:ascii="Times New Roman" w:hAnsi="Times New Roman" w:cs="Times New Roman"/>
          <w:sz w:val="18"/>
          <w:szCs w:val="18"/>
        </w:rPr>
        <w:t xml:space="preserve"> According to Polanyi (1944, pp. 247-248), the double-movement forms only when certain conditions are met: a) when the market society ‘refuses to function’, and b) when a ‘revolutionary situation’ crystallizes and society tries to escape a compete annihilation by the self-regulating market.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7743"/>
    <w:multiLevelType w:val="hybridMultilevel"/>
    <w:tmpl w:val="C68A2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877E0"/>
    <w:multiLevelType w:val="hybridMultilevel"/>
    <w:tmpl w:val="565C9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341616"/>
    <w:multiLevelType w:val="hybridMultilevel"/>
    <w:tmpl w:val="BD68B8FE"/>
    <w:lvl w:ilvl="0" w:tplc="9E301E38">
      <w:start w:val="1"/>
      <w:numFmt w:val="lowerLetter"/>
      <w:lvlText w:val="%1)"/>
      <w:lvlJc w:val="left"/>
      <w:pPr>
        <w:ind w:left="720"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95"/>
    <w:rsid w:val="00000E83"/>
    <w:rsid w:val="00002182"/>
    <w:rsid w:val="00005182"/>
    <w:rsid w:val="00016E12"/>
    <w:rsid w:val="000172ED"/>
    <w:rsid w:val="000173AB"/>
    <w:rsid w:val="000360F6"/>
    <w:rsid w:val="000360F8"/>
    <w:rsid w:val="00037458"/>
    <w:rsid w:val="00041CB8"/>
    <w:rsid w:val="0005126C"/>
    <w:rsid w:val="000619A3"/>
    <w:rsid w:val="00061C74"/>
    <w:rsid w:val="000719EF"/>
    <w:rsid w:val="00073354"/>
    <w:rsid w:val="0007744E"/>
    <w:rsid w:val="0008753F"/>
    <w:rsid w:val="00090B83"/>
    <w:rsid w:val="00093FA0"/>
    <w:rsid w:val="00094271"/>
    <w:rsid w:val="0009683D"/>
    <w:rsid w:val="0009799C"/>
    <w:rsid w:val="000A7B1D"/>
    <w:rsid w:val="000B063D"/>
    <w:rsid w:val="000B187D"/>
    <w:rsid w:val="000B3D00"/>
    <w:rsid w:val="000C08BF"/>
    <w:rsid w:val="000C5106"/>
    <w:rsid w:val="000E3B94"/>
    <w:rsid w:val="000E6C6E"/>
    <w:rsid w:val="000F27EA"/>
    <w:rsid w:val="000F3697"/>
    <w:rsid w:val="000F3BC6"/>
    <w:rsid w:val="000F3FC7"/>
    <w:rsid w:val="000F456F"/>
    <w:rsid w:val="00101501"/>
    <w:rsid w:val="001122C5"/>
    <w:rsid w:val="00114F8E"/>
    <w:rsid w:val="00126106"/>
    <w:rsid w:val="00131F9B"/>
    <w:rsid w:val="00133759"/>
    <w:rsid w:val="001354DF"/>
    <w:rsid w:val="00137498"/>
    <w:rsid w:val="00137B36"/>
    <w:rsid w:val="001401E1"/>
    <w:rsid w:val="001418E4"/>
    <w:rsid w:val="00144050"/>
    <w:rsid w:val="00154293"/>
    <w:rsid w:val="00154779"/>
    <w:rsid w:val="00157367"/>
    <w:rsid w:val="001707BD"/>
    <w:rsid w:val="0017108B"/>
    <w:rsid w:val="001744DF"/>
    <w:rsid w:val="00174B2B"/>
    <w:rsid w:val="001925C8"/>
    <w:rsid w:val="001958C7"/>
    <w:rsid w:val="00196B2C"/>
    <w:rsid w:val="001A0FED"/>
    <w:rsid w:val="001A17D3"/>
    <w:rsid w:val="001A4643"/>
    <w:rsid w:val="001A532B"/>
    <w:rsid w:val="001A58D7"/>
    <w:rsid w:val="001B5B21"/>
    <w:rsid w:val="001B6275"/>
    <w:rsid w:val="001C5DBB"/>
    <w:rsid w:val="001D2CC3"/>
    <w:rsid w:val="001D50C7"/>
    <w:rsid w:val="001D6E35"/>
    <w:rsid w:val="001E6B8E"/>
    <w:rsid w:val="001F7C31"/>
    <w:rsid w:val="00205B66"/>
    <w:rsid w:val="00206CC1"/>
    <w:rsid w:val="0021070C"/>
    <w:rsid w:val="0021227E"/>
    <w:rsid w:val="002200D9"/>
    <w:rsid w:val="00221305"/>
    <w:rsid w:val="00221F3B"/>
    <w:rsid w:val="00226CDD"/>
    <w:rsid w:val="00235B48"/>
    <w:rsid w:val="002371A3"/>
    <w:rsid w:val="0025489C"/>
    <w:rsid w:val="0026016A"/>
    <w:rsid w:val="00261DB7"/>
    <w:rsid w:val="00262BB0"/>
    <w:rsid w:val="00263835"/>
    <w:rsid w:val="00265FA1"/>
    <w:rsid w:val="00271526"/>
    <w:rsid w:val="00273F42"/>
    <w:rsid w:val="0027457B"/>
    <w:rsid w:val="002755A9"/>
    <w:rsid w:val="002779FF"/>
    <w:rsid w:val="00287373"/>
    <w:rsid w:val="0029329B"/>
    <w:rsid w:val="002A0289"/>
    <w:rsid w:val="002A104D"/>
    <w:rsid w:val="002A3786"/>
    <w:rsid w:val="002A53A3"/>
    <w:rsid w:val="002A6955"/>
    <w:rsid w:val="002A76DD"/>
    <w:rsid w:val="002C2E83"/>
    <w:rsid w:val="002D0CBB"/>
    <w:rsid w:val="002D32EC"/>
    <w:rsid w:val="002D4D80"/>
    <w:rsid w:val="002D6491"/>
    <w:rsid w:val="002D67B8"/>
    <w:rsid w:val="002E1F65"/>
    <w:rsid w:val="002E4101"/>
    <w:rsid w:val="002E4276"/>
    <w:rsid w:val="002F476F"/>
    <w:rsid w:val="0030095C"/>
    <w:rsid w:val="00306444"/>
    <w:rsid w:val="00312A18"/>
    <w:rsid w:val="003137EB"/>
    <w:rsid w:val="003148CA"/>
    <w:rsid w:val="00314BA7"/>
    <w:rsid w:val="00317A78"/>
    <w:rsid w:val="00317AD8"/>
    <w:rsid w:val="00324691"/>
    <w:rsid w:val="00325909"/>
    <w:rsid w:val="003327E6"/>
    <w:rsid w:val="003343AC"/>
    <w:rsid w:val="003371B0"/>
    <w:rsid w:val="003417DA"/>
    <w:rsid w:val="00341D16"/>
    <w:rsid w:val="0034209B"/>
    <w:rsid w:val="00343978"/>
    <w:rsid w:val="00354693"/>
    <w:rsid w:val="00354E3E"/>
    <w:rsid w:val="00356A2D"/>
    <w:rsid w:val="003576E4"/>
    <w:rsid w:val="00360526"/>
    <w:rsid w:val="00361657"/>
    <w:rsid w:val="003649DF"/>
    <w:rsid w:val="00364D71"/>
    <w:rsid w:val="0036690E"/>
    <w:rsid w:val="0036708D"/>
    <w:rsid w:val="00370A83"/>
    <w:rsid w:val="00370FC5"/>
    <w:rsid w:val="00372A6F"/>
    <w:rsid w:val="00373C9E"/>
    <w:rsid w:val="003770F3"/>
    <w:rsid w:val="00385751"/>
    <w:rsid w:val="0038677A"/>
    <w:rsid w:val="00386A9E"/>
    <w:rsid w:val="00391B2A"/>
    <w:rsid w:val="00397995"/>
    <w:rsid w:val="003A0BC9"/>
    <w:rsid w:val="003A3BE6"/>
    <w:rsid w:val="003B4189"/>
    <w:rsid w:val="003C6B99"/>
    <w:rsid w:val="003D339A"/>
    <w:rsid w:val="003E0466"/>
    <w:rsid w:val="003E2123"/>
    <w:rsid w:val="003E46E7"/>
    <w:rsid w:val="003E5E96"/>
    <w:rsid w:val="003F5FAB"/>
    <w:rsid w:val="003F734C"/>
    <w:rsid w:val="00402F11"/>
    <w:rsid w:val="004064A0"/>
    <w:rsid w:val="00413721"/>
    <w:rsid w:val="00423352"/>
    <w:rsid w:val="0042555A"/>
    <w:rsid w:val="00426A8D"/>
    <w:rsid w:val="004304F7"/>
    <w:rsid w:val="00433B6D"/>
    <w:rsid w:val="00436027"/>
    <w:rsid w:val="00437351"/>
    <w:rsid w:val="004427B0"/>
    <w:rsid w:val="00443772"/>
    <w:rsid w:val="00447328"/>
    <w:rsid w:val="00447F77"/>
    <w:rsid w:val="00450748"/>
    <w:rsid w:val="0047491B"/>
    <w:rsid w:val="00474AD5"/>
    <w:rsid w:val="0047539A"/>
    <w:rsid w:val="0048130F"/>
    <w:rsid w:val="00483465"/>
    <w:rsid w:val="004836F5"/>
    <w:rsid w:val="004873FD"/>
    <w:rsid w:val="00490CEE"/>
    <w:rsid w:val="00497177"/>
    <w:rsid w:val="004A4AEA"/>
    <w:rsid w:val="004A4EEF"/>
    <w:rsid w:val="004A6937"/>
    <w:rsid w:val="004B0FD1"/>
    <w:rsid w:val="004C24FB"/>
    <w:rsid w:val="004D5216"/>
    <w:rsid w:val="004D5CB9"/>
    <w:rsid w:val="004E4ED4"/>
    <w:rsid w:val="004F1AD6"/>
    <w:rsid w:val="004F5A41"/>
    <w:rsid w:val="004F5CD9"/>
    <w:rsid w:val="004F6773"/>
    <w:rsid w:val="005147FA"/>
    <w:rsid w:val="00515A46"/>
    <w:rsid w:val="00516495"/>
    <w:rsid w:val="005168C6"/>
    <w:rsid w:val="00520F8D"/>
    <w:rsid w:val="00525CC3"/>
    <w:rsid w:val="005275A3"/>
    <w:rsid w:val="005277AF"/>
    <w:rsid w:val="005307C9"/>
    <w:rsid w:val="005332B4"/>
    <w:rsid w:val="0053453B"/>
    <w:rsid w:val="005402EE"/>
    <w:rsid w:val="00544C6A"/>
    <w:rsid w:val="00545D38"/>
    <w:rsid w:val="005503F9"/>
    <w:rsid w:val="00551A2F"/>
    <w:rsid w:val="00557AC8"/>
    <w:rsid w:val="00560291"/>
    <w:rsid w:val="005650D8"/>
    <w:rsid w:val="0056631B"/>
    <w:rsid w:val="00574D55"/>
    <w:rsid w:val="00577122"/>
    <w:rsid w:val="00587FAB"/>
    <w:rsid w:val="00593265"/>
    <w:rsid w:val="0059607C"/>
    <w:rsid w:val="005A2FD0"/>
    <w:rsid w:val="005A37F0"/>
    <w:rsid w:val="005B0577"/>
    <w:rsid w:val="005B0D5F"/>
    <w:rsid w:val="005B453C"/>
    <w:rsid w:val="005B4E15"/>
    <w:rsid w:val="005C1FCC"/>
    <w:rsid w:val="005D0679"/>
    <w:rsid w:val="005D0788"/>
    <w:rsid w:val="005D22E2"/>
    <w:rsid w:val="005D452B"/>
    <w:rsid w:val="005E27BF"/>
    <w:rsid w:val="005E2BF6"/>
    <w:rsid w:val="005E6728"/>
    <w:rsid w:val="00601AD4"/>
    <w:rsid w:val="00610E77"/>
    <w:rsid w:val="00613FF6"/>
    <w:rsid w:val="0061684E"/>
    <w:rsid w:val="00617596"/>
    <w:rsid w:val="0062740D"/>
    <w:rsid w:val="00630421"/>
    <w:rsid w:val="00631633"/>
    <w:rsid w:val="00633459"/>
    <w:rsid w:val="00633BCD"/>
    <w:rsid w:val="00634156"/>
    <w:rsid w:val="006359DB"/>
    <w:rsid w:val="0063792D"/>
    <w:rsid w:val="0064003D"/>
    <w:rsid w:val="00641866"/>
    <w:rsid w:val="006437E1"/>
    <w:rsid w:val="006443C4"/>
    <w:rsid w:val="00644E1E"/>
    <w:rsid w:val="006464E8"/>
    <w:rsid w:val="00651445"/>
    <w:rsid w:val="00651656"/>
    <w:rsid w:val="00665918"/>
    <w:rsid w:val="006728EB"/>
    <w:rsid w:val="00672C54"/>
    <w:rsid w:val="00682B5F"/>
    <w:rsid w:val="00683F62"/>
    <w:rsid w:val="00687707"/>
    <w:rsid w:val="00693F80"/>
    <w:rsid w:val="00696E6A"/>
    <w:rsid w:val="0069738C"/>
    <w:rsid w:val="006978C1"/>
    <w:rsid w:val="006A3C1C"/>
    <w:rsid w:val="006A4757"/>
    <w:rsid w:val="006B0402"/>
    <w:rsid w:val="006B2E41"/>
    <w:rsid w:val="006B5168"/>
    <w:rsid w:val="006C53FF"/>
    <w:rsid w:val="006C7EF5"/>
    <w:rsid w:val="006D336D"/>
    <w:rsid w:val="006D5A3F"/>
    <w:rsid w:val="006D749E"/>
    <w:rsid w:val="006E6152"/>
    <w:rsid w:val="006F3379"/>
    <w:rsid w:val="006F5EB6"/>
    <w:rsid w:val="00702B43"/>
    <w:rsid w:val="00704BB1"/>
    <w:rsid w:val="00712500"/>
    <w:rsid w:val="00712751"/>
    <w:rsid w:val="00715934"/>
    <w:rsid w:val="00717909"/>
    <w:rsid w:val="00720EC6"/>
    <w:rsid w:val="00721EF3"/>
    <w:rsid w:val="00725DB8"/>
    <w:rsid w:val="007272A6"/>
    <w:rsid w:val="0073239F"/>
    <w:rsid w:val="00733985"/>
    <w:rsid w:val="007452CE"/>
    <w:rsid w:val="0075032D"/>
    <w:rsid w:val="00751B2E"/>
    <w:rsid w:val="007610E1"/>
    <w:rsid w:val="00763210"/>
    <w:rsid w:val="0077205E"/>
    <w:rsid w:val="00782026"/>
    <w:rsid w:val="007827D9"/>
    <w:rsid w:val="007860A9"/>
    <w:rsid w:val="007914F8"/>
    <w:rsid w:val="00791E62"/>
    <w:rsid w:val="00792FC2"/>
    <w:rsid w:val="007A0C24"/>
    <w:rsid w:val="007A608F"/>
    <w:rsid w:val="007B021E"/>
    <w:rsid w:val="007B1C68"/>
    <w:rsid w:val="007B31EC"/>
    <w:rsid w:val="007C4D6C"/>
    <w:rsid w:val="007C77E6"/>
    <w:rsid w:val="007D1F35"/>
    <w:rsid w:val="007D4142"/>
    <w:rsid w:val="007E069A"/>
    <w:rsid w:val="007E1E03"/>
    <w:rsid w:val="007E2872"/>
    <w:rsid w:val="007E2F10"/>
    <w:rsid w:val="007F0246"/>
    <w:rsid w:val="007F1028"/>
    <w:rsid w:val="007F2C0C"/>
    <w:rsid w:val="007F2C39"/>
    <w:rsid w:val="007F44B3"/>
    <w:rsid w:val="00800AF3"/>
    <w:rsid w:val="0081429B"/>
    <w:rsid w:val="008213A9"/>
    <w:rsid w:val="00842364"/>
    <w:rsid w:val="00852386"/>
    <w:rsid w:val="00856991"/>
    <w:rsid w:val="00864B73"/>
    <w:rsid w:val="008667AA"/>
    <w:rsid w:val="00876718"/>
    <w:rsid w:val="00876838"/>
    <w:rsid w:val="00883C43"/>
    <w:rsid w:val="00890B68"/>
    <w:rsid w:val="00890DED"/>
    <w:rsid w:val="00897E5C"/>
    <w:rsid w:val="008A2DF7"/>
    <w:rsid w:val="008A3EB1"/>
    <w:rsid w:val="008C05C2"/>
    <w:rsid w:val="008C1292"/>
    <w:rsid w:val="008C2E45"/>
    <w:rsid w:val="008C355D"/>
    <w:rsid w:val="008C45A7"/>
    <w:rsid w:val="008C7966"/>
    <w:rsid w:val="008D05A8"/>
    <w:rsid w:val="008D41BE"/>
    <w:rsid w:val="008D604C"/>
    <w:rsid w:val="008D6286"/>
    <w:rsid w:val="008D790E"/>
    <w:rsid w:val="008F02F0"/>
    <w:rsid w:val="008F0C07"/>
    <w:rsid w:val="008F137F"/>
    <w:rsid w:val="008F4EFF"/>
    <w:rsid w:val="008F60C7"/>
    <w:rsid w:val="008F7F8C"/>
    <w:rsid w:val="0090118E"/>
    <w:rsid w:val="009122D4"/>
    <w:rsid w:val="00912D9D"/>
    <w:rsid w:val="00917161"/>
    <w:rsid w:val="00922783"/>
    <w:rsid w:val="00925BA5"/>
    <w:rsid w:val="009266CA"/>
    <w:rsid w:val="009301D5"/>
    <w:rsid w:val="0093158E"/>
    <w:rsid w:val="009424FA"/>
    <w:rsid w:val="00944E71"/>
    <w:rsid w:val="00945CFA"/>
    <w:rsid w:val="00946202"/>
    <w:rsid w:val="00952AF4"/>
    <w:rsid w:val="00953735"/>
    <w:rsid w:val="009550BA"/>
    <w:rsid w:val="00955612"/>
    <w:rsid w:val="00957910"/>
    <w:rsid w:val="00960FB2"/>
    <w:rsid w:val="0096217C"/>
    <w:rsid w:val="00964380"/>
    <w:rsid w:val="00965EB1"/>
    <w:rsid w:val="0096736E"/>
    <w:rsid w:val="0097422C"/>
    <w:rsid w:val="00975444"/>
    <w:rsid w:val="00977454"/>
    <w:rsid w:val="00983849"/>
    <w:rsid w:val="009839F2"/>
    <w:rsid w:val="009847AC"/>
    <w:rsid w:val="0098576E"/>
    <w:rsid w:val="00987313"/>
    <w:rsid w:val="00987A0F"/>
    <w:rsid w:val="009917D0"/>
    <w:rsid w:val="009A6FBF"/>
    <w:rsid w:val="009B6300"/>
    <w:rsid w:val="009C0481"/>
    <w:rsid w:val="009C1185"/>
    <w:rsid w:val="009D3D5A"/>
    <w:rsid w:val="009D7783"/>
    <w:rsid w:val="009D7E62"/>
    <w:rsid w:val="009E2DBA"/>
    <w:rsid w:val="009E409B"/>
    <w:rsid w:val="009E72BB"/>
    <w:rsid w:val="009F0D4E"/>
    <w:rsid w:val="009F175C"/>
    <w:rsid w:val="009F5B49"/>
    <w:rsid w:val="00A00DBE"/>
    <w:rsid w:val="00A02545"/>
    <w:rsid w:val="00A02E11"/>
    <w:rsid w:val="00A127FF"/>
    <w:rsid w:val="00A2034A"/>
    <w:rsid w:val="00A32BFA"/>
    <w:rsid w:val="00A33B70"/>
    <w:rsid w:val="00A36791"/>
    <w:rsid w:val="00A41893"/>
    <w:rsid w:val="00A420E5"/>
    <w:rsid w:val="00A4383E"/>
    <w:rsid w:val="00A4424A"/>
    <w:rsid w:val="00A46AE3"/>
    <w:rsid w:val="00A51B7D"/>
    <w:rsid w:val="00A5559B"/>
    <w:rsid w:val="00A6012A"/>
    <w:rsid w:val="00A62A89"/>
    <w:rsid w:val="00A63672"/>
    <w:rsid w:val="00A6415A"/>
    <w:rsid w:val="00A6746A"/>
    <w:rsid w:val="00A72ACA"/>
    <w:rsid w:val="00A72E8E"/>
    <w:rsid w:val="00A738DC"/>
    <w:rsid w:val="00A743CC"/>
    <w:rsid w:val="00A75547"/>
    <w:rsid w:val="00A77F36"/>
    <w:rsid w:val="00A86CB6"/>
    <w:rsid w:val="00A86E45"/>
    <w:rsid w:val="00A927DB"/>
    <w:rsid w:val="00AA1694"/>
    <w:rsid w:val="00AA27F1"/>
    <w:rsid w:val="00AB3EE3"/>
    <w:rsid w:val="00AB5634"/>
    <w:rsid w:val="00AC05FD"/>
    <w:rsid w:val="00AC1C49"/>
    <w:rsid w:val="00AC1E2F"/>
    <w:rsid w:val="00AD423A"/>
    <w:rsid w:val="00AE2AC5"/>
    <w:rsid w:val="00AE400E"/>
    <w:rsid w:val="00AF16FA"/>
    <w:rsid w:val="00AF3090"/>
    <w:rsid w:val="00AF4BDC"/>
    <w:rsid w:val="00AF5444"/>
    <w:rsid w:val="00AF5957"/>
    <w:rsid w:val="00AF7770"/>
    <w:rsid w:val="00B02856"/>
    <w:rsid w:val="00B1133F"/>
    <w:rsid w:val="00B13BFD"/>
    <w:rsid w:val="00B15E35"/>
    <w:rsid w:val="00B16A98"/>
    <w:rsid w:val="00B229C0"/>
    <w:rsid w:val="00B2673F"/>
    <w:rsid w:val="00B32760"/>
    <w:rsid w:val="00B33A84"/>
    <w:rsid w:val="00B40872"/>
    <w:rsid w:val="00B40F35"/>
    <w:rsid w:val="00B426C2"/>
    <w:rsid w:val="00B45432"/>
    <w:rsid w:val="00B56D14"/>
    <w:rsid w:val="00B61326"/>
    <w:rsid w:val="00B61B4A"/>
    <w:rsid w:val="00B63827"/>
    <w:rsid w:val="00B64B59"/>
    <w:rsid w:val="00B67031"/>
    <w:rsid w:val="00B7682F"/>
    <w:rsid w:val="00B816AC"/>
    <w:rsid w:val="00B84C85"/>
    <w:rsid w:val="00B97333"/>
    <w:rsid w:val="00BA3AC3"/>
    <w:rsid w:val="00BA4DF0"/>
    <w:rsid w:val="00BB0E3F"/>
    <w:rsid w:val="00BB76BD"/>
    <w:rsid w:val="00BB77D8"/>
    <w:rsid w:val="00BC008B"/>
    <w:rsid w:val="00BC5695"/>
    <w:rsid w:val="00BC6ECA"/>
    <w:rsid w:val="00BC7D8B"/>
    <w:rsid w:val="00BD2FC4"/>
    <w:rsid w:val="00BE27AB"/>
    <w:rsid w:val="00C0368B"/>
    <w:rsid w:val="00C0500B"/>
    <w:rsid w:val="00C10445"/>
    <w:rsid w:val="00C15E02"/>
    <w:rsid w:val="00C2159D"/>
    <w:rsid w:val="00C23976"/>
    <w:rsid w:val="00C23A91"/>
    <w:rsid w:val="00C248A4"/>
    <w:rsid w:val="00C25E57"/>
    <w:rsid w:val="00C26A18"/>
    <w:rsid w:val="00C32A11"/>
    <w:rsid w:val="00C33543"/>
    <w:rsid w:val="00C34A3A"/>
    <w:rsid w:val="00C35DD2"/>
    <w:rsid w:val="00C36647"/>
    <w:rsid w:val="00C36B62"/>
    <w:rsid w:val="00C42409"/>
    <w:rsid w:val="00C457CE"/>
    <w:rsid w:val="00C45CAA"/>
    <w:rsid w:val="00C5121E"/>
    <w:rsid w:val="00C53E6A"/>
    <w:rsid w:val="00C60194"/>
    <w:rsid w:val="00C63C85"/>
    <w:rsid w:val="00C6577B"/>
    <w:rsid w:val="00C65C74"/>
    <w:rsid w:val="00C66003"/>
    <w:rsid w:val="00C66D70"/>
    <w:rsid w:val="00C6711B"/>
    <w:rsid w:val="00C71225"/>
    <w:rsid w:val="00C7423A"/>
    <w:rsid w:val="00C916F1"/>
    <w:rsid w:val="00C917C1"/>
    <w:rsid w:val="00C928FF"/>
    <w:rsid w:val="00C96F2F"/>
    <w:rsid w:val="00CA060C"/>
    <w:rsid w:val="00CA0B1B"/>
    <w:rsid w:val="00CA2760"/>
    <w:rsid w:val="00CA4120"/>
    <w:rsid w:val="00CA5B16"/>
    <w:rsid w:val="00CB1482"/>
    <w:rsid w:val="00CB7D42"/>
    <w:rsid w:val="00CC1DF1"/>
    <w:rsid w:val="00CC23E0"/>
    <w:rsid w:val="00CC4F32"/>
    <w:rsid w:val="00CC5B0F"/>
    <w:rsid w:val="00CD26A4"/>
    <w:rsid w:val="00CD59AC"/>
    <w:rsid w:val="00CE272B"/>
    <w:rsid w:val="00CE3410"/>
    <w:rsid w:val="00CE3EAC"/>
    <w:rsid w:val="00CE492F"/>
    <w:rsid w:val="00CE5436"/>
    <w:rsid w:val="00CF02A5"/>
    <w:rsid w:val="00CF11D9"/>
    <w:rsid w:val="00CF49C2"/>
    <w:rsid w:val="00D053BE"/>
    <w:rsid w:val="00D148AF"/>
    <w:rsid w:val="00D155C5"/>
    <w:rsid w:val="00D2151B"/>
    <w:rsid w:val="00D227AB"/>
    <w:rsid w:val="00D23A50"/>
    <w:rsid w:val="00D265E4"/>
    <w:rsid w:val="00D27C67"/>
    <w:rsid w:val="00D32593"/>
    <w:rsid w:val="00D3287C"/>
    <w:rsid w:val="00D34344"/>
    <w:rsid w:val="00D36295"/>
    <w:rsid w:val="00D40F5F"/>
    <w:rsid w:val="00D42049"/>
    <w:rsid w:val="00D421B8"/>
    <w:rsid w:val="00D46FC0"/>
    <w:rsid w:val="00D504A4"/>
    <w:rsid w:val="00D50700"/>
    <w:rsid w:val="00D52EF6"/>
    <w:rsid w:val="00D552B2"/>
    <w:rsid w:val="00D60534"/>
    <w:rsid w:val="00D64730"/>
    <w:rsid w:val="00D648E6"/>
    <w:rsid w:val="00D6538A"/>
    <w:rsid w:val="00D75D92"/>
    <w:rsid w:val="00D7606F"/>
    <w:rsid w:val="00D80ED1"/>
    <w:rsid w:val="00D83B13"/>
    <w:rsid w:val="00D864AD"/>
    <w:rsid w:val="00D9771B"/>
    <w:rsid w:val="00DA4B52"/>
    <w:rsid w:val="00DA5082"/>
    <w:rsid w:val="00DA5F48"/>
    <w:rsid w:val="00DB07D6"/>
    <w:rsid w:val="00DB1100"/>
    <w:rsid w:val="00DB1AB9"/>
    <w:rsid w:val="00DC4107"/>
    <w:rsid w:val="00DC5AE8"/>
    <w:rsid w:val="00DC6AEC"/>
    <w:rsid w:val="00DC7016"/>
    <w:rsid w:val="00DD0756"/>
    <w:rsid w:val="00DD091D"/>
    <w:rsid w:val="00DD6029"/>
    <w:rsid w:val="00DD6A9A"/>
    <w:rsid w:val="00DD7485"/>
    <w:rsid w:val="00DE3225"/>
    <w:rsid w:val="00DE7C6C"/>
    <w:rsid w:val="00DF2263"/>
    <w:rsid w:val="00DF399C"/>
    <w:rsid w:val="00E01296"/>
    <w:rsid w:val="00E0253F"/>
    <w:rsid w:val="00E15D98"/>
    <w:rsid w:val="00E231F3"/>
    <w:rsid w:val="00E24CDC"/>
    <w:rsid w:val="00E25852"/>
    <w:rsid w:val="00E25D40"/>
    <w:rsid w:val="00E3003A"/>
    <w:rsid w:val="00E31D2B"/>
    <w:rsid w:val="00E32F79"/>
    <w:rsid w:val="00E33297"/>
    <w:rsid w:val="00E356C0"/>
    <w:rsid w:val="00E45C64"/>
    <w:rsid w:val="00E514F6"/>
    <w:rsid w:val="00E5326B"/>
    <w:rsid w:val="00E55014"/>
    <w:rsid w:val="00E55C89"/>
    <w:rsid w:val="00E6277D"/>
    <w:rsid w:val="00E661BB"/>
    <w:rsid w:val="00E741FB"/>
    <w:rsid w:val="00E83BD5"/>
    <w:rsid w:val="00E83C82"/>
    <w:rsid w:val="00E92D8E"/>
    <w:rsid w:val="00E930DF"/>
    <w:rsid w:val="00E93A01"/>
    <w:rsid w:val="00E95C5E"/>
    <w:rsid w:val="00E95FC1"/>
    <w:rsid w:val="00EB6C29"/>
    <w:rsid w:val="00EC2756"/>
    <w:rsid w:val="00ED2697"/>
    <w:rsid w:val="00ED2AF2"/>
    <w:rsid w:val="00ED3451"/>
    <w:rsid w:val="00ED3E88"/>
    <w:rsid w:val="00EE2B5C"/>
    <w:rsid w:val="00EE3765"/>
    <w:rsid w:val="00EE4AF4"/>
    <w:rsid w:val="00EF0A74"/>
    <w:rsid w:val="00EF2BAC"/>
    <w:rsid w:val="00EF366B"/>
    <w:rsid w:val="00EF46B1"/>
    <w:rsid w:val="00EF47A9"/>
    <w:rsid w:val="00EF701A"/>
    <w:rsid w:val="00F06DD9"/>
    <w:rsid w:val="00F105C0"/>
    <w:rsid w:val="00F15BA9"/>
    <w:rsid w:val="00F16489"/>
    <w:rsid w:val="00F23552"/>
    <w:rsid w:val="00F23DE0"/>
    <w:rsid w:val="00F27133"/>
    <w:rsid w:val="00F31146"/>
    <w:rsid w:val="00F31D85"/>
    <w:rsid w:val="00F33D61"/>
    <w:rsid w:val="00F35605"/>
    <w:rsid w:val="00F35B97"/>
    <w:rsid w:val="00F424B2"/>
    <w:rsid w:val="00F4319B"/>
    <w:rsid w:val="00F446F0"/>
    <w:rsid w:val="00F45776"/>
    <w:rsid w:val="00F50EFC"/>
    <w:rsid w:val="00F607F3"/>
    <w:rsid w:val="00F61D9B"/>
    <w:rsid w:val="00F67B2C"/>
    <w:rsid w:val="00F74545"/>
    <w:rsid w:val="00F7678C"/>
    <w:rsid w:val="00F772D5"/>
    <w:rsid w:val="00F92C8E"/>
    <w:rsid w:val="00FA0271"/>
    <w:rsid w:val="00FA1722"/>
    <w:rsid w:val="00FA1E1A"/>
    <w:rsid w:val="00FA2334"/>
    <w:rsid w:val="00FA61AE"/>
    <w:rsid w:val="00FA72A3"/>
    <w:rsid w:val="00FB253D"/>
    <w:rsid w:val="00FC45E8"/>
    <w:rsid w:val="00FC5E08"/>
    <w:rsid w:val="00FC7125"/>
    <w:rsid w:val="00FC7EE7"/>
    <w:rsid w:val="00FD26D0"/>
    <w:rsid w:val="00FD4A11"/>
    <w:rsid w:val="00FF13B2"/>
    <w:rsid w:val="00F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2785-B95A-4F9D-AB33-BE33195C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DF3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2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C1C"/>
  </w:style>
  <w:style w:type="character" w:styleId="Hyperlink">
    <w:name w:val="Hyperlink"/>
    <w:basedOn w:val="DefaultParagraphFont"/>
    <w:uiPriority w:val="99"/>
    <w:semiHidden/>
    <w:unhideWhenUsed/>
    <w:rsid w:val="006A3C1C"/>
    <w:rPr>
      <w:color w:val="0000FF"/>
      <w:u w:val="single"/>
    </w:rPr>
  </w:style>
  <w:style w:type="paragraph" w:styleId="ListParagraph">
    <w:name w:val="List Paragraph"/>
    <w:basedOn w:val="Normal"/>
    <w:uiPriority w:val="34"/>
    <w:qFormat/>
    <w:rsid w:val="003D339A"/>
    <w:pPr>
      <w:spacing w:after="60" w:line="240" w:lineRule="auto"/>
      <w:ind w:firstLine="170"/>
      <w:jc w:val="both"/>
    </w:pPr>
    <w:rPr>
      <w:rFonts w:ascii="Times New Roman" w:eastAsia="DejaVu Sans" w:hAnsi="Times New Roman" w:cs="DejaVu Sans"/>
      <w:kern w:val="1"/>
      <w:sz w:val="20"/>
      <w:szCs w:val="24"/>
      <w:lang w:eastAsia="hi-IN" w:bidi="hi-IN"/>
    </w:rPr>
  </w:style>
  <w:style w:type="paragraph" w:customStyle="1" w:styleId="References">
    <w:name w:val="References"/>
    <w:basedOn w:val="BodyText"/>
    <w:qFormat/>
    <w:rsid w:val="003D339A"/>
    <w:pPr>
      <w:spacing w:after="57" w:line="240" w:lineRule="auto"/>
    </w:pPr>
    <w:rPr>
      <w:rFonts w:ascii="Times New Roman" w:eastAsia="DejaVu Sans" w:hAnsi="Times New Roman" w:cs="DejaVu Sans"/>
      <w:kern w:val="1"/>
      <w:sz w:val="20"/>
      <w:szCs w:val="24"/>
      <w:lang w:eastAsia="hi-IN" w:bidi="hi-IN"/>
    </w:rPr>
  </w:style>
  <w:style w:type="paragraph" w:styleId="BodyText">
    <w:name w:val="Body Text"/>
    <w:basedOn w:val="Normal"/>
    <w:link w:val="BodyTextChar"/>
    <w:uiPriority w:val="99"/>
    <w:semiHidden/>
    <w:unhideWhenUsed/>
    <w:rsid w:val="003D339A"/>
    <w:pPr>
      <w:spacing w:after="120"/>
    </w:pPr>
  </w:style>
  <w:style w:type="character" w:customStyle="1" w:styleId="BodyTextChar">
    <w:name w:val="Body Text Char"/>
    <w:basedOn w:val="DefaultParagraphFont"/>
    <w:link w:val="BodyText"/>
    <w:uiPriority w:val="99"/>
    <w:semiHidden/>
    <w:rsid w:val="003D339A"/>
    <w:rPr>
      <w:lang w:val="en-US"/>
    </w:rPr>
  </w:style>
  <w:style w:type="paragraph" w:styleId="Subtitle">
    <w:name w:val="Subtitle"/>
    <w:basedOn w:val="Normal"/>
    <w:next w:val="Normal"/>
    <w:link w:val="SubtitleChar"/>
    <w:uiPriority w:val="11"/>
    <w:qFormat/>
    <w:rsid w:val="005602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0291"/>
    <w:rPr>
      <w:rFonts w:asciiTheme="majorHAnsi" w:eastAsiaTheme="majorEastAsia" w:hAnsiTheme="majorHAnsi" w:cstheme="majorBidi"/>
      <w:i/>
      <w:iCs/>
      <w:color w:val="4F81BD" w:themeColor="accent1"/>
      <w:spacing w:val="15"/>
      <w:sz w:val="24"/>
      <w:szCs w:val="24"/>
      <w:lang w:val="en-US"/>
    </w:rPr>
  </w:style>
  <w:style w:type="character" w:styleId="Emphasis">
    <w:name w:val="Emphasis"/>
    <w:uiPriority w:val="20"/>
    <w:qFormat/>
    <w:rsid w:val="00B97333"/>
    <w:rPr>
      <w:i/>
      <w:iCs/>
    </w:rPr>
  </w:style>
  <w:style w:type="paragraph" w:styleId="FootnoteText">
    <w:name w:val="footnote text"/>
    <w:basedOn w:val="Normal"/>
    <w:link w:val="FootnoteTextChar"/>
    <w:uiPriority w:val="99"/>
    <w:semiHidden/>
    <w:unhideWhenUsed/>
    <w:rsid w:val="00361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657"/>
    <w:rPr>
      <w:sz w:val="20"/>
      <w:szCs w:val="20"/>
      <w:lang w:val="en-US"/>
    </w:rPr>
  </w:style>
  <w:style w:type="character" w:styleId="FootnoteReference">
    <w:name w:val="footnote reference"/>
    <w:basedOn w:val="DefaultParagraphFont"/>
    <w:uiPriority w:val="99"/>
    <w:unhideWhenUsed/>
    <w:rsid w:val="00361657"/>
    <w:rPr>
      <w:vertAlign w:val="superscript"/>
    </w:rPr>
  </w:style>
  <w:style w:type="character" w:customStyle="1" w:styleId="Heading1Char">
    <w:name w:val="Heading 1 Char"/>
    <w:basedOn w:val="DefaultParagraphFont"/>
    <w:link w:val="Heading1"/>
    <w:uiPriority w:val="9"/>
    <w:rsid w:val="00DF399C"/>
    <w:rPr>
      <w:rFonts w:asciiTheme="majorHAnsi" w:eastAsiaTheme="majorEastAsia" w:hAnsiTheme="majorHAnsi" w:cstheme="majorBidi"/>
      <w:b/>
      <w:bCs/>
      <w:color w:val="365F91" w:themeColor="accent1" w:themeShade="BF"/>
      <w:sz w:val="28"/>
      <w:szCs w:val="28"/>
      <w:lang w:val="en-US"/>
    </w:rPr>
  </w:style>
  <w:style w:type="paragraph" w:styleId="EndnoteText">
    <w:name w:val="endnote text"/>
    <w:basedOn w:val="Normal"/>
    <w:link w:val="EndnoteTextChar"/>
    <w:uiPriority w:val="99"/>
    <w:semiHidden/>
    <w:unhideWhenUsed/>
    <w:rsid w:val="00372A6F"/>
    <w:pPr>
      <w:spacing w:after="0" w:line="240" w:lineRule="auto"/>
    </w:pPr>
    <w:rPr>
      <w:rFonts w:eastAsiaTheme="minorEastAsia"/>
      <w:sz w:val="20"/>
      <w:szCs w:val="20"/>
      <w:lang w:val="en-GB"/>
    </w:rPr>
  </w:style>
  <w:style w:type="character" w:customStyle="1" w:styleId="EndnoteTextChar">
    <w:name w:val="Endnote Text Char"/>
    <w:basedOn w:val="DefaultParagraphFont"/>
    <w:link w:val="EndnoteText"/>
    <w:uiPriority w:val="99"/>
    <w:semiHidden/>
    <w:rsid w:val="00372A6F"/>
    <w:rPr>
      <w:rFonts w:eastAsiaTheme="minorEastAsia"/>
      <w:sz w:val="20"/>
      <w:szCs w:val="20"/>
    </w:rPr>
  </w:style>
  <w:style w:type="character" w:styleId="EndnoteReference">
    <w:name w:val="endnote reference"/>
    <w:basedOn w:val="DefaultParagraphFont"/>
    <w:uiPriority w:val="99"/>
    <w:semiHidden/>
    <w:unhideWhenUsed/>
    <w:rsid w:val="00372A6F"/>
    <w:rPr>
      <w:vertAlign w:val="superscript"/>
    </w:rPr>
  </w:style>
  <w:style w:type="character" w:customStyle="1" w:styleId="Heading2Char">
    <w:name w:val="Heading 2 Char"/>
    <w:basedOn w:val="DefaultParagraphFont"/>
    <w:link w:val="Heading2"/>
    <w:uiPriority w:val="9"/>
    <w:rsid w:val="00856991"/>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97422C"/>
    <w:rPr>
      <w:b/>
      <w:bCs/>
    </w:rPr>
  </w:style>
  <w:style w:type="paragraph" w:styleId="Header">
    <w:name w:val="header"/>
    <w:basedOn w:val="Normal"/>
    <w:link w:val="HeaderChar"/>
    <w:uiPriority w:val="99"/>
    <w:unhideWhenUsed/>
    <w:rsid w:val="0071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00"/>
    <w:rPr>
      <w:lang w:val="en-US"/>
    </w:rPr>
  </w:style>
  <w:style w:type="paragraph" w:styleId="Footer">
    <w:name w:val="footer"/>
    <w:basedOn w:val="Normal"/>
    <w:link w:val="FooterChar"/>
    <w:uiPriority w:val="99"/>
    <w:unhideWhenUsed/>
    <w:rsid w:val="0071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00"/>
    <w:rPr>
      <w:lang w:val="en-US"/>
    </w:rPr>
  </w:style>
  <w:style w:type="character" w:customStyle="1" w:styleId="apple-style-span">
    <w:name w:val="apple-style-span"/>
    <w:basedOn w:val="DefaultParagraphFont"/>
    <w:rsid w:val="005650D8"/>
  </w:style>
  <w:style w:type="character" w:customStyle="1" w:styleId="Heading3Char">
    <w:name w:val="Heading 3 Char"/>
    <w:basedOn w:val="DefaultParagraphFont"/>
    <w:link w:val="Heading3"/>
    <w:uiPriority w:val="9"/>
    <w:rsid w:val="000172ED"/>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4530">
      <w:bodyDiv w:val="1"/>
      <w:marLeft w:val="0"/>
      <w:marRight w:val="0"/>
      <w:marTop w:val="0"/>
      <w:marBottom w:val="0"/>
      <w:divBdr>
        <w:top w:val="none" w:sz="0" w:space="0" w:color="auto"/>
        <w:left w:val="none" w:sz="0" w:space="0" w:color="auto"/>
        <w:bottom w:val="none" w:sz="0" w:space="0" w:color="auto"/>
        <w:right w:val="none" w:sz="0" w:space="0" w:color="auto"/>
      </w:divBdr>
      <w:divsChild>
        <w:div w:id="337391683">
          <w:marLeft w:val="0"/>
          <w:marRight w:val="0"/>
          <w:marTop w:val="0"/>
          <w:marBottom w:val="0"/>
          <w:divBdr>
            <w:top w:val="none" w:sz="0" w:space="0" w:color="auto"/>
            <w:left w:val="none" w:sz="0" w:space="0" w:color="auto"/>
            <w:bottom w:val="none" w:sz="0" w:space="0" w:color="auto"/>
            <w:right w:val="none" w:sz="0" w:space="0" w:color="auto"/>
          </w:divBdr>
        </w:div>
        <w:div w:id="196703825">
          <w:marLeft w:val="0"/>
          <w:marRight w:val="0"/>
          <w:marTop w:val="0"/>
          <w:marBottom w:val="0"/>
          <w:divBdr>
            <w:top w:val="none" w:sz="0" w:space="0" w:color="auto"/>
            <w:left w:val="none" w:sz="0" w:space="0" w:color="auto"/>
            <w:bottom w:val="none" w:sz="0" w:space="0" w:color="auto"/>
            <w:right w:val="none" w:sz="0" w:space="0" w:color="auto"/>
          </w:divBdr>
        </w:div>
        <w:div w:id="879247143">
          <w:marLeft w:val="0"/>
          <w:marRight w:val="0"/>
          <w:marTop w:val="0"/>
          <w:marBottom w:val="0"/>
          <w:divBdr>
            <w:top w:val="none" w:sz="0" w:space="0" w:color="auto"/>
            <w:left w:val="none" w:sz="0" w:space="0" w:color="auto"/>
            <w:bottom w:val="none" w:sz="0" w:space="0" w:color="auto"/>
            <w:right w:val="none" w:sz="0" w:space="0" w:color="auto"/>
          </w:divBdr>
        </w:div>
        <w:div w:id="1293176918">
          <w:marLeft w:val="0"/>
          <w:marRight w:val="0"/>
          <w:marTop w:val="0"/>
          <w:marBottom w:val="0"/>
          <w:divBdr>
            <w:top w:val="none" w:sz="0" w:space="0" w:color="auto"/>
            <w:left w:val="none" w:sz="0" w:space="0" w:color="auto"/>
            <w:bottom w:val="none" w:sz="0" w:space="0" w:color="auto"/>
            <w:right w:val="none" w:sz="0" w:space="0" w:color="auto"/>
          </w:divBdr>
        </w:div>
        <w:div w:id="446705378">
          <w:marLeft w:val="0"/>
          <w:marRight w:val="0"/>
          <w:marTop w:val="0"/>
          <w:marBottom w:val="0"/>
          <w:divBdr>
            <w:top w:val="none" w:sz="0" w:space="0" w:color="auto"/>
            <w:left w:val="none" w:sz="0" w:space="0" w:color="auto"/>
            <w:bottom w:val="none" w:sz="0" w:space="0" w:color="auto"/>
            <w:right w:val="none" w:sz="0" w:space="0" w:color="auto"/>
          </w:divBdr>
        </w:div>
        <w:div w:id="941764729">
          <w:marLeft w:val="0"/>
          <w:marRight w:val="0"/>
          <w:marTop w:val="0"/>
          <w:marBottom w:val="0"/>
          <w:divBdr>
            <w:top w:val="none" w:sz="0" w:space="0" w:color="auto"/>
            <w:left w:val="none" w:sz="0" w:space="0" w:color="auto"/>
            <w:bottom w:val="none" w:sz="0" w:space="0" w:color="auto"/>
            <w:right w:val="none" w:sz="0" w:space="0" w:color="auto"/>
          </w:divBdr>
        </w:div>
        <w:div w:id="75945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savevska@nu.edu.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avev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70D9-E89E-499E-8B52-C0B4FAA6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6497</TotalTime>
  <Pages>18</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Savevska</dc:creator>
  <cp:lastModifiedBy>Maja Savevska</cp:lastModifiedBy>
  <cp:revision>795</cp:revision>
  <dcterms:created xsi:type="dcterms:W3CDTF">2016-09-22T17:15:00Z</dcterms:created>
  <dcterms:modified xsi:type="dcterms:W3CDTF">2017-05-05T12:03:00Z</dcterms:modified>
</cp:coreProperties>
</file>