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4E3" w:rsidRDefault="00053CE0" w:rsidP="000257D2">
      <w:pPr>
        <w:pStyle w:val="Titel"/>
      </w:pPr>
      <w:r>
        <w:t>Administering the Needy Union</w:t>
      </w:r>
      <w:r w:rsidR="00FF54E3" w:rsidRPr="001D0D97">
        <w:t xml:space="preserve"> Citizen: </w:t>
      </w:r>
      <w:r w:rsidR="00587EF1">
        <w:t>between Welfare State Bureaucracy and Migration Control</w:t>
      </w:r>
    </w:p>
    <w:p w:rsidR="0050676D" w:rsidRDefault="0050676D" w:rsidP="0050676D"/>
    <w:p w:rsidR="0050676D" w:rsidRPr="00F63494" w:rsidRDefault="0050676D" w:rsidP="0050676D">
      <w:pPr>
        <w:jc w:val="center"/>
      </w:pPr>
      <w:r w:rsidRPr="00F63494">
        <w:t>Dion Kramer</w:t>
      </w:r>
      <w:r w:rsidR="00747268">
        <w:rPr>
          <w:rStyle w:val="Voetnootmarkering"/>
          <w:lang w:val="nl-NL"/>
        </w:rPr>
        <w:footnoteReference w:id="1"/>
      </w:r>
      <w:r w:rsidRPr="00F63494">
        <w:t xml:space="preserve"> </w:t>
      </w:r>
    </w:p>
    <w:p w:rsidR="0050676D" w:rsidRPr="00F63494" w:rsidRDefault="0050676D" w:rsidP="0050676D">
      <w:pPr>
        <w:jc w:val="center"/>
      </w:pPr>
    </w:p>
    <w:p w:rsidR="007576BF" w:rsidRDefault="007576BF" w:rsidP="0050676D">
      <w:pPr>
        <w:jc w:val="center"/>
      </w:pPr>
      <w:r>
        <w:t>DRAFT</w:t>
      </w:r>
      <w:r w:rsidR="00CB3DE9">
        <w:t xml:space="preserve"> (not to be cited or circulated)</w:t>
      </w:r>
    </w:p>
    <w:p w:rsidR="00082C80" w:rsidRPr="0050676D" w:rsidRDefault="0050676D" w:rsidP="00FA4C93">
      <w:pPr>
        <w:jc w:val="center"/>
      </w:pPr>
      <w:r>
        <w:t xml:space="preserve">Paper Prepared </w:t>
      </w:r>
      <w:r w:rsidR="00082C80">
        <w:t xml:space="preserve">for </w:t>
      </w:r>
      <w:r w:rsidR="00FA4C93">
        <w:t>EUSA Conference, Miami, 6 May 2017</w:t>
      </w:r>
    </w:p>
    <w:p w:rsidR="00FF54E3" w:rsidRDefault="00FF54E3" w:rsidP="000257D2">
      <w:pPr>
        <w:rPr>
          <w:i/>
        </w:rPr>
      </w:pPr>
    </w:p>
    <w:p w:rsidR="00FF54E3" w:rsidRPr="00C8042E" w:rsidRDefault="00FF54E3" w:rsidP="00747268">
      <w:pPr>
        <w:pStyle w:val="Lijstalinea"/>
        <w:numPr>
          <w:ilvl w:val="0"/>
          <w:numId w:val="4"/>
        </w:numPr>
        <w:rPr>
          <w:i/>
        </w:rPr>
      </w:pPr>
      <w:r w:rsidRPr="00C8042E">
        <w:rPr>
          <w:i/>
        </w:rPr>
        <w:t>“Here no one else can gain entry, since this entrance was assigned only to you. I’m going now to close it.”</w:t>
      </w:r>
      <w:bookmarkStart w:id="0" w:name="_Ref475454744"/>
      <w:r w:rsidR="00EE7913">
        <w:rPr>
          <w:rStyle w:val="Voetnootmarkering"/>
          <w:i/>
        </w:rPr>
        <w:footnoteReference w:id="2"/>
      </w:r>
      <w:bookmarkEnd w:id="0"/>
      <w:r>
        <w:rPr>
          <w:i/>
        </w:rPr>
        <w:t xml:space="preserve"> </w:t>
      </w:r>
    </w:p>
    <w:p w:rsidR="00FF54E3" w:rsidRDefault="00FF54E3" w:rsidP="000257D2">
      <w:pPr>
        <w:rPr>
          <w:i/>
        </w:rPr>
      </w:pPr>
    </w:p>
    <w:p w:rsidR="00FF54E3" w:rsidRDefault="00747268" w:rsidP="00B1167B">
      <w:pPr>
        <w:pStyle w:val="Kop1"/>
        <w:jc w:val="center"/>
        <w:rPr>
          <w:lang w:val="en-US"/>
        </w:rPr>
      </w:pPr>
      <w:r>
        <w:rPr>
          <w:lang w:val="en-US"/>
        </w:rPr>
        <w:t>Abstract</w:t>
      </w:r>
    </w:p>
    <w:p w:rsidR="00B1167B" w:rsidRPr="00B1167B" w:rsidRDefault="00B1167B" w:rsidP="00B1167B">
      <w:pPr>
        <w:rPr>
          <w:lang w:val="en-US"/>
        </w:rPr>
      </w:pPr>
    </w:p>
    <w:p w:rsidR="00FF54E3" w:rsidRDefault="00FF54E3" w:rsidP="000257D2">
      <w:pPr>
        <w:rPr>
          <w:i/>
          <w:sz w:val="22"/>
          <w:szCs w:val="22"/>
        </w:rPr>
      </w:pPr>
      <w:r w:rsidRPr="00B1167B">
        <w:rPr>
          <w:i/>
          <w:sz w:val="22"/>
          <w:szCs w:val="22"/>
        </w:rPr>
        <w:t>Although scholars have started to systematically research processes of judicial Europeanisation of national welfare states, t</w:t>
      </w:r>
      <w:r w:rsidR="0021245B">
        <w:rPr>
          <w:i/>
          <w:sz w:val="22"/>
          <w:szCs w:val="22"/>
        </w:rPr>
        <w:t xml:space="preserve">he impact of EU (case) law on domestic administrative systems governing the social rights of Union citizens </w:t>
      </w:r>
      <w:r w:rsidRPr="00B1167B">
        <w:rPr>
          <w:i/>
          <w:sz w:val="22"/>
          <w:szCs w:val="22"/>
        </w:rPr>
        <w:t>has attracted less attention</w:t>
      </w:r>
      <w:r w:rsidR="00B1167B" w:rsidRPr="00B1167B">
        <w:rPr>
          <w:sz w:val="22"/>
          <w:szCs w:val="22"/>
        </w:rPr>
        <w:t xml:space="preserve">. </w:t>
      </w:r>
      <w:r w:rsidR="00B1167B" w:rsidRPr="00B1167B">
        <w:rPr>
          <w:i/>
          <w:sz w:val="22"/>
          <w:szCs w:val="22"/>
        </w:rPr>
        <w:t>The question posed in this paper is if</w:t>
      </w:r>
      <w:r w:rsidRPr="00B1167B">
        <w:rPr>
          <w:i/>
          <w:sz w:val="22"/>
          <w:szCs w:val="22"/>
        </w:rPr>
        <w:t xml:space="preserve"> and how, in the shad</w:t>
      </w:r>
      <w:r w:rsidR="00B1167B" w:rsidRPr="00B1167B">
        <w:rPr>
          <w:i/>
          <w:sz w:val="22"/>
          <w:szCs w:val="22"/>
        </w:rPr>
        <w:t>ow of EU law, Member States reorganise</w:t>
      </w:r>
      <w:r w:rsidRPr="00B1167B">
        <w:rPr>
          <w:i/>
          <w:sz w:val="22"/>
          <w:szCs w:val="22"/>
        </w:rPr>
        <w:t xml:space="preserve"> the</w:t>
      </w:r>
      <w:r w:rsidR="00B1167B" w:rsidRPr="00B1167B">
        <w:rPr>
          <w:i/>
          <w:sz w:val="22"/>
          <w:szCs w:val="22"/>
        </w:rPr>
        <w:t xml:space="preserve"> administration of Union</w:t>
      </w:r>
      <w:r w:rsidRPr="00B1167B">
        <w:rPr>
          <w:i/>
          <w:sz w:val="22"/>
          <w:szCs w:val="22"/>
        </w:rPr>
        <w:t xml:space="preserve"> citizens’ access to their welfare system. The paper distils </w:t>
      </w:r>
      <w:r w:rsidR="0021245B">
        <w:rPr>
          <w:i/>
          <w:sz w:val="22"/>
          <w:szCs w:val="22"/>
        </w:rPr>
        <w:t xml:space="preserve">three </w:t>
      </w:r>
      <w:r w:rsidRPr="00B1167B">
        <w:rPr>
          <w:i/>
          <w:sz w:val="22"/>
          <w:szCs w:val="22"/>
        </w:rPr>
        <w:t>ide</w:t>
      </w:r>
      <w:r w:rsidR="003C030C">
        <w:rPr>
          <w:i/>
          <w:sz w:val="22"/>
          <w:szCs w:val="22"/>
        </w:rPr>
        <w:t xml:space="preserve">al-typical models of administering </w:t>
      </w:r>
      <w:r w:rsidR="00B1167B" w:rsidRPr="00B1167B">
        <w:rPr>
          <w:i/>
          <w:sz w:val="22"/>
          <w:szCs w:val="22"/>
        </w:rPr>
        <w:t>Union</w:t>
      </w:r>
      <w:r w:rsidR="003C030C">
        <w:rPr>
          <w:i/>
          <w:sz w:val="22"/>
          <w:szCs w:val="22"/>
        </w:rPr>
        <w:t xml:space="preserve"> citizen</w:t>
      </w:r>
      <w:r w:rsidRPr="00B1167B">
        <w:rPr>
          <w:i/>
          <w:sz w:val="22"/>
          <w:szCs w:val="22"/>
        </w:rPr>
        <w:t>s</w:t>
      </w:r>
      <w:r w:rsidR="003C030C">
        <w:rPr>
          <w:i/>
          <w:sz w:val="22"/>
          <w:szCs w:val="22"/>
        </w:rPr>
        <w:t>’</w:t>
      </w:r>
      <w:r w:rsidRPr="00B1167B">
        <w:rPr>
          <w:i/>
          <w:sz w:val="22"/>
          <w:szCs w:val="22"/>
        </w:rPr>
        <w:t xml:space="preserve"> access to the welf</w:t>
      </w:r>
      <w:r w:rsidR="00B1167B" w:rsidRPr="00B1167B">
        <w:rPr>
          <w:i/>
          <w:sz w:val="22"/>
          <w:szCs w:val="22"/>
        </w:rPr>
        <w:t>are s</w:t>
      </w:r>
      <w:r w:rsidR="002555B1">
        <w:rPr>
          <w:i/>
          <w:sz w:val="22"/>
          <w:szCs w:val="22"/>
        </w:rPr>
        <w:t>tate</w:t>
      </w:r>
      <w:r w:rsidR="001343CC">
        <w:rPr>
          <w:i/>
          <w:sz w:val="22"/>
          <w:szCs w:val="22"/>
        </w:rPr>
        <w:t xml:space="preserve">. It is submitted that Member States generally move away from a model that </w:t>
      </w:r>
      <w:r w:rsidR="0011370D">
        <w:rPr>
          <w:i/>
          <w:sz w:val="22"/>
          <w:szCs w:val="22"/>
        </w:rPr>
        <w:t xml:space="preserve">centres on </w:t>
      </w:r>
      <w:r w:rsidR="0011370D" w:rsidRPr="0011370D">
        <w:rPr>
          <w:i/>
          <w:sz w:val="22"/>
          <w:szCs w:val="22"/>
        </w:rPr>
        <w:t xml:space="preserve">the Union citizens’ compliance with formal procedures in a highly linked but </w:t>
      </w:r>
      <w:r w:rsidR="003C030C">
        <w:rPr>
          <w:i/>
          <w:sz w:val="22"/>
          <w:szCs w:val="22"/>
        </w:rPr>
        <w:t xml:space="preserve">dispersed administrative system, to models that </w:t>
      </w:r>
      <w:r w:rsidR="002555B1">
        <w:rPr>
          <w:i/>
          <w:sz w:val="22"/>
          <w:szCs w:val="22"/>
        </w:rPr>
        <w:t>revolve around</w:t>
      </w:r>
      <w:r w:rsidR="0011370D">
        <w:rPr>
          <w:i/>
          <w:sz w:val="22"/>
          <w:szCs w:val="22"/>
        </w:rPr>
        <w:t xml:space="preserve"> </w:t>
      </w:r>
      <w:r w:rsidR="003C030C">
        <w:rPr>
          <w:i/>
          <w:sz w:val="22"/>
          <w:szCs w:val="22"/>
        </w:rPr>
        <w:t xml:space="preserve">the administrative reconstruction of </w:t>
      </w:r>
      <w:r w:rsidR="0011370D" w:rsidRPr="0011370D">
        <w:rPr>
          <w:i/>
          <w:sz w:val="22"/>
          <w:szCs w:val="22"/>
        </w:rPr>
        <w:t>the actual activities of Union citizens in their host Member State</w:t>
      </w:r>
      <w:r w:rsidR="001343CC">
        <w:rPr>
          <w:i/>
          <w:sz w:val="22"/>
          <w:szCs w:val="22"/>
        </w:rPr>
        <w:t xml:space="preserve">. </w:t>
      </w:r>
      <w:r w:rsidR="002555B1">
        <w:rPr>
          <w:i/>
          <w:sz w:val="22"/>
          <w:szCs w:val="22"/>
        </w:rPr>
        <w:t>By creatively redesigni</w:t>
      </w:r>
      <w:r w:rsidR="001343CC">
        <w:rPr>
          <w:i/>
          <w:sz w:val="22"/>
          <w:szCs w:val="22"/>
        </w:rPr>
        <w:t>ng their administrative system and redirecting the function of both welfare and migration authorities,</w:t>
      </w:r>
      <w:r w:rsidR="002555B1">
        <w:rPr>
          <w:i/>
          <w:sz w:val="22"/>
          <w:szCs w:val="22"/>
        </w:rPr>
        <w:t xml:space="preserve"> Member States </w:t>
      </w:r>
      <w:r w:rsidR="001343CC">
        <w:rPr>
          <w:i/>
          <w:sz w:val="22"/>
          <w:szCs w:val="22"/>
        </w:rPr>
        <w:t>are</w:t>
      </w:r>
      <w:r w:rsidR="002555B1">
        <w:rPr>
          <w:i/>
          <w:sz w:val="22"/>
          <w:szCs w:val="22"/>
        </w:rPr>
        <w:t xml:space="preserve"> able to shift both the administrative burden and legal uncertainty to Union citizens </w:t>
      </w:r>
      <w:r w:rsidR="002555B1" w:rsidRPr="002555B1">
        <w:rPr>
          <w:i/>
          <w:sz w:val="22"/>
          <w:szCs w:val="22"/>
        </w:rPr>
        <w:t>contain their access to the welfare state.</w:t>
      </w:r>
      <w:r w:rsidR="0021245B">
        <w:rPr>
          <w:i/>
          <w:sz w:val="22"/>
          <w:szCs w:val="22"/>
        </w:rPr>
        <w:t xml:space="preserve"> </w:t>
      </w:r>
      <w:r w:rsidR="002555B1">
        <w:rPr>
          <w:i/>
          <w:sz w:val="22"/>
          <w:szCs w:val="22"/>
        </w:rPr>
        <w:t xml:space="preserve">This </w:t>
      </w:r>
      <w:r w:rsidR="00D36ABB">
        <w:rPr>
          <w:i/>
          <w:sz w:val="22"/>
          <w:szCs w:val="22"/>
        </w:rPr>
        <w:t xml:space="preserve">claim </w:t>
      </w:r>
      <w:bookmarkStart w:id="1" w:name="_GoBack"/>
      <w:bookmarkEnd w:id="1"/>
      <w:r w:rsidR="002555B1">
        <w:rPr>
          <w:i/>
          <w:sz w:val="22"/>
          <w:szCs w:val="22"/>
        </w:rPr>
        <w:t xml:space="preserve">is empirically supported by an </w:t>
      </w:r>
      <w:r w:rsidRPr="00B1167B">
        <w:rPr>
          <w:i/>
          <w:sz w:val="22"/>
          <w:szCs w:val="22"/>
        </w:rPr>
        <w:t xml:space="preserve">in-depth case study </w:t>
      </w:r>
      <w:r w:rsidR="002555B1">
        <w:rPr>
          <w:i/>
          <w:sz w:val="22"/>
          <w:szCs w:val="22"/>
        </w:rPr>
        <w:t xml:space="preserve">of social assistance administration of </w:t>
      </w:r>
      <w:r w:rsidRPr="00B1167B">
        <w:rPr>
          <w:i/>
          <w:sz w:val="22"/>
          <w:szCs w:val="22"/>
        </w:rPr>
        <w:t xml:space="preserve">the Netherlands </w:t>
      </w:r>
      <w:r w:rsidR="002555B1">
        <w:rPr>
          <w:i/>
          <w:sz w:val="22"/>
          <w:szCs w:val="22"/>
        </w:rPr>
        <w:t xml:space="preserve">between 2001-2016. </w:t>
      </w:r>
    </w:p>
    <w:p w:rsidR="00FA4C93" w:rsidRDefault="00FA4C93" w:rsidP="000257D2">
      <w:pPr>
        <w:rPr>
          <w:i/>
        </w:rPr>
      </w:pPr>
    </w:p>
    <w:p w:rsidR="00FF54E3" w:rsidRPr="00002102" w:rsidRDefault="00FF54E3" w:rsidP="000257D2">
      <w:pPr>
        <w:pStyle w:val="Kop1"/>
      </w:pPr>
      <w:r w:rsidRPr="00002102">
        <w:t>1. Introduction</w:t>
      </w:r>
    </w:p>
    <w:p w:rsidR="00FF54E3" w:rsidRPr="00002102" w:rsidRDefault="00FF54E3" w:rsidP="000257D2"/>
    <w:p w:rsidR="00C662EF" w:rsidRDefault="00C662EF" w:rsidP="00C662EF">
      <w:r>
        <w:lastRenderedPageBreak/>
        <w:t xml:space="preserve">In classical </w:t>
      </w:r>
      <w:r w:rsidR="003906EC">
        <w:t xml:space="preserve">migration literature it has generally been taken for granted that foreign Union citizens, as </w:t>
      </w:r>
      <w:r w:rsidR="00B80469">
        <w:t>‘privileged’</w:t>
      </w:r>
      <w:r w:rsidR="003906EC">
        <w:t xml:space="preserve"> immigrants, enjoy a strong position in their host welfare state.</w:t>
      </w:r>
      <w:r w:rsidR="003906EC">
        <w:rPr>
          <w:rStyle w:val="Voetnootmarkering"/>
        </w:rPr>
        <w:footnoteReference w:id="3"/>
      </w:r>
      <w:r w:rsidR="003906EC">
        <w:t xml:space="preserve"> </w:t>
      </w:r>
      <w:r w:rsidR="00B80469">
        <w:t>It is true, i</w:t>
      </w:r>
      <w:r w:rsidR="00AD3A79">
        <w:t xml:space="preserve">ndeed, </w:t>
      </w:r>
      <w:r w:rsidR="00260E67">
        <w:t xml:space="preserve">that the </w:t>
      </w:r>
      <w:r w:rsidR="00FF54E3">
        <w:t xml:space="preserve">principle of equal treatment connected to the status of Union </w:t>
      </w:r>
      <w:r w:rsidR="00260E67">
        <w:t xml:space="preserve">citizenship </w:t>
      </w:r>
      <w:r w:rsidR="00FF54E3">
        <w:t xml:space="preserve">has rendered differential treatment </w:t>
      </w:r>
      <w:r w:rsidR="00B80469">
        <w:t xml:space="preserve">of foreign Union citizens in the field of social benefits </w:t>
      </w:r>
      <w:r w:rsidR="00FF54E3">
        <w:t xml:space="preserve">by Member States </w:t>
      </w:r>
      <w:r w:rsidR="00B80469">
        <w:t>increasingly difficult. At the same time,</w:t>
      </w:r>
      <w:r w:rsidR="00260E67">
        <w:t xml:space="preserve"> however,</w:t>
      </w:r>
      <w:r w:rsidR="00B80469">
        <w:t xml:space="preserve"> </w:t>
      </w:r>
      <w:r w:rsidR="00AD3A79">
        <w:t xml:space="preserve">the right to free movement, or ‘lawful residence’ in another Member State, </w:t>
      </w:r>
      <w:r w:rsidR="00FF54E3">
        <w:t>is not unconditional, but subject to limitations and conditions related to economic activity and economic self-sufficiency.</w:t>
      </w:r>
      <w:r>
        <w:t xml:space="preserve"> These</w:t>
      </w:r>
      <w:r w:rsidR="0059655F">
        <w:t xml:space="preserve"> limitations and conditions</w:t>
      </w:r>
      <w:r>
        <w:t xml:space="preserve"> </w:t>
      </w:r>
      <w:r w:rsidR="0059655F">
        <w:t xml:space="preserve">have </w:t>
      </w:r>
      <w:r>
        <w:t>recently gaine</w:t>
      </w:r>
      <w:r w:rsidR="0059655F">
        <w:t xml:space="preserve">d </w:t>
      </w:r>
      <w:r>
        <w:t xml:space="preserve">prominence </w:t>
      </w:r>
      <w:r w:rsidR="0059655F">
        <w:t xml:space="preserve">when Member States increased efforts to restrict access of Union citizens to their welfare systems and found endorsement from the </w:t>
      </w:r>
      <w:r>
        <w:t>European Court of Justice (‘ECJ’)</w:t>
      </w:r>
      <w:r w:rsidR="0059655F">
        <w:t xml:space="preserve">, to </w:t>
      </w:r>
      <w:r w:rsidR="004611A5">
        <w:t xml:space="preserve">the </w:t>
      </w:r>
      <w:r w:rsidR="0059655F">
        <w:t>surprise of many</w:t>
      </w:r>
      <w:r>
        <w:t>.</w:t>
      </w:r>
    </w:p>
    <w:p w:rsidR="00D61E01" w:rsidRPr="00002102" w:rsidRDefault="004611A5" w:rsidP="00D61E01">
      <w:pPr>
        <w:ind w:firstLine="708"/>
      </w:pPr>
      <w:r>
        <w:t xml:space="preserve">Although the extension and, arguably, contraction, of cross-border social rights of </w:t>
      </w:r>
      <w:r w:rsidR="0060202D">
        <w:t xml:space="preserve">Union citizens </w:t>
      </w:r>
      <w:r w:rsidR="00BF194A">
        <w:t xml:space="preserve">at both the EU and the domestic level </w:t>
      </w:r>
      <w:r>
        <w:t xml:space="preserve">has attracted extensive attention in both legal and social science </w:t>
      </w:r>
      <w:r w:rsidR="0060202D">
        <w:t>literature</w:t>
      </w:r>
      <w:r>
        <w:t xml:space="preserve">, </w:t>
      </w:r>
      <w:r w:rsidR="00BF194A">
        <w:t xml:space="preserve">literature on the impact of EU law and judgments of the Court on </w:t>
      </w:r>
      <w:r w:rsidR="00BF194A">
        <w:rPr>
          <w:i/>
        </w:rPr>
        <w:t>administrative systems</w:t>
      </w:r>
      <w:r w:rsidR="00BF194A">
        <w:t xml:space="preserve"> governing Union citizens’ right to residence and access to social benefits is limited. In other words, </w:t>
      </w:r>
      <w:r>
        <w:t xml:space="preserve">the question of </w:t>
      </w:r>
      <w:r w:rsidRPr="004611A5">
        <w:rPr>
          <w:i/>
        </w:rPr>
        <w:t>how</w:t>
      </w:r>
      <w:r>
        <w:t xml:space="preserve"> Member States administer free movement rights and enforce residence conditions in the context of the welfare state is relatively understudied.  </w:t>
      </w:r>
      <w:r w:rsidR="00D61E01">
        <w:t xml:space="preserve">This is surprising for at least </w:t>
      </w:r>
      <w:r w:rsidR="00841B06">
        <w:t>three reasons</w:t>
      </w:r>
      <w:r w:rsidR="00D61E01">
        <w:t>. First</w:t>
      </w:r>
      <w:r w:rsidR="00841B06">
        <w:t xml:space="preserve"> of all</w:t>
      </w:r>
      <w:r w:rsidR="00D61E01">
        <w:t>,</w:t>
      </w:r>
      <w:r w:rsidR="00841B06">
        <w:t xml:space="preserve"> Member States are confronted with </w:t>
      </w:r>
      <w:r>
        <w:t xml:space="preserve">legal ambiguity and </w:t>
      </w:r>
      <w:r w:rsidR="00841B06">
        <w:t>sp</w:t>
      </w:r>
      <w:r w:rsidR="00D61E01">
        <w:rPr>
          <w:szCs w:val="22"/>
        </w:rPr>
        <w:t xml:space="preserve">ecific legal </w:t>
      </w:r>
      <w:r w:rsidR="00841B06">
        <w:rPr>
          <w:szCs w:val="22"/>
        </w:rPr>
        <w:t xml:space="preserve">constraints when administering </w:t>
      </w:r>
      <w:r w:rsidR="00D61E01">
        <w:rPr>
          <w:szCs w:val="22"/>
        </w:rPr>
        <w:t xml:space="preserve">Union </w:t>
      </w:r>
      <w:r w:rsidR="00841B06">
        <w:rPr>
          <w:szCs w:val="22"/>
        </w:rPr>
        <w:t>citizens’ social rights.</w:t>
      </w:r>
      <w:r w:rsidR="00D61E01">
        <w:t xml:space="preserve"> </w:t>
      </w:r>
      <w:r>
        <w:t xml:space="preserve">Ambiguity arises, for example, from </w:t>
      </w:r>
      <w:r w:rsidR="00841B06">
        <w:t>the Member States’ obligation to treat Union citizens equally but simultaneously</w:t>
      </w:r>
      <w:r w:rsidR="004841BC">
        <w:t xml:space="preserve"> having the possibility to </w:t>
      </w:r>
      <w:r w:rsidR="00841B06">
        <w:t xml:space="preserve">verify their compliance with the </w:t>
      </w:r>
      <w:r w:rsidR="00D61E01">
        <w:t>res</w:t>
      </w:r>
      <w:r w:rsidR="00841B06">
        <w:t xml:space="preserve">idence conditions. Another tension arises from the well-established doctrine that free movement rights, such as the right of residence and equal treatment, arise </w:t>
      </w:r>
      <w:r w:rsidR="00841B06" w:rsidRPr="00841B06">
        <w:rPr>
          <w:i/>
        </w:rPr>
        <w:t>directly</w:t>
      </w:r>
      <w:r w:rsidR="00841B06">
        <w:t xml:space="preserve"> from EU law and are therefore enjoyed </w:t>
      </w:r>
      <w:r w:rsidR="00841B06" w:rsidRPr="0070382D">
        <w:rPr>
          <w:i/>
        </w:rPr>
        <w:t>independent</w:t>
      </w:r>
      <w:r w:rsidR="00841B06">
        <w:rPr>
          <w:i/>
        </w:rPr>
        <w:t>ly</w:t>
      </w:r>
      <w:r w:rsidR="00841B06">
        <w:t xml:space="preserve"> from the (non-)actions of national bureaucracies.</w:t>
      </w:r>
      <w:r w:rsidR="00E42835">
        <w:t xml:space="preserve"> As a result, </w:t>
      </w:r>
      <w:r>
        <w:t xml:space="preserve">traditional bureaucratic </w:t>
      </w:r>
      <w:r w:rsidR="00D61E01">
        <w:t xml:space="preserve">instruments </w:t>
      </w:r>
      <w:r w:rsidR="00E42835">
        <w:t xml:space="preserve">used by Member States </w:t>
      </w:r>
      <w:r w:rsidR="00D61E01">
        <w:t>to verify the legal status of non-nationals when granting social rights</w:t>
      </w:r>
      <w:r>
        <w:t xml:space="preserve">, i.e. registration procedures and residence permits, </w:t>
      </w:r>
      <w:r w:rsidR="00D61E01">
        <w:t xml:space="preserve">have lost their </w:t>
      </w:r>
      <w:r w:rsidR="00BF194A">
        <w:t xml:space="preserve">autonomous worth and purpose </w:t>
      </w:r>
      <w:r w:rsidR="00D61E01">
        <w:t xml:space="preserve">in the context of the case law of the </w:t>
      </w:r>
      <w:bookmarkStart w:id="2" w:name="_Ref475451588"/>
      <w:r w:rsidR="00BF194A">
        <w:t>European Court of Justice.</w:t>
      </w:r>
      <w:r w:rsidR="00D61E01" w:rsidRPr="00002102">
        <w:rPr>
          <w:rStyle w:val="Voetnootmarkering"/>
        </w:rPr>
        <w:footnoteReference w:id="4"/>
      </w:r>
      <w:bookmarkEnd w:id="2"/>
      <w:r w:rsidR="00D61E01">
        <w:t xml:space="preserve"> </w:t>
      </w:r>
      <w:r w:rsidR="00E42835">
        <w:rPr>
          <w:szCs w:val="22"/>
        </w:rPr>
        <w:t>W</w:t>
      </w:r>
      <w:r w:rsidR="003D0BFE">
        <w:rPr>
          <w:szCs w:val="22"/>
        </w:rPr>
        <w:t xml:space="preserve">e might therefore expect the emergence of </w:t>
      </w:r>
      <w:r w:rsidR="003D0BFE" w:rsidRPr="00002102">
        <w:t>‘specialised’</w:t>
      </w:r>
      <w:r w:rsidR="003D0BFE">
        <w:t xml:space="preserve"> models of administration dealing with </w:t>
      </w:r>
      <w:r w:rsidR="004841BC">
        <w:t xml:space="preserve">the social rights of </w:t>
      </w:r>
      <w:r w:rsidR="003D0BFE">
        <w:t xml:space="preserve">Union citizens throughout EU Member States. </w:t>
      </w:r>
      <w:r w:rsidR="00D61E01">
        <w:t xml:space="preserve">Secondly, the extension of Union </w:t>
      </w:r>
      <w:r w:rsidR="00D61E01">
        <w:lastRenderedPageBreak/>
        <w:t xml:space="preserve">citizens’ cross-border access to social benefits in the context of the ECJ’s case law and EU legal concepts has been identified as mainly forming a burden for national </w:t>
      </w:r>
      <w:r w:rsidR="00D61E01" w:rsidRPr="000C2463">
        <w:rPr>
          <w:i/>
        </w:rPr>
        <w:t>administrations</w:t>
      </w:r>
      <w:r w:rsidR="00D61E01">
        <w:t>.</w:t>
      </w:r>
      <w:bookmarkStart w:id="3" w:name="_Ref475450162"/>
      <w:r w:rsidR="00D61E01">
        <w:rPr>
          <w:rStyle w:val="Voetnootmarkering"/>
        </w:rPr>
        <w:footnoteReference w:id="5"/>
      </w:r>
      <w:bookmarkEnd w:id="3"/>
      <w:r w:rsidR="004841BC">
        <w:t xml:space="preserve"> I</w:t>
      </w:r>
      <w:r w:rsidR="00D61E01">
        <w:t xml:space="preserve">t transpires from research that the impact of ECJ case law is not confined to changes in domestic welfare or migration legislation or their implementing regulations and policies, but often </w:t>
      </w:r>
      <w:r w:rsidR="00D61E01" w:rsidRPr="0026107A">
        <w:t xml:space="preserve">extends to </w:t>
      </w:r>
      <w:r w:rsidR="00D61E01" w:rsidRPr="0026107A">
        <w:rPr>
          <w:iCs/>
          <w:lang w:val="en-US"/>
        </w:rPr>
        <w:t>lower regulation</w:t>
      </w:r>
      <w:r>
        <w:rPr>
          <w:iCs/>
          <w:lang w:val="en-US"/>
        </w:rPr>
        <w:t>s</w:t>
      </w:r>
      <w:r w:rsidR="00D61E01" w:rsidRPr="0026107A">
        <w:rPr>
          <w:iCs/>
          <w:lang w:val="en-US"/>
        </w:rPr>
        <w:t xml:space="preserve">, </w:t>
      </w:r>
      <w:r>
        <w:rPr>
          <w:iCs/>
          <w:lang w:val="en-US"/>
        </w:rPr>
        <w:t>w</w:t>
      </w:r>
      <w:r w:rsidR="00D61E01">
        <w:rPr>
          <w:iCs/>
          <w:lang w:val="en-US"/>
        </w:rPr>
        <w:t>ork processes</w:t>
      </w:r>
      <w:r>
        <w:rPr>
          <w:iCs/>
          <w:lang w:val="en-US"/>
        </w:rPr>
        <w:t xml:space="preserve"> and discretion of street-level-bureaucrats</w:t>
      </w:r>
      <w:r w:rsidR="00D61E01">
        <w:rPr>
          <w:iCs/>
          <w:lang w:val="en-US"/>
        </w:rPr>
        <w:t>.</w:t>
      </w:r>
      <w:r w:rsidR="00BF194A">
        <w:rPr>
          <w:rStyle w:val="Voetnootmarkering"/>
          <w:iCs/>
          <w:lang w:val="en-US"/>
        </w:rPr>
        <w:footnoteReference w:id="6"/>
      </w:r>
      <w:r w:rsidR="00D61E01">
        <w:rPr>
          <w:iCs/>
          <w:lang w:val="en-US"/>
        </w:rPr>
        <w:t xml:space="preserve"> In the words of one interviewee, ‘</w:t>
      </w:r>
      <w:r w:rsidR="00D61E01" w:rsidRPr="0026107A">
        <w:rPr>
          <w:iCs/>
          <w:lang w:val="en-US"/>
        </w:rPr>
        <w:t>who does what first and who does most, that is what it ordinarily comes down to.’</w:t>
      </w:r>
      <w:r w:rsidR="00D61E01">
        <w:rPr>
          <w:rStyle w:val="Voetnootmarkering"/>
          <w:iCs/>
          <w:lang w:val="en-US"/>
        </w:rPr>
        <w:footnoteReference w:id="7"/>
      </w:r>
      <w:r w:rsidR="00D61E01">
        <w:rPr>
          <w:i/>
          <w:iCs/>
          <w:lang w:val="en-US"/>
        </w:rPr>
        <w:t xml:space="preserve"> </w:t>
      </w:r>
      <w:r w:rsidR="00BF194A">
        <w:rPr>
          <w:lang w:val="en-US"/>
        </w:rPr>
        <w:t xml:space="preserve">The final reason follows at a more fundamental level: </w:t>
      </w:r>
      <w:r w:rsidR="00D61E01">
        <w:t xml:space="preserve">the way in which domestic bureaucracies operate to enforce both the right and restrictions to EU free movement not only determines the </w:t>
      </w:r>
      <w:r w:rsidR="00D61E01" w:rsidRPr="00814BC7">
        <w:rPr>
          <w:i/>
        </w:rPr>
        <w:t xml:space="preserve">actual </w:t>
      </w:r>
      <w:r w:rsidR="00D61E01">
        <w:t>access of Union citizens to social benefits,</w:t>
      </w:r>
      <w:bookmarkStart w:id="4" w:name="_Ref475450231"/>
      <w:r w:rsidR="00D61E01">
        <w:rPr>
          <w:rStyle w:val="Voetnootmarkering"/>
        </w:rPr>
        <w:footnoteReference w:id="8"/>
      </w:r>
      <w:bookmarkEnd w:id="4"/>
      <w:r w:rsidR="00D61E01">
        <w:t xml:space="preserve"> but also shapes to a large extent Union citizens’ real world experience’ of what might be called a ‘social Europe’. </w:t>
      </w:r>
    </w:p>
    <w:p w:rsidR="00FF54E3" w:rsidRDefault="00FF54E3" w:rsidP="009219A6">
      <w:pPr>
        <w:ind w:firstLine="720"/>
      </w:pPr>
      <w:r>
        <w:t>T</w:t>
      </w:r>
      <w:r w:rsidRPr="007F7D7C">
        <w:t>his paper</w:t>
      </w:r>
      <w:r>
        <w:t xml:space="preserve"> </w:t>
      </w:r>
      <w:r w:rsidR="004134DD">
        <w:t>therefore seeks to make an analytical contribution by asking</w:t>
      </w:r>
      <w:r w:rsidRPr="007F7D7C">
        <w:t xml:space="preserve"> if and how, in the shadow of EU law, Member States </w:t>
      </w:r>
      <w:r w:rsidR="00CA320D">
        <w:t>reorganise t</w:t>
      </w:r>
      <w:r w:rsidRPr="007F7D7C">
        <w:t>he administration o</w:t>
      </w:r>
      <w:r w:rsidR="00CA320D">
        <w:t>f Union</w:t>
      </w:r>
      <w:r w:rsidRPr="007F7D7C">
        <w:t xml:space="preserve"> citizens’ </w:t>
      </w:r>
      <w:r>
        <w:t>access to their welfare system.</w:t>
      </w:r>
      <w:r w:rsidR="00F40B85">
        <w:t xml:space="preserve"> </w:t>
      </w:r>
      <w:r w:rsidR="00D15C4A">
        <w:t xml:space="preserve">It will </w:t>
      </w:r>
      <w:r w:rsidR="00CA320D">
        <w:t xml:space="preserve">be argued that </w:t>
      </w:r>
      <w:r w:rsidR="00D15C4A">
        <w:t xml:space="preserve">the specific constellation of EU law will cause </w:t>
      </w:r>
      <w:r w:rsidR="00F40B85">
        <w:t>Member State</w:t>
      </w:r>
      <w:r w:rsidR="00D15C4A">
        <w:t>s</w:t>
      </w:r>
      <w:r w:rsidR="00CA320D">
        <w:t xml:space="preserve"> to redesign their </w:t>
      </w:r>
      <w:r w:rsidR="004841BC">
        <w:t>bureaucratic systems and that three</w:t>
      </w:r>
      <w:r w:rsidR="00CA320D">
        <w:t xml:space="preserve"> different ideal-typical </w:t>
      </w:r>
      <w:r w:rsidR="004841BC">
        <w:t xml:space="preserve">administrative </w:t>
      </w:r>
      <w:r w:rsidR="00CA320D">
        <w:t>models can be constructed</w:t>
      </w:r>
      <w:r w:rsidR="00F40B85">
        <w:t xml:space="preserve">. </w:t>
      </w:r>
      <w:r>
        <w:t xml:space="preserve">It does so by </w:t>
      </w:r>
      <w:r w:rsidR="0089274D">
        <w:t xml:space="preserve">drawing inductively on </w:t>
      </w:r>
      <w:r>
        <w:t>the findings of an in-depth case study of rules and procedures designed to administer Union citizens’ right to social assistance in the Netherlands between 2001 and 2016.</w:t>
      </w:r>
      <w:r w:rsidR="003C030C">
        <w:rPr>
          <w:rStyle w:val="Voetnootmarkering"/>
        </w:rPr>
        <w:footnoteReference w:id="9"/>
      </w:r>
      <w:r>
        <w:t xml:space="preserve"> </w:t>
      </w:r>
      <w:r w:rsidRPr="00002102">
        <w:t>Faced with the requirements of EU law and the complexity of its a</w:t>
      </w:r>
      <w:r>
        <w:t xml:space="preserve">dministrative system, the Netherlands </w:t>
      </w:r>
      <w:r w:rsidRPr="00002102">
        <w:t xml:space="preserve">transformed from a </w:t>
      </w:r>
      <w:r>
        <w:t xml:space="preserve">comprehensive </w:t>
      </w:r>
      <w:r>
        <w:rPr>
          <w:i/>
        </w:rPr>
        <w:t xml:space="preserve">a priori </w:t>
      </w:r>
      <w:r>
        <w:t>verification system for Union citizens, including the requirement to register an</w:t>
      </w:r>
      <w:r w:rsidR="00D746AA">
        <w:t xml:space="preserve">d obtain a residence permit, </w:t>
      </w:r>
      <w:r w:rsidRPr="00002102">
        <w:t xml:space="preserve">to the </w:t>
      </w:r>
      <w:r>
        <w:t>full</w:t>
      </w:r>
      <w:r w:rsidRPr="00002102">
        <w:t xml:space="preserve"> abolition of a</w:t>
      </w:r>
      <w:r>
        <w:t>ny</w:t>
      </w:r>
      <w:r w:rsidRPr="00002102">
        <w:t xml:space="preserve"> registration duty</w:t>
      </w:r>
      <w:r>
        <w:t xml:space="preserve"> all together. Instead, the Netherlands slowly implemented complex procedures</w:t>
      </w:r>
      <w:r w:rsidRPr="000C2463">
        <w:t xml:space="preserve"> that centred around </w:t>
      </w:r>
      <w:r w:rsidR="009219A6">
        <w:t xml:space="preserve">an </w:t>
      </w:r>
      <w:r w:rsidRPr="000C2463">
        <w:rPr>
          <w:i/>
        </w:rPr>
        <w:t>ex post</w:t>
      </w:r>
      <w:r w:rsidRPr="000C2463">
        <w:t xml:space="preserve"> assessment of residence rights on the basis of ‘signals’</w:t>
      </w:r>
      <w:r>
        <w:t xml:space="preserve"> </w:t>
      </w:r>
      <w:r w:rsidRPr="000C2463">
        <w:t xml:space="preserve">derived from the actual conduct of </w:t>
      </w:r>
      <w:r>
        <w:t>Union</w:t>
      </w:r>
      <w:r w:rsidRPr="000C2463">
        <w:t xml:space="preserve"> citizen</w:t>
      </w:r>
      <w:r>
        <w:t>s and their</w:t>
      </w:r>
      <w:r w:rsidRPr="000C2463">
        <w:t xml:space="preserve"> engagement with the welfare st</w:t>
      </w:r>
      <w:r w:rsidR="0089274D">
        <w:t xml:space="preserve">ate. </w:t>
      </w:r>
      <w:r>
        <w:t xml:space="preserve">This transformation was far from smooth and uncontested. Not </w:t>
      </w:r>
      <w:r>
        <w:lastRenderedPageBreak/>
        <w:t xml:space="preserve">only did the Netherlands vehemently defend </w:t>
      </w:r>
      <w:r w:rsidRPr="00002102">
        <w:t xml:space="preserve">its strict </w:t>
      </w:r>
      <w:r>
        <w:t>registration conditions</w:t>
      </w:r>
      <w:r w:rsidRPr="00002102">
        <w:t xml:space="preserve"> for EU citizens entering its territory</w:t>
      </w:r>
      <w:r>
        <w:t xml:space="preserve"> all the way up to the ECJ</w:t>
      </w:r>
      <w:r w:rsidR="00F40B85">
        <w:t xml:space="preserve"> in 2008</w:t>
      </w:r>
      <w:r w:rsidR="00F40B85">
        <w:rPr>
          <w:rStyle w:val="Voetnootmarkering"/>
        </w:rPr>
        <w:footnoteReference w:id="10"/>
      </w:r>
      <w:r w:rsidR="00F40B85">
        <w:t xml:space="preserve"> </w:t>
      </w:r>
      <w:r>
        <w:t xml:space="preserve">while voluntarily surrendering </w:t>
      </w:r>
      <w:r w:rsidRPr="00002102">
        <w:t>any form of regis</w:t>
      </w:r>
      <w:r>
        <w:t xml:space="preserve">tration for EU citizens in 2014, but also the </w:t>
      </w:r>
      <w:r w:rsidR="0046426A">
        <w:t>A</w:t>
      </w:r>
      <w:r>
        <w:t xml:space="preserve">dministrative </w:t>
      </w:r>
      <w:r w:rsidR="0046426A">
        <w:t xml:space="preserve">High </w:t>
      </w:r>
      <w:r>
        <w:t xml:space="preserve">Court had to intervene </w:t>
      </w:r>
      <w:r w:rsidR="0089274D">
        <w:t xml:space="preserve">in 2013 </w:t>
      </w:r>
      <w:r>
        <w:t xml:space="preserve">to create </w:t>
      </w:r>
      <w:r w:rsidR="0089274D">
        <w:t>‘</w:t>
      </w:r>
      <w:r>
        <w:t>order</w:t>
      </w:r>
      <w:r w:rsidR="0089274D">
        <w:t>’</w:t>
      </w:r>
      <w:r>
        <w:t xml:space="preserve"> in what one interviewee described as a</w:t>
      </w:r>
      <w:r w:rsidR="00D15C4A">
        <w:t>n administrative</w:t>
      </w:r>
      <w:r>
        <w:t xml:space="preserve"> ‘tombola’.</w:t>
      </w:r>
      <w:r>
        <w:rPr>
          <w:rStyle w:val="Voetnootmarkering"/>
        </w:rPr>
        <w:footnoteReference w:id="11"/>
      </w:r>
      <w:r>
        <w:t xml:space="preserve"> </w:t>
      </w:r>
    </w:p>
    <w:p w:rsidR="00752810" w:rsidRDefault="00CA320D" w:rsidP="000257D2">
      <w:pPr>
        <w:ind w:firstLine="720"/>
      </w:pPr>
      <w:r>
        <w:t xml:space="preserve">This paper starts by </w:t>
      </w:r>
      <w:r w:rsidR="00FF54E3">
        <w:t>introducing the</w:t>
      </w:r>
      <w:r w:rsidR="002B5E35">
        <w:t xml:space="preserve"> legal ambiguity</w:t>
      </w:r>
      <w:r>
        <w:t xml:space="preserve"> Member States are confronted with </w:t>
      </w:r>
      <w:r w:rsidR="002B5E35">
        <w:t>when administering the social rights of U</w:t>
      </w:r>
      <w:r w:rsidR="00FF54E3">
        <w:t xml:space="preserve">nion citizens. </w:t>
      </w:r>
      <w:r w:rsidR="004841BC">
        <w:t xml:space="preserve">The subsequent section draws on existing literature to formulate expectations as to how and under which conditions Member States might reorganise their administrative systems. </w:t>
      </w:r>
      <w:r>
        <w:t xml:space="preserve">The </w:t>
      </w:r>
      <w:r w:rsidR="002B5E35">
        <w:t xml:space="preserve">fourth </w:t>
      </w:r>
      <w:r w:rsidR="004841BC">
        <w:t xml:space="preserve">section </w:t>
      </w:r>
      <w:r w:rsidR="0059655F">
        <w:t xml:space="preserve">then </w:t>
      </w:r>
      <w:r w:rsidR="004841BC">
        <w:t xml:space="preserve">seeks to theorise three </w:t>
      </w:r>
      <w:r>
        <w:t xml:space="preserve">ideal-typical </w:t>
      </w:r>
      <w:r w:rsidR="007576BF">
        <w:t>models available for Member States in dealing with Union citizens’ access to the welfare state</w:t>
      </w:r>
      <w:r w:rsidR="000965F6">
        <w:t>.</w:t>
      </w:r>
      <w:r>
        <w:t xml:space="preserve"> The f</w:t>
      </w:r>
      <w:r w:rsidR="0059655F">
        <w:t xml:space="preserve">ifth </w:t>
      </w:r>
      <w:r w:rsidR="007576BF">
        <w:t xml:space="preserve">section </w:t>
      </w:r>
      <w:r w:rsidR="00D15C4A">
        <w:t xml:space="preserve">proceeds by presenting the findings of the Dutch case study, distinguishing three </w:t>
      </w:r>
      <w:r w:rsidR="00671EAF">
        <w:t xml:space="preserve">separate </w:t>
      </w:r>
      <w:r w:rsidR="00D15C4A">
        <w:t>periods in whi</w:t>
      </w:r>
      <w:r>
        <w:t>ch the Netherlands gradu</w:t>
      </w:r>
      <w:r w:rsidR="00D15C4A">
        <w:t>a</w:t>
      </w:r>
      <w:r>
        <w:t>lly redesigned its a</w:t>
      </w:r>
      <w:r w:rsidR="00D15C4A">
        <w:t>dministrative system</w:t>
      </w:r>
      <w:r w:rsidR="00671EAF">
        <w:t xml:space="preserve"> of dealing with Union citizens: the first characterised by conditionality and formality, a second characterised by administrative arbitrariness and inconsistency and a third characterised by a</w:t>
      </w:r>
      <w:r w:rsidR="000965F6">
        <w:t xml:space="preserve">n effective yet </w:t>
      </w:r>
      <w:r w:rsidR="00671EAF">
        <w:t xml:space="preserve">complex </w:t>
      </w:r>
      <w:r w:rsidR="000F7F1A">
        <w:t>information</w:t>
      </w:r>
      <w:r w:rsidR="00D746AA">
        <w:t>-exchange</w:t>
      </w:r>
      <w:r w:rsidR="000F7F1A">
        <w:t xml:space="preserve"> system</w:t>
      </w:r>
      <w:r w:rsidR="00061E6A">
        <w:t xml:space="preserve">. A </w:t>
      </w:r>
      <w:r w:rsidR="00671EAF">
        <w:t>concluding section argues that, although it i</w:t>
      </w:r>
      <w:r w:rsidR="00752810">
        <w:t>s difficult to conclude whether one administrative system creates a more or less restrictive regime towards Union citizens than the other, the choice for a specific system has great implications for the actual access of Union citizens to the welfare state and their experience of a</w:t>
      </w:r>
      <w:r w:rsidR="00061E6A">
        <w:t xml:space="preserve"> ‘social Europe’ on the ground. By creatively redesigning their administration of Union citizens, Member States have been able to shift the administrative burden and </w:t>
      </w:r>
      <w:r w:rsidR="00D84662">
        <w:t xml:space="preserve">legal </w:t>
      </w:r>
      <w:r w:rsidR="00061E6A">
        <w:t>un</w:t>
      </w:r>
      <w:r w:rsidR="00D84662">
        <w:t xml:space="preserve">certainty </w:t>
      </w:r>
      <w:r w:rsidR="00061E6A">
        <w:t xml:space="preserve">to Union citizens and contain their access to the welfare state. </w:t>
      </w:r>
    </w:p>
    <w:p w:rsidR="00B20B20" w:rsidRDefault="00B20B20" w:rsidP="000257D2">
      <w:pPr>
        <w:ind w:firstLine="720"/>
      </w:pPr>
    </w:p>
    <w:p w:rsidR="002555B1" w:rsidRDefault="002555B1" w:rsidP="00B20B20">
      <w:pPr>
        <w:pStyle w:val="Kop1"/>
        <w:sectPr w:rsidR="002555B1" w:rsidSect="00A8407C">
          <w:footerReference w:type="default" r:id="rId8"/>
          <w:pgSz w:w="12240" w:h="15840"/>
          <w:pgMar w:top="1440" w:right="1440" w:bottom="1440" w:left="1440" w:header="708" w:footer="708" w:gutter="0"/>
          <w:cols w:space="708"/>
          <w:docGrid w:linePitch="360"/>
        </w:sectPr>
      </w:pPr>
    </w:p>
    <w:p w:rsidR="00B20B20" w:rsidRPr="00002102" w:rsidRDefault="00B20B20" w:rsidP="00B20B20">
      <w:pPr>
        <w:pStyle w:val="Kop1"/>
      </w:pPr>
      <w:r>
        <w:lastRenderedPageBreak/>
        <w:t>2. The (Legal) Puzzle: Equal Treatment, Residence Conditions and the Independent Status</w:t>
      </w:r>
    </w:p>
    <w:p w:rsidR="00B20B20" w:rsidRDefault="00B20B20" w:rsidP="00B20B20"/>
    <w:p w:rsidR="00B20B20" w:rsidRDefault="00662F7B" w:rsidP="00B20B20">
      <w:r>
        <w:t>When dealing with migrant Union citizens in their welfare state, Member States are confront</w:t>
      </w:r>
      <w:r w:rsidR="001343CC">
        <w:t>ed with a threefold legal constellation</w:t>
      </w:r>
      <w:r>
        <w:t xml:space="preserve">. That is to say, Union citizens have (A) right to </w:t>
      </w:r>
      <w:r w:rsidRPr="00662F7B">
        <w:rPr>
          <w:i/>
        </w:rPr>
        <w:t>equal</w:t>
      </w:r>
      <w:r>
        <w:t xml:space="preserve"> treatment, have (B) a </w:t>
      </w:r>
      <w:r w:rsidRPr="00662F7B">
        <w:rPr>
          <w:i/>
        </w:rPr>
        <w:t>conditional</w:t>
      </w:r>
      <w:r>
        <w:t xml:space="preserve"> right to residence (subject to residence conditions) and can (C) directly enjoy of EU free movement </w:t>
      </w:r>
      <w:r w:rsidRPr="00662F7B">
        <w:rPr>
          <w:i/>
        </w:rPr>
        <w:t>independent</w:t>
      </w:r>
      <w:r>
        <w:t xml:space="preserve"> from a</w:t>
      </w:r>
      <w:r w:rsidR="001343CC">
        <w:t xml:space="preserve">dministrative formalities. The combined impact of these rights and conditions </w:t>
      </w:r>
      <w:r>
        <w:t>could be said to shake up traditional</w:t>
      </w:r>
      <w:r w:rsidR="001343CC">
        <w:t xml:space="preserve"> procedures of dealing with noncitizens i</w:t>
      </w:r>
      <w:r>
        <w:t xml:space="preserve">n Member States and undermine stablished divisions of competences between welfare and immigration authorities. </w:t>
      </w:r>
      <w:r w:rsidR="001343CC">
        <w:t xml:space="preserve">This section discusses </w:t>
      </w:r>
    </w:p>
    <w:p w:rsidR="00B20B20" w:rsidRPr="00002102" w:rsidRDefault="00B20B20" w:rsidP="00B20B20"/>
    <w:p w:rsidR="00B20B20" w:rsidRPr="00B40344" w:rsidRDefault="00B20B20" w:rsidP="00B20B20">
      <w:pPr>
        <w:pStyle w:val="Kop2"/>
        <w:rPr>
          <w:lang w:val="en-US"/>
        </w:rPr>
      </w:pPr>
      <w:r w:rsidRPr="00B40344">
        <w:rPr>
          <w:lang w:val="en-US"/>
        </w:rPr>
        <w:t>A. Equal Treatment</w:t>
      </w:r>
    </w:p>
    <w:p w:rsidR="00B20B20" w:rsidRDefault="00B20B20" w:rsidP="00B20B20">
      <w:pPr>
        <w:tabs>
          <w:tab w:val="num" w:pos="720"/>
        </w:tabs>
        <w:rPr>
          <w:lang w:val="en-US"/>
        </w:rPr>
      </w:pPr>
      <w:r>
        <w:rPr>
          <w:lang w:val="en-US"/>
        </w:rPr>
        <w:t>The principle of equal treatment has gradually been extended to other categories beyond the circle of workers or self-employed, the so called ‘economically active’ Union citizens. A well-established doctrine in EU law holds that economically active Union citizens residing in another Member State enjoy equal access to its welfare system, even in cases when they work part-time or do not earn above the minimum subsistence level and hence have to rely on public benefits.</w:t>
      </w:r>
      <w:r>
        <w:rPr>
          <w:rStyle w:val="Voetnootmarkering"/>
          <w:lang w:val="en-US"/>
        </w:rPr>
        <w:footnoteReference w:id="12"/>
      </w:r>
      <w:r>
        <w:rPr>
          <w:lang w:val="en-US"/>
        </w:rPr>
        <w:t xml:space="preserve"> After a year of economic activity, they enjoy a strengthened right of residence and extended right to equal treatment by retaining their status of worker despite losing their employment.</w:t>
      </w:r>
      <w:r w:rsidRPr="00D50A1D">
        <w:rPr>
          <w:rStyle w:val="Voetnootmarkering"/>
          <w:lang w:val="nl-NL"/>
        </w:rPr>
        <w:footnoteReference w:id="13"/>
      </w:r>
      <w:r>
        <w:rPr>
          <w:lang w:val="en-US"/>
        </w:rPr>
        <w:t xml:space="preserve"> </w:t>
      </w:r>
    </w:p>
    <w:p w:rsidR="00B20B20" w:rsidRPr="00D53E55" w:rsidRDefault="00B20B20" w:rsidP="00B20B20">
      <w:pPr>
        <w:tabs>
          <w:tab w:val="num" w:pos="720"/>
        </w:tabs>
      </w:pPr>
      <w:r>
        <w:rPr>
          <w:lang w:val="en-US"/>
        </w:rPr>
        <w:tab/>
        <w:t xml:space="preserve">Around the turn of the millennium, the European Court of Justice used the newly established status of Union citizenship to extend the principle of equal treatment to economically inactive Union citizens. In the case of </w:t>
      </w:r>
      <w:r w:rsidRPr="00020DA4">
        <w:rPr>
          <w:i/>
          <w:lang w:val="en-US"/>
        </w:rPr>
        <w:t>Martínez Sala</w:t>
      </w:r>
      <w:r>
        <w:rPr>
          <w:lang w:val="en-US"/>
        </w:rPr>
        <w:t xml:space="preserve">, a Spanish national who had spent most of her life in Germany and was authorized to live there, the Court found it irrelevant whether she qualified as a worker for the question of equal treatment. Instead, the Court held that any Union citizen who is lawfully </w:t>
      </w:r>
      <w:r>
        <w:t>residing in the territory of another Member State can rely on Treaty provisions attached to the status of Union</w:t>
      </w:r>
      <w:r w:rsidRPr="00943D01">
        <w:t xml:space="preserve"> citizenship</w:t>
      </w:r>
      <w:r>
        <w:t xml:space="preserve"> and should therefore not suffer discrimination on grounds of nationality.</w:t>
      </w:r>
      <w:r>
        <w:rPr>
          <w:rStyle w:val="Voetnootmarkering"/>
        </w:rPr>
        <w:footnoteReference w:id="14"/>
      </w:r>
      <w:r>
        <w:t xml:space="preserve"> Two years later, in the case of </w:t>
      </w:r>
      <w:r w:rsidRPr="00020DA4">
        <w:rPr>
          <w:i/>
        </w:rPr>
        <w:t>Grzelczyk</w:t>
      </w:r>
      <w:r>
        <w:t xml:space="preserve">, the Court declared Union citizenship as the ‘fundamental status of nationals of the Member States’, which should enable </w:t>
      </w:r>
      <w:r>
        <w:lastRenderedPageBreak/>
        <w:t>‘those who find themselves in the same situation to enjoy the same treatment in law irrespective of their nationality, subject to such exceptions as are expressly provided for’.</w:t>
      </w:r>
      <w:r>
        <w:rPr>
          <w:rStyle w:val="Voetnootmarkering"/>
        </w:rPr>
        <w:footnoteReference w:id="15"/>
      </w:r>
    </w:p>
    <w:p w:rsidR="00B20B20" w:rsidRDefault="00B20B20" w:rsidP="00B20B20">
      <w:pPr>
        <w:tabs>
          <w:tab w:val="num" w:pos="720"/>
        </w:tabs>
      </w:pPr>
      <w:r>
        <w:tab/>
        <w:t>The principle of equal treatment and its exceptions are now laid down in secondary legislation.</w:t>
      </w:r>
      <w:r>
        <w:rPr>
          <w:rStyle w:val="Voetnootmarkering"/>
        </w:rPr>
        <w:footnoteReference w:id="16"/>
      </w:r>
      <w:r>
        <w:t xml:space="preserve"> At the time of the </w:t>
      </w:r>
      <w:r w:rsidRPr="005710A1">
        <w:rPr>
          <w:i/>
        </w:rPr>
        <w:t xml:space="preserve">Grzelczyk </w:t>
      </w:r>
      <w:r>
        <w:t>judgment, explicit exceptions were confined to the payment of maintenance grants to students benefiting from the right of residence.</w:t>
      </w:r>
      <w:r>
        <w:rPr>
          <w:rStyle w:val="Voetnootmarkering"/>
        </w:rPr>
        <w:footnoteReference w:id="17"/>
      </w:r>
      <w:r>
        <w:t xml:space="preserve"> With the coming into force of Directive 2004/38 (‘Citizens Directive’), Member States are neither obliged to grant social assistance to economically inactive Union citizens in their first three months of residence or longer in case of work seekers.</w:t>
      </w:r>
      <w:r>
        <w:rPr>
          <w:rStyle w:val="Voetnootmarkering"/>
        </w:rPr>
        <w:footnoteReference w:id="18"/>
      </w:r>
      <w:r>
        <w:t xml:space="preserve"> </w:t>
      </w:r>
      <w:r>
        <w:tab/>
        <w:t xml:space="preserve"> </w:t>
      </w:r>
    </w:p>
    <w:p w:rsidR="00B20B20" w:rsidRPr="00C66F12" w:rsidRDefault="00B20B20" w:rsidP="00B20B20">
      <w:pPr>
        <w:rPr>
          <w:lang w:val="en-US"/>
        </w:rPr>
      </w:pPr>
    </w:p>
    <w:p w:rsidR="00B20B20" w:rsidRPr="003D78FA" w:rsidRDefault="00B20B20" w:rsidP="00B20B20">
      <w:pPr>
        <w:pStyle w:val="Kop2"/>
      </w:pPr>
      <w:r>
        <w:t xml:space="preserve">B. Residence Conditions </w:t>
      </w:r>
    </w:p>
    <w:p w:rsidR="00B20B20" w:rsidRDefault="00B20B20" w:rsidP="00B20B20">
      <w:r>
        <w:t>It should be remarked that the Court, even when expanding the scope of equal treatment, has always emphasised that the right to reside in another Member State is not unconditional. For a period up to three months a valid identity card suffices for lawful residence,</w:t>
      </w:r>
      <w:r>
        <w:rPr>
          <w:rStyle w:val="Voetnootmarkering"/>
        </w:rPr>
        <w:footnoteReference w:id="19"/>
      </w:r>
      <w:r>
        <w:t xml:space="preserve"> but for longer periods Member States may require Union citizens to be either economically active or to have a sickness insurance and ‘sufficient resources not to become a burden on the social assistance system’.</w:t>
      </w:r>
      <w:r>
        <w:rPr>
          <w:rStyle w:val="Voetnootmarkering"/>
        </w:rPr>
        <w:footnoteReference w:id="20"/>
      </w:r>
      <w:r>
        <w:t xml:space="preserve"> The Court has always left open the possibility for Member States to take the view that the Union citizen who applies for social assistance no longer fulfils the conditions of lawful residence, but in that case Member States have to explicitly terminate the Union citizen’s right to residence.</w:t>
      </w:r>
      <w:r>
        <w:rPr>
          <w:rStyle w:val="Voetnootmarkering"/>
        </w:rPr>
        <w:footnoteReference w:id="21"/>
      </w:r>
      <w:r>
        <w:t xml:space="preserve"> Such measures, however, cannot become the </w:t>
      </w:r>
      <w:r>
        <w:rPr>
          <w:i/>
        </w:rPr>
        <w:t>automatic</w:t>
      </w:r>
      <w:r>
        <w:t xml:space="preserve"> consequence of a Union citizen’s recourse to social assistance as Member States can only terminate residence when Union citizens become an </w:t>
      </w:r>
      <w:r>
        <w:rPr>
          <w:i/>
        </w:rPr>
        <w:t>unreasonable</w:t>
      </w:r>
      <w:r>
        <w:t xml:space="preserve"> burden on the social assistance system of the host Member State.</w:t>
      </w:r>
      <w:r>
        <w:rPr>
          <w:rStyle w:val="Voetnootmarkering"/>
        </w:rPr>
        <w:footnoteReference w:id="22"/>
      </w:r>
      <w:r>
        <w:t xml:space="preserve"> Member States may have legitimate interests to restrict Union citizens in exercising their free movement, but they must take into account the individual circumstances of Union citizens before removal measures </w:t>
      </w:r>
      <w:r>
        <w:lastRenderedPageBreak/>
        <w:t>can be considered proportionate.</w:t>
      </w:r>
      <w:r>
        <w:rPr>
          <w:rStyle w:val="Voetnootmarkering"/>
        </w:rPr>
        <w:footnoteReference w:id="23"/>
      </w:r>
      <w:r>
        <w:t xml:space="preserve"> The right </w:t>
      </w:r>
      <w:r w:rsidRPr="00002102">
        <w:t>to permanent residence is granted to Union citizens who have resided legally for a continuous period of five years in the host Member State.</w:t>
      </w:r>
      <w:r>
        <w:rPr>
          <w:rStyle w:val="Voetnootmarkering"/>
        </w:rPr>
        <w:footnoteReference w:id="24"/>
      </w:r>
    </w:p>
    <w:p w:rsidR="00B20B20" w:rsidRPr="004B19B2" w:rsidRDefault="00B20B20" w:rsidP="00B20B20">
      <w:pPr>
        <w:rPr>
          <w:lang w:val="en-US"/>
        </w:rPr>
      </w:pPr>
      <w:r w:rsidRPr="00AD1977">
        <w:rPr>
          <w:lang w:val="en-US"/>
        </w:rPr>
        <w:tab/>
      </w:r>
    </w:p>
    <w:p w:rsidR="00B20B20" w:rsidRPr="00002102" w:rsidRDefault="00B20B20" w:rsidP="00B20B20">
      <w:pPr>
        <w:pStyle w:val="Kop2"/>
      </w:pPr>
      <w:r>
        <w:t>C</w:t>
      </w:r>
      <w:r w:rsidRPr="00002102">
        <w:t>. The Independent Status of the EU Free Mover</w:t>
      </w:r>
    </w:p>
    <w:p w:rsidR="00B20B20" w:rsidRPr="00002102" w:rsidRDefault="0096186A" w:rsidP="00B20B20">
      <w:r>
        <w:t xml:space="preserve">A further complication that is added to the administration of the social rights of Union relates to the ‘independent status’ the ECJ has awarded to the Union citizen who exercises his/her right to free movement. </w:t>
      </w:r>
      <w:r w:rsidR="00B20B20">
        <w:t>S</w:t>
      </w:r>
      <w:r w:rsidR="00B20B20" w:rsidRPr="00002102">
        <w:t xml:space="preserve">ince the case of </w:t>
      </w:r>
      <w:r w:rsidR="00B20B20">
        <w:rPr>
          <w:i/>
        </w:rPr>
        <w:t>Royer</w:t>
      </w:r>
      <w:r w:rsidR="00B20B20">
        <w:t xml:space="preserve"> (1976), the ECJ has been consistent in arguing that </w:t>
      </w:r>
      <w:r w:rsidR="00B20B20" w:rsidRPr="00002102">
        <w:t xml:space="preserve">the right of residence </w:t>
      </w:r>
      <w:r w:rsidR="00B20B20">
        <w:t xml:space="preserve">is </w:t>
      </w:r>
      <w:r w:rsidR="00B20B20" w:rsidRPr="00002102">
        <w:t xml:space="preserve">conferred directly by the Treaty and acquired </w:t>
      </w:r>
      <w:r w:rsidR="00B20B20" w:rsidRPr="00002102">
        <w:rPr>
          <w:i/>
        </w:rPr>
        <w:t>independently</w:t>
      </w:r>
      <w:r w:rsidR="00B20B20" w:rsidRPr="00002102">
        <w:t xml:space="preserve"> of the issue of a residence permit by the competent </w:t>
      </w:r>
      <w:r w:rsidR="00B20B20">
        <w:t xml:space="preserve">Member State </w:t>
      </w:r>
      <w:r w:rsidR="00B20B20" w:rsidRPr="00002102">
        <w:t>authority.</w:t>
      </w:r>
      <w:r w:rsidR="00B20B20" w:rsidRPr="00002102">
        <w:rPr>
          <w:rStyle w:val="Voetnootmarkering"/>
        </w:rPr>
        <w:footnoteReference w:id="25"/>
      </w:r>
      <w:r w:rsidR="00B20B20" w:rsidRPr="00002102">
        <w:t xml:space="preserve"> </w:t>
      </w:r>
      <w:r w:rsidR="00B20B20">
        <w:t>A residence</w:t>
      </w:r>
      <w:r w:rsidR="00B20B20" w:rsidRPr="00002102">
        <w:t xml:space="preserve"> permit </w:t>
      </w:r>
      <w:r w:rsidR="00B20B20">
        <w:t xml:space="preserve">should </w:t>
      </w:r>
      <w:r w:rsidR="00B20B20" w:rsidRPr="00002102">
        <w:t xml:space="preserve">therefore </w:t>
      </w:r>
      <w:r w:rsidR="00B20B20">
        <w:t>not be re</w:t>
      </w:r>
      <w:r w:rsidR="00B20B20" w:rsidRPr="00002102">
        <w:t xml:space="preserve">garded </w:t>
      </w:r>
      <w:r>
        <w:t>‘</w:t>
      </w:r>
      <w:r w:rsidR="00B20B20">
        <w:t>constitutive</w:t>
      </w:r>
      <w:r>
        <w:t>’</w:t>
      </w:r>
      <w:r w:rsidR="00B20B20">
        <w:t xml:space="preserve">, as </w:t>
      </w:r>
      <w:r w:rsidR="00B20B20" w:rsidRPr="00002102">
        <w:t>a measure giving rise to rights</w:t>
      </w:r>
      <w:r w:rsidR="00B20B20">
        <w:t xml:space="preserve">, </w:t>
      </w:r>
      <w:r w:rsidR="00B20B20" w:rsidRPr="00002102">
        <w:t xml:space="preserve">but </w:t>
      </w:r>
      <w:r w:rsidR="00B20B20">
        <w:t xml:space="preserve">merely </w:t>
      </w:r>
      <w:r>
        <w:t>‘</w:t>
      </w:r>
      <w:r w:rsidR="00B20B20">
        <w:t>declaratory</w:t>
      </w:r>
      <w:r>
        <w:t>’</w:t>
      </w:r>
      <w:r w:rsidR="00B20B20">
        <w:t xml:space="preserve">, as </w:t>
      </w:r>
      <w:r w:rsidR="00B20B20" w:rsidRPr="00002102">
        <w:t>a measure by a Member State serving to prove</w:t>
      </w:r>
      <w:r w:rsidR="00B20B20">
        <w:t xml:space="preserve"> </w:t>
      </w:r>
      <w:r w:rsidR="00B20B20" w:rsidRPr="00002102">
        <w:t xml:space="preserve">the individual position of a national of another Member State with regard to </w:t>
      </w:r>
      <w:r w:rsidR="00B20B20">
        <w:t>EU law.</w:t>
      </w:r>
      <w:r w:rsidR="00B20B20" w:rsidRPr="00002102">
        <w:rPr>
          <w:rStyle w:val="Voetnootmarkering"/>
        </w:rPr>
        <w:footnoteReference w:id="26"/>
      </w:r>
      <w:r w:rsidR="00B20B20" w:rsidRPr="00002102">
        <w:t xml:space="preserve"> This position was forcefully repeated in the </w:t>
      </w:r>
      <w:r w:rsidR="00B20B20">
        <w:t>c</w:t>
      </w:r>
      <w:r w:rsidR="00B20B20" w:rsidRPr="00002102">
        <w:t xml:space="preserve">ase of </w:t>
      </w:r>
      <w:r w:rsidR="00B20B20" w:rsidRPr="00002102">
        <w:rPr>
          <w:i/>
        </w:rPr>
        <w:t>Martinez Sala</w:t>
      </w:r>
      <w:r w:rsidR="00B20B20">
        <w:t xml:space="preserve"> with respect to access to social benefits</w:t>
      </w:r>
      <w:r w:rsidR="00B20B20" w:rsidRPr="00002102">
        <w:t xml:space="preserve">, in which the Court </w:t>
      </w:r>
      <w:r w:rsidR="00B20B20">
        <w:t>found</w:t>
      </w:r>
      <w:r w:rsidR="00B20B20" w:rsidRPr="00002102">
        <w:t xml:space="preserve"> the extra condition for </w:t>
      </w:r>
      <w:r w:rsidR="00B20B20">
        <w:t xml:space="preserve">foreign Union citizens applying </w:t>
      </w:r>
      <w:r w:rsidR="00B20B20" w:rsidRPr="00002102">
        <w:t>for child benefits to possess a residence permit directly discriminatory.</w:t>
      </w:r>
      <w:r w:rsidR="00B20B20" w:rsidRPr="00002102">
        <w:rPr>
          <w:rStyle w:val="Voetnootmarkering"/>
        </w:rPr>
        <w:footnoteReference w:id="27"/>
      </w:r>
      <w:r w:rsidR="00B20B20" w:rsidRPr="00002102">
        <w:t xml:space="preserve"> Such a condition would attach a constitutive force to the possession of a residence permit where EU citizens who are lawful resident in the territory of a host Member State should have a right to be treated equally within the material scope of the Treaty. In the case of </w:t>
      </w:r>
      <w:r w:rsidR="00B20B20" w:rsidRPr="00002102">
        <w:rPr>
          <w:i/>
        </w:rPr>
        <w:t>Dias</w:t>
      </w:r>
      <w:r w:rsidR="00B20B20" w:rsidRPr="00002102">
        <w:t>, the Court had to eng</w:t>
      </w:r>
      <w:r w:rsidR="00B20B20">
        <w:t xml:space="preserve">age with the opposite situation: </w:t>
      </w:r>
      <w:r w:rsidR="00B20B20" w:rsidRPr="00002102">
        <w:t xml:space="preserve">could </w:t>
      </w:r>
      <w:r w:rsidR="00B20B20">
        <w:t xml:space="preserve">a Union citizen </w:t>
      </w:r>
      <w:r w:rsidR="00B20B20" w:rsidRPr="00002102">
        <w:t>derive a right of residence solely out of a validly issued residence permit while not meeting the conditions governing entitlement to any right of residence under EU law</w:t>
      </w:r>
      <w:r w:rsidR="00B20B20">
        <w:t>?</w:t>
      </w:r>
      <w:r w:rsidR="00B20B20" w:rsidRPr="00002102">
        <w:t xml:space="preserve"> Here the Court reasoned in favour of the Member States, stating that such periods, despite the possession of a valid residence period could not qualify as periods of ‘legal residence’ and be used for the acquisition of permanent residence status.</w:t>
      </w:r>
      <w:r w:rsidR="00B20B20" w:rsidRPr="00002102">
        <w:rPr>
          <w:rStyle w:val="Voetnootmarkering"/>
        </w:rPr>
        <w:footnoteReference w:id="28"/>
      </w:r>
      <w:r w:rsidR="00B20B20" w:rsidRPr="00002102">
        <w:t xml:space="preserve"> </w:t>
      </w:r>
    </w:p>
    <w:p w:rsidR="0096186A" w:rsidRDefault="00B20B20" w:rsidP="0096186A">
      <w:pPr>
        <w:ind w:firstLine="720"/>
      </w:pPr>
      <w:r>
        <w:t xml:space="preserve">This line of jurisprudence was codified in secondary EU legislation. The Citizens Directive now confirms that </w:t>
      </w:r>
      <w:r w:rsidRPr="00002102">
        <w:t>registration cer</w:t>
      </w:r>
      <w:r>
        <w:t xml:space="preserve">tificates, residence permits or any other administrative formality cannot </w:t>
      </w:r>
      <w:r w:rsidRPr="00002102">
        <w:t>be made a precondit</w:t>
      </w:r>
      <w:r>
        <w:t>ion for the exercise of a right under Treaty</w:t>
      </w:r>
      <w:r w:rsidRPr="00002102">
        <w:t>.</w:t>
      </w:r>
      <w:r w:rsidRPr="00002102">
        <w:rPr>
          <w:rStyle w:val="Voetnootmarkering"/>
        </w:rPr>
        <w:footnoteReference w:id="29"/>
      </w:r>
      <w:r>
        <w:t xml:space="preserve"> Failure to comply with </w:t>
      </w:r>
      <w:r>
        <w:lastRenderedPageBreak/>
        <w:t>requirements to register or obtain a r</w:t>
      </w:r>
      <w:r w:rsidRPr="00002102">
        <w:t>esidence permits may render the person concerned only liable to proportionate and non-discriminatory sanctions.</w:t>
      </w:r>
      <w:r w:rsidRPr="00002102">
        <w:rPr>
          <w:rStyle w:val="Voetnootmarkering"/>
        </w:rPr>
        <w:footnoteReference w:id="30"/>
      </w:r>
      <w:r>
        <w:t xml:space="preserve"> Despite their declaratory character, the Directive still sets out rules concerning administrative formalities.</w:t>
      </w:r>
      <w:r w:rsidRPr="00002102">
        <w:t xml:space="preserve"> For periods of residence longer than three months, Member States may require Union citizens to register with the competent authorities. Upon registration, the authorities may check whether the applicant complies with the </w:t>
      </w:r>
      <w:r>
        <w:t>conditions for a longer period residence, either as an economically active or economically inactive Union citizen</w:t>
      </w:r>
      <w:r w:rsidRPr="00002102">
        <w:t>.</w:t>
      </w:r>
      <w:r w:rsidRPr="00002102">
        <w:rPr>
          <w:rStyle w:val="Voetnootmarkering"/>
        </w:rPr>
        <w:footnoteReference w:id="31"/>
      </w:r>
      <w:r w:rsidRPr="00002102">
        <w:t xml:space="preserve"> However, a registration certificate shall be </w:t>
      </w:r>
      <w:r>
        <w:t>‘</w:t>
      </w:r>
      <w:r w:rsidRPr="00002102">
        <w:t>issued immediately</w:t>
      </w:r>
      <w:r>
        <w:t>’</w:t>
      </w:r>
      <w:r w:rsidRPr="00002102">
        <w:t>, rendering this screening necessarily limited. Administrative formalities attach</w:t>
      </w:r>
      <w:r>
        <w:t>ed to permanent residence are less</w:t>
      </w:r>
      <w:r w:rsidRPr="00002102">
        <w:t xml:space="preserve"> clear-cut, as Member States have to issue</w:t>
      </w:r>
      <w:r>
        <w:t>, as soon as possible, Union citizens ‘</w:t>
      </w:r>
      <w:r w:rsidRPr="00002102">
        <w:t xml:space="preserve">entitled to permanent </w:t>
      </w:r>
      <w:r>
        <w:t xml:space="preserve">residence’ </w:t>
      </w:r>
      <w:r w:rsidRPr="00002102">
        <w:t>with a document certifying permanent residence after having verified their duration of residence.</w:t>
      </w:r>
      <w:r w:rsidRPr="00002102">
        <w:rPr>
          <w:rStyle w:val="Voetnootmarkering"/>
        </w:rPr>
        <w:footnoteReference w:id="32"/>
      </w:r>
      <w:r w:rsidRPr="00002102">
        <w:t xml:space="preserve"> </w:t>
      </w:r>
    </w:p>
    <w:p w:rsidR="00B20B20" w:rsidRPr="00002102" w:rsidRDefault="00B20B20" w:rsidP="0096186A">
      <w:pPr>
        <w:ind w:firstLine="720"/>
      </w:pPr>
      <w:r>
        <w:t>The image appearing is ambiguous: registration and administrative formalities still exist under EU law, but their ‘worth and purpose’ has for a long time been undermined by the European Court of Justice</w:t>
      </w:r>
      <w:r w:rsidRPr="00002102">
        <w:t>.</w:t>
      </w:r>
      <w:r w:rsidRPr="00002102">
        <w:rPr>
          <w:rStyle w:val="Voetnootmarkering"/>
        </w:rPr>
        <w:footnoteReference w:id="33"/>
      </w:r>
      <w:r>
        <w:t xml:space="preserve"> </w:t>
      </w:r>
      <w:r w:rsidR="0096186A">
        <w:t xml:space="preserve">The mere ‘declaratory’ character of residence permits and registration requirements has challenged the Member State’s </w:t>
      </w:r>
      <w:r w:rsidR="009D51EE">
        <w:t xml:space="preserve">ability to rely on such instruments for authoritative decisions on Union citizens’ social rights. </w:t>
      </w:r>
    </w:p>
    <w:p w:rsidR="00B20B20" w:rsidRDefault="00B20B20" w:rsidP="00B20B20">
      <w:pPr>
        <w:ind w:firstLine="720"/>
      </w:pPr>
    </w:p>
    <w:p w:rsidR="00B20B20" w:rsidRPr="00002102" w:rsidRDefault="00B20B20" w:rsidP="00B20B20">
      <w:pPr>
        <w:pStyle w:val="Kop2"/>
      </w:pPr>
      <w:r>
        <w:t>D. After Dano: Recent Developments</w:t>
      </w:r>
    </w:p>
    <w:p w:rsidR="00B20B20" w:rsidRDefault="00B20B20" w:rsidP="00B20B20">
      <w:r>
        <w:t xml:space="preserve">It should be stressed from the onset that, although this paper specifically deals with Member State responses to the legal constellation of earlier citizenship case law, a series of recent judgments has shed doubts on the Court’s commitment to uphold a general right to equal treatment for all Union citizens. Whereas the Court’s early citizenship case law </w:t>
      </w:r>
      <w:r w:rsidRPr="008A1C93">
        <w:t xml:space="preserve">emphasised the Union citizen’s right to </w:t>
      </w:r>
      <w:r w:rsidRPr="008A1C93">
        <w:lastRenderedPageBreak/>
        <w:t>equal treatment</w:t>
      </w:r>
      <w:r>
        <w:t xml:space="preserve"> with respect to social benefits</w:t>
      </w:r>
      <w:r w:rsidRPr="008A1C93">
        <w:t xml:space="preserve"> ‘si</w:t>
      </w:r>
      <w:r>
        <w:t>mply as a citizen of the Union’</w:t>
      </w:r>
      <w:r w:rsidRPr="008A1C93">
        <w:rPr>
          <w:rStyle w:val="Voetnootmarkering"/>
        </w:rPr>
        <w:footnoteReference w:id="34"/>
      </w:r>
      <w:r>
        <w:t xml:space="preserve">, it has been noted that its judgments in </w:t>
      </w:r>
      <w:r w:rsidRPr="006F64AB">
        <w:rPr>
          <w:i/>
        </w:rPr>
        <w:t>Dano</w:t>
      </w:r>
      <w:r>
        <w:t xml:space="preserve"> (2014), </w:t>
      </w:r>
      <w:r w:rsidRPr="006F64AB">
        <w:rPr>
          <w:i/>
        </w:rPr>
        <w:t>Alimanovic</w:t>
      </w:r>
      <w:r>
        <w:t xml:space="preserve">, </w:t>
      </w:r>
      <w:r w:rsidRPr="006F64AB">
        <w:rPr>
          <w:i/>
        </w:rPr>
        <w:t>Garcia-Nieto</w:t>
      </w:r>
      <w:r>
        <w:t xml:space="preserve"> (2015) and </w:t>
      </w:r>
      <w:r w:rsidRPr="006F64AB">
        <w:rPr>
          <w:i/>
        </w:rPr>
        <w:t>Commission v. UK</w:t>
      </w:r>
      <w:r>
        <w:t xml:space="preserve"> (2016) have made the right to equal access to the social assistance </w:t>
      </w:r>
      <w:r w:rsidRPr="006F64AB">
        <w:rPr>
          <w:i/>
        </w:rPr>
        <w:t>conditional</w:t>
      </w:r>
      <w:r>
        <w:t xml:space="preserve"> on the compliance of residence conditions. In Dano, for example, the Court stated that</w:t>
      </w:r>
      <w:r w:rsidRPr="008A1C93">
        <w:t xml:space="preserve"> ‘so far as concerns access to social benefits, a Union citizen can claim equal treatment </w:t>
      </w:r>
      <w:r w:rsidRPr="008A1C93">
        <w:rPr>
          <w:i/>
        </w:rPr>
        <w:t>only</w:t>
      </w:r>
      <w:r w:rsidRPr="008A1C93">
        <w:t xml:space="preserve"> if his or her residence in the territory of the host Member State complies with the conditions for lawful residence of the Citizenship Directive’</w:t>
      </w:r>
      <w:r>
        <w:t>.</w:t>
      </w:r>
      <w:r>
        <w:rPr>
          <w:rStyle w:val="Voetnootmarkering"/>
        </w:rPr>
        <w:footnoteReference w:id="35"/>
      </w:r>
      <w:r>
        <w:t xml:space="preserve"> It should be expected that </w:t>
      </w:r>
      <w:r w:rsidRPr="008A1C93">
        <w:t xml:space="preserve">this reversal of order </w:t>
      </w:r>
      <w:r>
        <w:t xml:space="preserve">between equal treatment and lawful residence will, again, have </w:t>
      </w:r>
      <w:r w:rsidRPr="008A1C93">
        <w:t>implications for administra</w:t>
      </w:r>
      <w:r>
        <w:t>tive procedures. The first indications in the Netherlands will</w:t>
      </w:r>
      <w:r w:rsidR="00662F7B">
        <w:t xml:space="preserve"> </w:t>
      </w:r>
      <w:r w:rsidR="0089274D">
        <w:t>be briefly discussed (section 5.4</w:t>
      </w:r>
      <w:r>
        <w:t xml:space="preserve">).   </w:t>
      </w:r>
    </w:p>
    <w:p w:rsidR="00FA4C93" w:rsidRPr="00002102" w:rsidRDefault="00FA4C93" w:rsidP="00B20B20"/>
    <w:p w:rsidR="00B20B20" w:rsidRDefault="00B20B20" w:rsidP="000257D2">
      <w:pPr>
        <w:ind w:firstLine="720"/>
      </w:pPr>
    </w:p>
    <w:p w:rsidR="00A254B3" w:rsidRDefault="00A254B3" w:rsidP="00854537">
      <w:pPr>
        <w:pStyle w:val="Kop1"/>
        <w:sectPr w:rsidR="00A254B3" w:rsidSect="00A8407C">
          <w:pgSz w:w="12240" w:h="15840"/>
          <w:pgMar w:top="1440" w:right="1440" w:bottom="1440" w:left="1440" w:header="708" w:footer="708" w:gutter="0"/>
          <w:cols w:space="708"/>
          <w:docGrid w:linePitch="360"/>
        </w:sectPr>
      </w:pPr>
    </w:p>
    <w:p w:rsidR="00854537" w:rsidRPr="00FE08A4" w:rsidRDefault="00854537" w:rsidP="00854537">
      <w:pPr>
        <w:pStyle w:val="Kop1"/>
      </w:pPr>
      <w:r w:rsidRPr="00FE08A4">
        <w:lastRenderedPageBreak/>
        <w:t xml:space="preserve">3. Policy Drift and Institutional Conversion in the Shadow of EU </w:t>
      </w:r>
      <w:r w:rsidR="00D47378" w:rsidRPr="00FE08A4">
        <w:t xml:space="preserve">Free Movement </w:t>
      </w:r>
      <w:r w:rsidRPr="00FE08A4">
        <w:t>Law</w:t>
      </w:r>
    </w:p>
    <w:p w:rsidR="00854537" w:rsidRPr="00FE08A4" w:rsidRDefault="00854537" w:rsidP="00854537"/>
    <w:p w:rsidR="00854537" w:rsidRDefault="000E7B37" w:rsidP="00854537">
      <w:r w:rsidRPr="00FE08A4">
        <w:t>The specifi</w:t>
      </w:r>
      <w:r w:rsidR="009D51EE">
        <w:t xml:space="preserve">c requirements of EU law, as discussed in the previous section, </w:t>
      </w:r>
      <w:r w:rsidR="00FE08A4" w:rsidRPr="00FE08A4">
        <w:t xml:space="preserve">may cause </w:t>
      </w:r>
      <w:r w:rsidR="00854537" w:rsidRPr="00FE08A4">
        <w:t xml:space="preserve">Member States </w:t>
      </w:r>
      <w:r w:rsidR="00FE08A4" w:rsidRPr="00FE08A4">
        <w:t xml:space="preserve">to </w:t>
      </w:r>
      <w:r w:rsidR="00FE08A4">
        <w:t xml:space="preserve">adjust their administrations. </w:t>
      </w:r>
      <w:r w:rsidR="00B7574E">
        <w:t>We might expect adjustment</w:t>
      </w:r>
      <w:r w:rsidR="009D51EE">
        <w:t xml:space="preserve"> in – at least - two directions</w:t>
      </w:r>
      <w:r w:rsidR="00B7574E">
        <w:t xml:space="preserve">. First, </w:t>
      </w:r>
      <w:r w:rsidR="00854537" w:rsidRPr="00FE08A4">
        <w:t xml:space="preserve">Member States can maintain or abolish registration </w:t>
      </w:r>
      <w:r w:rsidR="00FE08A4">
        <w:t xml:space="preserve">requirements for Union citizens. </w:t>
      </w:r>
      <w:r w:rsidR="00B7574E">
        <w:t>Although the specific legal challenges lead us to expect change, d</w:t>
      </w:r>
      <w:r w:rsidR="00854537" w:rsidRPr="00FE08A4">
        <w:t>omestic fa</w:t>
      </w:r>
      <w:r w:rsidR="00FE08A4">
        <w:t>ctors, such as the general receptiveness</w:t>
      </w:r>
      <w:r w:rsidR="00B7574E">
        <w:t xml:space="preserve"> of EU law or political climate </w:t>
      </w:r>
      <w:r w:rsidR="00FE08A4" w:rsidRPr="00FE08A4">
        <w:t>c</w:t>
      </w:r>
      <w:r w:rsidR="00FE08A4">
        <w:t xml:space="preserve">an block or delay this process, </w:t>
      </w:r>
      <w:r w:rsidR="00B7574E">
        <w:t xml:space="preserve">resulting in fragmented and often arbitrary outcomes. </w:t>
      </w:r>
      <w:r w:rsidR="00FE08A4" w:rsidRPr="00FE08A4">
        <w:t>Secondly, Member States can maintain a clearly defined division of competences between welfare and migration authorities with respect to the right of residence of Union citizens or (informally) delegate the responsibility to assess lawful r</w:t>
      </w:r>
      <w:r w:rsidR="00FE08A4">
        <w:t>esidence to welfare authorities</w:t>
      </w:r>
      <w:r w:rsidR="00FE08A4" w:rsidRPr="00FE08A4">
        <w:t xml:space="preserve">. </w:t>
      </w:r>
      <w:r w:rsidR="009D51EE">
        <w:t xml:space="preserve">Factors explaining this decision </w:t>
      </w:r>
      <w:r w:rsidR="00B7574E">
        <w:t xml:space="preserve">can be linked to </w:t>
      </w:r>
      <w:r w:rsidR="00854537">
        <w:t>the specific design of national laws – the relationship between social an</w:t>
      </w:r>
      <w:r w:rsidR="00B7574E">
        <w:t xml:space="preserve">d migration law in particular – and the features of the national administrative system. </w:t>
      </w:r>
    </w:p>
    <w:p w:rsidR="00854537" w:rsidRDefault="00854537" w:rsidP="000A537A"/>
    <w:p w:rsidR="000A537A" w:rsidRDefault="000A537A" w:rsidP="000A537A">
      <w:pPr>
        <w:pStyle w:val="Kop2"/>
      </w:pPr>
      <w:r>
        <w:t xml:space="preserve">A. </w:t>
      </w:r>
      <w:r w:rsidR="008E667D">
        <w:t>Abolishing or Maintaining Administrative Formalities?</w:t>
      </w:r>
    </w:p>
    <w:p w:rsidR="0089274D" w:rsidRDefault="0089274D" w:rsidP="0089274D"/>
    <w:p w:rsidR="00490A63" w:rsidRDefault="00A2417C" w:rsidP="00490A63">
      <w:r>
        <w:t xml:space="preserve">Although Member States vary in their respective immigration control and policies, most will have made use of registration requirements and residence documents (certificates or permits) to govern the (longer term) presence of </w:t>
      </w:r>
      <w:r w:rsidR="00854537">
        <w:t xml:space="preserve">Union citizens </w:t>
      </w:r>
      <w:r>
        <w:t>in their territory.</w:t>
      </w:r>
      <w:r w:rsidR="007C68AF">
        <w:rPr>
          <w:rStyle w:val="Voetnootmarkering"/>
        </w:rPr>
        <w:footnoteReference w:id="36"/>
      </w:r>
      <w:r>
        <w:t xml:space="preserve"> The correct fulfilment of r</w:t>
      </w:r>
      <w:r w:rsidR="00854537">
        <w:t>egi</w:t>
      </w:r>
      <w:r>
        <w:t xml:space="preserve">stration requirements and the </w:t>
      </w:r>
      <w:r w:rsidR="00854537">
        <w:t xml:space="preserve">possession of valid residence documents </w:t>
      </w:r>
      <w:r>
        <w:t>typically opened the door f</w:t>
      </w:r>
      <w:r w:rsidR="00490A63">
        <w:t xml:space="preserve">or Union citizens, like for regular immigrants, </w:t>
      </w:r>
      <w:r>
        <w:t xml:space="preserve">to access </w:t>
      </w:r>
      <w:r w:rsidR="00854537">
        <w:t>their host welfare state.</w:t>
      </w:r>
      <w:r w:rsidR="00490A63">
        <w:rPr>
          <w:rStyle w:val="Voetnootmarkering"/>
        </w:rPr>
        <w:footnoteReference w:id="37"/>
      </w:r>
      <w:r w:rsidR="00854537">
        <w:t xml:space="preserve"> As </w:t>
      </w:r>
      <w:r w:rsidR="00773E6F">
        <w:t>follows from the</w:t>
      </w:r>
      <w:r w:rsidR="00854537">
        <w:t xml:space="preserve"> earlier discussion of EU law, </w:t>
      </w:r>
      <w:r w:rsidR="00773E6F">
        <w:t xml:space="preserve">however, </w:t>
      </w:r>
      <w:r w:rsidR="00854537">
        <w:t xml:space="preserve">Member States </w:t>
      </w:r>
      <w:r w:rsidR="00773E6F">
        <w:t xml:space="preserve">who use </w:t>
      </w:r>
      <w:r>
        <w:t>such instruments</w:t>
      </w:r>
      <w:r w:rsidR="00773E6F">
        <w:t xml:space="preserve"> can be </w:t>
      </w:r>
      <w:r w:rsidR="009D51EE">
        <w:t>expected to face</w:t>
      </w:r>
      <w:r w:rsidR="005F6D53">
        <w:t xml:space="preserve"> legal and policy pressures</w:t>
      </w:r>
      <w:r w:rsidR="00854537">
        <w:t xml:space="preserve">. First, they face </w:t>
      </w:r>
      <w:r w:rsidR="00854537" w:rsidRPr="00002102">
        <w:t xml:space="preserve">difficulties in </w:t>
      </w:r>
      <w:r w:rsidR="00854537">
        <w:t xml:space="preserve">formulating and enforcing the </w:t>
      </w:r>
      <w:r w:rsidR="00854537">
        <w:rPr>
          <w:i/>
        </w:rPr>
        <w:t>a p</w:t>
      </w:r>
      <w:r w:rsidR="00854537" w:rsidRPr="00852531">
        <w:rPr>
          <w:i/>
        </w:rPr>
        <w:t>riori</w:t>
      </w:r>
      <w:r w:rsidR="00854537">
        <w:t xml:space="preserve"> </w:t>
      </w:r>
      <w:r w:rsidR="00854537" w:rsidRPr="00002102">
        <w:t>conditions</w:t>
      </w:r>
      <w:r w:rsidR="00854537">
        <w:t xml:space="preserve"> for continued residence. Strict conditions </w:t>
      </w:r>
      <w:r w:rsidR="009D51EE">
        <w:t>‘</w:t>
      </w:r>
      <w:r w:rsidR="00854537">
        <w:t>at entry</w:t>
      </w:r>
      <w:r w:rsidR="009D51EE">
        <w:t>’</w:t>
      </w:r>
      <w:r w:rsidR="00854537">
        <w:t xml:space="preserve"> are often considered disproportionate under EU law and one can also question the effectiveness of this initial check, as the </w:t>
      </w:r>
      <w:r w:rsidR="005F6D53">
        <w:t>‘</w:t>
      </w:r>
      <w:r w:rsidR="00854537">
        <w:t>personal circumstances</w:t>
      </w:r>
      <w:r w:rsidR="005F6D53">
        <w:t>’</w:t>
      </w:r>
      <w:r w:rsidR="00854537">
        <w:t xml:space="preserve"> of Union citizens can change after entering another Member State and often do not reflect the initial situa</w:t>
      </w:r>
      <w:r w:rsidR="009D51EE">
        <w:t>tion any more when they apply</w:t>
      </w:r>
      <w:r w:rsidR="00854537">
        <w:t xml:space="preserve"> for social benefits. </w:t>
      </w:r>
      <w:r w:rsidR="009D51EE">
        <w:t xml:space="preserve">Secondly, Member States </w:t>
      </w:r>
      <w:r w:rsidR="008C6476">
        <w:t xml:space="preserve">who </w:t>
      </w:r>
      <w:r w:rsidR="009D51EE">
        <w:rPr>
          <w:lang w:val="en-US"/>
        </w:rPr>
        <w:t xml:space="preserve">strictly </w:t>
      </w:r>
      <w:r w:rsidR="008C6476">
        <w:rPr>
          <w:lang w:val="en-US"/>
        </w:rPr>
        <w:t xml:space="preserve">rely on </w:t>
      </w:r>
      <w:r w:rsidR="009D51EE">
        <w:rPr>
          <w:lang w:val="en-US"/>
        </w:rPr>
        <w:t>registration procedures and residence documents</w:t>
      </w:r>
      <w:r w:rsidR="00773E6F">
        <w:t xml:space="preserve"> </w:t>
      </w:r>
      <w:r w:rsidR="00773E6F">
        <w:lastRenderedPageBreak/>
        <w:t xml:space="preserve">when granting social rights to Union citizens </w:t>
      </w:r>
      <w:r w:rsidR="00854537">
        <w:t xml:space="preserve">consistently face (the threat of) legal challenges by </w:t>
      </w:r>
      <w:r w:rsidR="00773E6F">
        <w:t xml:space="preserve">those </w:t>
      </w:r>
      <w:r w:rsidR="00854537">
        <w:t xml:space="preserve">Union citizens who rely on their autonomous or independent status under EU law. </w:t>
      </w:r>
      <w:r w:rsidR="009D51EE">
        <w:t>The intensity of the resulting</w:t>
      </w:r>
      <w:r w:rsidR="00773E6F">
        <w:t xml:space="preserve"> (administrative)</w:t>
      </w:r>
      <w:r w:rsidR="009D51EE">
        <w:t xml:space="preserve"> adjustment pressure will depend </w:t>
      </w:r>
      <w:r w:rsidR="00854537">
        <w:t>on the general receptiveness of domestic courts towards EU law and the information and support structure for Union citizens claiming t</w:t>
      </w:r>
      <w:r w:rsidR="00773E6F">
        <w:t>heir social rights under EU law.</w:t>
      </w:r>
      <w:r w:rsidR="00854537">
        <w:rPr>
          <w:rStyle w:val="Voetnootmarkering"/>
        </w:rPr>
        <w:footnoteReference w:id="38"/>
      </w:r>
      <w:r w:rsidR="00854537">
        <w:t xml:space="preserve"> </w:t>
      </w:r>
    </w:p>
    <w:p w:rsidR="00490A63" w:rsidRDefault="00490A63" w:rsidP="00490A63">
      <w:pPr>
        <w:ind w:firstLine="708"/>
      </w:pPr>
      <w:r>
        <w:t xml:space="preserve">Administrative adjustment cannot be taken for granted </w:t>
      </w:r>
      <w:r>
        <w:rPr>
          <w:lang w:val="en-US"/>
        </w:rPr>
        <w:t>however. V</w:t>
      </w:r>
      <w:r w:rsidR="00854537">
        <w:rPr>
          <w:lang w:val="en-US"/>
        </w:rPr>
        <w:t xml:space="preserve">arious factors lead us to expect </w:t>
      </w:r>
      <w:r w:rsidR="0089274D" w:rsidRPr="0089274D">
        <w:rPr>
          <w:i/>
          <w:lang w:val="en-US"/>
        </w:rPr>
        <w:t>institutional inertia</w:t>
      </w:r>
      <w:r w:rsidR="0089274D">
        <w:rPr>
          <w:lang w:val="en-US"/>
        </w:rPr>
        <w:t xml:space="preserve">, or </w:t>
      </w:r>
      <w:r w:rsidR="00854537">
        <w:rPr>
          <w:lang w:val="en-US"/>
        </w:rPr>
        <w:t>a delayed proces</w:t>
      </w:r>
      <w:r w:rsidR="0089274D">
        <w:rPr>
          <w:lang w:val="en-US"/>
        </w:rPr>
        <w:t>s of administrative adjustment</w:t>
      </w:r>
      <w:r>
        <w:rPr>
          <w:lang w:val="en-US"/>
        </w:rPr>
        <w:t>. E</w:t>
      </w:r>
      <w:r w:rsidR="00854537">
        <w:rPr>
          <w:lang w:val="en-US"/>
        </w:rPr>
        <w:t>mpirical</w:t>
      </w:r>
      <w:r w:rsidR="00854537">
        <w:t xml:space="preserve"> studies have </w:t>
      </w:r>
      <w:r w:rsidR="003962CA">
        <w:t>al</w:t>
      </w:r>
      <w:r w:rsidR="00773E6F">
        <w:t>r</w:t>
      </w:r>
      <w:r w:rsidR="003962CA">
        <w:t xml:space="preserve">eady </w:t>
      </w:r>
      <w:r w:rsidR="00854537">
        <w:t>questioned the ‘myth of rights’ pertaining to conventional accounts about European law and the Court’s activism. With respect to the equal access of EU citizens to national social benefits, Lisa Conant has argued that member States are relatively free to engage in a strategy of ‘contained compliance’: while individual Union citizens might secure their rights in the courtroom, a substantial degree of national discrimination persists in the realm of policy and practice. This outcome can be explained by the combination of the organisational weakness of migrant Union citizens, the lack of a sustained and comprehensive programme of prosecution by the European Commission and the potential high costs of ‘opening up’ for national governments.</w:t>
      </w:r>
      <w:r w:rsidR="00854537">
        <w:rPr>
          <w:rStyle w:val="Voetnootmarkering"/>
        </w:rPr>
        <w:footnoteReference w:id="39"/>
      </w:r>
      <w:r>
        <w:t xml:space="preserve"> Secondly, the use of residence documentation </w:t>
      </w:r>
      <w:r w:rsidR="00854537">
        <w:t xml:space="preserve">makes </w:t>
      </w:r>
      <w:r>
        <w:t xml:space="preserve">perfect </w:t>
      </w:r>
      <w:r w:rsidR="00854537">
        <w:t>sense and is defendable from the perspective of We</w:t>
      </w:r>
      <w:r>
        <w:t>berian bureaucratic rationality in the sense that immigration and welfare authorities have di</w:t>
      </w:r>
      <w:r w:rsidR="00AB3B7D">
        <w:t xml:space="preserve">fferent areas of competence, </w:t>
      </w:r>
      <w:r>
        <w:t>expertise</w:t>
      </w:r>
      <w:r w:rsidR="00AB3B7D">
        <w:t xml:space="preserve"> and functions</w:t>
      </w:r>
      <w:r>
        <w:t xml:space="preserve">. Officials responsible for granting social assistance </w:t>
      </w:r>
      <w:r w:rsidR="00AB3B7D">
        <w:t>would probably feel more comfortable when relying on</w:t>
      </w:r>
      <w:r>
        <w:t xml:space="preserve">  administrative evidence proving the Union citizen’s lawful residence that is produced </w:t>
      </w:r>
      <w:r w:rsidR="00AB3B7D">
        <w:t>by officials of the immigration authority. Even when welfare authorities actively seek ways to contain the provision of welfare, they might be confronted with the passiveness of immigration authorities who have</w:t>
      </w:r>
      <w:r w:rsidR="003962CA">
        <w:t xml:space="preserve"> few</w:t>
      </w:r>
      <w:r w:rsidR="00AB3B7D">
        <w:t xml:space="preserve"> incentive</w:t>
      </w:r>
      <w:r w:rsidR="003962CA">
        <w:t>s</w:t>
      </w:r>
      <w:r w:rsidR="00AB3B7D">
        <w:t xml:space="preserve"> to expel Union citizens in an open border Europe.</w:t>
      </w:r>
      <w:r w:rsidR="00AB3B7D">
        <w:rPr>
          <w:rStyle w:val="Voetnootmarkering"/>
        </w:rPr>
        <w:footnoteReference w:id="40"/>
      </w:r>
      <w:r w:rsidR="00AB3B7D">
        <w:t xml:space="preserve"> </w:t>
      </w:r>
      <w:r>
        <w:t xml:space="preserve"> </w:t>
      </w:r>
    </w:p>
    <w:p w:rsidR="00854537" w:rsidRDefault="007D2368" w:rsidP="007A699B">
      <w:pPr>
        <w:ind w:firstLine="708"/>
        <w:rPr>
          <w:lang w:val="en-US"/>
        </w:rPr>
      </w:pPr>
      <w:r>
        <w:rPr>
          <w:lang w:val="en-US"/>
        </w:rPr>
        <w:t xml:space="preserve">Institutional inertia, </w:t>
      </w:r>
      <w:r w:rsidR="005F6D53">
        <w:rPr>
          <w:lang w:val="en-US"/>
        </w:rPr>
        <w:t>or ‘</w:t>
      </w:r>
      <w:r>
        <w:rPr>
          <w:lang w:val="en-US"/>
        </w:rPr>
        <w:t>non-change</w:t>
      </w:r>
      <w:r w:rsidR="005F6D53">
        <w:rPr>
          <w:lang w:val="en-US"/>
        </w:rPr>
        <w:t>’</w:t>
      </w:r>
      <w:r>
        <w:rPr>
          <w:lang w:val="en-US"/>
        </w:rPr>
        <w:t xml:space="preserve">, can lead to </w:t>
      </w:r>
      <w:r w:rsidRPr="005F6D53">
        <w:rPr>
          <w:i/>
          <w:lang w:val="en-US"/>
        </w:rPr>
        <w:t>policy drift</w:t>
      </w:r>
      <w:r>
        <w:rPr>
          <w:lang w:val="en-US"/>
        </w:rPr>
        <w:t xml:space="preserve">, especially with respect to the function and </w:t>
      </w:r>
      <w:r w:rsidR="00F56C92">
        <w:rPr>
          <w:lang w:val="en-US"/>
        </w:rPr>
        <w:t>purpose of residence documents.</w:t>
      </w:r>
      <w:r w:rsidR="00F56C92">
        <w:rPr>
          <w:rStyle w:val="Voetnootmarkering"/>
          <w:lang w:val="en-US"/>
        </w:rPr>
        <w:footnoteReference w:id="41"/>
      </w:r>
      <w:r w:rsidR="00F56C92">
        <w:rPr>
          <w:lang w:val="en-US"/>
        </w:rPr>
        <w:t xml:space="preserve"> </w:t>
      </w:r>
      <w:r w:rsidR="00773E6F">
        <w:rPr>
          <w:lang w:val="en-US"/>
        </w:rPr>
        <w:t xml:space="preserve">I use the concept of ‘drift’ in a relatively loose </w:t>
      </w:r>
      <w:r w:rsidR="00773E6F">
        <w:rPr>
          <w:lang w:val="en-US"/>
        </w:rPr>
        <w:lastRenderedPageBreak/>
        <w:t xml:space="preserve">sense here, meaning that the new (legal) environment of EU free movement - characterized by supranational legal norms that can be directly invoked by Union citizens in a </w:t>
      </w:r>
      <w:r w:rsidR="00B3559C">
        <w:rPr>
          <w:lang w:val="en-US"/>
        </w:rPr>
        <w:t>decentralized court system</w:t>
      </w:r>
      <w:r w:rsidR="00773E6F">
        <w:rPr>
          <w:lang w:val="en-US"/>
        </w:rPr>
        <w:t xml:space="preserve"> – undermines the </w:t>
      </w:r>
      <w:r w:rsidR="00F56C92">
        <w:rPr>
          <w:lang w:val="en-US"/>
        </w:rPr>
        <w:t>effectiveness of tr</w:t>
      </w:r>
      <w:r w:rsidR="00773E6F">
        <w:rPr>
          <w:lang w:val="en-US"/>
        </w:rPr>
        <w:t>aditional mig</w:t>
      </w:r>
      <w:r w:rsidR="00B3559C">
        <w:rPr>
          <w:lang w:val="en-US"/>
        </w:rPr>
        <w:t>ration control while</w:t>
      </w:r>
      <w:r w:rsidR="00773E6F">
        <w:rPr>
          <w:lang w:val="en-US"/>
        </w:rPr>
        <w:t xml:space="preserve"> policy and </w:t>
      </w:r>
      <w:r w:rsidR="00F56C92">
        <w:rPr>
          <w:lang w:val="en-US"/>
        </w:rPr>
        <w:t>institutions are not ‘updated’ to reflect</w:t>
      </w:r>
      <w:r w:rsidR="00773E6F">
        <w:rPr>
          <w:lang w:val="en-US"/>
        </w:rPr>
        <w:t xml:space="preserve"> the</w:t>
      </w:r>
      <w:r w:rsidR="00B3559C">
        <w:rPr>
          <w:lang w:val="en-US"/>
        </w:rPr>
        <w:t>se</w:t>
      </w:r>
      <w:r w:rsidR="00773E6F">
        <w:rPr>
          <w:lang w:val="en-US"/>
        </w:rPr>
        <w:t xml:space="preserve"> new circumstances</w:t>
      </w:r>
      <w:r w:rsidR="00F56C92">
        <w:rPr>
          <w:lang w:val="en-US"/>
        </w:rPr>
        <w:t xml:space="preserve">. Even when </w:t>
      </w:r>
      <w:r w:rsidR="007A699B">
        <w:rPr>
          <w:lang w:val="en-US"/>
        </w:rPr>
        <w:t>national courts consistently invalidate administrative decisions of social authorities that attach authoritative value to residence document</w:t>
      </w:r>
      <w:r w:rsidR="00773E6F">
        <w:rPr>
          <w:lang w:val="en-US"/>
        </w:rPr>
        <w:t xml:space="preserve">s and lead to altered outcomes on the ground, national decision-makers might choose </w:t>
      </w:r>
      <w:r w:rsidR="00773E6F" w:rsidRPr="00773E6F">
        <w:rPr>
          <w:i/>
          <w:lang w:val="en-US"/>
        </w:rPr>
        <w:t>not</w:t>
      </w:r>
      <w:r w:rsidR="00773E6F">
        <w:rPr>
          <w:lang w:val="en-US"/>
        </w:rPr>
        <w:t xml:space="preserve"> to act (</w:t>
      </w:r>
      <w:r w:rsidR="00EA39A6">
        <w:rPr>
          <w:lang w:val="en-US"/>
        </w:rPr>
        <w:t>sometimes deliberately)</w:t>
      </w:r>
      <w:r w:rsidR="007A699B">
        <w:rPr>
          <w:lang w:val="en-US"/>
        </w:rPr>
        <w:t xml:space="preserve">. </w:t>
      </w:r>
      <w:r w:rsidR="00B3559C">
        <w:rPr>
          <w:lang w:val="en-US"/>
        </w:rPr>
        <w:t>In the context of political climate - security discourse in particular – decision-make</w:t>
      </w:r>
      <w:r w:rsidR="00766B46">
        <w:rPr>
          <w:lang w:val="en-US"/>
        </w:rPr>
        <w:t>r</w:t>
      </w:r>
      <w:r w:rsidR="00B3559C">
        <w:rPr>
          <w:lang w:val="en-US"/>
        </w:rPr>
        <w:t xml:space="preserve">s </w:t>
      </w:r>
      <w:r w:rsidR="007A699B">
        <w:rPr>
          <w:lang w:val="en-US"/>
        </w:rPr>
        <w:t xml:space="preserve">might </w:t>
      </w:r>
      <w:r w:rsidR="00B3559C">
        <w:rPr>
          <w:lang w:val="en-US"/>
        </w:rPr>
        <w:t>cling on the registration procedures and residence documentation in order</w:t>
      </w:r>
      <w:r w:rsidR="00854537">
        <w:rPr>
          <w:lang w:val="en-US"/>
        </w:rPr>
        <w:t xml:space="preserve"> maintain</w:t>
      </w:r>
      <w:r w:rsidR="00854537" w:rsidRPr="00B3167B">
        <w:rPr>
          <w:lang w:val="en-US"/>
        </w:rPr>
        <w:t xml:space="preserve"> a form of ‘control’ </w:t>
      </w:r>
      <w:r w:rsidR="00854537">
        <w:rPr>
          <w:lang w:val="en-US"/>
        </w:rPr>
        <w:t xml:space="preserve">over who enters the country </w:t>
      </w:r>
      <w:r w:rsidR="00B3559C">
        <w:rPr>
          <w:lang w:val="en-US"/>
        </w:rPr>
        <w:t>while neglecting</w:t>
      </w:r>
      <w:r w:rsidR="00766B46">
        <w:rPr>
          <w:lang w:val="en-US"/>
        </w:rPr>
        <w:t xml:space="preserve"> the implications this can have </w:t>
      </w:r>
      <w:r w:rsidR="007A699B">
        <w:rPr>
          <w:lang w:val="en-US"/>
        </w:rPr>
        <w:t xml:space="preserve">on the ground. </w:t>
      </w:r>
    </w:p>
    <w:p w:rsidR="00285D12" w:rsidRDefault="00285D12" w:rsidP="00285D12">
      <w:pPr>
        <w:rPr>
          <w:lang w:val="en-US"/>
        </w:rPr>
      </w:pPr>
    </w:p>
    <w:p w:rsidR="00285D12" w:rsidRDefault="000A537A" w:rsidP="005F6D53">
      <w:pPr>
        <w:pStyle w:val="Kop2"/>
        <w:rPr>
          <w:lang w:val="en-US"/>
        </w:rPr>
      </w:pPr>
      <w:r>
        <w:rPr>
          <w:lang w:val="en-US"/>
        </w:rPr>
        <w:t xml:space="preserve">B. </w:t>
      </w:r>
      <w:r w:rsidR="00285D12">
        <w:rPr>
          <w:lang w:val="en-US"/>
        </w:rPr>
        <w:t xml:space="preserve">Redesigning the </w:t>
      </w:r>
      <w:r w:rsidR="00766B46">
        <w:rPr>
          <w:lang w:val="en-US"/>
        </w:rPr>
        <w:t>Function of Welfare or</w:t>
      </w:r>
      <w:r>
        <w:rPr>
          <w:lang w:val="en-US"/>
        </w:rPr>
        <w:t xml:space="preserve"> Migration Authorities</w:t>
      </w:r>
      <w:r w:rsidR="00766B46">
        <w:rPr>
          <w:lang w:val="en-US"/>
        </w:rPr>
        <w:t>?</w:t>
      </w:r>
    </w:p>
    <w:p w:rsidR="0089274D" w:rsidRDefault="0089274D" w:rsidP="0089274D"/>
    <w:p w:rsidR="00766B46" w:rsidRDefault="00766B46" w:rsidP="003D62FE">
      <w:r>
        <w:t>In order to decrease the administrative burden for migration authorities and limit the (unintended) consequences of issuing a worthless residence document, Member States might therefore decide to abolish the requirement for Union citizens to register with the migration authority and stop checking their compliance with the residence conditions ‘at entry’. Rather than seeking to ‘contain’ compliance with EU (case) law, such a strategic decision can be considered as a creative way of exploring EU (case) law in order to limit the broader implications for their national welfare state arrangements.</w:t>
      </w:r>
      <w:r>
        <w:rPr>
          <w:rStyle w:val="Voetnootmarkering"/>
        </w:rPr>
        <w:footnoteReference w:id="42"/>
      </w:r>
      <w:r>
        <w:t xml:space="preserve"> Member States may want to resolve the very </w:t>
      </w:r>
      <w:r w:rsidRPr="001A168D">
        <w:rPr>
          <w:i/>
        </w:rPr>
        <w:t>ambiguity</w:t>
      </w:r>
      <w:r>
        <w:t xml:space="preserve"> of EU law by redesigning their administrations in such a way that they are both ‘ECJ-proof’ and contain welfare provision to Union citizens.</w:t>
      </w:r>
      <w:r>
        <w:rPr>
          <w:rStyle w:val="Voetnootmarkering"/>
        </w:rPr>
        <w:footnoteReference w:id="43"/>
      </w:r>
    </w:p>
    <w:p w:rsidR="002555B1" w:rsidRPr="00854537" w:rsidRDefault="00766B46" w:rsidP="003E0CF1">
      <w:pPr>
        <w:ind w:firstLine="708"/>
        <w:rPr>
          <w:lang w:val="en-US"/>
        </w:rPr>
        <w:sectPr w:rsidR="002555B1" w:rsidRPr="00854537" w:rsidSect="00A8407C">
          <w:pgSz w:w="12240" w:h="15840"/>
          <w:pgMar w:top="1440" w:right="1440" w:bottom="1440" w:left="1440" w:header="708" w:footer="708" w:gutter="0"/>
          <w:cols w:space="708"/>
          <w:docGrid w:linePitch="360"/>
        </w:sectPr>
      </w:pPr>
      <w:r>
        <w:t xml:space="preserve">This </w:t>
      </w:r>
      <w:r w:rsidR="00D47378">
        <w:t>decision to abolish</w:t>
      </w:r>
      <w:r w:rsidR="00603336">
        <w:t xml:space="preserve"> registration requirements</w:t>
      </w:r>
      <w:r w:rsidR="00D47378">
        <w:t xml:space="preserve"> ‘at entry’ </w:t>
      </w:r>
      <w:r>
        <w:t xml:space="preserve">is likely </w:t>
      </w:r>
      <w:r w:rsidR="007D2368">
        <w:t>to le</w:t>
      </w:r>
      <w:r w:rsidR="00D47378">
        <w:t xml:space="preserve">ad to </w:t>
      </w:r>
      <w:r w:rsidR="00D47378" w:rsidRPr="00582AE5">
        <w:rPr>
          <w:i/>
        </w:rPr>
        <w:t xml:space="preserve">institutional </w:t>
      </w:r>
      <w:r w:rsidR="00D47378" w:rsidRPr="00D47378">
        <w:rPr>
          <w:i/>
        </w:rPr>
        <w:t>conversion</w:t>
      </w:r>
      <w:r>
        <w:t>: a</w:t>
      </w:r>
      <w:r w:rsidR="00603336">
        <w:t xml:space="preserve">lready existing institutions are transformed </w:t>
      </w:r>
      <w:r>
        <w:t xml:space="preserve">by </w:t>
      </w:r>
      <w:r w:rsidR="003D62FE">
        <w:t>actively shifting the purposes to which existing institutions or policies are put.</w:t>
      </w:r>
      <w:r w:rsidR="003D62FE">
        <w:rPr>
          <w:rStyle w:val="Voetnootmarkering"/>
        </w:rPr>
        <w:footnoteReference w:id="44"/>
      </w:r>
      <w:r w:rsidR="003D62FE">
        <w:t xml:space="preserve"> </w:t>
      </w:r>
      <w:r w:rsidR="00BC65F9">
        <w:t xml:space="preserve">Social policy – welfare provision in particular – can be </w:t>
      </w:r>
      <w:r w:rsidR="00BC65F9">
        <w:lastRenderedPageBreak/>
        <w:t>discovered as an instrument of migration policy</w:t>
      </w:r>
      <w:r w:rsidR="00F81AEE">
        <w:rPr>
          <w:rStyle w:val="Voetnootmarkering"/>
        </w:rPr>
        <w:footnoteReference w:id="45"/>
      </w:r>
      <w:r w:rsidR="00BC65F9">
        <w:t xml:space="preserve"> or, vice versa, migration policy is used as an instrument to contain welfare state spending. In certain Member States, welfare authorities will not be </w:t>
      </w:r>
      <w:r w:rsidR="0027435E">
        <w:t xml:space="preserve">legally </w:t>
      </w:r>
      <w:r w:rsidR="00BC65F9">
        <w:t xml:space="preserve">competent to decide on the legality of residence </w:t>
      </w:r>
      <w:r w:rsidR="0027435E">
        <w:t xml:space="preserve">of Union citizens </w:t>
      </w:r>
      <w:r w:rsidR="00BC65F9">
        <w:t>(see section 2.B.).</w:t>
      </w:r>
      <w:r w:rsidR="00BC65F9">
        <w:rPr>
          <w:rStyle w:val="Voetnootmarkering"/>
        </w:rPr>
        <w:footnoteReference w:id="46"/>
      </w:r>
      <w:r w:rsidR="0027435E">
        <w:t xml:space="preserve"> </w:t>
      </w:r>
      <w:r w:rsidR="00BC65F9">
        <w:t xml:space="preserve"> </w:t>
      </w:r>
      <w:r w:rsidR="0027435E">
        <w:t xml:space="preserve">They will </w:t>
      </w:r>
      <w:r w:rsidR="00BC65F9">
        <w:t>have to cooperate with migration authorities to enforce the application of residence co</w:t>
      </w:r>
      <w:r w:rsidR="0027435E">
        <w:t>ndit</w:t>
      </w:r>
      <w:r w:rsidR="003E0CF1">
        <w:t>ions with the result that</w:t>
      </w:r>
      <w:r w:rsidR="0027435E">
        <w:t xml:space="preserve"> m</w:t>
      </w:r>
      <w:r w:rsidR="00BC65F9">
        <w:t>igration authorities become partners of welfare authorities to contain the provision of welfare</w:t>
      </w:r>
      <w:r w:rsidR="0027435E">
        <w:t xml:space="preserve">. </w:t>
      </w:r>
      <w:r w:rsidR="003E0CF1">
        <w:t>Ot</w:t>
      </w:r>
      <w:r w:rsidR="0027435E">
        <w:t xml:space="preserve">her Member States </w:t>
      </w:r>
      <w:r w:rsidR="003E0CF1">
        <w:t xml:space="preserve">might take the step to make welfare </w:t>
      </w:r>
      <w:r w:rsidR="00854537">
        <w:rPr>
          <w:lang w:val="en-US"/>
        </w:rPr>
        <w:t xml:space="preserve">authorities </w:t>
      </w:r>
      <w:r w:rsidR="0027435E">
        <w:rPr>
          <w:lang w:val="en-US"/>
        </w:rPr>
        <w:t>competent to verify</w:t>
      </w:r>
      <w:r w:rsidR="00854537">
        <w:rPr>
          <w:lang w:val="en-US"/>
        </w:rPr>
        <w:t xml:space="preserve"> the legality of residence of Union citizens who apply for social benefits. </w:t>
      </w:r>
      <w:r w:rsidR="003E0CF1">
        <w:rPr>
          <w:lang w:val="en-US"/>
        </w:rPr>
        <w:t xml:space="preserve">Arguably, welfare authorities have the greatest institutional interest </w:t>
      </w:r>
      <w:r w:rsidR="00854537" w:rsidRPr="00B3167B">
        <w:rPr>
          <w:lang w:val="en-US"/>
        </w:rPr>
        <w:t>in economizing welfare expenditure</w:t>
      </w:r>
      <w:r w:rsidR="00E33200">
        <w:rPr>
          <w:lang w:val="en-US"/>
        </w:rPr>
        <w:t xml:space="preserve"> and might want to </w:t>
      </w:r>
      <w:r w:rsidR="00854537">
        <w:rPr>
          <w:lang w:val="en-US"/>
        </w:rPr>
        <w:t xml:space="preserve">control ‘at the gate’. </w:t>
      </w:r>
      <w:r w:rsidR="003E0CF1">
        <w:rPr>
          <w:lang w:val="en-US"/>
        </w:rPr>
        <w:t>The result is, however, that welfare authorities become</w:t>
      </w:r>
      <w:r w:rsidR="00F81AEE">
        <w:rPr>
          <w:lang w:val="en-US"/>
        </w:rPr>
        <w:t xml:space="preserve"> enforcement</w:t>
      </w:r>
      <w:r w:rsidR="003E0CF1">
        <w:rPr>
          <w:lang w:val="en-US"/>
        </w:rPr>
        <w:t xml:space="preserve"> agents </w:t>
      </w:r>
      <w:r w:rsidR="00E33200">
        <w:rPr>
          <w:lang w:val="en-US"/>
        </w:rPr>
        <w:t xml:space="preserve">of migration policy. Important domestic factors determining the administrative adjustment process are therefore </w:t>
      </w:r>
      <w:r w:rsidR="00E33200">
        <w:t>the division of competences between authorities, hence relationship between domestic social and migration law, and the features of the administrative system such as its effectiveness and the level of centralisation. Incentives to delegate the verification of residence conditions to social authorities can be expected to be stron</w:t>
      </w:r>
      <w:r w:rsidR="00421874">
        <w:t xml:space="preserve">ger in Member States with decentralised administrations, </w:t>
      </w:r>
      <w:r w:rsidR="00E33200">
        <w:t xml:space="preserve">where </w:t>
      </w:r>
      <w:r w:rsidR="00E33200">
        <w:rPr>
          <w:lang w:val="en-US"/>
        </w:rPr>
        <w:t xml:space="preserve">communication between </w:t>
      </w:r>
      <w:r w:rsidR="00E33200" w:rsidRPr="00B3167B">
        <w:rPr>
          <w:lang w:val="en-US"/>
        </w:rPr>
        <w:t>different authorities</w:t>
      </w:r>
      <w:r w:rsidR="00421874">
        <w:rPr>
          <w:lang w:val="en-US"/>
        </w:rPr>
        <w:t xml:space="preserve"> and </w:t>
      </w:r>
      <w:r w:rsidR="00B24D66">
        <w:rPr>
          <w:lang w:val="en-US"/>
        </w:rPr>
        <w:t>levels of administration</w:t>
      </w:r>
      <w:r w:rsidR="00421874">
        <w:rPr>
          <w:lang w:val="en-US"/>
        </w:rPr>
        <w:t xml:space="preserve"> levels is </w:t>
      </w:r>
      <w:r w:rsidR="00B24D66">
        <w:rPr>
          <w:lang w:val="en-US"/>
        </w:rPr>
        <w:t xml:space="preserve">more complex. </w:t>
      </w:r>
      <w:r w:rsidR="00421874">
        <w:rPr>
          <w:lang w:val="en-US"/>
        </w:rPr>
        <w:t xml:space="preserve">  </w:t>
      </w:r>
    </w:p>
    <w:p w:rsidR="00B20B20" w:rsidRPr="00002102" w:rsidRDefault="00FA4C93" w:rsidP="00B20B20">
      <w:pPr>
        <w:pStyle w:val="Kop1"/>
      </w:pPr>
      <w:r>
        <w:lastRenderedPageBreak/>
        <w:t>4</w:t>
      </w:r>
      <w:r w:rsidR="00B20B20" w:rsidRPr="00002102">
        <w:t xml:space="preserve">. </w:t>
      </w:r>
      <w:r w:rsidR="00B02216">
        <w:t xml:space="preserve">Models of </w:t>
      </w:r>
      <w:r w:rsidR="00B20B20">
        <w:t>Administering</w:t>
      </w:r>
      <w:r w:rsidR="00B20B20" w:rsidRPr="00002102">
        <w:t xml:space="preserve"> </w:t>
      </w:r>
      <w:r w:rsidR="00B20B20">
        <w:t>Needy Union</w:t>
      </w:r>
      <w:r w:rsidR="00B20B20" w:rsidRPr="00002102">
        <w:t xml:space="preserve"> Citizens in a Welfare State</w:t>
      </w:r>
    </w:p>
    <w:p w:rsidR="00B20B20" w:rsidRDefault="00B20B20" w:rsidP="00B20B20"/>
    <w:p w:rsidR="00854537" w:rsidRDefault="00CA5728" w:rsidP="00642FB5">
      <w:r>
        <w:t xml:space="preserve">On the basis of the discussion of EU law, the </w:t>
      </w:r>
      <w:r w:rsidR="00642FB5">
        <w:t xml:space="preserve">expectations formulated in the previous section and the inductive case-study of the next section, </w:t>
      </w:r>
      <w:r w:rsidR="00B20B20">
        <w:t>we could</w:t>
      </w:r>
      <w:r w:rsidR="00B20B20" w:rsidRPr="00002102">
        <w:t xml:space="preserve"> distil </w:t>
      </w:r>
      <w:r w:rsidR="00642FB5">
        <w:t>three</w:t>
      </w:r>
      <w:r w:rsidR="00236B8F">
        <w:t xml:space="preserve"> </w:t>
      </w:r>
      <w:r w:rsidR="00B20B20" w:rsidRPr="00002102">
        <w:t>types of national administratio</w:t>
      </w:r>
      <w:r w:rsidR="00B20B20">
        <w:t>ns dealing with the legality of residence and access to social assistance of</w:t>
      </w:r>
      <w:r w:rsidR="00B20B20" w:rsidRPr="00002102">
        <w:t xml:space="preserve"> </w:t>
      </w:r>
      <w:r w:rsidR="00B20B20">
        <w:t>Union citizens</w:t>
      </w:r>
      <w:r w:rsidR="004E1B1E">
        <w:t>: the form, signal and delegated model.</w:t>
      </w:r>
      <w:r w:rsidR="00B20B20">
        <w:t xml:space="preserve"> </w:t>
      </w:r>
      <w:r w:rsidR="009B3C0F">
        <w:t>These ideal-typical models can be considered as the generalised extreme points of possible ‘real</w:t>
      </w:r>
      <w:r w:rsidR="004134DD">
        <w:t xml:space="preserve"> world’ administrative systems</w:t>
      </w:r>
      <w:r w:rsidR="00B20B20" w:rsidRPr="00002102">
        <w:t xml:space="preserve">. </w:t>
      </w:r>
      <w:r w:rsidR="009B3C0F">
        <w:t>Th</w:t>
      </w:r>
      <w:r w:rsidR="00B20B20" w:rsidRPr="00002102">
        <w:t xml:space="preserve">e use of typologies </w:t>
      </w:r>
      <w:r w:rsidR="009B3C0F">
        <w:t xml:space="preserve">allows for analytical parsimony, comparison between Member State administration </w:t>
      </w:r>
      <w:r w:rsidR="00B20B20" w:rsidRPr="00002102">
        <w:t>and describing and, to a lesser extent, explaining change.</w:t>
      </w:r>
      <w:r w:rsidR="00B20B20">
        <w:rPr>
          <w:rStyle w:val="Voetnootmarkering"/>
        </w:rPr>
        <w:footnoteReference w:id="47"/>
      </w:r>
      <w:r w:rsidR="004E1B1E">
        <w:t xml:space="preserve"> Importantly, this section also discusses the </w:t>
      </w:r>
      <w:r w:rsidR="006E1BBE">
        <w:rPr>
          <w:lang w:val="en-US"/>
        </w:rPr>
        <w:t xml:space="preserve">implications of </w:t>
      </w:r>
      <w:r w:rsidR="004E1B1E">
        <w:rPr>
          <w:lang w:val="en-US"/>
        </w:rPr>
        <w:t>these administrative models f</w:t>
      </w:r>
      <w:r w:rsidR="006E1BBE">
        <w:rPr>
          <w:lang w:val="en-US"/>
        </w:rPr>
        <w:t>or Union citizens’ presence and access to the welfare system</w:t>
      </w:r>
      <w:r w:rsidR="004E1B1E">
        <w:rPr>
          <w:lang w:val="en-US"/>
        </w:rPr>
        <w:t xml:space="preserve"> in their host Member State and in particular </w:t>
      </w:r>
      <w:r w:rsidR="006E1BBE">
        <w:rPr>
          <w:lang w:val="en-US"/>
        </w:rPr>
        <w:t xml:space="preserve">how </w:t>
      </w:r>
      <w:r w:rsidR="00854537">
        <w:rPr>
          <w:lang w:val="en-US"/>
        </w:rPr>
        <w:t>the bureaucratic</w:t>
      </w:r>
      <w:r w:rsidR="006E1BBE">
        <w:rPr>
          <w:lang w:val="en-US"/>
        </w:rPr>
        <w:t xml:space="preserve"> processes and</w:t>
      </w:r>
      <w:r w:rsidR="00854537">
        <w:rPr>
          <w:lang w:val="en-US"/>
        </w:rPr>
        <w:t xml:space="preserve"> </w:t>
      </w:r>
      <w:r w:rsidR="00854537" w:rsidRPr="007E37B9">
        <w:rPr>
          <w:i/>
          <w:lang w:val="en-US"/>
        </w:rPr>
        <w:t>experience</w:t>
      </w:r>
      <w:r w:rsidR="006E1BBE">
        <w:rPr>
          <w:i/>
          <w:lang w:val="en-US"/>
        </w:rPr>
        <w:t>s</w:t>
      </w:r>
      <w:r w:rsidR="006E1BBE">
        <w:rPr>
          <w:lang w:val="en-US"/>
        </w:rPr>
        <w:t xml:space="preserve"> linked to the</w:t>
      </w:r>
      <w:r w:rsidR="004E1B1E">
        <w:rPr>
          <w:lang w:val="en-US"/>
        </w:rPr>
        <w:t xml:space="preserve">se models </w:t>
      </w:r>
      <w:r w:rsidR="006E1BBE">
        <w:rPr>
          <w:lang w:val="en-US"/>
        </w:rPr>
        <w:t xml:space="preserve">pose different </w:t>
      </w:r>
      <w:r w:rsidR="00854537">
        <w:rPr>
          <w:lang w:val="en-US"/>
        </w:rPr>
        <w:t>obstacle</w:t>
      </w:r>
      <w:r w:rsidR="006E1BBE">
        <w:rPr>
          <w:lang w:val="en-US"/>
        </w:rPr>
        <w:t>s</w:t>
      </w:r>
      <w:r w:rsidR="00854537">
        <w:rPr>
          <w:lang w:val="en-US"/>
        </w:rPr>
        <w:t xml:space="preserve"> for the effective ex</w:t>
      </w:r>
      <w:r w:rsidR="006E1BBE">
        <w:rPr>
          <w:lang w:val="en-US"/>
        </w:rPr>
        <w:t xml:space="preserve">ercise of free movement rights. </w:t>
      </w:r>
    </w:p>
    <w:p w:rsidR="00854537" w:rsidRDefault="002114A4" w:rsidP="00854537">
      <w:pPr>
        <w:spacing w:after="200" w:line="276" w:lineRule="auto"/>
        <w:jc w:val="left"/>
      </w:pPr>
      <w:r>
        <w:rPr>
          <w:i/>
          <w:noProof/>
          <w:lang w:val="nl-NL" w:eastAsia="nl-NL"/>
        </w:rPr>
        <mc:AlternateContent>
          <mc:Choice Requires="wps">
            <w:drawing>
              <wp:anchor distT="0" distB="0" distL="114300" distR="114300" simplePos="0" relativeHeight="251674112" behindDoc="0" locked="0" layoutInCell="1" allowOverlap="1" wp14:anchorId="3EBBCCC2" wp14:editId="45AB1487">
                <wp:simplePos x="0" y="0"/>
                <wp:positionH relativeFrom="margin">
                  <wp:align>left</wp:align>
                </wp:positionH>
                <wp:positionV relativeFrom="paragraph">
                  <wp:posOffset>3225165</wp:posOffset>
                </wp:positionV>
                <wp:extent cx="5962650" cy="273050"/>
                <wp:effectExtent l="0" t="0" r="0" b="0"/>
                <wp:wrapTopAndBottom/>
                <wp:docPr id="9" name="Text Box 9"/>
                <wp:cNvGraphicFramePr/>
                <a:graphic xmlns:a="http://schemas.openxmlformats.org/drawingml/2006/main">
                  <a:graphicData uri="http://schemas.microsoft.com/office/word/2010/wordprocessingShape">
                    <wps:wsp>
                      <wps:cNvSpPr txBox="1"/>
                      <wps:spPr>
                        <a:xfrm>
                          <a:off x="0" y="0"/>
                          <a:ext cx="5962650" cy="273050"/>
                        </a:xfrm>
                        <a:prstGeom prst="rect">
                          <a:avLst/>
                        </a:prstGeom>
                        <a:solidFill>
                          <a:prstClr val="white"/>
                        </a:solidFill>
                        <a:ln>
                          <a:noFill/>
                        </a:ln>
                        <a:effectLst/>
                      </wps:spPr>
                      <wps:txbx>
                        <w:txbxContent>
                          <w:p w:rsidR="00491B8A" w:rsidRPr="00082C80" w:rsidRDefault="00491B8A" w:rsidP="002114A4">
                            <w:pPr>
                              <w:pStyle w:val="Bijschrift"/>
                              <w:rPr>
                                <w:noProof/>
                                <w:color w:val="auto"/>
                                <w:sz w:val="20"/>
                                <w:szCs w:val="20"/>
                              </w:rPr>
                            </w:pPr>
                            <w:r w:rsidRPr="00082C80">
                              <w:rPr>
                                <w:color w:val="auto"/>
                                <w:sz w:val="20"/>
                                <w:szCs w:val="20"/>
                              </w:rPr>
                              <w:t xml:space="preserve">Figure </w:t>
                            </w:r>
                            <w:r w:rsidRPr="00082C80">
                              <w:rPr>
                                <w:color w:val="auto"/>
                                <w:sz w:val="20"/>
                                <w:szCs w:val="20"/>
                              </w:rPr>
                              <w:fldChar w:fldCharType="begin"/>
                            </w:r>
                            <w:r w:rsidRPr="00082C80">
                              <w:rPr>
                                <w:color w:val="auto"/>
                                <w:sz w:val="20"/>
                                <w:szCs w:val="20"/>
                              </w:rPr>
                              <w:instrText xml:space="preserve"> SEQ Figure \* ARABIC </w:instrText>
                            </w:r>
                            <w:r w:rsidRPr="00082C80">
                              <w:rPr>
                                <w:color w:val="auto"/>
                                <w:sz w:val="20"/>
                                <w:szCs w:val="20"/>
                              </w:rPr>
                              <w:fldChar w:fldCharType="separate"/>
                            </w:r>
                            <w:r>
                              <w:rPr>
                                <w:noProof/>
                                <w:color w:val="auto"/>
                                <w:sz w:val="20"/>
                                <w:szCs w:val="20"/>
                              </w:rPr>
                              <w:t>1</w:t>
                            </w:r>
                            <w:r w:rsidRPr="00082C80">
                              <w:rPr>
                                <w:color w:val="auto"/>
                                <w:sz w:val="20"/>
                                <w:szCs w:val="20"/>
                              </w:rPr>
                              <w:fldChar w:fldCharType="end"/>
                            </w:r>
                            <w:r w:rsidRPr="00082C80">
                              <w:rPr>
                                <w:color w:val="auto"/>
                                <w:sz w:val="20"/>
                                <w:szCs w:val="20"/>
                              </w:rPr>
                              <w:t xml:space="preserve">: </w:t>
                            </w:r>
                            <w:r>
                              <w:rPr>
                                <w:color w:val="auto"/>
                                <w:sz w:val="20"/>
                                <w:szCs w:val="20"/>
                              </w:rPr>
                              <w:t xml:space="preserve">Three ideal-typical models </w:t>
                            </w:r>
                            <w:r w:rsidRPr="00082C80">
                              <w:rPr>
                                <w:color w:val="auto"/>
                                <w:sz w:val="20"/>
                                <w:szCs w:val="20"/>
                              </w:rPr>
                              <w:t>of administering U</w:t>
                            </w:r>
                            <w:r>
                              <w:rPr>
                                <w:color w:val="auto"/>
                                <w:sz w:val="20"/>
                                <w:szCs w:val="20"/>
                              </w:rPr>
                              <w:t>nion citizens in a welfare state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3EBBCCC2" id="_x0000_t202" coordsize="21600,21600" o:spt="202" path="m,l,21600r21600,l21600,xe">
                <v:stroke joinstyle="miter"/>
                <v:path gradientshapeok="t" o:connecttype="rect"/>
              </v:shapetype>
              <v:shape id="Text Box 9" o:spid="_x0000_s1026" type="#_x0000_t202" style="position:absolute;margin-left:0;margin-top:253.95pt;width:469.5pt;height:21.5pt;z-index:25167411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" stroked="f">
                <v:textbox inset="0,0,0,0">
                  <w:txbxContent>
                    <w:p w:rsidR="00491B8A" w:rsidRPr="00082C80" w:rsidRDefault="00491B8A" w:rsidP="002114A4">
                      <w:pPr>
                        <w:pStyle w:val="Bijschrift"/>
                        <w:rPr>
                          <w:noProof/>
                          <w:color w:val="auto"/>
                          <w:sz w:val="20"/>
                          <w:szCs w:val="20"/>
                        </w:rPr>
                      </w:pPr>
                      <w:r w:rsidRPr="00082C80">
                        <w:rPr>
                          <w:color w:val="auto"/>
                          <w:sz w:val="20"/>
                          <w:szCs w:val="20"/>
                        </w:rPr>
                        <w:t xml:space="preserve">Figure </w:t>
                      </w:r>
                      <w:r w:rsidRPr="00082C80">
                        <w:rPr>
                          <w:color w:val="auto"/>
                          <w:sz w:val="20"/>
                          <w:szCs w:val="20"/>
                        </w:rPr>
                        <w:fldChar w:fldCharType="begin"/>
                      </w:r>
                      <w:r w:rsidRPr="00082C80">
                        <w:rPr>
                          <w:color w:val="auto"/>
                          <w:sz w:val="20"/>
                          <w:szCs w:val="20"/>
                        </w:rPr>
                        <w:instrText xml:space="preserve"> SEQ Figure \* ARABIC </w:instrText>
                      </w:r>
                      <w:r w:rsidRPr="00082C80">
                        <w:rPr>
                          <w:color w:val="auto"/>
                          <w:sz w:val="20"/>
                          <w:szCs w:val="20"/>
                        </w:rPr>
                        <w:fldChar w:fldCharType="separate"/>
                      </w:r>
                      <w:r>
                        <w:rPr>
                          <w:noProof/>
                          <w:color w:val="auto"/>
                          <w:sz w:val="20"/>
                          <w:szCs w:val="20"/>
                        </w:rPr>
                        <w:t>1</w:t>
                      </w:r>
                      <w:r w:rsidRPr="00082C80">
                        <w:rPr>
                          <w:color w:val="auto"/>
                          <w:sz w:val="20"/>
                          <w:szCs w:val="20"/>
                        </w:rPr>
                        <w:fldChar w:fldCharType="end"/>
                      </w:r>
                      <w:r w:rsidRPr="00082C80">
                        <w:rPr>
                          <w:color w:val="auto"/>
                          <w:sz w:val="20"/>
                          <w:szCs w:val="20"/>
                        </w:rPr>
                        <w:t xml:space="preserve">: </w:t>
                      </w:r>
                      <w:r>
                        <w:rPr>
                          <w:color w:val="auto"/>
                          <w:sz w:val="20"/>
                          <w:szCs w:val="20"/>
                        </w:rPr>
                        <w:t xml:space="preserve">Three ideal-typical models </w:t>
                      </w:r>
                      <w:r w:rsidRPr="00082C80">
                        <w:rPr>
                          <w:color w:val="auto"/>
                          <w:sz w:val="20"/>
                          <w:szCs w:val="20"/>
                        </w:rPr>
                        <w:t>of administering U</w:t>
                      </w:r>
                      <w:r>
                        <w:rPr>
                          <w:color w:val="auto"/>
                          <w:sz w:val="20"/>
                          <w:szCs w:val="20"/>
                        </w:rPr>
                        <w:t>nion citizens in a welfare state</w:t>
                      </w:r>
                    </w:p>
                  </w:txbxContent>
                </v:textbox>
                <w10:wrap type="topAndBottom" anchorx="margin"/>
              </v:shape>
            </w:pict>
          </mc:Fallback>
        </mc:AlternateContent>
      </w:r>
      <w:r>
        <w:rPr>
          <w:i/>
          <w:noProof/>
          <w:lang w:val="nl-NL" w:eastAsia="nl-NL"/>
        </w:rPr>
        <mc:AlternateContent>
          <mc:Choice Requires="wpg">
            <w:drawing>
              <wp:anchor distT="0" distB="0" distL="114300" distR="114300" simplePos="0" relativeHeight="251672064" behindDoc="0" locked="0" layoutInCell="1" allowOverlap="1">
                <wp:simplePos x="0" y="0"/>
                <wp:positionH relativeFrom="margin">
                  <wp:align>right</wp:align>
                </wp:positionH>
                <wp:positionV relativeFrom="paragraph">
                  <wp:posOffset>281955</wp:posOffset>
                </wp:positionV>
                <wp:extent cx="5948708" cy="2880534"/>
                <wp:effectExtent l="0" t="0" r="0" b="0"/>
                <wp:wrapTopAndBottom/>
                <wp:docPr id="35" name="Groep 35"/>
                <wp:cNvGraphicFramePr/>
                <a:graphic xmlns:a="http://schemas.openxmlformats.org/drawingml/2006/main">
                  <a:graphicData uri="http://schemas.microsoft.com/office/word/2010/wordprocessingGroup">
                    <wpg:wgp>
                      <wpg:cNvGrpSpPr/>
                      <wpg:grpSpPr>
                        <a:xfrm>
                          <a:off x="0" y="0"/>
                          <a:ext cx="5948708" cy="2880534"/>
                          <a:chOff x="0" y="0"/>
                          <a:chExt cx="5948708" cy="2880534"/>
                        </a:xfrm>
                      </wpg:grpSpPr>
                      <wps:wsp>
                        <wps:cNvPr id="17" name="Text Box 2"/>
                        <wps:cNvSpPr txBox="1">
                          <a:spLocks noChangeArrowheads="1"/>
                        </wps:cNvSpPr>
                        <wps:spPr bwMode="auto">
                          <a:xfrm>
                            <a:off x="2934586" y="542260"/>
                            <a:ext cx="3014122" cy="1040937"/>
                          </a:xfrm>
                          <a:prstGeom prst="rect">
                            <a:avLst/>
                          </a:prstGeom>
                          <a:noFill/>
                          <a:ln w="9525">
                            <a:noFill/>
                            <a:miter lim="800000"/>
                            <a:headEnd/>
                            <a:tailEnd/>
                          </a:ln>
                        </wps:spPr>
                        <wps:txbx>
                          <w:txbxContent>
                            <w:p w:rsidR="00491B8A" w:rsidRPr="002E19A9" w:rsidRDefault="00491B8A" w:rsidP="002E19A9">
                              <w:pPr>
                                <w:jc w:val="left"/>
                                <w:rPr>
                                  <w:b/>
                                  <w:u w:val="single"/>
                                </w:rPr>
                              </w:pPr>
                              <w:r w:rsidRPr="002E19A9">
                                <w:rPr>
                                  <w:b/>
                                  <w:u w:val="single"/>
                                </w:rPr>
                                <w:t xml:space="preserve">2. Signal </w:t>
                              </w:r>
                            </w:p>
                            <w:p w:rsidR="00491B8A" w:rsidRPr="00CD7FA0" w:rsidRDefault="00491B8A" w:rsidP="002E19A9">
                              <w:pPr>
                                <w:jc w:val="left"/>
                              </w:pPr>
                              <w:r w:rsidRPr="00CD7FA0">
                                <w:t>Migration authority decides on residence status after signal from welfare authority</w:t>
                              </w:r>
                            </w:p>
                          </w:txbxContent>
                        </wps:txbx>
                        <wps:bodyPr rot="0" vert="horz" wrap="square" lIns="91440" tIns="45720" rIns="91440" bIns="45720" anchor="t" anchorCtr="0">
                          <a:noAutofit/>
                        </wps:bodyPr>
                      </wps:wsp>
                      <wps:wsp>
                        <wps:cNvPr id="21" name="Text Box 2"/>
                        <wps:cNvSpPr txBox="1">
                          <a:spLocks noChangeArrowheads="1"/>
                        </wps:cNvSpPr>
                        <wps:spPr bwMode="auto">
                          <a:xfrm>
                            <a:off x="2923953" y="1446028"/>
                            <a:ext cx="3014122" cy="1040937"/>
                          </a:xfrm>
                          <a:prstGeom prst="rect">
                            <a:avLst/>
                          </a:prstGeom>
                          <a:noFill/>
                          <a:ln w="9525">
                            <a:noFill/>
                            <a:miter lim="800000"/>
                            <a:headEnd/>
                            <a:tailEnd/>
                          </a:ln>
                        </wps:spPr>
                        <wps:txbx>
                          <w:txbxContent>
                            <w:p w:rsidR="00491B8A" w:rsidRPr="002E19A9" w:rsidRDefault="00491B8A" w:rsidP="004B781B">
                              <w:pPr>
                                <w:rPr>
                                  <w:b/>
                                  <w:u w:val="single"/>
                                </w:rPr>
                              </w:pPr>
                              <w:r w:rsidRPr="002E19A9">
                                <w:rPr>
                                  <w:b/>
                                  <w:u w:val="single"/>
                                </w:rPr>
                                <w:t>3. Delegated</w:t>
                              </w:r>
                            </w:p>
                            <w:p w:rsidR="00491B8A" w:rsidRPr="00CD7FA0" w:rsidRDefault="00491B8A" w:rsidP="004B781B">
                              <w:r w:rsidRPr="00CD7FA0">
                                <w:t>Welfare authority decides on residence status when granting welfare</w:t>
                              </w:r>
                            </w:p>
                            <w:p w:rsidR="00491B8A" w:rsidRDefault="00491B8A" w:rsidP="004B781B"/>
                            <w:p w:rsidR="00491B8A" w:rsidRDefault="00491B8A" w:rsidP="004B781B"/>
                          </w:txbxContent>
                        </wps:txbx>
                        <wps:bodyPr rot="0" vert="horz" wrap="square" lIns="91440" tIns="45720" rIns="91440" bIns="45720" anchor="t" anchorCtr="0">
                          <a:noAutofit/>
                        </wps:bodyPr>
                      </wps:wsp>
                      <wps:wsp>
                        <wps:cNvPr id="26" name="Text Box 2"/>
                        <wps:cNvSpPr txBox="1">
                          <a:spLocks noChangeArrowheads="1"/>
                        </wps:cNvSpPr>
                        <wps:spPr bwMode="auto">
                          <a:xfrm>
                            <a:off x="0" y="21265"/>
                            <a:ext cx="1212112" cy="605167"/>
                          </a:xfrm>
                          <a:prstGeom prst="rect">
                            <a:avLst/>
                          </a:prstGeom>
                          <a:noFill/>
                          <a:ln w="9525">
                            <a:noFill/>
                            <a:miter lim="800000"/>
                            <a:headEnd/>
                            <a:tailEnd/>
                          </a:ln>
                        </wps:spPr>
                        <wps:txbx>
                          <w:txbxContent>
                            <w:p w:rsidR="00491B8A" w:rsidRPr="007D02E9" w:rsidRDefault="00491B8A" w:rsidP="007D02E9">
                              <w:pPr>
                                <w:rPr>
                                  <w:i/>
                                </w:rPr>
                              </w:pPr>
                              <w:r w:rsidRPr="007D02E9">
                                <w:rPr>
                                  <w:i/>
                                </w:rPr>
                                <w:t xml:space="preserve">Registration formalities </w:t>
                              </w:r>
                            </w:p>
                          </w:txbxContent>
                        </wps:txbx>
                        <wps:bodyPr rot="0" vert="horz" wrap="square" lIns="91440" tIns="45720" rIns="91440" bIns="45720" anchor="t" anchorCtr="0">
                          <a:noAutofit/>
                        </wps:bodyPr>
                      </wps:wsp>
                      <wps:wsp>
                        <wps:cNvPr id="28" name="Rechte verbindingslijn met pijl 28"/>
                        <wps:cNvCnPr/>
                        <wps:spPr>
                          <a:xfrm>
                            <a:off x="1648047" y="170121"/>
                            <a:ext cx="1059476" cy="0"/>
                          </a:xfrm>
                          <a:prstGeom prst="straightConnector1">
                            <a:avLst/>
                          </a:prstGeom>
                          <a:ln w="12700">
                            <a:prstDash val="dash"/>
                            <a:tailEnd type="triangle"/>
                          </a:ln>
                        </wps:spPr>
                        <wps:style>
                          <a:lnRef idx="1">
                            <a:schemeClr val="dk1"/>
                          </a:lnRef>
                          <a:fillRef idx="0">
                            <a:schemeClr val="dk1"/>
                          </a:fillRef>
                          <a:effectRef idx="0">
                            <a:schemeClr val="dk1"/>
                          </a:effectRef>
                          <a:fontRef idx="minor">
                            <a:schemeClr val="tx1"/>
                          </a:fontRef>
                        </wps:style>
                        <wps:bodyPr/>
                      </wps:wsp>
                      <wps:wsp>
                        <wps:cNvPr id="18" name="Text Box 2"/>
                        <wps:cNvSpPr txBox="1">
                          <a:spLocks noChangeArrowheads="1"/>
                        </wps:cNvSpPr>
                        <wps:spPr bwMode="auto">
                          <a:xfrm>
                            <a:off x="2998381" y="0"/>
                            <a:ext cx="2466340" cy="361315"/>
                          </a:xfrm>
                          <a:prstGeom prst="rect">
                            <a:avLst/>
                          </a:prstGeom>
                          <a:noFill/>
                          <a:ln w="9525">
                            <a:noFill/>
                            <a:miter lim="800000"/>
                            <a:headEnd/>
                            <a:tailEnd/>
                          </a:ln>
                        </wps:spPr>
                        <wps:txbx>
                          <w:txbxContent>
                            <w:p w:rsidR="00491B8A" w:rsidRPr="007D02E9" w:rsidRDefault="00491B8A" w:rsidP="007D02E9">
                              <w:pPr>
                                <w:rPr>
                                  <w:i/>
                                </w:rPr>
                              </w:pPr>
                              <w:r w:rsidRPr="007D02E9">
                                <w:rPr>
                                  <w:i/>
                                </w:rPr>
                                <w:t xml:space="preserve">No registration formalities </w:t>
                              </w:r>
                            </w:p>
                          </w:txbxContent>
                        </wps:txbx>
                        <wps:bodyPr rot="0" vert="horz" wrap="square" lIns="91440" tIns="45720" rIns="91440" bIns="45720" anchor="t" anchorCtr="0">
                          <a:noAutofit/>
                        </wps:bodyPr>
                      </wps:wsp>
                      <wps:wsp>
                        <wps:cNvPr id="29" name="Text Box 2"/>
                        <wps:cNvSpPr txBox="1">
                          <a:spLocks noChangeArrowheads="1"/>
                        </wps:cNvSpPr>
                        <wps:spPr bwMode="auto">
                          <a:xfrm>
                            <a:off x="0" y="712381"/>
                            <a:ext cx="1551940" cy="1371600"/>
                          </a:xfrm>
                          <a:prstGeom prst="rect">
                            <a:avLst/>
                          </a:prstGeom>
                          <a:noFill/>
                          <a:ln w="9525">
                            <a:noFill/>
                            <a:miter lim="800000"/>
                            <a:headEnd/>
                            <a:tailEnd/>
                          </a:ln>
                        </wps:spPr>
                        <wps:txbx>
                          <w:txbxContent>
                            <w:p w:rsidR="00491B8A" w:rsidRPr="002E19A9" w:rsidRDefault="00491B8A" w:rsidP="002E19A9">
                              <w:pPr>
                                <w:jc w:val="left"/>
                                <w:rPr>
                                  <w:b/>
                                  <w:u w:val="single"/>
                                </w:rPr>
                              </w:pPr>
                              <w:r w:rsidRPr="002E19A9">
                                <w:rPr>
                                  <w:b/>
                                  <w:u w:val="single"/>
                                </w:rPr>
                                <w:t xml:space="preserve">1. Form: </w:t>
                              </w:r>
                            </w:p>
                            <w:p w:rsidR="00491B8A" w:rsidRPr="002E19A9" w:rsidRDefault="00491B8A" w:rsidP="002E19A9">
                              <w:pPr>
                                <w:jc w:val="left"/>
                                <w:rPr>
                                  <w:b/>
                                </w:rPr>
                              </w:pPr>
                              <w:r w:rsidRPr="00CD7FA0">
                                <w:t>Residence documentation authoritative for access to welfare</w:t>
                              </w:r>
                              <w:r w:rsidRPr="002E19A9">
                                <w:rPr>
                                  <w:b/>
                                </w:rPr>
                                <w:t xml:space="preserve"> state (form)</w:t>
                              </w:r>
                            </w:p>
                          </w:txbxContent>
                        </wps:txbx>
                        <wps:bodyPr rot="0" vert="horz" wrap="square" lIns="91440" tIns="45720" rIns="91440" bIns="45720" anchor="t" anchorCtr="0">
                          <a:noAutofit/>
                        </wps:bodyPr>
                      </wps:wsp>
                      <wps:wsp>
                        <wps:cNvPr id="30" name="Text Box 2"/>
                        <wps:cNvSpPr txBox="1">
                          <a:spLocks noChangeArrowheads="1"/>
                        </wps:cNvSpPr>
                        <wps:spPr bwMode="auto">
                          <a:xfrm>
                            <a:off x="21265" y="2275367"/>
                            <a:ext cx="1212112" cy="605167"/>
                          </a:xfrm>
                          <a:prstGeom prst="rect">
                            <a:avLst/>
                          </a:prstGeom>
                          <a:noFill/>
                          <a:ln w="9525">
                            <a:noFill/>
                            <a:miter lim="800000"/>
                            <a:headEnd/>
                            <a:tailEnd/>
                          </a:ln>
                        </wps:spPr>
                        <wps:txbx>
                          <w:txbxContent>
                            <w:p w:rsidR="00491B8A" w:rsidRPr="007D02E9" w:rsidRDefault="00491B8A" w:rsidP="002114A4">
                              <w:pPr>
                                <w:jc w:val="left"/>
                                <w:rPr>
                                  <w:i/>
                                </w:rPr>
                              </w:pPr>
                              <w:r>
                                <w:rPr>
                                  <w:i/>
                                </w:rPr>
                                <w:t>A priori verification</w:t>
                              </w:r>
                              <w:r w:rsidRPr="007D02E9">
                                <w:rPr>
                                  <w:i/>
                                </w:rPr>
                                <w:t xml:space="preserve"> </w:t>
                              </w:r>
                            </w:p>
                          </w:txbxContent>
                        </wps:txbx>
                        <wps:bodyPr rot="0" vert="horz" wrap="square" lIns="91440" tIns="45720" rIns="91440" bIns="45720" anchor="t" anchorCtr="0">
                          <a:noAutofit/>
                        </wps:bodyPr>
                      </wps:wsp>
                      <wps:wsp>
                        <wps:cNvPr id="31" name="Rechte verbindingslijn met pijl 31"/>
                        <wps:cNvCnPr/>
                        <wps:spPr>
                          <a:xfrm>
                            <a:off x="1669312" y="2498651"/>
                            <a:ext cx="1059180" cy="0"/>
                          </a:xfrm>
                          <a:prstGeom prst="straightConnector1">
                            <a:avLst/>
                          </a:prstGeom>
                          <a:ln w="12700">
                            <a:prstDash val="dash"/>
                            <a:tailEnd type="triangle"/>
                          </a:ln>
                        </wps:spPr>
                        <wps:style>
                          <a:lnRef idx="1">
                            <a:schemeClr val="dk1"/>
                          </a:lnRef>
                          <a:fillRef idx="0">
                            <a:schemeClr val="dk1"/>
                          </a:fillRef>
                          <a:effectRef idx="0">
                            <a:schemeClr val="dk1"/>
                          </a:effectRef>
                          <a:fontRef idx="minor">
                            <a:schemeClr val="tx1"/>
                          </a:fontRef>
                        </wps:style>
                        <wps:bodyPr/>
                      </wps:wsp>
                      <wps:wsp>
                        <wps:cNvPr id="32" name="Text Box 2"/>
                        <wps:cNvSpPr txBox="1">
                          <a:spLocks noChangeArrowheads="1"/>
                        </wps:cNvSpPr>
                        <wps:spPr bwMode="auto">
                          <a:xfrm>
                            <a:off x="2955851" y="2371060"/>
                            <a:ext cx="2466340" cy="361315"/>
                          </a:xfrm>
                          <a:prstGeom prst="rect">
                            <a:avLst/>
                          </a:prstGeom>
                          <a:noFill/>
                          <a:ln w="9525">
                            <a:noFill/>
                            <a:miter lim="800000"/>
                            <a:headEnd/>
                            <a:tailEnd/>
                          </a:ln>
                        </wps:spPr>
                        <wps:txbx>
                          <w:txbxContent>
                            <w:p w:rsidR="00491B8A" w:rsidRPr="007D02E9" w:rsidRDefault="00491B8A" w:rsidP="002E19A9">
                              <w:pPr>
                                <w:rPr>
                                  <w:i/>
                                </w:rPr>
                              </w:pPr>
                              <w:r>
                                <w:rPr>
                                  <w:i/>
                                </w:rPr>
                                <w:t>Ex post verification</w:t>
                              </w:r>
                            </w:p>
                          </w:txbxContent>
                        </wps:txbx>
                        <wps:bodyPr rot="0" vert="horz" wrap="square" lIns="91440" tIns="45720" rIns="91440" bIns="45720" anchor="t" anchorCtr="0">
                          <a:noAutofit/>
                        </wps:bodyPr>
                      </wps:wsp>
                      <wps:wsp>
                        <wps:cNvPr id="33" name="Rechte verbindingslijn met pijl 33"/>
                        <wps:cNvCnPr/>
                        <wps:spPr>
                          <a:xfrm flipV="1">
                            <a:off x="1711842" y="797442"/>
                            <a:ext cx="903767" cy="4783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4" name="Rechte verbindingslijn met pijl 34"/>
                        <wps:cNvCnPr/>
                        <wps:spPr>
                          <a:xfrm>
                            <a:off x="1711842" y="1275907"/>
                            <a:ext cx="946298" cy="32960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ep 35" o:spid="_x0000_s1027" style="position:absolute;margin-left:417.2pt;margin-top:22.2pt;width:468.4pt;height:226.8pt;z-index:251672064;mso-position-horizontal:right;mso-position-horizontal-relative:margin" coordsize="59487,28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">
                <v:shape id="Text Box 2" o:spid="_x0000_s1028" type="#_x0000_t202" style="position:absolute;left:29345;top:5422;width:30142;height:10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491B8A" w:rsidRPr="002E19A9" w:rsidRDefault="00491B8A" w:rsidP="002E19A9">
                        <w:pPr>
                          <w:jc w:val="left"/>
                          <w:rPr>
                            <w:b/>
                            <w:u w:val="single"/>
                          </w:rPr>
                        </w:pPr>
                        <w:r w:rsidRPr="002E19A9">
                          <w:rPr>
                            <w:b/>
                            <w:u w:val="single"/>
                          </w:rPr>
                          <w:t xml:space="preserve">2. Signal </w:t>
                        </w:r>
                      </w:p>
                      <w:p w:rsidR="00491B8A" w:rsidRPr="00CD7FA0" w:rsidRDefault="00491B8A" w:rsidP="002E19A9">
                        <w:pPr>
                          <w:jc w:val="left"/>
                        </w:pPr>
                        <w:r w:rsidRPr="00CD7FA0">
                          <w:t>Migration authority decides on residence status after signal from welfare authority</w:t>
                        </w:r>
                      </w:p>
                    </w:txbxContent>
                  </v:textbox>
                </v:shape>
                <v:shape id="Text Box 2" o:spid="_x0000_s1029" type="#_x0000_t202" style="position:absolute;left:29239;top:14460;width:30141;height:10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491B8A" w:rsidRPr="002E19A9" w:rsidRDefault="00491B8A" w:rsidP="004B781B">
                        <w:pPr>
                          <w:rPr>
                            <w:b/>
                            <w:u w:val="single"/>
                          </w:rPr>
                        </w:pPr>
                        <w:r w:rsidRPr="002E19A9">
                          <w:rPr>
                            <w:b/>
                            <w:u w:val="single"/>
                          </w:rPr>
                          <w:t>3. Delegated</w:t>
                        </w:r>
                      </w:p>
                      <w:p w:rsidR="00491B8A" w:rsidRPr="00CD7FA0" w:rsidRDefault="00491B8A" w:rsidP="004B781B">
                        <w:r w:rsidRPr="00CD7FA0">
                          <w:t>Welfare authority decides on residence status when granting welfare</w:t>
                        </w:r>
                      </w:p>
                      <w:p w:rsidR="00491B8A" w:rsidRDefault="00491B8A" w:rsidP="004B781B"/>
                      <w:p w:rsidR="00491B8A" w:rsidRDefault="00491B8A" w:rsidP="004B781B"/>
                    </w:txbxContent>
                  </v:textbox>
                </v:shape>
                <v:shape id="Text Box 2" o:spid="_x0000_s1030" type="#_x0000_t202" style="position:absolute;top:212;width:12121;height:6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491B8A" w:rsidRPr="007D02E9" w:rsidRDefault="00491B8A" w:rsidP="007D02E9">
                        <w:pPr>
                          <w:rPr>
                            <w:i/>
                          </w:rPr>
                        </w:pPr>
                        <w:r w:rsidRPr="007D02E9">
                          <w:rPr>
                            <w:i/>
                          </w:rPr>
                          <w:t xml:space="preserve">Registration formalities </w:t>
                        </w:r>
                      </w:p>
                    </w:txbxContent>
                  </v:textbox>
                </v:shape>
                <v:shapetype id="_x0000_t32" coordsize="21600,21600" o:spt="32" o:oned="t" path="m,l21600,21600e" filled="f">
                  <v:path arrowok="t" fillok="f" o:connecttype="none"/>
                  <o:lock v:ext="edit" shapetype="t"/>
                </v:shapetype>
                <v:shape id="Rechte verbindingslijn met pijl 28" o:spid="_x0000_s1031" type="#_x0000_t32" style="position:absolute;left:16480;top:1701;width:105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XPiMMAAADbAAAADwAAAGRycy9kb3ducmV2LnhtbERPTWvCQBC9C/0PyxS86caAoaSuooWq&#10;h4JUA7a3aXZMYrKzIbuatL++eyj0+Hjfi9VgGnGnzlWWFcymEQji3OqKCwXZ6XXyBMJ5ZI2NZVLw&#10;TQ5Wy4fRAlNte36n+9EXIoSwS1FB6X2bSunykgy6qW2JA3exnUEfYFdI3WEfwk0j4yhKpMGKQ0OJ&#10;Lb2UlNfHm1FwzT4/dua8ffua2+THbw4XqvODUuPHYf0MwtPg/8V/7r1WEIex4Uv4A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Fz4jDAAAA2wAAAA8AAAAAAAAAAAAA&#10;AAAAoQIAAGRycy9kb3ducmV2LnhtbFBLBQYAAAAABAAEAPkAAACRAwAAAAA=&#10;" strokecolor="black [3040]" strokeweight="1pt">
                  <v:stroke dashstyle="dash" endarrow="block"/>
                </v:shape>
                <v:shape id="Text Box 2" o:spid="_x0000_s1032" type="#_x0000_t202" style="position:absolute;left:29983;width:24664;height:3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491B8A" w:rsidRPr="007D02E9" w:rsidRDefault="00491B8A" w:rsidP="007D02E9">
                        <w:pPr>
                          <w:rPr>
                            <w:i/>
                          </w:rPr>
                        </w:pPr>
                        <w:r w:rsidRPr="007D02E9">
                          <w:rPr>
                            <w:i/>
                          </w:rPr>
                          <w:t xml:space="preserve">No registration formalities </w:t>
                        </w:r>
                      </w:p>
                    </w:txbxContent>
                  </v:textbox>
                </v:shape>
                <v:shape id="Text Box 2" o:spid="_x0000_s1033" type="#_x0000_t202" style="position:absolute;top:7123;width:15519;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491B8A" w:rsidRPr="002E19A9" w:rsidRDefault="00491B8A" w:rsidP="002E19A9">
                        <w:pPr>
                          <w:jc w:val="left"/>
                          <w:rPr>
                            <w:b/>
                            <w:u w:val="single"/>
                          </w:rPr>
                        </w:pPr>
                        <w:r w:rsidRPr="002E19A9">
                          <w:rPr>
                            <w:b/>
                            <w:u w:val="single"/>
                          </w:rPr>
                          <w:t xml:space="preserve">1. Form: </w:t>
                        </w:r>
                      </w:p>
                      <w:p w:rsidR="00491B8A" w:rsidRPr="002E19A9" w:rsidRDefault="00491B8A" w:rsidP="002E19A9">
                        <w:pPr>
                          <w:jc w:val="left"/>
                          <w:rPr>
                            <w:b/>
                          </w:rPr>
                        </w:pPr>
                        <w:r w:rsidRPr="00CD7FA0">
                          <w:t>Residence documentation authoritative for access to welfare</w:t>
                        </w:r>
                        <w:r w:rsidRPr="002E19A9">
                          <w:rPr>
                            <w:b/>
                          </w:rPr>
                          <w:t xml:space="preserve"> state (form)</w:t>
                        </w:r>
                      </w:p>
                    </w:txbxContent>
                  </v:textbox>
                </v:shape>
                <v:shape id="Text Box 2" o:spid="_x0000_s1034" type="#_x0000_t202" style="position:absolute;left:212;top:22753;width:12121;height:6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491B8A" w:rsidRPr="007D02E9" w:rsidRDefault="00491B8A" w:rsidP="002114A4">
                        <w:pPr>
                          <w:jc w:val="left"/>
                          <w:rPr>
                            <w:i/>
                          </w:rPr>
                        </w:pPr>
                        <w:r>
                          <w:rPr>
                            <w:i/>
                          </w:rPr>
                          <w:t>A priori verification</w:t>
                        </w:r>
                        <w:r w:rsidRPr="007D02E9">
                          <w:rPr>
                            <w:i/>
                          </w:rPr>
                          <w:t xml:space="preserve"> </w:t>
                        </w:r>
                      </w:p>
                    </w:txbxContent>
                  </v:textbox>
                </v:shape>
                <v:shape id="Rechte verbindingslijn met pijl 31" o:spid="_x0000_s1035" type="#_x0000_t32" style="position:absolute;left:16693;top:24986;width:105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bwyMUAAADbAAAADwAAAGRycy9kb3ducmV2LnhtbESPQWvCQBSE7wX/w/IEb3WjUpHoKrag&#10;9iBIVVBvz+wziWbfhuxWo7++KxQ8DjPzDTOa1KYQV6pcbllBpx2BIE6szjlVsN3M3gcgnEfWWFgm&#10;BXdyMBk33kYYa3vjH7qufSoChF2MCjLvy1hKl2Rk0LVtSRy8k60M+iCrVOoKbwFuCtmNor40mHNY&#10;yLCkr4ySy/rXKDhvD/uF2c2Xxw/bf/jP1YkuyUqpVrOeDkF4qv0r/N/+1gp6HXh+CT9Aj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bwyMUAAADbAAAADwAAAAAAAAAA&#10;AAAAAAChAgAAZHJzL2Rvd25yZXYueG1sUEsFBgAAAAAEAAQA+QAAAJMDAAAAAA==&#10;" strokecolor="black [3040]" strokeweight="1pt">
                  <v:stroke dashstyle="dash" endarrow="block"/>
                </v:shape>
                <v:shape id="Text Box 2" o:spid="_x0000_s1036" type="#_x0000_t202" style="position:absolute;left:29558;top:23710;width:24663;height:3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491B8A" w:rsidRPr="007D02E9" w:rsidRDefault="00491B8A" w:rsidP="002E19A9">
                        <w:pPr>
                          <w:rPr>
                            <w:i/>
                          </w:rPr>
                        </w:pPr>
                        <w:r>
                          <w:rPr>
                            <w:i/>
                          </w:rPr>
                          <w:t>Ex post verification</w:t>
                        </w:r>
                      </w:p>
                    </w:txbxContent>
                  </v:textbox>
                </v:shape>
                <v:shape id="Rechte verbindingslijn met pijl 33" o:spid="_x0000_s1037" type="#_x0000_t32" style="position:absolute;left:17118;top:7974;width:9038;height:47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JKXMMAAADbAAAADwAAAGRycy9kb3ducmV2LnhtbESPQWvCQBSE74X+h+UJvdWNDQRJXaUI&#10;QrEHMRH0+Mg+k7TZtyG7Neu/dwXB4zAz3zCLVTCduNDgWssKZtMEBHFldcu1gkO5eZ+DcB5ZY2eZ&#10;FFzJwWr5+rLAXNuR93QpfC0ihF2OChrv+1xKVzVk0E1tTxy9sx0M+iiHWuoBxwg3nfxIkkwabDku&#10;NNjTuqHqr/g3CrbH33MpD21AU4Rs+5Nsdt1pptTbJHx9gvAU/DP8aH9rBWkK9y/xB8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ySlzDAAAA2wAAAA8AAAAAAAAAAAAA&#10;AAAAoQIAAGRycy9kb3ducmV2LnhtbFBLBQYAAAAABAAEAPkAAACRAwAAAAA=&#10;" strokecolor="black [3040]">
                  <v:stroke endarrow="block"/>
                </v:shape>
                <v:shape id="Rechte verbindingslijn met pijl 34" o:spid="_x0000_s1038" type="#_x0000_t32" style="position:absolute;left:17118;top:12759;width:9463;height:32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oLRcAAAADbAAAADwAAAGRycy9kb3ducmV2LnhtbESP3YrCMBSE7wXfIRxhb0RTV1mkGkUE&#10;oXup7gMcmmNTbE5Kkv749mZhYS+HmfmG2R9H24iefKgdK1gtMxDEpdM1Vwp+7pfFFkSIyBobx6Tg&#10;RQGOh+lkj7l2A1+pv8VKJAiHHBWYGNtcylAashiWriVO3sN5izFJX0ntcUhw28jPLPuSFmtOCwZb&#10;Ohsqn7fOKnA9m+/N3Man7Mr7CbviPPhCqY/ZeNqBiDTG//Bfu9AK1hv4/ZJ+gDy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HKC0XAAAAA2wAAAA8AAAAAAAAAAAAAAAAA&#10;oQIAAGRycy9kb3ducmV2LnhtbFBLBQYAAAAABAAEAPkAAACOAwAAAAA=&#10;" strokecolor="black [3040]">
                  <v:stroke endarrow="block"/>
                </v:shape>
                <w10:wrap type="topAndBottom" anchorx="margin"/>
              </v:group>
            </w:pict>
          </mc:Fallback>
        </mc:AlternateContent>
      </w:r>
    </w:p>
    <w:p w:rsidR="00B02216" w:rsidRDefault="00B02216" w:rsidP="00B20B20"/>
    <w:p w:rsidR="002114A4" w:rsidRDefault="002114A4" w:rsidP="00B20B20"/>
    <w:p w:rsidR="00082C80" w:rsidRPr="00EB654A" w:rsidRDefault="00EB654A" w:rsidP="00EB654A">
      <w:pPr>
        <w:pStyle w:val="Kop2"/>
      </w:pPr>
      <w:r>
        <w:t xml:space="preserve">A. </w:t>
      </w:r>
      <w:r w:rsidR="004E1B1E">
        <w:t>The Form Model</w:t>
      </w:r>
      <w:r w:rsidR="003204B2" w:rsidRPr="00EB654A">
        <w:t xml:space="preserve">: </w:t>
      </w:r>
      <w:r w:rsidR="007D02E9" w:rsidRPr="00EB654A">
        <w:t>The ‘Magical Act of the Form’</w:t>
      </w:r>
    </w:p>
    <w:p w:rsidR="004B781B" w:rsidRDefault="004B781B" w:rsidP="004B781B"/>
    <w:p w:rsidR="00B20B20" w:rsidRDefault="00B20B20" w:rsidP="00582AE5">
      <w:r>
        <w:lastRenderedPageBreak/>
        <w:t>The first ideal type of administration centres around the rationale of – what might be called – the ‘magical act o</w:t>
      </w:r>
      <w:r w:rsidRPr="008A252A">
        <w:t>f</w:t>
      </w:r>
      <w:r>
        <w:t xml:space="preserve"> the </w:t>
      </w:r>
      <w:r w:rsidRPr="008A252A">
        <w:t>form’</w:t>
      </w:r>
      <w:r>
        <w:t>;</w:t>
      </w:r>
      <w:r>
        <w:rPr>
          <w:rStyle w:val="Voetnootmarkering"/>
        </w:rPr>
        <w:footnoteReference w:id="48"/>
      </w:r>
      <w:r>
        <w:t xml:space="preserve"> interactions with welfare authorities are </w:t>
      </w:r>
      <w:r w:rsidRPr="007D6C91">
        <w:rPr>
          <w:i/>
        </w:rPr>
        <w:t>linked</w:t>
      </w:r>
      <w:r>
        <w:t xml:space="preserve"> with the fulfilment of established bureaucratic procedures in the wider state administration. </w:t>
      </w:r>
      <w:r w:rsidR="003204B2">
        <w:t>The decision of whether to grant a</w:t>
      </w:r>
      <w:r w:rsidR="003204B2" w:rsidRPr="00002102">
        <w:t>ccess to we</w:t>
      </w:r>
      <w:r w:rsidR="003204B2">
        <w:t>lfare benefits is formally or ‘</w:t>
      </w:r>
      <w:r w:rsidR="003204B2" w:rsidRPr="00002102">
        <w:t>bu</w:t>
      </w:r>
      <w:r w:rsidR="003204B2">
        <w:t xml:space="preserve">reaucratically’ linked with the Union citizen’s ability to demonstrate his/her legal status, often by requiring </w:t>
      </w:r>
      <w:r w:rsidR="003204B2" w:rsidRPr="00002102">
        <w:t xml:space="preserve">the provision of </w:t>
      </w:r>
      <w:r w:rsidR="003204B2">
        <w:t>the ‘right’ residence document or the ‘correct’ residence status in a database. It follows that</w:t>
      </w:r>
      <w:r>
        <w:t xml:space="preserve"> Member States will</w:t>
      </w:r>
      <w:r w:rsidRPr="00002102">
        <w:t xml:space="preserve"> make use of the opportunit</w:t>
      </w:r>
      <w:r>
        <w:t xml:space="preserve">ies offered by EU law to have Union </w:t>
      </w:r>
      <w:r w:rsidRPr="00002102">
        <w:t xml:space="preserve">citizens demonstrate their compliance with the conditions </w:t>
      </w:r>
      <w:r>
        <w:rPr>
          <w:i/>
        </w:rPr>
        <w:t xml:space="preserve">prior </w:t>
      </w:r>
      <w:r>
        <w:t>to their continued stay on their territory.</w:t>
      </w:r>
      <w:r w:rsidRPr="00002102">
        <w:t xml:space="preserve"> After three months, </w:t>
      </w:r>
      <w:r>
        <w:t xml:space="preserve">Union </w:t>
      </w:r>
      <w:r w:rsidRPr="00002102">
        <w:t xml:space="preserve">citizens will </w:t>
      </w:r>
      <w:r>
        <w:t xml:space="preserve">typically </w:t>
      </w:r>
      <w:r w:rsidRPr="00002102">
        <w:t xml:space="preserve">have to register with the competent authorities (often migration authorities) and prove their </w:t>
      </w:r>
      <w:r>
        <w:t xml:space="preserve">legal </w:t>
      </w:r>
      <w:r w:rsidRPr="00F30C0C">
        <w:rPr>
          <w:i/>
        </w:rPr>
        <w:t>status</w:t>
      </w:r>
      <w:r>
        <w:t xml:space="preserve"> under EU free movement law, either as a </w:t>
      </w:r>
      <w:r w:rsidRPr="00002102">
        <w:t>worker</w:t>
      </w:r>
      <w:r>
        <w:t xml:space="preserve">, a </w:t>
      </w:r>
      <w:r w:rsidRPr="00002102">
        <w:t>self-su</w:t>
      </w:r>
      <w:r>
        <w:t>pporting economically inactive</w:t>
      </w:r>
      <w:r w:rsidRPr="00002102">
        <w:t xml:space="preserve"> or </w:t>
      </w:r>
      <w:r>
        <w:t xml:space="preserve">a </w:t>
      </w:r>
      <w:r w:rsidRPr="00002102">
        <w:t>student</w:t>
      </w:r>
      <w:r>
        <w:t>.</w:t>
      </w:r>
      <w:r>
        <w:rPr>
          <w:rStyle w:val="Voetnootmarkering"/>
        </w:rPr>
        <w:footnoteReference w:id="49"/>
      </w:r>
      <w:r>
        <w:t xml:space="preserve"> </w:t>
      </w:r>
      <w:r w:rsidR="00D37372">
        <w:t>This administrative act is</w:t>
      </w:r>
      <w:r w:rsidR="003204B2">
        <w:t xml:space="preserve"> bureaucratically processed to </w:t>
      </w:r>
      <w:r w:rsidR="00D37372">
        <w:t xml:space="preserve">serve as </w:t>
      </w:r>
      <w:r w:rsidR="00842113">
        <w:t xml:space="preserve">information about the Union citizen’s legal entitlements within the welfare state. </w:t>
      </w:r>
    </w:p>
    <w:p w:rsidR="00940F86" w:rsidRDefault="00842113" w:rsidP="00842113">
      <w:pPr>
        <w:ind w:firstLine="708"/>
      </w:pPr>
      <w:r>
        <w:t xml:space="preserve">It </w:t>
      </w:r>
      <w:r w:rsidRPr="00FB3EA2">
        <w:t>follows that the</w:t>
      </w:r>
      <w:r w:rsidR="00940F86" w:rsidRPr="00FB3EA2">
        <w:t xml:space="preserve"> </w:t>
      </w:r>
      <w:r w:rsidR="00940F86" w:rsidRPr="00FB3EA2">
        <w:rPr>
          <w:i/>
        </w:rPr>
        <w:t>form</w:t>
      </w:r>
      <w:r w:rsidR="00940F86" w:rsidRPr="00FB3EA2">
        <w:t xml:space="preserve"> - in its meaning as a written document or the fulfilment of the formal procedure - supports </w:t>
      </w:r>
      <w:r w:rsidRPr="00FB3EA2">
        <w:t>the coherent functioning of an administration that is characterised by a division of labour between different specialised offices who all have clearly-defined areas of competence and expertise.</w:t>
      </w:r>
      <w:r w:rsidR="00940F86" w:rsidRPr="00FB3EA2">
        <w:t xml:space="preserve"> </w:t>
      </w:r>
      <w:r w:rsidRPr="00FB3EA2">
        <w:t xml:space="preserve">It makes </w:t>
      </w:r>
      <w:r w:rsidR="00582AE5" w:rsidRPr="00FB3EA2">
        <w:t>sense and is defendable from the perspective of We</w:t>
      </w:r>
      <w:r w:rsidR="004E1B1E">
        <w:t>berian bureaucratic rationality</w:t>
      </w:r>
      <w:r w:rsidR="00582AE5" w:rsidRPr="00FB3EA2">
        <w:rPr>
          <w:rStyle w:val="Voetnootmarkering"/>
        </w:rPr>
        <w:footnoteReference w:id="50"/>
      </w:r>
      <w:r w:rsidR="00582AE5" w:rsidRPr="00FB3EA2">
        <w:t xml:space="preserve"> </w:t>
      </w:r>
      <w:r w:rsidR="004E1B1E">
        <w:t xml:space="preserve">and </w:t>
      </w:r>
      <w:r w:rsidR="00940F86" w:rsidRPr="00FB3EA2">
        <w:t>operates as a technique for ensuring predictability and impartiality of the state administration precisely because of the uniformity of the system and expertise of the official, supportin</w:t>
      </w:r>
      <w:r w:rsidR="005324FA">
        <w:t xml:space="preserve">g fairness in government. So-called ‘gate keepers’ of social authorities rely for their decision whether to grant benefits on the formal documentation available to them; Union citizens can know what to expect when duly completing </w:t>
      </w:r>
      <w:r w:rsidR="00201AA8">
        <w:t xml:space="preserve">established </w:t>
      </w:r>
      <w:r w:rsidR="005324FA">
        <w:t>procedures and</w:t>
      </w:r>
      <w:r w:rsidR="00201AA8">
        <w:t xml:space="preserve"> possessing the official </w:t>
      </w:r>
      <w:r w:rsidR="005324FA">
        <w:t xml:space="preserve">paper-work signifying their residence status. </w:t>
      </w:r>
      <w:r w:rsidR="00201AA8">
        <w:t xml:space="preserve">However, when </w:t>
      </w:r>
      <w:r w:rsidR="005324FA">
        <w:t>‘</w:t>
      </w:r>
      <w:r w:rsidR="00940F86">
        <w:t xml:space="preserve">faceless’ bureaucrats prioritise a commitment to </w:t>
      </w:r>
      <w:r w:rsidR="00940F86" w:rsidRPr="00F90786">
        <w:t xml:space="preserve">the </w:t>
      </w:r>
      <w:r w:rsidR="00940F86" w:rsidRPr="00EB7472">
        <w:rPr>
          <w:i/>
        </w:rPr>
        <w:t>form</w:t>
      </w:r>
      <w:r w:rsidR="00940F86" w:rsidRPr="00F90786">
        <w:t xml:space="preserve"> over</w:t>
      </w:r>
      <w:r w:rsidR="00940F86">
        <w:t xml:space="preserve"> the </w:t>
      </w:r>
      <w:r w:rsidR="00940F86" w:rsidRPr="00E17DE2">
        <w:rPr>
          <w:i/>
        </w:rPr>
        <w:t>substantive</w:t>
      </w:r>
      <w:r w:rsidR="00940F86">
        <w:t xml:space="preserve"> serving of the rights of citizens,</w:t>
      </w:r>
      <w:r w:rsidR="00940F86">
        <w:rPr>
          <w:rStyle w:val="Voetnootmarkering"/>
        </w:rPr>
        <w:footnoteReference w:id="51"/>
      </w:r>
      <w:r w:rsidR="00940F86">
        <w:t xml:space="preserve"> </w:t>
      </w:r>
      <w:r w:rsidR="00201AA8">
        <w:t>The positive aspects of Weberian bureaucratic rationality ca</w:t>
      </w:r>
      <w:r w:rsidR="00242686">
        <w:t xml:space="preserve">n slip into ‘moral distancing’, arousing Kafkaesque </w:t>
      </w:r>
      <w:r w:rsidR="00940F86">
        <w:t>feelings of alienation and dehumanisation</w:t>
      </w:r>
      <w:r w:rsidR="00242686">
        <w:t>.</w:t>
      </w:r>
      <w:r w:rsidR="00940F86">
        <w:rPr>
          <w:rStyle w:val="Voetnootmarkering"/>
        </w:rPr>
        <w:footnoteReference w:id="52"/>
      </w:r>
      <w:r w:rsidR="00201AA8">
        <w:t xml:space="preserve"> Attaching authoritative </w:t>
      </w:r>
      <w:r w:rsidR="00940F86">
        <w:t>force</w:t>
      </w:r>
      <w:r w:rsidR="00201AA8">
        <w:t xml:space="preserve"> to the </w:t>
      </w:r>
      <w:r w:rsidR="00201AA8">
        <w:lastRenderedPageBreak/>
        <w:t>‘form’ can work both to the advantage and disadvantage of Union citizens</w:t>
      </w:r>
      <w:r w:rsidR="00940F86">
        <w:t>.</w:t>
      </w:r>
      <w:r w:rsidR="008E6035">
        <w:rPr>
          <w:rStyle w:val="Voetnootmarkering"/>
        </w:rPr>
        <w:footnoteReference w:id="53"/>
      </w:r>
      <w:r w:rsidR="00940F86">
        <w:t xml:space="preserve"> </w:t>
      </w:r>
      <w:r w:rsidR="00201AA8">
        <w:t>Some</w:t>
      </w:r>
      <w:r w:rsidR="00940F86">
        <w:t xml:space="preserve"> might gain access on the basis of earlier issued residence documents, resulting in ‘generosity by accident’, </w:t>
      </w:r>
      <w:r w:rsidR="00201AA8">
        <w:t xml:space="preserve">while </w:t>
      </w:r>
      <w:r w:rsidR="00940F86">
        <w:t>others will be denied the possibility to claim their substantive rights under EU law because of their failure to fulfil do</w:t>
      </w:r>
      <w:r>
        <w:t>mestic bureaucratic procedures.</w:t>
      </w:r>
    </w:p>
    <w:p w:rsidR="00940F86" w:rsidRDefault="00842113" w:rsidP="00EB654A">
      <w:pPr>
        <w:ind w:firstLine="708"/>
      </w:pPr>
      <w:r>
        <w:t xml:space="preserve">In the specific context of EU law, the form model is especially susceptible to policy drift. Drifted versions of </w:t>
      </w:r>
      <w:r w:rsidR="008E6035">
        <w:t xml:space="preserve">the </w:t>
      </w:r>
      <w:r>
        <w:t xml:space="preserve">form model can have many faces, but are characterised by </w:t>
      </w:r>
      <w:r w:rsidR="00EB654A">
        <w:t xml:space="preserve">the combined existence of residence documents </w:t>
      </w:r>
      <w:r w:rsidR="00117D79" w:rsidRPr="00117D79">
        <w:rPr>
          <w:i/>
        </w:rPr>
        <w:t>and</w:t>
      </w:r>
      <w:r w:rsidR="00EB654A">
        <w:t xml:space="preserve"> the legal prohibition to attach constitutive force to such documents</w:t>
      </w:r>
      <w:r w:rsidR="00117D79">
        <w:t xml:space="preserve"> in the welfare state</w:t>
      </w:r>
      <w:r w:rsidR="00EB654A">
        <w:t xml:space="preserve">. </w:t>
      </w:r>
      <w:r w:rsidR="00EA39A6">
        <w:rPr>
          <w:lang w:val="en-US"/>
        </w:rPr>
        <w:t>Oddly enough, this situation can also be created by implementation of the inherently ambiguous Citizens Directive, according to which Member States can require Union citizens to register but are prohibited to make the fulfilment of this procedure a precondition for the exercise of EU free movement rights.</w:t>
      </w:r>
      <w:r w:rsidR="00EA39A6">
        <w:rPr>
          <w:rStyle w:val="Voetnootmarkering"/>
          <w:lang w:val="en-US"/>
        </w:rPr>
        <w:footnoteReference w:id="54"/>
      </w:r>
      <w:r w:rsidR="00EA39A6">
        <w:rPr>
          <w:lang w:val="en-US"/>
        </w:rPr>
        <w:t xml:space="preserve"> </w:t>
      </w:r>
      <w:r w:rsidR="00EB654A">
        <w:t>The result can be a confusing and highly arbitrary system for both Union citi</w:t>
      </w:r>
      <w:r w:rsidR="00117D79">
        <w:t xml:space="preserve">zens and welfare authorities in administrative </w:t>
      </w:r>
      <w:r w:rsidR="00EB654A">
        <w:t xml:space="preserve">practice: </w:t>
      </w:r>
      <w:r w:rsidR="009470A9">
        <w:t>welfare authorities cannot attach value to documentation certify</w:t>
      </w:r>
      <w:r w:rsidR="00EB654A">
        <w:t xml:space="preserve">ing a successful passing </w:t>
      </w:r>
      <w:r w:rsidR="00FB3EA2">
        <w:t xml:space="preserve">of </w:t>
      </w:r>
      <w:r w:rsidR="00EB654A">
        <w:t xml:space="preserve">the initial ‘check’ at entry </w:t>
      </w:r>
      <w:r w:rsidR="009470A9">
        <w:t xml:space="preserve">and Union citizens who did not register </w:t>
      </w:r>
      <w:r w:rsidR="00EB654A">
        <w:t xml:space="preserve">at entry </w:t>
      </w:r>
      <w:r w:rsidR="009470A9">
        <w:t xml:space="preserve">can still claim access to social assistance by directly relying </w:t>
      </w:r>
      <w:r w:rsidR="00EB654A">
        <w:t xml:space="preserve">on the substance of </w:t>
      </w:r>
      <w:r w:rsidR="009470A9">
        <w:t>EU law.</w:t>
      </w:r>
      <w:r w:rsidR="00EB654A">
        <w:t xml:space="preserve"> </w:t>
      </w:r>
      <w:r w:rsidR="008C54FB">
        <w:t xml:space="preserve">The administration of Union citizens’ social rights is fragmented and can be conceived </w:t>
      </w:r>
      <w:r w:rsidR="00EB654A">
        <w:t>of as a ‘tombola’ in practice: social authorities apply</w:t>
      </w:r>
      <w:r w:rsidR="00940F86">
        <w:t xml:space="preserve"> different procedures and policies with respect to Union citizens</w:t>
      </w:r>
      <w:r w:rsidR="00EB654A">
        <w:t xml:space="preserve"> and domestic courts interpret</w:t>
      </w:r>
      <w:r w:rsidR="00940F86">
        <w:t xml:space="preserve"> European law differently. </w:t>
      </w:r>
    </w:p>
    <w:p w:rsidR="00940F86" w:rsidRDefault="00940F86" w:rsidP="00943B3A">
      <w:pPr>
        <w:rPr>
          <w:lang w:val="en-US"/>
        </w:rPr>
      </w:pPr>
    </w:p>
    <w:p w:rsidR="00943B3A" w:rsidRDefault="006E1BBE" w:rsidP="00943B3A">
      <w:pPr>
        <w:pStyle w:val="Kop2"/>
        <w:rPr>
          <w:lang w:val="en-US"/>
        </w:rPr>
      </w:pPr>
      <w:r>
        <w:rPr>
          <w:lang w:val="en-US"/>
        </w:rPr>
        <w:t xml:space="preserve">B. </w:t>
      </w:r>
      <w:r w:rsidR="00EB654A">
        <w:rPr>
          <w:lang w:val="en-US"/>
        </w:rPr>
        <w:t xml:space="preserve">Institutional Conversion: The Signal and Delegation Models </w:t>
      </w:r>
    </w:p>
    <w:p w:rsidR="00943B3A" w:rsidRDefault="00943B3A" w:rsidP="00943B3A">
      <w:pPr>
        <w:rPr>
          <w:lang w:val="en-US"/>
        </w:rPr>
      </w:pPr>
    </w:p>
    <w:p w:rsidR="00940F86" w:rsidRDefault="00A6004A" w:rsidP="00EB654A">
      <w:pPr>
        <w:rPr>
          <w:lang w:val="en-US"/>
        </w:rPr>
      </w:pPr>
      <w:r>
        <w:rPr>
          <w:lang w:val="en-US"/>
        </w:rPr>
        <w:t xml:space="preserve">Member States who make the </w:t>
      </w:r>
      <w:r w:rsidR="00242686">
        <w:rPr>
          <w:lang w:val="en-US"/>
        </w:rPr>
        <w:t xml:space="preserve">strategic </w:t>
      </w:r>
      <w:r>
        <w:rPr>
          <w:lang w:val="en-US"/>
        </w:rPr>
        <w:t xml:space="preserve">decision to abolish registration requirements </w:t>
      </w:r>
      <w:r w:rsidR="00A520A0">
        <w:rPr>
          <w:lang w:val="en-US"/>
        </w:rPr>
        <w:t xml:space="preserve">will design </w:t>
      </w:r>
      <w:r>
        <w:rPr>
          <w:lang w:val="en-US"/>
        </w:rPr>
        <w:t xml:space="preserve"> alternative models administering the social </w:t>
      </w:r>
      <w:r w:rsidR="00117D79" w:rsidRPr="00002102">
        <w:t xml:space="preserve">rights of </w:t>
      </w:r>
      <w:r w:rsidR="00117D79">
        <w:t>Union</w:t>
      </w:r>
      <w:r>
        <w:t xml:space="preserve"> citizens</w:t>
      </w:r>
      <w:r w:rsidR="00117D79">
        <w:t xml:space="preserve">. </w:t>
      </w:r>
      <w:r w:rsidR="00242686">
        <w:t>It follows from the abolishment of registration requirement that t</w:t>
      </w:r>
      <w:r w:rsidR="00117D79">
        <w:t xml:space="preserve">hey will </w:t>
      </w:r>
      <w:r w:rsidR="00242686">
        <w:t xml:space="preserve">not </w:t>
      </w:r>
      <w:r w:rsidR="00117D79">
        <w:t xml:space="preserve">make use </w:t>
      </w:r>
      <w:r w:rsidR="00A520A0">
        <w:t xml:space="preserve">anymore </w:t>
      </w:r>
      <w:r w:rsidR="00117D79">
        <w:t>of the possibility</w:t>
      </w:r>
      <w:r w:rsidR="00117D79" w:rsidRPr="00002102">
        <w:t xml:space="preserve"> </w:t>
      </w:r>
      <w:r w:rsidR="00A520A0">
        <w:t>to screen Union citizens’</w:t>
      </w:r>
      <w:r w:rsidR="00117D79">
        <w:t xml:space="preserve"> compliance with conditions </w:t>
      </w:r>
      <w:r w:rsidR="00117D79" w:rsidRPr="00A57268">
        <w:rPr>
          <w:i/>
        </w:rPr>
        <w:t>prior</w:t>
      </w:r>
      <w:r w:rsidR="00117D79">
        <w:t xml:space="preserve"> to their wish to stay longer than three months on their territory. </w:t>
      </w:r>
      <w:r w:rsidR="00A520A0">
        <w:rPr>
          <w:lang w:val="en-US"/>
        </w:rPr>
        <w:t xml:space="preserve">As a result </w:t>
      </w:r>
      <w:r w:rsidR="0093406D">
        <w:rPr>
          <w:lang w:val="en-US"/>
        </w:rPr>
        <w:t xml:space="preserve">of </w:t>
      </w:r>
      <w:r w:rsidR="00A520A0">
        <w:rPr>
          <w:lang w:val="en-US"/>
        </w:rPr>
        <w:t xml:space="preserve">this, </w:t>
      </w:r>
      <w:r w:rsidR="00117D79" w:rsidRPr="00256AED">
        <w:rPr>
          <w:lang w:val="en-US"/>
        </w:rPr>
        <w:t xml:space="preserve">(local) welfare authorities are faced with the </w:t>
      </w:r>
      <w:r w:rsidR="00117D79" w:rsidRPr="00256AED">
        <w:rPr>
          <w:i/>
          <w:lang w:val="en-US"/>
        </w:rPr>
        <w:t>question</w:t>
      </w:r>
      <w:r w:rsidR="00117D79" w:rsidRPr="00256AED">
        <w:rPr>
          <w:lang w:val="en-US"/>
        </w:rPr>
        <w:t xml:space="preserve"> of lawful residence when assessing the eligibility of Union citizens to social benefits</w:t>
      </w:r>
      <w:r w:rsidR="0093406D">
        <w:rPr>
          <w:lang w:val="en-US"/>
        </w:rPr>
        <w:t xml:space="preserve">; their </w:t>
      </w:r>
      <w:r w:rsidR="0093406D">
        <w:rPr>
          <w:lang w:val="en-US"/>
        </w:rPr>
        <w:lastRenderedPageBreak/>
        <w:t>res</w:t>
      </w:r>
      <w:r w:rsidR="00117D79">
        <w:rPr>
          <w:lang w:val="en-US"/>
        </w:rPr>
        <w:t xml:space="preserve">idence status is </w:t>
      </w:r>
      <w:r w:rsidR="0093406D">
        <w:rPr>
          <w:lang w:val="en-US"/>
        </w:rPr>
        <w:t xml:space="preserve">essentially </w:t>
      </w:r>
      <w:r w:rsidR="00117D79">
        <w:rPr>
          <w:lang w:val="en-US"/>
        </w:rPr>
        <w:t>unknow</w:t>
      </w:r>
      <w:r w:rsidR="0093406D">
        <w:rPr>
          <w:lang w:val="en-US"/>
        </w:rPr>
        <w:t xml:space="preserve">n. As </w:t>
      </w:r>
      <w:r w:rsidR="00117D79">
        <w:rPr>
          <w:lang w:val="en-US"/>
        </w:rPr>
        <w:t xml:space="preserve">ember States </w:t>
      </w:r>
      <w:r>
        <w:rPr>
          <w:lang w:val="en-US"/>
        </w:rPr>
        <w:t xml:space="preserve">accept that the legal status of Union citizens depends on their </w:t>
      </w:r>
      <w:r w:rsidRPr="00A6004A">
        <w:rPr>
          <w:i/>
          <w:lang w:val="en-US"/>
        </w:rPr>
        <w:t>actual</w:t>
      </w:r>
      <w:r>
        <w:rPr>
          <w:lang w:val="en-US"/>
        </w:rPr>
        <w:t xml:space="preserve"> activities in their territory, they s</w:t>
      </w:r>
      <w:r w:rsidR="00117D79">
        <w:rPr>
          <w:lang w:val="en-US"/>
        </w:rPr>
        <w:t xml:space="preserve">hift from an </w:t>
      </w:r>
      <w:r w:rsidR="00117D79" w:rsidRPr="005363E5">
        <w:rPr>
          <w:i/>
          <w:lang w:val="en-US"/>
        </w:rPr>
        <w:t>a priori</w:t>
      </w:r>
      <w:r w:rsidR="00117D79">
        <w:rPr>
          <w:lang w:val="en-US"/>
        </w:rPr>
        <w:t xml:space="preserve"> to an </w:t>
      </w:r>
      <w:r w:rsidR="00117D79" w:rsidRPr="005363E5">
        <w:rPr>
          <w:i/>
          <w:lang w:val="en-US"/>
        </w:rPr>
        <w:t>ex post</w:t>
      </w:r>
      <w:r>
        <w:rPr>
          <w:lang w:val="en-US"/>
        </w:rPr>
        <w:t xml:space="preserve"> verification of residence conditions and </w:t>
      </w:r>
      <w:r w:rsidR="00117D79" w:rsidRPr="00256AED">
        <w:rPr>
          <w:lang w:val="en-US"/>
        </w:rPr>
        <w:t>focus on a</w:t>
      </w:r>
      <w:r w:rsidR="00117D79">
        <w:rPr>
          <w:lang w:val="en-US"/>
        </w:rPr>
        <w:t>n administrative</w:t>
      </w:r>
      <w:r w:rsidR="00117D79" w:rsidRPr="00256AED">
        <w:rPr>
          <w:lang w:val="en-US"/>
        </w:rPr>
        <w:t xml:space="preserve"> </w:t>
      </w:r>
      <w:r w:rsidR="00117D79" w:rsidRPr="00256AED">
        <w:rPr>
          <w:i/>
          <w:lang w:val="en-US"/>
        </w:rPr>
        <w:t>reconstruction</w:t>
      </w:r>
      <w:r w:rsidR="00117D79" w:rsidRPr="00256AED">
        <w:rPr>
          <w:lang w:val="en-US"/>
        </w:rPr>
        <w:t xml:space="preserve"> of</w:t>
      </w:r>
      <w:r w:rsidR="00117D79">
        <w:rPr>
          <w:lang w:val="en-US"/>
        </w:rPr>
        <w:t xml:space="preserve"> the actual activities of the Union</w:t>
      </w:r>
      <w:r w:rsidR="00117D79" w:rsidRPr="00256AED">
        <w:rPr>
          <w:lang w:val="en-US"/>
        </w:rPr>
        <w:t xml:space="preserve"> citizen on the Member State’s territory that inform</w:t>
      </w:r>
      <w:r w:rsidR="00117D79">
        <w:rPr>
          <w:lang w:val="en-US"/>
        </w:rPr>
        <w:t>s</w:t>
      </w:r>
      <w:r w:rsidR="00117D79" w:rsidRPr="00256AED">
        <w:rPr>
          <w:lang w:val="en-US"/>
        </w:rPr>
        <w:t xml:space="preserve"> decisions on the continuation or termination of lawful residence.</w:t>
      </w:r>
      <w:r w:rsidR="00117D79">
        <w:rPr>
          <w:lang w:val="en-US"/>
        </w:rPr>
        <w:t xml:space="preserve"> This generally </w:t>
      </w:r>
      <w:r w:rsidR="00117D79">
        <w:t xml:space="preserve">implies a shift in the burden of proof, as Union citizens can be requested to present evidence of their economic activity (tax payments, employment contracts, etc.), financial resources, actual residence, social contributions, social integration, etc., for their entire stay in the host country, of which evidence is often incomplete. </w:t>
      </w:r>
      <w:r>
        <w:t xml:space="preserve">Member States can then choose whether to ‘reverse’ the traditional information flow between migration authorities and welfare authorities or to delegate </w:t>
      </w:r>
      <w:r w:rsidR="00CD7FA0">
        <w:t xml:space="preserve">competences to the welfare authorities. </w:t>
      </w:r>
      <w:r w:rsidR="00117D79">
        <w:t>In terms of bureaucratic experience and implications for the Union citizen the two mod</w:t>
      </w:r>
      <w:r w:rsidR="00CD7FA0">
        <w:t xml:space="preserve">els differ substantially. </w:t>
      </w:r>
    </w:p>
    <w:p w:rsidR="00117D79" w:rsidRDefault="00B20B20" w:rsidP="00EE35BF">
      <w:pPr>
        <w:ind w:firstLine="720"/>
      </w:pPr>
      <w:r w:rsidRPr="00570C92">
        <w:rPr>
          <w:i/>
        </w:rPr>
        <w:t>The signal model.</w:t>
      </w:r>
      <w:r>
        <w:t xml:space="preserve"> </w:t>
      </w:r>
      <w:r w:rsidRPr="00002102">
        <w:t>In the</w:t>
      </w:r>
      <w:r w:rsidR="00FB3EA2">
        <w:t xml:space="preserve"> second ideal-typical model</w:t>
      </w:r>
      <w:r w:rsidR="00FA580D">
        <w:t xml:space="preserve">, </w:t>
      </w:r>
      <w:r w:rsidRPr="00002102">
        <w:t>Member State</w:t>
      </w:r>
      <w:r w:rsidR="00FA580D">
        <w:t>s have designed a</w:t>
      </w:r>
      <w:r w:rsidR="00FB3EA2">
        <w:t>n administrative</w:t>
      </w:r>
      <w:r w:rsidR="00FA580D">
        <w:t xml:space="preserve"> system in which Union citizens</w:t>
      </w:r>
      <w:r w:rsidR="002114A4">
        <w:t>’</w:t>
      </w:r>
      <w:r w:rsidR="00FA580D">
        <w:t xml:space="preserve"> rec</w:t>
      </w:r>
      <w:r w:rsidR="00FB3EA2">
        <w:t xml:space="preserve">ourse to the welfare state </w:t>
      </w:r>
      <w:r w:rsidR="00FA580D">
        <w:t>inform</w:t>
      </w:r>
      <w:r w:rsidR="00FB3EA2">
        <w:t>s</w:t>
      </w:r>
      <w:r w:rsidR="00FA580D">
        <w:t xml:space="preserve"> a </w:t>
      </w:r>
      <w:r w:rsidR="00A51475">
        <w:t>(</w:t>
      </w:r>
      <w:r w:rsidR="00FA580D">
        <w:t>first</w:t>
      </w:r>
      <w:r w:rsidR="00A51475">
        <w:t>)</w:t>
      </w:r>
      <w:r w:rsidR="00FA580D">
        <w:t xml:space="preserve"> decision on the right of residence of the Union citizen</w:t>
      </w:r>
      <w:r w:rsidR="00A51475">
        <w:t xml:space="preserve"> by the migration authorities</w:t>
      </w:r>
      <w:r w:rsidR="00FA580D">
        <w:t xml:space="preserve">. </w:t>
      </w:r>
      <w:r w:rsidR="00FB3EA2">
        <w:t>So</w:t>
      </w:r>
      <w:r w:rsidR="007B25EE">
        <w:t>cial authorities will communicate with migration authorities when they grant social assistance to a Union citizen. On the basis of th</w:t>
      </w:r>
      <w:r w:rsidR="00BE79B2">
        <w:t>is</w:t>
      </w:r>
      <w:r w:rsidR="007B25EE">
        <w:t xml:space="preserve"> information, the migration authorities will assess the potential </w:t>
      </w:r>
      <w:r w:rsidR="007B25EE" w:rsidRPr="00002102">
        <w:t xml:space="preserve">consequences for </w:t>
      </w:r>
      <w:r w:rsidR="007B25EE">
        <w:t xml:space="preserve">the Union citizens’ right of residence </w:t>
      </w:r>
      <w:r w:rsidR="007B25EE" w:rsidRPr="00002102">
        <w:t>under EU law.</w:t>
      </w:r>
      <w:r w:rsidR="007B25EE">
        <w:t xml:space="preserve"> </w:t>
      </w:r>
      <w:r>
        <w:t xml:space="preserve">As a result, the residence status of foreign Union citizens residing in the Member State remains in many cases </w:t>
      </w:r>
      <w:r w:rsidRPr="00925CA1">
        <w:rPr>
          <w:i/>
        </w:rPr>
        <w:t>unknown</w:t>
      </w:r>
      <w:r>
        <w:t xml:space="preserve"> and will only be determined when they come on the radar of </w:t>
      </w:r>
      <w:r w:rsidR="00A51475">
        <w:t xml:space="preserve">migration </w:t>
      </w:r>
      <w:r>
        <w:t xml:space="preserve">authorities </w:t>
      </w:r>
      <w:r w:rsidR="00BE79B2">
        <w:t>by through ‘signals’ sent by t</w:t>
      </w:r>
      <w:r w:rsidR="00FB3EA2">
        <w:t xml:space="preserve">he </w:t>
      </w:r>
      <w:r w:rsidR="00BE79B2">
        <w:t>welfare authorities</w:t>
      </w:r>
      <w:r>
        <w:t xml:space="preserve">. </w:t>
      </w:r>
      <w:r w:rsidR="00BE79B2">
        <w:t>It is clear however,</w:t>
      </w:r>
      <w:r w:rsidR="00125DC6">
        <w:t xml:space="preserve"> that the design and implementation of this model is challenging for a state administration as it requires a consistent and complex system of information exchange between different administrative offices.</w:t>
      </w:r>
      <w:r w:rsidR="00FB3EA2">
        <w:t xml:space="preserve"> Therefore, the stability and ‘success’ of this model depends on the effectiveness of cooperation and information exchange between the separated authorities.</w:t>
      </w:r>
    </w:p>
    <w:p w:rsidR="00940F86" w:rsidRPr="004613CD" w:rsidRDefault="00940F86" w:rsidP="00EE35BF">
      <w:pPr>
        <w:ind w:firstLine="720"/>
        <w:rPr>
          <w:lang w:val="en-US"/>
        </w:rPr>
      </w:pPr>
      <w:r>
        <w:t xml:space="preserve">The  signal model also creates a bureaucratic experience that closely resembles </w:t>
      </w:r>
      <w:r w:rsidRPr="00D87B79">
        <w:t xml:space="preserve">the situation in Kafka’s parable </w:t>
      </w:r>
      <w:r w:rsidRPr="00840F17">
        <w:rPr>
          <w:i/>
        </w:rPr>
        <w:t>Before the Law</w:t>
      </w:r>
      <w:r w:rsidRPr="00D87B79">
        <w:t>.</w:t>
      </w:r>
      <w:r>
        <w:rPr>
          <w:rStyle w:val="Voetnootmarkering"/>
        </w:rPr>
        <w:footnoteReference w:id="55"/>
      </w:r>
      <w:r w:rsidRPr="00D87B79">
        <w:t xml:space="preserve"> </w:t>
      </w:r>
      <w:r w:rsidR="00FB3EA2">
        <w:t xml:space="preserve">In a pure signal model, Union citizens will </w:t>
      </w:r>
      <w:r>
        <w:t xml:space="preserve">be treated equally with respect to access to social benefits, but their official interaction </w:t>
      </w:r>
      <w:r w:rsidRPr="00D87B79">
        <w:t xml:space="preserve">with the welfare state </w:t>
      </w:r>
      <w:r w:rsidRPr="008D3B5D">
        <w:rPr>
          <w:i/>
        </w:rPr>
        <w:t>can</w:t>
      </w:r>
      <w:r w:rsidRPr="00D87B79">
        <w:t xml:space="preserve"> have residential consequences</w:t>
      </w:r>
      <w:r>
        <w:t>. T</w:t>
      </w:r>
      <w:r w:rsidRPr="00D87B79">
        <w:t xml:space="preserve">he </w:t>
      </w:r>
      <w:r>
        <w:t xml:space="preserve">metaphorical </w:t>
      </w:r>
      <w:r w:rsidRPr="00D87B79">
        <w:t xml:space="preserve">‘gate’ towards social citizenship is </w:t>
      </w:r>
      <w:r>
        <w:t xml:space="preserve">initially </w:t>
      </w:r>
      <w:r w:rsidRPr="00D87B79">
        <w:t>open, bu</w:t>
      </w:r>
      <w:r>
        <w:t xml:space="preserve">t is characterised by a highly </w:t>
      </w:r>
      <w:r w:rsidRPr="00D87B79">
        <w:t>personalised</w:t>
      </w:r>
      <w:r>
        <w:t xml:space="preserve"> </w:t>
      </w:r>
      <w:r>
        <w:rPr>
          <w:i/>
        </w:rPr>
        <w:t>retrospective</w:t>
      </w:r>
      <w:r>
        <w:t xml:space="preserve"> construction</w:t>
      </w:r>
      <w:r w:rsidRPr="00D87B79">
        <w:t xml:space="preserve"> of</w:t>
      </w:r>
      <w:r>
        <w:t xml:space="preserve"> their conduct by the </w:t>
      </w:r>
      <w:r>
        <w:lastRenderedPageBreak/>
        <w:t xml:space="preserve">migration authority that might result in a termination of residence and an order to leave the country. </w:t>
      </w:r>
      <w:r w:rsidRPr="00D87B79">
        <w:t xml:space="preserve">As the very reason for applying for </w:t>
      </w:r>
      <w:r>
        <w:t>social assistance</w:t>
      </w:r>
      <w:r w:rsidRPr="00D87B79">
        <w:t xml:space="preserve"> might invalidate their right of residence, the law applies forcefully in its </w:t>
      </w:r>
      <w:r w:rsidRPr="00F426C9">
        <w:rPr>
          <w:i/>
        </w:rPr>
        <w:t>openness</w:t>
      </w:r>
      <w:r w:rsidRPr="00D87B79">
        <w:t xml:space="preserve"> and may deter foreign Union citizens from engagement with the welfare system at all</w:t>
      </w:r>
      <w:r>
        <w:t>.</w:t>
      </w:r>
      <w:r>
        <w:rPr>
          <w:rStyle w:val="Voetnootmarkering"/>
        </w:rPr>
        <w:footnoteReference w:id="56"/>
      </w:r>
      <w:r>
        <w:t xml:space="preserve"> When a Member State does not expel or when Union citizens strategically decide not to apply for benefits, the result of this model is one of </w:t>
      </w:r>
      <w:r w:rsidRPr="00131B8D">
        <w:rPr>
          <w:i/>
        </w:rPr>
        <w:t>de facto</w:t>
      </w:r>
      <w:r>
        <w:t xml:space="preserve"> stratification of the welfare state.  </w:t>
      </w:r>
    </w:p>
    <w:p w:rsidR="00940F86" w:rsidRDefault="00F33909" w:rsidP="00EE35BF">
      <w:pPr>
        <w:ind w:firstLine="720"/>
      </w:pPr>
      <w:r w:rsidRPr="00F33909">
        <w:rPr>
          <w:i/>
        </w:rPr>
        <w:t xml:space="preserve">The delegated model. </w:t>
      </w:r>
      <w:r w:rsidR="00BE79B2">
        <w:t xml:space="preserve">In the </w:t>
      </w:r>
      <w:r w:rsidR="00EE35BF">
        <w:t xml:space="preserve">third </w:t>
      </w:r>
      <w:r w:rsidR="00BE79B2">
        <w:t>model, Member States have delegated the competence to decide on the right of residence of Union c</w:t>
      </w:r>
      <w:r w:rsidR="004B1C32">
        <w:t>itizens to welfare authorities. W</w:t>
      </w:r>
      <w:r w:rsidR="00BE79B2">
        <w:t xml:space="preserve">elfare authorities </w:t>
      </w:r>
      <w:r w:rsidR="004B1C32">
        <w:t xml:space="preserve">can independently exclude Union citizens on the basis of the residence conditions under EU law and do not </w:t>
      </w:r>
      <w:r w:rsidR="00BE79B2">
        <w:t>need the coope</w:t>
      </w:r>
      <w:r w:rsidR="004B1C32">
        <w:t>ration of migration authorities anymore</w:t>
      </w:r>
      <w:r w:rsidR="00BE79B2">
        <w:t xml:space="preserve">. </w:t>
      </w:r>
      <w:r w:rsidR="00125DC6">
        <w:t>From the perspective of administration, this ‘delegation’ model entails a shift in administrative burden and professional expertise from the migration authorities to welfare authorities; civil servants responsible for granting social assistance have to be trained in assessing the legality of residence of EU migrants.</w:t>
      </w:r>
      <w:r w:rsidR="00EE35BF">
        <w:t xml:space="preserve"> </w:t>
      </w:r>
      <w:r w:rsidR="003E0CF1">
        <w:rPr>
          <w:lang w:val="en-US"/>
        </w:rPr>
        <w:t xml:space="preserve">The ‘success’ of this model depends on the uniform expansion of expertise amongst social authorities and their staff with respect to the residence rights of Union citizens. This process can therefore be expected to be less constraining for Member States with a high degree of centralization in welfare provision in contrast to Member States with decentralized (regional/local) authorities. </w:t>
      </w:r>
      <w:r w:rsidR="00940F86">
        <w:t xml:space="preserve">Where the signal model still links the welfare state with territorial presence, the delegated model implies and leads to a welfare state with an accepted form of stratified membership. Since social authorities do not require an explicit decision form the migration authority, they will integrate an assessment of the residence conditions in their general decision of whether to grant a benefit and not act on possible territorial consequences. The result is a Member State within which certain residents are ‘tolerated’ but do not have access to the welfare state. </w:t>
      </w:r>
    </w:p>
    <w:p w:rsidR="00940F86" w:rsidRDefault="00940F86" w:rsidP="00125DC6">
      <w:pPr>
        <w:ind w:firstLine="720"/>
      </w:pPr>
    </w:p>
    <w:p w:rsidR="00940F86" w:rsidRDefault="00940F86" w:rsidP="00125DC6">
      <w:pPr>
        <w:ind w:firstLine="720"/>
      </w:pPr>
    </w:p>
    <w:p w:rsidR="00B02216" w:rsidRDefault="00B02216" w:rsidP="00B02216"/>
    <w:p w:rsidR="00125DC6" w:rsidRPr="00445296" w:rsidRDefault="00125DC6" w:rsidP="000257D2">
      <w:pPr>
        <w:rPr>
          <w:lang w:val="en-US"/>
        </w:rPr>
      </w:pPr>
    </w:p>
    <w:p w:rsidR="00B05F83" w:rsidRDefault="00B05F83" w:rsidP="00B05F83">
      <w:pPr>
        <w:ind w:firstLine="720"/>
      </w:pPr>
    </w:p>
    <w:p w:rsidR="004B1C32" w:rsidRDefault="004B1C32" w:rsidP="007B6ACF">
      <w:pPr>
        <w:pStyle w:val="Kop1"/>
        <w:sectPr w:rsidR="004B1C32" w:rsidSect="00A8407C">
          <w:pgSz w:w="12240" w:h="15840"/>
          <w:pgMar w:top="1440" w:right="1440" w:bottom="1440" w:left="1440" w:header="708" w:footer="708" w:gutter="0"/>
          <w:cols w:space="708"/>
          <w:docGrid w:linePitch="360"/>
        </w:sectPr>
      </w:pPr>
    </w:p>
    <w:p w:rsidR="007B6ACF" w:rsidRPr="00455D4D" w:rsidRDefault="00FA4C93" w:rsidP="007B6ACF">
      <w:pPr>
        <w:pStyle w:val="Kop1"/>
      </w:pPr>
      <w:r>
        <w:lastRenderedPageBreak/>
        <w:t>5</w:t>
      </w:r>
      <w:r w:rsidR="007B6ACF" w:rsidRPr="00002102">
        <w:t xml:space="preserve">. </w:t>
      </w:r>
      <w:r w:rsidR="00455D4D">
        <w:t xml:space="preserve">The </w:t>
      </w:r>
      <w:r w:rsidR="007B6ACF" w:rsidRPr="00002102">
        <w:t>Netherlands</w:t>
      </w:r>
      <w:r w:rsidR="00013DD3">
        <w:t xml:space="preserve"> (2001-2016)</w:t>
      </w:r>
      <w:r w:rsidR="007B6ACF">
        <w:t xml:space="preserve">: From </w:t>
      </w:r>
      <w:r w:rsidR="00DB7FCF" w:rsidRPr="006156C1">
        <w:rPr>
          <w:i/>
        </w:rPr>
        <w:t>Form</w:t>
      </w:r>
      <w:r w:rsidR="00DB7FCF">
        <w:t xml:space="preserve"> to </w:t>
      </w:r>
      <w:r w:rsidR="00DB7FCF" w:rsidRPr="006156C1">
        <w:rPr>
          <w:i/>
        </w:rPr>
        <w:t>Signal</w:t>
      </w:r>
      <w:r w:rsidR="00455D4D">
        <w:t xml:space="preserve"> with Separated Authorities </w:t>
      </w:r>
    </w:p>
    <w:p w:rsidR="007B6ACF" w:rsidRPr="00002102" w:rsidRDefault="007B6ACF" w:rsidP="007B6ACF"/>
    <w:p w:rsidR="007B6ACF" w:rsidRDefault="007B6ACF" w:rsidP="007B6ACF">
      <w:r>
        <w:t>This secti</w:t>
      </w:r>
      <w:r w:rsidR="00412EBA">
        <w:t xml:space="preserve">on proceeds by presenting a thick description </w:t>
      </w:r>
      <w:r>
        <w:t xml:space="preserve">of an in-depth </w:t>
      </w:r>
      <w:r w:rsidR="00B72630">
        <w:t xml:space="preserve">qualitative </w:t>
      </w:r>
      <w:r>
        <w:t xml:space="preserve">case </w:t>
      </w:r>
      <w:r w:rsidRPr="00002102">
        <w:t xml:space="preserve">study </w:t>
      </w:r>
      <w:r w:rsidR="00B72630">
        <w:t xml:space="preserve">of </w:t>
      </w:r>
      <w:r w:rsidR="00B72630" w:rsidRPr="008457AE">
        <w:t xml:space="preserve">the </w:t>
      </w:r>
      <w:r w:rsidR="00B72630">
        <w:t xml:space="preserve">transformation of the </w:t>
      </w:r>
      <w:r w:rsidR="00B72630" w:rsidRPr="008457AE">
        <w:t>Netherlands’ social assistance administration</w:t>
      </w:r>
      <w:r w:rsidR="00B72630">
        <w:t xml:space="preserve"> between 2001</w:t>
      </w:r>
      <w:r w:rsidR="00EB0C6D">
        <w:t xml:space="preserve"> and 2016</w:t>
      </w:r>
      <w:r w:rsidR="00B72630">
        <w:t xml:space="preserve">. </w:t>
      </w:r>
      <w:r w:rsidR="00FA4C93">
        <w:t xml:space="preserve">For the purpose of this study, </w:t>
      </w:r>
      <w:r w:rsidR="004B1C32">
        <w:t xml:space="preserve">we can expect </w:t>
      </w:r>
      <w:r w:rsidR="00FA4C93">
        <w:t xml:space="preserve">the </w:t>
      </w:r>
      <w:r w:rsidR="00013DD3">
        <w:t xml:space="preserve">Netherlands </w:t>
      </w:r>
      <w:r w:rsidR="004B1C32">
        <w:t xml:space="preserve">to </w:t>
      </w:r>
      <w:r w:rsidR="004B1C32" w:rsidRPr="00412EBA">
        <w:t>be a</w:t>
      </w:r>
      <w:r w:rsidR="00FA4C93" w:rsidRPr="00412EBA">
        <w:t xml:space="preserve"> </w:t>
      </w:r>
      <w:r w:rsidR="0076321D" w:rsidRPr="00412EBA">
        <w:t>‘</w:t>
      </w:r>
      <w:r w:rsidR="00FA4C93" w:rsidRPr="00412EBA">
        <w:t>most-likely</w:t>
      </w:r>
      <w:r w:rsidR="0076321D" w:rsidRPr="00412EBA">
        <w:t>’</w:t>
      </w:r>
      <w:r w:rsidR="00FA4C93" w:rsidRPr="00412EBA">
        <w:t xml:space="preserve"> case </w:t>
      </w:r>
      <w:r w:rsidR="004B1C32" w:rsidRPr="00412EBA">
        <w:t>to</w:t>
      </w:r>
      <w:r w:rsidR="004B1C32">
        <w:t xml:space="preserve"> study administrative adjustment under EU free movement law.</w:t>
      </w:r>
      <w:r w:rsidR="00013DD3">
        <w:t xml:space="preserve"> </w:t>
      </w:r>
      <w:r w:rsidR="004B1C32">
        <w:t>The country is generally classified as one in which domestic political concerns play a crucial role in the compliance with EU law</w:t>
      </w:r>
      <w:r w:rsidR="004B1C32">
        <w:rPr>
          <w:rStyle w:val="Voetnootmarkering"/>
        </w:rPr>
        <w:footnoteReference w:id="57"/>
      </w:r>
      <w:r w:rsidR="004B1C32">
        <w:t xml:space="preserve"> while its courts are described as ‘strikingly receptive’ towards the message from Luxembourg.</w:t>
      </w:r>
      <w:r w:rsidR="004B1C32">
        <w:rPr>
          <w:rStyle w:val="Voetnootmarkering"/>
        </w:rPr>
        <w:footnoteReference w:id="58"/>
      </w:r>
      <w:r w:rsidR="004B1C32">
        <w:t xml:space="preserve"> As a result,</w:t>
      </w:r>
      <w:r w:rsidR="008544EE">
        <w:t xml:space="preserve"> the </w:t>
      </w:r>
      <w:r w:rsidR="004B1C32">
        <w:t xml:space="preserve">administrative adjustment process will be politically informed </w:t>
      </w:r>
      <w:r w:rsidR="008544EE">
        <w:t>with c</w:t>
      </w:r>
      <w:r w:rsidR="004B1C32">
        <w:t xml:space="preserve">lose attention to the message from Luxembourg as it is </w:t>
      </w:r>
      <w:r w:rsidR="008544EE">
        <w:t>enforced through the national court system.</w:t>
      </w:r>
      <w:r w:rsidR="00013DD3">
        <w:t xml:space="preserve"> Methodologically, the research relies on</w:t>
      </w:r>
      <w:r w:rsidR="008544EE">
        <w:t xml:space="preserve"> techniques of process tracing: </w:t>
      </w:r>
      <w:r w:rsidR="00013DD3">
        <w:t>a single case method with a focus on causal ‘</w:t>
      </w:r>
      <w:r w:rsidR="00013DD3">
        <w:rPr>
          <w:lang w:val="en-US"/>
        </w:rPr>
        <w:t>within case’ inference</w:t>
      </w:r>
      <w:r w:rsidR="00013DD3">
        <w:t xml:space="preserve"> aimed at</w:t>
      </w:r>
      <w:r w:rsidR="00013DD3">
        <w:rPr>
          <w:lang w:val="en-US"/>
        </w:rPr>
        <w:t xml:space="preserve"> explaining and </w:t>
      </w:r>
      <w:r w:rsidR="00013DD3" w:rsidRPr="00EB0C6D">
        <w:rPr>
          <w:lang w:val="en-US"/>
        </w:rPr>
        <w:t>understand</w:t>
      </w:r>
      <w:r w:rsidR="00013DD3">
        <w:rPr>
          <w:lang w:val="en-US"/>
        </w:rPr>
        <w:t>ing</w:t>
      </w:r>
      <w:r w:rsidR="00013DD3" w:rsidRPr="00EB0C6D">
        <w:rPr>
          <w:lang w:val="en-US"/>
        </w:rPr>
        <w:t xml:space="preserve"> how</w:t>
      </w:r>
      <w:r w:rsidR="00013DD3">
        <w:rPr>
          <w:lang w:val="en-US"/>
        </w:rPr>
        <w:t xml:space="preserve"> an outcome is produced by studying the process leading up to it.</w:t>
      </w:r>
      <w:r w:rsidR="00013DD3">
        <w:rPr>
          <w:rStyle w:val="Voetnootmarkering"/>
          <w:lang w:val="en-US"/>
        </w:rPr>
        <w:footnoteReference w:id="59"/>
      </w:r>
      <w:r w:rsidR="00013DD3">
        <w:t xml:space="preserve"> The analysis </w:t>
      </w:r>
      <w:r>
        <w:t xml:space="preserve">draws on government documents and working instructions signifying legislative and policy changes, </w:t>
      </w:r>
      <w:r w:rsidR="00EB7472">
        <w:t xml:space="preserve">qualitative </w:t>
      </w:r>
      <w:r w:rsidRPr="00002102">
        <w:t>inte</w:t>
      </w:r>
      <w:r w:rsidR="00EB7472">
        <w:t>rviews</w:t>
      </w:r>
      <w:r>
        <w:t xml:space="preserve">, domestic case law </w:t>
      </w:r>
      <w:r w:rsidRPr="00002102">
        <w:t>and participatory research.</w:t>
      </w:r>
      <w:r>
        <w:t xml:space="preserve"> Interviews were conducted with officials of five municipalities, the welfare authorities who are responsible for granting social assistance</w:t>
      </w:r>
      <w:r w:rsidR="00EB7472">
        <w:t xml:space="preserve"> in the Netherlands</w:t>
      </w:r>
      <w:r>
        <w:t>, and civil servants of the Immigration and Naturalisation Service</w:t>
      </w:r>
      <w:r w:rsidR="00EB7472">
        <w:t>,</w:t>
      </w:r>
      <w:r>
        <w:t xml:space="preserve"> responsible for assessing dossiers of Union citizens who applied for social assistance.</w:t>
      </w:r>
      <w:r w:rsidR="00BF473D">
        <w:rPr>
          <w:rStyle w:val="Voetnootmarkering"/>
        </w:rPr>
        <w:footnoteReference w:id="60"/>
      </w:r>
      <w:r>
        <w:t xml:space="preserve"> I created a database containing all available and relevant domestic case law relating to Union citizens and questions about their right to social assis</w:t>
      </w:r>
      <w:r w:rsidR="00BF473D">
        <w:t>tance in the period between 2000</w:t>
      </w:r>
      <w:r>
        <w:t xml:space="preserve"> and 2016.</w:t>
      </w:r>
      <w:r>
        <w:rPr>
          <w:rStyle w:val="Voetnootmarkering"/>
        </w:rPr>
        <w:footnoteReference w:id="61"/>
      </w:r>
      <w:r>
        <w:t xml:space="preserve"> </w:t>
      </w:r>
      <w:r w:rsidR="00907641">
        <w:t>Finally, b</w:t>
      </w:r>
      <w:r>
        <w:t xml:space="preserve">y volunteering for interest groups in </w:t>
      </w:r>
      <w:r>
        <w:lastRenderedPageBreak/>
        <w:t xml:space="preserve">the city of Amsterdam (2015-2016), I was able to observe the </w:t>
      </w:r>
      <w:r w:rsidRPr="00002102">
        <w:t xml:space="preserve">process of individual </w:t>
      </w:r>
      <w:r>
        <w:t xml:space="preserve">Union </w:t>
      </w:r>
      <w:r w:rsidRPr="00002102">
        <w:t xml:space="preserve">citizens </w:t>
      </w:r>
      <w:r>
        <w:t xml:space="preserve">who applied for </w:t>
      </w:r>
      <w:r w:rsidRPr="00002102">
        <w:t xml:space="preserve">social assistance and other social services, </w:t>
      </w:r>
      <w:r>
        <w:t xml:space="preserve">enabling me to </w:t>
      </w:r>
      <w:r w:rsidRPr="00002102">
        <w:t xml:space="preserve">trace the actual processes and procedures applied in various situations and corroborate the evidence retrieved from the other sources. </w:t>
      </w:r>
    </w:p>
    <w:p w:rsidR="00412EBA" w:rsidRDefault="00A022B9" w:rsidP="002555B1">
      <w:pPr>
        <w:ind w:firstLine="720"/>
      </w:pPr>
      <w:r>
        <w:t>I</w:t>
      </w:r>
      <w:r w:rsidR="007B6ACF">
        <w:t xml:space="preserve"> distinguish three periods. Despite facing challenges from courts to treat the entitlements of Union</w:t>
      </w:r>
      <w:r w:rsidR="008544EE">
        <w:t xml:space="preserve"> citizens</w:t>
      </w:r>
      <w:r w:rsidR="007B6ACF">
        <w:t xml:space="preserve"> independently from administrative sta</w:t>
      </w:r>
      <w:r w:rsidR="00907641">
        <w:t>tus, during a first period (2001</w:t>
      </w:r>
      <w:r w:rsidR="007B6ACF">
        <w:t xml:space="preserve">-2007) Dutch authorities still had in place the administrative </w:t>
      </w:r>
      <w:r w:rsidR="007B6ACF" w:rsidRPr="000341FA">
        <w:rPr>
          <w:i/>
        </w:rPr>
        <w:t>modus operandi</w:t>
      </w:r>
      <w:r w:rsidR="007B6ACF">
        <w:t xml:space="preserve"> applying to regular migrants,  requiring them to have both a valid residence permit and the </w:t>
      </w:r>
      <w:r w:rsidR="00007C3A">
        <w:t>‘</w:t>
      </w:r>
      <w:r w:rsidR="007B6ACF">
        <w:t>correct</w:t>
      </w:r>
      <w:r w:rsidR="00007C3A">
        <w:t>’</w:t>
      </w:r>
      <w:r w:rsidR="007B6ACF">
        <w:t xml:space="preserve"> residence code in the Aliens Database. A second period was initiated with the implementati</w:t>
      </w:r>
      <w:r w:rsidR="008544EE">
        <w:t xml:space="preserve">on of the Citizens Directive. Perhaps surprisingly, partly as </w:t>
      </w:r>
      <w:r w:rsidR="00412EBA">
        <w:t xml:space="preserve">a result of this, policy drift is observed </w:t>
      </w:r>
      <w:r w:rsidR="007B6ACF">
        <w:t xml:space="preserve">with widely varying </w:t>
      </w:r>
      <w:r w:rsidR="00412EBA">
        <w:t xml:space="preserve">administrative practices of welfare authorities </w:t>
      </w:r>
      <w:r w:rsidR="00907641">
        <w:t xml:space="preserve">and a dysfunctional information </w:t>
      </w:r>
      <w:r w:rsidR="007B6ACF">
        <w:t xml:space="preserve">procedure with the </w:t>
      </w:r>
      <w:r w:rsidR="00412EBA">
        <w:t>migration authority</w:t>
      </w:r>
      <w:r w:rsidR="007B6ACF">
        <w:t>. A third period (2013 – 2016) can be identified</w:t>
      </w:r>
      <w:r w:rsidR="0046426A">
        <w:t xml:space="preserve"> with an important judgment of </w:t>
      </w:r>
      <w:r w:rsidR="007B6ACF">
        <w:t xml:space="preserve">Administrative </w:t>
      </w:r>
      <w:r w:rsidR="0046426A">
        <w:t xml:space="preserve">High </w:t>
      </w:r>
      <w:r w:rsidR="007B6ACF">
        <w:t>Court</w:t>
      </w:r>
      <w:r w:rsidR="00036D33">
        <w:t xml:space="preserve"> (2013)</w:t>
      </w:r>
      <w:r w:rsidR="007B6ACF">
        <w:t>, declaring the Immigration Service the only competent authority to decide on the legality of residence of Union citizens, and the abolishment of any registration duty</w:t>
      </w:r>
      <w:r w:rsidR="00036D33">
        <w:t xml:space="preserve"> (2014)</w:t>
      </w:r>
      <w:r w:rsidR="007B6ACF">
        <w:t>. It will be argued that together these periods represent a contested yet gradual transfo</w:t>
      </w:r>
      <w:r w:rsidR="00007C3A">
        <w:t xml:space="preserve">rmation from a </w:t>
      </w:r>
      <w:r w:rsidR="00007C3A" w:rsidRPr="00007C3A">
        <w:rPr>
          <w:i/>
        </w:rPr>
        <w:t>form</w:t>
      </w:r>
      <w:r w:rsidR="00007C3A">
        <w:t xml:space="preserve"> to a </w:t>
      </w:r>
      <w:r w:rsidR="00007C3A" w:rsidRPr="00007C3A">
        <w:rPr>
          <w:i/>
        </w:rPr>
        <w:t>signal</w:t>
      </w:r>
      <w:r w:rsidR="00007C3A">
        <w:t xml:space="preserve"> </w:t>
      </w:r>
      <w:r w:rsidR="00412EBA">
        <w:t xml:space="preserve">model. A final subsection indicates however that recent ECJ case law may lead to a process of delegation towards social authorities in the future. </w:t>
      </w:r>
    </w:p>
    <w:p w:rsidR="00412EBA" w:rsidRDefault="00412EBA" w:rsidP="002555B1">
      <w:pPr>
        <w:ind w:firstLine="720"/>
      </w:pPr>
    </w:p>
    <w:p w:rsidR="00B46CC6" w:rsidRDefault="00412EBA" w:rsidP="002555B1">
      <w:pPr>
        <w:ind w:firstLine="720"/>
      </w:pPr>
      <w:r>
        <w:rPr>
          <w:noProof/>
          <w:lang w:val="nl-NL" w:eastAsia="nl-NL"/>
        </w:rPr>
        <w:lastRenderedPageBreak/>
        <mc:AlternateContent>
          <mc:Choice Requires="wpg">
            <w:drawing>
              <wp:anchor distT="0" distB="0" distL="114300" distR="114300" simplePos="0" relativeHeight="251694592" behindDoc="0" locked="0" layoutInCell="1" allowOverlap="1">
                <wp:simplePos x="0" y="0"/>
                <wp:positionH relativeFrom="column">
                  <wp:posOffset>-19050</wp:posOffset>
                </wp:positionH>
                <wp:positionV relativeFrom="paragraph">
                  <wp:posOffset>238125</wp:posOffset>
                </wp:positionV>
                <wp:extent cx="5966872" cy="2940050"/>
                <wp:effectExtent l="0" t="0" r="0" b="0"/>
                <wp:wrapTopAndBottom/>
                <wp:docPr id="1" name="Groep 1"/>
                <wp:cNvGraphicFramePr/>
                <a:graphic xmlns:a="http://schemas.openxmlformats.org/drawingml/2006/main">
                  <a:graphicData uri="http://schemas.microsoft.com/office/word/2010/wordprocessingGroup">
                    <wpg:wgp>
                      <wpg:cNvGrpSpPr/>
                      <wpg:grpSpPr>
                        <a:xfrm>
                          <a:off x="0" y="0"/>
                          <a:ext cx="5966872" cy="2940050"/>
                          <a:chOff x="0" y="0"/>
                          <a:chExt cx="5966872" cy="2940050"/>
                        </a:xfrm>
                      </wpg:grpSpPr>
                      <wps:wsp>
                        <wps:cNvPr id="37" name="Text Box 2"/>
                        <wps:cNvSpPr txBox="1">
                          <a:spLocks noChangeArrowheads="1"/>
                        </wps:cNvSpPr>
                        <wps:spPr bwMode="auto">
                          <a:xfrm>
                            <a:off x="2952750" y="838200"/>
                            <a:ext cx="3014122" cy="1040937"/>
                          </a:xfrm>
                          <a:prstGeom prst="rect">
                            <a:avLst/>
                          </a:prstGeom>
                          <a:noFill/>
                          <a:ln w="9525">
                            <a:noFill/>
                            <a:miter lim="800000"/>
                            <a:headEnd/>
                            <a:tailEnd/>
                          </a:ln>
                        </wps:spPr>
                        <wps:txbx>
                          <w:txbxContent>
                            <w:p w:rsidR="00491B8A" w:rsidRPr="002E19A9" w:rsidRDefault="00491B8A" w:rsidP="00B46CC6">
                              <w:pPr>
                                <w:jc w:val="left"/>
                                <w:rPr>
                                  <w:b/>
                                  <w:u w:val="single"/>
                                </w:rPr>
                              </w:pPr>
                              <w:r w:rsidRPr="002E19A9">
                                <w:rPr>
                                  <w:b/>
                                  <w:u w:val="single"/>
                                </w:rPr>
                                <w:t xml:space="preserve">2. </w:t>
                              </w:r>
                              <w:r>
                                <w:rPr>
                                  <w:b/>
                                  <w:u w:val="single"/>
                                </w:rPr>
                                <w:t>Signal (2013-2016)</w:t>
                              </w:r>
                            </w:p>
                            <w:p w:rsidR="00491B8A" w:rsidRPr="007D02E9" w:rsidRDefault="00491B8A" w:rsidP="00B46CC6">
                              <w:pPr>
                                <w:jc w:val="left"/>
                                <w:rPr>
                                  <w:b/>
                                </w:rPr>
                              </w:pPr>
                            </w:p>
                          </w:txbxContent>
                        </wps:txbx>
                        <wps:bodyPr rot="0" vert="horz" wrap="square" lIns="91440" tIns="45720" rIns="91440" bIns="45720" anchor="t" anchorCtr="0">
                          <a:noAutofit/>
                        </wps:bodyPr>
                      </wps:wsp>
                      <wps:wsp>
                        <wps:cNvPr id="38" name="Text Box 2"/>
                        <wps:cNvSpPr txBox="1">
                          <a:spLocks noChangeArrowheads="1"/>
                        </wps:cNvSpPr>
                        <wps:spPr bwMode="auto">
                          <a:xfrm>
                            <a:off x="2943225" y="2076450"/>
                            <a:ext cx="3013710" cy="700405"/>
                          </a:xfrm>
                          <a:prstGeom prst="rect">
                            <a:avLst/>
                          </a:prstGeom>
                          <a:noFill/>
                          <a:ln w="9525">
                            <a:noFill/>
                            <a:miter lim="800000"/>
                            <a:headEnd/>
                            <a:tailEnd/>
                          </a:ln>
                        </wps:spPr>
                        <wps:txbx>
                          <w:txbxContent>
                            <w:p w:rsidR="00491B8A" w:rsidRPr="00322E91" w:rsidRDefault="00491B8A" w:rsidP="00B46CC6">
                              <w:pPr>
                                <w:rPr>
                                  <w:b/>
                                  <w:u w:val="single"/>
                                </w:rPr>
                              </w:pPr>
                              <w:r w:rsidRPr="002E19A9">
                                <w:rPr>
                                  <w:b/>
                                  <w:u w:val="single"/>
                                </w:rPr>
                                <w:t>3. Delegated</w:t>
                              </w:r>
                              <w:r>
                                <w:rPr>
                                  <w:b/>
                                  <w:u w:val="single"/>
                                </w:rPr>
                                <w:t xml:space="preserve"> (2017-…)</w:t>
                              </w:r>
                            </w:p>
                            <w:p w:rsidR="00491B8A" w:rsidRDefault="00491B8A" w:rsidP="00B46CC6"/>
                          </w:txbxContent>
                        </wps:txbx>
                        <wps:bodyPr rot="0" vert="horz" wrap="square" lIns="91440" tIns="45720" rIns="91440" bIns="45720" anchor="t" anchorCtr="0">
                          <a:noAutofit/>
                        </wps:bodyPr>
                      </wps:wsp>
                      <wps:wsp>
                        <wps:cNvPr id="39" name="Text Box 2"/>
                        <wps:cNvSpPr txBox="1">
                          <a:spLocks noChangeArrowheads="1"/>
                        </wps:cNvSpPr>
                        <wps:spPr bwMode="auto">
                          <a:xfrm>
                            <a:off x="19050" y="171450"/>
                            <a:ext cx="1530985" cy="1073785"/>
                          </a:xfrm>
                          <a:prstGeom prst="rect">
                            <a:avLst/>
                          </a:prstGeom>
                          <a:noFill/>
                          <a:ln w="9525">
                            <a:noFill/>
                            <a:miter lim="800000"/>
                            <a:headEnd/>
                            <a:tailEnd/>
                          </a:ln>
                        </wps:spPr>
                        <wps:txbx>
                          <w:txbxContent>
                            <w:p w:rsidR="00491B8A" w:rsidRPr="007D02E9" w:rsidRDefault="00491B8A" w:rsidP="00F76CC1">
                              <w:pPr>
                                <w:jc w:val="left"/>
                                <w:rPr>
                                  <w:i/>
                                </w:rPr>
                              </w:pPr>
                              <w:r>
                                <w:rPr>
                                  <w:i/>
                                </w:rPr>
                                <w:t>Registration formalities (A priori verification)</w:t>
                              </w:r>
                            </w:p>
                          </w:txbxContent>
                        </wps:txbx>
                        <wps:bodyPr rot="0" vert="horz" wrap="square" lIns="91440" tIns="45720" rIns="91440" bIns="45720" anchor="t" anchorCtr="0">
                          <a:noAutofit/>
                        </wps:bodyPr>
                      </wps:wsp>
                      <wps:wsp>
                        <wps:cNvPr id="40" name="Rechte verbindingslijn met pijl 40"/>
                        <wps:cNvCnPr/>
                        <wps:spPr>
                          <a:xfrm>
                            <a:off x="1666875" y="323850"/>
                            <a:ext cx="1059180" cy="0"/>
                          </a:xfrm>
                          <a:prstGeom prst="straightConnector1">
                            <a:avLst/>
                          </a:prstGeom>
                          <a:ln w="12700">
                            <a:prstDash val="dash"/>
                            <a:tailEnd type="triangle"/>
                          </a:ln>
                        </wps:spPr>
                        <wps:style>
                          <a:lnRef idx="1">
                            <a:schemeClr val="dk1"/>
                          </a:lnRef>
                          <a:fillRef idx="0">
                            <a:schemeClr val="dk1"/>
                          </a:fillRef>
                          <a:effectRef idx="0">
                            <a:schemeClr val="dk1"/>
                          </a:effectRef>
                          <a:fontRef idx="minor">
                            <a:schemeClr val="tx1"/>
                          </a:fontRef>
                        </wps:style>
                        <wps:bodyPr/>
                      </wps:wsp>
                      <wps:wsp>
                        <wps:cNvPr id="41" name="Text Box 2"/>
                        <wps:cNvSpPr txBox="1">
                          <a:spLocks noChangeArrowheads="1"/>
                        </wps:cNvSpPr>
                        <wps:spPr bwMode="auto">
                          <a:xfrm>
                            <a:off x="3019425" y="152400"/>
                            <a:ext cx="2466340" cy="594995"/>
                          </a:xfrm>
                          <a:prstGeom prst="rect">
                            <a:avLst/>
                          </a:prstGeom>
                          <a:noFill/>
                          <a:ln w="9525">
                            <a:noFill/>
                            <a:miter lim="800000"/>
                            <a:headEnd/>
                            <a:tailEnd/>
                          </a:ln>
                        </wps:spPr>
                        <wps:txbx>
                          <w:txbxContent>
                            <w:p w:rsidR="00491B8A" w:rsidRPr="007D02E9" w:rsidRDefault="00491B8A" w:rsidP="00F76CC1">
                              <w:pPr>
                                <w:rPr>
                                  <w:i/>
                                </w:rPr>
                              </w:pPr>
                              <w:r w:rsidRPr="007D02E9">
                                <w:rPr>
                                  <w:i/>
                                </w:rPr>
                                <w:t>No registration formalities</w:t>
                              </w:r>
                              <w:r>
                                <w:rPr>
                                  <w:i/>
                                </w:rPr>
                                <w:t xml:space="preserve"> (Ex post verification)</w:t>
                              </w:r>
                            </w:p>
                            <w:p w:rsidR="00491B8A" w:rsidRPr="007D02E9" w:rsidRDefault="00491B8A" w:rsidP="00B46CC6">
                              <w:pPr>
                                <w:rPr>
                                  <w:i/>
                                </w:rPr>
                              </w:pPr>
                              <w:r>
                                <w:rPr>
                                  <w:i/>
                                </w:rPr>
                                <w:t>)</w:t>
                              </w:r>
                              <w:r w:rsidRPr="007D02E9">
                                <w:rPr>
                                  <w:i/>
                                </w:rPr>
                                <w:t xml:space="preserve"> </w:t>
                              </w:r>
                            </w:p>
                          </w:txbxContent>
                        </wps:txbx>
                        <wps:bodyPr rot="0" vert="horz" wrap="square" lIns="91440" tIns="45720" rIns="91440" bIns="45720" anchor="t" anchorCtr="0">
                          <a:noAutofit/>
                        </wps:bodyPr>
                      </wps:wsp>
                      <wps:wsp>
                        <wps:cNvPr id="42" name="Text Box 2"/>
                        <wps:cNvSpPr txBox="1">
                          <a:spLocks noChangeArrowheads="1"/>
                        </wps:cNvSpPr>
                        <wps:spPr bwMode="auto">
                          <a:xfrm>
                            <a:off x="19050" y="1343025"/>
                            <a:ext cx="1551940" cy="1031240"/>
                          </a:xfrm>
                          <a:prstGeom prst="rect">
                            <a:avLst/>
                          </a:prstGeom>
                          <a:noFill/>
                          <a:ln w="9525">
                            <a:noFill/>
                            <a:miter lim="800000"/>
                            <a:headEnd/>
                            <a:tailEnd/>
                          </a:ln>
                        </wps:spPr>
                        <wps:txbx>
                          <w:txbxContent>
                            <w:p w:rsidR="00491B8A" w:rsidRDefault="00491B8A" w:rsidP="00B46CC6">
                              <w:pPr>
                                <w:jc w:val="left"/>
                                <w:rPr>
                                  <w:b/>
                                  <w:u w:val="single"/>
                                </w:rPr>
                              </w:pPr>
                              <w:r w:rsidRPr="002E19A9">
                                <w:rPr>
                                  <w:b/>
                                  <w:u w:val="single"/>
                                </w:rPr>
                                <w:t>1. Form</w:t>
                              </w:r>
                              <w:r>
                                <w:rPr>
                                  <w:b/>
                                  <w:u w:val="single"/>
                                </w:rPr>
                                <w:t xml:space="preserve"> (2001-2007)</w:t>
                              </w:r>
                            </w:p>
                            <w:p w:rsidR="00491B8A" w:rsidRPr="00F76CC1" w:rsidRDefault="00491B8A" w:rsidP="00B46CC6">
                              <w:pPr>
                                <w:jc w:val="left"/>
                                <w:rPr>
                                  <w:b/>
                                  <w:i/>
                                  <w:u w:val="single"/>
                                </w:rPr>
                              </w:pPr>
                            </w:p>
                            <w:p w:rsidR="00491B8A" w:rsidRPr="00F76CC1" w:rsidRDefault="00491B8A" w:rsidP="00B46CC6">
                              <w:pPr>
                                <w:jc w:val="left"/>
                                <w:rPr>
                                  <w:i/>
                                </w:rPr>
                              </w:pPr>
                              <w:r>
                                <w:rPr>
                                  <w:i/>
                                </w:rPr>
                                <w:t>But d</w:t>
                              </w:r>
                              <w:r w:rsidRPr="00F76CC1">
                                <w:rPr>
                                  <w:i/>
                                </w:rPr>
                                <w:t>rift: 2007-2013</w:t>
                              </w:r>
                            </w:p>
                            <w:p w:rsidR="00491B8A" w:rsidRDefault="00491B8A"/>
                          </w:txbxContent>
                        </wps:txbx>
                        <wps:bodyPr rot="0" vert="horz" wrap="square" lIns="91440" tIns="45720" rIns="91440" bIns="45720" anchor="t" anchorCtr="0">
                          <a:noAutofit/>
                        </wps:bodyPr>
                      </wps:wsp>
                      <wps:wsp>
                        <wps:cNvPr id="46" name="Rechte verbindingslijn met pijl 46"/>
                        <wps:cNvCnPr/>
                        <wps:spPr>
                          <a:xfrm flipV="1">
                            <a:off x="1733550" y="1085850"/>
                            <a:ext cx="903767" cy="4783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9" name="Rechte verbindingslijn met pijl 49"/>
                        <wps:cNvCnPr/>
                        <wps:spPr>
                          <a:xfrm>
                            <a:off x="3638550" y="1200150"/>
                            <a:ext cx="0" cy="733647"/>
                          </a:xfrm>
                          <a:prstGeom prst="straightConnector1">
                            <a:avLst/>
                          </a:prstGeom>
                          <a:ln w="127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50" name="Text Box 2"/>
                        <wps:cNvSpPr txBox="1">
                          <a:spLocks noChangeArrowheads="1"/>
                        </wps:cNvSpPr>
                        <wps:spPr bwMode="auto">
                          <a:xfrm>
                            <a:off x="3686175" y="1371600"/>
                            <a:ext cx="414655" cy="372110"/>
                          </a:xfrm>
                          <a:prstGeom prst="rect">
                            <a:avLst/>
                          </a:prstGeom>
                          <a:noFill/>
                          <a:ln w="9525">
                            <a:noFill/>
                            <a:miter lim="800000"/>
                            <a:headEnd/>
                            <a:tailEnd/>
                          </a:ln>
                        </wps:spPr>
                        <wps:txbx>
                          <w:txbxContent>
                            <w:p w:rsidR="00491B8A" w:rsidRPr="00F76CC1" w:rsidRDefault="00491B8A" w:rsidP="00F76CC1">
                              <w:r w:rsidRPr="00F76CC1">
                                <w:t>?</w:t>
                              </w:r>
                            </w:p>
                            <w:p w:rsidR="00491B8A" w:rsidRPr="00F76CC1" w:rsidRDefault="00491B8A" w:rsidP="00F76CC1"/>
                            <w:p w:rsidR="00491B8A" w:rsidRPr="00F76CC1" w:rsidRDefault="00491B8A" w:rsidP="00F76CC1"/>
                          </w:txbxContent>
                        </wps:txbx>
                        <wps:bodyPr rot="0" vert="horz" wrap="square" lIns="91440" tIns="45720" rIns="91440" bIns="45720" anchor="t" anchorCtr="0">
                          <a:noAutofit/>
                        </wps:bodyPr>
                      </wps:wsp>
                      <wps:wsp>
                        <wps:cNvPr id="51" name="Text Box 9"/>
                        <wps:cNvSpPr txBox="1"/>
                        <wps:spPr>
                          <a:xfrm>
                            <a:off x="0" y="2667000"/>
                            <a:ext cx="5962650" cy="273050"/>
                          </a:xfrm>
                          <a:prstGeom prst="rect">
                            <a:avLst/>
                          </a:prstGeom>
                          <a:solidFill>
                            <a:prstClr val="white"/>
                          </a:solidFill>
                          <a:ln>
                            <a:noFill/>
                          </a:ln>
                          <a:effectLst/>
                        </wps:spPr>
                        <wps:txbx>
                          <w:txbxContent>
                            <w:p w:rsidR="00491B8A" w:rsidRPr="00082C80" w:rsidRDefault="00491B8A" w:rsidP="00322E91">
                              <w:pPr>
                                <w:pStyle w:val="Bijschrift"/>
                                <w:rPr>
                                  <w:noProof/>
                                  <w:color w:val="auto"/>
                                  <w:sz w:val="20"/>
                                  <w:szCs w:val="20"/>
                                </w:rPr>
                              </w:pPr>
                              <w:r w:rsidRPr="00082C80">
                                <w:rPr>
                                  <w:color w:val="auto"/>
                                  <w:sz w:val="20"/>
                                  <w:szCs w:val="20"/>
                                </w:rPr>
                                <w:t>Figure</w:t>
                              </w:r>
                              <w:r>
                                <w:rPr>
                                  <w:color w:val="auto"/>
                                  <w:sz w:val="20"/>
                                  <w:szCs w:val="20"/>
                                </w:rPr>
                                <w:t xml:space="preserve"> 2: The administrative adjustment process of granting social assistance to Union citizens in the Netherlands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2" name="Text Box 2"/>
                        <wps:cNvSpPr txBox="1">
                          <a:spLocks noChangeArrowheads="1"/>
                        </wps:cNvSpPr>
                        <wps:spPr bwMode="auto">
                          <a:xfrm>
                            <a:off x="2009775" y="0"/>
                            <a:ext cx="574040" cy="372110"/>
                          </a:xfrm>
                          <a:prstGeom prst="rect">
                            <a:avLst/>
                          </a:prstGeom>
                          <a:noFill/>
                          <a:ln w="9525">
                            <a:noFill/>
                            <a:miter lim="800000"/>
                            <a:headEnd/>
                            <a:tailEnd/>
                          </a:ln>
                        </wps:spPr>
                        <wps:txbx>
                          <w:txbxContent>
                            <w:p w:rsidR="00491B8A" w:rsidRPr="00F76CC1" w:rsidRDefault="00491B8A" w:rsidP="00322E91">
                              <w:r>
                                <w:t>2014</w:t>
                              </w:r>
                            </w:p>
                            <w:p w:rsidR="00491B8A" w:rsidRPr="00F76CC1" w:rsidRDefault="00491B8A" w:rsidP="00322E91"/>
                            <w:p w:rsidR="00491B8A" w:rsidRPr="00F76CC1" w:rsidRDefault="00491B8A" w:rsidP="00322E91"/>
                          </w:txbxContent>
                        </wps:txbx>
                        <wps:bodyPr rot="0" vert="horz" wrap="square" lIns="91440" tIns="45720" rIns="91440" bIns="45720" anchor="t" anchorCtr="0">
                          <a:noAutofit/>
                        </wps:bodyPr>
                      </wps:wsp>
                    </wpg:wgp>
                  </a:graphicData>
                </a:graphic>
              </wp:anchor>
            </w:drawing>
          </mc:Choice>
          <mc:Fallback>
            <w:pict>
              <v:group id="Groep 1" o:spid="_x0000_s1039" style="position:absolute;left:0;text-align:left;margin-left:-1.5pt;margin-top:18.75pt;width:469.85pt;height:231.5pt;z-index:251694592" coordsize="59668,2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">
                <v:shape id="Text Box 2" o:spid="_x0000_s1040" type="#_x0000_t202" style="position:absolute;left:29527;top:8382;width:30141;height:10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491B8A" w:rsidRPr="002E19A9" w:rsidRDefault="00491B8A" w:rsidP="00B46CC6">
                        <w:pPr>
                          <w:jc w:val="left"/>
                          <w:rPr>
                            <w:b/>
                            <w:u w:val="single"/>
                          </w:rPr>
                        </w:pPr>
                        <w:r w:rsidRPr="002E19A9">
                          <w:rPr>
                            <w:b/>
                            <w:u w:val="single"/>
                          </w:rPr>
                          <w:t xml:space="preserve">2. </w:t>
                        </w:r>
                        <w:r>
                          <w:rPr>
                            <w:b/>
                            <w:u w:val="single"/>
                          </w:rPr>
                          <w:t>Signal (2013-2016)</w:t>
                        </w:r>
                      </w:p>
                      <w:p w:rsidR="00491B8A" w:rsidRPr="007D02E9" w:rsidRDefault="00491B8A" w:rsidP="00B46CC6">
                        <w:pPr>
                          <w:jc w:val="left"/>
                          <w:rPr>
                            <w:b/>
                          </w:rPr>
                        </w:pPr>
                      </w:p>
                    </w:txbxContent>
                  </v:textbox>
                </v:shape>
                <v:shape id="Text Box 2" o:spid="_x0000_s1041" type="#_x0000_t202" style="position:absolute;left:29432;top:20764;width:30137;height:7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491B8A" w:rsidRPr="00322E91" w:rsidRDefault="00491B8A" w:rsidP="00B46CC6">
                        <w:pPr>
                          <w:rPr>
                            <w:b/>
                            <w:u w:val="single"/>
                          </w:rPr>
                        </w:pPr>
                        <w:r w:rsidRPr="002E19A9">
                          <w:rPr>
                            <w:b/>
                            <w:u w:val="single"/>
                          </w:rPr>
                          <w:t>3. Delegated</w:t>
                        </w:r>
                        <w:r>
                          <w:rPr>
                            <w:b/>
                            <w:u w:val="single"/>
                          </w:rPr>
                          <w:t xml:space="preserve"> (2017-…)</w:t>
                        </w:r>
                      </w:p>
                      <w:p w:rsidR="00491B8A" w:rsidRDefault="00491B8A" w:rsidP="00B46CC6"/>
                    </w:txbxContent>
                  </v:textbox>
                </v:shape>
                <v:shape id="Text Box 2" o:spid="_x0000_s1042" type="#_x0000_t202" style="position:absolute;left:190;top:1714;width:15310;height:10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491B8A" w:rsidRPr="007D02E9" w:rsidRDefault="00491B8A" w:rsidP="00F76CC1">
                        <w:pPr>
                          <w:jc w:val="left"/>
                          <w:rPr>
                            <w:i/>
                          </w:rPr>
                        </w:pPr>
                        <w:r>
                          <w:rPr>
                            <w:i/>
                          </w:rPr>
                          <w:t>Registration formalities (A priori verification)</w:t>
                        </w:r>
                      </w:p>
                    </w:txbxContent>
                  </v:textbox>
                </v:shape>
                <v:shape id="Rechte verbindingslijn met pijl 40" o:spid="_x0000_s1043" type="#_x0000_t32" style="position:absolute;left:16668;top:3238;width:105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wmLsIAAADbAAAADwAAAGRycy9kb3ducmV2LnhtbERPTYvCMBC9C/6HMII3TZVVlmqUVXD1&#10;IIiuoN5mm7GtNpPSRK37681hwePjfY+ntSnEnSqXW1bQ60YgiBOrc04V7H8WnU8QziNrLCyTgic5&#10;mE6ajTHG2j54S/edT0UIYRejgsz7MpbSJRkZdF1bEgfubCuDPsAqlbrCRwg3hexH0VAazDk0ZFjS&#10;PKPkursZBZf96bg0h+/178AO//xsc6ZrslGq3aq/RiA81f4t/nevtIKPsD58CT9AT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6wmLsIAAADbAAAADwAAAAAAAAAAAAAA&#10;AAChAgAAZHJzL2Rvd25yZXYueG1sUEsFBgAAAAAEAAQA+QAAAJADAAAAAA==&#10;" strokecolor="black [3040]" strokeweight="1pt">
                  <v:stroke dashstyle="dash" endarrow="block"/>
                </v:shape>
                <v:shape id="Text Box 2" o:spid="_x0000_s1044" type="#_x0000_t202" style="position:absolute;left:30194;top:1524;width:24663;height:5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491B8A" w:rsidRPr="007D02E9" w:rsidRDefault="00491B8A" w:rsidP="00F76CC1">
                        <w:pPr>
                          <w:rPr>
                            <w:i/>
                          </w:rPr>
                        </w:pPr>
                        <w:r w:rsidRPr="007D02E9">
                          <w:rPr>
                            <w:i/>
                          </w:rPr>
                          <w:t>No registration formalities</w:t>
                        </w:r>
                        <w:r>
                          <w:rPr>
                            <w:i/>
                          </w:rPr>
                          <w:t xml:space="preserve"> (Ex post verification)</w:t>
                        </w:r>
                      </w:p>
                      <w:p w:rsidR="00491B8A" w:rsidRPr="007D02E9" w:rsidRDefault="00491B8A" w:rsidP="00B46CC6">
                        <w:pPr>
                          <w:rPr>
                            <w:i/>
                          </w:rPr>
                        </w:pPr>
                        <w:r>
                          <w:rPr>
                            <w:i/>
                          </w:rPr>
                          <w:t>)</w:t>
                        </w:r>
                        <w:r w:rsidRPr="007D02E9">
                          <w:rPr>
                            <w:i/>
                          </w:rPr>
                          <w:t xml:space="preserve"> </w:t>
                        </w:r>
                      </w:p>
                    </w:txbxContent>
                  </v:textbox>
                </v:shape>
                <v:shape id="Text Box 2" o:spid="_x0000_s1045" type="#_x0000_t202" style="position:absolute;left:190;top:13430;width:15519;height:10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491B8A" w:rsidRDefault="00491B8A" w:rsidP="00B46CC6">
                        <w:pPr>
                          <w:jc w:val="left"/>
                          <w:rPr>
                            <w:b/>
                            <w:u w:val="single"/>
                          </w:rPr>
                        </w:pPr>
                        <w:r w:rsidRPr="002E19A9">
                          <w:rPr>
                            <w:b/>
                            <w:u w:val="single"/>
                          </w:rPr>
                          <w:t>1. Form</w:t>
                        </w:r>
                        <w:r>
                          <w:rPr>
                            <w:b/>
                            <w:u w:val="single"/>
                          </w:rPr>
                          <w:t xml:space="preserve"> (2001-2007)</w:t>
                        </w:r>
                      </w:p>
                      <w:p w:rsidR="00491B8A" w:rsidRPr="00F76CC1" w:rsidRDefault="00491B8A" w:rsidP="00B46CC6">
                        <w:pPr>
                          <w:jc w:val="left"/>
                          <w:rPr>
                            <w:b/>
                            <w:i/>
                            <w:u w:val="single"/>
                          </w:rPr>
                        </w:pPr>
                      </w:p>
                      <w:p w:rsidR="00491B8A" w:rsidRPr="00F76CC1" w:rsidRDefault="00491B8A" w:rsidP="00B46CC6">
                        <w:pPr>
                          <w:jc w:val="left"/>
                          <w:rPr>
                            <w:i/>
                          </w:rPr>
                        </w:pPr>
                        <w:r>
                          <w:rPr>
                            <w:i/>
                          </w:rPr>
                          <w:t>But d</w:t>
                        </w:r>
                        <w:r w:rsidRPr="00F76CC1">
                          <w:rPr>
                            <w:i/>
                          </w:rPr>
                          <w:t>rift: 2007-2013</w:t>
                        </w:r>
                      </w:p>
                      <w:p w:rsidR="00491B8A" w:rsidRDefault="00491B8A"/>
                    </w:txbxContent>
                  </v:textbox>
                </v:shape>
                <v:shape id="Rechte verbindingslijn met pijl 46" o:spid="_x0000_s1046" type="#_x0000_t32" style="position:absolute;left:17335;top:10858;width:9038;height:47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OaucIAAADbAAAADwAAAGRycy9kb3ducmV2LnhtbESPQYvCMBSE74L/ITzBm6aKFKlGEUEQ&#10;9yBbBT0+mmdbbV5Kk9X47zcLCx6HmfmGWa6DacSTOldbVjAZJyCIC6trLhWcT7vRHITzyBoby6Tg&#10;TQ7Wq35viZm2L/6mZ+5LESHsMlRQed9mUrqiIoNubFvi6N1sZ9BH2ZVSd/iKcNPIaZKk0mDNcaHC&#10;lrYVFY/8xyg4XO63kzzXAU0e0sNXsjs214lSw0HYLEB4Cv4T/m/vtYJZCn9f4g+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wOaucIAAADbAAAADwAAAAAAAAAAAAAA&#10;AAChAgAAZHJzL2Rvd25yZXYueG1sUEsFBgAAAAAEAAQA+QAAAJADAAAAAA==&#10;" strokecolor="black [3040]">
                  <v:stroke endarrow="block"/>
                </v:shape>
                <v:shape id="Rechte verbindingslijn met pijl 49" o:spid="_x0000_s1047" type="#_x0000_t32" style="position:absolute;left:36385;top:12001;width:0;height:73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PRDMUAAADbAAAADwAAAGRycy9kb3ducmV2LnhtbESP0WrCQBRE3wv+w3IFX4puLK3Y1FVE&#10;KGiLYmw+4JK9JqHZu3F3NenfdwsFH4eZOcMsVr1pxI2cry0rmE4SEMSF1TWXCvKv9/EchA/IGhvL&#10;pOCHPKyWg4cFptp2nNHtFEoRIexTVFCF0KZS+qIig35iW+Lona0zGKJ0pdQOuwg3jXxKkpk0WHNc&#10;qLClTUXF9+lqFGQu/+hkPt3tD9n5cvjE48vj5ajUaNiv30AE6sM9/N/eagXPr/D3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4PRDMUAAADbAAAADwAAAAAAAAAA&#10;AAAAAAChAgAAZHJzL2Rvd25yZXYueG1sUEsFBgAAAAAEAAQA+QAAAJMDAAAAAA==&#10;" strokecolor="black [3213]" strokeweight="1pt">
                  <v:stroke dashstyle="dash" endarrow="block"/>
                </v:shape>
                <v:shape id="Text Box 2" o:spid="_x0000_s1048" type="#_x0000_t202" style="position:absolute;left:36861;top:13716;width:4147;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491B8A" w:rsidRPr="00F76CC1" w:rsidRDefault="00491B8A" w:rsidP="00F76CC1">
                        <w:r w:rsidRPr="00F76CC1">
                          <w:t>?</w:t>
                        </w:r>
                      </w:p>
                      <w:p w:rsidR="00491B8A" w:rsidRPr="00F76CC1" w:rsidRDefault="00491B8A" w:rsidP="00F76CC1"/>
                      <w:p w:rsidR="00491B8A" w:rsidRPr="00F76CC1" w:rsidRDefault="00491B8A" w:rsidP="00F76CC1"/>
                    </w:txbxContent>
                  </v:textbox>
                </v:shape>
                <v:shape id="_x0000_s1049" type="#_x0000_t202" style="position:absolute;top:26670;width:59626;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TIBcQA&#10;AADbAAAADwAAAGRycy9kb3ducmV2LnhtbESPT2sCMRTE70K/Q3gFL1KzLiiyNYrVCj20B614fmxe&#10;dxc3L0uS/fftG6HQ4zAzv2E2u8HUoiPnK8sKFvMEBHFudcWFguv36WUNwgdkjbVlUjCSh932abLB&#10;TNuez9RdQiEihH2GCsoQmkxKn5dk0M9tQxy9H+sMhihdIbXDPsJNLdMkWUmDFceFEhs6lJTfL61R&#10;sDq6tj/zYXa8vn/iV1Okt7fxptT0edi/ggg0hP/wX/tDK1gu4PE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EyAXEAAAA2wAAAA8AAAAAAAAAAAAAAAAAmAIAAGRycy9k&#10;b3ducmV2LnhtbFBLBQYAAAAABAAEAPUAAACJAwAAAAA=&#10;" stroked="f">
                  <v:textbox inset="0,0,0,0">
                    <w:txbxContent>
                      <w:p w:rsidR="00491B8A" w:rsidRPr="00082C80" w:rsidRDefault="00491B8A" w:rsidP="00322E91">
                        <w:pPr>
                          <w:pStyle w:val="Bijschrift"/>
                          <w:rPr>
                            <w:noProof/>
                            <w:color w:val="auto"/>
                            <w:sz w:val="20"/>
                            <w:szCs w:val="20"/>
                          </w:rPr>
                        </w:pPr>
                        <w:r w:rsidRPr="00082C80">
                          <w:rPr>
                            <w:color w:val="auto"/>
                            <w:sz w:val="20"/>
                            <w:szCs w:val="20"/>
                          </w:rPr>
                          <w:t>Figure</w:t>
                        </w:r>
                        <w:r>
                          <w:rPr>
                            <w:color w:val="auto"/>
                            <w:sz w:val="20"/>
                            <w:szCs w:val="20"/>
                          </w:rPr>
                          <w:t xml:space="preserve"> 2: The administrative adjustment process of granting social assistance to Union citizens in the Netherlands </w:t>
                        </w:r>
                      </w:p>
                    </w:txbxContent>
                  </v:textbox>
                </v:shape>
                <v:shape id="Text Box 2" o:spid="_x0000_s1050" type="#_x0000_t202" style="position:absolute;left:20097;width:5741;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491B8A" w:rsidRPr="00F76CC1" w:rsidRDefault="00491B8A" w:rsidP="00322E91">
                        <w:r>
                          <w:t>2014</w:t>
                        </w:r>
                      </w:p>
                      <w:p w:rsidR="00491B8A" w:rsidRPr="00F76CC1" w:rsidRDefault="00491B8A" w:rsidP="00322E91"/>
                      <w:p w:rsidR="00491B8A" w:rsidRPr="00F76CC1" w:rsidRDefault="00491B8A" w:rsidP="00322E91"/>
                    </w:txbxContent>
                  </v:textbox>
                </v:shape>
                <w10:wrap type="topAndBottom"/>
              </v:group>
            </w:pict>
          </mc:Fallback>
        </mc:AlternateContent>
      </w:r>
    </w:p>
    <w:p w:rsidR="00445296" w:rsidRDefault="00445296" w:rsidP="00F76CC1">
      <w:pPr>
        <w:ind w:firstLine="720"/>
      </w:pPr>
    </w:p>
    <w:p w:rsidR="00F27E6F" w:rsidRDefault="00F27E6F" w:rsidP="007B6ACF">
      <w:pPr>
        <w:ind w:firstLine="720"/>
      </w:pPr>
    </w:p>
    <w:p w:rsidR="007B6ACF" w:rsidRDefault="00412EBA" w:rsidP="00412EBA">
      <w:pPr>
        <w:pStyle w:val="Kop2"/>
      </w:pPr>
      <w:r w:rsidRPr="00412EBA">
        <w:rPr>
          <w:i w:val="0"/>
        </w:rPr>
        <w:t>A.</w:t>
      </w:r>
      <w:r>
        <w:t xml:space="preserve"> </w:t>
      </w:r>
      <w:r w:rsidR="0095298A">
        <w:t>The ‘Linking’ Principle – Form Model</w:t>
      </w:r>
      <w:r w:rsidR="007B6ACF" w:rsidRPr="00E4564B">
        <w:t xml:space="preserve"> </w:t>
      </w:r>
      <w:r w:rsidR="003A5BFB" w:rsidRPr="00E4564B">
        <w:t>(2001</w:t>
      </w:r>
      <w:r w:rsidR="003A5BFB">
        <w:t xml:space="preserve"> – 2007)</w:t>
      </w:r>
    </w:p>
    <w:p w:rsidR="00412EBA" w:rsidRPr="00412EBA" w:rsidRDefault="00412EBA" w:rsidP="00412EBA"/>
    <w:p w:rsidR="007B6ACF" w:rsidRPr="00002102" w:rsidRDefault="00AB2BE9" w:rsidP="007B6ACF">
      <w:r>
        <w:t xml:space="preserve">During the first period of analysis, the Netherlands still sought to control immigration of Union citizens by requiring them </w:t>
      </w:r>
      <w:r w:rsidR="00FA080D">
        <w:t xml:space="preserve">to </w:t>
      </w:r>
      <w:r>
        <w:t xml:space="preserve">obtain a residence permit. For </w:t>
      </w:r>
      <w:r w:rsidR="00E260AA">
        <w:t xml:space="preserve">an </w:t>
      </w:r>
      <w:r>
        <w:t>initial period of 6</w:t>
      </w:r>
      <w:r w:rsidR="007B6ACF" w:rsidRPr="00002102">
        <w:t xml:space="preserve"> months</w:t>
      </w:r>
      <w:r>
        <w:t xml:space="preserve"> Union citizens </w:t>
      </w:r>
      <w:r w:rsidR="007B6ACF" w:rsidRPr="00002102">
        <w:t>could freely access and reside on the Dutch territory.</w:t>
      </w:r>
      <w:r w:rsidR="007B6ACF" w:rsidRPr="00002102">
        <w:rPr>
          <w:rStyle w:val="Voetnootmarkering"/>
        </w:rPr>
        <w:footnoteReference w:id="62"/>
      </w:r>
      <w:r w:rsidR="007B6ACF" w:rsidRPr="00002102">
        <w:t xml:space="preserve"> </w:t>
      </w:r>
      <w:r w:rsidR="007B6ACF">
        <w:t>If</w:t>
      </w:r>
      <w:r>
        <w:t xml:space="preserve"> they </w:t>
      </w:r>
      <w:r w:rsidR="007B6ACF" w:rsidRPr="00002102">
        <w:t>wished to stay for a longer period</w:t>
      </w:r>
      <w:r w:rsidR="007B6ACF">
        <w:t>, they</w:t>
      </w:r>
      <w:r w:rsidR="007B6ACF" w:rsidRPr="00002102">
        <w:t xml:space="preserve"> could apply for a residence permit with the Immigration and Naturalisation Service.</w:t>
      </w:r>
      <w:r>
        <w:t xml:space="preserve"> </w:t>
      </w:r>
      <w:r w:rsidRPr="00002102">
        <w:t xml:space="preserve">In order to obtain this permit, economically inactive and retired EU citizens had to prove their </w:t>
      </w:r>
      <w:r w:rsidRPr="00002102">
        <w:rPr>
          <w:i/>
        </w:rPr>
        <w:t>independent</w:t>
      </w:r>
      <w:r w:rsidRPr="00002102">
        <w:t xml:space="preserve"> and </w:t>
      </w:r>
      <w:r w:rsidRPr="00002102">
        <w:rPr>
          <w:i/>
        </w:rPr>
        <w:t>durable</w:t>
      </w:r>
      <w:r w:rsidRPr="00002102">
        <w:t xml:space="preserve"> sufficient resources for a period of at least a year.</w:t>
      </w:r>
      <w:r w:rsidRPr="00002102">
        <w:rPr>
          <w:rStyle w:val="Voetnootmarkering"/>
        </w:rPr>
        <w:footnoteReference w:id="63"/>
      </w:r>
      <w:r>
        <w:t xml:space="preserve"> </w:t>
      </w:r>
      <w:r w:rsidR="007B6ACF" w:rsidRPr="00002102">
        <w:t>In principle, this permit was valid for a period of five years, but was shorter for certain categories in cases of temporary employment, service providers and students.</w:t>
      </w:r>
      <w:r w:rsidR="007B6ACF" w:rsidRPr="00002102">
        <w:rPr>
          <w:rStyle w:val="Voetnootmarkering"/>
        </w:rPr>
        <w:footnoteReference w:id="64"/>
      </w:r>
      <w:r w:rsidR="007B6ACF" w:rsidRPr="00002102">
        <w:t xml:space="preserve"> </w:t>
      </w:r>
      <w:r w:rsidR="000875AA" w:rsidRPr="000875AA">
        <w:t xml:space="preserve">Before 15 January 2004, Union citizens would be issued a residence permit that warned the bearer that ‘recourse to the public means invalidates the right to residence’, signifying the </w:t>
      </w:r>
      <w:r w:rsidR="000875AA" w:rsidRPr="000875AA">
        <w:rPr>
          <w:i/>
        </w:rPr>
        <w:t>automatic</w:t>
      </w:r>
      <w:r w:rsidR="000875AA" w:rsidRPr="000875AA">
        <w:t xml:space="preserve"> suspension of lawful residence when </w:t>
      </w:r>
      <w:r w:rsidR="000875AA" w:rsidRPr="000875AA">
        <w:lastRenderedPageBreak/>
        <w:t>claiming social assistance.</w:t>
      </w:r>
      <w:r w:rsidR="000875AA" w:rsidRPr="000875AA">
        <w:rPr>
          <w:vertAlign w:val="superscript"/>
        </w:rPr>
        <w:footnoteReference w:id="65"/>
      </w:r>
      <w:r w:rsidR="000875AA" w:rsidRPr="000875AA">
        <w:t xml:space="preserve"> </w:t>
      </w:r>
      <w:r>
        <w:t>When</w:t>
      </w:r>
      <w:r w:rsidR="007B6ACF" w:rsidRPr="00002102">
        <w:t xml:space="preserve"> Union </w:t>
      </w:r>
      <w:r w:rsidR="007B6ACF">
        <w:t>citizen</w:t>
      </w:r>
      <w:r>
        <w:t>s</w:t>
      </w:r>
      <w:r w:rsidR="007B6ACF">
        <w:t xml:space="preserve"> </w:t>
      </w:r>
      <w:r w:rsidR="003D7FEF">
        <w:t>had</w:t>
      </w:r>
      <w:r w:rsidR="007B6ACF" w:rsidRPr="00002102">
        <w:t xml:space="preserve"> resided lawfully in the Netherlands for five years and had not been unemployed for more than a </w:t>
      </w:r>
      <w:r>
        <w:t>year in the preceding period, they</w:t>
      </w:r>
      <w:r w:rsidR="007B6ACF" w:rsidRPr="00002102">
        <w:t xml:space="preserve"> could apply for a permanent residence permit</w:t>
      </w:r>
      <w:r w:rsidR="007B6ACF">
        <w:t xml:space="preserve"> under national law</w:t>
      </w:r>
      <w:r w:rsidR="007B6ACF" w:rsidRPr="00002102">
        <w:t>. This would mean that claims to social services would not have consequences for the right of residence anymore.</w:t>
      </w:r>
      <w:r w:rsidR="007B6ACF" w:rsidRPr="00002102">
        <w:rPr>
          <w:rStyle w:val="Voetnootmarkering"/>
        </w:rPr>
        <w:footnoteReference w:id="66"/>
      </w:r>
      <w:r w:rsidR="007B6ACF" w:rsidRPr="00002102">
        <w:t xml:space="preserve"> </w:t>
      </w:r>
    </w:p>
    <w:p w:rsidR="007B6ACF" w:rsidRDefault="007B6ACF" w:rsidP="007B6ACF">
      <w:r w:rsidRPr="00002102">
        <w:tab/>
      </w:r>
      <w:r w:rsidR="00BB3F3D">
        <w:t>A combination of evidence suggests that during this first reference period</w:t>
      </w:r>
      <w:r w:rsidR="00BB3F3D" w:rsidRPr="00002102">
        <w:t xml:space="preserve"> access to social </w:t>
      </w:r>
      <w:r w:rsidR="00AE338E">
        <w:t>assistance</w:t>
      </w:r>
      <w:r w:rsidR="00BB3F3D" w:rsidRPr="00002102">
        <w:t xml:space="preserve"> was </w:t>
      </w:r>
      <w:r w:rsidR="00BB3F3D">
        <w:t xml:space="preserve">connected to </w:t>
      </w:r>
      <w:r w:rsidR="00BB3F3D" w:rsidRPr="00002102">
        <w:t xml:space="preserve">the possession of a </w:t>
      </w:r>
      <w:r w:rsidR="00BB3F3D">
        <w:t xml:space="preserve">valid </w:t>
      </w:r>
      <w:r w:rsidR="00BB3F3D" w:rsidRPr="00002102">
        <w:t>residence permit</w:t>
      </w:r>
      <w:r w:rsidR="00BB3F3D">
        <w:t xml:space="preserve"> and having the ‘correct’ residence status in the national database</w:t>
      </w:r>
      <w:r w:rsidR="00BB3F3D" w:rsidRPr="00002102">
        <w:t>.</w:t>
      </w:r>
      <w:r w:rsidR="00BB3F3D">
        <w:t xml:space="preserve"> </w:t>
      </w:r>
      <w:r w:rsidR="00AE338E">
        <w:t xml:space="preserve">The official policy instructions are ambiguous: although they emphasise the declaratory value of </w:t>
      </w:r>
      <w:r w:rsidRPr="00002102">
        <w:t>residence permits</w:t>
      </w:r>
      <w:r w:rsidR="00AE338E">
        <w:t xml:space="preserve"> granted to Union citizens, they still require Union citizens to possess a residence permit in order to ‘demonstrate’ their lawful residence and qualify for certain ‘</w:t>
      </w:r>
      <w:r>
        <w:t>services or advantages</w:t>
      </w:r>
      <w:r w:rsidR="00AE338E">
        <w:t xml:space="preserve">’, including </w:t>
      </w:r>
      <w:r>
        <w:t xml:space="preserve">registration in the municipal database or the </w:t>
      </w:r>
      <w:r w:rsidRPr="00002102">
        <w:t>rece</w:t>
      </w:r>
      <w:r w:rsidR="00AE338E">
        <w:t>ption of social assistance</w:t>
      </w:r>
      <w:r w:rsidRPr="00002102">
        <w:t>.</w:t>
      </w:r>
      <w:r w:rsidRPr="00002102">
        <w:rPr>
          <w:rStyle w:val="Voetnootmarkering"/>
        </w:rPr>
        <w:footnoteReference w:id="67"/>
      </w:r>
      <w:r w:rsidRPr="00002102">
        <w:t xml:space="preserve"> A report of the Municipal Ombudsman </w:t>
      </w:r>
      <w:r>
        <w:t xml:space="preserve">of Amsterdam </w:t>
      </w:r>
      <w:r w:rsidRPr="00002102">
        <w:t xml:space="preserve">from 2005 </w:t>
      </w:r>
      <w:r w:rsidR="003E6AA4">
        <w:t xml:space="preserve">sums </w:t>
      </w:r>
      <w:r w:rsidRPr="00002102">
        <w:t>up</w:t>
      </w:r>
      <w:r w:rsidR="003E6AA4">
        <w:t xml:space="preserve"> </w:t>
      </w:r>
      <w:r w:rsidRPr="00002102">
        <w:t>the administrative practice of</w:t>
      </w:r>
      <w:r w:rsidR="003E6AA4">
        <w:t xml:space="preserve"> the Municipality of Amsterdam: </w:t>
      </w:r>
      <w:r w:rsidRPr="00002102">
        <w:t xml:space="preserve">Union citizens have free access to the Netherlands, but for a claim to social assistance they </w:t>
      </w:r>
      <w:r w:rsidR="003E6AA4">
        <w:t xml:space="preserve">are required </w:t>
      </w:r>
      <w:r w:rsidRPr="00002102">
        <w:t xml:space="preserve">to </w:t>
      </w:r>
      <w:r w:rsidR="003E6AA4">
        <w:t>present</w:t>
      </w:r>
      <w:r w:rsidRPr="00002102">
        <w:t xml:space="preserve"> a </w:t>
      </w:r>
      <w:r>
        <w:t xml:space="preserve">valid </w:t>
      </w:r>
      <w:r w:rsidRPr="00002102">
        <w:t xml:space="preserve">residence permit and </w:t>
      </w:r>
      <w:r w:rsidR="003E6AA4">
        <w:t>be registered with the</w:t>
      </w:r>
      <w:r w:rsidRPr="00002102">
        <w:t xml:space="preserve"> ‘correct’ code in the Municipal Basic Administration (GBA).</w:t>
      </w:r>
      <w:r w:rsidRPr="00002102">
        <w:rPr>
          <w:rStyle w:val="Voetnootmarkering"/>
        </w:rPr>
        <w:footnoteReference w:id="68"/>
      </w:r>
      <w:r w:rsidR="003E6AA4">
        <w:t xml:space="preserve"> A similar picture emerges clearly from the case law, with </w:t>
      </w:r>
      <w:r w:rsidR="00E05C35">
        <w:t>municipalities</w:t>
      </w:r>
      <w:r w:rsidR="003E6AA4">
        <w:t xml:space="preserve"> being challenged for</w:t>
      </w:r>
      <w:r w:rsidR="00E05C35">
        <w:t xml:space="preserve"> declining</w:t>
      </w:r>
      <w:r w:rsidR="00E05C35" w:rsidRPr="00002102">
        <w:t xml:space="preserve"> </w:t>
      </w:r>
      <w:r w:rsidR="00E05C35">
        <w:t xml:space="preserve">applications for social assistance by Union citizens for </w:t>
      </w:r>
      <w:r w:rsidR="003E6AA4">
        <w:t xml:space="preserve">purely </w:t>
      </w:r>
      <w:r w:rsidR="00E05C35">
        <w:t>bureaucratic reason</w:t>
      </w:r>
      <w:r w:rsidR="003E6AA4">
        <w:t>s</w:t>
      </w:r>
      <w:r w:rsidR="000308F5">
        <w:t xml:space="preserve">, </w:t>
      </w:r>
      <w:r w:rsidR="004C09FB">
        <w:t>often successful</w:t>
      </w:r>
      <w:r w:rsidR="00E05C35" w:rsidRPr="00002102">
        <w:t>.</w:t>
      </w:r>
      <w:bookmarkStart w:id="5" w:name="_Ref474240518"/>
      <w:r w:rsidR="00E05C35" w:rsidRPr="00002102">
        <w:rPr>
          <w:rStyle w:val="Voetnootmarkering"/>
        </w:rPr>
        <w:footnoteReference w:id="69"/>
      </w:r>
      <w:bookmarkEnd w:id="5"/>
    </w:p>
    <w:p w:rsidR="007B6ACF" w:rsidRPr="00002102" w:rsidRDefault="00FA080D" w:rsidP="007B6ACF">
      <w:pPr>
        <w:ind w:firstLine="720"/>
      </w:pPr>
      <w:r>
        <w:t xml:space="preserve">Hence it </w:t>
      </w:r>
      <w:r w:rsidR="003E6AA4" w:rsidRPr="00002102">
        <w:t>appears from policy and administrative practice that</w:t>
      </w:r>
      <w:r w:rsidR="004C09FB">
        <w:t xml:space="preserve"> Union citizens, despite</w:t>
      </w:r>
      <w:r w:rsidR="000308F5">
        <w:t xml:space="preserve"> their autonomous legal</w:t>
      </w:r>
      <w:r w:rsidR="004C09FB">
        <w:t xml:space="preserve"> position, were still treated as </w:t>
      </w:r>
      <w:r w:rsidR="000308F5">
        <w:t xml:space="preserve">‘ordinary’ </w:t>
      </w:r>
      <w:r w:rsidR="004C09FB">
        <w:t>aliens</w:t>
      </w:r>
      <w:r w:rsidR="000308F5">
        <w:t xml:space="preserve"> and could often not claim their right to equal treatment in practice</w:t>
      </w:r>
      <w:r w:rsidR="003E6AA4" w:rsidRPr="00002102">
        <w:t>.</w:t>
      </w:r>
      <w:r w:rsidR="003E6AA4" w:rsidRPr="00002102">
        <w:rPr>
          <w:rStyle w:val="Voetnootmarkering"/>
        </w:rPr>
        <w:footnoteReference w:id="70"/>
      </w:r>
      <w:r w:rsidR="003E6AA4" w:rsidRPr="00002102">
        <w:t xml:space="preserve"> </w:t>
      </w:r>
      <w:r w:rsidR="00AC251C">
        <w:t>This is not entirely surprising if one considers that the Netherlands, i</w:t>
      </w:r>
      <w:r w:rsidR="00AC251C" w:rsidRPr="00002102">
        <w:t xml:space="preserve">n contrast to </w:t>
      </w:r>
      <w:r w:rsidR="00AC251C">
        <w:t>other Member States like Germany, has never created a separate category for the Union citizen</w:t>
      </w:r>
      <w:r w:rsidR="009533D4">
        <w:t xml:space="preserve"> in</w:t>
      </w:r>
      <w:r w:rsidR="00E21722">
        <w:t xml:space="preserve"> its </w:t>
      </w:r>
      <w:r w:rsidR="009533D4">
        <w:t>a</w:t>
      </w:r>
      <w:r w:rsidR="00E21722">
        <w:t>liens</w:t>
      </w:r>
      <w:r w:rsidR="00BA5C7C">
        <w:t>’</w:t>
      </w:r>
      <w:r w:rsidR="00E21722">
        <w:t xml:space="preserve"> legislation</w:t>
      </w:r>
      <w:r w:rsidR="00F53A93">
        <w:t xml:space="preserve"> but still governs </w:t>
      </w:r>
      <w:r w:rsidR="009533D4">
        <w:t xml:space="preserve">the </w:t>
      </w:r>
      <w:r w:rsidR="00AC251C" w:rsidRPr="00002102">
        <w:t xml:space="preserve">legal status of </w:t>
      </w:r>
      <w:r w:rsidR="009533D4">
        <w:t xml:space="preserve">the </w:t>
      </w:r>
      <w:r w:rsidR="00AC251C">
        <w:t>Union</w:t>
      </w:r>
      <w:r w:rsidR="009533D4">
        <w:t xml:space="preserve"> </w:t>
      </w:r>
      <w:r w:rsidR="009533D4">
        <w:lastRenderedPageBreak/>
        <w:t>citizen</w:t>
      </w:r>
      <w:r w:rsidR="00AC251C" w:rsidRPr="00002102">
        <w:t xml:space="preserve"> through a system of </w:t>
      </w:r>
      <w:r w:rsidR="00AC251C" w:rsidRPr="00E21722">
        <w:rPr>
          <w:i/>
        </w:rPr>
        <w:t>exceptions</w:t>
      </w:r>
      <w:r w:rsidR="00AC251C" w:rsidRPr="00002102">
        <w:t xml:space="preserve"> to the ‘</w:t>
      </w:r>
      <w:r w:rsidR="00AC251C">
        <w:t>regular’ alien</w:t>
      </w:r>
      <w:r w:rsidR="003D7FEF">
        <w:t>, adding complexity to the systematics of dealing with non-nationals</w:t>
      </w:r>
      <w:r w:rsidR="00E21722">
        <w:t>.</w:t>
      </w:r>
      <w:r w:rsidR="00AC251C" w:rsidRPr="00002102">
        <w:rPr>
          <w:rStyle w:val="Voetnootmarkering"/>
        </w:rPr>
        <w:footnoteReference w:id="71"/>
      </w:r>
      <w:r w:rsidR="00AC251C">
        <w:t xml:space="preserve"> </w:t>
      </w:r>
      <w:r w:rsidR="000308F5">
        <w:t>A</w:t>
      </w:r>
      <w:r w:rsidR="007B6ACF" w:rsidRPr="00002102">
        <w:t xml:space="preserve">ccess to welfare for </w:t>
      </w:r>
      <w:r w:rsidR="000308F5">
        <w:t xml:space="preserve">non-nationals (‘vreemdelingen’) </w:t>
      </w:r>
      <w:r w:rsidR="007B6ACF" w:rsidRPr="00002102">
        <w:t>is governed through the principle of ‘koppeling’, best translated</w:t>
      </w:r>
      <w:r w:rsidR="009B6D45">
        <w:t xml:space="preserve"> as ‘linking’. Enacted in 1998, this principle essentially excludes aliens who are not lawfully resident from entitlement to welfare benefits with the objective to prevent the continuation of their actual stay by relying on such benefits.</w:t>
      </w:r>
      <w:r w:rsidR="009B6D45" w:rsidRPr="009B6D45">
        <w:rPr>
          <w:rStyle w:val="Voetnootmarkering"/>
        </w:rPr>
        <w:t xml:space="preserve"> </w:t>
      </w:r>
      <w:r w:rsidR="009B6D45" w:rsidRPr="00002102">
        <w:rPr>
          <w:rStyle w:val="Voetnootmarkering"/>
        </w:rPr>
        <w:footnoteReference w:id="72"/>
      </w:r>
      <w:r w:rsidR="00E21722">
        <w:t xml:space="preserve"> </w:t>
      </w:r>
      <w:r w:rsidR="00C66EB1">
        <w:t>O</w:t>
      </w:r>
      <w:r w:rsidR="007B6ACF" w:rsidRPr="00002102">
        <w:t>fficial</w:t>
      </w:r>
      <w:r w:rsidR="00C66EB1">
        <w:t>s of welfare authorities are</w:t>
      </w:r>
      <w:r w:rsidR="00E260AA">
        <w:t xml:space="preserve"> not only</w:t>
      </w:r>
      <w:r w:rsidR="00C66EB1">
        <w:t xml:space="preserve"> supposed to </w:t>
      </w:r>
      <w:r w:rsidR="000875AA">
        <w:t>determine</w:t>
      </w:r>
      <w:r w:rsidR="007B6ACF" w:rsidRPr="00002102">
        <w:t xml:space="preserve"> </w:t>
      </w:r>
      <w:r w:rsidR="00C66EB1">
        <w:t>the residence sta</w:t>
      </w:r>
      <w:r w:rsidR="00E260AA">
        <w:t xml:space="preserve">tus of </w:t>
      </w:r>
      <w:r w:rsidR="00C66EB1">
        <w:t xml:space="preserve">applicants </w:t>
      </w:r>
      <w:r w:rsidR="000875AA">
        <w:t xml:space="preserve">by checking their residence permit, but also </w:t>
      </w:r>
      <w:r w:rsidR="00C66EB1">
        <w:t xml:space="preserve">their ‘residence code’ </w:t>
      </w:r>
      <w:r w:rsidR="000875AA">
        <w:t>in the M</w:t>
      </w:r>
      <w:r w:rsidR="000875AA" w:rsidRPr="00002102">
        <w:t>unicipal Personal Records Databas</w:t>
      </w:r>
      <w:r w:rsidR="000875AA">
        <w:t>e (‘Basisregistratie Personen’</w:t>
      </w:r>
      <w:r w:rsidR="000875AA" w:rsidRPr="00002102">
        <w:t>)</w:t>
      </w:r>
      <w:r w:rsidR="000875AA">
        <w:t xml:space="preserve">, </w:t>
      </w:r>
      <w:r w:rsidR="003D7FEF">
        <w:t xml:space="preserve">which attaches a </w:t>
      </w:r>
      <w:r w:rsidR="000875AA" w:rsidRPr="00002102">
        <w:t xml:space="preserve">residence status </w:t>
      </w:r>
      <w:r w:rsidR="000875AA">
        <w:t xml:space="preserve">to every </w:t>
      </w:r>
      <w:r w:rsidR="000875AA" w:rsidRPr="00002102">
        <w:t>person residing in the Nethe</w:t>
      </w:r>
      <w:r w:rsidR="000875AA">
        <w:t>rlands</w:t>
      </w:r>
      <w:r w:rsidR="00C66EB1">
        <w:t xml:space="preserve">. </w:t>
      </w:r>
      <w:r w:rsidR="007B6ACF" w:rsidRPr="00002102">
        <w:t>Depending on this verification process, the application for social assistance is either re</w:t>
      </w:r>
      <w:r w:rsidR="00DB7FCF">
        <w:t xml:space="preserve">jected or accepted or, when the application </w:t>
      </w:r>
      <w:r w:rsidR="007B6ACF" w:rsidRPr="00002102">
        <w:t xml:space="preserve">gives rise to this, a further verification procedure is initiated with </w:t>
      </w:r>
      <w:r w:rsidR="003D7FEF">
        <w:t>the migration authority</w:t>
      </w:r>
      <w:r w:rsidR="007B6ACF" w:rsidRPr="00002102">
        <w:t>.</w:t>
      </w:r>
      <w:r w:rsidR="007B6ACF" w:rsidRPr="00002102">
        <w:rPr>
          <w:rStyle w:val="Voetnootmarkering"/>
        </w:rPr>
        <w:footnoteReference w:id="73"/>
      </w:r>
      <w:r w:rsidR="000308F5">
        <w:t xml:space="preserve"> </w:t>
      </w:r>
    </w:p>
    <w:p w:rsidR="008376E5" w:rsidRDefault="00877F74" w:rsidP="008376E5">
      <w:pPr>
        <w:ind w:firstLine="708"/>
      </w:pPr>
      <w:r>
        <w:t>It follows that w</w:t>
      </w:r>
      <w:r w:rsidR="008376E5">
        <w:t>ithout the permit in such a highly linked system, Union citizens</w:t>
      </w:r>
      <w:r w:rsidR="008376E5" w:rsidRPr="00002102">
        <w:t xml:space="preserve"> ‘cannot function legally in the host state, and therefore, in practice, […] cannot reside.’</w:t>
      </w:r>
      <w:r w:rsidR="008376E5" w:rsidRPr="00002102">
        <w:rPr>
          <w:rStyle w:val="Voetnootmarkering"/>
        </w:rPr>
        <w:footnoteReference w:id="74"/>
      </w:r>
      <w:r w:rsidR="008376E5" w:rsidRPr="00002102">
        <w:t xml:space="preserve"> </w:t>
      </w:r>
      <w:r w:rsidR="00B42F77">
        <w:t xml:space="preserve">Free movement law, in particular the doctrine of the autonomous </w:t>
      </w:r>
      <w:r w:rsidR="00FA2603">
        <w:t xml:space="preserve">Union citizen, </w:t>
      </w:r>
      <w:r w:rsidR="00B42F77">
        <w:t>being able to claim EU-based rights independent from nati</w:t>
      </w:r>
      <w:r w:rsidR="00FA2603">
        <w:t>onal bureaucratic requirements,</w:t>
      </w:r>
      <w:r w:rsidR="00B42F77">
        <w:t xml:space="preserve"> severely challenges </w:t>
      </w:r>
      <w:r w:rsidR="00FA2603">
        <w:t xml:space="preserve">a system </w:t>
      </w:r>
      <w:r w:rsidR="00BA5C7C">
        <w:t>where the whole administrative chain depends on the initial permit</w:t>
      </w:r>
      <w:r w:rsidR="00FA2603">
        <w:t xml:space="preserve">. </w:t>
      </w:r>
      <w:r w:rsidR="008376E5">
        <w:t>We should expect policy change when this apparent misfit be</w:t>
      </w:r>
      <w:r w:rsidR="00A30989">
        <w:t>tween the substance of EU case</w:t>
      </w:r>
      <w:r w:rsidR="008376E5">
        <w:t xml:space="preserve"> law combines with compliance pressures. </w:t>
      </w:r>
    </w:p>
    <w:p w:rsidR="009B43E5" w:rsidRDefault="00E83546" w:rsidP="008376E5">
      <w:pPr>
        <w:ind w:firstLine="708"/>
      </w:pPr>
      <w:r>
        <w:t xml:space="preserve">The </w:t>
      </w:r>
      <w:r w:rsidR="008376E5">
        <w:t>practice of ‘linking’ access to social assistance to bureaucratic requirements with respect to Union</w:t>
      </w:r>
      <w:r>
        <w:t xml:space="preserve"> citizens </w:t>
      </w:r>
      <w:r w:rsidR="008376E5">
        <w:t>c</w:t>
      </w:r>
      <w:r w:rsidR="008376E5" w:rsidRPr="00002102">
        <w:t xml:space="preserve">ame under increased scrutiny </w:t>
      </w:r>
      <w:r>
        <w:t>through an infringement procedure by the European Commission</w:t>
      </w:r>
      <w:r w:rsidR="008376E5" w:rsidRPr="00002102">
        <w:t xml:space="preserve"> </w:t>
      </w:r>
      <w:r>
        <w:t xml:space="preserve">and a consistent series of judgements by </w:t>
      </w:r>
      <w:r w:rsidR="008376E5" w:rsidRPr="00002102">
        <w:t xml:space="preserve">national judiciaries. </w:t>
      </w:r>
      <w:r>
        <w:t xml:space="preserve">Relying on the </w:t>
      </w:r>
      <w:r w:rsidRPr="000875AA">
        <w:rPr>
          <w:i/>
        </w:rPr>
        <w:t>Grzelczyk</w:t>
      </w:r>
      <w:r w:rsidRPr="000875AA">
        <w:t xml:space="preserve"> judgment</w:t>
      </w:r>
      <w:r>
        <w:t xml:space="preserve">, the Commission first argued in 2001 that </w:t>
      </w:r>
      <w:r w:rsidRPr="000875AA">
        <w:t>the withdrawal of a residence permit of a</w:t>
      </w:r>
      <w:r>
        <w:t xml:space="preserve">n economically inactive </w:t>
      </w:r>
      <w:r w:rsidRPr="000875AA">
        <w:t>Union citizen should in no case become ‘the automatic consequence</w:t>
      </w:r>
      <w:r>
        <w:t>’ of having recourse to the social assistance system</w:t>
      </w:r>
      <w:r w:rsidRPr="000875AA">
        <w:t>.</w:t>
      </w:r>
      <w:r w:rsidRPr="000875AA">
        <w:rPr>
          <w:vertAlign w:val="superscript"/>
        </w:rPr>
        <w:footnoteReference w:id="75"/>
      </w:r>
      <w:r>
        <w:t xml:space="preserve"> The Dutch government </w:t>
      </w:r>
      <w:r>
        <w:lastRenderedPageBreak/>
        <w:t xml:space="preserve">responded in 2004 by changing the text of the permit to the warning that </w:t>
      </w:r>
      <w:r w:rsidRPr="00816C6E">
        <w:t xml:space="preserve">‘recourse to the public means </w:t>
      </w:r>
      <w:r w:rsidRPr="00816C6E">
        <w:rPr>
          <w:i/>
        </w:rPr>
        <w:t>can</w:t>
      </w:r>
      <w:r w:rsidRPr="00816C6E">
        <w:t xml:space="preserve"> have consequences for the ri</w:t>
      </w:r>
      <w:r>
        <w:t>ght to residence’.</w:t>
      </w:r>
      <w:r>
        <w:rPr>
          <w:rStyle w:val="Voetnootmarkering"/>
        </w:rPr>
        <w:footnoteReference w:id="76"/>
      </w:r>
      <w:r>
        <w:t xml:space="preserve"> The Commission also challenged the Dutch condition to demonstrate the possession of </w:t>
      </w:r>
      <w:r w:rsidR="00364010">
        <w:t>‘</w:t>
      </w:r>
      <w:r w:rsidR="00364010" w:rsidRPr="00002102">
        <w:t>independent</w:t>
      </w:r>
      <w:r w:rsidR="00364010">
        <w:t>’</w:t>
      </w:r>
      <w:r w:rsidR="00364010" w:rsidRPr="00002102">
        <w:t xml:space="preserve"> and </w:t>
      </w:r>
      <w:r w:rsidR="00364010">
        <w:t>‘</w:t>
      </w:r>
      <w:r w:rsidR="00364010" w:rsidRPr="00002102">
        <w:t>durable</w:t>
      </w:r>
      <w:r w:rsidR="00364010">
        <w:t xml:space="preserve">’ sufficient resources </w:t>
      </w:r>
      <w:r>
        <w:t>before an e</w:t>
      </w:r>
      <w:r w:rsidR="00364010" w:rsidRPr="00002102">
        <w:t>c</w:t>
      </w:r>
      <w:r w:rsidR="00364010">
        <w:t>onomically inactive EU citizens</w:t>
      </w:r>
      <w:r>
        <w:t xml:space="preserve"> could obtain a residence permit</w:t>
      </w:r>
      <w:r w:rsidR="00364010">
        <w:t xml:space="preserve">. </w:t>
      </w:r>
      <w:r>
        <w:t xml:space="preserve">Despite reluctantly deleting the </w:t>
      </w:r>
      <w:r w:rsidRPr="00002102">
        <w:t xml:space="preserve">restrictions on the </w:t>
      </w:r>
      <w:r w:rsidRPr="00E83546">
        <w:rPr>
          <w:i/>
        </w:rPr>
        <w:t>independent</w:t>
      </w:r>
      <w:r>
        <w:t xml:space="preserve"> origin of the resources, the Dutch government </w:t>
      </w:r>
      <w:r w:rsidR="004E2E8B">
        <w:t xml:space="preserve">stuck </w:t>
      </w:r>
      <w:r w:rsidR="007B6ACF" w:rsidRPr="00002102">
        <w:t xml:space="preserve">to its </w:t>
      </w:r>
      <w:r w:rsidR="007B6ACF">
        <w:t>position</w:t>
      </w:r>
      <w:r>
        <w:t xml:space="preserve"> </w:t>
      </w:r>
      <w:r w:rsidR="007B6ACF">
        <w:t>that reso</w:t>
      </w:r>
      <w:r w:rsidR="007B6ACF" w:rsidRPr="00002102">
        <w:t xml:space="preserve">urces </w:t>
      </w:r>
      <w:r w:rsidR="007B6ACF">
        <w:t xml:space="preserve">of </w:t>
      </w:r>
      <w:r w:rsidR="007B6ACF" w:rsidRPr="00002102">
        <w:t xml:space="preserve">economically inactive citizens and pensioners could </w:t>
      </w:r>
      <w:r w:rsidR="007B6ACF">
        <w:t>only be considered ‘sufficient’</w:t>
      </w:r>
      <w:r w:rsidR="007B6ACF" w:rsidRPr="00002102">
        <w:t xml:space="preserve"> if they were available for at least a year</w:t>
      </w:r>
      <w:r w:rsidR="007B6ACF">
        <w:t xml:space="preserve">. In the resulting case, the ECJ considered this requirement disproportionate as it was imposed regardless </w:t>
      </w:r>
      <w:r w:rsidR="007B6ACF" w:rsidRPr="00002102">
        <w:t>o</w:t>
      </w:r>
      <w:r w:rsidR="007B6ACF">
        <w:t xml:space="preserve">f the </w:t>
      </w:r>
      <w:r w:rsidR="007B6ACF" w:rsidRPr="00907641">
        <w:rPr>
          <w:i/>
        </w:rPr>
        <w:t>real</w:t>
      </w:r>
      <w:r w:rsidR="007B6ACF">
        <w:t xml:space="preserve"> period that the Union citizen would reside</w:t>
      </w:r>
      <w:r w:rsidR="007B6ACF" w:rsidRPr="00002102">
        <w:t>.</w:t>
      </w:r>
      <w:r w:rsidR="007B6ACF" w:rsidRPr="00002102">
        <w:rPr>
          <w:rStyle w:val="Voetnootmarkering"/>
        </w:rPr>
        <w:footnoteReference w:id="77"/>
      </w:r>
      <w:r w:rsidR="007B6ACF">
        <w:t xml:space="preserve"> </w:t>
      </w:r>
    </w:p>
    <w:p w:rsidR="007B6ACF" w:rsidRPr="00002102" w:rsidRDefault="007B6ACF" w:rsidP="006D5F99">
      <w:pPr>
        <w:ind w:firstLine="720"/>
      </w:pPr>
      <w:r>
        <w:t>Secondly, a great majority of national courts scrutinised practices of municipalities that attached constitutive force to residenc</w:t>
      </w:r>
      <w:r w:rsidR="00232941">
        <w:t>e permits and residence ‘codes’</w:t>
      </w:r>
      <w:r w:rsidR="00907641">
        <w:t>,</w:t>
      </w:r>
      <w:r w:rsidR="00232941">
        <w:t xml:space="preserve"> stressing </w:t>
      </w:r>
      <w:r>
        <w:t>the independent status Union citizens</w:t>
      </w:r>
      <w:r w:rsidR="00232941">
        <w:t xml:space="preserve"> instead</w:t>
      </w:r>
      <w:r>
        <w:t>.</w:t>
      </w:r>
      <w:r>
        <w:rPr>
          <w:rStyle w:val="Voetnootmarkering"/>
        </w:rPr>
        <w:footnoteReference w:id="78"/>
      </w:r>
      <w:r>
        <w:t xml:space="preserve"> These cases culminated in a judgment of t</w:t>
      </w:r>
      <w:r w:rsidR="006D5F99">
        <w:t xml:space="preserve">he Administrative </w:t>
      </w:r>
      <w:r w:rsidR="0046426A">
        <w:t xml:space="preserve">High </w:t>
      </w:r>
      <w:r w:rsidR="006D5F99">
        <w:t>Court that declared</w:t>
      </w:r>
      <w:r>
        <w:t xml:space="preserve"> the practice of so</w:t>
      </w:r>
      <w:r w:rsidR="006D5F99">
        <w:t>cial authorities to verify residence status on the sole basis</w:t>
      </w:r>
      <w:r>
        <w:t xml:space="preserve"> </w:t>
      </w:r>
      <w:r w:rsidR="006D5F99">
        <w:t xml:space="preserve">of </w:t>
      </w:r>
      <w:r w:rsidR="00A30989">
        <w:t>residence codes in the Municipal Records D</w:t>
      </w:r>
      <w:r>
        <w:t xml:space="preserve">atabase invalid. Instead, </w:t>
      </w:r>
      <w:r w:rsidR="000534B2">
        <w:t xml:space="preserve">the Court set a precedent for </w:t>
      </w:r>
      <w:r w:rsidR="006D5F99">
        <w:t>social authorities</w:t>
      </w:r>
      <w:r>
        <w:t xml:space="preserve"> </w:t>
      </w:r>
      <w:r w:rsidR="000534B2">
        <w:t xml:space="preserve">to verify </w:t>
      </w:r>
      <w:r>
        <w:t>independently</w:t>
      </w:r>
      <w:r w:rsidR="000534B2">
        <w:t>, in cases of doubt,</w:t>
      </w:r>
      <w:r>
        <w:t xml:space="preserve"> </w:t>
      </w:r>
      <w:r w:rsidR="000534B2">
        <w:t>whether the Union citizen applying for social assistance enjoyed lawful residence under EU</w:t>
      </w:r>
      <w:r>
        <w:t>, in particular whether the applicant belonged to the ca</w:t>
      </w:r>
      <w:r w:rsidR="000534B2">
        <w:t>tegory of ‘economically active’.</w:t>
      </w:r>
      <w:r>
        <w:rPr>
          <w:rStyle w:val="Voetnootmarkering"/>
        </w:rPr>
        <w:footnoteReference w:id="79"/>
      </w:r>
    </w:p>
    <w:p w:rsidR="007B6ACF" w:rsidRPr="00002102" w:rsidRDefault="007B6ACF" w:rsidP="007B6ACF"/>
    <w:p w:rsidR="007B6ACF" w:rsidRDefault="00662F7B" w:rsidP="007B6ACF">
      <w:pPr>
        <w:pStyle w:val="Kop2"/>
      </w:pPr>
      <w:r>
        <w:t>B</w:t>
      </w:r>
      <w:r w:rsidR="0095298A">
        <w:t>.</w:t>
      </w:r>
      <w:r w:rsidR="003A5BFB">
        <w:t xml:space="preserve"> </w:t>
      </w:r>
      <w:r w:rsidR="007B6ACF" w:rsidRPr="00002102">
        <w:t>Implementing the Citizens Directive</w:t>
      </w:r>
      <w:r w:rsidR="006E1BBE">
        <w:t xml:space="preserve"> and Policy Drift </w:t>
      </w:r>
      <w:r w:rsidR="003A5BFB">
        <w:t>(2007-2013)</w:t>
      </w:r>
    </w:p>
    <w:p w:rsidR="00412EBA" w:rsidRPr="00412EBA" w:rsidRDefault="00412EBA" w:rsidP="00412EBA"/>
    <w:p w:rsidR="00F81022" w:rsidRDefault="005E47CF" w:rsidP="00F81022">
      <w:r>
        <w:t>The second period of analysis is identified with the implementation of the Citizens Directive into national legislation and policy instructions in 2007. The first ‘free’ period of residence, during which</w:t>
      </w:r>
      <w:r w:rsidRPr="005E47CF">
        <w:t xml:space="preserve"> </w:t>
      </w:r>
      <w:r w:rsidR="00907641">
        <w:t>the Union citizen just need</w:t>
      </w:r>
      <w:r>
        <w:t xml:space="preserve"> to possess a valid identity card, </w:t>
      </w:r>
      <w:r w:rsidR="00F81022">
        <w:t>was shor</w:t>
      </w:r>
      <w:r>
        <w:t>tened from six to three months</w:t>
      </w:r>
      <w:r w:rsidR="00F81022">
        <w:t>.</w:t>
      </w:r>
      <w:r w:rsidR="00F81022">
        <w:rPr>
          <w:rStyle w:val="Voetnootmarkering"/>
        </w:rPr>
        <w:footnoteReference w:id="80"/>
      </w:r>
      <w:r w:rsidR="00F81022">
        <w:t xml:space="preserve"> </w:t>
      </w:r>
      <w:r>
        <w:t>At the same time however, t</w:t>
      </w:r>
      <w:r w:rsidR="00F81022">
        <w:t xml:space="preserve">he Social Assistance Act was amended so as to exclude </w:t>
      </w:r>
      <w:r>
        <w:t>Union</w:t>
      </w:r>
      <w:r w:rsidR="00F81022">
        <w:t xml:space="preserve"> citizen</w:t>
      </w:r>
      <w:r w:rsidR="00007C3A">
        <w:t>s</w:t>
      </w:r>
      <w:r w:rsidR="00F81022">
        <w:t xml:space="preserve"> </w:t>
      </w:r>
      <w:r>
        <w:t xml:space="preserve">from an equal right to social assistance </w:t>
      </w:r>
      <w:r w:rsidR="00F81022">
        <w:t xml:space="preserve">during </w:t>
      </w:r>
      <w:r>
        <w:t xml:space="preserve">this first period </w:t>
      </w:r>
      <w:r w:rsidR="00F81022">
        <w:t xml:space="preserve">of residence or longer </w:t>
      </w:r>
      <w:r w:rsidR="00F81022">
        <w:lastRenderedPageBreak/>
        <w:t>if</w:t>
      </w:r>
      <w:r w:rsidR="00007C3A">
        <w:t xml:space="preserve"> they are </w:t>
      </w:r>
      <w:r w:rsidR="00F81022">
        <w:t>jobseeker</w:t>
      </w:r>
      <w:r w:rsidR="00007C3A">
        <w:t>s</w:t>
      </w:r>
      <w:r w:rsidR="00F81022">
        <w:t>.</w:t>
      </w:r>
      <w:r w:rsidR="00F81022">
        <w:rPr>
          <w:rStyle w:val="Voetnootmarkering"/>
        </w:rPr>
        <w:footnoteReference w:id="81"/>
      </w:r>
      <w:r w:rsidR="00F81022">
        <w:t xml:space="preserve"> </w:t>
      </w:r>
      <w:r>
        <w:t>Unio</w:t>
      </w:r>
      <w:r w:rsidR="006661B8">
        <w:t xml:space="preserve">n citizens wishing to stay longer than </w:t>
      </w:r>
      <w:r>
        <w:t xml:space="preserve">three </w:t>
      </w:r>
      <w:r w:rsidR="007B6ACF">
        <w:t xml:space="preserve">months </w:t>
      </w:r>
      <w:r w:rsidR="006661B8">
        <w:t xml:space="preserve">were no longer required to obtain a residence permit. </w:t>
      </w:r>
      <w:r w:rsidR="007B6ACF">
        <w:t>Instead, the</w:t>
      </w:r>
      <w:r w:rsidR="006661B8">
        <w:t xml:space="preserve">y had </w:t>
      </w:r>
      <w:r w:rsidR="00570525">
        <w:t xml:space="preserve">a duty to register </w:t>
      </w:r>
      <w:r w:rsidR="006661B8">
        <w:t>within four</w:t>
      </w:r>
      <w:r w:rsidR="007B6ACF">
        <w:t xml:space="preserve"> month</w:t>
      </w:r>
      <w:r w:rsidR="006661B8">
        <w:t>s after entering the Dutch territory</w:t>
      </w:r>
      <w:r w:rsidR="007B6ACF">
        <w:t xml:space="preserve"> with the </w:t>
      </w:r>
      <w:r w:rsidR="00570525">
        <w:t xml:space="preserve">Immigration Service </w:t>
      </w:r>
      <w:r w:rsidR="007B6ACF">
        <w:t>to receive a registration certificate.</w:t>
      </w:r>
      <w:r w:rsidR="007B6ACF">
        <w:rPr>
          <w:rStyle w:val="Voetnootmarkering"/>
        </w:rPr>
        <w:footnoteReference w:id="82"/>
      </w:r>
      <w:r w:rsidR="007B6ACF">
        <w:t xml:space="preserve"> During a registration appoin</w:t>
      </w:r>
      <w:r w:rsidR="006661B8">
        <w:t xml:space="preserve">tment, an assessment </w:t>
      </w:r>
      <w:r w:rsidR="00570525">
        <w:t xml:space="preserve">would take </w:t>
      </w:r>
      <w:r w:rsidR="006661B8">
        <w:t xml:space="preserve">place </w:t>
      </w:r>
      <w:r w:rsidR="00570525">
        <w:t xml:space="preserve">on </w:t>
      </w:r>
      <w:r w:rsidR="006661B8">
        <w:t xml:space="preserve">whether the Union citizen complied with the conditions for continued residence. </w:t>
      </w:r>
      <w:r w:rsidR="007B6ACF">
        <w:t xml:space="preserve">The </w:t>
      </w:r>
      <w:r w:rsidR="00007C3A">
        <w:t>Immigration Service</w:t>
      </w:r>
      <w:r w:rsidR="007B6ACF">
        <w:t xml:space="preserve"> would verify the validity of the identity papers and</w:t>
      </w:r>
      <w:r w:rsidR="00907641">
        <w:t xml:space="preserve"> verify the documents that </w:t>
      </w:r>
      <w:r w:rsidR="00570525">
        <w:t>Union</w:t>
      </w:r>
      <w:r w:rsidR="007B6ACF">
        <w:t xml:space="preserve"> citizen</w:t>
      </w:r>
      <w:r w:rsidR="00907641">
        <w:t>s</w:t>
      </w:r>
      <w:r w:rsidR="007B6ACF">
        <w:t xml:space="preserve"> had brought to state and dem</w:t>
      </w:r>
      <w:r w:rsidR="00907641">
        <w:t xml:space="preserve">onstrate the </w:t>
      </w:r>
      <w:r w:rsidR="007B6ACF">
        <w:t>purpose of the</w:t>
      </w:r>
      <w:r w:rsidR="00907641">
        <w:t>ir</w:t>
      </w:r>
      <w:r w:rsidR="007B6ACF">
        <w:t xml:space="preserve"> stay in the Netherlands and proved their health care coverage.</w:t>
      </w:r>
      <w:r w:rsidR="007B6ACF">
        <w:rPr>
          <w:rStyle w:val="Voetnootmarkering"/>
        </w:rPr>
        <w:footnoteReference w:id="83"/>
      </w:r>
      <w:r w:rsidR="007B6ACF">
        <w:t xml:space="preserve"> Since the </w:t>
      </w:r>
      <w:r w:rsidR="00007C3A">
        <w:t xml:space="preserve">Citizenship </w:t>
      </w:r>
      <w:r w:rsidR="007B6ACF">
        <w:t>Directive demanded the immediate issue of a registration certificate, the system was described as ‘relatively flexible’.</w:t>
      </w:r>
      <w:r w:rsidR="007B6ACF">
        <w:rPr>
          <w:rStyle w:val="Voetnootmarkering"/>
        </w:rPr>
        <w:footnoteReference w:id="84"/>
      </w:r>
      <w:r w:rsidR="007B6ACF">
        <w:t xml:space="preserve"> Only in case of doubts about lawful residence or when no proof of health insurance or the purpose of stay could be provided, no registration certificate would be issued.</w:t>
      </w:r>
      <w:r w:rsidR="007B6ACF">
        <w:rPr>
          <w:rStyle w:val="Voetnootmarkering"/>
        </w:rPr>
        <w:footnoteReference w:id="85"/>
      </w:r>
      <w:r w:rsidR="00F81022">
        <w:t xml:space="preserve"> A special permanent residence status was created for the </w:t>
      </w:r>
      <w:r w:rsidR="00E875BB">
        <w:t xml:space="preserve">Union </w:t>
      </w:r>
      <w:r w:rsidR="00F81022">
        <w:t>citizen who had resided in the Netherlands for an uninterrupted period of five years.</w:t>
      </w:r>
      <w:r w:rsidR="00F81022">
        <w:rPr>
          <w:rStyle w:val="Voetnootmarkering"/>
        </w:rPr>
        <w:footnoteReference w:id="86"/>
      </w:r>
      <w:r w:rsidR="00F81022">
        <w:t xml:space="preserve"> The eligible EU citizen could apply for a permit of permanent residence when he s</w:t>
      </w:r>
      <w:r w:rsidR="00F81022" w:rsidRPr="008A3B7F">
        <w:t>how</w:t>
      </w:r>
      <w:r w:rsidR="00F81022">
        <w:t>ed</w:t>
      </w:r>
      <w:r w:rsidR="00F81022" w:rsidRPr="008A3B7F">
        <w:t xml:space="preserve"> </w:t>
      </w:r>
      <w:r w:rsidR="00F81022">
        <w:t xml:space="preserve">his lawful residence, for instance by providing </w:t>
      </w:r>
      <w:r w:rsidR="00F81022" w:rsidRPr="008A3B7F">
        <w:t>proof of registration in the Municipal Administration</w:t>
      </w:r>
      <w:r w:rsidR="00F81022">
        <w:t>.</w:t>
      </w:r>
      <w:r w:rsidR="00F81022">
        <w:rPr>
          <w:rStyle w:val="Voetnootmarkering"/>
        </w:rPr>
        <w:footnoteReference w:id="87"/>
      </w:r>
    </w:p>
    <w:p w:rsidR="008849C9" w:rsidRDefault="00F81022" w:rsidP="004B7BFF">
      <w:pPr>
        <w:ind w:firstLine="720"/>
      </w:pPr>
      <w:r w:rsidRPr="0046426A">
        <w:t>With the implementation of the Citizens’ Directive</w:t>
      </w:r>
      <w:r w:rsidR="0046426A" w:rsidRPr="0046426A">
        <w:t xml:space="preserve"> (2007)</w:t>
      </w:r>
      <w:r w:rsidRPr="0046426A">
        <w:t>, the Dutch authorities loosened the formal link between the possession of a residence document and access to the welfare state. Instead, the Aliens Circular would now state that on the basis of Directive 2004/38, proof of lawful residence does not follow from the provision of a residence document.</w:t>
      </w:r>
      <w:r w:rsidRPr="0046426A">
        <w:rPr>
          <w:rStyle w:val="Voetnootmarkering"/>
        </w:rPr>
        <w:footnoteReference w:id="88"/>
      </w:r>
      <w:r w:rsidRPr="0046426A">
        <w:t xml:space="preserve"> </w:t>
      </w:r>
      <w:r w:rsidR="007B6ACF" w:rsidRPr="0046426A">
        <w:t xml:space="preserve">This led to the rather paradoxical situation that </w:t>
      </w:r>
      <w:r w:rsidR="00907641" w:rsidRPr="0046426A">
        <w:t xml:space="preserve">although </w:t>
      </w:r>
      <w:r w:rsidR="007B6ACF" w:rsidRPr="0046426A">
        <w:t xml:space="preserve">no documentation was required to prove lawful residence (and have access to social assistance) the Netherlands still tried to maintain some form of bureaucratic control by demanding registration with the </w:t>
      </w:r>
      <w:r w:rsidR="00007C3A" w:rsidRPr="0046426A">
        <w:t>Immigration S</w:t>
      </w:r>
      <w:r w:rsidR="007B6ACF" w:rsidRPr="0046426A">
        <w:t xml:space="preserve">ervice. Probably as a result of this contradictory situation, a blurry picture emerges from </w:t>
      </w:r>
      <w:r w:rsidR="00D01878" w:rsidRPr="0046426A">
        <w:t xml:space="preserve">Union citizens’ </w:t>
      </w:r>
      <w:r w:rsidR="007B6ACF" w:rsidRPr="0046426A">
        <w:t xml:space="preserve">access to social assistance in practice. </w:t>
      </w:r>
      <w:r w:rsidRPr="0046426A">
        <w:t xml:space="preserve">Based on interviews and case law, three different responses </w:t>
      </w:r>
      <w:r w:rsidR="00965A05" w:rsidRPr="0046426A">
        <w:t xml:space="preserve">from municipalities </w:t>
      </w:r>
      <w:r w:rsidRPr="0046426A">
        <w:t>can be distinguished</w:t>
      </w:r>
      <w:r w:rsidR="008111E6" w:rsidRPr="0046426A">
        <w:t xml:space="preserve">; </w:t>
      </w:r>
      <w:r w:rsidR="0046426A">
        <w:t xml:space="preserve">one expansive and two restrictive. </w:t>
      </w:r>
      <w:r>
        <w:t xml:space="preserve"> </w:t>
      </w:r>
    </w:p>
    <w:p w:rsidR="00D8432C" w:rsidRDefault="00D8432C" w:rsidP="008C53D0">
      <w:pPr>
        <w:ind w:firstLine="708"/>
      </w:pPr>
      <w:r>
        <w:lastRenderedPageBreak/>
        <w:t xml:space="preserve">A </w:t>
      </w:r>
      <w:r w:rsidR="00007C3A">
        <w:t xml:space="preserve">first </w:t>
      </w:r>
      <w:r>
        <w:t xml:space="preserve">response for a municipality was to grant social assistance and send a report to the Immigration Service. By doing so, the Dutch administration might have acted more generous than the government had originally envisioned. </w:t>
      </w:r>
      <w:r w:rsidR="00C32183">
        <w:t xml:space="preserve">With the implementation of the Citizens Directive, </w:t>
      </w:r>
      <w:r>
        <w:t xml:space="preserve">municipalities were asked to </w:t>
      </w:r>
      <w:r w:rsidR="00C32183">
        <w:t xml:space="preserve">notify the </w:t>
      </w:r>
      <w:r>
        <w:t xml:space="preserve">Immigration Service </w:t>
      </w:r>
      <w:r w:rsidR="00C32183">
        <w:t xml:space="preserve">when they granted </w:t>
      </w:r>
      <w:r>
        <w:t xml:space="preserve">social assistance </w:t>
      </w:r>
      <w:r w:rsidR="00C32183">
        <w:t xml:space="preserve">to Union citizens </w:t>
      </w:r>
      <w:r>
        <w:t xml:space="preserve">so that the </w:t>
      </w:r>
      <w:r w:rsidR="00907641">
        <w:t>Immigration Service</w:t>
      </w:r>
      <w:r>
        <w:t xml:space="preserve"> could assess the conseq</w:t>
      </w:r>
      <w:r w:rsidR="00C32183">
        <w:t>uences for their residence status.</w:t>
      </w:r>
      <w:r w:rsidR="00C32183">
        <w:rPr>
          <w:rStyle w:val="Voetnootmarkering"/>
        </w:rPr>
        <w:footnoteReference w:id="89"/>
      </w:r>
      <w:r>
        <w:t xml:space="preserve"> In practice, however, cooperation and information exchange between municipalities and the Immigration Se</w:t>
      </w:r>
      <w:r w:rsidR="00C32183">
        <w:t xml:space="preserve">rvice was largely ineffective. An internal research report </w:t>
      </w:r>
      <w:r>
        <w:t xml:space="preserve">revealed that it was unclear for municipalities in which cases they should inform the </w:t>
      </w:r>
      <w:r w:rsidR="00907641">
        <w:t>Immigration Service</w:t>
      </w:r>
      <w:r>
        <w:t>, resulting in a relatively low number of reports.</w:t>
      </w:r>
      <w:r>
        <w:rPr>
          <w:rStyle w:val="Voetnootmarkering"/>
        </w:rPr>
        <w:footnoteReference w:id="90"/>
      </w:r>
      <w:r>
        <w:t xml:space="preserve"> </w:t>
      </w:r>
      <w:r w:rsidR="00C32183">
        <w:t>In addition,</w:t>
      </w:r>
      <w:r>
        <w:t xml:space="preserve"> municipalities hardly e</w:t>
      </w:r>
      <w:r w:rsidR="00907641">
        <w:t>ver received feedback from the Immigration Service</w:t>
      </w:r>
      <w:r>
        <w:t>.</w:t>
      </w:r>
      <w:r>
        <w:rPr>
          <w:rStyle w:val="Voetnootmarkering"/>
        </w:rPr>
        <w:footnoteReference w:id="91"/>
      </w:r>
      <w:r>
        <w:t xml:space="preserve"> </w:t>
      </w:r>
      <w:r w:rsidR="00C32183">
        <w:t xml:space="preserve">From the perspective of the Immigration Service, the termination of </w:t>
      </w:r>
      <w:r>
        <w:t xml:space="preserve">residence </w:t>
      </w:r>
      <w:r w:rsidR="00C32183">
        <w:t>of Union citizens was</w:t>
      </w:r>
      <w:r>
        <w:t xml:space="preserve"> described as ‘legally more complex’ and ‘almost impossible’ to do in practice.</w:t>
      </w:r>
      <w:r>
        <w:rPr>
          <w:rStyle w:val="Voetnootmarkering"/>
        </w:rPr>
        <w:footnoteReference w:id="92"/>
      </w:r>
      <w:r w:rsidR="00C32183">
        <w:t xml:space="preserve"> It was</w:t>
      </w:r>
      <w:r>
        <w:t xml:space="preserve"> even acknowledged that in the period between August 2006 and the summer of 2008 Union citizens’ files were not assessed at all due to other (politica</w:t>
      </w:r>
      <w:r w:rsidR="00C32183">
        <w:t>l) policy priorities</w:t>
      </w:r>
      <w:r>
        <w:t>.</w:t>
      </w:r>
      <w:r>
        <w:rPr>
          <w:rStyle w:val="Voetnootmarkering"/>
        </w:rPr>
        <w:footnoteReference w:id="93"/>
      </w:r>
      <w:r>
        <w:t xml:space="preserve"> In other words, the </w:t>
      </w:r>
      <w:r w:rsidR="00C32183">
        <w:t>‘</w:t>
      </w:r>
      <w:r>
        <w:t>tombola</w:t>
      </w:r>
      <w:r w:rsidR="00C32183">
        <w:t>’</w:t>
      </w:r>
      <w:r>
        <w:t xml:space="preserve"> situation resulting from the implementation of the Citizens Directive might have resulted in ‘generosity by accident’:</w:t>
      </w:r>
      <w:r w:rsidR="00C32183">
        <w:rPr>
          <w:rStyle w:val="Voetnootmarkering"/>
        </w:rPr>
        <w:footnoteReference w:id="94"/>
      </w:r>
      <w:r>
        <w:t xml:space="preserve"> some Union citizens </w:t>
      </w:r>
      <w:r w:rsidR="00177A25">
        <w:t xml:space="preserve">who were not likely to meet residence conditions </w:t>
      </w:r>
      <w:r>
        <w:t>might have received social assistanc</w:t>
      </w:r>
      <w:r w:rsidR="00007C3A">
        <w:t>e on the basis of earlier issued</w:t>
      </w:r>
      <w:r>
        <w:t xml:space="preserve"> registration certificates or </w:t>
      </w:r>
      <w:r w:rsidR="00177A25">
        <w:t xml:space="preserve">due to </w:t>
      </w:r>
      <w:r>
        <w:t>administrative incapacity</w:t>
      </w:r>
      <w:r w:rsidR="00177A25">
        <w:t>.</w:t>
      </w:r>
      <w:r>
        <w:t xml:space="preserve"> </w:t>
      </w:r>
    </w:p>
    <w:p w:rsidR="007B6ACF" w:rsidRDefault="00D8432C" w:rsidP="004B7BFF">
      <w:pPr>
        <w:ind w:firstLine="720"/>
      </w:pPr>
      <w:r>
        <w:t>A second</w:t>
      </w:r>
      <w:r w:rsidR="00965A05">
        <w:t xml:space="preserve">, </w:t>
      </w:r>
      <w:r w:rsidR="00C32183">
        <w:t>rather restrictive</w:t>
      </w:r>
      <w:r w:rsidR="00965A05">
        <w:t xml:space="preserve"> response can be described as sending the Union citizen who applies for social assistance </w:t>
      </w:r>
      <w:r w:rsidR="00A07EBB">
        <w:t>‘</w:t>
      </w:r>
      <w:r w:rsidR="00965A05">
        <w:t>from pillar to post</w:t>
      </w:r>
      <w:r w:rsidR="00A07EBB">
        <w:t>’</w:t>
      </w:r>
      <w:r w:rsidR="002D5A03">
        <w:t xml:space="preserve">. </w:t>
      </w:r>
      <w:r w:rsidR="00965A05">
        <w:t>This situation would take place when Union citizen</w:t>
      </w:r>
      <w:r w:rsidR="007B6ACF">
        <w:t xml:space="preserve"> </w:t>
      </w:r>
      <w:r w:rsidR="00965A05">
        <w:t xml:space="preserve">did not register </w:t>
      </w:r>
      <w:r w:rsidR="004B7BFF">
        <w:t xml:space="preserve">at all </w:t>
      </w:r>
      <w:r w:rsidR="00965A05">
        <w:t>or only</w:t>
      </w:r>
      <w:r w:rsidR="007B6ACF">
        <w:t xml:space="preserve"> registere</w:t>
      </w:r>
      <w:r w:rsidR="00965A05">
        <w:t xml:space="preserve">d with the municipality but </w:t>
      </w:r>
      <w:r w:rsidR="00965A05" w:rsidRPr="004B7BFF">
        <w:rPr>
          <w:i/>
        </w:rPr>
        <w:t xml:space="preserve">not </w:t>
      </w:r>
      <w:r w:rsidR="007B6ACF">
        <w:t>with the</w:t>
      </w:r>
      <w:r w:rsidR="00965A05">
        <w:t xml:space="preserve"> Immigration Service</w:t>
      </w:r>
      <w:r w:rsidR="007B6ACF">
        <w:t xml:space="preserve">. </w:t>
      </w:r>
      <w:r w:rsidR="00965A05">
        <w:t xml:space="preserve">In the latter case, they would be registered in the database with a residence code that signified that the Union citizens residence status </w:t>
      </w:r>
      <w:r w:rsidR="002D5A03">
        <w:t xml:space="preserve">as ‘open’ under EU law, </w:t>
      </w:r>
      <w:r w:rsidR="00965A05">
        <w:t>a process that would only be finalised if the Union citizen registered with the Immigration Service.</w:t>
      </w:r>
      <w:r w:rsidR="007B6ACF">
        <w:t xml:space="preserve"> </w:t>
      </w:r>
      <w:r w:rsidR="008111E6">
        <w:t xml:space="preserve">While Union citizens with this residence </w:t>
      </w:r>
      <w:r w:rsidR="007B6ACF">
        <w:t xml:space="preserve">code could have </w:t>
      </w:r>
      <w:r w:rsidR="008111E6">
        <w:t xml:space="preserve">actually </w:t>
      </w:r>
      <w:r w:rsidR="007B6ACF">
        <w:t xml:space="preserve">resided in the Netherlands for many years, </w:t>
      </w:r>
      <w:r w:rsidR="008111E6">
        <w:t xml:space="preserve">they </w:t>
      </w:r>
      <w:r w:rsidR="00644ED6">
        <w:t>were</w:t>
      </w:r>
      <w:r w:rsidR="00A71511">
        <w:t xml:space="preserve"> </w:t>
      </w:r>
      <w:r w:rsidR="00A71511">
        <w:lastRenderedPageBreak/>
        <w:t xml:space="preserve">refused social assistance and </w:t>
      </w:r>
      <w:r w:rsidR="00A07EBB">
        <w:t xml:space="preserve">asked to </w:t>
      </w:r>
      <w:r w:rsidR="007B55A3">
        <w:t>report at</w:t>
      </w:r>
      <w:r w:rsidR="00A07EBB">
        <w:t xml:space="preserve"> the Immigration Service</w:t>
      </w:r>
      <w:r w:rsidR="004B7BFF">
        <w:t xml:space="preserve"> to change their ‘residence status’</w:t>
      </w:r>
      <w:r w:rsidR="007B6ACF">
        <w:t>.</w:t>
      </w:r>
      <w:r w:rsidR="007B6ACF">
        <w:rPr>
          <w:rStyle w:val="Voetnootmarkering"/>
        </w:rPr>
        <w:footnoteReference w:id="95"/>
      </w:r>
      <w:r w:rsidR="00A71511">
        <w:t xml:space="preserve"> The Immigration Service, however,</w:t>
      </w:r>
      <w:r w:rsidR="00530987">
        <w:t xml:space="preserve"> did neither</w:t>
      </w:r>
      <w:r w:rsidR="00A71511">
        <w:t xml:space="preserve"> have the capacity nor the information to verify, retrospectively, the residence status of a Union cit</w:t>
      </w:r>
      <w:r w:rsidR="00530987">
        <w:t xml:space="preserve">izen. </w:t>
      </w:r>
      <w:r w:rsidR="00683028">
        <w:t xml:space="preserve">Unable to change their residence status, Union citizens were regarded as workseekers </w:t>
      </w:r>
      <w:r w:rsidR="00644ED6">
        <w:t xml:space="preserve">by municipalities </w:t>
      </w:r>
      <w:r w:rsidR="00683028">
        <w:t xml:space="preserve">and refused social assistance. </w:t>
      </w:r>
      <w:r w:rsidR="00644ED6">
        <w:t>That the municipalities were even encouraged to adopt this practice appears from a letter from the Minister of Social Affairs, informing them</w:t>
      </w:r>
      <w:r w:rsidR="008111E6">
        <w:t xml:space="preserve"> </w:t>
      </w:r>
      <w:r w:rsidR="00E875BB">
        <w:t xml:space="preserve">that </w:t>
      </w:r>
      <w:r w:rsidR="008111E6">
        <w:t>Union citizens</w:t>
      </w:r>
      <w:r w:rsidR="00E875BB">
        <w:t xml:space="preserve"> who failed to register </w:t>
      </w:r>
      <w:r w:rsidR="002D5A03">
        <w:t xml:space="preserve">with the Immigration Service </w:t>
      </w:r>
      <w:r w:rsidR="00E875BB">
        <w:t xml:space="preserve">could be </w:t>
      </w:r>
      <w:r w:rsidR="00E875BB" w:rsidRPr="00DD614B">
        <w:rPr>
          <w:i/>
        </w:rPr>
        <w:t>assumed</w:t>
      </w:r>
      <w:r w:rsidR="00E875BB">
        <w:t xml:space="preserve"> to have resided in the Netherlands shorter than three months.</w:t>
      </w:r>
      <w:r w:rsidR="00E875BB">
        <w:rPr>
          <w:rStyle w:val="Voetnootmarkering"/>
        </w:rPr>
        <w:footnoteReference w:id="96"/>
      </w:r>
      <w:r w:rsidR="008111E6">
        <w:t xml:space="preserve"> </w:t>
      </w:r>
    </w:p>
    <w:p w:rsidR="007B6ACF" w:rsidRDefault="00D8432C" w:rsidP="00907641">
      <w:pPr>
        <w:ind w:firstLine="708"/>
      </w:pPr>
      <w:r>
        <w:t xml:space="preserve">A third response </w:t>
      </w:r>
      <w:r w:rsidR="00683028">
        <w:t>by municipalities was to independently assess the residence status of Union citizens. It appears from both i</w:t>
      </w:r>
      <w:r w:rsidR="00907641">
        <w:t>nterviews and case law that it</w:t>
      </w:r>
      <w:r w:rsidR="00683028">
        <w:t xml:space="preserve"> was common practice for municipalities to assess, on the basis of the residence conditions of the Citizens Directive</w:t>
      </w:r>
      <w:r w:rsidR="0024415E">
        <w:t>,</w:t>
      </w:r>
      <w:r w:rsidR="00683028">
        <w:t xml:space="preserve"> whether a Union citizen lawfully resided in the Netherlands and therefore enjoy</w:t>
      </w:r>
      <w:r w:rsidR="00120730">
        <w:t>ed access to social assistance.</w:t>
      </w:r>
      <w:r w:rsidR="00A07EBB">
        <w:rPr>
          <w:rStyle w:val="Voetnootmarkering"/>
        </w:rPr>
        <w:footnoteReference w:id="97"/>
      </w:r>
      <w:r w:rsidR="006B2D15">
        <w:t xml:space="preserve"> </w:t>
      </w:r>
      <w:r w:rsidR="004C7D79">
        <w:t xml:space="preserve">It appears </w:t>
      </w:r>
      <w:r w:rsidR="00644ED6">
        <w:t>that, u</w:t>
      </w:r>
      <w:r w:rsidR="006B2D15">
        <w:t>nti</w:t>
      </w:r>
      <w:r w:rsidR="0046426A">
        <w:t xml:space="preserve">l a definitive judgment by the </w:t>
      </w:r>
      <w:r w:rsidR="006B2D15">
        <w:t xml:space="preserve">Administrative </w:t>
      </w:r>
      <w:r w:rsidR="0046426A">
        <w:t xml:space="preserve">High </w:t>
      </w:r>
      <w:r w:rsidR="006B2D15">
        <w:t>Court</w:t>
      </w:r>
      <w:r w:rsidR="004279B9">
        <w:t xml:space="preserve"> in 2013</w:t>
      </w:r>
      <w:r w:rsidR="00DD0642">
        <w:t xml:space="preserve"> (</w:t>
      </w:r>
      <w:r w:rsidR="00F45478">
        <w:t>see section 4</w:t>
      </w:r>
      <w:r w:rsidR="00644ED6">
        <w:t>.III</w:t>
      </w:r>
      <w:r w:rsidR="00DD0642">
        <w:t>)</w:t>
      </w:r>
      <w:r w:rsidR="006B2D15">
        <w:t>, lower courts were divided over whether municipalities were competent to assess residence</w:t>
      </w:r>
      <w:r w:rsidR="004279B9">
        <w:t>, with some of them st</w:t>
      </w:r>
      <w:r w:rsidR="00644ED6">
        <w:t>ressing that municipalities were not the</w:t>
      </w:r>
      <w:r w:rsidR="004279B9">
        <w:t xml:space="preserve"> competent authority to check residence conditions</w:t>
      </w:r>
      <w:r w:rsidR="004279B9">
        <w:rPr>
          <w:rStyle w:val="Voetnootmarkering"/>
        </w:rPr>
        <w:footnoteReference w:id="98"/>
      </w:r>
      <w:r w:rsidR="004279B9">
        <w:t xml:space="preserve"> and some explicitly requiring and allowing municipalities to directly test whether </w:t>
      </w:r>
      <w:r w:rsidR="006B2D15">
        <w:t>.</w:t>
      </w:r>
      <w:r w:rsidR="006B2D15">
        <w:rPr>
          <w:rStyle w:val="Voetnootmarkering"/>
        </w:rPr>
        <w:footnoteReference w:id="99"/>
      </w:r>
      <w:r w:rsidR="00644ED6">
        <w:t xml:space="preserve"> An independent assessment offered municipalities the opportunities to reject claims to social assistance by arguing that the Union citizens did not have sufficient resources and, hence, did not enjoy lawful residence in the Netherlands. </w:t>
      </w:r>
    </w:p>
    <w:p w:rsidR="008849C9" w:rsidRDefault="004C7D79" w:rsidP="007B6ACF">
      <w:r>
        <w:tab/>
      </w:r>
      <w:r w:rsidR="00D81D5E">
        <w:t xml:space="preserve"> </w:t>
      </w:r>
      <w:r w:rsidR="00E82C57">
        <w:t xml:space="preserve">The conclusion </w:t>
      </w:r>
      <w:r w:rsidR="00D8432C">
        <w:t>to be drawn</w:t>
      </w:r>
      <w:r w:rsidR="00F45478">
        <w:t xml:space="preserve"> from</w:t>
      </w:r>
      <w:r w:rsidR="00D8432C">
        <w:t xml:space="preserve"> </w:t>
      </w:r>
      <w:r w:rsidR="00E82C57">
        <w:t xml:space="preserve">second period of analysis </w:t>
      </w:r>
      <w:r w:rsidR="00D8432C">
        <w:t xml:space="preserve">is the following: administrative </w:t>
      </w:r>
      <w:r w:rsidR="008C53D0">
        <w:t xml:space="preserve">and legal incapacities and inconsistencies </w:t>
      </w:r>
      <w:r w:rsidR="00D8432C">
        <w:t>created a highly arbitrary system for Union citizens’ social rights in practice. Whereas, on the one hand, outdated registration certificates and administrative procedures could ‘accidently’ grant access to</w:t>
      </w:r>
      <w:r w:rsidR="008C53D0">
        <w:t xml:space="preserve"> social assistance to</w:t>
      </w:r>
      <w:r w:rsidR="0024415E">
        <w:t xml:space="preserve"> some Union citizens, the</w:t>
      </w:r>
      <w:r w:rsidR="00D8432C">
        <w:t xml:space="preserve"> same reasons provided an incentive for municipalities </w:t>
      </w:r>
      <w:r w:rsidR="00E82C57">
        <w:t xml:space="preserve">to </w:t>
      </w:r>
      <w:r w:rsidR="00D8432C">
        <w:t>restrictively test the right of residence themselves</w:t>
      </w:r>
      <w:r w:rsidR="00E82C57">
        <w:t xml:space="preserve">. </w:t>
      </w:r>
      <w:r w:rsidR="00D8432C">
        <w:t xml:space="preserve">The </w:t>
      </w:r>
      <w:r w:rsidR="008C53D0">
        <w:t xml:space="preserve">policy challenge formulated time and again during this period was </w:t>
      </w:r>
      <w:r w:rsidR="00177A25">
        <w:t xml:space="preserve">not </w:t>
      </w:r>
      <w:r w:rsidR="00177A25">
        <w:lastRenderedPageBreak/>
        <w:t xml:space="preserve">in changing the </w:t>
      </w:r>
      <w:r w:rsidR="00177A25" w:rsidRPr="00177A25">
        <w:rPr>
          <w:i/>
        </w:rPr>
        <w:t>law</w:t>
      </w:r>
      <w:r w:rsidR="00177A25">
        <w:t xml:space="preserve">, but rather </w:t>
      </w:r>
      <w:r w:rsidR="008C53D0">
        <w:t xml:space="preserve">to establish effective </w:t>
      </w:r>
      <w:r w:rsidR="008C53D0" w:rsidRPr="0024415E">
        <w:rPr>
          <w:i/>
        </w:rPr>
        <w:t>working processes</w:t>
      </w:r>
      <w:r w:rsidR="008C53D0">
        <w:t xml:space="preserve"> between municipalities and the Immigration Service </w:t>
      </w:r>
      <w:r w:rsidR="0024415E">
        <w:t>in</w:t>
      </w:r>
      <w:r w:rsidR="008C53D0">
        <w:t xml:space="preserve"> order to swiftly withdraw the residence permit of aliens who, ‘in breach of the conditions’, had recourse to social assistance.</w:t>
      </w:r>
      <w:r w:rsidR="007B6ACF">
        <w:rPr>
          <w:rStyle w:val="Voetnootmarkering"/>
        </w:rPr>
        <w:footnoteReference w:id="100"/>
      </w:r>
      <w:r w:rsidR="008C53D0">
        <w:t xml:space="preserve"> </w:t>
      </w:r>
    </w:p>
    <w:p w:rsidR="007B6ACF" w:rsidRPr="00002102" w:rsidRDefault="007B6ACF" w:rsidP="007B6ACF">
      <w:r>
        <w:t xml:space="preserve">   </w:t>
      </w:r>
    </w:p>
    <w:p w:rsidR="007B6ACF" w:rsidRDefault="00662F7B" w:rsidP="003A5BFB">
      <w:pPr>
        <w:pStyle w:val="Kop2"/>
      </w:pPr>
      <w:r>
        <w:t>C</w:t>
      </w:r>
      <w:r w:rsidR="007B6ACF" w:rsidRPr="00002102">
        <w:t>.</w:t>
      </w:r>
      <w:r w:rsidR="007B6ACF">
        <w:t xml:space="preserve"> </w:t>
      </w:r>
      <w:r w:rsidR="00AE7CDD">
        <w:t>Completing</w:t>
      </w:r>
      <w:r w:rsidR="003A5BFB">
        <w:t xml:space="preserve"> a Signal Model (2013-2016)</w:t>
      </w:r>
    </w:p>
    <w:p w:rsidR="00412EBA" w:rsidRPr="00412EBA" w:rsidRDefault="00412EBA" w:rsidP="00412EBA"/>
    <w:p w:rsidR="002A64FE" w:rsidRDefault="00D91D0B" w:rsidP="002A64FE">
      <w:r>
        <w:t xml:space="preserve">The third period of analysis is identified with a crucial judgment of the Administrative High Court in 2013. In combination with the administrative decision to abolish any form of registration duty for Union citizens in 2014, this judgement triggered the final reforms towards a </w:t>
      </w:r>
      <w:r w:rsidR="008849C9">
        <w:t xml:space="preserve"> </w:t>
      </w:r>
      <w:r w:rsidR="008849C9" w:rsidRPr="00A73121">
        <w:rPr>
          <w:i/>
        </w:rPr>
        <w:t xml:space="preserve">signal </w:t>
      </w:r>
      <w:r w:rsidR="008849C9">
        <w:t>model</w:t>
      </w:r>
      <w:r w:rsidR="00B1167B">
        <w:t xml:space="preserve"> of administering</w:t>
      </w:r>
      <w:r>
        <w:t xml:space="preserve"> Union citizens in the Dutch welfare state. </w:t>
      </w:r>
      <w:r w:rsidR="008849C9">
        <w:t xml:space="preserve"> </w:t>
      </w:r>
    </w:p>
    <w:p w:rsidR="00184E10" w:rsidRDefault="00D91D0B" w:rsidP="003038DB">
      <w:pPr>
        <w:ind w:firstLine="708"/>
      </w:pPr>
      <w:r>
        <w:t>T</w:t>
      </w:r>
      <w:r w:rsidR="00A73121" w:rsidRPr="00A73121">
        <w:t xml:space="preserve">he Administrative </w:t>
      </w:r>
      <w:r w:rsidR="0046426A">
        <w:t xml:space="preserve">High </w:t>
      </w:r>
      <w:r w:rsidR="00A73121" w:rsidRPr="00A73121">
        <w:t xml:space="preserve">Court clearly decided </w:t>
      </w:r>
      <w:r w:rsidR="000D00B1">
        <w:t xml:space="preserve">in 2013 </w:t>
      </w:r>
      <w:r w:rsidR="00A73121" w:rsidRPr="00A73121">
        <w:t>that welfare authorities are not competent to reject social benefits to Union citizens on the basis of residence conditions.</w:t>
      </w:r>
      <w:r w:rsidR="00A73121" w:rsidRPr="00A73121">
        <w:rPr>
          <w:vertAlign w:val="superscript"/>
        </w:rPr>
        <w:footnoteReference w:id="101"/>
      </w:r>
      <w:r w:rsidR="00A73121" w:rsidRPr="00A73121">
        <w:t xml:space="preserve"> Joining four separate cases, it held th</w:t>
      </w:r>
      <w:r>
        <w:t xml:space="preserve">at municipalities are </w:t>
      </w:r>
      <w:r w:rsidR="00A73121" w:rsidRPr="00A73121">
        <w:t xml:space="preserve">only responsible for assessing the right to social assistance </w:t>
      </w:r>
      <w:r>
        <w:t>while the Immigration Service is</w:t>
      </w:r>
      <w:r w:rsidR="00A73121" w:rsidRPr="00A73121">
        <w:t xml:space="preserve"> responsible for the assessment and eventual termination of lawful residence as a consequence of a claim to social assistance.</w:t>
      </w:r>
      <w:r w:rsidR="00A73121">
        <w:t xml:space="preserve"> </w:t>
      </w:r>
      <w:r w:rsidR="000B08DD">
        <w:t>For</w:t>
      </w:r>
      <w:r w:rsidR="00A73121" w:rsidRPr="00A73121">
        <w:t xml:space="preserve"> Union citizens</w:t>
      </w:r>
      <w:r w:rsidR="000B08DD">
        <w:t xml:space="preserve"> who have r</w:t>
      </w:r>
      <w:r>
        <w:t>esided longer than three months, municipalities have</w:t>
      </w:r>
      <w:r w:rsidR="00A73121" w:rsidRPr="00A73121">
        <w:t xml:space="preserve"> to </w:t>
      </w:r>
      <w:r w:rsidR="00A73121" w:rsidRPr="00A73121">
        <w:rPr>
          <w:i/>
        </w:rPr>
        <w:t>assume</w:t>
      </w:r>
      <w:r w:rsidR="00A73121" w:rsidRPr="00A73121">
        <w:t xml:space="preserve"> their lawful residence for as long as the migration authorities have not taken a</w:t>
      </w:r>
      <w:r w:rsidR="000B08DD">
        <w:t>n explicit</w:t>
      </w:r>
      <w:r w:rsidR="00A73121" w:rsidRPr="00A73121">
        <w:t xml:space="preserve"> decision on the legality of their residence on the basis of the signals they receive from welfare authorities.</w:t>
      </w:r>
      <w:r w:rsidR="00A73121" w:rsidRPr="00A73121">
        <w:rPr>
          <w:vertAlign w:val="superscript"/>
        </w:rPr>
        <w:footnoteReference w:id="102"/>
      </w:r>
      <w:r w:rsidR="00184E10">
        <w:t xml:space="preserve"> </w:t>
      </w:r>
      <w:r w:rsidR="002A64FE">
        <w:t>Although this presen</w:t>
      </w:r>
      <w:r w:rsidR="000B08DD">
        <w:t xml:space="preserve">ted an administrative challenge, </w:t>
      </w:r>
      <w:r w:rsidR="003038DB">
        <w:t>municipalities received the judgement positively. Important: municipalities welcomed the decision because it provided clarity over the division of competences and municipal civil servants did not have to rely on the open and abstract concepts of Directive 2004/38. The judgement was even described as a ‘blessing’.</w:t>
      </w:r>
      <w:r w:rsidR="003038DB">
        <w:rPr>
          <w:rStyle w:val="Voetnootmarkering"/>
        </w:rPr>
        <w:footnoteReference w:id="103"/>
      </w:r>
      <w:r w:rsidR="003038DB">
        <w:t xml:space="preserve"> </w:t>
      </w:r>
    </w:p>
    <w:p w:rsidR="002A64FE" w:rsidRDefault="000D00B1" w:rsidP="003038DB">
      <w:pPr>
        <w:ind w:firstLine="708"/>
      </w:pPr>
      <w:r>
        <w:t xml:space="preserve">Secondly, the </w:t>
      </w:r>
      <w:r w:rsidR="009F1E4E">
        <w:t xml:space="preserve">Netherlands definitively moved towards a </w:t>
      </w:r>
      <w:r w:rsidR="009F1E4E" w:rsidRPr="000D00B1">
        <w:rPr>
          <w:i/>
        </w:rPr>
        <w:t>signal</w:t>
      </w:r>
      <w:r w:rsidR="009F1E4E">
        <w:t xml:space="preserve"> model</w:t>
      </w:r>
      <w:r>
        <w:t>, also in terms of strategic reasoning,</w:t>
      </w:r>
      <w:r w:rsidR="009F1E4E">
        <w:t xml:space="preserve"> when it abolished the duty for Union citizens to register.</w:t>
      </w:r>
      <w:r w:rsidR="00841FAA">
        <w:rPr>
          <w:rStyle w:val="Voetnootmarkering"/>
        </w:rPr>
        <w:footnoteReference w:id="104"/>
      </w:r>
      <w:r w:rsidR="009F1E4E">
        <w:t xml:space="preserve"> </w:t>
      </w:r>
      <w:r>
        <w:t xml:space="preserve">The decision was </w:t>
      </w:r>
      <w:r>
        <w:lastRenderedPageBreak/>
        <w:t xml:space="preserve">directly motivated </w:t>
      </w:r>
      <w:r w:rsidR="00177A25">
        <w:t xml:space="preserve">by </w:t>
      </w:r>
      <w:r>
        <w:t xml:space="preserve">EU law, namely </w:t>
      </w:r>
      <w:r w:rsidR="00D91D0B">
        <w:t xml:space="preserve">by the doctrine </w:t>
      </w:r>
      <w:r w:rsidR="009F1E4E">
        <w:t>that the right to residence is independent f</w:t>
      </w:r>
      <w:r>
        <w:t>rom administrative formalities</w:t>
      </w:r>
      <w:r w:rsidR="00D91D0B">
        <w:t>, and</w:t>
      </w:r>
      <w:r w:rsidR="00177A25">
        <w:t xml:space="preserve"> </w:t>
      </w:r>
      <w:r w:rsidR="00C506D5">
        <w:t>highlighted the ‘false sense of certainty’</w:t>
      </w:r>
      <w:r w:rsidR="002A64FE">
        <w:t xml:space="preserve"> </w:t>
      </w:r>
      <w:r w:rsidR="00C506D5">
        <w:t>that could be created by testing residence conditions at the moment of registration.</w:t>
      </w:r>
      <w:r w:rsidR="00841FAA">
        <w:rPr>
          <w:rStyle w:val="Voetnootmarkering"/>
        </w:rPr>
        <w:footnoteReference w:id="105"/>
      </w:r>
      <w:r w:rsidR="00C506D5">
        <w:t xml:space="preserve"> </w:t>
      </w:r>
      <w:r>
        <w:t>T</w:t>
      </w:r>
      <w:r w:rsidR="00C506D5">
        <w:t>he situatio</w:t>
      </w:r>
      <w:r w:rsidR="003038DB">
        <w:t>n at the moment of registration, in terms of EU law,</w:t>
      </w:r>
      <w:r w:rsidR="00C506D5">
        <w:t xml:space="preserve"> could be </w:t>
      </w:r>
      <w:r w:rsidR="003038DB">
        <w:t xml:space="preserve">totally </w:t>
      </w:r>
      <w:r w:rsidR="00C506D5">
        <w:t>different from the actual situation when a Union citizen applies for social assistance</w:t>
      </w:r>
      <w:r w:rsidR="009F1E4E">
        <w:t>.</w:t>
      </w:r>
      <w:r w:rsidR="000A3097">
        <w:rPr>
          <w:rStyle w:val="Voetnootmarkering"/>
        </w:rPr>
        <w:footnoteReference w:id="106"/>
      </w:r>
      <w:r w:rsidR="009F1E4E">
        <w:t xml:space="preserve"> </w:t>
      </w:r>
      <w:r w:rsidR="00177A25">
        <w:t xml:space="preserve">The new procedure </w:t>
      </w:r>
      <w:r w:rsidR="00D87B79">
        <w:t xml:space="preserve">would be more ‘suitable and effective’ as </w:t>
      </w:r>
      <w:r w:rsidR="002A64FE" w:rsidRPr="00002102">
        <w:t xml:space="preserve">the </w:t>
      </w:r>
      <w:r w:rsidR="00D87B79">
        <w:t xml:space="preserve">Immigration Service </w:t>
      </w:r>
      <w:r w:rsidR="00177A25">
        <w:t>would test t</w:t>
      </w:r>
      <w:r w:rsidR="002A64FE" w:rsidRPr="00002102">
        <w:t xml:space="preserve">he legality of residence of </w:t>
      </w:r>
      <w:r w:rsidR="00D87B79">
        <w:t xml:space="preserve">Union </w:t>
      </w:r>
      <w:r w:rsidR="002A64FE" w:rsidRPr="00002102">
        <w:t xml:space="preserve">citizens in specific situations in response to </w:t>
      </w:r>
      <w:r w:rsidR="00C506D5">
        <w:t>‘</w:t>
      </w:r>
      <w:r w:rsidR="00D87B79">
        <w:t>indications</w:t>
      </w:r>
      <w:r w:rsidR="00C506D5">
        <w:t>’</w:t>
      </w:r>
      <w:r w:rsidR="002A64FE" w:rsidRPr="00002102">
        <w:t xml:space="preserve"> from other auth</w:t>
      </w:r>
      <w:r w:rsidR="00C506D5">
        <w:t>orities and would thus be ‘information led’.</w:t>
      </w:r>
      <w:r w:rsidR="00D87B79">
        <w:rPr>
          <w:rStyle w:val="Voetnootmarkering"/>
        </w:rPr>
        <w:footnoteReference w:id="107"/>
      </w:r>
      <w:r w:rsidR="003038DB">
        <w:t xml:space="preserve"> </w:t>
      </w:r>
      <w:r w:rsidR="002A64FE">
        <w:t>In other words, the Dutch</w:t>
      </w:r>
      <w:r>
        <w:t xml:space="preserve"> authorities </w:t>
      </w:r>
      <w:r w:rsidR="00D87B79">
        <w:t xml:space="preserve">discovered </w:t>
      </w:r>
      <w:r>
        <w:t xml:space="preserve">that an </w:t>
      </w:r>
      <w:r w:rsidRPr="000D00B1">
        <w:rPr>
          <w:i/>
        </w:rPr>
        <w:t xml:space="preserve">a </w:t>
      </w:r>
      <w:r w:rsidR="002A64FE" w:rsidRPr="000D00B1">
        <w:rPr>
          <w:i/>
        </w:rPr>
        <w:t>priori</w:t>
      </w:r>
      <w:r w:rsidR="002A64FE">
        <w:t xml:space="preserve"> test of residence compliance turned out worthless in practice and it would more efficient to design a system that efficiently connected </w:t>
      </w:r>
      <w:r w:rsidR="002A64FE" w:rsidRPr="00D87B79">
        <w:rPr>
          <w:i/>
        </w:rPr>
        <w:t>actual</w:t>
      </w:r>
      <w:r w:rsidR="002A64FE">
        <w:t xml:space="preserve"> conduct</w:t>
      </w:r>
      <w:r w:rsidR="00177A25">
        <w:t xml:space="preserve"> of Union citizens</w:t>
      </w:r>
      <w:r w:rsidR="002A64FE">
        <w:t>, i.e. recourse to the welfare system, with its residential consequences.</w:t>
      </w:r>
    </w:p>
    <w:p w:rsidR="00A365EA" w:rsidRDefault="00D91D0B" w:rsidP="00184E10">
      <w:pPr>
        <w:ind w:firstLine="708"/>
      </w:pPr>
      <w:r>
        <w:t xml:space="preserve">The judgement </w:t>
      </w:r>
      <w:r w:rsidR="00840F17">
        <w:t xml:space="preserve">in combination with the definitive abolishment of a registration duty led, </w:t>
      </w:r>
      <w:r w:rsidR="00F426C9">
        <w:t>probably</w:t>
      </w:r>
      <w:r w:rsidR="00840F17">
        <w:t xml:space="preserve"> for the first time, to a relatively clear division of labour between the social and immigration authorities. W</w:t>
      </w:r>
      <w:r w:rsidR="00184E10" w:rsidRPr="00A73121">
        <w:t>elfare authorities</w:t>
      </w:r>
      <w:r w:rsidR="00840F17">
        <w:t xml:space="preserve"> had to apply the Social Assistance Act and could only reject </w:t>
      </w:r>
      <w:r w:rsidR="00184E10" w:rsidRPr="00A73121">
        <w:t>social assistance to those categories of Union citizens listed in article 24 (2) of the Citizens Directive</w:t>
      </w:r>
      <w:r w:rsidR="00840F17">
        <w:t>, i.e. economically inactive during their first three months of residence and longer for jobseekers</w:t>
      </w:r>
      <w:r w:rsidR="00184E10" w:rsidRPr="00A73121">
        <w:t>.</w:t>
      </w:r>
      <w:r w:rsidR="00184E10" w:rsidRPr="00A73121">
        <w:rPr>
          <w:vertAlign w:val="superscript"/>
        </w:rPr>
        <w:footnoteReference w:id="108"/>
      </w:r>
      <w:r w:rsidR="00184E10" w:rsidRPr="00A73121">
        <w:t xml:space="preserve"> </w:t>
      </w:r>
      <w:r w:rsidR="00840F17">
        <w:t>Left as the only possibility of excluding Union citizens from social assistance, it is apparent that municipalities started to search the</w:t>
      </w:r>
      <w:r w:rsidR="00F426C9">
        <w:t xml:space="preserve"> legal</w:t>
      </w:r>
      <w:r w:rsidR="00840F17">
        <w:t xml:space="preserve"> limits of those categories</w:t>
      </w:r>
      <w:r w:rsidR="00A365EA">
        <w:t>.</w:t>
      </w:r>
      <w:r w:rsidR="00A365EA">
        <w:rPr>
          <w:rStyle w:val="Voetnootmarkering"/>
        </w:rPr>
        <w:footnoteReference w:id="109"/>
      </w:r>
      <w:r w:rsidR="00C71D6C">
        <w:t xml:space="preserve"> The workload of assessing residence conditions shifted towards the Immigration Service, which not only had to hire more employees to expand its capacity,</w:t>
      </w:r>
      <w:r w:rsidR="00C71D6C">
        <w:rPr>
          <w:rStyle w:val="Voetnootmarkering"/>
        </w:rPr>
        <w:footnoteReference w:id="110"/>
      </w:r>
      <w:r w:rsidR="00C71D6C">
        <w:t xml:space="preserve"> but was now also faced with legal challenges against its decisions.</w:t>
      </w:r>
      <w:r w:rsidR="00C71D6C">
        <w:rPr>
          <w:rStyle w:val="Voetnootmarkering"/>
        </w:rPr>
        <w:footnoteReference w:id="111"/>
      </w:r>
    </w:p>
    <w:p w:rsidR="00184E10" w:rsidRDefault="00C71D6C" w:rsidP="00C2094A">
      <w:pPr>
        <w:ind w:firstLine="708"/>
      </w:pPr>
      <w:r>
        <w:t xml:space="preserve">The judgment also required the establishment of an effective and uniform working procedure. </w:t>
      </w:r>
      <w:r w:rsidR="003038DB" w:rsidRPr="00A80460">
        <w:t xml:space="preserve">In case of doubt about the residential consequences of the recourse to social assistance, </w:t>
      </w:r>
      <w:r w:rsidR="003038DB" w:rsidRPr="00A80460">
        <w:lastRenderedPageBreak/>
        <w:t>the municipalities were requested to send a filled-out form concerning the EU citizen to the IND, which is to decide on the possible termination of lawful residence.</w:t>
      </w:r>
      <w:r w:rsidR="00184E10">
        <w:rPr>
          <w:rStyle w:val="Voetnootmarkering"/>
        </w:rPr>
        <w:footnoteReference w:id="112"/>
      </w:r>
      <w:r w:rsidR="00C2094A">
        <w:t xml:space="preserve"> It is noted that the Immigration Service had to hire more staff after the CRvB judgement in order to process the report</w:t>
      </w:r>
      <w:r w:rsidR="00840F17">
        <w:t>s</w:t>
      </w:r>
      <w:r w:rsidR="00C2094A">
        <w:t>.</w:t>
      </w:r>
      <w:r w:rsidR="00C2094A">
        <w:rPr>
          <w:rStyle w:val="Voetnootmarkering"/>
        </w:rPr>
        <w:footnoteReference w:id="113"/>
      </w:r>
      <w:r w:rsidR="00C2094A">
        <w:t xml:space="preserve"> </w:t>
      </w:r>
      <w:r w:rsidR="003038DB" w:rsidRPr="00A73121">
        <w:t xml:space="preserve">In cases when the Immigration Service is uncertain about the legality of residence, the Union citizen will be sent a letter listing twenty-six questions concerning </w:t>
      </w:r>
      <w:r w:rsidR="00841FAA">
        <w:t>their</w:t>
      </w:r>
      <w:r w:rsidR="003038DB" w:rsidRPr="00A73121">
        <w:t xml:space="preserve"> pe</w:t>
      </w:r>
      <w:r w:rsidR="00841FAA">
        <w:t>rsonal situation in the past period, ranging from sources</w:t>
      </w:r>
      <w:r w:rsidR="003038DB" w:rsidRPr="00A73121">
        <w:t xml:space="preserve"> </w:t>
      </w:r>
      <w:r w:rsidR="00841FAA">
        <w:t xml:space="preserve">of income, </w:t>
      </w:r>
      <w:r w:rsidR="003038DB" w:rsidRPr="00A73121">
        <w:t>residence, family ties, medical situation to the ultimate question: ‘Why do you think that you are not an unreasonable burden on the public resources and that in your case termination of your right to residence is a disproportionate measure?’</w:t>
      </w:r>
      <w:r w:rsidR="003038DB" w:rsidRPr="00A73121">
        <w:rPr>
          <w:vertAlign w:val="superscript"/>
        </w:rPr>
        <w:footnoteReference w:id="114"/>
      </w:r>
      <w:r w:rsidR="003038DB" w:rsidRPr="00A73121">
        <w:t xml:space="preserve"> </w:t>
      </w:r>
      <w:r w:rsidR="003038DB">
        <w:t xml:space="preserve">On the basis of the evidence presented by the Union citizen, </w:t>
      </w:r>
      <w:r w:rsidR="00841FAA">
        <w:t xml:space="preserve">case workers of </w:t>
      </w:r>
      <w:r w:rsidR="003038DB">
        <w:t>the Immigration Se</w:t>
      </w:r>
      <w:r w:rsidR="00841FAA">
        <w:t>rvice ‘reconstruct</w:t>
      </w:r>
      <w:r>
        <w:t xml:space="preserve">’ his/her </w:t>
      </w:r>
      <w:r w:rsidR="00841FAA">
        <w:t>situation and activities under EU law</w:t>
      </w:r>
      <w:r w:rsidR="003038DB">
        <w:t xml:space="preserve"> and decide whether </w:t>
      </w:r>
      <w:r>
        <w:t>he/she</w:t>
      </w:r>
      <w:r w:rsidR="003038DB">
        <w:t xml:space="preserve"> </w:t>
      </w:r>
      <w:r w:rsidR="00E26360">
        <w:t xml:space="preserve">(1) </w:t>
      </w:r>
      <w:r w:rsidR="00841FAA">
        <w:t xml:space="preserve">ever enjoyed </w:t>
      </w:r>
      <w:r w:rsidR="003038DB">
        <w:t xml:space="preserve">lawful residence, </w:t>
      </w:r>
      <w:r w:rsidR="00E26360">
        <w:t xml:space="preserve">(2) </w:t>
      </w:r>
      <w:r>
        <w:t>his/her</w:t>
      </w:r>
      <w:r w:rsidR="00841FAA">
        <w:t xml:space="preserve"> </w:t>
      </w:r>
      <w:r w:rsidR="003038DB">
        <w:t xml:space="preserve">residence already expired or </w:t>
      </w:r>
      <w:r w:rsidR="00E26360">
        <w:t xml:space="preserve">(3) </w:t>
      </w:r>
      <w:r w:rsidR="00841FAA">
        <w:t xml:space="preserve">terminating residence would be </w:t>
      </w:r>
      <w:r w:rsidR="00E26360">
        <w:t>proportionate measure</w:t>
      </w:r>
      <w:r w:rsidR="001317BE">
        <w:t xml:space="preserve"> in the light of personal circumstances</w:t>
      </w:r>
      <w:r w:rsidR="003038DB">
        <w:t>.</w:t>
      </w:r>
      <w:r w:rsidR="003038DB">
        <w:rPr>
          <w:rStyle w:val="Voetnootmarkering"/>
        </w:rPr>
        <w:footnoteReference w:id="115"/>
      </w:r>
      <w:r w:rsidR="00D222DA">
        <w:t xml:space="preserve"> Any </w:t>
      </w:r>
      <w:r w:rsidR="00E26360">
        <w:t>decision that involves a loss of residence is reported back to</w:t>
      </w:r>
      <w:r w:rsidR="00D222DA">
        <w:t xml:space="preserve"> the municipalities, who are then able to s</w:t>
      </w:r>
      <w:r w:rsidR="00E26360">
        <w:t>top granting social assistance.</w:t>
      </w:r>
      <w:r w:rsidR="00553716">
        <w:t xml:space="preserve"> </w:t>
      </w:r>
      <w:r w:rsidR="00D91D0B">
        <w:t>The Union citizen will receive a letter demanding</w:t>
      </w:r>
      <w:r>
        <w:t xml:space="preserve"> him/her to leave the country within four weeks or otherwise face expulsion.</w:t>
      </w:r>
      <w:r>
        <w:rPr>
          <w:rStyle w:val="Voetnootmarkering"/>
        </w:rPr>
        <w:footnoteReference w:id="116"/>
      </w:r>
      <w:r>
        <w:t xml:space="preserve"> </w:t>
      </w:r>
    </w:p>
    <w:p w:rsidR="007B6ACF" w:rsidRDefault="00C2094A" w:rsidP="00553716">
      <w:pPr>
        <w:ind w:firstLine="708"/>
      </w:pPr>
      <w:r>
        <w:t xml:space="preserve">The combined result of this administrative adjustment is the establishment of a system that could be a described as a strong example of a </w:t>
      </w:r>
      <w:r w:rsidRPr="003038DB">
        <w:rPr>
          <w:i/>
        </w:rPr>
        <w:t>signal</w:t>
      </w:r>
      <w:r>
        <w:t xml:space="preserve"> model. </w:t>
      </w:r>
      <w:r w:rsidR="00F426C9">
        <w:t>I</w:t>
      </w:r>
      <w:r w:rsidR="00925CA1">
        <w:t>n contrast to regular aliens, the resi</w:t>
      </w:r>
      <w:r w:rsidR="00F426C9">
        <w:t xml:space="preserve">dence status of Union citizens residing in the Netherlands remain in many cases </w:t>
      </w:r>
      <w:r w:rsidR="00925CA1" w:rsidRPr="00925CA1">
        <w:rPr>
          <w:i/>
        </w:rPr>
        <w:t>unknown</w:t>
      </w:r>
      <w:r w:rsidR="00925CA1">
        <w:t xml:space="preserve"> and will only be determined when they come </w:t>
      </w:r>
      <w:r w:rsidR="00F426C9">
        <w:t>on</w:t>
      </w:r>
      <w:r w:rsidR="00925CA1">
        <w:t xml:space="preserve"> the radar of the Immigration Service through th</w:t>
      </w:r>
      <w:r w:rsidR="009B129F">
        <w:t>e bureaucratic procedures of its</w:t>
      </w:r>
      <w:r w:rsidR="00925CA1">
        <w:t xml:space="preserve"> welfare state. </w:t>
      </w:r>
      <w:r w:rsidR="00E7097F">
        <w:t>It is for this reason that it is difficult to conclude whether domestic court activism in the application of EU law has led to a general ‘opening’ of the Dutch welfare system to needy Union citizens: the threat of losing the right of residence hangs over their head as a sword of Damocles.</w:t>
      </w:r>
      <w:r w:rsidR="00E7097F">
        <w:rPr>
          <w:rStyle w:val="Voetnootmarkering"/>
        </w:rPr>
        <w:footnoteReference w:id="117"/>
      </w:r>
      <w:r w:rsidR="00E7097F">
        <w:t xml:space="preserve"> </w:t>
      </w:r>
      <w:r w:rsidR="009B129F">
        <w:t xml:space="preserve">For </w:t>
      </w:r>
      <w:r w:rsidR="00E7097F">
        <w:t xml:space="preserve">Union citizens </w:t>
      </w:r>
      <w:r w:rsidR="009B129F">
        <w:t xml:space="preserve">who are not likely to meet the residence conditions, </w:t>
      </w:r>
      <w:r w:rsidR="00E7097F">
        <w:t xml:space="preserve">the system </w:t>
      </w:r>
      <w:r w:rsidR="009B129F">
        <w:t>might</w:t>
      </w:r>
      <w:r w:rsidR="00E7097F">
        <w:t xml:space="preserve"> turn out generous, as they get to receive social assistance until the consequences fo</w:t>
      </w:r>
      <w:r w:rsidR="009B129F">
        <w:t>r their residence are processed</w:t>
      </w:r>
      <w:r w:rsidR="00E7097F">
        <w:t xml:space="preserve">. For others, however, the termination of </w:t>
      </w:r>
      <w:r w:rsidR="00E7097F">
        <w:lastRenderedPageBreak/>
        <w:t xml:space="preserve">their social assistance </w:t>
      </w:r>
      <w:r w:rsidR="009B129F">
        <w:t>and order to leave the country</w:t>
      </w:r>
      <w:r w:rsidR="00E7097F">
        <w:t xml:space="preserve"> will come as an unpleasant surpri</w:t>
      </w:r>
      <w:r w:rsidR="009B129F">
        <w:t>se, especially if they have to leave their (Dutch) partner and possible children. And those Union citizens aware of the consequences might</w:t>
      </w:r>
      <w:r w:rsidR="00E7097F">
        <w:t xml:space="preserve"> not even appl</w:t>
      </w:r>
      <w:r w:rsidR="009B129F">
        <w:t>y at all and opt instead for living a life under the minimum subsistence level.</w:t>
      </w:r>
      <w:r w:rsidR="009B129F">
        <w:rPr>
          <w:rStyle w:val="Voetnootmarkering"/>
        </w:rPr>
        <w:footnoteReference w:id="118"/>
      </w:r>
      <w:r w:rsidR="009E1B9F">
        <w:t xml:space="preserve"> </w:t>
      </w:r>
      <w:r w:rsidR="00C95D3F">
        <w:t>It is clear that Member State administrations not only make Union citizens enter their ter</w:t>
      </w:r>
      <w:r w:rsidR="002561F3">
        <w:t xml:space="preserve">ritory </w:t>
      </w:r>
      <w:r w:rsidR="005B3721">
        <w:t>‘</w:t>
      </w:r>
      <w:r w:rsidR="00C95D3F">
        <w:t>at</w:t>
      </w:r>
      <w:r w:rsidR="002561F3">
        <w:t xml:space="preserve"> own risk</w:t>
      </w:r>
      <w:r w:rsidR="005B3721">
        <w:t>’</w:t>
      </w:r>
      <w:r w:rsidR="002561F3">
        <w:t xml:space="preserve">, but </w:t>
      </w:r>
      <w:r w:rsidR="00C95D3F">
        <w:t>also apply</w:t>
      </w:r>
      <w:r w:rsidR="002561F3">
        <w:t xml:space="preserve"> for </w:t>
      </w:r>
      <w:r w:rsidR="00C95D3F">
        <w:t>minimum subsistence support ‘</w:t>
      </w:r>
      <w:r w:rsidR="002561F3">
        <w:t xml:space="preserve">at </w:t>
      </w:r>
      <w:r w:rsidR="00C95D3F">
        <w:t xml:space="preserve">own </w:t>
      </w:r>
      <w:r w:rsidR="002561F3">
        <w:t>risk</w:t>
      </w:r>
      <w:r w:rsidR="00C95D3F">
        <w:t>’</w:t>
      </w:r>
      <w:r w:rsidR="002561F3">
        <w:t>.</w:t>
      </w:r>
      <w:r w:rsidR="002561F3">
        <w:rPr>
          <w:rStyle w:val="Voetnootmarkering"/>
        </w:rPr>
        <w:footnoteReference w:id="119"/>
      </w:r>
    </w:p>
    <w:p w:rsidR="004F7AA4" w:rsidRPr="00002102" w:rsidRDefault="004F7AA4" w:rsidP="00553716">
      <w:pPr>
        <w:ind w:firstLine="708"/>
      </w:pPr>
    </w:p>
    <w:p w:rsidR="007B6ACF" w:rsidRDefault="00662F7B" w:rsidP="004F7AA4">
      <w:pPr>
        <w:pStyle w:val="Kop2"/>
      </w:pPr>
      <w:r>
        <w:t>D</w:t>
      </w:r>
      <w:r w:rsidR="007B6ACF">
        <w:t xml:space="preserve">. After Dano: </w:t>
      </w:r>
      <w:r w:rsidR="00B02216">
        <w:t xml:space="preserve">Towards a Delegation to </w:t>
      </w:r>
      <w:r w:rsidR="00B05F83">
        <w:t>Municipalities?</w:t>
      </w:r>
    </w:p>
    <w:p w:rsidR="00412EBA" w:rsidRPr="00412EBA" w:rsidRDefault="00412EBA" w:rsidP="00412EBA"/>
    <w:p w:rsidR="007B6ACF" w:rsidRDefault="009F41CB" w:rsidP="00060FCB">
      <w:pPr>
        <w:rPr>
          <w:lang w:val="en-US"/>
        </w:rPr>
      </w:pPr>
      <w:r>
        <w:t>Despite</w:t>
      </w:r>
      <w:r w:rsidR="005B3721">
        <w:t xml:space="preserve"> a broadly shared view among interviewees that </w:t>
      </w:r>
      <w:r w:rsidR="00C95D3F">
        <w:t xml:space="preserve">the Court’s restrictive reasoning in </w:t>
      </w:r>
      <w:r w:rsidR="005B3721" w:rsidRPr="005B3721">
        <w:rPr>
          <w:i/>
        </w:rPr>
        <w:t>Dano</w:t>
      </w:r>
      <w:r w:rsidR="005B3721">
        <w:t xml:space="preserve"> and </w:t>
      </w:r>
      <w:r w:rsidR="005B3721" w:rsidRPr="005B3721">
        <w:rPr>
          <w:i/>
        </w:rPr>
        <w:t>Alimanovic</w:t>
      </w:r>
      <w:r w:rsidR="00C95D3F">
        <w:t xml:space="preserve"> was</w:t>
      </w:r>
      <w:r w:rsidR="005B3721">
        <w:t xml:space="preserve"> a mere </w:t>
      </w:r>
      <w:r w:rsidR="00C95D3F">
        <w:t>‘</w:t>
      </w:r>
      <w:r w:rsidR="005B3721">
        <w:t>confirmation</w:t>
      </w:r>
      <w:r w:rsidR="00C95D3F">
        <w:t>’ of the correctness of</w:t>
      </w:r>
      <w:r w:rsidR="005B3721">
        <w:t xml:space="preserve"> </w:t>
      </w:r>
      <w:r w:rsidR="00C95D3F">
        <w:t>current policies</w:t>
      </w:r>
      <w:r w:rsidR="005B3721">
        <w:t>,</w:t>
      </w:r>
      <w:r w:rsidR="00C95D3F">
        <w:t xml:space="preserve"> </w:t>
      </w:r>
      <w:r w:rsidR="005B3721">
        <w:t>recent events suggest that the Netherlands will use the newly created window of opportunity to expand the exclusion of Union citizens from social benefits. A recent policy document announces the development of a ‘policy guide’ to assist municipalities in deciding when social assistance should be granted and when such claims should be reported to the Immigration Service.</w:t>
      </w:r>
      <w:r w:rsidR="005B3721">
        <w:rPr>
          <w:rStyle w:val="Voetnootmarkering"/>
        </w:rPr>
        <w:footnoteReference w:id="120"/>
      </w:r>
      <w:r w:rsidR="005B3721">
        <w:t xml:space="preserve"> </w:t>
      </w:r>
      <w:r w:rsidR="005B3721" w:rsidRPr="00913DCD">
        <w:rPr>
          <w:lang w:val="en-US"/>
        </w:rPr>
        <w:t>Among</w:t>
      </w:r>
      <w:r w:rsidR="00913DCD" w:rsidRPr="00913DCD">
        <w:rPr>
          <w:lang w:val="en-US"/>
        </w:rPr>
        <w:t xml:space="preserve"> announced measures are the possibilities for municipalities to independently stop the </w:t>
      </w:r>
      <w:r w:rsidR="00913DCD">
        <w:rPr>
          <w:lang w:val="en-US"/>
        </w:rPr>
        <w:t xml:space="preserve">grant of social assistance of </w:t>
      </w:r>
      <w:r w:rsidR="00913DCD" w:rsidRPr="00913DCD">
        <w:rPr>
          <w:lang w:val="en-US"/>
        </w:rPr>
        <w:t xml:space="preserve">Union citizens who worked less than a year (Alimanovic) or not to grant social assistance to Union citizens who </w:t>
      </w:r>
      <w:r w:rsidR="00913DCD">
        <w:rPr>
          <w:lang w:val="en-US"/>
        </w:rPr>
        <w:t xml:space="preserve">have </w:t>
      </w:r>
      <w:r w:rsidR="00913DCD" w:rsidRPr="00913DCD">
        <w:rPr>
          <w:lang w:val="en-US"/>
        </w:rPr>
        <w:t>never had work or sufficie</w:t>
      </w:r>
      <w:r w:rsidR="00913DCD">
        <w:rPr>
          <w:lang w:val="en-US"/>
        </w:rPr>
        <w:t>nt financial resources since entering the country (Dano). Since the latter measure requires municipalities to rely on the conditions for lawful residence, this policy measure, once effected, implies an informal delegation of the competence to assess the legality of residence from migration to welfare authorities. It is</w:t>
      </w:r>
      <w:r w:rsidR="00060FCB">
        <w:rPr>
          <w:lang w:val="en-US"/>
        </w:rPr>
        <w:t xml:space="preserve"> therefore the question whether will not face scrutiny from the domestic court system. </w:t>
      </w:r>
    </w:p>
    <w:p w:rsidR="00FA3093" w:rsidRDefault="00FA3093" w:rsidP="00060FCB">
      <w:pPr>
        <w:rPr>
          <w:lang w:val="en-US"/>
        </w:rPr>
      </w:pPr>
    </w:p>
    <w:p w:rsidR="002555B1" w:rsidRDefault="002555B1" w:rsidP="00FA3093">
      <w:pPr>
        <w:pStyle w:val="Kop1"/>
        <w:sectPr w:rsidR="002555B1" w:rsidSect="00A8407C">
          <w:pgSz w:w="12240" w:h="15840"/>
          <w:pgMar w:top="1440" w:right="1440" w:bottom="1440" w:left="1440" w:header="708" w:footer="708" w:gutter="0"/>
          <w:cols w:space="708"/>
          <w:docGrid w:linePitch="360"/>
        </w:sectPr>
      </w:pPr>
    </w:p>
    <w:p w:rsidR="00FF54E3" w:rsidRPr="00002102" w:rsidRDefault="006E5053" w:rsidP="000257D2">
      <w:pPr>
        <w:pStyle w:val="Kop1"/>
      </w:pPr>
      <w:r>
        <w:lastRenderedPageBreak/>
        <w:t xml:space="preserve">6. </w:t>
      </w:r>
      <w:r w:rsidR="00FF54E3" w:rsidRPr="00002102">
        <w:t>Conclusion</w:t>
      </w:r>
      <w:r w:rsidR="00FA3093">
        <w:t xml:space="preserve"> </w:t>
      </w:r>
    </w:p>
    <w:p w:rsidR="00B044E8" w:rsidRDefault="00B044E8" w:rsidP="000257D2"/>
    <w:p w:rsidR="00543A99" w:rsidRDefault="00AE7CDD" w:rsidP="00AE7CDD">
      <w:r>
        <w:t>The specific</w:t>
      </w:r>
      <w:r w:rsidR="00D03F05">
        <w:t xml:space="preserve"> constellation of early EU citizenship case law has presented a formidable challenge to </w:t>
      </w:r>
      <w:r w:rsidR="00543A99">
        <w:t xml:space="preserve">advanced </w:t>
      </w:r>
      <w:r w:rsidR="00D03F05">
        <w:t xml:space="preserve">welfare state administrations. The (1) right to equal treatment, (2) a right to residence, subject to certain conditions, and (3) the direct enjoyment of EU free movement </w:t>
      </w:r>
      <w:r w:rsidR="00491B8A">
        <w:t xml:space="preserve">rights </w:t>
      </w:r>
      <w:r w:rsidR="00D03F05">
        <w:t xml:space="preserve">independent </w:t>
      </w:r>
      <w:r w:rsidR="00543A99">
        <w:t>from administrative formalities could be said to shake up established procedures and division of competences between welfare and immigration authorities. T</w:t>
      </w:r>
      <w:r w:rsidRPr="00002102">
        <w:t xml:space="preserve">he </w:t>
      </w:r>
      <w:r w:rsidR="00543A99">
        <w:t xml:space="preserve">modern, nationally bounded welfare state, in all its complexity, </w:t>
      </w:r>
      <w:r w:rsidRPr="00002102">
        <w:t>can be visualised</w:t>
      </w:r>
      <w:r w:rsidR="00543A99">
        <w:t xml:space="preserve"> as the wooden tower of ‘Jenga’ and the European Court of Justice as a player </w:t>
      </w:r>
      <w:r w:rsidRPr="00002102">
        <w:t xml:space="preserve">knocking out </w:t>
      </w:r>
      <w:r w:rsidR="00543A99">
        <w:t xml:space="preserve">certain building </w:t>
      </w:r>
      <w:r w:rsidRPr="00002102">
        <w:t>block</w:t>
      </w:r>
      <w:r w:rsidR="00543A99">
        <w:t xml:space="preserve">s and placing new ones’ on top in order to </w:t>
      </w:r>
      <w:r w:rsidR="00AE5B6A">
        <w:t xml:space="preserve">promote an effective freedom of movement. </w:t>
      </w:r>
      <w:r w:rsidR="00491B8A">
        <w:t xml:space="preserve">Although the Court’s preference for the substance of </w:t>
      </w:r>
      <w:r w:rsidR="00491B8A" w:rsidRPr="00002102">
        <w:t xml:space="preserve">EU law </w:t>
      </w:r>
      <w:r w:rsidR="00491B8A">
        <w:t xml:space="preserve">over the ‘magical act of the form’ must have empowered the position of the migrant Union citizens in their host welfare state, Member State administrations have been clinging on to bureaucratic formalities surprisingly long. </w:t>
      </w:r>
      <w:r w:rsidR="00491B8A" w:rsidRPr="00E46980">
        <w:rPr>
          <w:lang w:val="en-US"/>
        </w:rPr>
        <w:t>This can be seen both as a way to passively ‘contain</w:t>
      </w:r>
      <w:r w:rsidR="00491B8A">
        <w:rPr>
          <w:lang w:val="en-US"/>
        </w:rPr>
        <w:t>’</w:t>
      </w:r>
      <w:r w:rsidR="00491B8A" w:rsidRPr="00E46980">
        <w:rPr>
          <w:lang w:val="en-US"/>
        </w:rPr>
        <w:t xml:space="preserve"> compliance with ECJ judgements</w:t>
      </w:r>
      <w:r w:rsidR="00491B8A">
        <w:rPr>
          <w:lang w:val="en-US"/>
        </w:rPr>
        <w:t xml:space="preserve"> in order to limit the financial consequences fo</w:t>
      </w:r>
      <w:r w:rsidR="00907A46">
        <w:rPr>
          <w:lang w:val="en-US"/>
        </w:rPr>
        <w:t xml:space="preserve">r the welfare state, but perhaps better as a form of </w:t>
      </w:r>
      <w:r w:rsidR="00491B8A">
        <w:rPr>
          <w:lang w:val="en-US"/>
        </w:rPr>
        <w:t xml:space="preserve">institutional inertia </w:t>
      </w:r>
      <w:r w:rsidR="00907A46">
        <w:rPr>
          <w:lang w:val="en-US"/>
        </w:rPr>
        <w:t>pro</w:t>
      </w:r>
      <w:r w:rsidR="005C4394">
        <w:rPr>
          <w:lang w:val="en-US"/>
        </w:rPr>
        <w:t>duced by W</w:t>
      </w:r>
      <w:r w:rsidR="00491B8A">
        <w:rPr>
          <w:lang w:val="en-US"/>
        </w:rPr>
        <w:t xml:space="preserve">eberian bureaucratic rationality based on the idea of </w:t>
      </w:r>
      <w:r w:rsidR="00491B8A">
        <w:t>separated offices with clearly-defined areas of competence and expertise.</w:t>
      </w:r>
    </w:p>
    <w:p w:rsidR="0030694C" w:rsidRDefault="00AE5B6A" w:rsidP="0030694C">
      <w:r>
        <w:tab/>
      </w:r>
      <w:r w:rsidR="00190AC1">
        <w:t xml:space="preserve">Through an extensive case-study of the </w:t>
      </w:r>
      <w:r w:rsidR="00AE7CDD" w:rsidRPr="00002102">
        <w:t>Nether</w:t>
      </w:r>
      <w:r w:rsidR="00190AC1">
        <w:t>lands social assistance system the paper has demonstrated how Member States not only respond to the C</w:t>
      </w:r>
      <w:r>
        <w:t xml:space="preserve">ourt’s </w:t>
      </w:r>
      <w:r w:rsidR="00190AC1">
        <w:t xml:space="preserve">case law in terms of rules, but also by </w:t>
      </w:r>
      <w:r w:rsidR="00190AC1" w:rsidRPr="00002102">
        <w:t>design</w:t>
      </w:r>
      <w:r w:rsidR="00190AC1">
        <w:t xml:space="preserve">ing new administrative structures and procedures of dealing with individual Union citizens </w:t>
      </w:r>
      <w:r w:rsidR="00190AC1" w:rsidRPr="00002102">
        <w:t>who have recourse to the</w:t>
      </w:r>
      <w:r w:rsidR="00190AC1">
        <w:t xml:space="preserve">ir welfare system. </w:t>
      </w:r>
      <w:r w:rsidR="00782D6D">
        <w:t xml:space="preserve">The </w:t>
      </w:r>
      <w:r w:rsidR="00190AC1">
        <w:t xml:space="preserve">original </w:t>
      </w:r>
      <w:r w:rsidR="00782D6D">
        <w:t xml:space="preserve">‘form’ </w:t>
      </w:r>
      <w:r w:rsidR="00190AC1">
        <w:t xml:space="preserve">model, </w:t>
      </w:r>
      <w:r w:rsidR="00782D6D">
        <w:t xml:space="preserve">linked </w:t>
      </w:r>
      <w:r w:rsidR="00AE7CDD">
        <w:t xml:space="preserve">access </w:t>
      </w:r>
      <w:r w:rsidR="00515909">
        <w:t xml:space="preserve">of Union citizens to social assistance with their fulfilment of </w:t>
      </w:r>
      <w:r w:rsidR="00AE7CDD">
        <w:t>bureaucratic requirements</w:t>
      </w:r>
      <w:r w:rsidR="00515909">
        <w:t>, such as the possession of registration certificate and a ‘co</w:t>
      </w:r>
      <w:r w:rsidR="00AE7CDD">
        <w:t>rrect</w:t>
      </w:r>
      <w:r w:rsidR="00515909">
        <w:t>’ residence status in a national database.</w:t>
      </w:r>
      <w:r w:rsidR="00782D6D">
        <w:t xml:space="preserve">  Adjustment pressures – either by EU institutions or from the domestic court system – may lead Member States to stop the </w:t>
      </w:r>
      <w:r w:rsidR="00CA7BEA">
        <w:t>monitoring of Union citizens’ compliance with the residence conditions</w:t>
      </w:r>
      <w:r w:rsidR="00782D6D">
        <w:t xml:space="preserve"> ‘at entry’ </w:t>
      </w:r>
      <w:r w:rsidR="00CA7BEA">
        <w:t xml:space="preserve">, </w:t>
      </w:r>
      <w:r w:rsidR="00782D6D">
        <w:t xml:space="preserve">and start verifying at the moment of applying for social assistance. This shift from an </w:t>
      </w:r>
      <w:r w:rsidR="00782D6D" w:rsidRPr="000E7617">
        <w:rPr>
          <w:i/>
        </w:rPr>
        <w:t>a priori</w:t>
      </w:r>
      <w:r w:rsidR="00782D6D">
        <w:t xml:space="preserve"> assessment to a ‘reconstruction’ of someone’s conduct in the light of EU law also implies a shift in the burden of proof to the Union citizen. Member States will vary in which administrative body will conduct this assessment. Since Dutch courts emphasised both the independent status of the Union citizen </w:t>
      </w:r>
      <w:r w:rsidR="00782D6D" w:rsidRPr="0081219C">
        <w:rPr>
          <w:i/>
        </w:rPr>
        <w:t>and</w:t>
      </w:r>
      <w:r w:rsidR="00782D6D">
        <w:t xml:space="preserve"> respect for the division of competences between social and migration authorities, the Dutch authorities designed a ‘signal’ model: a verification of lawful residence is </w:t>
      </w:r>
      <w:r w:rsidR="00782D6D">
        <w:lastRenderedPageBreak/>
        <w:t xml:space="preserve">conducted by the migration authority </w:t>
      </w:r>
      <w:r w:rsidR="00CA7BEA">
        <w:t>once Union citizens come</w:t>
      </w:r>
      <w:r w:rsidR="00782D6D">
        <w:t xml:space="preserve">s on its radar </w:t>
      </w:r>
      <w:r w:rsidR="00CA7BEA">
        <w:t xml:space="preserve">through the bureaucratic procedures of the welfare state. </w:t>
      </w:r>
      <w:r w:rsidR="00782D6D">
        <w:t>Other Member States might opt to delegate this competen</w:t>
      </w:r>
      <w:r w:rsidR="0030694C">
        <w:t xml:space="preserve">ce to their social authorities, which will fit a third ‘delegated’ model. </w:t>
      </w:r>
    </w:p>
    <w:p w:rsidR="000E1F61" w:rsidRDefault="0030694C" w:rsidP="0030694C">
      <w:pPr>
        <w:ind w:firstLine="708"/>
      </w:pPr>
      <w:r>
        <w:t>A study into the administrative responses of Member States to the</w:t>
      </w:r>
      <w:r w:rsidR="000E1F61">
        <w:t xml:space="preserve"> </w:t>
      </w:r>
      <w:r w:rsidR="000E7617">
        <w:t>early citizenship</w:t>
      </w:r>
      <w:r w:rsidR="000E1F61">
        <w:t xml:space="preserve"> </w:t>
      </w:r>
      <w:r>
        <w:t>potentially moves the debate about the impact of EU law beyond mere o</w:t>
      </w:r>
      <w:r w:rsidR="00CA7BEA">
        <w:t xml:space="preserve">pening or </w:t>
      </w:r>
      <w:r w:rsidR="00FF54E3">
        <w:t xml:space="preserve">closure </w:t>
      </w:r>
      <w:r w:rsidR="000E7617">
        <w:t xml:space="preserve">of national welfare systems. Account should also be taken </w:t>
      </w:r>
      <w:r w:rsidR="00FF54E3">
        <w:t>different</w:t>
      </w:r>
      <w:r>
        <w:t xml:space="preserve"> bureaucratic</w:t>
      </w:r>
      <w:r w:rsidR="00FF54E3">
        <w:t xml:space="preserve"> </w:t>
      </w:r>
      <w:r w:rsidR="00FF54E3" w:rsidRPr="000E7617">
        <w:rPr>
          <w:i/>
        </w:rPr>
        <w:t>experience</w:t>
      </w:r>
      <w:r w:rsidR="00FF54E3">
        <w:t xml:space="preserve"> </w:t>
      </w:r>
      <w:r w:rsidR="000E1F61">
        <w:t>Union citizens of their rights. The very fact</w:t>
      </w:r>
      <w:r>
        <w:t>,</w:t>
      </w:r>
      <w:r w:rsidR="000E1F61">
        <w:t xml:space="preserve"> </w:t>
      </w:r>
      <w:r>
        <w:t xml:space="preserve">for example, </w:t>
      </w:r>
      <w:r w:rsidR="000E1F61">
        <w:t xml:space="preserve">that a claim to social assistance </w:t>
      </w:r>
      <w:r w:rsidR="00FF54E3" w:rsidRPr="000E7617">
        <w:rPr>
          <w:i/>
        </w:rPr>
        <w:t>can</w:t>
      </w:r>
      <w:r w:rsidR="00FF54E3">
        <w:t xml:space="preserve"> have consequen</w:t>
      </w:r>
      <w:r w:rsidR="000E1F61">
        <w:t xml:space="preserve">ces for their lawful residence </w:t>
      </w:r>
      <w:r>
        <w:t>can act a</w:t>
      </w:r>
      <w:r w:rsidR="000E1F61">
        <w:t>s a deter</w:t>
      </w:r>
      <w:r>
        <w:t xml:space="preserve">rent for Union citizens to </w:t>
      </w:r>
      <w:r w:rsidR="000E1F61">
        <w:t>engage with the ho</w:t>
      </w:r>
      <w:r>
        <w:t>st welfare state at all; this</w:t>
      </w:r>
      <w:r w:rsidR="000E1F61">
        <w:t xml:space="preserve"> impacts on both the functioning of territorial welfare states a</w:t>
      </w:r>
      <w:r>
        <w:t xml:space="preserve">nd social equality in practice and raises for question about the existence of ‘social Europe’ on the ground. </w:t>
      </w:r>
    </w:p>
    <w:p w:rsidR="000E1F61" w:rsidRDefault="000E1F61" w:rsidP="000E1F61"/>
    <w:p w:rsidR="000E1F61" w:rsidRPr="000E1F61" w:rsidRDefault="000E1F61" w:rsidP="000E1F61">
      <w:pPr>
        <w:rPr>
          <w:lang w:val="en-US"/>
        </w:rPr>
      </w:pPr>
    </w:p>
    <w:p w:rsidR="000257D2" w:rsidRDefault="0078589F">
      <w:r>
        <w:fldChar w:fldCharType="begin"/>
      </w:r>
      <w:r w:rsidRPr="00913B69">
        <w:rPr>
          <w:lang w:val="en-US"/>
        </w:rPr>
        <w:instrText xml:space="preserve"> ADDIN EN.REFLIST </w:instrText>
      </w:r>
      <w:r>
        <w:fldChar w:fldCharType="end"/>
      </w:r>
    </w:p>
    <w:sectPr w:rsidR="000257D2" w:rsidSect="00A8407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B8A" w:rsidRDefault="00491B8A" w:rsidP="00FF54E3">
      <w:pPr>
        <w:spacing w:line="240" w:lineRule="auto"/>
      </w:pPr>
      <w:r>
        <w:separator/>
      </w:r>
    </w:p>
  </w:endnote>
  <w:endnote w:type="continuationSeparator" w:id="0">
    <w:p w:rsidR="00491B8A" w:rsidRDefault="00491B8A" w:rsidP="00FF54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2329838"/>
      <w:docPartObj>
        <w:docPartGallery w:val="Page Numbers (Bottom of Page)"/>
        <w:docPartUnique/>
      </w:docPartObj>
    </w:sdtPr>
    <w:sdtEndPr/>
    <w:sdtContent>
      <w:p w:rsidR="00491B8A" w:rsidRDefault="00491B8A">
        <w:pPr>
          <w:pStyle w:val="Voettekst"/>
          <w:jc w:val="center"/>
        </w:pPr>
        <w:r>
          <w:fldChar w:fldCharType="begin"/>
        </w:r>
        <w:r>
          <w:instrText>PAGE   \* MERGEFORMAT</w:instrText>
        </w:r>
        <w:r>
          <w:fldChar w:fldCharType="separate"/>
        </w:r>
        <w:r w:rsidR="00D36ABB" w:rsidRPr="00D36ABB">
          <w:rPr>
            <w:noProof/>
            <w:lang w:val="nl-NL"/>
          </w:rPr>
          <w:t>2</w:t>
        </w:r>
        <w:r>
          <w:fldChar w:fldCharType="end"/>
        </w:r>
      </w:p>
    </w:sdtContent>
  </w:sdt>
  <w:p w:rsidR="00491B8A" w:rsidRDefault="00491B8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B8A" w:rsidRDefault="00491B8A" w:rsidP="00FF54E3">
      <w:pPr>
        <w:spacing w:line="240" w:lineRule="auto"/>
      </w:pPr>
      <w:r>
        <w:separator/>
      </w:r>
    </w:p>
  </w:footnote>
  <w:footnote w:type="continuationSeparator" w:id="0">
    <w:p w:rsidR="00491B8A" w:rsidRDefault="00491B8A" w:rsidP="00FF54E3">
      <w:pPr>
        <w:spacing w:line="240" w:lineRule="auto"/>
      </w:pPr>
      <w:r>
        <w:continuationSeparator/>
      </w:r>
    </w:p>
  </w:footnote>
  <w:footnote w:id="1">
    <w:p w:rsidR="00491B8A" w:rsidRPr="009E3E5B" w:rsidRDefault="00491B8A" w:rsidP="009E3E5B">
      <w:pPr>
        <w:pStyle w:val="Geenafstand"/>
        <w:rPr>
          <w:sz w:val="22"/>
          <w:szCs w:val="22"/>
          <w:lang w:val="en-US"/>
        </w:rPr>
      </w:pPr>
      <w:r w:rsidRPr="009E3E5B">
        <w:rPr>
          <w:rStyle w:val="Voetnootmarkering"/>
          <w:sz w:val="22"/>
          <w:szCs w:val="22"/>
        </w:rPr>
        <w:footnoteRef/>
      </w:r>
      <w:r w:rsidRPr="009E3E5B">
        <w:rPr>
          <w:sz w:val="22"/>
          <w:szCs w:val="22"/>
          <w:lang w:val="en-US"/>
        </w:rPr>
        <w:t xml:space="preserve"> PhD Candidate, Department of Transnational Legal Studies, Vrije Universiteit Amsterdam. This research is part of the NORFACE-funded TransJudFare project and has benefited greatly from a research visit to the Salzburg Centre of European Union Studies January – February 2017 for which I thank Michael Blauberger and Anita Heindlmayer. Comments are very welcome, </w:t>
      </w:r>
      <w:hyperlink r:id="rId1" w:history="1">
        <w:r w:rsidRPr="009E3E5B">
          <w:rPr>
            <w:rStyle w:val="Hyperlink"/>
            <w:sz w:val="22"/>
            <w:szCs w:val="22"/>
            <w:lang w:val="en-US"/>
          </w:rPr>
          <w:t>dion.kramer@vu.nl</w:t>
        </w:r>
      </w:hyperlink>
      <w:r w:rsidRPr="009E3E5B">
        <w:rPr>
          <w:sz w:val="22"/>
          <w:szCs w:val="22"/>
          <w:lang w:val="en-US"/>
        </w:rPr>
        <w:t xml:space="preserve">. </w:t>
      </w:r>
    </w:p>
  </w:footnote>
  <w:footnote w:id="2">
    <w:p w:rsidR="00491B8A" w:rsidRPr="009E3E5B" w:rsidRDefault="00491B8A" w:rsidP="009E3E5B">
      <w:pPr>
        <w:pStyle w:val="Geenafstand"/>
        <w:rPr>
          <w:sz w:val="22"/>
          <w:szCs w:val="22"/>
          <w:lang w:val="en-US"/>
        </w:rPr>
      </w:pPr>
      <w:r w:rsidRPr="009E3E5B">
        <w:rPr>
          <w:rStyle w:val="Voetnootmarkering"/>
          <w:sz w:val="22"/>
          <w:szCs w:val="22"/>
        </w:rPr>
        <w:footnoteRef/>
      </w:r>
      <w:r w:rsidRPr="009E3E5B">
        <w:rPr>
          <w:sz w:val="22"/>
          <w:szCs w:val="22"/>
        </w:rPr>
        <w:t xml:space="preserve"> </w:t>
      </w:r>
      <w:r w:rsidRPr="009E3E5B">
        <w:rPr>
          <w:sz w:val="22"/>
          <w:szCs w:val="22"/>
        </w:rPr>
        <w:fldChar w:fldCharType="begin"/>
      </w:r>
      <w:r w:rsidRPr="009E3E5B">
        <w:rPr>
          <w:sz w:val="22"/>
          <w:szCs w:val="22"/>
        </w:rPr>
        <w:instrText xml:space="preserve"> ADDIN EN.CITE &lt;EndNote&gt;&lt;Cite&gt;&lt;Author&gt;Kafka&lt;/Author&gt;&lt;Year&gt;2007&lt;/Year&gt;&lt;RecNum&gt;242&lt;/RecNum&gt;&lt;Pages&gt;198&lt;/Pages&gt;&lt;DisplayText&gt;F Kafka, ‘Before the Law’, in, &lt;style face="italic"&gt;Metamorphosis and Other Stories&lt;/style&gt; (Penguin Books, 2007), p 198&lt;/DisplayText&gt;&lt;record&gt;&lt;rec-number&gt;242&lt;/rec-number&gt;&lt;foreign-keys&gt;&lt;key app="EN" db-id="as9pxvrtdpppr2exar7xaxv0zs0p2vfsdtsx" timestamp="1487671452"&gt;242&lt;/key&gt;&lt;/foreign-keys&gt;&lt;ref-type name="Book Section"&gt;5&lt;/ref-type&gt;&lt;contributors&gt;&lt;authors&gt;&lt;author&gt;Kafka, Franz&lt;/author&gt;&lt;/authors&gt;&lt;/contributors&gt;&lt;titles&gt;&lt;title&gt;Before the Law&lt;/title&gt;&lt;secondary-title&gt;Metamorphosis and Other Stories&lt;/secondary-title&gt;&lt;/titles&gt;&lt;pages&gt;197-198&lt;/pages&gt;&lt;dates&gt;&lt;year&gt;2007&lt;/year&gt;&lt;/dates&gt;&lt;pub-location&gt;London&lt;/pub-location&gt;&lt;publisher&gt;Penguin Books&lt;/publisher&gt;&lt;urls&gt;&lt;/urls&gt;&lt;/record&gt;&lt;/Cite&gt;&lt;/EndNote&gt;</w:instrText>
      </w:r>
      <w:r w:rsidRPr="009E3E5B">
        <w:rPr>
          <w:sz w:val="22"/>
          <w:szCs w:val="22"/>
        </w:rPr>
        <w:fldChar w:fldCharType="separate"/>
      </w:r>
      <w:r w:rsidRPr="009E3E5B">
        <w:rPr>
          <w:noProof/>
          <w:sz w:val="22"/>
          <w:szCs w:val="22"/>
        </w:rPr>
        <w:t xml:space="preserve">F Kafka, ‘Before the Law’, in, </w:t>
      </w:r>
      <w:r w:rsidRPr="009E3E5B">
        <w:rPr>
          <w:i/>
          <w:noProof/>
          <w:sz w:val="22"/>
          <w:szCs w:val="22"/>
        </w:rPr>
        <w:t>Metamorphosis and Other Stories</w:t>
      </w:r>
      <w:r w:rsidRPr="009E3E5B">
        <w:rPr>
          <w:noProof/>
          <w:sz w:val="22"/>
          <w:szCs w:val="22"/>
        </w:rPr>
        <w:t xml:space="preserve"> (Penguin Books, 2007), p 198</w:t>
      </w:r>
      <w:r w:rsidRPr="009E3E5B">
        <w:rPr>
          <w:sz w:val="22"/>
          <w:szCs w:val="22"/>
        </w:rPr>
        <w:fldChar w:fldCharType="end"/>
      </w:r>
    </w:p>
  </w:footnote>
  <w:footnote w:id="3">
    <w:p w:rsidR="00491B8A" w:rsidRPr="00B80469" w:rsidRDefault="00491B8A">
      <w:pPr>
        <w:pStyle w:val="Voetnoottekst"/>
      </w:pPr>
      <w:r>
        <w:rPr>
          <w:rStyle w:val="Voetnootmarkering"/>
        </w:rPr>
        <w:footnoteRef/>
      </w:r>
      <w:r>
        <w:t xml:space="preserve"> See e.g., W R Brubaker, ‘Membership without citizenship: the economic and social rights of noncitizens’, in W R Brubaker (eds.) </w:t>
      </w:r>
      <w:r>
        <w:rPr>
          <w:i/>
        </w:rPr>
        <w:t>Immigration and the Politics of Citizenship in Europe and North America</w:t>
      </w:r>
      <w:r>
        <w:t xml:space="preserve">. </w:t>
      </w:r>
    </w:p>
  </w:footnote>
  <w:footnote w:id="4">
    <w:p w:rsidR="00491B8A" w:rsidRPr="009E3E5B" w:rsidRDefault="00491B8A" w:rsidP="00D61E01">
      <w:pPr>
        <w:pStyle w:val="Geenafstand"/>
        <w:rPr>
          <w:sz w:val="22"/>
          <w:szCs w:val="22"/>
        </w:rPr>
      </w:pPr>
      <w:r w:rsidRPr="009E3E5B">
        <w:rPr>
          <w:rStyle w:val="Voetnootmarkering"/>
          <w:sz w:val="22"/>
          <w:szCs w:val="22"/>
        </w:rPr>
        <w:footnoteRef/>
      </w:r>
      <w:r w:rsidRPr="009E3E5B">
        <w:rPr>
          <w:sz w:val="22"/>
          <w:szCs w:val="22"/>
        </w:rPr>
        <w:t xml:space="preserve"> </w:t>
      </w:r>
      <w:r w:rsidRPr="009E3E5B">
        <w:rPr>
          <w:sz w:val="22"/>
          <w:szCs w:val="22"/>
        </w:rPr>
        <w:fldChar w:fldCharType="begin"/>
      </w:r>
      <w:r w:rsidRPr="009E3E5B">
        <w:rPr>
          <w:sz w:val="22"/>
          <w:szCs w:val="22"/>
        </w:rPr>
        <w:instrText xml:space="preserve"> ADDIN EN.CITE &lt;EndNote&gt;&lt;Cite&gt;&lt;Author&gt;Davies&lt;/Author&gt;&lt;Year&gt;2003&lt;/Year&gt;&lt;RecNum&gt;102&lt;/RecNum&gt;&lt;Pages&gt;81&lt;/Pages&gt;&lt;DisplayText&gt;G Davies, ‘Bureaucracy and Free Movement: A Conflict of Form and Substance’, (2003) 4 &lt;style face="italic"&gt;Nederlands Tijdschrift voor Europees Recht&lt;/style&gt; 81, p 81&lt;/DisplayText&gt;&lt;record&gt;&lt;rec-number&gt;102&lt;/rec-number&gt;&lt;foreign-keys&gt;&lt;key app="EN" db-id="as9pxvrtdpppr2exar7xaxv0zs0p2vfsdtsx" timestamp="1446483699"&gt;102&lt;/key&gt;&lt;/foreign-keys&gt;&lt;ref-type name="Journal Article"&gt;17&lt;/ref-type&gt;&lt;contributors&gt;&lt;authors&gt;&lt;author&gt;Davies, Gareth&lt;/author&gt;&lt;/authors&gt;&lt;/contributors&gt;&lt;titles&gt;&lt;title&gt;Bureaucracy and Free Movement: A Conflict of Form and Substance&lt;/title&gt;&lt;secondary-title&gt;Nederlands Tijdschrift voor Europees Recht&lt;/secondary-title&gt;&lt;/titles&gt;&lt;periodical&gt;&lt;full-title&gt;Nederlands Tijdschrift voor Europees Recht&lt;/full-title&gt;&lt;/periodical&gt;&lt;pages&gt;81-89&lt;/pages&gt;&lt;volume&gt;4&lt;/volume&gt;&lt;section&gt;81&lt;/section&gt;&lt;dates&gt;&lt;year&gt;2003&lt;/year&gt;&lt;/dates&gt;&lt;urls&gt;&lt;/urls&gt;&lt;/record&gt;&lt;/Cite&gt;&lt;/EndNote&gt;</w:instrText>
      </w:r>
      <w:r w:rsidRPr="009E3E5B">
        <w:rPr>
          <w:sz w:val="22"/>
          <w:szCs w:val="22"/>
        </w:rPr>
        <w:fldChar w:fldCharType="separate"/>
      </w:r>
      <w:r w:rsidRPr="009E3E5B">
        <w:rPr>
          <w:noProof/>
          <w:sz w:val="22"/>
          <w:szCs w:val="22"/>
        </w:rPr>
        <w:t xml:space="preserve">G Davies, ‘Bureaucracy and Free Movement: A Conflict of Form and Substance’, (2003) 4 </w:t>
      </w:r>
      <w:r w:rsidRPr="009E3E5B">
        <w:rPr>
          <w:i/>
          <w:noProof/>
          <w:sz w:val="22"/>
          <w:szCs w:val="22"/>
        </w:rPr>
        <w:t>Nederlands Tijdschrift voor Europees Recht</w:t>
      </w:r>
      <w:r w:rsidRPr="009E3E5B">
        <w:rPr>
          <w:noProof/>
          <w:sz w:val="22"/>
          <w:szCs w:val="22"/>
        </w:rPr>
        <w:t xml:space="preserve"> 81, p 81</w:t>
      </w:r>
      <w:r w:rsidRPr="009E3E5B">
        <w:rPr>
          <w:sz w:val="22"/>
          <w:szCs w:val="22"/>
        </w:rPr>
        <w:fldChar w:fldCharType="end"/>
      </w:r>
      <w:r w:rsidRPr="009E3E5B">
        <w:rPr>
          <w:sz w:val="22"/>
          <w:szCs w:val="22"/>
        </w:rPr>
        <w:t xml:space="preserve"> </w:t>
      </w:r>
    </w:p>
  </w:footnote>
  <w:footnote w:id="5">
    <w:p w:rsidR="00491B8A" w:rsidRPr="009E3E5B" w:rsidRDefault="00491B8A" w:rsidP="00D61E01">
      <w:pPr>
        <w:pStyle w:val="Geenafstand"/>
        <w:rPr>
          <w:sz w:val="22"/>
          <w:szCs w:val="22"/>
          <w:lang w:val="en-US"/>
        </w:rPr>
      </w:pPr>
      <w:r w:rsidRPr="009E3E5B">
        <w:rPr>
          <w:rStyle w:val="Voetnootmarkering"/>
          <w:sz w:val="22"/>
          <w:szCs w:val="22"/>
        </w:rPr>
        <w:footnoteRef/>
      </w:r>
      <w:r w:rsidRPr="009E3E5B">
        <w:rPr>
          <w:sz w:val="22"/>
          <w:szCs w:val="22"/>
        </w:rPr>
        <w:t xml:space="preserve"> </w:t>
      </w:r>
      <w:r w:rsidRPr="009E3E5B">
        <w:rPr>
          <w:sz w:val="22"/>
          <w:szCs w:val="22"/>
        </w:rPr>
        <w:fldChar w:fldCharType="begin"/>
      </w:r>
      <w:r w:rsidRPr="009E3E5B">
        <w:rPr>
          <w:sz w:val="22"/>
          <w:szCs w:val="22"/>
        </w:rPr>
        <w:instrText xml:space="preserve"> ADDIN EN.CITE &lt;EndNote&gt;&lt;Cite&gt;&lt;Author&gt;Blauberger&lt;/Author&gt;&lt;Year&gt;2014&lt;/Year&gt;&lt;RecNum&gt;1&lt;/RecNum&gt;&lt;Pages&gt;3&lt;/Pages&gt;&lt;DisplayText&gt;M Blauberger and SK Schmidt, ‘Welfare Migration? Free Movement of Eu Citizens and Access to Social Benefits’, (2014) 1 (3) &lt;style face="italic"&gt;Research and Politics &lt;/style&gt;1, p 3&lt;/DisplayText&gt;&lt;record&gt;&lt;rec-number&gt;1&lt;/rec-number&gt;&lt;foreign-keys&gt;&lt;key app="EN" db-id="as9pxvrtdpppr2exar7xaxv0zs0p2vfsdtsx" timestamp="1423129066"&gt;1&lt;/key&gt;&lt;/foreign-keys&gt;&lt;ref-type name="Journal Article"&gt;17&lt;/ref-type&gt;&lt;contributors&gt;&lt;authors&gt;&lt;author&gt;Blauberger, Michael&lt;/author&gt;&lt;author&gt;Schmidt, Susanne K&lt;/author&gt;&lt;/authors&gt;&lt;/contributors&gt;&lt;titles&gt;&lt;title&gt;Welfare migration? Free movement of EU citizens and access to social benefits&lt;/title&gt;&lt;secondary-title&gt;Research and Politics &lt;/secondary-title&gt;&lt;/titles&gt;&lt;periodical&gt;&lt;full-title&gt;Research and Politics&lt;/full-title&gt;&lt;/periodical&gt;&lt;pages&gt;1-7&lt;/pages&gt;&lt;volume&gt;1&lt;/volume&gt;&lt;number&gt;3&lt;/number&gt;&lt;section&gt;1&lt;/section&gt;&lt;dates&gt;&lt;year&gt;2014&lt;/year&gt;&lt;pub-dates&gt;&lt;date&gt;2014-12-01 00:00:00&lt;/date&gt;&lt;/pub-dates&gt;&lt;/dates&gt;&lt;work-type&gt;Journal Article&lt;/work-type&gt;&lt;urls&gt;&lt;related-urls&gt;&lt;url&gt;http://rap.sagepub.com/sprap/1/3/2053168014563879.full.pdf&lt;/url&gt;&lt;/related-urls&gt;&lt;/urls&gt;&lt;electronic-resource-num&gt;10.1177/2053168014563879&lt;/electronic-resource-num&gt;&lt;/record&gt;&lt;/Cite&gt;&lt;/EndNote&gt;</w:instrText>
      </w:r>
      <w:r w:rsidRPr="009E3E5B">
        <w:rPr>
          <w:sz w:val="22"/>
          <w:szCs w:val="22"/>
        </w:rPr>
        <w:fldChar w:fldCharType="separate"/>
      </w:r>
      <w:r w:rsidRPr="009E3E5B">
        <w:rPr>
          <w:noProof/>
          <w:sz w:val="22"/>
          <w:szCs w:val="22"/>
        </w:rPr>
        <w:t xml:space="preserve">M Blauberger and SK Schmidt, ‘Welfare Migration? Free Movement of Eu Citizens and Access to Social Benefits’, (2014) 1 (3) </w:t>
      </w:r>
      <w:r w:rsidRPr="009E3E5B">
        <w:rPr>
          <w:i/>
          <w:noProof/>
          <w:sz w:val="22"/>
          <w:szCs w:val="22"/>
        </w:rPr>
        <w:t xml:space="preserve">Research and Politics </w:t>
      </w:r>
      <w:r w:rsidRPr="009E3E5B">
        <w:rPr>
          <w:noProof/>
          <w:sz w:val="22"/>
          <w:szCs w:val="22"/>
        </w:rPr>
        <w:t>1, p 3</w:t>
      </w:r>
      <w:r w:rsidRPr="009E3E5B">
        <w:rPr>
          <w:sz w:val="22"/>
          <w:szCs w:val="22"/>
        </w:rPr>
        <w:fldChar w:fldCharType="end"/>
      </w:r>
      <w:r>
        <w:rPr>
          <w:sz w:val="22"/>
          <w:szCs w:val="22"/>
        </w:rPr>
        <w:t xml:space="preserve">. </w:t>
      </w:r>
      <w:r w:rsidRPr="00B044E8">
        <w:rPr>
          <w:sz w:val="22"/>
          <w:szCs w:val="22"/>
        </w:rPr>
        <w:fldChar w:fldCharType="begin"/>
      </w:r>
      <w:r>
        <w:rPr>
          <w:sz w:val="22"/>
          <w:szCs w:val="22"/>
        </w:rPr>
        <w:instrText xml:space="preserve"> ADDIN EN.CITE &lt;EndNote&gt;&lt;Cite&gt;&lt;Author&gt;Eurofound&lt;/Author&gt;&lt;Year&gt;2015&lt;/Year&gt;&lt;RecNum&gt;153&lt;/RecNum&gt;&lt;DisplayText&gt;Eurofound, &amp;apos;Social Dimension of Intra-Eu Mobility: Impact on Public Services, &amp;apos; in  2015); C Bruzelius, E Chase and M Seeleib-Kaiser, &amp;apos;Semi-Sovereign Welfare States, Social Rights of Eu Migrant Citizens and the Need for Strong State Capacities&amp;apos;, in  (Oxford Institute for Social Policy, 2014)&lt;/DisplayText&gt;&lt;record&gt;&lt;rec-number&gt;153&lt;/rec-number&gt;&lt;foreign-keys&gt;&lt;key app="EN" db-id="as9pxvrtdpppr2exar7xaxv0zs0p2vfsdtsx" timestamp="1458728995"&gt;153&lt;/key&gt;&lt;key app="ENWeb" db-id=""&gt;0&lt;/key&gt;&lt;/foreign-keys&gt;&lt;ref-type name="Report"&gt;27&lt;/ref-type&gt;&lt;contributors&gt;&lt;authors&gt;&lt;author&gt;Eurofound&lt;/author&gt;&lt;/authors&gt;&lt;tertiary-authors&gt;&lt;author&gt;Publications Office of the European Union&lt;/author&gt;&lt;/tertiary-authors&gt;&lt;/contributors&gt;&lt;titles&gt;&lt;title&gt;Social dimension of intra-EU mobility: Impact on public services, &lt;/title&gt;&lt;/titles&gt;&lt;dates&gt;&lt;year&gt;2015&lt;/year&gt;&lt;/dates&gt;&lt;pub-location&gt;Luxembourg&lt;/pub-location&gt;&lt;urls&gt;&lt;/urls&gt;&lt;/record&gt;&lt;/Cite&gt;&lt;Cite&gt;&lt;Author&gt;Bruzelius&lt;/Author&gt;&lt;Year&gt;2014&lt;/Year&gt;&lt;RecNum&gt;154&lt;/RecNum&gt;&lt;record&gt;&lt;rec-number&gt;154&lt;/rec-number&gt;&lt;foreign-keys&gt;&lt;key app="EN" db-id="as9pxvrtdpppr2exar7xaxv0zs0p2vfsdtsx" timestamp="1458729809"&gt;154&lt;/key&gt;&lt;key app="ENWeb" db-id=""&gt;0&lt;/key&gt;&lt;/foreign-keys&gt;&lt;ref-type name="Report"&gt;27&lt;/ref-type&gt;&lt;contributors&gt;&lt;authors&gt;&lt;author&gt;Cecilia Bruzelius&lt;/author&gt;&lt;author&gt;Elaine Chase&lt;/author&gt;&lt;author&gt;Martin Seeleib-Kaiser&lt;/author&gt;&lt;/authors&gt;&lt;/contributors&gt;&lt;titles&gt;&lt;title&gt;Semi-Sovereign Welfare States, Social Rights of EU Migrant Citizens and the Need for Strong State Capacities&lt;/title&gt;&lt;/titles&gt;&lt;dates&gt;&lt;year&gt;2014&lt;/year&gt;&lt;/dates&gt;&lt;publisher&gt;Oxford Institute for Social Policy&lt;/publisher&gt;&lt;urls&gt;&lt;/urls&gt;&lt;/record&gt;&lt;/Cite&gt;&lt;/EndNote&gt;</w:instrText>
      </w:r>
      <w:r w:rsidRPr="00B044E8">
        <w:rPr>
          <w:sz w:val="22"/>
          <w:szCs w:val="22"/>
        </w:rPr>
        <w:fldChar w:fldCharType="separate"/>
      </w:r>
      <w:r>
        <w:rPr>
          <w:noProof/>
          <w:sz w:val="22"/>
          <w:szCs w:val="22"/>
        </w:rPr>
        <w:t>Eurofound, 'Social Dimension of Intra-Eu Mobility: Impact on Public Services, ' in  2015); C Bruzelius, E Chase and M Seeleib-Kaiser, 'Semi-Sovereign Welfare States, Social Rights of Eu Migrant Citizens and the Need for Strong State Capacities', in  (Oxford Institute for Social Policy, 2014)</w:t>
      </w:r>
      <w:r w:rsidRPr="00B044E8">
        <w:rPr>
          <w:sz w:val="22"/>
          <w:szCs w:val="22"/>
        </w:rPr>
        <w:fldChar w:fldCharType="end"/>
      </w:r>
      <w:r>
        <w:rPr>
          <w:sz w:val="22"/>
          <w:szCs w:val="22"/>
        </w:rPr>
        <w:t>.</w:t>
      </w:r>
    </w:p>
  </w:footnote>
  <w:footnote w:id="6">
    <w:p w:rsidR="00491B8A" w:rsidRPr="00BF194A" w:rsidRDefault="00491B8A">
      <w:pPr>
        <w:pStyle w:val="Voetnoottekst"/>
      </w:pPr>
      <w:r>
        <w:rPr>
          <w:rStyle w:val="Voetnootmarkering"/>
        </w:rPr>
        <w:footnoteRef/>
      </w:r>
      <w:r>
        <w:t xml:space="preserve"> </w:t>
      </w:r>
      <w:r w:rsidRPr="009E3E5B">
        <w:rPr>
          <w:sz w:val="22"/>
          <w:szCs w:val="22"/>
          <w:lang w:val="en-US"/>
        </w:rPr>
        <w:fldChar w:fldCharType="begin"/>
      </w:r>
      <w:r w:rsidRPr="009E3E5B">
        <w:rPr>
          <w:sz w:val="22"/>
          <w:szCs w:val="22"/>
          <w:lang w:val="en-US"/>
        </w:rPr>
        <w:instrText xml:space="preserve"> ADDIN EN.CITE &lt;EndNote&gt;&lt;Cite&gt;&lt;Author&gt;Sindbjerg Martinsen&lt;/Author&gt;&lt;Year&gt;Forthcoming&lt;/Year&gt;&lt;RecNum&gt;120&lt;/RecNum&gt;&lt;DisplayText&gt;D Sindbjerg Martinsen and J Sampson Thierry, ‘A European Social Union – for Whom?’, (Forthcoming)   &lt;/DisplayText&gt;&lt;record&gt;&lt;rec-number&gt;120&lt;/rec-number&gt;&lt;foreign-keys&gt;&lt;key app="EN" db-id="as9pxvrtdpppr2exar7xaxv0zs0p2vfsdtsx" timestamp="1457351610"&gt;120&lt;/key&gt;&lt;/foreign-keys&gt;&lt;ref-type name="Journal Article"&gt;17&lt;/ref-type&gt;&lt;contributors&gt;&lt;authors&gt;&lt;author&gt;Sindbjerg Martinsen, Dorte &lt;/author&gt;&lt;author&gt;Sampson Thierry, Jessica&lt;/author&gt;&lt;/authors&gt;&lt;/contributors&gt;&lt;titles&gt;&lt;title&gt;A European Social Union – For Whom?&lt;/title&gt;&lt;/titles&gt;&lt;dates&gt;&lt;year&gt;Forthcoming&lt;/year&gt;&lt;/dates&gt;&lt;urls&gt;&lt;/urls&gt;&lt;/record&gt;&lt;/Cite&gt;&lt;/EndNote&gt;</w:instrText>
      </w:r>
      <w:r w:rsidRPr="009E3E5B">
        <w:rPr>
          <w:sz w:val="22"/>
          <w:szCs w:val="22"/>
          <w:lang w:val="en-US"/>
        </w:rPr>
        <w:fldChar w:fldCharType="separate"/>
      </w:r>
      <w:r w:rsidRPr="009E3E5B">
        <w:rPr>
          <w:noProof/>
          <w:sz w:val="22"/>
          <w:szCs w:val="22"/>
          <w:lang w:val="en-US"/>
        </w:rPr>
        <w:t xml:space="preserve">D Sindbjerg Martinsen and J Sampson Thierry, ‘A European Social Union – for Whom?’, (Forthcoming)   </w:t>
      </w:r>
      <w:r w:rsidRPr="009E3E5B">
        <w:rPr>
          <w:sz w:val="22"/>
          <w:szCs w:val="22"/>
          <w:lang w:val="en-US"/>
        </w:rPr>
        <w:fldChar w:fldCharType="end"/>
      </w:r>
    </w:p>
  </w:footnote>
  <w:footnote w:id="7">
    <w:p w:rsidR="00491B8A" w:rsidRPr="009E3E5B" w:rsidRDefault="00491B8A" w:rsidP="00D61E01">
      <w:pPr>
        <w:pStyle w:val="Geenafstand"/>
        <w:rPr>
          <w:sz w:val="22"/>
          <w:szCs w:val="22"/>
        </w:rPr>
      </w:pPr>
      <w:r w:rsidRPr="009E3E5B">
        <w:rPr>
          <w:rStyle w:val="Voetnootmarkering"/>
          <w:sz w:val="22"/>
          <w:szCs w:val="22"/>
        </w:rPr>
        <w:footnoteRef/>
      </w:r>
      <w:r w:rsidRPr="009E3E5B">
        <w:rPr>
          <w:sz w:val="22"/>
          <w:szCs w:val="22"/>
        </w:rPr>
        <w:t xml:space="preserve"> </w:t>
      </w:r>
      <w:r w:rsidRPr="009E3E5B">
        <w:rPr>
          <w:sz w:val="22"/>
          <w:szCs w:val="22"/>
          <w:lang w:val="en-US"/>
        </w:rPr>
        <w:t>Interview Legal Official Ministry of Justice and Security (19-01-2016).</w:t>
      </w:r>
    </w:p>
  </w:footnote>
  <w:footnote w:id="8">
    <w:p w:rsidR="00491B8A" w:rsidRPr="009E3E5B" w:rsidRDefault="00491B8A" w:rsidP="00D61E01">
      <w:pPr>
        <w:pStyle w:val="Geenafstand"/>
        <w:rPr>
          <w:sz w:val="22"/>
          <w:szCs w:val="22"/>
          <w:lang w:val="en-US"/>
        </w:rPr>
      </w:pPr>
      <w:r w:rsidRPr="009E3E5B">
        <w:rPr>
          <w:rStyle w:val="Voetnootmarkering"/>
          <w:sz w:val="22"/>
          <w:szCs w:val="22"/>
        </w:rPr>
        <w:footnoteRef/>
      </w:r>
      <w:r w:rsidRPr="009E3E5B">
        <w:rPr>
          <w:sz w:val="22"/>
          <w:szCs w:val="22"/>
        </w:rPr>
        <w:t xml:space="preserve"> </w:t>
      </w:r>
      <w:r w:rsidRPr="009E3E5B">
        <w:rPr>
          <w:sz w:val="22"/>
          <w:szCs w:val="22"/>
          <w:lang w:val="en-US"/>
        </w:rPr>
        <w:fldChar w:fldCharType="begin"/>
      </w:r>
      <w:r w:rsidRPr="009E3E5B">
        <w:rPr>
          <w:sz w:val="22"/>
          <w:szCs w:val="22"/>
          <w:lang w:val="en-US"/>
        </w:rPr>
        <w:instrText xml:space="preserve"> ADDIN EN.CITE &lt;EndNote&gt;&lt;Cite&gt;&lt;Author&gt;Heindlmayer&lt;/Author&gt;&lt;Year&gt;Forthcoming in JEPP&lt;/Year&gt;&lt;RecNum&gt;239&lt;/RecNum&gt;&lt;DisplayText&gt;A Heindlmayer and M Blauberger, ‘Enter at Your Own Risk: How Eu Member States Administer the Free Movement of Eu Citizens’, (Forthcoming in JEPP)   &lt;/DisplayText&gt;&lt;record&gt;&lt;rec-number&gt;239&lt;/rec-number&gt;&lt;foreign-keys&gt;&lt;key app="EN" db-id="as9pxvrtdpppr2exar7xaxv0zs0p2vfsdtsx" timestamp="1485793649"&gt;239&lt;/key&gt;&lt;/foreign-keys&gt;&lt;ref-type name="Journal Article"&gt;17&lt;/ref-type&gt;&lt;contributors&gt;&lt;authors&gt;&lt;author&gt;Heindlmayer, Anita&lt;/author&gt;&lt;author&gt;Blauberger, Michael&lt;/author&gt;&lt;/authors&gt;&lt;/contributors&gt;&lt;titles&gt;&lt;title&gt;Enter at Your Own Risk: How EU Member States Administer the Free Movement of EU Citizens&lt;/title&gt;&lt;/titles&gt;&lt;dates&gt;&lt;year&gt;Forthcoming in JEPP&lt;/year&gt;&lt;/dates&gt;&lt;urls&gt;&lt;/urls&gt;&lt;/record&gt;&lt;/Cite&gt;&lt;/EndNote&gt;</w:instrText>
      </w:r>
      <w:r w:rsidRPr="009E3E5B">
        <w:rPr>
          <w:sz w:val="22"/>
          <w:szCs w:val="22"/>
          <w:lang w:val="en-US"/>
        </w:rPr>
        <w:fldChar w:fldCharType="separate"/>
      </w:r>
      <w:r w:rsidRPr="009E3E5B">
        <w:rPr>
          <w:noProof/>
          <w:sz w:val="22"/>
          <w:szCs w:val="22"/>
          <w:lang w:val="en-US"/>
        </w:rPr>
        <w:t xml:space="preserve">A Heindlmayer and M Blauberger, ‘Enter at Your Own Risk: How Eu Member States Administer the Free Movement of Eu Citizens’, (Forthcoming in JEPP)   </w:t>
      </w:r>
      <w:r w:rsidRPr="009E3E5B">
        <w:rPr>
          <w:sz w:val="22"/>
          <w:szCs w:val="22"/>
          <w:lang w:val="en-US"/>
        </w:rPr>
        <w:fldChar w:fldCharType="end"/>
      </w:r>
    </w:p>
  </w:footnote>
  <w:footnote w:id="9">
    <w:p w:rsidR="00491B8A" w:rsidRPr="003C030C" w:rsidRDefault="00491B8A">
      <w:pPr>
        <w:pStyle w:val="Voetnoottekst"/>
      </w:pPr>
      <w:r>
        <w:rPr>
          <w:rStyle w:val="Voetnootmarkering"/>
        </w:rPr>
        <w:footnoteRef/>
      </w:r>
      <w:r>
        <w:t xml:space="preserve"> Whereas this paper relies on a detailed analysis of the Dutch case to inductively theorise the different administrative models and distilling factors for change, a final version of this paper seeks to be comparative, adding Germany and Austria as case studies. </w:t>
      </w:r>
    </w:p>
  </w:footnote>
  <w:footnote w:id="10">
    <w:p w:rsidR="00491B8A" w:rsidRPr="009E3E5B" w:rsidRDefault="00491B8A" w:rsidP="009E3E5B">
      <w:pPr>
        <w:pStyle w:val="Geenafstand"/>
        <w:rPr>
          <w:sz w:val="22"/>
          <w:szCs w:val="22"/>
          <w:lang w:val="de-AT"/>
        </w:rPr>
      </w:pPr>
      <w:r w:rsidRPr="009E3E5B">
        <w:rPr>
          <w:rStyle w:val="Voetnootmarkering"/>
          <w:sz w:val="22"/>
          <w:szCs w:val="22"/>
        </w:rPr>
        <w:footnoteRef/>
      </w:r>
      <w:r w:rsidRPr="009E3E5B">
        <w:rPr>
          <w:sz w:val="22"/>
          <w:szCs w:val="22"/>
          <w:lang w:val="de-AT"/>
        </w:rPr>
        <w:t xml:space="preserve"> </w:t>
      </w:r>
      <w:r w:rsidRPr="009E3E5B">
        <w:rPr>
          <w:i/>
          <w:sz w:val="22"/>
          <w:szCs w:val="22"/>
          <w:lang w:val="de-AT"/>
        </w:rPr>
        <w:t>Commission v Netherlands</w:t>
      </w:r>
      <w:r w:rsidRPr="009E3E5B">
        <w:rPr>
          <w:sz w:val="22"/>
          <w:szCs w:val="22"/>
          <w:lang w:val="de-AT"/>
        </w:rPr>
        <w:t>, C-398/06, EU:C:2008:214.</w:t>
      </w:r>
    </w:p>
  </w:footnote>
  <w:footnote w:id="11">
    <w:p w:rsidR="00491B8A" w:rsidRPr="009E3E5B" w:rsidRDefault="00491B8A" w:rsidP="009E3E5B">
      <w:pPr>
        <w:pStyle w:val="Geenafstand"/>
        <w:rPr>
          <w:sz w:val="22"/>
          <w:szCs w:val="22"/>
          <w:lang w:val="en-US"/>
        </w:rPr>
      </w:pPr>
      <w:r w:rsidRPr="009E3E5B">
        <w:rPr>
          <w:rStyle w:val="Voetnootmarkering"/>
          <w:sz w:val="22"/>
          <w:szCs w:val="22"/>
        </w:rPr>
        <w:footnoteRef/>
      </w:r>
      <w:r w:rsidRPr="009E3E5B">
        <w:rPr>
          <w:sz w:val="22"/>
          <w:szCs w:val="22"/>
          <w:lang w:val="en-US"/>
        </w:rPr>
        <w:t xml:space="preserve"> Interview legal official municipality Den Haag (1 april 2016).  </w:t>
      </w:r>
    </w:p>
  </w:footnote>
  <w:footnote w:id="12">
    <w:p w:rsidR="00491B8A" w:rsidRPr="009E3E5B" w:rsidRDefault="00491B8A" w:rsidP="009E3E5B">
      <w:pPr>
        <w:pStyle w:val="Geenafstand"/>
        <w:rPr>
          <w:sz w:val="22"/>
          <w:szCs w:val="22"/>
          <w:lang w:val="de-AT"/>
        </w:rPr>
      </w:pPr>
      <w:r w:rsidRPr="009E3E5B">
        <w:rPr>
          <w:rStyle w:val="Voetnootmarkering"/>
          <w:sz w:val="22"/>
          <w:szCs w:val="22"/>
        </w:rPr>
        <w:footnoteRef/>
      </w:r>
      <w:r w:rsidRPr="009E3E5B">
        <w:rPr>
          <w:sz w:val="22"/>
          <w:szCs w:val="22"/>
          <w:lang w:val="de-AT"/>
        </w:rPr>
        <w:t xml:space="preserve"> </w:t>
      </w:r>
      <w:r w:rsidRPr="009E3E5B">
        <w:rPr>
          <w:i/>
          <w:sz w:val="22"/>
          <w:szCs w:val="22"/>
          <w:lang w:val="de-AT"/>
        </w:rPr>
        <w:t>Kempf</w:t>
      </w:r>
      <w:r w:rsidRPr="009E3E5B">
        <w:rPr>
          <w:sz w:val="22"/>
          <w:szCs w:val="22"/>
          <w:lang w:val="de-AT"/>
        </w:rPr>
        <w:t>, C-139/85, ECLI:EU:C:1986:223, para 7.</w:t>
      </w:r>
    </w:p>
  </w:footnote>
  <w:footnote w:id="13">
    <w:p w:rsidR="00491B8A" w:rsidRPr="009E3E5B" w:rsidRDefault="00491B8A" w:rsidP="009E3E5B">
      <w:pPr>
        <w:pStyle w:val="Geenafstand"/>
        <w:rPr>
          <w:sz w:val="22"/>
          <w:szCs w:val="22"/>
          <w:lang w:val="en-US"/>
        </w:rPr>
      </w:pPr>
      <w:r w:rsidRPr="009E3E5B">
        <w:rPr>
          <w:rStyle w:val="Voetnootmarkering"/>
          <w:sz w:val="22"/>
          <w:szCs w:val="22"/>
        </w:rPr>
        <w:footnoteRef/>
      </w:r>
      <w:r w:rsidRPr="009E3E5B">
        <w:rPr>
          <w:sz w:val="22"/>
          <w:szCs w:val="22"/>
          <w:lang w:val="en-US"/>
        </w:rPr>
        <w:t xml:space="preserve"> Article 7 (1) (a) and (3) Citizens Directive, as confirmed in </w:t>
      </w:r>
      <w:r w:rsidRPr="009E3E5B">
        <w:rPr>
          <w:i/>
          <w:sz w:val="22"/>
          <w:szCs w:val="22"/>
          <w:lang w:val="en-US"/>
        </w:rPr>
        <w:t>Alimanovic</w:t>
      </w:r>
      <w:r w:rsidRPr="009E3E5B">
        <w:rPr>
          <w:sz w:val="22"/>
          <w:szCs w:val="22"/>
          <w:lang w:val="en-US"/>
        </w:rPr>
        <w:t xml:space="preserve">, EU:C:2015:597. </w:t>
      </w:r>
    </w:p>
  </w:footnote>
  <w:footnote w:id="14">
    <w:p w:rsidR="00491B8A" w:rsidRPr="009E3E5B" w:rsidRDefault="00491B8A" w:rsidP="009E3E5B">
      <w:pPr>
        <w:pStyle w:val="Geenafstand"/>
        <w:rPr>
          <w:sz w:val="22"/>
          <w:szCs w:val="22"/>
          <w:lang w:val="de-AT"/>
        </w:rPr>
      </w:pPr>
      <w:r w:rsidRPr="009E3E5B">
        <w:rPr>
          <w:rStyle w:val="Voetnootmarkering"/>
          <w:sz w:val="22"/>
          <w:szCs w:val="22"/>
        </w:rPr>
        <w:footnoteRef/>
      </w:r>
      <w:r w:rsidRPr="009E3E5B">
        <w:rPr>
          <w:sz w:val="22"/>
          <w:szCs w:val="22"/>
          <w:lang w:val="de-AT"/>
        </w:rPr>
        <w:t xml:space="preserve"> </w:t>
      </w:r>
      <w:r w:rsidRPr="009E3E5B">
        <w:rPr>
          <w:i/>
          <w:sz w:val="22"/>
          <w:szCs w:val="22"/>
          <w:lang w:val="de-AT"/>
        </w:rPr>
        <w:t>Martínez Sala</w:t>
      </w:r>
      <w:r w:rsidRPr="009E3E5B">
        <w:rPr>
          <w:sz w:val="22"/>
          <w:szCs w:val="22"/>
          <w:lang w:val="de-AT"/>
        </w:rPr>
        <w:t xml:space="preserve">, ECLI:EU:C:1998:217, paras 59-62. </w:t>
      </w:r>
    </w:p>
  </w:footnote>
  <w:footnote w:id="15">
    <w:p w:rsidR="00491B8A" w:rsidRPr="009E3E5B" w:rsidRDefault="00491B8A" w:rsidP="009E3E5B">
      <w:pPr>
        <w:pStyle w:val="Geenafstand"/>
        <w:rPr>
          <w:sz w:val="22"/>
          <w:szCs w:val="22"/>
          <w:lang w:val="de-AT"/>
        </w:rPr>
      </w:pPr>
      <w:r w:rsidRPr="009E3E5B">
        <w:rPr>
          <w:rStyle w:val="Voetnootmarkering"/>
          <w:sz w:val="22"/>
          <w:szCs w:val="22"/>
        </w:rPr>
        <w:footnoteRef/>
      </w:r>
      <w:r w:rsidRPr="009E3E5B">
        <w:rPr>
          <w:sz w:val="22"/>
          <w:szCs w:val="22"/>
          <w:lang w:val="de-AT"/>
        </w:rPr>
        <w:t xml:space="preserve"> </w:t>
      </w:r>
      <w:r w:rsidRPr="009E3E5B">
        <w:rPr>
          <w:i/>
          <w:sz w:val="22"/>
          <w:szCs w:val="22"/>
          <w:lang w:val="de-AT"/>
        </w:rPr>
        <w:t>Grzelczyk</w:t>
      </w:r>
      <w:r w:rsidRPr="009E3E5B">
        <w:rPr>
          <w:sz w:val="22"/>
          <w:szCs w:val="22"/>
          <w:lang w:val="de-AT"/>
        </w:rPr>
        <w:t xml:space="preserve">, C-184/99, </w:t>
      </w:r>
      <w:r w:rsidRPr="009E3E5B">
        <w:rPr>
          <w:rStyle w:val="outputecli"/>
          <w:sz w:val="22"/>
          <w:szCs w:val="22"/>
          <w:lang w:val="de-AT"/>
        </w:rPr>
        <w:t>EU:C:2001:458</w:t>
      </w:r>
      <w:r w:rsidRPr="009E3E5B">
        <w:rPr>
          <w:sz w:val="22"/>
          <w:szCs w:val="22"/>
          <w:lang w:val="de-AT"/>
        </w:rPr>
        <w:t xml:space="preserve">, para 31. </w:t>
      </w:r>
    </w:p>
  </w:footnote>
  <w:footnote w:id="16">
    <w:p w:rsidR="00491B8A" w:rsidRPr="009E3E5B" w:rsidRDefault="00491B8A" w:rsidP="009E3E5B">
      <w:pPr>
        <w:pStyle w:val="Geenafstand"/>
        <w:rPr>
          <w:sz w:val="22"/>
          <w:szCs w:val="22"/>
        </w:rPr>
      </w:pPr>
      <w:r w:rsidRPr="009E3E5B">
        <w:rPr>
          <w:rStyle w:val="Voetnootmarkering"/>
          <w:sz w:val="22"/>
          <w:szCs w:val="22"/>
        </w:rPr>
        <w:footnoteRef/>
      </w:r>
      <w:r w:rsidRPr="009E3E5B">
        <w:rPr>
          <w:sz w:val="22"/>
          <w:szCs w:val="22"/>
        </w:rPr>
        <w:t xml:space="preserve"> </w:t>
      </w:r>
      <w:r w:rsidRPr="009E3E5B">
        <w:rPr>
          <w:sz w:val="22"/>
          <w:szCs w:val="22"/>
          <w:lang w:val="en-US"/>
        </w:rPr>
        <w:t>Article 24 Citizens Directive.</w:t>
      </w:r>
    </w:p>
  </w:footnote>
  <w:footnote w:id="17">
    <w:p w:rsidR="00491B8A" w:rsidRPr="009E3E5B" w:rsidRDefault="00491B8A" w:rsidP="009E3E5B">
      <w:pPr>
        <w:pStyle w:val="Geenafstand"/>
        <w:rPr>
          <w:sz w:val="22"/>
          <w:szCs w:val="22"/>
          <w:lang w:val="en-US"/>
        </w:rPr>
      </w:pPr>
      <w:r w:rsidRPr="009E3E5B">
        <w:rPr>
          <w:rStyle w:val="Voetnootmarkering"/>
          <w:sz w:val="22"/>
          <w:szCs w:val="22"/>
        </w:rPr>
        <w:footnoteRef/>
      </w:r>
      <w:r w:rsidRPr="009E3E5B">
        <w:rPr>
          <w:sz w:val="22"/>
          <w:szCs w:val="22"/>
        </w:rPr>
        <w:t xml:space="preserve"> Article 3 </w:t>
      </w:r>
      <w:r w:rsidRPr="009E3E5B">
        <w:rPr>
          <w:sz w:val="22"/>
          <w:szCs w:val="22"/>
          <w:lang w:val="en-US"/>
        </w:rPr>
        <w:t xml:space="preserve">Directive 93/96. </w:t>
      </w:r>
    </w:p>
  </w:footnote>
  <w:footnote w:id="18">
    <w:p w:rsidR="00491B8A" w:rsidRPr="009E3E5B" w:rsidRDefault="00491B8A" w:rsidP="009E3E5B">
      <w:pPr>
        <w:pStyle w:val="Geenafstand"/>
        <w:rPr>
          <w:sz w:val="22"/>
          <w:szCs w:val="22"/>
          <w:lang w:val="en-US"/>
        </w:rPr>
      </w:pPr>
      <w:r w:rsidRPr="009E3E5B">
        <w:rPr>
          <w:rStyle w:val="Voetnootmarkering"/>
          <w:sz w:val="22"/>
          <w:szCs w:val="22"/>
        </w:rPr>
        <w:footnoteRef/>
      </w:r>
      <w:r w:rsidRPr="009E3E5B">
        <w:rPr>
          <w:sz w:val="22"/>
          <w:szCs w:val="22"/>
        </w:rPr>
        <w:t xml:space="preserve"> </w:t>
      </w:r>
      <w:r w:rsidRPr="009E3E5B">
        <w:rPr>
          <w:sz w:val="22"/>
          <w:szCs w:val="22"/>
          <w:lang w:val="en-US"/>
        </w:rPr>
        <w:t xml:space="preserve">Article 24 (2) Citizens Directive. </w:t>
      </w:r>
    </w:p>
  </w:footnote>
  <w:footnote w:id="19">
    <w:p w:rsidR="00491B8A" w:rsidRPr="009E3E5B" w:rsidRDefault="00491B8A" w:rsidP="009E3E5B">
      <w:pPr>
        <w:pStyle w:val="Geenafstand"/>
        <w:rPr>
          <w:sz w:val="22"/>
          <w:szCs w:val="22"/>
          <w:lang w:val="en-US"/>
        </w:rPr>
      </w:pPr>
      <w:r w:rsidRPr="009E3E5B">
        <w:rPr>
          <w:rStyle w:val="Voetnootmarkering"/>
          <w:sz w:val="22"/>
          <w:szCs w:val="22"/>
        </w:rPr>
        <w:footnoteRef/>
      </w:r>
      <w:r w:rsidRPr="009E3E5B">
        <w:rPr>
          <w:sz w:val="22"/>
          <w:szCs w:val="22"/>
          <w:lang w:val="en-US"/>
        </w:rPr>
        <w:t xml:space="preserve"> Article 6 Citizens Directive. </w:t>
      </w:r>
    </w:p>
  </w:footnote>
  <w:footnote w:id="20">
    <w:p w:rsidR="00491B8A" w:rsidRPr="009E3E5B" w:rsidRDefault="00491B8A" w:rsidP="009E3E5B">
      <w:pPr>
        <w:pStyle w:val="Geenafstand"/>
        <w:rPr>
          <w:sz w:val="22"/>
          <w:szCs w:val="22"/>
          <w:lang w:val="en-US"/>
        </w:rPr>
      </w:pPr>
      <w:r w:rsidRPr="009E3E5B">
        <w:rPr>
          <w:rStyle w:val="Voetnootmarkering"/>
          <w:sz w:val="22"/>
          <w:szCs w:val="22"/>
        </w:rPr>
        <w:footnoteRef/>
      </w:r>
      <w:r w:rsidRPr="009E3E5B">
        <w:rPr>
          <w:sz w:val="22"/>
          <w:szCs w:val="22"/>
        </w:rPr>
        <w:t xml:space="preserve"> A</w:t>
      </w:r>
      <w:r w:rsidRPr="009E3E5B">
        <w:rPr>
          <w:sz w:val="22"/>
          <w:szCs w:val="22"/>
          <w:lang w:val="en-US"/>
        </w:rPr>
        <w:t xml:space="preserve">rticle 7 (1) (b) Citizens Directive. This condition was already formulated in article 1 of Directive 90/364. </w:t>
      </w:r>
    </w:p>
  </w:footnote>
  <w:footnote w:id="21">
    <w:p w:rsidR="00491B8A" w:rsidRPr="009E3E5B" w:rsidRDefault="00491B8A" w:rsidP="009E3E5B">
      <w:pPr>
        <w:pStyle w:val="Geenafstand"/>
        <w:rPr>
          <w:sz w:val="22"/>
          <w:szCs w:val="22"/>
          <w:lang w:val="de-AT"/>
        </w:rPr>
      </w:pPr>
      <w:r w:rsidRPr="009E3E5B">
        <w:rPr>
          <w:rStyle w:val="Voetnootmarkering"/>
          <w:sz w:val="22"/>
          <w:szCs w:val="22"/>
        </w:rPr>
        <w:footnoteRef/>
      </w:r>
      <w:r w:rsidRPr="009E3E5B">
        <w:rPr>
          <w:sz w:val="22"/>
          <w:szCs w:val="22"/>
          <w:lang w:val="de-AT"/>
        </w:rPr>
        <w:t xml:space="preserve"> </w:t>
      </w:r>
      <w:r w:rsidRPr="009E3E5B">
        <w:rPr>
          <w:i/>
          <w:sz w:val="22"/>
          <w:szCs w:val="22"/>
          <w:lang w:val="de-AT"/>
        </w:rPr>
        <w:t>Grzelczyk</w:t>
      </w:r>
      <w:r w:rsidRPr="009E3E5B">
        <w:rPr>
          <w:sz w:val="22"/>
          <w:szCs w:val="22"/>
          <w:lang w:val="de-AT"/>
        </w:rPr>
        <w:t xml:space="preserve">, </w:t>
      </w:r>
      <w:r w:rsidRPr="009E3E5B">
        <w:rPr>
          <w:rStyle w:val="outputecli"/>
          <w:sz w:val="22"/>
          <w:szCs w:val="22"/>
          <w:lang w:val="de-AT"/>
        </w:rPr>
        <w:t>EU:C:2001:458</w:t>
      </w:r>
      <w:r w:rsidRPr="009E3E5B">
        <w:rPr>
          <w:sz w:val="22"/>
          <w:szCs w:val="22"/>
          <w:lang w:val="de-AT"/>
        </w:rPr>
        <w:t xml:space="preserve">, paragraph 42. </w:t>
      </w:r>
      <w:r w:rsidRPr="009E3E5B">
        <w:rPr>
          <w:i/>
          <w:sz w:val="22"/>
          <w:szCs w:val="22"/>
          <w:lang w:val="de-AT"/>
        </w:rPr>
        <w:t>Trojani</w:t>
      </w:r>
      <w:r w:rsidRPr="009E3E5B">
        <w:rPr>
          <w:sz w:val="22"/>
          <w:szCs w:val="22"/>
          <w:lang w:val="de-AT"/>
        </w:rPr>
        <w:t xml:space="preserve">, C-456/02, </w:t>
      </w:r>
      <w:r w:rsidRPr="009E3E5B">
        <w:rPr>
          <w:rStyle w:val="outputecli"/>
          <w:sz w:val="22"/>
          <w:szCs w:val="22"/>
          <w:lang w:val="de-AT"/>
        </w:rPr>
        <w:t xml:space="preserve">EU:C:2004:488, paragraph </w:t>
      </w:r>
      <w:r w:rsidRPr="009E3E5B">
        <w:rPr>
          <w:sz w:val="22"/>
          <w:szCs w:val="22"/>
          <w:lang w:val="de-AT"/>
        </w:rPr>
        <w:t xml:space="preserve">45. </w:t>
      </w:r>
    </w:p>
  </w:footnote>
  <w:footnote w:id="22">
    <w:p w:rsidR="00491B8A" w:rsidRPr="009E3E5B" w:rsidRDefault="00491B8A" w:rsidP="009E3E5B">
      <w:pPr>
        <w:pStyle w:val="Geenafstand"/>
        <w:rPr>
          <w:sz w:val="22"/>
          <w:szCs w:val="22"/>
          <w:lang w:val="en-US"/>
        </w:rPr>
      </w:pPr>
      <w:r w:rsidRPr="009E3E5B">
        <w:rPr>
          <w:rStyle w:val="Voetnootmarkering"/>
          <w:sz w:val="22"/>
          <w:szCs w:val="22"/>
        </w:rPr>
        <w:footnoteRef/>
      </w:r>
      <w:r w:rsidRPr="009E3E5B">
        <w:rPr>
          <w:sz w:val="22"/>
          <w:szCs w:val="22"/>
          <w:lang w:val="en-US"/>
        </w:rPr>
        <w:t xml:space="preserve"> </w:t>
      </w:r>
      <w:r w:rsidRPr="009E3E5B">
        <w:rPr>
          <w:i/>
          <w:sz w:val="22"/>
          <w:szCs w:val="22"/>
          <w:lang w:val="en-US"/>
        </w:rPr>
        <w:t>Grzelczyk</w:t>
      </w:r>
      <w:r w:rsidRPr="009E3E5B">
        <w:rPr>
          <w:sz w:val="22"/>
          <w:szCs w:val="22"/>
          <w:lang w:val="en-US"/>
        </w:rPr>
        <w:t xml:space="preserve">, </w:t>
      </w:r>
      <w:r w:rsidRPr="009E3E5B">
        <w:rPr>
          <w:rStyle w:val="outputecli"/>
          <w:sz w:val="22"/>
          <w:szCs w:val="22"/>
          <w:lang w:val="en-US"/>
        </w:rPr>
        <w:t>EU:C:2001:458</w:t>
      </w:r>
      <w:r w:rsidRPr="009E3E5B">
        <w:rPr>
          <w:sz w:val="22"/>
          <w:szCs w:val="22"/>
          <w:lang w:val="en-US"/>
        </w:rPr>
        <w:t>, paras 42-43.</w:t>
      </w:r>
    </w:p>
  </w:footnote>
  <w:footnote w:id="23">
    <w:p w:rsidR="00491B8A" w:rsidRPr="009E3E5B" w:rsidRDefault="00491B8A" w:rsidP="009E3E5B">
      <w:pPr>
        <w:pStyle w:val="Geenafstand"/>
        <w:rPr>
          <w:sz w:val="22"/>
          <w:szCs w:val="22"/>
          <w:lang w:val="en-US"/>
        </w:rPr>
      </w:pPr>
      <w:r w:rsidRPr="009E3E5B">
        <w:rPr>
          <w:rStyle w:val="Voetnootmarkering"/>
          <w:sz w:val="22"/>
          <w:szCs w:val="22"/>
        </w:rPr>
        <w:footnoteRef/>
      </w:r>
      <w:r w:rsidRPr="009E3E5B">
        <w:rPr>
          <w:sz w:val="22"/>
          <w:szCs w:val="22"/>
        </w:rPr>
        <w:t xml:space="preserve"> See also recital 16 and article 14 (3) of the Citizens </w:t>
      </w:r>
      <w:r w:rsidRPr="009E3E5B">
        <w:rPr>
          <w:sz w:val="22"/>
          <w:szCs w:val="22"/>
          <w:lang w:val="en-US"/>
        </w:rPr>
        <w:t xml:space="preserve">Directive. </w:t>
      </w:r>
    </w:p>
  </w:footnote>
  <w:footnote w:id="24">
    <w:p w:rsidR="00491B8A" w:rsidRPr="009E3E5B" w:rsidRDefault="00491B8A" w:rsidP="009E3E5B">
      <w:pPr>
        <w:pStyle w:val="Geenafstand"/>
        <w:rPr>
          <w:sz w:val="22"/>
          <w:szCs w:val="22"/>
          <w:lang w:val="en-US"/>
        </w:rPr>
      </w:pPr>
      <w:r w:rsidRPr="009E3E5B">
        <w:rPr>
          <w:rStyle w:val="Voetnootmarkering"/>
          <w:sz w:val="22"/>
          <w:szCs w:val="22"/>
        </w:rPr>
        <w:footnoteRef/>
      </w:r>
      <w:r w:rsidRPr="009E3E5B">
        <w:rPr>
          <w:sz w:val="22"/>
          <w:szCs w:val="22"/>
        </w:rPr>
        <w:t xml:space="preserve"> Article 16 Citizens Directive. </w:t>
      </w:r>
    </w:p>
  </w:footnote>
  <w:footnote w:id="25">
    <w:p w:rsidR="00491B8A" w:rsidRPr="009E3E5B" w:rsidRDefault="00491B8A" w:rsidP="009E3E5B">
      <w:pPr>
        <w:pStyle w:val="Geenafstand"/>
        <w:rPr>
          <w:sz w:val="22"/>
          <w:szCs w:val="22"/>
          <w:lang w:val="en-US"/>
        </w:rPr>
      </w:pPr>
      <w:r w:rsidRPr="009E3E5B">
        <w:rPr>
          <w:rStyle w:val="Voetnootmarkering"/>
          <w:sz w:val="22"/>
          <w:szCs w:val="22"/>
        </w:rPr>
        <w:footnoteRef/>
      </w:r>
      <w:r w:rsidRPr="009E3E5B">
        <w:rPr>
          <w:sz w:val="22"/>
          <w:szCs w:val="22"/>
          <w:lang w:val="en-US"/>
        </w:rPr>
        <w:t xml:space="preserve"> </w:t>
      </w:r>
      <w:r w:rsidRPr="009E3E5B">
        <w:rPr>
          <w:i/>
          <w:sz w:val="22"/>
          <w:szCs w:val="22"/>
          <w:lang w:val="en-US"/>
        </w:rPr>
        <w:t>Royer</w:t>
      </w:r>
      <w:r w:rsidRPr="009E3E5B">
        <w:rPr>
          <w:sz w:val="22"/>
          <w:szCs w:val="22"/>
          <w:lang w:val="en-US"/>
        </w:rPr>
        <w:t>, C-48/75, ECLI:EU:C:1976:57, paras 31-32</w:t>
      </w:r>
    </w:p>
  </w:footnote>
  <w:footnote w:id="26">
    <w:p w:rsidR="00491B8A" w:rsidRPr="009E3E5B" w:rsidRDefault="00491B8A" w:rsidP="009E3E5B">
      <w:pPr>
        <w:pStyle w:val="Geenafstand"/>
        <w:rPr>
          <w:sz w:val="22"/>
          <w:szCs w:val="22"/>
        </w:rPr>
      </w:pPr>
      <w:r w:rsidRPr="009E3E5B">
        <w:rPr>
          <w:rStyle w:val="Voetnootmarkering"/>
          <w:sz w:val="22"/>
          <w:szCs w:val="22"/>
        </w:rPr>
        <w:footnoteRef/>
      </w:r>
      <w:r w:rsidRPr="009E3E5B">
        <w:rPr>
          <w:sz w:val="22"/>
          <w:szCs w:val="22"/>
        </w:rPr>
        <w:t xml:space="preserve"> Ibid., para. 33.</w:t>
      </w:r>
    </w:p>
  </w:footnote>
  <w:footnote w:id="27">
    <w:p w:rsidR="00491B8A" w:rsidRPr="009E3E5B" w:rsidRDefault="00491B8A" w:rsidP="009E3E5B">
      <w:pPr>
        <w:pStyle w:val="Geenafstand"/>
        <w:rPr>
          <w:sz w:val="22"/>
          <w:szCs w:val="22"/>
          <w:lang w:val="de-AT"/>
        </w:rPr>
      </w:pPr>
      <w:r w:rsidRPr="009E3E5B">
        <w:rPr>
          <w:rStyle w:val="Voetnootmarkering"/>
          <w:sz w:val="22"/>
          <w:szCs w:val="22"/>
        </w:rPr>
        <w:footnoteRef/>
      </w:r>
      <w:r w:rsidRPr="009E3E5B">
        <w:rPr>
          <w:sz w:val="22"/>
          <w:szCs w:val="22"/>
          <w:lang w:val="de-AT"/>
        </w:rPr>
        <w:t xml:space="preserve"> </w:t>
      </w:r>
      <w:r w:rsidRPr="009E3E5B">
        <w:rPr>
          <w:i/>
          <w:sz w:val="22"/>
          <w:szCs w:val="22"/>
          <w:lang w:val="de-AT"/>
        </w:rPr>
        <w:t>Martínez Sala</w:t>
      </w:r>
      <w:r w:rsidRPr="009E3E5B">
        <w:rPr>
          <w:sz w:val="22"/>
          <w:szCs w:val="22"/>
          <w:lang w:val="de-AT"/>
        </w:rPr>
        <w:t xml:space="preserve">, ECLI:EU:C:1998:217, paras 53-54. </w:t>
      </w:r>
    </w:p>
  </w:footnote>
  <w:footnote w:id="28">
    <w:p w:rsidR="00491B8A" w:rsidRPr="009E3E5B" w:rsidRDefault="00491B8A" w:rsidP="009E3E5B">
      <w:pPr>
        <w:pStyle w:val="Geenafstand"/>
        <w:rPr>
          <w:sz w:val="22"/>
          <w:szCs w:val="22"/>
        </w:rPr>
      </w:pPr>
      <w:r w:rsidRPr="009E3E5B">
        <w:rPr>
          <w:rStyle w:val="Voetnootmarkering"/>
          <w:sz w:val="22"/>
          <w:szCs w:val="22"/>
        </w:rPr>
        <w:footnoteRef/>
      </w:r>
      <w:r w:rsidRPr="009E3E5B">
        <w:rPr>
          <w:sz w:val="22"/>
          <w:szCs w:val="22"/>
        </w:rPr>
        <w:t xml:space="preserve"> </w:t>
      </w:r>
      <w:r w:rsidRPr="009E3E5B">
        <w:rPr>
          <w:i/>
          <w:sz w:val="22"/>
          <w:szCs w:val="22"/>
        </w:rPr>
        <w:t>Maria Dias</w:t>
      </w:r>
      <w:r w:rsidRPr="009E3E5B">
        <w:rPr>
          <w:sz w:val="22"/>
          <w:szCs w:val="22"/>
        </w:rPr>
        <w:t xml:space="preserve">, C-325/09, </w:t>
      </w:r>
      <w:r w:rsidRPr="009E3E5B">
        <w:rPr>
          <w:rStyle w:val="outputecli"/>
          <w:sz w:val="22"/>
          <w:szCs w:val="22"/>
        </w:rPr>
        <w:t xml:space="preserve">ECLI:EU:C:2011:498, </w:t>
      </w:r>
      <w:r w:rsidRPr="009E3E5B">
        <w:rPr>
          <w:sz w:val="22"/>
          <w:szCs w:val="22"/>
        </w:rPr>
        <w:t xml:space="preserve">para 55. </w:t>
      </w:r>
    </w:p>
  </w:footnote>
  <w:footnote w:id="29">
    <w:p w:rsidR="00491B8A" w:rsidRPr="009E3E5B" w:rsidRDefault="00491B8A" w:rsidP="009E3E5B">
      <w:pPr>
        <w:pStyle w:val="Geenafstand"/>
        <w:rPr>
          <w:sz w:val="22"/>
          <w:szCs w:val="22"/>
        </w:rPr>
      </w:pPr>
      <w:r w:rsidRPr="009E3E5B">
        <w:rPr>
          <w:rStyle w:val="Voetnootmarkering"/>
          <w:sz w:val="22"/>
          <w:szCs w:val="22"/>
        </w:rPr>
        <w:footnoteRef/>
      </w:r>
      <w:r w:rsidRPr="009E3E5B">
        <w:rPr>
          <w:sz w:val="22"/>
          <w:szCs w:val="22"/>
        </w:rPr>
        <w:t xml:space="preserve"> Article 25 (1) and recital </w:t>
      </w:r>
      <w:r w:rsidRPr="009E3E5B">
        <w:rPr>
          <w:sz w:val="22"/>
          <w:szCs w:val="22"/>
          <w:lang w:val="en-US"/>
        </w:rPr>
        <w:t xml:space="preserve">11 Citizens Directive. </w:t>
      </w:r>
    </w:p>
  </w:footnote>
  <w:footnote w:id="30">
    <w:p w:rsidR="00491B8A" w:rsidRPr="009E3E5B" w:rsidRDefault="00491B8A" w:rsidP="009E3E5B">
      <w:pPr>
        <w:pStyle w:val="Geenafstand"/>
        <w:rPr>
          <w:sz w:val="22"/>
          <w:szCs w:val="22"/>
          <w:lang w:val="en-US"/>
        </w:rPr>
      </w:pPr>
      <w:r w:rsidRPr="009E3E5B">
        <w:rPr>
          <w:rStyle w:val="Voetnootmarkering"/>
          <w:sz w:val="22"/>
          <w:szCs w:val="22"/>
        </w:rPr>
        <w:footnoteRef/>
      </w:r>
      <w:r w:rsidRPr="009E3E5B">
        <w:rPr>
          <w:sz w:val="22"/>
          <w:szCs w:val="22"/>
          <w:lang w:val="en-US"/>
        </w:rPr>
        <w:t xml:space="preserve"> Article 8 (2) Citizens Directive. </w:t>
      </w:r>
    </w:p>
  </w:footnote>
  <w:footnote w:id="31">
    <w:p w:rsidR="00491B8A" w:rsidRPr="009E3E5B" w:rsidRDefault="00491B8A" w:rsidP="009E3E5B">
      <w:pPr>
        <w:pStyle w:val="Geenafstand"/>
        <w:rPr>
          <w:sz w:val="22"/>
          <w:szCs w:val="22"/>
        </w:rPr>
      </w:pPr>
      <w:r w:rsidRPr="009E3E5B">
        <w:rPr>
          <w:rStyle w:val="Voetnootmarkering"/>
          <w:sz w:val="22"/>
          <w:szCs w:val="22"/>
        </w:rPr>
        <w:footnoteRef/>
      </w:r>
      <w:r w:rsidRPr="009E3E5B">
        <w:rPr>
          <w:sz w:val="22"/>
          <w:szCs w:val="22"/>
        </w:rPr>
        <w:t xml:space="preserve"> Article 7 (1) (b) Citizens Directive.  </w:t>
      </w:r>
    </w:p>
  </w:footnote>
  <w:footnote w:id="32">
    <w:p w:rsidR="00491B8A" w:rsidRPr="009E3E5B" w:rsidRDefault="00491B8A" w:rsidP="009E3E5B">
      <w:pPr>
        <w:pStyle w:val="Geenafstand"/>
        <w:rPr>
          <w:sz w:val="22"/>
          <w:szCs w:val="22"/>
        </w:rPr>
      </w:pPr>
      <w:r w:rsidRPr="009E3E5B">
        <w:rPr>
          <w:rStyle w:val="Voetnootmarkering"/>
          <w:sz w:val="22"/>
          <w:szCs w:val="22"/>
        </w:rPr>
        <w:footnoteRef/>
      </w:r>
      <w:r w:rsidRPr="009E3E5B">
        <w:rPr>
          <w:sz w:val="22"/>
          <w:szCs w:val="22"/>
        </w:rPr>
        <w:t xml:space="preserve"> Article 19 Citizens Directive.  </w:t>
      </w:r>
    </w:p>
  </w:footnote>
  <w:footnote w:id="33">
    <w:p w:rsidR="00491B8A" w:rsidRPr="009E3E5B" w:rsidRDefault="00491B8A" w:rsidP="009E3E5B">
      <w:pPr>
        <w:pStyle w:val="Geenafstand"/>
        <w:rPr>
          <w:sz w:val="22"/>
          <w:szCs w:val="22"/>
          <w:lang w:val="en-US"/>
        </w:rPr>
      </w:pPr>
      <w:r w:rsidRPr="009E3E5B">
        <w:rPr>
          <w:rStyle w:val="Voetnootmarkering"/>
          <w:sz w:val="22"/>
          <w:szCs w:val="22"/>
        </w:rPr>
        <w:footnoteRef/>
      </w:r>
      <w:r w:rsidRPr="009E3E5B">
        <w:rPr>
          <w:noProof/>
          <w:sz w:val="22"/>
          <w:szCs w:val="22"/>
        </w:rPr>
        <w:t xml:space="preserve"> </w:t>
      </w:r>
      <w:r w:rsidRPr="009E3E5B">
        <w:rPr>
          <w:noProof/>
          <w:sz w:val="22"/>
          <w:szCs w:val="22"/>
        </w:rPr>
        <w:fldChar w:fldCharType="begin"/>
      </w:r>
      <w:r w:rsidRPr="009E3E5B">
        <w:rPr>
          <w:noProof/>
          <w:sz w:val="22"/>
          <w:szCs w:val="22"/>
        </w:rPr>
        <w:instrText xml:space="preserve"> ADDIN EN.CITE &lt;EndNote&gt;&lt;Cite&gt;&lt;Author&gt;Davies&lt;/Author&gt;&lt;Year&gt;2003&lt;/Year&gt;&lt;RecNum&gt;102&lt;/RecNum&gt;&lt;DisplayText&gt;G Davies&lt;/DisplayText&gt;&lt;record&gt;&lt;rec-number&gt;102&lt;/rec-number&gt;&lt;foreign-keys&gt;&lt;key app="EN" db-id="as9pxvrtdpppr2exar7xaxv0zs0p2vfsdtsx" timestamp="1446483699"&gt;102&lt;/key&gt;&lt;/foreign-keys&gt;&lt;ref-type name="Journal Article"&gt;17&lt;/ref-type&gt;&lt;contributors&gt;&lt;authors&gt;&lt;author&gt;Davies, Gareth&lt;/author&gt;&lt;/authors&gt;&lt;/contributors&gt;&lt;titles&gt;&lt;title&gt;Bureaucracy and Free Movement: A Conflict of Form and Substance&lt;/title&gt;&lt;secondary-title&gt;Nederlands Tijdschrift voor Europees Recht&lt;/secondary-title&gt;&lt;/titles&gt;&lt;periodical&gt;&lt;full-title&gt;Nederlands Tijdschrift voor Europees Recht&lt;/full-title&gt;&lt;/periodical&gt;&lt;pages&gt;81-89&lt;/pages&gt;&lt;volume&gt;4&lt;/volume&gt;&lt;section&gt;81&lt;/section&gt;&lt;dates&gt;&lt;year&gt;2003&lt;/year&gt;&lt;/dates&gt;&lt;urls&gt;&lt;/urls&gt;&lt;/record&gt;&lt;/Cite&gt;&lt;/EndNote&gt;</w:instrText>
      </w:r>
      <w:r w:rsidRPr="009E3E5B">
        <w:rPr>
          <w:noProof/>
          <w:sz w:val="22"/>
          <w:szCs w:val="22"/>
        </w:rPr>
        <w:fldChar w:fldCharType="separate"/>
      </w:r>
      <w:r w:rsidRPr="009E3E5B">
        <w:rPr>
          <w:noProof/>
          <w:sz w:val="22"/>
          <w:szCs w:val="22"/>
        </w:rPr>
        <w:t>G Davies</w:t>
      </w:r>
      <w:r w:rsidRPr="009E3E5B">
        <w:rPr>
          <w:noProof/>
          <w:sz w:val="22"/>
          <w:szCs w:val="22"/>
        </w:rPr>
        <w:fldChar w:fldCharType="end"/>
      </w:r>
      <w:r w:rsidRPr="009E3E5B">
        <w:rPr>
          <w:noProof/>
          <w:sz w:val="22"/>
          <w:szCs w:val="22"/>
        </w:rPr>
        <w:t xml:space="preserve"> see footnote </w:t>
      </w:r>
      <w:r w:rsidRPr="009E3E5B">
        <w:rPr>
          <w:noProof/>
          <w:sz w:val="22"/>
          <w:szCs w:val="22"/>
        </w:rPr>
        <w:fldChar w:fldCharType="begin"/>
      </w:r>
      <w:r w:rsidRPr="009E3E5B">
        <w:rPr>
          <w:noProof/>
          <w:sz w:val="22"/>
          <w:szCs w:val="22"/>
        </w:rPr>
        <w:instrText xml:space="preserve"> NOTEREF _Ref475451588 \h  \* MERGEFORMAT </w:instrText>
      </w:r>
      <w:r w:rsidRPr="009E3E5B">
        <w:rPr>
          <w:noProof/>
          <w:sz w:val="22"/>
          <w:szCs w:val="22"/>
        </w:rPr>
      </w:r>
      <w:r w:rsidRPr="009E3E5B">
        <w:rPr>
          <w:noProof/>
          <w:sz w:val="22"/>
          <w:szCs w:val="22"/>
        </w:rPr>
        <w:fldChar w:fldCharType="separate"/>
      </w:r>
      <w:r>
        <w:rPr>
          <w:noProof/>
          <w:sz w:val="22"/>
          <w:szCs w:val="22"/>
        </w:rPr>
        <w:t>3</w:t>
      </w:r>
      <w:r w:rsidRPr="009E3E5B">
        <w:rPr>
          <w:noProof/>
          <w:sz w:val="22"/>
          <w:szCs w:val="22"/>
        </w:rPr>
        <w:fldChar w:fldCharType="end"/>
      </w:r>
      <w:r w:rsidRPr="009E3E5B">
        <w:rPr>
          <w:noProof/>
          <w:sz w:val="22"/>
          <w:szCs w:val="22"/>
        </w:rPr>
        <w:t xml:space="preserve"> above. </w:t>
      </w:r>
      <w:r w:rsidRPr="00002102">
        <w:t xml:space="preserve">In the less-noted case of </w:t>
      </w:r>
      <w:r w:rsidRPr="003A743E">
        <w:rPr>
          <w:i/>
        </w:rPr>
        <w:t>Huber</w:t>
      </w:r>
      <w:r w:rsidRPr="00002102">
        <w:t xml:space="preserve">, the </w:t>
      </w:r>
      <w:r>
        <w:t>Court</w:t>
      </w:r>
      <w:r w:rsidRPr="00002102">
        <w:t xml:space="preserve"> specifically dealt with </w:t>
      </w:r>
      <w:r>
        <w:t xml:space="preserve">what could be seen as an alternative type of administering residence rights of Union citizens. Germany operated a </w:t>
      </w:r>
      <w:r w:rsidRPr="00002102">
        <w:t xml:space="preserve">centralised register </w:t>
      </w:r>
      <w:r>
        <w:t>that contained</w:t>
      </w:r>
      <w:r w:rsidRPr="00002102">
        <w:t xml:space="preserve"> certain personal data relating to Union citizens </w:t>
      </w:r>
      <w:r>
        <w:t>that could be</w:t>
      </w:r>
      <w:r w:rsidRPr="00002102">
        <w:t xml:space="preserve"> consulted by a number of public and private bodies. </w:t>
      </w:r>
      <w:r>
        <w:t>The C</w:t>
      </w:r>
      <w:r w:rsidRPr="00002102">
        <w:t xml:space="preserve">ourt accepted that the </w:t>
      </w:r>
      <w:r>
        <w:t xml:space="preserve">processing and storing of personal data was </w:t>
      </w:r>
      <w:r w:rsidRPr="00002102">
        <w:t>legitimate for the purpose of providing support to the authorities responsible for the application of the legislation relating to the right of residence.</w:t>
      </w:r>
      <w:r>
        <w:t xml:space="preserve"> </w:t>
      </w:r>
      <w:r w:rsidRPr="009E3E5B">
        <w:rPr>
          <w:i/>
          <w:sz w:val="22"/>
          <w:szCs w:val="22"/>
          <w:lang w:val="en-US"/>
        </w:rPr>
        <w:t>Huber</w:t>
      </w:r>
      <w:r w:rsidRPr="009E3E5B">
        <w:rPr>
          <w:sz w:val="22"/>
          <w:szCs w:val="22"/>
          <w:lang w:val="en-US"/>
        </w:rPr>
        <w:t xml:space="preserve">, C-524/06, </w:t>
      </w:r>
      <w:r w:rsidRPr="009E3E5B">
        <w:rPr>
          <w:rStyle w:val="outputecli"/>
          <w:sz w:val="22"/>
          <w:szCs w:val="22"/>
        </w:rPr>
        <w:t xml:space="preserve">ECLI:EU:C:2008:724, </w:t>
      </w:r>
      <w:r>
        <w:rPr>
          <w:sz w:val="22"/>
          <w:szCs w:val="22"/>
          <w:lang w:val="en-US"/>
        </w:rPr>
        <w:t xml:space="preserve">paras 58 and 69. </w:t>
      </w:r>
      <w:r>
        <w:t xml:space="preserve">However, the Court added, </w:t>
      </w:r>
      <w:r w:rsidRPr="00002102">
        <w:t xml:space="preserve">since a change in the personal situation of a </w:t>
      </w:r>
      <w:r>
        <w:t xml:space="preserve">Union citizen </w:t>
      </w:r>
      <w:r w:rsidRPr="00002102">
        <w:t xml:space="preserve">entitled to a right of residence may have an impact on </w:t>
      </w:r>
      <w:r>
        <w:t>his residence status</w:t>
      </w:r>
      <w:r w:rsidRPr="00002102">
        <w:t xml:space="preserve">, </w:t>
      </w:r>
      <w:r>
        <w:t xml:space="preserve">the responsible authority has </w:t>
      </w:r>
      <w:r w:rsidRPr="00002102">
        <w:t>to ensure that</w:t>
      </w:r>
      <w:r>
        <w:t xml:space="preserve"> the data which are stored are </w:t>
      </w:r>
      <w:r w:rsidRPr="00002102">
        <w:t xml:space="preserve">brought up to date </w:t>
      </w:r>
      <w:r>
        <w:t>‘</w:t>
      </w:r>
      <w:r w:rsidRPr="00002102">
        <w:t>so that, first, they reflect the actual situation of the data subjects and, secondly, irrelevant data are removed from that register</w:t>
      </w:r>
      <w:r>
        <w:t>’.</w:t>
      </w:r>
      <w:r w:rsidRPr="00002102">
        <w:t xml:space="preserve"> </w:t>
      </w:r>
      <w:r w:rsidRPr="009E3E5B">
        <w:rPr>
          <w:sz w:val="22"/>
          <w:szCs w:val="22"/>
          <w:lang w:val="en-US"/>
        </w:rPr>
        <w:t xml:space="preserve">Ibid, para. </w:t>
      </w:r>
      <w:r w:rsidRPr="009E3E5B">
        <w:rPr>
          <w:sz w:val="22"/>
          <w:szCs w:val="22"/>
          <w:lang w:val="de-AT"/>
        </w:rPr>
        <w:t>60.</w:t>
      </w:r>
    </w:p>
  </w:footnote>
  <w:footnote w:id="34">
    <w:p w:rsidR="00491B8A" w:rsidRPr="009E3E5B" w:rsidRDefault="00491B8A" w:rsidP="009E3E5B">
      <w:pPr>
        <w:pStyle w:val="Geenafstand"/>
        <w:rPr>
          <w:sz w:val="22"/>
          <w:szCs w:val="22"/>
          <w:lang w:val="de-AT"/>
        </w:rPr>
      </w:pPr>
      <w:r w:rsidRPr="009E3E5B">
        <w:rPr>
          <w:rStyle w:val="Voetnootmarkering"/>
          <w:sz w:val="22"/>
          <w:szCs w:val="22"/>
        </w:rPr>
        <w:footnoteRef/>
      </w:r>
      <w:r w:rsidRPr="009E3E5B">
        <w:rPr>
          <w:sz w:val="22"/>
          <w:szCs w:val="22"/>
          <w:lang w:val="de-AT"/>
        </w:rPr>
        <w:t xml:space="preserve"> </w:t>
      </w:r>
      <w:r w:rsidRPr="009E3E5B">
        <w:rPr>
          <w:i/>
          <w:sz w:val="22"/>
          <w:szCs w:val="22"/>
          <w:lang w:val="de-AT"/>
        </w:rPr>
        <w:t>Trojani</w:t>
      </w:r>
      <w:r w:rsidRPr="009E3E5B">
        <w:rPr>
          <w:sz w:val="22"/>
          <w:szCs w:val="22"/>
          <w:lang w:val="de-AT"/>
        </w:rPr>
        <w:t xml:space="preserve">, </w:t>
      </w:r>
      <w:r w:rsidRPr="009E3E5B">
        <w:rPr>
          <w:rStyle w:val="outputecli"/>
          <w:sz w:val="22"/>
          <w:szCs w:val="22"/>
          <w:lang w:val="de-AT"/>
        </w:rPr>
        <w:t xml:space="preserve">EU:C:2004:488, para </w:t>
      </w:r>
      <w:r w:rsidRPr="009E3E5B">
        <w:rPr>
          <w:sz w:val="22"/>
          <w:szCs w:val="22"/>
          <w:lang w:val="de-AT"/>
        </w:rPr>
        <w:t xml:space="preserve">31. </w:t>
      </w:r>
    </w:p>
  </w:footnote>
  <w:footnote w:id="35">
    <w:p w:rsidR="00491B8A" w:rsidRPr="009E3E5B" w:rsidRDefault="00491B8A" w:rsidP="009E3E5B">
      <w:pPr>
        <w:pStyle w:val="Geenafstand"/>
        <w:rPr>
          <w:sz w:val="22"/>
          <w:szCs w:val="22"/>
          <w:lang w:val="de-AT"/>
        </w:rPr>
      </w:pPr>
      <w:r w:rsidRPr="009E3E5B">
        <w:rPr>
          <w:rStyle w:val="Voetnootmarkering"/>
          <w:sz w:val="22"/>
          <w:szCs w:val="22"/>
        </w:rPr>
        <w:footnoteRef/>
      </w:r>
      <w:r w:rsidRPr="009E3E5B">
        <w:rPr>
          <w:sz w:val="22"/>
          <w:szCs w:val="22"/>
          <w:lang w:val="de-AT"/>
        </w:rPr>
        <w:t xml:space="preserve"> </w:t>
      </w:r>
      <w:r w:rsidRPr="009E3E5B">
        <w:rPr>
          <w:i/>
          <w:sz w:val="22"/>
          <w:szCs w:val="22"/>
          <w:lang w:val="de-AT"/>
        </w:rPr>
        <w:t>Dano</w:t>
      </w:r>
      <w:r w:rsidRPr="009E3E5B">
        <w:rPr>
          <w:sz w:val="22"/>
          <w:szCs w:val="22"/>
          <w:lang w:val="de-AT"/>
        </w:rPr>
        <w:t xml:space="preserve">, C-333/13, </w:t>
      </w:r>
      <w:r w:rsidRPr="009E3E5B">
        <w:rPr>
          <w:rStyle w:val="outputecli"/>
          <w:sz w:val="22"/>
          <w:szCs w:val="22"/>
          <w:lang w:val="de-AT"/>
        </w:rPr>
        <w:t>EU:C:2014:2358</w:t>
      </w:r>
      <w:r w:rsidRPr="009E3E5B">
        <w:rPr>
          <w:sz w:val="22"/>
          <w:szCs w:val="22"/>
          <w:lang w:val="de-AT"/>
        </w:rPr>
        <w:t xml:space="preserve">, para 69. </w:t>
      </w:r>
    </w:p>
  </w:footnote>
  <w:footnote w:id="36">
    <w:p w:rsidR="00491B8A" w:rsidRPr="007C68AF" w:rsidRDefault="00491B8A">
      <w:pPr>
        <w:pStyle w:val="Voetnoottekst"/>
      </w:pPr>
      <w:r>
        <w:rPr>
          <w:rStyle w:val="Voetnootmarkering"/>
        </w:rPr>
        <w:footnoteRef/>
      </w:r>
      <w:r>
        <w:t xml:space="preserve"> See for example the various contributions in T. Hammar (ed.), </w:t>
      </w:r>
      <w:r w:rsidRPr="00490A63">
        <w:rPr>
          <w:i/>
        </w:rPr>
        <w:t>European Immigration Policy: A Comparative Study</w:t>
      </w:r>
      <w:r>
        <w:t xml:space="preserve">, Cambridge University Press, 1985, esp. chapter 9. </w:t>
      </w:r>
    </w:p>
  </w:footnote>
  <w:footnote w:id="37">
    <w:p w:rsidR="00491B8A" w:rsidRPr="00490A63" w:rsidRDefault="00491B8A">
      <w:pPr>
        <w:pStyle w:val="Voetnoottekst"/>
      </w:pPr>
      <w:r>
        <w:rPr>
          <w:rStyle w:val="Voetnootmarkering"/>
        </w:rPr>
        <w:footnoteRef/>
      </w:r>
      <w:r>
        <w:t xml:space="preserve"> Ibid, and Brubaker, footnote 3 above.  </w:t>
      </w:r>
    </w:p>
  </w:footnote>
  <w:footnote w:id="38">
    <w:p w:rsidR="00491B8A" w:rsidRPr="009E3E5B" w:rsidRDefault="00491B8A" w:rsidP="00854537">
      <w:pPr>
        <w:pStyle w:val="Geenafstand"/>
        <w:rPr>
          <w:sz w:val="22"/>
          <w:szCs w:val="22"/>
          <w:lang w:val="en-US"/>
        </w:rPr>
      </w:pPr>
      <w:r w:rsidRPr="009E3E5B">
        <w:rPr>
          <w:rStyle w:val="Voetnootmarkering"/>
          <w:sz w:val="22"/>
          <w:szCs w:val="22"/>
        </w:rPr>
        <w:footnoteRef/>
      </w:r>
      <w:r w:rsidRPr="009E3E5B">
        <w:rPr>
          <w:sz w:val="22"/>
          <w:szCs w:val="22"/>
        </w:rPr>
        <w:t xml:space="preserve"> See on the role of interest groups in the domestic enforcement of EU law, amongst others, </w:t>
      </w:r>
      <w:r w:rsidRPr="009E3E5B">
        <w:rPr>
          <w:sz w:val="22"/>
          <w:szCs w:val="22"/>
        </w:rPr>
        <w:fldChar w:fldCharType="begin"/>
      </w:r>
      <w:r w:rsidRPr="009E3E5B">
        <w:rPr>
          <w:sz w:val="22"/>
          <w:szCs w:val="22"/>
        </w:rPr>
        <w:instrText xml:space="preserve"> ADDIN EN.CITE &lt;EndNote&gt;&lt;Cite&gt;&lt;Author&gt;Slepcevic&lt;/Author&gt;&lt;Year&gt;2009&lt;/Year&gt;&lt;RecNum&gt;156&lt;/RecNum&gt;&lt;DisplayText&gt;R Slepcevic, ‘The Judicial Enforcement of Eu Law through National Courts: Possibilities and Limits’, (2009) 16 (3) &lt;style face="italic"&gt;Journal of European Public Policy&lt;/style&gt; &lt;/DisplayText&gt;&lt;record&gt;&lt;rec-number&gt;156&lt;/rec-number&gt;&lt;foreign-keys&gt;&lt;key app="EN" db-id="as9pxvrtdpppr2exar7xaxv0zs0p2vfsdtsx" timestamp="1458737959"&gt;156&lt;/key&gt;&lt;/foreign-keys&gt;&lt;ref-type name="Journal Article"&gt;17&lt;/ref-type&gt;&lt;contributors&gt;&lt;authors&gt;&lt;author&gt;Slepcevic, Reinhard&lt;/author&gt;&lt;/authors&gt;&lt;/contributors&gt;&lt;titles&gt;&lt;title&gt;The judicial enforcement of EU law through national courts: possibilities and limits&lt;/title&gt;&lt;secondary-title&gt;Journal of European Public Policy&lt;/secondary-title&gt;&lt;/titles&gt;&lt;periodical&gt;&lt;full-title&gt;Journal of European Public Policy&lt;/full-title&gt;&lt;/periodical&gt;&lt;pages&gt;378-394&lt;/pages&gt;&lt;volume&gt;16&lt;/volume&gt;&lt;number&gt;3&lt;/number&gt;&lt;dates&gt;&lt;year&gt;2009&lt;/year&gt;&lt;pub-dates&gt;&lt;date&gt;2009/04/01&lt;/date&gt;&lt;/pub-dates&gt;&lt;/dates&gt;&lt;publisher&gt;Routledge&lt;/publisher&gt;&lt;isbn&gt;1350-1763&lt;/isbn&gt;&lt;urls&gt;&lt;related-urls&gt;&lt;url&gt;http://dx.doi.org/10.1080/13501760802662847&lt;/url&gt;&lt;/related-urls&gt;&lt;/urls&gt;&lt;electronic-resource-num&gt;10.1080/13501760802662847&lt;/electronic-resource-num&gt;&lt;/record&gt;&lt;/Cite&gt;&lt;/EndNote&gt;</w:instrText>
      </w:r>
      <w:r w:rsidRPr="009E3E5B">
        <w:rPr>
          <w:sz w:val="22"/>
          <w:szCs w:val="22"/>
        </w:rPr>
        <w:fldChar w:fldCharType="separate"/>
      </w:r>
      <w:r w:rsidRPr="009E3E5B">
        <w:rPr>
          <w:noProof/>
          <w:sz w:val="22"/>
          <w:szCs w:val="22"/>
        </w:rPr>
        <w:t xml:space="preserve">R Slepcevic, ‘The Judicial Enforcement of Eu Law through National Courts: Possibilities and Limits’, (2009) 16 (3) </w:t>
      </w:r>
      <w:r w:rsidRPr="009E3E5B">
        <w:rPr>
          <w:i/>
          <w:noProof/>
          <w:sz w:val="22"/>
          <w:szCs w:val="22"/>
        </w:rPr>
        <w:t>Journal of European Public Policy</w:t>
      </w:r>
      <w:r w:rsidRPr="009E3E5B">
        <w:rPr>
          <w:noProof/>
          <w:sz w:val="22"/>
          <w:szCs w:val="22"/>
        </w:rPr>
        <w:t xml:space="preserve"> </w:t>
      </w:r>
      <w:r w:rsidRPr="009E3E5B">
        <w:rPr>
          <w:sz w:val="22"/>
          <w:szCs w:val="22"/>
        </w:rPr>
        <w:fldChar w:fldCharType="end"/>
      </w:r>
      <w:r w:rsidRPr="009E3E5B">
        <w:rPr>
          <w:sz w:val="22"/>
          <w:szCs w:val="22"/>
        </w:rPr>
        <w:t xml:space="preserve">, </w:t>
      </w:r>
      <w:r w:rsidRPr="009E3E5B">
        <w:rPr>
          <w:sz w:val="22"/>
          <w:szCs w:val="22"/>
        </w:rPr>
        <w:fldChar w:fldCharType="begin"/>
      </w:r>
      <w:r w:rsidRPr="009E3E5B">
        <w:rPr>
          <w:sz w:val="22"/>
          <w:szCs w:val="22"/>
        </w:rPr>
        <w:instrText xml:space="preserve"> ADDIN EN.CITE &lt;EndNote&gt;&lt;Cite&gt;&lt;Author&gt;Conant&lt;/Author&gt;&lt;Year&gt;2002&lt;/Year&gt;&lt;RecNum&gt;24&lt;/RecNum&gt;&lt;Suffix&gt;`, pp. 24-29&lt;/Suffix&gt;&lt;DisplayText&gt;LJ Conant, &lt;style face="italic"&gt;Justice Contained: Law and Politics in the European Union&lt;/style&gt; (Cornell University Press, 2002), pp. 24-29&lt;/DisplayText&gt;&lt;record&gt;&lt;rec-number&gt;24&lt;/rec-number&gt;&lt;foreign-keys&gt;&lt;key app="EN" db-id="as9pxvrtdpppr2exar7xaxv0zs0p2vfsdtsx" timestamp="1423147284"&gt;24&lt;/key&gt;&lt;/foreign-keys&gt;&lt;ref-type name="Book"&gt;6&lt;/ref-type&gt;&lt;contributors&gt;&lt;authors&gt;&lt;author&gt;Conant, L.J.&lt;/author&gt;&lt;/authors&gt;&lt;/contributors&gt;&lt;titles&gt;&lt;title&gt;Justice Contained: Law and Politics in the European Union&lt;/title&gt;&lt;/titles&gt;&lt;dates&gt;&lt;year&gt;2002&lt;/year&gt;&lt;/dates&gt;&lt;publisher&gt;Cornell University Press&lt;/publisher&gt;&lt;isbn&gt;9780801439100&lt;/isbn&gt;&lt;urls&gt;&lt;related-urls&gt;&lt;url&gt;http://books.google.nl/books?id=wtwFzpg9PN4C&lt;/url&gt;&lt;/related-urls&gt;&lt;/urls&gt;&lt;/record&gt;&lt;/Cite&gt;&lt;/EndNote&gt;</w:instrText>
      </w:r>
      <w:r w:rsidRPr="009E3E5B">
        <w:rPr>
          <w:sz w:val="22"/>
          <w:szCs w:val="22"/>
        </w:rPr>
        <w:fldChar w:fldCharType="separate"/>
      </w:r>
      <w:r w:rsidRPr="009E3E5B">
        <w:rPr>
          <w:noProof/>
          <w:sz w:val="22"/>
          <w:szCs w:val="22"/>
        </w:rPr>
        <w:t xml:space="preserve">LJ Conant, </w:t>
      </w:r>
      <w:r w:rsidRPr="009E3E5B">
        <w:rPr>
          <w:i/>
          <w:noProof/>
          <w:sz w:val="22"/>
          <w:szCs w:val="22"/>
        </w:rPr>
        <w:t>Justice Contained: Law and Politics in the European Union</w:t>
      </w:r>
      <w:r w:rsidRPr="009E3E5B">
        <w:rPr>
          <w:noProof/>
          <w:sz w:val="22"/>
          <w:szCs w:val="22"/>
        </w:rPr>
        <w:t xml:space="preserve"> (Cornell University Press, 2002), pp. 24-29</w:t>
      </w:r>
      <w:r w:rsidRPr="009E3E5B">
        <w:rPr>
          <w:sz w:val="22"/>
          <w:szCs w:val="22"/>
        </w:rPr>
        <w:fldChar w:fldCharType="end"/>
      </w:r>
      <w:r w:rsidRPr="009E3E5B">
        <w:rPr>
          <w:sz w:val="22"/>
          <w:szCs w:val="22"/>
        </w:rPr>
        <w:t xml:space="preserve"> and </w:t>
      </w:r>
      <w:r w:rsidRPr="009E3E5B">
        <w:rPr>
          <w:sz w:val="22"/>
          <w:szCs w:val="22"/>
        </w:rPr>
        <w:fldChar w:fldCharType="begin"/>
      </w:r>
      <w:r w:rsidRPr="009E3E5B">
        <w:rPr>
          <w:sz w:val="22"/>
          <w:szCs w:val="22"/>
        </w:rPr>
        <w:instrText xml:space="preserve"> ADDIN EN.CITE &lt;EndNote&gt;&lt;Cite&gt;&lt;Author&gt;Schmidt&lt;/Author&gt;&lt;Year&gt;2014&lt;/Year&gt;&lt;RecNum&gt;9&lt;/RecNum&gt;&lt;Suffix&gt;`, p. 778&lt;/Suffix&gt;&lt;DisplayText&gt;SK Schmidt, ‘Judicial Europeanisation: The Case of Zambrano in Ireland’, (2014) 37 (4) &lt;style face="italic"&gt;West European Politics&lt;/style&gt;, p. 778&lt;/DisplayText&gt;&lt;record&gt;&lt;rec-number&gt;9&lt;/rec-number&gt;&lt;foreign-keys&gt;&lt;key app="EN" db-id="as9pxvrtdpppr2exar7xaxv0zs0p2vfsdtsx" timestamp="1423143013"&gt;9&lt;/key&gt;&lt;/foreign-keys&gt;&lt;ref-type name="Journal Article"&gt;17&lt;/ref-type&gt;&lt;contributors&gt;&lt;authors&gt;&lt;author&gt;Schmidt, Susanne K.&lt;/author&gt;&lt;/authors&gt;&lt;/contributors&gt;&lt;titles&gt;&lt;title&gt;Judicial Europeanisation: The Case of Zambrano in Ireland&lt;/title&gt;&lt;secondary-title&gt;West European Politics&lt;/secondary-title&gt;&lt;/titles&gt;&lt;periodical&gt;&lt;full-title&gt;West European Politics&lt;/full-title&gt;&lt;/periodical&gt;&lt;pages&gt;769-785&lt;/pages&gt;&lt;volume&gt;37&lt;/volume&gt;&lt;number&gt;4&lt;/number&gt;&lt;keywords&gt;&lt;keyword&gt;Europeanisation&lt;/keyword&gt;&lt;keyword&gt;Europeanization&lt;/keyword&gt;&lt;keyword&gt;judicial europeanisation&lt;/keyword&gt;&lt;/keywords&gt;&lt;dates&gt;&lt;year&gt;2014&lt;/year&gt;&lt;pub-dates&gt;&lt;date&gt;2014/07/04&lt;/date&gt;&lt;/pub-dates&gt;&lt;/dates&gt;&lt;publisher&gt;Routledge&lt;/publisher&gt;&lt;isbn&gt;0140-2382&lt;/isbn&gt;&lt;urls&gt;&lt;related-urls&gt;&lt;url&gt;http://dx.doi.org/10.1080/01402382.2014.919775&lt;/url&gt;&lt;/related-urls&gt;&lt;/urls&gt;&lt;electronic-resource-num&gt;10.1080/01402382.2014.919775&lt;/electronic-resource-num&gt;&lt;access-date&gt;2015/02/05&lt;/access-date&gt;&lt;/record&gt;&lt;/Cite&gt;&lt;/EndNote&gt;</w:instrText>
      </w:r>
      <w:r w:rsidRPr="009E3E5B">
        <w:rPr>
          <w:sz w:val="22"/>
          <w:szCs w:val="22"/>
        </w:rPr>
        <w:fldChar w:fldCharType="separate"/>
      </w:r>
      <w:r w:rsidRPr="009E3E5B">
        <w:rPr>
          <w:noProof/>
          <w:sz w:val="22"/>
          <w:szCs w:val="22"/>
        </w:rPr>
        <w:t xml:space="preserve">SK Schmidt, ‘Judicial Europeanisation: The Case of Zambrano in Ireland’, (2014) 37 (4) </w:t>
      </w:r>
      <w:r w:rsidRPr="009E3E5B">
        <w:rPr>
          <w:i/>
          <w:noProof/>
          <w:sz w:val="22"/>
          <w:szCs w:val="22"/>
        </w:rPr>
        <w:t>West European Politics</w:t>
      </w:r>
      <w:r w:rsidRPr="009E3E5B">
        <w:rPr>
          <w:noProof/>
          <w:sz w:val="22"/>
          <w:szCs w:val="22"/>
        </w:rPr>
        <w:t>, p. 778</w:t>
      </w:r>
      <w:r w:rsidRPr="009E3E5B">
        <w:rPr>
          <w:sz w:val="22"/>
          <w:szCs w:val="22"/>
        </w:rPr>
        <w:fldChar w:fldCharType="end"/>
      </w:r>
      <w:r w:rsidRPr="009E3E5B">
        <w:rPr>
          <w:sz w:val="22"/>
          <w:szCs w:val="22"/>
        </w:rPr>
        <w:t xml:space="preserve">. </w:t>
      </w:r>
    </w:p>
  </w:footnote>
  <w:footnote w:id="39">
    <w:p w:rsidR="00491B8A" w:rsidRPr="009E3E5B" w:rsidRDefault="00491B8A" w:rsidP="00854537">
      <w:pPr>
        <w:pStyle w:val="Geenafstand"/>
        <w:rPr>
          <w:sz w:val="22"/>
          <w:szCs w:val="22"/>
          <w:lang w:val="en-US"/>
        </w:rPr>
      </w:pPr>
      <w:r w:rsidRPr="009E3E5B">
        <w:rPr>
          <w:rStyle w:val="Voetnootmarkering"/>
          <w:sz w:val="22"/>
          <w:szCs w:val="22"/>
        </w:rPr>
        <w:footnoteRef/>
      </w:r>
      <w:r w:rsidRPr="009E3E5B">
        <w:rPr>
          <w:sz w:val="22"/>
          <w:szCs w:val="22"/>
          <w:lang w:val="en-US"/>
        </w:rPr>
        <w:t xml:space="preserve"> </w:t>
      </w:r>
      <w:r w:rsidRPr="009E3E5B">
        <w:rPr>
          <w:sz w:val="22"/>
          <w:szCs w:val="22"/>
        </w:rPr>
        <w:fldChar w:fldCharType="begin"/>
      </w:r>
      <w:r w:rsidRPr="009E3E5B">
        <w:rPr>
          <w:sz w:val="22"/>
          <w:szCs w:val="22"/>
          <w:lang w:val="en-US"/>
        </w:rPr>
        <w:instrText xml:space="preserve"> ADDIN EN.CITE &lt;EndNote&gt;&lt;Cite&gt;&lt;Author&gt;Conant&lt;/Author&gt;&lt;Year&gt;2002&lt;/Year&gt;&lt;RecNum&gt;24&lt;/RecNum&gt;&lt;Suffix&gt;`, pp. 200-207&lt;/Suffix&gt;&lt;DisplayText&gt;LJ Conant, , pp. 200-207&lt;/DisplayText&gt;&lt;record&gt;&lt;rec-number&gt;24&lt;/rec-number&gt;&lt;foreign-keys&gt;&lt;key app="EN" db-id="as9pxvrtdpppr2exar7xaxv0zs0p2vfsdtsx" timestamp="1423147284"&gt;24&lt;/key&gt;&lt;/foreign-keys&gt;&lt;ref-type name="Book"&gt;6&lt;/ref-type&gt;&lt;contributors&gt;&lt;authors&gt;&lt;author&gt;Conant, L.J.&lt;/author&gt;&lt;/authors&gt;&lt;/contributors&gt;&lt;titles&gt;&lt;title&gt;Justice Contained: Law and Politics in the European Union&lt;/title&gt;&lt;/titles&gt;&lt;dates&gt;&lt;year&gt;2002&lt;/year&gt;&lt;/dates&gt;&lt;publisher&gt;Cornell University Press&lt;/publisher&gt;&lt;isbn&gt;9780801439100&lt;/isbn&gt;&lt;urls&gt;&lt;related-urls&gt;&lt;url&gt;http://books.google.nl/books?id=wtwFzpg9PN4C&lt;/url&gt;&lt;/related-urls&gt;&lt;/urls&gt;&lt;/record&gt;&lt;/Cite&gt;&lt;/EndNote&gt;</w:instrText>
      </w:r>
      <w:r w:rsidRPr="009E3E5B">
        <w:rPr>
          <w:sz w:val="22"/>
          <w:szCs w:val="22"/>
        </w:rPr>
        <w:fldChar w:fldCharType="separate"/>
      </w:r>
      <w:r w:rsidRPr="009E3E5B">
        <w:rPr>
          <w:noProof/>
          <w:sz w:val="22"/>
          <w:szCs w:val="22"/>
          <w:lang w:val="en-US"/>
        </w:rPr>
        <w:t>LJ Conant, , pp. 200-207</w:t>
      </w:r>
      <w:r w:rsidRPr="009E3E5B">
        <w:rPr>
          <w:sz w:val="22"/>
          <w:szCs w:val="22"/>
        </w:rPr>
        <w:fldChar w:fldCharType="end"/>
      </w:r>
      <w:r w:rsidRPr="009E3E5B">
        <w:rPr>
          <w:sz w:val="22"/>
          <w:szCs w:val="22"/>
          <w:lang w:val="en-US"/>
        </w:rPr>
        <w:t>.</w:t>
      </w:r>
    </w:p>
  </w:footnote>
  <w:footnote w:id="40">
    <w:p w:rsidR="00491B8A" w:rsidRPr="00AB3B7D" w:rsidRDefault="00491B8A">
      <w:pPr>
        <w:pStyle w:val="Voetnoottekst"/>
      </w:pPr>
      <w:r>
        <w:rPr>
          <w:rStyle w:val="Voetnootmarkering"/>
        </w:rPr>
        <w:footnoteRef/>
      </w:r>
      <w:r>
        <w:t xml:space="preserve"> Heindlmayer and Blauberger, footnote 9 above. </w:t>
      </w:r>
    </w:p>
  </w:footnote>
  <w:footnote w:id="41">
    <w:p w:rsidR="00491B8A" w:rsidRPr="00EA39A6" w:rsidRDefault="00491B8A">
      <w:pPr>
        <w:pStyle w:val="Voetnoottekst"/>
      </w:pPr>
      <w:r>
        <w:rPr>
          <w:rStyle w:val="Voetnootmarkering"/>
        </w:rPr>
        <w:footnoteRef/>
      </w:r>
      <w:r>
        <w:t xml:space="preserve"> </w:t>
      </w:r>
    </w:p>
  </w:footnote>
  <w:footnote w:id="42">
    <w:p w:rsidR="00491B8A" w:rsidRPr="009E3E5B" w:rsidRDefault="00491B8A" w:rsidP="00766B46">
      <w:pPr>
        <w:pStyle w:val="Geenafstand"/>
        <w:rPr>
          <w:sz w:val="22"/>
          <w:szCs w:val="22"/>
          <w:lang w:val="en-US"/>
        </w:rPr>
      </w:pPr>
      <w:r w:rsidRPr="009E3E5B">
        <w:rPr>
          <w:rStyle w:val="Voetnootmarkering"/>
          <w:sz w:val="22"/>
          <w:szCs w:val="22"/>
        </w:rPr>
        <w:footnoteRef/>
      </w:r>
      <w:r w:rsidRPr="009E3E5B">
        <w:rPr>
          <w:sz w:val="22"/>
          <w:szCs w:val="22"/>
          <w:lang w:val="en-US"/>
        </w:rPr>
        <w:t xml:space="preserve"> </w:t>
      </w:r>
      <w:r w:rsidRPr="009E3E5B">
        <w:rPr>
          <w:sz w:val="22"/>
          <w:szCs w:val="22"/>
          <w:lang w:val="nl-NL"/>
        </w:rPr>
        <w:fldChar w:fldCharType="begin"/>
      </w:r>
      <w:r w:rsidRPr="009E3E5B">
        <w:rPr>
          <w:sz w:val="22"/>
          <w:szCs w:val="22"/>
          <w:lang w:val="en-US"/>
        </w:rPr>
        <w:instrText xml:space="preserve"> ADDIN EN.CITE &lt;EndNote&gt;&lt;Cite&gt;&lt;Author&gt;Blauberger&lt;/Author&gt;&lt;Year&gt;2014&lt;/Year&gt;&lt;RecNum&gt;25&lt;/RecNum&gt;&lt;DisplayText&gt;M Blauberger, ‘National Responses to European Court Jurisprudence’, (2014) 37 (3) &lt;style face="italic"&gt;West European Politics&lt;/style&gt; &lt;/DisplayText&gt;&lt;record&gt;&lt;rec-number&gt;25&lt;/rec-number&gt;&lt;foreign-keys&gt;&lt;key app="EN" db-id="as9pxvrtdpppr2exar7xaxv0zs0p2vfsdtsx" timestamp="1423147545"&gt;25&lt;/key&gt;&lt;key app="ENWeb" db-id=""&gt;0&lt;/key&gt;&lt;/foreign-keys&gt;&lt;ref-type name="Journal Article"&gt;17&lt;/ref-type&gt;&lt;contributors&gt;&lt;authors&gt;&lt;author&gt;Blauberger, Michael&lt;/author&gt;&lt;/authors&gt;&lt;/contributors&gt;&lt;titles&gt;&lt;title&gt;National Responses to European Court Jurisprudence&lt;/title&gt;&lt;secondary-title&gt;West European Politics&lt;/secondary-title&gt;&lt;/titles&gt;&lt;periodical&gt;&lt;full-title&gt;West European Politics&lt;/full-title&gt;&lt;/periodical&gt;&lt;pages&gt;457-474&lt;/pages&gt;&lt;volume&gt;37&lt;/volume&gt;&lt;number&gt;3&lt;/number&gt;&lt;dates&gt;&lt;year&gt;2014&lt;/year&gt;&lt;/dates&gt;&lt;isbn&gt;0140-2382&amp;#xD;1743-9655&lt;/isbn&gt;&lt;urls&gt;&lt;/urls&gt;&lt;electronic-resource-num&gt;10.1080/01402382.2013.830464&lt;/electronic-resource-num&gt;&lt;/record&gt;&lt;/Cite&gt;&lt;/EndNote&gt;</w:instrText>
      </w:r>
      <w:r w:rsidRPr="009E3E5B">
        <w:rPr>
          <w:sz w:val="22"/>
          <w:szCs w:val="22"/>
          <w:lang w:val="nl-NL"/>
        </w:rPr>
        <w:fldChar w:fldCharType="separate"/>
      </w:r>
      <w:r w:rsidRPr="009E3E5B">
        <w:rPr>
          <w:noProof/>
          <w:sz w:val="22"/>
          <w:szCs w:val="22"/>
          <w:lang w:val="en-US"/>
        </w:rPr>
        <w:t xml:space="preserve">M Blauberger, ‘National Responses to European Court Jurisprudence’, (2014) 37 (3) </w:t>
      </w:r>
      <w:r w:rsidRPr="009E3E5B">
        <w:rPr>
          <w:i/>
          <w:noProof/>
          <w:sz w:val="22"/>
          <w:szCs w:val="22"/>
          <w:lang w:val="en-US"/>
        </w:rPr>
        <w:t>West European Politics</w:t>
      </w:r>
      <w:r w:rsidRPr="009E3E5B">
        <w:rPr>
          <w:noProof/>
          <w:sz w:val="22"/>
          <w:szCs w:val="22"/>
          <w:lang w:val="en-US"/>
        </w:rPr>
        <w:t xml:space="preserve"> </w:t>
      </w:r>
      <w:r w:rsidRPr="009E3E5B">
        <w:rPr>
          <w:sz w:val="22"/>
          <w:szCs w:val="22"/>
          <w:lang w:val="nl-NL"/>
        </w:rPr>
        <w:fldChar w:fldCharType="end"/>
      </w:r>
    </w:p>
  </w:footnote>
  <w:footnote w:id="43">
    <w:p w:rsidR="00491B8A" w:rsidRPr="009E3E5B" w:rsidRDefault="00491B8A" w:rsidP="00766B46">
      <w:pPr>
        <w:pStyle w:val="Geenafstand"/>
        <w:rPr>
          <w:sz w:val="22"/>
          <w:szCs w:val="22"/>
          <w:lang w:val="en-US"/>
        </w:rPr>
      </w:pPr>
      <w:r w:rsidRPr="009E3E5B">
        <w:rPr>
          <w:rStyle w:val="Voetnootmarkering"/>
          <w:sz w:val="22"/>
          <w:szCs w:val="22"/>
        </w:rPr>
        <w:footnoteRef/>
      </w:r>
      <w:r w:rsidRPr="009E3E5B">
        <w:rPr>
          <w:sz w:val="22"/>
          <w:szCs w:val="22"/>
        </w:rPr>
        <w:t xml:space="preserve"> See </w:t>
      </w:r>
      <w:r w:rsidRPr="009E3E5B">
        <w:rPr>
          <w:sz w:val="22"/>
          <w:szCs w:val="22"/>
        </w:rPr>
        <w:fldChar w:fldCharType="begin">
          <w:fldData xml:space="preserve">PEVuZE5vdGU+PENpdGU+PEF1dGhvcj5TY2htaWR0PC9BdXRob3I+PFllYXI+MjAwODwvWWVhcj48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</w:fldData>
        </w:fldChar>
      </w:r>
      <w:r w:rsidRPr="009E3E5B">
        <w:rPr>
          <w:sz w:val="22"/>
          <w:szCs w:val="22"/>
        </w:rPr>
        <w:instrText xml:space="preserve"> ADDIN EN.CITE </w:instrText>
      </w:r>
      <w:r w:rsidRPr="009E3E5B">
        <w:rPr>
          <w:sz w:val="22"/>
          <w:szCs w:val="22"/>
        </w:rPr>
        <w:fldChar w:fldCharType="begin">
          <w:fldData xml:space="preserve">PEVuZE5vdGU+PENpdGU+PEF1dGhvcj5TY2htaWR0PC9BdXRob3I+PFllYXI+MjAwODwvWWVhcj48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</w:fldData>
        </w:fldChar>
      </w:r>
      <w:r w:rsidRPr="009E3E5B">
        <w:rPr>
          <w:sz w:val="22"/>
          <w:szCs w:val="22"/>
        </w:rPr>
        <w:instrText xml:space="preserve"> ADDIN EN.CITE.DATA </w:instrText>
      </w:r>
      <w:r w:rsidRPr="009E3E5B">
        <w:rPr>
          <w:sz w:val="22"/>
          <w:szCs w:val="22"/>
        </w:rPr>
      </w:r>
      <w:r w:rsidRPr="009E3E5B">
        <w:rPr>
          <w:sz w:val="22"/>
          <w:szCs w:val="22"/>
        </w:rPr>
        <w:fldChar w:fldCharType="end"/>
      </w:r>
      <w:r w:rsidRPr="009E3E5B">
        <w:rPr>
          <w:sz w:val="22"/>
          <w:szCs w:val="22"/>
        </w:rPr>
      </w:r>
      <w:r w:rsidRPr="009E3E5B">
        <w:rPr>
          <w:sz w:val="22"/>
          <w:szCs w:val="22"/>
        </w:rPr>
        <w:fldChar w:fldCharType="separate"/>
      </w:r>
      <w:r w:rsidRPr="009E3E5B">
        <w:rPr>
          <w:noProof/>
          <w:sz w:val="22"/>
          <w:szCs w:val="22"/>
        </w:rPr>
        <w:t xml:space="preserve">SK Schmidt, ‘Beyond Compliance: The Europeanization of Member States through Negative Integration and Legal Uncertainty’, (2008) 10 (3) </w:t>
      </w:r>
      <w:r w:rsidRPr="009E3E5B">
        <w:rPr>
          <w:i/>
          <w:noProof/>
          <w:sz w:val="22"/>
          <w:szCs w:val="22"/>
        </w:rPr>
        <w:t>Journal of Comparative Policy Analysis: Research and Practice</w:t>
      </w:r>
      <w:r w:rsidRPr="009E3E5B">
        <w:rPr>
          <w:noProof/>
          <w:sz w:val="22"/>
          <w:szCs w:val="22"/>
        </w:rPr>
        <w:t xml:space="preserve"> ; M Blauberger, ‘With Luxembourg in Mind… the Remaking of National Policies in the Face of Ecj Jurisprudence’, (2012) 19 (1) </w:t>
      </w:r>
      <w:r w:rsidRPr="009E3E5B">
        <w:rPr>
          <w:i/>
          <w:noProof/>
          <w:sz w:val="22"/>
          <w:szCs w:val="22"/>
        </w:rPr>
        <w:t>Journal of European Public Policy</w:t>
      </w:r>
      <w:r w:rsidRPr="009E3E5B">
        <w:rPr>
          <w:noProof/>
          <w:sz w:val="22"/>
          <w:szCs w:val="22"/>
        </w:rPr>
        <w:t xml:space="preserve"> 109, p 113</w:t>
      </w:r>
      <w:r w:rsidRPr="009E3E5B">
        <w:rPr>
          <w:sz w:val="22"/>
          <w:szCs w:val="22"/>
        </w:rPr>
        <w:fldChar w:fldCharType="end"/>
      </w:r>
      <w:r w:rsidRPr="009E3E5B">
        <w:rPr>
          <w:sz w:val="22"/>
          <w:szCs w:val="22"/>
        </w:rPr>
        <w:t xml:space="preserve">. </w:t>
      </w:r>
    </w:p>
  </w:footnote>
  <w:footnote w:id="44">
    <w:p w:rsidR="00491B8A" w:rsidRPr="003D62FE" w:rsidRDefault="00491B8A">
      <w:pPr>
        <w:pStyle w:val="Voetnoottekst"/>
      </w:pPr>
      <w:r>
        <w:rPr>
          <w:rStyle w:val="Voetnootmarkering"/>
        </w:rPr>
        <w:footnoteRef/>
      </w:r>
      <w:r>
        <w:t xml:space="preserve"> Hacker, Pierson and Thelen, ‘Drift and Conversion: Hidden Faces of Institutional Change’, Paper prepared for the Annual Meetings of the American Political Science Association, Chicago, August 2013. </w:t>
      </w:r>
    </w:p>
  </w:footnote>
  <w:footnote w:id="45">
    <w:p w:rsidR="00491B8A" w:rsidRPr="00F81AEE" w:rsidRDefault="00491B8A">
      <w:pPr>
        <w:pStyle w:val="Voetnoottekst"/>
      </w:pPr>
      <w:r>
        <w:rPr>
          <w:rStyle w:val="Voetnootmarkering"/>
        </w:rPr>
        <w:footnoteRef/>
      </w:r>
      <w:r>
        <w:t xml:space="preserve"> Gsir, Lafleur et al, 2016. </w:t>
      </w:r>
    </w:p>
  </w:footnote>
  <w:footnote w:id="46">
    <w:p w:rsidR="00491B8A" w:rsidRPr="00BC65F9" w:rsidRDefault="00491B8A">
      <w:pPr>
        <w:pStyle w:val="Voetnoottekst"/>
      </w:pPr>
      <w:r>
        <w:rPr>
          <w:rStyle w:val="Voetnootmarkering"/>
        </w:rPr>
        <w:footnoteRef/>
      </w:r>
      <w:r>
        <w:t xml:space="preserve"> Although they might be able to exclude Union citizens from social benefits on the basis of explicit exceptions to the principle of equal treatment (see section 2.A.).</w:t>
      </w:r>
    </w:p>
  </w:footnote>
  <w:footnote w:id="47">
    <w:p w:rsidR="00491B8A" w:rsidRPr="009E3E5B" w:rsidRDefault="00491B8A" w:rsidP="009E3E5B">
      <w:pPr>
        <w:pStyle w:val="Geenafstand"/>
        <w:rPr>
          <w:sz w:val="22"/>
          <w:szCs w:val="22"/>
        </w:rPr>
      </w:pPr>
      <w:r w:rsidRPr="009E3E5B">
        <w:rPr>
          <w:rStyle w:val="Voetnootmarkering"/>
          <w:sz w:val="22"/>
          <w:szCs w:val="22"/>
        </w:rPr>
        <w:footnoteRef/>
      </w:r>
      <w:r w:rsidRPr="009E3E5B">
        <w:rPr>
          <w:sz w:val="22"/>
          <w:szCs w:val="22"/>
        </w:rPr>
        <w:t xml:space="preserve"> By analogy, </w:t>
      </w:r>
      <w:r w:rsidRPr="009E3E5B">
        <w:rPr>
          <w:sz w:val="22"/>
          <w:szCs w:val="22"/>
        </w:rPr>
        <w:fldChar w:fldCharType="begin"/>
      </w:r>
      <w:r w:rsidRPr="009E3E5B">
        <w:rPr>
          <w:sz w:val="22"/>
          <w:szCs w:val="22"/>
        </w:rPr>
        <w:instrText xml:space="preserve"> ADDIN EN.CITE &lt;EndNote&gt;&lt;Cite&gt;&lt;Author&gt;Esping-Andersen&lt;/Author&gt;&lt;Year&gt;1990&lt;/Year&gt;&lt;RecNum&gt;71&lt;/RecNum&gt;&lt;DisplayText&gt;G Esping-Andersen, &lt;style face="italic"&gt;The Three Worlds of Welfare Capitalism&lt;/style&gt; (John Wiley &amp;amp; Sons, 1990)&lt;/DisplayText&gt;&lt;record&gt;&lt;rec-number&gt;71&lt;/rec-number&gt;&lt;foreign-keys&gt;&lt;key app="EN" db-id="as9pxvrtdpppr2exar7xaxv0zs0p2vfsdtsx" timestamp="1426074758"&gt;71&lt;/key&gt;&lt;/foreign-keys&gt;&lt;ref-type name="Book"&gt;6&lt;/ref-type&gt;&lt;contributors&gt;&lt;authors&gt;&lt;author&gt;Esping-Andersen, Gosta&lt;/author&gt;&lt;/authors&gt;&lt;/contributors&gt;&lt;titles&gt;&lt;title&gt;The three worlds of welfare capitalism&lt;/title&gt;&lt;/titles&gt;&lt;dates&gt;&lt;year&gt;1990&lt;/year&gt;&lt;/dates&gt;&lt;publisher&gt;John Wiley &amp;amp; Sons&lt;/publisher&gt;&lt;urls&gt;&lt;/urls&gt;&lt;/record&gt;&lt;/Cite&gt;&lt;/EndNote&gt;</w:instrText>
      </w:r>
      <w:r w:rsidRPr="009E3E5B">
        <w:rPr>
          <w:sz w:val="22"/>
          <w:szCs w:val="22"/>
        </w:rPr>
        <w:fldChar w:fldCharType="separate"/>
      </w:r>
      <w:r w:rsidRPr="009E3E5B">
        <w:rPr>
          <w:noProof/>
          <w:sz w:val="22"/>
          <w:szCs w:val="22"/>
        </w:rPr>
        <w:t xml:space="preserve">G Esping-Andersen, </w:t>
      </w:r>
      <w:r w:rsidRPr="009E3E5B">
        <w:rPr>
          <w:i/>
          <w:noProof/>
          <w:sz w:val="22"/>
          <w:szCs w:val="22"/>
        </w:rPr>
        <w:t>The Three Worlds of Welfare Capitalism</w:t>
      </w:r>
      <w:r w:rsidRPr="009E3E5B">
        <w:rPr>
          <w:noProof/>
          <w:sz w:val="22"/>
          <w:szCs w:val="22"/>
        </w:rPr>
        <w:t xml:space="preserve"> (John Wiley &amp; Sons, 1990)</w:t>
      </w:r>
      <w:r w:rsidRPr="009E3E5B">
        <w:rPr>
          <w:sz w:val="22"/>
          <w:szCs w:val="22"/>
        </w:rPr>
        <w:fldChar w:fldCharType="end"/>
      </w:r>
    </w:p>
  </w:footnote>
  <w:footnote w:id="48">
    <w:p w:rsidR="00491B8A" w:rsidRPr="009E3E5B" w:rsidRDefault="00491B8A" w:rsidP="009E3E5B">
      <w:pPr>
        <w:pStyle w:val="Geenafstand"/>
        <w:rPr>
          <w:sz w:val="22"/>
          <w:szCs w:val="22"/>
          <w:lang w:val="en-US"/>
        </w:rPr>
      </w:pPr>
      <w:r w:rsidRPr="009E3E5B">
        <w:rPr>
          <w:rStyle w:val="Voetnootmarkering"/>
          <w:sz w:val="22"/>
          <w:szCs w:val="22"/>
        </w:rPr>
        <w:footnoteRef/>
      </w:r>
      <w:r w:rsidRPr="009E3E5B">
        <w:rPr>
          <w:sz w:val="22"/>
          <w:szCs w:val="22"/>
        </w:rPr>
        <w:t xml:space="preserve"> </w:t>
      </w:r>
      <w:r w:rsidRPr="009E3E5B">
        <w:rPr>
          <w:sz w:val="22"/>
          <w:szCs w:val="22"/>
          <w:lang w:val="en-US"/>
        </w:rPr>
        <w:t xml:space="preserve">I thank Clemens Kaupa for suggesting this lovely phrase. </w:t>
      </w:r>
    </w:p>
  </w:footnote>
  <w:footnote w:id="49">
    <w:p w:rsidR="00491B8A" w:rsidRPr="009E3E5B" w:rsidRDefault="00491B8A" w:rsidP="009E3E5B">
      <w:pPr>
        <w:pStyle w:val="Geenafstand"/>
        <w:rPr>
          <w:sz w:val="22"/>
          <w:szCs w:val="22"/>
        </w:rPr>
      </w:pPr>
      <w:r w:rsidRPr="009E3E5B">
        <w:rPr>
          <w:rStyle w:val="Voetnootmarkering"/>
          <w:sz w:val="22"/>
          <w:szCs w:val="22"/>
        </w:rPr>
        <w:footnoteRef/>
      </w:r>
      <w:r w:rsidRPr="009E3E5B">
        <w:rPr>
          <w:sz w:val="22"/>
          <w:szCs w:val="22"/>
        </w:rPr>
        <w:t xml:space="preserve"> As laid down in article 8 (2) of the Citizens’ Directive</w:t>
      </w:r>
    </w:p>
  </w:footnote>
  <w:footnote w:id="50">
    <w:p w:rsidR="00491B8A" w:rsidRPr="009E3E5B" w:rsidRDefault="00491B8A" w:rsidP="00582AE5">
      <w:pPr>
        <w:pStyle w:val="Geenafstand"/>
        <w:rPr>
          <w:sz w:val="22"/>
          <w:szCs w:val="22"/>
        </w:rPr>
      </w:pPr>
      <w:r w:rsidRPr="009E3E5B">
        <w:rPr>
          <w:rStyle w:val="Voetnootmarkering"/>
          <w:sz w:val="22"/>
          <w:szCs w:val="22"/>
        </w:rPr>
        <w:footnoteRef/>
      </w:r>
      <w:r w:rsidRPr="009E3E5B">
        <w:rPr>
          <w:sz w:val="22"/>
          <w:szCs w:val="22"/>
        </w:rPr>
        <w:t xml:space="preserve"> These characteristics of the modern bureaucracy were originally formulated by </w:t>
      </w:r>
      <w:r w:rsidRPr="009E3E5B">
        <w:rPr>
          <w:sz w:val="22"/>
          <w:szCs w:val="22"/>
        </w:rPr>
        <w:fldChar w:fldCharType="begin"/>
      </w:r>
      <w:r w:rsidRPr="009E3E5B">
        <w:rPr>
          <w:sz w:val="22"/>
          <w:szCs w:val="22"/>
        </w:rPr>
        <w:instrText xml:space="preserve"> ADDIN EN.CITE &lt;EndNote&gt;&lt;Cite&gt;&lt;Author&gt;Weber&lt;/Author&gt;&lt;Year&gt;1978&lt;/Year&gt;&lt;RecNum&gt;243&lt;/RecNum&gt;&lt;Pages&gt;956 ff&lt;/Pages&gt;&lt;DisplayText&gt;M Weber, &lt;style face="italic"&gt;Economy and Society&lt;/style&gt; (University of California Press, 1978), p 956 ff&lt;/DisplayText&gt;&lt;record&gt;&lt;rec-number&gt;243&lt;/rec-number&gt;&lt;foreign-keys&gt;&lt;key app="EN" db-id="as9pxvrtdpppr2exar7xaxv0zs0p2vfsdtsx" timestamp="1487686973"&gt;243&lt;/key&gt;&lt;/foreign-keys&gt;&lt;ref-type name="Book"&gt;6&lt;/ref-type&gt;&lt;contributors&gt;&lt;authors&gt;&lt;author&gt;Weber, Max&lt;/author&gt;&lt;/authors&gt;&lt;/contributors&gt;&lt;titles&gt;&lt;title&gt;Economy and Society&lt;/title&gt;&lt;/titles&gt;&lt;dates&gt;&lt;year&gt;1978&lt;/year&gt;&lt;/dates&gt;&lt;pub-location&gt;Berkeley&lt;/pub-location&gt;&lt;publisher&gt;University of California Press&lt;/publisher&gt;&lt;urls&gt;&lt;/urls&gt;&lt;/record&gt;&lt;/Cite&gt;&lt;/EndNote&gt;</w:instrText>
      </w:r>
      <w:r w:rsidRPr="009E3E5B">
        <w:rPr>
          <w:sz w:val="22"/>
          <w:szCs w:val="22"/>
        </w:rPr>
        <w:fldChar w:fldCharType="separate"/>
      </w:r>
      <w:r w:rsidRPr="009E3E5B">
        <w:rPr>
          <w:noProof/>
          <w:sz w:val="22"/>
          <w:szCs w:val="22"/>
        </w:rPr>
        <w:t xml:space="preserve">M Weber, </w:t>
      </w:r>
      <w:r w:rsidRPr="009E3E5B">
        <w:rPr>
          <w:i/>
          <w:noProof/>
          <w:sz w:val="22"/>
          <w:szCs w:val="22"/>
        </w:rPr>
        <w:t>Economy and Society</w:t>
      </w:r>
      <w:r w:rsidRPr="009E3E5B">
        <w:rPr>
          <w:noProof/>
          <w:sz w:val="22"/>
          <w:szCs w:val="22"/>
        </w:rPr>
        <w:t xml:space="preserve"> (University of California Press, 1978), p 956 ff</w:t>
      </w:r>
      <w:r w:rsidRPr="009E3E5B">
        <w:rPr>
          <w:sz w:val="22"/>
          <w:szCs w:val="22"/>
        </w:rPr>
        <w:fldChar w:fldCharType="end"/>
      </w:r>
    </w:p>
  </w:footnote>
  <w:footnote w:id="51">
    <w:p w:rsidR="00491B8A" w:rsidRPr="009E3E5B" w:rsidRDefault="00491B8A" w:rsidP="00940F86">
      <w:pPr>
        <w:pStyle w:val="Geenafstand"/>
        <w:rPr>
          <w:sz w:val="22"/>
          <w:szCs w:val="22"/>
        </w:rPr>
      </w:pPr>
      <w:r w:rsidRPr="009E3E5B">
        <w:rPr>
          <w:rStyle w:val="Voetnootmarkering"/>
          <w:sz w:val="22"/>
          <w:szCs w:val="22"/>
        </w:rPr>
        <w:footnoteRef/>
      </w:r>
      <w:r w:rsidRPr="009E3E5B">
        <w:rPr>
          <w:sz w:val="22"/>
          <w:szCs w:val="22"/>
        </w:rPr>
        <w:t xml:space="preserve"> For the ‘conflict of form and substance’, see </w:t>
      </w:r>
      <w:r w:rsidRPr="009E3E5B">
        <w:rPr>
          <w:sz w:val="22"/>
          <w:szCs w:val="22"/>
        </w:rPr>
        <w:fldChar w:fldCharType="begin"/>
      </w:r>
      <w:r w:rsidRPr="009E3E5B">
        <w:rPr>
          <w:sz w:val="22"/>
          <w:szCs w:val="22"/>
        </w:rPr>
        <w:instrText xml:space="preserve"> ADDIN EN.CITE &lt;EndNote&gt;&lt;Cite&gt;&lt;Author&gt;Davies&lt;/Author&gt;&lt;Year&gt;2003&lt;/Year&gt;&lt;RecNum&gt;102&lt;/RecNum&gt;&lt;DisplayText&gt;G Davies&lt;/DisplayText&gt;&lt;record&gt;&lt;rec-number&gt;102&lt;/rec-number&gt;&lt;foreign-keys&gt;&lt;key app="EN" db-id="as9pxvrtdpppr2exar7xaxv0zs0p2vfsdtsx" timestamp="1446483699"&gt;102&lt;/key&gt;&lt;/foreign-keys&gt;&lt;ref-type name="Journal Article"&gt;17&lt;/ref-type&gt;&lt;contributors&gt;&lt;authors&gt;&lt;author&gt;Davies, Gareth&lt;/author&gt;&lt;/authors&gt;&lt;/contributors&gt;&lt;titles&gt;&lt;title&gt;Bureaucracy and Free Movement: A Conflict of Form and Substance&lt;/title&gt;&lt;secondary-title&gt;Nederlands Tijdschrift voor Europees Recht&lt;/secondary-title&gt;&lt;/titles&gt;&lt;periodical&gt;&lt;full-title&gt;Nederlands Tijdschrift voor Europees Recht&lt;/full-title&gt;&lt;/periodical&gt;&lt;pages&gt;81-89&lt;/pages&gt;&lt;volume&gt;4&lt;/volume&gt;&lt;section&gt;81&lt;/section&gt;&lt;dates&gt;&lt;year&gt;2003&lt;/year&gt;&lt;/dates&gt;&lt;urls&gt;&lt;/urls&gt;&lt;/record&gt;&lt;/Cite&gt;&lt;/EndNote&gt;</w:instrText>
      </w:r>
      <w:r w:rsidRPr="009E3E5B">
        <w:rPr>
          <w:sz w:val="22"/>
          <w:szCs w:val="22"/>
        </w:rPr>
        <w:fldChar w:fldCharType="separate"/>
      </w:r>
      <w:r w:rsidRPr="009E3E5B">
        <w:rPr>
          <w:noProof/>
          <w:sz w:val="22"/>
          <w:szCs w:val="22"/>
        </w:rPr>
        <w:t>G Davies</w:t>
      </w:r>
      <w:r w:rsidRPr="009E3E5B">
        <w:rPr>
          <w:sz w:val="22"/>
          <w:szCs w:val="22"/>
        </w:rPr>
        <w:fldChar w:fldCharType="end"/>
      </w:r>
      <w:r w:rsidRPr="009E3E5B">
        <w:rPr>
          <w:sz w:val="22"/>
          <w:szCs w:val="22"/>
        </w:rPr>
        <w:t xml:space="preserve"> footnote </w:t>
      </w:r>
      <w:r w:rsidRPr="009E3E5B">
        <w:rPr>
          <w:sz w:val="22"/>
          <w:szCs w:val="22"/>
        </w:rPr>
        <w:fldChar w:fldCharType="begin"/>
      </w:r>
      <w:r w:rsidRPr="009E3E5B">
        <w:rPr>
          <w:sz w:val="22"/>
          <w:szCs w:val="22"/>
        </w:rPr>
        <w:instrText xml:space="preserve"> NOTEREF _Ref475451588 \h  \* MERGEFORMAT </w:instrText>
      </w:r>
      <w:r w:rsidRPr="009E3E5B">
        <w:rPr>
          <w:sz w:val="22"/>
          <w:szCs w:val="22"/>
        </w:rPr>
      </w:r>
      <w:r w:rsidRPr="009E3E5B">
        <w:rPr>
          <w:sz w:val="22"/>
          <w:szCs w:val="22"/>
        </w:rPr>
        <w:fldChar w:fldCharType="separate"/>
      </w:r>
      <w:r>
        <w:rPr>
          <w:sz w:val="22"/>
          <w:szCs w:val="22"/>
        </w:rPr>
        <w:t>3</w:t>
      </w:r>
      <w:r w:rsidRPr="009E3E5B">
        <w:rPr>
          <w:sz w:val="22"/>
          <w:szCs w:val="22"/>
        </w:rPr>
        <w:fldChar w:fldCharType="end"/>
      </w:r>
      <w:r w:rsidRPr="009E3E5B">
        <w:rPr>
          <w:sz w:val="22"/>
          <w:szCs w:val="22"/>
        </w:rPr>
        <w:t xml:space="preserve"> above. </w:t>
      </w:r>
    </w:p>
  </w:footnote>
  <w:footnote w:id="52">
    <w:p w:rsidR="00491B8A" w:rsidRPr="009E3E5B" w:rsidRDefault="00491B8A" w:rsidP="00940F86">
      <w:pPr>
        <w:pStyle w:val="Geenafstand"/>
        <w:rPr>
          <w:sz w:val="22"/>
          <w:szCs w:val="22"/>
        </w:rPr>
      </w:pPr>
      <w:r w:rsidRPr="009E3E5B">
        <w:rPr>
          <w:rStyle w:val="Voetnootmarkering"/>
          <w:sz w:val="22"/>
          <w:szCs w:val="22"/>
        </w:rPr>
        <w:footnoteRef/>
      </w:r>
      <w:r w:rsidRPr="009E3E5B">
        <w:rPr>
          <w:sz w:val="22"/>
          <w:szCs w:val="22"/>
        </w:rPr>
        <w:t xml:space="preserve"> An interesting account on moral distancing in Kakfa’s literature is provided by </w:t>
      </w:r>
      <w:r w:rsidRPr="009E3E5B">
        <w:rPr>
          <w:sz w:val="22"/>
          <w:szCs w:val="22"/>
        </w:rPr>
        <w:fldChar w:fldCharType="begin"/>
      </w:r>
      <w:r w:rsidRPr="009E3E5B">
        <w:rPr>
          <w:sz w:val="22"/>
          <w:szCs w:val="22"/>
        </w:rPr>
        <w:instrText xml:space="preserve"> ADDIN EN.CITE &lt;EndNote&gt;&lt;Cite&gt;&lt;Author&gt;Huber&lt;/Author&gt;&lt;Year&gt;2013&lt;/Year&gt;&lt;RecNum&gt;244&lt;/RecNum&gt;&lt;DisplayText&gt;C Huber and I Munro, ‘“Moral Distance” in Organizations: An Inquiry into Ethical Violence in the Works of Kafka’, (2013) 124 (2) &lt;style face="italic"&gt;Journal of Business Ethics&lt;/style&gt; &lt;/DisplayText&gt;&lt;record&gt;&lt;rec-number&gt;244&lt;/rec-number&gt;&lt;foreign-keys&gt;&lt;key app="EN" db-id="as9pxvrtdpppr2exar7xaxv0zs0p2vfsdtsx" timestamp="1487687294"&gt;244&lt;/key&gt;&lt;/foreign-keys&gt;&lt;ref-type name="Journal Article"&gt;17&lt;/ref-type&gt;&lt;contributors&gt;&lt;authors&gt;&lt;author&gt;Huber, Christian&lt;/author&gt;&lt;author&gt;Munro, Iain&lt;/author&gt;&lt;/authors&gt;&lt;/contributors&gt;&lt;titles&gt;&lt;title&gt;“Moral Distance” in Organizations: An Inquiry into Ethical Violence in the Works of Kafka&lt;/title&gt;&lt;secondary-title&gt;Journal of Business Ethics&lt;/secondary-title&gt;&lt;/titles&gt;&lt;periodical&gt;&lt;full-title&gt;Journal of Business Ethics&lt;/full-title&gt;&lt;/periodical&gt;&lt;pages&gt;1-11&lt;/pages&gt;&lt;volume&gt;124&lt;/volume&gt;&lt;number&gt;2&lt;/number&gt;&lt;dates&gt;&lt;year&gt;2013&lt;/year&gt;&lt;/dates&gt;&lt;urls&gt;&lt;/urls&gt;&lt;/record&gt;&lt;/Cite&gt;&lt;/EndNote&gt;</w:instrText>
      </w:r>
      <w:r w:rsidRPr="009E3E5B">
        <w:rPr>
          <w:sz w:val="22"/>
          <w:szCs w:val="22"/>
        </w:rPr>
        <w:fldChar w:fldCharType="separate"/>
      </w:r>
      <w:r w:rsidRPr="009E3E5B">
        <w:rPr>
          <w:noProof/>
          <w:sz w:val="22"/>
          <w:szCs w:val="22"/>
        </w:rPr>
        <w:t xml:space="preserve">C Huber and I Munro, ‘“Moral Distance” in Organizations: An Inquiry into Ethical Violence in the Works of Kafka’, (2013) 124 (2) </w:t>
      </w:r>
      <w:r w:rsidRPr="009E3E5B">
        <w:rPr>
          <w:i/>
          <w:noProof/>
          <w:sz w:val="22"/>
          <w:szCs w:val="22"/>
        </w:rPr>
        <w:t>Journal of Business Ethics</w:t>
      </w:r>
      <w:r w:rsidRPr="009E3E5B">
        <w:rPr>
          <w:noProof/>
          <w:sz w:val="22"/>
          <w:szCs w:val="22"/>
        </w:rPr>
        <w:t xml:space="preserve"> </w:t>
      </w:r>
      <w:r w:rsidRPr="009E3E5B">
        <w:rPr>
          <w:sz w:val="22"/>
          <w:szCs w:val="22"/>
        </w:rPr>
        <w:fldChar w:fldCharType="end"/>
      </w:r>
    </w:p>
  </w:footnote>
  <w:footnote w:id="53">
    <w:p w:rsidR="00491B8A" w:rsidRPr="008E6035" w:rsidRDefault="00491B8A">
      <w:pPr>
        <w:pStyle w:val="Voetnoottekst"/>
      </w:pPr>
      <w:r>
        <w:rPr>
          <w:rStyle w:val="Voetnootmarkering"/>
        </w:rPr>
        <w:footnoteRef/>
      </w:r>
      <w:r>
        <w:t xml:space="preserve"> </w:t>
      </w:r>
      <w:r w:rsidRPr="008E6035">
        <w:t xml:space="preserve">This effect was already </w:t>
      </w:r>
      <w:r>
        <w:t xml:space="preserve">observed by Brubaker </w:t>
      </w:r>
      <w:r w:rsidRPr="008E6035">
        <w:t>when he re</w:t>
      </w:r>
      <w:r>
        <w:t>marks that difficulties in assem</w:t>
      </w:r>
      <w:r w:rsidRPr="008E6035">
        <w:t>bling the paperwork required to demonstrate eligibility may exclude noncitize</w:t>
      </w:r>
      <w:r>
        <w:t xml:space="preserve">ns from social services, but that gatekeeping social workers might also overlook legal eligibility conditions and grant certain noncitizens benefits to which they are not entitled. Brubaker, footnote X above. </w:t>
      </w:r>
    </w:p>
  </w:footnote>
  <w:footnote w:id="54">
    <w:p w:rsidR="00491B8A" w:rsidRPr="009E3E5B" w:rsidRDefault="00491B8A" w:rsidP="00EA39A6">
      <w:pPr>
        <w:pStyle w:val="Geenafstand"/>
        <w:rPr>
          <w:sz w:val="22"/>
          <w:szCs w:val="22"/>
          <w:lang w:val="en-US"/>
        </w:rPr>
      </w:pPr>
      <w:r w:rsidRPr="009E3E5B">
        <w:rPr>
          <w:rStyle w:val="Voetnootmarkering"/>
          <w:sz w:val="22"/>
          <w:szCs w:val="22"/>
        </w:rPr>
        <w:footnoteRef/>
      </w:r>
      <w:r w:rsidRPr="009E3E5B">
        <w:rPr>
          <w:sz w:val="22"/>
          <w:szCs w:val="22"/>
        </w:rPr>
        <w:t xml:space="preserve"> </w:t>
      </w:r>
      <w:r w:rsidRPr="009E3E5B">
        <w:rPr>
          <w:sz w:val="22"/>
          <w:szCs w:val="22"/>
          <w:lang w:val="en-US"/>
        </w:rPr>
        <w:t>See section 2.C.</w:t>
      </w:r>
    </w:p>
  </w:footnote>
  <w:footnote w:id="55">
    <w:p w:rsidR="00491B8A" w:rsidRPr="009E3E5B" w:rsidRDefault="00491B8A" w:rsidP="00940F86">
      <w:pPr>
        <w:pStyle w:val="Geenafstand"/>
        <w:rPr>
          <w:sz w:val="22"/>
          <w:szCs w:val="22"/>
        </w:rPr>
      </w:pPr>
      <w:r w:rsidRPr="009E3E5B">
        <w:rPr>
          <w:rStyle w:val="Voetnootmarkering"/>
          <w:sz w:val="22"/>
          <w:szCs w:val="22"/>
        </w:rPr>
        <w:footnoteRef/>
      </w:r>
      <w:r w:rsidRPr="009E3E5B">
        <w:rPr>
          <w:sz w:val="22"/>
          <w:szCs w:val="22"/>
        </w:rPr>
        <w:t xml:space="preserve"> </w:t>
      </w:r>
      <w:r w:rsidRPr="009E3E5B">
        <w:rPr>
          <w:sz w:val="22"/>
          <w:szCs w:val="22"/>
        </w:rPr>
        <w:fldChar w:fldCharType="begin"/>
      </w:r>
      <w:r w:rsidRPr="009E3E5B">
        <w:rPr>
          <w:sz w:val="22"/>
          <w:szCs w:val="22"/>
        </w:rPr>
        <w:instrText xml:space="preserve"> ADDIN EN.CITE &lt;EndNote&gt;&lt;Cite&gt;&lt;Author&gt;Kafka&lt;/Author&gt;&lt;Year&gt;2007&lt;/Year&gt;&lt;RecNum&gt;242&lt;/RecNum&gt;&lt;Pages&gt;197-198&lt;/Pages&gt;&lt;DisplayText&gt;F Kafka, pp 197-198&lt;/DisplayText&gt;&lt;record&gt;&lt;rec-number&gt;242&lt;/rec-number&gt;&lt;foreign-keys&gt;&lt;key app="EN" db-id="as9pxvrtdpppr2exar7xaxv0zs0p2vfsdtsx" timestamp="1487671452"&gt;242&lt;/key&gt;&lt;/foreign-keys&gt;&lt;ref-type name="Book Section"&gt;5&lt;/ref-type&gt;&lt;contributors&gt;&lt;authors&gt;&lt;author&gt;Kafka, Franz&lt;/author&gt;&lt;/authors&gt;&lt;/contributors&gt;&lt;titles&gt;&lt;title&gt;Before the Law&lt;/title&gt;&lt;secondary-title&gt;Metamorphosis and Other Stories&lt;/secondary-title&gt;&lt;/titles&gt;&lt;pages&gt;197-198&lt;/pages&gt;&lt;dates&gt;&lt;year&gt;2007&lt;/year&gt;&lt;/dates&gt;&lt;pub-location&gt;London&lt;/pub-location&gt;&lt;publisher&gt;Penguin Books&lt;/publisher&gt;&lt;urls&gt;&lt;/urls&gt;&lt;/record&gt;&lt;/Cite&gt;&lt;/EndNote&gt;</w:instrText>
      </w:r>
      <w:r w:rsidRPr="009E3E5B">
        <w:rPr>
          <w:sz w:val="22"/>
          <w:szCs w:val="22"/>
        </w:rPr>
        <w:fldChar w:fldCharType="separate"/>
      </w:r>
      <w:r w:rsidRPr="009E3E5B">
        <w:rPr>
          <w:noProof/>
          <w:sz w:val="22"/>
          <w:szCs w:val="22"/>
        </w:rPr>
        <w:t>F Kafka, pp 197-198</w:t>
      </w:r>
      <w:r w:rsidRPr="009E3E5B">
        <w:rPr>
          <w:sz w:val="22"/>
          <w:szCs w:val="22"/>
        </w:rPr>
        <w:fldChar w:fldCharType="end"/>
      </w:r>
      <w:r w:rsidRPr="009E3E5B">
        <w:rPr>
          <w:sz w:val="22"/>
          <w:szCs w:val="22"/>
        </w:rPr>
        <w:t xml:space="preserve">, see footnote </w:t>
      </w:r>
      <w:r w:rsidRPr="009E3E5B">
        <w:rPr>
          <w:sz w:val="22"/>
          <w:szCs w:val="22"/>
        </w:rPr>
        <w:fldChar w:fldCharType="begin"/>
      </w:r>
      <w:r w:rsidRPr="009E3E5B">
        <w:rPr>
          <w:sz w:val="22"/>
          <w:szCs w:val="22"/>
        </w:rPr>
        <w:instrText xml:space="preserve"> NOTEREF _Ref475454744 \h  \* MERGEFORMAT </w:instrText>
      </w:r>
      <w:r w:rsidRPr="009E3E5B">
        <w:rPr>
          <w:sz w:val="22"/>
          <w:szCs w:val="22"/>
        </w:rPr>
      </w:r>
      <w:r w:rsidRPr="009E3E5B">
        <w:rPr>
          <w:sz w:val="22"/>
          <w:szCs w:val="22"/>
        </w:rPr>
        <w:fldChar w:fldCharType="separate"/>
      </w:r>
      <w:r>
        <w:rPr>
          <w:sz w:val="22"/>
          <w:szCs w:val="22"/>
        </w:rPr>
        <w:t>2</w:t>
      </w:r>
      <w:r w:rsidRPr="009E3E5B">
        <w:rPr>
          <w:sz w:val="22"/>
          <w:szCs w:val="22"/>
        </w:rPr>
        <w:fldChar w:fldCharType="end"/>
      </w:r>
      <w:r w:rsidRPr="009E3E5B">
        <w:rPr>
          <w:sz w:val="22"/>
          <w:szCs w:val="22"/>
        </w:rPr>
        <w:t xml:space="preserve"> above. </w:t>
      </w:r>
    </w:p>
  </w:footnote>
  <w:footnote w:id="56">
    <w:p w:rsidR="00491B8A" w:rsidRPr="009E3E5B" w:rsidRDefault="00491B8A" w:rsidP="00940F86">
      <w:pPr>
        <w:pStyle w:val="Geenafstand"/>
        <w:rPr>
          <w:sz w:val="22"/>
          <w:szCs w:val="22"/>
          <w:lang w:val="en-US"/>
        </w:rPr>
      </w:pPr>
      <w:r w:rsidRPr="009E3E5B">
        <w:rPr>
          <w:rStyle w:val="Voetnootmarkering"/>
          <w:sz w:val="22"/>
          <w:szCs w:val="22"/>
        </w:rPr>
        <w:footnoteRef/>
      </w:r>
      <w:r w:rsidRPr="009E3E5B">
        <w:rPr>
          <w:sz w:val="22"/>
          <w:szCs w:val="22"/>
        </w:rPr>
        <w:t xml:space="preserve"> As loosely based on the interpretation of </w:t>
      </w:r>
      <w:r w:rsidRPr="009E3E5B">
        <w:rPr>
          <w:noProof/>
          <w:sz w:val="22"/>
          <w:szCs w:val="22"/>
        </w:rPr>
        <w:fldChar w:fldCharType="begin"/>
      </w:r>
      <w:r w:rsidRPr="009E3E5B">
        <w:rPr>
          <w:noProof/>
          <w:sz w:val="22"/>
          <w:szCs w:val="22"/>
        </w:rPr>
        <w:instrText xml:space="preserve"> ADDIN EN.CITE &lt;EndNote&gt;&lt;Cite&gt;&lt;Author&gt;Agamben&lt;/Author&gt;&lt;Year&gt;1998&lt;/Year&gt;&lt;RecNum&gt;200&lt;/RecNum&gt;&lt;Pages&gt;55&lt;/Pages&gt;&lt;DisplayText&gt;G Agamben, &lt;style face="italic"&gt;Homo Sacer: Sovereign Power and Bare Life&lt;/style&gt; (Stanford University Press, 1998), p 55&lt;/DisplayText&gt;&lt;record&gt;&lt;rec-number&gt;200&lt;/rec-number&gt;&lt;foreign-keys&gt;&lt;key app="EN" db-id="as9pxvrtdpppr2exar7xaxv0zs0p2vfsdtsx" timestamp="1468837260"&gt;200&lt;/key&gt;&lt;/foreign-keys&gt;&lt;ref-type name="Book"&gt;6&lt;/ref-type&gt;&lt;contributors&gt;&lt;authors&gt;&lt;author&gt;Agamben, Giorgio&lt;/author&gt;&lt;/authors&gt;&lt;subsidiary-authors&gt;&lt;author&gt;Heller-Roazen, Daniel&lt;/author&gt;&lt;/subsidiary-authors&gt;&lt;/contributors&gt;&lt;titles&gt;&lt;title&gt;Homo sacer: sovereign power and bare life&lt;/title&gt;&lt;secondary-title&gt;Meridian; Meridian.&lt;/secondary-title&gt;&lt;/titles&gt;&lt;section&gt;viii, 199 p. : fig. ; 22 cm.&lt;/section&gt;&lt;dates&gt;&lt;year&gt;1998&lt;/year&gt;&lt;/dates&gt;&lt;pub-location&gt;Stanford, CA :&lt;/pub-location&gt;&lt;publisher&gt;Stanford University Press&lt;/publisher&gt;&lt;isbn&gt;0804732175 9780804732178 0804732183 (pbk) 9780804732185 (pbk)&lt;/isbn&gt;&lt;urls&gt;&lt;related-urls&gt;&lt;url&gt;http://catdir.loc.gov/catdir/toc/cam028/97036621.html&lt;/url&gt;&lt;url&gt;http://catdir.loc.gov/catdir/enhancements/fy0710/97036621-b.html&lt;/url&gt;&lt;url&gt;http://catdir.loc.gov/catdir/description/cam028/97036621.html&lt;/url&gt;&lt;/related-urls&gt;&lt;/urls&gt;&lt;remote-database-name&gt;WorldCat.org&lt;/remote-database-name&gt;&lt;language&gt;Engels&lt;/language&gt;&lt;/record&gt;&lt;/Cite&gt;&lt;/EndNote&gt;</w:instrText>
      </w:r>
      <w:r w:rsidRPr="009E3E5B">
        <w:rPr>
          <w:noProof/>
          <w:sz w:val="22"/>
          <w:szCs w:val="22"/>
        </w:rPr>
        <w:fldChar w:fldCharType="separate"/>
      </w:r>
      <w:r w:rsidRPr="009E3E5B">
        <w:rPr>
          <w:noProof/>
          <w:sz w:val="22"/>
          <w:szCs w:val="22"/>
        </w:rPr>
        <w:t xml:space="preserve">G Agamben, </w:t>
      </w:r>
      <w:r w:rsidRPr="009E3E5B">
        <w:rPr>
          <w:i/>
          <w:noProof/>
          <w:sz w:val="22"/>
          <w:szCs w:val="22"/>
        </w:rPr>
        <w:t>Homo Sacer: Sovereign Power and Bare Life</w:t>
      </w:r>
      <w:r w:rsidRPr="009E3E5B">
        <w:rPr>
          <w:noProof/>
          <w:sz w:val="22"/>
          <w:szCs w:val="22"/>
        </w:rPr>
        <w:t xml:space="preserve"> (Stanford University Press, 1998), p 55</w:t>
      </w:r>
      <w:r w:rsidRPr="009E3E5B">
        <w:rPr>
          <w:noProof/>
          <w:sz w:val="22"/>
          <w:szCs w:val="22"/>
        </w:rPr>
        <w:fldChar w:fldCharType="end"/>
      </w:r>
      <w:r>
        <w:rPr>
          <w:noProof/>
          <w:sz w:val="22"/>
          <w:szCs w:val="22"/>
        </w:rPr>
        <w:t xml:space="preserve">. It should be stressed </w:t>
      </w:r>
    </w:p>
  </w:footnote>
  <w:footnote w:id="57">
    <w:p w:rsidR="00491B8A" w:rsidRPr="009E3E5B" w:rsidRDefault="00491B8A" w:rsidP="004B1C32">
      <w:pPr>
        <w:pStyle w:val="Geenafstand"/>
        <w:rPr>
          <w:sz w:val="22"/>
          <w:szCs w:val="22"/>
          <w:lang w:val="en-US"/>
        </w:rPr>
      </w:pPr>
      <w:r w:rsidRPr="009E3E5B">
        <w:rPr>
          <w:rStyle w:val="Voetnootmarkering"/>
          <w:sz w:val="22"/>
          <w:szCs w:val="22"/>
        </w:rPr>
        <w:footnoteRef/>
      </w:r>
      <w:r w:rsidRPr="009E3E5B">
        <w:rPr>
          <w:sz w:val="22"/>
          <w:szCs w:val="22"/>
        </w:rPr>
        <w:t xml:space="preserve"> </w:t>
      </w:r>
      <w:r w:rsidRPr="009E3E5B">
        <w:rPr>
          <w:sz w:val="22"/>
          <w:szCs w:val="22"/>
        </w:rPr>
        <w:fldChar w:fldCharType="begin"/>
      </w:r>
      <w:r w:rsidRPr="009E3E5B">
        <w:rPr>
          <w:sz w:val="22"/>
          <w:szCs w:val="22"/>
        </w:rPr>
        <w:instrText xml:space="preserve"> ADDIN EN.CITE &lt;EndNote&gt;&lt;Cite&gt;&lt;Author&gt;Falkner&lt;/Author&gt;&lt;Year&gt;2007&lt;/Year&gt;&lt;RecNum&gt;143&lt;/RecNum&gt;&lt;DisplayText&gt;G Falkner, M Hartlapp and O Treib, ‘Worlds of Compliance: Why Leading Approaches to European Union Implementation Are Only ?Sometimes-True Theories?’, (2007) 46 (3) &lt;style face="italic"&gt;European Journal of Political Research&lt;/style&gt; &lt;/DisplayText&gt;&lt;record&gt;&lt;rec-number&gt;143&lt;/rec-number&gt;&lt;foreign-keys&gt;&lt;key app="EN" db-id="as9pxvrtdpppr2exar7xaxv0zs0p2vfsdtsx" timestamp="1458318668"&gt;143&lt;/key&gt;&lt;key app="ENWeb" db-id=""&gt;0&lt;/key&gt;&lt;/foreign-keys&gt;&lt;ref-type name="Journal Article"&gt;17&lt;/ref-type&gt;&lt;contributors&gt;&lt;authors&gt;&lt;author&gt;Falkner, Gerda&lt;/author&gt;&lt;author&gt;Hartlapp, Miriam&lt;/author&gt;&lt;author&gt;Treib, Oliver&lt;/author&gt;&lt;/authors&gt;&lt;/contributors&gt;&lt;titles&gt;&lt;title&gt;Worlds of compliance: Why leading approaches to European Union implementation are only ?sometimes-true theories?&lt;/title&gt;&lt;secondary-title&gt;European Journal of Political Research&lt;/secondary-title&gt;&lt;/titles&gt;&lt;periodical&gt;&lt;full-title&gt;European Journal of Political Research&lt;/full-title&gt;&lt;/periodical&gt;&lt;pages&gt;395-416&lt;/pages&gt;&lt;volume&gt;46&lt;/volume&gt;&lt;number&gt;3&lt;/number&gt;&lt;dates&gt;&lt;year&gt;2007&lt;/year&gt;&lt;/dates&gt;&lt;isbn&gt;0304-4130&amp;#xD;1475-6765&lt;/isbn&gt;&lt;urls&gt;&lt;/urls&gt;&lt;electronic-resource-num&gt;10.1111/j.1475-6765.2007.00703.x&lt;/electronic-resource-num&gt;&lt;/record&gt;&lt;/Cite&gt;&lt;/EndNote&gt;</w:instrText>
      </w:r>
      <w:r w:rsidRPr="009E3E5B">
        <w:rPr>
          <w:sz w:val="22"/>
          <w:szCs w:val="22"/>
        </w:rPr>
        <w:fldChar w:fldCharType="separate"/>
      </w:r>
      <w:r w:rsidRPr="009E3E5B">
        <w:rPr>
          <w:noProof/>
          <w:sz w:val="22"/>
          <w:szCs w:val="22"/>
        </w:rPr>
        <w:t xml:space="preserve">G Falkner, M Hartlapp and O Treib, ‘Worlds of Compliance: Why Leading Approaches to European Union Implementation Are Only ?Sometimes-True Theories?’, (2007) 46 (3) </w:t>
      </w:r>
      <w:r w:rsidRPr="009E3E5B">
        <w:rPr>
          <w:i/>
          <w:noProof/>
          <w:sz w:val="22"/>
          <w:szCs w:val="22"/>
        </w:rPr>
        <w:t>European Journal of Political Research</w:t>
      </w:r>
      <w:r w:rsidRPr="009E3E5B">
        <w:rPr>
          <w:noProof/>
          <w:sz w:val="22"/>
          <w:szCs w:val="22"/>
        </w:rPr>
        <w:t xml:space="preserve"> </w:t>
      </w:r>
      <w:r w:rsidRPr="009E3E5B">
        <w:rPr>
          <w:sz w:val="22"/>
          <w:szCs w:val="22"/>
        </w:rPr>
        <w:fldChar w:fldCharType="end"/>
      </w:r>
    </w:p>
  </w:footnote>
  <w:footnote w:id="58">
    <w:p w:rsidR="00491B8A" w:rsidRPr="009E3E5B" w:rsidRDefault="00491B8A" w:rsidP="004B1C32">
      <w:pPr>
        <w:pStyle w:val="Geenafstand"/>
        <w:rPr>
          <w:sz w:val="22"/>
          <w:szCs w:val="22"/>
        </w:rPr>
      </w:pPr>
      <w:r w:rsidRPr="009E3E5B">
        <w:rPr>
          <w:rStyle w:val="Voetnootmarkering"/>
          <w:sz w:val="22"/>
          <w:szCs w:val="22"/>
        </w:rPr>
        <w:footnoteRef/>
      </w:r>
      <w:r w:rsidRPr="009E3E5B">
        <w:rPr>
          <w:sz w:val="22"/>
          <w:szCs w:val="22"/>
        </w:rPr>
        <w:t xml:space="preserve"> </w:t>
      </w:r>
      <w:r w:rsidRPr="009E3E5B">
        <w:rPr>
          <w:sz w:val="22"/>
          <w:szCs w:val="22"/>
        </w:rPr>
        <w:fldChar w:fldCharType="begin"/>
      </w:r>
      <w:r w:rsidRPr="009E3E5B">
        <w:rPr>
          <w:sz w:val="22"/>
          <w:szCs w:val="22"/>
        </w:rPr>
        <w:instrText xml:space="preserve"> ADDIN EN.CITE &lt;EndNote&gt;&lt;Cite&gt;&lt;Author&gt;Claes&lt;/Author&gt;&lt;Year&gt;1998&lt;/Year&gt;&lt;RecNum&gt;245&lt;/RecNum&gt;&lt;DisplayText&gt;M Claes and B De Witte, ‘Report on the Netherlands’, in A-M SlaughterAS Sweet &amp;amp; J Weiler (eds), &lt;style face="italic"&gt;The European Court and the National Courts––Doctrine and Jurisprudence: Legal Change in Its Social Context&lt;/style&gt; (Hart Press, 1998)&lt;/DisplayText&gt;&lt;record&gt;&lt;rec-number&gt;245&lt;/rec-number&gt;&lt;foreign-keys&gt;&lt;key app="EN" db-id="as9pxvrtdpppr2exar7xaxv0zs0p2vfsdtsx" timestamp="1487689973"&gt;245&lt;/key&gt;&lt;/foreign-keys&gt;&lt;ref-type name="Book Section"&gt;5&lt;/ref-type&gt;&lt;contributors&gt;&lt;authors&gt;&lt;author&gt;Claes, Monica&lt;/author&gt;&lt;author&gt;De Witte, Bruno&lt;/author&gt;&lt;/authors&gt;&lt;secondary-authors&gt;&lt;author&gt;Slaughter, Anne-Marie, &lt;/author&gt;&lt;author&gt;Alec Stone Sweet&lt;/author&gt;&lt;author&gt;Joseph Weiler&lt;/author&gt;&lt;/secondary-authors&gt;&lt;/contributors&gt;&lt;titles&gt;&lt;title&gt;Report on the Netherlands&lt;/title&gt;&lt;secondary-title&gt;The European Court and the National Courts––Doctrine and Jurisprudence: Legal Change in its Social Context&lt;/secondary-title&gt;&lt;/titles&gt;&lt;dates&gt;&lt;year&gt;1998&lt;/year&gt;&lt;/dates&gt;&lt;pub-location&gt;Oxford&lt;/pub-location&gt;&lt;publisher&gt;Hart Press&lt;/publisher&gt;&lt;urls&gt;&lt;/urls&gt;&lt;/record&gt;&lt;/Cite&gt;&lt;/EndNote&gt;</w:instrText>
      </w:r>
      <w:r w:rsidRPr="009E3E5B">
        <w:rPr>
          <w:sz w:val="22"/>
          <w:szCs w:val="22"/>
        </w:rPr>
        <w:fldChar w:fldCharType="separate"/>
      </w:r>
      <w:r w:rsidRPr="009E3E5B">
        <w:rPr>
          <w:noProof/>
          <w:sz w:val="22"/>
          <w:szCs w:val="22"/>
        </w:rPr>
        <w:t xml:space="preserve">M Claes and B De Witte, ‘Report on the Netherlands’, in A-M SlaughterAS Sweet &amp; J Weiler (eds), </w:t>
      </w:r>
      <w:r w:rsidRPr="009E3E5B">
        <w:rPr>
          <w:i/>
          <w:noProof/>
          <w:sz w:val="22"/>
          <w:szCs w:val="22"/>
        </w:rPr>
        <w:t>The European Court and the National Courts––Doctrine and Jurisprudence: Legal Change in Its Social Context</w:t>
      </w:r>
      <w:r w:rsidRPr="009E3E5B">
        <w:rPr>
          <w:noProof/>
          <w:sz w:val="22"/>
          <w:szCs w:val="22"/>
        </w:rPr>
        <w:t xml:space="preserve"> (Hart Press, 1998)</w:t>
      </w:r>
      <w:r w:rsidRPr="009E3E5B">
        <w:rPr>
          <w:sz w:val="22"/>
          <w:szCs w:val="22"/>
        </w:rPr>
        <w:fldChar w:fldCharType="end"/>
      </w:r>
    </w:p>
  </w:footnote>
  <w:footnote w:id="59">
    <w:p w:rsidR="00491B8A" w:rsidRPr="009E3E5B" w:rsidRDefault="00491B8A" w:rsidP="009E3E5B">
      <w:pPr>
        <w:pStyle w:val="Geenafstand"/>
        <w:rPr>
          <w:sz w:val="22"/>
          <w:szCs w:val="22"/>
          <w:lang w:val="en-US"/>
        </w:rPr>
      </w:pPr>
      <w:r w:rsidRPr="009E3E5B">
        <w:rPr>
          <w:rStyle w:val="Voetnootmarkering"/>
          <w:sz w:val="22"/>
          <w:szCs w:val="22"/>
        </w:rPr>
        <w:footnoteRef/>
      </w:r>
      <w:r w:rsidRPr="009E3E5B">
        <w:rPr>
          <w:sz w:val="22"/>
          <w:szCs w:val="22"/>
        </w:rPr>
        <w:t xml:space="preserve"> See generally, </w:t>
      </w:r>
      <w:r w:rsidRPr="009E3E5B">
        <w:rPr>
          <w:sz w:val="22"/>
          <w:szCs w:val="22"/>
        </w:rPr>
        <w:fldChar w:fldCharType="begin"/>
      </w:r>
      <w:r w:rsidRPr="009E3E5B">
        <w:rPr>
          <w:sz w:val="22"/>
          <w:szCs w:val="22"/>
        </w:rPr>
        <w:instrText xml:space="preserve"> ADDIN EN.CITE &lt;EndNote&gt;&lt;Cite&gt;&lt;Author&gt;Beach&lt;/Author&gt;&lt;Year&gt;2013&lt;/Year&gt;&lt;RecNum&gt;67&lt;/RecNum&gt;&lt;DisplayText&gt;D Beach and RB Pedersen, &lt;style face="italic"&gt;Process-Tracing Methods : Foundations and Guidelines&lt;/style&gt; (University of Michigan Press, 2013)&lt;/DisplayText&gt;&lt;record&gt;&lt;rec-number&gt;67&lt;/rec-number&gt;&lt;foreign-keys&gt;&lt;key app="EN" db-id="as9pxvrtdpppr2exar7xaxv0zs0p2vfsdtsx" timestamp="1425044134"&gt;67&lt;/key&gt;&lt;/foreign-keys&gt;&lt;ref-type name="Book"&gt;6&lt;/ref-type&gt;&lt;contributors&gt;&lt;authors&gt;&lt;author&gt;Beach, Derek&lt;/author&gt;&lt;author&gt;Pedersen, Rasmus Brun&lt;/author&gt;&lt;/authors&gt;&lt;/contributors&gt;&lt;titles&gt;&lt;title&gt;Process-tracing Methods : Foundations and Guidelines&lt;/title&gt;&lt;/titles&gt;&lt;keywords&gt;&lt;keyword&gt;Social sciences--Case studies&lt;/keyword&gt;&lt;keyword&gt;Social sciences--Methodology&lt;/keyword&gt;&lt;keyword&gt;Social sciences--Research--Methodology&lt;/keyword&gt;&lt;keyword&gt;SOCIAL SCIENCE / Methodology&lt;/keyword&gt;&lt;/keywords&gt;&lt;dates&gt;&lt;year&gt;2013&lt;/year&gt;&lt;/dates&gt;&lt;pub-location&gt;Ann Arbor&lt;/pub-location&gt;&lt;publisher&gt;University of Michigan Press&lt;/publisher&gt;&lt;isbn&gt;9780472051892&amp;#xD;9780472028856&lt;/isbn&gt;&lt;work-type&gt;Book&lt;/work-type&gt;&lt;urls&gt;&lt;related-urls&gt;&lt;url&gt;http://search.ebscohost.com/login.aspx?direct=true&amp;amp;db=nlebk&amp;amp;AN=539814&amp;amp;site=ehost-live&lt;/url&gt;&lt;/related-urls&gt;&lt;/urls&gt;&lt;remote-database-name&gt;nlebk&lt;/remote-database-name&gt;&lt;remote-database-provider&gt;EBSCOhost&lt;/remote-database-provider&gt;&lt;/record&gt;&lt;/Cite&gt;&lt;/EndNote&gt;</w:instrText>
      </w:r>
      <w:r w:rsidRPr="009E3E5B">
        <w:rPr>
          <w:sz w:val="22"/>
          <w:szCs w:val="22"/>
        </w:rPr>
        <w:fldChar w:fldCharType="separate"/>
      </w:r>
      <w:r w:rsidRPr="009E3E5B">
        <w:rPr>
          <w:noProof/>
          <w:sz w:val="22"/>
          <w:szCs w:val="22"/>
        </w:rPr>
        <w:t xml:space="preserve">D Beach and RB Pedersen, </w:t>
      </w:r>
      <w:r w:rsidRPr="009E3E5B">
        <w:rPr>
          <w:i/>
          <w:noProof/>
          <w:sz w:val="22"/>
          <w:szCs w:val="22"/>
        </w:rPr>
        <w:t>Process-Tracing Methods : Foundations and Guidelines</w:t>
      </w:r>
      <w:r w:rsidRPr="009E3E5B">
        <w:rPr>
          <w:noProof/>
          <w:sz w:val="22"/>
          <w:szCs w:val="22"/>
        </w:rPr>
        <w:t xml:space="preserve"> (University of Michigan Press, 2013)</w:t>
      </w:r>
      <w:r w:rsidRPr="009E3E5B">
        <w:rPr>
          <w:sz w:val="22"/>
          <w:szCs w:val="22"/>
        </w:rPr>
        <w:fldChar w:fldCharType="end"/>
      </w:r>
    </w:p>
  </w:footnote>
  <w:footnote w:id="60">
    <w:p w:rsidR="00491B8A" w:rsidRPr="009E3E5B" w:rsidRDefault="00491B8A" w:rsidP="009E3E5B">
      <w:pPr>
        <w:pStyle w:val="Geenafstand"/>
        <w:rPr>
          <w:sz w:val="22"/>
          <w:szCs w:val="22"/>
        </w:rPr>
      </w:pPr>
      <w:r w:rsidRPr="009E3E5B">
        <w:rPr>
          <w:rStyle w:val="Voetnootmarkering"/>
          <w:sz w:val="22"/>
          <w:szCs w:val="22"/>
        </w:rPr>
        <w:footnoteRef/>
      </w:r>
      <w:r w:rsidRPr="009E3E5B">
        <w:rPr>
          <w:sz w:val="22"/>
          <w:szCs w:val="22"/>
        </w:rPr>
        <w:t xml:space="preserve"> A total of 20 semi-structured interviews with 24 respondents were conducted between April 2015 and June 2016. The municipalities include Amsterdam, Rotterdam, The Hague and Utrecht (together the ‘big four’ cities in the Netherlands) and Westland, a less populous municipality, but hosting a high number of EU migrant workers. </w:t>
      </w:r>
    </w:p>
  </w:footnote>
  <w:footnote w:id="61">
    <w:p w:rsidR="00491B8A" w:rsidRPr="009E3E5B" w:rsidRDefault="00491B8A" w:rsidP="009E3E5B">
      <w:pPr>
        <w:pStyle w:val="Geenafstand"/>
        <w:rPr>
          <w:sz w:val="22"/>
          <w:szCs w:val="22"/>
        </w:rPr>
      </w:pPr>
      <w:r w:rsidRPr="009E3E5B">
        <w:rPr>
          <w:rStyle w:val="Voetnootmarkering"/>
          <w:sz w:val="22"/>
          <w:szCs w:val="22"/>
        </w:rPr>
        <w:footnoteRef/>
      </w:r>
      <w:r w:rsidRPr="009E3E5B">
        <w:rPr>
          <w:sz w:val="22"/>
          <w:szCs w:val="22"/>
        </w:rPr>
        <w:t xml:space="preserve"> This is based on the national database ‘rechtspraak.nl’. I searched for the terms Union citizen (‘EU onderdaan’) and social assistance (‘bijstand’), then manually selected 44 relevant cases. The database only contains published cases by the courts. All higher court cases are published. Lower court cases are only selected for publication on the basis of certain criteria, including but not limited to attention from media, publication or discussion in legal journals, blogs or websites, the importance for interest groups and the development of jurisprudence. </w:t>
      </w:r>
    </w:p>
  </w:footnote>
  <w:footnote w:id="62">
    <w:p w:rsidR="00491B8A" w:rsidRPr="009E3E5B" w:rsidRDefault="00491B8A" w:rsidP="009E3E5B">
      <w:pPr>
        <w:pStyle w:val="Geenafstand"/>
        <w:rPr>
          <w:sz w:val="22"/>
          <w:szCs w:val="22"/>
        </w:rPr>
      </w:pPr>
      <w:r w:rsidRPr="009E3E5B">
        <w:rPr>
          <w:rStyle w:val="Voetnootmarkering"/>
          <w:sz w:val="22"/>
          <w:szCs w:val="22"/>
        </w:rPr>
        <w:footnoteRef/>
      </w:r>
      <w:r w:rsidRPr="009E3E5B">
        <w:rPr>
          <w:sz w:val="22"/>
          <w:szCs w:val="22"/>
        </w:rPr>
        <w:t xml:space="preserve"> Article 3.3 (1) (d) Vb 2000 (1 April 2001). </w:t>
      </w:r>
    </w:p>
  </w:footnote>
  <w:footnote w:id="63">
    <w:p w:rsidR="00491B8A" w:rsidRPr="009E3E5B" w:rsidRDefault="00491B8A" w:rsidP="009E3E5B">
      <w:pPr>
        <w:pStyle w:val="Geenafstand"/>
        <w:rPr>
          <w:sz w:val="22"/>
          <w:szCs w:val="22"/>
        </w:rPr>
      </w:pPr>
      <w:r w:rsidRPr="009E3E5B">
        <w:rPr>
          <w:rStyle w:val="Voetnootmarkering"/>
          <w:sz w:val="22"/>
          <w:szCs w:val="22"/>
        </w:rPr>
        <w:footnoteRef/>
      </w:r>
      <w:r w:rsidRPr="009E3E5B">
        <w:rPr>
          <w:sz w:val="22"/>
          <w:szCs w:val="22"/>
        </w:rPr>
        <w:t xml:space="preserve"> B10/4.2.1.1 of the Vc 2000 (1 April 2001). The government considered </w:t>
      </w:r>
      <w:r w:rsidRPr="009E3E5B">
        <w:rPr>
          <w:i/>
          <w:sz w:val="22"/>
          <w:szCs w:val="22"/>
        </w:rPr>
        <w:t>sufficient</w:t>
      </w:r>
      <w:r w:rsidRPr="009E3E5B">
        <w:rPr>
          <w:sz w:val="22"/>
          <w:szCs w:val="22"/>
        </w:rPr>
        <w:t xml:space="preserve"> resources as at least the minimum of the net amount of the social assistance norm of the relevant category (single, couple or family). See response of the Netherlands to the Reasoned Opinion of 3 April 2003 on 17 September 2003. Classified as SG (2003) A/9083. See also (TBV 2004/1, p. 4). </w:t>
      </w:r>
    </w:p>
  </w:footnote>
  <w:footnote w:id="64">
    <w:p w:rsidR="00491B8A" w:rsidRPr="009E3E5B" w:rsidRDefault="00491B8A" w:rsidP="009E3E5B">
      <w:pPr>
        <w:pStyle w:val="Geenafstand"/>
        <w:rPr>
          <w:sz w:val="22"/>
          <w:szCs w:val="22"/>
          <w:lang w:val="en-US"/>
        </w:rPr>
      </w:pPr>
      <w:r w:rsidRPr="009E3E5B">
        <w:rPr>
          <w:rStyle w:val="Voetnootmarkering"/>
          <w:sz w:val="22"/>
          <w:szCs w:val="22"/>
        </w:rPr>
        <w:footnoteRef/>
      </w:r>
      <w:r w:rsidRPr="009E3E5B">
        <w:rPr>
          <w:sz w:val="22"/>
          <w:szCs w:val="22"/>
        </w:rPr>
        <w:t xml:space="preserve"> </w:t>
      </w:r>
      <w:r w:rsidRPr="009E3E5B">
        <w:rPr>
          <w:sz w:val="22"/>
          <w:szCs w:val="22"/>
          <w:lang w:val="en-US"/>
        </w:rPr>
        <w:t xml:space="preserve">Article 8.11 (1) and 8.12 Vb 2000 (1 April 2001). </w:t>
      </w:r>
    </w:p>
  </w:footnote>
  <w:footnote w:id="65">
    <w:p w:rsidR="00491B8A" w:rsidRPr="009E3E5B" w:rsidRDefault="00491B8A" w:rsidP="009E3E5B">
      <w:pPr>
        <w:pStyle w:val="Geenafstand"/>
        <w:rPr>
          <w:sz w:val="22"/>
          <w:szCs w:val="22"/>
        </w:rPr>
      </w:pPr>
      <w:r w:rsidRPr="009E3E5B">
        <w:rPr>
          <w:rStyle w:val="Voetnootmarkering"/>
          <w:sz w:val="22"/>
          <w:szCs w:val="22"/>
        </w:rPr>
        <w:footnoteRef/>
      </w:r>
      <w:r w:rsidRPr="009E3E5B">
        <w:rPr>
          <w:sz w:val="22"/>
          <w:szCs w:val="22"/>
        </w:rPr>
        <w:t xml:space="preserve"> Article 4.3.2 of chapter B10 of the Aliens Circular 2000. </w:t>
      </w:r>
    </w:p>
  </w:footnote>
  <w:footnote w:id="66">
    <w:p w:rsidR="00491B8A" w:rsidRPr="009E3E5B" w:rsidRDefault="00491B8A" w:rsidP="009E3E5B">
      <w:pPr>
        <w:pStyle w:val="Geenafstand"/>
        <w:rPr>
          <w:sz w:val="22"/>
          <w:szCs w:val="22"/>
          <w:lang w:val="en-US"/>
        </w:rPr>
      </w:pPr>
      <w:r w:rsidRPr="009E3E5B">
        <w:rPr>
          <w:rStyle w:val="Voetnootmarkering"/>
          <w:sz w:val="22"/>
          <w:szCs w:val="22"/>
        </w:rPr>
        <w:footnoteRef/>
      </w:r>
      <w:r w:rsidRPr="009E3E5B">
        <w:rPr>
          <w:sz w:val="22"/>
          <w:szCs w:val="22"/>
        </w:rPr>
        <w:t xml:space="preserve"> </w:t>
      </w:r>
      <w:r w:rsidRPr="009E3E5B">
        <w:rPr>
          <w:sz w:val="22"/>
          <w:szCs w:val="22"/>
          <w:lang w:val="en-US"/>
        </w:rPr>
        <w:t xml:space="preserve">Aliens Circular, B10 2.8 and 2.10. </w:t>
      </w:r>
    </w:p>
  </w:footnote>
  <w:footnote w:id="67">
    <w:p w:rsidR="00491B8A" w:rsidRPr="009E3E5B" w:rsidRDefault="00491B8A" w:rsidP="009E3E5B">
      <w:pPr>
        <w:pStyle w:val="Geenafstand"/>
        <w:rPr>
          <w:sz w:val="22"/>
          <w:szCs w:val="22"/>
          <w:lang w:val="en-US"/>
        </w:rPr>
      </w:pPr>
      <w:r w:rsidRPr="009E3E5B">
        <w:rPr>
          <w:rStyle w:val="Voetnootmarkering"/>
          <w:sz w:val="22"/>
          <w:szCs w:val="22"/>
        </w:rPr>
        <w:footnoteRef/>
      </w:r>
      <w:r w:rsidRPr="009E3E5B">
        <w:rPr>
          <w:sz w:val="22"/>
          <w:szCs w:val="22"/>
          <w:lang w:val="en-US"/>
        </w:rPr>
        <w:t xml:space="preserve"> Aliens Circular, B10, 1.7 and 2.6.</w:t>
      </w:r>
    </w:p>
  </w:footnote>
  <w:footnote w:id="68">
    <w:p w:rsidR="00491B8A" w:rsidRPr="009E3E5B" w:rsidRDefault="00491B8A" w:rsidP="009E3E5B">
      <w:pPr>
        <w:pStyle w:val="Geenafstand"/>
        <w:rPr>
          <w:sz w:val="22"/>
          <w:szCs w:val="22"/>
          <w:lang w:val="nl-NL"/>
        </w:rPr>
      </w:pPr>
      <w:r w:rsidRPr="009E3E5B">
        <w:rPr>
          <w:rStyle w:val="Voetnootmarkering"/>
          <w:sz w:val="22"/>
          <w:szCs w:val="22"/>
        </w:rPr>
        <w:footnoteRef/>
      </w:r>
      <w:r w:rsidRPr="009E3E5B">
        <w:rPr>
          <w:sz w:val="22"/>
          <w:szCs w:val="22"/>
          <w:lang w:val="nl-NL"/>
        </w:rPr>
        <w:t xml:space="preserve"> Rapport Gemeentelijke Basisadministratie, Afwijzing bijstandsaanvraag; Sociale Dienst, region Zuidoost, Report Number RA0510502, 11 May 2005. </w:t>
      </w:r>
    </w:p>
  </w:footnote>
  <w:footnote w:id="69">
    <w:p w:rsidR="00491B8A" w:rsidRPr="009E3E5B" w:rsidRDefault="00491B8A" w:rsidP="009E3E5B">
      <w:pPr>
        <w:pStyle w:val="Geenafstand"/>
        <w:rPr>
          <w:sz w:val="22"/>
          <w:szCs w:val="22"/>
          <w:lang w:val="nl-NL"/>
        </w:rPr>
      </w:pPr>
      <w:r w:rsidRPr="009E3E5B">
        <w:rPr>
          <w:rStyle w:val="Voetnootmarkering"/>
          <w:sz w:val="22"/>
          <w:szCs w:val="22"/>
        </w:rPr>
        <w:footnoteRef/>
      </w:r>
      <w:r w:rsidRPr="009E3E5B">
        <w:rPr>
          <w:sz w:val="22"/>
          <w:szCs w:val="22"/>
          <w:lang w:val="nl-NL"/>
        </w:rPr>
        <w:t xml:space="preserve">Most clearly from: Rechtbank Arnhem, 17-09-2004, ECLI:NL:RBARN:2004:AR3129, Rechtbank Maastricht, 23-12-2005, ECLI:NL:RBMAA:2005:AU9591, Rechtbank Maastricht, 11-04-2006, ECLI:NL:RBMAA:2006:AX3093 and Rechtbank Middelburg, 23-03-2007, ECLI:NL:RBMID:2007:BB5134.  </w:t>
      </w:r>
    </w:p>
  </w:footnote>
  <w:footnote w:id="70">
    <w:p w:rsidR="00491B8A" w:rsidRPr="009E3E5B" w:rsidRDefault="00491B8A" w:rsidP="009E3E5B">
      <w:pPr>
        <w:pStyle w:val="Geenafstand"/>
        <w:rPr>
          <w:sz w:val="22"/>
          <w:szCs w:val="22"/>
          <w:lang w:val="nl-NL"/>
        </w:rPr>
      </w:pPr>
      <w:r w:rsidRPr="009E3E5B">
        <w:rPr>
          <w:rStyle w:val="Voetnootmarkering"/>
          <w:sz w:val="22"/>
          <w:szCs w:val="22"/>
        </w:rPr>
        <w:footnoteRef/>
      </w:r>
      <w:r w:rsidRPr="009E3E5B">
        <w:rPr>
          <w:sz w:val="22"/>
          <w:szCs w:val="22"/>
          <w:lang w:val="nl-NL"/>
        </w:rPr>
        <w:t xml:space="preserve"> A point also made by a legal scholar during this period, </w:t>
      </w:r>
      <w:r w:rsidRPr="009E3E5B">
        <w:rPr>
          <w:sz w:val="22"/>
          <w:szCs w:val="22"/>
          <w:lang w:val="en-US"/>
        </w:rPr>
        <w:fldChar w:fldCharType="begin"/>
      </w:r>
      <w:r w:rsidRPr="009E3E5B">
        <w:rPr>
          <w:sz w:val="22"/>
          <w:szCs w:val="22"/>
          <w:lang w:val="nl-NL"/>
        </w:rPr>
        <w:instrText xml:space="preserve"> ADDIN EN.CITE &lt;EndNote&gt;&lt;Cite&gt;&lt;Author&gt;Luijendijk&lt;/Author&gt;&lt;Year&gt;2005&lt;/Year&gt;&lt;RecNum&gt;106&lt;/RecNum&gt;&lt;Pages&gt;405-406`, 375-377`, 424&lt;/Pages&gt;&lt;DisplayText&gt;H Luijendijk, &lt;style face="italic"&gt;Nederlandse Gemeenten En Het Europese Personenverkeer : Een Onderzoek Naar De Consequenties Van Het Personenverkeer Voor De Beleidsterreinen Burgerzaken En Ruimtelijke Ordening En Huisvesting&lt;/style&gt; (Kluwer, 2005), pp 405-406, 375-377, 424&lt;/DisplayText&gt;&lt;record&gt;&lt;rec-number&gt;106&lt;/rec-number&gt;&lt;foreign-keys&gt;&lt;key app="EN" db-id="as9pxvrtdpppr2exar7xaxv0zs0p2vfsdtsx" timestamp="1447262844"&gt;106&lt;/key&gt;&lt;/foreign-keys&gt;&lt;ref-type name="Book"&gt;6&lt;/ref-type&gt;&lt;contributors&gt;&lt;authors&gt;&lt;author&gt;Hanneke Luijendijk&lt;/author&gt;&lt;/authors&gt;&lt;/contributors&gt;&lt;titles&gt;&lt;title&gt;Nederlandse gemeenten en het Europese personenverkeer : een onderzoek naar de consequenties van het personenverkeer voor de beleidsterreinen burgerzaken en ruimtelijke ordening en huisvesting&lt;/title&gt;&lt;/titles&gt;&lt;dates&gt;&lt;year&gt;2005&lt;/year&gt;&lt;/dates&gt;&lt;pub-location&gt;Deventer &lt;/pub-location&gt;&lt;publisher&gt;Kluwer&lt;/publisher&gt;&lt;urls&gt;&lt;/urls&gt;&lt;/record&gt;&lt;/Cite&gt;&lt;/EndNote&gt;</w:instrText>
      </w:r>
      <w:r w:rsidRPr="009E3E5B">
        <w:rPr>
          <w:sz w:val="22"/>
          <w:szCs w:val="22"/>
          <w:lang w:val="en-US"/>
        </w:rPr>
        <w:fldChar w:fldCharType="separate"/>
      </w:r>
      <w:r w:rsidRPr="009E3E5B">
        <w:rPr>
          <w:noProof/>
          <w:sz w:val="22"/>
          <w:szCs w:val="22"/>
          <w:lang w:val="nl-NL"/>
        </w:rPr>
        <w:t xml:space="preserve">H Luijendijk, </w:t>
      </w:r>
      <w:r w:rsidRPr="009E3E5B">
        <w:rPr>
          <w:i/>
          <w:noProof/>
          <w:sz w:val="22"/>
          <w:szCs w:val="22"/>
          <w:lang w:val="nl-NL"/>
        </w:rPr>
        <w:t>Nederlandse Gemeenten En Het Europese Personenverkeer : Een Onderzoek Naar De Consequenties Van Het Personenverkeer Voor De Beleidsterreinen Burgerzaken En Ruimtelijke Ordening En Huisvesting</w:t>
      </w:r>
      <w:r w:rsidRPr="009E3E5B">
        <w:rPr>
          <w:noProof/>
          <w:sz w:val="22"/>
          <w:szCs w:val="22"/>
          <w:lang w:val="nl-NL"/>
        </w:rPr>
        <w:t xml:space="preserve"> (Kluwer, 2005), pp 405-406, 375-377, 424</w:t>
      </w:r>
      <w:r w:rsidRPr="009E3E5B">
        <w:rPr>
          <w:sz w:val="22"/>
          <w:szCs w:val="22"/>
          <w:lang w:val="en-US"/>
        </w:rPr>
        <w:fldChar w:fldCharType="end"/>
      </w:r>
    </w:p>
  </w:footnote>
  <w:footnote w:id="71">
    <w:p w:rsidR="00491B8A" w:rsidRPr="009E3E5B" w:rsidRDefault="00491B8A" w:rsidP="009E3E5B">
      <w:pPr>
        <w:pStyle w:val="Geenafstand"/>
        <w:rPr>
          <w:sz w:val="22"/>
          <w:szCs w:val="22"/>
          <w:lang w:val="nl-NL"/>
        </w:rPr>
      </w:pPr>
      <w:r w:rsidRPr="009E3E5B">
        <w:rPr>
          <w:rStyle w:val="Voetnootmarkering"/>
          <w:sz w:val="22"/>
          <w:szCs w:val="22"/>
        </w:rPr>
        <w:footnoteRef/>
      </w:r>
      <w:r w:rsidRPr="009E3E5B">
        <w:rPr>
          <w:sz w:val="22"/>
          <w:szCs w:val="22"/>
          <w:lang w:val="nl-NL"/>
        </w:rPr>
        <w:t xml:space="preserve"> As Brouwer and Middelkoop also conclude in their report on the Dutch aliens administration, ‘De gelaagdheid van de vreemdelingenregelgeving in historisch en vergelijkend perspectief’, eindrapport 2012, summary, p. 6. </w:t>
      </w:r>
    </w:p>
  </w:footnote>
  <w:footnote w:id="72">
    <w:p w:rsidR="00491B8A" w:rsidRPr="009E3E5B" w:rsidRDefault="00491B8A" w:rsidP="009E3E5B">
      <w:pPr>
        <w:pStyle w:val="Geenafstand"/>
        <w:rPr>
          <w:sz w:val="22"/>
          <w:szCs w:val="22"/>
          <w:lang w:val="nl-NL"/>
        </w:rPr>
      </w:pPr>
      <w:r w:rsidRPr="009E3E5B">
        <w:rPr>
          <w:rStyle w:val="Voetnootmarkering"/>
          <w:sz w:val="22"/>
          <w:szCs w:val="22"/>
        </w:rPr>
        <w:footnoteRef/>
      </w:r>
      <w:r w:rsidRPr="009E3E5B">
        <w:rPr>
          <w:sz w:val="22"/>
          <w:szCs w:val="22"/>
          <w:lang w:val="nl-NL"/>
        </w:rPr>
        <w:t xml:space="preserve"> Article 10 and 11 Aliens Act. See: </w:t>
      </w:r>
      <w:r w:rsidRPr="009E3E5B">
        <w:rPr>
          <w:sz w:val="22"/>
          <w:szCs w:val="22"/>
        </w:rPr>
        <w:fldChar w:fldCharType="begin"/>
      </w:r>
      <w:r w:rsidRPr="009E3E5B">
        <w:rPr>
          <w:sz w:val="22"/>
          <w:szCs w:val="22"/>
          <w:lang w:val="nl-NL"/>
        </w:rPr>
        <w:instrText xml:space="preserve"> ADDIN EN.CITE &lt;EndNote&gt;&lt;Cite&gt;&lt;Author&gt;Noordam&lt;/Author&gt;&lt;Year&gt;2011&lt;/Year&gt;&lt;RecNum&gt;49&lt;/RecNum&gt;&lt;Pages&gt;54&lt;/Pages&gt;&lt;DisplayText&gt;FM Noordam and GJ Vonk, &lt;style face="italic"&gt;Hoofdzaken Sociale Zekerheidsrecht&lt;/style&gt; (Kluwer, 2011), p 54&lt;/DisplayText&gt;&lt;record&gt;&lt;rec-number&gt;49&lt;/rec-number&gt;&lt;foreign-keys&gt;&lt;key app="EN" db-id="as9pxvrtdpppr2exar7xaxv0zs0p2vfsdtsx" timestamp="1424108524"&gt;49&lt;/key&gt;&lt;/foreign-keys&gt;&lt;ref-type name="Book"&gt;6&lt;/ref-type&gt;&lt;contributors&gt;&lt;authors&gt;&lt;author&gt;Noordam, F. M.&lt;/author&gt;&lt;author&gt;Vonk, G. J. &lt;/author&gt;&lt;/authors&gt;&lt;/contributors&gt;&lt;titles&gt;&lt;title&gt;Hoofdzaken sociale zekerheidsrecht&lt;/title&gt;&lt;/titles&gt;&lt;dates&gt;&lt;year&gt;2011&lt;/year&gt;&lt;/dates&gt;&lt;pub-location&gt;Deventer &lt;/pub-location&gt;&lt;publisher&gt;Kluwer&lt;/publisher&gt;&lt;urls&gt;&lt;/urls&gt;&lt;/record&gt;&lt;/Cite&gt;&lt;/EndNote&gt;</w:instrText>
      </w:r>
      <w:r w:rsidRPr="009E3E5B">
        <w:rPr>
          <w:sz w:val="22"/>
          <w:szCs w:val="22"/>
        </w:rPr>
        <w:fldChar w:fldCharType="separate"/>
      </w:r>
      <w:r w:rsidRPr="009E3E5B">
        <w:rPr>
          <w:noProof/>
          <w:sz w:val="22"/>
          <w:szCs w:val="22"/>
          <w:lang w:val="nl-NL"/>
        </w:rPr>
        <w:t xml:space="preserve">FM Noordam and GJ Vonk, </w:t>
      </w:r>
      <w:r w:rsidRPr="009E3E5B">
        <w:rPr>
          <w:i/>
          <w:noProof/>
          <w:sz w:val="22"/>
          <w:szCs w:val="22"/>
          <w:lang w:val="nl-NL"/>
        </w:rPr>
        <w:t>Hoofdzaken Sociale Zekerheidsrecht</w:t>
      </w:r>
      <w:r w:rsidRPr="009E3E5B">
        <w:rPr>
          <w:noProof/>
          <w:sz w:val="22"/>
          <w:szCs w:val="22"/>
          <w:lang w:val="nl-NL"/>
        </w:rPr>
        <w:t xml:space="preserve"> (Kluwer, 2011), p 54</w:t>
      </w:r>
      <w:r w:rsidRPr="009E3E5B">
        <w:rPr>
          <w:sz w:val="22"/>
          <w:szCs w:val="22"/>
        </w:rPr>
        <w:fldChar w:fldCharType="end"/>
      </w:r>
    </w:p>
  </w:footnote>
  <w:footnote w:id="73">
    <w:p w:rsidR="00491B8A" w:rsidRPr="009E3E5B" w:rsidRDefault="00491B8A" w:rsidP="009E3E5B">
      <w:pPr>
        <w:pStyle w:val="Geenafstand"/>
        <w:rPr>
          <w:sz w:val="22"/>
          <w:szCs w:val="22"/>
          <w:lang w:val="en-US"/>
        </w:rPr>
      </w:pPr>
      <w:r w:rsidRPr="009E3E5B">
        <w:rPr>
          <w:rStyle w:val="Voetnootmarkering"/>
          <w:sz w:val="22"/>
          <w:szCs w:val="22"/>
        </w:rPr>
        <w:footnoteRef/>
      </w:r>
      <w:r w:rsidRPr="009E3E5B">
        <w:rPr>
          <w:sz w:val="22"/>
          <w:szCs w:val="22"/>
          <w:lang w:val="en-US"/>
        </w:rPr>
        <w:t xml:space="preserve"> See for instance Policy Instructions Municipality of Amsterdam, point 4.1.2.1, available online </w:t>
      </w:r>
      <w:hyperlink r:id="rId2" w:history="1">
        <w:r w:rsidRPr="009E3E5B">
          <w:rPr>
            <w:rStyle w:val="Hyperlink"/>
            <w:sz w:val="22"/>
            <w:szCs w:val="22"/>
            <w:lang w:val="en-US"/>
          </w:rPr>
          <w:t>https://www.amsterdam.nl/beleidwerkeninkomen/4-specifieke/</w:t>
        </w:r>
      </w:hyperlink>
      <w:r w:rsidRPr="009E3E5B">
        <w:rPr>
          <w:sz w:val="22"/>
          <w:szCs w:val="22"/>
          <w:lang w:val="en-US"/>
        </w:rPr>
        <w:t xml:space="preserve"> (6 February 2017). </w:t>
      </w:r>
    </w:p>
  </w:footnote>
  <w:footnote w:id="74">
    <w:p w:rsidR="00491B8A" w:rsidRPr="009E3E5B" w:rsidRDefault="00491B8A" w:rsidP="009E3E5B">
      <w:pPr>
        <w:pStyle w:val="Geenafstand"/>
        <w:rPr>
          <w:sz w:val="22"/>
          <w:szCs w:val="22"/>
        </w:rPr>
      </w:pPr>
      <w:r w:rsidRPr="009E3E5B">
        <w:rPr>
          <w:rStyle w:val="Voetnootmarkering"/>
          <w:sz w:val="22"/>
          <w:szCs w:val="22"/>
        </w:rPr>
        <w:footnoteRef/>
      </w:r>
      <w:r w:rsidRPr="009E3E5B">
        <w:rPr>
          <w:sz w:val="22"/>
          <w:szCs w:val="22"/>
        </w:rPr>
        <w:t xml:space="preserve"> </w:t>
      </w:r>
      <w:r w:rsidRPr="009E3E5B">
        <w:rPr>
          <w:sz w:val="22"/>
          <w:szCs w:val="22"/>
        </w:rPr>
        <w:fldChar w:fldCharType="begin"/>
      </w:r>
      <w:r w:rsidRPr="009E3E5B">
        <w:rPr>
          <w:sz w:val="22"/>
          <w:szCs w:val="22"/>
        </w:rPr>
        <w:instrText xml:space="preserve"> ADDIN EN.CITE &lt;EndNote&gt;&lt;Cite&gt;&lt;Author&gt;Davies&lt;/Author&gt;&lt;Year&gt;2003&lt;/Year&gt;&lt;RecNum&gt;102&lt;/RecNum&gt;&lt;DisplayText&gt;G Davies&lt;/DisplayText&gt;&lt;record&gt;&lt;rec-number&gt;102&lt;/rec-number&gt;&lt;foreign-keys&gt;&lt;key app="EN" db-id="as9pxvrtdpppr2exar7xaxv0zs0p2vfsdtsx" timestamp="1446483699"&gt;102&lt;/key&gt;&lt;/foreign-keys&gt;&lt;ref-type name="Journal Article"&gt;17&lt;/ref-type&gt;&lt;contributors&gt;&lt;authors&gt;&lt;author&gt;Davies, Gareth&lt;/author&gt;&lt;/authors&gt;&lt;/contributors&gt;&lt;titles&gt;&lt;title&gt;Bureaucracy and Free Movement: A Conflict of Form and Substance&lt;/title&gt;&lt;secondary-title&gt;Nederlands Tijdschrift voor Europees Recht&lt;/secondary-title&gt;&lt;/titles&gt;&lt;periodical&gt;&lt;full-title&gt;Nederlands Tijdschrift voor Europees Recht&lt;/full-title&gt;&lt;/periodical&gt;&lt;pages&gt;81-89&lt;/pages&gt;&lt;volume&gt;4&lt;/volume&gt;&lt;section&gt;81&lt;/section&gt;&lt;dates&gt;&lt;year&gt;2003&lt;/year&gt;&lt;/dates&gt;&lt;urls&gt;&lt;/urls&gt;&lt;/record&gt;&lt;/Cite&gt;&lt;/EndNote&gt;</w:instrText>
      </w:r>
      <w:r w:rsidRPr="009E3E5B">
        <w:rPr>
          <w:sz w:val="22"/>
          <w:szCs w:val="22"/>
        </w:rPr>
        <w:fldChar w:fldCharType="separate"/>
      </w:r>
      <w:r w:rsidRPr="009E3E5B">
        <w:rPr>
          <w:noProof/>
          <w:sz w:val="22"/>
          <w:szCs w:val="22"/>
        </w:rPr>
        <w:t>G Davies</w:t>
      </w:r>
      <w:r w:rsidRPr="009E3E5B">
        <w:rPr>
          <w:sz w:val="22"/>
          <w:szCs w:val="22"/>
        </w:rPr>
        <w:fldChar w:fldCharType="end"/>
      </w:r>
      <w:r w:rsidRPr="009E3E5B">
        <w:rPr>
          <w:sz w:val="22"/>
          <w:szCs w:val="22"/>
        </w:rPr>
        <w:t xml:space="preserve"> see footnote </w:t>
      </w:r>
      <w:r w:rsidRPr="009E3E5B">
        <w:rPr>
          <w:sz w:val="22"/>
          <w:szCs w:val="22"/>
        </w:rPr>
        <w:fldChar w:fldCharType="begin"/>
      </w:r>
      <w:r w:rsidRPr="009E3E5B">
        <w:rPr>
          <w:sz w:val="22"/>
          <w:szCs w:val="22"/>
        </w:rPr>
        <w:instrText xml:space="preserve"> NOTEREF _Ref475451588 \h  \* MERGEFORMAT </w:instrText>
      </w:r>
      <w:r w:rsidRPr="009E3E5B">
        <w:rPr>
          <w:sz w:val="22"/>
          <w:szCs w:val="22"/>
        </w:rPr>
      </w:r>
      <w:r w:rsidRPr="009E3E5B">
        <w:rPr>
          <w:sz w:val="22"/>
          <w:szCs w:val="22"/>
        </w:rPr>
        <w:fldChar w:fldCharType="separate"/>
      </w:r>
      <w:r>
        <w:rPr>
          <w:sz w:val="22"/>
          <w:szCs w:val="22"/>
        </w:rPr>
        <w:t>3</w:t>
      </w:r>
      <w:r w:rsidRPr="009E3E5B">
        <w:rPr>
          <w:sz w:val="22"/>
          <w:szCs w:val="22"/>
        </w:rPr>
        <w:fldChar w:fldCharType="end"/>
      </w:r>
      <w:r w:rsidRPr="009E3E5B">
        <w:rPr>
          <w:sz w:val="22"/>
          <w:szCs w:val="22"/>
        </w:rPr>
        <w:t xml:space="preserve"> above. </w:t>
      </w:r>
    </w:p>
  </w:footnote>
  <w:footnote w:id="75">
    <w:p w:rsidR="00491B8A" w:rsidRPr="009E3E5B" w:rsidRDefault="00491B8A" w:rsidP="009E3E5B">
      <w:pPr>
        <w:pStyle w:val="Geenafstand"/>
        <w:rPr>
          <w:sz w:val="22"/>
          <w:szCs w:val="22"/>
        </w:rPr>
      </w:pPr>
      <w:r w:rsidRPr="009E3E5B">
        <w:rPr>
          <w:rStyle w:val="Voetnootmarkering"/>
          <w:sz w:val="22"/>
          <w:szCs w:val="22"/>
        </w:rPr>
        <w:footnoteRef/>
      </w:r>
      <w:r w:rsidRPr="009E3E5B">
        <w:rPr>
          <w:sz w:val="22"/>
          <w:szCs w:val="22"/>
        </w:rPr>
        <w:t xml:space="preserve"> Letter from the Commission to the Netherlands, infringement no. 1999/2029, C(2003)990, 2 April 2003, p 15. </w:t>
      </w:r>
    </w:p>
  </w:footnote>
  <w:footnote w:id="76">
    <w:p w:rsidR="00491B8A" w:rsidRPr="009E3E5B" w:rsidRDefault="00491B8A" w:rsidP="009E3E5B">
      <w:pPr>
        <w:pStyle w:val="Geenafstand"/>
        <w:rPr>
          <w:sz w:val="22"/>
          <w:szCs w:val="22"/>
        </w:rPr>
      </w:pPr>
      <w:r w:rsidRPr="009E3E5B">
        <w:rPr>
          <w:rStyle w:val="Voetnootmarkering"/>
          <w:sz w:val="22"/>
          <w:szCs w:val="22"/>
        </w:rPr>
        <w:footnoteRef/>
      </w:r>
      <w:r w:rsidRPr="009E3E5B">
        <w:rPr>
          <w:sz w:val="22"/>
          <w:szCs w:val="22"/>
        </w:rPr>
        <w:t xml:space="preserve"> Response of the Netherlands to the Reasoned Opinion of 3 April 2003 on 17 September 2003. Classified as SG (2003) A/9083. And TBV 2004/1, p. 4. </w:t>
      </w:r>
    </w:p>
  </w:footnote>
  <w:footnote w:id="77">
    <w:p w:rsidR="00491B8A" w:rsidRPr="009E3E5B" w:rsidRDefault="00491B8A" w:rsidP="009E3E5B">
      <w:pPr>
        <w:pStyle w:val="Geenafstand"/>
        <w:rPr>
          <w:sz w:val="22"/>
          <w:szCs w:val="22"/>
          <w:lang w:val="en-US"/>
        </w:rPr>
      </w:pPr>
      <w:r w:rsidRPr="009E3E5B">
        <w:rPr>
          <w:rStyle w:val="Voetnootmarkering"/>
          <w:sz w:val="22"/>
          <w:szCs w:val="22"/>
        </w:rPr>
        <w:footnoteRef/>
      </w:r>
      <w:r w:rsidRPr="009E3E5B">
        <w:rPr>
          <w:sz w:val="22"/>
          <w:szCs w:val="22"/>
          <w:lang w:val="en-US"/>
        </w:rPr>
        <w:t xml:space="preserve"> </w:t>
      </w:r>
      <w:r w:rsidRPr="009E3E5B">
        <w:rPr>
          <w:i/>
          <w:sz w:val="22"/>
          <w:szCs w:val="22"/>
          <w:lang w:val="en-US"/>
        </w:rPr>
        <w:t>Commission v Netherlands</w:t>
      </w:r>
      <w:r w:rsidRPr="009E3E5B">
        <w:rPr>
          <w:sz w:val="22"/>
          <w:szCs w:val="22"/>
          <w:lang w:val="en-US"/>
        </w:rPr>
        <w:t>, C-398/06, EU:C:2008:214.</w:t>
      </w:r>
    </w:p>
  </w:footnote>
  <w:footnote w:id="78">
    <w:p w:rsidR="00491B8A" w:rsidRPr="009E3E5B" w:rsidRDefault="00491B8A" w:rsidP="009E3E5B">
      <w:pPr>
        <w:pStyle w:val="Geenafstand"/>
        <w:rPr>
          <w:sz w:val="22"/>
          <w:szCs w:val="22"/>
          <w:lang w:val="en-US"/>
        </w:rPr>
      </w:pPr>
      <w:r w:rsidRPr="009E3E5B">
        <w:rPr>
          <w:rStyle w:val="Voetnootmarkering"/>
          <w:sz w:val="22"/>
          <w:szCs w:val="22"/>
        </w:rPr>
        <w:footnoteRef/>
      </w:r>
      <w:r w:rsidRPr="009E3E5B">
        <w:rPr>
          <w:sz w:val="22"/>
          <w:szCs w:val="22"/>
        </w:rPr>
        <w:t xml:space="preserve"> See cases in footnote </w:t>
      </w:r>
      <w:r w:rsidRPr="009E3E5B">
        <w:rPr>
          <w:sz w:val="22"/>
          <w:szCs w:val="22"/>
        </w:rPr>
        <w:fldChar w:fldCharType="begin"/>
      </w:r>
      <w:r w:rsidRPr="009E3E5B">
        <w:rPr>
          <w:sz w:val="22"/>
          <w:szCs w:val="22"/>
        </w:rPr>
        <w:instrText xml:space="preserve"> NOTEREF _Ref474240518 \h  \* MERGEFORMAT </w:instrText>
      </w:r>
      <w:r w:rsidRPr="009E3E5B">
        <w:rPr>
          <w:sz w:val="22"/>
          <w:szCs w:val="22"/>
        </w:rPr>
      </w:r>
      <w:r w:rsidRPr="009E3E5B">
        <w:rPr>
          <w:sz w:val="22"/>
          <w:szCs w:val="22"/>
        </w:rPr>
        <w:fldChar w:fldCharType="separate"/>
      </w:r>
      <w:r>
        <w:rPr>
          <w:sz w:val="22"/>
          <w:szCs w:val="22"/>
        </w:rPr>
        <w:t>57</w:t>
      </w:r>
      <w:r w:rsidRPr="009E3E5B">
        <w:rPr>
          <w:sz w:val="22"/>
          <w:szCs w:val="22"/>
        </w:rPr>
        <w:fldChar w:fldCharType="end"/>
      </w:r>
      <w:r w:rsidRPr="009E3E5B">
        <w:rPr>
          <w:sz w:val="22"/>
          <w:szCs w:val="22"/>
        </w:rPr>
        <w:t xml:space="preserve"> above, also Alkmaar, 25-08-2003, ECLI:NL:RBALK:2003:AI1807. </w:t>
      </w:r>
      <w:r w:rsidRPr="009E3E5B">
        <w:rPr>
          <w:sz w:val="22"/>
          <w:szCs w:val="22"/>
          <w:lang w:val="en-US"/>
        </w:rPr>
        <w:t>One court decided differently, Arnhem, 17-09-2004, ECLI:NL:RBARN:2004:AR3129.</w:t>
      </w:r>
    </w:p>
  </w:footnote>
  <w:footnote w:id="79">
    <w:p w:rsidR="00491B8A" w:rsidRPr="009E3E5B" w:rsidRDefault="00491B8A" w:rsidP="009E3E5B">
      <w:pPr>
        <w:pStyle w:val="Geenafstand"/>
        <w:rPr>
          <w:sz w:val="22"/>
          <w:szCs w:val="22"/>
          <w:lang w:val="en-US"/>
        </w:rPr>
      </w:pPr>
      <w:r w:rsidRPr="009E3E5B">
        <w:rPr>
          <w:rStyle w:val="Voetnootmarkering"/>
          <w:sz w:val="22"/>
          <w:szCs w:val="22"/>
        </w:rPr>
        <w:footnoteRef/>
      </w:r>
      <w:r w:rsidRPr="009E3E5B">
        <w:rPr>
          <w:sz w:val="22"/>
          <w:szCs w:val="22"/>
          <w:lang w:val="en-US"/>
        </w:rPr>
        <w:t xml:space="preserve"> Centrale Raad van Beroep, 13-06-2006, ECLI:NL:CRVB:2006:AY3868. </w:t>
      </w:r>
    </w:p>
  </w:footnote>
  <w:footnote w:id="80">
    <w:p w:rsidR="00491B8A" w:rsidRPr="009E3E5B" w:rsidRDefault="00491B8A" w:rsidP="009E3E5B">
      <w:pPr>
        <w:pStyle w:val="Geenafstand"/>
        <w:rPr>
          <w:sz w:val="22"/>
          <w:szCs w:val="22"/>
          <w:lang w:val="en-US"/>
        </w:rPr>
      </w:pPr>
      <w:r w:rsidRPr="009E3E5B">
        <w:rPr>
          <w:rStyle w:val="Voetnootmarkering"/>
          <w:sz w:val="22"/>
          <w:szCs w:val="22"/>
        </w:rPr>
        <w:footnoteRef/>
      </w:r>
      <w:r w:rsidRPr="009E3E5B">
        <w:rPr>
          <w:sz w:val="22"/>
          <w:szCs w:val="22"/>
        </w:rPr>
        <w:t xml:space="preserve"> Article 8.11 Vb 2000.</w:t>
      </w:r>
    </w:p>
  </w:footnote>
  <w:footnote w:id="81">
    <w:p w:rsidR="00491B8A" w:rsidRPr="009E3E5B" w:rsidRDefault="00491B8A" w:rsidP="009E3E5B">
      <w:pPr>
        <w:pStyle w:val="Geenafstand"/>
        <w:rPr>
          <w:sz w:val="22"/>
          <w:szCs w:val="22"/>
          <w:lang w:val="en-US"/>
        </w:rPr>
      </w:pPr>
      <w:r w:rsidRPr="009E3E5B">
        <w:rPr>
          <w:rStyle w:val="Voetnootmarkering"/>
          <w:sz w:val="22"/>
          <w:szCs w:val="22"/>
        </w:rPr>
        <w:footnoteRef/>
      </w:r>
      <w:r w:rsidRPr="009E3E5B">
        <w:rPr>
          <w:sz w:val="22"/>
          <w:szCs w:val="22"/>
          <w:lang w:val="en-US"/>
        </w:rPr>
        <w:t xml:space="preserve"> Article 11 Participation Act.  </w:t>
      </w:r>
    </w:p>
  </w:footnote>
  <w:footnote w:id="82">
    <w:p w:rsidR="00491B8A" w:rsidRPr="009E3E5B" w:rsidRDefault="00491B8A" w:rsidP="009E3E5B">
      <w:pPr>
        <w:pStyle w:val="Geenafstand"/>
        <w:rPr>
          <w:sz w:val="22"/>
          <w:szCs w:val="22"/>
        </w:rPr>
      </w:pPr>
      <w:r w:rsidRPr="009E3E5B">
        <w:rPr>
          <w:rStyle w:val="Voetnootmarkering"/>
          <w:sz w:val="22"/>
          <w:szCs w:val="22"/>
        </w:rPr>
        <w:footnoteRef/>
      </w:r>
      <w:r w:rsidRPr="009E3E5B">
        <w:rPr>
          <w:sz w:val="22"/>
          <w:szCs w:val="22"/>
        </w:rPr>
        <w:t xml:space="preserve"> Article 8.12 (4) Vb 2000 (transposition Article 8 (1) and (2) Directive).</w:t>
      </w:r>
    </w:p>
  </w:footnote>
  <w:footnote w:id="83">
    <w:p w:rsidR="00491B8A" w:rsidRPr="009E3E5B" w:rsidRDefault="00491B8A" w:rsidP="009E3E5B">
      <w:pPr>
        <w:pStyle w:val="Geenafstand"/>
        <w:rPr>
          <w:sz w:val="22"/>
          <w:szCs w:val="22"/>
          <w:lang w:val="en-US"/>
        </w:rPr>
      </w:pPr>
      <w:r w:rsidRPr="009E3E5B">
        <w:rPr>
          <w:rStyle w:val="Voetnootmarkering"/>
          <w:sz w:val="22"/>
          <w:szCs w:val="22"/>
        </w:rPr>
        <w:footnoteRef/>
      </w:r>
      <w:r w:rsidRPr="009E3E5B">
        <w:rPr>
          <w:sz w:val="22"/>
          <w:szCs w:val="22"/>
          <w:lang w:val="en-US"/>
        </w:rPr>
        <w:t xml:space="preserve"> Stb. 2006, no. 215, pp 22-23. </w:t>
      </w:r>
    </w:p>
  </w:footnote>
  <w:footnote w:id="84">
    <w:p w:rsidR="00491B8A" w:rsidRPr="009E3E5B" w:rsidRDefault="00491B8A" w:rsidP="009E3E5B">
      <w:pPr>
        <w:pStyle w:val="Geenafstand"/>
        <w:rPr>
          <w:sz w:val="22"/>
          <w:szCs w:val="22"/>
          <w:lang w:val="en-US"/>
        </w:rPr>
      </w:pPr>
      <w:r w:rsidRPr="009E3E5B">
        <w:rPr>
          <w:rStyle w:val="Voetnootmarkering"/>
          <w:sz w:val="22"/>
          <w:szCs w:val="22"/>
        </w:rPr>
        <w:footnoteRef/>
      </w:r>
      <w:r w:rsidRPr="009E3E5B">
        <w:rPr>
          <w:sz w:val="22"/>
          <w:szCs w:val="22"/>
          <w:lang w:val="en-US"/>
        </w:rPr>
        <w:t xml:space="preserve"> Stb. 2006, no. 215, p. 22. </w:t>
      </w:r>
    </w:p>
  </w:footnote>
  <w:footnote w:id="85">
    <w:p w:rsidR="00491B8A" w:rsidRPr="009E3E5B" w:rsidRDefault="00491B8A" w:rsidP="009E3E5B">
      <w:pPr>
        <w:pStyle w:val="Geenafstand"/>
        <w:rPr>
          <w:sz w:val="22"/>
          <w:szCs w:val="22"/>
          <w:lang w:val="nl-NL"/>
        </w:rPr>
      </w:pPr>
      <w:r w:rsidRPr="009E3E5B">
        <w:rPr>
          <w:rStyle w:val="Voetnootmarkering"/>
          <w:sz w:val="22"/>
          <w:szCs w:val="22"/>
        </w:rPr>
        <w:footnoteRef/>
      </w:r>
      <w:r w:rsidRPr="009E3E5B">
        <w:rPr>
          <w:sz w:val="22"/>
          <w:szCs w:val="22"/>
          <w:lang w:val="nl-NL"/>
        </w:rPr>
        <w:t xml:space="preserve"> Information leaflet, ‘Inschrijving bij de IND voor EU-onderdanen’, Immigratie en Naturalisatie Dienst, October 2010. </w:t>
      </w:r>
    </w:p>
  </w:footnote>
  <w:footnote w:id="86">
    <w:p w:rsidR="00491B8A" w:rsidRPr="009E3E5B" w:rsidRDefault="00491B8A" w:rsidP="009E3E5B">
      <w:pPr>
        <w:pStyle w:val="Geenafstand"/>
        <w:rPr>
          <w:sz w:val="22"/>
          <w:szCs w:val="22"/>
          <w:lang w:val="nl-NL"/>
        </w:rPr>
      </w:pPr>
      <w:r w:rsidRPr="009E3E5B">
        <w:rPr>
          <w:rStyle w:val="Voetnootmarkering"/>
          <w:sz w:val="22"/>
          <w:szCs w:val="22"/>
        </w:rPr>
        <w:footnoteRef/>
      </w:r>
      <w:r w:rsidRPr="009E3E5B">
        <w:rPr>
          <w:sz w:val="22"/>
          <w:szCs w:val="22"/>
          <w:lang w:val="nl-NL"/>
        </w:rPr>
        <w:t xml:space="preserve"> Vb 2000, 8.17. Stb 2006, no. 215, p. 9. </w:t>
      </w:r>
    </w:p>
  </w:footnote>
  <w:footnote w:id="87">
    <w:p w:rsidR="00491B8A" w:rsidRPr="009E3E5B" w:rsidRDefault="00491B8A" w:rsidP="009E3E5B">
      <w:pPr>
        <w:pStyle w:val="Geenafstand"/>
        <w:rPr>
          <w:sz w:val="22"/>
          <w:szCs w:val="22"/>
          <w:lang w:val="nl-NL"/>
        </w:rPr>
      </w:pPr>
      <w:r w:rsidRPr="009E3E5B">
        <w:rPr>
          <w:rStyle w:val="Voetnootmarkering"/>
          <w:sz w:val="22"/>
          <w:szCs w:val="22"/>
        </w:rPr>
        <w:footnoteRef/>
      </w:r>
      <w:r w:rsidRPr="009E3E5B">
        <w:rPr>
          <w:sz w:val="22"/>
          <w:szCs w:val="22"/>
          <w:lang w:val="nl-NL"/>
        </w:rPr>
        <w:t xml:space="preserve"> Immigratie en Naturalisatie Dienst, ‘IND Registration for EU Citizens’, December 2007, p. 13. </w:t>
      </w:r>
    </w:p>
  </w:footnote>
  <w:footnote w:id="88">
    <w:p w:rsidR="00491B8A" w:rsidRPr="009E3E5B" w:rsidRDefault="00491B8A" w:rsidP="009E3E5B">
      <w:pPr>
        <w:pStyle w:val="Geenafstand"/>
        <w:rPr>
          <w:sz w:val="22"/>
          <w:szCs w:val="22"/>
          <w:lang w:val="nl-NL"/>
        </w:rPr>
      </w:pPr>
      <w:r w:rsidRPr="009E3E5B">
        <w:rPr>
          <w:rStyle w:val="Voetnootmarkering"/>
          <w:sz w:val="22"/>
          <w:szCs w:val="22"/>
        </w:rPr>
        <w:footnoteRef/>
      </w:r>
      <w:r w:rsidRPr="009E3E5B">
        <w:rPr>
          <w:sz w:val="22"/>
          <w:szCs w:val="22"/>
          <w:lang w:val="nl-NL"/>
        </w:rPr>
        <w:t xml:space="preserve"> Aliens Ciricular, B10, 2.6, Wijziging vreemdelingenciculaire 2007/01, Staatscourant 22 februari 2007, nr. 38 / pag. 7. </w:t>
      </w:r>
    </w:p>
  </w:footnote>
  <w:footnote w:id="89">
    <w:p w:rsidR="00491B8A" w:rsidRPr="009E3E5B" w:rsidRDefault="00491B8A" w:rsidP="009E3E5B">
      <w:pPr>
        <w:pStyle w:val="Geenafstand"/>
        <w:rPr>
          <w:sz w:val="22"/>
          <w:szCs w:val="22"/>
          <w:lang w:val="nl-NL"/>
        </w:rPr>
      </w:pPr>
      <w:r w:rsidRPr="009E3E5B">
        <w:rPr>
          <w:rStyle w:val="Voetnootmarkering"/>
          <w:sz w:val="22"/>
          <w:szCs w:val="22"/>
        </w:rPr>
        <w:footnoteRef/>
      </w:r>
      <w:r w:rsidRPr="009E3E5B">
        <w:rPr>
          <w:sz w:val="22"/>
          <w:szCs w:val="22"/>
          <w:lang w:val="nl-NL"/>
        </w:rPr>
        <w:t xml:space="preserve"> Stb. 215, p. 23. </w:t>
      </w:r>
    </w:p>
  </w:footnote>
  <w:footnote w:id="90">
    <w:p w:rsidR="00491B8A" w:rsidRPr="009E3E5B" w:rsidRDefault="00491B8A" w:rsidP="009E3E5B">
      <w:pPr>
        <w:pStyle w:val="Geenafstand"/>
        <w:rPr>
          <w:sz w:val="22"/>
          <w:szCs w:val="22"/>
          <w:lang w:val="nl-NL"/>
        </w:rPr>
      </w:pPr>
      <w:r w:rsidRPr="009E3E5B">
        <w:rPr>
          <w:rStyle w:val="Voetnootmarkering"/>
          <w:sz w:val="22"/>
          <w:szCs w:val="22"/>
        </w:rPr>
        <w:footnoteRef/>
      </w:r>
      <w:r w:rsidRPr="009E3E5B">
        <w:rPr>
          <w:sz w:val="22"/>
          <w:szCs w:val="22"/>
          <w:lang w:val="nl-NL"/>
        </w:rPr>
        <w:t xml:space="preserve"> Inspectie Werk en Inkomen / Informatie- en Analysecentrum IND, ‘Bijstand, WW en verblijfsvergunning’, V08/05, december 2008. </w:t>
      </w:r>
    </w:p>
  </w:footnote>
  <w:footnote w:id="91">
    <w:p w:rsidR="00491B8A" w:rsidRPr="009E3E5B" w:rsidRDefault="00491B8A" w:rsidP="009E3E5B">
      <w:pPr>
        <w:pStyle w:val="Geenafstand"/>
        <w:rPr>
          <w:sz w:val="22"/>
          <w:szCs w:val="22"/>
          <w:lang w:val="en-US"/>
        </w:rPr>
      </w:pPr>
      <w:r w:rsidRPr="009E3E5B">
        <w:rPr>
          <w:rStyle w:val="Voetnootmarkering"/>
          <w:sz w:val="22"/>
          <w:szCs w:val="22"/>
        </w:rPr>
        <w:footnoteRef/>
      </w:r>
      <w:r w:rsidRPr="009E3E5B">
        <w:rPr>
          <w:sz w:val="22"/>
          <w:szCs w:val="22"/>
          <w:lang w:val="en-US"/>
        </w:rPr>
        <w:t xml:space="preserve"> As also confirmed in interviews. Municipality Westland (13 January 2016) and Amsterdam (XXX)</w:t>
      </w:r>
    </w:p>
  </w:footnote>
  <w:footnote w:id="92">
    <w:p w:rsidR="00491B8A" w:rsidRPr="009E3E5B" w:rsidRDefault="00491B8A" w:rsidP="009E3E5B">
      <w:pPr>
        <w:pStyle w:val="Geenafstand"/>
        <w:rPr>
          <w:sz w:val="22"/>
          <w:szCs w:val="22"/>
          <w:lang w:val="nl-NL"/>
        </w:rPr>
      </w:pPr>
      <w:r w:rsidRPr="009E3E5B">
        <w:rPr>
          <w:rStyle w:val="Voetnootmarkering"/>
          <w:sz w:val="22"/>
          <w:szCs w:val="22"/>
        </w:rPr>
        <w:footnoteRef/>
      </w:r>
      <w:r w:rsidRPr="009E3E5B">
        <w:rPr>
          <w:sz w:val="22"/>
          <w:szCs w:val="22"/>
          <w:lang w:val="nl-NL"/>
        </w:rPr>
        <w:t xml:space="preserve"> Inspectie Werk en Inkomen / Informatie- en Analysecentrum IND, ‘Bijstand, WW en verblijfsvergunning’, V08/05, december 200, p </w:t>
      </w:r>
    </w:p>
  </w:footnote>
  <w:footnote w:id="93">
    <w:p w:rsidR="00491B8A" w:rsidRPr="009E3E5B" w:rsidRDefault="00491B8A" w:rsidP="009E3E5B">
      <w:pPr>
        <w:pStyle w:val="Geenafstand"/>
        <w:rPr>
          <w:sz w:val="22"/>
          <w:szCs w:val="22"/>
          <w:lang w:val="nl-NL"/>
        </w:rPr>
      </w:pPr>
      <w:r w:rsidRPr="009E3E5B">
        <w:rPr>
          <w:rStyle w:val="Voetnootmarkering"/>
          <w:sz w:val="22"/>
          <w:szCs w:val="22"/>
        </w:rPr>
        <w:footnoteRef/>
      </w:r>
      <w:r w:rsidRPr="009E3E5B">
        <w:rPr>
          <w:sz w:val="22"/>
          <w:szCs w:val="22"/>
          <w:lang w:val="nl-NL"/>
        </w:rPr>
        <w:t xml:space="preserve"> Inspectie Werk en Inkomen / Informatie- en Analysecentrum IND, ‘Bijstand, WW en verblijfsvergunning’, V08/05, december 2008, p. 25.</w:t>
      </w:r>
    </w:p>
  </w:footnote>
  <w:footnote w:id="94">
    <w:p w:rsidR="00491B8A" w:rsidRPr="009E3E5B" w:rsidRDefault="00491B8A" w:rsidP="009E3E5B">
      <w:pPr>
        <w:pStyle w:val="Geenafstand"/>
        <w:rPr>
          <w:sz w:val="22"/>
          <w:szCs w:val="22"/>
          <w:lang w:val="en-US"/>
        </w:rPr>
      </w:pPr>
      <w:r w:rsidRPr="009E3E5B">
        <w:rPr>
          <w:rStyle w:val="Voetnootmarkering"/>
          <w:sz w:val="22"/>
          <w:szCs w:val="22"/>
        </w:rPr>
        <w:footnoteRef/>
      </w:r>
      <w:r w:rsidRPr="009E3E5B">
        <w:rPr>
          <w:sz w:val="22"/>
          <w:szCs w:val="22"/>
        </w:rPr>
        <w:t xml:space="preserve"> </w:t>
      </w:r>
      <w:r w:rsidRPr="009E3E5B">
        <w:rPr>
          <w:sz w:val="22"/>
          <w:szCs w:val="22"/>
          <w:lang w:val="en-US"/>
        </w:rPr>
        <w:t xml:space="preserve">An unintended consequence of administrative adjustment coined by </w:t>
      </w:r>
      <w:r w:rsidRPr="009E3E5B">
        <w:rPr>
          <w:sz w:val="22"/>
          <w:szCs w:val="22"/>
          <w:lang w:val="en-US"/>
        </w:rPr>
        <w:fldChar w:fldCharType="begin"/>
      </w:r>
      <w:r w:rsidRPr="009E3E5B">
        <w:rPr>
          <w:sz w:val="22"/>
          <w:szCs w:val="22"/>
          <w:lang w:val="en-US"/>
        </w:rPr>
        <w:instrText xml:space="preserve"> ADDIN EN.CITE &lt;EndNote&gt;&lt;Cite&gt;&lt;Author&gt;Heindlmayer&lt;/Author&gt;&lt;Year&gt;Forthcoming in JEPP&lt;/Year&gt;&lt;RecNum&gt;239&lt;/RecNum&gt;&lt;DisplayText&gt;A Heindlmayer and M Blauberger&lt;/DisplayText&gt;&lt;record&gt;&lt;rec-number&gt;239&lt;/rec-number&gt;&lt;foreign-keys&gt;&lt;key app="EN" db-id="as9pxvrtdpppr2exar7xaxv0zs0p2vfsdtsx" timestamp="1485793649"&gt;239&lt;/key&gt;&lt;/foreign-keys&gt;&lt;ref-type name="Journal Article"&gt;17&lt;/ref-type&gt;&lt;contributors&gt;&lt;authors&gt;&lt;author&gt;Heindlmayer, Anita&lt;/author&gt;&lt;author&gt;Blauberger, Michael&lt;/author&gt;&lt;/authors&gt;&lt;/contributors&gt;&lt;titles&gt;&lt;title&gt;Enter at Your Own Risk: How EU Member States Administer the Free Movement of EU Citizens&lt;/title&gt;&lt;/titles&gt;&lt;dates&gt;&lt;year&gt;Forthcoming in JEPP&lt;/year&gt;&lt;/dates&gt;&lt;urls&gt;&lt;/urls&gt;&lt;/record&gt;&lt;/Cite&gt;&lt;/EndNote&gt;</w:instrText>
      </w:r>
      <w:r w:rsidRPr="009E3E5B">
        <w:rPr>
          <w:sz w:val="22"/>
          <w:szCs w:val="22"/>
          <w:lang w:val="en-US"/>
        </w:rPr>
        <w:fldChar w:fldCharType="separate"/>
      </w:r>
      <w:r w:rsidRPr="009E3E5B">
        <w:rPr>
          <w:noProof/>
          <w:sz w:val="22"/>
          <w:szCs w:val="22"/>
          <w:lang w:val="en-US"/>
        </w:rPr>
        <w:t>A Heindlmayer and M Blauberger</w:t>
      </w:r>
      <w:r w:rsidRPr="009E3E5B">
        <w:rPr>
          <w:sz w:val="22"/>
          <w:szCs w:val="22"/>
          <w:lang w:val="en-US"/>
        </w:rPr>
        <w:fldChar w:fldCharType="end"/>
      </w:r>
      <w:r w:rsidRPr="009E3E5B">
        <w:rPr>
          <w:sz w:val="22"/>
          <w:szCs w:val="22"/>
          <w:lang w:val="en-US"/>
        </w:rPr>
        <w:t xml:space="preserve"> footnote </w:t>
      </w:r>
      <w:r w:rsidRPr="009E3E5B">
        <w:rPr>
          <w:sz w:val="22"/>
          <w:szCs w:val="22"/>
          <w:lang w:val="en-US"/>
        </w:rPr>
        <w:fldChar w:fldCharType="begin"/>
      </w:r>
      <w:r w:rsidRPr="009E3E5B">
        <w:rPr>
          <w:sz w:val="22"/>
          <w:szCs w:val="22"/>
          <w:lang w:val="en-US"/>
        </w:rPr>
        <w:instrText xml:space="preserve"> NOTEREF _Ref475450231 \h  \* MERGEFORMAT </w:instrText>
      </w:r>
      <w:r w:rsidRPr="009E3E5B">
        <w:rPr>
          <w:sz w:val="22"/>
          <w:szCs w:val="22"/>
          <w:lang w:val="en-US"/>
        </w:rPr>
      </w:r>
      <w:r w:rsidRPr="009E3E5B">
        <w:rPr>
          <w:sz w:val="22"/>
          <w:szCs w:val="22"/>
          <w:lang w:val="en-US"/>
        </w:rPr>
        <w:fldChar w:fldCharType="separate"/>
      </w:r>
      <w:r>
        <w:rPr>
          <w:sz w:val="22"/>
          <w:szCs w:val="22"/>
          <w:lang w:val="en-US"/>
        </w:rPr>
        <w:t>6</w:t>
      </w:r>
      <w:r w:rsidRPr="009E3E5B">
        <w:rPr>
          <w:sz w:val="22"/>
          <w:szCs w:val="22"/>
          <w:lang w:val="en-US"/>
        </w:rPr>
        <w:fldChar w:fldCharType="end"/>
      </w:r>
      <w:r w:rsidRPr="009E3E5B">
        <w:rPr>
          <w:sz w:val="22"/>
          <w:szCs w:val="22"/>
          <w:lang w:val="en-US"/>
        </w:rPr>
        <w:t xml:space="preserve"> above.  </w:t>
      </w:r>
    </w:p>
  </w:footnote>
  <w:footnote w:id="95">
    <w:p w:rsidR="00491B8A" w:rsidRPr="009E3E5B" w:rsidRDefault="00491B8A" w:rsidP="009E3E5B">
      <w:pPr>
        <w:pStyle w:val="Geenafstand"/>
        <w:rPr>
          <w:sz w:val="22"/>
          <w:szCs w:val="22"/>
          <w:lang w:val="en-US"/>
        </w:rPr>
      </w:pPr>
      <w:r w:rsidRPr="009E3E5B">
        <w:rPr>
          <w:rStyle w:val="Voetnootmarkering"/>
          <w:sz w:val="22"/>
          <w:szCs w:val="22"/>
        </w:rPr>
        <w:footnoteRef/>
      </w:r>
      <w:r w:rsidRPr="009E3E5B">
        <w:rPr>
          <w:sz w:val="22"/>
          <w:szCs w:val="22"/>
        </w:rPr>
        <w:t xml:space="preserve"> </w:t>
      </w:r>
      <w:r w:rsidRPr="009E3E5B">
        <w:rPr>
          <w:sz w:val="22"/>
          <w:szCs w:val="22"/>
          <w:lang w:val="en-US"/>
        </w:rPr>
        <w:t xml:space="preserve">Interviews Policy Official Municipality Rotterdam (12 January 2016). CRvB, 29-07-2008, ECLI:NL:CRVB:2008:BD8847. </w:t>
      </w:r>
    </w:p>
  </w:footnote>
  <w:footnote w:id="96">
    <w:p w:rsidR="00491B8A" w:rsidRPr="009E3E5B" w:rsidRDefault="00491B8A" w:rsidP="009E3E5B">
      <w:pPr>
        <w:pStyle w:val="Geenafstand"/>
        <w:rPr>
          <w:sz w:val="22"/>
          <w:szCs w:val="22"/>
          <w:lang w:val="en-US"/>
        </w:rPr>
      </w:pPr>
      <w:r w:rsidRPr="009E3E5B">
        <w:rPr>
          <w:rStyle w:val="Voetnootmarkering"/>
          <w:sz w:val="22"/>
          <w:szCs w:val="22"/>
        </w:rPr>
        <w:footnoteRef/>
      </w:r>
      <w:r w:rsidRPr="009E3E5B">
        <w:rPr>
          <w:sz w:val="22"/>
          <w:szCs w:val="22"/>
          <w:lang w:val="en-US"/>
        </w:rPr>
        <w:t xml:space="preserve"> Verzamelbrief X</w:t>
      </w:r>
      <w:r>
        <w:rPr>
          <w:sz w:val="22"/>
          <w:szCs w:val="22"/>
          <w:lang w:val="en-US"/>
        </w:rPr>
        <w:t xml:space="preserve">. </w:t>
      </w:r>
    </w:p>
  </w:footnote>
  <w:footnote w:id="97">
    <w:p w:rsidR="00491B8A" w:rsidRPr="009E3E5B" w:rsidRDefault="00491B8A" w:rsidP="009E3E5B">
      <w:pPr>
        <w:pStyle w:val="Geenafstand"/>
        <w:rPr>
          <w:sz w:val="22"/>
          <w:szCs w:val="22"/>
        </w:rPr>
      </w:pPr>
      <w:r w:rsidRPr="009E3E5B">
        <w:rPr>
          <w:rStyle w:val="Voetnootmarkering"/>
          <w:sz w:val="22"/>
          <w:szCs w:val="22"/>
        </w:rPr>
        <w:footnoteRef/>
      </w:r>
      <w:r w:rsidRPr="009E3E5B">
        <w:rPr>
          <w:sz w:val="22"/>
          <w:szCs w:val="22"/>
        </w:rPr>
        <w:t xml:space="preserve"> P. 38.  Interview Policy Official Municipality Utrecht (1 February 2016), Policy Official Den Haag ( ), Legal Official Den Haag (1 April 2016), Policy Official Rotterdam </w:t>
      </w:r>
    </w:p>
  </w:footnote>
  <w:footnote w:id="98">
    <w:p w:rsidR="00491B8A" w:rsidRPr="009E3E5B" w:rsidRDefault="00491B8A" w:rsidP="009E3E5B">
      <w:pPr>
        <w:pStyle w:val="Geenafstand"/>
        <w:rPr>
          <w:sz w:val="22"/>
          <w:szCs w:val="22"/>
          <w:lang w:val="nl-NL"/>
        </w:rPr>
      </w:pPr>
      <w:r w:rsidRPr="009E3E5B">
        <w:rPr>
          <w:rStyle w:val="Voetnootmarkering"/>
          <w:sz w:val="22"/>
          <w:szCs w:val="22"/>
        </w:rPr>
        <w:footnoteRef/>
      </w:r>
      <w:r w:rsidRPr="009E3E5B">
        <w:rPr>
          <w:sz w:val="22"/>
          <w:szCs w:val="22"/>
          <w:lang w:val="nl-NL"/>
        </w:rPr>
        <w:t xml:space="preserve"> Especially Rechtbank Breda, 04-10-2010, ECLI:NL:RBBRE:2010:BO2970, Rechtbank Almelo, 29-11--2011, ECLI:NL:RBALM:2011:BZ4052</w:t>
      </w:r>
    </w:p>
  </w:footnote>
  <w:footnote w:id="99">
    <w:p w:rsidR="00491B8A" w:rsidRPr="009E3E5B" w:rsidRDefault="00491B8A" w:rsidP="009E3E5B">
      <w:pPr>
        <w:pStyle w:val="Geenafstand"/>
        <w:rPr>
          <w:sz w:val="22"/>
          <w:szCs w:val="22"/>
          <w:lang w:val="nl-NL"/>
        </w:rPr>
      </w:pPr>
      <w:r w:rsidRPr="009E3E5B">
        <w:rPr>
          <w:rStyle w:val="Voetnootmarkering"/>
          <w:sz w:val="22"/>
          <w:szCs w:val="22"/>
        </w:rPr>
        <w:footnoteRef/>
      </w:r>
      <w:r w:rsidRPr="009E3E5B">
        <w:rPr>
          <w:sz w:val="22"/>
          <w:szCs w:val="22"/>
          <w:lang w:val="nl-NL"/>
        </w:rPr>
        <w:t xml:space="preserve"> Especially Den Bosch, 13-09-2007, ECLI:NL:RBSHE:2007:BB3698 and Rechtbank Amsterdam, 21-02-2013, ECLI:NL:RBAMS:2013:BZ5689. </w:t>
      </w:r>
    </w:p>
  </w:footnote>
  <w:footnote w:id="100">
    <w:p w:rsidR="00491B8A" w:rsidRPr="009E3E5B" w:rsidRDefault="00491B8A" w:rsidP="009E3E5B">
      <w:pPr>
        <w:pStyle w:val="Geenafstand"/>
        <w:rPr>
          <w:sz w:val="22"/>
          <w:szCs w:val="22"/>
          <w:lang w:val="nl-NL"/>
        </w:rPr>
      </w:pPr>
      <w:r w:rsidRPr="009E3E5B">
        <w:rPr>
          <w:rStyle w:val="Voetnootmarkering"/>
          <w:sz w:val="22"/>
          <w:szCs w:val="22"/>
        </w:rPr>
        <w:footnoteRef/>
      </w:r>
      <w:r w:rsidRPr="009E3E5B">
        <w:rPr>
          <w:sz w:val="22"/>
          <w:szCs w:val="22"/>
          <w:lang w:val="nl-NL"/>
        </w:rPr>
        <w:t xml:space="preserve"> For instance, verzamelbrief mei 2005, 29 april 2005, p. 2 and verzamelbrief mei 2006, INTERCOM/2006/44364, p. 5.</w:t>
      </w:r>
    </w:p>
  </w:footnote>
  <w:footnote w:id="101">
    <w:p w:rsidR="00491B8A" w:rsidRPr="009E3E5B" w:rsidRDefault="00491B8A" w:rsidP="009E3E5B">
      <w:pPr>
        <w:pStyle w:val="Geenafstand"/>
        <w:rPr>
          <w:sz w:val="22"/>
          <w:szCs w:val="22"/>
          <w:lang w:val="en-US"/>
        </w:rPr>
      </w:pPr>
      <w:r w:rsidRPr="009E3E5B">
        <w:rPr>
          <w:rStyle w:val="Voetnootmarkering"/>
          <w:sz w:val="22"/>
          <w:szCs w:val="22"/>
        </w:rPr>
        <w:footnoteRef/>
      </w:r>
      <w:r w:rsidRPr="009E3E5B">
        <w:rPr>
          <w:sz w:val="22"/>
          <w:szCs w:val="22"/>
          <w:lang w:val="nl-NL"/>
        </w:rPr>
        <w:t xml:space="preserve"> Centrale Raad van Beroep, Case 12/165 and 12/166, NL:CRVB:2013:BZ3857. </w:t>
      </w:r>
      <w:r w:rsidRPr="009E3E5B">
        <w:rPr>
          <w:sz w:val="22"/>
          <w:szCs w:val="22"/>
          <w:lang w:val="en-US"/>
        </w:rPr>
        <w:t xml:space="preserve">The importance of this judgment cannot be underestimated as a large majority of the interviewees, especially at the municipal level, independently refer to it. </w:t>
      </w:r>
    </w:p>
  </w:footnote>
  <w:footnote w:id="102">
    <w:p w:rsidR="00491B8A" w:rsidRPr="009E3E5B" w:rsidRDefault="00491B8A" w:rsidP="009E3E5B">
      <w:pPr>
        <w:pStyle w:val="Geenafstand"/>
        <w:rPr>
          <w:sz w:val="22"/>
          <w:szCs w:val="22"/>
          <w:lang w:val="nl-NL"/>
        </w:rPr>
      </w:pPr>
      <w:r w:rsidRPr="009E3E5B">
        <w:rPr>
          <w:rStyle w:val="Voetnootmarkering"/>
          <w:sz w:val="22"/>
          <w:szCs w:val="22"/>
        </w:rPr>
        <w:footnoteRef/>
      </w:r>
      <w:r w:rsidRPr="009E3E5B">
        <w:rPr>
          <w:sz w:val="22"/>
          <w:szCs w:val="22"/>
          <w:lang w:val="nl-NL"/>
        </w:rPr>
        <w:t xml:space="preserve"> </w:t>
      </w:r>
      <w:r w:rsidRPr="009E3E5B">
        <w:rPr>
          <w:noProof/>
          <w:sz w:val="22"/>
          <w:szCs w:val="22"/>
          <w:lang w:val="nl-NL"/>
        </w:rPr>
        <w:t xml:space="preserve">PE Minderhoud, ‘Bevoegdheid Vaststellen Verblijfsrecht bij Bijstandsaanvraag EU Burger’, (2013) (86) </w:t>
      </w:r>
      <w:r w:rsidRPr="009E3E5B">
        <w:rPr>
          <w:i/>
          <w:noProof/>
          <w:sz w:val="22"/>
          <w:szCs w:val="22"/>
          <w:lang w:val="nl-NL"/>
        </w:rPr>
        <w:t>Rechtspraak Vreemdelingenrecht</w:t>
      </w:r>
      <w:r w:rsidRPr="009E3E5B">
        <w:rPr>
          <w:noProof/>
          <w:sz w:val="22"/>
          <w:szCs w:val="22"/>
          <w:lang w:val="nl-NL"/>
        </w:rPr>
        <w:t xml:space="preserve"> 1</w:t>
      </w:r>
      <w:r w:rsidRPr="009E3E5B">
        <w:rPr>
          <w:sz w:val="22"/>
          <w:szCs w:val="22"/>
          <w:lang w:val="nl-NL"/>
        </w:rPr>
        <w:t>.</w:t>
      </w:r>
    </w:p>
  </w:footnote>
  <w:footnote w:id="103">
    <w:p w:rsidR="00491B8A" w:rsidRPr="009E3E5B" w:rsidRDefault="00491B8A" w:rsidP="009E3E5B">
      <w:pPr>
        <w:pStyle w:val="Geenafstand"/>
        <w:rPr>
          <w:sz w:val="22"/>
          <w:szCs w:val="22"/>
          <w:lang w:val="en-US"/>
        </w:rPr>
      </w:pPr>
      <w:r w:rsidRPr="009E3E5B">
        <w:rPr>
          <w:rStyle w:val="Voetnootmarkering"/>
          <w:sz w:val="22"/>
          <w:szCs w:val="22"/>
        </w:rPr>
        <w:footnoteRef/>
      </w:r>
      <w:r w:rsidRPr="009E3E5B">
        <w:rPr>
          <w:sz w:val="22"/>
          <w:szCs w:val="22"/>
          <w:lang w:val="en-US"/>
        </w:rPr>
        <w:t xml:space="preserve"> Interviews municipality Den Haag (1 April 2016) and municipality Utrecht (1 February 2016). </w:t>
      </w:r>
    </w:p>
  </w:footnote>
  <w:footnote w:id="104">
    <w:p w:rsidR="00491B8A" w:rsidRPr="009E3E5B" w:rsidRDefault="00491B8A" w:rsidP="009E3E5B">
      <w:pPr>
        <w:pStyle w:val="Geenafstand"/>
        <w:rPr>
          <w:sz w:val="22"/>
          <w:szCs w:val="22"/>
          <w:lang w:val="nl-NL"/>
        </w:rPr>
      </w:pPr>
      <w:r w:rsidRPr="009E3E5B">
        <w:rPr>
          <w:rStyle w:val="Voetnootmarkering"/>
          <w:sz w:val="22"/>
          <w:szCs w:val="22"/>
        </w:rPr>
        <w:footnoteRef/>
      </w:r>
      <w:r w:rsidRPr="009E3E5B">
        <w:rPr>
          <w:sz w:val="22"/>
          <w:szCs w:val="22"/>
          <w:lang w:val="nl-NL"/>
        </w:rPr>
        <w:t xml:space="preserve"> Besluit van 8 juli 2014 tot wijziging van het Vreemdelingenbesluit 2000 (afschaffing meldplicht EU-burgers), Staatsblad 2014, 268, 8 July 2014. </w:t>
      </w:r>
    </w:p>
  </w:footnote>
  <w:footnote w:id="105">
    <w:p w:rsidR="00491B8A" w:rsidRPr="009E3E5B" w:rsidRDefault="00491B8A" w:rsidP="009E3E5B">
      <w:pPr>
        <w:pStyle w:val="Geenafstand"/>
        <w:rPr>
          <w:sz w:val="22"/>
          <w:szCs w:val="22"/>
        </w:rPr>
      </w:pPr>
      <w:r w:rsidRPr="009E3E5B">
        <w:rPr>
          <w:rStyle w:val="Voetnootmarkering"/>
          <w:sz w:val="22"/>
          <w:szCs w:val="22"/>
        </w:rPr>
        <w:footnoteRef/>
      </w:r>
      <w:r w:rsidRPr="009E3E5B">
        <w:rPr>
          <w:sz w:val="22"/>
          <w:szCs w:val="22"/>
        </w:rPr>
        <w:t xml:space="preserve"> Ibid, p. 3. </w:t>
      </w:r>
    </w:p>
  </w:footnote>
  <w:footnote w:id="106">
    <w:p w:rsidR="00491B8A" w:rsidRPr="009E3E5B" w:rsidRDefault="00491B8A" w:rsidP="009E3E5B">
      <w:pPr>
        <w:pStyle w:val="Geenafstand"/>
        <w:rPr>
          <w:sz w:val="22"/>
          <w:szCs w:val="22"/>
          <w:lang w:val="en-US"/>
        </w:rPr>
      </w:pPr>
      <w:r w:rsidRPr="009E3E5B">
        <w:rPr>
          <w:rStyle w:val="Voetnootmarkering"/>
          <w:sz w:val="22"/>
          <w:szCs w:val="22"/>
        </w:rPr>
        <w:footnoteRef/>
      </w:r>
      <w:r w:rsidRPr="009E3E5B">
        <w:rPr>
          <w:sz w:val="22"/>
          <w:szCs w:val="22"/>
        </w:rPr>
        <w:t xml:space="preserve"> </w:t>
      </w:r>
      <w:r w:rsidRPr="009E3E5B">
        <w:rPr>
          <w:sz w:val="22"/>
          <w:szCs w:val="22"/>
          <w:lang w:val="en-US"/>
        </w:rPr>
        <w:t xml:space="preserve">As interviewees also point out, interview Policy Official and Legal Official Ministry of Justice and Security (19-01-2016). </w:t>
      </w:r>
    </w:p>
  </w:footnote>
  <w:footnote w:id="107">
    <w:p w:rsidR="00491B8A" w:rsidRPr="009E3E5B" w:rsidRDefault="00491B8A" w:rsidP="009E3E5B">
      <w:pPr>
        <w:pStyle w:val="Geenafstand"/>
        <w:rPr>
          <w:sz w:val="22"/>
          <w:szCs w:val="22"/>
          <w:lang w:val="en-US"/>
        </w:rPr>
      </w:pPr>
      <w:r w:rsidRPr="009E3E5B">
        <w:rPr>
          <w:rStyle w:val="Voetnootmarkering"/>
          <w:sz w:val="22"/>
          <w:szCs w:val="22"/>
        </w:rPr>
        <w:footnoteRef/>
      </w:r>
      <w:r w:rsidRPr="009E3E5B">
        <w:rPr>
          <w:sz w:val="22"/>
          <w:szCs w:val="22"/>
        </w:rPr>
        <w:t xml:space="preserve"> Staatsblad 2014 268, p 4. </w:t>
      </w:r>
    </w:p>
  </w:footnote>
  <w:footnote w:id="108">
    <w:p w:rsidR="00491B8A" w:rsidRPr="009E3E5B" w:rsidRDefault="00491B8A" w:rsidP="009E3E5B">
      <w:pPr>
        <w:pStyle w:val="Geenafstand"/>
        <w:rPr>
          <w:sz w:val="22"/>
          <w:szCs w:val="22"/>
        </w:rPr>
      </w:pPr>
      <w:r w:rsidRPr="009E3E5B">
        <w:rPr>
          <w:rStyle w:val="Voetnootmarkering"/>
          <w:sz w:val="22"/>
          <w:szCs w:val="22"/>
        </w:rPr>
        <w:footnoteRef/>
      </w:r>
      <w:r w:rsidRPr="009E3E5B">
        <w:rPr>
          <w:sz w:val="22"/>
          <w:szCs w:val="22"/>
        </w:rPr>
        <w:t xml:space="preserve"> This derogation was implemented in the Social Assistance Act. </w:t>
      </w:r>
    </w:p>
  </w:footnote>
  <w:footnote w:id="109">
    <w:p w:rsidR="00491B8A" w:rsidRPr="009E3E5B" w:rsidRDefault="00491B8A" w:rsidP="009E3E5B">
      <w:pPr>
        <w:pStyle w:val="Geenafstand"/>
        <w:rPr>
          <w:sz w:val="22"/>
          <w:szCs w:val="22"/>
        </w:rPr>
      </w:pPr>
      <w:r w:rsidRPr="009E3E5B">
        <w:rPr>
          <w:rStyle w:val="Voetnootmarkering"/>
          <w:sz w:val="22"/>
          <w:szCs w:val="22"/>
        </w:rPr>
        <w:footnoteRef/>
      </w:r>
      <w:r>
        <w:rPr>
          <w:sz w:val="22"/>
          <w:szCs w:val="22"/>
        </w:rPr>
        <w:t xml:space="preserve"> </w:t>
      </w:r>
      <w:r w:rsidRPr="009E3E5B">
        <w:rPr>
          <w:sz w:val="22"/>
          <w:szCs w:val="22"/>
        </w:rPr>
        <w:t xml:space="preserve">Rechtbank Den Haag, 26-06-2015, ECLI:NL:RBDHA:2015:7297, interview Legal Official municipality Den Haag (1 April).  </w:t>
      </w:r>
    </w:p>
  </w:footnote>
  <w:footnote w:id="110">
    <w:p w:rsidR="00491B8A" w:rsidRPr="009E3E5B" w:rsidRDefault="00491B8A" w:rsidP="009E3E5B">
      <w:pPr>
        <w:pStyle w:val="Geenafstand"/>
        <w:rPr>
          <w:sz w:val="22"/>
          <w:szCs w:val="22"/>
          <w:lang w:val="en-US"/>
        </w:rPr>
      </w:pPr>
      <w:r w:rsidRPr="009E3E5B">
        <w:rPr>
          <w:rStyle w:val="Voetnootmarkering"/>
          <w:sz w:val="22"/>
          <w:szCs w:val="22"/>
        </w:rPr>
        <w:footnoteRef/>
      </w:r>
      <w:r w:rsidRPr="009E3E5B">
        <w:rPr>
          <w:sz w:val="22"/>
          <w:szCs w:val="22"/>
        </w:rPr>
        <w:t xml:space="preserve"> Interview Policy Official Ministry of Justice </w:t>
      </w:r>
      <w:r w:rsidRPr="009E3E5B">
        <w:rPr>
          <w:sz w:val="22"/>
          <w:szCs w:val="22"/>
          <w:lang w:val="en-US"/>
        </w:rPr>
        <w:t xml:space="preserve">(19-01-2016) and </w:t>
      </w:r>
      <w:r w:rsidRPr="009E3E5B">
        <w:rPr>
          <w:sz w:val="22"/>
          <w:szCs w:val="22"/>
        </w:rPr>
        <w:t>Immigration Service case worker (09-02-2016).</w:t>
      </w:r>
    </w:p>
  </w:footnote>
  <w:footnote w:id="111">
    <w:p w:rsidR="00491B8A" w:rsidRPr="009E3E5B" w:rsidRDefault="00491B8A" w:rsidP="009E3E5B">
      <w:pPr>
        <w:pStyle w:val="Geenafstand"/>
        <w:rPr>
          <w:sz w:val="22"/>
          <w:szCs w:val="22"/>
          <w:lang w:val="nl-NL"/>
        </w:rPr>
      </w:pPr>
      <w:r w:rsidRPr="009E3E5B">
        <w:rPr>
          <w:rStyle w:val="Voetnootmarkering"/>
          <w:sz w:val="22"/>
          <w:szCs w:val="22"/>
        </w:rPr>
        <w:footnoteRef/>
      </w:r>
      <w:r w:rsidRPr="009E3E5B">
        <w:rPr>
          <w:sz w:val="22"/>
          <w:szCs w:val="22"/>
          <w:lang w:val="nl-NL"/>
        </w:rPr>
        <w:t xml:space="preserve"> Rechtbank Den Haag, 09-04-2015, ECLI:NL:RBDHA:2015:4962, Rechtbank Den Haag, 30-04-2015, ECLI:NL:RBDHA:2015:5204. </w:t>
      </w:r>
    </w:p>
  </w:footnote>
  <w:footnote w:id="112">
    <w:p w:rsidR="00491B8A" w:rsidRPr="009E3E5B" w:rsidRDefault="00491B8A" w:rsidP="009E3E5B">
      <w:pPr>
        <w:pStyle w:val="Geenafstand"/>
        <w:rPr>
          <w:sz w:val="22"/>
          <w:szCs w:val="22"/>
          <w:lang w:val="en-US"/>
        </w:rPr>
      </w:pPr>
      <w:r w:rsidRPr="009E3E5B">
        <w:rPr>
          <w:rStyle w:val="Voetnootmarkering"/>
          <w:sz w:val="22"/>
          <w:szCs w:val="22"/>
        </w:rPr>
        <w:footnoteRef/>
      </w:r>
      <w:r w:rsidRPr="009E3E5B">
        <w:rPr>
          <w:sz w:val="22"/>
          <w:szCs w:val="22"/>
          <w:lang w:val="en-US"/>
        </w:rPr>
        <w:t xml:space="preserve"> Verzamelbrief 2013. </w:t>
      </w:r>
    </w:p>
  </w:footnote>
  <w:footnote w:id="113">
    <w:p w:rsidR="00491B8A" w:rsidRPr="009E3E5B" w:rsidRDefault="00491B8A" w:rsidP="009E3E5B">
      <w:pPr>
        <w:pStyle w:val="Geenafstand"/>
        <w:rPr>
          <w:sz w:val="22"/>
          <w:szCs w:val="22"/>
        </w:rPr>
      </w:pPr>
      <w:r w:rsidRPr="009E3E5B">
        <w:rPr>
          <w:rStyle w:val="Voetnootmarkering"/>
          <w:sz w:val="22"/>
          <w:szCs w:val="22"/>
        </w:rPr>
        <w:footnoteRef/>
      </w:r>
      <w:r w:rsidRPr="009E3E5B">
        <w:rPr>
          <w:sz w:val="22"/>
          <w:szCs w:val="22"/>
        </w:rPr>
        <w:t xml:space="preserve"> On the basis of three interviews with Immigration Service case workers (09-02-2016).  </w:t>
      </w:r>
    </w:p>
  </w:footnote>
  <w:footnote w:id="114">
    <w:p w:rsidR="00491B8A" w:rsidRPr="009E3E5B" w:rsidRDefault="00491B8A" w:rsidP="009E3E5B">
      <w:pPr>
        <w:pStyle w:val="Geenafstand"/>
        <w:rPr>
          <w:sz w:val="22"/>
          <w:szCs w:val="22"/>
        </w:rPr>
      </w:pPr>
      <w:r w:rsidRPr="009E3E5B">
        <w:rPr>
          <w:rStyle w:val="Voetnootmarkering"/>
          <w:sz w:val="22"/>
          <w:szCs w:val="22"/>
        </w:rPr>
        <w:footnoteRef/>
      </w:r>
      <w:r w:rsidRPr="009E3E5B">
        <w:rPr>
          <w:sz w:val="22"/>
          <w:szCs w:val="22"/>
        </w:rPr>
        <w:t xml:space="preserve"> Letter in possession of author. </w:t>
      </w:r>
    </w:p>
  </w:footnote>
  <w:footnote w:id="115">
    <w:p w:rsidR="00491B8A" w:rsidRPr="009E3E5B" w:rsidRDefault="00491B8A" w:rsidP="009E3E5B">
      <w:pPr>
        <w:pStyle w:val="Geenafstand"/>
        <w:rPr>
          <w:sz w:val="22"/>
          <w:szCs w:val="22"/>
        </w:rPr>
      </w:pPr>
      <w:r w:rsidRPr="009E3E5B">
        <w:rPr>
          <w:rStyle w:val="Voetnootmarkering"/>
          <w:sz w:val="22"/>
          <w:szCs w:val="22"/>
        </w:rPr>
        <w:footnoteRef/>
      </w:r>
      <w:r w:rsidRPr="009E3E5B">
        <w:rPr>
          <w:sz w:val="22"/>
          <w:szCs w:val="22"/>
        </w:rPr>
        <w:t xml:space="preserve"> Interviews </w:t>
      </w:r>
    </w:p>
  </w:footnote>
  <w:footnote w:id="116">
    <w:p w:rsidR="00491B8A" w:rsidRPr="009E3E5B" w:rsidRDefault="00491B8A" w:rsidP="009E3E5B">
      <w:pPr>
        <w:pStyle w:val="Geenafstand"/>
        <w:rPr>
          <w:sz w:val="22"/>
          <w:szCs w:val="22"/>
          <w:lang w:val="en-US"/>
        </w:rPr>
      </w:pPr>
      <w:r w:rsidRPr="009E3E5B">
        <w:rPr>
          <w:rStyle w:val="Voetnootmarkering"/>
          <w:sz w:val="22"/>
          <w:szCs w:val="22"/>
        </w:rPr>
        <w:footnoteRef/>
      </w:r>
      <w:r w:rsidRPr="009E3E5B">
        <w:rPr>
          <w:sz w:val="22"/>
          <w:szCs w:val="22"/>
        </w:rPr>
        <w:t xml:space="preserve"> </w:t>
      </w:r>
      <w:r w:rsidRPr="009E3E5B">
        <w:rPr>
          <w:sz w:val="22"/>
          <w:szCs w:val="22"/>
          <w:lang w:val="en-US"/>
        </w:rPr>
        <w:t xml:space="preserve">Letter in possession of author. </w:t>
      </w:r>
    </w:p>
  </w:footnote>
  <w:footnote w:id="117">
    <w:p w:rsidR="00491B8A" w:rsidRPr="009E3E5B" w:rsidRDefault="00491B8A" w:rsidP="009E3E5B">
      <w:pPr>
        <w:pStyle w:val="Geenafstand"/>
        <w:rPr>
          <w:sz w:val="22"/>
          <w:szCs w:val="22"/>
          <w:lang w:val="en-US"/>
        </w:rPr>
      </w:pPr>
      <w:r w:rsidRPr="009E3E5B">
        <w:rPr>
          <w:rStyle w:val="Voetnootmarkering"/>
          <w:sz w:val="22"/>
          <w:szCs w:val="22"/>
        </w:rPr>
        <w:footnoteRef/>
      </w:r>
      <w:r w:rsidRPr="009E3E5B">
        <w:rPr>
          <w:sz w:val="22"/>
          <w:szCs w:val="22"/>
        </w:rPr>
        <w:t xml:space="preserve"> The potential deterring effect of this system is confirmed in a number of interviews (F, KL, M, P, W), by my experience in giving </w:t>
      </w:r>
      <w:r w:rsidRPr="009E3E5B">
        <w:rPr>
          <w:sz w:val="22"/>
          <w:szCs w:val="22"/>
          <w:lang w:val="en-US"/>
        </w:rPr>
        <w:t>legal advice to Union citizens and in the case law, Amsterdam, 09-12-2015, ECLI:NL:RBAMS:2015:8734.</w:t>
      </w:r>
    </w:p>
  </w:footnote>
  <w:footnote w:id="118">
    <w:p w:rsidR="00491B8A" w:rsidRPr="009E3E5B" w:rsidRDefault="00491B8A" w:rsidP="009E3E5B">
      <w:pPr>
        <w:pStyle w:val="Geenafstand"/>
        <w:rPr>
          <w:sz w:val="22"/>
          <w:szCs w:val="22"/>
        </w:rPr>
      </w:pPr>
      <w:r w:rsidRPr="009E3E5B">
        <w:rPr>
          <w:rStyle w:val="Voetnootmarkering"/>
          <w:sz w:val="22"/>
          <w:szCs w:val="22"/>
        </w:rPr>
        <w:footnoteRef/>
      </w:r>
      <w:r w:rsidRPr="009E3E5B">
        <w:rPr>
          <w:sz w:val="22"/>
          <w:szCs w:val="22"/>
        </w:rPr>
        <w:t xml:space="preserve"> The reality of this situation is addressed explicitly in case law, ibid. See also </w:t>
      </w:r>
      <w:r w:rsidRPr="009E3E5B">
        <w:rPr>
          <w:sz w:val="22"/>
          <w:szCs w:val="22"/>
        </w:rPr>
        <w:fldChar w:fldCharType="begin"/>
      </w:r>
      <w:r w:rsidRPr="009E3E5B">
        <w:rPr>
          <w:sz w:val="22"/>
          <w:szCs w:val="22"/>
        </w:rPr>
        <w:instrText xml:space="preserve"> ADDIN EN.CITE &lt;EndNote&gt;&lt;Cite&gt;&lt;Author&gt;Kramer&lt;/Author&gt;&lt;Year&gt;2017&lt;/Year&gt;&lt;RecNum&gt;246&lt;/RecNum&gt;&lt;DisplayText&gt;D Kramer, ‘Kostendelersnorm, Bijstand En Unieburger: Koppelingswet 2.0?’, (2017)  (1) &lt;style face="italic"&gt;Asiel &amp;amp; Migrantenrecht&lt;/style&gt; 4&lt;/DisplayText&gt;&lt;record&gt;&lt;rec-number&gt;246&lt;/rec-number&gt;&lt;foreign-keys&gt;&lt;key app="EN" db-id="as9pxvrtdpppr2exar7xaxv0zs0p2vfsdtsx" timestamp="1487697702"&gt;246&lt;/key&gt;&lt;/foreign-keys&gt;&lt;ref-type name="Journal Article"&gt;17&lt;/ref-type&gt;&lt;contributors&gt;&lt;authors&gt;&lt;author&gt;Kramer, D.&lt;/author&gt;&lt;/authors&gt;&lt;/contributors&gt;&lt;titles&gt;&lt;title&gt;Kostendelersnorm, bijstand en Unieburger: Koppelingswet 2.0?&lt;/title&gt;&lt;secondary-title&gt;Asiel &amp;amp; Migrantenrecht&lt;/secondary-title&gt;&lt;/titles&gt;&lt;periodical&gt;&lt;full-title&gt;Asiel &amp;amp; Migrantenrecht&lt;/full-title&gt;&lt;/periodical&gt;&lt;pages&gt;4-9&lt;/pages&gt;&lt;number&gt;1&lt;/number&gt;&lt;section&gt;4&lt;/section&gt;&lt;dates&gt;&lt;year&gt;2017&lt;/year&gt;&lt;/dates&gt;&lt;urls&gt;&lt;/urls&gt;&lt;/record&gt;&lt;/Cite&gt;&lt;/EndNote&gt;</w:instrText>
      </w:r>
      <w:r w:rsidRPr="009E3E5B">
        <w:rPr>
          <w:sz w:val="22"/>
          <w:szCs w:val="22"/>
        </w:rPr>
        <w:fldChar w:fldCharType="separate"/>
      </w:r>
      <w:r w:rsidRPr="009E3E5B">
        <w:rPr>
          <w:noProof/>
          <w:sz w:val="22"/>
          <w:szCs w:val="22"/>
        </w:rPr>
        <w:t xml:space="preserve">D Kramer, ‘Kostendelersnorm, Bijstand En Unieburger: Koppelingswet 2.0?’, (2017)  (1) </w:t>
      </w:r>
      <w:r w:rsidRPr="009E3E5B">
        <w:rPr>
          <w:i/>
          <w:noProof/>
          <w:sz w:val="22"/>
          <w:szCs w:val="22"/>
        </w:rPr>
        <w:t>Asiel &amp; Migrantenrecht</w:t>
      </w:r>
      <w:r w:rsidRPr="009E3E5B">
        <w:rPr>
          <w:noProof/>
          <w:sz w:val="22"/>
          <w:szCs w:val="22"/>
        </w:rPr>
        <w:t xml:space="preserve"> 4</w:t>
      </w:r>
      <w:r w:rsidRPr="009E3E5B">
        <w:rPr>
          <w:sz w:val="22"/>
          <w:szCs w:val="22"/>
        </w:rPr>
        <w:fldChar w:fldCharType="end"/>
      </w:r>
      <w:r w:rsidRPr="009E3E5B">
        <w:rPr>
          <w:sz w:val="22"/>
          <w:szCs w:val="22"/>
        </w:rPr>
        <w:t>.</w:t>
      </w:r>
    </w:p>
  </w:footnote>
  <w:footnote w:id="119">
    <w:p w:rsidR="00491B8A" w:rsidRPr="009E3E5B" w:rsidRDefault="00491B8A" w:rsidP="009E3E5B">
      <w:pPr>
        <w:pStyle w:val="Geenafstand"/>
        <w:rPr>
          <w:sz w:val="22"/>
          <w:szCs w:val="22"/>
          <w:lang w:val="en-US"/>
        </w:rPr>
      </w:pPr>
      <w:r w:rsidRPr="009E3E5B">
        <w:rPr>
          <w:rStyle w:val="Voetnootmarkering"/>
          <w:sz w:val="22"/>
          <w:szCs w:val="22"/>
        </w:rPr>
        <w:footnoteRef/>
      </w:r>
      <w:r w:rsidRPr="009E3E5B">
        <w:rPr>
          <w:sz w:val="22"/>
          <w:szCs w:val="22"/>
          <w:lang w:val="en-US"/>
        </w:rPr>
        <w:t xml:space="preserve"> See </w:t>
      </w:r>
      <w:r w:rsidRPr="009E3E5B">
        <w:rPr>
          <w:sz w:val="22"/>
          <w:szCs w:val="22"/>
          <w:lang w:val="en-US"/>
        </w:rPr>
        <w:fldChar w:fldCharType="begin"/>
      </w:r>
      <w:r w:rsidRPr="009E3E5B">
        <w:rPr>
          <w:sz w:val="22"/>
          <w:szCs w:val="22"/>
          <w:lang w:val="en-US"/>
        </w:rPr>
        <w:instrText xml:space="preserve"> ADDIN EN.CITE &lt;EndNote&gt;&lt;Cite&gt;&lt;Author&gt;Heindlmayer&lt;/Author&gt;&lt;Year&gt;Forthcoming in JEPP&lt;/Year&gt;&lt;RecNum&gt;239&lt;/RecNum&gt;&lt;Pages&gt;6&lt;/Pages&gt;&lt;DisplayText&gt;A Heindlmayer and M Blauberger, p 6&lt;/DisplayText&gt;&lt;record&gt;&lt;rec-number&gt;239&lt;/rec-number&gt;&lt;foreign-keys&gt;&lt;key app="EN" db-id="as9pxvrtdpppr2exar7xaxv0zs0p2vfsdtsx" timestamp="1485793649"&gt;239&lt;/key&gt;&lt;/foreign-keys&gt;&lt;ref-type name="Journal Article"&gt;17&lt;/ref-type&gt;&lt;contributors&gt;&lt;authors&gt;&lt;author&gt;Heindlmayer, Anita&lt;/author&gt;&lt;author&gt;Blauberger, Michael&lt;/author&gt;&lt;/authors&gt;&lt;/contributors&gt;&lt;titles&gt;&lt;title&gt;Enter at Your Own Risk: How EU Member States Administer the Free Movement of EU Citizens&lt;/title&gt;&lt;/titles&gt;&lt;dates&gt;&lt;year&gt;Forthcoming in JEPP&lt;/year&gt;&lt;/dates&gt;&lt;urls&gt;&lt;/urls&gt;&lt;/record&gt;&lt;/Cite&gt;&lt;/EndNote&gt;</w:instrText>
      </w:r>
      <w:r w:rsidRPr="009E3E5B">
        <w:rPr>
          <w:sz w:val="22"/>
          <w:szCs w:val="22"/>
          <w:lang w:val="en-US"/>
        </w:rPr>
        <w:fldChar w:fldCharType="separate"/>
      </w:r>
      <w:r w:rsidRPr="009E3E5B">
        <w:rPr>
          <w:noProof/>
          <w:sz w:val="22"/>
          <w:szCs w:val="22"/>
          <w:lang w:val="en-US"/>
        </w:rPr>
        <w:t>A Heindlmayer and M Blauberger, p 6</w:t>
      </w:r>
      <w:r w:rsidRPr="009E3E5B">
        <w:rPr>
          <w:sz w:val="22"/>
          <w:szCs w:val="22"/>
          <w:lang w:val="en-US"/>
        </w:rPr>
        <w:fldChar w:fldCharType="end"/>
      </w:r>
      <w:r w:rsidRPr="009E3E5B">
        <w:rPr>
          <w:sz w:val="22"/>
          <w:szCs w:val="22"/>
          <w:lang w:val="en-US"/>
        </w:rPr>
        <w:t xml:space="preserve">, footnote </w:t>
      </w:r>
      <w:r w:rsidRPr="009E3E5B">
        <w:rPr>
          <w:sz w:val="22"/>
          <w:szCs w:val="22"/>
          <w:lang w:val="en-US"/>
        </w:rPr>
        <w:fldChar w:fldCharType="begin"/>
      </w:r>
      <w:r w:rsidRPr="009E3E5B">
        <w:rPr>
          <w:sz w:val="22"/>
          <w:szCs w:val="22"/>
          <w:lang w:val="en-US"/>
        </w:rPr>
        <w:instrText xml:space="preserve"> NOTEREF _Ref475450231 \h  \* MERGEFORMAT </w:instrText>
      </w:r>
      <w:r w:rsidRPr="009E3E5B">
        <w:rPr>
          <w:sz w:val="22"/>
          <w:szCs w:val="22"/>
          <w:lang w:val="en-US"/>
        </w:rPr>
      </w:r>
      <w:r w:rsidRPr="009E3E5B">
        <w:rPr>
          <w:sz w:val="22"/>
          <w:szCs w:val="22"/>
          <w:lang w:val="en-US"/>
        </w:rPr>
        <w:fldChar w:fldCharType="separate"/>
      </w:r>
      <w:r>
        <w:rPr>
          <w:sz w:val="22"/>
          <w:szCs w:val="22"/>
          <w:lang w:val="en-US"/>
        </w:rPr>
        <w:t>6</w:t>
      </w:r>
      <w:r w:rsidRPr="009E3E5B">
        <w:rPr>
          <w:sz w:val="22"/>
          <w:szCs w:val="22"/>
          <w:lang w:val="en-US"/>
        </w:rPr>
        <w:fldChar w:fldCharType="end"/>
      </w:r>
      <w:r w:rsidRPr="009E3E5B">
        <w:rPr>
          <w:sz w:val="22"/>
          <w:szCs w:val="22"/>
          <w:lang w:val="en-US"/>
        </w:rPr>
        <w:t xml:space="preserve"> above.</w:t>
      </w:r>
    </w:p>
  </w:footnote>
  <w:footnote w:id="120">
    <w:p w:rsidR="00491B8A" w:rsidRPr="009E3E5B" w:rsidRDefault="00491B8A" w:rsidP="009E3E5B">
      <w:pPr>
        <w:pStyle w:val="Geenafstand"/>
        <w:rPr>
          <w:sz w:val="22"/>
          <w:szCs w:val="22"/>
          <w:lang w:val="en-US"/>
        </w:rPr>
      </w:pPr>
      <w:r w:rsidRPr="009E3E5B">
        <w:rPr>
          <w:rStyle w:val="Voetnootmarkering"/>
          <w:sz w:val="22"/>
          <w:szCs w:val="22"/>
        </w:rPr>
        <w:footnoteRef/>
      </w:r>
      <w:r w:rsidRPr="009E3E5B">
        <w:rPr>
          <w:sz w:val="22"/>
          <w:szCs w:val="22"/>
          <w:lang w:val="en-US"/>
        </w:rPr>
        <w:t xml:space="preserve"> Verzamelbrief 2016-2 Ministerie SZW, pp 23-24.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B7D"/>
    <w:multiLevelType w:val="hybridMultilevel"/>
    <w:tmpl w:val="FF90E742"/>
    <w:lvl w:ilvl="0" w:tplc="5AA4C69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784EA3"/>
    <w:multiLevelType w:val="hybridMultilevel"/>
    <w:tmpl w:val="5A9A57FE"/>
    <w:lvl w:ilvl="0" w:tplc="F23C755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35CEC"/>
    <w:multiLevelType w:val="hybridMultilevel"/>
    <w:tmpl w:val="5F6878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24B146F"/>
    <w:multiLevelType w:val="hybridMultilevel"/>
    <w:tmpl w:val="26B443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F7A6F02"/>
    <w:multiLevelType w:val="hybridMultilevel"/>
    <w:tmpl w:val="DF6A8D1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FF67070"/>
    <w:multiLevelType w:val="hybridMultilevel"/>
    <w:tmpl w:val="A814B50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DE61088"/>
    <w:multiLevelType w:val="hybridMultilevel"/>
    <w:tmpl w:val="B818ED96"/>
    <w:lvl w:ilvl="0" w:tplc="5566B63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7457E25"/>
    <w:multiLevelType w:val="hybridMultilevel"/>
    <w:tmpl w:val="3C34F44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9FF6FED"/>
    <w:multiLevelType w:val="hybridMultilevel"/>
    <w:tmpl w:val="E578D1C0"/>
    <w:lvl w:ilvl="0" w:tplc="D3F05504">
      <w:start w:val="3"/>
      <w:numFmt w:val="bullet"/>
      <w:lvlText w:val=""/>
      <w:lvlJc w:val="left"/>
      <w:pPr>
        <w:ind w:left="405" w:hanging="360"/>
      </w:pPr>
      <w:rPr>
        <w:rFonts w:ascii="Wingdings" w:eastAsiaTheme="minorHAnsi"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7DC84034"/>
    <w:multiLevelType w:val="hybridMultilevel"/>
    <w:tmpl w:val="56B830FC"/>
    <w:lvl w:ilvl="0" w:tplc="0AC812C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1"/>
  </w:num>
  <w:num w:numId="4">
    <w:abstractNumId w:val="9"/>
  </w:num>
  <w:num w:numId="5">
    <w:abstractNumId w:val="7"/>
  </w:num>
  <w:num w:numId="6">
    <w:abstractNumId w:val="5"/>
  </w:num>
  <w:num w:numId="7">
    <w:abstractNumId w:val="6"/>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YEL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s9pxvrtdpppr2exar7xaxv0zs0p2vfsdtsx&quot;&gt;PhD Literature Library&lt;record-ids&gt;&lt;item&gt;1&lt;/item&gt;&lt;item&gt;9&lt;/item&gt;&lt;item&gt;18&lt;/item&gt;&lt;item&gt;19&lt;/item&gt;&lt;item&gt;23&lt;/item&gt;&lt;item&gt;24&lt;/item&gt;&lt;item&gt;25&lt;/item&gt;&lt;item&gt;49&lt;/item&gt;&lt;item&gt;53&lt;/item&gt;&lt;item&gt;67&lt;/item&gt;&lt;item&gt;71&lt;/item&gt;&lt;item&gt;102&lt;/item&gt;&lt;item&gt;106&lt;/item&gt;&lt;item&gt;120&lt;/item&gt;&lt;item&gt;143&lt;/item&gt;&lt;item&gt;146&lt;/item&gt;&lt;item&gt;156&lt;/item&gt;&lt;item&gt;193&lt;/item&gt;&lt;item&gt;200&lt;/item&gt;&lt;/record-ids&gt;&lt;/item&gt;&lt;/Libraries&gt;"/>
  </w:docVars>
  <w:rsids>
    <w:rsidRoot w:val="00FF54E3"/>
    <w:rsid w:val="00007C3A"/>
    <w:rsid w:val="00013DD3"/>
    <w:rsid w:val="00020DA4"/>
    <w:rsid w:val="000257D2"/>
    <w:rsid w:val="000308F5"/>
    <w:rsid w:val="00036D33"/>
    <w:rsid w:val="00043DC0"/>
    <w:rsid w:val="00047574"/>
    <w:rsid w:val="000534B2"/>
    <w:rsid w:val="00053CE0"/>
    <w:rsid w:val="00055909"/>
    <w:rsid w:val="00060FCB"/>
    <w:rsid w:val="00061E6A"/>
    <w:rsid w:val="00082C80"/>
    <w:rsid w:val="000875AA"/>
    <w:rsid w:val="000965F6"/>
    <w:rsid w:val="000A11FD"/>
    <w:rsid w:val="000A1279"/>
    <w:rsid w:val="000A3097"/>
    <w:rsid w:val="000A537A"/>
    <w:rsid w:val="000B08DD"/>
    <w:rsid w:val="000C1F0B"/>
    <w:rsid w:val="000C32EC"/>
    <w:rsid w:val="000D00B1"/>
    <w:rsid w:val="000D09B5"/>
    <w:rsid w:val="000D0E7F"/>
    <w:rsid w:val="000D7ADD"/>
    <w:rsid w:val="000E1F61"/>
    <w:rsid w:val="000E7617"/>
    <w:rsid w:val="000E7B37"/>
    <w:rsid w:val="000F7F1A"/>
    <w:rsid w:val="001044C0"/>
    <w:rsid w:val="00104BDB"/>
    <w:rsid w:val="0011370D"/>
    <w:rsid w:val="00114E02"/>
    <w:rsid w:val="00117D79"/>
    <w:rsid w:val="00120730"/>
    <w:rsid w:val="00125DC6"/>
    <w:rsid w:val="001317BE"/>
    <w:rsid w:val="00131B8D"/>
    <w:rsid w:val="001343CC"/>
    <w:rsid w:val="0015324C"/>
    <w:rsid w:val="001532D0"/>
    <w:rsid w:val="001569B8"/>
    <w:rsid w:val="00170241"/>
    <w:rsid w:val="00177A25"/>
    <w:rsid w:val="00184E10"/>
    <w:rsid w:val="00190AC1"/>
    <w:rsid w:val="00191E70"/>
    <w:rsid w:val="001934DD"/>
    <w:rsid w:val="001A168D"/>
    <w:rsid w:val="001A56B6"/>
    <w:rsid w:val="001C00D2"/>
    <w:rsid w:val="001C3346"/>
    <w:rsid w:val="001C4059"/>
    <w:rsid w:val="001E01F0"/>
    <w:rsid w:val="001F38A4"/>
    <w:rsid w:val="001F7C91"/>
    <w:rsid w:val="00201AA8"/>
    <w:rsid w:val="002114A4"/>
    <w:rsid w:val="0021245B"/>
    <w:rsid w:val="002267B4"/>
    <w:rsid w:val="00232941"/>
    <w:rsid w:val="00236B8F"/>
    <w:rsid w:val="002417EF"/>
    <w:rsid w:val="00242686"/>
    <w:rsid w:val="0024415E"/>
    <w:rsid w:val="00254449"/>
    <w:rsid w:val="002555B1"/>
    <w:rsid w:val="002561F3"/>
    <w:rsid w:val="00260E67"/>
    <w:rsid w:val="002714EE"/>
    <w:rsid w:val="0027435E"/>
    <w:rsid w:val="00282259"/>
    <w:rsid w:val="00285D12"/>
    <w:rsid w:val="00286EB4"/>
    <w:rsid w:val="00287873"/>
    <w:rsid w:val="00297EF3"/>
    <w:rsid w:val="002A413D"/>
    <w:rsid w:val="002A48E8"/>
    <w:rsid w:val="002A64FE"/>
    <w:rsid w:val="002B5E35"/>
    <w:rsid w:val="002C312A"/>
    <w:rsid w:val="002D5A03"/>
    <w:rsid w:val="002E19A9"/>
    <w:rsid w:val="002E46EE"/>
    <w:rsid w:val="002E76EB"/>
    <w:rsid w:val="002E7EC2"/>
    <w:rsid w:val="002F64F4"/>
    <w:rsid w:val="003038DB"/>
    <w:rsid w:val="0030694C"/>
    <w:rsid w:val="003204B2"/>
    <w:rsid w:val="00321575"/>
    <w:rsid w:val="00322E91"/>
    <w:rsid w:val="00323E9B"/>
    <w:rsid w:val="003361E0"/>
    <w:rsid w:val="00364010"/>
    <w:rsid w:val="00374721"/>
    <w:rsid w:val="0038554A"/>
    <w:rsid w:val="00387052"/>
    <w:rsid w:val="003906EC"/>
    <w:rsid w:val="003962CA"/>
    <w:rsid w:val="003A1DF7"/>
    <w:rsid w:val="003A5BFB"/>
    <w:rsid w:val="003C030C"/>
    <w:rsid w:val="003C1613"/>
    <w:rsid w:val="003C4024"/>
    <w:rsid w:val="003D0BFE"/>
    <w:rsid w:val="003D62FE"/>
    <w:rsid w:val="003D78FA"/>
    <w:rsid w:val="003D7FEF"/>
    <w:rsid w:val="003E0CF1"/>
    <w:rsid w:val="003E193C"/>
    <w:rsid w:val="003E6AA4"/>
    <w:rsid w:val="003F7CEC"/>
    <w:rsid w:val="00412EBA"/>
    <w:rsid w:val="004134DD"/>
    <w:rsid w:val="00421145"/>
    <w:rsid w:val="00421874"/>
    <w:rsid w:val="00424230"/>
    <w:rsid w:val="00426A26"/>
    <w:rsid w:val="00426C98"/>
    <w:rsid w:val="004279B9"/>
    <w:rsid w:val="00444223"/>
    <w:rsid w:val="00445296"/>
    <w:rsid w:val="00455D4D"/>
    <w:rsid w:val="00460D00"/>
    <w:rsid w:val="004611A5"/>
    <w:rsid w:val="0046426A"/>
    <w:rsid w:val="00476081"/>
    <w:rsid w:val="00482BC4"/>
    <w:rsid w:val="004841BC"/>
    <w:rsid w:val="00490A63"/>
    <w:rsid w:val="00491B8A"/>
    <w:rsid w:val="0049394F"/>
    <w:rsid w:val="004B19B2"/>
    <w:rsid w:val="004B1C32"/>
    <w:rsid w:val="004B781B"/>
    <w:rsid w:val="004B7BFF"/>
    <w:rsid w:val="004C09FB"/>
    <w:rsid w:val="004C3D0C"/>
    <w:rsid w:val="004C7D79"/>
    <w:rsid w:val="004D59BF"/>
    <w:rsid w:val="004E1B1E"/>
    <w:rsid w:val="004E2E8B"/>
    <w:rsid w:val="004F052C"/>
    <w:rsid w:val="004F39F2"/>
    <w:rsid w:val="004F7AA4"/>
    <w:rsid w:val="00503389"/>
    <w:rsid w:val="0050668E"/>
    <w:rsid w:val="0050676D"/>
    <w:rsid w:val="005152DE"/>
    <w:rsid w:val="00515909"/>
    <w:rsid w:val="005211B4"/>
    <w:rsid w:val="005236A3"/>
    <w:rsid w:val="00530987"/>
    <w:rsid w:val="00531F08"/>
    <w:rsid w:val="005324FA"/>
    <w:rsid w:val="005363E5"/>
    <w:rsid w:val="00543A99"/>
    <w:rsid w:val="00545147"/>
    <w:rsid w:val="00546C72"/>
    <w:rsid w:val="005536C0"/>
    <w:rsid w:val="00553716"/>
    <w:rsid w:val="0056675B"/>
    <w:rsid w:val="00570525"/>
    <w:rsid w:val="0057080D"/>
    <w:rsid w:val="00570C92"/>
    <w:rsid w:val="005710A1"/>
    <w:rsid w:val="00582AE5"/>
    <w:rsid w:val="00587EF1"/>
    <w:rsid w:val="0059655F"/>
    <w:rsid w:val="005B3721"/>
    <w:rsid w:val="005C4394"/>
    <w:rsid w:val="005C6FE1"/>
    <w:rsid w:val="005C79B3"/>
    <w:rsid w:val="005D7B7B"/>
    <w:rsid w:val="005E47CF"/>
    <w:rsid w:val="005F6D53"/>
    <w:rsid w:val="0060202D"/>
    <w:rsid w:val="00603336"/>
    <w:rsid w:val="00603F3F"/>
    <w:rsid w:val="006156C1"/>
    <w:rsid w:val="00621633"/>
    <w:rsid w:val="00627752"/>
    <w:rsid w:val="00642FB5"/>
    <w:rsid w:val="00644ED6"/>
    <w:rsid w:val="00645FAC"/>
    <w:rsid w:val="0065179A"/>
    <w:rsid w:val="00655B72"/>
    <w:rsid w:val="00662F7B"/>
    <w:rsid w:val="006661B8"/>
    <w:rsid w:val="00671EAF"/>
    <w:rsid w:val="00683028"/>
    <w:rsid w:val="00692A4B"/>
    <w:rsid w:val="006B2D15"/>
    <w:rsid w:val="006B2E4A"/>
    <w:rsid w:val="006B4D74"/>
    <w:rsid w:val="006C04AC"/>
    <w:rsid w:val="006C4ED8"/>
    <w:rsid w:val="006D5A8D"/>
    <w:rsid w:val="006D5F99"/>
    <w:rsid w:val="006D6B66"/>
    <w:rsid w:val="006E04AF"/>
    <w:rsid w:val="006E1BBE"/>
    <w:rsid w:val="006E27C1"/>
    <w:rsid w:val="006E5053"/>
    <w:rsid w:val="006F64AB"/>
    <w:rsid w:val="00706827"/>
    <w:rsid w:val="007157F3"/>
    <w:rsid w:val="00720ED4"/>
    <w:rsid w:val="00746C11"/>
    <w:rsid w:val="00747268"/>
    <w:rsid w:val="00751908"/>
    <w:rsid w:val="00752810"/>
    <w:rsid w:val="00756013"/>
    <w:rsid w:val="007576BF"/>
    <w:rsid w:val="007631D8"/>
    <w:rsid w:val="0076321D"/>
    <w:rsid w:val="00766B46"/>
    <w:rsid w:val="00773E6F"/>
    <w:rsid w:val="00782D6D"/>
    <w:rsid w:val="0078589F"/>
    <w:rsid w:val="00786737"/>
    <w:rsid w:val="007A699B"/>
    <w:rsid w:val="007A73CE"/>
    <w:rsid w:val="007B25EE"/>
    <w:rsid w:val="007B55A3"/>
    <w:rsid w:val="007B6ACF"/>
    <w:rsid w:val="007C403D"/>
    <w:rsid w:val="007C68AF"/>
    <w:rsid w:val="007D02E9"/>
    <w:rsid w:val="007D2368"/>
    <w:rsid w:val="007D6C91"/>
    <w:rsid w:val="007E37B9"/>
    <w:rsid w:val="007E400E"/>
    <w:rsid w:val="007F6F8C"/>
    <w:rsid w:val="00801B8F"/>
    <w:rsid w:val="008111E6"/>
    <w:rsid w:val="0081208C"/>
    <w:rsid w:val="0081219C"/>
    <w:rsid w:val="008202CD"/>
    <w:rsid w:val="008376E5"/>
    <w:rsid w:val="00840F17"/>
    <w:rsid w:val="00841B06"/>
    <w:rsid w:val="00841FAA"/>
    <w:rsid w:val="00842113"/>
    <w:rsid w:val="00852531"/>
    <w:rsid w:val="008544EE"/>
    <w:rsid w:val="00854537"/>
    <w:rsid w:val="008706CA"/>
    <w:rsid w:val="00877F74"/>
    <w:rsid w:val="008849C9"/>
    <w:rsid w:val="00886981"/>
    <w:rsid w:val="0089170C"/>
    <w:rsid w:val="0089274D"/>
    <w:rsid w:val="00894BA4"/>
    <w:rsid w:val="008A252A"/>
    <w:rsid w:val="008C53D0"/>
    <w:rsid w:val="008C54FB"/>
    <w:rsid w:val="008C6476"/>
    <w:rsid w:val="008D3B5D"/>
    <w:rsid w:val="008E6035"/>
    <w:rsid w:val="008E6347"/>
    <w:rsid w:val="008E667D"/>
    <w:rsid w:val="008F254D"/>
    <w:rsid w:val="00902DE1"/>
    <w:rsid w:val="00907641"/>
    <w:rsid w:val="00907A46"/>
    <w:rsid w:val="00913B69"/>
    <w:rsid w:val="00913DCD"/>
    <w:rsid w:val="009219A6"/>
    <w:rsid w:val="00924818"/>
    <w:rsid w:val="00925CA1"/>
    <w:rsid w:val="0093406D"/>
    <w:rsid w:val="00940F86"/>
    <w:rsid w:val="0094110C"/>
    <w:rsid w:val="00943B3A"/>
    <w:rsid w:val="00943D01"/>
    <w:rsid w:val="009443F4"/>
    <w:rsid w:val="009470A9"/>
    <w:rsid w:val="009513B7"/>
    <w:rsid w:val="0095298A"/>
    <w:rsid w:val="009533D4"/>
    <w:rsid w:val="0096186A"/>
    <w:rsid w:val="009651BB"/>
    <w:rsid w:val="00965A05"/>
    <w:rsid w:val="00976881"/>
    <w:rsid w:val="00976E5B"/>
    <w:rsid w:val="00987B9B"/>
    <w:rsid w:val="00990F42"/>
    <w:rsid w:val="00994A96"/>
    <w:rsid w:val="009B129F"/>
    <w:rsid w:val="009B3C0F"/>
    <w:rsid w:val="009B43E5"/>
    <w:rsid w:val="009B6D45"/>
    <w:rsid w:val="009D2C7E"/>
    <w:rsid w:val="009D51EE"/>
    <w:rsid w:val="009E0070"/>
    <w:rsid w:val="009E1B9F"/>
    <w:rsid w:val="009E270E"/>
    <w:rsid w:val="009E3E5B"/>
    <w:rsid w:val="009E4A9B"/>
    <w:rsid w:val="009F1E4E"/>
    <w:rsid w:val="009F41CB"/>
    <w:rsid w:val="009F71A5"/>
    <w:rsid w:val="00A022B9"/>
    <w:rsid w:val="00A03E45"/>
    <w:rsid w:val="00A07EBB"/>
    <w:rsid w:val="00A10972"/>
    <w:rsid w:val="00A12E67"/>
    <w:rsid w:val="00A2417C"/>
    <w:rsid w:val="00A254B3"/>
    <w:rsid w:val="00A30433"/>
    <w:rsid w:val="00A30989"/>
    <w:rsid w:val="00A365EA"/>
    <w:rsid w:val="00A42C67"/>
    <w:rsid w:val="00A51475"/>
    <w:rsid w:val="00A520A0"/>
    <w:rsid w:val="00A57268"/>
    <w:rsid w:val="00A6004A"/>
    <w:rsid w:val="00A71511"/>
    <w:rsid w:val="00A73121"/>
    <w:rsid w:val="00A80C4B"/>
    <w:rsid w:val="00A8407C"/>
    <w:rsid w:val="00AA0EA9"/>
    <w:rsid w:val="00AA1E64"/>
    <w:rsid w:val="00AA46B9"/>
    <w:rsid w:val="00AA5402"/>
    <w:rsid w:val="00AA6633"/>
    <w:rsid w:val="00AB2BE9"/>
    <w:rsid w:val="00AB3B7D"/>
    <w:rsid w:val="00AC251C"/>
    <w:rsid w:val="00AD1977"/>
    <w:rsid w:val="00AD3A79"/>
    <w:rsid w:val="00AE10D6"/>
    <w:rsid w:val="00AE338E"/>
    <w:rsid w:val="00AE5B6A"/>
    <w:rsid w:val="00AE7CDD"/>
    <w:rsid w:val="00AF0E99"/>
    <w:rsid w:val="00B02216"/>
    <w:rsid w:val="00B044E8"/>
    <w:rsid w:val="00B05F83"/>
    <w:rsid w:val="00B06D37"/>
    <w:rsid w:val="00B10AC6"/>
    <w:rsid w:val="00B1167B"/>
    <w:rsid w:val="00B20B20"/>
    <w:rsid w:val="00B24D66"/>
    <w:rsid w:val="00B25957"/>
    <w:rsid w:val="00B25E3A"/>
    <w:rsid w:val="00B3167B"/>
    <w:rsid w:val="00B3559C"/>
    <w:rsid w:val="00B40344"/>
    <w:rsid w:val="00B4153C"/>
    <w:rsid w:val="00B42F77"/>
    <w:rsid w:val="00B46CC6"/>
    <w:rsid w:val="00B72630"/>
    <w:rsid w:val="00B7574E"/>
    <w:rsid w:val="00B765FD"/>
    <w:rsid w:val="00B80469"/>
    <w:rsid w:val="00B81CD2"/>
    <w:rsid w:val="00B86156"/>
    <w:rsid w:val="00BA5C7C"/>
    <w:rsid w:val="00BA7830"/>
    <w:rsid w:val="00BB238C"/>
    <w:rsid w:val="00BB3F3D"/>
    <w:rsid w:val="00BB4BCC"/>
    <w:rsid w:val="00BC65F9"/>
    <w:rsid w:val="00BE426E"/>
    <w:rsid w:val="00BE79B2"/>
    <w:rsid w:val="00BF194A"/>
    <w:rsid w:val="00BF1CF0"/>
    <w:rsid w:val="00BF473D"/>
    <w:rsid w:val="00C037E3"/>
    <w:rsid w:val="00C2094A"/>
    <w:rsid w:val="00C267F8"/>
    <w:rsid w:val="00C313F5"/>
    <w:rsid w:val="00C31B16"/>
    <w:rsid w:val="00C32183"/>
    <w:rsid w:val="00C43614"/>
    <w:rsid w:val="00C44AF9"/>
    <w:rsid w:val="00C470E8"/>
    <w:rsid w:val="00C506D5"/>
    <w:rsid w:val="00C662EF"/>
    <w:rsid w:val="00C66EB1"/>
    <w:rsid w:val="00C66F12"/>
    <w:rsid w:val="00C71D6C"/>
    <w:rsid w:val="00C95C04"/>
    <w:rsid w:val="00C95D3F"/>
    <w:rsid w:val="00C97ED8"/>
    <w:rsid w:val="00CA320D"/>
    <w:rsid w:val="00CA5728"/>
    <w:rsid w:val="00CA7BEA"/>
    <w:rsid w:val="00CB0B9E"/>
    <w:rsid w:val="00CB3DE9"/>
    <w:rsid w:val="00CC3207"/>
    <w:rsid w:val="00CC3581"/>
    <w:rsid w:val="00CD7FA0"/>
    <w:rsid w:val="00CE6DC2"/>
    <w:rsid w:val="00CF2B96"/>
    <w:rsid w:val="00D01878"/>
    <w:rsid w:val="00D03F05"/>
    <w:rsid w:val="00D11D84"/>
    <w:rsid w:val="00D15C4A"/>
    <w:rsid w:val="00D222DA"/>
    <w:rsid w:val="00D36ABB"/>
    <w:rsid w:val="00D37372"/>
    <w:rsid w:val="00D47378"/>
    <w:rsid w:val="00D53E55"/>
    <w:rsid w:val="00D61E01"/>
    <w:rsid w:val="00D746AA"/>
    <w:rsid w:val="00D81D5E"/>
    <w:rsid w:val="00D8432C"/>
    <w:rsid w:val="00D84662"/>
    <w:rsid w:val="00D86600"/>
    <w:rsid w:val="00D87B79"/>
    <w:rsid w:val="00D916BD"/>
    <w:rsid w:val="00D91D0B"/>
    <w:rsid w:val="00DA61E6"/>
    <w:rsid w:val="00DB35CD"/>
    <w:rsid w:val="00DB6FA5"/>
    <w:rsid w:val="00DB7FCF"/>
    <w:rsid w:val="00DC21DA"/>
    <w:rsid w:val="00DC3DB8"/>
    <w:rsid w:val="00DD0642"/>
    <w:rsid w:val="00DD3FD7"/>
    <w:rsid w:val="00E05C35"/>
    <w:rsid w:val="00E14D7B"/>
    <w:rsid w:val="00E17DE2"/>
    <w:rsid w:val="00E200C8"/>
    <w:rsid w:val="00E21722"/>
    <w:rsid w:val="00E260AA"/>
    <w:rsid w:val="00E26360"/>
    <w:rsid w:val="00E2685B"/>
    <w:rsid w:val="00E33200"/>
    <w:rsid w:val="00E42835"/>
    <w:rsid w:val="00E4564B"/>
    <w:rsid w:val="00E46980"/>
    <w:rsid w:val="00E528C4"/>
    <w:rsid w:val="00E7097F"/>
    <w:rsid w:val="00E82C57"/>
    <w:rsid w:val="00E83546"/>
    <w:rsid w:val="00E83A60"/>
    <w:rsid w:val="00E875BB"/>
    <w:rsid w:val="00EA39A6"/>
    <w:rsid w:val="00EB0C6D"/>
    <w:rsid w:val="00EB32B3"/>
    <w:rsid w:val="00EB4667"/>
    <w:rsid w:val="00EB654A"/>
    <w:rsid w:val="00EB7472"/>
    <w:rsid w:val="00EC63D4"/>
    <w:rsid w:val="00EE35BF"/>
    <w:rsid w:val="00EE7913"/>
    <w:rsid w:val="00F0653B"/>
    <w:rsid w:val="00F076D6"/>
    <w:rsid w:val="00F121F9"/>
    <w:rsid w:val="00F27E6F"/>
    <w:rsid w:val="00F30C0C"/>
    <w:rsid w:val="00F33909"/>
    <w:rsid w:val="00F40B85"/>
    <w:rsid w:val="00F426C9"/>
    <w:rsid w:val="00F45478"/>
    <w:rsid w:val="00F53A93"/>
    <w:rsid w:val="00F56C92"/>
    <w:rsid w:val="00F63494"/>
    <w:rsid w:val="00F640D6"/>
    <w:rsid w:val="00F76CC1"/>
    <w:rsid w:val="00F81022"/>
    <w:rsid w:val="00F81AEE"/>
    <w:rsid w:val="00F8623D"/>
    <w:rsid w:val="00F90786"/>
    <w:rsid w:val="00F9395C"/>
    <w:rsid w:val="00FA080D"/>
    <w:rsid w:val="00FA2603"/>
    <w:rsid w:val="00FA3093"/>
    <w:rsid w:val="00FA4C93"/>
    <w:rsid w:val="00FA580D"/>
    <w:rsid w:val="00FB1050"/>
    <w:rsid w:val="00FB3EA2"/>
    <w:rsid w:val="00FB55E9"/>
    <w:rsid w:val="00FB6D5B"/>
    <w:rsid w:val="00FE08A4"/>
    <w:rsid w:val="00FF54E3"/>
    <w:rsid w:val="00FF7C0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D4590D-0755-474B-B92E-9E2E91649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F54E3"/>
    <w:pPr>
      <w:spacing w:after="0" w:line="360" w:lineRule="auto"/>
      <w:jc w:val="both"/>
    </w:pPr>
    <w:rPr>
      <w:rFonts w:ascii="Times New Roman" w:hAnsi="Times New Roman" w:cs="Times New Roman"/>
      <w:sz w:val="24"/>
      <w:szCs w:val="24"/>
      <w:lang w:val="en-GB"/>
    </w:rPr>
  </w:style>
  <w:style w:type="paragraph" w:styleId="Kop1">
    <w:name w:val="heading 1"/>
    <w:basedOn w:val="Kop2"/>
    <w:next w:val="Standaard"/>
    <w:link w:val="Kop1Char"/>
    <w:uiPriority w:val="9"/>
    <w:qFormat/>
    <w:rsid w:val="00FF54E3"/>
    <w:pPr>
      <w:outlineLvl w:val="0"/>
    </w:pPr>
    <w:rPr>
      <w:b/>
      <w:i w:val="0"/>
    </w:rPr>
  </w:style>
  <w:style w:type="paragraph" w:styleId="Kop2">
    <w:name w:val="heading 2"/>
    <w:basedOn w:val="Standaard"/>
    <w:next w:val="Standaard"/>
    <w:link w:val="Kop2Char"/>
    <w:uiPriority w:val="9"/>
    <w:unhideWhenUsed/>
    <w:qFormat/>
    <w:rsid w:val="00FF54E3"/>
    <w:pPr>
      <w:outlineLvl w:val="1"/>
    </w:pPr>
    <w:rPr>
      <w:i/>
    </w:rPr>
  </w:style>
  <w:style w:type="paragraph" w:styleId="Kop3">
    <w:name w:val="heading 3"/>
    <w:basedOn w:val="Kop2"/>
    <w:next w:val="Standaard"/>
    <w:link w:val="Kop3Char"/>
    <w:uiPriority w:val="9"/>
    <w:unhideWhenUsed/>
    <w:qFormat/>
    <w:rsid w:val="00FF54E3"/>
    <w:pPr>
      <w:ind w:firstLine="720"/>
      <w:outlineLvl w:val="2"/>
    </w:pPr>
  </w:style>
  <w:style w:type="paragraph" w:styleId="Kop4">
    <w:name w:val="heading 4"/>
    <w:basedOn w:val="Standaard"/>
    <w:next w:val="Standaard"/>
    <w:link w:val="Kop4Char"/>
    <w:uiPriority w:val="9"/>
    <w:semiHidden/>
    <w:unhideWhenUsed/>
    <w:qFormat/>
    <w:rsid w:val="00C66EB1"/>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F54E3"/>
    <w:rPr>
      <w:rFonts w:ascii="Times New Roman" w:hAnsi="Times New Roman" w:cs="Times New Roman"/>
      <w:b/>
      <w:sz w:val="24"/>
      <w:szCs w:val="24"/>
      <w:lang w:val="en-GB"/>
    </w:rPr>
  </w:style>
  <w:style w:type="character" w:customStyle="1" w:styleId="Kop2Char">
    <w:name w:val="Kop 2 Char"/>
    <w:basedOn w:val="Standaardalinea-lettertype"/>
    <w:link w:val="Kop2"/>
    <w:uiPriority w:val="9"/>
    <w:rsid w:val="00FF54E3"/>
    <w:rPr>
      <w:rFonts w:ascii="Times New Roman" w:hAnsi="Times New Roman" w:cs="Times New Roman"/>
      <w:i/>
      <w:sz w:val="24"/>
      <w:szCs w:val="24"/>
      <w:lang w:val="en-GB"/>
    </w:rPr>
  </w:style>
  <w:style w:type="character" w:customStyle="1" w:styleId="Kop3Char">
    <w:name w:val="Kop 3 Char"/>
    <w:basedOn w:val="Standaardalinea-lettertype"/>
    <w:link w:val="Kop3"/>
    <w:uiPriority w:val="9"/>
    <w:rsid w:val="00FF54E3"/>
    <w:rPr>
      <w:rFonts w:ascii="Times New Roman" w:hAnsi="Times New Roman" w:cs="Times New Roman"/>
      <w:i/>
      <w:sz w:val="24"/>
      <w:szCs w:val="24"/>
      <w:lang w:val="en-GB"/>
    </w:rPr>
  </w:style>
  <w:style w:type="paragraph" w:styleId="Voetnoottekst">
    <w:name w:val="footnote text"/>
    <w:basedOn w:val="Standaard"/>
    <w:link w:val="VoetnoottekstChar"/>
    <w:uiPriority w:val="99"/>
    <w:unhideWhenUsed/>
    <w:rsid w:val="00FF54E3"/>
    <w:pPr>
      <w:spacing w:line="240" w:lineRule="auto"/>
    </w:pPr>
    <w:rPr>
      <w:sz w:val="20"/>
      <w:szCs w:val="20"/>
    </w:rPr>
  </w:style>
  <w:style w:type="character" w:customStyle="1" w:styleId="VoetnoottekstChar">
    <w:name w:val="Voetnoottekst Char"/>
    <w:basedOn w:val="Standaardalinea-lettertype"/>
    <w:link w:val="Voetnoottekst"/>
    <w:uiPriority w:val="99"/>
    <w:rsid w:val="00FF54E3"/>
    <w:rPr>
      <w:rFonts w:ascii="Times New Roman" w:hAnsi="Times New Roman" w:cs="Times New Roman"/>
      <w:sz w:val="20"/>
      <w:szCs w:val="20"/>
      <w:lang w:val="en-GB"/>
    </w:rPr>
  </w:style>
  <w:style w:type="character" w:styleId="Voetnootmarkering">
    <w:name w:val="footnote reference"/>
    <w:basedOn w:val="Standaardalinea-lettertype"/>
    <w:uiPriority w:val="99"/>
    <w:semiHidden/>
    <w:unhideWhenUsed/>
    <w:rsid w:val="00FF54E3"/>
    <w:rPr>
      <w:vertAlign w:val="superscript"/>
    </w:rPr>
  </w:style>
  <w:style w:type="paragraph" w:styleId="Normaalweb">
    <w:name w:val="Normal (Web)"/>
    <w:basedOn w:val="Standaard"/>
    <w:uiPriority w:val="99"/>
    <w:unhideWhenUsed/>
    <w:rsid w:val="00FF54E3"/>
    <w:pPr>
      <w:spacing w:before="100" w:beforeAutospacing="1" w:after="100" w:afterAutospacing="1" w:line="240" w:lineRule="auto"/>
    </w:pPr>
    <w:rPr>
      <w:rFonts w:eastAsia="Times New Roman"/>
    </w:rPr>
  </w:style>
  <w:style w:type="table" w:styleId="Tabelraster">
    <w:name w:val="Table Grid"/>
    <w:basedOn w:val="Standaardtabel"/>
    <w:uiPriority w:val="59"/>
    <w:rsid w:val="00FF54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Voetnoottekst"/>
    <w:uiPriority w:val="1"/>
    <w:qFormat/>
    <w:rsid w:val="00C44AF9"/>
  </w:style>
  <w:style w:type="paragraph" w:customStyle="1" w:styleId="EndNoteBibliographyTitle">
    <w:name w:val="EndNote Bibliography Title"/>
    <w:basedOn w:val="Standaard"/>
    <w:link w:val="EndNoteBibliographyTitleChar"/>
    <w:rsid w:val="00FF54E3"/>
    <w:pPr>
      <w:jc w:val="center"/>
    </w:pPr>
    <w:rPr>
      <w:noProof/>
    </w:rPr>
  </w:style>
  <w:style w:type="character" w:customStyle="1" w:styleId="EndNoteBibliographyTitleChar">
    <w:name w:val="EndNote Bibliography Title Char"/>
    <w:basedOn w:val="Standaardalinea-lettertype"/>
    <w:link w:val="EndNoteBibliographyTitle"/>
    <w:rsid w:val="00FF54E3"/>
    <w:rPr>
      <w:rFonts w:ascii="Times New Roman" w:hAnsi="Times New Roman" w:cs="Times New Roman"/>
      <w:noProof/>
      <w:sz w:val="24"/>
      <w:szCs w:val="24"/>
      <w:lang w:val="en-GB"/>
    </w:rPr>
  </w:style>
  <w:style w:type="paragraph" w:customStyle="1" w:styleId="EndNoteBibliography">
    <w:name w:val="EndNote Bibliography"/>
    <w:basedOn w:val="Standaard"/>
    <w:link w:val="EndNoteBibliographyChar"/>
    <w:rsid w:val="00FF54E3"/>
    <w:pPr>
      <w:spacing w:line="240" w:lineRule="auto"/>
    </w:pPr>
    <w:rPr>
      <w:noProof/>
    </w:rPr>
  </w:style>
  <w:style w:type="character" w:customStyle="1" w:styleId="EndNoteBibliographyChar">
    <w:name w:val="EndNote Bibliography Char"/>
    <w:basedOn w:val="Standaardalinea-lettertype"/>
    <w:link w:val="EndNoteBibliography"/>
    <w:rsid w:val="00FF54E3"/>
    <w:rPr>
      <w:rFonts w:ascii="Times New Roman" w:hAnsi="Times New Roman" w:cs="Times New Roman"/>
      <w:noProof/>
      <w:sz w:val="24"/>
      <w:szCs w:val="24"/>
      <w:lang w:val="en-GB"/>
    </w:rPr>
  </w:style>
  <w:style w:type="paragraph" w:styleId="Titel">
    <w:name w:val="Title"/>
    <w:basedOn w:val="Standaard"/>
    <w:next w:val="Standaard"/>
    <w:link w:val="TitelChar"/>
    <w:uiPriority w:val="10"/>
    <w:qFormat/>
    <w:rsid w:val="00FF54E3"/>
    <w:pPr>
      <w:jc w:val="center"/>
    </w:pPr>
    <w:rPr>
      <w:b/>
      <w:sz w:val="28"/>
    </w:rPr>
  </w:style>
  <w:style w:type="character" w:customStyle="1" w:styleId="TitelChar">
    <w:name w:val="Titel Char"/>
    <w:basedOn w:val="Standaardalinea-lettertype"/>
    <w:link w:val="Titel"/>
    <w:uiPriority w:val="10"/>
    <w:rsid w:val="00FF54E3"/>
    <w:rPr>
      <w:rFonts w:ascii="Times New Roman" w:hAnsi="Times New Roman" w:cs="Times New Roman"/>
      <w:b/>
      <w:sz w:val="28"/>
      <w:szCs w:val="24"/>
      <w:lang w:val="en-GB"/>
    </w:rPr>
  </w:style>
  <w:style w:type="paragraph" w:styleId="Lijstalinea">
    <w:name w:val="List Paragraph"/>
    <w:basedOn w:val="Standaard"/>
    <w:uiPriority w:val="34"/>
    <w:qFormat/>
    <w:rsid w:val="00FF54E3"/>
    <w:pPr>
      <w:ind w:left="720"/>
      <w:contextualSpacing/>
    </w:pPr>
  </w:style>
  <w:style w:type="character" w:styleId="Verwijzingopmerking">
    <w:name w:val="annotation reference"/>
    <w:basedOn w:val="Standaardalinea-lettertype"/>
    <w:uiPriority w:val="99"/>
    <w:semiHidden/>
    <w:unhideWhenUsed/>
    <w:rsid w:val="00FF54E3"/>
    <w:rPr>
      <w:sz w:val="16"/>
      <w:szCs w:val="16"/>
    </w:rPr>
  </w:style>
  <w:style w:type="paragraph" w:styleId="Tekstopmerking">
    <w:name w:val="annotation text"/>
    <w:basedOn w:val="Standaard"/>
    <w:link w:val="TekstopmerkingChar"/>
    <w:uiPriority w:val="99"/>
    <w:unhideWhenUsed/>
    <w:rsid w:val="00FF54E3"/>
    <w:pPr>
      <w:spacing w:line="240" w:lineRule="auto"/>
    </w:pPr>
    <w:rPr>
      <w:sz w:val="20"/>
      <w:szCs w:val="20"/>
    </w:rPr>
  </w:style>
  <w:style w:type="character" w:customStyle="1" w:styleId="TekstopmerkingChar">
    <w:name w:val="Tekst opmerking Char"/>
    <w:basedOn w:val="Standaardalinea-lettertype"/>
    <w:link w:val="Tekstopmerking"/>
    <w:uiPriority w:val="99"/>
    <w:rsid w:val="00FF54E3"/>
    <w:rPr>
      <w:rFonts w:ascii="Times New Roman" w:hAnsi="Times New Roman" w:cs="Times New Roman"/>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FF54E3"/>
    <w:rPr>
      <w:b/>
      <w:bCs/>
    </w:rPr>
  </w:style>
  <w:style w:type="character" w:customStyle="1" w:styleId="OnderwerpvanopmerkingChar">
    <w:name w:val="Onderwerp van opmerking Char"/>
    <w:basedOn w:val="TekstopmerkingChar"/>
    <w:link w:val="Onderwerpvanopmerking"/>
    <w:uiPriority w:val="99"/>
    <w:semiHidden/>
    <w:rsid w:val="00FF54E3"/>
    <w:rPr>
      <w:rFonts w:ascii="Times New Roman" w:hAnsi="Times New Roman" w:cs="Times New Roman"/>
      <w:b/>
      <w:bCs/>
      <w:sz w:val="20"/>
      <w:szCs w:val="20"/>
      <w:lang w:val="en-GB"/>
    </w:rPr>
  </w:style>
  <w:style w:type="paragraph" w:styleId="Ballontekst">
    <w:name w:val="Balloon Text"/>
    <w:basedOn w:val="Standaard"/>
    <w:link w:val="BallontekstChar"/>
    <w:uiPriority w:val="99"/>
    <w:semiHidden/>
    <w:unhideWhenUsed/>
    <w:rsid w:val="00FF54E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54E3"/>
    <w:rPr>
      <w:rFonts w:ascii="Tahoma" w:hAnsi="Tahoma" w:cs="Tahoma"/>
      <w:sz w:val="16"/>
      <w:szCs w:val="16"/>
      <w:lang w:val="en-GB"/>
    </w:rPr>
  </w:style>
  <w:style w:type="character" w:styleId="Hyperlink">
    <w:name w:val="Hyperlink"/>
    <w:basedOn w:val="Standaardalinea-lettertype"/>
    <w:uiPriority w:val="99"/>
    <w:unhideWhenUsed/>
    <w:rsid w:val="00FF54E3"/>
    <w:rPr>
      <w:color w:val="0000FF" w:themeColor="hyperlink"/>
      <w:u w:val="single"/>
    </w:rPr>
  </w:style>
  <w:style w:type="character" w:customStyle="1" w:styleId="outputecli">
    <w:name w:val="outputecli"/>
    <w:basedOn w:val="Standaardalinea-lettertype"/>
    <w:rsid w:val="002F64F4"/>
  </w:style>
  <w:style w:type="character" w:customStyle="1" w:styleId="Kop4Char">
    <w:name w:val="Kop 4 Char"/>
    <w:basedOn w:val="Standaardalinea-lettertype"/>
    <w:link w:val="Kop4"/>
    <w:uiPriority w:val="9"/>
    <w:semiHidden/>
    <w:rsid w:val="00C66EB1"/>
    <w:rPr>
      <w:rFonts w:asciiTheme="majorHAnsi" w:eastAsiaTheme="majorEastAsia" w:hAnsiTheme="majorHAnsi" w:cstheme="majorBidi"/>
      <w:b/>
      <w:bCs/>
      <w:i/>
      <w:iCs/>
      <w:color w:val="4F81BD" w:themeColor="accent1"/>
      <w:sz w:val="24"/>
      <w:szCs w:val="24"/>
      <w:lang w:val="en-GB"/>
    </w:rPr>
  </w:style>
  <w:style w:type="paragraph" w:styleId="Eindnoottekst">
    <w:name w:val="endnote text"/>
    <w:basedOn w:val="Standaard"/>
    <w:link w:val="EindnoottekstChar"/>
    <w:uiPriority w:val="99"/>
    <w:semiHidden/>
    <w:unhideWhenUsed/>
    <w:rsid w:val="0050676D"/>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50676D"/>
    <w:rPr>
      <w:rFonts w:ascii="Times New Roman" w:hAnsi="Times New Roman" w:cs="Times New Roman"/>
      <w:sz w:val="20"/>
      <w:szCs w:val="20"/>
      <w:lang w:val="en-GB"/>
    </w:rPr>
  </w:style>
  <w:style w:type="character" w:styleId="Eindnootmarkering">
    <w:name w:val="endnote reference"/>
    <w:basedOn w:val="Standaardalinea-lettertype"/>
    <w:uiPriority w:val="99"/>
    <w:semiHidden/>
    <w:unhideWhenUsed/>
    <w:rsid w:val="0050676D"/>
    <w:rPr>
      <w:vertAlign w:val="superscript"/>
    </w:rPr>
  </w:style>
  <w:style w:type="paragraph" w:styleId="Koptekst">
    <w:name w:val="header"/>
    <w:basedOn w:val="Standaard"/>
    <w:link w:val="KoptekstChar"/>
    <w:uiPriority w:val="99"/>
    <w:unhideWhenUsed/>
    <w:rsid w:val="000E1F6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E1F61"/>
    <w:rPr>
      <w:rFonts w:ascii="Times New Roman" w:hAnsi="Times New Roman" w:cs="Times New Roman"/>
      <w:sz w:val="24"/>
      <w:szCs w:val="24"/>
      <w:lang w:val="en-GB"/>
    </w:rPr>
  </w:style>
  <w:style w:type="paragraph" w:styleId="Voettekst">
    <w:name w:val="footer"/>
    <w:basedOn w:val="Standaard"/>
    <w:link w:val="VoettekstChar"/>
    <w:uiPriority w:val="99"/>
    <w:unhideWhenUsed/>
    <w:rsid w:val="000E1F6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E1F61"/>
    <w:rPr>
      <w:rFonts w:ascii="Times New Roman" w:hAnsi="Times New Roman" w:cs="Times New Roman"/>
      <w:sz w:val="24"/>
      <w:szCs w:val="24"/>
      <w:lang w:val="en-GB"/>
    </w:rPr>
  </w:style>
  <w:style w:type="paragraph" w:styleId="Bijschrift">
    <w:name w:val="caption"/>
    <w:basedOn w:val="Standaard"/>
    <w:next w:val="Standaard"/>
    <w:uiPriority w:val="35"/>
    <w:unhideWhenUsed/>
    <w:qFormat/>
    <w:rsid w:val="00082C80"/>
    <w:pPr>
      <w:spacing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42202">
      <w:bodyDiv w:val="1"/>
      <w:marLeft w:val="0"/>
      <w:marRight w:val="0"/>
      <w:marTop w:val="0"/>
      <w:marBottom w:val="0"/>
      <w:divBdr>
        <w:top w:val="none" w:sz="0" w:space="0" w:color="auto"/>
        <w:left w:val="none" w:sz="0" w:space="0" w:color="auto"/>
        <w:bottom w:val="none" w:sz="0" w:space="0" w:color="auto"/>
        <w:right w:val="none" w:sz="0" w:space="0" w:color="auto"/>
      </w:divBdr>
    </w:div>
    <w:div w:id="116069791">
      <w:bodyDiv w:val="1"/>
      <w:marLeft w:val="0"/>
      <w:marRight w:val="0"/>
      <w:marTop w:val="0"/>
      <w:marBottom w:val="0"/>
      <w:divBdr>
        <w:top w:val="none" w:sz="0" w:space="0" w:color="auto"/>
        <w:left w:val="none" w:sz="0" w:space="0" w:color="auto"/>
        <w:bottom w:val="none" w:sz="0" w:space="0" w:color="auto"/>
        <w:right w:val="none" w:sz="0" w:space="0" w:color="auto"/>
      </w:divBdr>
    </w:div>
    <w:div w:id="200671350">
      <w:bodyDiv w:val="1"/>
      <w:marLeft w:val="0"/>
      <w:marRight w:val="0"/>
      <w:marTop w:val="0"/>
      <w:marBottom w:val="0"/>
      <w:divBdr>
        <w:top w:val="none" w:sz="0" w:space="0" w:color="auto"/>
        <w:left w:val="none" w:sz="0" w:space="0" w:color="auto"/>
        <w:bottom w:val="none" w:sz="0" w:space="0" w:color="auto"/>
        <w:right w:val="none" w:sz="0" w:space="0" w:color="auto"/>
      </w:divBdr>
    </w:div>
    <w:div w:id="427851038">
      <w:bodyDiv w:val="1"/>
      <w:marLeft w:val="0"/>
      <w:marRight w:val="0"/>
      <w:marTop w:val="0"/>
      <w:marBottom w:val="0"/>
      <w:divBdr>
        <w:top w:val="none" w:sz="0" w:space="0" w:color="auto"/>
        <w:left w:val="none" w:sz="0" w:space="0" w:color="auto"/>
        <w:bottom w:val="none" w:sz="0" w:space="0" w:color="auto"/>
        <w:right w:val="none" w:sz="0" w:space="0" w:color="auto"/>
      </w:divBdr>
    </w:div>
    <w:div w:id="585726221">
      <w:bodyDiv w:val="1"/>
      <w:marLeft w:val="0"/>
      <w:marRight w:val="0"/>
      <w:marTop w:val="0"/>
      <w:marBottom w:val="0"/>
      <w:divBdr>
        <w:top w:val="none" w:sz="0" w:space="0" w:color="auto"/>
        <w:left w:val="none" w:sz="0" w:space="0" w:color="auto"/>
        <w:bottom w:val="none" w:sz="0" w:space="0" w:color="auto"/>
        <w:right w:val="none" w:sz="0" w:space="0" w:color="auto"/>
      </w:divBdr>
    </w:div>
    <w:div w:id="685059193">
      <w:bodyDiv w:val="1"/>
      <w:marLeft w:val="0"/>
      <w:marRight w:val="0"/>
      <w:marTop w:val="0"/>
      <w:marBottom w:val="0"/>
      <w:divBdr>
        <w:top w:val="none" w:sz="0" w:space="0" w:color="auto"/>
        <w:left w:val="none" w:sz="0" w:space="0" w:color="auto"/>
        <w:bottom w:val="none" w:sz="0" w:space="0" w:color="auto"/>
        <w:right w:val="none" w:sz="0" w:space="0" w:color="auto"/>
      </w:divBdr>
    </w:div>
    <w:div w:id="709497419">
      <w:bodyDiv w:val="1"/>
      <w:marLeft w:val="0"/>
      <w:marRight w:val="0"/>
      <w:marTop w:val="0"/>
      <w:marBottom w:val="0"/>
      <w:divBdr>
        <w:top w:val="none" w:sz="0" w:space="0" w:color="auto"/>
        <w:left w:val="none" w:sz="0" w:space="0" w:color="auto"/>
        <w:bottom w:val="none" w:sz="0" w:space="0" w:color="auto"/>
        <w:right w:val="none" w:sz="0" w:space="0" w:color="auto"/>
      </w:divBdr>
    </w:div>
    <w:div w:id="1133250764">
      <w:bodyDiv w:val="1"/>
      <w:marLeft w:val="0"/>
      <w:marRight w:val="0"/>
      <w:marTop w:val="0"/>
      <w:marBottom w:val="0"/>
      <w:divBdr>
        <w:top w:val="none" w:sz="0" w:space="0" w:color="auto"/>
        <w:left w:val="none" w:sz="0" w:space="0" w:color="auto"/>
        <w:bottom w:val="none" w:sz="0" w:space="0" w:color="auto"/>
        <w:right w:val="none" w:sz="0" w:space="0" w:color="auto"/>
      </w:divBdr>
    </w:div>
    <w:div w:id="1188562396">
      <w:bodyDiv w:val="1"/>
      <w:marLeft w:val="0"/>
      <w:marRight w:val="0"/>
      <w:marTop w:val="0"/>
      <w:marBottom w:val="0"/>
      <w:divBdr>
        <w:top w:val="none" w:sz="0" w:space="0" w:color="auto"/>
        <w:left w:val="none" w:sz="0" w:space="0" w:color="auto"/>
        <w:bottom w:val="none" w:sz="0" w:space="0" w:color="auto"/>
        <w:right w:val="none" w:sz="0" w:space="0" w:color="auto"/>
      </w:divBdr>
    </w:div>
    <w:div w:id="1213691164">
      <w:bodyDiv w:val="1"/>
      <w:marLeft w:val="0"/>
      <w:marRight w:val="0"/>
      <w:marTop w:val="0"/>
      <w:marBottom w:val="0"/>
      <w:divBdr>
        <w:top w:val="none" w:sz="0" w:space="0" w:color="auto"/>
        <w:left w:val="none" w:sz="0" w:space="0" w:color="auto"/>
        <w:bottom w:val="none" w:sz="0" w:space="0" w:color="auto"/>
        <w:right w:val="none" w:sz="0" w:space="0" w:color="auto"/>
      </w:divBdr>
    </w:div>
    <w:div w:id="1250968614">
      <w:bodyDiv w:val="1"/>
      <w:marLeft w:val="0"/>
      <w:marRight w:val="0"/>
      <w:marTop w:val="0"/>
      <w:marBottom w:val="0"/>
      <w:divBdr>
        <w:top w:val="none" w:sz="0" w:space="0" w:color="auto"/>
        <w:left w:val="none" w:sz="0" w:space="0" w:color="auto"/>
        <w:bottom w:val="none" w:sz="0" w:space="0" w:color="auto"/>
        <w:right w:val="none" w:sz="0" w:space="0" w:color="auto"/>
      </w:divBdr>
    </w:div>
    <w:div w:id="160538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amsterdam.nl/beleidwerkeninkomen/4-specifieke/" TargetMode="External"/><Relationship Id="rId1" Type="http://schemas.openxmlformats.org/officeDocument/2006/relationships/hyperlink" Target="mailto:dion.kramer@vu.n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EB210-6C9C-460C-834B-0E3DD4F97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2455</TotalTime>
  <Pages>33</Pages>
  <Words>10122</Words>
  <Characters>55671</Characters>
  <Application>Microsoft Office Word</Application>
  <DocSecurity>0</DocSecurity>
  <Lines>463</Lines>
  <Paragraphs>131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Salzburg</Company>
  <LinksUpToDate>false</LinksUpToDate>
  <CharactersWithSpaces>65662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Kramer, D.</dc:creator>
  <cp:lastModifiedBy>Dion Kramer</cp:lastModifiedBy>
  <cp:revision>25</cp:revision>
  <cp:lastPrinted>2017-03-10T01:17:00Z</cp:lastPrinted>
  <dcterms:created xsi:type="dcterms:W3CDTF">2017-04-26T10:25:00Z</dcterms:created>
  <dcterms:modified xsi:type="dcterms:W3CDTF">2017-04-29T18:20:00Z</dcterms:modified>
</cp:coreProperties>
</file>