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B975" w14:textId="77777777" w:rsidR="006B292F" w:rsidRDefault="006B292F" w:rsidP="006B292F">
      <w:pPr>
        <w:rPr>
          <w:lang w:val="en-CA"/>
        </w:rPr>
      </w:pPr>
    </w:p>
    <w:p w14:paraId="512C62C2" w14:textId="77777777" w:rsidR="00F7570A" w:rsidRDefault="00F7570A" w:rsidP="006B292F">
      <w:pPr>
        <w:rPr>
          <w:lang w:val="en-CA"/>
        </w:rPr>
      </w:pPr>
    </w:p>
    <w:p w14:paraId="16F25CD4" w14:textId="77777777" w:rsidR="0075607F" w:rsidRDefault="000C6063" w:rsidP="002A0DBB">
      <w:pPr>
        <w:jc w:val="center"/>
        <w:outlineLvl w:val="0"/>
        <w:rPr>
          <w:b/>
          <w:lang w:val="en-CA"/>
        </w:rPr>
      </w:pPr>
      <w:bookmarkStart w:id="0" w:name="_GoBack"/>
      <w:r>
        <w:rPr>
          <w:b/>
          <w:lang w:val="en-CA"/>
        </w:rPr>
        <w:t xml:space="preserve">Investment Protection Agreements and Contemporary Anti-Globalization: </w:t>
      </w:r>
    </w:p>
    <w:p w14:paraId="42A35286" w14:textId="109DF5FB" w:rsidR="006B292F" w:rsidRPr="006B292F" w:rsidRDefault="000C6063" w:rsidP="002A0DBB">
      <w:pPr>
        <w:jc w:val="center"/>
        <w:outlineLvl w:val="0"/>
        <w:rPr>
          <w:b/>
          <w:lang w:val="en-CA"/>
        </w:rPr>
      </w:pPr>
      <w:r>
        <w:rPr>
          <w:b/>
          <w:lang w:val="en-CA"/>
        </w:rPr>
        <w:t>The Cases of the U.S. and Europe</w:t>
      </w:r>
    </w:p>
    <w:p w14:paraId="684EAF10" w14:textId="77777777" w:rsidR="006B292F" w:rsidRDefault="006B292F" w:rsidP="006B292F">
      <w:pPr>
        <w:rPr>
          <w:lang w:val="en-CA"/>
        </w:rPr>
      </w:pPr>
    </w:p>
    <w:bookmarkEnd w:id="0"/>
    <w:p w14:paraId="4168A2C8" w14:textId="77777777" w:rsidR="006B292F" w:rsidRDefault="006B292F" w:rsidP="006B292F">
      <w:pPr>
        <w:rPr>
          <w:lang w:val="en-CA"/>
        </w:rPr>
      </w:pPr>
    </w:p>
    <w:p w14:paraId="1CAFF6D9" w14:textId="15957E0A" w:rsidR="006B292F" w:rsidRDefault="00C70902" w:rsidP="002A0DBB">
      <w:pPr>
        <w:jc w:val="center"/>
        <w:outlineLvl w:val="0"/>
        <w:rPr>
          <w:lang w:val="en-CA"/>
        </w:rPr>
      </w:pPr>
      <w:r>
        <w:rPr>
          <w:lang w:val="en-CA"/>
        </w:rPr>
        <w:t>Paper P</w:t>
      </w:r>
      <w:r w:rsidR="006B292F">
        <w:rPr>
          <w:lang w:val="en-CA"/>
        </w:rPr>
        <w:t>resented at the</w:t>
      </w:r>
    </w:p>
    <w:p w14:paraId="231104B9" w14:textId="77777777" w:rsidR="00064362" w:rsidRDefault="00064362" w:rsidP="002A0DBB">
      <w:pPr>
        <w:jc w:val="center"/>
        <w:outlineLvl w:val="0"/>
        <w:rPr>
          <w:lang w:val="en-CA"/>
        </w:rPr>
      </w:pPr>
    </w:p>
    <w:p w14:paraId="245F5A87" w14:textId="04D3FBD0" w:rsidR="00064362" w:rsidRPr="00FB7D93" w:rsidRDefault="00064362" w:rsidP="00064362">
      <w:pPr>
        <w:jc w:val="center"/>
        <w:rPr>
          <w:b/>
        </w:rPr>
      </w:pPr>
      <w:r w:rsidRPr="00FB7D93">
        <w:rPr>
          <w:b/>
        </w:rPr>
        <w:t>EUSA</w:t>
      </w:r>
      <w:r>
        <w:rPr>
          <w:b/>
        </w:rPr>
        <w:t xml:space="preserve"> 15</w:t>
      </w:r>
      <w:r w:rsidRPr="00064362">
        <w:rPr>
          <w:b/>
          <w:vertAlign w:val="superscript"/>
        </w:rPr>
        <w:t>th</w:t>
      </w:r>
      <w:r>
        <w:rPr>
          <w:b/>
        </w:rPr>
        <w:t xml:space="preserve"> </w:t>
      </w:r>
      <w:r w:rsidRPr="00FB7D93">
        <w:rPr>
          <w:b/>
        </w:rPr>
        <w:t>Bien</w:t>
      </w:r>
      <w:r>
        <w:rPr>
          <w:b/>
        </w:rPr>
        <w:t>n</w:t>
      </w:r>
      <w:r w:rsidRPr="00FB7D93">
        <w:rPr>
          <w:b/>
        </w:rPr>
        <w:t>ial Conference</w:t>
      </w:r>
    </w:p>
    <w:p w14:paraId="7920B798" w14:textId="427ECB98" w:rsidR="00064362" w:rsidRDefault="00064362" w:rsidP="00064362">
      <w:pPr>
        <w:jc w:val="center"/>
        <w:rPr>
          <w:b/>
        </w:rPr>
      </w:pPr>
      <w:r w:rsidRPr="00FB7D93">
        <w:rPr>
          <w:b/>
        </w:rPr>
        <w:t>May 4-6, 2017</w:t>
      </w:r>
    </w:p>
    <w:p w14:paraId="1555562C" w14:textId="6A03F65E" w:rsidR="00064362" w:rsidRDefault="00064362" w:rsidP="00064362">
      <w:pPr>
        <w:jc w:val="center"/>
        <w:rPr>
          <w:b/>
        </w:rPr>
      </w:pPr>
      <w:r>
        <w:rPr>
          <w:b/>
        </w:rPr>
        <w:t>Miami, FL</w:t>
      </w:r>
    </w:p>
    <w:p w14:paraId="350F6092" w14:textId="77777777" w:rsidR="00094BBA" w:rsidRDefault="00094BBA" w:rsidP="00064362">
      <w:pPr>
        <w:jc w:val="center"/>
        <w:rPr>
          <w:b/>
        </w:rPr>
      </w:pPr>
    </w:p>
    <w:p w14:paraId="2CC3B1CD" w14:textId="456AFC4E" w:rsidR="00094BBA" w:rsidRPr="00FB7D93" w:rsidRDefault="00094BBA" w:rsidP="00064362">
      <w:pPr>
        <w:jc w:val="center"/>
        <w:rPr>
          <w:b/>
        </w:rPr>
      </w:pPr>
      <w:r>
        <w:rPr>
          <w:b/>
        </w:rPr>
        <w:t xml:space="preserve">Panel: </w:t>
      </w:r>
      <w:r>
        <w:t>9A EU Trade, Globalization and Societal Mobilization</w:t>
      </w:r>
    </w:p>
    <w:p w14:paraId="4E8E3850" w14:textId="77777777" w:rsidR="006B292F" w:rsidRDefault="006B292F" w:rsidP="006B292F">
      <w:pPr>
        <w:jc w:val="center"/>
        <w:rPr>
          <w:lang w:val="en-CA"/>
        </w:rPr>
      </w:pPr>
    </w:p>
    <w:p w14:paraId="0F0CF2E0" w14:textId="77777777" w:rsidR="006B292F" w:rsidRDefault="006B292F" w:rsidP="002A0DBB">
      <w:pPr>
        <w:jc w:val="center"/>
        <w:outlineLvl w:val="0"/>
        <w:rPr>
          <w:lang w:val="en-CA"/>
        </w:rPr>
      </w:pPr>
      <w:r>
        <w:rPr>
          <w:lang w:val="en-CA"/>
        </w:rPr>
        <w:t>Greg Anderson</w:t>
      </w:r>
    </w:p>
    <w:p w14:paraId="4E814B76" w14:textId="78B4D317" w:rsidR="006B292F" w:rsidRDefault="006B292F" w:rsidP="006B292F">
      <w:pPr>
        <w:jc w:val="center"/>
        <w:rPr>
          <w:lang w:val="en-CA"/>
        </w:rPr>
      </w:pPr>
      <w:r>
        <w:rPr>
          <w:lang w:val="en-CA"/>
        </w:rPr>
        <w:t>Department of Political Science</w:t>
      </w:r>
    </w:p>
    <w:p w14:paraId="7ECE2807" w14:textId="77777777" w:rsidR="006B292F" w:rsidRDefault="006B292F" w:rsidP="006B292F">
      <w:pPr>
        <w:jc w:val="center"/>
        <w:rPr>
          <w:lang w:val="en-CA"/>
        </w:rPr>
      </w:pPr>
      <w:r>
        <w:rPr>
          <w:lang w:val="en-CA"/>
        </w:rPr>
        <w:t>University of Alberta</w:t>
      </w:r>
    </w:p>
    <w:p w14:paraId="27F44A2B" w14:textId="661A3D64" w:rsidR="00BC2582" w:rsidRDefault="00BC2582" w:rsidP="006B292F">
      <w:pPr>
        <w:jc w:val="center"/>
        <w:rPr>
          <w:lang w:val="en-CA"/>
        </w:rPr>
      </w:pPr>
      <w:r>
        <w:rPr>
          <w:lang w:val="en-CA"/>
        </w:rPr>
        <w:t>e-mail: greg.anderson@ualberta.ca</w:t>
      </w:r>
    </w:p>
    <w:p w14:paraId="45E29EA3" w14:textId="77777777" w:rsidR="006B292F" w:rsidRDefault="006B292F" w:rsidP="006B292F">
      <w:pPr>
        <w:jc w:val="center"/>
        <w:rPr>
          <w:lang w:val="en-CA"/>
        </w:rPr>
      </w:pPr>
    </w:p>
    <w:p w14:paraId="21ECA411" w14:textId="77777777" w:rsidR="006B292F" w:rsidRDefault="006B292F" w:rsidP="006B292F">
      <w:pPr>
        <w:jc w:val="center"/>
        <w:rPr>
          <w:lang w:val="en-CA"/>
        </w:rPr>
      </w:pPr>
    </w:p>
    <w:p w14:paraId="0E5ED348" w14:textId="2117267B" w:rsidR="006B292F" w:rsidRDefault="00B124D8" w:rsidP="002A0DBB">
      <w:pPr>
        <w:jc w:val="center"/>
        <w:outlineLvl w:val="0"/>
        <w:rPr>
          <w:lang w:val="en-CA"/>
        </w:rPr>
      </w:pPr>
      <w:r>
        <w:rPr>
          <w:lang w:val="en-CA"/>
        </w:rPr>
        <w:t>Stefa</w:t>
      </w:r>
      <w:r w:rsidR="006B292F">
        <w:rPr>
          <w:lang w:val="en-CA"/>
        </w:rPr>
        <w:t>n</w:t>
      </w:r>
      <w:r>
        <w:rPr>
          <w:lang w:val="en-CA"/>
        </w:rPr>
        <w:t>i</w:t>
      </w:r>
      <w:r w:rsidR="006B292F">
        <w:rPr>
          <w:lang w:val="en-CA"/>
        </w:rPr>
        <w:t>e Rosskopf</w:t>
      </w:r>
    </w:p>
    <w:p w14:paraId="4C131D01" w14:textId="144C8EC0" w:rsidR="006B292F" w:rsidRDefault="006B292F" w:rsidP="006B292F">
      <w:pPr>
        <w:jc w:val="center"/>
        <w:rPr>
          <w:lang w:val="en-CA"/>
        </w:rPr>
      </w:pPr>
      <w:r>
        <w:rPr>
          <w:lang w:val="en-CA"/>
        </w:rPr>
        <w:t>President, Edmonton Chapter</w:t>
      </w:r>
    </w:p>
    <w:p w14:paraId="66DC1FFC" w14:textId="77777777" w:rsidR="006B292F" w:rsidRDefault="006B292F" w:rsidP="006B292F">
      <w:pPr>
        <w:jc w:val="center"/>
        <w:rPr>
          <w:lang w:val="en-CA"/>
        </w:rPr>
      </w:pPr>
      <w:r>
        <w:rPr>
          <w:lang w:val="en-CA"/>
        </w:rPr>
        <w:t>Canadian International Council</w:t>
      </w:r>
    </w:p>
    <w:p w14:paraId="41132862" w14:textId="4D7906F9" w:rsidR="006B292F" w:rsidRDefault="00B124D8" w:rsidP="006B292F">
      <w:pPr>
        <w:jc w:val="center"/>
        <w:rPr>
          <w:lang w:val="en-CA"/>
        </w:rPr>
      </w:pPr>
      <w:r>
        <w:rPr>
          <w:lang w:val="en-CA"/>
        </w:rPr>
        <w:t xml:space="preserve">e-mail: </w:t>
      </w:r>
      <w:r w:rsidRPr="00B124D8">
        <w:rPr>
          <w:lang w:val="en-CA"/>
        </w:rPr>
        <w:t>sRosskopf@thecic.org</w:t>
      </w:r>
    </w:p>
    <w:p w14:paraId="170110D8" w14:textId="77777777" w:rsidR="006B292F" w:rsidRDefault="006B292F" w:rsidP="006B292F">
      <w:pPr>
        <w:jc w:val="center"/>
        <w:rPr>
          <w:lang w:val="en-CA"/>
        </w:rPr>
      </w:pPr>
    </w:p>
    <w:p w14:paraId="1EEFEEC2" w14:textId="77777777" w:rsidR="006B292F" w:rsidRDefault="006B292F" w:rsidP="006B292F">
      <w:pPr>
        <w:jc w:val="center"/>
        <w:rPr>
          <w:lang w:val="en-CA"/>
        </w:rPr>
      </w:pPr>
    </w:p>
    <w:p w14:paraId="75A75C78" w14:textId="77777777" w:rsidR="006B292F" w:rsidRDefault="006B292F" w:rsidP="006B292F">
      <w:pPr>
        <w:rPr>
          <w:lang w:val="en-CA"/>
        </w:rPr>
      </w:pPr>
    </w:p>
    <w:p w14:paraId="30935930" w14:textId="77777777" w:rsidR="006B292F" w:rsidRDefault="006B292F" w:rsidP="006B292F">
      <w:pPr>
        <w:rPr>
          <w:lang w:val="en-CA"/>
        </w:rPr>
      </w:pPr>
    </w:p>
    <w:p w14:paraId="1FD14801" w14:textId="77777777" w:rsidR="006B292F" w:rsidRDefault="006B292F" w:rsidP="006B292F">
      <w:pPr>
        <w:rPr>
          <w:lang w:val="en-CA"/>
        </w:rPr>
      </w:pPr>
    </w:p>
    <w:p w14:paraId="3AC3FF5E" w14:textId="77777777" w:rsidR="006B292F" w:rsidRDefault="006B292F" w:rsidP="006B292F">
      <w:pPr>
        <w:rPr>
          <w:lang w:val="en-CA"/>
        </w:rPr>
      </w:pPr>
    </w:p>
    <w:p w14:paraId="0C288B0C" w14:textId="77777777" w:rsidR="006B292F" w:rsidRDefault="006B292F" w:rsidP="006B292F">
      <w:pPr>
        <w:rPr>
          <w:lang w:val="en-CA"/>
        </w:rPr>
      </w:pPr>
    </w:p>
    <w:p w14:paraId="0A6B134B" w14:textId="77777777" w:rsidR="006B292F" w:rsidRDefault="006B292F" w:rsidP="006B292F">
      <w:pPr>
        <w:rPr>
          <w:lang w:val="en-CA"/>
        </w:rPr>
      </w:pPr>
    </w:p>
    <w:p w14:paraId="48CFE61C" w14:textId="77777777" w:rsidR="006B292F" w:rsidRDefault="006B292F" w:rsidP="006B292F">
      <w:pPr>
        <w:rPr>
          <w:lang w:val="en-CA"/>
        </w:rPr>
      </w:pPr>
    </w:p>
    <w:p w14:paraId="6ABB8D0C" w14:textId="77777777" w:rsidR="006B292F" w:rsidRDefault="006B292F" w:rsidP="006B292F">
      <w:pPr>
        <w:rPr>
          <w:lang w:val="en-CA"/>
        </w:rPr>
      </w:pPr>
    </w:p>
    <w:p w14:paraId="381EED23" w14:textId="77777777" w:rsidR="006B292F" w:rsidRDefault="006B292F" w:rsidP="006B292F">
      <w:pPr>
        <w:rPr>
          <w:lang w:val="en-CA"/>
        </w:rPr>
      </w:pPr>
    </w:p>
    <w:p w14:paraId="157C2126" w14:textId="77777777" w:rsidR="006B292F" w:rsidRDefault="006B292F" w:rsidP="006B292F">
      <w:pPr>
        <w:rPr>
          <w:lang w:val="en-CA"/>
        </w:rPr>
      </w:pPr>
    </w:p>
    <w:p w14:paraId="56106294" w14:textId="77777777" w:rsidR="006B292F" w:rsidRDefault="006B292F" w:rsidP="006B292F">
      <w:pPr>
        <w:rPr>
          <w:lang w:val="en-CA"/>
        </w:rPr>
      </w:pPr>
    </w:p>
    <w:p w14:paraId="4DA2B54F" w14:textId="77777777" w:rsidR="006B292F" w:rsidRDefault="006B292F" w:rsidP="006B292F">
      <w:pPr>
        <w:rPr>
          <w:lang w:val="en-CA"/>
        </w:rPr>
      </w:pPr>
    </w:p>
    <w:p w14:paraId="761286F7" w14:textId="77777777" w:rsidR="006B292F" w:rsidRDefault="006B292F" w:rsidP="006B292F">
      <w:pPr>
        <w:rPr>
          <w:lang w:val="en-CA"/>
        </w:rPr>
      </w:pPr>
    </w:p>
    <w:p w14:paraId="3FD0A7D1" w14:textId="77777777" w:rsidR="006B292F" w:rsidRDefault="006B292F" w:rsidP="006B292F">
      <w:pPr>
        <w:rPr>
          <w:lang w:val="en-CA"/>
        </w:rPr>
      </w:pPr>
    </w:p>
    <w:p w14:paraId="42C2E0F5" w14:textId="77777777" w:rsidR="006B292F" w:rsidRDefault="006B292F" w:rsidP="006B292F">
      <w:pPr>
        <w:rPr>
          <w:lang w:val="en-CA"/>
        </w:rPr>
      </w:pPr>
    </w:p>
    <w:p w14:paraId="56155721" w14:textId="77777777" w:rsidR="00094BBA" w:rsidRDefault="00094BBA" w:rsidP="002A0DBB">
      <w:pPr>
        <w:outlineLvl w:val="0"/>
        <w:rPr>
          <w:lang w:val="en-CA"/>
        </w:rPr>
      </w:pPr>
    </w:p>
    <w:p w14:paraId="329013CE" w14:textId="77777777" w:rsidR="00C17B8E" w:rsidRDefault="00C17B8E" w:rsidP="002A0DBB">
      <w:pPr>
        <w:outlineLvl w:val="0"/>
        <w:rPr>
          <w:b/>
          <w:lang w:val="en-CA"/>
        </w:rPr>
      </w:pPr>
    </w:p>
    <w:p w14:paraId="5F665FB6" w14:textId="77777777" w:rsidR="00C17B8E" w:rsidRDefault="00C17B8E" w:rsidP="002A0DBB">
      <w:pPr>
        <w:outlineLvl w:val="0"/>
        <w:rPr>
          <w:b/>
          <w:lang w:val="en-CA"/>
        </w:rPr>
      </w:pPr>
    </w:p>
    <w:p w14:paraId="0E706D29" w14:textId="77777777" w:rsidR="00A67B5D" w:rsidRDefault="00A67B5D" w:rsidP="002A0DBB">
      <w:pPr>
        <w:outlineLvl w:val="0"/>
        <w:rPr>
          <w:b/>
          <w:lang w:val="en-CA"/>
        </w:rPr>
      </w:pPr>
    </w:p>
    <w:p w14:paraId="259E0620" w14:textId="77777777" w:rsidR="00A67B5D" w:rsidRDefault="00A67B5D" w:rsidP="002A0DBB">
      <w:pPr>
        <w:outlineLvl w:val="0"/>
        <w:rPr>
          <w:b/>
          <w:lang w:val="en-CA"/>
        </w:rPr>
      </w:pPr>
    </w:p>
    <w:p w14:paraId="700F3086" w14:textId="12A02AFE" w:rsidR="0006710E" w:rsidRDefault="00006426" w:rsidP="002A0DBB">
      <w:pPr>
        <w:outlineLvl w:val="0"/>
        <w:rPr>
          <w:b/>
          <w:lang w:val="en-CA"/>
        </w:rPr>
      </w:pPr>
      <w:r w:rsidRPr="00006426">
        <w:rPr>
          <w:b/>
          <w:lang w:val="en-CA"/>
        </w:rPr>
        <w:lastRenderedPageBreak/>
        <w:t>Introduction</w:t>
      </w:r>
    </w:p>
    <w:p w14:paraId="40D01F2C" w14:textId="77777777" w:rsidR="00094BBA" w:rsidRPr="00006426" w:rsidRDefault="00094BBA" w:rsidP="002A0DBB">
      <w:pPr>
        <w:outlineLvl w:val="0"/>
        <w:rPr>
          <w:b/>
          <w:lang w:val="en-CA"/>
        </w:rPr>
      </w:pPr>
    </w:p>
    <w:p w14:paraId="0615B57E" w14:textId="475779D7" w:rsidR="0006710E" w:rsidRDefault="00BE53F6" w:rsidP="0006710E">
      <w:pPr>
        <w:spacing w:line="360" w:lineRule="auto"/>
        <w:ind w:firstLine="720"/>
        <w:rPr>
          <w:lang w:val="en-CA"/>
        </w:rPr>
      </w:pPr>
      <w:r>
        <w:rPr>
          <w:lang w:val="en-CA"/>
        </w:rPr>
        <w:t>Dispute settlement in the domain of foreign direct investment has an established, and relatively uncontroversi</w:t>
      </w:r>
      <w:r w:rsidR="0006710E">
        <w:rPr>
          <w:lang w:val="en-CA"/>
        </w:rPr>
        <w:t>al, history in the postwar era. Yet over the last two decades, all of that has changed and so-called investor state dispute settl</w:t>
      </w:r>
      <w:r w:rsidR="00673F9F">
        <w:rPr>
          <w:lang w:val="en-CA"/>
        </w:rPr>
        <w:t>ement (ISDS) has become a light</w:t>
      </w:r>
      <w:r w:rsidR="0006710E">
        <w:rPr>
          <w:lang w:val="en-CA"/>
        </w:rPr>
        <w:t>ning rod for</w:t>
      </w:r>
      <w:r w:rsidR="00B634D7">
        <w:rPr>
          <w:lang w:val="en-CA"/>
        </w:rPr>
        <w:t xml:space="preserve"> controversy. This paper </w:t>
      </w:r>
      <w:r w:rsidR="009E63B5">
        <w:rPr>
          <w:lang w:val="en-CA"/>
        </w:rPr>
        <w:t xml:space="preserve">initially </w:t>
      </w:r>
      <w:r w:rsidR="00B634D7">
        <w:rPr>
          <w:lang w:val="en-CA"/>
        </w:rPr>
        <w:t xml:space="preserve">began with a </w:t>
      </w:r>
      <w:r w:rsidR="0006710E">
        <w:rPr>
          <w:lang w:val="en-CA"/>
        </w:rPr>
        <w:t>very simple question: why the change?</w:t>
      </w:r>
    </w:p>
    <w:p w14:paraId="1E1A1A44" w14:textId="73FE83DD" w:rsidR="00D87683" w:rsidRDefault="00D87683" w:rsidP="0006710E">
      <w:pPr>
        <w:spacing w:line="360" w:lineRule="auto"/>
        <w:ind w:firstLine="720"/>
      </w:pPr>
      <w:r w:rsidRPr="00062806">
        <w:t>One of the central issues plaguing international commercial relations is that the private interest</w:t>
      </w:r>
      <w:r>
        <w:t xml:space="preserve">s at the heart of </w:t>
      </w:r>
      <w:r w:rsidRPr="00062806">
        <w:t xml:space="preserve">flows of goods, services, and capital have traditionally lacked any “personality” within customary international law. </w:t>
      </w:r>
    </w:p>
    <w:p w14:paraId="6A6E77E5" w14:textId="06EF07FE" w:rsidR="00D87683" w:rsidRPr="000B7431" w:rsidRDefault="00D87683" w:rsidP="00D87683">
      <w:pPr>
        <w:spacing w:line="360" w:lineRule="auto"/>
      </w:pPr>
      <w:r>
        <w:tab/>
      </w:r>
      <w:r w:rsidRPr="000B7431">
        <w:t xml:space="preserve">Without international “personality,” private investors or exporters have had difficulties binding themselves contractually to sovereign hosts in ways that secure their market access or private investments, as would be the case in their home markets. </w:t>
      </w:r>
      <w:r w:rsidRPr="00062806">
        <w:t xml:space="preserve">Without standing or “personality” in the context of international law, private foreign commercial interests, </w:t>
      </w:r>
      <w:r>
        <w:t xml:space="preserve">much </w:t>
      </w:r>
      <w:r w:rsidRPr="00062806">
        <w:t>like individuals, have had few avenues through which to pursue their international legal claims</w:t>
      </w:r>
      <w:r>
        <w:t>.</w:t>
      </w:r>
      <w:r w:rsidRPr="00062806">
        <w:t xml:space="preserve"> </w:t>
      </w:r>
      <w:r w:rsidRPr="000B7431">
        <w:t>The absence of such rules has long been thought to be an important disincentive on capital flows from developed to developing countries and a partial explanation</w:t>
      </w:r>
      <w:r>
        <w:t xml:space="preserve"> for the</w:t>
      </w:r>
      <w:r w:rsidR="0006710E">
        <w:t xml:space="preserve"> historical</w:t>
      </w:r>
      <w:r>
        <w:t xml:space="preserve"> tendency for foreign direct investment (FDI)</w:t>
      </w:r>
      <w:r w:rsidRPr="000B7431">
        <w:t xml:space="preserve"> to flow so predominantly between developed economies. </w:t>
      </w:r>
    </w:p>
    <w:p w14:paraId="2AFA7A30" w14:textId="77777777" w:rsidR="00D87683" w:rsidRDefault="00D87683" w:rsidP="00D87683">
      <w:pPr>
        <w:spacing w:line="360" w:lineRule="auto"/>
      </w:pPr>
      <w:r w:rsidRPr="000B7431">
        <w:tab/>
        <w:t>One popular mechanism for mitigating these problems with respect to foreign direct investment has been the emergence and use of bilateral investment tre</w:t>
      </w:r>
      <w:r>
        <w:t>aties (BITs) in the postwar era, starting in 1959 with the BIT between Germany and Pakistan.</w:t>
      </w:r>
      <w:r w:rsidRPr="000B7431">
        <w:t xml:space="preserve"> The use of BITs between state parties to define the treatment of private investment, including rules for dispute settlement and compensation, have offered private interests a form of “personality” within international law through which they can defend their interests.</w:t>
      </w:r>
    </w:p>
    <w:p w14:paraId="7B083EFE" w14:textId="6C4F5F9A" w:rsidR="0006710E" w:rsidRDefault="00D87683" w:rsidP="00F96289">
      <w:pPr>
        <w:spacing w:line="360" w:lineRule="auto"/>
        <w:ind w:firstLine="720"/>
      </w:pPr>
      <w:r>
        <w:t>The short history of the global expansion of BITs was, until recently</w:t>
      </w:r>
      <w:r w:rsidR="00E7477E">
        <w:t>, relati</w:t>
      </w:r>
      <w:r w:rsidR="00841E65">
        <w:t>vely uncontroversial. The end of the Cold War is sometimes marked as the start of a brief, but intense, period of rapidly expanding liberal democratic and economic governance, typified by integrati</w:t>
      </w:r>
      <w:r w:rsidR="0006710E">
        <w:t>on projects in North America, their deepening</w:t>
      </w:r>
      <w:r w:rsidR="00841E65">
        <w:t xml:space="preserve"> in Europe, or the</w:t>
      </w:r>
      <w:r w:rsidR="0006710E">
        <w:t>ir</w:t>
      </w:r>
      <w:r w:rsidR="00841E65">
        <w:t xml:space="preserve"> expansion and further </w:t>
      </w:r>
      <w:r w:rsidR="0006710E">
        <w:t xml:space="preserve">codification as in the case of the World Trade </w:t>
      </w:r>
      <w:r w:rsidR="005B54BF">
        <w:t>Organization</w:t>
      </w:r>
      <w:r w:rsidR="0006710E">
        <w:t xml:space="preserve"> (formerly the General Agreement on Tariffs and Trade)</w:t>
      </w:r>
      <w:r w:rsidR="00841E65">
        <w:t xml:space="preserve">. </w:t>
      </w:r>
      <w:r w:rsidR="0097439E">
        <w:t xml:space="preserve">Not surprisingly, </w:t>
      </w:r>
      <w:r w:rsidR="00F45310">
        <w:t>there have also been efforts to bring</w:t>
      </w:r>
      <w:r w:rsidR="0006710E">
        <w:t xml:space="preserve"> coherence and uniformity to the proliferation of BITs through the development of a multilateral set of investment rules. </w:t>
      </w:r>
    </w:p>
    <w:p w14:paraId="7E8A8342" w14:textId="77777777" w:rsidR="0006710E" w:rsidRDefault="0006710E" w:rsidP="00F96289">
      <w:pPr>
        <w:spacing w:line="360" w:lineRule="auto"/>
        <w:ind w:firstLine="720"/>
      </w:pPr>
    </w:p>
    <w:p w14:paraId="30063A99" w14:textId="7928C4E5" w:rsidR="00F45310" w:rsidRDefault="008361D7" w:rsidP="00CC00C9">
      <w:pPr>
        <w:spacing w:line="360" w:lineRule="auto"/>
        <w:ind w:firstLine="720"/>
      </w:pPr>
      <w:r>
        <w:lastRenderedPageBreak/>
        <w:t>In fact, there have been two major efforts to</w:t>
      </w:r>
      <w:r w:rsidR="002D56E5">
        <w:t xml:space="preserve"> multilateralize </w:t>
      </w:r>
      <w:r>
        <w:t>global investment rules; first between 1995-1998 with the Multilateral Agreement on Investment (MAI) and more recently in the context of the proposed Trans-Atlantic Trade and Investment Partnership (TTIP) between the United States and the European Union</w:t>
      </w:r>
      <w:r w:rsidR="00D15A58">
        <w:t xml:space="preserve"> (EU)</w:t>
      </w:r>
      <w:r>
        <w:t>.</w:t>
      </w:r>
      <w:r w:rsidR="00733772">
        <w:rPr>
          <w:rStyle w:val="FootnoteReference"/>
        </w:rPr>
        <w:footnoteReference w:id="1"/>
      </w:r>
      <w:r>
        <w:t xml:space="preserve"> </w:t>
      </w:r>
      <w:r w:rsidR="00FE4B62" w:rsidRPr="00A67B5D">
        <w:t>However,</w:t>
      </w:r>
      <w:r w:rsidR="00F45310" w:rsidRPr="00A67B5D">
        <w:t xml:space="preserve"> these efforts have been scuttled by a combination of timing</w:t>
      </w:r>
      <w:r w:rsidR="005B54BF" w:rsidRPr="00A67B5D">
        <w:t xml:space="preserve"> and</w:t>
      </w:r>
      <w:r w:rsidR="00F45310" w:rsidRPr="00A67B5D">
        <w:t xml:space="preserve"> </w:t>
      </w:r>
      <w:r w:rsidR="00FE4B62" w:rsidRPr="00A67B5D">
        <w:t>unresolved disagreements among the coun</w:t>
      </w:r>
      <w:r w:rsidR="00F45310" w:rsidRPr="00A67B5D">
        <w:t>tries at the table</w:t>
      </w:r>
      <w:r w:rsidR="00CC00C9" w:rsidRPr="00A67B5D">
        <w:t>.</w:t>
      </w:r>
      <w:r w:rsidR="00A67B5D">
        <w:t xml:space="preserve"> </w:t>
      </w:r>
      <w:r w:rsidR="005B54BF">
        <w:t>T</w:t>
      </w:r>
      <w:r w:rsidR="00CC00C9">
        <w:t>hat poor timing has been exacerbated by</w:t>
      </w:r>
      <w:r w:rsidR="00787265">
        <w:t xml:space="preserve"> ISDS suits</w:t>
      </w:r>
      <w:r w:rsidR="00A67B5D">
        <w:t xml:space="preserve"> </w:t>
      </w:r>
      <w:r w:rsidR="00CC00C9">
        <w:t>flowing</w:t>
      </w:r>
      <w:r w:rsidR="00F45310">
        <w:t xml:space="preserve"> from </w:t>
      </w:r>
      <w:r w:rsidR="00CC00C9">
        <w:t xml:space="preserve">the investment provisions of </w:t>
      </w:r>
      <w:r w:rsidR="00F45310">
        <w:t>two 1994 regional economic pacts; the North American Fre</w:t>
      </w:r>
      <w:r w:rsidR="00F67C81">
        <w:t xml:space="preserve">e Trade Agreement, and the </w:t>
      </w:r>
      <w:r w:rsidR="00F45310">
        <w:t>Energy Charter</w:t>
      </w:r>
      <w:r w:rsidR="00787265">
        <w:t xml:space="preserve"> Treaty</w:t>
      </w:r>
      <w:r w:rsidR="00F45310">
        <w:t>.</w:t>
      </w:r>
      <w:r w:rsidR="00F67C81" w:rsidRPr="00F67C81">
        <w:rPr>
          <w:rStyle w:val="FootnoteReference"/>
        </w:rPr>
        <w:t xml:space="preserve"> </w:t>
      </w:r>
      <w:r w:rsidR="00F67C81">
        <w:rPr>
          <w:rStyle w:val="FootnoteReference"/>
        </w:rPr>
        <w:footnoteReference w:id="2"/>
      </w:r>
      <w:r w:rsidR="00CC00C9">
        <w:t xml:space="preserve"> </w:t>
      </w:r>
      <w:r w:rsidR="0073302A">
        <w:t xml:space="preserve"> </w:t>
      </w:r>
    </w:p>
    <w:p w14:paraId="5AE56217" w14:textId="2CBA16C1" w:rsidR="00CC00C9" w:rsidRDefault="007A209E" w:rsidP="007A209E">
      <w:pPr>
        <w:spacing w:line="360" w:lineRule="auto"/>
        <w:ind w:firstLine="720"/>
      </w:pPr>
      <w:r>
        <w:t>Between the ratification of the NAFTA in 1994 and the IMF/World Bank meetings in the</w:t>
      </w:r>
      <w:r w:rsidR="008A5968">
        <w:t xml:space="preserve"> Spring of 2000, criticism of ISDS was muted against the larger backdrop of </w:t>
      </w:r>
      <w:r w:rsidR="009617CD">
        <w:t>anti-globalization resistance typified by the infamous Battle in Seattle in November 1999.</w:t>
      </w:r>
      <w:r w:rsidR="00CC00C9">
        <w:t xml:space="preserve"> However, as ISDS cases began to emerge in the NAFTA context, the attention given to these provisions by NAFTA governments and civil society intensified. Similarly, but nearly 20 years later, ISDS cases flowing from Europe’s </w:t>
      </w:r>
      <w:r w:rsidR="0010424C">
        <w:t>1991 Energy Charter and that agreement’</w:t>
      </w:r>
      <w:r w:rsidR="00F67C81">
        <w:t>s subsequent</w:t>
      </w:r>
      <w:r w:rsidR="0010424C">
        <w:t xml:space="preserve"> expansion and treatification </w:t>
      </w:r>
      <w:r w:rsidR="00476CC3">
        <w:t xml:space="preserve">as the </w:t>
      </w:r>
      <w:r w:rsidR="00F67C81">
        <w:t>Energy Charter</w:t>
      </w:r>
      <w:r w:rsidR="00476CC3">
        <w:t xml:space="preserve"> Treaty</w:t>
      </w:r>
      <w:r w:rsidR="00F67C81">
        <w:t xml:space="preserve"> </w:t>
      </w:r>
      <w:r w:rsidR="0010424C">
        <w:t xml:space="preserve">in 1994, </w:t>
      </w:r>
      <w:r w:rsidR="00CC00C9">
        <w:t xml:space="preserve">concentrated anxieties about investment rules. </w:t>
      </w:r>
    </w:p>
    <w:p w14:paraId="05C1A8CD" w14:textId="77777777" w:rsidR="003226E1" w:rsidRPr="00A67B5D" w:rsidRDefault="008A5968" w:rsidP="00B1328F">
      <w:pPr>
        <w:spacing w:line="360" w:lineRule="auto"/>
        <w:ind w:firstLine="720"/>
      </w:pPr>
      <w:r>
        <w:t xml:space="preserve">Since approximately 2005, the experience with ISDS itself has made investment dispute settlement more of a focal point for resistance to globalism. </w:t>
      </w:r>
      <w:r w:rsidR="00B1328F">
        <w:t>While that resistance appears to have had its successes in terms of the failed MAI and the uncertain future of the TTIP, the same experience with ISDS that brought about popular resistance has also initiated important changes in the way governm</w:t>
      </w:r>
      <w:r w:rsidR="001F6FA6">
        <w:t>ents approach ISDS. Had t</w:t>
      </w:r>
      <w:r w:rsidR="00B1328F">
        <w:t xml:space="preserve">he TTIP, including its proposed investment provisions, not been put into limbo by the anti-global populism that led to “Brexit” and the election of Donald Trump </w:t>
      </w:r>
      <w:r w:rsidR="003226E1">
        <w:t xml:space="preserve">as </w:t>
      </w:r>
      <w:r w:rsidR="00B1328F">
        <w:t xml:space="preserve">President of the United States, </w:t>
      </w:r>
      <w:r w:rsidR="00B1328F" w:rsidRPr="00A67B5D">
        <w:t xml:space="preserve">it is the argument of this paper that </w:t>
      </w:r>
      <w:r w:rsidR="003226E1" w:rsidRPr="00A67B5D">
        <w:t xml:space="preserve">the </w:t>
      </w:r>
      <w:r w:rsidR="00B1328F" w:rsidRPr="00A67B5D">
        <w:t>Europe</w:t>
      </w:r>
      <w:r w:rsidR="003226E1" w:rsidRPr="00A67B5D">
        <w:t>an Union</w:t>
      </w:r>
    </w:p>
    <w:p w14:paraId="70251D63" w14:textId="5A43CAEF" w:rsidR="00CC00C9" w:rsidRDefault="00B1328F" w:rsidP="00A67B5D">
      <w:pPr>
        <w:spacing w:line="360" w:lineRule="auto"/>
      </w:pPr>
      <w:r w:rsidRPr="00A67B5D">
        <w:lastRenderedPageBreak/>
        <w:t xml:space="preserve"> and the United States had been evolving toward a convergence of views on investment that may finally have multilateralized the application of those rules.</w:t>
      </w:r>
      <w:r>
        <w:t xml:space="preserve"> </w:t>
      </w:r>
    </w:p>
    <w:p w14:paraId="5CA1B432" w14:textId="6E78249C" w:rsidR="00F8337C" w:rsidRDefault="00852665" w:rsidP="00C81494">
      <w:pPr>
        <w:spacing w:line="360" w:lineRule="auto"/>
        <w:ind w:firstLine="720"/>
      </w:pPr>
      <w:r>
        <w:t xml:space="preserve">The argument of this paper unfolds in three parts. </w:t>
      </w:r>
      <w:r w:rsidRPr="004E558B">
        <w:rPr>
          <w:b/>
        </w:rPr>
        <w:t>Part I</w:t>
      </w:r>
      <w:r>
        <w:t xml:space="preserve"> will revisit elements of anti-global populism as they flowed out of the NAFTA debate in the mid-1990s, ultimately scuttling the proposed Multilateral Agreement on Inv</w:t>
      </w:r>
      <w:r w:rsidR="004E558B">
        <w:t xml:space="preserve">estment in 1998. </w:t>
      </w:r>
      <w:r w:rsidR="004E558B" w:rsidRPr="004E558B">
        <w:rPr>
          <w:b/>
        </w:rPr>
        <w:t>Part II</w:t>
      </w:r>
      <w:r w:rsidR="004E558B">
        <w:t xml:space="preserve"> will highlight some of the specific sources of angst generated by ISDS flowing from the NAFTA experience that elevated the profile of ISDS among critics of globalization. </w:t>
      </w:r>
      <w:r w:rsidR="004E558B" w:rsidRPr="004E558B">
        <w:rPr>
          <w:b/>
        </w:rPr>
        <w:t>Part III</w:t>
      </w:r>
      <w:r w:rsidR="004E558B">
        <w:t xml:space="preserve"> will focus on </w:t>
      </w:r>
      <w:r w:rsidR="00644620">
        <w:t xml:space="preserve">how the NAFTA experience was replicated in Europe under the terms of the </w:t>
      </w:r>
      <w:r w:rsidR="00644620" w:rsidRPr="00A67B5D">
        <w:rPr>
          <w:i/>
        </w:rPr>
        <w:t>Energy Charter</w:t>
      </w:r>
      <w:r w:rsidR="00833D49" w:rsidRPr="00A67B5D">
        <w:rPr>
          <w:i/>
        </w:rPr>
        <w:t xml:space="preserve"> Treaty</w:t>
      </w:r>
      <w:r w:rsidR="004E558B">
        <w:t xml:space="preserve">, </w:t>
      </w:r>
      <w:r w:rsidR="00465F57">
        <w:t xml:space="preserve">also </w:t>
      </w:r>
      <w:r w:rsidR="004E558B">
        <w:t>prompting a broad reconsideration of investment protections by states.</w:t>
      </w:r>
      <w:r w:rsidR="00A63E83">
        <w:t xml:space="preserve"> The aim here is to show how specific ISDS cases themselves have led governments to redefine and shape investment rules over time to protect the state against frivolous ISDS suits.  </w:t>
      </w:r>
      <w:r w:rsidR="004E558B">
        <w:t xml:space="preserve"> </w:t>
      </w:r>
    </w:p>
    <w:p w14:paraId="5FB18027" w14:textId="63278924" w:rsidR="00F8337C" w:rsidRDefault="00F8337C" w:rsidP="00DF13A6">
      <w:pPr>
        <w:spacing w:line="360" w:lineRule="auto"/>
        <w:ind w:firstLine="720"/>
      </w:pPr>
      <w:r>
        <w:t>Until the NAFTA, ISDS was uncontroversial because developed economies were never the targets of suits. In theory, BIT provisions could have been directed at host country governments in the developed world, but flows of capital an</w:t>
      </w:r>
      <w:r w:rsidR="00C81494">
        <w:t>d the lack of investment by developing country firms</w:t>
      </w:r>
      <w:r>
        <w:t xml:space="preserve"> in rich countries largely precluded that. With the NAFTA, two developed states in a relatively integrated economic zone were suddenly subject to ISDS rules. The shock and anxiety that followed was real, legitimate,</w:t>
      </w:r>
      <w:r w:rsidR="00F4690B">
        <w:t xml:space="preserve"> and contributed to the demise of the</w:t>
      </w:r>
      <w:r>
        <w:t xml:space="preserve"> MAI. Yet, the controversy did not mean differences among parties to the MAI were unbridgeable. </w:t>
      </w:r>
      <w:r w:rsidR="00F4690B">
        <w:t xml:space="preserve">Indeed, even as ISDS suits against developed states proliferated, governments </w:t>
      </w:r>
      <w:r w:rsidR="002008F9">
        <w:t xml:space="preserve">on either side of the Atlantic </w:t>
      </w:r>
      <w:r w:rsidR="00F4690B">
        <w:t xml:space="preserve">were responding to these challenges with important limitations in nearly every post-NAFTA agreement they concluded. </w:t>
      </w:r>
      <w:r w:rsidR="006E5B47">
        <w:t xml:space="preserve">As </w:t>
      </w:r>
      <w:r w:rsidR="00833D49">
        <w:t xml:space="preserve">the U.S. and the EU </w:t>
      </w:r>
      <w:r w:rsidR="00903F03">
        <w:t xml:space="preserve"> pondered the multilateralization</w:t>
      </w:r>
      <w:r w:rsidR="006E5B47">
        <w:t xml:space="preserve"> of investment protections in the mid-2010s</w:t>
      </w:r>
      <w:r w:rsidR="00833D49">
        <w:t xml:space="preserve"> via the TTIP</w:t>
      </w:r>
      <w:r w:rsidR="006E5B47">
        <w:t>, significant convergence of opinion had developed on</w:t>
      </w:r>
      <w:r w:rsidR="00A67B5D">
        <w:t xml:space="preserve"> </w:t>
      </w:r>
      <w:r w:rsidR="002008F9">
        <w:t>the need for reforming investment rules</w:t>
      </w:r>
      <w:r w:rsidR="004A2DBA">
        <w:t>. However</w:t>
      </w:r>
      <w:r w:rsidR="00903F03">
        <w:t>, that convergence has once again washed up on</w:t>
      </w:r>
      <w:r w:rsidR="002A14F8">
        <w:t xml:space="preserve"> the rocks of anti-global sentiment—this time in the form of the populist sentiment driving Brexit and the election of Donald Trump </w:t>
      </w:r>
      <w:r w:rsidR="002008F9">
        <w:t xml:space="preserve">as </w:t>
      </w:r>
      <w:r w:rsidR="002A14F8">
        <w:t xml:space="preserve">President of the United States. </w:t>
      </w:r>
      <w:r w:rsidR="006E5B47">
        <w:t xml:space="preserve"> </w:t>
      </w:r>
    </w:p>
    <w:p w14:paraId="72B96F4A" w14:textId="2E4496EA" w:rsidR="00620381" w:rsidRDefault="00AC0823" w:rsidP="00C81494">
      <w:pPr>
        <w:spacing w:line="360" w:lineRule="auto"/>
        <w:ind w:firstLine="720"/>
      </w:pPr>
      <w:r>
        <w:t xml:space="preserve">In many ways, </w:t>
      </w:r>
      <w:r w:rsidR="004D37CE">
        <w:t xml:space="preserve">complaints </w:t>
      </w:r>
      <w:r>
        <w:t xml:space="preserve">about ISDS have been overdrawn. However, important reforms flowed from areas where anxieties did exist, reforms </w:t>
      </w:r>
      <w:r w:rsidR="00C81494">
        <w:t xml:space="preserve">that were not present in time to save the MAI, but were </w:t>
      </w:r>
      <w:r>
        <w:t xml:space="preserve">intended for incorporation in agreements such as </w:t>
      </w:r>
      <w:r w:rsidR="004D37CE">
        <w:t xml:space="preserve">the Trans-Pacific Partnership and </w:t>
      </w:r>
      <w:r w:rsidR="00833D49">
        <w:t xml:space="preserve">arguably </w:t>
      </w:r>
      <w:r w:rsidR="004D37CE">
        <w:t xml:space="preserve">the Trans-Atlantic Trade and Investment </w:t>
      </w:r>
      <w:r>
        <w:t xml:space="preserve">Partnership. </w:t>
      </w:r>
      <w:r w:rsidR="006A1F0D">
        <w:t xml:space="preserve">Those reforms have effectively been stalled by the populist opposition to those agreements. </w:t>
      </w:r>
    </w:p>
    <w:p w14:paraId="2E3F590F" w14:textId="253A5874" w:rsidR="004377AE" w:rsidRPr="00006426" w:rsidRDefault="004377AE" w:rsidP="002A0DBB">
      <w:pPr>
        <w:spacing w:line="360" w:lineRule="auto"/>
        <w:outlineLvl w:val="0"/>
        <w:rPr>
          <w:b/>
        </w:rPr>
      </w:pPr>
      <w:r w:rsidRPr="00006426">
        <w:rPr>
          <w:b/>
        </w:rPr>
        <w:lastRenderedPageBreak/>
        <w:t>Part I: BITs, Anti-Globalism, and the NAFTA</w:t>
      </w:r>
    </w:p>
    <w:p w14:paraId="4FC040DE" w14:textId="4FA45003" w:rsidR="00006426" w:rsidRPr="00053FC1" w:rsidRDefault="00006426" w:rsidP="00006426">
      <w:pPr>
        <w:spacing w:line="360" w:lineRule="auto"/>
        <w:ind w:firstLine="720"/>
      </w:pPr>
      <w:r>
        <w:t>While there is some debate about how to fully maximize the benefits of FDI,</w:t>
      </w:r>
      <w:r w:rsidRPr="00053FC1">
        <w:rPr>
          <w:vertAlign w:val="superscript"/>
        </w:rPr>
        <w:footnoteReference w:id="3"/>
      </w:r>
      <w:r w:rsidRPr="00053FC1">
        <w:t xml:space="preserve"> </w:t>
      </w:r>
      <w:r>
        <w:t xml:space="preserve">one of the historical challenges for developing states is </w:t>
      </w:r>
      <w:r w:rsidR="00F75E21">
        <w:t>getting</w:t>
      </w:r>
      <w:r>
        <w:t xml:space="preserve"> FDI to flow their direction at all. </w:t>
      </w:r>
      <w:r w:rsidRPr="00053FC1">
        <w:t>The Organization for Economic Cooperation and Development (OECD) reports that in 2007 FDI outflows from OECD countries reached a record US$1.82 trillion in value, with outflows from the United States alone amounting to US$333 billion.</w:t>
      </w:r>
      <w:r w:rsidRPr="00053FC1">
        <w:rPr>
          <w:vertAlign w:val="superscript"/>
        </w:rPr>
        <w:footnoteReference w:id="4"/>
      </w:r>
      <w:r w:rsidRPr="00053FC1">
        <w:t xml:space="preserve"> However, the disparity in flows of FDI between rich and poor countries is as stark as ever. As reported by the OECD, there is a strong correlation between FDI outflows from rich countries and FDI inflows to poor countries. In 2007, developing countries matched the record growth in FDI outflows from the OECD by attracting record inflows amounting to US$471 billion. However, the </w:t>
      </w:r>
      <w:r>
        <w:t xml:space="preserve">distribution of those inflows among developing states was unbalanced with </w:t>
      </w:r>
      <w:r w:rsidRPr="00053FC1">
        <w:t>BRIC countries (Brazil, Rus</w:t>
      </w:r>
      <w:r>
        <w:t>sia, India, and China) accounting</w:t>
      </w:r>
      <w:r w:rsidRPr="00053FC1">
        <w:t xml:space="preserve"> for 50-60 percent of </w:t>
      </w:r>
      <w:r w:rsidRPr="00E46843">
        <w:rPr>
          <w:u w:val="single"/>
        </w:rPr>
        <w:t>all</w:t>
      </w:r>
      <w:r w:rsidRPr="00053FC1">
        <w:t xml:space="preserve"> inflows.</w:t>
      </w:r>
      <w:r w:rsidRPr="00053FC1">
        <w:rPr>
          <w:vertAlign w:val="superscript"/>
        </w:rPr>
        <w:footnoteReference w:id="5"/>
      </w:r>
      <w:r>
        <w:t xml:space="preserve"> In 2014, OECD countries still accounted for 40 percent of FDI inflows and 70 percent of all outflows. In other words, in spite of the financial crises in the United States and a debt crisis in the Euro Area, developed states were still the primary targets and sources of foreign direct investment flows.</w:t>
      </w:r>
      <w:r>
        <w:rPr>
          <w:rStyle w:val="FootnoteReference"/>
        </w:rPr>
        <w:footnoteReference w:id="6"/>
      </w:r>
    </w:p>
    <w:p w14:paraId="1D85757E" w14:textId="712053F5" w:rsidR="00006426" w:rsidRPr="00053FC1" w:rsidRDefault="00006426" w:rsidP="00006426">
      <w:pPr>
        <w:spacing w:line="360" w:lineRule="auto"/>
        <w:ind w:firstLine="720"/>
      </w:pPr>
      <w:r>
        <w:t xml:space="preserve">Moreover, </w:t>
      </w:r>
      <w:r w:rsidRPr="00053FC1">
        <w:t xml:space="preserve">the top five targets and sources of </w:t>
      </w:r>
      <w:r>
        <w:t>U.S. investment flows</w:t>
      </w:r>
      <w:r w:rsidRPr="00053FC1">
        <w:t xml:space="preserve"> are exclusively members of the OECD. Table 1 lists the top sources and targets of FDI for the United States according to the </w:t>
      </w:r>
      <w:r w:rsidR="00F75E21">
        <w:t xml:space="preserve">U.S. </w:t>
      </w:r>
      <w:r w:rsidRPr="00053FC1">
        <w:t xml:space="preserve">Bureau of Labor Statistics. The most significant sources and targets of FDI are all members of the OECD. </w:t>
      </w:r>
      <w:r>
        <w:t>While Mexico is a member of the OECD, and one of America’s NAFTA partners, Mexico is also relatively poor with a per capita income of just $12,104 and ranks well behind the United Kingdom, the Netherlands, and Canada a</w:t>
      </w:r>
      <w:r w:rsidR="002008F9">
        <w:t>s a</w:t>
      </w:r>
      <w:r>
        <w:t xml:space="preserve"> source (1</w:t>
      </w:r>
      <w:r w:rsidR="00C16D55">
        <w:t>7</w:t>
      </w:r>
      <w:r w:rsidRPr="006A77CF">
        <w:rPr>
          <w:vertAlign w:val="superscript"/>
        </w:rPr>
        <w:t>th</w:t>
      </w:r>
      <w:r>
        <w:t>) and target (</w:t>
      </w:r>
      <w:r w:rsidR="00C16D55">
        <w:t>12</w:t>
      </w:r>
      <w:r w:rsidRPr="006A77CF">
        <w:rPr>
          <w:vertAlign w:val="superscript"/>
        </w:rPr>
        <w:t>th</w:t>
      </w:r>
      <w:r>
        <w:t>) for U.S. investment flows.</w:t>
      </w:r>
      <w:r w:rsidRPr="00053FC1">
        <w:t xml:space="preserve"> </w:t>
      </w:r>
    </w:p>
    <w:p w14:paraId="23F92B62" w14:textId="77777777" w:rsidR="00006426" w:rsidRDefault="00006426" w:rsidP="00006426">
      <w:pPr>
        <w:spacing w:line="360" w:lineRule="auto"/>
        <w:jc w:val="center"/>
      </w:pPr>
      <w:r w:rsidRPr="00053FC1">
        <w:t>[</w:t>
      </w:r>
      <w:r>
        <w:t>INSERT TABLE 1 HERE]</w:t>
      </w:r>
    </w:p>
    <w:p w14:paraId="29020274" w14:textId="77777777" w:rsidR="00006426" w:rsidRPr="00053FC1" w:rsidRDefault="00006426" w:rsidP="00006426">
      <w:pPr>
        <w:spacing w:line="360" w:lineRule="auto"/>
        <w:jc w:val="center"/>
      </w:pPr>
    </w:p>
    <w:p w14:paraId="4D24EA4A" w14:textId="2154E039" w:rsidR="00006426" w:rsidRPr="00053FC1" w:rsidRDefault="00006426" w:rsidP="00006426">
      <w:pPr>
        <w:spacing w:line="360" w:lineRule="auto"/>
        <w:ind w:firstLine="720"/>
      </w:pPr>
      <w:r w:rsidRPr="00053FC1">
        <w:t>However, when contrast</w:t>
      </w:r>
      <w:r w:rsidR="00F75E21">
        <w:t>ed</w:t>
      </w:r>
      <w:r w:rsidRPr="00053FC1">
        <w:t xml:space="preserve"> w</w:t>
      </w:r>
      <w:r>
        <w:t>ith the more than 40</w:t>
      </w:r>
      <w:r w:rsidRPr="00053FC1">
        <w:t xml:space="preserve"> countries</w:t>
      </w:r>
      <w:r w:rsidRPr="00053FC1">
        <w:rPr>
          <w:vertAlign w:val="superscript"/>
        </w:rPr>
        <w:footnoteReference w:id="7"/>
      </w:r>
      <w:r w:rsidRPr="00053FC1">
        <w:t xml:space="preserve"> with whom the United States has BITs in force, Mexico is a relatively significant source and target. Moreover, the disparity among U.S. BIT partners between flows into and from the developing co</w:t>
      </w:r>
      <w:r>
        <w:t>untry partner is stark. Table 2</w:t>
      </w:r>
      <w:r w:rsidRPr="00053FC1">
        <w:t xml:space="preserve"> lists the top sources and targets of U.S. FDI among BIT partner countries. Turkey, for example concluded its BIT with the United States in 1990, and in 20</w:t>
      </w:r>
      <w:r w:rsidR="00C16D55">
        <w:t>15</w:t>
      </w:r>
      <w:r w:rsidRPr="00053FC1">
        <w:t xml:space="preserve"> was the target of $</w:t>
      </w:r>
      <w:r w:rsidR="00C16D55">
        <w:t>3661</w:t>
      </w:r>
      <w:r w:rsidRPr="00053FC1">
        <w:t xml:space="preserve"> million in U.S. investment. However, as a source of FDI into the United States, Turkey sent a paltry $</w:t>
      </w:r>
      <w:r w:rsidR="00C16D55">
        <w:t>625</w:t>
      </w:r>
      <w:r w:rsidRPr="00053FC1">
        <w:t xml:space="preserve"> million.</w:t>
      </w:r>
    </w:p>
    <w:p w14:paraId="1C3D0408" w14:textId="77777777" w:rsidR="00006426" w:rsidRPr="00053FC1" w:rsidRDefault="00006426" w:rsidP="00006426">
      <w:pPr>
        <w:spacing w:line="360" w:lineRule="auto"/>
      </w:pPr>
    </w:p>
    <w:p w14:paraId="6BD07701" w14:textId="77777777" w:rsidR="00006426" w:rsidRPr="00053FC1" w:rsidRDefault="00006426" w:rsidP="00006426">
      <w:pPr>
        <w:spacing w:line="360" w:lineRule="auto"/>
        <w:jc w:val="center"/>
      </w:pPr>
      <w:r>
        <w:t>[INSERT TABLE 2 HERE]</w:t>
      </w:r>
    </w:p>
    <w:p w14:paraId="377241DF" w14:textId="77777777" w:rsidR="00006426" w:rsidRPr="00053FC1" w:rsidRDefault="00006426" w:rsidP="00006426">
      <w:pPr>
        <w:spacing w:line="360" w:lineRule="auto"/>
      </w:pPr>
    </w:p>
    <w:p w14:paraId="3555E00E" w14:textId="77777777" w:rsidR="00006426" w:rsidRPr="00053FC1" w:rsidRDefault="00006426" w:rsidP="00006426">
      <w:pPr>
        <w:spacing w:line="360" w:lineRule="auto"/>
        <w:ind w:firstLine="720"/>
      </w:pPr>
      <w:r w:rsidRPr="00053FC1">
        <w:t>Moreover, flows of FDI to BIT partners are so small in many instances that Bureau of Economic Analysis statistics for many countries are suppressed to protect the identities of the individual firms making the investment.</w:t>
      </w:r>
      <w:r w:rsidRPr="00053FC1">
        <w:rPr>
          <w:vertAlign w:val="superscript"/>
        </w:rPr>
        <w:footnoteReference w:id="8"/>
      </w:r>
    </w:p>
    <w:p w14:paraId="3A813CF9" w14:textId="502AA36D" w:rsidR="00006426" w:rsidRDefault="00006426" w:rsidP="00006426">
      <w:pPr>
        <w:spacing w:line="360" w:lineRule="auto"/>
        <w:ind w:firstLine="720"/>
      </w:pPr>
      <w:r>
        <w:t xml:space="preserve">Therein resides </w:t>
      </w:r>
      <w:r w:rsidR="00A36241">
        <w:t>a key factor</w:t>
      </w:r>
      <w:r>
        <w:t xml:space="preserve"> contributing </w:t>
      </w:r>
      <w:r w:rsidRPr="00053FC1">
        <w:t>to why disputes</w:t>
      </w:r>
      <w:r>
        <w:t xml:space="preserve"> against the United States have emerged from</w:t>
      </w:r>
      <w:r w:rsidRPr="00053FC1">
        <w:t xml:space="preserve"> NAFTA Chapter 11, </w:t>
      </w:r>
      <w:r>
        <w:t xml:space="preserve">but not from the </w:t>
      </w:r>
      <w:r w:rsidRPr="00053FC1">
        <w:t xml:space="preserve">U.S. BIT Program. </w:t>
      </w:r>
      <w:r>
        <w:t xml:space="preserve">The United States has been host to so little investment from BIT partner countries that there’s little prospect of a BIT partner firm availing themselves of the arbitration rules. </w:t>
      </w:r>
      <w:r w:rsidRPr="00053FC1">
        <w:t xml:space="preserve">Most </w:t>
      </w:r>
      <w:r>
        <w:t>U.S. BIT partners</w:t>
      </w:r>
      <w:r w:rsidRPr="00053FC1">
        <w:t xml:space="preserve"> are not deeply integrated into the U.S. economic sphere and have little on-the-ground presence in the United States. In some cases, a single U.S. firm has driven the negotiation and conclusion of a BIT.</w:t>
      </w:r>
    </w:p>
    <w:p w14:paraId="0B0CE5AA" w14:textId="77777777" w:rsidR="00006426" w:rsidRDefault="00006426" w:rsidP="00006426">
      <w:pPr>
        <w:spacing w:line="360" w:lineRule="auto"/>
        <w:ind w:firstLine="720"/>
      </w:pPr>
      <w:r>
        <w:t xml:space="preserve">Tables 3-8 unambiguously depict the growth of cross-border FDI flows among NAFTA countries after 1993. Unlike the host country targets under the US BIT program, the NAFTA area represented an entirely new investment environment for the application of dispute settlement. In short, there was plenty of investment in an out of all three countries to which the rules of Chapter 11 could be applied.  </w:t>
      </w:r>
    </w:p>
    <w:p w14:paraId="08D36FFF" w14:textId="77777777" w:rsidR="00006426" w:rsidRDefault="00006426" w:rsidP="00006426">
      <w:pPr>
        <w:spacing w:line="360" w:lineRule="auto"/>
        <w:ind w:firstLine="720"/>
      </w:pPr>
    </w:p>
    <w:p w14:paraId="327C36D2" w14:textId="77777777" w:rsidR="00006426" w:rsidRDefault="00006426" w:rsidP="00006426">
      <w:pPr>
        <w:spacing w:line="360" w:lineRule="auto"/>
        <w:jc w:val="center"/>
      </w:pPr>
      <w:r>
        <w:t>[INSERT TABLES 3-8 HERE]</w:t>
      </w:r>
    </w:p>
    <w:p w14:paraId="624FDE12" w14:textId="77777777" w:rsidR="00006426" w:rsidRDefault="00006426" w:rsidP="00006426">
      <w:pPr>
        <w:spacing w:line="360" w:lineRule="auto"/>
      </w:pPr>
    </w:p>
    <w:p w14:paraId="5D0E11A4" w14:textId="3DDC81C7" w:rsidR="007B2D09" w:rsidRDefault="00006426" w:rsidP="007B2D09">
      <w:pPr>
        <w:spacing w:line="360" w:lineRule="auto"/>
        <w:ind w:firstLine="720"/>
      </w:pPr>
      <w:r>
        <w:lastRenderedPageBreak/>
        <w:t>As economies become more economically interdependent,</w:t>
      </w:r>
      <w:r w:rsidRPr="00053FC1">
        <w:t xml:space="preserve"> the scope for investment disputes</w:t>
      </w:r>
      <w:r>
        <w:t xml:space="preserve"> grows as well.</w:t>
      </w:r>
      <w:r w:rsidRPr="00053FC1">
        <w:rPr>
          <w:vertAlign w:val="superscript"/>
        </w:rPr>
        <w:footnoteReference w:id="9"/>
      </w:r>
      <w:r>
        <w:t xml:space="preserve"> This is borne out in studies on the incidence of trade disputes wherein the volume of trade between countries is correlated with the incidence of disputes within the World Trade Organization.</w:t>
      </w:r>
      <w:r>
        <w:rPr>
          <w:rStyle w:val="FootnoteReference"/>
        </w:rPr>
        <w:footnoteReference w:id="10"/>
      </w:r>
      <w:r>
        <w:t xml:space="preserve"> Moreover, changing patterns of contemporary global FDI flows, more and more of which involve rapidly developing countries like the BRICs, are generating disputes between </w:t>
      </w:r>
      <w:r w:rsidRPr="00290EC0">
        <w:rPr>
          <w:i/>
        </w:rPr>
        <w:t>developing</w:t>
      </w:r>
      <w:r>
        <w:t xml:space="preserve"> country firms and their </w:t>
      </w:r>
      <w:r w:rsidRPr="00290EC0">
        <w:rPr>
          <w:i/>
        </w:rPr>
        <w:t>developed</w:t>
      </w:r>
      <w:r>
        <w:t xml:space="preserve"> country hosts.</w:t>
      </w:r>
      <w:r>
        <w:rPr>
          <w:rStyle w:val="FootnoteReference"/>
        </w:rPr>
        <w:footnoteReference w:id="11"/>
      </w:r>
    </w:p>
    <w:p w14:paraId="4A4D1E70" w14:textId="5BF7302D" w:rsidR="00000E4F" w:rsidRDefault="007B2D09" w:rsidP="00A67B5D">
      <w:pPr>
        <w:spacing w:line="360" w:lineRule="auto"/>
        <w:ind w:firstLine="720"/>
      </w:pPr>
      <w:r>
        <w:t>The origins of the investor-state dispute settlement mechanisms of the NAFTA (Chapter 11) are part of a much larger history of the institutionalization of international economic activity in the postwar period.</w:t>
      </w:r>
      <w:r>
        <w:rPr>
          <w:rStyle w:val="FootnoteReference"/>
        </w:rPr>
        <w:footnoteReference w:id="12"/>
      </w:r>
      <w:r>
        <w:t xml:space="preserve"> </w:t>
      </w:r>
      <w:r w:rsidR="00000E4F" w:rsidRPr="00201A63">
        <w:t>By the end of 2001, the United Nations Conference on Trade and Development (U</w:t>
      </w:r>
      <w:r w:rsidR="00000E4F">
        <w:t xml:space="preserve">NCTAD) had recorded nearly 2,902 BITs, </w:t>
      </w:r>
      <w:r w:rsidR="00000E4F" w:rsidRPr="00201A63">
        <w:t>the overwhelming majority of which continue to be concluded between developed and developing countries.</w:t>
      </w:r>
      <w:r w:rsidR="00000E4F" w:rsidRPr="00201A63">
        <w:rPr>
          <w:vertAlign w:val="superscript"/>
        </w:rPr>
        <w:footnoteReference w:id="13"/>
      </w:r>
      <w:r w:rsidR="00000E4F" w:rsidRPr="00201A63">
        <w:t xml:space="preserve"> The dramatic rise in BIT activit</w:t>
      </w:r>
      <w:r w:rsidR="00000E4F">
        <w:t xml:space="preserve">y since World War II (44 BITs in 2013 </w:t>
      </w:r>
      <w:r w:rsidR="00000E4F" w:rsidRPr="00201A63">
        <w:t xml:space="preserve">alone) has reflected the desire on the part of capital exporting countries, and more specifically the private investors within them, to bring additional certainty to the process of investing in foreign countries with weak legal protections or a history of expropriation. </w:t>
      </w:r>
      <w:r w:rsidR="00000E4F">
        <w:t xml:space="preserve">In general, </w:t>
      </w:r>
      <w:r w:rsidR="00000E4F" w:rsidRPr="005F2408">
        <w:t>BITs have three basic objectives</w:t>
      </w:r>
      <w:r w:rsidR="00000E4F">
        <w:t xml:space="preserve">; </w:t>
      </w:r>
      <w:r w:rsidR="00000E4F" w:rsidRPr="005F2408">
        <w:t xml:space="preserve">investment protection, </w:t>
      </w:r>
      <w:r w:rsidR="00000E4F" w:rsidRPr="005F2408">
        <w:lastRenderedPageBreak/>
        <w:t>promotion, and l</w:t>
      </w:r>
      <w:r w:rsidR="00000E4F">
        <w:t>iberalization.</w:t>
      </w:r>
      <w:r w:rsidR="00000E4F" w:rsidRPr="009D12AA">
        <w:rPr>
          <w:rStyle w:val="FootnoteReference"/>
        </w:rPr>
        <w:t xml:space="preserve"> </w:t>
      </w:r>
      <w:r w:rsidR="00000E4F">
        <w:rPr>
          <w:rStyle w:val="FootnoteReference"/>
        </w:rPr>
        <w:footnoteReference w:id="14"/>
      </w:r>
      <w:r w:rsidR="00000E4F">
        <w:t xml:space="preserve"> </w:t>
      </w:r>
      <w:r w:rsidR="00000E4F" w:rsidRPr="00201A63">
        <w:t>For developing countries in need of development capital, particularly in the wake of the 1980's debt crisis, BITs have become an attractive way to solidify confidence in potential foreign investors regarding nationalization, expropriation, creeping confiscation through regulatory changes, or performance requirements like local content rules.</w:t>
      </w:r>
      <w:r w:rsidR="00000E4F" w:rsidRPr="00201A63">
        <w:rPr>
          <w:vertAlign w:val="superscript"/>
        </w:rPr>
        <w:footnoteReference w:id="15"/>
      </w:r>
      <w:r w:rsidR="00000E4F" w:rsidRPr="00201A63">
        <w:t xml:space="preserve"> </w:t>
      </w:r>
    </w:p>
    <w:p w14:paraId="5088077E" w14:textId="2B47A961" w:rsidR="007B2D09" w:rsidRDefault="007B2D09" w:rsidP="007B2D09">
      <w:pPr>
        <w:spacing w:line="360" w:lineRule="auto"/>
        <w:ind w:firstLine="720"/>
      </w:pPr>
      <w:r>
        <w:t xml:space="preserve"> </w:t>
      </w:r>
      <w:r w:rsidRPr="00201A63">
        <w:t>Numerous proposals for regional or multilateral investment rules or conventions, as well as schemes for investment security funds to guard against nationalization or expropriation of private capital have been hatched, among them the failed Havana Charter of 1948 that would have created the International Trade Organization (ITO) and the disastrous Multilateral Agreement on Investment</w:t>
      </w:r>
      <w:r w:rsidR="00A36241">
        <w:t xml:space="preserve"> (MAI)</w:t>
      </w:r>
      <w:r w:rsidRPr="00201A63">
        <w:t xml:space="preserve"> in 1998.</w:t>
      </w:r>
      <w:r>
        <w:rPr>
          <w:rStyle w:val="FootnoteReference"/>
        </w:rPr>
        <w:footnoteReference w:id="16"/>
      </w:r>
      <w:r w:rsidRPr="00201A63">
        <w:t xml:space="preserve"> Among the most successful mechanisms to emerge from the struggle to find international investment rules was the creation of centers for arbitration of disputes between consenting parties (states and private investors). In 1965, the International Centre for the Settlement of Investment Disputes (ICSID) was created as part of the World Bank, followed a year later by the United Nations Commission on International Trade Law (UNCITRAL).</w:t>
      </w:r>
      <w:r w:rsidRPr="00201A63">
        <w:rPr>
          <w:vertAlign w:val="superscript"/>
        </w:rPr>
        <w:footnoteReference w:id="17"/>
      </w:r>
      <w:r w:rsidRPr="00201A63">
        <w:t xml:space="preserve"> </w:t>
      </w:r>
      <w:r>
        <w:t xml:space="preserve">It was thought that ICSID and UNCITRAL mechanisms would facilitate the satisfactory resolution of conflicts between foreign investors and sovereign hosts. </w:t>
      </w:r>
      <w:r w:rsidRPr="00201A63">
        <w:t>However, up to 1970, few states had been willing to submit to the jurisdiction of these bodies and the first ICSID arbitration case was not filed until 1972.</w:t>
      </w:r>
    </w:p>
    <w:p w14:paraId="7607DC9C" w14:textId="236613D5" w:rsidR="00000E4F" w:rsidRDefault="00EF5122" w:rsidP="00EF5122">
      <w:pPr>
        <w:spacing w:line="360" w:lineRule="auto"/>
        <w:ind w:firstLine="720"/>
      </w:pPr>
      <w:r>
        <w:t>In comparison with the United States, Europe has been at the forefront of BIT development, the very first concluded between Germany and Pakistan in 1959.</w:t>
      </w:r>
      <w:r w:rsidRPr="00201A63">
        <w:rPr>
          <w:vertAlign w:val="superscript"/>
        </w:rPr>
        <w:footnoteReference w:id="18"/>
      </w:r>
      <w:r>
        <w:t xml:space="preserve"> Although the United States undertook </w:t>
      </w:r>
      <w:r w:rsidRPr="00201A63">
        <w:t xml:space="preserve">to incorporate investment provisions into some twenty-two bilateral </w:t>
      </w:r>
      <w:r w:rsidRPr="00201A63">
        <w:lastRenderedPageBreak/>
        <w:t>commercial treaties</w:t>
      </w:r>
      <w:r>
        <w:t xml:space="preserve"> (mostly FCNs)</w:t>
      </w:r>
      <w:r w:rsidRPr="00201A63">
        <w:t xml:space="preserve"> concluded between</w:t>
      </w:r>
      <w:r>
        <w:t xml:space="preserve"> 1946 and 1966,</w:t>
      </w:r>
      <w:r w:rsidRPr="00201A63">
        <w:rPr>
          <w:vertAlign w:val="superscript"/>
        </w:rPr>
        <w:footnoteReference w:id="19"/>
      </w:r>
      <w:r w:rsidRPr="00201A63">
        <w:t xml:space="preserve"> </w:t>
      </w:r>
      <w:r>
        <w:t>the U.S. didn’t adopt a formal BIT program until 1981, and had negotiated just 41 by the end of 2014.</w:t>
      </w:r>
      <w:r w:rsidR="00000E4F" w:rsidRPr="005F2408">
        <w:rPr>
          <w:vertAlign w:val="superscript"/>
        </w:rPr>
        <w:footnoteReference w:id="20"/>
      </w:r>
      <w:r w:rsidR="00000E4F" w:rsidRPr="005F2408">
        <w:t xml:space="preserve"> </w:t>
      </w:r>
    </w:p>
    <w:p w14:paraId="61000CA3" w14:textId="31C329E9" w:rsidR="00EC4846" w:rsidRDefault="00EC4846" w:rsidP="00A67B5D">
      <w:pPr>
        <w:spacing w:after="240" w:line="360" w:lineRule="auto"/>
        <w:ind w:firstLine="720"/>
      </w:pPr>
      <w:r>
        <w:t>When ISDS became part of the NAFTA, Mexico was poised to play the traditional role of a developing country party to a BIT. The NAFTA put in place investment rules where none existed before. In September 1978, the Additional Facility Rules were approved by the ICSID Administrative Council, and defined additional rules by which ICSID could administer proceedings outside its original jurisdiction. In most cases, this meant that either the State party or the State whose national is a party to the dispute is not an ICSID Contracting State, or that the dispute itself did not arise as a direct result of an investment. Oddly enough, this described the situation of Canada and Mexico. Only in 2013 did Canada finally ratify the ICSID Convention, having signed in 2006. Mexico has yet to sign or ratify.</w:t>
      </w:r>
      <w:r>
        <w:rPr>
          <w:rStyle w:val="FootnoteReference"/>
        </w:rPr>
        <w:footnoteReference w:id="21"/>
      </w:r>
      <w:r>
        <w:t xml:space="preserve">The NAFTA’s negotiators assumed that Mexico was the major concern where investment was concerned. Indeed, as a developing country with a </w:t>
      </w:r>
      <w:r w:rsidR="00A67B5D">
        <w:t>20-year</w:t>
      </w:r>
      <w:r>
        <w:t xml:space="preserve"> history of expropriation, Mexico fit the mold that BITs were largely created for. Indeed, between the formal creation of the U.S. BIT program in 1981 and the insertion of BIT language into the NAFTA in 1994, there had been no significant reforms; nothing suggested reforms were necessary. </w:t>
      </w:r>
    </w:p>
    <w:p w14:paraId="59F1BB8E" w14:textId="7B61D876" w:rsidR="00EC4846" w:rsidRDefault="00EC4846" w:rsidP="00EC4846">
      <w:pPr>
        <w:spacing w:line="360" w:lineRule="auto"/>
        <w:ind w:firstLine="720"/>
      </w:pPr>
      <w:r>
        <w:t xml:space="preserve">The North American Free Trade Agreement effectively trilateralized the U.S. BIT program into a single chapter of a regional trade agreement. Indeed, a side-by-side comparison of NAFTA Chapter 11 and a U.S. BIT reveals far more similarities than differences. The same three objectives outlined in a BIT (investment protection, promotion, and liberalization) are also outlined in Chapter 11. </w:t>
      </w:r>
    </w:p>
    <w:p w14:paraId="29B51778" w14:textId="6A9A35A5" w:rsidR="00EC4846" w:rsidRDefault="00EC4846" w:rsidP="00EC4846">
      <w:pPr>
        <w:spacing w:line="360" w:lineRule="auto"/>
        <w:ind w:firstLine="720"/>
      </w:pPr>
      <w:r>
        <w:t xml:space="preserve">On several dimensions, the application of the U.S. BIT model to Canada and Mexico in the NAFTA negotiations made sense. Although Canada and Mexico were already important sources and targets of U.S. investment flows, neither were parties to international arbitration bodies ICSID or UNCITRAL. Moreover, Canada and Mexico had just emerged from important </w:t>
      </w:r>
      <w:r>
        <w:lastRenderedPageBreak/>
        <w:t>periods of economic nationalism and sought new sources of investment capital, especially from the United States.</w:t>
      </w:r>
      <w:r>
        <w:rPr>
          <w:rStyle w:val="FootnoteReference"/>
        </w:rPr>
        <w:footnoteReference w:id="22"/>
      </w:r>
      <w:r>
        <w:t xml:space="preserve"> Moreover, the rationale for doing so was not dissimilar to that used in pursuit of BITs with </w:t>
      </w:r>
      <w:r w:rsidR="0034692F">
        <w:t>several</w:t>
      </w:r>
      <w:r>
        <w:t xml:space="preserve"> developing countries. Both sought new inflows of capital and were ultimately willing to adopt American-style investment protections </w:t>
      </w:r>
      <w:r w:rsidR="0034692F">
        <w:t>to</w:t>
      </w:r>
      <w:r>
        <w:t xml:space="preserve"> secure it.</w:t>
      </w:r>
      <w:r>
        <w:rPr>
          <w:rStyle w:val="FootnoteReference"/>
        </w:rPr>
        <w:footnoteReference w:id="23"/>
      </w:r>
    </w:p>
    <w:p w14:paraId="287EC1F3" w14:textId="566F4C59" w:rsidR="00E16199" w:rsidRDefault="00EC4846" w:rsidP="00A67B5D">
      <w:pPr>
        <w:spacing w:line="360" w:lineRule="auto"/>
        <w:ind w:firstLine="720"/>
      </w:pPr>
      <w:r>
        <w:t>Chapter 11 would eventually generate unexpected criticism and concern where similar provisions in BITs concluded over decades had not.</w:t>
      </w:r>
      <w:r>
        <w:rPr>
          <w:rStyle w:val="FootnoteReference"/>
        </w:rPr>
        <w:footnoteReference w:id="24"/>
      </w:r>
      <w:r w:rsidR="00290CAF">
        <w:t xml:space="preserve"> However, a larger wave of anti-global populism would first permanently envelop the larger NAFTA in controversy from which it has never really recovered.</w:t>
      </w:r>
    </w:p>
    <w:p w14:paraId="06D0D9D0" w14:textId="77777777" w:rsidR="00A67B5D" w:rsidRDefault="00A67B5D" w:rsidP="00A67B5D">
      <w:pPr>
        <w:spacing w:line="360" w:lineRule="auto"/>
        <w:ind w:firstLine="720"/>
      </w:pPr>
    </w:p>
    <w:p w14:paraId="21E36191" w14:textId="3908F0E1" w:rsidR="00E16199" w:rsidRPr="00A67B5D" w:rsidRDefault="00E16199" w:rsidP="00A67B5D">
      <w:pPr>
        <w:spacing w:line="360" w:lineRule="auto"/>
        <w:outlineLvl w:val="0"/>
        <w:rPr>
          <w:u w:val="single"/>
        </w:rPr>
      </w:pPr>
      <w:r w:rsidRPr="00A67B5D">
        <w:rPr>
          <w:i/>
          <w:u w:val="single"/>
        </w:rPr>
        <w:t>The NAFTA Zapatista-ed</w:t>
      </w:r>
      <w:r w:rsidR="00290CAF" w:rsidRPr="00A67B5D">
        <w:rPr>
          <w:i/>
          <w:u w:val="single"/>
        </w:rPr>
        <w:t xml:space="preserve"> </w:t>
      </w:r>
    </w:p>
    <w:p w14:paraId="3C6B2355" w14:textId="77777777" w:rsidR="00F16980" w:rsidRPr="00F16980" w:rsidRDefault="00F16980" w:rsidP="00F16980">
      <w:pPr>
        <w:spacing w:line="360" w:lineRule="auto"/>
        <w:ind w:firstLine="720"/>
      </w:pPr>
      <w:r w:rsidRPr="00F16980">
        <w:t>On January 1, 1994, the North American Free Trade Agreement (NAFTA) between Canada, the United States, and Mexico officially entered into force after being approved by all three national legislatures. The very same day, approximately 3000 leftist revolutionaries known as the Zapatista Army of National Liberation (EZLN) seized several municipalities in the southern Mexican state of Chiapas in a violent challenge to Mexico’s governance. The approval of the NAFTA had been a bruising political battle in all three countries, but particularly in the United States wherein the Agreement featured prominently in the 1992 presidential contest.</w:t>
      </w:r>
    </w:p>
    <w:p w14:paraId="6379F6DD" w14:textId="77777777" w:rsidR="00F16980" w:rsidRPr="00F16980" w:rsidRDefault="00F16980" w:rsidP="00F16980">
      <w:pPr>
        <w:spacing w:line="360" w:lineRule="auto"/>
        <w:ind w:firstLine="720"/>
      </w:pPr>
      <w:r w:rsidRPr="00F16980">
        <w:t xml:space="preserve">Scholars of North American integration remember well the impact of the Zapatista Rebellion for many reasons, not the least of which was the Rebellion’s timing in emphasizing that the NAFTA remained unpopular with many groups. Moreover, it drove home the growing </w:t>
      </w:r>
      <w:r w:rsidRPr="00F16980">
        <w:lastRenderedPageBreak/>
        <w:t xml:space="preserve">unease among many regarding the spread of neo-liberal economic policies that were both symptom and driver of globalization. For many Americans, the Zapatista Rebellion was simply further evidence of either the wisdom of the NAFTA in locking in Mexican reforms or the foolishness of an economic partnership with a country of questionable stability. </w:t>
      </w:r>
    </w:p>
    <w:p w14:paraId="2976ECE3" w14:textId="6F814F5D" w:rsidR="00F16980" w:rsidRDefault="00F16980" w:rsidP="00F16980">
      <w:pPr>
        <w:spacing w:line="360" w:lineRule="auto"/>
        <w:ind w:firstLine="720"/>
      </w:pPr>
      <w:r w:rsidRPr="00F16980">
        <w:t>However, it was also in this time period that the Internet first came of age as a tool in the political debate over globalization. The debate over the NAFTA itself was largely fought on traditional organizational grounds that students of interest group politics would readily recognize. However, it was the aftermath of the NAFTA, and the Zapatista Rebellion in particular, that became the first flashpoint of anti-globalization activism and organization on the Internet. Subcomandante Marcos, the EZLN leader, b</w:t>
      </w:r>
      <w:r w:rsidR="008F79AC">
        <w:t>ecame an overnight media sensation, and</w:t>
      </w:r>
      <w:r w:rsidRPr="00F16980">
        <w:t xml:space="preserve"> the EZLN itself used the Internet to great effect in broadcasting the plight of Mexico’s poorest citizens to the wider world. </w:t>
      </w:r>
    </w:p>
    <w:p w14:paraId="6B99D091" w14:textId="0E17242C" w:rsidR="001B5AEE" w:rsidRDefault="00E16199" w:rsidP="00E16199">
      <w:pPr>
        <w:spacing w:line="360" w:lineRule="auto"/>
        <w:ind w:firstLine="720"/>
        <w:rPr>
          <w:bCs/>
        </w:rPr>
      </w:pPr>
      <w:r w:rsidRPr="00F16980">
        <w:rPr>
          <w:bCs/>
        </w:rPr>
        <w:t>According to the web-site Internet World Stats, in 1995 there were just 15 million Internet users worldwide</w:t>
      </w:r>
      <w:r>
        <w:rPr>
          <w:bCs/>
        </w:rPr>
        <w:t>,</w:t>
      </w:r>
      <w:r w:rsidRPr="00F16980">
        <w:rPr>
          <w:bCs/>
        </w:rPr>
        <w:t xml:space="preserve"> mushrooming to more than 360 million by December 2000</w:t>
      </w:r>
      <w:r>
        <w:rPr>
          <w:bCs/>
        </w:rPr>
        <w:t>, and approximately 3.6 billion today</w:t>
      </w:r>
      <w:r w:rsidRPr="00F16980">
        <w:rPr>
          <w:bCs/>
        </w:rPr>
        <w:t>.</w:t>
      </w:r>
      <w:r w:rsidRPr="00F16980">
        <w:rPr>
          <w:bCs/>
          <w:vertAlign w:val="superscript"/>
        </w:rPr>
        <w:footnoteReference w:id="25"/>
      </w:r>
      <w:r w:rsidRPr="00F16980">
        <w:rPr>
          <w:bCs/>
        </w:rPr>
        <w:t xml:space="preserve"> The number of users more than doubled between 1995 and 1996 alone. </w:t>
      </w:r>
      <w:r w:rsidR="00F16980">
        <w:rPr>
          <w:bCs/>
        </w:rPr>
        <w:t>On the one hand, the proliferation of information technology that has brought the world closer to home have opened up windows of transparency onto countless economic, political, and social issues, raising awareness and activism aimed at changing the status quo.</w:t>
      </w:r>
      <w:r w:rsidR="00F16980">
        <w:rPr>
          <w:rStyle w:val="FootnoteReference"/>
          <w:bCs/>
        </w:rPr>
        <w:footnoteReference w:id="26"/>
      </w:r>
      <w:r w:rsidR="00F16980">
        <w:rPr>
          <w:bCs/>
        </w:rPr>
        <w:t xml:space="preserve"> Yet, as David Jones has argued, information narrowcasted through new communication technologies tends to be more extreme than information broadcasted through traditional media because new communication technologies can better tailor messages to segmented audiences that are much more homogeneous than audiences of traditional broadcast media.</w:t>
      </w:r>
      <w:r w:rsidR="00F16980">
        <w:rPr>
          <w:rStyle w:val="FootnoteReference"/>
          <w:bCs/>
        </w:rPr>
        <w:footnoteReference w:id="27"/>
      </w:r>
      <w:r w:rsidR="00F16980">
        <w:rPr>
          <w:bCs/>
        </w:rPr>
        <w:t xml:space="preserve"> </w:t>
      </w:r>
      <w:r w:rsidR="00E03AFF">
        <w:rPr>
          <w:bCs/>
        </w:rPr>
        <w:t>In 2008, Yzer and Southwell highlighted research affirming the considerable self-selection among users of a rapidly proliferating media universe.</w:t>
      </w:r>
      <w:r w:rsidR="00E03AFF">
        <w:rPr>
          <w:rStyle w:val="FootnoteReference"/>
          <w:bCs/>
        </w:rPr>
        <w:footnoteReference w:id="28"/>
      </w:r>
    </w:p>
    <w:p w14:paraId="366FA5A0" w14:textId="4304FD99" w:rsidR="00E16199" w:rsidRDefault="00E062F9" w:rsidP="009C1B0C">
      <w:pPr>
        <w:spacing w:line="360" w:lineRule="auto"/>
        <w:ind w:firstLine="720"/>
        <w:rPr>
          <w:bCs/>
        </w:rPr>
      </w:pPr>
      <w:r>
        <w:rPr>
          <w:bCs/>
        </w:rPr>
        <w:lastRenderedPageBreak/>
        <w:t>Some have referred to the Chiapas Rebellion as the first Internet revolution,</w:t>
      </w:r>
      <w:r w:rsidRPr="00F16980">
        <w:rPr>
          <w:bCs/>
          <w:vertAlign w:val="superscript"/>
        </w:rPr>
        <w:footnoteReference w:id="29"/>
      </w:r>
      <w:r>
        <w:rPr>
          <w:bCs/>
        </w:rPr>
        <w:t xml:space="preserve"> others have termed the advent of web-based social activism and protest the “</w:t>
      </w:r>
      <w:r w:rsidR="00A32C7C">
        <w:rPr>
          <w:bCs/>
        </w:rPr>
        <w:t>electronic riot.</w:t>
      </w:r>
      <w:r>
        <w:rPr>
          <w:bCs/>
        </w:rPr>
        <w:t>”</w:t>
      </w:r>
      <w:r w:rsidRPr="00E062F9">
        <w:rPr>
          <w:bCs/>
          <w:vertAlign w:val="superscript"/>
        </w:rPr>
        <w:t xml:space="preserve"> </w:t>
      </w:r>
      <w:r w:rsidRPr="00F16980">
        <w:rPr>
          <w:bCs/>
          <w:vertAlign w:val="superscript"/>
        </w:rPr>
        <w:footnoteReference w:id="30"/>
      </w:r>
      <w:r>
        <w:rPr>
          <w:bCs/>
        </w:rPr>
        <w:t xml:space="preserve"> </w:t>
      </w:r>
      <w:r w:rsidR="00A32C7C">
        <w:rPr>
          <w:bCs/>
        </w:rPr>
        <w:t>By posting all manner of manifestos and commentaries to the Internet, the Zapatistas made it possible for otherwise disconnected citizens in far-flung parts of the world to bond over the commonality in their own concerns about globalization.</w:t>
      </w:r>
      <w:r w:rsidR="00F16980" w:rsidRPr="00F16980">
        <w:rPr>
          <w:bCs/>
          <w:vertAlign w:val="superscript"/>
        </w:rPr>
        <w:footnoteReference w:id="31"/>
      </w:r>
      <w:r w:rsidR="00F16980" w:rsidRPr="00F16980">
        <w:rPr>
          <w:bCs/>
        </w:rPr>
        <w:t xml:space="preserve"> </w:t>
      </w:r>
      <w:r w:rsidR="00A32C7C">
        <w:rPr>
          <w:bCs/>
        </w:rPr>
        <w:t xml:space="preserve">Importantly, </w:t>
      </w:r>
      <w:r w:rsidR="00F16980" w:rsidRPr="00F16980">
        <w:rPr>
          <w:bCs/>
        </w:rPr>
        <w:t>the Internet offered the Zapatistas a measure of control over their message unavailable</w:t>
      </w:r>
      <w:r w:rsidR="009C1B0C">
        <w:rPr>
          <w:bCs/>
        </w:rPr>
        <w:t xml:space="preserve"> through more traditional media</w:t>
      </w:r>
      <w:r w:rsidR="00F16980" w:rsidRPr="00F16980">
        <w:rPr>
          <w:bCs/>
        </w:rPr>
        <w:t>.</w:t>
      </w:r>
      <w:r w:rsidR="00F16980" w:rsidRPr="00F16980">
        <w:rPr>
          <w:bCs/>
          <w:vertAlign w:val="superscript"/>
        </w:rPr>
        <w:footnoteReference w:id="32"/>
      </w:r>
      <w:r w:rsidR="00F16980" w:rsidRPr="00F16980">
        <w:rPr>
          <w:bCs/>
        </w:rPr>
        <w:t xml:space="preserve"> </w:t>
      </w:r>
    </w:p>
    <w:p w14:paraId="60CA0AAA" w14:textId="05646DFD" w:rsidR="00E062F9" w:rsidRDefault="00E16199" w:rsidP="00E16199">
      <w:pPr>
        <w:spacing w:line="360" w:lineRule="auto"/>
        <w:ind w:firstLine="720"/>
        <w:rPr>
          <w:bCs/>
        </w:rPr>
      </w:pPr>
      <w:r>
        <w:rPr>
          <w:bCs/>
        </w:rPr>
        <w:t>The use of web-based mechanisms for organizing has become entirely mainstream, indeed a requisite part of nearly any part of organizing for political action. Yet, in the mid-1990s it was something entirely new to be able to directly</w:t>
      </w:r>
      <w:r w:rsidR="009C1B0C">
        <w:rPr>
          <w:bCs/>
        </w:rPr>
        <w:t>, and inexpensively,</w:t>
      </w:r>
      <w:r>
        <w:rPr>
          <w:bCs/>
        </w:rPr>
        <w:t xml:space="preserve"> reach large numbers of people with a message unfiltered by traditional media.</w:t>
      </w:r>
      <w:r w:rsidR="009C1B0C" w:rsidRPr="00F16980">
        <w:rPr>
          <w:bCs/>
          <w:vertAlign w:val="superscript"/>
        </w:rPr>
        <w:footnoteReference w:id="33"/>
      </w:r>
      <w:r>
        <w:rPr>
          <w:bCs/>
        </w:rPr>
        <w:t xml:space="preserve"> </w:t>
      </w:r>
      <w:r w:rsidR="00F16980" w:rsidRPr="00F16980">
        <w:rPr>
          <w:bCs/>
        </w:rPr>
        <w:t>More importantly, the Zapatista Rebellion seemingly ushered in a new period of activism that, aided by the Internet, would expand the global commons, significantly augment transparency and rapidly mobilize public opinion.</w:t>
      </w:r>
      <w:r w:rsidR="00F16980" w:rsidRPr="00F16980">
        <w:rPr>
          <w:bCs/>
          <w:vertAlign w:val="superscript"/>
        </w:rPr>
        <w:footnoteReference w:id="34"/>
      </w:r>
      <w:r w:rsidR="00F16980" w:rsidRPr="00F16980">
        <w:rPr>
          <w:bCs/>
        </w:rPr>
        <w:t xml:space="preserve"> </w:t>
      </w:r>
    </w:p>
    <w:p w14:paraId="0EDC448E" w14:textId="77777777" w:rsidR="00117172" w:rsidRDefault="009C1B0C" w:rsidP="00117172">
      <w:pPr>
        <w:spacing w:line="360" w:lineRule="auto"/>
        <w:ind w:firstLine="720"/>
        <w:rPr>
          <w:bCs/>
        </w:rPr>
      </w:pPr>
      <w:r>
        <w:rPr>
          <w:bCs/>
        </w:rPr>
        <w:t>What began in Chiapas mushroomed into the streets of Seattle, Washington and the World Trade Organization ministerial meetings in November 1999. Tens of thousands of anti-globalization protesters choked the streets of Seattle, clashed with p</w:t>
      </w:r>
      <w:r w:rsidR="00117172">
        <w:rPr>
          <w:bCs/>
        </w:rPr>
        <w:t>olice, and ultimately caught the attention of everyone inside the meeting. The “Battle in Seattle” was shocking in its scale, but has repeated itself at countless subsequent international meetings of economic policy makers (IMF/World Bank, G7/G8, NAFTA).</w:t>
      </w:r>
      <w:r w:rsidRPr="00F16980">
        <w:rPr>
          <w:bCs/>
          <w:vertAlign w:val="superscript"/>
        </w:rPr>
        <w:footnoteReference w:id="35"/>
      </w:r>
    </w:p>
    <w:p w14:paraId="4DE5287C" w14:textId="18399AEA" w:rsidR="00117172" w:rsidRDefault="00117172" w:rsidP="0051666F">
      <w:pPr>
        <w:spacing w:line="360" w:lineRule="auto"/>
        <w:ind w:firstLine="720"/>
        <w:rPr>
          <w:bCs/>
        </w:rPr>
      </w:pPr>
      <w:r>
        <w:rPr>
          <w:bCs/>
        </w:rPr>
        <w:t xml:space="preserve">Yet, in all of the anti-global activism of the late 1990s, little of it was directed specifically at investment rules or ISDS specifically. Jeffrey Ayres claims the oppositional and </w:t>
      </w:r>
      <w:r>
        <w:rPr>
          <w:bCs/>
        </w:rPr>
        <w:lastRenderedPageBreak/>
        <w:t xml:space="preserve">organizational forces that spilled into the streets of Seattle </w:t>
      </w:r>
      <w:r w:rsidR="00655F8E">
        <w:rPr>
          <w:bCs/>
        </w:rPr>
        <w:t xml:space="preserve">also </w:t>
      </w:r>
      <w:r>
        <w:rPr>
          <w:bCs/>
        </w:rPr>
        <w:t>contributed to the demise of the proposed Multilateral Agreement on Investment (MAI) in 1998.</w:t>
      </w:r>
      <w:r w:rsidRPr="00F16980">
        <w:rPr>
          <w:bCs/>
          <w:vertAlign w:val="superscript"/>
        </w:rPr>
        <w:footnoteReference w:id="36"/>
      </w:r>
      <w:r>
        <w:rPr>
          <w:bCs/>
        </w:rPr>
        <w:t xml:space="preserve"> </w:t>
      </w:r>
      <w:r w:rsidR="00062EE8">
        <w:rPr>
          <w:bCs/>
        </w:rPr>
        <w:t>Indeed, anti-global activists have assigned themselves considerable credit for the MAI’</w:t>
      </w:r>
      <w:r w:rsidR="0051666F">
        <w:rPr>
          <w:bCs/>
        </w:rPr>
        <w:t>s demise.</w:t>
      </w:r>
      <w:r w:rsidR="0051666F">
        <w:rPr>
          <w:rStyle w:val="FootnoteReference"/>
          <w:bCs/>
        </w:rPr>
        <w:footnoteReference w:id="37"/>
      </w:r>
      <w:r w:rsidR="0051666F">
        <w:rPr>
          <w:bCs/>
        </w:rPr>
        <w:t xml:space="preserve"> However, Graham argues that while anti-corporate activists have been around a long time, they were newcomers to the world of foreign direct investment in the 1990s. As Ayres notes, there were few physical protests organized against the OECD countries negotiating the MAI.</w:t>
      </w:r>
      <w:r w:rsidRPr="00F16980">
        <w:rPr>
          <w:bCs/>
          <w:vertAlign w:val="superscript"/>
        </w:rPr>
        <w:footnoteReference w:id="38"/>
      </w:r>
      <w:r w:rsidR="0051666F">
        <w:rPr>
          <w:bCs/>
        </w:rPr>
        <w:t xml:space="preserve"> Investment rules</w:t>
      </w:r>
      <w:r w:rsidR="00954589">
        <w:rPr>
          <w:bCs/>
        </w:rPr>
        <w:t xml:space="preserve"> in the form of BITs</w:t>
      </w:r>
      <w:r w:rsidR="0051666F">
        <w:rPr>
          <w:bCs/>
        </w:rPr>
        <w:t xml:space="preserve"> simply hadn’t drawn much attention. In fact, by the time the MAI had been pronounced dead, </w:t>
      </w:r>
      <w:r w:rsidR="00954589">
        <w:rPr>
          <w:bCs/>
        </w:rPr>
        <w:t xml:space="preserve">evidence of the threat posed by investment rules was just beginning to materialize. </w:t>
      </w:r>
    </w:p>
    <w:p w14:paraId="2463A43C" w14:textId="77777777" w:rsidR="009F290A" w:rsidRDefault="009F290A" w:rsidP="004377AE">
      <w:pPr>
        <w:spacing w:line="360" w:lineRule="auto"/>
      </w:pPr>
    </w:p>
    <w:p w14:paraId="17D72668" w14:textId="77777777" w:rsidR="00FC1352" w:rsidRPr="0056265F" w:rsidRDefault="00FC1352" w:rsidP="002A0DBB">
      <w:pPr>
        <w:spacing w:line="360" w:lineRule="auto"/>
        <w:outlineLvl w:val="0"/>
        <w:rPr>
          <w:b/>
        </w:rPr>
      </w:pPr>
      <w:r w:rsidRPr="005423E2">
        <w:rPr>
          <w:b/>
        </w:rPr>
        <w:t>Part II: Much Ado About NAFTA?</w:t>
      </w:r>
    </w:p>
    <w:p w14:paraId="33E923D9" w14:textId="270DBDD5" w:rsidR="00FC1352" w:rsidRDefault="00FC1352" w:rsidP="00FC1352">
      <w:pPr>
        <w:spacing w:line="360" w:lineRule="auto"/>
        <w:ind w:firstLine="720"/>
      </w:pPr>
      <w:r>
        <w:t>The rhetoric of the earliest days of the NAFTA was all about the distributional consequences of trade liberalization on manufacturing and employment. It was a set of politics that was easy to predict since both economic theory and hundreds of years of experience with liberalization all suggest  difficult politics.</w:t>
      </w:r>
      <w:r>
        <w:rPr>
          <w:rStyle w:val="FootnoteReference"/>
        </w:rPr>
        <w:footnoteReference w:id="39"/>
      </w:r>
      <w:r>
        <w:t xml:space="preserve"> Yet, where investment was concerned, no such theory or wealth of experience suggested the controversies that followed. The argument developed here is that the rationale for introducing investment rules to North Ameri</w:t>
      </w:r>
      <w:r w:rsidR="00AE7F0D">
        <w:t>can economic governance was the</w:t>
      </w:r>
      <w:r>
        <w:t xml:space="preserve"> same as it had been in the context of BITs—protection, promotion, and liberalization. When ISDS became part of the NAFTA, Mexico was poised to play the traditional role of a developing country party to a BIT. Yet, the United States had issues with Canada as well. For a while, things worked as they always had; developed country firms using ISDS against their developing country hosts. Yet, for the first time, the NAFTA had instilled ISDS rules between dyads of developed countries and the cases began to pile up. It </w:t>
      </w:r>
      <w:r>
        <w:lastRenderedPageBreak/>
        <w:t>should have come as no great surprise as the mere implementation of ISDS rules paved the way for investment disputes where none could have been launched before.</w:t>
      </w:r>
    </w:p>
    <w:p w14:paraId="1210FAED" w14:textId="77777777" w:rsidR="00FC1352" w:rsidRDefault="00FC1352" w:rsidP="00FC1352">
      <w:pPr>
        <w:spacing w:line="360" w:lineRule="auto"/>
      </w:pPr>
    </w:p>
    <w:p w14:paraId="6372A1AA" w14:textId="45481613" w:rsidR="00AE7F0D" w:rsidRPr="00A67B5D" w:rsidRDefault="00FF5E70" w:rsidP="002A0DBB">
      <w:pPr>
        <w:spacing w:line="360" w:lineRule="auto"/>
        <w:outlineLvl w:val="0"/>
        <w:rPr>
          <w:i/>
          <w:u w:val="single"/>
        </w:rPr>
      </w:pPr>
      <w:r w:rsidRPr="00A67B5D">
        <w:rPr>
          <w:i/>
          <w:u w:val="single"/>
        </w:rPr>
        <w:t xml:space="preserve">The Early Trials of the Trilateral </w:t>
      </w:r>
      <w:r w:rsidR="00FC1352" w:rsidRPr="00A67B5D">
        <w:rPr>
          <w:i/>
          <w:u w:val="single"/>
        </w:rPr>
        <w:t>BIT</w:t>
      </w:r>
    </w:p>
    <w:p w14:paraId="21113D2C" w14:textId="397DDF3E" w:rsidR="00FC1352" w:rsidRPr="00B16355" w:rsidRDefault="00FC1352" w:rsidP="00AE7F0D">
      <w:pPr>
        <w:spacing w:line="360" w:lineRule="auto"/>
        <w:ind w:firstLine="720"/>
      </w:pPr>
      <w:r w:rsidRPr="00B16355">
        <w:t>The NAFTA’s path to implementation was shrouded in controversy. It was a political and economic piñata in the 1992 U.S. presidential election. In 1993, President Clinton spent a lot of his early political capital to win approval of the pact in the U.S. C</w:t>
      </w:r>
      <w:r w:rsidR="00AE7F0D">
        <w:t xml:space="preserve">ongress. And to top it all off, </w:t>
      </w:r>
      <w:r w:rsidRPr="00B16355">
        <w:t>the Zapatista Rebellion exploded out of the southern Mexican State of Chiapas</w:t>
      </w:r>
      <w:r w:rsidR="00AE7F0D">
        <w:t xml:space="preserve"> at the moment of implementation. </w:t>
      </w:r>
      <w:r w:rsidRPr="00B16355">
        <w:t xml:space="preserve">Yet, in most respects, complaints about the NAFTA were mostly about the standard distributional consequences of liberalization; in other words, jobs. Investment rules were not especially controversial. </w:t>
      </w:r>
    </w:p>
    <w:p w14:paraId="2D648B2A" w14:textId="553862E7" w:rsidR="00FC1352" w:rsidRPr="00B16355" w:rsidRDefault="00FC1352" w:rsidP="00FC1352">
      <w:pPr>
        <w:spacing w:line="360" w:lineRule="auto"/>
        <w:ind w:firstLine="720"/>
      </w:pPr>
      <w:r w:rsidRPr="00B16355">
        <w:t>Then, in July 1998, Lo</w:t>
      </w:r>
      <w:r w:rsidR="00C14AFB">
        <w:t>e</w:t>
      </w:r>
      <w:r w:rsidRPr="00B16355">
        <w:t>wen Group, a Canadian funeral services firm, filed a “notice of intent” to initiate arbitration proceedings under NAFTA Chapter 11. At issue was an adverse Mississippi state court decision wherein Lo</w:t>
      </w:r>
      <w:r w:rsidR="00C14AFB">
        <w:t>e</w:t>
      </w:r>
      <w:r w:rsidRPr="00B16355">
        <w:t>wen argued it had not received “fair and equitable treatment” as a foreign investor and had, in effect, had its investment in Mississippi “expropriated” by the state.</w:t>
      </w:r>
      <w:r w:rsidRPr="00B16355">
        <w:rPr>
          <w:vertAlign w:val="superscript"/>
        </w:rPr>
        <w:footnoteReference w:id="40"/>
      </w:r>
      <w:r w:rsidRPr="00B16355">
        <w:t xml:space="preserve"> Something was different. </w:t>
      </w:r>
    </w:p>
    <w:p w14:paraId="053B9D5B" w14:textId="1B7BFBFF" w:rsidR="00FC1352" w:rsidRPr="00B16355" w:rsidRDefault="001B012C" w:rsidP="001B012C">
      <w:pPr>
        <w:spacing w:line="360" w:lineRule="auto"/>
        <w:ind w:firstLine="720"/>
      </w:pPr>
      <w:r>
        <w:t xml:space="preserve">Mississippi’s reputation for law enforcement has not always been stellar, but how often were American states and expropriation ever mentioned in the same context? In the </w:t>
      </w:r>
      <w:r w:rsidR="00FC1352" w:rsidRPr="00B16355">
        <w:t xml:space="preserve">short history of America’s BIT program, disputes had followed the traditional pattern of rich country private investors having their property expropriated by a poor country government—in some cases by force of arms. Hence, when the Clinton White House sent NAFTA implementing legislation to Capitol Hill, the accompanying Statement of Administrative Action (an interpretive document) </w:t>
      </w:r>
      <w:r>
        <w:t xml:space="preserve">confidently claimed that </w:t>
      </w:r>
      <w:r w:rsidR="00FC1352" w:rsidRPr="00B16355">
        <w:t>“No change in statute will be required to implement the provisions of Chapter Eleven.”</w:t>
      </w:r>
      <w:r w:rsidR="00FC1352" w:rsidRPr="00B16355">
        <w:rPr>
          <w:rStyle w:val="FootnoteReference"/>
        </w:rPr>
        <w:footnoteReference w:id="41"/>
      </w:r>
      <w:r w:rsidR="00FC1352" w:rsidRPr="00B16355">
        <w:t xml:space="preserve"> Then, just four years later, Lo</w:t>
      </w:r>
      <w:r w:rsidR="00C14AFB">
        <w:t>e</w:t>
      </w:r>
      <w:r w:rsidR="00FC1352" w:rsidRPr="00B16355">
        <w:t>wen.</w:t>
      </w:r>
    </w:p>
    <w:p w14:paraId="5B107064" w14:textId="215D091E" w:rsidR="00FC1352" w:rsidRPr="00B16355" w:rsidRDefault="00FC1352" w:rsidP="00C14AFB">
      <w:pPr>
        <w:spacing w:line="360" w:lineRule="auto"/>
        <w:ind w:firstLine="720"/>
      </w:pPr>
      <w:r w:rsidRPr="00B16355">
        <w:t>Indeed, starting with Lo</w:t>
      </w:r>
      <w:r w:rsidR="00C14AFB">
        <w:t>e</w:t>
      </w:r>
      <w:r w:rsidRPr="00B16355">
        <w:t>wen, Chapter 11 opened a can of legal and political worms that heightened the controversy already swirling around the NAFTA</w:t>
      </w:r>
      <w:r w:rsidR="00C14AFB">
        <w:t xml:space="preserve"> and complicated larger, multilateral efforts like the MAI.</w:t>
      </w:r>
      <w:r w:rsidRPr="00B16355">
        <w:t xml:space="preserve"> Lo</w:t>
      </w:r>
      <w:r w:rsidR="00C14AFB">
        <w:t>e</w:t>
      </w:r>
      <w:r w:rsidRPr="00B16355">
        <w:t xml:space="preserve">wen and others began exploiting linguistic ambiguities in </w:t>
      </w:r>
      <w:r w:rsidRPr="00B16355">
        <w:lastRenderedPageBreak/>
        <w:t xml:space="preserve">Chapter 11 that didn’t much matter when the U.S. BIT model was applied to the more traditional dyad of developed-developing country. Instead, Chapter 11 seemed to have turned the tables, prompting multiple filings against the two developed states. </w:t>
      </w:r>
      <w:r w:rsidR="00670C67">
        <w:t>Indeed, as of September 2015, 49</w:t>
      </w:r>
      <w:r w:rsidRPr="00B16355">
        <w:t xml:space="preserve"> separate Chapter 11 arbi</w:t>
      </w:r>
      <w:r>
        <w:t>tration cases had been fi</w:t>
      </w:r>
      <w:r w:rsidR="001A508F">
        <w:t>led; 17 against Canada, 18</w:t>
      </w:r>
      <w:r w:rsidRPr="00B16355">
        <w:t xml:space="preserve"> against the Unite</w:t>
      </w:r>
      <w:r>
        <w:t>d States, and 14 against Mexico,</w:t>
      </w:r>
      <w:r w:rsidRPr="00B16355">
        <w:t xml:space="preserve"> the presumptive target of Chapter 11 protections given its history of expropriation.</w:t>
      </w:r>
    </w:p>
    <w:p w14:paraId="781F9EE5" w14:textId="30C1F95B" w:rsidR="00FC1352" w:rsidRPr="00B16355" w:rsidRDefault="00FC1352" w:rsidP="00FC1352">
      <w:pPr>
        <w:spacing w:line="360" w:lineRule="auto"/>
        <w:ind w:firstLine="720"/>
      </w:pPr>
      <w:r w:rsidRPr="00B16355">
        <w:t xml:space="preserve">Chapter 11 jurisprudence seemingly began the exploitation of definitional ambiguities in three main areas specific to the text itself. First, foreign firms alleged they were being denied “national treatment” (Article 1102) under the NAFTA, the long-standing norm in global trade and finance that prohibits discrimination </w:t>
      </w:r>
      <w:r w:rsidR="00435BBD" w:rsidRPr="00B16355">
        <w:t>based on</w:t>
      </w:r>
      <w:r w:rsidRPr="00B16355">
        <w:t xml:space="preserve"> national origin. Second, firms alleged that they were being denied “fair and equitable treatment” (Article 1105) as required by customary practices of international law.</w:t>
      </w:r>
      <w:r w:rsidRPr="00B16355">
        <w:rPr>
          <w:rStyle w:val="FootnoteReference"/>
        </w:rPr>
        <w:footnoteReference w:id="42"/>
      </w:r>
      <w:r w:rsidRPr="00B16355">
        <w:t xml:space="preserve"> And third, firms were alleging </w:t>
      </w:r>
      <w:r w:rsidR="00435BBD" w:rsidRPr="00B16355">
        <w:t>several</w:t>
      </w:r>
      <w:r w:rsidRPr="00B16355">
        <w:t xml:space="preserve"> state measures that were “tantamount to expropriation” (Article 1110); nationalization of property not at the point of a bayonet, but through the state’s arbitrary application of its regulatory power. </w:t>
      </w:r>
    </w:p>
    <w:p w14:paraId="701FB691" w14:textId="77777777" w:rsidR="00FC1352" w:rsidRPr="00B16355" w:rsidRDefault="00FC1352" w:rsidP="00FC1352">
      <w:pPr>
        <w:spacing w:line="360" w:lineRule="auto"/>
        <w:ind w:firstLine="720"/>
      </w:pPr>
      <w:r w:rsidRPr="00B16355">
        <w:t>That same jurisprudence raised three broader issues. First, in spite of the fact that one Party to ISDS arbitration proceedings was always the state, proceedings were held in private. The lack of transparency (some said accountability) in these proceedings was troublesome given the public’s inherent interest in the outcome. Second, arbitration proceedings had no provision for</w:t>
      </w:r>
      <w:r w:rsidRPr="00B16355">
        <w:rPr>
          <w:i/>
        </w:rPr>
        <w:t xml:space="preserve"> amicus</w:t>
      </w:r>
      <w:r w:rsidRPr="00B16355">
        <w:t xml:space="preserve"> (friend of the court) submissions from third parties with an interest in the outcome.</w:t>
      </w:r>
      <w:r w:rsidRPr="00B16355">
        <w:rPr>
          <w:rStyle w:val="FootnoteReference"/>
        </w:rPr>
        <w:footnoteReference w:id="43"/>
      </w:r>
      <w:r w:rsidRPr="00B16355">
        <w:t xml:space="preserve"> And third, Chapter 11 spawned criticism that ISDS provisions had created a parallel, quasi-supranational, and preferential, legal system available only to foreign firms and that it was a process being exploited by foreigners to challenge the state’s sovereign capacity to govern in the public interest.</w:t>
      </w:r>
      <w:r w:rsidRPr="00B16355">
        <w:rPr>
          <w:rStyle w:val="FootnoteReference"/>
        </w:rPr>
        <w:footnoteReference w:id="44"/>
      </w:r>
      <w:r w:rsidRPr="00B16355">
        <w:t xml:space="preserve"> </w:t>
      </w:r>
    </w:p>
    <w:p w14:paraId="0BABD0CA" w14:textId="77777777" w:rsidR="00FC1352" w:rsidRPr="00B16355" w:rsidRDefault="00FC1352" w:rsidP="00FC1352">
      <w:pPr>
        <w:spacing w:line="360" w:lineRule="auto"/>
      </w:pPr>
    </w:p>
    <w:p w14:paraId="59758F73" w14:textId="77777777" w:rsidR="00FC1352" w:rsidRPr="00A67B5D" w:rsidRDefault="00FC1352" w:rsidP="002A0DBB">
      <w:pPr>
        <w:spacing w:line="360" w:lineRule="auto"/>
        <w:outlineLvl w:val="0"/>
        <w:rPr>
          <w:i/>
          <w:u w:val="single"/>
        </w:rPr>
      </w:pPr>
      <w:r w:rsidRPr="00A67B5D">
        <w:rPr>
          <w:i/>
          <w:u w:val="single"/>
        </w:rPr>
        <w:t>The NAFTA’s Aftermath: Something Has Changed</w:t>
      </w:r>
    </w:p>
    <w:p w14:paraId="0E0D2637" w14:textId="7121F2E5" w:rsidR="00FC1352" w:rsidRPr="00B16355" w:rsidRDefault="00FC1352" w:rsidP="00FC1352">
      <w:pPr>
        <w:spacing w:line="360" w:lineRule="auto"/>
        <w:ind w:firstLine="720"/>
      </w:pPr>
      <w:r w:rsidRPr="00B16355">
        <w:t xml:space="preserve">The </w:t>
      </w:r>
      <w:r w:rsidRPr="00B16355">
        <w:rPr>
          <w:i/>
        </w:rPr>
        <w:t>Lo</w:t>
      </w:r>
      <w:r w:rsidR="005A1979">
        <w:rPr>
          <w:i/>
        </w:rPr>
        <w:t>e</w:t>
      </w:r>
      <w:r w:rsidRPr="00B16355">
        <w:rPr>
          <w:i/>
        </w:rPr>
        <w:t>wen Group</w:t>
      </w:r>
      <w:r w:rsidRPr="00B16355">
        <w:t xml:space="preserve"> case accelerat</w:t>
      </w:r>
      <w:r>
        <w:t>ed a broad reconsideration of ISDS</w:t>
      </w:r>
      <w:r w:rsidRPr="00B16355">
        <w:t xml:space="preserve"> rules. While this case was eventually dismissed in its entirety in June 2003, five years of litigation generated considerable angst in the three NAFTA governments, their legislatures, and civil society. Moreover, the controversy over Chapter 11 coincided doubts creeping into multilateral efforts to conclude common investment rules. Under the auspices of the Organization for Economic Cooperation and Development (OECD), a club of high-income developed countries, the Multilateral Agreement on Investment (MAI) was to have applied common investment rules all members, but fell apart in 1998 over a range of issues, including dispute settlement.</w:t>
      </w:r>
      <w:r w:rsidRPr="00B16355">
        <w:rPr>
          <w:rStyle w:val="FootnoteReference"/>
        </w:rPr>
        <w:footnoteReference w:id="45"/>
      </w:r>
    </w:p>
    <w:p w14:paraId="297FD3FD" w14:textId="21E58971" w:rsidR="00FC1352" w:rsidRPr="00B16355" w:rsidRDefault="00FC1352" w:rsidP="00FC1352">
      <w:pPr>
        <w:spacing w:line="360" w:lineRule="auto"/>
        <w:ind w:firstLine="720"/>
      </w:pPr>
      <w:r w:rsidRPr="00B16355">
        <w:t>Chapter 11 inadvertently provided a mechanism for foreigners to challenge domestic court rulings—ISDS as a supranational legal body that none of the three governments intended to create. Critics have alleged that the application of national treatment within the NAFTA has conferred legal rights to foreign companies that are not accorded to domestic companies; the subsequent distribution of Chapter 11 cases (most against the United States and Canada) seemed to support that argument.</w:t>
      </w:r>
      <w:r w:rsidRPr="00B16355">
        <w:rPr>
          <w:vertAlign w:val="superscript"/>
        </w:rPr>
        <w:footnoteReference w:id="46"/>
      </w:r>
      <w:r w:rsidRPr="00B16355">
        <w:t xml:space="preserve"> Many North American firms have legal presences (incorporation and representation) in each of the countries in which they operate and could pursue their property claims through respective domestic court systems. Doing so falls within the </w:t>
      </w:r>
      <w:r w:rsidR="00C92958" w:rsidRPr="00B16355">
        <w:t>long-standing</w:t>
      </w:r>
      <w:r w:rsidRPr="00B16355">
        <w:t xml:space="preserve"> tradition within older U.S. Treaties of Freedom, Commerce and Navigation (FCN) where firms sought recourse with host governments prior to pursuing “espousal” of their claim through home government diplomacy.</w:t>
      </w:r>
      <w:r w:rsidRPr="00B16355">
        <w:rPr>
          <w:vertAlign w:val="superscript"/>
        </w:rPr>
        <w:footnoteReference w:id="47"/>
      </w:r>
      <w:r w:rsidRPr="00B16355">
        <w:t xml:space="preserve"> Like BITs, Chapter 11 established a legal process (culminating in arbitration) that was thought to fill a hole in customary international law between states and private interests in North America. Where domestic court systems could conceivably discriminate against a foreign entity, under the NAFTA’s rules, discrimination </w:t>
      </w:r>
      <w:r w:rsidR="00C92958" w:rsidRPr="00B16355">
        <w:t>based on</w:t>
      </w:r>
      <w:r w:rsidRPr="00B16355">
        <w:t xml:space="preserve"> nationality is prohibited (NAFTA, Article 1102). </w:t>
      </w:r>
    </w:p>
    <w:p w14:paraId="27F459BE" w14:textId="77777777" w:rsidR="00FC1352" w:rsidRPr="00B16355" w:rsidRDefault="00FC1352" w:rsidP="00FC1352">
      <w:pPr>
        <w:spacing w:line="360" w:lineRule="auto"/>
        <w:ind w:firstLine="720"/>
      </w:pPr>
      <w:r w:rsidRPr="00B16355">
        <w:lastRenderedPageBreak/>
        <w:t>Chapter 11's arbitration process provided essentially a “one-shot” opportunity (no U-turn to some alternate forum) to seek redress under arbitration rules with limited scope for appeal.</w:t>
      </w:r>
      <w:r w:rsidRPr="00B16355">
        <w:rPr>
          <w:vertAlign w:val="superscript"/>
        </w:rPr>
        <w:footnoteReference w:id="48"/>
      </w:r>
      <w:r w:rsidRPr="00B16355">
        <w:t xml:space="preserve"> Private parties have as long as three years to resolve their claims through domestic avenues before the NAFTA’s statute of limitations runs out (Article 1116.2). But, once a notice of intent is filed, NAFTA Article 1121.1(b) requires private parties waive the pursuit of future legal claims in the wake of any tribunal decision. Australia and parts of civil society have pushed for an even stronger requirement that domestic proceedings be exhausted prior to any “last-resort” claims made to an international tribunal.</w:t>
      </w:r>
      <w:r w:rsidRPr="00B16355">
        <w:rPr>
          <w:rStyle w:val="FootnoteReference"/>
        </w:rPr>
        <w:footnoteReference w:id="49"/>
      </w:r>
    </w:p>
    <w:p w14:paraId="642396C7" w14:textId="77777777" w:rsidR="00FC1352" w:rsidRPr="00B16355" w:rsidRDefault="00FC1352" w:rsidP="00FC1352">
      <w:pPr>
        <w:spacing w:line="360" w:lineRule="auto"/>
        <w:ind w:firstLine="720"/>
      </w:pPr>
      <w:r w:rsidRPr="00B16355">
        <w:t>Yet, whereas the old FCN treaties were characterized first by domestic and diplomatic efforts prior to arbitration (as under BITs), Chapter 11 Lowen started the anxiety over prospects that ISDS could be used either as a first-option or as an extra-judicial forum unavailable to domestic firms. Curiously, rather than de-politicizing investment disputes by subjecting them more directly to the rule of law, as BITs were thought to do, direct access to Chapter 11 rules arguably had the opposite effect as public anxiety over sovereignty grew.</w:t>
      </w:r>
      <w:r w:rsidRPr="00B16355">
        <w:rPr>
          <w:vertAlign w:val="superscript"/>
        </w:rPr>
        <w:footnoteReference w:id="50"/>
      </w:r>
    </w:p>
    <w:p w14:paraId="445C3871" w14:textId="7DD67BC1" w:rsidR="00FC1352" w:rsidRPr="00B16355" w:rsidRDefault="00FC1352" w:rsidP="00FC1352">
      <w:pPr>
        <w:spacing w:line="360" w:lineRule="auto"/>
        <w:ind w:firstLine="720"/>
      </w:pPr>
      <w:r w:rsidRPr="00B16355">
        <w:t>The NAFTA’s negotiators did not intend for Chapter 11 to confer more legal rights to foreign investors than already afforded to domestic investors making investments “in like circumstances.”</w:t>
      </w:r>
      <w:r w:rsidRPr="00B16355">
        <w:rPr>
          <w:vertAlign w:val="superscript"/>
        </w:rPr>
        <w:footnoteReference w:id="51"/>
      </w:r>
      <w:r w:rsidRPr="00B16355">
        <w:t xml:space="preserve"> The Agreement was intended to fill a hole in international law and level the playing field between firms and host states. However, Chapter 11 has generated a range of creative suits alleging firms have been denied the “minimum standard,” or a “fair and equitable standard” of treatment (Article 1105) as required under customary international law (</w:t>
      </w:r>
      <w:r w:rsidR="00C92958" w:rsidRPr="00B16355">
        <w:t>i.e</w:t>
      </w:r>
      <w:r w:rsidRPr="00B16355">
        <w:t xml:space="preserve">. </w:t>
      </w:r>
      <w:r w:rsidRPr="00B16355">
        <w:lastRenderedPageBreak/>
        <w:t>customary state practice).</w:t>
      </w:r>
      <w:r w:rsidRPr="00B16355">
        <w:rPr>
          <w:vertAlign w:val="superscript"/>
        </w:rPr>
        <w:footnoteReference w:id="52"/>
      </w:r>
      <w:r w:rsidRPr="00B16355">
        <w:t xml:space="preserve"> Others have claimed that the state has imposed forms of performance requirements (Article 1106) on their investments as a condition of their investment.</w:t>
      </w:r>
      <w:r w:rsidRPr="00B16355">
        <w:rPr>
          <w:vertAlign w:val="superscript"/>
        </w:rPr>
        <w:footnoteReference w:id="53"/>
      </w:r>
      <w:r w:rsidRPr="00B16355">
        <w:t xml:space="preserve"> And, of course, the cases of many investors have claimed that the intervention of the state has been tantamount to expropriation (Article 1110).</w:t>
      </w:r>
      <w:r w:rsidRPr="00B16355">
        <w:rPr>
          <w:vertAlign w:val="superscript"/>
        </w:rPr>
        <w:footnoteReference w:id="54"/>
      </w:r>
    </w:p>
    <w:p w14:paraId="20EE3353" w14:textId="09B222D8" w:rsidR="00FC1352" w:rsidRPr="00B16355" w:rsidRDefault="00FC1352" w:rsidP="00FC1352">
      <w:pPr>
        <w:spacing w:line="360" w:lineRule="auto"/>
        <w:ind w:firstLine="720"/>
      </w:pPr>
      <w:r w:rsidRPr="00B16355">
        <w:t>Interestingly, virtually none of them allege that there was an outright nationalization or expropriation of property as we think about it historically, or as the NAFTA’s negotiators envisioned.</w:t>
      </w:r>
      <w:r w:rsidRPr="00B16355">
        <w:rPr>
          <w:vertAlign w:val="superscript"/>
        </w:rPr>
        <w:footnoteReference w:id="55"/>
      </w:r>
      <w:r w:rsidRPr="00B16355">
        <w:t xml:space="preserve"> Instead, most suits allege forms of discriminatory treatment in the application of regulatory measures imposed by states that have the effect of expropriating (taking) private property.</w:t>
      </w:r>
      <w:r w:rsidRPr="00B16355">
        <w:rPr>
          <w:vertAlign w:val="superscript"/>
        </w:rPr>
        <w:footnoteReference w:id="56"/>
      </w:r>
      <w:r w:rsidRPr="00B16355">
        <w:t xml:space="preserve"> Curiously, in the twenty years since the NAFTA came into force, th</w:t>
      </w:r>
      <w:r w:rsidR="00B32D5C">
        <w:t>ere have been more than 45</w:t>
      </w:r>
      <w:r w:rsidRPr="00B16355">
        <w:t xml:space="preserve"> Chapter 11 suits. Yet, until 2012, not a single dispute under the U.S. BIT program had been launched.</w:t>
      </w:r>
      <w:r w:rsidRPr="00B16355">
        <w:rPr>
          <w:vertAlign w:val="superscript"/>
        </w:rPr>
        <w:footnoteReference w:id="57"/>
      </w:r>
      <w:r w:rsidRPr="00B16355">
        <w:t xml:space="preserve"> Even more perplexing, the majority of the NAFTA suits are against countries (Canada and the United States) with established legal systems and stable systems of property protections. </w:t>
      </w:r>
    </w:p>
    <w:p w14:paraId="6D33BCAF" w14:textId="138759A6" w:rsidR="00FC1352" w:rsidRPr="00B16355" w:rsidRDefault="00032B2D" w:rsidP="00FC1352">
      <w:pPr>
        <w:spacing w:line="360" w:lineRule="auto"/>
        <w:ind w:firstLine="720"/>
      </w:pPr>
      <w:r>
        <w:lastRenderedPageBreak/>
        <w:t>T</w:t>
      </w:r>
      <w:r w:rsidR="00FC1352" w:rsidRPr="00B16355">
        <w:t>he most contentious cases have been decided in favor of the state,</w:t>
      </w:r>
      <w:r w:rsidR="00FC1352" w:rsidRPr="00B16355">
        <w:rPr>
          <w:vertAlign w:val="superscript"/>
        </w:rPr>
        <w:t xml:space="preserve"> </w:t>
      </w:r>
      <w:r w:rsidR="00FC1352" w:rsidRPr="00B16355">
        <w:rPr>
          <w:vertAlign w:val="superscript"/>
        </w:rPr>
        <w:footnoteReference w:id="58"/>
      </w:r>
      <w:r w:rsidR="00FC1352" w:rsidRPr="00B16355">
        <w:t xml:space="preserve"> and only a few have resulted in arbitral awards.</w:t>
      </w:r>
      <w:r w:rsidR="00FC1352" w:rsidRPr="00B16355">
        <w:rPr>
          <w:rStyle w:val="FootnoteReference"/>
        </w:rPr>
        <w:footnoteReference w:id="59"/>
      </w:r>
      <w:r w:rsidR="00FC1352" w:rsidRPr="00B16355">
        <w:t xml:space="preserve"> However, with almost every new case, public interest and environmental organiz</w:t>
      </w:r>
      <w:r w:rsidR="00176319">
        <w:t xml:space="preserve">ations grew more concerned about </w:t>
      </w:r>
      <w:r w:rsidR="00FC1352" w:rsidRPr="00B16355">
        <w:t xml:space="preserve">the potential for the provisions of Chapter 11 to be used to challenge state regulatory control over safety and the environment; this in spite of explicit language within the Agreement to the contrary (Articles 1101 and 1114). Several cases became lightning rods for such criticism as private investors take advantage of the choice set created by Chapter 11's provisions to test limits of new rules governing private property rights. </w:t>
      </w:r>
    </w:p>
    <w:p w14:paraId="74DA74FD" w14:textId="1C972F5A" w:rsidR="00FC1352" w:rsidRDefault="00FC1352" w:rsidP="00FC1352">
      <w:pPr>
        <w:spacing w:line="360" w:lineRule="auto"/>
        <w:ind w:firstLine="720"/>
      </w:pPr>
      <w:r w:rsidRPr="00B16355">
        <w:t xml:space="preserve">Cases such as </w:t>
      </w:r>
      <w:r w:rsidRPr="00B16355">
        <w:rPr>
          <w:i/>
        </w:rPr>
        <w:t>Ethyl vs. Government of Canada</w:t>
      </w:r>
      <w:r w:rsidRPr="00B16355">
        <w:t xml:space="preserve">, </w:t>
      </w:r>
      <w:r w:rsidRPr="00B16355">
        <w:rPr>
          <w:i/>
        </w:rPr>
        <w:t>S.D. Myers vs Government of Canada</w:t>
      </w:r>
      <w:r w:rsidRPr="00B16355">
        <w:t xml:space="preserve">, or </w:t>
      </w:r>
      <w:r w:rsidRPr="00B16355">
        <w:rPr>
          <w:i/>
        </w:rPr>
        <w:t>Metalclad vs. United Mexican States</w:t>
      </w:r>
      <w:r w:rsidRPr="00B16355">
        <w:t xml:space="preserve"> are all derided by environmentalists and others as a subversion of the state’s ability to regulate in the public interest. The most watched </w:t>
      </w:r>
      <w:r w:rsidR="00C92958">
        <w:t xml:space="preserve">NAFTA chapter 11 </w:t>
      </w:r>
      <w:r w:rsidRPr="00B16355">
        <w:t xml:space="preserve"> case to date, </w:t>
      </w:r>
      <w:r w:rsidRPr="00B16355">
        <w:rPr>
          <w:i/>
        </w:rPr>
        <w:t>Methanex Corp. vs. United States</w:t>
      </w:r>
      <w:r w:rsidRPr="00B16355">
        <w:t>, was a case in point. Methanex Corporation, a Canadian marketer and distributor of methanol, claimed damages of $1 billion for alleged injuries resulting from a California ban on the use or sale of the gasoline additive MTBE that contains methanol as a key ingredient. Methanex contends that a California Executive Order and the regulations banning MTBE expropriated parts of its investments in the United States in violation of Article 1110, denied it fair and equitable treatment in accordance with international law in violation of Article 1105, and denied it national treatmen</w:t>
      </w:r>
      <w:r w:rsidR="00176319">
        <w:t>t in violation of Article 1102.</w:t>
      </w:r>
      <w:r w:rsidRPr="00B16355">
        <w:rPr>
          <w:vertAlign w:val="superscript"/>
        </w:rPr>
        <w:footnoteReference w:id="60"/>
      </w:r>
    </w:p>
    <w:p w14:paraId="35CA9A72" w14:textId="3B0A7911" w:rsidR="00176319" w:rsidRPr="00B16355" w:rsidRDefault="00176319" w:rsidP="00FC1352">
      <w:pPr>
        <w:spacing w:line="360" w:lineRule="auto"/>
        <w:ind w:firstLine="720"/>
      </w:pPr>
      <w:r>
        <w:t>In each of these cases, the state seemed to hold its own. Indeed, the United States has been so successful defending itself that the Obama Administration was able to essentially tell the public to “relax” where investment in the Trans Pacific Partnership was concerned; nothing to worry about, we’ve never lost a case.</w:t>
      </w:r>
      <w:r>
        <w:rPr>
          <w:rStyle w:val="FootnoteReference"/>
        </w:rPr>
        <w:footnoteReference w:id="61"/>
      </w:r>
    </w:p>
    <w:p w14:paraId="7BC71201" w14:textId="77777777" w:rsidR="00FC1352" w:rsidRPr="00B16355" w:rsidRDefault="00FC1352" w:rsidP="00FC1352">
      <w:pPr>
        <w:spacing w:line="360" w:lineRule="auto"/>
      </w:pPr>
    </w:p>
    <w:p w14:paraId="1F0AB98F" w14:textId="77777777" w:rsidR="00FC1352" w:rsidRPr="00A67B5D" w:rsidRDefault="00FC1352" w:rsidP="002A0DBB">
      <w:pPr>
        <w:spacing w:line="360" w:lineRule="auto"/>
        <w:outlineLvl w:val="0"/>
        <w:rPr>
          <w:i/>
          <w:u w:val="single"/>
        </w:rPr>
      </w:pPr>
      <w:r w:rsidRPr="00A67B5D">
        <w:rPr>
          <w:i/>
          <w:u w:val="single"/>
        </w:rPr>
        <w:t>NAFTA, U-Turns and Forks in the Road?</w:t>
      </w:r>
    </w:p>
    <w:p w14:paraId="797D6CE6" w14:textId="77777777" w:rsidR="00FC1352" w:rsidRPr="00B16355" w:rsidRDefault="00FC1352" w:rsidP="00FC1352">
      <w:pPr>
        <w:spacing w:line="360" w:lineRule="auto"/>
        <w:ind w:firstLine="720"/>
      </w:pPr>
      <w:r w:rsidRPr="00B16355">
        <w:t>In the absence of Chapter 11, Methanex would have little recourse but to pursue its claim through the U.S. court system or via “espousal.” The key question is why Methanex chose to pursue its Article 1110, 1105, and 1102 claims through the Chapter 11 rather than the domestic courts? Part of the answer rests in the differences in each of the NAFTA Party’s legal systems in defining terms like property and expropriation, and in the absence of a precise definition of these and others such as “tantamount to expropriation” within the NAFTA itself.</w:t>
      </w:r>
      <w:r w:rsidRPr="00B16355">
        <w:rPr>
          <w:vertAlign w:val="superscript"/>
        </w:rPr>
        <w:footnoteReference w:id="62"/>
      </w:r>
      <w:r w:rsidRPr="00B16355">
        <w:t xml:space="preserve"> United States jurisprudence on expropriation rests primarily on a body of case law derived from interpretations of the Fifth Amendment of the U.S. Constitution and the eminent domain clause, therein.</w:t>
      </w:r>
      <w:r w:rsidRPr="00B16355">
        <w:rPr>
          <w:vertAlign w:val="superscript"/>
        </w:rPr>
        <w:footnoteReference w:id="63"/>
      </w:r>
      <w:r w:rsidRPr="00B16355">
        <w:t xml:space="preserve"> Until the early twentieth century, the Fifth Amendment’s protection against direct takings (outright expropriation) was understood to apply only to circumstances of outright expropriation of property (ie. the government acquired title to the land). However, starting with the 1922 </w:t>
      </w:r>
      <w:r w:rsidRPr="00B16355">
        <w:rPr>
          <w:i/>
        </w:rPr>
        <w:t>Pennsylvania Coal Co. v. Mahon</w:t>
      </w:r>
      <w:r w:rsidRPr="00B16355">
        <w:t xml:space="preserve"> case, the Supreme Court introduced the idea of a form of taking that was more regulatory in nature.</w:t>
      </w:r>
      <w:r w:rsidRPr="00B16355">
        <w:rPr>
          <w:vertAlign w:val="superscript"/>
        </w:rPr>
        <w:footnoteReference w:id="64"/>
      </w:r>
      <w:r w:rsidRPr="00B16355">
        <w:t xml:space="preserve"> Eventually, U.S. courts arrived at a kind of three-pronged test to determine whether regulatory changes rose to the level of expropriation as protected by the Fifth Amendment: 1) what was the government’s intent in setting the regulation 2) what was the extent of the economic impact and 3) was the investor’s expectation for his/her investment reasonable given the nature of the property. In practice, then, U.S. domestic standards regarding regulatory expropriation have held that regulatory taking in the public interest does not rise to the level of compensable expropriation, that the impact of a regulatory change needs to be substantial, and that the mere loss of opportunity by an investor because of a regulatory change </w:t>
      </w:r>
      <w:r w:rsidRPr="00B16355">
        <w:lastRenderedPageBreak/>
        <w:t>can and should often be anticipated and therefore does not amount to regulatory expropriation.</w:t>
      </w:r>
      <w:r w:rsidRPr="00B16355">
        <w:rPr>
          <w:vertAlign w:val="superscript"/>
        </w:rPr>
        <w:footnoteReference w:id="65"/>
      </w:r>
      <w:r w:rsidRPr="00B16355">
        <w:t xml:space="preserve"> Hence, because U.S. legal practice has a long, well-defined history whereas Chapter 11 standards did not, the incentives for firms to test those ill-defined standards has been high.</w:t>
      </w:r>
    </w:p>
    <w:p w14:paraId="5BC7BE78" w14:textId="77777777" w:rsidR="00FC1352" w:rsidRPr="00B16355" w:rsidRDefault="00FC1352" w:rsidP="00FC1352">
      <w:pPr>
        <w:spacing w:line="360" w:lineRule="auto"/>
        <w:ind w:firstLine="720"/>
      </w:pPr>
      <w:r w:rsidRPr="00B16355">
        <w:t>Unfortunately, Chapter 11 of the NAFTA has no clear definitions or criteria for determining which measures rise to the level of expropriation, no deep body of jurisprudence through which definitions have emerged, and a clause in the Agreement (Article 1136 (1)) explicitly separating the cases from one another limiting the scope for the creation of precedent. Some of the only international case law providing guidance on these issues has emerged out of the Iran-United States Claims Tribunal, which adopted a fairly liberal approach to the meaning of takings, including regulations.</w:t>
      </w:r>
      <w:r w:rsidRPr="00B16355">
        <w:rPr>
          <w:vertAlign w:val="superscript"/>
        </w:rPr>
        <w:footnoteReference w:id="66"/>
      </w:r>
      <w:r w:rsidRPr="00B16355">
        <w:t xml:space="preserve"> For instance, the Tribunal ruled “liability exists whenever acts attributable to a state have deprived an alien owner of property rights of value to him, regardless of whether the state has thereby obtained anything of value to it.”</w:t>
      </w:r>
      <w:r w:rsidRPr="00B16355">
        <w:rPr>
          <w:vertAlign w:val="superscript"/>
        </w:rPr>
        <w:footnoteReference w:id="67"/>
      </w:r>
      <w:r w:rsidRPr="00B16355">
        <w:t xml:space="preserve"> In addition, the Tribunal has ruled, “liability is not affected by the fact that the state has acted for legitimate economic or social reasons and in accordance with its law.”</w:t>
      </w:r>
      <w:r w:rsidRPr="00B16355">
        <w:rPr>
          <w:vertAlign w:val="superscript"/>
        </w:rPr>
        <w:footnoteReference w:id="68"/>
      </w:r>
      <w:r w:rsidRPr="00B16355">
        <w:t xml:space="preserve"> Yet, while tribunals such as this have developed a set of liberal standards for expropriation, most of which go beyond U.S. domestic law, international law continues to be broadly biased in favor of the state rather than private investors.</w:t>
      </w:r>
      <w:r w:rsidRPr="00B16355">
        <w:rPr>
          <w:vertAlign w:val="superscript"/>
        </w:rPr>
        <w:footnoteReference w:id="69"/>
      </w:r>
      <w:r w:rsidRPr="00B16355">
        <w:t xml:space="preserve"> Critics of the NAFTA worry that within Chapter 11 proceedings, a similarly liberal definition of takings is emerging that threatens to go beyond domestic law in all three NAFTA countries. If the NAFTA somehow provided established new legal grounds for property rights claims beyond their traditional conception, and the institutional mechanisms to pursue them, the implications for governing, including regulation in the public interest, could be </w:t>
      </w:r>
      <w:r w:rsidRPr="00B16355">
        <w:lastRenderedPageBreak/>
        <w:t>profound.</w:t>
      </w:r>
      <w:r w:rsidRPr="00B16355">
        <w:rPr>
          <w:vertAlign w:val="superscript"/>
        </w:rPr>
        <w:footnoteReference w:id="70"/>
      </w:r>
      <w:r w:rsidRPr="00B16355">
        <w:t xml:space="preserve"> Private foreign actors would have recourse to a set of legal mechanisms and standards of expropriation unavailable to domestic firms.</w:t>
      </w:r>
      <w:r w:rsidRPr="00B16355">
        <w:rPr>
          <w:vertAlign w:val="superscript"/>
        </w:rPr>
        <w:footnoteReference w:id="71"/>
      </w:r>
      <w:r w:rsidRPr="00B16355">
        <w:t xml:space="preserve"> </w:t>
      </w:r>
    </w:p>
    <w:p w14:paraId="18E2F8CF" w14:textId="77777777" w:rsidR="00FC1352" w:rsidRPr="00B16355" w:rsidRDefault="00FC1352" w:rsidP="00FC1352">
      <w:pPr>
        <w:spacing w:line="360" w:lineRule="auto"/>
        <w:ind w:firstLine="720"/>
      </w:pPr>
      <w:r w:rsidRPr="00B16355">
        <w:t xml:space="preserve">Two Chapter 11 cases, </w:t>
      </w:r>
      <w:r w:rsidRPr="00B16355">
        <w:rPr>
          <w:i/>
        </w:rPr>
        <w:t>Pope &amp; Talbot v. Government of Canada</w:t>
      </w:r>
      <w:r w:rsidRPr="00B16355">
        <w:t xml:space="preserve"> and</w:t>
      </w:r>
      <w:r w:rsidRPr="00B16355">
        <w:rPr>
          <w:i/>
        </w:rPr>
        <w:t xml:space="preserve"> Metalclad v. United Mexican States</w:t>
      </w:r>
      <w:r w:rsidRPr="00B16355">
        <w:t xml:space="preserve">, offer some sense of where jurisprudence on Chapter 11 was headed that explains the subsequent nervousness regarding the </w:t>
      </w:r>
      <w:r w:rsidRPr="00B16355">
        <w:rPr>
          <w:i/>
        </w:rPr>
        <w:t>Methanex</w:t>
      </w:r>
      <w:r w:rsidRPr="00B16355">
        <w:t xml:space="preserve"> case.</w:t>
      </w:r>
      <w:r w:rsidRPr="00B16355">
        <w:rPr>
          <w:vertAlign w:val="superscript"/>
        </w:rPr>
        <w:footnoteReference w:id="72"/>
      </w:r>
      <w:r w:rsidRPr="00B16355">
        <w:t xml:space="preserve"> The </w:t>
      </w:r>
      <w:r w:rsidRPr="00B16355">
        <w:rPr>
          <w:i/>
        </w:rPr>
        <w:t>Pope &amp; Talbot</w:t>
      </w:r>
      <w:r w:rsidRPr="00B16355">
        <w:t xml:space="preserve"> decision acknowledged “the exercise of police power needed to be analyzed with special care,” and it also concluded that “regulations can indeed be exercised in a way that would constitute creeping expropriation.”</w:t>
      </w:r>
      <w:r w:rsidRPr="00B16355">
        <w:rPr>
          <w:vertAlign w:val="superscript"/>
        </w:rPr>
        <w:footnoteReference w:id="73"/>
      </w:r>
      <w:r w:rsidRPr="00B16355">
        <w:t xml:space="preserve"> Further, the tribunal argued “much creeping expropriation could be done by regulation, and a blanket exception for regulatory measures would create a gaping hole in international protections against expropriation.”</w:t>
      </w:r>
      <w:r w:rsidRPr="00B16355">
        <w:rPr>
          <w:vertAlign w:val="superscript"/>
        </w:rPr>
        <w:footnoteReference w:id="74"/>
      </w:r>
      <w:r w:rsidRPr="00B16355">
        <w:t xml:space="preserve"> Although the panel went on to reject Pope &amp; Talbot’s claim because the regulatory change imposed upon it was not substantial enough, the decision inserted the notion of creeping expropriation due to regulatory changes squarely into Chapter 11's body of jurisprudence, thus placing the standards for expropriation under the NAFTA near those of the United States.</w:t>
      </w:r>
    </w:p>
    <w:p w14:paraId="566FD04D" w14:textId="77777777" w:rsidR="00FC1352" w:rsidRPr="00B16355" w:rsidRDefault="00FC1352" w:rsidP="00FC1352">
      <w:pPr>
        <w:spacing w:line="360" w:lineRule="auto"/>
        <w:ind w:firstLine="720"/>
      </w:pPr>
      <w:r w:rsidRPr="00B16355">
        <w:t xml:space="preserve">In </w:t>
      </w:r>
      <w:r w:rsidRPr="00B16355">
        <w:rPr>
          <w:i/>
        </w:rPr>
        <w:t>Metalclad vs. United Mexican States</w:t>
      </w:r>
      <w:r w:rsidRPr="00B16355">
        <w:t>, the Chapter 11 tribunal went even further in expanding the definition of expropriation under Article 1110 saying that</w:t>
      </w:r>
    </w:p>
    <w:p w14:paraId="1A96EF2B" w14:textId="77777777" w:rsidR="00FC1352" w:rsidRPr="00B16355" w:rsidRDefault="00FC1352" w:rsidP="00FC1352">
      <w:pPr>
        <w:spacing w:line="360" w:lineRule="auto"/>
      </w:pPr>
    </w:p>
    <w:p w14:paraId="2B620C41" w14:textId="77777777" w:rsidR="00FC1352" w:rsidRPr="00B16355" w:rsidRDefault="00FC1352" w:rsidP="00FC1352">
      <w:pPr>
        <w:ind w:left="720"/>
      </w:pPr>
      <w:r w:rsidRPr="00B16355">
        <w:t xml:space="preserve">Expropriation under NAFTA includes not only open, deliberate and acknowledged takings of property, such as outright seizure of formal or obligatory transfer of title in favor of the host State, but also covert or incidental interference with the use of property which has the effect of depriving the owner, in whole or in significant part, of the use or </w:t>
      </w:r>
      <w:r w:rsidRPr="00B16355">
        <w:lastRenderedPageBreak/>
        <w:t>reasonably-to-be-expected economic benefit of property even if not necessarily to the obvious benefit of the host State.</w:t>
      </w:r>
      <w:r w:rsidRPr="00B16355">
        <w:rPr>
          <w:vertAlign w:val="superscript"/>
        </w:rPr>
        <w:footnoteReference w:id="75"/>
      </w:r>
    </w:p>
    <w:p w14:paraId="6B7CE5F6" w14:textId="77777777" w:rsidR="00FC1352" w:rsidRPr="00B16355" w:rsidRDefault="00FC1352" w:rsidP="00FC1352">
      <w:pPr>
        <w:spacing w:line="360" w:lineRule="auto"/>
      </w:pPr>
    </w:p>
    <w:p w14:paraId="318F1218" w14:textId="77777777" w:rsidR="00FC1352" w:rsidRPr="00B16355" w:rsidRDefault="00FC1352" w:rsidP="00FC1352">
      <w:pPr>
        <w:spacing w:line="360" w:lineRule="auto"/>
      </w:pPr>
      <w:r w:rsidRPr="00B16355">
        <w:t xml:space="preserve">By using the phrase “in whole or significant part” the </w:t>
      </w:r>
      <w:r w:rsidRPr="00B16355">
        <w:rPr>
          <w:i/>
        </w:rPr>
        <w:t>Metalclad</w:t>
      </w:r>
      <w:r w:rsidRPr="00B16355">
        <w:t xml:space="preserve"> tribunal seemed to go one step beyond the “substantial” economic test put forward in </w:t>
      </w:r>
      <w:r w:rsidRPr="00B16355">
        <w:rPr>
          <w:i/>
        </w:rPr>
        <w:t>Pope &amp; Talbot</w:t>
      </w:r>
      <w:r w:rsidRPr="00B16355">
        <w:t xml:space="preserve"> and introduced a more expansive and subjective standard for expropriation, thus opening the door for a range of regulatory measures that even slightly infringe upon investment performance to be considered a form of expropriation, including the possibility of lost opportunity.</w:t>
      </w:r>
      <w:r w:rsidRPr="00B16355">
        <w:rPr>
          <w:vertAlign w:val="superscript"/>
        </w:rPr>
        <w:footnoteReference w:id="76"/>
      </w:r>
      <w:r w:rsidRPr="00B16355">
        <w:t xml:space="preserve"> This definition reaches beyond the standards for takings in any of the three NAFTA Party’s domestic legal systems, but not out of line with the approach taken by Iran-United States Claims Tribunal rulings.</w:t>
      </w:r>
      <w:r w:rsidRPr="00B16355">
        <w:rPr>
          <w:vertAlign w:val="superscript"/>
        </w:rPr>
        <w:footnoteReference w:id="77"/>
      </w:r>
    </w:p>
    <w:p w14:paraId="4E53073D" w14:textId="6F004FFB" w:rsidR="009F290A" w:rsidRDefault="00FC1352" w:rsidP="00830D9B">
      <w:pPr>
        <w:spacing w:line="360" w:lineRule="auto"/>
        <w:ind w:firstLine="720"/>
      </w:pPr>
      <w:r w:rsidRPr="00B16355">
        <w:t xml:space="preserve">If the </w:t>
      </w:r>
      <w:r w:rsidRPr="00B16355">
        <w:rPr>
          <w:i/>
        </w:rPr>
        <w:t xml:space="preserve">Methanex </w:t>
      </w:r>
      <w:r w:rsidRPr="00B16355">
        <w:t>tribunal had adopted this expansive definition of expropriation, it would have the practical effect of extending the protection from expropriation afforded to foreign investors beyond that offered to domestic investors by the U.S. legal system, which currently offers the strongest private property protections of the three NAFTA Parties.</w:t>
      </w:r>
      <w:r w:rsidRPr="00B16355">
        <w:rPr>
          <w:vertAlign w:val="superscript"/>
        </w:rPr>
        <w:footnoteReference w:id="78"/>
      </w:r>
      <w:r w:rsidRPr="00B16355">
        <w:t xml:space="preserve"> The Methanex case was closely watched because of the impact a win for Methanex may have had on the NAFTA, international law, and on domestic legal systems should foreign investors be accorded greater protection than that currently provided domestically.</w:t>
      </w:r>
      <w:r w:rsidRPr="00B16355">
        <w:rPr>
          <w:vertAlign w:val="superscript"/>
        </w:rPr>
        <w:footnoteReference w:id="79"/>
      </w:r>
      <w:r w:rsidRPr="00B16355">
        <w:t xml:space="preserve"> Methanex attempted to take advantage of the relative lack of definition in NAFTA jurisprudence to push its claim that California should be liable for opportunity costs due to regulatory changes; a claim that, if pursued through the U.S. court system, seemed likely to fail.</w:t>
      </w:r>
    </w:p>
    <w:p w14:paraId="6D70D2B9" w14:textId="77777777" w:rsidR="00830D9B" w:rsidRDefault="00830D9B" w:rsidP="00830D9B">
      <w:pPr>
        <w:spacing w:line="360" w:lineRule="auto"/>
        <w:ind w:firstLine="720"/>
      </w:pPr>
    </w:p>
    <w:p w14:paraId="38C1B688" w14:textId="77777777" w:rsidR="00A67B5D" w:rsidRDefault="00A67B5D" w:rsidP="002A0DBB">
      <w:pPr>
        <w:spacing w:line="360" w:lineRule="auto"/>
        <w:outlineLvl w:val="0"/>
        <w:rPr>
          <w:b/>
        </w:rPr>
      </w:pPr>
    </w:p>
    <w:p w14:paraId="5CEFEF61" w14:textId="77777777" w:rsidR="00A67B5D" w:rsidRDefault="00A67B5D" w:rsidP="002A0DBB">
      <w:pPr>
        <w:spacing w:line="360" w:lineRule="auto"/>
        <w:outlineLvl w:val="0"/>
        <w:rPr>
          <w:b/>
        </w:rPr>
      </w:pPr>
    </w:p>
    <w:p w14:paraId="0C84364B" w14:textId="4AD17496" w:rsidR="004377AE" w:rsidRPr="00A67B5D" w:rsidRDefault="009F290A" w:rsidP="00A67B5D">
      <w:pPr>
        <w:spacing w:line="360" w:lineRule="auto"/>
        <w:outlineLvl w:val="0"/>
        <w:rPr>
          <w:b/>
        </w:rPr>
      </w:pPr>
      <w:r w:rsidRPr="00F95E57">
        <w:rPr>
          <w:b/>
        </w:rPr>
        <w:lastRenderedPageBreak/>
        <w:t xml:space="preserve">Part III: </w:t>
      </w:r>
      <w:r w:rsidR="00EA3EE0" w:rsidRPr="00F95E57">
        <w:rPr>
          <w:b/>
        </w:rPr>
        <w:t>Spreading Angst, Reconsideration, and the CETA Test Bed</w:t>
      </w:r>
    </w:p>
    <w:p w14:paraId="28E85615" w14:textId="43ADEB70" w:rsidR="00841E65" w:rsidRDefault="0006687D" w:rsidP="0006687D">
      <w:pPr>
        <w:spacing w:line="360" w:lineRule="auto"/>
      </w:pPr>
      <w:r>
        <w:tab/>
      </w:r>
      <w:r w:rsidR="00215F77">
        <w:t>The early 1990s were periods of significant integration for both Europe and North America; Europe</w:t>
      </w:r>
      <w:r w:rsidR="003B7978">
        <w:t>an countries</w:t>
      </w:r>
      <w:r w:rsidR="00215F77">
        <w:t xml:space="preserve"> moving dramatically toward monetary union, North America starting </w:t>
      </w:r>
      <w:r w:rsidR="000A1CD6">
        <w:t>with free trade. For some, Europe’</w:t>
      </w:r>
      <w:r w:rsidR="00581190">
        <w:t xml:space="preserve">s dramatic leap toward, </w:t>
      </w:r>
      <w:r w:rsidR="000A1CD6">
        <w:t>and North America’s reticence about</w:t>
      </w:r>
      <w:r w:rsidR="00581190">
        <w:t>,</w:t>
      </w:r>
      <w:r w:rsidR="000A1CD6">
        <w:t xml:space="preserve"> deeper stages of integration signal a kind of divergence of views about deeper stages of integration.</w:t>
      </w:r>
      <w:r w:rsidR="000A1CD6">
        <w:rPr>
          <w:rStyle w:val="FootnoteReference"/>
        </w:rPr>
        <w:footnoteReference w:id="80"/>
      </w:r>
      <w:r w:rsidR="000A1CD6">
        <w:t xml:space="preserve"> However, the early 1990s also saw parallel innovation in the regional application of investment rules that, in the late 1990s, began to generate controversy in North America, and would, in the early 2000s, generate similar angst in Europe. </w:t>
      </w:r>
    </w:p>
    <w:p w14:paraId="507E44C4" w14:textId="15E2241C" w:rsidR="00C810F6" w:rsidRDefault="00C810F6" w:rsidP="0006687D">
      <w:pPr>
        <w:spacing w:line="360" w:lineRule="auto"/>
      </w:pPr>
      <w:r>
        <w:tab/>
        <w:t>Jan Paulson argues there were two extraordinary developments in</w:t>
      </w:r>
      <w:r w:rsidR="00C937EC">
        <w:t xml:space="preserve"> investment protection treaties, both in 1994</w:t>
      </w:r>
      <w:r>
        <w:t>; one was NAFTA Chapter 11</w:t>
      </w:r>
      <w:r w:rsidR="00C937EC">
        <w:t>implemented in January</w:t>
      </w:r>
      <w:r w:rsidR="0010424C">
        <w:t>, the other under the</w:t>
      </w:r>
      <w:r w:rsidR="00C937EC">
        <w:t xml:space="preserve"> </w:t>
      </w:r>
      <w:r w:rsidR="003B7978">
        <w:t xml:space="preserve">European </w:t>
      </w:r>
      <w:r w:rsidR="00C937EC" w:rsidRPr="00A67B5D">
        <w:rPr>
          <w:i/>
        </w:rPr>
        <w:t>Energy Charter</w:t>
      </w:r>
      <w:r w:rsidR="002A0DBB" w:rsidRPr="00A67B5D">
        <w:rPr>
          <w:i/>
        </w:rPr>
        <w:t xml:space="preserve"> Treaty</w:t>
      </w:r>
      <w:r w:rsidR="00C937EC">
        <w:t xml:space="preserve"> in December.</w:t>
      </w:r>
      <w:r w:rsidR="00E15CDB">
        <w:t xml:space="preserve"> Paulson argues that Europe and North America entered precarious new territory with investment in that arbitration</w:t>
      </w:r>
      <w:r w:rsidR="00C77BE3">
        <w:t xml:space="preserve"> under these agreements</w:t>
      </w:r>
      <w:r w:rsidR="00E15CDB">
        <w:t xml:space="preserve"> </w:t>
      </w:r>
      <w:r w:rsidR="00D841AA">
        <w:t>wherein the claimant need not have a contractual relationship with the defendant and where the tables could not be turned: the defendant could not have initiated the arbitration and the right to fi</w:t>
      </w:r>
      <w:r w:rsidR="00EA5E91">
        <w:t>le a counterclaim is ambiguous</w:t>
      </w:r>
      <w:r w:rsidR="00E15CDB">
        <w:t>; arbitration without privity.</w:t>
      </w:r>
      <w:r w:rsidR="00E15CDB">
        <w:rPr>
          <w:rStyle w:val="FootnoteReference"/>
        </w:rPr>
        <w:footnoteReference w:id="81"/>
      </w:r>
      <w:r w:rsidR="000A2572">
        <w:t xml:space="preserve"> In Paulson’s view, the NAFTA and </w:t>
      </w:r>
      <w:r w:rsidR="000A2572" w:rsidRPr="00A67B5D">
        <w:rPr>
          <w:i/>
        </w:rPr>
        <w:t>Energy Charter</w:t>
      </w:r>
      <w:r w:rsidR="002A0DBB" w:rsidRPr="00A67B5D">
        <w:rPr>
          <w:i/>
        </w:rPr>
        <w:t xml:space="preserve"> Treaty</w:t>
      </w:r>
      <w:r w:rsidR="000A2572">
        <w:t xml:space="preserve"> amounted to a dramatic extension of arbitral jurisdiction allowing direct legal recourse by private parties over a wide range of issues.</w:t>
      </w:r>
      <w:r w:rsidR="000A2572">
        <w:rPr>
          <w:rStyle w:val="FootnoteReference"/>
        </w:rPr>
        <w:footnoteReference w:id="82"/>
      </w:r>
    </w:p>
    <w:p w14:paraId="01A91A91" w14:textId="77777777" w:rsidR="006509CC" w:rsidRDefault="006509CC" w:rsidP="0006687D">
      <w:pPr>
        <w:spacing w:line="360" w:lineRule="auto"/>
      </w:pPr>
    </w:p>
    <w:p w14:paraId="4F6CEF36" w14:textId="0A0C0485" w:rsidR="006509CC" w:rsidRDefault="006509CC" w:rsidP="008E3908">
      <w:r>
        <w:t>This new approach to the resolution of international disputes offers the hope of sanctioning legal right in individual case</w:t>
      </w:r>
      <w:r w:rsidR="00D15A58">
        <w:t>s</w:t>
      </w:r>
      <w:r>
        <w:t xml:space="preserve"> brought directly by the a</w:t>
      </w:r>
      <w:r w:rsidR="008E3908">
        <w:t>ggrie</w:t>
      </w:r>
      <w:r>
        <w:t xml:space="preserve">ved party. It grants innumerable present and future investors the right to arbitrate a wide range of grievances arising from the actions of a large number of public authorities, whether or not any specific agreement has been concluded with the particular complainant, and so impels </w:t>
      </w:r>
      <w:r w:rsidR="008E3908">
        <w:t>us to reconsider fundamental assumptions about the international legal process as it affects investors abroad.</w:t>
      </w:r>
      <w:r w:rsidR="008E3908">
        <w:rPr>
          <w:rStyle w:val="FootnoteReference"/>
        </w:rPr>
        <w:footnoteReference w:id="83"/>
      </w:r>
      <w:r w:rsidR="008E3908">
        <w:t xml:space="preserve"> </w:t>
      </w:r>
    </w:p>
    <w:p w14:paraId="2D9D7496" w14:textId="77777777" w:rsidR="000A2572" w:rsidRDefault="000A2572" w:rsidP="000A2572">
      <w:pPr>
        <w:spacing w:line="360" w:lineRule="auto"/>
      </w:pPr>
    </w:p>
    <w:p w14:paraId="4AD512DD" w14:textId="22D063E7" w:rsidR="004B3382" w:rsidRDefault="00D15A58" w:rsidP="004B3382">
      <w:pPr>
        <w:spacing w:line="360" w:lineRule="auto"/>
      </w:pPr>
      <w:r>
        <w:tab/>
      </w:r>
      <w:r w:rsidR="00D648A6">
        <w:t xml:space="preserve">Whereas the implications of </w:t>
      </w:r>
      <w:r w:rsidR="006B6433">
        <w:t>the NAFTA arbitration “without privity”</w:t>
      </w:r>
      <w:r w:rsidR="00C83571">
        <w:t xml:space="preserve"> began to emerge with the first cases in the late 1990s, </w:t>
      </w:r>
      <w:r w:rsidR="00476CC3">
        <w:t xml:space="preserve">the implications under the </w:t>
      </w:r>
      <w:r w:rsidR="00C83571" w:rsidRPr="00A67B5D">
        <w:rPr>
          <w:i/>
        </w:rPr>
        <w:t xml:space="preserve">Energy Charter </w:t>
      </w:r>
      <w:r w:rsidR="002A0DBB" w:rsidRPr="00A67B5D">
        <w:rPr>
          <w:i/>
        </w:rPr>
        <w:t>Treaty</w:t>
      </w:r>
      <w:r w:rsidR="002A0DBB">
        <w:t xml:space="preserve"> </w:t>
      </w:r>
      <w:r w:rsidR="00C83571">
        <w:t xml:space="preserve">did </w:t>
      </w:r>
      <w:r w:rsidR="00F3592F">
        <w:t>not fully materialize until 2009</w:t>
      </w:r>
      <w:r w:rsidR="00C83571">
        <w:t xml:space="preserve"> when a Swedish power company, Vattenfal</w:t>
      </w:r>
      <w:r w:rsidR="004B3382">
        <w:t>l</w:t>
      </w:r>
      <w:r w:rsidR="00B836A3">
        <w:t xml:space="preserve"> (often referred to as </w:t>
      </w:r>
      <w:r w:rsidR="00B836A3" w:rsidRPr="00A91809">
        <w:rPr>
          <w:i/>
        </w:rPr>
        <w:lastRenderedPageBreak/>
        <w:t>Vattenfall I</w:t>
      </w:r>
      <w:r w:rsidR="00B836A3">
        <w:t>)</w:t>
      </w:r>
      <w:r w:rsidR="004B3382">
        <w:t>, sued</w:t>
      </w:r>
      <w:r>
        <w:t xml:space="preserve"> Germany</w:t>
      </w:r>
      <w:r w:rsidR="004B3382">
        <w:t xml:space="preserve"> </w:t>
      </w:r>
      <w:r w:rsidR="00ED3696">
        <w:t>over what the firm claimed were arbitrary restrictions placed on the development of a coal-fired power plant in Hamburg.</w:t>
      </w:r>
      <w:r w:rsidR="008C3DB4">
        <w:rPr>
          <w:rStyle w:val="FootnoteReference"/>
        </w:rPr>
        <w:footnoteReference w:id="84"/>
      </w:r>
      <w:r w:rsidR="00F3592F">
        <w:t xml:space="preserve"> That action was compounded with another Vattenfall suit</w:t>
      </w:r>
      <w:r w:rsidR="00B836A3">
        <w:t xml:space="preserve"> (commonly referred to as </w:t>
      </w:r>
      <w:r w:rsidR="00B836A3" w:rsidRPr="00A91809">
        <w:rPr>
          <w:i/>
        </w:rPr>
        <w:t>Vattenfall II</w:t>
      </w:r>
      <w:r w:rsidR="00B836A3">
        <w:t>)</w:t>
      </w:r>
      <w:r w:rsidR="00F3592F">
        <w:t xml:space="preserve">, this time in response to </w:t>
      </w:r>
      <w:r>
        <w:t>Germany</w:t>
      </w:r>
      <w:r w:rsidR="00F3592F">
        <w:t>’s decision to</w:t>
      </w:r>
      <w:r w:rsidR="004B3382">
        <w:t xml:space="preserve"> accelerate the closure of most of the country’s nuclear facilities after the Fukushima nuclear disaster.</w:t>
      </w:r>
      <w:r w:rsidR="00D87683">
        <w:rPr>
          <w:rStyle w:val="FootnoteReference"/>
        </w:rPr>
        <w:footnoteReference w:id="85"/>
      </w:r>
    </w:p>
    <w:p w14:paraId="3888B899" w14:textId="1E2FE04B" w:rsidR="005B20C4" w:rsidRDefault="00D15A58" w:rsidP="004B3382">
      <w:pPr>
        <w:spacing w:line="360" w:lineRule="auto"/>
      </w:pPr>
      <w:r>
        <w:tab/>
      </w:r>
      <w:r w:rsidR="00A91809">
        <w:t xml:space="preserve">The </w:t>
      </w:r>
      <w:r w:rsidR="0090670C" w:rsidRPr="00A91809">
        <w:rPr>
          <w:i/>
        </w:rPr>
        <w:t>Vattenfall</w:t>
      </w:r>
      <w:r w:rsidR="0090670C">
        <w:t xml:space="preserve"> </w:t>
      </w:r>
      <w:r w:rsidR="00A91809">
        <w:t xml:space="preserve">cases </w:t>
      </w:r>
      <w:r w:rsidR="0090670C">
        <w:t xml:space="preserve">had the same galvanizing effect on civil society organizations in Europe that NAFTA Chapter 11 had on </w:t>
      </w:r>
      <w:r w:rsidR="00B836A3">
        <w:t xml:space="preserve">their counterparts in North America. However, in the European context, there was virtually no attention focused on the </w:t>
      </w:r>
      <w:r w:rsidR="00B836A3" w:rsidRPr="00A67B5D">
        <w:rPr>
          <w:i/>
        </w:rPr>
        <w:t>Energy Charter</w:t>
      </w:r>
      <w:r w:rsidR="002A0DBB" w:rsidRPr="00A67B5D">
        <w:rPr>
          <w:i/>
        </w:rPr>
        <w:t xml:space="preserve"> Treaty</w:t>
      </w:r>
      <w:r w:rsidR="00B836A3">
        <w:t xml:space="preserve"> by these groups between the Charter’s completion in 1994 and </w:t>
      </w:r>
      <w:r w:rsidR="00B836A3" w:rsidRPr="00A91809">
        <w:rPr>
          <w:i/>
        </w:rPr>
        <w:t xml:space="preserve">Vattenfall I </w:t>
      </w:r>
      <w:r w:rsidR="00B836A3">
        <w:t>in 2009. For example, in 2007, Attac, a German NGO, produced a report chronicling its resistance activities focused on the G8, WTO, and neoliberalism generally. It notes the “success” achieved in the demise of the MAI talks in 1998, but does not focus on investment or investment disputes as a</w:t>
      </w:r>
      <w:r w:rsidR="00FB0777">
        <w:t xml:space="preserve"> specific target of their work.</w:t>
      </w:r>
      <w:r w:rsidR="00FB0777">
        <w:rPr>
          <w:rStyle w:val="FootnoteReference"/>
        </w:rPr>
        <w:footnoteReference w:id="86"/>
      </w:r>
      <w:r w:rsidR="00FB0777">
        <w:t xml:space="preserve"> Similarly, C</w:t>
      </w:r>
      <w:r>
        <w:t>a</w:t>
      </w:r>
      <w:r w:rsidR="00FB0777">
        <w:t>mpact, another European NGO</w:t>
      </w:r>
      <w:r w:rsidR="004F5F4E">
        <w:t>,</w:t>
      </w:r>
      <w:r w:rsidR="00FB0777">
        <w:t xml:space="preserve"> focused on critiques of neoliberalism and the institutions that support it, </w:t>
      </w:r>
      <w:r>
        <w:t xml:space="preserve">but </w:t>
      </w:r>
      <w:r w:rsidR="00FB0777">
        <w:t>d</w:t>
      </w:r>
      <w:r w:rsidR="004F5F4E">
        <w:t>idn</w:t>
      </w:r>
      <w:r w:rsidR="00FB0777">
        <w:t>’t focus on the “dangers” of ISDS until 2014</w:t>
      </w:r>
      <w:r w:rsidR="005B20C4">
        <w:t>,</w:t>
      </w:r>
      <w:r w:rsidR="00FA44E3">
        <w:rPr>
          <w:rStyle w:val="FootnoteReference"/>
        </w:rPr>
        <w:footnoteReference w:id="87"/>
      </w:r>
      <w:r w:rsidR="005B20C4">
        <w:t xml:space="preserve"> and then only retrospectively on the</w:t>
      </w:r>
      <w:r w:rsidR="002912DD">
        <w:t xml:space="preserve"> renewed attention brought to ISDS by a</w:t>
      </w:r>
      <w:r w:rsidR="005B20C4">
        <w:t xml:space="preserve"> 2010</w:t>
      </w:r>
      <w:r w:rsidR="002912DD">
        <w:t xml:space="preserve"> NAFTA case against Canada.</w:t>
      </w:r>
      <w:r w:rsidR="002912DD">
        <w:rPr>
          <w:rStyle w:val="FootnoteReference"/>
        </w:rPr>
        <w:footnoteReference w:id="88"/>
      </w:r>
    </w:p>
    <w:p w14:paraId="5940420B" w14:textId="2DBC6567" w:rsidR="00F6618D" w:rsidRDefault="00D15A58" w:rsidP="004B3382">
      <w:pPr>
        <w:spacing w:line="360" w:lineRule="auto"/>
      </w:pPr>
      <w:r>
        <w:lastRenderedPageBreak/>
        <w:tab/>
      </w:r>
      <w:r w:rsidR="005B20C4">
        <w:t xml:space="preserve">The point is that much like North American civil society groups, their European counterparts were not initially focused on investment or ISDS. The provisions of the </w:t>
      </w:r>
      <w:r w:rsidR="005B20C4" w:rsidRPr="00A67B5D">
        <w:rPr>
          <w:i/>
        </w:rPr>
        <w:t xml:space="preserve">Energy Charter </w:t>
      </w:r>
      <w:r w:rsidR="002A0DBB" w:rsidRPr="00A67B5D">
        <w:rPr>
          <w:i/>
        </w:rPr>
        <w:t>Treaty</w:t>
      </w:r>
      <w:r w:rsidR="002A0DBB">
        <w:t xml:space="preserve"> </w:t>
      </w:r>
      <w:r w:rsidR="005B20C4">
        <w:t xml:space="preserve">were not especially worrisome until invoked by </w:t>
      </w:r>
      <w:r w:rsidR="005B20C4" w:rsidRPr="00A91809">
        <w:rPr>
          <w:i/>
        </w:rPr>
        <w:t>Vattenfall</w:t>
      </w:r>
      <w:r w:rsidR="005B20C4">
        <w:t xml:space="preserve">, wherein much like the NAFTA, those provisions involved a developed country multinational making a claim against another developed country </w:t>
      </w:r>
      <w:r w:rsidR="00F6618D">
        <w:t>government.</w:t>
      </w:r>
    </w:p>
    <w:p w14:paraId="0099F222" w14:textId="40EAD09D" w:rsidR="00261194" w:rsidRDefault="00D15A58" w:rsidP="004B3382">
      <w:pPr>
        <w:spacing w:line="360" w:lineRule="auto"/>
      </w:pPr>
      <w:r>
        <w:tab/>
      </w:r>
      <w:r w:rsidR="00F6618D">
        <w:t>Civil society organizations like to claim credit for stopping th</w:t>
      </w:r>
      <w:r w:rsidR="0021683E">
        <w:t xml:space="preserve">e MAI, highlighting the dangers of NAFTA Chapter 11, </w:t>
      </w:r>
      <w:r w:rsidR="00261194">
        <w:t xml:space="preserve">and offering critiques no one had seen. However, governments on both sides of the Atlantic were already working on </w:t>
      </w:r>
      <w:r w:rsidR="004F5F4E">
        <w:t>reforming investment rules</w:t>
      </w:r>
      <w:r w:rsidR="00261194">
        <w:t xml:space="preserve">. </w:t>
      </w:r>
      <w:r>
        <w:tab/>
      </w:r>
      <w:r w:rsidR="00261194">
        <w:t>Throughout 2008 and 2009, Canada and the E</w:t>
      </w:r>
      <w:r>
        <w:t>U</w:t>
      </w:r>
      <w:r w:rsidR="00261194">
        <w:t xml:space="preserve"> moved toward the official launch of what became the Comprehensive Economic and Trade Agreement (CETA). </w:t>
      </w:r>
      <w:r w:rsidR="00D57556">
        <w:t>The CETA</w:t>
      </w:r>
      <w:r w:rsidR="002F6D7B">
        <w:t xml:space="preserve"> talks were always </w:t>
      </w:r>
      <w:r w:rsidR="00D57556">
        <w:t xml:space="preserve">expected to be a protracted </w:t>
      </w:r>
      <w:r w:rsidR="002F6D7B">
        <w:t xml:space="preserve">set of </w:t>
      </w:r>
      <w:r w:rsidR="00D57556">
        <w:t>negotiation</w:t>
      </w:r>
      <w:r w:rsidR="002F6D7B">
        <w:t>s</w:t>
      </w:r>
      <w:r w:rsidR="00D57556">
        <w:t xml:space="preserve">, in part because </w:t>
      </w:r>
      <w:r w:rsidR="00FE7DFC">
        <w:t xml:space="preserve">they were </w:t>
      </w:r>
      <w:r w:rsidR="002F6D7B">
        <w:t xml:space="preserve">widely viewed as a means by which </w:t>
      </w:r>
      <w:r>
        <w:t>the EU</w:t>
      </w:r>
      <w:r w:rsidR="002F6D7B">
        <w:t xml:space="preserve"> sought to establish precedents for the launch of the much larger</w:t>
      </w:r>
      <w:r w:rsidR="00FE7DFC">
        <w:t xml:space="preserve"> </w:t>
      </w:r>
      <w:r w:rsidR="00A25A11">
        <w:t>Trans-Atlantic Trade and Investment Par</w:t>
      </w:r>
      <w:r w:rsidR="00523F35">
        <w:t>tn</w:t>
      </w:r>
      <w:r w:rsidR="00FC62CB">
        <w:t>ership (TTIP)</w:t>
      </w:r>
      <w:r w:rsidR="00505F22">
        <w:t xml:space="preserve"> negotiations</w:t>
      </w:r>
      <w:r w:rsidR="00FC62CB">
        <w:t>in 2013.</w:t>
      </w:r>
      <w:r w:rsidR="00FC62CB">
        <w:rPr>
          <w:rStyle w:val="FootnoteReference"/>
        </w:rPr>
        <w:footnoteReference w:id="89"/>
      </w:r>
      <w:r w:rsidR="00C9584D">
        <w:t xml:space="preserve"> Yet, in the wake of </w:t>
      </w:r>
      <w:r w:rsidR="00C9584D" w:rsidRPr="00A91809">
        <w:rPr>
          <w:i/>
        </w:rPr>
        <w:t>Vattenfall I</w:t>
      </w:r>
      <w:r w:rsidR="00C9584D">
        <w:t xml:space="preserve"> and </w:t>
      </w:r>
      <w:r w:rsidR="00C9584D" w:rsidRPr="00A91809">
        <w:rPr>
          <w:i/>
        </w:rPr>
        <w:t>II</w:t>
      </w:r>
      <w:r w:rsidR="00C9584D">
        <w:t>, the investmen</w:t>
      </w:r>
      <w:r w:rsidR="00D16805">
        <w:t>t provisions of the CETA drew the white</w:t>
      </w:r>
      <w:r w:rsidR="00677739">
        <w:t xml:space="preserve">-hot focus of civil society, </w:t>
      </w:r>
      <w:r w:rsidR="00D16805">
        <w:t>put additional pressure on European gov</w:t>
      </w:r>
      <w:r w:rsidR="00677739">
        <w:t>ernments to a</w:t>
      </w:r>
      <w:r w:rsidR="003034D1">
        <w:t xml:space="preserve">ddress investment, and were singularly responsible to delaying the </w:t>
      </w:r>
      <w:r w:rsidR="00211337">
        <w:t xml:space="preserve">effective </w:t>
      </w:r>
      <w:r w:rsidR="003034D1">
        <w:t>completi</w:t>
      </w:r>
      <w:r w:rsidR="00211337">
        <w:t xml:space="preserve">on of the CETA talks until 2016, with approval by </w:t>
      </w:r>
      <w:r w:rsidR="00D37DC3">
        <w:t xml:space="preserve">all </w:t>
      </w:r>
      <w:r w:rsidR="00211337">
        <w:t>European governme</w:t>
      </w:r>
      <w:r w:rsidR="000351AA">
        <w:t>nts not expected for several more years</w:t>
      </w:r>
      <w:r w:rsidR="00211337">
        <w:t>.</w:t>
      </w:r>
      <w:r w:rsidR="00211337">
        <w:rPr>
          <w:rStyle w:val="FootnoteReference"/>
        </w:rPr>
        <w:footnoteReference w:id="90"/>
      </w:r>
      <w:r w:rsidR="000351AA">
        <w:t xml:space="preserve"> Even though the </w:t>
      </w:r>
      <w:r w:rsidR="000351AA">
        <w:lastRenderedPageBreak/>
        <w:t>European Council has adopted a decision to sign the CETA on October 28, 2016</w:t>
      </w:r>
      <w:r w:rsidR="000351AA">
        <w:rPr>
          <w:rStyle w:val="FootnoteReference"/>
        </w:rPr>
        <w:footnoteReference w:id="91"/>
      </w:r>
      <w:r w:rsidR="000351AA">
        <w:t xml:space="preserve"> and the European Parliament ratified the Agreement on February 15, 2017</w:t>
      </w:r>
      <w:r w:rsidR="00505F22">
        <w:t>,</w:t>
      </w:r>
      <w:r w:rsidR="000351AA">
        <w:t xml:space="preserve"> the CETA may only be ‘provisionally applied’ in 2017. It will only enter into full force once all 28 EU Member States have ratified the Agreement.</w:t>
      </w:r>
      <w:r w:rsidR="000351AA">
        <w:rPr>
          <w:rStyle w:val="FootnoteReference"/>
        </w:rPr>
        <w:footnoteReference w:id="92"/>
      </w:r>
    </w:p>
    <w:p w14:paraId="7B5BE4B1" w14:textId="602B6126" w:rsidR="00B60DB8" w:rsidRDefault="00505F22" w:rsidP="00B60DB8">
      <w:pPr>
        <w:spacing w:line="360" w:lineRule="auto"/>
        <w:ind w:firstLine="720"/>
      </w:pPr>
      <w:r>
        <w:t xml:space="preserve">Germany was arguably one of the key drivers in shaping the way in which the ISDS debate unfolded in the CETA and TTIP context. Surprising given its role and reputation in shaping the evolution of investment protection mechanisms. As already mentioned earlier, </w:t>
      </w:r>
      <w:r w:rsidR="009A49C8">
        <w:t xml:space="preserve">Germany </w:t>
      </w:r>
      <w:r w:rsidR="0070403E">
        <w:t>was a party to the original BIT with Pakistan in 1959, and by 2014 was a party to 147 of them, the most of any EU country</w:t>
      </w:r>
      <w:r w:rsidR="00C44C10">
        <w:t>.</w:t>
      </w:r>
      <w:r w:rsidR="00C44C10">
        <w:rPr>
          <w:rStyle w:val="FootnoteReference"/>
        </w:rPr>
        <w:footnoteReference w:id="93"/>
      </w:r>
      <w:r w:rsidR="00C44C10" w:rsidRPr="00223BDC">
        <w:t> </w:t>
      </w:r>
      <w:r w:rsidR="0038101D">
        <w:t xml:space="preserve">Yet, in 2014, coincident with the </w:t>
      </w:r>
      <w:r w:rsidR="0070403E">
        <w:t>first sign</w:t>
      </w:r>
      <w:r w:rsidR="0038101D">
        <w:t>s</w:t>
      </w:r>
      <w:r w:rsidR="0070403E">
        <w:t xml:space="preserve"> of popular opposition to the investment provisions of the CETA, </w:t>
      </w:r>
      <w:r w:rsidR="0038101D">
        <w:t>Germany began having reservations.</w:t>
      </w:r>
      <w:r w:rsidR="0038101D">
        <w:rPr>
          <w:rStyle w:val="FootnoteReference"/>
        </w:rPr>
        <w:footnoteReference w:id="94"/>
      </w:r>
      <w:r w:rsidR="00B94AC0">
        <w:t xml:space="preserve"> Then in July, in an</w:t>
      </w:r>
      <w:r w:rsidR="00B60DB8">
        <w:t xml:space="preserve"> interview with a Canadian journalist, the Deputy German Economy Minister, Stefan Kapferer made it explicit:</w:t>
      </w:r>
    </w:p>
    <w:p w14:paraId="7F14A5CD" w14:textId="0F614B4C" w:rsidR="00B60DB8" w:rsidRDefault="00B60DB8" w:rsidP="003D0F2F">
      <w:pPr>
        <w:ind w:left="720"/>
      </w:pPr>
      <w:r w:rsidRPr="0038101D">
        <w:t>The German government does not view as necessary stipulations on investor protection, including on arbitration cases between investors and the state with states that guarantee a resilient legal system and sufficient legal protection from independen</w:t>
      </w:r>
      <w:r>
        <w:t>t national courts.</w:t>
      </w:r>
      <w:r>
        <w:rPr>
          <w:rStyle w:val="FootnoteReference"/>
        </w:rPr>
        <w:footnoteReference w:id="95"/>
      </w:r>
      <w:r w:rsidRPr="0038101D">
        <w:t> </w:t>
      </w:r>
    </w:p>
    <w:p w14:paraId="60002D8A" w14:textId="77777777" w:rsidR="00976E77" w:rsidRDefault="00976E77" w:rsidP="0038101D">
      <w:pPr>
        <w:spacing w:line="360" w:lineRule="auto"/>
        <w:ind w:firstLine="720"/>
      </w:pPr>
    </w:p>
    <w:p w14:paraId="42D8E821" w14:textId="0B51E809" w:rsidR="003D0F2F" w:rsidRDefault="00505F22" w:rsidP="003D0F2F">
      <w:pPr>
        <w:spacing w:line="360" w:lineRule="auto"/>
      </w:pPr>
      <w:r>
        <w:tab/>
      </w:r>
      <w:r w:rsidR="00976E77">
        <w:t>Indeed, growing German and European reticence about ISDS were responsible for investment being excluded from TTIP negotiations after March 2014.</w:t>
      </w:r>
      <w:r w:rsidR="003D0F2F">
        <w:t xml:space="preserve"> </w:t>
      </w:r>
      <w:r w:rsidR="00976E77">
        <w:t>One reading of this situation is that growing</w:t>
      </w:r>
      <w:r w:rsidR="00C62CE1">
        <w:t xml:space="preserve"> public angst—arguably driven exclusively by </w:t>
      </w:r>
      <w:r w:rsidR="00C62CE1" w:rsidRPr="00A91809">
        <w:rPr>
          <w:i/>
        </w:rPr>
        <w:t>Vattenfall</w:t>
      </w:r>
      <w:r w:rsidR="00C62CE1">
        <w:t>—prompted governments to re-think</w:t>
      </w:r>
      <w:r w:rsidR="00976E77">
        <w:t xml:space="preserve"> ISDS</w:t>
      </w:r>
      <w:r w:rsidR="003D093F">
        <w:t xml:space="preserve"> and to find a new approach to dealing with investment protection</w:t>
      </w:r>
      <w:r w:rsidR="00C62CE1">
        <w:t xml:space="preserve">. </w:t>
      </w:r>
      <w:r w:rsidR="003D0F2F">
        <w:t xml:space="preserve">Yet, </w:t>
      </w:r>
      <w:r>
        <w:t>the EU</w:t>
      </w:r>
      <w:r w:rsidR="003D0F2F">
        <w:t xml:space="preserve"> and the United States had already begun thinking seriously about the implications of the NAFTA and the </w:t>
      </w:r>
      <w:r w:rsidR="003D0F2F" w:rsidRPr="00A67B5D">
        <w:rPr>
          <w:i/>
        </w:rPr>
        <w:t xml:space="preserve">Energy Charter </w:t>
      </w:r>
      <w:r w:rsidR="002A0DBB" w:rsidRPr="00A67B5D">
        <w:rPr>
          <w:i/>
        </w:rPr>
        <w:t>Treaty</w:t>
      </w:r>
      <w:r w:rsidR="002A0DBB">
        <w:t xml:space="preserve"> </w:t>
      </w:r>
      <w:r w:rsidR="003D0F2F">
        <w:t>and may have been converging toward a common approach toward investment.</w:t>
      </w:r>
    </w:p>
    <w:p w14:paraId="3A9BE72A" w14:textId="7AAB3DA6" w:rsidR="008E1AA4" w:rsidRDefault="004E5949" w:rsidP="006535A5">
      <w:pPr>
        <w:spacing w:line="360" w:lineRule="auto"/>
        <w:ind w:firstLine="720"/>
      </w:pPr>
      <w:r>
        <w:t xml:space="preserve">In mid-2013, the European Union began formal TTIP negotiations with the United States. As part of the public consultation process, and due to the intensified interest in investment policy, the EU launched an online consultation specifically focused on investment. </w:t>
      </w:r>
      <w:r w:rsidR="001C6191">
        <w:t xml:space="preserve">Public input focused squarely on the same issues raised by the experience with the NAFTA; </w:t>
      </w:r>
      <w:r w:rsidR="00270BEF">
        <w:t>the scope of</w:t>
      </w:r>
      <w:r w:rsidR="00270BEF" w:rsidRPr="00270BEF">
        <w:t xml:space="preserve"> </w:t>
      </w:r>
      <w:r w:rsidR="00270BEF">
        <w:t>investment protection, n</w:t>
      </w:r>
      <w:r w:rsidR="00270BEF" w:rsidRPr="00270BEF">
        <w:t>on-discriminatory treatment for investors</w:t>
      </w:r>
      <w:r w:rsidR="00270BEF">
        <w:t>, “f</w:t>
      </w:r>
      <w:r w:rsidR="00270BEF" w:rsidRPr="00270BEF">
        <w:t>air and equitable</w:t>
      </w:r>
      <w:r w:rsidR="00270BEF">
        <w:t>”</w:t>
      </w:r>
      <w:r w:rsidR="00270BEF" w:rsidRPr="00270BEF">
        <w:t xml:space="preserve"> treatment</w:t>
      </w:r>
      <w:r w:rsidR="00270BEF">
        <w:t>, the definition of e</w:t>
      </w:r>
      <w:r w:rsidR="00270BEF" w:rsidRPr="00270BEF">
        <w:t>xpropriation</w:t>
      </w:r>
      <w:r w:rsidR="00270BEF">
        <w:t>, e</w:t>
      </w:r>
      <w:r w:rsidR="00270BEF" w:rsidRPr="00270BEF">
        <w:t>nsuring the</w:t>
      </w:r>
      <w:r w:rsidR="00270BEF">
        <w:t xml:space="preserve"> state’s</w:t>
      </w:r>
      <w:r w:rsidR="00270BEF" w:rsidRPr="00270BEF">
        <w:t xml:space="preserve"> </w:t>
      </w:r>
      <w:r w:rsidR="00270BEF">
        <w:t xml:space="preserve">right to regulate, transparency, relationship of ISDS to domestic law, the ethics and qualifications, limiting scope for frivolous cases, and </w:t>
      </w:r>
      <w:r w:rsidR="006535A5">
        <w:t xml:space="preserve">prospects for </w:t>
      </w:r>
      <w:r w:rsidR="00270BEF">
        <w:t>an appellate mechanism.</w:t>
      </w:r>
      <w:r w:rsidR="001C6191">
        <w:rPr>
          <w:rStyle w:val="FootnoteReference"/>
        </w:rPr>
        <w:footnoteReference w:id="96"/>
      </w:r>
    </w:p>
    <w:p w14:paraId="63AE17C5" w14:textId="77777777" w:rsidR="002B1750" w:rsidRDefault="00F70ADB" w:rsidP="00A67B5D">
      <w:pPr>
        <w:spacing w:line="360" w:lineRule="auto"/>
      </w:pPr>
      <w:r>
        <w:tab/>
        <w:t xml:space="preserve">In part due to the experience with several near-misses with Chapter 11 of the NAFTA, </w:t>
      </w:r>
      <w:r w:rsidR="00883553">
        <w:t xml:space="preserve">the United States </w:t>
      </w:r>
      <w:r w:rsidR="002B1750">
        <w:t>embarked on a review of its BIT Model in 2003-2004, the first such review since 1994 when that Model BIT was essentially inserted into the NAFTA</w:t>
      </w:r>
      <w:r w:rsidR="002B1750" w:rsidRPr="00B16355">
        <w:t>.</w:t>
      </w:r>
      <w:r w:rsidR="002B1750" w:rsidRPr="00B16355">
        <w:rPr>
          <w:rStyle w:val="FootnoteReference"/>
        </w:rPr>
        <w:footnoteReference w:id="97"/>
      </w:r>
      <w:r w:rsidR="002B1750" w:rsidRPr="00B16355">
        <w:t xml:space="preserve"> The result was a new U.S. BI</w:t>
      </w:r>
      <w:r w:rsidR="002B1750">
        <w:t>T model unveiled in 2004 which</w:t>
      </w:r>
      <w:r w:rsidR="002B1750" w:rsidRPr="00B16355">
        <w:t xml:space="preserve"> broadly “sought to reserve host state regulatory discretion by creating new exceptions to host state BIT obligations.”</w:t>
      </w:r>
      <w:r w:rsidR="002B1750" w:rsidRPr="00B16355">
        <w:rPr>
          <w:rStyle w:val="FootnoteReference"/>
        </w:rPr>
        <w:footnoteReference w:id="98"/>
      </w:r>
      <w:r w:rsidR="002B1750" w:rsidRPr="00B16355">
        <w:t xml:space="preserve"> The 2004 BIT did this in three main ways:</w:t>
      </w:r>
    </w:p>
    <w:p w14:paraId="0D95F1CD" w14:textId="28D2BBC2" w:rsidR="002B1750" w:rsidRPr="00B16355" w:rsidRDefault="002B1750" w:rsidP="002B1750">
      <w:pPr>
        <w:ind w:left="720"/>
      </w:pPr>
      <w:r w:rsidRPr="00B16355">
        <w:lastRenderedPageBreak/>
        <w:t>1) reducing the discretion that investor-state arbitral tribunals could exercise; clarifying the meaning of key concepts such as “minimum standard of treatment,”</w:t>
      </w:r>
      <w:r w:rsidRPr="00B16355">
        <w:rPr>
          <w:rStyle w:val="FootnoteReference"/>
        </w:rPr>
        <w:footnoteReference w:id="99"/>
      </w:r>
      <w:r w:rsidRPr="00B16355">
        <w:t xml:space="preserve">  “fair and equitable treatment,”</w:t>
      </w:r>
      <w:r w:rsidRPr="00B16355">
        <w:rPr>
          <w:rStyle w:val="FootnoteReference"/>
        </w:rPr>
        <w:footnoteReference w:id="100"/>
      </w:r>
      <w:r w:rsidRPr="00B16355">
        <w:t xml:space="preserve"> the scope of indirect expropriation.</w:t>
      </w:r>
      <w:r w:rsidRPr="00B16355">
        <w:rPr>
          <w:rStyle w:val="FootnoteReference"/>
        </w:rPr>
        <w:footnoteReference w:id="101"/>
      </w:r>
      <w:r w:rsidRPr="00B16355">
        <w:t xml:space="preserve"> </w:t>
      </w:r>
    </w:p>
    <w:p w14:paraId="4C6A0B9B" w14:textId="77777777" w:rsidR="002B1750" w:rsidRPr="00B16355" w:rsidRDefault="002B1750" w:rsidP="002B1750">
      <w:pPr>
        <w:ind w:left="720"/>
      </w:pPr>
    </w:p>
    <w:p w14:paraId="1B4C13C0" w14:textId="77777777" w:rsidR="002B1750" w:rsidRPr="00B16355" w:rsidRDefault="002B1750" w:rsidP="002B1750">
      <w:pPr>
        <w:ind w:left="720"/>
      </w:pPr>
      <w:r w:rsidRPr="00B16355">
        <w:t>2) by taking issues away from the tribunals entirely; language that provides for a retroactive intervention by state Parties to short-circuit cases beyond the intended scope of the BIT.</w:t>
      </w:r>
      <w:r w:rsidRPr="00B16355">
        <w:rPr>
          <w:rStyle w:val="FootnoteReference"/>
        </w:rPr>
        <w:footnoteReference w:id="102"/>
      </w:r>
    </w:p>
    <w:p w14:paraId="509E6971" w14:textId="77777777" w:rsidR="002B1750" w:rsidRPr="00B16355" w:rsidRDefault="002B1750" w:rsidP="002B1750">
      <w:pPr>
        <w:ind w:left="720"/>
      </w:pPr>
    </w:p>
    <w:p w14:paraId="683FF2D5" w14:textId="10CA9E98" w:rsidR="002B1750" w:rsidRPr="00B16355" w:rsidRDefault="002B1750" w:rsidP="002B1750">
      <w:pPr>
        <w:ind w:left="720"/>
      </w:pPr>
      <w:r w:rsidRPr="00B16355">
        <w:t>3) discouraging the use of investor-state arbitration; language insisting upon local remedy exhaustion before being eligible for arbitration,</w:t>
      </w:r>
      <w:r w:rsidRPr="00B16355">
        <w:rPr>
          <w:rStyle w:val="FootnoteReference"/>
        </w:rPr>
        <w:footnoteReference w:id="103"/>
      </w:r>
      <w:r w:rsidR="00703DBF">
        <w:t xml:space="preserve"> a three-</w:t>
      </w:r>
      <w:r w:rsidRPr="00B16355">
        <w:t>year statute of limitations,</w:t>
      </w:r>
      <w:r w:rsidRPr="00B16355">
        <w:rPr>
          <w:rStyle w:val="FootnoteReference"/>
        </w:rPr>
        <w:footnoteReference w:id="104"/>
      </w:r>
      <w:r w:rsidRPr="00B16355">
        <w:t xml:space="preserve"> and far greater transparency, including the allowance of amicus submissions.</w:t>
      </w:r>
      <w:r w:rsidRPr="00B16355">
        <w:rPr>
          <w:rStyle w:val="FootnoteReference"/>
        </w:rPr>
        <w:footnoteReference w:id="105"/>
      </w:r>
      <w:r w:rsidRPr="00B16355">
        <w:t xml:space="preserve"> </w:t>
      </w:r>
    </w:p>
    <w:p w14:paraId="7853CCF6" w14:textId="77777777" w:rsidR="002B1750" w:rsidRPr="00B16355" w:rsidRDefault="002B1750" w:rsidP="002B1750">
      <w:pPr>
        <w:spacing w:line="360" w:lineRule="auto"/>
      </w:pPr>
    </w:p>
    <w:p w14:paraId="706E713A" w14:textId="1668F80D" w:rsidR="008E7DC3" w:rsidRDefault="002B1750" w:rsidP="00D07578">
      <w:pPr>
        <w:spacing w:line="360" w:lineRule="auto"/>
      </w:pPr>
      <w:r w:rsidRPr="00B16355">
        <w:t>Moreover, the 2004 BIT provided for the prompt dismissal of frivolous claims,</w:t>
      </w:r>
      <w:r w:rsidRPr="00B16355">
        <w:rPr>
          <w:rStyle w:val="FootnoteReference"/>
        </w:rPr>
        <w:footnoteReference w:id="106"/>
      </w:r>
      <w:r w:rsidRPr="00B16355">
        <w:t xml:space="preserve"> and the prospect for an appellate mechanism to review arbitral decisions.</w:t>
      </w:r>
      <w:r w:rsidRPr="00B16355">
        <w:rPr>
          <w:rStyle w:val="FootnoteReference"/>
        </w:rPr>
        <w:footnoteReference w:id="107"/>
      </w:r>
      <w:r w:rsidRPr="00B16355">
        <w:t xml:space="preserve"> </w:t>
      </w:r>
      <w:r>
        <w:t>In 2009, the Obama Administration initiated another formal review of the U.S. BIT Mo</w:t>
      </w:r>
      <w:r w:rsidR="00D07578">
        <w:t>del in response to perceptions that linguistic weaknesses remained.</w:t>
      </w:r>
      <w:r w:rsidR="00D07578" w:rsidRPr="00B16355">
        <w:rPr>
          <w:rStyle w:val="FootnoteReference"/>
        </w:rPr>
        <w:footnoteReference w:id="108"/>
      </w:r>
      <w:r w:rsidR="00D05186">
        <w:t xml:space="preserve"> The sub-committee of the State Department’s Advisory Committee on International Economic Policy (ACIEP), charged with the review was</w:t>
      </w:r>
      <w:r w:rsidR="00D07578">
        <w:t xml:space="preserve"> aware of the </w:t>
      </w:r>
      <w:r w:rsidR="00D07578" w:rsidRPr="00A91809">
        <w:rPr>
          <w:i/>
        </w:rPr>
        <w:t>Vattenfall</w:t>
      </w:r>
      <w:r w:rsidR="00BC30D5" w:rsidRPr="00A91809">
        <w:rPr>
          <w:i/>
        </w:rPr>
        <w:t xml:space="preserve"> I</w:t>
      </w:r>
      <w:r w:rsidR="00D07578">
        <w:t xml:space="preserve"> case, as well as tobacco giant Phillip-Morris’ </w:t>
      </w:r>
      <w:r w:rsidR="00BC30D5">
        <w:t xml:space="preserve">2011 </w:t>
      </w:r>
      <w:r w:rsidR="00D07578">
        <w:t>attempt to sue Australia using the ISDS provisions of its 1993 Free Trade Agreement with Hong Kong.</w:t>
      </w:r>
      <w:r w:rsidR="00D07578">
        <w:rPr>
          <w:rStyle w:val="FootnoteReference"/>
        </w:rPr>
        <w:footnoteReference w:id="109"/>
      </w:r>
      <w:r w:rsidR="00D05186">
        <w:t xml:space="preserve"> Yet, the review committee made no fundamental changes to the basic </w:t>
      </w:r>
      <w:r w:rsidR="00BC30D5" w:rsidRPr="00B16355">
        <w:t>structure of ISDS in U.S. investment agreements in existence since prior to the NAFTA.</w:t>
      </w:r>
      <w:r w:rsidR="00BC30D5" w:rsidRPr="00B16355">
        <w:rPr>
          <w:rStyle w:val="FootnoteReference"/>
        </w:rPr>
        <w:footnoteReference w:id="110"/>
      </w:r>
      <w:r w:rsidR="00BC30D5" w:rsidRPr="00B16355">
        <w:t xml:space="preserve"> In spite of the recommendations of the ACIEP, the Obama Administration determined that “ISDS should remain a cornerstone feature </w:t>
      </w:r>
      <w:r w:rsidR="00BC30D5" w:rsidRPr="00B16355">
        <w:lastRenderedPageBreak/>
        <w:t>of the U.S. BIT model.”</w:t>
      </w:r>
      <w:r w:rsidR="00BC30D5" w:rsidRPr="00B16355">
        <w:rPr>
          <w:rStyle w:val="FootnoteReference"/>
        </w:rPr>
        <w:footnoteReference w:id="111"/>
      </w:r>
      <w:r w:rsidR="00BC30D5" w:rsidRPr="00B16355">
        <w:t xml:space="preserve"> Defenders of investor-state arbitration continue to argue that the overarching principle behind these mechanisms is the solidification of the rule of law as “mutual commitments of good governance,” but “…do not and should not preclude host states from pursuing a wide range of legitimate policy objectives.”</w:t>
      </w:r>
      <w:r w:rsidR="00BC30D5" w:rsidRPr="00B16355">
        <w:rPr>
          <w:rStyle w:val="FootnoteReference"/>
        </w:rPr>
        <w:t xml:space="preserve"> </w:t>
      </w:r>
      <w:r w:rsidR="00BC30D5" w:rsidRPr="00B16355">
        <w:rPr>
          <w:rStyle w:val="FootnoteReference"/>
        </w:rPr>
        <w:footnoteReference w:id="112"/>
      </w:r>
    </w:p>
    <w:p w14:paraId="76BB6ECB" w14:textId="3E3F5D29" w:rsidR="008E7DC3" w:rsidRPr="00B16355" w:rsidRDefault="008E7DC3" w:rsidP="00A67B5D">
      <w:pPr>
        <w:spacing w:line="360" w:lineRule="auto"/>
        <w:ind w:firstLine="720"/>
      </w:pPr>
      <w:r w:rsidRPr="00B16355">
        <w:t>In spite of growing global concerns about the implications of ISDS</w:t>
      </w:r>
      <w:r>
        <w:t>, and the recommendations of it</w:t>
      </w:r>
      <w:r w:rsidRPr="00B16355">
        <w:t>s own review of U.S. BIT language, the Obama Administration made virtually no changes to the way in which it pursued investment provisions in trade agreements;</w:t>
      </w:r>
      <w:r>
        <w:t xml:space="preserve"> the most important of which </w:t>
      </w:r>
      <w:r w:rsidR="00E91BCD">
        <w:t xml:space="preserve">would have </w:t>
      </w:r>
      <w:r>
        <w:t>bec</w:t>
      </w:r>
      <w:r w:rsidR="00E91BCD">
        <w:t>o</w:t>
      </w:r>
      <w:r w:rsidRPr="00B16355">
        <w:t xml:space="preserve">me the Trans Pacific Partnership (TPP). </w:t>
      </w:r>
    </w:p>
    <w:p w14:paraId="0F965A4F" w14:textId="79DD972C" w:rsidR="008E7DC3" w:rsidRPr="00B16355" w:rsidRDefault="008E7DC3" w:rsidP="008E7DC3">
      <w:pPr>
        <w:spacing w:line="360" w:lineRule="auto"/>
        <w:ind w:firstLine="720"/>
      </w:pPr>
      <w:r w:rsidRPr="00B16355">
        <w:t>When the text of the 12-nation TPP was released, in late 2015, Chapter 9 covering investment reads much like the 2004 BIT model; commitment to transparency (Art 9.23), amicus curiae submissions (Art 9.22.3), an admonition to seek a negotiated settlement (Art 9.17)</w:t>
      </w:r>
      <w:r w:rsidR="00E91BCD">
        <w:t xml:space="preserve"> </w:t>
      </w:r>
      <w:r w:rsidRPr="00B16355">
        <w:t>a commitment on the part of state Parties to intervene to prevent frivolous ISDS suits (9.22.4), and the explicit assertion of the state right to legislate in the public interest (Art 9.9.3 and 9.15).</w:t>
      </w:r>
      <w:r w:rsidRPr="00B16355">
        <w:rPr>
          <w:rStyle w:val="FootnoteReference"/>
        </w:rPr>
        <w:footnoteReference w:id="113"/>
      </w:r>
      <w:r w:rsidRPr="00B16355">
        <w:t xml:space="preserve"> </w:t>
      </w:r>
    </w:p>
    <w:p w14:paraId="16134638" w14:textId="77777777" w:rsidR="008E7DC3" w:rsidRPr="00B16355" w:rsidRDefault="008E7DC3" w:rsidP="008E7DC3">
      <w:pPr>
        <w:spacing w:line="360" w:lineRule="auto"/>
        <w:ind w:firstLine="720"/>
      </w:pPr>
      <w:r w:rsidRPr="00B16355">
        <w:t>That there were no significant changes to the investment provisions of the TPP did not go unnoticed by critics.</w:t>
      </w:r>
      <w:r w:rsidRPr="00B16355">
        <w:rPr>
          <w:rStyle w:val="FootnoteReference"/>
        </w:rPr>
        <w:footnoteReference w:id="114"/>
      </w:r>
      <w:r w:rsidRPr="00B16355">
        <w:t xml:space="preserve"> Yet the Obama White House defended the inclusion of ISDS along very traditional lines as critical to establishing and protecting the rule of law for American investment abroad.</w:t>
      </w:r>
      <w:r w:rsidRPr="00B16355">
        <w:rPr>
          <w:rStyle w:val="FootnoteReference"/>
        </w:rPr>
        <w:footnoteReference w:id="115"/>
      </w:r>
      <w:r w:rsidRPr="00B16355">
        <w:t xml:space="preserve"> Moreover, the White House argued, the United States had never lost an ISDS suit that had been filed against it and the concerns flowing from other suits raised by critics--</w:t>
      </w:r>
      <w:r w:rsidRPr="00A91809">
        <w:rPr>
          <w:i/>
        </w:rPr>
        <w:t>Phillip Morris</w:t>
      </w:r>
      <w:r w:rsidRPr="00B16355">
        <w:t xml:space="preserve"> and </w:t>
      </w:r>
      <w:r w:rsidRPr="00A91809">
        <w:rPr>
          <w:i/>
        </w:rPr>
        <w:t xml:space="preserve">Vattenfall </w:t>
      </w:r>
      <w:r w:rsidRPr="00B16355">
        <w:t>in particular—were not cause for concern.</w:t>
      </w:r>
      <w:r w:rsidRPr="00B16355">
        <w:rPr>
          <w:rStyle w:val="FootnoteReference"/>
        </w:rPr>
        <w:footnoteReference w:id="116"/>
      </w:r>
    </w:p>
    <w:p w14:paraId="7C798AB0" w14:textId="29BE2122" w:rsidR="008E7DC3" w:rsidRPr="00A53896" w:rsidRDefault="008E7DC3" w:rsidP="008E7DC3">
      <w:pPr>
        <w:spacing w:line="360" w:lineRule="auto"/>
        <w:ind w:firstLine="720"/>
      </w:pPr>
      <w:r w:rsidRPr="00A53896">
        <w:t>While the United States is evidently comfortable with ISDS for now, the same cannot be said for Europe</w:t>
      </w:r>
      <w:r w:rsidR="00E91BCD">
        <w:t>an Union</w:t>
      </w:r>
      <w:r w:rsidRPr="00A53896">
        <w:t xml:space="preserve">. Indeed, the EU demanded retroactive changes to the ISDS provisions </w:t>
      </w:r>
      <w:r w:rsidRPr="00A53896">
        <w:lastRenderedPageBreak/>
        <w:t>of the text of their trade and investment agreement with Canada (CETA).</w:t>
      </w:r>
      <w:r w:rsidRPr="00A53896">
        <w:rPr>
          <w:rStyle w:val="FootnoteReference"/>
        </w:rPr>
        <w:footnoteReference w:id="117"/>
      </w:r>
      <w:r w:rsidRPr="00A53896">
        <w:t xml:space="preserve"> Specifically, the CETA replaces investor-state arbitration with a state-centric form of dispute settlement anchored in the constitution of an investment Tribunal appointed by the CETA Joint Committee (government officials) to hear and resolve investment disputes.</w:t>
      </w:r>
      <w:r w:rsidRPr="00A53896">
        <w:rPr>
          <w:rStyle w:val="FootnoteReference"/>
        </w:rPr>
        <w:footnoteReference w:id="118"/>
      </w:r>
      <w:r w:rsidRPr="00A53896">
        <w:t xml:space="preserve"> Moreover, the CETA creates provision for a state-to-state appellate process to review Tribunal decisions and entrenches a commitment to establish a multilateral institution for the resolution of investment disputes.</w:t>
      </w:r>
      <w:r w:rsidRPr="00A53896">
        <w:rPr>
          <w:rStyle w:val="FootnoteReference"/>
        </w:rPr>
        <w:footnoteReference w:id="119"/>
      </w:r>
    </w:p>
    <w:p w14:paraId="5DCA728E" w14:textId="1FE5CFAE" w:rsidR="008E7DC3" w:rsidRPr="00A53896" w:rsidRDefault="008E7DC3" w:rsidP="008E7DC3">
      <w:pPr>
        <w:spacing w:line="360" w:lineRule="auto"/>
        <w:ind w:firstLine="720"/>
      </w:pPr>
      <w:r w:rsidRPr="00A53896">
        <w:t xml:space="preserve">The changes to CETA have made their way into EU investment </w:t>
      </w:r>
      <w:r w:rsidR="00E91BCD">
        <w:t xml:space="preserve">chapter </w:t>
      </w:r>
      <w:r w:rsidRPr="00A53896">
        <w:t xml:space="preserve">proposals within the </w:t>
      </w:r>
      <w:r w:rsidR="00E91BCD" w:rsidRPr="00A53896">
        <w:t>Trans-Atlantic</w:t>
      </w:r>
      <w:r w:rsidRPr="00A53896">
        <w:t xml:space="preserve"> Trade and Investment Partnership (TTIP) with the United States. Specifically, Sub-Section 4, Article 9 of the EU’s investment proposal posits the creation of an “Investment Court System” that includes a “Tribunal of First Instances” comprised of state-appointed judges that would hear claims and an appellate system (Article 10).</w:t>
      </w:r>
      <w:r w:rsidRPr="00A53896">
        <w:rPr>
          <w:rStyle w:val="FootnoteReference"/>
        </w:rPr>
        <w:footnoteReference w:id="120"/>
      </w:r>
      <w:r w:rsidRPr="00A53896">
        <w:t xml:space="preserve"> </w:t>
      </w:r>
    </w:p>
    <w:p w14:paraId="3A998BBA" w14:textId="602003E4" w:rsidR="008E7DC3" w:rsidRPr="00A53896" w:rsidRDefault="00A525BB" w:rsidP="008E7DC3">
      <w:pPr>
        <w:spacing w:line="360" w:lineRule="auto"/>
        <w:ind w:firstLine="720"/>
      </w:pPr>
      <w:r>
        <w:t>Hence, t</w:t>
      </w:r>
      <w:r w:rsidR="008E7DC3" w:rsidRPr="00A53896">
        <w:t>he Un</w:t>
      </w:r>
      <w:r>
        <w:t xml:space="preserve">ited States and </w:t>
      </w:r>
      <w:r w:rsidR="00E91BCD">
        <w:t>the EU</w:t>
      </w:r>
      <w:r>
        <w:t xml:space="preserve"> have</w:t>
      </w:r>
      <w:r w:rsidR="008E7DC3" w:rsidRPr="00A53896">
        <w:t xml:space="preserve"> different views on dispute settlement in the context of investment protections</w:t>
      </w:r>
      <w:r>
        <w:t xml:space="preserve">, but they are also views that appeared to be converging as the two sides made progress on the TTIP. </w:t>
      </w:r>
      <w:r w:rsidR="008E7DC3" w:rsidRPr="00A53896">
        <w:t>Although the U.S. accepted a state-to-state process in its 2005 agreement with Australia, subsequent reviews have reasserted traditional investor-state modes, including within the recentl</w:t>
      </w:r>
      <w:r w:rsidR="008A55C9">
        <w:t xml:space="preserve">y concluded TPP. </w:t>
      </w:r>
      <w:r w:rsidR="00E91BCD">
        <w:t xml:space="preserve">The EU </w:t>
      </w:r>
      <w:r w:rsidR="008A55C9">
        <w:t>, on the other hand</w:t>
      </w:r>
      <w:r w:rsidR="008E7DC3" w:rsidRPr="00A53896">
        <w:t xml:space="preserve">, has a clear preference for institutionalizing state-to-state adjudication. </w:t>
      </w:r>
    </w:p>
    <w:p w14:paraId="75E0BE14" w14:textId="39372EC7" w:rsidR="006E1361" w:rsidRDefault="006E1361" w:rsidP="00D07578">
      <w:pPr>
        <w:spacing w:line="360" w:lineRule="auto"/>
      </w:pPr>
      <w:r>
        <w:tab/>
        <w:t>While there is undoubtedly an interaction between government and stakeholders over investment, alarm bells over ISDS had been raised by the case histories of the NAFTA and Energy Charter</w:t>
      </w:r>
      <w:r w:rsidR="002A0DBB">
        <w:t xml:space="preserve"> Treaty</w:t>
      </w:r>
      <w:r>
        <w:t xml:space="preserve"> themselves, not members of civil society. Indeed, the timing of the investment reviews initiated in the way of specific cases against the states (U.S. and Germany) is less a consequence of civil society pressure than it is a byproduct of the way in which governments were scrambling to defend cases launched against them. </w:t>
      </w:r>
      <w:r w:rsidR="005125A3">
        <w:t xml:space="preserve">Public outrage over ISDS </w:t>
      </w:r>
      <w:r w:rsidR="005125A3">
        <w:lastRenderedPageBreak/>
        <w:t>came only at the 11</w:t>
      </w:r>
      <w:r w:rsidR="005125A3" w:rsidRPr="005125A3">
        <w:rPr>
          <w:vertAlign w:val="superscript"/>
        </w:rPr>
        <w:t>th</w:t>
      </w:r>
      <w:r w:rsidR="005125A3">
        <w:t xml:space="preserve"> hour, and largely after governments had already initiated processes to remedy perceived weaknesses. </w:t>
      </w:r>
    </w:p>
    <w:p w14:paraId="08506347" w14:textId="77777777" w:rsidR="006E1361" w:rsidRDefault="006E1361" w:rsidP="00D07578">
      <w:pPr>
        <w:spacing w:line="360" w:lineRule="auto"/>
      </w:pPr>
    </w:p>
    <w:p w14:paraId="32D4BBFF" w14:textId="15A1A1F7" w:rsidR="006E1361" w:rsidRPr="001F6FA6" w:rsidRDefault="001F6FA6" w:rsidP="002A0DBB">
      <w:pPr>
        <w:spacing w:line="360" w:lineRule="auto"/>
        <w:outlineLvl w:val="0"/>
        <w:rPr>
          <w:b/>
        </w:rPr>
      </w:pPr>
      <w:r w:rsidRPr="001F6FA6">
        <w:rPr>
          <w:b/>
        </w:rPr>
        <w:t>Conclusion</w:t>
      </w:r>
    </w:p>
    <w:p w14:paraId="74D47536" w14:textId="47B135A7" w:rsidR="001F6FA6" w:rsidRDefault="00953A89" w:rsidP="00D07578">
      <w:pPr>
        <w:spacing w:line="360" w:lineRule="auto"/>
      </w:pPr>
      <w:r>
        <w:tab/>
      </w:r>
      <w:r w:rsidR="002349DB">
        <w:t>The E</w:t>
      </w:r>
      <w:r>
        <w:t xml:space="preserve">U </w:t>
      </w:r>
      <w:r w:rsidR="002349DB">
        <w:t xml:space="preserve"> and U</w:t>
      </w:r>
      <w:r>
        <w:t>.</w:t>
      </w:r>
      <w:r w:rsidR="002349DB">
        <w:t>S</w:t>
      </w:r>
      <w:r>
        <w:t>. experiences</w:t>
      </w:r>
      <w:r w:rsidR="002349DB">
        <w:t xml:space="preserve"> with investment rules have many parallels, starting with near-simultaneous innovations to investment rules contained in regiona</w:t>
      </w:r>
      <w:r w:rsidR="00476CC3">
        <w:t>l integration schemes;</w:t>
      </w:r>
      <w:r>
        <w:t xml:space="preserve"> the </w:t>
      </w:r>
      <w:r w:rsidR="002349DB">
        <w:t xml:space="preserve">Energy Charter </w:t>
      </w:r>
      <w:r w:rsidR="00476CC3">
        <w:t xml:space="preserve">Treaty </w:t>
      </w:r>
      <w:r w:rsidR="002349DB">
        <w:t>and the North American Free Trade Agreement. The alarm bells set off by the investment provisions of these agreements rang nearly two decades apart, but</w:t>
      </w:r>
      <w:r w:rsidR="000C6063">
        <w:t xml:space="preserve"> centered on</w:t>
      </w:r>
      <w:r w:rsidR="002349DB">
        <w:t xml:space="preserve"> almost exactly the same issues; definitional debates over “expropriation” or “minimum standards of treatment,” concerns about ISDS in seemingly creating a parallel legal system for foreigners, and of course, preserving the state’s power to </w:t>
      </w:r>
      <w:r w:rsidR="00CE5D75">
        <w:t xml:space="preserve">regulate in the public interest. Moreover, both the NAFTA and </w:t>
      </w:r>
      <w:r w:rsidR="002A0DBB">
        <w:t>Energy Charter Treaty</w:t>
      </w:r>
      <w:r w:rsidR="00A37F1A">
        <w:t xml:space="preserve"> </w:t>
      </w:r>
      <w:r w:rsidR="00CE5D75">
        <w:t xml:space="preserve">amounted to experiments in the application of investment rules to dyads of developed economies that for decades generated no controversy when applied as BITs to developing countries. </w:t>
      </w:r>
      <w:r w:rsidR="00BB1C29">
        <w:t xml:space="preserve">The experiences on both sides of the Atlantic have many parallels. And, it would be easy to conclude that the </w:t>
      </w:r>
      <w:r>
        <w:t xml:space="preserve">EU and U.S. </w:t>
      </w:r>
      <w:r w:rsidR="00BB1C29">
        <w:t>responses  have generated divergent responses that would have created an impasse in the TTIP</w:t>
      </w:r>
      <w:r w:rsidR="00C570D9">
        <w:t xml:space="preserve"> negotiations</w:t>
      </w:r>
      <w:r w:rsidR="00BB1C29">
        <w:t xml:space="preserve">; the U.S. sticking with (a reformed) ISDS, </w:t>
      </w:r>
      <w:r>
        <w:t xml:space="preserve">the EU </w:t>
      </w:r>
      <w:r w:rsidR="00BB1C29">
        <w:t xml:space="preserve"> pushing for the institutionalization of an investment court system.  </w:t>
      </w:r>
    </w:p>
    <w:p w14:paraId="1F7C9D83" w14:textId="74642DCB" w:rsidR="00BB1C29" w:rsidRDefault="006B233D" w:rsidP="00BB1C29">
      <w:pPr>
        <w:spacing w:line="360" w:lineRule="auto"/>
      </w:pPr>
      <w:r>
        <w:tab/>
        <w:t xml:space="preserve">When ISDS in the NAFTA began generating anxieties, both governments and civil society took note. </w:t>
      </w:r>
      <w:r w:rsidR="005E7B03">
        <w:t>Those anxieties contributed to the civil society opposition to, and government divisions over, the Multilateral Agreement on Investment and its failure in 1998. However, the perceived weaknesses in the NAFTA were soon</w:t>
      </w:r>
      <w:r>
        <w:t xml:space="preserve"> addressed by</w:t>
      </w:r>
      <w:r w:rsidR="00126508">
        <w:t xml:space="preserve"> government</w:t>
      </w:r>
      <w:r w:rsidR="00953A89">
        <w:t>s</w:t>
      </w:r>
      <w:r w:rsidR="00126508">
        <w:t xml:space="preserve"> in the form of</w:t>
      </w:r>
      <w:r>
        <w:t xml:space="preserve"> both a NAFTA Commission “interpretation” in July 2001 and </w:t>
      </w:r>
      <w:r w:rsidR="00126508">
        <w:t>then</w:t>
      </w:r>
      <w:r>
        <w:t xml:space="preserve"> a major overhaul of the U.S. Model BIT in 2004</w:t>
      </w:r>
      <w:r w:rsidR="000E1161">
        <w:t xml:space="preserve">, then incorporated into subsequent U.S. trade agreements. </w:t>
      </w:r>
      <w:r w:rsidR="008A55C9" w:rsidRPr="00A67B5D">
        <w:t>A similar experiential path beg</w:t>
      </w:r>
      <w:r w:rsidR="00C570D9" w:rsidRPr="00A67B5D">
        <w:t>a</w:t>
      </w:r>
      <w:r w:rsidR="008A55C9" w:rsidRPr="00A67B5D">
        <w:t xml:space="preserve">n in Europe in 2009 with </w:t>
      </w:r>
      <w:r w:rsidR="008A55C9" w:rsidRPr="00A67B5D">
        <w:rPr>
          <w:i/>
        </w:rPr>
        <w:t>Vattenfall I</w:t>
      </w:r>
      <w:r w:rsidR="008A55C9" w:rsidRPr="00A67B5D">
        <w:t xml:space="preserve"> would not necessarily</w:t>
      </w:r>
      <w:r w:rsidR="00BB1C29" w:rsidRPr="00A67B5D">
        <w:t xml:space="preserve"> have meant the demise of investment within TTIP in the same way that doomed the MAI.</w:t>
      </w:r>
      <w:r w:rsidR="00BB1C29">
        <w:t xml:space="preserve"> For one, the TTIP is far more than an investment agreement. However, the shock of the Energy Charter’s provisions being used by a developed country multinational</w:t>
      </w:r>
      <w:r w:rsidR="00C570D9">
        <w:t>s</w:t>
      </w:r>
      <w:r w:rsidR="00BB1C29">
        <w:t xml:space="preserve"> to challenge a developed state’s regulatory capacity did threaten Europe’s willingness to include ISDS in future agreements. </w:t>
      </w:r>
      <w:r w:rsidR="00DB1B86">
        <w:t xml:space="preserve">In the midst of negotiations with Canada, heavy with precedent setting implications for future negotiations with the United States, Europe moved the goal-posts and pushed for linguistic </w:t>
      </w:r>
      <w:r w:rsidR="00A05C26">
        <w:t xml:space="preserve">changes to investment </w:t>
      </w:r>
      <w:r w:rsidR="00A05C26">
        <w:lastRenderedPageBreak/>
        <w:t>they ho</w:t>
      </w:r>
      <w:r w:rsidR="000F7DC3">
        <w:t>ped would address many of the same concerns confronted by the United States.</w:t>
      </w:r>
      <w:r w:rsidR="005E7B03">
        <w:t xml:space="preserve"> Like the United States within the NAFTA, European governments similarly moved to rebalance the terms of investment in negotiated agreements. </w:t>
      </w:r>
      <w:r w:rsidR="00BD36E9">
        <w:t>Indeed, that experience was over the same issues and initiated changes that have brought both sides of the Atlantic far closer to each other today than they were when the MAI collapsed in 1998.</w:t>
      </w:r>
    </w:p>
    <w:p w14:paraId="66354BF0" w14:textId="77777777" w:rsidR="003C2333" w:rsidRDefault="003C2333" w:rsidP="00BB1C29">
      <w:pPr>
        <w:spacing w:line="360" w:lineRule="auto"/>
      </w:pPr>
    </w:p>
    <w:p w14:paraId="25AF21B6" w14:textId="77777777" w:rsidR="003C2333" w:rsidRDefault="003C2333" w:rsidP="00BB1C29">
      <w:pPr>
        <w:spacing w:line="360" w:lineRule="auto"/>
      </w:pPr>
    </w:p>
    <w:p w14:paraId="4AAD0FB2" w14:textId="77777777" w:rsidR="003C2333" w:rsidRDefault="003C2333" w:rsidP="00BB1C29">
      <w:pPr>
        <w:spacing w:line="360" w:lineRule="auto"/>
      </w:pPr>
    </w:p>
    <w:p w14:paraId="6C3FEB90" w14:textId="77777777" w:rsidR="003C2333" w:rsidRDefault="003C2333" w:rsidP="00BB1C29">
      <w:pPr>
        <w:spacing w:line="360" w:lineRule="auto"/>
      </w:pPr>
    </w:p>
    <w:p w14:paraId="6B3CF396" w14:textId="77777777" w:rsidR="003C2333" w:rsidRDefault="003C2333" w:rsidP="00BB1C29">
      <w:pPr>
        <w:spacing w:line="360" w:lineRule="auto"/>
      </w:pPr>
    </w:p>
    <w:p w14:paraId="1C59C080" w14:textId="77777777" w:rsidR="003C2333" w:rsidRDefault="003C2333" w:rsidP="00BB1C29">
      <w:pPr>
        <w:spacing w:line="360" w:lineRule="auto"/>
      </w:pPr>
    </w:p>
    <w:p w14:paraId="3A3A9D7B" w14:textId="77777777" w:rsidR="003C2333" w:rsidRDefault="003C2333" w:rsidP="00BB1C29">
      <w:pPr>
        <w:spacing w:line="360" w:lineRule="auto"/>
      </w:pPr>
    </w:p>
    <w:p w14:paraId="75B84D40" w14:textId="77777777" w:rsidR="003C2333" w:rsidRDefault="003C2333" w:rsidP="00BB1C29">
      <w:pPr>
        <w:spacing w:line="360" w:lineRule="auto"/>
      </w:pPr>
    </w:p>
    <w:p w14:paraId="3A787AB9" w14:textId="77777777" w:rsidR="003C2333" w:rsidRDefault="003C2333" w:rsidP="00BB1C29">
      <w:pPr>
        <w:spacing w:line="360" w:lineRule="auto"/>
      </w:pPr>
    </w:p>
    <w:p w14:paraId="3B08E964" w14:textId="77777777" w:rsidR="003C2333" w:rsidRDefault="003C2333" w:rsidP="00BB1C29">
      <w:pPr>
        <w:spacing w:line="360" w:lineRule="auto"/>
      </w:pPr>
    </w:p>
    <w:p w14:paraId="5FEE8787" w14:textId="77777777" w:rsidR="003C2333" w:rsidRDefault="003C2333" w:rsidP="00BB1C29">
      <w:pPr>
        <w:spacing w:line="360" w:lineRule="auto"/>
      </w:pPr>
    </w:p>
    <w:p w14:paraId="5CD23CF4" w14:textId="77777777" w:rsidR="003C2333" w:rsidRDefault="003C2333" w:rsidP="00BB1C29">
      <w:pPr>
        <w:spacing w:line="360" w:lineRule="auto"/>
      </w:pPr>
    </w:p>
    <w:p w14:paraId="08794099" w14:textId="77777777" w:rsidR="003C2333" w:rsidRDefault="003C2333" w:rsidP="00BB1C29">
      <w:pPr>
        <w:spacing w:line="360" w:lineRule="auto"/>
      </w:pPr>
    </w:p>
    <w:p w14:paraId="2EAFECE6" w14:textId="77777777" w:rsidR="003C2333" w:rsidRDefault="003C2333" w:rsidP="00BB1C29">
      <w:pPr>
        <w:spacing w:line="360" w:lineRule="auto"/>
      </w:pPr>
    </w:p>
    <w:p w14:paraId="2E1FF9B0" w14:textId="77777777" w:rsidR="003C2333" w:rsidRDefault="003C2333" w:rsidP="00BB1C29">
      <w:pPr>
        <w:spacing w:line="360" w:lineRule="auto"/>
      </w:pPr>
    </w:p>
    <w:p w14:paraId="1BBAAF61" w14:textId="77777777" w:rsidR="003C2333" w:rsidRDefault="003C2333" w:rsidP="00BB1C29">
      <w:pPr>
        <w:spacing w:line="360" w:lineRule="auto"/>
      </w:pPr>
    </w:p>
    <w:p w14:paraId="63E6D8EE" w14:textId="77777777" w:rsidR="003C2333" w:rsidRDefault="003C2333" w:rsidP="00BB1C29">
      <w:pPr>
        <w:spacing w:line="360" w:lineRule="auto"/>
      </w:pPr>
    </w:p>
    <w:p w14:paraId="2A1D013F" w14:textId="77777777" w:rsidR="003C2333" w:rsidRDefault="003C2333" w:rsidP="00BB1C29">
      <w:pPr>
        <w:spacing w:line="360" w:lineRule="auto"/>
      </w:pPr>
    </w:p>
    <w:p w14:paraId="35C59F1C" w14:textId="77777777" w:rsidR="003C2333" w:rsidRDefault="003C2333" w:rsidP="00BB1C29">
      <w:pPr>
        <w:spacing w:line="360" w:lineRule="auto"/>
      </w:pPr>
    </w:p>
    <w:p w14:paraId="7975CB1D" w14:textId="77777777" w:rsidR="003C2333" w:rsidRDefault="003C2333" w:rsidP="00BB1C29">
      <w:pPr>
        <w:spacing w:line="360" w:lineRule="auto"/>
      </w:pPr>
    </w:p>
    <w:p w14:paraId="36FDFE7D" w14:textId="77777777" w:rsidR="003C2333" w:rsidRDefault="003C2333" w:rsidP="00BB1C29">
      <w:pPr>
        <w:spacing w:line="360" w:lineRule="auto"/>
      </w:pPr>
    </w:p>
    <w:p w14:paraId="4918CB10" w14:textId="77777777" w:rsidR="003C2333" w:rsidRDefault="003C2333" w:rsidP="00BB1C29">
      <w:pPr>
        <w:spacing w:line="360" w:lineRule="auto"/>
      </w:pPr>
    </w:p>
    <w:p w14:paraId="573313DB" w14:textId="77777777" w:rsidR="003C2333" w:rsidRDefault="003C2333" w:rsidP="00BB1C29">
      <w:pPr>
        <w:spacing w:line="360" w:lineRule="auto"/>
      </w:pPr>
    </w:p>
    <w:p w14:paraId="39F9C75E" w14:textId="77777777" w:rsidR="007B3C6C" w:rsidRDefault="007B3C6C" w:rsidP="007B3C6C"/>
    <w:p w14:paraId="2EED3B7A" w14:textId="77777777" w:rsidR="007B3C6C" w:rsidRDefault="007B3C6C" w:rsidP="007B3C6C"/>
    <w:p w14:paraId="28C1C8FF" w14:textId="77777777" w:rsidR="00A67B5D" w:rsidRDefault="00A67B5D" w:rsidP="007B3C6C">
      <w:pPr>
        <w:jc w:val="center"/>
        <w:rPr>
          <w:rFonts w:ascii="Times" w:hAnsi="Times"/>
          <w:b/>
          <w:sz w:val="20"/>
          <w:szCs w:val="20"/>
        </w:rPr>
      </w:pPr>
    </w:p>
    <w:p w14:paraId="0291162E" w14:textId="77777777" w:rsidR="00A67B5D" w:rsidRDefault="00A67B5D" w:rsidP="007B3C6C">
      <w:pPr>
        <w:jc w:val="center"/>
        <w:rPr>
          <w:rFonts w:ascii="Times" w:hAnsi="Times"/>
          <w:b/>
          <w:sz w:val="20"/>
          <w:szCs w:val="20"/>
        </w:rPr>
      </w:pPr>
    </w:p>
    <w:p w14:paraId="59792E39" w14:textId="77777777" w:rsidR="00A67B5D" w:rsidRDefault="00A67B5D" w:rsidP="007B3C6C">
      <w:pPr>
        <w:jc w:val="center"/>
        <w:rPr>
          <w:rFonts w:ascii="Times" w:hAnsi="Times"/>
          <w:b/>
          <w:sz w:val="20"/>
          <w:szCs w:val="20"/>
        </w:rPr>
      </w:pPr>
    </w:p>
    <w:p w14:paraId="3E6227BB" w14:textId="41BF0D97" w:rsidR="007B3C6C" w:rsidRPr="00A53896" w:rsidRDefault="007B3C6C" w:rsidP="007B3C6C">
      <w:pPr>
        <w:jc w:val="center"/>
        <w:rPr>
          <w:rFonts w:ascii="Times" w:hAnsi="Times"/>
          <w:b/>
          <w:sz w:val="20"/>
          <w:szCs w:val="20"/>
        </w:rPr>
      </w:pPr>
      <w:r>
        <w:rPr>
          <w:rFonts w:ascii="Times" w:hAnsi="Times"/>
          <w:b/>
          <w:sz w:val="20"/>
          <w:szCs w:val="20"/>
        </w:rPr>
        <w:lastRenderedPageBreak/>
        <w:t>Table 1</w:t>
      </w:r>
    </w:p>
    <w:p w14:paraId="2319BABC" w14:textId="77777777" w:rsidR="002008F9" w:rsidRPr="00A53896" w:rsidRDefault="002008F9" w:rsidP="002008F9">
      <w:pPr>
        <w:jc w:val="center"/>
        <w:rPr>
          <w:rFonts w:ascii="Times" w:hAnsi="Times"/>
          <w:b/>
          <w:sz w:val="20"/>
          <w:szCs w:val="20"/>
        </w:rPr>
      </w:pPr>
      <w:r w:rsidRPr="00A53896">
        <w:rPr>
          <w:rFonts w:ascii="Times" w:hAnsi="Times"/>
          <w:b/>
          <w:sz w:val="20"/>
          <w:szCs w:val="20"/>
        </w:rPr>
        <w:t>U.S. Flows of</w:t>
      </w:r>
      <w:r>
        <w:rPr>
          <w:rFonts w:ascii="Times" w:hAnsi="Times"/>
          <w:b/>
          <w:sz w:val="20"/>
          <w:szCs w:val="20"/>
        </w:rPr>
        <w:t xml:space="preserve"> Foreign Direct Investment, 2015</w:t>
      </w:r>
    </w:p>
    <w:p w14:paraId="2D1D72F9" w14:textId="77777777" w:rsidR="002008F9" w:rsidRPr="00A53896" w:rsidRDefault="002008F9" w:rsidP="002008F9">
      <w:pPr>
        <w:jc w:val="center"/>
        <w:rPr>
          <w:rFonts w:ascii="Times" w:hAnsi="Times"/>
          <w:sz w:val="20"/>
          <w:szCs w:val="20"/>
        </w:rPr>
      </w:pPr>
      <w:r w:rsidRPr="00A53896">
        <w:rPr>
          <w:rFonts w:ascii="Times" w:hAnsi="Times"/>
          <w:sz w:val="20"/>
          <w:szCs w:val="20"/>
        </w:rPr>
        <w:t>(Millions of U.S. dollars)</w:t>
      </w:r>
    </w:p>
    <w:p w14:paraId="7718866D" w14:textId="77777777" w:rsidR="007B3C6C" w:rsidRPr="00A53896" w:rsidRDefault="007B3C6C" w:rsidP="007B3C6C">
      <w:pPr>
        <w:jc w:val="center"/>
        <w:rPr>
          <w:rFonts w:ascii="Times" w:hAnsi="Times"/>
          <w:sz w:val="20"/>
          <w:szCs w:val="20"/>
        </w:rPr>
      </w:pPr>
    </w:p>
    <w:p w14:paraId="02EA0C6C" w14:textId="77777777" w:rsidR="007B3C6C" w:rsidRPr="00A53896" w:rsidRDefault="007B3C6C" w:rsidP="007B3C6C">
      <w:pPr>
        <w:jc w:val="center"/>
        <w:rPr>
          <w:rFonts w:ascii="Times" w:hAnsi="Times"/>
          <w:sz w:val="20"/>
          <w:szCs w:val="20"/>
        </w:rPr>
      </w:pPr>
      <w:r w:rsidRPr="00A53896">
        <w:rPr>
          <w:rFonts w:ascii="Times" w:hAnsi="Times"/>
          <w:sz w:val="20"/>
          <w:szCs w:val="20"/>
          <w:u w:val="single"/>
        </w:rPr>
        <w:t xml:space="preserve">Incoming FDI </w:t>
      </w:r>
      <w:r w:rsidRPr="00A53896">
        <w:rPr>
          <w:rFonts w:ascii="Times" w:hAnsi="Times"/>
          <w:sz w:val="20"/>
          <w:szCs w:val="20"/>
        </w:rPr>
        <w:tab/>
      </w:r>
      <w:r w:rsidRPr="00A53896">
        <w:rPr>
          <w:rFonts w:ascii="Times" w:hAnsi="Times"/>
          <w:sz w:val="20"/>
          <w:szCs w:val="20"/>
        </w:rPr>
        <w:tab/>
      </w:r>
      <w:r w:rsidRPr="00A53896">
        <w:rPr>
          <w:rFonts w:ascii="Times" w:hAnsi="Times"/>
          <w:sz w:val="20"/>
          <w:szCs w:val="20"/>
        </w:rPr>
        <w:tab/>
      </w:r>
      <w:r w:rsidRPr="00A53896">
        <w:rPr>
          <w:rFonts w:ascii="Times" w:hAnsi="Times"/>
          <w:sz w:val="20"/>
          <w:szCs w:val="20"/>
        </w:rPr>
        <w:tab/>
      </w:r>
      <w:r w:rsidRPr="00A53896">
        <w:rPr>
          <w:rFonts w:ascii="Times" w:hAnsi="Times"/>
          <w:sz w:val="20"/>
          <w:szCs w:val="20"/>
        </w:rPr>
        <w:tab/>
      </w:r>
      <w:r w:rsidRPr="00A53896">
        <w:rPr>
          <w:rFonts w:ascii="Times" w:hAnsi="Times"/>
          <w:sz w:val="20"/>
          <w:szCs w:val="20"/>
          <w:u w:val="single"/>
        </w:rPr>
        <w:t>FDI Outflows</w:t>
      </w:r>
    </w:p>
    <w:p w14:paraId="67EB326B" w14:textId="77777777" w:rsidR="007B3C6C" w:rsidRPr="00A53896" w:rsidRDefault="007B3C6C" w:rsidP="007B3C6C">
      <w:pPr>
        <w:rPr>
          <w:rFonts w:ascii="Times" w:hAnsi="Time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9"/>
        <w:gridCol w:w="4671"/>
      </w:tblGrid>
      <w:tr w:rsidR="002008F9" w:rsidRPr="00A53896" w14:paraId="44564402" w14:textId="77777777" w:rsidTr="00A67B5D">
        <w:trPr>
          <w:trHeight w:val="3746"/>
        </w:trPr>
        <w:tc>
          <w:tcPr>
            <w:tcW w:w="4679" w:type="dxa"/>
          </w:tcPr>
          <w:p w14:paraId="0B6D898F" w14:textId="77777777" w:rsidR="002008F9" w:rsidRPr="00A53896" w:rsidRDefault="002008F9" w:rsidP="001022B2">
            <w:pPr>
              <w:rPr>
                <w:rFonts w:ascii="Times" w:hAnsi="Times"/>
                <w:sz w:val="20"/>
                <w:szCs w:val="20"/>
              </w:rPr>
            </w:pPr>
            <w:r w:rsidRPr="00A53896">
              <w:rPr>
                <w:rFonts w:ascii="Times" w:hAnsi="Times"/>
                <w:sz w:val="20"/>
                <w:szCs w:val="20"/>
              </w:rPr>
              <w:t>United Kingdom</w:t>
            </w:r>
            <w:r w:rsidRPr="00A53896">
              <w:rPr>
                <w:rFonts w:ascii="Times" w:hAnsi="Times"/>
                <w:sz w:val="20"/>
                <w:szCs w:val="20"/>
              </w:rPr>
              <w:tab/>
            </w:r>
            <w:r>
              <w:rPr>
                <w:rFonts w:ascii="Times" w:hAnsi="Times"/>
                <w:sz w:val="20"/>
                <w:szCs w:val="20"/>
              </w:rPr>
              <w:t xml:space="preserve">              483, 841</w:t>
            </w:r>
            <w:r w:rsidRPr="00A53896">
              <w:rPr>
                <w:rFonts w:ascii="Times" w:hAnsi="Times"/>
                <w:sz w:val="20"/>
                <w:szCs w:val="20"/>
              </w:rPr>
              <w:t xml:space="preserve">      OECD</w:t>
            </w:r>
            <w:r w:rsidRPr="00A53896">
              <w:rPr>
                <w:rFonts w:ascii="Times" w:hAnsi="Times"/>
                <w:sz w:val="20"/>
                <w:szCs w:val="20"/>
              </w:rPr>
              <w:tab/>
            </w:r>
          </w:p>
          <w:p w14:paraId="0442F68A" w14:textId="77777777" w:rsidR="002008F9" w:rsidRPr="00A53896" w:rsidRDefault="002008F9" w:rsidP="001022B2">
            <w:pPr>
              <w:rPr>
                <w:rFonts w:ascii="Times" w:hAnsi="Times"/>
                <w:sz w:val="20"/>
                <w:szCs w:val="20"/>
              </w:rPr>
            </w:pPr>
            <w:r>
              <w:rPr>
                <w:rFonts w:ascii="Times" w:hAnsi="Times"/>
                <w:sz w:val="20"/>
                <w:szCs w:val="20"/>
              </w:rPr>
              <w:t>Japan</w:t>
            </w:r>
            <w:r>
              <w:rPr>
                <w:rFonts w:ascii="Times" w:hAnsi="Times"/>
                <w:sz w:val="20"/>
                <w:szCs w:val="20"/>
              </w:rPr>
              <w:tab/>
            </w:r>
            <w:r>
              <w:rPr>
                <w:rFonts w:ascii="Times" w:hAnsi="Times"/>
                <w:sz w:val="20"/>
                <w:szCs w:val="20"/>
              </w:rPr>
              <w:tab/>
            </w:r>
            <w:r>
              <w:rPr>
                <w:rFonts w:ascii="Times" w:hAnsi="Times"/>
                <w:sz w:val="20"/>
                <w:szCs w:val="20"/>
              </w:rPr>
              <w:tab/>
              <w:t>411, 201</w:t>
            </w:r>
            <w:r w:rsidRPr="00A53896">
              <w:rPr>
                <w:rFonts w:ascii="Times" w:hAnsi="Times"/>
                <w:sz w:val="20"/>
                <w:szCs w:val="20"/>
              </w:rPr>
              <w:t xml:space="preserve">      OECD</w:t>
            </w:r>
          </w:p>
          <w:p w14:paraId="17F8B978" w14:textId="77777777" w:rsidR="002008F9" w:rsidRDefault="002008F9" w:rsidP="001022B2">
            <w:pPr>
              <w:tabs>
                <w:tab w:val="center" w:pos="2232"/>
              </w:tabs>
              <w:rPr>
                <w:rFonts w:ascii="Times" w:hAnsi="Times"/>
                <w:sz w:val="20"/>
                <w:szCs w:val="20"/>
              </w:rPr>
            </w:pPr>
            <w:r>
              <w:rPr>
                <w:rFonts w:ascii="Times" w:hAnsi="Times"/>
                <w:sz w:val="20"/>
                <w:szCs w:val="20"/>
              </w:rPr>
              <w:t>Luxembourg</w:t>
            </w:r>
            <w:r>
              <w:rPr>
                <w:rFonts w:ascii="Times" w:hAnsi="Times"/>
                <w:sz w:val="20"/>
                <w:szCs w:val="20"/>
              </w:rPr>
              <w:tab/>
              <w:t xml:space="preserve">                       328, 400      OECD</w:t>
            </w:r>
          </w:p>
          <w:p w14:paraId="3BEFDFF3" w14:textId="77777777" w:rsidR="002008F9" w:rsidRPr="00A53896" w:rsidRDefault="002008F9" w:rsidP="001022B2">
            <w:pPr>
              <w:rPr>
                <w:rFonts w:ascii="Times" w:hAnsi="Times"/>
                <w:sz w:val="20"/>
                <w:szCs w:val="20"/>
              </w:rPr>
            </w:pPr>
            <w:r w:rsidRPr="00A53896">
              <w:rPr>
                <w:rFonts w:ascii="Times" w:hAnsi="Times"/>
                <w:sz w:val="20"/>
                <w:szCs w:val="20"/>
              </w:rPr>
              <w:t>Netherlands</w:t>
            </w:r>
            <w:r w:rsidRPr="00A53896">
              <w:rPr>
                <w:rFonts w:ascii="Times" w:hAnsi="Times"/>
                <w:sz w:val="20"/>
                <w:szCs w:val="20"/>
              </w:rPr>
              <w:tab/>
            </w:r>
            <w:r w:rsidRPr="00A53896">
              <w:rPr>
                <w:rFonts w:ascii="Times" w:hAnsi="Times"/>
                <w:sz w:val="20"/>
                <w:szCs w:val="20"/>
              </w:rPr>
              <w:tab/>
            </w:r>
            <w:r>
              <w:rPr>
                <w:rFonts w:ascii="Times" w:hAnsi="Times"/>
                <w:sz w:val="20"/>
                <w:szCs w:val="20"/>
              </w:rPr>
              <w:t>282, 525</w:t>
            </w:r>
            <w:r w:rsidRPr="00A53896">
              <w:rPr>
                <w:rFonts w:ascii="Times" w:hAnsi="Times"/>
                <w:sz w:val="20"/>
                <w:szCs w:val="20"/>
              </w:rPr>
              <w:t xml:space="preserve">      OECD</w:t>
            </w:r>
          </w:p>
          <w:p w14:paraId="7C6F3F52" w14:textId="77777777" w:rsidR="002008F9" w:rsidRPr="00A53896" w:rsidRDefault="002008F9" w:rsidP="001022B2">
            <w:pPr>
              <w:rPr>
                <w:rFonts w:ascii="Times" w:hAnsi="Times"/>
                <w:sz w:val="20"/>
                <w:szCs w:val="20"/>
              </w:rPr>
            </w:pPr>
            <w:r>
              <w:rPr>
                <w:rFonts w:ascii="Times" w:hAnsi="Times"/>
                <w:sz w:val="20"/>
                <w:szCs w:val="20"/>
              </w:rPr>
              <w:t>Canada</w:t>
            </w:r>
            <w:r>
              <w:rPr>
                <w:rFonts w:ascii="Times" w:hAnsi="Times"/>
                <w:sz w:val="20"/>
                <w:szCs w:val="20"/>
              </w:rPr>
              <w:tab/>
            </w:r>
            <w:r>
              <w:rPr>
                <w:rFonts w:ascii="Times" w:hAnsi="Times"/>
                <w:sz w:val="20"/>
                <w:szCs w:val="20"/>
              </w:rPr>
              <w:tab/>
            </w:r>
            <w:r>
              <w:rPr>
                <w:rFonts w:ascii="Times" w:hAnsi="Times"/>
                <w:sz w:val="20"/>
                <w:szCs w:val="20"/>
              </w:rPr>
              <w:tab/>
              <w:t>268, 972</w:t>
            </w:r>
            <w:r w:rsidRPr="00A53896">
              <w:rPr>
                <w:rFonts w:ascii="Times" w:hAnsi="Times"/>
                <w:sz w:val="20"/>
                <w:szCs w:val="20"/>
              </w:rPr>
              <w:t xml:space="preserve">      OECD</w:t>
            </w:r>
          </w:p>
          <w:p w14:paraId="52DD2905"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Switzerland</w:t>
            </w:r>
            <w:r w:rsidRPr="00A53896">
              <w:rPr>
                <w:rFonts w:ascii="Times" w:hAnsi="Times"/>
                <w:sz w:val="20"/>
                <w:szCs w:val="20"/>
              </w:rPr>
              <w:tab/>
              <w:t xml:space="preserve">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257, 859</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097B84F4" w14:textId="77777777" w:rsidR="002008F9" w:rsidRPr="00A53896" w:rsidRDefault="002008F9" w:rsidP="001022B2">
            <w:pPr>
              <w:rPr>
                <w:rFonts w:ascii="Times" w:hAnsi="Times"/>
                <w:sz w:val="20"/>
                <w:szCs w:val="20"/>
              </w:rPr>
            </w:pPr>
            <w:r w:rsidRPr="00A53896">
              <w:rPr>
                <w:rFonts w:ascii="Times" w:hAnsi="Times"/>
                <w:sz w:val="20"/>
                <w:szCs w:val="20"/>
              </w:rPr>
              <w:t>Germ</w:t>
            </w:r>
            <w:r>
              <w:rPr>
                <w:rFonts w:ascii="Times" w:hAnsi="Times"/>
                <w:sz w:val="20"/>
                <w:szCs w:val="20"/>
              </w:rPr>
              <w:t>any</w:t>
            </w:r>
            <w:r>
              <w:rPr>
                <w:rFonts w:ascii="Times" w:hAnsi="Times"/>
                <w:sz w:val="20"/>
                <w:szCs w:val="20"/>
              </w:rPr>
              <w:tab/>
              <w:t xml:space="preserve">              255, 471</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62A839D7" w14:textId="77777777" w:rsidR="002008F9" w:rsidRPr="00A53896" w:rsidRDefault="002008F9" w:rsidP="001022B2">
            <w:pPr>
              <w:tabs>
                <w:tab w:val="left" w:pos="720"/>
                <w:tab w:val="center" w:pos="2279"/>
              </w:tabs>
              <w:rPr>
                <w:rFonts w:ascii="Times" w:hAnsi="Times"/>
                <w:sz w:val="20"/>
                <w:szCs w:val="20"/>
              </w:rPr>
            </w:pPr>
            <w:r w:rsidRPr="00A53896">
              <w:rPr>
                <w:rFonts w:ascii="Times" w:hAnsi="Times"/>
                <w:sz w:val="20"/>
                <w:szCs w:val="20"/>
              </w:rPr>
              <w:t>France</w:t>
            </w:r>
            <w:r w:rsidRPr="00A53896">
              <w:rPr>
                <w:rFonts w:ascii="Times" w:hAnsi="Times"/>
                <w:sz w:val="20"/>
                <w:szCs w:val="20"/>
              </w:rPr>
              <w:tab/>
            </w:r>
            <w:r w:rsidRPr="00A53896">
              <w:rPr>
                <w:rFonts w:ascii="Times" w:hAnsi="Times"/>
                <w:sz w:val="20"/>
                <w:szCs w:val="20"/>
              </w:rPr>
              <w:tab/>
              <w:t xml:space="preserve">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 xml:space="preserve">  233, 844</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6ABFC598"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Belgium                       </w:t>
            </w:r>
            <w:r>
              <w:rPr>
                <w:rFonts w:ascii="Times" w:hAnsi="Times"/>
                <w:sz w:val="20"/>
                <w:szCs w:val="20"/>
              </w:rPr>
              <w:t xml:space="preserve">        80, 134</w:t>
            </w:r>
            <w:r w:rsidRPr="00A53896">
              <w:rPr>
                <w:rFonts w:ascii="Times" w:hAnsi="Times"/>
                <w:sz w:val="20"/>
                <w:szCs w:val="20"/>
              </w:rPr>
              <w:t xml:space="preserve">       OECD</w:t>
            </w:r>
          </w:p>
          <w:p w14:paraId="5A0C45EA" w14:textId="77777777" w:rsidR="002008F9" w:rsidRPr="00A53896" w:rsidRDefault="002008F9" w:rsidP="001022B2">
            <w:pPr>
              <w:tabs>
                <w:tab w:val="center" w:pos="2279"/>
              </w:tabs>
              <w:rPr>
                <w:rFonts w:ascii="Times" w:hAnsi="Times"/>
                <w:sz w:val="20"/>
                <w:szCs w:val="20"/>
              </w:rPr>
            </w:pPr>
            <w:r w:rsidRPr="00A53896">
              <w:rPr>
                <w:rFonts w:ascii="Times" w:hAnsi="Times"/>
                <w:sz w:val="20"/>
                <w:szCs w:val="20"/>
              </w:rPr>
              <w:t>Spain</w:t>
            </w:r>
            <w:r w:rsidRPr="00A53896">
              <w:rPr>
                <w:rFonts w:ascii="Times" w:hAnsi="Times"/>
                <w:sz w:val="20"/>
                <w:szCs w:val="20"/>
              </w:rPr>
              <w:tab/>
              <w:t xml:space="preserve">                            </w:t>
            </w:r>
            <w:r>
              <w:rPr>
                <w:rFonts w:ascii="Times" w:hAnsi="Times"/>
                <w:sz w:val="20"/>
                <w:szCs w:val="20"/>
              </w:rPr>
              <w:t>61, 947</w:t>
            </w:r>
            <w:r w:rsidRPr="00A53896">
              <w:rPr>
                <w:rFonts w:ascii="Times" w:hAnsi="Times"/>
                <w:sz w:val="20"/>
                <w:szCs w:val="20"/>
              </w:rPr>
              <w:t xml:space="preserve">       OECD</w:t>
            </w:r>
          </w:p>
          <w:p w14:paraId="23E2F8DA" w14:textId="77777777" w:rsidR="002008F9" w:rsidRPr="00A53896" w:rsidRDefault="002008F9" w:rsidP="001022B2">
            <w:pPr>
              <w:tabs>
                <w:tab w:val="center" w:pos="2279"/>
              </w:tabs>
              <w:rPr>
                <w:rFonts w:ascii="Times" w:hAnsi="Times"/>
                <w:sz w:val="20"/>
                <w:szCs w:val="20"/>
              </w:rPr>
            </w:pPr>
            <w:r w:rsidRPr="00A53896">
              <w:rPr>
                <w:rFonts w:ascii="Times" w:hAnsi="Times"/>
                <w:sz w:val="20"/>
                <w:szCs w:val="20"/>
              </w:rPr>
              <w:t>Sweden</w:t>
            </w:r>
            <w:r w:rsidRPr="00A53896">
              <w:rPr>
                <w:rFonts w:ascii="Times" w:hAnsi="Times"/>
                <w:sz w:val="20"/>
                <w:szCs w:val="20"/>
              </w:rPr>
              <w:tab/>
              <w:t xml:space="preserve">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 xml:space="preserve"> 46, 928</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 xml:space="preserve">  OECD</w:t>
            </w:r>
          </w:p>
          <w:p w14:paraId="55718AAD" w14:textId="77777777" w:rsidR="002008F9" w:rsidRPr="00A53896" w:rsidRDefault="002008F9" w:rsidP="001022B2">
            <w:pPr>
              <w:rPr>
                <w:rFonts w:ascii="Times" w:hAnsi="Times"/>
                <w:sz w:val="20"/>
                <w:szCs w:val="20"/>
              </w:rPr>
            </w:pPr>
            <w:r w:rsidRPr="00A53896">
              <w:rPr>
                <w:rFonts w:ascii="Times" w:hAnsi="Times"/>
                <w:sz w:val="20"/>
                <w:szCs w:val="20"/>
              </w:rPr>
              <w:t>Australia</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42, 301</w:t>
            </w:r>
            <w:r w:rsidRPr="00A53896">
              <w:rPr>
                <w:rFonts w:ascii="Times" w:hAnsi="Times"/>
                <w:sz w:val="20"/>
                <w:szCs w:val="20"/>
              </w:rPr>
              <w:t xml:space="preserve">       OECD</w:t>
            </w:r>
          </w:p>
          <w:p w14:paraId="7FE1F39F" w14:textId="77777777" w:rsidR="002008F9" w:rsidRPr="00A53896" w:rsidRDefault="002008F9" w:rsidP="001022B2">
            <w:pPr>
              <w:tabs>
                <w:tab w:val="center" w:pos="2279"/>
              </w:tabs>
              <w:rPr>
                <w:rFonts w:ascii="Times" w:hAnsi="Times"/>
                <w:sz w:val="20"/>
                <w:szCs w:val="20"/>
              </w:rPr>
            </w:pPr>
            <w:r w:rsidRPr="00A53896">
              <w:rPr>
                <w:rFonts w:ascii="Times" w:hAnsi="Times"/>
                <w:sz w:val="20"/>
                <w:szCs w:val="20"/>
              </w:rPr>
              <w:t>S. Korea</w:t>
            </w:r>
            <w:r w:rsidRPr="00A53896">
              <w:rPr>
                <w:rFonts w:ascii="Times" w:hAnsi="Times"/>
                <w:sz w:val="20"/>
                <w:szCs w:val="20"/>
              </w:rPr>
              <w:tab/>
              <w:t xml:space="preserve">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40, 130</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 xml:space="preserve"> OECD</w:t>
            </w:r>
          </w:p>
          <w:p w14:paraId="1A4C26BB" w14:textId="77777777" w:rsidR="002008F9" w:rsidRPr="00A53896" w:rsidRDefault="002008F9" w:rsidP="001022B2">
            <w:pPr>
              <w:tabs>
                <w:tab w:val="center" w:pos="2279"/>
              </w:tabs>
              <w:rPr>
                <w:rFonts w:ascii="Times" w:hAnsi="Times"/>
                <w:sz w:val="20"/>
                <w:szCs w:val="20"/>
              </w:rPr>
            </w:pPr>
            <w:r w:rsidRPr="00A53896">
              <w:rPr>
                <w:rFonts w:ascii="Times" w:hAnsi="Times"/>
                <w:sz w:val="20"/>
                <w:szCs w:val="20"/>
              </w:rPr>
              <w:t>Italy</w:t>
            </w:r>
            <w:r w:rsidRPr="00A53896">
              <w:rPr>
                <w:rFonts w:ascii="Times" w:hAnsi="Times"/>
                <w:sz w:val="20"/>
                <w:szCs w:val="20"/>
              </w:rPr>
              <w:tab/>
              <w:t xml:space="preserve">                         </w:t>
            </w:r>
            <w:r>
              <w:rPr>
                <w:rFonts w:ascii="Times" w:hAnsi="Times"/>
                <w:sz w:val="20"/>
                <w:szCs w:val="20"/>
              </w:rPr>
              <w:t xml:space="preserve">    28, 648</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76769318" w14:textId="77777777" w:rsidR="002008F9" w:rsidRPr="00A53896" w:rsidRDefault="002008F9" w:rsidP="001022B2">
            <w:pPr>
              <w:tabs>
                <w:tab w:val="center" w:pos="2279"/>
              </w:tabs>
              <w:rPr>
                <w:rFonts w:ascii="Times" w:hAnsi="Times"/>
                <w:sz w:val="20"/>
                <w:szCs w:val="20"/>
              </w:rPr>
            </w:pPr>
            <w:r w:rsidRPr="00A53896">
              <w:rPr>
                <w:rFonts w:ascii="Times" w:hAnsi="Times"/>
                <w:sz w:val="20"/>
                <w:szCs w:val="20"/>
              </w:rPr>
              <w:t>Norway</w:t>
            </w:r>
            <w:r w:rsidRPr="00A53896">
              <w:rPr>
                <w:rFonts w:ascii="Times" w:hAnsi="Times"/>
                <w:sz w:val="20"/>
                <w:szCs w:val="20"/>
              </w:rPr>
              <w:tab/>
              <w:t xml:space="preserve">                       </w:t>
            </w:r>
            <w:r>
              <w:rPr>
                <w:rFonts w:ascii="Times" w:hAnsi="Times"/>
                <w:sz w:val="20"/>
                <w:szCs w:val="20"/>
              </w:rPr>
              <w:t xml:space="preserve">    20, 771</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3DF604A4"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Singapore</w:t>
            </w:r>
            <w:r w:rsidRPr="00A53896">
              <w:rPr>
                <w:rFonts w:ascii="Times" w:hAnsi="Times"/>
                <w:sz w:val="20"/>
                <w:szCs w:val="20"/>
              </w:rPr>
              <w:tab/>
              <w:t xml:space="preserve">     </w:t>
            </w:r>
            <w:r>
              <w:rPr>
                <w:rFonts w:ascii="Times" w:hAnsi="Times"/>
                <w:sz w:val="20"/>
                <w:szCs w:val="20"/>
              </w:rPr>
              <w:t xml:space="preserve">   19, 423</w:t>
            </w:r>
          </w:p>
          <w:p w14:paraId="221CEA69" w14:textId="77777777" w:rsidR="002008F9" w:rsidRPr="00A53896" w:rsidRDefault="002008F9" w:rsidP="001022B2">
            <w:pPr>
              <w:rPr>
                <w:rFonts w:ascii="Times" w:hAnsi="Times"/>
                <w:sz w:val="20"/>
                <w:szCs w:val="20"/>
              </w:rPr>
            </w:pPr>
            <w:r w:rsidRPr="00A53896">
              <w:rPr>
                <w:rFonts w:ascii="Times" w:hAnsi="Times"/>
                <w:sz w:val="20"/>
                <w:szCs w:val="20"/>
              </w:rPr>
              <w:t>Mexico</w:t>
            </w:r>
            <w:r w:rsidRPr="00A53896">
              <w:rPr>
                <w:rFonts w:ascii="Times" w:hAnsi="Times"/>
                <w:sz w:val="20"/>
                <w:szCs w:val="20"/>
              </w:rPr>
              <w:tab/>
              <w:t xml:space="preserve">           </w:t>
            </w:r>
            <w:r>
              <w:rPr>
                <w:rFonts w:ascii="Times" w:hAnsi="Times"/>
                <w:sz w:val="20"/>
                <w:szCs w:val="20"/>
              </w:rPr>
              <w:t xml:space="preserve">                  16, 597      </w:t>
            </w:r>
            <w:r w:rsidRPr="00A53896">
              <w:rPr>
                <w:rFonts w:ascii="Times" w:hAnsi="Times"/>
                <w:sz w:val="20"/>
                <w:szCs w:val="20"/>
              </w:rPr>
              <w:t>OECD</w:t>
            </w:r>
          </w:p>
          <w:p w14:paraId="4A598806" w14:textId="77777777" w:rsidR="002008F9" w:rsidRPr="00A53896" w:rsidRDefault="002008F9" w:rsidP="001022B2">
            <w:pPr>
              <w:tabs>
                <w:tab w:val="center" w:pos="2279"/>
              </w:tabs>
              <w:rPr>
                <w:rFonts w:ascii="Times" w:hAnsi="Times"/>
                <w:sz w:val="20"/>
                <w:szCs w:val="20"/>
              </w:rPr>
            </w:pPr>
            <w:r>
              <w:rPr>
                <w:rFonts w:ascii="Times" w:hAnsi="Times"/>
                <w:sz w:val="20"/>
                <w:szCs w:val="20"/>
              </w:rPr>
              <w:t>China</w:t>
            </w:r>
            <w:r>
              <w:rPr>
                <w:rFonts w:ascii="Times" w:hAnsi="Times"/>
                <w:sz w:val="20"/>
                <w:szCs w:val="20"/>
              </w:rPr>
              <w:tab/>
              <w:t xml:space="preserve">       14, 838</w:t>
            </w:r>
          </w:p>
          <w:p w14:paraId="67C42BC3" w14:textId="77777777" w:rsidR="002008F9" w:rsidRDefault="002008F9" w:rsidP="001022B2">
            <w:pPr>
              <w:tabs>
                <w:tab w:val="center" w:pos="2232"/>
              </w:tabs>
              <w:rPr>
                <w:rFonts w:ascii="Times" w:hAnsi="Times"/>
                <w:sz w:val="20"/>
                <w:szCs w:val="20"/>
              </w:rPr>
            </w:pPr>
            <w:r>
              <w:rPr>
                <w:rFonts w:ascii="Times" w:hAnsi="Times"/>
                <w:sz w:val="20"/>
                <w:szCs w:val="20"/>
              </w:rPr>
              <w:t>Denmark</w:t>
            </w:r>
            <w:r>
              <w:rPr>
                <w:rFonts w:ascii="Times" w:hAnsi="Times"/>
                <w:sz w:val="20"/>
                <w:szCs w:val="20"/>
              </w:rPr>
              <w:tab/>
              <w:t xml:space="preserve">                           14, 274       OECD</w:t>
            </w:r>
          </w:p>
          <w:p w14:paraId="6BCFD305" w14:textId="77777777" w:rsidR="002008F9" w:rsidRPr="00A53896" w:rsidRDefault="002008F9" w:rsidP="001022B2">
            <w:pPr>
              <w:tabs>
                <w:tab w:val="center" w:pos="2232"/>
              </w:tabs>
              <w:rPr>
                <w:rFonts w:ascii="Times" w:hAnsi="Times"/>
                <w:sz w:val="20"/>
                <w:szCs w:val="20"/>
              </w:rPr>
            </w:pPr>
            <w:r w:rsidRPr="00A53896">
              <w:rPr>
                <w:rFonts w:ascii="Times" w:hAnsi="Times"/>
                <w:sz w:val="20"/>
                <w:szCs w:val="20"/>
              </w:rPr>
              <w:t>Ireland</w:t>
            </w:r>
            <w:r w:rsidRPr="00A53896">
              <w:rPr>
                <w:rFonts w:ascii="Times" w:hAnsi="Times"/>
                <w:sz w:val="20"/>
                <w:szCs w:val="20"/>
              </w:rPr>
              <w:tab/>
              <w:t xml:space="preserve">                         </w:t>
            </w:r>
            <w:r>
              <w:rPr>
                <w:rFonts w:ascii="Times" w:hAnsi="Times"/>
                <w:sz w:val="20"/>
                <w:szCs w:val="20"/>
              </w:rPr>
              <w:t xml:space="preserve">  13, 255</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1EDF5856"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Hungary</w:t>
            </w:r>
            <w:r w:rsidRPr="00A53896">
              <w:rPr>
                <w:rFonts w:ascii="Times" w:hAnsi="Times"/>
                <w:sz w:val="20"/>
                <w:szCs w:val="20"/>
              </w:rPr>
              <w:tab/>
              <w:t xml:space="preserve">                      </w:t>
            </w:r>
            <w:r>
              <w:rPr>
                <w:rFonts w:ascii="Times" w:hAnsi="Times"/>
                <w:sz w:val="20"/>
                <w:szCs w:val="20"/>
              </w:rPr>
              <w:t xml:space="preserve">  13, 190</w:t>
            </w:r>
            <w:r w:rsidRPr="00A53896">
              <w:rPr>
                <w:rFonts w:ascii="Times" w:hAnsi="Times"/>
                <w:sz w:val="20"/>
                <w:szCs w:val="20"/>
              </w:rPr>
              <w:t xml:space="preserve">      OECD</w:t>
            </w:r>
          </w:p>
          <w:p w14:paraId="794C95E8" w14:textId="77777777" w:rsidR="002008F9" w:rsidRPr="00A53896" w:rsidRDefault="002008F9" w:rsidP="001022B2">
            <w:pPr>
              <w:tabs>
                <w:tab w:val="center" w:pos="2279"/>
              </w:tabs>
              <w:rPr>
                <w:rFonts w:ascii="Times" w:hAnsi="Times"/>
                <w:sz w:val="20"/>
                <w:szCs w:val="20"/>
              </w:rPr>
            </w:pPr>
            <w:r>
              <w:rPr>
                <w:rFonts w:ascii="Times" w:hAnsi="Times"/>
                <w:sz w:val="20"/>
                <w:szCs w:val="20"/>
              </w:rPr>
              <w:t>Hong Kong</w:t>
            </w:r>
            <w:r>
              <w:rPr>
                <w:rFonts w:ascii="Times" w:hAnsi="Times"/>
                <w:sz w:val="20"/>
                <w:szCs w:val="20"/>
              </w:rPr>
              <w:tab/>
              <w:t xml:space="preserve">       11, 102</w:t>
            </w:r>
          </w:p>
          <w:p w14:paraId="0A1FEE1B" w14:textId="77777777" w:rsidR="002008F9" w:rsidRDefault="002008F9" w:rsidP="001022B2">
            <w:pPr>
              <w:rPr>
                <w:rFonts w:ascii="Times" w:hAnsi="Times"/>
                <w:sz w:val="20"/>
                <w:szCs w:val="20"/>
              </w:rPr>
            </w:pPr>
            <w:r w:rsidRPr="00A53896">
              <w:rPr>
                <w:rFonts w:ascii="Times" w:hAnsi="Times"/>
                <w:sz w:val="20"/>
                <w:szCs w:val="20"/>
              </w:rPr>
              <w:t>Finland</w:t>
            </w:r>
            <w:r w:rsidRPr="00A53896">
              <w:rPr>
                <w:rFonts w:ascii="Times" w:hAnsi="Times"/>
                <w:sz w:val="20"/>
                <w:szCs w:val="20"/>
              </w:rPr>
              <w:tab/>
              <w:t xml:space="preserve">                        </w:t>
            </w:r>
            <w:r>
              <w:rPr>
                <w:rFonts w:ascii="Times" w:hAnsi="Times"/>
                <w:sz w:val="20"/>
                <w:szCs w:val="20"/>
              </w:rPr>
              <w:t xml:space="preserve">       9, 833</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05FE2900" w14:textId="77777777" w:rsidR="002008F9" w:rsidRPr="00A53896" w:rsidRDefault="002008F9" w:rsidP="001022B2">
            <w:pPr>
              <w:tabs>
                <w:tab w:val="center" w:pos="2279"/>
              </w:tabs>
              <w:rPr>
                <w:rFonts w:ascii="Times" w:hAnsi="Times"/>
                <w:sz w:val="20"/>
                <w:szCs w:val="20"/>
              </w:rPr>
            </w:pPr>
            <w:r w:rsidRPr="00A53896">
              <w:rPr>
                <w:rFonts w:ascii="Times" w:hAnsi="Times"/>
                <w:sz w:val="20"/>
                <w:szCs w:val="20"/>
              </w:rPr>
              <w:t xml:space="preserve">India                          </w:t>
            </w:r>
            <w:r>
              <w:rPr>
                <w:rFonts w:ascii="Times" w:hAnsi="Times"/>
                <w:sz w:val="20"/>
                <w:szCs w:val="20"/>
              </w:rPr>
              <w:t xml:space="preserve">           9, 250</w:t>
            </w:r>
          </w:p>
          <w:p w14:paraId="02779868" w14:textId="77777777" w:rsidR="002008F9" w:rsidRDefault="002008F9" w:rsidP="001022B2">
            <w:pPr>
              <w:tabs>
                <w:tab w:val="center" w:pos="2232"/>
              </w:tabs>
              <w:rPr>
                <w:rFonts w:ascii="Times" w:hAnsi="Times"/>
                <w:sz w:val="20"/>
                <w:szCs w:val="20"/>
              </w:rPr>
            </w:pPr>
            <w:r>
              <w:rPr>
                <w:rFonts w:ascii="Times" w:hAnsi="Times"/>
                <w:sz w:val="20"/>
                <w:szCs w:val="20"/>
              </w:rPr>
              <w:t>Gibraltar</w:t>
            </w:r>
            <w:r>
              <w:rPr>
                <w:rFonts w:ascii="Times" w:hAnsi="Times"/>
                <w:sz w:val="20"/>
                <w:szCs w:val="20"/>
              </w:rPr>
              <w:tab/>
              <w:t xml:space="preserve">           7, 475</w:t>
            </w:r>
          </w:p>
          <w:p w14:paraId="411E721F" w14:textId="77777777" w:rsidR="002008F9" w:rsidRPr="00A53896" w:rsidRDefault="002008F9" w:rsidP="001022B2">
            <w:pPr>
              <w:rPr>
                <w:rFonts w:ascii="Times" w:hAnsi="Times"/>
                <w:sz w:val="20"/>
                <w:szCs w:val="20"/>
              </w:rPr>
            </w:pPr>
            <w:r>
              <w:rPr>
                <w:rFonts w:ascii="Times" w:hAnsi="Times"/>
                <w:sz w:val="20"/>
                <w:szCs w:val="20"/>
              </w:rPr>
              <w:t>Israel</w:t>
            </w:r>
            <w:r>
              <w:rPr>
                <w:rFonts w:ascii="Times" w:hAnsi="Times"/>
                <w:sz w:val="20"/>
                <w:szCs w:val="20"/>
              </w:rPr>
              <w:tab/>
            </w:r>
            <w:r>
              <w:rPr>
                <w:rFonts w:ascii="Times" w:hAnsi="Times"/>
                <w:sz w:val="20"/>
                <w:szCs w:val="20"/>
              </w:rPr>
              <w:tab/>
              <w:t xml:space="preserve">                7, 448</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480CECC6" w14:textId="77777777" w:rsidR="002008F9" w:rsidRPr="00A53896" w:rsidRDefault="002008F9" w:rsidP="001022B2">
            <w:pPr>
              <w:tabs>
                <w:tab w:val="center" w:pos="2232"/>
                <w:tab w:val="left" w:pos="3307"/>
              </w:tabs>
              <w:rPr>
                <w:rFonts w:ascii="Times" w:hAnsi="Times"/>
                <w:sz w:val="20"/>
                <w:szCs w:val="20"/>
              </w:rPr>
            </w:pPr>
            <w:r>
              <w:rPr>
                <w:rFonts w:ascii="Times" w:hAnsi="Times"/>
                <w:sz w:val="20"/>
                <w:szCs w:val="20"/>
              </w:rPr>
              <w:t>Austria</w:t>
            </w:r>
            <w:r>
              <w:rPr>
                <w:rFonts w:ascii="Times" w:hAnsi="Times"/>
                <w:sz w:val="20"/>
                <w:szCs w:val="20"/>
              </w:rPr>
              <w:tab/>
              <w:t xml:space="preserve">                              7, 116         OECD</w:t>
            </w:r>
          </w:p>
          <w:p w14:paraId="32E44CC9" w14:textId="77777777" w:rsidR="002008F9" w:rsidRPr="00A53896" w:rsidRDefault="002008F9" w:rsidP="001022B2">
            <w:pPr>
              <w:tabs>
                <w:tab w:val="center" w:pos="2279"/>
              </w:tabs>
              <w:rPr>
                <w:rFonts w:ascii="Times" w:hAnsi="Times"/>
                <w:sz w:val="20"/>
                <w:szCs w:val="20"/>
              </w:rPr>
            </w:pPr>
            <w:r w:rsidRPr="00A53896">
              <w:rPr>
                <w:rFonts w:ascii="Times" w:hAnsi="Times"/>
                <w:sz w:val="20"/>
                <w:szCs w:val="20"/>
              </w:rPr>
              <w:t xml:space="preserve">Taiwan                        </w:t>
            </w:r>
            <w:r>
              <w:rPr>
                <w:rFonts w:ascii="Times" w:hAnsi="Times"/>
                <w:sz w:val="20"/>
                <w:szCs w:val="20"/>
              </w:rPr>
              <w:t xml:space="preserve">        6, 968</w:t>
            </w:r>
          </w:p>
          <w:p w14:paraId="7B628139" w14:textId="77777777" w:rsidR="002008F9" w:rsidRPr="00A53896" w:rsidRDefault="002008F9" w:rsidP="001022B2">
            <w:pPr>
              <w:tabs>
                <w:tab w:val="center" w:pos="2279"/>
              </w:tabs>
              <w:rPr>
                <w:rFonts w:ascii="Times" w:hAnsi="Times"/>
                <w:sz w:val="20"/>
                <w:szCs w:val="20"/>
              </w:rPr>
            </w:pPr>
            <w:r>
              <w:rPr>
                <w:rFonts w:ascii="Times" w:hAnsi="Times"/>
                <w:sz w:val="20"/>
                <w:szCs w:val="20"/>
              </w:rPr>
              <w:t>Russia</w:t>
            </w:r>
            <w:r>
              <w:rPr>
                <w:rFonts w:ascii="Times" w:hAnsi="Times"/>
                <w:sz w:val="20"/>
                <w:szCs w:val="20"/>
              </w:rPr>
              <w:tab/>
              <w:t xml:space="preserve">      4, 561</w:t>
            </w:r>
          </w:p>
          <w:p w14:paraId="0D046F7B" w14:textId="77777777" w:rsidR="002008F9" w:rsidRPr="00A53896" w:rsidRDefault="002008F9" w:rsidP="001022B2">
            <w:pPr>
              <w:tabs>
                <w:tab w:val="center" w:pos="2279"/>
              </w:tabs>
              <w:rPr>
                <w:rFonts w:ascii="Times" w:hAnsi="Times"/>
                <w:sz w:val="20"/>
                <w:szCs w:val="20"/>
              </w:rPr>
            </w:pPr>
            <w:r>
              <w:rPr>
                <w:rFonts w:ascii="Times" w:hAnsi="Times"/>
                <w:sz w:val="20"/>
                <w:szCs w:val="20"/>
              </w:rPr>
              <w:t>Venezuela</w:t>
            </w:r>
            <w:r>
              <w:rPr>
                <w:rFonts w:ascii="Times" w:hAnsi="Times"/>
                <w:sz w:val="20"/>
                <w:szCs w:val="20"/>
              </w:rPr>
              <w:tab/>
              <w:t xml:space="preserve">      4, 182</w:t>
            </w:r>
          </w:p>
          <w:p w14:paraId="7E357A40" w14:textId="77777777" w:rsidR="002008F9" w:rsidRPr="00A53896" w:rsidRDefault="002008F9" w:rsidP="001022B2">
            <w:pPr>
              <w:tabs>
                <w:tab w:val="center" w:pos="2279"/>
              </w:tabs>
              <w:rPr>
                <w:rFonts w:ascii="Times" w:hAnsi="Times"/>
                <w:sz w:val="20"/>
                <w:szCs w:val="20"/>
              </w:rPr>
            </w:pPr>
            <w:r>
              <w:rPr>
                <w:rFonts w:ascii="Times" w:hAnsi="Times"/>
                <w:sz w:val="20"/>
                <w:szCs w:val="20"/>
              </w:rPr>
              <w:t>U.A.E.</w:t>
            </w:r>
            <w:r>
              <w:rPr>
                <w:rFonts w:ascii="Times" w:hAnsi="Times"/>
                <w:sz w:val="20"/>
                <w:szCs w:val="20"/>
              </w:rPr>
              <w:tab/>
              <w:t xml:space="preserve">      3, 008</w:t>
            </w:r>
          </w:p>
          <w:p w14:paraId="649FEEC5" w14:textId="77777777" w:rsidR="002008F9" w:rsidRPr="00A53896" w:rsidRDefault="002008F9" w:rsidP="001022B2">
            <w:pPr>
              <w:tabs>
                <w:tab w:val="center" w:pos="2286"/>
              </w:tabs>
              <w:rPr>
                <w:rFonts w:ascii="Times" w:hAnsi="Times"/>
                <w:sz w:val="20"/>
                <w:szCs w:val="20"/>
              </w:rPr>
            </w:pPr>
          </w:p>
        </w:tc>
        <w:tc>
          <w:tcPr>
            <w:tcW w:w="4671" w:type="dxa"/>
          </w:tcPr>
          <w:p w14:paraId="6697EFC7" w14:textId="77777777" w:rsidR="002008F9" w:rsidRPr="00A53896" w:rsidRDefault="002008F9" w:rsidP="001022B2">
            <w:pPr>
              <w:rPr>
                <w:rFonts w:ascii="Times" w:hAnsi="Times"/>
                <w:sz w:val="20"/>
                <w:szCs w:val="20"/>
              </w:rPr>
            </w:pPr>
            <w:r>
              <w:rPr>
                <w:rFonts w:ascii="Times" w:hAnsi="Times"/>
                <w:sz w:val="20"/>
                <w:szCs w:val="20"/>
              </w:rPr>
              <w:t>Netherlands</w:t>
            </w:r>
            <w:r>
              <w:rPr>
                <w:rFonts w:ascii="Times" w:hAnsi="Times"/>
                <w:sz w:val="20"/>
                <w:szCs w:val="20"/>
              </w:rPr>
              <w:tab/>
            </w:r>
            <w:r>
              <w:rPr>
                <w:rFonts w:ascii="Times" w:hAnsi="Times"/>
                <w:sz w:val="20"/>
                <w:szCs w:val="20"/>
              </w:rPr>
              <w:tab/>
              <w:t>858, 102</w:t>
            </w:r>
            <w:r w:rsidRPr="00A53896">
              <w:rPr>
                <w:rFonts w:ascii="Times" w:hAnsi="Times"/>
                <w:sz w:val="20"/>
                <w:szCs w:val="20"/>
              </w:rPr>
              <w:t xml:space="preserve">   OECD</w:t>
            </w:r>
          </w:p>
          <w:p w14:paraId="6DD69AEE" w14:textId="77777777" w:rsidR="002008F9" w:rsidRPr="00A53896" w:rsidRDefault="002008F9" w:rsidP="001022B2">
            <w:pPr>
              <w:rPr>
                <w:rFonts w:ascii="Times" w:hAnsi="Times"/>
                <w:sz w:val="20"/>
                <w:szCs w:val="20"/>
              </w:rPr>
            </w:pPr>
            <w:r w:rsidRPr="00A53896">
              <w:rPr>
                <w:rFonts w:ascii="Times" w:hAnsi="Times"/>
                <w:sz w:val="20"/>
                <w:szCs w:val="20"/>
              </w:rPr>
              <w:t>United Kingdom</w:t>
            </w:r>
            <w:r w:rsidRPr="00A53896">
              <w:rPr>
                <w:rFonts w:ascii="Times" w:hAnsi="Times"/>
                <w:sz w:val="20"/>
                <w:szCs w:val="20"/>
              </w:rPr>
              <w:tab/>
            </w:r>
            <w:r>
              <w:rPr>
                <w:rFonts w:ascii="Times" w:hAnsi="Times"/>
                <w:sz w:val="20"/>
                <w:szCs w:val="20"/>
              </w:rPr>
              <w:t xml:space="preserve">               593, 028</w:t>
            </w:r>
            <w:r w:rsidRPr="00A53896">
              <w:rPr>
                <w:rFonts w:ascii="Times" w:hAnsi="Times"/>
                <w:sz w:val="20"/>
                <w:szCs w:val="20"/>
              </w:rPr>
              <w:t xml:space="preserve">   OECD</w:t>
            </w:r>
          </w:p>
          <w:p w14:paraId="5D027D0B"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Luxembourg</w:t>
            </w:r>
            <w:r w:rsidRPr="00A53896">
              <w:rPr>
                <w:rFonts w:ascii="Times" w:hAnsi="Times"/>
                <w:sz w:val="20"/>
                <w:szCs w:val="20"/>
              </w:rPr>
              <w:tab/>
              <w:t xml:space="preserve">               </w:t>
            </w:r>
            <w:r>
              <w:rPr>
                <w:rFonts w:ascii="Times" w:hAnsi="Times"/>
                <w:sz w:val="20"/>
                <w:szCs w:val="20"/>
              </w:rPr>
              <w:t xml:space="preserve">        502, 998</w:t>
            </w:r>
            <w:r w:rsidRPr="00A53896">
              <w:rPr>
                <w:rFonts w:ascii="Times" w:hAnsi="Times"/>
                <w:sz w:val="20"/>
                <w:szCs w:val="20"/>
              </w:rPr>
              <w:t xml:space="preserve">   OECD</w:t>
            </w:r>
          </w:p>
          <w:p w14:paraId="4383EE15" w14:textId="77777777" w:rsidR="002008F9" w:rsidRPr="00A53896" w:rsidRDefault="002008F9" w:rsidP="001022B2">
            <w:pPr>
              <w:rPr>
                <w:rFonts w:ascii="Times" w:hAnsi="Times"/>
                <w:sz w:val="20"/>
                <w:szCs w:val="20"/>
              </w:rPr>
            </w:pPr>
            <w:r>
              <w:rPr>
                <w:rFonts w:ascii="Times" w:hAnsi="Times"/>
                <w:sz w:val="20"/>
                <w:szCs w:val="20"/>
              </w:rPr>
              <w:t>Canada</w:t>
            </w:r>
            <w:r>
              <w:rPr>
                <w:rFonts w:ascii="Times" w:hAnsi="Times"/>
                <w:sz w:val="20"/>
                <w:szCs w:val="20"/>
              </w:rPr>
              <w:tab/>
            </w:r>
            <w:r>
              <w:rPr>
                <w:rFonts w:ascii="Times" w:hAnsi="Times"/>
                <w:sz w:val="20"/>
                <w:szCs w:val="20"/>
              </w:rPr>
              <w:tab/>
            </w:r>
            <w:r>
              <w:rPr>
                <w:rFonts w:ascii="Times" w:hAnsi="Times"/>
                <w:sz w:val="20"/>
                <w:szCs w:val="20"/>
              </w:rPr>
              <w:tab/>
              <w:t>352, 928</w:t>
            </w:r>
            <w:r w:rsidRPr="00A53896">
              <w:rPr>
                <w:rFonts w:ascii="Times" w:hAnsi="Times"/>
                <w:sz w:val="20"/>
                <w:szCs w:val="20"/>
              </w:rPr>
              <w:t xml:space="preserve">   OECD</w:t>
            </w:r>
          </w:p>
          <w:p w14:paraId="3751625D" w14:textId="77777777" w:rsidR="002008F9" w:rsidRPr="00A53896" w:rsidRDefault="002008F9" w:rsidP="001022B2">
            <w:pPr>
              <w:rPr>
                <w:rFonts w:ascii="Times" w:hAnsi="Times"/>
                <w:sz w:val="20"/>
                <w:szCs w:val="20"/>
              </w:rPr>
            </w:pPr>
            <w:r w:rsidRPr="00A53896">
              <w:rPr>
                <w:rFonts w:ascii="Times" w:hAnsi="Times"/>
                <w:sz w:val="20"/>
                <w:szCs w:val="20"/>
              </w:rPr>
              <w:t xml:space="preserve">Ireland                         </w:t>
            </w:r>
            <w:r>
              <w:rPr>
                <w:rFonts w:ascii="Times" w:hAnsi="Times"/>
                <w:sz w:val="20"/>
                <w:szCs w:val="20"/>
              </w:rPr>
              <w:t xml:space="preserve">       343, 382</w:t>
            </w:r>
            <w:r w:rsidRPr="00A53896">
              <w:rPr>
                <w:rFonts w:ascii="Times" w:hAnsi="Times"/>
                <w:sz w:val="20"/>
                <w:szCs w:val="20"/>
              </w:rPr>
              <w:t xml:space="preserve">   OECD</w:t>
            </w:r>
          </w:p>
          <w:p w14:paraId="48374F3E" w14:textId="77777777" w:rsidR="002008F9" w:rsidRPr="00A53896" w:rsidRDefault="002008F9" w:rsidP="001022B2">
            <w:pPr>
              <w:rPr>
                <w:rFonts w:ascii="Times" w:hAnsi="Times"/>
                <w:sz w:val="20"/>
                <w:szCs w:val="20"/>
              </w:rPr>
            </w:pPr>
            <w:r>
              <w:rPr>
                <w:rFonts w:ascii="Times" w:hAnsi="Times"/>
                <w:sz w:val="20"/>
                <w:szCs w:val="20"/>
              </w:rPr>
              <w:t>Bermuda</w:t>
            </w:r>
            <w:r>
              <w:rPr>
                <w:rFonts w:ascii="Times" w:hAnsi="Times"/>
                <w:sz w:val="20"/>
                <w:szCs w:val="20"/>
              </w:rPr>
              <w:tab/>
            </w:r>
            <w:r>
              <w:rPr>
                <w:rFonts w:ascii="Times" w:hAnsi="Times"/>
                <w:sz w:val="20"/>
                <w:szCs w:val="20"/>
              </w:rPr>
              <w:tab/>
              <w:t>269, 329</w:t>
            </w:r>
          </w:p>
          <w:p w14:paraId="0CE7E5FA"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Singapore</w:t>
            </w:r>
            <w:r w:rsidRPr="00A53896">
              <w:rPr>
                <w:rFonts w:ascii="Times" w:hAnsi="Times"/>
                <w:sz w:val="20"/>
                <w:szCs w:val="20"/>
              </w:rPr>
              <w:tab/>
              <w:t xml:space="preserve">         </w:t>
            </w:r>
            <w:r>
              <w:rPr>
                <w:rFonts w:ascii="Times" w:hAnsi="Times"/>
                <w:sz w:val="20"/>
                <w:szCs w:val="20"/>
              </w:rPr>
              <w:t>228, 666</w:t>
            </w:r>
          </w:p>
          <w:p w14:paraId="376E633D"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Australia                     </w:t>
            </w:r>
            <w:r>
              <w:rPr>
                <w:rFonts w:ascii="Times" w:hAnsi="Times"/>
                <w:sz w:val="20"/>
                <w:szCs w:val="20"/>
              </w:rPr>
              <w:t xml:space="preserve">       167, 401</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 xml:space="preserve"> OECD</w:t>
            </w:r>
          </w:p>
          <w:p w14:paraId="20E1F693"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Switzerland                 </w:t>
            </w:r>
            <w:r>
              <w:rPr>
                <w:rFonts w:ascii="Times" w:hAnsi="Times"/>
                <w:sz w:val="20"/>
                <w:szCs w:val="20"/>
              </w:rPr>
              <w:t xml:space="preserve">       155, 221</w:t>
            </w:r>
            <w:r w:rsidRPr="00A53896">
              <w:rPr>
                <w:rFonts w:ascii="Times" w:hAnsi="Times"/>
                <w:sz w:val="20"/>
                <w:szCs w:val="20"/>
              </w:rPr>
              <w:t xml:space="preserve">   OECD</w:t>
            </w:r>
          </w:p>
          <w:p w14:paraId="17BD2FF5"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Japan</w:t>
            </w:r>
            <w:r w:rsidRPr="00A53896">
              <w:rPr>
                <w:rFonts w:ascii="Times" w:hAnsi="Times"/>
                <w:sz w:val="20"/>
                <w:szCs w:val="20"/>
              </w:rPr>
              <w:tab/>
              <w:t xml:space="preserve">                       </w:t>
            </w:r>
            <w:r>
              <w:rPr>
                <w:rFonts w:ascii="Times" w:hAnsi="Times"/>
                <w:sz w:val="20"/>
                <w:szCs w:val="20"/>
              </w:rPr>
              <w:t>108, 535</w:t>
            </w:r>
            <w:r w:rsidRPr="00A53896">
              <w:rPr>
                <w:rFonts w:ascii="Times" w:hAnsi="Times"/>
                <w:sz w:val="20"/>
                <w:szCs w:val="20"/>
              </w:rPr>
              <w:t xml:space="preserve">   OECD</w:t>
            </w:r>
          </w:p>
          <w:p w14:paraId="4FE59994"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Germany</w:t>
            </w:r>
            <w:r w:rsidRPr="00A53896">
              <w:rPr>
                <w:rFonts w:ascii="Times" w:hAnsi="Times"/>
                <w:sz w:val="20"/>
                <w:szCs w:val="20"/>
              </w:rPr>
              <w:tab/>
              <w:t xml:space="preserve">                    </w:t>
            </w:r>
            <w:r>
              <w:rPr>
                <w:rFonts w:ascii="Times" w:hAnsi="Times"/>
                <w:sz w:val="20"/>
                <w:szCs w:val="20"/>
              </w:rPr>
              <w:t xml:space="preserve">    108, 094</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364198DC" w14:textId="77777777" w:rsidR="002008F9" w:rsidRPr="00A53896" w:rsidRDefault="002008F9" w:rsidP="001022B2">
            <w:pPr>
              <w:rPr>
                <w:rFonts w:ascii="Times" w:hAnsi="Times"/>
                <w:sz w:val="20"/>
                <w:szCs w:val="20"/>
              </w:rPr>
            </w:pPr>
            <w:r w:rsidRPr="00A53896">
              <w:rPr>
                <w:rFonts w:ascii="Times" w:hAnsi="Times"/>
                <w:sz w:val="20"/>
                <w:szCs w:val="20"/>
              </w:rPr>
              <w:t>Mexico</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92, 812</w:t>
            </w:r>
            <w:r w:rsidRPr="00A53896">
              <w:rPr>
                <w:rFonts w:ascii="Times" w:hAnsi="Times"/>
                <w:sz w:val="20"/>
                <w:szCs w:val="20"/>
              </w:rPr>
              <w:t xml:space="preserve">   OECD</w:t>
            </w:r>
          </w:p>
          <w:p w14:paraId="0D91FE73"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France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78, 282</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34DB430A"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China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74, 560</w:t>
            </w:r>
          </w:p>
          <w:p w14:paraId="5AA7B87D"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Brazil                            </w:t>
            </w:r>
            <w:r>
              <w:rPr>
                <w:rFonts w:ascii="Times" w:hAnsi="Times"/>
                <w:sz w:val="20"/>
                <w:szCs w:val="20"/>
              </w:rPr>
              <w:t xml:space="preserve">       65, 272</w:t>
            </w:r>
          </w:p>
          <w:p w14:paraId="6F5D75CA" w14:textId="77777777" w:rsidR="002008F9" w:rsidRDefault="002008F9" w:rsidP="001022B2">
            <w:pPr>
              <w:tabs>
                <w:tab w:val="center" w:pos="2227"/>
              </w:tabs>
              <w:rPr>
                <w:rFonts w:ascii="Times" w:hAnsi="Times"/>
                <w:sz w:val="20"/>
                <w:szCs w:val="20"/>
              </w:rPr>
            </w:pPr>
            <w:r>
              <w:rPr>
                <w:rFonts w:ascii="Times" w:hAnsi="Times"/>
                <w:sz w:val="20"/>
                <w:szCs w:val="20"/>
              </w:rPr>
              <w:t>Hong Kong</w:t>
            </w:r>
            <w:r>
              <w:rPr>
                <w:rFonts w:ascii="Times" w:hAnsi="Times"/>
                <w:sz w:val="20"/>
                <w:szCs w:val="20"/>
              </w:rPr>
              <w:tab/>
              <w:t xml:space="preserve">            64, 049</w:t>
            </w:r>
          </w:p>
          <w:p w14:paraId="6F7CB32D" w14:textId="77777777" w:rsidR="002008F9" w:rsidRDefault="002008F9" w:rsidP="001022B2">
            <w:pPr>
              <w:tabs>
                <w:tab w:val="center" w:pos="2227"/>
              </w:tabs>
              <w:rPr>
                <w:rFonts w:ascii="Times" w:hAnsi="Times"/>
                <w:sz w:val="20"/>
                <w:szCs w:val="20"/>
              </w:rPr>
            </w:pPr>
            <w:r>
              <w:rPr>
                <w:rFonts w:ascii="Times" w:hAnsi="Times"/>
                <w:sz w:val="20"/>
                <w:szCs w:val="20"/>
              </w:rPr>
              <w:t>Gibraltar</w:t>
            </w:r>
            <w:r>
              <w:rPr>
                <w:rFonts w:ascii="Times" w:hAnsi="Times"/>
                <w:sz w:val="20"/>
                <w:szCs w:val="20"/>
              </w:rPr>
              <w:tab/>
              <w:t xml:space="preserve">             50, 233</w:t>
            </w:r>
          </w:p>
          <w:p w14:paraId="1DF2BBA9"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Belgium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45, 087</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0416150B" w14:textId="77777777" w:rsidR="002008F9" w:rsidRDefault="002008F9" w:rsidP="001022B2">
            <w:pPr>
              <w:tabs>
                <w:tab w:val="center" w:pos="2227"/>
              </w:tabs>
              <w:rPr>
                <w:rFonts w:ascii="Times" w:hAnsi="Times"/>
                <w:sz w:val="20"/>
                <w:szCs w:val="20"/>
              </w:rPr>
            </w:pPr>
            <w:r>
              <w:rPr>
                <w:rFonts w:ascii="Times" w:hAnsi="Times"/>
                <w:sz w:val="20"/>
                <w:szCs w:val="20"/>
              </w:rPr>
              <w:t>Spain</w:t>
            </w:r>
            <w:r>
              <w:rPr>
                <w:rFonts w:ascii="Times" w:hAnsi="Times"/>
                <w:sz w:val="20"/>
                <w:szCs w:val="20"/>
              </w:rPr>
              <w:tab/>
              <w:t xml:space="preserve">                           35, 794     OECD</w:t>
            </w:r>
          </w:p>
          <w:p w14:paraId="5E3207E2"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S. Korea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 xml:space="preserve"> 34, 564</w:t>
            </w:r>
            <w:r w:rsidRPr="00A53896">
              <w:rPr>
                <w:rFonts w:ascii="Times" w:hAnsi="Times"/>
                <w:sz w:val="20"/>
                <w:szCs w:val="20"/>
              </w:rPr>
              <w:t xml:space="preserve">   </w:t>
            </w:r>
            <w:r>
              <w:rPr>
                <w:rFonts w:ascii="Times" w:hAnsi="Times"/>
                <w:sz w:val="20"/>
                <w:szCs w:val="20"/>
              </w:rPr>
              <w:t xml:space="preserve"> </w:t>
            </w:r>
            <w:r w:rsidRPr="00A53896">
              <w:rPr>
                <w:rFonts w:ascii="Times" w:hAnsi="Times"/>
                <w:sz w:val="20"/>
                <w:szCs w:val="20"/>
              </w:rPr>
              <w:t>OECD</w:t>
            </w:r>
          </w:p>
          <w:p w14:paraId="40654E7B" w14:textId="77777777" w:rsidR="002008F9" w:rsidRDefault="002008F9" w:rsidP="001022B2">
            <w:pPr>
              <w:tabs>
                <w:tab w:val="center" w:pos="2227"/>
              </w:tabs>
              <w:rPr>
                <w:rFonts w:ascii="Times" w:hAnsi="Times"/>
                <w:sz w:val="20"/>
                <w:szCs w:val="20"/>
              </w:rPr>
            </w:pPr>
            <w:r>
              <w:rPr>
                <w:rFonts w:ascii="Times" w:hAnsi="Times"/>
                <w:sz w:val="20"/>
                <w:szCs w:val="20"/>
              </w:rPr>
              <w:t>Norway</w:t>
            </w:r>
            <w:r>
              <w:rPr>
                <w:rFonts w:ascii="Times" w:hAnsi="Times"/>
                <w:sz w:val="20"/>
                <w:szCs w:val="20"/>
              </w:rPr>
              <w:tab/>
              <w:t xml:space="preserve">                            33, 588     OECD</w:t>
            </w:r>
          </w:p>
          <w:p w14:paraId="0980954F"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Bahamas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29, 289</w:t>
            </w:r>
          </w:p>
          <w:p w14:paraId="24ECBC43" w14:textId="77777777" w:rsidR="002008F9" w:rsidRDefault="002008F9" w:rsidP="001022B2">
            <w:pPr>
              <w:tabs>
                <w:tab w:val="center" w:pos="2227"/>
              </w:tabs>
              <w:rPr>
                <w:rFonts w:ascii="Times" w:hAnsi="Times"/>
                <w:sz w:val="20"/>
                <w:szCs w:val="20"/>
              </w:rPr>
            </w:pPr>
            <w:r>
              <w:rPr>
                <w:rFonts w:ascii="Times" w:hAnsi="Times"/>
                <w:sz w:val="20"/>
                <w:szCs w:val="20"/>
              </w:rPr>
              <w:t>India</w:t>
            </w:r>
            <w:r>
              <w:rPr>
                <w:rFonts w:ascii="Times" w:hAnsi="Times"/>
                <w:sz w:val="20"/>
                <w:szCs w:val="20"/>
              </w:rPr>
              <w:tab/>
              <w:t xml:space="preserve">            28, 355</w:t>
            </w:r>
          </w:p>
          <w:p w14:paraId="28FF1189"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Chile                           </w:t>
            </w:r>
            <w:r>
              <w:rPr>
                <w:rFonts w:ascii="Times" w:hAnsi="Times"/>
                <w:sz w:val="20"/>
                <w:szCs w:val="20"/>
              </w:rPr>
              <w:t xml:space="preserve">       </w:t>
            </w:r>
            <w:r w:rsidRPr="00A53896">
              <w:rPr>
                <w:rFonts w:ascii="Times" w:hAnsi="Times"/>
                <w:sz w:val="20"/>
                <w:szCs w:val="20"/>
              </w:rPr>
              <w:t xml:space="preserve">  </w:t>
            </w:r>
            <w:r>
              <w:rPr>
                <w:rFonts w:ascii="Times" w:hAnsi="Times"/>
                <w:sz w:val="20"/>
                <w:szCs w:val="20"/>
              </w:rPr>
              <w:t>27, 331</w:t>
            </w:r>
            <w:r w:rsidRPr="00A53896">
              <w:rPr>
                <w:rFonts w:ascii="Times" w:hAnsi="Times"/>
                <w:sz w:val="20"/>
                <w:szCs w:val="20"/>
              </w:rPr>
              <w:t xml:space="preserve">   OECD</w:t>
            </w:r>
          </w:p>
          <w:p w14:paraId="5C507B47" w14:textId="77777777" w:rsidR="002008F9" w:rsidRDefault="002008F9" w:rsidP="001022B2">
            <w:pPr>
              <w:tabs>
                <w:tab w:val="center" w:pos="2228"/>
              </w:tabs>
              <w:rPr>
                <w:rFonts w:ascii="Times" w:hAnsi="Times"/>
                <w:sz w:val="20"/>
                <w:szCs w:val="20"/>
              </w:rPr>
            </w:pPr>
            <w:r>
              <w:rPr>
                <w:rFonts w:ascii="Times" w:hAnsi="Times"/>
                <w:sz w:val="20"/>
                <w:szCs w:val="20"/>
              </w:rPr>
              <w:t>Sweden</w:t>
            </w:r>
            <w:r>
              <w:rPr>
                <w:rFonts w:ascii="Times" w:hAnsi="Times"/>
                <w:sz w:val="20"/>
                <w:szCs w:val="20"/>
              </w:rPr>
              <w:tab/>
              <w:t xml:space="preserve">                          24, 981   OECD</w:t>
            </w:r>
          </w:p>
          <w:p w14:paraId="169629B6" w14:textId="77777777" w:rsidR="002008F9" w:rsidRPr="00A53896" w:rsidRDefault="002008F9" w:rsidP="001022B2">
            <w:pPr>
              <w:tabs>
                <w:tab w:val="center" w:pos="2286"/>
              </w:tabs>
              <w:rPr>
                <w:rFonts w:ascii="Times" w:hAnsi="Times"/>
                <w:sz w:val="20"/>
                <w:szCs w:val="20"/>
              </w:rPr>
            </w:pPr>
            <w:r w:rsidRPr="00A53896">
              <w:rPr>
                <w:rFonts w:ascii="Times" w:hAnsi="Times"/>
                <w:sz w:val="20"/>
                <w:szCs w:val="20"/>
              </w:rPr>
              <w:t xml:space="preserve">Egypt                            </w:t>
            </w:r>
            <w:r>
              <w:rPr>
                <w:rFonts w:ascii="Times" w:hAnsi="Times"/>
                <w:sz w:val="20"/>
                <w:szCs w:val="20"/>
              </w:rPr>
              <w:t xml:space="preserve">      23, 326</w:t>
            </w:r>
          </w:p>
          <w:p w14:paraId="19CAF992" w14:textId="77777777" w:rsidR="002008F9" w:rsidRDefault="002008F9" w:rsidP="001022B2">
            <w:pPr>
              <w:tabs>
                <w:tab w:val="center" w:pos="2228"/>
              </w:tabs>
              <w:rPr>
                <w:rFonts w:ascii="Times" w:hAnsi="Times"/>
                <w:sz w:val="20"/>
                <w:szCs w:val="20"/>
              </w:rPr>
            </w:pPr>
            <w:r>
              <w:rPr>
                <w:rFonts w:ascii="Times" w:hAnsi="Times"/>
                <w:sz w:val="20"/>
                <w:szCs w:val="20"/>
              </w:rPr>
              <w:t>Italy</w:t>
            </w:r>
            <w:r>
              <w:rPr>
                <w:rFonts w:ascii="Times" w:hAnsi="Times"/>
                <w:sz w:val="20"/>
                <w:szCs w:val="20"/>
              </w:rPr>
              <w:tab/>
              <w:t xml:space="preserve">                        22, 499    OECD</w:t>
            </w:r>
          </w:p>
          <w:p w14:paraId="1AD51056" w14:textId="77777777" w:rsidR="002008F9" w:rsidRDefault="002008F9" w:rsidP="001022B2">
            <w:pPr>
              <w:tabs>
                <w:tab w:val="center" w:pos="2228"/>
              </w:tabs>
              <w:rPr>
                <w:rFonts w:ascii="Times" w:hAnsi="Times"/>
                <w:sz w:val="20"/>
                <w:szCs w:val="20"/>
              </w:rPr>
            </w:pPr>
            <w:r>
              <w:rPr>
                <w:rFonts w:ascii="Times" w:hAnsi="Times"/>
                <w:sz w:val="20"/>
                <w:szCs w:val="20"/>
              </w:rPr>
              <w:t>Austria</w:t>
            </w:r>
            <w:r>
              <w:rPr>
                <w:rFonts w:ascii="Times" w:hAnsi="Times"/>
                <w:sz w:val="20"/>
                <w:szCs w:val="20"/>
              </w:rPr>
              <w:tab/>
              <w:t xml:space="preserve">                        17, 275    OECD</w:t>
            </w:r>
          </w:p>
          <w:p w14:paraId="7AE072DA" w14:textId="77777777" w:rsidR="002008F9" w:rsidRDefault="002008F9" w:rsidP="001022B2">
            <w:pPr>
              <w:tabs>
                <w:tab w:val="center" w:pos="2228"/>
              </w:tabs>
              <w:rPr>
                <w:rFonts w:ascii="Times" w:hAnsi="Times"/>
                <w:sz w:val="20"/>
                <w:szCs w:val="20"/>
              </w:rPr>
            </w:pPr>
            <w:r>
              <w:rPr>
                <w:rFonts w:ascii="Times" w:hAnsi="Times"/>
                <w:sz w:val="20"/>
                <w:szCs w:val="20"/>
              </w:rPr>
              <w:t xml:space="preserve">U.A.E. </w:t>
            </w:r>
            <w:r>
              <w:rPr>
                <w:rFonts w:ascii="Times" w:hAnsi="Times"/>
                <w:sz w:val="20"/>
                <w:szCs w:val="20"/>
              </w:rPr>
              <w:tab/>
              <w:t xml:space="preserve">           15, 622</w:t>
            </w:r>
          </w:p>
          <w:p w14:paraId="0FA31D91" w14:textId="77777777" w:rsidR="002008F9" w:rsidRDefault="002008F9" w:rsidP="001022B2">
            <w:pPr>
              <w:tabs>
                <w:tab w:val="center" w:pos="2286"/>
              </w:tabs>
              <w:rPr>
                <w:rFonts w:ascii="Times" w:hAnsi="Times"/>
                <w:sz w:val="20"/>
                <w:szCs w:val="20"/>
              </w:rPr>
            </w:pPr>
            <w:r w:rsidRPr="00A53896">
              <w:rPr>
                <w:rFonts w:ascii="Times" w:hAnsi="Times"/>
                <w:sz w:val="20"/>
                <w:szCs w:val="20"/>
              </w:rPr>
              <w:t xml:space="preserve">Taiwan                          </w:t>
            </w:r>
            <w:r>
              <w:rPr>
                <w:rFonts w:ascii="Times" w:hAnsi="Times"/>
                <w:sz w:val="20"/>
                <w:szCs w:val="20"/>
              </w:rPr>
              <w:t xml:space="preserve">      15, 005</w:t>
            </w:r>
          </w:p>
          <w:p w14:paraId="7FB20DA0" w14:textId="77777777" w:rsidR="002008F9" w:rsidRPr="00A53896" w:rsidRDefault="002008F9" w:rsidP="001022B2">
            <w:pPr>
              <w:tabs>
                <w:tab w:val="center" w:pos="2228"/>
              </w:tabs>
              <w:rPr>
                <w:rFonts w:ascii="Times" w:hAnsi="Times"/>
                <w:sz w:val="20"/>
                <w:szCs w:val="20"/>
              </w:rPr>
            </w:pPr>
            <w:r>
              <w:rPr>
                <w:rFonts w:ascii="Times" w:hAnsi="Times"/>
                <w:sz w:val="20"/>
                <w:szCs w:val="20"/>
              </w:rPr>
              <w:t>Barbados</w:t>
            </w:r>
            <w:r>
              <w:rPr>
                <w:rFonts w:ascii="Times" w:hAnsi="Times"/>
                <w:sz w:val="20"/>
                <w:szCs w:val="20"/>
              </w:rPr>
              <w:tab/>
              <w:t xml:space="preserve">           14, 894</w:t>
            </w:r>
          </w:p>
          <w:p w14:paraId="6CC1BE0A" w14:textId="77777777" w:rsidR="002008F9" w:rsidRDefault="002008F9" w:rsidP="001022B2">
            <w:pPr>
              <w:tabs>
                <w:tab w:val="center" w:pos="2228"/>
              </w:tabs>
              <w:rPr>
                <w:rFonts w:ascii="Times" w:hAnsi="Times"/>
                <w:sz w:val="20"/>
                <w:szCs w:val="20"/>
              </w:rPr>
            </w:pPr>
            <w:r>
              <w:rPr>
                <w:rFonts w:ascii="Times" w:hAnsi="Times"/>
                <w:sz w:val="20"/>
                <w:szCs w:val="20"/>
              </w:rPr>
              <w:t>Denmark</w:t>
            </w:r>
            <w:r>
              <w:rPr>
                <w:rFonts w:ascii="Times" w:hAnsi="Times"/>
                <w:sz w:val="20"/>
                <w:szCs w:val="20"/>
              </w:rPr>
              <w:tab/>
              <w:t xml:space="preserve">                        14, 398   OECD</w:t>
            </w:r>
          </w:p>
          <w:p w14:paraId="5FA47CD8" w14:textId="77777777" w:rsidR="002008F9" w:rsidRPr="00A53896" w:rsidRDefault="002008F9" w:rsidP="001022B2">
            <w:pPr>
              <w:tabs>
                <w:tab w:val="center" w:pos="2286"/>
              </w:tabs>
              <w:rPr>
                <w:rFonts w:ascii="Times" w:hAnsi="Times"/>
                <w:sz w:val="20"/>
                <w:szCs w:val="20"/>
              </w:rPr>
            </w:pPr>
          </w:p>
        </w:tc>
      </w:tr>
    </w:tbl>
    <w:p w14:paraId="4C2AF65C" w14:textId="77777777" w:rsidR="00C16D55" w:rsidRDefault="00C16D55" w:rsidP="00C16D55">
      <w:pPr>
        <w:jc w:val="center"/>
        <w:rPr>
          <w:rFonts w:ascii="Times" w:hAnsi="Times"/>
          <w:b/>
          <w:sz w:val="20"/>
          <w:szCs w:val="20"/>
        </w:rPr>
      </w:pPr>
    </w:p>
    <w:p w14:paraId="273A07DB" w14:textId="77777777" w:rsidR="00C16D55" w:rsidRPr="00C30A29" w:rsidRDefault="00C16D55" w:rsidP="00C16D55">
      <w:pPr>
        <w:rPr>
          <w:rFonts w:ascii="Times" w:hAnsi="Times"/>
          <w:sz w:val="20"/>
          <w:szCs w:val="20"/>
        </w:rPr>
      </w:pPr>
      <w:r>
        <w:rPr>
          <w:rFonts w:ascii="Times" w:hAnsi="Times"/>
          <w:sz w:val="20"/>
          <w:szCs w:val="20"/>
        </w:rPr>
        <w:t>Source: U.S. Bureau of Economic Analysis</w:t>
      </w:r>
    </w:p>
    <w:p w14:paraId="4A3943DD" w14:textId="77777777" w:rsidR="00C16D55" w:rsidRPr="00A53896" w:rsidRDefault="00C16D55" w:rsidP="00C16D55">
      <w:pPr>
        <w:jc w:val="center"/>
        <w:outlineLvl w:val="0"/>
        <w:rPr>
          <w:rFonts w:ascii="Times" w:hAnsi="Times"/>
          <w:b/>
          <w:sz w:val="20"/>
          <w:szCs w:val="20"/>
        </w:rPr>
      </w:pPr>
      <w:r>
        <w:rPr>
          <w:rFonts w:ascii="Times" w:hAnsi="Times"/>
          <w:b/>
          <w:sz w:val="20"/>
          <w:szCs w:val="20"/>
        </w:rPr>
        <w:t>Table 2</w:t>
      </w:r>
    </w:p>
    <w:p w14:paraId="11ED465C" w14:textId="77777777" w:rsidR="00C16D55" w:rsidRPr="00A53896" w:rsidRDefault="00C16D55" w:rsidP="00C16D55">
      <w:pPr>
        <w:jc w:val="center"/>
        <w:rPr>
          <w:rFonts w:ascii="Times" w:hAnsi="Times"/>
          <w:b/>
          <w:sz w:val="20"/>
          <w:szCs w:val="20"/>
        </w:rPr>
      </w:pPr>
      <w:r w:rsidRPr="00A53896">
        <w:rPr>
          <w:rFonts w:ascii="Times" w:hAnsi="Times"/>
          <w:b/>
          <w:sz w:val="20"/>
          <w:szCs w:val="20"/>
        </w:rPr>
        <w:t>U.S. Flows of</w:t>
      </w:r>
      <w:r>
        <w:rPr>
          <w:rFonts w:ascii="Times" w:hAnsi="Times"/>
          <w:b/>
          <w:sz w:val="20"/>
          <w:szCs w:val="20"/>
        </w:rPr>
        <w:t xml:space="preserve"> Foreign Direct Investment, 2015</w:t>
      </w:r>
    </w:p>
    <w:p w14:paraId="56B0FF6D" w14:textId="77777777" w:rsidR="00C16D55" w:rsidRPr="00A53896" w:rsidRDefault="00C16D55" w:rsidP="00C16D55">
      <w:pPr>
        <w:jc w:val="center"/>
        <w:rPr>
          <w:rFonts w:ascii="Times" w:hAnsi="Times"/>
          <w:sz w:val="20"/>
          <w:szCs w:val="20"/>
        </w:rPr>
      </w:pPr>
      <w:r w:rsidRPr="00A53896">
        <w:rPr>
          <w:rFonts w:ascii="Times" w:hAnsi="Times"/>
          <w:b/>
          <w:sz w:val="20"/>
          <w:szCs w:val="20"/>
        </w:rPr>
        <w:t>BIT Countries</w:t>
      </w:r>
    </w:p>
    <w:p w14:paraId="5F43E7CA" w14:textId="77777777" w:rsidR="00C16D55" w:rsidRPr="00A53896" w:rsidRDefault="00C16D55" w:rsidP="00C16D55">
      <w:pPr>
        <w:jc w:val="center"/>
        <w:rPr>
          <w:rFonts w:ascii="Times" w:hAnsi="Times"/>
          <w:sz w:val="20"/>
          <w:szCs w:val="20"/>
        </w:rPr>
      </w:pPr>
      <w:r w:rsidRPr="00A53896">
        <w:rPr>
          <w:rFonts w:ascii="Times" w:hAnsi="Times"/>
          <w:sz w:val="20"/>
          <w:szCs w:val="20"/>
        </w:rPr>
        <w:t>(Millions of U.S. dollars)</w:t>
      </w:r>
    </w:p>
    <w:p w14:paraId="4B201F80" w14:textId="77777777" w:rsidR="00C16D55" w:rsidRPr="00A53896" w:rsidRDefault="00C16D55" w:rsidP="00C16D55">
      <w:pPr>
        <w:rPr>
          <w:rFonts w:ascii="Times" w:hAnsi="Times"/>
          <w:sz w:val="20"/>
          <w:szCs w:val="20"/>
        </w:rPr>
      </w:pPr>
    </w:p>
    <w:p w14:paraId="2A6559A7" w14:textId="77777777" w:rsidR="00C16D55" w:rsidRPr="00A53896" w:rsidRDefault="00C16D55" w:rsidP="00C16D55">
      <w:pPr>
        <w:jc w:val="center"/>
        <w:rPr>
          <w:rFonts w:ascii="Times" w:hAnsi="Times"/>
          <w:sz w:val="20"/>
          <w:szCs w:val="20"/>
        </w:rPr>
      </w:pPr>
      <w:r w:rsidRPr="00A53896">
        <w:rPr>
          <w:rFonts w:ascii="Times" w:hAnsi="Times"/>
          <w:sz w:val="20"/>
          <w:szCs w:val="20"/>
          <w:u w:val="single"/>
        </w:rPr>
        <w:t>Incoming FDI</w:t>
      </w:r>
      <w:r w:rsidRPr="00A53896">
        <w:rPr>
          <w:rFonts w:ascii="Times" w:hAnsi="Times"/>
          <w:sz w:val="20"/>
          <w:szCs w:val="20"/>
        </w:rPr>
        <w:tab/>
      </w:r>
      <w:r w:rsidRPr="00A53896">
        <w:rPr>
          <w:rFonts w:ascii="Times" w:hAnsi="Times"/>
          <w:sz w:val="20"/>
          <w:szCs w:val="20"/>
        </w:rPr>
        <w:tab/>
      </w:r>
      <w:r w:rsidRPr="00A53896">
        <w:rPr>
          <w:rFonts w:ascii="Times" w:hAnsi="Times"/>
          <w:sz w:val="20"/>
          <w:szCs w:val="20"/>
        </w:rPr>
        <w:tab/>
      </w:r>
      <w:r w:rsidRPr="00A53896">
        <w:rPr>
          <w:rFonts w:ascii="Times" w:hAnsi="Times"/>
          <w:sz w:val="20"/>
          <w:szCs w:val="20"/>
        </w:rPr>
        <w:tab/>
      </w:r>
      <w:r w:rsidRPr="00A53896">
        <w:rPr>
          <w:rFonts w:ascii="Times" w:hAnsi="Times"/>
          <w:sz w:val="20"/>
          <w:szCs w:val="20"/>
        </w:rPr>
        <w:tab/>
      </w:r>
      <w:r w:rsidRPr="00A53896">
        <w:rPr>
          <w:rFonts w:ascii="Times" w:hAnsi="Times"/>
          <w:sz w:val="20"/>
          <w:szCs w:val="20"/>
          <w:u w:val="single"/>
        </w:rPr>
        <w:t>FDI Outflows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6"/>
        <w:gridCol w:w="4684"/>
      </w:tblGrid>
      <w:tr w:rsidR="00C16D55" w:rsidRPr="00A53896" w14:paraId="1BFA87C8" w14:textId="77777777" w:rsidTr="001022B2">
        <w:tc>
          <w:tcPr>
            <w:tcW w:w="4788" w:type="dxa"/>
          </w:tcPr>
          <w:p w14:paraId="0D2D2194" w14:textId="77777777" w:rsidR="00C16D55" w:rsidRDefault="00C16D55" w:rsidP="001022B2">
            <w:pPr>
              <w:rPr>
                <w:rFonts w:ascii="Times" w:hAnsi="Times"/>
                <w:sz w:val="20"/>
                <w:szCs w:val="20"/>
              </w:rPr>
            </w:pPr>
            <w:r>
              <w:rPr>
                <w:rFonts w:ascii="Times" w:hAnsi="Times"/>
                <w:sz w:val="20"/>
                <w:szCs w:val="20"/>
              </w:rPr>
              <w:t>Panama                     2653</w:t>
            </w:r>
          </w:p>
          <w:p w14:paraId="176DF04D" w14:textId="77777777" w:rsidR="00C16D55" w:rsidRPr="00A53896" w:rsidRDefault="00C16D55" w:rsidP="001022B2">
            <w:pPr>
              <w:rPr>
                <w:rFonts w:ascii="Times" w:hAnsi="Times"/>
                <w:sz w:val="20"/>
                <w:szCs w:val="20"/>
              </w:rPr>
            </w:pPr>
            <w:r>
              <w:rPr>
                <w:rFonts w:ascii="Times" w:hAnsi="Times"/>
                <w:sz w:val="20"/>
                <w:szCs w:val="20"/>
              </w:rPr>
              <w:t>Poland</w:t>
            </w:r>
            <w:r>
              <w:rPr>
                <w:rFonts w:ascii="Times" w:hAnsi="Times"/>
                <w:sz w:val="20"/>
                <w:szCs w:val="20"/>
              </w:rPr>
              <w:tab/>
            </w:r>
            <w:r>
              <w:rPr>
                <w:rFonts w:ascii="Times" w:hAnsi="Times"/>
                <w:sz w:val="20"/>
                <w:szCs w:val="20"/>
              </w:rPr>
              <w:tab/>
              <w:t xml:space="preserve">    1456</w:t>
            </w:r>
            <w:r w:rsidRPr="00A53896">
              <w:rPr>
                <w:rFonts w:ascii="Times" w:hAnsi="Times"/>
                <w:sz w:val="20"/>
                <w:szCs w:val="20"/>
              </w:rPr>
              <w:tab/>
            </w:r>
          </w:p>
          <w:p w14:paraId="6FA88306" w14:textId="77777777" w:rsidR="00C16D55" w:rsidRPr="00A53896" w:rsidRDefault="00C16D55" w:rsidP="001022B2">
            <w:pPr>
              <w:rPr>
                <w:rFonts w:ascii="Times" w:hAnsi="Times"/>
                <w:sz w:val="20"/>
                <w:szCs w:val="20"/>
              </w:rPr>
            </w:pPr>
            <w:r>
              <w:rPr>
                <w:rFonts w:ascii="Times" w:hAnsi="Times"/>
                <w:sz w:val="20"/>
                <w:szCs w:val="20"/>
              </w:rPr>
              <w:t>Turkey</w:t>
            </w:r>
            <w:r>
              <w:rPr>
                <w:rFonts w:ascii="Times" w:hAnsi="Times"/>
                <w:sz w:val="20"/>
                <w:szCs w:val="20"/>
              </w:rPr>
              <w:tab/>
            </w:r>
            <w:r>
              <w:rPr>
                <w:rFonts w:ascii="Times" w:hAnsi="Times"/>
                <w:sz w:val="20"/>
                <w:szCs w:val="20"/>
              </w:rPr>
              <w:tab/>
              <w:t xml:space="preserve">      625</w:t>
            </w:r>
            <w:r w:rsidRPr="00A53896">
              <w:rPr>
                <w:rFonts w:ascii="Times" w:hAnsi="Times"/>
                <w:sz w:val="20"/>
                <w:szCs w:val="20"/>
              </w:rPr>
              <w:tab/>
            </w:r>
            <w:r w:rsidRPr="00A53896">
              <w:rPr>
                <w:rFonts w:ascii="Times" w:hAnsi="Times"/>
                <w:sz w:val="20"/>
                <w:szCs w:val="20"/>
              </w:rPr>
              <w:tab/>
            </w:r>
          </w:p>
          <w:p w14:paraId="2EB78134" w14:textId="77777777" w:rsidR="00C16D55" w:rsidRDefault="00C16D55" w:rsidP="001022B2">
            <w:pPr>
              <w:rPr>
                <w:rFonts w:ascii="Times" w:hAnsi="Times"/>
                <w:sz w:val="20"/>
                <w:szCs w:val="20"/>
              </w:rPr>
            </w:pPr>
            <w:r>
              <w:rPr>
                <w:rFonts w:ascii="Times" w:hAnsi="Times"/>
                <w:sz w:val="20"/>
                <w:szCs w:val="20"/>
              </w:rPr>
              <w:t>Uruguay</w:t>
            </w:r>
            <w:r>
              <w:rPr>
                <w:rFonts w:ascii="Times" w:hAnsi="Times"/>
                <w:sz w:val="20"/>
                <w:szCs w:val="20"/>
              </w:rPr>
              <w:tab/>
            </w:r>
            <w:r>
              <w:rPr>
                <w:rFonts w:ascii="Times" w:hAnsi="Times"/>
                <w:sz w:val="20"/>
                <w:szCs w:val="20"/>
              </w:rPr>
              <w:tab/>
              <w:t xml:space="preserve">      391</w:t>
            </w:r>
          </w:p>
          <w:p w14:paraId="50E483D4" w14:textId="77777777" w:rsidR="00C16D55" w:rsidRPr="00A53896" w:rsidRDefault="00C16D55" w:rsidP="001022B2">
            <w:pPr>
              <w:rPr>
                <w:rFonts w:ascii="Times" w:hAnsi="Times"/>
                <w:sz w:val="20"/>
                <w:szCs w:val="20"/>
              </w:rPr>
            </w:pPr>
            <w:r>
              <w:rPr>
                <w:rFonts w:ascii="Times" w:hAnsi="Times"/>
                <w:sz w:val="20"/>
                <w:szCs w:val="20"/>
              </w:rPr>
              <w:t>Trinidad and Tobago 175</w:t>
            </w:r>
            <w:r>
              <w:rPr>
                <w:rFonts w:ascii="Times" w:hAnsi="Times"/>
                <w:sz w:val="20"/>
                <w:szCs w:val="20"/>
              </w:rPr>
              <w:tab/>
            </w:r>
            <w:r>
              <w:rPr>
                <w:rFonts w:ascii="Times" w:hAnsi="Times"/>
                <w:sz w:val="20"/>
                <w:szCs w:val="20"/>
              </w:rPr>
              <w:tab/>
            </w:r>
          </w:p>
        </w:tc>
        <w:tc>
          <w:tcPr>
            <w:tcW w:w="4788" w:type="dxa"/>
          </w:tcPr>
          <w:p w14:paraId="69A230FB" w14:textId="77777777" w:rsidR="00C16D55" w:rsidRPr="00A53896" w:rsidRDefault="00C16D55" w:rsidP="001022B2">
            <w:pPr>
              <w:rPr>
                <w:rFonts w:ascii="Times" w:hAnsi="Times"/>
                <w:sz w:val="20"/>
                <w:szCs w:val="20"/>
              </w:rPr>
            </w:pPr>
            <w:r>
              <w:rPr>
                <w:rFonts w:ascii="Times" w:hAnsi="Times"/>
                <w:sz w:val="20"/>
                <w:szCs w:val="20"/>
              </w:rPr>
              <w:t>Egypt</w:t>
            </w:r>
            <w:r>
              <w:rPr>
                <w:rFonts w:ascii="Times" w:hAnsi="Times"/>
                <w:sz w:val="20"/>
                <w:szCs w:val="20"/>
              </w:rPr>
              <w:tab/>
            </w:r>
            <w:r>
              <w:rPr>
                <w:rFonts w:ascii="Times" w:hAnsi="Times"/>
                <w:sz w:val="20"/>
                <w:szCs w:val="20"/>
              </w:rPr>
              <w:tab/>
            </w:r>
            <w:r>
              <w:rPr>
                <w:rFonts w:ascii="Times" w:hAnsi="Times"/>
                <w:sz w:val="20"/>
                <w:szCs w:val="20"/>
              </w:rPr>
              <w:tab/>
              <w:t>23,326</w:t>
            </w:r>
          </w:p>
          <w:p w14:paraId="0E3E0CA4" w14:textId="77777777" w:rsidR="00C16D55" w:rsidRPr="00A53896" w:rsidRDefault="00C16D55" w:rsidP="001022B2">
            <w:pPr>
              <w:rPr>
                <w:rFonts w:ascii="Times" w:hAnsi="Times"/>
                <w:sz w:val="20"/>
                <w:szCs w:val="20"/>
              </w:rPr>
            </w:pPr>
            <w:r>
              <w:rPr>
                <w:rFonts w:ascii="Times" w:hAnsi="Times"/>
                <w:sz w:val="20"/>
                <w:szCs w:val="20"/>
              </w:rPr>
              <w:t>Argentina</w:t>
            </w:r>
            <w:r>
              <w:rPr>
                <w:rFonts w:ascii="Times" w:hAnsi="Times"/>
                <w:sz w:val="20"/>
                <w:szCs w:val="20"/>
              </w:rPr>
              <w:tab/>
            </w:r>
            <w:r>
              <w:rPr>
                <w:rFonts w:ascii="Times" w:hAnsi="Times"/>
                <w:sz w:val="20"/>
                <w:szCs w:val="20"/>
              </w:rPr>
              <w:tab/>
              <w:t>13,323</w:t>
            </w:r>
          </w:p>
          <w:p w14:paraId="7D77A1ED" w14:textId="77777777" w:rsidR="00C16D55" w:rsidRDefault="00C16D55" w:rsidP="001022B2">
            <w:pPr>
              <w:rPr>
                <w:rFonts w:ascii="Times" w:hAnsi="Times"/>
                <w:sz w:val="20"/>
                <w:szCs w:val="20"/>
              </w:rPr>
            </w:pPr>
            <w:r w:rsidRPr="00A53896">
              <w:rPr>
                <w:rFonts w:ascii="Times" w:hAnsi="Times"/>
                <w:sz w:val="20"/>
                <w:szCs w:val="20"/>
              </w:rPr>
              <w:t xml:space="preserve">Trinidad and Tobago  </w:t>
            </w:r>
            <w:r>
              <w:rPr>
                <w:rFonts w:ascii="Times" w:hAnsi="Times"/>
                <w:sz w:val="20"/>
                <w:szCs w:val="20"/>
              </w:rPr>
              <w:t xml:space="preserve">         </w:t>
            </w:r>
            <w:r w:rsidRPr="00A53896">
              <w:rPr>
                <w:rFonts w:ascii="Times" w:hAnsi="Times"/>
                <w:sz w:val="20"/>
                <w:szCs w:val="20"/>
              </w:rPr>
              <w:t xml:space="preserve"> 7, 916</w:t>
            </w:r>
          </w:p>
          <w:p w14:paraId="718C03B2" w14:textId="77777777" w:rsidR="00C16D55" w:rsidRPr="00A53896" w:rsidRDefault="00C16D55" w:rsidP="001022B2">
            <w:pPr>
              <w:rPr>
                <w:rFonts w:ascii="Times" w:hAnsi="Times"/>
                <w:sz w:val="20"/>
                <w:szCs w:val="20"/>
              </w:rPr>
            </w:pPr>
            <w:r>
              <w:rPr>
                <w:rFonts w:ascii="Times" w:hAnsi="Times"/>
                <w:sz w:val="20"/>
                <w:szCs w:val="20"/>
              </w:rPr>
              <w:t>Panama                                 4, 075</w:t>
            </w:r>
          </w:p>
          <w:p w14:paraId="2376B495" w14:textId="77777777" w:rsidR="00C16D55" w:rsidRPr="00A53896" w:rsidRDefault="00C16D55" w:rsidP="001022B2">
            <w:pPr>
              <w:rPr>
                <w:rFonts w:ascii="Times" w:hAnsi="Times"/>
                <w:sz w:val="20"/>
                <w:szCs w:val="20"/>
              </w:rPr>
            </w:pPr>
            <w:r w:rsidRPr="00A53896">
              <w:rPr>
                <w:rFonts w:ascii="Times" w:hAnsi="Times"/>
                <w:sz w:val="20"/>
                <w:szCs w:val="20"/>
              </w:rPr>
              <w:t>Turkey</w:t>
            </w:r>
            <w:r w:rsidRPr="00A53896">
              <w:rPr>
                <w:rFonts w:ascii="Times" w:hAnsi="Times"/>
                <w:sz w:val="20"/>
                <w:szCs w:val="20"/>
              </w:rPr>
              <w:tab/>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3, 661</w:t>
            </w:r>
          </w:p>
        </w:tc>
      </w:tr>
    </w:tbl>
    <w:p w14:paraId="7537BA5A" w14:textId="77777777" w:rsidR="00C16D55" w:rsidRPr="00A53896" w:rsidRDefault="00C16D55" w:rsidP="00C16D55">
      <w:pPr>
        <w:rPr>
          <w:rFonts w:ascii="Times" w:hAnsi="Times"/>
          <w:sz w:val="20"/>
          <w:szCs w:val="20"/>
        </w:rPr>
      </w:pPr>
    </w:p>
    <w:p w14:paraId="75F4FF76" w14:textId="77777777" w:rsidR="00C16D55" w:rsidRPr="0052355A" w:rsidRDefault="00C16D55" w:rsidP="00C16D55">
      <w:pPr>
        <w:outlineLvl w:val="0"/>
        <w:rPr>
          <w:rFonts w:ascii="Times" w:hAnsi="Times"/>
          <w:sz w:val="20"/>
          <w:szCs w:val="20"/>
        </w:rPr>
      </w:pPr>
      <w:r w:rsidRPr="00A53896">
        <w:rPr>
          <w:rFonts w:ascii="Times" w:hAnsi="Times"/>
          <w:sz w:val="20"/>
          <w:szCs w:val="20"/>
        </w:rPr>
        <w:t>Source: U.S. Bureau of Economic Analysis</w:t>
      </w:r>
    </w:p>
    <w:p w14:paraId="52F939F1" w14:textId="77777777" w:rsidR="00C16D55" w:rsidRDefault="00C16D55" w:rsidP="00C16D55"/>
    <w:p w14:paraId="3E30B7EE" w14:textId="77777777" w:rsidR="00C16D55" w:rsidRDefault="00C16D55" w:rsidP="00C16D55"/>
    <w:p w14:paraId="6C4B01D6" w14:textId="77777777" w:rsidR="007B3C6C" w:rsidRDefault="007B3C6C" w:rsidP="007B3C6C"/>
    <w:p w14:paraId="149265CE" w14:textId="77777777" w:rsidR="007B3C6C" w:rsidRPr="00A53896" w:rsidRDefault="007B3C6C" w:rsidP="007B3C6C">
      <w:pPr>
        <w:jc w:val="center"/>
        <w:rPr>
          <w:b/>
          <w:sz w:val="20"/>
          <w:szCs w:val="20"/>
        </w:rPr>
      </w:pPr>
      <w:r w:rsidRPr="00A53896">
        <w:rPr>
          <w:b/>
          <w:sz w:val="20"/>
          <w:szCs w:val="20"/>
          <w:lang w:val="en-CA"/>
        </w:rPr>
        <w:t xml:space="preserve">Table </w:t>
      </w:r>
      <w:r>
        <w:rPr>
          <w:b/>
          <w:sz w:val="20"/>
          <w:szCs w:val="20"/>
          <w:lang w:val="en-CA"/>
        </w:rPr>
        <w:t>3</w:t>
      </w:r>
      <w:r w:rsidRPr="00A53896">
        <w:rPr>
          <w:b/>
          <w:sz w:val="20"/>
          <w:szCs w:val="20"/>
          <w:lang w:val="en-CA"/>
        </w:rPr>
        <w:t xml:space="preserve">: U.S.-Canada </w:t>
      </w:r>
      <w:r w:rsidRPr="00A53896">
        <w:rPr>
          <w:b/>
          <w:sz w:val="20"/>
          <w:szCs w:val="20"/>
        </w:rPr>
        <w:t>and U.S.-Mexico Incoming Foreign Direct Investment (IFDI) and Foreign Direct Investment Outflows (OFDI) 1993-2013.</w:t>
      </w:r>
    </w:p>
    <w:p w14:paraId="4F585B70" w14:textId="77777777" w:rsidR="007B3C6C" w:rsidRPr="00A53896" w:rsidRDefault="007B3C6C" w:rsidP="007B3C6C">
      <w:pPr>
        <w:jc w:val="center"/>
        <w:rPr>
          <w:b/>
          <w:sz w:val="20"/>
          <w:szCs w:val="20"/>
        </w:rPr>
      </w:pPr>
      <w:r w:rsidRPr="00A53896">
        <w:rPr>
          <w:b/>
          <w:sz w:val="20"/>
          <w:szCs w:val="20"/>
        </w:rPr>
        <w:t>IFDI and OFDI for all industries in US Dollars in millions.</w:t>
      </w:r>
    </w:p>
    <w:p w14:paraId="0BB8BC18" w14:textId="77777777" w:rsidR="007B3C6C" w:rsidRPr="001645C5" w:rsidRDefault="007B3C6C" w:rsidP="007B3C6C">
      <w:pPr>
        <w:jc w:val="center"/>
        <w:rPr>
          <w:sz w:val="20"/>
          <w:szCs w:val="20"/>
          <w:lang w:val="en-CA"/>
        </w:rPr>
      </w:pPr>
    </w:p>
    <w:tbl>
      <w:tblPr>
        <w:tblW w:w="11489" w:type="dxa"/>
        <w:tblInd w:w="-1026" w:type="dxa"/>
        <w:tblLayout w:type="fixed"/>
        <w:tblLook w:val="04A0" w:firstRow="1" w:lastRow="0" w:firstColumn="1" w:lastColumn="0" w:noHBand="0" w:noVBand="1"/>
      </w:tblPr>
      <w:tblGrid>
        <w:gridCol w:w="1192"/>
        <w:gridCol w:w="936"/>
        <w:gridCol w:w="936"/>
        <w:gridCol w:w="936"/>
        <w:gridCol w:w="936"/>
        <w:gridCol w:w="936"/>
        <w:gridCol w:w="936"/>
        <w:gridCol w:w="936"/>
        <w:gridCol w:w="936"/>
        <w:gridCol w:w="936"/>
        <w:gridCol w:w="936"/>
        <w:gridCol w:w="937"/>
      </w:tblGrid>
      <w:tr w:rsidR="007B3C6C" w:rsidRPr="001645C5" w14:paraId="021CDFEE" w14:textId="77777777" w:rsidTr="00BC2582">
        <w:trPr>
          <w:trHeight w:val="227"/>
        </w:trPr>
        <w:tc>
          <w:tcPr>
            <w:tcW w:w="1192" w:type="dxa"/>
            <w:shd w:val="clear" w:color="auto" w:fill="auto"/>
          </w:tcPr>
          <w:p w14:paraId="4914A77B" w14:textId="77777777" w:rsidR="007B3C6C" w:rsidRPr="001645C5" w:rsidRDefault="007B3C6C" w:rsidP="00BC2582">
            <w:pPr>
              <w:jc w:val="center"/>
              <w:rPr>
                <w:sz w:val="20"/>
                <w:szCs w:val="20"/>
              </w:rPr>
            </w:pPr>
          </w:p>
        </w:tc>
        <w:tc>
          <w:tcPr>
            <w:tcW w:w="936" w:type="dxa"/>
            <w:shd w:val="clear" w:color="auto" w:fill="auto"/>
          </w:tcPr>
          <w:p w14:paraId="3869ED74" w14:textId="77777777" w:rsidR="007B3C6C" w:rsidRPr="001645C5" w:rsidRDefault="007B3C6C" w:rsidP="00BC2582">
            <w:pPr>
              <w:jc w:val="center"/>
              <w:rPr>
                <w:b/>
                <w:sz w:val="20"/>
                <w:szCs w:val="20"/>
              </w:rPr>
            </w:pPr>
            <w:r w:rsidRPr="001645C5">
              <w:rPr>
                <w:b/>
                <w:sz w:val="20"/>
                <w:szCs w:val="20"/>
              </w:rPr>
              <w:t>1993</w:t>
            </w:r>
          </w:p>
        </w:tc>
        <w:tc>
          <w:tcPr>
            <w:tcW w:w="936" w:type="dxa"/>
            <w:shd w:val="clear" w:color="auto" w:fill="auto"/>
          </w:tcPr>
          <w:p w14:paraId="52C757D3" w14:textId="77777777" w:rsidR="007B3C6C" w:rsidRPr="001645C5" w:rsidRDefault="007B3C6C" w:rsidP="00BC2582">
            <w:pPr>
              <w:jc w:val="center"/>
              <w:rPr>
                <w:b/>
                <w:sz w:val="20"/>
                <w:szCs w:val="20"/>
              </w:rPr>
            </w:pPr>
            <w:r w:rsidRPr="001645C5">
              <w:rPr>
                <w:b/>
                <w:sz w:val="20"/>
                <w:szCs w:val="20"/>
              </w:rPr>
              <w:t>1995</w:t>
            </w:r>
          </w:p>
        </w:tc>
        <w:tc>
          <w:tcPr>
            <w:tcW w:w="936" w:type="dxa"/>
            <w:shd w:val="clear" w:color="auto" w:fill="auto"/>
          </w:tcPr>
          <w:p w14:paraId="44812DF1" w14:textId="77777777" w:rsidR="007B3C6C" w:rsidRPr="001645C5" w:rsidRDefault="007B3C6C" w:rsidP="00BC2582">
            <w:pPr>
              <w:jc w:val="center"/>
              <w:rPr>
                <w:b/>
                <w:sz w:val="20"/>
                <w:szCs w:val="20"/>
              </w:rPr>
            </w:pPr>
            <w:r w:rsidRPr="001645C5">
              <w:rPr>
                <w:b/>
                <w:sz w:val="20"/>
                <w:szCs w:val="20"/>
              </w:rPr>
              <w:t>1997</w:t>
            </w:r>
          </w:p>
        </w:tc>
        <w:tc>
          <w:tcPr>
            <w:tcW w:w="936" w:type="dxa"/>
            <w:shd w:val="clear" w:color="auto" w:fill="auto"/>
          </w:tcPr>
          <w:p w14:paraId="2ACC4CCB" w14:textId="77777777" w:rsidR="007B3C6C" w:rsidRPr="001645C5" w:rsidRDefault="007B3C6C" w:rsidP="00BC2582">
            <w:pPr>
              <w:jc w:val="center"/>
              <w:rPr>
                <w:b/>
                <w:sz w:val="20"/>
                <w:szCs w:val="20"/>
              </w:rPr>
            </w:pPr>
            <w:r w:rsidRPr="001645C5">
              <w:rPr>
                <w:b/>
                <w:sz w:val="20"/>
                <w:szCs w:val="20"/>
              </w:rPr>
              <w:t>1999</w:t>
            </w:r>
          </w:p>
        </w:tc>
        <w:tc>
          <w:tcPr>
            <w:tcW w:w="936" w:type="dxa"/>
            <w:shd w:val="clear" w:color="auto" w:fill="auto"/>
          </w:tcPr>
          <w:p w14:paraId="7AAAE434" w14:textId="77777777" w:rsidR="007B3C6C" w:rsidRPr="001645C5" w:rsidRDefault="007B3C6C" w:rsidP="00BC2582">
            <w:pPr>
              <w:jc w:val="center"/>
              <w:rPr>
                <w:b/>
                <w:sz w:val="20"/>
                <w:szCs w:val="20"/>
              </w:rPr>
            </w:pPr>
            <w:r w:rsidRPr="001645C5">
              <w:rPr>
                <w:b/>
                <w:sz w:val="20"/>
                <w:szCs w:val="20"/>
              </w:rPr>
              <w:t>2001</w:t>
            </w:r>
          </w:p>
        </w:tc>
        <w:tc>
          <w:tcPr>
            <w:tcW w:w="936" w:type="dxa"/>
            <w:shd w:val="clear" w:color="auto" w:fill="auto"/>
          </w:tcPr>
          <w:p w14:paraId="0901A4A4" w14:textId="77777777" w:rsidR="007B3C6C" w:rsidRPr="001645C5" w:rsidRDefault="007B3C6C" w:rsidP="00BC2582">
            <w:pPr>
              <w:jc w:val="center"/>
              <w:rPr>
                <w:b/>
                <w:sz w:val="20"/>
                <w:szCs w:val="20"/>
              </w:rPr>
            </w:pPr>
            <w:r w:rsidRPr="001645C5">
              <w:rPr>
                <w:b/>
                <w:sz w:val="20"/>
                <w:szCs w:val="20"/>
              </w:rPr>
              <w:t>2003</w:t>
            </w:r>
          </w:p>
        </w:tc>
        <w:tc>
          <w:tcPr>
            <w:tcW w:w="936" w:type="dxa"/>
            <w:shd w:val="clear" w:color="auto" w:fill="auto"/>
          </w:tcPr>
          <w:p w14:paraId="1F15E3E6" w14:textId="77777777" w:rsidR="007B3C6C" w:rsidRPr="001645C5" w:rsidRDefault="007B3C6C" w:rsidP="00BC2582">
            <w:pPr>
              <w:jc w:val="center"/>
              <w:rPr>
                <w:b/>
                <w:sz w:val="20"/>
                <w:szCs w:val="20"/>
              </w:rPr>
            </w:pPr>
            <w:r w:rsidRPr="001645C5">
              <w:rPr>
                <w:b/>
                <w:sz w:val="20"/>
                <w:szCs w:val="20"/>
              </w:rPr>
              <w:t>2005</w:t>
            </w:r>
          </w:p>
        </w:tc>
        <w:tc>
          <w:tcPr>
            <w:tcW w:w="936" w:type="dxa"/>
            <w:shd w:val="clear" w:color="auto" w:fill="auto"/>
          </w:tcPr>
          <w:p w14:paraId="25D4AA80" w14:textId="77777777" w:rsidR="007B3C6C" w:rsidRPr="001645C5" w:rsidRDefault="007B3C6C" w:rsidP="00BC2582">
            <w:pPr>
              <w:jc w:val="center"/>
              <w:rPr>
                <w:b/>
                <w:sz w:val="20"/>
                <w:szCs w:val="20"/>
              </w:rPr>
            </w:pPr>
            <w:r w:rsidRPr="001645C5">
              <w:rPr>
                <w:b/>
                <w:sz w:val="20"/>
                <w:szCs w:val="20"/>
              </w:rPr>
              <w:t>2007</w:t>
            </w:r>
          </w:p>
        </w:tc>
        <w:tc>
          <w:tcPr>
            <w:tcW w:w="936" w:type="dxa"/>
            <w:shd w:val="clear" w:color="auto" w:fill="auto"/>
          </w:tcPr>
          <w:p w14:paraId="6A9DAFF6" w14:textId="77777777" w:rsidR="007B3C6C" w:rsidRPr="001645C5" w:rsidRDefault="007B3C6C" w:rsidP="00BC2582">
            <w:pPr>
              <w:jc w:val="center"/>
              <w:rPr>
                <w:b/>
                <w:sz w:val="20"/>
                <w:szCs w:val="20"/>
              </w:rPr>
            </w:pPr>
            <w:r w:rsidRPr="001645C5">
              <w:rPr>
                <w:b/>
                <w:sz w:val="20"/>
                <w:szCs w:val="20"/>
              </w:rPr>
              <w:t>2009</w:t>
            </w:r>
          </w:p>
        </w:tc>
        <w:tc>
          <w:tcPr>
            <w:tcW w:w="936" w:type="dxa"/>
            <w:shd w:val="clear" w:color="auto" w:fill="auto"/>
          </w:tcPr>
          <w:p w14:paraId="3E746ACD" w14:textId="77777777" w:rsidR="007B3C6C" w:rsidRPr="001645C5" w:rsidRDefault="007B3C6C" w:rsidP="00BC2582">
            <w:pPr>
              <w:jc w:val="center"/>
              <w:rPr>
                <w:b/>
                <w:sz w:val="20"/>
                <w:szCs w:val="20"/>
              </w:rPr>
            </w:pPr>
            <w:r w:rsidRPr="001645C5">
              <w:rPr>
                <w:b/>
                <w:sz w:val="20"/>
                <w:szCs w:val="20"/>
              </w:rPr>
              <w:t>2011</w:t>
            </w:r>
          </w:p>
        </w:tc>
        <w:tc>
          <w:tcPr>
            <w:tcW w:w="937" w:type="dxa"/>
            <w:shd w:val="clear" w:color="auto" w:fill="auto"/>
          </w:tcPr>
          <w:p w14:paraId="13320CAC" w14:textId="77777777" w:rsidR="007B3C6C" w:rsidRPr="001645C5" w:rsidRDefault="007B3C6C" w:rsidP="00BC2582">
            <w:pPr>
              <w:jc w:val="center"/>
              <w:rPr>
                <w:b/>
                <w:sz w:val="20"/>
                <w:szCs w:val="20"/>
              </w:rPr>
            </w:pPr>
            <w:r w:rsidRPr="001645C5">
              <w:rPr>
                <w:b/>
                <w:sz w:val="20"/>
                <w:szCs w:val="20"/>
              </w:rPr>
              <w:t>2013</w:t>
            </w:r>
          </w:p>
        </w:tc>
      </w:tr>
      <w:tr w:rsidR="007B3C6C" w:rsidRPr="001645C5" w14:paraId="6877394D" w14:textId="77777777" w:rsidTr="00BC2582">
        <w:trPr>
          <w:trHeight w:val="475"/>
        </w:trPr>
        <w:tc>
          <w:tcPr>
            <w:tcW w:w="1192" w:type="dxa"/>
            <w:shd w:val="clear" w:color="auto" w:fill="auto"/>
          </w:tcPr>
          <w:p w14:paraId="28C75ED7" w14:textId="77777777" w:rsidR="007B3C6C" w:rsidRPr="001645C5" w:rsidRDefault="007B3C6C" w:rsidP="00BC2582">
            <w:pPr>
              <w:jc w:val="center"/>
              <w:rPr>
                <w:b/>
                <w:sz w:val="20"/>
                <w:szCs w:val="20"/>
              </w:rPr>
            </w:pPr>
            <w:r w:rsidRPr="001645C5">
              <w:rPr>
                <w:b/>
                <w:sz w:val="20"/>
                <w:szCs w:val="20"/>
              </w:rPr>
              <w:t>U.S.-Canada IFDI</w:t>
            </w:r>
          </w:p>
        </w:tc>
        <w:tc>
          <w:tcPr>
            <w:tcW w:w="936" w:type="dxa"/>
            <w:shd w:val="clear" w:color="auto" w:fill="auto"/>
          </w:tcPr>
          <w:p w14:paraId="038E2C7D" w14:textId="77777777" w:rsidR="007B3C6C" w:rsidRPr="001645C5" w:rsidRDefault="007B3C6C" w:rsidP="00BC2582">
            <w:pPr>
              <w:jc w:val="center"/>
              <w:rPr>
                <w:sz w:val="20"/>
                <w:szCs w:val="20"/>
              </w:rPr>
            </w:pPr>
            <w:r w:rsidRPr="001645C5">
              <w:rPr>
                <w:sz w:val="20"/>
                <w:szCs w:val="20"/>
              </w:rPr>
              <w:t>40.373</w:t>
            </w:r>
          </w:p>
          <w:p w14:paraId="004D5B61" w14:textId="77777777" w:rsidR="007B3C6C" w:rsidRPr="001645C5" w:rsidRDefault="007B3C6C" w:rsidP="00BC2582">
            <w:pPr>
              <w:jc w:val="center"/>
              <w:rPr>
                <w:sz w:val="20"/>
                <w:szCs w:val="20"/>
              </w:rPr>
            </w:pPr>
          </w:p>
        </w:tc>
        <w:tc>
          <w:tcPr>
            <w:tcW w:w="936" w:type="dxa"/>
            <w:shd w:val="clear" w:color="auto" w:fill="auto"/>
          </w:tcPr>
          <w:p w14:paraId="32B752E9" w14:textId="77777777" w:rsidR="007B3C6C" w:rsidRPr="001645C5" w:rsidRDefault="007B3C6C" w:rsidP="00BC2582">
            <w:pPr>
              <w:jc w:val="center"/>
              <w:rPr>
                <w:sz w:val="20"/>
                <w:szCs w:val="20"/>
              </w:rPr>
            </w:pPr>
            <w:r w:rsidRPr="001645C5">
              <w:rPr>
                <w:sz w:val="20"/>
                <w:szCs w:val="20"/>
              </w:rPr>
              <w:t>45.618</w:t>
            </w:r>
          </w:p>
          <w:p w14:paraId="3DF470BD" w14:textId="77777777" w:rsidR="007B3C6C" w:rsidRPr="001645C5" w:rsidRDefault="007B3C6C" w:rsidP="00BC2582">
            <w:pPr>
              <w:jc w:val="center"/>
              <w:rPr>
                <w:sz w:val="20"/>
                <w:szCs w:val="20"/>
              </w:rPr>
            </w:pPr>
          </w:p>
        </w:tc>
        <w:tc>
          <w:tcPr>
            <w:tcW w:w="936" w:type="dxa"/>
            <w:shd w:val="clear" w:color="auto" w:fill="auto"/>
          </w:tcPr>
          <w:p w14:paraId="6595DE72" w14:textId="77777777" w:rsidR="007B3C6C" w:rsidRPr="001645C5" w:rsidRDefault="007B3C6C" w:rsidP="00BC2582">
            <w:pPr>
              <w:jc w:val="center"/>
              <w:rPr>
                <w:sz w:val="20"/>
                <w:szCs w:val="20"/>
              </w:rPr>
            </w:pPr>
            <w:r w:rsidRPr="001645C5">
              <w:rPr>
                <w:sz w:val="20"/>
                <w:szCs w:val="20"/>
              </w:rPr>
              <w:t>65.175</w:t>
            </w:r>
          </w:p>
          <w:p w14:paraId="4183A8CF" w14:textId="77777777" w:rsidR="007B3C6C" w:rsidRPr="001645C5" w:rsidRDefault="007B3C6C" w:rsidP="00BC2582">
            <w:pPr>
              <w:jc w:val="center"/>
              <w:rPr>
                <w:sz w:val="20"/>
                <w:szCs w:val="20"/>
              </w:rPr>
            </w:pPr>
          </w:p>
        </w:tc>
        <w:tc>
          <w:tcPr>
            <w:tcW w:w="936" w:type="dxa"/>
            <w:shd w:val="clear" w:color="auto" w:fill="auto"/>
          </w:tcPr>
          <w:p w14:paraId="72EFEE87" w14:textId="77777777" w:rsidR="007B3C6C" w:rsidRPr="001645C5" w:rsidRDefault="007B3C6C" w:rsidP="00BC2582">
            <w:pPr>
              <w:jc w:val="center"/>
              <w:rPr>
                <w:sz w:val="20"/>
                <w:szCs w:val="20"/>
              </w:rPr>
            </w:pPr>
            <w:r w:rsidRPr="001645C5">
              <w:rPr>
                <w:sz w:val="20"/>
                <w:szCs w:val="20"/>
              </w:rPr>
              <w:t>90.559</w:t>
            </w:r>
          </w:p>
          <w:p w14:paraId="799EAF5E" w14:textId="77777777" w:rsidR="007B3C6C" w:rsidRPr="001645C5" w:rsidRDefault="007B3C6C" w:rsidP="00BC2582">
            <w:pPr>
              <w:jc w:val="center"/>
              <w:rPr>
                <w:sz w:val="20"/>
                <w:szCs w:val="20"/>
              </w:rPr>
            </w:pPr>
          </w:p>
        </w:tc>
        <w:tc>
          <w:tcPr>
            <w:tcW w:w="936" w:type="dxa"/>
            <w:shd w:val="clear" w:color="auto" w:fill="auto"/>
          </w:tcPr>
          <w:p w14:paraId="57BAB2F1" w14:textId="77777777" w:rsidR="007B3C6C" w:rsidRPr="001645C5" w:rsidRDefault="007B3C6C" w:rsidP="00BC2582">
            <w:pPr>
              <w:jc w:val="center"/>
              <w:rPr>
                <w:sz w:val="20"/>
                <w:szCs w:val="20"/>
              </w:rPr>
            </w:pPr>
            <w:r w:rsidRPr="001645C5">
              <w:rPr>
                <w:sz w:val="20"/>
                <w:szCs w:val="20"/>
              </w:rPr>
              <w:t>92.420</w:t>
            </w:r>
          </w:p>
          <w:p w14:paraId="306FA2E4" w14:textId="77777777" w:rsidR="007B3C6C" w:rsidRPr="001645C5" w:rsidRDefault="007B3C6C" w:rsidP="00BC2582">
            <w:pPr>
              <w:jc w:val="center"/>
              <w:rPr>
                <w:sz w:val="20"/>
                <w:szCs w:val="20"/>
              </w:rPr>
            </w:pPr>
          </w:p>
        </w:tc>
        <w:tc>
          <w:tcPr>
            <w:tcW w:w="936" w:type="dxa"/>
            <w:shd w:val="clear" w:color="auto" w:fill="auto"/>
          </w:tcPr>
          <w:p w14:paraId="45C8C86A" w14:textId="77777777" w:rsidR="007B3C6C" w:rsidRPr="001645C5" w:rsidRDefault="007B3C6C" w:rsidP="00BC2582">
            <w:pPr>
              <w:jc w:val="center"/>
              <w:rPr>
                <w:sz w:val="20"/>
                <w:szCs w:val="20"/>
              </w:rPr>
            </w:pPr>
            <w:r w:rsidRPr="001645C5">
              <w:rPr>
                <w:sz w:val="20"/>
                <w:szCs w:val="20"/>
              </w:rPr>
              <w:t>95.707</w:t>
            </w:r>
          </w:p>
          <w:p w14:paraId="42BD5E34" w14:textId="77777777" w:rsidR="007B3C6C" w:rsidRPr="001645C5" w:rsidRDefault="007B3C6C" w:rsidP="00BC2582">
            <w:pPr>
              <w:jc w:val="center"/>
              <w:rPr>
                <w:sz w:val="20"/>
                <w:szCs w:val="20"/>
              </w:rPr>
            </w:pPr>
          </w:p>
        </w:tc>
        <w:tc>
          <w:tcPr>
            <w:tcW w:w="936" w:type="dxa"/>
            <w:shd w:val="clear" w:color="auto" w:fill="auto"/>
          </w:tcPr>
          <w:p w14:paraId="75D3C69B" w14:textId="77777777" w:rsidR="007B3C6C" w:rsidRPr="001645C5" w:rsidRDefault="007B3C6C" w:rsidP="00BC2582">
            <w:pPr>
              <w:jc w:val="center"/>
              <w:rPr>
                <w:sz w:val="20"/>
                <w:szCs w:val="20"/>
              </w:rPr>
            </w:pPr>
            <w:r w:rsidRPr="001645C5">
              <w:rPr>
                <w:sz w:val="20"/>
                <w:szCs w:val="20"/>
              </w:rPr>
              <w:t>165.667</w:t>
            </w:r>
          </w:p>
          <w:p w14:paraId="587720B8" w14:textId="77777777" w:rsidR="007B3C6C" w:rsidRPr="001645C5" w:rsidRDefault="007B3C6C" w:rsidP="00BC2582">
            <w:pPr>
              <w:jc w:val="center"/>
              <w:rPr>
                <w:sz w:val="20"/>
                <w:szCs w:val="20"/>
              </w:rPr>
            </w:pPr>
          </w:p>
        </w:tc>
        <w:tc>
          <w:tcPr>
            <w:tcW w:w="936" w:type="dxa"/>
            <w:shd w:val="clear" w:color="auto" w:fill="auto"/>
          </w:tcPr>
          <w:p w14:paraId="6D2F08C9" w14:textId="77777777" w:rsidR="007B3C6C" w:rsidRPr="001645C5" w:rsidRDefault="007B3C6C" w:rsidP="00BC2582">
            <w:pPr>
              <w:jc w:val="center"/>
              <w:rPr>
                <w:sz w:val="20"/>
                <w:szCs w:val="20"/>
              </w:rPr>
            </w:pPr>
            <w:r w:rsidRPr="001645C5">
              <w:rPr>
                <w:sz w:val="20"/>
                <w:szCs w:val="20"/>
              </w:rPr>
              <w:t>201.924</w:t>
            </w:r>
          </w:p>
          <w:p w14:paraId="4070EDF9" w14:textId="77777777" w:rsidR="007B3C6C" w:rsidRPr="001645C5" w:rsidRDefault="007B3C6C" w:rsidP="00BC2582">
            <w:pPr>
              <w:jc w:val="center"/>
              <w:rPr>
                <w:sz w:val="20"/>
                <w:szCs w:val="20"/>
              </w:rPr>
            </w:pPr>
          </w:p>
        </w:tc>
        <w:tc>
          <w:tcPr>
            <w:tcW w:w="936" w:type="dxa"/>
            <w:shd w:val="clear" w:color="auto" w:fill="auto"/>
          </w:tcPr>
          <w:p w14:paraId="4766331D" w14:textId="77777777" w:rsidR="007B3C6C" w:rsidRPr="001645C5" w:rsidRDefault="007B3C6C" w:rsidP="00BC2582">
            <w:pPr>
              <w:jc w:val="center"/>
              <w:rPr>
                <w:sz w:val="20"/>
                <w:szCs w:val="20"/>
              </w:rPr>
            </w:pPr>
            <w:r w:rsidRPr="001645C5">
              <w:rPr>
                <w:sz w:val="20"/>
                <w:szCs w:val="20"/>
              </w:rPr>
              <w:t>188.943</w:t>
            </w:r>
          </w:p>
          <w:p w14:paraId="36C3A837" w14:textId="77777777" w:rsidR="007B3C6C" w:rsidRPr="001645C5" w:rsidRDefault="007B3C6C" w:rsidP="00BC2582">
            <w:pPr>
              <w:jc w:val="center"/>
              <w:rPr>
                <w:sz w:val="20"/>
                <w:szCs w:val="20"/>
              </w:rPr>
            </w:pPr>
          </w:p>
        </w:tc>
        <w:tc>
          <w:tcPr>
            <w:tcW w:w="936" w:type="dxa"/>
            <w:shd w:val="clear" w:color="auto" w:fill="auto"/>
          </w:tcPr>
          <w:p w14:paraId="0B19272B" w14:textId="77777777" w:rsidR="007B3C6C" w:rsidRPr="001645C5" w:rsidRDefault="007B3C6C" w:rsidP="00BC2582">
            <w:pPr>
              <w:jc w:val="center"/>
              <w:rPr>
                <w:sz w:val="20"/>
                <w:szCs w:val="20"/>
              </w:rPr>
            </w:pPr>
            <w:r w:rsidRPr="001645C5">
              <w:rPr>
                <w:sz w:val="20"/>
                <w:szCs w:val="20"/>
              </w:rPr>
              <w:t>205.225</w:t>
            </w:r>
          </w:p>
          <w:p w14:paraId="5F004049" w14:textId="77777777" w:rsidR="007B3C6C" w:rsidRPr="001645C5" w:rsidRDefault="007B3C6C" w:rsidP="00BC2582">
            <w:pPr>
              <w:jc w:val="center"/>
              <w:rPr>
                <w:sz w:val="20"/>
                <w:szCs w:val="20"/>
              </w:rPr>
            </w:pPr>
          </w:p>
        </w:tc>
        <w:tc>
          <w:tcPr>
            <w:tcW w:w="937" w:type="dxa"/>
            <w:shd w:val="clear" w:color="auto" w:fill="auto"/>
          </w:tcPr>
          <w:p w14:paraId="27AF1C0B" w14:textId="77777777" w:rsidR="007B3C6C" w:rsidRPr="001645C5" w:rsidRDefault="007B3C6C" w:rsidP="00BC2582">
            <w:pPr>
              <w:jc w:val="center"/>
              <w:rPr>
                <w:sz w:val="20"/>
                <w:szCs w:val="20"/>
              </w:rPr>
            </w:pPr>
            <w:r w:rsidRPr="001645C5">
              <w:rPr>
                <w:sz w:val="20"/>
                <w:szCs w:val="20"/>
              </w:rPr>
              <w:t>235.247</w:t>
            </w:r>
          </w:p>
          <w:p w14:paraId="03D39E94" w14:textId="77777777" w:rsidR="007B3C6C" w:rsidRPr="001645C5" w:rsidRDefault="007B3C6C" w:rsidP="00BC2582">
            <w:pPr>
              <w:jc w:val="center"/>
              <w:rPr>
                <w:sz w:val="20"/>
                <w:szCs w:val="20"/>
              </w:rPr>
            </w:pPr>
          </w:p>
        </w:tc>
      </w:tr>
      <w:tr w:rsidR="007B3C6C" w:rsidRPr="001645C5" w14:paraId="3B526846" w14:textId="77777777" w:rsidTr="00BC2582">
        <w:trPr>
          <w:trHeight w:val="475"/>
        </w:trPr>
        <w:tc>
          <w:tcPr>
            <w:tcW w:w="1192" w:type="dxa"/>
            <w:shd w:val="clear" w:color="auto" w:fill="auto"/>
          </w:tcPr>
          <w:p w14:paraId="40DE3F40" w14:textId="77777777" w:rsidR="007B3C6C" w:rsidRPr="001645C5" w:rsidRDefault="007B3C6C" w:rsidP="00BC2582">
            <w:pPr>
              <w:jc w:val="center"/>
              <w:rPr>
                <w:b/>
                <w:sz w:val="20"/>
                <w:szCs w:val="20"/>
              </w:rPr>
            </w:pPr>
            <w:r w:rsidRPr="001645C5">
              <w:rPr>
                <w:b/>
                <w:sz w:val="20"/>
                <w:szCs w:val="20"/>
              </w:rPr>
              <w:t>U.S.-Mexico IFDI</w:t>
            </w:r>
          </w:p>
        </w:tc>
        <w:tc>
          <w:tcPr>
            <w:tcW w:w="936" w:type="dxa"/>
            <w:shd w:val="clear" w:color="auto" w:fill="auto"/>
          </w:tcPr>
          <w:p w14:paraId="292D52E4" w14:textId="77777777" w:rsidR="007B3C6C" w:rsidRPr="001645C5" w:rsidRDefault="007B3C6C" w:rsidP="00BC2582">
            <w:pPr>
              <w:jc w:val="center"/>
              <w:rPr>
                <w:sz w:val="20"/>
                <w:szCs w:val="20"/>
              </w:rPr>
            </w:pPr>
            <w:r w:rsidRPr="001645C5">
              <w:rPr>
                <w:sz w:val="20"/>
                <w:szCs w:val="20"/>
              </w:rPr>
              <w:t>1.244</w:t>
            </w:r>
          </w:p>
          <w:p w14:paraId="4AD1CA19" w14:textId="77777777" w:rsidR="007B3C6C" w:rsidRPr="001645C5" w:rsidRDefault="007B3C6C" w:rsidP="00BC2582">
            <w:pPr>
              <w:jc w:val="center"/>
              <w:rPr>
                <w:sz w:val="20"/>
                <w:szCs w:val="20"/>
              </w:rPr>
            </w:pPr>
          </w:p>
        </w:tc>
        <w:tc>
          <w:tcPr>
            <w:tcW w:w="936" w:type="dxa"/>
            <w:shd w:val="clear" w:color="auto" w:fill="auto"/>
          </w:tcPr>
          <w:p w14:paraId="6D42EFAE" w14:textId="77777777" w:rsidR="007B3C6C" w:rsidRPr="001645C5" w:rsidRDefault="007B3C6C" w:rsidP="00BC2582">
            <w:pPr>
              <w:jc w:val="center"/>
              <w:rPr>
                <w:sz w:val="20"/>
                <w:szCs w:val="20"/>
              </w:rPr>
            </w:pPr>
            <w:r w:rsidRPr="001645C5">
              <w:rPr>
                <w:sz w:val="20"/>
                <w:szCs w:val="20"/>
              </w:rPr>
              <w:t>1.850</w:t>
            </w:r>
          </w:p>
          <w:p w14:paraId="3BF1D4CE" w14:textId="77777777" w:rsidR="007B3C6C" w:rsidRPr="001645C5" w:rsidRDefault="007B3C6C" w:rsidP="00BC2582">
            <w:pPr>
              <w:jc w:val="center"/>
              <w:rPr>
                <w:sz w:val="20"/>
                <w:szCs w:val="20"/>
              </w:rPr>
            </w:pPr>
          </w:p>
        </w:tc>
        <w:tc>
          <w:tcPr>
            <w:tcW w:w="936" w:type="dxa"/>
            <w:shd w:val="clear" w:color="auto" w:fill="auto"/>
          </w:tcPr>
          <w:p w14:paraId="477DC092" w14:textId="77777777" w:rsidR="007B3C6C" w:rsidRPr="001645C5" w:rsidRDefault="007B3C6C" w:rsidP="00BC2582">
            <w:pPr>
              <w:jc w:val="center"/>
              <w:rPr>
                <w:sz w:val="20"/>
                <w:szCs w:val="20"/>
              </w:rPr>
            </w:pPr>
            <w:r w:rsidRPr="001645C5">
              <w:rPr>
                <w:sz w:val="20"/>
                <w:szCs w:val="20"/>
              </w:rPr>
              <w:t>3.100</w:t>
            </w:r>
          </w:p>
          <w:p w14:paraId="3E5183CC" w14:textId="77777777" w:rsidR="007B3C6C" w:rsidRPr="001645C5" w:rsidRDefault="007B3C6C" w:rsidP="00BC2582">
            <w:pPr>
              <w:jc w:val="center"/>
              <w:rPr>
                <w:sz w:val="20"/>
                <w:szCs w:val="20"/>
              </w:rPr>
            </w:pPr>
          </w:p>
        </w:tc>
        <w:tc>
          <w:tcPr>
            <w:tcW w:w="936" w:type="dxa"/>
            <w:shd w:val="clear" w:color="auto" w:fill="auto"/>
          </w:tcPr>
          <w:p w14:paraId="5839EC05" w14:textId="77777777" w:rsidR="007B3C6C" w:rsidRPr="001645C5" w:rsidRDefault="007B3C6C" w:rsidP="00BC2582">
            <w:pPr>
              <w:jc w:val="center"/>
              <w:rPr>
                <w:sz w:val="20"/>
                <w:szCs w:val="20"/>
              </w:rPr>
            </w:pPr>
            <w:r w:rsidRPr="001645C5">
              <w:rPr>
                <w:sz w:val="20"/>
                <w:szCs w:val="20"/>
              </w:rPr>
              <w:t>1.999</w:t>
            </w:r>
          </w:p>
          <w:p w14:paraId="41205D86" w14:textId="77777777" w:rsidR="007B3C6C" w:rsidRPr="001645C5" w:rsidRDefault="007B3C6C" w:rsidP="00BC2582">
            <w:pPr>
              <w:jc w:val="center"/>
              <w:rPr>
                <w:sz w:val="20"/>
                <w:szCs w:val="20"/>
              </w:rPr>
            </w:pPr>
          </w:p>
        </w:tc>
        <w:tc>
          <w:tcPr>
            <w:tcW w:w="936" w:type="dxa"/>
            <w:shd w:val="clear" w:color="auto" w:fill="auto"/>
          </w:tcPr>
          <w:p w14:paraId="11B0B221" w14:textId="77777777" w:rsidR="007B3C6C" w:rsidRPr="001645C5" w:rsidRDefault="007B3C6C" w:rsidP="00BC2582">
            <w:pPr>
              <w:jc w:val="center"/>
              <w:rPr>
                <w:sz w:val="20"/>
                <w:szCs w:val="20"/>
              </w:rPr>
            </w:pPr>
            <w:r w:rsidRPr="001645C5">
              <w:rPr>
                <w:sz w:val="20"/>
                <w:szCs w:val="20"/>
              </w:rPr>
              <w:t>6.645</w:t>
            </w:r>
          </w:p>
          <w:p w14:paraId="42AE444D" w14:textId="77777777" w:rsidR="007B3C6C" w:rsidRPr="001645C5" w:rsidRDefault="007B3C6C" w:rsidP="00BC2582">
            <w:pPr>
              <w:jc w:val="center"/>
              <w:rPr>
                <w:sz w:val="20"/>
                <w:szCs w:val="20"/>
              </w:rPr>
            </w:pPr>
          </w:p>
        </w:tc>
        <w:tc>
          <w:tcPr>
            <w:tcW w:w="936" w:type="dxa"/>
            <w:shd w:val="clear" w:color="auto" w:fill="auto"/>
          </w:tcPr>
          <w:p w14:paraId="327F0D2C" w14:textId="77777777" w:rsidR="007B3C6C" w:rsidRPr="001645C5" w:rsidRDefault="007B3C6C" w:rsidP="00BC2582">
            <w:pPr>
              <w:jc w:val="center"/>
              <w:rPr>
                <w:sz w:val="20"/>
                <w:szCs w:val="20"/>
              </w:rPr>
            </w:pPr>
            <w:r w:rsidRPr="001645C5">
              <w:rPr>
                <w:sz w:val="20"/>
                <w:szCs w:val="20"/>
              </w:rPr>
              <w:t>9.022</w:t>
            </w:r>
          </w:p>
          <w:p w14:paraId="4F292A99" w14:textId="77777777" w:rsidR="007B3C6C" w:rsidRPr="001645C5" w:rsidRDefault="007B3C6C" w:rsidP="00BC2582">
            <w:pPr>
              <w:jc w:val="center"/>
              <w:rPr>
                <w:sz w:val="20"/>
                <w:szCs w:val="20"/>
              </w:rPr>
            </w:pPr>
          </w:p>
        </w:tc>
        <w:tc>
          <w:tcPr>
            <w:tcW w:w="936" w:type="dxa"/>
            <w:shd w:val="clear" w:color="auto" w:fill="auto"/>
          </w:tcPr>
          <w:p w14:paraId="795412B6" w14:textId="77777777" w:rsidR="007B3C6C" w:rsidRPr="001645C5" w:rsidRDefault="007B3C6C" w:rsidP="00BC2582">
            <w:pPr>
              <w:jc w:val="center"/>
              <w:rPr>
                <w:sz w:val="20"/>
                <w:szCs w:val="20"/>
              </w:rPr>
            </w:pPr>
            <w:r w:rsidRPr="001645C5">
              <w:rPr>
                <w:sz w:val="20"/>
                <w:szCs w:val="20"/>
              </w:rPr>
              <w:t>3.595</w:t>
            </w:r>
          </w:p>
          <w:p w14:paraId="295EB5DF" w14:textId="77777777" w:rsidR="007B3C6C" w:rsidRPr="001645C5" w:rsidRDefault="007B3C6C" w:rsidP="00BC2582">
            <w:pPr>
              <w:jc w:val="center"/>
              <w:rPr>
                <w:sz w:val="20"/>
                <w:szCs w:val="20"/>
              </w:rPr>
            </w:pPr>
          </w:p>
        </w:tc>
        <w:tc>
          <w:tcPr>
            <w:tcW w:w="936" w:type="dxa"/>
            <w:shd w:val="clear" w:color="auto" w:fill="auto"/>
          </w:tcPr>
          <w:p w14:paraId="3173F944" w14:textId="77777777" w:rsidR="007B3C6C" w:rsidRPr="001645C5" w:rsidRDefault="007B3C6C" w:rsidP="00BC2582">
            <w:pPr>
              <w:jc w:val="center"/>
              <w:rPr>
                <w:sz w:val="20"/>
                <w:szCs w:val="20"/>
              </w:rPr>
            </w:pPr>
            <w:r w:rsidRPr="001645C5">
              <w:rPr>
                <w:sz w:val="20"/>
                <w:szCs w:val="20"/>
              </w:rPr>
              <w:t>8.478</w:t>
            </w:r>
          </w:p>
          <w:p w14:paraId="492E6398" w14:textId="77777777" w:rsidR="007B3C6C" w:rsidRPr="001645C5" w:rsidRDefault="007B3C6C" w:rsidP="00BC2582">
            <w:pPr>
              <w:jc w:val="center"/>
              <w:rPr>
                <w:sz w:val="20"/>
                <w:szCs w:val="20"/>
              </w:rPr>
            </w:pPr>
          </w:p>
        </w:tc>
        <w:tc>
          <w:tcPr>
            <w:tcW w:w="936" w:type="dxa"/>
            <w:shd w:val="clear" w:color="auto" w:fill="auto"/>
          </w:tcPr>
          <w:p w14:paraId="13AF9969" w14:textId="77777777" w:rsidR="007B3C6C" w:rsidRPr="001645C5" w:rsidRDefault="007B3C6C" w:rsidP="00BC2582">
            <w:pPr>
              <w:jc w:val="center"/>
              <w:rPr>
                <w:sz w:val="20"/>
                <w:szCs w:val="20"/>
              </w:rPr>
            </w:pPr>
            <w:r w:rsidRPr="001645C5">
              <w:rPr>
                <w:sz w:val="20"/>
                <w:szCs w:val="20"/>
              </w:rPr>
              <w:t>11.111</w:t>
            </w:r>
          </w:p>
          <w:p w14:paraId="529D06CB" w14:textId="77777777" w:rsidR="007B3C6C" w:rsidRPr="001645C5" w:rsidRDefault="007B3C6C" w:rsidP="00BC2582">
            <w:pPr>
              <w:jc w:val="center"/>
              <w:rPr>
                <w:sz w:val="20"/>
                <w:szCs w:val="20"/>
              </w:rPr>
            </w:pPr>
          </w:p>
        </w:tc>
        <w:tc>
          <w:tcPr>
            <w:tcW w:w="936" w:type="dxa"/>
            <w:shd w:val="clear" w:color="auto" w:fill="auto"/>
          </w:tcPr>
          <w:p w14:paraId="6D1A75AE" w14:textId="77777777" w:rsidR="007B3C6C" w:rsidRPr="001645C5" w:rsidRDefault="007B3C6C" w:rsidP="00BC2582">
            <w:pPr>
              <w:jc w:val="center"/>
              <w:rPr>
                <w:sz w:val="20"/>
                <w:szCs w:val="20"/>
              </w:rPr>
            </w:pPr>
            <w:r w:rsidRPr="001645C5">
              <w:rPr>
                <w:sz w:val="20"/>
                <w:szCs w:val="20"/>
              </w:rPr>
              <w:t>12.500</w:t>
            </w:r>
          </w:p>
          <w:p w14:paraId="2B218F8B" w14:textId="77777777" w:rsidR="007B3C6C" w:rsidRPr="001645C5" w:rsidRDefault="007B3C6C" w:rsidP="00BC2582">
            <w:pPr>
              <w:jc w:val="center"/>
              <w:rPr>
                <w:sz w:val="20"/>
                <w:szCs w:val="20"/>
              </w:rPr>
            </w:pPr>
          </w:p>
        </w:tc>
        <w:tc>
          <w:tcPr>
            <w:tcW w:w="937" w:type="dxa"/>
            <w:shd w:val="clear" w:color="auto" w:fill="auto"/>
          </w:tcPr>
          <w:p w14:paraId="418CA0BC" w14:textId="77777777" w:rsidR="007B3C6C" w:rsidRPr="001645C5" w:rsidRDefault="007B3C6C" w:rsidP="00BC2582">
            <w:pPr>
              <w:jc w:val="center"/>
              <w:rPr>
                <w:sz w:val="20"/>
                <w:szCs w:val="20"/>
              </w:rPr>
            </w:pPr>
            <w:r w:rsidRPr="001645C5">
              <w:rPr>
                <w:sz w:val="20"/>
                <w:szCs w:val="20"/>
              </w:rPr>
              <w:t>17.036</w:t>
            </w:r>
          </w:p>
          <w:p w14:paraId="4AFF32F3" w14:textId="77777777" w:rsidR="007B3C6C" w:rsidRPr="001645C5" w:rsidRDefault="007B3C6C" w:rsidP="00BC2582">
            <w:pPr>
              <w:jc w:val="center"/>
              <w:rPr>
                <w:sz w:val="20"/>
                <w:szCs w:val="20"/>
              </w:rPr>
            </w:pPr>
          </w:p>
        </w:tc>
      </w:tr>
      <w:tr w:rsidR="007B3C6C" w:rsidRPr="001645C5" w14:paraId="5F42863D" w14:textId="77777777" w:rsidTr="00BC2582">
        <w:trPr>
          <w:trHeight w:val="475"/>
        </w:trPr>
        <w:tc>
          <w:tcPr>
            <w:tcW w:w="1192" w:type="dxa"/>
            <w:shd w:val="clear" w:color="auto" w:fill="auto"/>
          </w:tcPr>
          <w:p w14:paraId="637710A8" w14:textId="77777777" w:rsidR="007B3C6C" w:rsidRPr="001645C5" w:rsidRDefault="007B3C6C" w:rsidP="00BC2582">
            <w:pPr>
              <w:jc w:val="center"/>
              <w:rPr>
                <w:b/>
                <w:sz w:val="20"/>
                <w:szCs w:val="20"/>
              </w:rPr>
            </w:pPr>
            <w:r w:rsidRPr="001645C5">
              <w:rPr>
                <w:b/>
                <w:sz w:val="20"/>
                <w:szCs w:val="20"/>
              </w:rPr>
              <w:t>U.S.-Canada OFDI</w:t>
            </w:r>
          </w:p>
        </w:tc>
        <w:tc>
          <w:tcPr>
            <w:tcW w:w="936" w:type="dxa"/>
            <w:shd w:val="clear" w:color="auto" w:fill="auto"/>
          </w:tcPr>
          <w:p w14:paraId="69C6E4F4" w14:textId="77777777" w:rsidR="007B3C6C" w:rsidRPr="001645C5" w:rsidRDefault="007B3C6C" w:rsidP="00BC2582">
            <w:pPr>
              <w:jc w:val="center"/>
              <w:rPr>
                <w:sz w:val="20"/>
                <w:szCs w:val="20"/>
              </w:rPr>
            </w:pPr>
            <w:r w:rsidRPr="001645C5">
              <w:rPr>
                <w:sz w:val="20"/>
                <w:szCs w:val="20"/>
              </w:rPr>
              <w:t>69.922</w:t>
            </w:r>
          </w:p>
          <w:p w14:paraId="0E4A6260" w14:textId="77777777" w:rsidR="007B3C6C" w:rsidRPr="001645C5" w:rsidRDefault="007B3C6C" w:rsidP="00BC2582">
            <w:pPr>
              <w:jc w:val="center"/>
              <w:rPr>
                <w:sz w:val="20"/>
                <w:szCs w:val="20"/>
              </w:rPr>
            </w:pPr>
          </w:p>
        </w:tc>
        <w:tc>
          <w:tcPr>
            <w:tcW w:w="936" w:type="dxa"/>
            <w:shd w:val="clear" w:color="auto" w:fill="auto"/>
          </w:tcPr>
          <w:p w14:paraId="56ACA868" w14:textId="77777777" w:rsidR="007B3C6C" w:rsidRPr="001645C5" w:rsidRDefault="007B3C6C" w:rsidP="00BC2582">
            <w:pPr>
              <w:jc w:val="center"/>
              <w:rPr>
                <w:sz w:val="20"/>
                <w:szCs w:val="20"/>
              </w:rPr>
            </w:pPr>
            <w:r w:rsidRPr="001645C5">
              <w:rPr>
                <w:sz w:val="20"/>
                <w:szCs w:val="20"/>
              </w:rPr>
              <w:t>83.498</w:t>
            </w:r>
          </w:p>
          <w:p w14:paraId="38C58C14" w14:textId="77777777" w:rsidR="007B3C6C" w:rsidRPr="001645C5" w:rsidRDefault="007B3C6C" w:rsidP="00BC2582">
            <w:pPr>
              <w:jc w:val="center"/>
              <w:rPr>
                <w:sz w:val="20"/>
                <w:szCs w:val="20"/>
              </w:rPr>
            </w:pPr>
          </w:p>
        </w:tc>
        <w:tc>
          <w:tcPr>
            <w:tcW w:w="936" w:type="dxa"/>
            <w:shd w:val="clear" w:color="auto" w:fill="auto"/>
          </w:tcPr>
          <w:p w14:paraId="0D9B9D22" w14:textId="77777777" w:rsidR="007B3C6C" w:rsidRPr="001645C5" w:rsidRDefault="007B3C6C" w:rsidP="00BC2582">
            <w:pPr>
              <w:jc w:val="center"/>
              <w:rPr>
                <w:sz w:val="20"/>
                <w:szCs w:val="20"/>
              </w:rPr>
            </w:pPr>
            <w:r w:rsidRPr="001645C5">
              <w:rPr>
                <w:sz w:val="20"/>
                <w:szCs w:val="20"/>
              </w:rPr>
              <w:t>96.626</w:t>
            </w:r>
          </w:p>
          <w:p w14:paraId="25E7C7DE" w14:textId="77777777" w:rsidR="007B3C6C" w:rsidRPr="001645C5" w:rsidRDefault="007B3C6C" w:rsidP="00BC2582">
            <w:pPr>
              <w:jc w:val="center"/>
              <w:rPr>
                <w:sz w:val="20"/>
                <w:szCs w:val="20"/>
              </w:rPr>
            </w:pPr>
          </w:p>
        </w:tc>
        <w:tc>
          <w:tcPr>
            <w:tcW w:w="936" w:type="dxa"/>
            <w:shd w:val="clear" w:color="auto" w:fill="auto"/>
          </w:tcPr>
          <w:p w14:paraId="47EB5110" w14:textId="77777777" w:rsidR="007B3C6C" w:rsidRPr="001645C5" w:rsidRDefault="007B3C6C" w:rsidP="00BC2582">
            <w:pPr>
              <w:jc w:val="center"/>
              <w:rPr>
                <w:sz w:val="20"/>
                <w:szCs w:val="20"/>
              </w:rPr>
            </w:pPr>
            <w:r w:rsidRPr="001645C5">
              <w:rPr>
                <w:sz w:val="20"/>
                <w:szCs w:val="20"/>
              </w:rPr>
              <w:t>119.590</w:t>
            </w:r>
          </w:p>
          <w:p w14:paraId="29919C3E" w14:textId="77777777" w:rsidR="007B3C6C" w:rsidRPr="001645C5" w:rsidRDefault="007B3C6C" w:rsidP="00BC2582">
            <w:pPr>
              <w:jc w:val="center"/>
              <w:rPr>
                <w:sz w:val="20"/>
                <w:szCs w:val="20"/>
              </w:rPr>
            </w:pPr>
          </w:p>
        </w:tc>
        <w:tc>
          <w:tcPr>
            <w:tcW w:w="936" w:type="dxa"/>
            <w:shd w:val="clear" w:color="auto" w:fill="auto"/>
          </w:tcPr>
          <w:p w14:paraId="5223D0A9" w14:textId="77777777" w:rsidR="007B3C6C" w:rsidRPr="001645C5" w:rsidRDefault="007B3C6C" w:rsidP="00BC2582">
            <w:pPr>
              <w:jc w:val="center"/>
              <w:rPr>
                <w:sz w:val="20"/>
                <w:szCs w:val="20"/>
              </w:rPr>
            </w:pPr>
            <w:r w:rsidRPr="001645C5">
              <w:rPr>
                <w:sz w:val="20"/>
                <w:szCs w:val="20"/>
              </w:rPr>
              <w:t>152.601</w:t>
            </w:r>
          </w:p>
          <w:p w14:paraId="4308D0F1" w14:textId="77777777" w:rsidR="007B3C6C" w:rsidRPr="001645C5" w:rsidRDefault="007B3C6C" w:rsidP="00BC2582">
            <w:pPr>
              <w:jc w:val="center"/>
              <w:rPr>
                <w:sz w:val="20"/>
                <w:szCs w:val="20"/>
              </w:rPr>
            </w:pPr>
          </w:p>
        </w:tc>
        <w:tc>
          <w:tcPr>
            <w:tcW w:w="936" w:type="dxa"/>
            <w:shd w:val="clear" w:color="auto" w:fill="auto"/>
          </w:tcPr>
          <w:p w14:paraId="44447675" w14:textId="77777777" w:rsidR="007B3C6C" w:rsidRPr="001645C5" w:rsidRDefault="007B3C6C" w:rsidP="00BC2582">
            <w:pPr>
              <w:jc w:val="center"/>
              <w:rPr>
                <w:sz w:val="20"/>
                <w:szCs w:val="20"/>
              </w:rPr>
            </w:pPr>
            <w:r w:rsidRPr="001645C5">
              <w:rPr>
                <w:sz w:val="20"/>
                <w:szCs w:val="20"/>
              </w:rPr>
              <w:t>187.953</w:t>
            </w:r>
          </w:p>
          <w:p w14:paraId="1181363B" w14:textId="77777777" w:rsidR="007B3C6C" w:rsidRPr="001645C5" w:rsidRDefault="007B3C6C" w:rsidP="00BC2582">
            <w:pPr>
              <w:jc w:val="center"/>
              <w:rPr>
                <w:sz w:val="20"/>
                <w:szCs w:val="20"/>
              </w:rPr>
            </w:pPr>
          </w:p>
        </w:tc>
        <w:tc>
          <w:tcPr>
            <w:tcW w:w="936" w:type="dxa"/>
            <w:shd w:val="clear" w:color="auto" w:fill="auto"/>
          </w:tcPr>
          <w:p w14:paraId="250A331A" w14:textId="77777777" w:rsidR="007B3C6C" w:rsidRPr="001645C5" w:rsidRDefault="007B3C6C" w:rsidP="00BC2582">
            <w:pPr>
              <w:jc w:val="center"/>
              <w:rPr>
                <w:sz w:val="20"/>
                <w:szCs w:val="20"/>
              </w:rPr>
            </w:pPr>
            <w:r w:rsidRPr="001645C5">
              <w:rPr>
                <w:sz w:val="20"/>
                <w:szCs w:val="20"/>
              </w:rPr>
              <w:t>231.836</w:t>
            </w:r>
          </w:p>
          <w:p w14:paraId="135732BB" w14:textId="77777777" w:rsidR="007B3C6C" w:rsidRPr="001645C5" w:rsidRDefault="007B3C6C" w:rsidP="00BC2582">
            <w:pPr>
              <w:jc w:val="center"/>
              <w:rPr>
                <w:sz w:val="20"/>
                <w:szCs w:val="20"/>
              </w:rPr>
            </w:pPr>
          </w:p>
        </w:tc>
        <w:tc>
          <w:tcPr>
            <w:tcW w:w="936" w:type="dxa"/>
            <w:shd w:val="clear" w:color="auto" w:fill="auto"/>
          </w:tcPr>
          <w:p w14:paraId="1341F1F3" w14:textId="77777777" w:rsidR="007B3C6C" w:rsidRPr="001645C5" w:rsidRDefault="007B3C6C" w:rsidP="00BC2582">
            <w:pPr>
              <w:jc w:val="center"/>
              <w:rPr>
                <w:sz w:val="20"/>
                <w:szCs w:val="20"/>
              </w:rPr>
            </w:pPr>
            <w:r w:rsidRPr="001645C5">
              <w:rPr>
                <w:sz w:val="20"/>
                <w:szCs w:val="20"/>
              </w:rPr>
              <w:t>250.642</w:t>
            </w:r>
          </w:p>
          <w:p w14:paraId="63EBABBA" w14:textId="77777777" w:rsidR="007B3C6C" w:rsidRPr="001645C5" w:rsidRDefault="007B3C6C" w:rsidP="00BC2582">
            <w:pPr>
              <w:jc w:val="center"/>
              <w:rPr>
                <w:sz w:val="20"/>
                <w:szCs w:val="20"/>
              </w:rPr>
            </w:pPr>
          </w:p>
        </w:tc>
        <w:tc>
          <w:tcPr>
            <w:tcW w:w="936" w:type="dxa"/>
            <w:shd w:val="clear" w:color="auto" w:fill="auto"/>
          </w:tcPr>
          <w:p w14:paraId="6327DE1A" w14:textId="77777777" w:rsidR="007B3C6C" w:rsidRPr="001645C5" w:rsidRDefault="007B3C6C" w:rsidP="00BC2582">
            <w:pPr>
              <w:jc w:val="center"/>
              <w:rPr>
                <w:sz w:val="20"/>
                <w:szCs w:val="20"/>
              </w:rPr>
            </w:pPr>
            <w:r w:rsidRPr="001645C5">
              <w:rPr>
                <w:sz w:val="20"/>
                <w:szCs w:val="20"/>
              </w:rPr>
              <w:t>274.807</w:t>
            </w:r>
          </w:p>
          <w:p w14:paraId="0B807BFE" w14:textId="77777777" w:rsidR="007B3C6C" w:rsidRPr="001645C5" w:rsidRDefault="007B3C6C" w:rsidP="00BC2582">
            <w:pPr>
              <w:jc w:val="center"/>
              <w:rPr>
                <w:sz w:val="20"/>
                <w:szCs w:val="20"/>
              </w:rPr>
            </w:pPr>
          </w:p>
        </w:tc>
        <w:tc>
          <w:tcPr>
            <w:tcW w:w="936" w:type="dxa"/>
            <w:shd w:val="clear" w:color="auto" w:fill="auto"/>
          </w:tcPr>
          <w:p w14:paraId="5B216C01" w14:textId="77777777" w:rsidR="007B3C6C" w:rsidRPr="001645C5" w:rsidRDefault="007B3C6C" w:rsidP="00BC2582">
            <w:pPr>
              <w:jc w:val="center"/>
              <w:rPr>
                <w:sz w:val="20"/>
                <w:szCs w:val="20"/>
              </w:rPr>
            </w:pPr>
            <w:r w:rsidRPr="001645C5">
              <w:rPr>
                <w:sz w:val="20"/>
                <w:szCs w:val="20"/>
              </w:rPr>
              <w:t>330.041</w:t>
            </w:r>
          </w:p>
          <w:p w14:paraId="2C394D10" w14:textId="77777777" w:rsidR="007B3C6C" w:rsidRPr="001645C5" w:rsidRDefault="007B3C6C" w:rsidP="00BC2582">
            <w:pPr>
              <w:jc w:val="center"/>
              <w:rPr>
                <w:sz w:val="20"/>
                <w:szCs w:val="20"/>
              </w:rPr>
            </w:pPr>
          </w:p>
        </w:tc>
        <w:tc>
          <w:tcPr>
            <w:tcW w:w="937" w:type="dxa"/>
            <w:shd w:val="clear" w:color="auto" w:fill="auto"/>
          </w:tcPr>
          <w:p w14:paraId="2D4E2B77" w14:textId="77777777" w:rsidR="007B3C6C" w:rsidRPr="001645C5" w:rsidRDefault="007B3C6C" w:rsidP="00BC2582">
            <w:pPr>
              <w:jc w:val="center"/>
              <w:rPr>
                <w:sz w:val="20"/>
                <w:szCs w:val="20"/>
              </w:rPr>
            </w:pPr>
            <w:r w:rsidRPr="001645C5">
              <w:rPr>
                <w:sz w:val="20"/>
                <w:szCs w:val="20"/>
              </w:rPr>
              <w:t>390.172</w:t>
            </w:r>
          </w:p>
          <w:p w14:paraId="2AE6471A" w14:textId="77777777" w:rsidR="007B3C6C" w:rsidRPr="001645C5" w:rsidRDefault="007B3C6C" w:rsidP="00BC2582">
            <w:pPr>
              <w:jc w:val="center"/>
              <w:rPr>
                <w:sz w:val="20"/>
                <w:szCs w:val="20"/>
              </w:rPr>
            </w:pPr>
          </w:p>
        </w:tc>
      </w:tr>
      <w:tr w:rsidR="007B3C6C" w:rsidRPr="001645C5" w14:paraId="1CB4999A" w14:textId="77777777" w:rsidTr="00BC2582">
        <w:trPr>
          <w:trHeight w:val="475"/>
        </w:trPr>
        <w:tc>
          <w:tcPr>
            <w:tcW w:w="1192" w:type="dxa"/>
            <w:shd w:val="clear" w:color="auto" w:fill="auto"/>
          </w:tcPr>
          <w:p w14:paraId="1624AB2E" w14:textId="77777777" w:rsidR="007B3C6C" w:rsidRPr="001645C5" w:rsidRDefault="007B3C6C" w:rsidP="00BC2582">
            <w:pPr>
              <w:jc w:val="center"/>
              <w:rPr>
                <w:b/>
                <w:sz w:val="20"/>
                <w:szCs w:val="20"/>
              </w:rPr>
            </w:pPr>
            <w:r w:rsidRPr="001645C5">
              <w:rPr>
                <w:b/>
                <w:sz w:val="20"/>
                <w:szCs w:val="20"/>
              </w:rPr>
              <w:t>U.S.-Mexico OFDI</w:t>
            </w:r>
          </w:p>
        </w:tc>
        <w:tc>
          <w:tcPr>
            <w:tcW w:w="936" w:type="dxa"/>
            <w:shd w:val="clear" w:color="auto" w:fill="auto"/>
          </w:tcPr>
          <w:p w14:paraId="17C7AF19" w14:textId="77777777" w:rsidR="007B3C6C" w:rsidRPr="001645C5" w:rsidRDefault="007B3C6C" w:rsidP="00BC2582">
            <w:pPr>
              <w:jc w:val="center"/>
              <w:rPr>
                <w:sz w:val="20"/>
                <w:szCs w:val="20"/>
              </w:rPr>
            </w:pPr>
            <w:r w:rsidRPr="001645C5">
              <w:rPr>
                <w:sz w:val="20"/>
                <w:szCs w:val="20"/>
              </w:rPr>
              <w:t>15.221</w:t>
            </w:r>
          </w:p>
          <w:p w14:paraId="62950C13" w14:textId="77777777" w:rsidR="007B3C6C" w:rsidRPr="001645C5" w:rsidRDefault="007B3C6C" w:rsidP="00BC2582">
            <w:pPr>
              <w:jc w:val="center"/>
              <w:rPr>
                <w:sz w:val="20"/>
                <w:szCs w:val="20"/>
              </w:rPr>
            </w:pPr>
          </w:p>
        </w:tc>
        <w:tc>
          <w:tcPr>
            <w:tcW w:w="936" w:type="dxa"/>
            <w:shd w:val="clear" w:color="auto" w:fill="auto"/>
          </w:tcPr>
          <w:p w14:paraId="0AFD2560" w14:textId="77777777" w:rsidR="007B3C6C" w:rsidRPr="001645C5" w:rsidRDefault="007B3C6C" w:rsidP="00BC2582">
            <w:pPr>
              <w:jc w:val="center"/>
              <w:rPr>
                <w:sz w:val="20"/>
                <w:szCs w:val="20"/>
              </w:rPr>
            </w:pPr>
            <w:r w:rsidRPr="001645C5">
              <w:rPr>
                <w:sz w:val="20"/>
                <w:szCs w:val="20"/>
              </w:rPr>
              <w:t>16.873</w:t>
            </w:r>
          </w:p>
          <w:p w14:paraId="2C8F79A4" w14:textId="77777777" w:rsidR="007B3C6C" w:rsidRPr="001645C5" w:rsidRDefault="007B3C6C" w:rsidP="00BC2582">
            <w:pPr>
              <w:jc w:val="center"/>
              <w:rPr>
                <w:sz w:val="20"/>
                <w:szCs w:val="20"/>
              </w:rPr>
            </w:pPr>
          </w:p>
        </w:tc>
        <w:tc>
          <w:tcPr>
            <w:tcW w:w="936" w:type="dxa"/>
            <w:shd w:val="clear" w:color="auto" w:fill="auto"/>
          </w:tcPr>
          <w:p w14:paraId="173A5109" w14:textId="77777777" w:rsidR="007B3C6C" w:rsidRPr="001645C5" w:rsidRDefault="007B3C6C" w:rsidP="00BC2582">
            <w:pPr>
              <w:jc w:val="center"/>
              <w:rPr>
                <w:sz w:val="20"/>
                <w:szCs w:val="20"/>
              </w:rPr>
            </w:pPr>
            <w:r w:rsidRPr="001645C5">
              <w:rPr>
                <w:sz w:val="20"/>
                <w:szCs w:val="20"/>
              </w:rPr>
              <w:t>24.050</w:t>
            </w:r>
          </w:p>
          <w:p w14:paraId="3343928C" w14:textId="77777777" w:rsidR="007B3C6C" w:rsidRPr="001645C5" w:rsidRDefault="007B3C6C" w:rsidP="00BC2582">
            <w:pPr>
              <w:jc w:val="center"/>
              <w:rPr>
                <w:sz w:val="20"/>
                <w:szCs w:val="20"/>
              </w:rPr>
            </w:pPr>
          </w:p>
        </w:tc>
        <w:tc>
          <w:tcPr>
            <w:tcW w:w="936" w:type="dxa"/>
            <w:shd w:val="clear" w:color="auto" w:fill="auto"/>
          </w:tcPr>
          <w:p w14:paraId="4259DB40" w14:textId="77777777" w:rsidR="007B3C6C" w:rsidRPr="001645C5" w:rsidRDefault="007B3C6C" w:rsidP="00BC2582">
            <w:pPr>
              <w:jc w:val="center"/>
              <w:rPr>
                <w:sz w:val="20"/>
                <w:szCs w:val="20"/>
              </w:rPr>
            </w:pPr>
            <w:r w:rsidRPr="001645C5">
              <w:rPr>
                <w:sz w:val="20"/>
                <w:szCs w:val="20"/>
              </w:rPr>
              <w:t>37.151</w:t>
            </w:r>
          </w:p>
          <w:p w14:paraId="0C3D10A7" w14:textId="77777777" w:rsidR="007B3C6C" w:rsidRPr="001645C5" w:rsidRDefault="007B3C6C" w:rsidP="00BC2582">
            <w:pPr>
              <w:jc w:val="center"/>
              <w:rPr>
                <w:sz w:val="20"/>
                <w:szCs w:val="20"/>
              </w:rPr>
            </w:pPr>
          </w:p>
        </w:tc>
        <w:tc>
          <w:tcPr>
            <w:tcW w:w="936" w:type="dxa"/>
            <w:shd w:val="clear" w:color="auto" w:fill="auto"/>
          </w:tcPr>
          <w:p w14:paraId="1DB48773" w14:textId="77777777" w:rsidR="007B3C6C" w:rsidRPr="001645C5" w:rsidRDefault="007B3C6C" w:rsidP="00BC2582">
            <w:pPr>
              <w:jc w:val="center"/>
              <w:rPr>
                <w:sz w:val="20"/>
                <w:szCs w:val="20"/>
              </w:rPr>
            </w:pPr>
            <w:r w:rsidRPr="001645C5">
              <w:rPr>
                <w:sz w:val="20"/>
                <w:szCs w:val="20"/>
              </w:rPr>
              <w:t>52.544</w:t>
            </w:r>
          </w:p>
          <w:p w14:paraId="31BD03C5" w14:textId="77777777" w:rsidR="007B3C6C" w:rsidRPr="001645C5" w:rsidRDefault="007B3C6C" w:rsidP="00BC2582">
            <w:pPr>
              <w:jc w:val="center"/>
              <w:rPr>
                <w:sz w:val="20"/>
                <w:szCs w:val="20"/>
              </w:rPr>
            </w:pPr>
          </w:p>
        </w:tc>
        <w:tc>
          <w:tcPr>
            <w:tcW w:w="936" w:type="dxa"/>
            <w:shd w:val="clear" w:color="auto" w:fill="auto"/>
          </w:tcPr>
          <w:p w14:paraId="3B4670DD" w14:textId="77777777" w:rsidR="007B3C6C" w:rsidRPr="001645C5" w:rsidRDefault="007B3C6C" w:rsidP="00BC2582">
            <w:pPr>
              <w:jc w:val="center"/>
              <w:rPr>
                <w:sz w:val="20"/>
                <w:szCs w:val="20"/>
              </w:rPr>
            </w:pPr>
            <w:r w:rsidRPr="001645C5">
              <w:rPr>
                <w:sz w:val="20"/>
                <w:szCs w:val="20"/>
              </w:rPr>
              <w:t>56.851</w:t>
            </w:r>
          </w:p>
          <w:p w14:paraId="18648F07" w14:textId="77777777" w:rsidR="007B3C6C" w:rsidRPr="001645C5" w:rsidRDefault="007B3C6C" w:rsidP="00BC2582">
            <w:pPr>
              <w:jc w:val="center"/>
              <w:rPr>
                <w:sz w:val="20"/>
                <w:szCs w:val="20"/>
              </w:rPr>
            </w:pPr>
          </w:p>
        </w:tc>
        <w:tc>
          <w:tcPr>
            <w:tcW w:w="936" w:type="dxa"/>
            <w:shd w:val="clear" w:color="auto" w:fill="auto"/>
          </w:tcPr>
          <w:p w14:paraId="64CFB09E" w14:textId="77777777" w:rsidR="007B3C6C" w:rsidRPr="001645C5" w:rsidRDefault="007B3C6C" w:rsidP="00BC2582">
            <w:pPr>
              <w:jc w:val="center"/>
              <w:rPr>
                <w:sz w:val="20"/>
                <w:szCs w:val="20"/>
              </w:rPr>
            </w:pPr>
            <w:r w:rsidRPr="001645C5">
              <w:rPr>
                <w:sz w:val="20"/>
                <w:szCs w:val="20"/>
              </w:rPr>
              <w:t>73.687</w:t>
            </w:r>
          </w:p>
          <w:p w14:paraId="0EB79CA1" w14:textId="77777777" w:rsidR="007B3C6C" w:rsidRPr="001645C5" w:rsidRDefault="007B3C6C" w:rsidP="00BC2582">
            <w:pPr>
              <w:jc w:val="center"/>
              <w:rPr>
                <w:sz w:val="20"/>
                <w:szCs w:val="20"/>
              </w:rPr>
            </w:pPr>
          </w:p>
        </w:tc>
        <w:tc>
          <w:tcPr>
            <w:tcW w:w="936" w:type="dxa"/>
            <w:shd w:val="clear" w:color="auto" w:fill="auto"/>
          </w:tcPr>
          <w:p w14:paraId="3500904D" w14:textId="77777777" w:rsidR="007B3C6C" w:rsidRPr="001645C5" w:rsidRDefault="007B3C6C" w:rsidP="00BC2582">
            <w:pPr>
              <w:jc w:val="center"/>
              <w:rPr>
                <w:sz w:val="20"/>
                <w:szCs w:val="20"/>
              </w:rPr>
            </w:pPr>
            <w:r w:rsidRPr="001645C5">
              <w:rPr>
                <w:sz w:val="20"/>
                <w:szCs w:val="20"/>
              </w:rPr>
              <w:t>91.046</w:t>
            </w:r>
          </w:p>
          <w:p w14:paraId="71AC9C35" w14:textId="77777777" w:rsidR="007B3C6C" w:rsidRPr="001645C5" w:rsidRDefault="007B3C6C" w:rsidP="00BC2582">
            <w:pPr>
              <w:jc w:val="center"/>
              <w:rPr>
                <w:sz w:val="20"/>
                <w:szCs w:val="20"/>
              </w:rPr>
            </w:pPr>
          </w:p>
        </w:tc>
        <w:tc>
          <w:tcPr>
            <w:tcW w:w="936" w:type="dxa"/>
            <w:shd w:val="clear" w:color="auto" w:fill="auto"/>
          </w:tcPr>
          <w:p w14:paraId="05F18CFA" w14:textId="77777777" w:rsidR="007B3C6C" w:rsidRPr="001645C5" w:rsidRDefault="007B3C6C" w:rsidP="00BC2582">
            <w:pPr>
              <w:jc w:val="center"/>
              <w:rPr>
                <w:sz w:val="20"/>
                <w:szCs w:val="20"/>
              </w:rPr>
            </w:pPr>
            <w:r w:rsidRPr="001645C5">
              <w:rPr>
                <w:sz w:val="20"/>
                <w:szCs w:val="20"/>
              </w:rPr>
              <w:t>84.047</w:t>
            </w:r>
          </w:p>
          <w:p w14:paraId="1EB9FFB4" w14:textId="77777777" w:rsidR="007B3C6C" w:rsidRPr="001645C5" w:rsidRDefault="007B3C6C" w:rsidP="00BC2582">
            <w:pPr>
              <w:jc w:val="center"/>
              <w:rPr>
                <w:sz w:val="20"/>
                <w:szCs w:val="20"/>
              </w:rPr>
            </w:pPr>
          </w:p>
        </w:tc>
        <w:tc>
          <w:tcPr>
            <w:tcW w:w="936" w:type="dxa"/>
            <w:shd w:val="clear" w:color="auto" w:fill="auto"/>
          </w:tcPr>
          <w:p w14:paraId="60936EA9" w14:textId="77777777" w:rsidR="007B3C6C" w:rsidRPr="001645C5" w:rsidRDefault="007B3C6C" w:rsidP="00BC2582">
            <w:pPr>
              <w:jc w:val="center"/>
              <w:rPr>
                <w:sz w:val="20"/>
                <w:szCs w:val="20"/>
              </w:rPr>
            </w:pPr>
            <w:r w:rsidRPr="001645C5">
              <w:rPr>
                <w:sz w:val="20"/>
                <w:szCs w:val="20"/>
              </w:rPr>
              <w:t>85.599</w:t>
            </w:r>
          </w:p>
          <w:p w14:paraId="1309342C" w14:textId="77777777" w:rsidR="007B3C6C" w:rsidRPr="001645C5" w:rsidRDefault="007B3C6C" w:rsidP="00BC2582">
            <w:pPr>
              <w:jc w:val="center"/>
              <w:rPr>
                <w:sz w:val="20"/>
                <w:szCs w:val="20"/>
              </w:rPr>
            </w:pPr>
          </w:p>
        </w:tc>
        <w:tc>
          <w:tcPr>
            <w:tcW w:w="937" w:type="dxa"/>
            <w:shd w:val="clear" w:color="auto" w:fill="auto"/>
          </w:tcPr>
          <w:p w14:paraId="6323293D" w14:textId="77777777" w:rsidR="007B3C6C" w:rsidRPr="001645C5" w:rsidRDefault="007B3C6C" w:rsidP="00BC2582">
            <w:pPr>
              <w:jc w:val="center"/>
              <w:rPr>
                <w:sz w:val="20"/>
                <w:szCs w:val="20"/>
              </w:rPr>
            </w:pPr>
            <w:r w:rsidRPr="001645C5">
              <w:rPr>
                <w:sz w:val="20"/>
                <w:szCs w:val="20"/>
              </w:rPr>
              <w:t>102.418</w:t>
            </w:r>
          </w:p>
          <w:p w14:paraId="56F1FE46" w14:textId="77777777" w:rsidR="007B3C6C" w:rsidRPr="001645C5" w:rsidRDefault="007B3C6C" w:rsidP="00BC2582">
            <w:pPr>
              <w:jc w:val="center"/>
              <w:rPr>
                <w:sz w:val="20"/>
                <w:szCs w:val="20"/>
              </w:rPr>
            </w:pPr>
          </w:p>
        </w:tc>
      </w:tr>
    </w:tbl>
    <w:p w14:paraId="57755813" w14:textId="77777777" w:rsidR="007B3C6C" w:rsidRPr="001645C5" w:rsidRDefault="007B3C6C" w:rsidP="007B3C6C">
      <w:pPr>
        <w:jc w:val="center"/>
        <w:rPr>
          <w:sz w:val="20"/>
          <w:szCs w:val="20"/>
        </w:rPr>
      </w:pPr>
    </w:p>
    <w:p w14:paraId="4BC0B468" w14:textId="77777777" w:rsidR="007B3C6C" w:rsidRPr="00A53896" w:rsidRDefault="007B3C6C" w:rsidP="007B3C6C">
      <w:pPr>
        <w:jc w:val="center"/>
        <w:rPr>
          <w:b/>
          <w:sz w:val="20"/>
          <w:szCs w:val="20"/>
        </w:rPr>
      </w:pPr>
      <w:r w:rsidRPr="00A53896">
        <w:rPr>
          <w:b/>
          <w:sz w:val="20"/>
          <w:szCs w:val="20"/>
          <w:lang w:val="en-CA"/>
        </w:rPr>
        <w:t xml:space="preserve">Table </w:t>
      </w:r>
      <w:r>
        <w:rPr>
          <w:b/>
          <w:sz w:val="20"/>
          <w:szCs w:val="20"/>
          <w:lang w:val="en-CA"/>
        </w:rPr>
        <w:t>4</w:t>
      </w:r>
      <w:r w:rsidRPr="00A53896">
        <w:rPr>
          <w:b/>
          <w:sz w:val="20"/>
          <w:szCs w:val="20"/>
          <w:lang w:val="en-CA"/>
        </w:rPr>
        <w:t xml:space="preserve">: </w:t>
      </w:r>
      <w:r w:rsidRPr="00A53896">
        <w:rPr>
          <w:b/>
          <w:sz w:val="20"/>
          <w:szCs w:val="20"/>
        </w:rPr>
        <w:t>NAFTA Area Incoming Foreign Direct Investment (IFDI) and Foreign Direct Investment Outflows (OFDI) 1993-2013.</w:t>
      </w:r>
    </w:p>
    <w:p w14:paraId="3AD5DC03" w14:textId="77777777" w:rsidR="007B3C6C" w:rsidRPr="00A53896" w:rsidRDefault="007B3C6C" w:rsidP="007B3C6C">
      <w:pPr>
        <w:jc w:val="center"/>
        <w:rPr>
          <w:b/>
          <w:sz w:val="20"/>
          <w:szCs w:val="20"/>
          <w:lang w:val="en-CA"/>
        </w:rPr>
      </w:pPr>
      <w:r w:rsidRPr="00A53896">
        <w:rPr>
          <w:b/>
          <w:sz w:val="20"/>
          <w:szCs w:val="20"/>
        </w:rPr>
        <w:t xml:space="preserve">IFDI and OFDI in </w:t>
      </w:r>
      <w:r w:rsidRPr="00A53896">
        <w:rPr>
          <w:b/>
          <w:sz w:val="20"/>
          <w:szCs w:val="20"/>
          <w:lang w:val="en-CA"/>
        </w:rPr>
        <w:t>US Dollars at current prices and current exchange rates in millions.</w:t>
      </w:r>
    </w:p>
    <w:p w14:paraId="39663DF3" w14:textId="77777777" w:rsidR="007B3C6C" w:rsidRPr="001645C5" w:rsidRDefault="007B3C6C" w:rsidP="007B3C6C">
      <w:pPr>
        <w:rPr>
          <w:sz w:val="20"/>
          <w:szCs w:val="20"/>
        </w:rPr>
      </w:pPr>
    </w:p>
    <w:tbl>
      <w:tblPr>
        <w:tblW w:w="11482" w:type="dxa"/>
        <w:tblInd w:w="-1026" w:type="dxa"/>
        <w:tblLayout w:type="fixed"/>
        <w:tblLook w:val="04A0" w:firstRow="1" w:lastRow="0" w:firstColumn="1" w:lastColumn="0" w:noHBand="0" w:noVBand="1"/>
      </w:tblPr>
      <w:tblGrid>
        <w:gridCol w:w="1017"/>
        <w:gridCol w:w="952"/>
        <w:gridCol w:w="952"/>
        <w:gridCol w:w="1048"/>
        <w:gridCol w:w="856"/>
        <w:gridCol w:w="845"/>
        <w:gridCol w:w="851"/>
        <w:gridCol w:w="992"/>
        <w:gridCol w:w="992"/>
        <w:gridCol w:w="993"/>
        <w:gridCol w:w="992"/>
        <w:gridCol w:w="992"/>
      </w:tblGrid>
      <w:tr w:rsidR="007B3C6C" w:rsidRPr="001645C5" w14:paraId="659A7772" w14:textId="77777777" w:rsidTr="00BC2582">
        <w:trPr>
          <w:trHeight w:val="161"/>
        </w:trPr>
        <w:tc>
          <w:tcPr>
            <w:tcW w:w="1017" w:type="dxa"/>
            <w:shd w:val="clear" w:color="auto" w:fill="auto"/>
          </w:tcPr>
          <w:p w14:paraId="22636B78" w14:textId="77777777" w:rsidR="007B3C6C" w:rsidRPr="001645C5" w:rsidRDefault="007B3C6C" w:rsidP="00BC2582">
            <w:pPr>
              <w:rPr>
                <w:sz w:val="20"/>
                <w:szCs w:val="20"/>
              </w:rPr>
            </w:pPr>
          </w:p>
        </w:tc>
        <w:tc>
          <w:tcPr>
            <w:tcW w:w="952" w:type="dxa"/>
            <w:shd w:val="clear" w:color="auto" w:fill="auto"/>
          </w:tcPr>
          <w:p w14:paraId="5B1EAC6A" w14:textId="77777777" w:rsidR="007B3C6C" w:rsidRPr="001645C5" w:rsidRDefault="007B3C6C" w:rsidP="00BC2582">
            <w:pPr>
              <w:rPr>
                <w:b/>
                <w:sz w:val="20"/>
                <w:szCs w:val="20"/>
              </w:rPr>
            </w:pPr>
            <w:r w:rsidRPr="001645C5">
              <w:rPr>
                <w:b/>
                <w:sz w:val="20"/>
                <w:szCs w:val="20"/>
              </w:rPr>
              <w:t>1993</w:t>
            </w:r>
          </w:p>
        </w:tc>
        <w:tc>
          <w:tcPr>
            <w:tcW w:w="952" w:type="dxa"/>
            <w:shd w:val="clear" w:color="auto" w:fill="auto"/>
          </w:tcPr>
          <w:p w14:paraId="42C945D6" w14:textId="77777777" w:rsidR="007B3C6C" w:rsidRPr="001645C5" w:rsidRDefault="007B3C6C" w:rsidP="00BC2582">
            <w:pPr>
              <w:rPr>
                <w:b/>
                <w:sz w:val="20"/>
                <w:szCs w:val="20"/>
              </w:rPr>
            </w:pPr>
            <w:r w:rsidRPr="001645C5">
              <w:rPr>
                <w:b/>
                <w:sz w:val="20"/>
                <w:szCs w:val="20"/>
              </w:rPr>
              <w:t>1995</w:t>
            </w:r>
          </w:p>
        </w:tc>
        <w:tc>
          <w:tcPr>
            <w:tcW w:w="1048" w:type="dxa"/>
            <w:shd w:val="clear" w:color="auto" w:fill="auto"/>
          </w:tcPr>
          <w:p w14:paraId="3E88E8BA" w14:textId="77777777" w:rsidR="007B3C6C" w:rsidRPr="001645C5" w:rsidRDefault="007B3C6C" w:rsidP="00BC2582">
            <w:pPr>
              <w:rPr>
                <w:b/>
                <w:sz w:val="20"/>
                <w:szCs w:val="20"/>
              </w:rPr>
            </w:pPr>
            <w:r w:rsidRPr="001645C5">
              <w:rPr>
                <w:b/>
                <w:sz w:val="20"/>
                <w:szCs w:val="20"/>
              </w:rPr>
              <w:t>1997</w:t>
            </w:r>
          </w:p>
        </w:tc>
        <w:tc>
          <w:tcPr>
            <w:tcW w:w="856" w:type="dxa"/>
            <w:shd w:val="clear" w:color="auto" w:fill="auto"/>
          </w:tcPr>
          <w:p w14:paraId="2554F413" w14:textId="77777777" w:rsidR="007B3C6C" w:rsidRPr="001645C5" w:rsidRDefault="007B3C6C" w:rsidP="00BC2582">
            <w:pPr>
              <w:rPr>
                <w:b/>
                <w:sz w:val="20"/>
                <w:szCs w:val="20"/>
              </w:rPr>
            </w:pPr>
            <w:r w:rsidRPr="001645C5">
              <w:rPr>
                <w:b/>
                <w:sz w:val="20"/>
                <w:szCs w:val="20"/>
              </w:rPr>
              <w:t>1999</w:t>
            </w:r>
          </w:p>
        </w:tc>
        <w:tc>
          <w:tcPr>
            <w:tcW w:w="845" w:type="dxa"/>
            <w:shd w:val="clear" w:color="auto" w:fill="auto"/>
          </w:tcPr>
          <w:p w14:paraId="472441D6" w14:textId="77777777" w:rsidR="007B3C6C" w:rsidRPr="001645C5" w:rsidRDefault="007B3C6C" w:rsidP="00BC2582">
            <w:pPr>
              <w:rPr>
                <w:b/>
                <w:sz w:val="20"/>
                <w:szCs w:val="20"/>
              </w:rPr>
            </w:pPr>
            <w:r w:rsidRPr="001645C5">
              <w:rPr>
                <w:b/>
                <w:sz w:val="20"/>
                <w:szCs w:val="20"/>
              </w:rPr>
              <w:t>2001</w:t>
            </w:r>
          </w:p>
        </w:tc>
        <w:tc>
          <w:tcPr>
            <w:tcW w:w="851" w:type="dxa"/>
            <w:shd w:val="clear" w:color="auto" w:fill="auto"/>
          </w:tcPr>
          <w:p w14:paraId="54FE8CC7" w14:textId="77777777" w:rsidR="007B3C6C" w:rsidRPr="001645C5" w:rsidRDefault="007B3C6C" w:rsidP="00BC2582">
            <w:pPr>
              <w:rPr>
                <w:b/>
                <w:sz w:val="20"/>
                <w:szCs w:val="20"/>
              </w:rPr>
            </w:pPr>
            <w:r w:rsidRPr="001645C5">
              <w:rPr>
                <w:b/>
                <w:sz w:val="20"/>
                <w:szCs w:val="20"/>
              </w:rPr>
              <w:t>2003</w:t>
            </w:r>
          </w:p>
        </w:tc>
        <w:tc>
          <w:tcPr>
            <w:tcW w:w="992" w:type="dxa"/>
            <w:shd w:val="clear" w:color="auto" w:fill="auto"/>
          </w:tcPr>
          <w:p w14:paraId="446B868F" w14:textId="77777777" w:rsidR="007B3C6C" w:rsidRPr="001645C5" w:rsidRDefault="007B3C6C" w:rsidP="00BC2582">
            <w:pPr>
              <w:rPr>
                <w:b/>
                <w:sz w:val="20"/>
                <w:szCs w:val="20"/>
              </w:rPr>
            </w:pPr>
            <w:r w:rsidRPr="001645C5">
              <w:rPr>
                <w:b/>
                <w:sz w:val="20"/>
                <w:szCs w:val="20"/>
              </w:rPr>
              <w:t>2005</w:t>
            </w:r>
          </w:p>
        </w:tc>
        <w:tc>
          <w:tcPr>
            <w:tcW w:w="992" w:type="dxa"/>
            <w:shd w:val="clear" w:color="auto" w:fill="auto"/>
          </w:tcPr>
          <w:p w14:paraId="6C15F4BD" w14:textId="77777777" w:rsidR="007B3C6C" w:rsidRPr="001645C5" w:rsidRDefault="007B3C6C" w:rsidP="00BC2582">
            <w:pPr>
              <w:rPr>
                <w:b/>
                <w:sz w:val="20"/>
                <w:szCs w:val="20"/>
              </w:rPr>
            </w:pPr>
            <w:r w:rsidRPr="001645C5">
              <w:rPr>
                <w:b/>
                <w:sz w:val="20"/>
                <w:szCs w:val="20"/>
              </w:rPr>
              <w:t>2007</w:t>
            </w:r>
          </w:p>
        </w:tc>
        <w:tc>
          <w:tcPr>
            <w:tcW w:w="993" w:type="dxa"/>
            <w:shd w:val="clear" w:color="auto" w:fill="auto"/>
          </w:tcPr>
          <w:p w14:paraId="215AD9DE" w14:textId="77777777" w:rsidR="007B3C6C" w:rsidRPr="001645C5" w:rsidRDefault="007B3C6C" w:rsidP="00BC2582">
            <w:pPr>
              <w:rPr>
                <w:b/>
                <w:sz w:val="20"/>
                <w:szCs w:val="20"/>
              </w:rPr>
            </w:pPr>
            <w:r w:rsidRPr="001645C5">
              <w:rPr>
                <w:b/>
                <w:sz w:val="20"/>
                <w:szCs w:val="20"/>
              </w:rPr>
              <w:t>2009</w:t>
            </w:r>
          </w:p>
        </w:tc>
        <w:tc>
          <w:tcPr>
            <w:tcW w:w="992" w:type="dxa"/>
            <w:shd w:val="clear" w:color="auto" w:fill="auto"/>
          </w:tcPr>
          <w:p w14:paraId="3564E002" w14:textId="77777777" w:rsidR="007B3C6C" w:rsidRPr="001645C5" w:rsidRDefault="007B3C6C" w:rsidP="00BC2582">
            <w:pPr>
              <w:rPr>
                <w:b/>
                <w:sz w:val="20"/>
                <w:szCs w:val="20"/>
              </w:rPr>
            </w:pPr>
            <w:r w:rsidRPr="001645C5">
              <w:rPr>
                <w:b/>
                <w:sz w:val="20"/>
                <w:szCs w:val="20"/>
              </w:rPr>
              <w:t>2011</w:t>
            </w:r>
          </w:p>
        </w:tc>
        <w:tc>
          <w:tcPr>
            <w:tcW w:w="992" w:type="dxa"/>
            <w:shd w:val="clear" w:color="auto" w:fill="auto"/>
          </w:tcPr>
          <w:p w14:paraId="79F275B4" w14:textId="77777777" w:rsidR="007B3C6C" w:rsidRPr="001645C5" w:rsidRDefault="007B3C6C" w:rsidP="00BC2582">
            <w:pPr>
              <w:rPr>
                <w:b/>
                <w:sz w:val="20"/>
                <w:szCs w:val="20"/>
              </w:rPr>
            </w:pPr>
            <w:r w:rsidRPr="001645C5">
              <w:rPr>
                <w:b/>
                <w:sz w:val="20"/>
                <w:szCs w:val="20"/>
              </w:rPr>
              <w:t>2013</w:t>
            </w:r>
          </w:p>
        </w:tc>
      </w:tr>
      <w:tr w:rsidR="007B3C6C" w:rsidRPr="001645C5" w14:paraId="7BAF93B0" w14:textId="77777777" w:rsidTr="00BC2582">
        <w:trPr>
          <w:trHeight w:val="792"/>
        </w:trPr>
        <w:tc>
          <w:tcPr>
            <w:tcW w:w="1017" w:type="dxa"/>
            <w:shd w:val="clear" w:color="auto" w:fill="auto"/>
          </w:tcPr>
          <w:p w14:paraId="71E53065" w14:textId="77777777" w:rsidR="007B3C6C" w:rsidRPr="001645C5" w:rsidRDefault="007B3C6C" w:rsidP="00BC2582">
            <w:pPr>
              <w:rPr>
                <w:b/>
                <w:sz w:val="20"/>
                <w:szCs w:val="20"/>
              </w:rPr>
            </w:pPr>
            <w:r w:rsidRPr="001645C5">
              <w:rPr>
                <w:b/>
                <w:sz w:val="20"/>
                <w:szCs w:val="20"/>
              </w:rPr>
              <w:t>NAFTA Area IFDI</w:t>
            </w:r>
          </w:p>
        </w:tc>
        <w:tc>
          <w:tcPr>
            <w:tcW w:w="952" w:type="dxa"/>
            <w:shd w:val="clear" w:color="auto" w:fill="auto"/>
          </w:tcPr>
          <w:p w14:paraId="007E86AF" w14:textId="77777777" w:rsidR="007B3C6C" w:rsidRPr="001645C5" w:rsidRDefault="007B3C6C" w:rsidP="00BC2582">
            <w:pPr>
              <w:rPr>
                <w:sz w:val="20"/>
                <w:szCs w:val="20"/>
              </w:rPr>
            </w:pPr>
            <w:r w:rsidRPr="001645C5">
              <w:rPr>
                <w:sz w:val="20"/>
                <w:szCs w:val="20"/>
              </w:rPr>
              <w:t>59783.387</w:t>
            </w:r>
          </w:p>
          <w:p w14:paraId="1101A1F2" w14:textId="77777777" w:rsidR="007B3C6C" w:rsidRPr="001645C5" w:rsidRDefault="007B3C6C" w:rsidP="00BC2582">
            <w:pPr>
              <w:rPr>
                <w:sz w:val="20"/>
                <w:szCs w:val="20"/>
              </w:rPr>
            </w:pPr>
          </w:p>
        </w:tc>
        <w:tc>
          <w:tcPr>
            <w:tcW w:w="952" w:type="dxa"/>
            <w:shd w:val="clear" w:color="auto" w:fill="auto"/>
          </w:tcPr>
          <w:p w14:paraId="06AE8780" w14:textId="77777777" w:rsidR="007B3C6C" w:rsidRPr="001645C5" w:rsidRDefault="007B3C6C" w:rsidP="00BC2582">
            <w:pPr>
              <w:rPr>
                <w:sz w:val="20"/>
                <w:szCs w:val="20"/>
              </w:rPr>
            </w:pPr>
            <w:r w:rsidRPr="001645C5">
              <w:rPr>
                <w:sz w:val="20"/>
                <w:szCs w:val="20"/>
              </w:rPr>
              <w:t>77553.072</w:t>
            </w:r>
          </w:p>
          <w:p w14:paraId="7090FC85" w14:textId="77777777" w:rsidR="007B3C6C" w:rsidRPr="001645C5" w:rsidRDefault="007B3C6C" w:rsidP="00BC2582">
            <w:pPr>
              <w:rPr>
                <w:sz w:val="20"/>
                <w:szCs w:val="20"/>
              </w:rPr>
            </w:pPr>
          </w:p>
        </w:tc>
        <w:tc>
          <w:tcPr>
            <w:tcW w:w="1048" w:type="dxa"/>
            <w:shd w:val="clear" w:color="auto" w:fill="auto"/>
          </w:tcPr>
          <w:p w14:paraId="053479A9" w14:textId="77777777" w:rsidR="007B3C6C" w:rsidRPr="001645C5" w:rsidRDefault="007B3C6C" w:rsidP="00BC2582">
            <w:pPr>
              <w:rPr>
                <w:sz w:val="20"/>
                <w:szCs w:val="20"/>
              </w:rPr>
            </w:pPr>
            <w:r w:rsidRPr="001645C5">
              <w:rPr>
                <w:sz w:val="20"/>
                <w:szCs w:val="20"/>
              </w:rPr>
              <w:t>127752.7398</w:t>
            </w:r>
          </w:p>
          <w:p w14:paraId="492C0383" w14:textId="77777777" w:rsidR="007B3C6C" w:rsidRPr="001645C5" w:rsidRDefault="007B3C6C" w:rsidP="00BC2582">
            <w:pPr>
              <w:rPr>
                <w:sz w:val="20"/>
                <w:szCs w:val="20"/>
              </w:rPr>
            </w:pPr>
          </w:p>
        </w:tc>
        <w:tc>
          <w:tcPr>
            <w:tcW w:w="856" w:type="dxa"/>
            <w:shd w:val="clear" w:color="auto" w:fill="auto"/>
          </w:tcPr>
          <w:p w14:paraId="388F9E7E" w14:textId="77777777" w:rsidR="007B3C6C" w:rsidRPr="001645C5" w:rsidRDefault="007B3C6C" w:rsidP="00BC2582">
            <w:pPr>
              <w:rPr>
                <w:sz w:val="20"/>
                <w:szCs w:val="20"/>
              </w:rPr>
            </w:pPr>
            <w:r w:rsidRPr="001645C5">
              <w:rPr>
                <w:sz w:val="20"/>
                <w:szCs w:val="20"/>
              </w:rPr>
              <w:t>322059.7702</w:t>
            </w:r>
          </w:p>
          <w:p w14:paraId="78C022CF" w14:textId="77777777" w:rsidR="007B3C6C" w:rsidRPr="001645C5" w:rsidRDefault="007B3C6C" w:rsidP="00BC2582">
            <w:pPr>
              <w:rPr>
                <w:sz w:val="20"/>
                <w:szCs w:val="20"/>
              </w:rPr>
            </w:pPr>
          </w:p>
        </w:tc>
        <w:tc>
          <w:tcPr>
            <w:tcW w:w="845" w:type="dxa"/>
            <w:shd w:val="clear" w:color="auto" w:fill="auto"/>
          </w:tcPr>
          <w:p w14:paraId="7E0453A2" w14:textId="77777777" w:rsidR="007B3C6C" w:rsidRPr="001645C5" w:rsidRDefault="007B3C6C" w:rsidP="00BC2582">
            <w:pPr>
              <w:rPr>
                <w:sz w:val="20"/>
                <w:szCs w:val="20"/>
              </w:rPr>
            </w:pPr>
            <w:r w:rsidRPr="001645C5">
              <w:rPr>
                <w:sz w:val="20"/>
                <w:szCs w:val="20"/>
              </w:rPr>
              <w:t>217156.4291</w:t>
            </w:r>
          </w:p>
          <w:p w14:paraId="0709788C" w14:textId="77777777" w:rsidR="007B3C6C" w:rsidRPr="001645C5" w:rsidRDefault="007B3C6C" w:rsidP="00BC2582">
            <w:pPr>
              <w:rPr>
                <w:sz w:val="20"/>
                <w:szCs w:val="20"/>
              </w:rPr>
            </w:pPr>
          </w:p>
        </w:tc>
        <w:tc>
          <w:tcPr>
            <w:tcW w:w="851" w:type="dxa"/>
            <w:shd w:val="clear" w:color="auto" w:fill="auto"/>
          </w:tcPr>
          <w:p w14:paraId="11624EBB" w14:textId="77777777" w:rsidR="007B3C6C" w:rsidRPr="001645C5" w:rsidRDefault="007B3C6C" w:rsidP="00BC2582">
            <w:pPr>
              <w:rPr>
                <w:sz w:val="20"/>
                <w:szCs w:val="20"/>
              </w:rPr>
            </w:pPr>
            <w:r w:rsidRPr="001645C5">
              <w:rPr>
                <w:sz w:val="20"/>
                <w:szCs w:val="20"/>
              </w:rPr>
              <w:t>79518.83546</w:t>
            </w:r>
          </w:p>
          <w:p w14:paraId="0373146F" w14:textId="77777777" w:rsidR="007B3C6C" w:rsidRPr="001645C5" w:rsidRDefault="007B3C6C" w:rsidP="00BC2582">
            <w:pPr>
              <w:rPr>
                <w:sz w:val="20"/>
                <w:szCs w:val="20"/>
              </w:rPr>
            </w:pPr>
          </w:p>
        </w:tc>
        <w:tc>
          <w:tcPr>
            <w:tcW w:w="992" w:type="dxa"/>
            <w:shd w:val="clear" w:color="auto" w:fill="auto"/>
          </w:tcPr>
          <w:p w14:paraId="70E39826" w14:textId="77777777" w:rsidR="007B3C6C" w:rsidRPr="001645C5" w:rsidRDefault="007B3C6C" w:rsidP="00BC2582">
            <w:pPr>
              <w:rPr>
                <w:sz w:val="20"/>
                <w:szCs w:val="20"/>
              </w:rPr>
            </w:pPr>
            <w:r w:rsidRPr="001645C5">
              <w:rPr>
                <w:sz w:val="20"/>
                <w:szCs w:val="20"/>
              </w:rPr>
              <w:t>155199.0041</w:t>
            </w:r>
          </w:p>
          <w:p w14:paraId="6650E1FD" w14:textId="77777777" w:rsidR="007B3C6C" w:rsidRPr="001645C5" w:rsidRDefault="007B3C6C" w:rsidP="00BC2582">
            <w:pPr>
              <w:rPr>
                <w:sz w:val="20"/>
                <w:szCs w:val="20"/>
              </w:rPr>
            </w:pPr>
          </w:p>
        </w:tc>
        <w:tc>
          <w:tcPr>
            <w:tcW w:w="992" w:type="dxa"/>
            <w:shd w:val="clear" w:color="auto" w:fill="auto"/>
          </w:tcPr>
          <w:p w14:paraId="47FA8E3C" w14:textId="77777777" w:rsidR="007B3C6C" w:rsidRPr="001645C5" w:rsidRDefault="007B3C6C" w:rsidP="00BC2582">
            <w:pPr>
              <w:rPr>
                <w:sz w:val="20"/>
                <w:szCs w:val="20"/>
              </w:rPr>
            </w:pPr>
            <w:r w:rsidRPr="001645C5">
              <w:rPr>
                <w:sz w:val="20"/>
                <w:szCs w:val="20"/>
              </w:rPr>
              <w:t>365093.253</w:t>
            </w:r>
          </w:p>
          <w:p w14:paraId="722F8024" w14:textId="77777777" w:rsidR="007B3C6C" w:rsidRPr="001645C5" w:rsidRDefault="007B3C6C" w:rsidP="00BC2582">
            <w:pPr>
              <w:rPr>
                <w:sz w:val="20"/>
                <w:szCs w:val="20"/>
              </w:rPr>
            </w:pPr>
          </w:p>
        </w:tc>
        <w:tc>
          <w:tcPr>
            <w:tcW w:w="993" w:type="dxa"/>
            <w:shd w:val="clear" w:color="auto" w:fill="auto"/>
          </w:tcPr>
          <w:p w14:paraId="2353D7F2" w14:textId="77777777" w:rsidR="007B3C6C" w:rsidRPr="001645C5" w:rsidRDefault="007B3C6C" w:rsidP="00BC2582">
            <w:pPr>
              <w:rPr>
                <w:sz w:val="20"/>
                <w:szCs w:val="20"/>
              </w:rPr>
            </w:pPr>
            <w:r w:rsidRPr="001645C5">
              <w:rPr>
                <w:sz w:val="20"/>
                <w:szCs w:val="20"/>
              </w:rPr>
              <w:t>183982.4913</w:t>
            </w:r>
          </w:p>
          <w:p w14:paraId="629023EC" w14:textId="77777777" w:rsidR="007B3C6C" w:rsidRPr="001645C5" w:rsidRDefault="007B3C6C" w:rsidP="00BC2582">
            <w:pPr>
              <w:rPr>
                <w:sz w:val="20"/>
                <w:szCs w:val="20"/>
              </w:rPr>
            </w:pPr>
          </w:p>
        </w:tc>
        <w:tc>
          <w:tcPr>
            <w:tcW w:w="992" w:type="dxa"/>
            <w:shd w:val="clear" w:color="auto" w:fill="auto"/>
          </w:tcPr>
          <w:p w14:paraId="4EBEF9BD" w14:textId="77777777" w:rsidR="007B3C6C" w:rsidRPr="001645C5" w:rsidRDefault="007B3C6C" w:rsidP="00BC2582">
            <w:pPr>
              <w:rPr>
                <w:sz w:val="20"/>
                <w:szCs w:val="20"/>
              </w:rPr>
            </w:pPr>
            <w:r w:rsidRPr="001645C5">
              <w:rPr>
                <w:sz w:val="20"/>
                <w:szCs w:val="20"/>
              </w:rPr>
              <w:t>292907.2269</w:t>
            </w:r>
          </w:p>
          <w:p w14:paraId="0F7F9BCF" w14:textId="77777777" w:rsidR="007B3C6C" w:rsidRPr="001645C5" w:rsidRDefault="007B3C6C" w:rsidP="00BC2582">
            <w:pPr>
              <w:rPr>
                <w:sz w:val="20"/>
                <w:szCs w:val="20"/>
              </w:rPr>
            </w:pPr>
          </w:p>
        </w:tc>
        <w:tc>
          <w:tcPr>
            <w:tcW w:w="992" w:type="dxa"/>
            <w:shd w:val="clear" w:color="auto" w:fill="auto"/>
          </w:tcPr>
          <w:p w14:paraId="2D890701" w14:textId="77777777" w:rsidR="007B3C6C" w:rsidRPr="001645C5" w:rsidRDefault="007B3C6C" w:rsidP="00BC2582">
            <w:pPr>
              <w:rPr>
                <w:sz w:val="20"/>
                <w:szCs w:val="20"/>
              </w:rPr>
            </w:pPr>
            <w:r w:rsidRPr="001645C5">
              <w:rPr>
                <w:sz w:val="20"/>
                <w:szCs w:val="20"/>
              </w:rPr>
              <w:t>345959.8503</w:t>
            </w:r>
          </w:p>
          <w:p w14:paraId="7CDE6AAE" w14:textId="77777777" w:rsidR="007B3C6C" w:rsidRPr="001645C5" w:rsidRDefault="007B3C6C" w:rsidP="00BC2582">
            <w:pPr>
              <w:rPr>
                <w:sz w:val="20"/>
                <w:szCs w:val="20"/>
              </w:rPr>
            </w:pPr>
          </w:p>
        </w:tc>
      </w:tr>
      <w:tr w:rsidR="007B3C6C" w:rsidRPr="001645C5" w14:paraId="6AC023AD" w14:textId="77777777" w:rsidTr="00BC2582">
        <w:trPr>
          <w:trHeight w:val="476"/>
        </w:trPr>
        <w:tc>
          <w:tcPr>
            <w:tcW w:w="1017" w:type="dxa"/>
            <w:shd w:val="clear" w:color="auto" w:fill="auto"/>
          </w:tcPr>
          <w:p w14:paraId="19C1B828" w14:textId="77777777" w:rsidR="007B3C6C" w:rsidRPr="001645C5" w:rsidRDefault="007B3C6C" w:rsidP="00BC2582">
            <w:pPr>
              <w:rPr>
                <w:b/>
                <w:sz w:val="20"/>
                <w:szCs w:val="20"/>
              </w:rPr>
            </w:pPr>
            <w:r w:rsidRPr="001645C5">
              <w:rPr>
                <w:b/>
                <w:sz w:val="20"/>
                <w:szCs w:val="20"/>
              </w:rPr>
              <w:t>NAFTA Area OFDI</w:t>
            </w:r>
          </w:p>
        </w:tc>
        <w:tc>
          <w:tcPr>
            <w:tcW w:w="952" w:type="dxa"/>
            <w:shd w:val="clear" w:color="auto" w:fill="auto"/>
          </w:tcPr>
          <w:p w14:paraId="37C29BB1" w14:textId="77777777" w:rsidR="007B3C6C" w:rsidRPr="001645C5" w:rsidRDefault="007B3C6C" w:rsidP="00BC2582">
            <w:pPr>
              <w:rPr>
                <w:sz w:val="20"/>
                <w:szCs w:val="20"/>
              </w:rPr>
            </w:pPr>
            <w:r w:rsidRPr="001645C5">
              <w:rPr>
                <w:sz w:val="20"/>
                <w:szCs w:val="20"/>
              </w:rPr>
              <w:t>82838.969</w:t>
            </w:r>
          </w:p>
          <w:p w14:paraId="3FDBA1E1" w14:textId="77777777" w:rsidR="007B3C6C" w:rsidRPr="001645C5" w:rsidRDefault="007B3C6C" w:rsidP="00BC2582">
            <w:pPr>
              <w:rPr>
                <w:sz w:val="20"/>
                <w:szCs w:val="20"/>
              </w:rPr>
            </w:pPr>
          </w:p>
        </w:tc>
        <w:tc>
          <w:tcPr>
            <w:tcW w:w="952" w:type="dxa"/>
            <w:shd w:val="clear" w:color="auto" w:fill="auto"/>
          </w:tcPr>
          <w:p w14:paraId="67DE00A3" w14:textId="77777777" w:rsidR="007B3C6C" w:rsidRPr="001645C5" w:rsidRDefault="007B3C6C" w:rsidP="00BC2582">
            <w:pPr>
              <w:rPr>
                <w:sz w:val="20"/>
                <w:szCs w:val="20"/>
              </w:rPr>
            </w:pPr>
            <w:r w:rsidRPr="001645C5">
              <w:rPr>
                <w:sz w:val="20"/>
                <w:szCs w:val="20"/>
              </w:rPr>
              <w:t>103272.606</w:t>
            </w:r>
          </w:p>
          <w:p w14:paraId="4ACB6D7E" w14:textId="77777777" w:rsidR="007B3C6C" w:rsidRPr="001645C5" w:rsidRDefault="007B3C6C" w:rsidP="00BC2582">
            <w:pPr>
              <w:rPr>
                <w:sz w:val="20"/>
                <w:szCs w:val="20"/>
              </w:rPr>
            </w:pPr>
          </w:p>
        </w:tc>
        <w:tc>
          <w:tcPr>
            <w:tcW w:w="1048" w:type="dxa"/>
            <w:shd w:val="clear" w:color="auto" w:fill="auto"/>
          </w:tcPr>
          <w:p w14:paraId="79345369" w14:textId="77777777" w:rsidR="007B3C6C" w:rsidRPr="001645C5" w:rsidRDefault="007B3C6C" w:rsidP="00BC2582">
            <w:pPr>
              <w:rPr>
                <w:sz w:val="20"/>
                <w:szCs w:val="20"/>
              </w:rPr>
            </w:pPr>
            <w:r w:rsidRPr="001645C5">
              <w:rPr>
                <w:sz w:val="20"/>
                <w:szCs w:val="20"/>
              </w:rPr>
              <w:t>119942.5342</w:t>
            </w:r>
          </w:p>
          <w:p w14:paraId="6770DEC6" w14:textId="77777777" w:rsidR="007B3C6C" w:rsidRPr="001645C5" w:rsidRDefault="007B3C6C" w:rsidP="00BC2582">
            <w:pPr>
              <w:rPr>
                <w:sz w:val="20"/>
                <w:szCs w:val="20"/>
              </w:rPr>
            </w:pPr>
          </w:p>
        </w:tc>
        <w:tc>
          <w:tcPr>
            <w:tcW w:w="856" w:type="dxa"/>
            <w:shd w:val="clear" w:color="auto" w:fill="auto"/>
          </w:tcPr>
          <w:p w14:paraId="701F470A" w14:textId="77777777" w:rsidR="007B3C6C" w:rsidRPr="001645C5" w:rsidRDefault="007B3C6C" w:rsidP="00BC2582">
            <w:pPr>
              <w:rPr>
                <w:sz w:val="20"/>
                <w:szCs w:val="20"/>
              </w:rPr>
            </w:pPr>
            <w:r w:rsidRPr="001645C5">
              <w:rPr>
                <w:sz w:val="20"/>
                <w:szCs w:val="20"/>
              </w:rPr>
              <w:t>228539.0137</w:t>
            </w:r>
          </w:p>
          <w:p w14:paraId="7AF54729" w14:textId="77777777" w:rsidR="007B3C6C" w:rsidRPr="001645C5" w:rsidRDefault="007B3C6C" w:rsidP="00BC2582">
            <w:pPr>
              <w:rPr>
                <w:sz w:val="20"/>
                <w:szCs w:val="20"/>
              </w:rPr>
            </w:pPr>
          </w:p>
        </w:tc>
        <w:tc>
          <w:tcPr>
            <w:tcW w:w="845" w:type="dxa"/>
            <w:shd w:val="clear" w:color="auto" w:fill="auto"/>
          </w:tcPr>
          <w:p w14:paraId="2EB7EBE7" w14:textId="77777777" w:rsidR="007B3C6C" w:rsidRPr="001645C5" w:rsidRDefault="007B3C6C" w:rsidP="00BC2582">
            <w:pPr>
              <w:rPr>
                <w:sz w:val="20"/>
                <w:szCs w:val="20"/>
              </w:rPr>
            </w:pPr>
            <w:r w:rsidRPr="001645C5">
              <w:rPr>
                <w:sz w:val="20"/>
                <w:szCs w:val="20"/>
              </w:rPr>
              <w:t>165305.7801</w:t>
            </w:r>
          </w:p>
          <w:p w14:paraId="60E1C812" w14:textId="77777777" w:rsidR="007B3C6C" w:rsidRPr="001645C5" w:rsidRDefault="007B3C6C" w:rsidP="00BC2582">
            <w:pPr>
              <w:rPr>
                <w:sz w:val="20"/>
                <w:szCs w:val="20"/>
              </w:rPr>
            </w:pPr>
          </w:p>
        </w:tc>
        <w:tc>
          <w:tcPr>
            <w:tcW w:w="851" w:type="dxa"/>
            <w:shd w:val="clear" w:color="auto" w:fill="auto"/>
          </w:tcPr>
          <w:p w14:paraId="50C53B7F" w14:textId="77777777" w:rsidR="007B3C6C" w:rsidRPr="001645C5" w:rsidRDefault="007B3C6C" w:rsidP="00BC2582">
            <w:pPr>
              <w:rPr>
                <w:sz w:val="20"/>
                <w:szCs w:val="20"/>
              </w:rPr>
            </w:pPr>
            <w:r w:rsidRPr="001645C5">
              <w:rPr>
                <w:sz w:val="20"/>
                <w:szCs w:val="20"/>
              </w:rPr>
              <w:t>153529.6994</w:t>
            </w:r>
          </w:p>
          <w:p w14:paraId="398852A0" w14:textId="77777777" w:rsidR="007B3C6C" w:rsidRPr="001645C5" w:rsidRDefault="007B3C6C" w:rsidP="00BC2582">
            <w:pPr>
              <w:rPr>
                <w:sz w:val="20"/>
                <w:szCs w:val="20"/>
              </w:rPr>
            </w:pPr>
          </w:p>
        </w:tc>
        <w:tc>
          <w:tcPr>
            <w:tcW w:w="992" w:type="dxa"/>
            <w:shd w:val="clear" w:color="auto" w:fill="auto"/>
          </w:tcPr>
          <w:p w14:paraId="3DD695A6" w14:textId="77777777" w:rsidR="007B3C6C" w:rsidRPr="001645C5" w:rsidRDefault="007B3C6C" w:rsidP="00BC2582">
            <w:pPr>
              <w:rPr>
                <w:sz w:val="20"/>
                <w:szCs w:val="20"/>
              </w:rPr>
            </w:pPr>
            <w:r w:rsidRPr="001645C5">
              <w:rPr>
                <w:sz w:val="20"/>
                <w:szCs w:val="20"/>
              </w:rPr>
              <w:t>49381.45246</w:t>
            </w:r>
          </w:p>
          <w:p w14:paraId="6C37CCC1" w14:textId="77777777" w:rsidR="007B3C6C" w:rsidRPr="001645C5" w:rsidRDefault="007B3C6C" w:rsidP="00BC2582">
            <w:pPr>
              <w:rPr>
                <w:sz w:val="20"/>
                <w:szCs w:val="20"/>
              </w:rPr>
            </w:pPr>
          </w:p>
        </w:tc>
        <w:tc>
          <w:tcPr>
            <w:tcW w:w="992" w:type="dxa"/>
            <w:shd w:val="clear" w:color="auto" w:fill="auto"/>
          </w:tcPr>
          <w:p w14:paraId="33B704F2" w14:textId="77777777" w:rsidR="007B3C6C" w:rsidRPr="001645C5" w:rsidRDefault="007B3C6C" w:rsidP="00BC2582">
            <w:pPr>
              <w:rPr>
                <w:sz w:val="20"/>
                <w:szCs w:val="20"/>
              </w:rPr>
            </w:pPr>
            <w:r w:rsidRPr="001645C5">
              <w:rPr>
                <w:sz w:val="20"/>
                <w:szCs w:val="20"/>
              </w:rPr>
              <w:t>466401.4697</w:t>
            </w:r>
          </w:p>
          <w:p w14:paraId="0F458312" w14:textId="77777777" w:rsidR="007B3C6C" w:rsidRPr="001645C5" w:rsidRDefault="007B3C6C" w:rsidP="00BC2582">
            <w:pPr>
              <w:rPr>
                <w:sz w:val="20"/>
                <w:szCs w:val="20"/>
              </w:rPr>
            </w:pPr>
          </w:p>
        </w:tc>
        <w:tc>
          <w:tcPr>
            <w:tcW w:w="993" w:type="dxa"/>
            <w:shd w:val="clear" w:color="auto" w:fill="auto"/>
          </w:tcPr>
          <w:p w14:paraId="78C20421" w14:textId="77777777" w:rsidR="007B3C6C" w:rsidRPr="001645C5" w:rsidRDefault="007B3C6C" w:rsidP="00BC2582">
            <w:pPr>
              <w:rPr>
                <w:sz w:val="20"/>
                <w:szCs w:val="20"/>
              </w:rPr>
            </w:pPr>
            <w:r w:rsidRPr="001645C5">
              <w:rPr>
                <w:sz w:val="20"/>
                <w:szCs w:val="20"/>
              </w:rPr>
              <w:t>337105.7368</w:t>
            </w:r>
          </w:p>
          <w:p w14:paraId="462567D7" w14:textId="77777777" w:rsidR="007B3C6C" w:rsidRPr="001645C5" w:rsidRDefault="007B3C6C" w:rsidP="00BC2582">
            <w:pPr>
              <w:rPr>
                <w:sz w:val="20"/>
                <w:szCs w:val="20"/>
              </w:rPr>
            </w:pPr>
          </w:p>
        </w:tc>
        <w:tc>
          <w:tcPr>
            <w:tcW w:w="992" w:type="dxa"/>
            <w:shd w:val="clear" w:color="auto" w:fill="auto"/>
          </w:tcPr>
          <w:p w14:paraId="240D74B4" w14:textId="77777777" w:rsidR="007B3C6C" w:rsidRPr="001645C5" w:rsidRDefault="007B3C6C" w:rsidP="00BC2582">
            <w:pPr>
              <w:rPr>
                <w:sz w:val="20"/>
                <w:szCs w:val="20"/>
              </w:rPr>
            </w:pPr>
            <w:r w:rsidRPr="001645C5">
              <w:rPr>
                <w:sz w:val="20"/>
                <w:szCs w:val="20"/>
              </w:rPr>
              <w:t>461353.1567</w:t>
            </w:r>
          </w:p>
          <w:p w14:paraId="3342EFD0" w14:textId="77777777" w:rsidR="007B3C6C" w:rsidRPr="001645C5" w:rsidRDefault="007B3C6C" w:rsidP="00BC2582">
            <w:pPr>
              <w:rPr>
                <w:sz w:val="20"/>
                <w:szCs w:val="20"/>
              </w:rPr>
            </w:pPr>
          </w:p>
        </w:tc>
        <w:tc>
          <w:tcPr>
            <w:tcW w:w="992" w:type="dxa"/>
            <w:shd w:val="clear" w:color="auto" w:fill="auto"/>
          </w:tcPr>
          <w:p w14:paraId="29F6D0E9" w14:textId="77777777" w:rsidR="007B3C6C" w:rsidRPr="001645C5" w:rsidRDefault="007B3C6C" w:rsidP="00BC2582">
            <w:pPr>
              <w:rPr>
                <w:sz w:val="20"/>
                <w:szCs w:val="20"/>
              </w:rPr>
            </w:pPr>
            <w:r w:rsidRPr="001645C5">
              <w:rPr>
                <w:sz w:val="20"/>
                <w:szCs w:val="20"/>
              </w:rPr>
              <w:t>392017.3994</w:t>
            </w:r>
          </w:p>
          <w:p w14:paraId="7CB94605" w14:textId="77777777" w:rsidR="007B3C6C" w:rsidRPr="001645C5" w:rsidRDefault="007B3C6C" w:rsidP="00BC2582">
            <w:pPr>
              <w:rPr>
                <w:sz w:val="20"/>
                <w:szCs w:val="20"/>
              </w:rPr>
            </w:pPr>
          </w:p>
        </w:tc>
      </w:tr>
    </w:tbl>
    <w:p w14:paraId="68259968" w14:textId="77777777" w:rsidR="007B3C6C" w:rsidRDefault="007B3C6C" w:rsidP="007B3C6C">
      <w:pPr>
        <w:rPr>
          <w:sz w:val="20"/>
          <w:szCs w:val="20"/>
          <w:lang w:val="en-CA"/>
        </w:rPr>
      </w:pPr>
    </w:p>
    <w:p w14:paraId="057B2AC3" w14:textId="77777777" w:rsidR="007B3C6C" w:rsidRPr="00A53896" w:rsidRDefault="007B3C6C" w:rsidP="007B3C6C">
      <w:pPr>
        <w:jc w:val="center"/>
        <w:rPr>
          <w:b/>
          <w:sz w:val="20"/>
          <w:szCs w:val="20"/>
        </w:rPr>
      </w:pPr>
      <w:r w:rsidRPr="00A53896">
        <w:rPr>
          <w:b/>
          <w:sz w:val="20"/>
          <w:szCs w:val="20"/>
          <w:lang w:val="en-CA"/>
        </w:rPr>
        <w:t xml:space="preserve">Table 5: U.S.-Canada </w:t>
      </w:r>
      <w:r w:rsidRPr="00A53896">
        <w:rPr>
          <w:b/>
          <w:sz w:val="20"/>
          <w:szCs w:val="20"/>
        </w:rPr>
        <w:t>and U.S.-Mexico Incoming Foreign Direct Investment (IFDI) and Foreign Direct Investment Outflows (OFDI) 1993-2013.</w:t>
      </w:r>
    </w:p>
    <w:p w14:paraId="6124379B" w14:textId="77777777" w:rsidR="007B3C6C" w:rsidRPr="00A53896" w:rsidRDefault="007B3C6C" w:rsidP="007B3C6C">
      <w:pPr>
        <w:jc w:val="center"/>
        <w:rPr>
          <w:b/>
          <w:sz w:val="20"/>
          <w:szCs w:val="20"/>
        </w:rPr>
      </w:pPr>
      <w:r w:rsidRPr="00A53896">
        <w:rPr>
          <w:b/>
          <w:sz w:val="20"/>
          <w:szCs w:val="20"/>
        </w:rPr>
        <w:t>Numbers presented represent the mean of the years listed.</w:t>
      </w:r>
    </w:p>
    <w:p w14:paraId="45761B10" w14:textId="77777777" w:rsidR="007B3C6C" w:rsidRPr="00A53896" w:rsidRDefault="007B3C6C" w:rsidP="007B3C6C">
      <w:pPr>
        <w:jc w:val="center"/>
        <w:rPr>
          <w:b/>
          <w:sz w:val="20"/>
          <w:szCs w:val="20"/>
        </w:rPr>
      </w:pPr>
      <w:r w:rsidRPr="00A53896">
        <w:rPr>
          <w:b/>
          <w:sz w:val="20"/>
          <w:szCs w:val="20"/>
        </w:rPr>
        <w:t>IFDI and OFDI for all industries in US Dollars in millions.</w:t>
      </w:r>
    </w:p>
    <w:p w14:paraId="5EF901EA" w14:textId="77777777" w:rsidR="007B3C6C" w:rsidRPr="001645C5" w:rsidRDefault="007B3C6C" w:rsidP="007B3C6C">
      <w:pPr>
        <w:rPr>
          <w:sz w:val="20"/>
          <w:szCs w:val="20"/>
          <w:lang w:val="en-CA"/>
        </w:rPr>
      </w:pPr>
    </w:p>
    <w:tbl>
      <w:tblPr>
        <w:tblW w:w="11192" w:type="dxa"/>
        <w:tblInd w:w="-743" w:type="dxa"/>
        <w:tblLayout w:type="fixed"/>
        <w:tblLook w:val="04A0" w:firstRow="1" w:lastRow="0" w:firstColumn="1" w:lastColumn="0" w:noHBand="0" w:noVBand="1"/>
      </w:tblPr>
      <w:tblGrid>
        <w:gridCol w:w="917"/>
        <w:gridCol w:w="934"/>
        <w:gridCol w:w="934"/>
        <w:gridCol w:w="934"/>
        <w:gridCol w:w="934"/>
        <w:gridCol w:w="934"/>
        <w:gridCol w:w="934"/>
        <w:gridCol w:w="934"/>
        <w:gridCol w:w="934"/>
        <w:gridCol w:w="934"/>
        <w:gridCol w:w="934"/>
        <w:gridCol w:w="935"/>
      </w:tblGrid>
      <w:tr w:rsidR="007B3C6C" w:rsidRPr="001645C5" w14:paraId="5915CB90" w14:textId="77777777" w:rsidTr="00BC2582">
        <w:trPr>
          <w:trHeight w:val="168"/>
        </w:trPr>
        <w:tc>
          <w:tcPr>
            <w:tcW w:w="917" w:type="dxa"/>
            <w:shd w:val="clear" w:color="auto" w:fill="auto"/>
          </w:tcPr>
          <w:p w14:paraId="11CB4454" w14:textId="77777777" w:rsidR="007B3C6C" w:rsidRPr="001645C5" w:rsidRDefault="007B3C6C" w:rsidP="00BC2582">
            <w:pPr>
              <w:rPr>
                <w:sz w:val="20"/>
                <w:szCs w:val="20"/>
              </w:rPr>
            </w:pPr>
          </w:p>
        </w:tc>
        <w:tc>
          <w:tcPr>
            <w:tcW w:w="934" w:type="dxa"/>
            <w:shd w:val="clear" w:color="auto" w:fill="auto"/>
          </w:tcPr>
          <w:p w14:paraId="3E090795" w14:textId="77777777" w:rsidR="007B3C6C" w:rsidRPr="001645C5" w:rsidRDefault="007B3C6C" w:rsidP="00BC2582">
            <w:pPr>
              <w:rPr>
                <w:b/>
                <w:sz w:val="20"/>
                <w:szCs w:val="20"/>
              </w:rPr>
            </w:pPr>
            <w:r w:rsidRPr="001645C5">
              <w:rPr>
                <w:b/>
                <w:sz w:val="20"/>
                <w:szCs w:val="20"/>
              </w:rPr>
              <w:t>1993/94</w:t>
            </w:r>
          </w:p>
        </w:tc>
        <w:tc>
          <w:tcPr>
            <w:tcW w:w="934" w:type="dxa"/>
            <w:shd w:val="clear" w:color="auto" w:fill="auto"/>
          </w:tcPr>
          <w:p w14:paraId="7B74BA63" w14:textId="77777777" w:rsidR="007B3C6C" w:rsidRPr="001645C5" w:rsidRDefault="007B3C6C" w:rsidP="00BC2582">
            <w:pPr>
              <w:rPr>
                <w:b/>
                <w:sz w:val="20"/>
                <w:szCs w:val="20"/>
              </w:rPr>
            </w:pPr>
            <w:r w:rsidRPr="001645C5">
              <w:rPr>
                <w:b/>
                <w:sz w:val="20"/>
                <w:szCs w:val="20"/>
              </w:rPr>
              <w:t>1995/96</w:t>
            </w:r>
          </w:p>
        </w:tc>
        <w:tc>
          <w:tcPr>
            <w:tcW w:w="934" w:type="dxa"/>
            <w:shd w:val="clear" w:color="auto" w:fill="auto"/>
          </w:tcPr>
          <w:p w14:paraId="481F714F" w14:textId="77777777" w:rsidR="007B3C6C" w:rsidRPr="001645C5" w:rsidRDefault="007B3C6C" w:rsidP="00BC2582">
            <w:pPr>
              <w:rPr>
                <w:b/>
                <w:sz w:val="20"/>
                <w:szCs w:val="20"/>
              </w:rPr>
            </w:pPr>
            <w:r w:rsidRPr="001645C5">
              <w:rPr>
                <w:b/>
                <w:sz w:val="20"/>
                <w:szCs w:val="20"/>
              </w:rPr>
              <w:t>1997/98</w:t>
            </w:r>
          </w:p>
        </w:tc>
        <w:tc>
          <w:tcPr>
            <w:tcW w:w="934" w:type="dxa"/>
            <w:shd w:val="clear" w:color="auto" w:fill="auto"/>
          </w:tcPr>
          <w:p w14:paraId="794ABB96" w14:textId="77777777" w:rsidR="007B3C6C" w:rsidRPr="001645C5" w:rsidRDefault="007B3C6C" w:rsidP="00BC2582">
            <w:pPr>
              <w:rPr>
                <w:b/>
                <w:sz w:val="20"/>
                <w:szCs w:val="20"/>
              </w:rPr>
            </w:pPr>
            <w:r w:rsidRPr="001645C5">
              <w:rPr>
                <w:b/>
                <w:sz w:val="20"/>
                <w:szCs w:val="20"/>
              </w:rPr>
              <w:t>1999/00</w:t>
            </w:r>
          </w:p>
        </w:tc>
        <w:tc>
          <w:tcPr>
            <w:tcW w:w="934" w:type="dxa"/>
            <w:shd w:val="clear" w:color="auto" w:fill="auto"/>
          </w:tcPr>
          <w:p w14:paraId="430B6C2B" w14:textId="77777777" w:rsidR="007B3C6C" w:rsidRPr="001645C5" w:rsidRDefault="007B3C6C" w:rsidP="00BC2582">
            <w:pPr>
              <w:rPr>
                <w:b/>
                <w:sz w:val="20"/>
                <w:szCs w:val="20"/>
              </w:rPr>
            </w:pPr>
            <w:r w:rsidRPr="001645C5">
              <w:rPr>
                <w:b/>
                <w:sz w:val="20"/>
                <w:szCs w:val="20"/>
              </w:rPr>
              <w:t>2001/02</w:t>
            </w:r>
          </w:p>
        </w:tc>
        <w:tc>
          <w:tcPr>
            <w:tcW w:w="934" w:type="dxa"/>
            <w:shd w:val="clear" w:color="auto" w:fill="auto"/>
          </w:tcPr>
          <w:p w14:paraId="28417F12" w14:textId="77777777" w:rsidR="007B3C6C" w:rsidRPr="001645C5" w:rsidRDefault="007B3C6C" w:rsidP="00BC2582">
            <w:pPr>
              <w:rPr>
                <w:b/>
                <w:sz w:val="20"/>
                <w:szCs w:val="20"/>
              </w:rPr>
            </w:pPr>
            <w:r w:rsidRPr="001645C5">
              <w:rPr>
                <w:b/>
                <w:sz w:val="20"/>
                <w:szCs w:val="20"/>
              </w:rPr>
              <w:t>2003/04</w:t>
            </w:r>
          </w:p>
        </w:tc>
        <w:tc>
          <w:tcPr>
            <w:tcW w:w="934" w:type="dxa"/>
            <w:shd w:val="clear" w:color="auto" w:fill="auto"/>
          </w:tcPr>
          <w:p w14:paraId="73B49A05" w14:textId="77777777" w:rsidR="007B3C6C" w:rsidRPr="001645C5" w:rsidRDefault="007B3C6C" w:rsidP="00BC2582">
            <w:pPr>
              <w:rPr>
                <w:b/>
                <w:sz w:val="20"/>
                <w:szCs w:val="20"/>
              </w:rPr>
            </w:pPr>
            <w:r w:rsidRPr="001645C5">
              <w:rPr>
                <w:b/>
                <w:sz w:val="20"/>
                <w:szCs w:val="20"/>
              </w:rPr>
              <w:t>2005/06</w:t>
            </w:r>
          </w:p>
        </w:tc>
        <w:tc>
          <w:tcPr>
            <w:tcW w:w="934" w:type="dxa"/>
            <w:shd w:val="clear" w:color="auto" w:fill="auto"/>
          </w:tcPr>
          <w:p w14:paraId="7285B2C4" w14:textId="77777777" w:rsidR="007B3C6C" w:rsidRPr="001645C5" w:rsidRDefault="007B3C6C" w:rsidP="00BC2582">
            <w:pPr>
              <w:rPr>
                <w:b/>
                <w:sz w:val="20"/>
                <w:szCs w:val="20"/>
              </w:rPr>
            </w:pPr>
            <w:r w:rsidRPr="001645C5">
              <w:rPr>
                <w:b/>
                <w:sz w:val="20"/>
                <w:szCs w:val="20"/>
              </w:rPr>
              <w:t>2007/08</w:t>
            </w:r>
          </w:p>
        </w:tc>
        <w:tc>
          <w:tcPr>
            <w:tcW w:w="934" w:type="dxa"/>
            <w:shd w:val="clear" w:color="auto" w:fill="auto"/>
          </w:tcPr>
          <w:p w14:paraId="0E27FA46" w14:textId="77777777" w:rsidR="007B3C6C" w:rsidRPr="001645C5" w:rsidRDefault="007B3C6C" w:rsidP="00BC2582">
            <w:pPr>
              <w:rPr>
                <w:b/>
                <w:sz w:val="20"/>
                <w:szCs w:val="20"/>
              </w:rPr>
            </w:pPr>
            <w:r w:rsidRPr="001645C5">
              <w:rPr>
                <w:b/>
                <w:sz w:val="20"/>
                <w:szCs w:val="20"/>
              </w:rPr>
              <w:t>2009/10</w:t>
            </w:r>
          </w:p>
        </w:tc>
        <w:tc>
          <w:tcPr>
            <w:tcW w:w="934" w:type="dxa"/>
            <w:shd w:val="clear" w:color="auto" w:fill="auto"/>
          </w:tcPr>
          <w:p w14:paraId="2EB906A7" w14:textId="77777777" w:rsidR="007B3C6C" w:rsidRPr="001645C5" w:rsidRDefault="007B3C6C" w:rsidP="00BC2582">
            <w:pPr>
              <w:rPr>
                <w:b/>
                <w:sz w:val="20"/>
                <w:szCs w:val="20"/>
              </w:rPr>
            </w:pPr>
            <w:r w:rsidRPr="001645C5">
              <w:rPr>
                <w:b/>
                <w:sz w:val="20"/>
                <w:szCs w:val="20"/>
              </w:rPr>
              <w:t>2011/12</w:t>
            </w:r>
          </w:p>
        </w:tc>
        <w:tc>
          <w:tcPr>
            <w:tcW w:w="935" w:type="dxa"/>
            <w:shd w:val="clear" w:color="auto" w:fill="auto"/>
          </w:tcPr>
          <w:p w14:paraId="0B41097E" w14:textId="77777777" w:rsidR="007B3C6C" w:rsidRPr="001645C5" w:rsidRDefault="007B3C6C" w:rsidP="00BC2582">
            <w:pPr>
              <w:rPr>
                <w:b/>
                <w:sz w:val="20"/>
                <w:szCs w:val="20"/>
              </w:rPr>
            </w:pPr>
            <w:r w:rsidRPr="001645C5">
              <w:rPr>
                <w:b/>
                <w:sz w:val="20"/>
                <w:szCs w:val="20"/>
              </w:rPr>
              <w:t>2013</w:t>
            </w:r>
          </w:p>
        </w:tc>
      </w:tr>
      <w:tr w:rsidR="007B3C6C" w:rsidRPr="001645C5" w14:paraId="54A13BB5" w14:textId="77777777" w:rsidTr="00BC2582">
        <w:trPr>
          <w:trHeight w:val="511"/>
        </w:trPr>
        <w:tc>
          <w:tcPr>
            <w:tcW w:w="917" w:type="dxa"/>
            <w:shd w:val="clear" w:color="auto" w:fill="auto"/>
          </w:tcPr>
          <w:p w14:paraId="342F3445" w14:textId="77777777" w:rsidR="007B3C6C" w:rsidRPr="001645C5" w:rsidRDefault="007B3C6C" w:rsidP="00BC2582">
            <w:pPr>
              <w:rPr>
                <w:b/>
                <w:sz w:val="20"/>
                <w:szCs w:val="20"/>
              </w:rPr>
            </w:pPr>
            <w:r w:rsidRPr="001645C5">
              <w:rPr>
                <w:b/>
                <w:sz w:val="20"/>
                <w:szCs w:val="20"/>
              </w:rPr>
              <w:t>U.S.-Canada IFDI</w:t>
            </w:r>
          </w:p>
        </w:tc>
        <w:tc>
          <w:tcPr>
            <w:tcW w:w="934" w:type="dxa"/>
            <w:shd w:val="clear" w:color="auto" w:fill="auto"/>
          </w:tcPr>
          <w:p w14:paraId="11F5168F" w14:textId="77777777" w:rsidR="007B3C6C" w:rsidRPr="001645C5" w:rsidRDefault="007B3C6C" w:rsidP="00BC2582">
            <w:pPr>
              <w:rPr>
                <w:sz w:val="20"/>
                <w:szCs w:val="20"/>
              </w:rPr>
            </w:pPr>
            <w:r w:rsidRPr="001645C5">
              <w:rPr>
                <w:sz w:val="20"/>
                <w:szCs w:val="20"/>
              </w:rPr>
              <w:t>40.796</w:t>
            </w:r>
          </w:p>
          <w:p w14:paraId="026F171D" w14:textId="77777777" w:rsidR="007B3C6C" w:rsidRPr="001645C5" w:rsidRDefault="007B3C6C" w:rsidP="00BC2582">
            <w:pPr>
              <w:rPr>
                <w:sz w:val="20"/>
                <w:szCs w:val="20"/>
              </w:rPr>
            </w:pPr>
          </w:p>
        </w:tc>
        <w:tc>
          <w:tcPr>
            <w:tcW w:w="934" w:type="dxa"/>
            <w:shd w:val="clear" w:color="auto" w:fill="auto"/>
          </w:tcPr>
          <w:p w14:paraId="7AD6589F" w14:textId="77777777" w:rsidR="007B3C6C" w:rsidRPr="001645C5" w:rsidRDefault="007B3C6C" w:rsidP="00BC2582">
            <w:pPr>
              <w:rPr>
                <w:sz w:val="20"/>
                <w:szCs w:val="20"/>
              </w:rPr>
            </w:pPr>
            <w:r w:rsidRPr="001645C5">
              <w:rPr>
                <w:sz w:val="20"/>
                <w:szCs w:val="20"/>
              </w:rPr>
              <w:t>50.227</w:t>
            </w:r>
          </w:p>
          <w:p w14:paraId="0C12C899" w14:textId="77777777" w:rsidR="007B3C6C" w:rsidRPr="001645C5" w:rsidRDefault="007B3C6C" w:rsidP="00BC2582">
            <w:pPr>
              <w:rPr>
                <w:sz w:val="20"/>
                <w:szCs w:val="20"/>
              </w:rPr>
            </w:pPr>
          </w:p>
        </w:tc>
        <w:tc>
          <w:tcPr>
            <w:tcW w:w="934" w:type="dxa"/>
            <w:shd w:val="clear" w:color="auto" w:fill="auto"/>
          </w:tcPr>
          <w:p w14:paraId="47A6514D" w14:textId="77777777" w:rsidR="007B3C6C" w:rsidRPr="001645C5" w:rsidRDefault="007B3C6C" w:rsidP="00BC2582">
            <w:pPr>
              <w:rPr>
                <w:sz w:val="20"/>
                <w:szCs w:val="20"/>
              </w:rPr>
            </w:pPr>
            <w:r w:rsidRPr="001645C5">
              <w:rPr>
                <w:sz w:val="20"/>
                <w:szCs w:val="20"/>
              </w:rPr>
              <w:t>68.936</w:t>
            </w:r>
          </w:p>
          <w:p w14:paraId="5289C7E5" w14:textId="77777777" w:rsidR="007B3C6C" w:rsidRPr="001645C5" w:rsidRDefault="007B3C6C" w:rsidP="00BC2582">
            <w:pPr>
              <w:rPr>
                <w:sz w:val="20"/>
                <w:szCs w:val="20"/>
              </w:rPr>
            </w:pPr>
          </w:p>
        </w:tc>
        <w:tc>
          <w:tcPr>
            <w:tcW w:w="934" w:type="dxa"/>
            <w:shd w:val="clear" w:color="auto" w:fill="auto"/>
          </w:tcPr>
          <w:p w14:paraId="0AC67CA1" w14:textId="77777777" w:rsidR="007B3C6C" w:rsidRPr="001645C5" w:rsidRDefault="007B3C6C" w:rsidP="00BC2582">
            <w:pPr>
              <w:rPr>
                <w:sz w:val="20"/>
                <w:szCs w:val="20"/>
              </w:rPr>
            </w:pPr>
            <w:r w:rsidRPr="001645C5">
              <w:rPr>
                <w:sz w:val="20"/>
                <w:szCs w:val="20"/>
              </w:rPr>
              <w:t>102.434</w:t>
            </w:r>
          </w:p>
          <w:p w14:paraId="7BA7D732" w14:textId="77777777" w:rsidR="007B3C6C" w:rsidRPr="001645C5" w:rsidRDefault="007B3C6C" w:rsidP="00BC2582">
            <w:pPr>
              <w:rPr>
                <w:sz w:val="20"/>
                <w:szCs w:val="20"/>
              </w:rPr>
            </w:pPr>
          </w:p>
        </w:tc>
        <w:tc>
          <w:tcPr>
            <w:tcW w:w="934" w:type="dxa"/>
            <w:shd w:val="clear" w:color="auto" w:fill="auto"/>
          </w:tcPr>
          <w:p w14:paraId="70F78788" w14:textId="77777777" w:rsidR="007B3C6C" w:rsidRPr="001645C5" w:rsidRDefault="007B3C6C" w:rsidP="00BC2582">
            <w:pPr>
              <w:rPr>
                <w:sz w:val="20"/>
                <w:szCs w:val="20"/>
              </w:rPr>
            </w:pPr>
            <w:r w:rsidRPr="001645C5">
              <w:rPr>
                <w:sz w:val="20"/>
                <w:szCs w:val="20"/>
              </w:rPr>
              <w:t>92.475</w:t>
            </w:r>
          </w:p>
          <w:p w14:paraId="63175BAC" w14:textId="77777777" w:rsidR="007B3C6C" w:rsidRPr="001645C5" w:rsidRDefault="007B3C6C" w:rsidP="00BC2582">
            <w:pPr>
              <w:rPr>
                <w:sz w:val="20"/>
                <w:szCs w:val="20"/>
              </w:rPr>
            </w:pPr>
          </w:p>
        </w:tc>
        <w:tc>
          <w:tcPr>
            <w:tcW w:w="934" w:type="dxa"/>
            <w:shd w:val="clear" w:color="auto" w:fill="auto"/>
          </w:tcPr>
          <w:p w14:paraId="1224CBA6" w14:textId="77777777" w:rsidR="007B3C6C" w:rsidRPr="001645C5" w:rsidRDefault="007B3C6C" w:rsidP="00BC2582">
            <w:pPr>
              <w:rPr>
                <w:sz w:val="20"/>
                <w:szCs w:val="20"/>
              </w:rPr>
            </w:pPr>
            <w:r w:rsidRPr="001645C5">
              <w:rPr>
                <w:sz w:val="20"/>
                <w:szCs w:val="20"/>
              </w:rPr>
              <w:t>110.492</w:t>
            </w:r>
          </w:p>
          <w:p w14:paraId="28A563F1" w14:textId="77777777" w:rsidR="007B3C6C" w:rsidRPr="001645C5" w:rsidRDefault="007B3C6C" w:rsidP="00BC2582">
            <w:pPr>
              <w:rPr>
                <w:sz w:val="20"/>
                <w:szCs w:val="20"/>
              </w:rPr>
            </w:pPr>
          </w:p>
        </w:tc>
        <w:tc>
          <w:tcPr>
            <w:tcW w:w="934" w:type="dxa"/>
            <w:shd w:val="clear" w:color="auto" w:fill="auto"/>
          </w:tcPr>
          <w:p w14:paraId="6BF7D6B6" w14:textId="77777777" w:rsidR="007B3C6C" w:rsidRPr="001645C5" w:rsidRDefault="007B3C6C" w:rsidP="00BC2582">
            <w:pPr>
              <w:rPr>
                <w:sz w:val="20"/>
                <w:szCs w:val="20"/>
              </w:rPr>
            </w:pPr>
            <w:r w:rsidRPr="001645C5">
              <w:rPr>
                <w:sz w:val="20"/>
                <w:szCs w:val="20"/>
              </w:rPr>
              <w:t>165.474</w:t>
            </w:r>
          </w:p>
          <w:p w14:paraId="1DF4ECDF" w14:textId="77777777" w:rsidR="007B3C6C" w:rsidRPr="001645C5" w:rsidRDefault="007B3C6C" w:rsidP="00BC2582">
            <w:pPr>
              <w:rPr>
                <w:sz w:val="20"/>
                <w:szCs w:val="20"/>
              </w:rPr>
            </w:pPr>
          </w:p>
        </w:tc>
        <w:tc>
          <w:tcPr>
            <w:tcW w:w="934" w:type="dxa"/>
            <w:shd w:val="clear" w:color="auto" w:fill="auto"/>
          </w:tcPr>
          <w:p w14:paraId="582FD817" w14:textId="77777777" w:rsidR="007B3C6C" w:rsidRPr="001645C5" w:rsidRDefault="007B3C6C" w:rsidP="00BC2582">
            <w:pPr>
              <w:rPr>
                <w:sz w:val="20"/>
                <w:szCs w:val="20"/>
              </w:rPr>
            </w:pPr>
            <w:r w:rsidRPr="001645C5">
              <w:rPr>
                <w:sz w:val="20"/>
                <w:szCs w:val="20"/>
              </w:rPr>
              <w:t>185.335</w:t>
            </w:r>
          </w:p>
          <w:p w14:paraId="3E81C339" w14:textId="77777777" w:rsidR="007B3C6C" w:rsidRPr="001645C5" w:rsidRDefault="007B3C6C" w:rsidP="00BC2582">
            <w:pPr>
              <w:rPr>
                <w:sz w:val="20"/>
                <w:szCs w:val="20"/>
              </w:rPr>
            </w:pPr>
          </w:p>
        </w:tc>
        <w:tc>
          <w:tcPr>
            <w:tcW w:w="934" w:type="dxa"/>
            <w:shd w:val="clear" w:color="auto" w:fill="auto"/>
          </w:tcPr>
          <w:p w14:paraId="132B2585" w14:textId="77777777" w:rsidR="007B3C6C" w:rsidRPr="001645C5" w:rsidRDefault="007B3C6C" w:rsidP="00BC2582">
            <w:pPr>
              <w:rPr>
                <w:sz w:val="20"/>
                <w:szCs w:val="20"/>
              </w:rPr>
            </w:pPr>
            <w:r w:rsidRPr="001645C5">
              <w:rPr>
                <w:sz w:val="20"/>
                <w:szCs w:val="20"/>
              </w:rPr>
              <w:t>190.703</w:t>
            </w:r>
          </w:p>
          <w:p w14:paraId="794B218D" w14:textId="77777777" w:rsidR="007B3C6C" w:rsidRPr="001645C5" w:rsidRDefault="007B3C6C" w:rsidP="00BC2582">
            <w:pPr>
              <w:rPr>
                <w:sz w:val="20"/>
                <w:szCs w:val="20"/>
              </w:rPr>
            </w:pPr>
          </w:p>
        </w:tc>
        <w:tc>
          <w:tcPr>
            <w:tcW w:w="934" w:type="dxa"/>
            <w:shd w:val="clear" w:color="auto" w:fill="auto"/>
          </w:tcPr>
          <w:p w14:paraId="52530DF1" w14:textId="77777777" w:rsidR="007B3C6C" w:rsidRPr="001645C5" w:rsidRDefault="007B3C6C" w:rsidP="00BC2582">
            <w:pPr>
              <w:rPr>
                <w:sz w:val="20"/>
                <w:szCs w:val="20"/>
              </w:rPr>
            </w:pPr>
            <w:r w:rsidRPr="001645C5">
              <w:rPr>
                <w:sz w:val="20"/>
                <w:szCs w:val="20"/>
              </w:rPr>
              <w:t>212.524</w:t>
            </w:r>
          </w:p>
          <w:p w14:paraId="574AA9CC" w14:textId="77777777" w:rsidR="007B3C6C" w:rsidRPr="001645C5" w:rsidRDefault="007B3C6C" w:rsidP="00BC2582">
            <w:pPr>
              <w:rPr>
                <w:sz w:val="20"/>
                <w:szCs w:val="20"/>
              </w:rPr>
            </w:pPr>
          </w:p>
        </w:tc>
        <w:tc>
          <w:tcPr>
            <w:tcW w:w="935" w:type="dxa"/>
            <w:shd w:val="clear" w:color="auto" w:fill="auto"/>
          </w:tcPr>
          <w:p w14:paraId="6660C961" w14:textId="77777777" w:rsidR="007B3C6C" w:rsidRPr="001645C5" w:rsidRDefault="007B3C6C" w:rsidP="00BC2582">
            <w:pPr>
              <w:rPr>
                <w:sz w:val="20"/>
                <w:szCs w:val="20"/>
              </w:rPr>
            </w:pPr>
            <w:r w:rsidRPr="001645C5">
              <w:rPr>
                <w:sz w:val="20"/>
                <w:szCs w:val="20"/>
              </w:rPr>
              <w:t>235.247</w:t>
            </w:r>
          </w:p>
          <w:p w14:paraId="2A1A7903" w14:textId="77777777" w:rsidR="007B3C6C" w:rsidRPr="001645C5" w:rsidRDefault="007B3C6C" w:rsidP="00BC2582">
            <w:pPr>
              <w:rPr>
                <w:sz w:val="20"/>
                <w:szCs w:val="20"/>
              </w:rPr>
            </w:pPr>
          </w:p>
        </w:tc>
      </w:tr>
      <w:tr w:rsidR="007B3C6C" w:rsidRPr="001645C5" w14:paraId="331053BC" w14:textId="77777777" w:rsidTr="00BC2582">
        <w:trPr>
          <w:trHeight w:val="537"/>
        </w:trPr>
        <w:tc>
          <w:tcPr>
            <w:tcW w:w="917" w:type="dxa"/>
            <w:shd w:val="clear" w:color="auto" w:fill="auto"/>
          </w:tcPr>
          <w:p w14:paraId="487C83DE" w14:textId="77777777" w:rsidR="007B3C6C" w:rsidRPr="001645C5" w:rsidRDefault="007B3C6C" w:rsidP="00BC2582">
            <w:pPr>
              <w:rPr>
                <w:b/>
                <w:sz w:val="20"/>
                <w:szCs w:val="20"/>
              </w:rPr>
            </w:pPr>
            <w:r w:rsidRPr="001645C5">
              <w:rPr>
                <w:b/>
                <w:sz w:val="20"/>
                <w:szCs w:val="20"/>
              </w:rPr>
              <w:t>U.S.-Mexico IFDI</w:t>
            </w:r>
          </w:p>
        </w:tc>
        <w:tc>
          <w:tcPr>
            <w:tcW w:w="934" w:type="dxa"/>
            <w:shd w:val="clear" w:color="auto" w:fill="auto"/>
          </w:tcPr>
          <w:p w14:paraId="6BDBB1D0" w14:textId="77777777" w:rsidR="007B3C6C" w:rsidRPr="001645C5" w:rsidRDefault="007B3C6C" w:rsidP="00BC2582">
            <w:pPr>
              <w:rPr>
                <w:sz w:val="20"/>
                <w:szCs w:val="20"/>
              </w:rPr>
            </w:pPr>
            <w:r w:rsidRPr="001645C5">
              <w:rPr>
                <w:sz w:val="20"/>
                <w:szCs w:val="20"/>
              </w:rPr>
              <w:t>1.657</w:t>
            </w:r>
          </w:p>
          <w:p w14:paraId="6641746B" w14:textId="77777777" w:rsidR="007B3C6C" w:rsidRPr="001645C5" w:rsidRDefault="007B3C6C" w:rsidP="00BC2582">
            <w:pPr>
              <w:rPr>
                <w:sz w:val="20"/>
                <w:szCs w:val="20"/>
              </w:rPr>
            </w:pPr>
          </w:p>
        </w:tc>
        <w:tc>
          <w:tcPr>
            <w:tcW w:w="934" w:type="dxa"/>
            <w:shd w:val="clear" w:color="auto" w:fill="auto"/>
          </w:tcPr>
          <w:p w14:paraId="781C1073" w14:textId="77777777" w:rsidR="007B3C6C" w:rsidRPr="001645C5" w:rsidRDefault="007B3C6C" w:rsidP="00BC2582">
            <w:pPr>
              <w:rPr>
                <w:sz w:val="20"/>
                <w:szCs w:val="20"/>
              </w:rPr>
            </w:pPr>
            <w:r w:rsidRPr="001645C5">
              <w:rPr>
                <w:sz w:val="20"/>
                <w:szCs w:val="20"/>
              </w:rPr>
              <w:t>1.746</w:t>
            </w:r>
          </w:p>
          <w:p w14:paraId="67AFF4F9" w14:textId="77777777" w:rsidR="007B3C6C" w:rsidRPr="001645C5" w:rsidRDefault="007B3C6C" w:rsidP="00BC2582">
            <w:pPr>
              <w:rPr>
                <w:sz w:val="20"/>
                <w:szCs w:val="20"/>
              </w:rPr>
            </w:pPr>
          </w:p>
        </w:tc>
        <w:tc>
          <w:tcPr>
            <w:tcW w:w="934" w:type="dxa"/>
            <w:shd w:val="clear" w:color="auto" w:fill="auto"/>
          </w:tcPr>
          <w:p w14:paraId="6455F58E" w14:textId="77777777" w:rsidR="007B3C6C" w:rsidRPr="001645C5" w:rsidRDefault="007B3C6C" w:rsidP="00BC2582">
            <w:pPr>
              <w:rPr>
                <w:sz w:val="20"/>
                <w:szCs w:val="20"/>
              </w:rPr>
            </w:pPr>
            <w:r w:rsidRPr="001645C5">
              <w:rPr>
                <w:sz w:val="20"/>
                <w:szCs w:val="20"/>
              </w:rPr>
              <w:t>2.578</w:t>
            </w:r>
          </w:p>
          <w:p w14:paraId="50BA4784" w14:textId="77777777" w:rsidR="007B3C6C" w:rsidRPr="001645C5" w:rsidRDefault="007B3C6C" w:rsidP="00BC2582">
            <w:pPr>
              <w:rPr>
                <w:sz w:val="20"/>
                <w:szCs w:val="20"/>
              </w:rPr>
            </w:pPr>
          </w:p>
        </w:tc>
        <w:tc>
          <w:tcPr>
            <w:tcW w:w="934" w:type="dxa"/>
            <w:shd w:val="clear" w:color="auto" w:fill="auto"/>
          </w:tcPr>
          <w:p w14:paraId="15566142" w14:textId="77777777" w:rsidR="007B3C6C" w:rsidRPr="001645C5" w:rsidRDefault="007B3C6C" w:rsidP="00BC2582">
            <w:pPr>
              <w:rPr>
                <w:sz w:val="20"/>
                <w:szCs w:val="20"/>
              </w:rPr>
            </w:pPr>
            <w:r w:rsidRPr="001645C5">
              <w:rPr>
                <w:sz w:val="20"/>
                <w:szCs w:val="20"/>
              </w:rPr>
              <w:t>4.731</w:t>
            </w:r>
          </w:p>
          <w:p w14:paraId="2DDDCD56" w14:textId="77777777" w:rsidR="007B3C6C" w:rsidRPr="001645C5" w:rsidRDefault="007B3C6C" w:rsidP="00BC2582">
            <w:pPr>
              <w:rPr>
                <w:sz w:val="20"/>
                <w:szCs w:val="20"/>
              </w:rPr>
            </w:pPr>
          </w:p>
        </w:tc>
        <w:tc>
          <w:tcPr>
            <w:tcW w:w="934" w:type="dxa"/>
            <w:shd w:val="clear" w:color="auto" w:fill="auto"/>
          </w:tcPr>
          <w:p w14:paraId="311B241A" w14:textId="77777777" w:rsidR="007B3C6C" w:rsidRPr="001645C5" w:rsidRDefault="007B3C6C" w:rsidP="00BC2582">
            <w:pPr>
              <w:rPr>
                <w:sz w:val="20"/>
                <w:szCs w:val="20"/>
              </w:rPr>
            </w:pPr>
            <w:r w:rsidRPr="001645C5">
              <w:rPr>
                <w:sz w:val="20"/>
                <w:szCs w:val="20"/>
              </w:rPr>
              <w:t>7.237</w:t>
            </w:r>
          </w:p>
          <w:p w14:paraId="7944B456" w14:textId="77777777" w:rsidR="007B3C6C" w:rsidRPr="001645C5" w:rsidRDefault="007B3C6C" w:rsidP="00BC2582">
            <w:pPr>
              <w:rPr>
                <w:sz w:val="20"/>
                <w:szCs w:val="20"/>
              </w:rPr>
            </w:pPr>
          </w:p>
        </w:tc>
        <w:tc>
          <w:tcPr>
            <w:tcW w:w="934" w:type="dxa"/>
            <w:shd w:val="clear" w:color="auto" w:fill="auto"/>
          </w:tcPr>
          <w:p w14:paraId="5BC73E9A" w14:textId="77777777" w:rsidR="007B3C6C" w:rsidRPr="001645C5" w:rsidRDefault="007B3C6C" w:rsidP="00BC2582">
            <w:pPr>
              <w:rPr>
                <w:sz w:val="20"/>
                <w:szCs w:val="20"/>
              </w:rPr>
            </w:pPr>
            <w:r w:rsidRPr="001645C5">
              <w:rPr>
                <w:sz w:val="20"/>
                <w:szCs w:val="20"/>
              </w:rPr>
              <w:t>8.307</w:t>
            </w:r>
          </w:p>
          <w:p w14:paraId="05B9816D" w14:textId="77777777" w:rsidR="007B3C6C" w:rsidRPr="001645C5" w:rsidRDefault="007B3C6C" w:rsidP="00BC2582">
            <w:pPr>
              <w:rPr>
                <w:sz w:val="20"/>
                <w:szCs w:val="20"/>
              </w:rPr>
            </w:pPr>
          </w:p>
        </w:tc>
        <w:tc>
          <w:tcPr>
            <w:tcW w:w="934" w:type="dxa"/>
            <w:shd w:val="clear" w:color="auto" w:fill="auto"/>
          </w:tcPr>
          <w:p w14:paraId="38A6E028" w14:textId="77777777" w:rsidR="007B3C6C" w:rsidRPr="001645C5" w:rsidRDefault="007B3C6C" w:rsidP="00BC2582">
            <w:pPr>
              <w:rPr>
                <w:sz w:val="20"/>
                <w:szCs w:val="20"/>
              </w:rPr>
            </w:pPr>
            <w:r w:rsidRPr="001645C5">
              <w:rPr>
                <w:sz w:val="20"/>
                <w:szCs w:val="20"/>
              </w:rPr>
              <w:t>4.453</w:t>
            </w:r>
          </w:p>
          <w:p w14:paraId="74F222CA" w14:textId="77777777" w:rsidR="007B3C6C" w:rsidRPr="001645C5" w:rsidRDefault="007B3C6C" w:rsidP="00BC2582">
            <w:pPr>
              <w:rPr>
                <w:sz w:val="20"/>
                <w:szCs w:val="20"/>
              </w:rPr>
            </w:pPr>
          </w:p>
        </w:tc>
        <w:tc>
          <w:tcPr>
            <w:tcW w:w="934" w:type="dxa"/>
            <w:shd w:val="clear" w:color="auto" w:fill="auto"/>
          </w:tcPr>
          <w:p w14:paraId="082D8B6F" w14:textId="77777777" w:rsidR="007B3C6C" w:rsidRPr="001645C5" w:rsidRDefault="007B3C6C" w:rsidP="00BC2582">
            <w:pPr>
              <w:rPr>
                <w:sz w:val="20"/>
                <w:szCs w:val="20"/>
              </w:rPr>
            </w:pPr>
            <w:r w:rsidRPr="001645C5">
              <w:rPr>
                <w:sz w:val="20"/>
                <w:szCs w:val="20"/>
              </w:rPr>
              <w:t>8.449</w:t>
            </w:r>
          </w:p>
          <w:p w14:paraId="564AD21A" w14:textId="77777777" w:rsidR="007B3C6C" w:rsidRPr="001645C5" w:rsidRDefault="007B3C6C" w:rsidP="00BC2582">
            <w:pPr>
              <w:rPr>
                <w:sz w:val="20"/>
                <w:szCs w:val="20"/>
              </w:rPr>
            </w:pPr>
          </w:p>
        </w:tc>
        <w:tc>
          <w:tcPr>
            <w:tcW w:w="934" w:type="dxa"/>
            <w:shd w:val="clear" w:color="auto" w:fill="auto"/>
          </w:tcPr>
          <w:p w14:paraId="0F6B12CE" w14:textId="77777777" w:rsidR="007B3C6C" w:rsidRPr="001645C5" w:rsidRDefault="007B3C6C" w:rsidP="00BC2582">
            <w:pPr>
              <w:rPr>
                <w:sz w:val="20"/>
                <w:szCs w:val="20"/>
              </w:rPr>
            </w:pPr>
            <w:r w:rsidRPr="001645C5">
              <w:rPr>
                <w:sz w:val="20"/>
                <w:szCs w:val="20"/>
              </w:rPr>
              <w:t>11.041</w:t>
            </w:r>
          </w:p>
          <w:p w14:paraId="19BD16C5" w14:textId="77777777" w:rsidR="007B3C6C" w:rsidRPr="001645C5" w:rsidRDefault="007B3C6C" w:rsidP="00BC2582">
            <w:pPr>
              <w:rPr>
                <w:sz w:val="20"/>
                <w:szCs w:val="20"/>
              </w:rPr>
            </w:pPr>
          </w:p>
        </w:tc>
        <w:tc>
          <w:tcPr>
            <w:tcW w:w="934" w:type="dxa"/>
            <w:shd w:val="clear" w:color="auto" w:fill="auto"/>
          </w:tcPr>
          <w:p w14:paraId="061F444F" w14:textId="77777777" w:rsidR="007B3C6C" w:rsidRPr="001645C5" w:rsidRDefault="007B3C6C" w:rsidP="00BC2582">
            <w:pPr>
              <w:rPr>
                <w:sz w:val="20"/>
                <w:szCs w:val="20"/>
              </w:rPr>
            </w:pPr>
            <w:r w:rsidRPr="001645C5">
              <w:rPr>
                <w:sz w:val="20"/>
                <w:szCs w:val="20"/>
              </w:rPr>
              <w:t>13.059</w:t>
            </w:r>
          </w:p>
          <w:p w14:paraId="788C3BC6" w14:textId="77777777" w:rsidR="007B3C6C" w:rsidRPr="001645C5" w:rsidRDefault="007B3C6C" w:rsidP="00BC2582">
            <w:pPr>
              <w:rPr>
                <w:sz w:val="20"/>
                <w:szCs w:val="20"/>
              </w:rPr>
            </w:pPr>
          </w:p>
        </w:tc>
        <w:tc>
          <w:tcPr>
            <w:tcW w:w="935" w:type="dxa"/>
            <w:shd w:val="clear" w:color="auto" w:fill="auto"/>
          </w:tcPr>
          <w:p w14:paraId="36DE1A29" w14:textId="77777777" w:rsidR="007B3C6C" w:rsidRPr="001645C5" w:rsidRDefault="007B3C6C" w:rsidP="00BC2582">
            <w:pPr>
              <w:rPr>
                <w:sz w:val="20"/>
                <w:szCs w:val="20"/>
              </w:rPr>
            </w:pPr>
            <w:r w:rsidRPr="001645C5">
              <w:rPr>
                <w:sz w:val="20"/>
                <w:szCs w:val="20"/>
              </w:rPr>
              <w:t>17.036</w:t>
            </w:r>
          </w:p>
          <w:p w14:paraId="019E5ADC" w14:textId="77777777" w:rsidR="007B3C6C" w:rsidRPr="001645C5" w:rsidRDefault="007B3C6C" w:rsidP="00BC2582">
            <w:pPr>
              <w:rPr>
                <w:sz w:val="20"/>
                <w:szCs w:val="20"/>
              </w:rPr>
            </w:pPr>
          </w:p>
        </w:tc>
      </w:tr>
      <w:tr w:rsidR="007B3C6C" w:rsidRPr="001645C5" w14:paraId="2E692218" w14:textId="77777777" w:rsidTr="00BC2582">
        <w:trPr>
          <w:trHeight w:val="511"/>
        </w:trPr>
        <w:tc>
          <w:tcPr>
            <w:tcW w:w="917" w:type="dxa"/>
            <w:shd w:val="clear" w:color="auto" w:fill="auto"/>
          </w:tcPr>
          <w:p w14:paraId="1469146A" w14:textId="77777777" w:rsidR="007B3C6C" w:rsidRPr="001645C5" w:rsidRDefault="007B3C6C" w:rsidP="00BC2582">
            <w:pPr>
              <w:rPr>
                <w:b/>
                <w:sz w:val="20"/>
                <w:szCs w:val="20"/>
              </w:rPr>
            </w:pPr>
            <w:r w:rsidRPr="001645C5">
              <w:rPr>
                <w:b/>
                <w:sz w:val="20"/>
                <w:szCs w:val="20"/>
              </w:rPr>
              <w:t>U.S.-Canada OFDI</w:t>
            </w:r>
          </w:p>
        </w:tc>
        <w:tc>
          <w:tcPr>
            <w:tcW w:w="934" w:type="dxa"/>
            <w:shd w:val="clear" w:color="auto" w:fill="auto"/>
          </w:tcPr>
          <w:p w14:paraId="1E40DF91" w14:textId="77777777" w:rsidR="007B3C6C" w:rsidRPr="001645C5" w:rsidRDefault="007B3C6C" w:rsidP="00BC2582">
            <w:pPr>
              <w:rPr>
                <w:sz w:val="20"/>
                <w:szCs w:val="20"/>
              </w:rPr>
            </w:pPr>
            <w:r w:rsidRPr="001645C5">
              <w:rPr>
                <w:sz w:val="20"/>
                <w:szCs w:val="20"/>
              </w:rPr>
              <w:t>72.072</w:t>
            </w:r>
          </w:p>
          <w:p w14:paraId="39CD9096" w14:textId="77777777" w:rsidR="007B3C6C" w:rsidRPr="001645C5" w:rsidRDefault="007B3C6C" w:rsidP="00BC2582">
            <w:pPr>
              <w:rPr>
                <w:sz w:val="20"/>
                <w:szCs w:val="20"/>
              </w:rPr>
            </w:pPr>
          </w:p>
        </w:tc>
        <w:tc>
          <w:tcPr>
            <w:tcW w:w="934" w:type="dxa"/>
            <w:shd w:val="clear" w:color="auto" w:fill="auto"/>
          </w:tcPr>
          <w:p w14:paraId="1E309097" w14:textId="77777777" w:rsidR="007B3C6C" w:rsidRPr="001645C5" w:rsidRDefault="007B3C6C" w:rsidP="00BC2582">
            <w:pPr>
              <w:rPr>
                <w:sz w:val="20"/>
                <w:szCs w:val="20"/>
              </w:rPr>
            </w:pPr>
            <w:r w:rsidRPr="001645C5">
              <w:rPr>
                <w:sz w:val="20"/>
                <w:szCs w:val="20"/>
              </w:rPr>
              <w:t>86.545</w:t>
            </w:r>
          </w:p>
          <w:p w14:paraId="4827B497" w14:textId="77777777" w:rsidR="007B3C6C" w:rsidRPr="001645C5" w:rsidRDefault="007B3C6C" w:rsidP="00BC2582">
            <w:pPr>
              <w:rPr>
                <w:sz w:val="20"/>
                <w:szCs w:val="20"/>
              </w:rPr>
            </w:pPr>
          </w:p>
        </w:tc>
        <w:tc>
          <w:tcPr>
            <w:tcW w:w="934" w:type="dxa"/>
            <w:shd w:val="clear" w:color="auto" w:fill="auto"/>
          </w:tcPr>
          <w:p w14:paraId="3647E67D" w14:textId="77777777" w:rsidR="007B3C6C" w:rsidRPr="001645C5" w:rsidRDefault="007B3C6C" w:rsidP="00BC2582">
            <w:pPr>
              <w:rPr>
                <w:sz w:val="20"/>
                <w:szCs w:val="20"/>
              </w:rPr>
            </w:pPr>
            <w:r w:rsidRPr="001645C5">
              <w:rPr>
                <w:sz w:val="20"/>
                <w:szCs w:val="20"/>
              </w:rPr>
              <w:t>97.413</w:t>
            </w:r>
          </w:p>
          <w:p w14:paraId="7F6216E2" w14:textId="77777777" w:rsidR="007B3C6C" w:rsidRPr="001645C5" w:rsidRDefault="007B3C6C" w:rsidP="00BC2582">
            <w:pPr>
              <w:rPr>
                <w:sz w:val="20"/>
                <w:szCs w:val="20"/>
              </w:rPr>
            </w:pPr>
          </w:p>
        </w:tc>
        <w:tc>
          <w:tcPr>
            <w:tcW w:w="934" w:type="dxa"/>
            <w:shd w:val="clear" w:color="auto" w:fill="auto"/>
          </w:tcPr>
          <w:p w14:paraId="7114D542" w14:textId="77777777" w:rsidR="007B3C6C" w:rsidRPr="001645C5" w:rsidRDefault="007B3C6C" w:rsidP="00BC2582">
            <w:pPr>
              <w:rPr>
                <w:sz w:val="20"/>
                <w:szCs w:val="20"/>
              </w:rPr>
            </w:pPr>
            <w:r w:rsidRPr="001645C5">
              <w:rPr>
                <w:sz w:val="20"/>
                <w:szCs w:val="20"/>
              </w:rPr>
              <w:t>126.031</w:t>
            </w:r>
          </w:p>
          <w:p w14:paraId="47463A3D" w14:textId="77777777" w:rsidR="007B3C6C" w:rsidRPr="001645C5" w:rsidRDefault="007B3C6C" w:rsidP="00BC2582">
            <w:pPr>
              <w:rPr>
                <w:sz w:val="20"/>
                <w:szCs w:val="20"/>
              </w:rPr>
            </w:pPr>
          </w:p>
        </w:tc>
        <w:tc>
          <w:tcPr>
            <w:tcW w:w="934" w:type="dxa"/>
            <w:shd w:val="clear" w:color="auto" w:fill="auto"/>
          </w:tcPr>
          <w:p w14:paraId="6C351A56" w14:textId="77777777" w:rsidR="007B3C6C" w:rsidRPr="001645C5" w:rsidRDefault="007B3C6C" w:rsidP="00BC2582">
            <w:pPr>
              <w:rPr>
                <w:sz w:val="20"/>
                <w:szCs w:val="20"/>
              </w:rPr>
            </w:pPr>
            <w:r w:rsidRPr="001645C5">
              <w:rPr>
                <w:sz w:val="20"/>
                <w:szCs w:val="20"/>
              </w:rPr>
              <w:t>159.537</w:t>
            </w:r>
          </w:p>
          <w:p w14:paraId="4C404FD3" w14:textId="77777777" w:rsidR="007B3C6C" w:rsidRPr="001645C5" w:rsidRDefault="007B3C6C" w:rsidP="00BC2582">
            <w:pPr>
              <w:rPr>
                <w:sz w:val="20"/>
                <w:szCs w:val="20"/>
              </w:rPr>
            </w:pPr>
          </w:p>
        </w:tc>
        <w:tc>
          <w:tcPr>
            <w:tcW w:w="934" w:type="dxa"/>
            <w:shd w:val="clear" w:color="auto" w:fill="auto"/>
          </w:tcPr>
          <w:p w14:paraId="5A4331C9" w14:textId="77777777" w:rsidR="007B3C6C" w:rsidRPr="001645C5" w:rsidRDefault="007B3C6C" w:rsidP="00BC2582">
            <w:pPr>
              <w:rPr>
                <w:sz w:val="20"/>
                <w:szCs w:val="20"/>
              </w:rPr>
            </w:pPr>
            <w:r w:rsidRPr="001645C5">
              <w:rPr>
                <w:sz w:val="20"/>
                <w:szCs w:val="20"/>
              </w:rPr>
              <w:t>201.442</w:t>
            </w:r>
          </w:p>
          <w:p w14:paraId="5ED9C795" w14:textId="77777777" w:rsidR="007B3C6C" w:rsidRPr="001645C5" w:rsidRDefault="007B3C6C" w:rsidP="00BC2582">
            <w:pPr>
              <w:rPr>
                <w:sz w:val="20"/>
                <w:szCs w:val="20"/>
              </w:rPr>
            </w:pPr>
          </w:p>
        </w:tc>
        <w:tc>
          <w:tcPr>
            <w:tcW w:w="934" w:type="dxa"/>
            <w:shd w:val="clear" w:color="auto" w:fill="auto"/>
          </w:tcPr>
          <w:p w14:paraId="63CA779E" w14:textId="77777777" w:rsidR="007B3C6C" w:rsidRPr="001645C5" w:rsidRDefault="007B3C6C" w:rsidP="00BC2582">
            <w:pPr>
              <w:rPr>
                <w:sz w:val="20"/>
                <w:szCs w:val="20"/>
              </w:rPr>
            </w:pPr>
            <w:r w:rsidRPr="001645C5">
              <w:rPr>
                <w:sz w:val="20"/>
                <w:szCs w:val="20"/>
              </w:rPr>
              <w:t>218.485</w:t>
            </w:r>
          </w:p>
          <w:p w14:paraId="695BD617" w14:textId="77777777" w:rsidR="007B3C6C" w:rsidRPr="001645C5" w:rsidRDefault="007B3C6C" w:rsidP="00BC2582">
            <w:pPr>
              <w:rPr>
                <w:sz w:val="20"/>
                <w:szCs w:val="20"/>
              </w:rPr>
            </w:pPr>
          </w:p>
        </w:tc>
        <w:tc>
          <w:tcPr>
            <w:tcW w:w="934" w:type="dxa"/>
            <w:shd w:val="clear" w:color="auto" w:fill="auto"/>
          </w:tcPr>
          <w:p w14:paraId="03312D91" w14:textId="77777777" w:rsidR="007B3C6C" w:rsidRPr="001645C5" w:rsidRDefault="007B3C6C" w:rsidP="00BC2582">
            <w:pPr>
              <w:rPr>
                <w:sz w:val="20"/>
                <w:szCs w:val="20"/>
              </w:rPr>
            </w:pPr>
            <w:r w:rsidRPr="001645C5">
              <w:rPr>
                <w:sz w:val="20"/>
                <w:szCs w:val="20"/>
              </w:rPr>
              <w:t>248.563</w:t>
            </w:r>
          </w:p>
          <w:p w14:paraId="10ADB4CC" w14:textId="77777777" w:rsidR="007B3C6C" w:rsidRPr="001645C5" w:rsidRDefault="007B3C6C" w:rsidP="00BC2582">
            <w:pPr>
              <w:rPr>
                <w:sz w:val="20"/>
                <w:szCs w:val="20"/>
              </w:rPr>
            </w:pPr>
          </w:p>
        </w:tc>
        <w:tc>
          <w:tcPr>
            <w:tcW w:w="934" w:type="dxa"/>
            <w:shd w:val="clear" w:color="auto" w:fill="auto"/>
          </w:tcPr>
          <w:p w14:paraId="72FDB486" w14:textId="77777777" w:rsidR="007B3C6C" w:rsidRPr="001645C5" w:rsidRDefault="007B3C6C" w:rsidP="00BC2582">
            <w:pPr>
              <w:rPr>
                <w:sz w:val="20"/>
                <w:szCs w:val="20"/>
              </w:rPr>
            </w:pPr>
            <w:r w:rsidRPr="001645C5">
              <w:rPr>
                <w:sz w:val="20"/>
                <w:szCs w:val="20"/>
              </w:rPr>
              <w:t>285.007</w:t>
            </w:r>
          </w:p>
          <w:p w14:paraId="0A03754A" w14:textId="77777777" w:rsidR="007B3C6C" w:rsidRPr="001645C5" w:rsidRDefault="007B3C6C" w:rsidP="00BC2582">
            <w:pPr>
              <w:rPr>
                <w:sz w:val="20"/>
                <w:szCs w:val="20"/>
              </w:rPr>
            </w:pPr>
          </w:p>
        </w:tc>
        <w:tc>
          <w:tcPr>
            <w:tcW w:w="934" w:type="dxa"/>
            <w:shd w:val="clear" w:color="auto" w:fill="auto"/>
          </w:tcPr>
          <w:p w14:paraId="41B74E0E" w14:textId="77777777" w:rsidR="007B3C6C" w:rsidRPr="001645C5" w:rsidRDefault="007B3C6C" w:rsidP="00BC2582">
            <w:pPr>
              <w:rPr>
                <w:sz w:val="20"/>
                <w:szCs w:val="20"/>
              </w:rPr>
            </w:pPr>
            <w:r w:rsidRPr="001645C5">
              <w:rPr>
                <w:sz w:val="20"/>
                <w:szCs w:val="20"/>
              </w:rPr>
              <w:t>348.375</w:t>
            </w:r>
          </w:p>
          <w:p w14:paraId="303A5570" w14:textId="77777777" w:rsidR="007B3C6C" w:rsidRPr="001645C5" w:rsidRDefault="007B3C6C" w:rsidP="00BC2582">
            <w:pPr>
              <w:rPr>
                <w:sz w:val="20"/>
                <w:szCs w:val="20"/>
              </w:rPr>
            </w:pPr>
          </w:p>
        </w:tc>
        <w:tc>
          <w:tcPr>
            <w:tcW w:w="935" w:type="dxa"/>
            <w:shd w:val="clear" w:color="auto" w:fill="auto"/>
          </w:tcPr>
          <w:p w14:paraId="48EC882C" w14:textId="77777777" w:rsidR="007B3C6C" w:rsidRPr="001645C5" w:rsidRDefault="007B3C6C" w:rsidP="00BC2582">
            <w:pPr>
              <w:rPr>
                <w:sz w:val="20"/>
                <w:szCs w:val="20"/>
              </w:rPr>
            </w:pPr>
            <w:r w:rsidRPr="001645C5">
              <w:rPr>
                <w:sz w:val="20"/>
                <w:szCs w:val="20"/>
              </w:rPr>
              <w:t>195.086</w:t>
            </w:r>
          </w:p>
          <w:p w14:paraId="3530DBB3" w14:textId="77777777" w:rsidR="007B3C6C" w:rsidRPr="001645C5" w:rsidRDefault="007B3C6C" w:rsidP="00BC2582">
            <w:pPr>
              <w:rPr>
                <w:sz w:val="20"/>
                <w:szCs w:val="20"/>
              </w:rPr>
            </w:pPr>
          </w:p>
        </w:tc>
      </w:tr>
      <w:tr w:rsidR="007B3C6C" w:rsidRPr="001645C5" w14:paraId="49A1203A" w14:textId="77777777" w:rsidTr="00BC2582">
        <w:trPr>
          <w:trHeight w:val="537"/>
        </w:trPr>
        <w:tc>
          <w:tcPr>
            <w:tcW w:w="917" w:type="dxa"/>
            <w:shd w:val="clear" w:color="auto" w:fill="auto"/>
          </w:tcPr>
          <w:p w14:paraId="124DB1D0" w14:textId="77777777" w:rsidR="007B3C6C" w:rsidRPr="001645C5" w:rsidRDefault="007B3C6C" w:rsidP="00BC2582">
            <w:pPr>
              <w:rPr>
                <w:b/>
                <w:sz w:val="20"/>
                <w:szCs w:val="20"/>
              </w:rPr>
            </w:pPr>
            <w:r w:rsidRPr="001645C5">
              <w:rPr>
                <w:b/>
                <w:sz w:val="20"/>
                <w:szCs w:val="20"/>
              </w:rPr>
              <w:t>U.S.-Mexico OFDI</w:t>
            </w:r>
          </w:p>
        </w:tc>
        <w:tc>
          <w:tcPr>
            <w:tcW w:w="934" w:type="dxa"/>
            <w:shd w:val="clear" w:color="auto" w:fill="auto"/>
          </w:tcPr>
          <w:p w14:paraId="49AB29CA" w14:textId="77777777" w:rsidR="007B3C6C" w:rsidRPr="001645C5" w:rsidRDefault="007B3C6C" w:rsidP="00BC2582">
            <w:pPr>
              <w:rPr>
                <w:sz w:val="20"/>
                <w:szCs w:val="20"/>
              </w:rPr>
            </w:pPr>
            <w:r w:rsidRPr="001645C5">
              <w:rPr>
                <w:sz w:val="20"/>
                <w:szCs w:val="20"/>
              </w:rPr>
              <w:t>16.095</w:t>
            </w:r>
          </w:p>
          <w:p w14:paraId="466F112F" w14:textId="77777777" w:rsidR="007B3C6C" w:rsidRPr="001645C5" w:rsidRDefault="007B3C6C" w:rsidP="00BC2582">
            <w:pPr>
              <w:rPr>
                <w:sz w:val="20"/>
                <w:szCs w:val="20"/>
              </w:rPr>
            </w:pPr>
          </w:p>
        </w:tc>
        <w:tc>
          <w:tcPr>
            <w:tcW w:w="934" w:type="dxa"/>
            <w:shd w:val="clear" w:color="auto" w:fill="auto"/>
          </w:tcPr>
          <w:p w14:paraId="2DF31A02" w14:textId="77777777" w:rsidR="007B3C6C" w:rsidRPr="001645C5" w:rsidRDefault="007B3C6C" w:rsidP="00BC2582">
            <w:pPr>
              <w:rPr>
                <w:sz w:val="20"/>
                <w:szCs w:val="20"/>
              </w:rPr>
            </w:pPr>
            <w:r w:rsidRPr="001645C5">
              <w:rPr>
                <w:sz w:val="20"/>
                <w:szCs w:val="20"/>
              </w:rPr>
              <w:t>18.112</w:t>
            </w:r>
          </w:p>
          <w:p w14:paraId="623981B6" w14:textId="77777777" w:rsidR="007B3C6C" w:rsidRPr="001645C5" w:rsidRDefault="007B3C6C" w:rsidP="00BC2582">
            <w:pPr>
              <w:rPr>
                <w:sz w:val="20"/>
                <w:szCs w:val="20"/>
              </w:rPr>
            </w:pPr>
          </w:p>
        </w:tc>
        <w:tc>
          <w:tcPr>
            <w:tcW w:w="934" w:type="dxa"/>
            <w:shd w:val="clear" w:color="auto" w:fill="auto"/>
          </w:tcPr>
          <w:p w14:paraId="53320BCB" w14:textId="77777777" w:rsidR="007B3C6C" w:rsidRPr="001645C5" w:rsidRDefault="007B3C6C" w:rsidP="00BC2582">
            <w:pPr>
              <w:rPr>
                <w:sz w:val="20"/>
                <w:szCs w:val="20"/>
              </w:rPr>
            </w:pPr>
            <w:r w:rsidRPr="001645C5">
              <w:rPr>
                <w:sz w:val="20"/>
                <w:szCs w:val="20"/>
              </w:rPr>
              <w:t>25.354</w:t>
            </w:r>
          </w:p>
        </w:tc>
        <w:tc>
          <w:tcPr>
            <w:tcW w:w="934" w:type="dxa"/>
            <w:shd w:val="clear" w:color="auto" w:fill="auto"/>
          </w:tcPr>
          <w:p w14:paraId="41FB3B12" w14:textId="77777777" w:rsidR="007B3C6C" w:rsidRPr="001645C5" w:rsidRDefault="007B3C6C" w:rsidP="00BC2582">
            <w:pPr>
              <w:rPr>
                <w:sz w:val="20"/>
                <w:szCs w:val="20"/>
              </w:rPr>
            </w:pPr>
            <w:r w:rsidRPr="001645C5">
              <w:rPr>
                <w:sz w:val="20"/>
                <w:szCs w:val="20"/>
              </w:rPr>
              <w:t>38.252</w:t>
            </w:r>
          </w:p>
          <w:p w14:paraId="5E15F096" w14:textId="77777777" w:rsidR="007B3C6C" w:rsidRPr="001645C5" w:rsidRDefault="007B3C6C" w:rsidP="00BC2582">
            <w:pPr>
              <w:rPr>
                <w:sz w:val="20"/>
                <w:szCs w:val="20"/>
              </w:rPr>
            </w:pPr>
          </w:p>
        </w:tc>
        <w:tc>
          <w:tcPr>
            <w:tcW w:w="934" w:type="dxa"/>
            <w:shd w:val="clear" w:color="auto" w:fill="auto"/>
          </w:tcPr>
          <w:p w14:paraId="0ABB9C89" w14:textId="77777777" w:rsidR="007B3C6C" w:rsidRPr="001645C5" w:rsidRDefault="007B3C6C" w:rsidP="00BC2582">
            <w:pPr>
              <w:rPr>
                <w:sz w:val="20"/>
                <w:szCs w:val="20"/>
              </w:rPr>
            </w:pPr>
            <w:r w:rsidRPr="001645C5">
              <w:rPr>
                <w:sz w:val="20"/>
                <w:szCs w:val="20"/>
              </w:rPr>
              <w:t>54.424</w:t>
            </w:r>
          </w:p>
          <w:p w14:paraId="5A70F8C7" w14:textId="77777777" w:rsidR="007B3C6C" w:rsidRPr="001645C5" w:rsidRDefault="007B3C6C" w:rsidP="00BC2582">
            <w:pPr>
              <w:rPr>
                <w:sz w:val="20"/>
                <w:szCs w:val="20"/>
              </w:rPr>
            </w:pPr>
          </w:p>
        </w:tc>
        <w:tc>
          <w:tcPr>
            <w:tcW w:w="934" w:type="dxa"/>
            <w:shd w:val="clear" w:color="auto" w:fill="auto"/>
          </w:tcPr>
          <w:p w14:paraId="3B04CF4C" w14:textId="77777777" w:rsidR="007B3C6C" w:rsidRPr="001645C5" w:rsidRDefault="007B3C6C" w:rsidP="00BC2582">
            <w:pPr>
              <w:rPr>
                <w:sz w:val="20"/>
                <w:szCs w:val="20"/>
              </w:rPr>
            </w:pPr>
            <w:r w:rsidRPr="001645C5">
              <w:rPr>
                <w:sz w:val="20"/>
                <w:szCs w:val="20"/>
              </w:rPr>
              <w:t>60.118</w:t>
            </w:r>
          </w:p>
          <w:p w14:paraId="42916AC1" w14:textId="77777777" w:rsidR="007B3C6C" w:rsidRPr="001645C5" w:rsidRDefault="007B3C6C" w:rsidP="00BC2582">
            <w:pPr>
              <w:rPr>
                <w:sz w:val="20"/>
                <w:szCs w:val="20"/>
              </w:rPr>
            </w:pPr>
          </w:p>
        </w:tc>
        <w:tc>
          <w:tcPr>
            <w:tcW w:w="934" w:type="dxa"/>
            <w:shd w:val="clear" w:color="auto" w:fill="auto"/>
          </w:tcPr>
          <w:p w14:paraId="5FB94747" w14:textId="77777777" w:rsidR="007B3C6C" w:rsidRPr="001645C5" w:rsidRDefault="007B3C6C" w:rsidP="00BC2582">
            <w:pPr>
              <w:rPr>
                <w:sz w:val="20"/>
                <w:szCs w:val="20"/>
              </w:rPr>
            </w:pPr>
            <w:r w:rsidRPr="001645C5">
              <w:rPr>
                <w:sz w:val="20"/>
                <w:szCs w:val="20"/>
              </w:rPr>
              <w:t>78.326</w:t>
            </w:r>
          </w:p>
          <w:p w14:paraId="61F04E7A" w14:textId="77777777" w:rsidR="007B3C6C" w:rsidRPr="001645C5" w:rsidRDefault="007B3C6C" w:rsidP="00BC2582">
            <w:pPr>
              <w:rPr>
                <w:sz w:val="20"/>
                <w:szCs w:val="20"/>
              </w:rPr>
            </w:pPr>
          </w:p>
        </w:tc>
        <w:tc>
          <w:tcPr>
            <w:tcW w:w="934" w:type="dxa"/>
            <w:shd w:val="clear" w:color="auto" w:fill="auto"/>
          </w:tcPr>
          <w:p w14:paraId="5AFF766F" w14:textId="77777777" w:rsidR="007B3C6C" w:rsidRPr="001645C5" w:rsidRDefault="007B3C6C" w:rsidP="00BC2582">
            <w:pPr>
              <w:rPr>
                <w:sz w:val="20"/>
                <w:szCs w:val="20"/>
              </w:rPr>
            </w:pPr>
            <w:r w:rsidRPr="001645C5">
              <w:rPr>
                <w:sz w:val="20"/>
                <w:szCs w:val="20"/>
              </w:rPr>
              <w:t>89.245</w:t>
            </w:r>
          </w:p>
          <w:p w14:paraId="156F718B" w14:textId="77777777" w:rsidR="007B3C6C" w:rsidRPr="001645C5" w:rsidRDefault="007B3C6C" w:rsidP="00BC2582">
            <w:pPr>
              <w:rPr>
                <w:sz w:val="20"/>
                <w:szCs w:val="20"/>
              </w:rPr>
            </w:pPr>
          </w:p>
        </w:tc>
        <w:tc>
          <w:tcPr>
            <w:tcW w:w="934" w:type="dxa"/>
            <w:shd w:val="clear" w:color="auto" w:fill="auto"/>
          </w:tcPr>
          <w:p w14:paraId="6F63A694" w14:textId="77777777" w:rsidR="007B3C6C" w:rsidRPr="001645C5" w:rsidRDefault="007B3C6C" w:rsidP="00BC2582">
            <w:pPr>
              <w:rPr>
                <w:sz w:val="20"/>
                <w:szCs w:val="20"/>
              </w:rPr>
            </w:pPr>
            <w:r w:rsidRPr="001645C5">
              <w:rPr>
                <w:sz w:val="20"/>
                <w:szCs w:val="20"/>
              </w:rPr>
              <w:t>84.899</w:t>
            </w:r>
          </w:p>
          <w:p w14:paraId="5CFA67BC" w14:textId="77777777" w:rsidR="007B3C6C" w:rsidRPr="001645C5" w:rsidRDefault="007B3C6C" w:rsidP="00BC2582">
            <w:pPr>
              <w:rPr>
                <w:sz w:val="20"/>
                <w:szCs w:val="20"/>
              </w:rPr>
            </w:pPr>
          </w:p>
        </w:tc>
        <w:tc>
          <w:tcPr>
            <w:tcW w:w="934" w:type="dxa"/>
            <w:shd w:val="clear" w:color="auto" w:fill="auto"/>
          </w:tcPr>
          <w:p w14:paraId="0D6A8DC3" w14:textId="77777777" w:rsidR="007B3C6C" w:rsidRPr="001645C5" w:rsidRDefault="007B3C6C" w:rsidP="00BC2582">
            <w:pPr>
              <w:rPr>
                <w:sz w:val="20"/>
                <w:szCs w:val="20"/>
              </w:rPr>
            </w:pPr>
            <w:r w:rsidRPr="001645C5">
              <w:rPr>
                <w:sz w:val="20"/>
                <w:szCs w:val="20"/>
              </w:rPr>
              <w:t>94.994</w:t>
            </w:r>
          </w:p>
          <w:p w14:paraId="4BCD2BFC" w14:textId="77777777" w:rsidR="007B3C6C" w:rsidRPr="001645C5" w:rsidRDefault="007B3C6C" w:rsidP="00BC2582">
            <w:pPr>
              <w:rPr>
                <w:sz w:val="20"/>
                <w:szCs w:val="20"/>
              </w:rPr>
            </w:pPr>
          </w:p>
        </w:tc>
        <w:tc>
          <w:tcPr>
            <w:tcW w:w="935" w:type="dxa"/>
            <w:shd w:val="clear" w:color="auto" w:fill="auto"/>
          </w:tcPr>
          <w:p w14:paraId="191D3A97" w14:textId="77777777" w:rsidR="007B3C6C" w:rsidRPr="001645C5" w:rsidRDefault="007B3C6C" w:rsidP="00BC2582">
            <w:pPr>
              <w:rPr>
                <w:sz w:val="20"/>
                <w:szCs w:val="20"/>
              </w:rPr>
            </w:pPr>
            <w:r w:rsidRPr="001645C5">
              <w:rPr>
                <w:sz w:val="20"/>
                <w:szCs w:val="20"/>
              </w:rPr>
              <w:t>102.418</w:t>
            </w:r>
          </w:p>
          <w:p w14:paraId="115D76BE" w14:textId="77777777" w:rsidR="007B3C6C" w:rsidRPr="001645C5" w:rsidRDefault="007B3C6C" w:rsidP="00BC2582">
            <w:pPr>
              <w:rPr>
                <w:sz w:val="20"/>
                <w:szCs w:val="20"/>
              </w:rPr>
            </w:pPr>
          </w:p>
        </w:tc>
      </w:tr>
    </w:tbl>
    <w:p w14:paraId="455E3CAB" w14:textId="77777777" w:rsidR="007B3C6C" w:rsidRDefault="007B3C6C" w:rsidP="007B3C6C">
      <w:pPr>
        <w:rPr>
          <w:b/>
          <w:bCs/>
          <w:sz w:val="20"/>
          <w:szCs w:val="20"/>
          <w:lang w:val="en-CA"/>
        </w:rPr>
      </w:pPr>
    </w:p>
    <w:p w14:paraId="4B4A3FAA" w14:textId="77777777" w:rsidR="007B3C6C" w:rsidRDefault="007B3C6C" w:rsidP="007B3C6C">
      <w:pPr>
        <w:rPr>
          <w:b/>
          <w:bCs/>
          <w:sz w:val="20"/>
          <w:szCs w:val="20"/>
          <w:lang w:val="en-CA"/>
        </w:rPr>
      </w:pPr>
    </w:p>
    <w:p w14:paraId="7A794AE6" w14:textId="77777777" w:rsidR="007B3C6C" w:rsidRDefault="007B3C6C" w:rsidP="007B3C6C">
      <w:pPr>
        <w:rPr>
          <w:b/>
          <w:bCs/>
          <w:sz w:val="20"/>
          <w:szCs w:val="20"/>
          <w:lang w:val="en-CA"/>
        </w:rPr>
      </w:pPr>
    </w:p>
    <w:p w14:paraId="5E0F74FC" w14:textId="77777777" w:rsidR="007B3C6C" w:rsidRDefault="007B3C6C" w:rsidP="007B3C6C">
      <w:pPr>
        <w:rPr>
          <w:b/>
          <w:bCs/>
          <w:sz w:val="20"/>
          <w:szCs w:val="20"/>
          <w:lang w:val="en-CA"/>
        </w:rPr>
      </w:pPr>
    </w:p>
    <w:p w14:paraId="1207D432" w14:textId="77777777" w:rsidR="007B3C6C" w:rsidRDefault="007B3C6C" w:rsidP="007B3C6C">
      <w:pPr>
        <w:rPr>
          <w:b/>
          <w:bCs/>
          <w:sz w:val="20"/>
          <w:szCs w:val="20"/>
          <w:lang w:val="en-CA"/>
        </w:rPr>
      </w:pPr>
    </w:p>
    <w:p w14:paraId="5164442D" w14:textId="77777777" w:rsidR="007B3C6C" w:rsidRDefault="007B3C6C" w:rsidP="007B3C6C">
      <w:pPr>
        <w:rPr>
          <w:b/>
          <w:bCs/>
          <w:sz w:val="20"/>
          <w:szCs w:val="20"/>
          <w:lang w:val="en-CA"/>
        </w:rPr>
      </w:pPr>
    </w:p>
    <w:p w14:paraId="0E984D2A" w14:textId="77777777" w:rsidR="007B3C6C" w:rsidRDefault="007B3C6C" w:rsidP="007B3C6C">
      <w:pPr>
        <w:rPr>
          <w:b/>
          <w:bCs/>
          <w:sz w:val="20"/>
          <w:szCs w:val="20"/>
          <w:lang w:val="en-CA"/>
        </w:rPr>
      </w:pPr>
    </w:p>
    <w:p w14:paraId="1A3B5A36" w14:textId="77777777" w:rsidR="007B3C6C" w:rsidRPr="00A53896" w:rsidRDefault="007B3C6C" w:rsidP="007B3C6C">
      <w:pPr>
        <w:jc w:val="center"/>
        <w:rPr>
          <w:b/>
          <w:sz w:val="20"/>
          <w:szCs w:val="20"/>
        </w:rPr>
      </w:pPr>
      <w:r w:rsidRPr="00A53896">
        <w:rPr>
          <w:b/>
          <w:sz w:val="20"/>
          <w:szCs w:val="20"/>
          <w:lang w:val="en-CA"/>
        </w:rPr>
        <w:t xml:space="preserve">Table 6: </w:t>
      </w:r>
      <w:r w:rsidRPr="00A53896">
        <w:rPr>
          <w:b/>
          <w:sz w:val="20"/>
          <w:szCs w:val="20"/>
        </w:rPr>
        <w:t>NAFTA Area Incoming Foreign Direct Investment (IFDI) and Foreign Direct Investment Outflows (OFDI) 1993-2013.</w:t>
      </w:r>
    </w:p>
    <w:p w14:paraId="72007872" w14:textId="77777777" w:rsidR="007B3C6C" w:rsidRPr="00A53896" w:rsidRDefault="007B3C6C" w:rsidP="007B3C6C">
      <w:pPr>
        <w:jc w:val="center"/>
        <w:rPr>
          <w:b/>
          <w:sz w:val="20"/>
          <w:szCs w:val="20"/>
        </w:rPr>
      </w:pPr>
      <w:r w:rsidRPr="00A53896">
        <w:rPr>
          <w:b/>
          <w:sz w:val="20"/>
          <w:szCs w:val="20"/>
        </w:rPr>
        <w:t>Numbers presented represent the mean of the years listed.</w:t>
      </w:r>
    </w:p>
    <w:p w14:paraId="17199B69" w14:textId="77777777" w:rsidR="007B3C6C" w:rsidRPr="00A53896" w:rsidRDefault="007B3C6C" w:rsidP="007B3C6C">
      <w:pPr>
        <w:jc w:val="center"/>
        <w:rPr>
          <w:b/>
          <w:sz w:val="20"/>
          <w:szCs w:val="20"/>
          <w:lang w:val="en-CA"/>
        </w:rPr>
      </w:pPr>
      <w:r w:rsidRPr="00A53896">
        <w:rPr>
          <w:b/>
          <w:sz w:val="20"/>
          <w:szCs w:val="20"/>
        </w:rPr>
        <w:t xml:space="preserve">IFDI and OFDI in </w:t>
      </w:r>
      <w:r w:rsidRPr="00A53896">
        <w:rPr>
          <w:b/>
          <w:sz w:val="20"/>
          <w:szCs w:val="20"/>
          <w:lang w:val="en-CA"/>
        </w:rPr>
        <w:t>US Dollars at current prices and current exchange rates in millions.</w:t>
      </w:r>
    </w:p>
    <w:p w14:paraId="4C6BD77F" w14:textId="77777777" w:rsidR="007B3C6C" w:rsidRPr="001645C5" w:rsidRDefault="007B3C6C" w:rsidP="007B3C6C">
      <w:pPr>
        <w:rPr>
          <w:b/>
          <w:bCs/>
          <w:sz w:val="20"/>
          <w:szCs w:val="20"/>
          <w:lang w:val="en-CA"/>
        </w:rPr>
      </w:pPr>
    </w:p>
    <w:tbl>
      <w:tblPr>
        <w:tblW w:w="11508" w:type="dxa"/>
        <w:tblInd w:w="-885" w:type="dxa"/>
        <w:tblLayout w:type="fixed"/>
        <w:tblLook w:val="04A0" w:firstRow="1" w:lastRow="0" w:firstColumn="1" w:lastColumn="0" w:noHBand="0" w:noVBand="1"/>
      </w:tblPr>
      <w:tblGrid>
        <w:gridCol w:w="1068"/>
        <w:gridCol w:w="949"/>
        <w:gridCol w:w="949"/>
        <w:gridCol w:w="949"/>
        <w:gridCol w:w="949"/>
        <w:gridCol w:w="949"/>
        <w:gridCol w:w="949"/>
        <w:gridCol w:w="949"/>
        <w:gridCol w:w="949"/>
        <w:gridCol w:w="949"/>
        <w:gridCol w:w="949"/>
        <w:gridCol w:w="950"/>
      </w:tblGrid>
      <w:tr w:rsidR="007B3C6C" w:rsidRPr="001645C5" w14:paraId="2BA7C34F" w14:textId="77777777" w:rsidTr="00BC2582">
        <w:trPr>
          <w:trHeight w:val="248"/>
        </w:trPr>
        <w:tc>
          <w:tcPr>
            <w:tcW w:w="1068" w:type="dxa"/>
            <w:shd w:val="clear" w:color="auto" w:fill="auto"/>
          </w:tcPr>
          <w:p w14:paraId="6037007F" w14:textId="77777777" w:rsidR="007B3C6C" w:rsidRPr="001645C5" w:rsidRDefault="007B3C6C" w:rsidP="00BC2582">
            <w:pPr>
              <w:rPr>
                <w:sz w:val="20"/>
                <w:szCs w:val="20"/>
              </w:rPr>
            </w:pPr>
          </w:p>
        </w:tc>
        <w:tc>
          <w:tcPr>
            <w:tcW w:w="949" w:type="dxa"/>
            <w:shd w:val="clear" w:color="auto" w:fill="auto"/>
          </w:tcPr>
          <w:p w14:paraId="391AEE6A" w14:textId="77777777" w:rsidR="007B3C6C" w:rsidRPr="001645C5" w:rsidRDefault="007B3C6C" w:rsidP="00BC2582">
            <w:pPr>
              <w:rPr>
                <w:b/>
                <w:sz w:val="20"/>
                <w:szCs w:val="20"/>
              </w:rPr>
            </w:pPr>
            <w:r w:rsidRPr="001645C5">
              <w:rPr>
                <w:b/>
                <w:sz w:val="20"/>
                <w:szCs w:val="20"/>
              </w:rPr>
              <w:t>1993/94</w:t>
            </w:r>
          </w:p>
        </w:tc>
        <w:tc>
          <w:tcPr>
            <w:tcW w:w="949" w:type="dxa"/>
            <w:shd w:val="clear" w:color="auto" w:fill="auto"/>
          </w:tcPr>
          <w:p w14:paraId="59393006" w14:textId="77777777" w:rsidR="007B3C6C" w:rsidRPr="001645C5" w:rsidRDefault="007B3C6C" w:rsidP="00BC2582">
            <w:pPr>
              <w:rPr>
                <w:b/>
                <w:sz w:val="20"/>
                <w:szCs w:val="20"/>
              </w:rPr>
            </w:pPr>
            <w:r w:rsidRPr="001645C5">
              <w:rPr>
                <w:b/>
                <w:sz w:val="20"/>
                <w:szCs w:val="20"/>
              </w:rPr>
              <w:t>1995/96</w:t>
            </w:r>
          </w:p>
        </w:tc>
        <w:tc>
          <w:tcPr>
            <w:tcW w:w="949" w:type="dxa"/>
            <w:shd w:val="clear" w:color="auto" w:fill="auto"/>
          </w:tcPr>
          <w:p w14:paraId="01F43604" w14:textId="77777777" w:rsidR="007B3C6C" w:rsidRPr="001645C5" w:rsidRDefault="007B3C6C" w:rsidP="00BC2582">
            <w:pPr>
              <w:rPr>
                <w:b/>
                <w:sz w:val="20"/>
                <w:szCs w:val="20"/>
              </w:rPr>
            </w:pPr>
            <w:r w:rsidRPr="001645C5">
              <w:rPr>
                <w:b/>
                <w:sz w:val="20"/>
                <w:szCs w:val="20"/>
              </w:rPr>
              <w:t>1997/98</w:t>
            </w:r>
          </w:p>
        </w:tc>
        <w:tc>
          <w:tcPr>
            <w:tcW w:w="949" w:type="dxa"/>
            <w:shd w:val="clear" w:color="auto" w:fill="auto"/>
          </w:tcPr>
          <w:p w14:paraId="10C8F725" w14:textId="77777777" w:rsidR="007B3C6C" w:rsidRPr="001645C5" w:rsidRDefault="007B3C6C" w:rsidP="00BC2582">
            <w:pPr>
              <w:rPr>
                <w:b/>
                <w:sz w:val="20"/>
                <w:szCs w:val="20"/>
              </w:rPr>
            </w:pPr>
            <w:r w:rsidRPr="001645C5">
              <w:rPr>
                <w:b/>
                <w:sz w:val="20"/>
                <w:szCs w:val="20"/>
              </w:rPr>
              <w:t>1999/00</w:t>
            </w:r>
          </w:p>
        </w:tc>
        <w:tc>
          <w:tcPr>
            <w:tcW w:w="949" w:type="dxa"/>
            <w:shd w:val="clear" w:color="auto" w:fill="auto"/>
          </w:tcPr>
          <w:p w14:paraId="08BE090F" w14:textId="77777777" w:rsidR="007B3C6C" w:rsidRPr="001645C5" w:rsidRDefault="007B3C6C" w:rsidP="00BC2582">
            <w:pPr>
              <w:rPr>
                <w:b/>
                <w:sz w:val="20"/>
                <w:szCs w:val="20"/>
              </w:rPr>
            </w:pPr>
            <w:r w:rsidRPr="001645C5">
              <w:rPr>
                <w:b/>
                <w:sz w:val="20"/>
                <w:szCs w:val="20"/>
              </w:rPr>
              <w:t>2001/02</w:t>
            </w:r>
          </w:p>
        </w:tc>
        <w:tc>
          <w:tcPr>
            <w:tcW w:w="949" w:type="dxa"/>
            <w:shd w:val="clear" w:color="auto" w:fill="auto"/>
          </w:tcPr>
          <w:p w14:paraId="7D6E3AEB" w14:textId="77777777" w:rsidR="007B3C6C" w:rsidRPr="001645C5" w:rsidRDefault="007B3C6C" w:rsidP="00BC2582">
            <w:pPr>
              <w:rPr>
                <w:b/>
                <w:sz w:val="20"/>
                <w:szCs w:val="20"/>
              </w:rPr>
            </w:pPr>
            <w:r w:rsidRPr="001645C5">
              <w:rPr>
                <w:b/>
                <w:sz w:val="20"/>
                <w:szCs w:val="20"/>
              </w:rPr>
              <w:t>2003/04</w:t>
            </w:r>
          </w:p>
        </w:tc>
        <w:tc>
          <w:tcPr>
            <w:tcW w:w="949" w:type="dxa"/>
            <w:shd w:val="clear" w:color="auto" w:fill="auto"/>
          </w:tcPr>
          <w:p w14:paraId="08D74B9A" w14:textId="77777777" w:rsidR="007B3C6C" w:rsidRPr="001645C5" w:rsidRDefault="007B3C6C" w:rsidP="00BC2582">
            <w:pPr>
              <w:rPr>
                <w:b/>
                <w:sz w:val="20"/>
                <w:szCs w:val="20"/>
              </w:rPr>
            </w:pPr>
            <w:r w:rsidRPr="001645C5">
              <w:rPr>
                <w:b/>
                <w:sz w:val="20"/>
                <w:szCs w:val="20"/>
              </w:rPr>
              <w:t>2005/06</w:t>
            </w:r>
          </w:p>
        </w:tc>
        <w:tc>
          <w:tcPr>
            <w:tcW w:w="949" w:type="dxa"/>
            <w:shd w:val="clear" w:color="auto" w:fill="auto"/>
          </w:tcPr>
          <w:p w14:paraId="467BFABB" w14:textId="77777777" w:rsidR="007B3C6C" w:rsidRPr="001645C5" w:rsidRDefault="007B3C6C" w:rsidP="00BC2582">
            <w:pPr>
              <w:rPr>
                <w:b/>
                <w:sz w:val="20"/>
                <w:szCs w:val="20"/>
              </w:rPr>
            </w:pPr>
            <w:r w:rsidRPr="001645C5">
              <w:rPr>
                <w:b/>
                <w:sz w:val="20"/>
                <w:szCs w:val="20"/>
              </w:rPr>
              <w:t>2007/08</w:t>
            </w:r>
          </w:p>
        </w:tc>
        <w:tc>
          <w:tcPr>
            <w:tcW w:w="949" w:type="dxa"/>
            <w:shd w:val="clear" w:color="auto" w:fill="auto"/>
          </w:tcPr>
          <w:p w14:paraId="1D4EC315" w14:textId="77777777" w:rsidR="007B3C6C" w:rsidRPr="001645C5" w:rsidRDefault="007B3C6C" w:rsidP="00BC2582">
            <w:pPr>
              <w:rPr>
                <w:b/>
                <w:sz w:val="20"/>
                <w:szCs w:val="20"/>
              </w:rPr>
            </w:pPr>
            <w:r w:rsidRPr="001645C5">
              <w:rPr>
                <w:b/>
                <w:sz w:val="20"/>
                <w:szCs w:val="20"/>
              </w:rPr>
              <w:t>2009/10</w:t>
            </w:r>
          </w:p>
        </w:tc>
        <w:tc>
          <w:tcPr>
            <w:tcW w:w="949" w:type="dxa"/>
            <w:shd w:val="clear" w:color="auto" w:fill="auto"/>
          </w:tcPr>
          <w:p w14:paraId="719ECCB9" w14:textId="77777777" w:rsidR="007B3C6C" w:rsidRPr="001645C5" w:rsidRDefault="007B3C6C" w:rsidP="00BC2582">
            <w:pPr>
              <w:rPr>
                <w:b/>
                <w:sz w:val="20"/>
                <w:szCs w:val="20"/>
              </w:rPr>
            </w:pPr>
            <w:r w:rsidRPr="001645C5">
              <w:rPr>
                <w:b/>
                <w:sz w:val="20"/>
                <w:szCs w:val="20"/>
              </w:rPr>
              <w:t>2011/12</w:t>
            </w:r>
          </w:p>
        </w:tc>
        <w:tc>
          <w:tcPr>
            <w:tcW w:w="950" w:type="dxa"/>
            <w:shd w:val="clear" w:color="auto" w:fill="auto"/>
          </w:tcPr>
          <w:p w14:paraId="7420DC13" w14:textId="77777777" w:rsidR="007B3C6C" w:rsidRPr="001645C5" w:rsidRDefault="007B3C6C" w:rsidP="00BC2582">
            <w:pPr>
              <w:rPr>
                <w:b/>
                <w:sz w:val="20"/>
                <w:szCs w:val="20"/>
              </w:rPr>
            </w:pPr>
            <w:r w:rsidRPr="001645C5">
              <w:rPr>
                <w:b/>
                <w:sz w:val="20"/>
                <w:szCs w:val="20"/>
              </w:rPr>
              <w:t>2013</w:t>
            </w:r>
          </w:p>
        </w:tc>
      </w:tr>
      <w:tr w:rsidR="007B3C6C" w:rsidRPr="001645C5" w14:paraId="07098072" w14:textId="77777777" w:rsidTr="00BC2582">
        <w:trPr>
          <w:trHeight w:val="767"/>
        </w:trPr>
        <w:tc>
          <w:tcPr>
            <w:tcW w:w="1068" w:type="dxa"/>
            <w:shd w:val="clear" w:color="auto" w:fill="auto"/>
          </w:tcPr>
          <w:p w14:paraId="5DFC71A8" w14:textId="77777777" w:rsidR="007B3C6C" w:rsidRPr="001645C5" w:rsidRDefault="007B3C6C" w:rsidP="00BC2582">
            <w:pPr>
              <w:rPr>
                <w:b/>
                <w:sz w:val="20"/>
                <w:szCs w:val="20"/>
              </w:rPr>
            </w:pPr>
            <w:r w:rsidRPr="001645C5">
              <w:rPr>
                <w:b/>
                <w:sz w:val="20"/>
                <w:szCs w:val="20"/>
              </w:rPr>
              <w:t>NAFTA Area IFDI</w:t>
            </w:r>
          </w:p>
        </w:tc>
        <w:tc>
          <w:tcPr>
            <w:tcW w:w="949" w:type="dxa"/>
            <w:shd w:val="clear" w:color="auto" w:fill="auto"/>
          </w:tcPr>
          <w:p w14:paraId="38A13092" w14:textId="77777777" w:rsidR="007B3C6C" w:rsidRPr="001645C5" w:rsidRDefault="007B3C6C" w:rsidP="00BC2582">
            <w:pPr>
              <w:rPr>
                <w:sz w:val="20"/>
                <w:szCs w:val="20"/>
              </w:rPr>
            </w:pPr>
            <w:r w:rsidRPr="001645C5">
              <w:rPr>
                <w:sz w:val="20"/>
                <w:szCs w:val="20"/>
              </w:rPr>
              <w:t>62027.5015</w:t>
            </w:r>
          </w:p>
          <w:p w14:paraId="1AD11228" w14:textId="77777777" w:rsidR="007B3C6C" w:rsidRPr="001645C5" w:rsidRDefault="007B3C6C" w:rsidP="00BC2582">
            <w:pPr>
              <w:rPr>
                <w:sz w:val="20"/>
                <w:szCs w:val="20"/>
              </w:rPr>
            </w:pPr>
          </w:p>
        </w:tc>
        <w:tc>
          <w:tcPr>
            <w:tcW w:w="949" w:type="dxa"/>
            <w:shd w:val="clear" w:color="auto" w:fill="auto"/>
          </w:tcPr>
          <w:p w14:paraId="61B23616" w14:textId="77777777" w:rsidR="007B3C6C" w:rsidRPr="001645C5" w:rsidRDefault="007B3C6C" w:rsidP="00BC2582">
            <w:pPr>
              <w:rPr>
                <w:sz w:val="20"/>
                <w:szCs w:val="20"/>
              </w:rPr>
            </w:pPr>
            <w:r w:rsidRPr="001645C5">
              <w:rPr>
                <w:sz w:val="20"/>
                <w:szCs w:val="20"/>
              </w:rPr>
              <w:t>90413.6435</w:t>
            </w:r>
          </w:p>
          <w:p w14:paraId="0CD1D49E" w14:textId="77777777" w:rsidR="007B3C6C" w:rsidRPr="001645C5" w:rsidRDefault="007B3C6C" w:rsidP="00BC2582">
            <w:pPr>
              <w:rPr>
                <w:sz w:val="20"/>
                <w:szCs w:val="20"/>
              </w:rPr>
            </w:pPr>
          </w:p>
        </w:tc>
        <w:tc>
          <w:tcPr>
            <w:tcW w:w="949" w:type="dxa"/>
            <w:shd w:val="clear" w:color="auto" w:fill="auto"/>
          </w:tcPr>
          <w:p w14:paraId="68D67714" w14:textId="77777777" w:rsidR="007B3C6C" w:rsidRPr="001645C5" w:rsidRDefault="007B3C6C" w:rsidP="00BC2582">
            <w:pPr>
              <w:rPr>
                <w:sz w:val="20"/>
                <w:szCs w:val="20"/>
              </w:rPr>
            </w:pPr>
            <w:r w:rsidRPr="001645C5">
              <w:rPr>
                <w:sz w:val="20"/>
                <w:szCs w:val="20"/>
              </w:rPr>
              <w:t>168873.4729</w:t>
            </w:r>
          </w:p>
          <w:p w14:paraId="06A337A0" w14:textId="77777777" w:rsidR="007B3C6C" w:rsidRPr="001645C5" w:rsidRDefault="007B3C6C" w:rsidP="00BC2582">
            <w:pPr>
              <w:rPr>
                <w:sz w:val="20"/>
                <w:szCs w:val="20"/>
              </w:rPr>
            </w:pPr>
          </w:p>
        </w:tc>
        <w:tc>
          <w:tcPr>
            <w:tcW w:w="949" w:type="dxa"/>
            <w:shd w:val="clear" w:color="auto" w:fill="auto"/>
          </w:tcPr>
          <w:p w14:paraId="3E99A42E" w14:textId="77777777" w:rsidR="007B3C6C" w:rsidRPr="001645C5" w:rsidRDefault="007B3C6C" w:rsidP="00BC2582">
            <w:pPr>
              <w:rPr>
                <w:sz w:val="20"/>
                <w:szCs w:val="20"/>
              </w:rPr>
            </w:pPr>
            <w:r w:rsidRPr="001645C5">
              <w:rPr>
                <w:sz w:val="20"/>
                <w:szCs w:val="20"/>
              </w:rPr>
              <w:t>360582.4652</w:t>
            </w:r>
          </w:p>
          <w:p w14:paraId="273C5540" w14:textId="77777777" w:rsidR="007B3C6C" w:rsidRPr="001645C5" w:rsidRDefault="007B3C6C" w:rsidP="00BC2582">
            <w:pPr>
              <w:rPr>
                <w:sz w:val="20"/>
                <w:szCs w:val="20"/>
              </w:rPr>
            </w:pPr>
          </w:p>
        </w:tc>
        <w:tc>
          <w:tcPr>
            <w:tcW w:w="949" w:type="dxa"/>
            <w:shd w:val="clear" w:color="auto" w:fill="auto"/>
          </w:tcPr>
          <w:p w14:paraId="509F383D" w14:textId="77777777" w:rsidR="007B3C6C" w:rsidRPr="001645C5" w:rsidRDefault="007B3C6C" w:rsidP="00BC2582">
            <w:pPr>
              <w:rPr>
                <w:sz w:val="20"/>
                <w:szCs w:val="20"/>
              </w:rPr>
            </w:pPr>
            <w:r w:rsidRPr="001645C5">
              <w:rPr>
                <w:sz w:val="20"/>
                <w:szCs w:val="20"/>
              </w:rPr>
              <w:t>168902.437</w:t>
            </w:r>
          </w:p>
          <w:p w14:paraId="073D5AA6" w14:textId="77777777" w:rsidR="007B3C6C" w:rsidRPr="001645C5" w:rsidRDefault="007B3C6C" w:rsidP="00BC2582">
            <w:pPr>
              <w:rPr>
                <w:sz w:val="20"/>
                <w:szCs w:val="20"/>
              </w:rPr>
            </w:pPr>
          </w:p>
        </w:tc>
        <w:tc>
          <w:tcPr>
            <w:tcW w:w="949" w:type="dxa"/>
            <w:shd w:val="clear" w:color="auto" w:fill="auto"/>
          </w:tcPr>
          <w:p w14:paraId="57CB47A7" w14:textId="77777777" w:rsidR="007B3C6C" w:rsidRPr="001645C5" w:rsidRDefault="007B3C6C" w:rsidP="00BC2582">
            <w:pPr>
              <w:rPr>
                <w:sz w:val="20"/>
                <w:szCs w:val="20"/>
              </w:rPr>
            </w:pPr>
            <w:r w:rsidRPr="001645C5">
              <w:rPr>
                <w:sz w:val="20"/>
                <w:szCs w:val="20"/>
              </w:rPr>
              <w:t>120014.889</w:t>
            </w:r>
          </w:p>
          <w:p w14:paraId="2C88B819" w14:textId="77777777" w:rsidR="007B3C6C" w:rsidRPr="001645C5" w:rsidRDefault="007B3C6C" w:rsidP="00BC2582">
            <w:pPr>
              <w:rPr>
                <w:sz w:val="20"/>
                <w:szCs w:val="20"/>
              </w:rPr>
            </w:pPr>
          </w:p>
        </w:tc>
        <w:tc>
          <w:tcPr>
            <w:tcW w:w="949" w:type="dxa"/>
            <w:shd w:val="clear" w:color="auto" w:fill="auto"/>
          </w:tcPr>
          <w:p w14:paraId="140B562D" w14:textId="77777777" w:rsidR="007B3C6C" w:rsidRPr="001645C5" w:rsidRDefault="007B3C6C" w:rsidP="00BC2582">
            <w:pPr>
              <w:rPr>
                <w:sz w:val="20"/>
                <w:szCs w:val="20"/>
              </w:rPr>
            </w:pPr>
            <w:r w:rsidRPr="001645C5">
              <w:rPr>
                <w:sz w:val="20"/>
                <w:szCs w:val="20"/>
              </w:rPr>
              <w:t>236805.5837</w:t>
            </w:r>
          </w:p>
          <w:p w14:paraId="11F5AD94" w14:textId="77777777" w:rsidR="007B3C6C" w:rsidRPr="001645C5" w:rsidRDefault="007B3C6C" w:rsidP="00BC2582">
            <w:pPr>
              <w:rPr>
                <w:sz w:val="20"/>
                <w:szCs w:val="20"/>
              </w:rPr>
            </w:pPr>
          </w:p>
        </w:tc>
        <w:tc>
          <w:tcPr>
            <w:tcW w:w="949" w:type="dxa"/>
            <w:shd w:val="clear" w:color="auto" w:fill="auto"/>
          </w:tcPr>
          <w:p w14:paraId="1910C735" w14:textId="77777777" w:rsidR="007B3C6C" w:rsidRPr="001645C5" w:rsidRDefault="007B3C6C" w:rsidP="00BC2582">
            <w:pPr>
              <w:rPr>
                <w:sz w:val="20"/>
                <w:szCs w:val="20"/>
              </w:rPr>
            </w:pPr>
            <w:r w:rsidRPr="001645C5">
              <w:rPr>
                <w:sz w:val="20"/>
                <w:szCs w:val="20"/>
              </w:rPr>
              <w:t>380810.9681</w:t>
            </w:r>
          </w:p>
          <w:p w14:paraId="33B6F7D3" w14:textId="77777777" w:rsidR="007B3C6C" w:rsidRPr="001645C5" w:rsidRDefault="007B3C6C" w:rsidP="00BC2582">
            <w:pPr>
              <w:rPr>
                <w:sz w:val="20"/>
                <w:szCs w:val="20"/>
              </w:rPr>
            </w:pPr>
          </w:p>
        </w:tc>
        <w:tc>
          <w:tcPr>
            <w:tcW w:w="949" w:type="dxa"/>
            <w:shd w:val="clear" w:color="auto" w:fill="auto"/>
          </w:tcPr>
          <w:p w14:paraId="0D4E1CA4" w14:textId="77777777" w:rsidR="007B3C6C" w:rsidRPr="001645C5" w:rsidRDefault="007B3C6C" w:rsidP="00BC2582">
            <w:pPr>
              <w:rPr>
                <w:sz w:val="20"/>
                <w:szCs w:val="20"/>
              </w:rPr>
            </w:pPr>
            <w:r w:rsidRPr="001645C5">
              <w:rPr>
                <w:sz w:val="20"/>
                <w:szCs w:val="20"/>
              </w:rPr>
              <w:t>218257.457</w:t>
            </w:r>
          </w:p>
          <w:p w14:paraId="08AD81E5" w14:textId="77777777" w:rsidR="007B3C6C" w:rsidRPr="001645C5" w:rsidRDefault="007B3C6C" w:rsidP="00BC2582">
            <w:pPr>
              <w:rPr>
                <w:sz w:val="20"/>
                <w:szCs w:val="20"/>
              </w:rPr>
            </w:pPr>
          </w:p>
        </w:tc>
        <w:tc>
          <w:tcPr>
            <w:tcW w:w="949" w:type="dxa"/>
            <w:shd w:val="clear" w:color="auto" w:fill="auto"/>
          </w:tcPr>
          <w:p w14:paraId="035CD828" w14:textId="77777777" w:rsidR="007B3C6C" w:rsidRPr="001645C5" w:rsidRDefault="007B3C6C" w:rsidP="00BC2582">
            <w:pPr>
              <w:rPr>
                <w:sz w:val="20"/>
                <w:szCs w:val="20"/>
              </w:rPr>
            </w:pPr>
            <w:r w:rsidRPr="001645C5">
              <w:rPr>
                <w:sz w:val="20"/>
                <w:szCs w:val="20"/>
              </w:rPr>
              <w:t>260401.9379</w:t>
            </w:r>
          </w:p>
          <w:p w14:paraId="1BDD1F38" w14:textId="77777777" w:rsidR="007B3C6C" w:rsidRPr="001645C5" w:rsidRDefault="007B3C6C" w:rsidP="00BC2582">
            <w:pPr>
              <w:rPr>
                <w:sz w:val="20"/>
                <w:szCs w:val="20"/>
              </w:rPr>
            </w:pPr>
          </w:p>
        </w:tc>
        <w:tc>
          <w:tcPr>
            <w:tcW w:w="950" w:type="dxa"/>
            <w:shd w:val="clear" w:color="auto" w:fill="auto"/>
          </w:tcPr>
          <w:p w14:paraId="0D037306" w14:textId="77777777" w:rsidR="007B3C6C" w:rsidRPr="001645C5" w:rsidRDefault="007B3C6C" w:rsidP="00BC2582">
            <w:pPr>
              <w:rPr>
                <w:sz w:val="20"/>
                <w:szCs w:val="20"/>
              </w:rPr>
            </w:pPr>
            <w:r w:rsidRPr="001645C5">
              <w:rPr>
                <w:sz w:val="20"/>
                <w:szCs w:val="20"/>
              </w:rPr>
              <w:t>345959.8503</w:t>
            </w:r>
          </w:p>
          <w:p w14:paraId="58607230" w14:textId="77777777" w:rsidR="007B3C6C" w:rsidRPr="001645C5" w:rsidRDefault="007B3C6C" w:rsidP="00BC2582">
            <w:pPr>
              <w:rPr>
                <w:sz w:val="20"/>
                <w:szCs w:val="20"/>
              </w:rPr>
            </w:pPr>
          </w:p>
        </w:tc>
      </w:tr>
      <w:tr w:rsidR="007B3C6C" w:rsidRPr="001645C5" w14:paraId="2BF22C3C" w14:textId="77777777" w:rsidTr="00BC2582">
        <w:trPr>
          <w:trHeight w:val="767"/>
        </w:trPr>
        <w:tc>
          <w:tcPr>
            <w:tcW w:w="1068" w:type="dxa"/>
            <w:shd w:val="clear" w:color="auto" w:fill="auto"/>
          </w:tcPr>
          <w:p w14:paraId="12914333" w14:textId="77777777" w:rsidR="007B3C6C" w:rsidRPr="001645C5" w:rsidRDefault="007B3C6C" w:rsidP="00BC2582">
            <w:pPr>
              <w:rPr>
                <w:b/>
                <w:sz w:val="20"/>
                <w:szCs w:val="20"/>
              </w:rPr>
            </w:pPr>
            <w:r w:rsidRPr="001645C5">
              <w:rPr>
                <w:b/>
                <w:sz w:val="20"/>
                <w:szCs w:val="20"/>
              </w:rPr>
              <w:t>NAFTA Area OFDI</w:t>
            </w:r>
          </w:p>
        </w:tc>
        <w:tc>
          <w:tcPr>
            <w:tcW w:w="949" w:type="dxa"/>
            <w:shd w:val="clear" w:color="auto" w:fill="auto"/>
          </w:tcPr>
          <w:p w14:paraId="69CBAE54" w14:textId="77777777" w:rsidR="007B3C6C" w:rsidRPr="001645C5" w:rsidRDefault="007B3C6C" w:rsidP="00BC2582">
            <w:pPr>
              <w:rPr>
                <w:sz w:val="20"/>
                <w:szCs w:val="20"/>
              </w:rPr>
            </w:pPr>
            <w:r w:rsidRPr="001645C5">
              <w:rPr>
                <w:sz w:val="20"/>
                <w:szCs w:val="20"/>
              </w:rPr>
              <w:t>83221.2375</w:t>
            </w:r>
          </w:p>
          <w:p w14:paraId="45EBAC33" w14:textId="77777777" w:rsidR="007B3C6C" w:rsidRPr="001645C5" w:rsidRDefault="007B3C6C" w:rsidP="00BC2582">
            <w:pPr>
              <w:rPr>
                <w:sz w:val="20"/>
                <w:szCs w:val="20"/>
              </w:rPr>
            </w:pPr>
          </w:p>
        </w:tc>
        <w:tc>
          <w:tcPr>
            <w:tcW w:w="949" w:type="dxa"/>
            <w:shd w:val="clear" w:color="auto" w:fill="auto"/>
          </w:tcPr>
          <w:p w14:paraId="7D39F8A4" w14:textId="77777777" w:rsidR="007B3C6C" w:rsidRPr="001645C5" w:rsidRDefault="007B3C6C" w:rsidP="00BC2582">
            <w:pPr>
              <w:rPr>
                <w:sz w:val="20"/>
                <w:szCs w:val="20"/>
              </w:rPr>
            </w:pPr>
            <w:r w:rsidRPr="001645C5">
              <w:rPr>
                <w:sz w:val="20"/>
                <w:szCs w:val="20"/>
              </w:rPr>
              <w:t>100416.411</w:t>
            </w:r>
          </w:p>
          <w:p w14:paraId="34049CCC" w14:textId="77777777" w:rsidR="007B3C6C" w:rsidRPr="001645C5" w:rsidRDefault="007B3C6C" w:rsidP="00BC2582">
            <w:pPr>
              <w:rPr>
                <w:sz w:val="20"/>
                <w:szCs w:val="20"/>
              </w:rPr>
            </w:pPr>
          </w:p>
        </w:tc>
        <w:tc>
          <w:tcPr>
            <w:tcW w:w="949" w:type="dxa"/>
            <w:shd w:val="clear" w:color="auto" w:fill="auto"/>
          </w:tcPr>
          <w:p w14:paraId="30000345" w14:textId="77777777" w:rsidR="007B3C6C" w:rsidRPr="001645C5" w:rsidRDefault="007B3C6C" w:rsidP="00BC2582">
            <w:pPr>
              <w:rPr>
                <w:sz w:val="20"/>
                <w:szCs w:val="20"/>
              </w:rPr>
            </w:pPr>
            <w:r w:rsidRPr="001645C5">
              <w:rPr>
                <w:sz w:val="20"/>
                <w:szCs w:val="20"/>
              </w:rPr>
              <w:t>143329.8173</w:t>
            </w:r>
          </w:p>
          <w:p w14:paraId="0B8A3AA6" w14:textId="77777777" w:rsidR="007B3C6C" w:rsidRPr="001645C5" w:rsidRDefault="007B3C6C" w:rsidP="00BC2582">
            <w:pPr>
              <w:rPr>
                <w:sz w:val="20"/>
                <w:szCs w:val="20"/>
              </w:rPr>
            </w:pPr>
          </w:p>
        </w:tc>
        <w:tc>
          <w:tcPr>
            <w:tcW w:w="949" w:type="dxa"/>
            <w:shd w:val="clear" w:color="auto" w:fill="auto"/>
          </w:tcPr>
          <w:p w14:paraId="50F897D8" w14:textId="77777777" w:rsidR="007B3C6C" w:rsidRPr="001645C5" w:rsidRDefault="007B3C6C" w:rsidP="00BC2582">
            <w:pPr>
              <w:rPr>
                <w:sz w:val="20"/>
                <w:szCs w:val="20"/>
              </w:rPr>
            </w:pPr>
            <w:r w:rsidRPr="001645C5">
              <w:rPr>
                <w:sz w:val="20"/>
                <w:szCs w:val="20"/>
              </w:rPr>
              <w:t>208103.1429</w:t>
            </w:r>
          </w:p>
          <w:p w14:paraId="6BE61361" w14:textId="77777777" w:rsidR="007B3C6C" w:rsidRPr="001645C5" w:rsidRDefault="007B3C6C" w:rsidP="00BC2582">
            <w:pPr>
              <w:rPr>
                <w:sz w:val="20"/>
                <w:szCs w:val="20"/>
              </w:rPr>
            </w:pPr>
          </w:p>
        </w:tc>
        <w:tc>
          <w:tcPr>
            <w:tcW w:w="949" w:type="dxa"/>
            <w:shd w:val="clear" w:color="auto" w:fill="auto"/>
          </w:tcPr>
          <w:p w14:paraId="74826F3D" w14:textId="77777777" w:rsidR="007B3C6C" w:rsidRPr="001645C5" w:rsidRDefault="007B3C6C" w:rsidP="00BC2582">
            <w:pPr>
              <w:rPr>
                <w:sz w:val="20"/>
                <w:szCs w:val="20"/>
              </w:rPr>
            </w:pPr>
            <w:r w:rsidRPr="001645C5">
              <w:rPr>
                <w:sz w:val="20"/>
                <w:szCs w:val="20"/>
              </w:rPr>
              <w:t>163957.6587</w:t>
            </w:r>
          </w:p>
          <w:p w14:paraId="4AF272DE" w14:textId="77777777" w:rsidR="007B3C6C" w:rsidRPr="001645C5" w:rsidRDefault="007B3C6C" w:rsidP="00BC2582">
            <w:pPr>
              <w:rPr>
                <w:sz w:val="20"/>
                <w:szCs w:val="20"/>
              </w:rPr>
            </w:pPr>
          </w:p>
        </w:tc>
        <w:tc>
          <w:tcPr>
            <w:tcW w:w="949" w:type="dxa"/>
            <w:shd w:val="clear" w:color="auto" w:fill="auto"/>
          </w:tcPr>
          <w:p w14:paraId="522D844A" w14:textId="77777777" w:rsidR="007B3C6C" w:rsidRPr="001645C5" w:rsidRDefault="007B3C6C" w:rsidP="00BC2582">
            <w:pPr>
              <w:rPr>
                <w:sz w:val="20"/>
                <w:szCs w:val="20"/>
              </w:rPr>
            </w:pPr>
            <w:r w:rsidRPr="001645C5">
              <w:rPr>
                <w:sz w:val="20"/>
                <w:szCs w:val="20"/>
              </w:rPr>
              <w:t>248106.682</w:t>
            </w:r>
          </w:p>
          <w:p w14:paraId="3738FC53" w14:textId="77777777" w:rsidR="007B3C6C" w:rsidRPr="001645C5" w:rsidRDefault="007B3C6C" w:rsidP="00BC2582">
            <w:pPr>
              <w:rPr>
                <w:sz w:val="20"/>
                <w:szCs w:val="20"/>
              </w:rPr>
            </w:pPr>
          </w:p>
        </w:tc>
        <w:tc>
          <w:tcPr>
            <w:tcW w:w="949" w:type="dxa"/>
            <w:shd w:val="clear" w:color="auto" w:fill="auto"/>
          </w:tcPr>
          <w:p w14:paraId="2034D625" w14:textId="77777777" w:rsidR="007B3C6C" w:rsidRPr="001645C5" w:rsidRDefault="007B3C6C" w:rsidP="00BC2582">
            <w:pPr>
              <w:rPr>
                <w:sz w:val="20"/>
                <w:szCs w:val="20"/>
              </w:rPr>
            </w:pPr>
            <w:r w:rsidRPr="001645C5">
              <w:rPr>
                <w:sz w:val="20"/>
                <w:szCs w:val="20"/>
              </w:rPr>
              <w:t>162786.8282</w:t>
            </w:r>
          </w:p>
          <w:p w14:paraId="260802B0" w14:textId="77777777" w:rsidR="007B3C6C" w:rsidRPr="001645C5" w:rsidRDefault="007B3C6C" w:rsidP="00BC2582">
            <w:pPr>
              <w:rPr>
                <w:sz w:val="20"/>
                <w:szCs w:val="20"/>
              </w:rPr>
            </w:pPr>
          </w:p>
        </w:tc>
        <w:tc>
          <w:tcPr>
            <w:tcW w:w="949" w:type="dxa"/>
            <w:shd w:val="clear" w:color="auto" w:fill="auto"/>
          </w:tcPr>
          <w:p w14:paraId="1C5BEB16" w14:textId="77777777" w:rsidR="007B3C6C" w:rsidRPr="001645C5" w:rsidRDefault="007B3C6C" w:rsidP="00BC2582">
            <w:pPr>
              <w:rPr>
                <w:sz w:val="20"/>
                <w:szCs w:val="20"/>
              </w:rPr>
            </w:pPr>
            <w:r w:rsidRPr="001645C5">
              <w:rPr>
                <w:sz w:val="20"/>
                <w:szCs w:val="20"/>
              </w:rPr>
              <w:t>427565.9308</w:t>
            </w:r>
          </w:p>
          <w:p w14:paraId="0D5679F8" w14:textId="77777777" w:rsidR="007B3C6C" w:rsidRPr="001645C5" w:rsidRDefault="007B3C6C" w:rsidP="00BC2582">
            <w:pPr>
              <w:rPr>
                <w:sz w:val="20"/>
                <w:szCs w:val="20"/>
              </w:rPr>
            </w:pPr>
          </w:p>
        </w:tc>
        <w:tc>
          <w:tcPr>
            <w:tcW w:w="949" w:type="dxa"/>
            <w:shd w:val="clear" w:color="auto" w:fill="auto"/>
          </w:tcPr>
          <w:p w14:paraId="4991E3CE" w14:textId="77777777" w:rsidR="007B3C6C" w:rsidRPr="001645C5" w:rsidRDefault="007B3C6C" w:rsidP="00BC2582">
            <w:pPr>
              <w:rPr>
                <w:sz w:val="20"/>
                <w:szCs w:val="20"/>
              </w:rPr>
            </w:pPr>
            <w:r w:rsidRPr="001645C5">
              <w:rPr>
                <w:sz w:val="20"/>
                <w:szCs w:val="20"/>
              </w:rPr>
              <w:t>332328.5236</w:t>
            </w:r>
          </w:p>
          <w:p w14:paraId="7CDD1EF6" w14:textId="77777777" w:rsidR="007B3C6C" w:rsidRPr="001645C5" w:rsidRDefault="007B3C6C" w:rsidP="00BC2582">
            <w:pPr>
              <w:rPr>
                <w:sz w:val="20"/>
                <w:szCs w:val="20"/>
              </w:rPr>
            </w:pPr>
          </w:p>
        </w:tc>
        <w:tc>
          <w:tcPr>
            <w:tcW w:w="949" w:type="dxa"/>
            <w:shd w:val="clear" w:color="auto" w:fill="auto"/>
          </w:tcPr>
          <w:p w14:paraId="49F9CE5C" w14:textId="77777777" w:rsidR="007B3C6C" w:rsidRPr="001645C5" w:rsidRDefault="007B3C6C" w:rsidP="00BC2582">
            <w:pPr>
              <w:rPr>
                <w:sz w:val="20"/>
                <w:szCs w:val="20"/>
              </w:rPr>
            </w:pPr>
            <w:r w:rsidRPr="001645C5">
              <w:rPr>
                <w:sz w:val="20"/>
                <w:szCs w:val="20"/>
              </w:rPr>
              <w:t>424553.9806</w:t>
            </w:r>
          </w:p>
          <w:p w14:paraId="0F6E772B" w14:textId="77777777" w:rsidR="007B3C6C" w:rsidRPr="001645C5" w:rsidRDefault="007B3C6C" w:rsidP="00BC2582">
            <w:pPr>
              <w:rPr>
                <w:sz w:val="20"/>
                <w:szCs w:val="20"/>
              </w:rPr>
            </w:pPr>
          </w:p>
        </w:tc>
        <w:tc>
          <w:tcPr>
            <w:tcW w:w="950" w:type="dxa"/>
            <w:shd w:val="clear" w:color="auto" w:fill="auto"/>
          </w:tcPr>
          <w:p w14:paraId="1BDE54A3" w14:textId="77777777" w:rsidR="007B3C6C" w:rsidRPr="001645C5" w:rsidRDefault="007B3C6C" w:rsidP="00BC2582">
            <w:pPr>
              <w:rPr>
                <w:sz w:val="20"/>
                <w:szCs w:val="20"/>
              </w:rPr>
            </w:pPr>
            <w:r w:rsidRPr="001645C5">
              <w:rPr>
                <w:sz w:val="20"/>
                <w:szCs w:val="20"/>
              </w:rPr>
              <w:t>392017.3994</w:t>
            </w:r>
          </w:p>
          <w:p w14:paraId="3B61A48B" w14:textId="77777777" w:rsidR="007B3C6C" w:rsidRPr="001645C5" w:rsidRDefault="007B3C6C" w:rsidP="00BC2582">
            <w:pPr>
              <w:rPr>
                <w:sz w:val="20"/>
                <w:szCs w:val="20"/>
              </w:rPr>
            </w:pPr>
          </w:p>
        </w:tc>
      </w:tr>
    </w:tbl>
    <w:p w14:paraId="0497B512" w14:textId="77777777" w:rsidR="007B3C6C" w:rsidRPr="001645C5" w:rsidRDefault="007B3C6C" w:rsidP="007B3C6C">
      <w:pPr>
        <w:rPr>
          <w:sz w:val="20"/>
          <w:szCs w:val="20"/>
          <w:lang w:val="en-CA"/>
        </w:rPr>
      </w:pPr>
    </w:p>
    <w:p w14:paraId="4B0A1AA7" w14:textId="77777777" w:rsidR="007B3C6C" w:rsidRPr="00A53896" w:rsidRDefault="007B3C6C" w:rsidP="007B3C6C">
      <w:pPr>
        <w:jc w:val="center"/>
        <w:rPr>
          <w:b/>
          <w:sz w:val="20"/>
          <w:szCs w:val="20"/>
        </w:rPr>
      </w:pPr>
      <w:r w:rsidRPr="00A53896">
        <w:rPr>
          <w:b/>
          <w:sz w:val="20"/>
          <w:szCs w:val="20"/>
          <w:lang w:val="en-CA"/>
        </w:rPr>
        <w:t xml:space="preserve">Table 7: U.S.-Canada </w:t>
      </w:r>
      <w:r w:rsidRPr="00A53896">
        <w:rPr>
          <w:b/>
          <w:sz w:val="20"/>
          <w:szCs w:val="20"/>
        </w:rPr>
        <w:t>and U.S.-Mexico Incoming Foreign Direct Investment (IFDI) and Foreign Direct Investment Outflows (OFDI) 1993-2013.</w:t>
      </w:r>
    </w:p>
    <w:p w14:paraId="5DAD4B76" w14:textId="77777777" w:rsidR="007B3C6C" w:rsidRPr="00A53896" w:rsidRDefault="007B3C6C" w:rsidP="007B3C6C">
      <w:pPr>
        <w:jc w:val="center"/>
        <w:rPr>
          <w:b/>
          <w:sz w:val="20"/>
          <w:szCs w:val="20"/>
          <w:lang w:val="en-CA"/>
        </w:rPr>
      </w:pPr>
      <w:r w:rsidRPr="00A53896">
        <w:rPr>
          <w:b/>
          <w:sz w:val="20"/>
          <w:szCs w:val="20"/>
        </w:rPr>
        <w:t>IFDI and OFDI for all industries in US Dollars in millions.</w:t>
      </w:r>
    </w:p>
    <w:p w14:paraId="5C34E30E" w14:textId="77777777" w:rsidR="007B3C6C" w:rsidRPr="001645C5" w:rsidRDefault="007B3C6C" w:rsidP="007B3C6C">
      <w:pPr>
        <w:rPr>
          <w:sz w:val="20"/>
          <w:szCs w:val="20"/>
          <w:lang w:val="en-CA"/>
        </w:rPr>
      </w:pPr>
    </w:p>
    <w:tbl>
      <w:tblPr>
        <w:tblW w:w="0" w:type="auto"/>
        <w:jc w:val="center"/>
        <w:tblLook w:val="04A0" w:firstRow="1" w:lastRow="0" w:firstColumn="1" w:lastColumn="0" w:noHBand="0" w:noVBand="1"/>
      </w:tblPr>
      <w:tblGrid>
        <w:gridCol w:w="817"/>
        <w:gridCol w:w="1594"/>
        <w:gridCol w:w="1595"/>
        <w:gridCol w:w="1595"/>
        <w:gridCol w:w="1595"/>
      </w:tblGrid>
      <w:tr w:rsidR="007B3C6C" w:rsidRPr="001645C5" w14:paraId="7DBB9B97" w14:textId="77777777" w:rsidTr="00BC2582">
        <w:trPr>
          <w:jc w:val="center"/>
        </w:trPr>
        <w:tc>
          <w:tcPr>
            <w:tcW w:w="817" w:type="dxa"/>
            <w:shd w:val="clear" w:color="auto" w:fill="auto"/>
          </w:tcPr>
          <w:p w14:paraId="73F76D38" w14:textId="77777777" w:rsidR="007B3C6C" w:rsidRPr="001645C5" w:rsidRDefault="007B3C6C" w:rsidP="00BC2582">
            <w:pPr>
              <w:rPr>
                <w:b/>
                <w:sz w:val="20"/>
                <w:szCs w:val="20"/>
              </w:rPr>
            </w:pPr>
            <w:r w:rsidRPr="001645C5">
              <w:rPr>
                <w:b/>
                <w:sz w:val="20"/>
                <w:szCs w:val="20"/>
              </w:rPr>
              <w:t>Year</w:t>
            </w:r>
          </w:p>
        </w:tc>
        <w:tc>
          <w:tcPr>
            <w:tcW w:w="1594" w:type="dxa"/>
            <w:shd w:val="clear" w:color="auto" w:fill="auto"/>
          </w:tcPr>
          <w:p w14:paraId="7625F514" w14:textId="77777777" w:rsidR="007B3C6C" w:rsidRPr="001645C5" w:rsidRDefault="007B3C6C" w:rsidP="00BC2582">
            <w:pPr>
              <w:rPr>
                <w:sz w:val="20"/>
                <w:szCs w:val="20"/>
              </w:rPr>
            </w:pPr>
            <w:r w:rsidRPr="001645C5">
              <w:rPr>
                <w:b/>
                <w:sz w:val="20"/>
                <w:szCs w:val="20"/>
              </w:rPr>
              <w:t>U.S.-Canada IFDI</w:t>
            </w:r>
          </w:p>
        </w:tc>
        <w:tc>
          <w:tcPr>
            <w:tcW w:w="1595" w:type="dxa"/>
            <w:shd w:val="clear" w:color="auto" w:fill="auto"/>
          </w:tcPr>
          <w:p w14:paraId="2937E44C" w14:textId="77777777" w:rsidR="007B3C6C" w:rsidRPr="001645C5" w:rsidRDefault="007B3C6C" w:rsidP="00BC2582">
            <w:pPr>
              <w:rPr>
                <w:b/>
                <w:sz w:val="20"/>
                <w:szCs w:val="20"/>
              </w:rPr>
            </w:pPr>
            <w:r w:rsidRPr="001645C5">
              <w:rPr>
                <w:b/>
                <w:sz w:val="20"/>
                <w:szCs w:val="20"/>
              </w:rPr>
              <w:t>U.S.-Mexico IFDI</w:t>
            </w:r>
          </w:p>
        </w:tc>
        <w:tc>
          <w:tcPr>
            <w:tcW w:w="1595" w:type="dxa"/>
            <w:shd w:val="clear" w:color="auto" w:fill="auto"/>
          </w:tcPr>
          <w:p w14:paraId="603DFDF7" w14:textId="77777777" w:rsidR="007B3C6C" w:rsidRPr="001645C5" w:rsidRDefault="007B3C6C" w:rsidP="00BC2582">
            <w:pPr>
              <w:rPr>
                <w:b/>
                <w:sz w:val="20"/>
                <w:szCs w:val="20"/>
              </w:rPr>
            </w:pPr>
            <w:r w:rsidRPr="001645C5">
              <w:rPr>
                <w:b/>
                <w:sz w:val="20"/>
                <w:szCs w:val="20"/>
              </w:rPr>
              <w:t>U.S.-Canada OFDI</w:t>
            </w:r>
          </w:p>
        </w:tc>
        <w:tc>
          <w:tcPr>
            <w:tcW w:w="1595" w:type="dxa"/>
            <w:shd w:val="clear" w:color="auto" w:fill="auto"/>
          </w:tcPr>
          <w:p w14:paraId="4544DC13" w14:textId="77777777" w:rsidR="007B3C6C" w:rsidRPr="001645C5" w:rsidRDefault="007B3C6C" w:rsidP="00BC2582">
            <w:pPr>
              <w:rPr>
                <w:sz w:val="20"/>
                <w:szCs w:val="20"/>
              </w:rPr>
            </w:pPr>
            <w:r w:rsidRPr="001645C5">
              <w:rPr>
                <w:b/>
                <w:sz w:val="20"/>
                <w:szCs w:val="20"/>
              </w:rPr>
              <w:t>U.S.-Mexico OFDI</w:t>
            </w:r>
          </w:p>
        </w:tc>
      </w:tr>
      <w:tr w:rsidR="007B3C6C" w:rsidRPr="001645C5" w14:paraId="136E6251" w14:textId="77777777" w:rsidTr="00BC2582">
        <w:trPr>
          <w:jc w:val="center"/>
        </w:trPr>
        <w:tc>
          <w:tcPr>
            <w:tcW w:w="817" w:type="dxa"/>
            <w:shd w:val="clear" w:color="auto" w:fill="auto"/>
            <w:vAlign w:val="bottom"/>
          </w:tcPr>
          <w:p w14:paraId="214CF621" w14:textId="77777777" w:rsidR="007B3C6C" w:rsidRPr="001645C5" w:rsidRDefault="007B3C6C" w:rsidP="00BC2582">
            <w:pPr>
              <w:rPr>
                <w:b/>
                <w:sz w:val="20"/>
                <w:szCs w:val="20"/>
              </w:rPr>
            </w:pPr>
            <w:r w:rsidRPr="001645C5">
              <w:rPr>
                <w:b/>
                <w:sz w:val="20"/>
                <w:szCs w:val="20"/>
              </w:rPr>
              <w:t>1993</w:t>
            </w:r>
          </w:p>
        </w:tc>
        <w:tc>
          <w:tcPr>
            <w:tcW w:w="1594" w:type="dxa"/>
            <w:shd w:val="clear" w:color="auto" w:fill="auto"/>
            <w:vAlign w:val="bottom"/>
          </w:tcPr>
          <w:p w14:paraId="208B16A6" w14:textId="77777777" w:rsidR="007B3C6C" w:rsidRPr="001645C5" w:rsidRDefault="007B3C6C" w:rsidP="00BC2582">
            <w:pPr>
              <w:rPr>
                <w:sz w:val="20"/>
                <w:szCs w:val="20"/>
              </w:rPr>
            </w:pPr>
            <w:r w:rsidRPr="001645C5">
              <w:rPr>
                <w:sz w:val="20"/>
                <w:szCs w:val="20"/>
              </w:rPr>
              <w:t>40.373</w:t>
            </w:r>
          </w:p>
        </w:tc>
        <w:tc>
          <w:tcPr>
            <w:tcW w:w="1595" w:type="dxa"/>
            <w:shd w:val="clear" w:color="auto" w:fill="auto"/>
            <w:vAlign w:val="bottom"/>
          </w:tcPr>
          <w:p w14:paraId="12F09CCC" w14:textId="77777777" w:rsidR="007B3C6C" w:rsidRPr="001645C5" w:rsidRDefault="007B3C6C" w:rsidP="00BC2582">
            <w:pPr>
              <w:rPr>
                <w:sz w:val="20"/>
                <w:szCs w:val="20"/>
              </w:rPr>
            </w:pPr>
            <w:r w:rsidRPr="001645C5">
              <w:rPr>
                <w:sz w:val="20"/>
                <w:szCs w:val="20"/>
              </w:rPr>
              <w:t>1.244</w:t>
            </w:r>
          </w:p>
        </w:tc>
        <w:tc>
          <w:tcPr>
            <w:tcW w:w="1595" w:type="dxa"/>
            <w:shd w:val="clear" w:color="auto" w:fill="auto"/>
            <w:vAlign w:val="bottom"/>
          </w:tcPr>
          <w:p w14:paraId="33BC0451" w14:textId="77777777" w:rsidR="007B3C6C" w:rsidRPr="001645C5" w:rsidRDefault="007B3C6C" w:rsidP="00BC2582">
            <w:pPr>
              <w:rPr>
                <w:sz w:val="20"/>
                <w:szCs w:val="20"/>
              </w:rPr>
            </w:pPr>
            <w:r w:rsidRPr="001645C5">
              <w:rPr>
                <w:sz w:val="20"/>
                <w:szCs w:val="20"/>
              </w:rPr>
              <w:t>69.922</w:t>
            </w:r>
          </w:p>
        </w:tc>
        <w:tc>
          <w:tcPr>
            <w:tcW w:w="1595" w:type="dxa"/>
            <w:shd w:val="clear" w:color="auto" w:fill="auto"/>
            <w:vAlign w:val="bottom"/>
          </w:tcPr>
          <w:p w14:paraId="4EFE78D5" w14:textId="77777777" w:rsidR="007B3C6C" w:rsidRPr="001645C5" w:rsidRDefault="007B3C6C" w:rsidP="00BC2582">
            <w:pPr>
              <w:rPr>
                <w:sz w:val="20"/>
                <w:szCs w:val="20"/>
              </w:rPr>
            </w:pPr>
            <w:r w:rsidRPr="001645C5">
              <w:rPr>
                <w:sz w:val="20"/>
                <w:szCs w:val="20"/>
              </w:rPr>
              <w:t>15.221</w:t>
            </w:r>
          </w:p>
        </w:tc>
      </w:tr>
      <w:tr w:rsidR="007B3C6C" w:rsidRPr="001645C5" w14:paraId="00652585" w14:textId="77777777" w:rsidTr="00BC2582">
        <w:trPr>
          <w:jc w:val="center"/>
        </w:trPr>
        <w:tc>
          <w:tcPr>
            <w:tcW w:w="817" w:type="dxa"/>
            <w:shd w:val="clear" w:color="auto" w:fill="auto"/>
            <w:vAlign w:val="bottom"/>
          </w:tcPr>
          <w:p w14:paraId="0CBE763A" w14:textId="77777777" w:rsidR="007B3C6C" w:rsidRPr="001645C5" w:rsidRDefault="007B3C6C" w:rsidP="00BC2582">
            <w:pPr>
              <w:rPr>
                <w:b/>
                <w:sz w:val="20"/>
                <w:szCs w:val="20"/>
              </w:rPr>
            </w:pPr>
            <w:r w:rsidRPr="001645C5">
              <w:rPr>
                <w:b/>
                <w:sz w:val="20"/>
                <w:szCs w:val="20"/>
              </w:rPr>
              <w:t>1994</w:t>
            </w:r>
          </w:p>
        </w:tc>
        <w:tc>
          <w:tcPr>
            <w:tcW w:w="1594" w:type="dxa"/>
            <w:shd w:val="clear" w:color="auto" w:fill="auto"/>
            <w:vAlign w:val="bottom"/>
          </w:tcPr>
          <w:p w14:paraId="01CA3669" w14:textId="77777777" w:rsidR="007B3C6C" w:rsidRPr="001645C5" w:rsidRDefault="007B3C6C" w:rsidP="00BC2582">
            <w:pPr>
              <w:rPr>
                <w:sz w:val="20"/>
                <w:szCs w:val="20"/>
              </w:rPr>
            </w:pPr>
            <w:r w:rsidRPr="001645C5">
              <w:rPr>
                <w:sz w:val="20"/>
                <w:szCs w:val="20"/>
              </w:rPr>
              <w:t>41.219</w:t>
            </w:r>
          </w:p>
        </w:tc>
        <w:tc>
          <w:tcPr>
            <w:tcW w:w="1595" w:type="dxa"/>
            <w:shd w:val="clear" w:color="auto" w:fill="auto"/>
            <w:vAlign w:val="bottom"/>
          </w:tcPr>
          <w:p w14:paraId="45961B7B" w14:textId="77777777" w:rsidR="007B3C6C" w:rsidRPr="001645C5" w:rsidRDefault="007B3C6C" w:rsidP="00BC2582">
            <w:pPr>
              <w:rPr>
                <w:sz w:val="20"/>
                <w:szCs w:val="20"/>
              </w:rPr>
            </w:pPr>
            <w:r w:rsidRPr="001645C5">
              <w:rPr>
                <w:sz w:val="20"/>
                <w:szCs w:val="20"/>
              </w:rPr>
              <w:t>2.069</w:t>
            </w:r>
          </w:p>
        </w:tc>
        <w:tc>
          <w:tcPr>
            <w:tcW w:w="1595" w:type="dxa"/>
            <w:shd w:val="clear" w:color="auto" w:fill="auto"/>
            <w:vAlign w:val="bottom"/>
          </w:tcPr>
          <w:p w14:paraId="2AA92683" w14:textId="77777777" w:rsidR="007B3C6C" w:rsidRPr="001645C5" w:rsidRDefault="007B3C6C" w:rsidP="00BC2582">
            <w:pPr>
              <w:rPr>
                <w:sz w:val="20"/>
                <w:szCs w:val="20"/>
              </w:rPr>
            </w:pPr>
            <w:r w:rsidRPr="001645C5">
              <w:rPr>
                <w:sz w:val="20"/>
                <w:szCs w:val="20"/>
              </w:rPr>
              <w:t>74.221</w:t>
            </w:r>
          </w:p>
        </w:tc>
        <w:tc>
          <w:tcPr>
            <w:tcW w:w="1595" w:type="dxa"/>
            <w:shd w:val="clear" w:color="auto" w:fill="auto"/>
            <w:vAlign w:val="bottom"/>
          </w:tcPr>
          <w:p w14:paraId="36373E7E" w14:textId="77777777" w:rsidR="007B3C6C" w:rsidRPr="001645C5" w:rsidRDefault="007B3C6C" w:rsidP="00BC2582">
            <w:pPr>
              <w:rPr>
                <w:sz w:val="20"/>
                <w:szCs w:val="20"/>
              </w:rPr>
            </w:pPr>
            <w:r w:rsidRPr="001645C5">
              <w:rPr>
                <w:sz w:val="20"/>
                <w:szCs w:val="20"/>
              </w:rPr>
              <w:t>16.968</w:t>
            </w:r>
          </w:p>
        </w:tc>
      </w:tr>
      <w:tr w:rsidR="007B3C6C" w:rsidRPr="001645C5" w14:paraId="5B6DAD96" w14:textId="77777777" w:rsidTr="00BC2582">
        <w:trPr>
          <w:jc w:val="center"/>
        </w:trPr>
        <w:tc>
          <w:tcPr>
            <w:tcW w:w="817" w:type="dxa"/>
            <w:shd w:val="clear" w:color="auto" w:fill="auto"/>
            <w:vAlign w:val="bottom"/>
          </w:tcPr>
          <w:p w14:paraId="435D0634" w14:textId="77777777" w:rsidR="007B3C6C" w:rsidRPr="001645C5" w:rsidRDefault="007B3C6C" w:rsidP="00BC2582">
            <w:pPr>
              <w:rPr>
                <w:b/>
                <w:sz w:val="20"/>
                <w:szCs w:val="20"/>
              </w:rPr>
            </w:pPr>
            <w:r w:rsidRPr="001645C5">
              <w:rPr>
                <w:b/>
                <w:sz w:val="20"/>
                <w:szCs w:val="20"/>
              </w:rPr>
              <w:t>1995</w:t>
            </w:r>
          </w:p>
        </w:tc>
        <w:tc>
          <w:tcPr>
            <w:tcW w:w="1594" w:type="dxa"/>
            <w:shd w:val="clear" w:color="auto" w:fill="auto"/>
            <w:vAlign w:val="bottom"/>
          </w:tcPr>
          <w:p w14:paraId="62C3DD25" w14:textId="77777777" w:rsidR="007B3C6C" w:rsidRPr="001645C5" w:rsidRDefault="007B3C6C" w:rsidP="00BC2582">
            <w:pPr>
              <w:rPr>
                <w:sz w:val="20"/>
                <w:szCs w:val="20"/>
              </w:rPr>
            </w:pPr>
            <w:r w:rsidRPr="001645C5">
              <w:rPr>
                <w:sz w:val="20"/>
                <w:szCs w:val="20"/>
              </w:rPr>
              <w:t>45.618</w:t>
            </w:r>
          </w:p>
        </w:tc>
        <w:tc>
          <w:tcPr>
            <w:tcW w:w="1595" w:type="dxa"/>
            <w:shd w:val="clear" w:color="auto" w:fill="auto"/>
            <w:vAlign w:val="bottom"/>
          </w:tcPr>
          <w:p w14:paraId="0F07BE05" w14:textId="77777777" w:rsidR="007B3C6C" w:rsidRPr="001645C5" w:rsidRDefault="007B3C6C" w:rsidP="00BC2582">
            <w:pPr>
              <w:rPr>
                <w:sz w:val="20"/>
                <w:szCs w:val="20"/>
              </w:rPr>
            </w:pPr>
            <w:r w:rsidRPr="001645C5">
              <w:rPr>
                <w:sz w:val="20"/>
                <w:szCs w:val="20"/>
              </w:rPr>
              <w:t>1.850</w:t>
            </w:r>
          </w:p>
        </w:tc>
        <w:tc>
          <w:tcPr>
            <w:tcW w:w="1595" w:type="dxa"/>
            <w:shd w:val="clear" w:color="auto" w:fill="auto"/>
            <w:vAlign w:val="bottom"/>
          </w:tcPr>
          <w:p w14:paraId="371176AC" w14:textId="77777777" w:rsidR="007B3C6C" w:rsidRPr="001645C5" w:rsidRDefault="007B3C6C" w:rsidP="00BC2582">
            <w:pPr>
              <w:rPr>
                <w:sz w:val="20"/>
                <w:szCs w:val="20"/>
              </w:rPr>
            </w:pPr>
            <w:r w:rsidRPr="001645C5">
              <w:rPr>
                <w:sz w:val="20"/>
                <w:szCs w:val="20"/>
              </w:rPr>
              <w:t>83.498</w:t>
            </w:r>
          </w:p>
        </w:tc>
        <w:tc>
          <w:tcPr>
            <w:tcW w:w="1595" w:type="dxa"/>
            <w:shd w:val="clear" w:color="auto" w:fill="auto"/>
            <w:vAlign w:val="bottom"/>
          </w:tcPr>
          <w:p w14:paraId="34026872" w14:textId="77777777" w:rsidR="007B3C6C" w:rsidRPr="001645C5" w:rsidRDefault="007B3C6C" w:rsidP="00BC2582">
            <w:pPr>
              <w:rPr>
                <w:sz w:val="20"/>
                <w:szCs w:val="20"/>
              </w:rPr>
            </w:pPr>
            <w:r w:rsidRPr="001645C5">
              <w:rPr>
                <w:sz w:val="20"/>
                <w:szCs w:val="20"/>
              </w:rPr>
              <w:t>16.873</w:t>
            </w:r>
          </w:p>
        </w:tc>
      </w:tr>
      <w:tr w:rsidR="007B3C6C" w:rsidRPr="001645C5" w14:paraId="39BEE9AB" w14:textId="77777777" w:rsidTr="00BC2582">
        <w:trPr>
          <w:jc w:val="center"/>
        </w:trPr>
        <w:tc>
          <w:tcPr>
            <w:tcW w:w="817" w:type="dxa"/>
            <w:shd w:val="clear" w:color="auto" w:fill="auto"/>
            <w:vAlign w:val="bottom"/>
          </w:tcPr>
          <w:p w14:paraId="19A93AF9" w14:textId="77777777" w:rsidR="007B3C6C" w:rsidRPr="001645C5" w:rsidRDefault="007B3C6C" w:rsidP="00BC2582">
            <w:pPr>
              <w:rPr>
                <w:b/>
                <w:sz w:val="20"/>
                <w:szCs w:val="20"/>
              </w:rPr>
            </w:pPr>
            <w:r w:rsidRPr="001645C5">
              <w:rPr>
                <w:b/>
                <w:sz w:val="20"/>
                <w:szCs w:val="20"/>
              </w:rPr>
              <w:t>1996</w:t>
            </w:r>
          </w:p>
        </w:tc>
        <w:tc>
          <w:tcPr>
            <w:tcW w:w="1594" w:type="dxa"/>
            <w:shd w:val="clear" w:color="auto" w:fill="auto"/>
            <w:vAlign w:val="bottom"/>
          </w:tcPr>
          <w:p w14:paraId="0C481004" w14:textId="77777777" w:rsidR="007B3C6C" w:rsidRPr="001645C5" w:rsidRDefault="007B3C6C" w:rsidP="00BC2582">
            <w:pPr>
              <w:rPr>
                <w:sz w:val="20"/>
                <w:szCs w:val="20"/>
              </w:rPr>
            </w:pPr>
            <w:r w:rsidRPr="001645C5">
              <w:rPr>
                <w:sz w:val="20"/>
                <w:szCs w:val="20"/>
              </w:rPr>
              <w:t>54.836</w:t>
            </w:r>
          </w:p>
        </w:tc>
        <w:tc>
          <w:tcPr>
            <w:tcW w:w="1595" w:type="dxa"/>
            <w:shd w:val="clear" w:color="auto" w:fill="auto"/>
            <w:vAlign w:val="bottom"/>
          </w:tcPr>
          <w:p w14:paraId="439B2DB7" w14:textId="77777777" w:rsidR="007B3C6C" w:rsidRPr="001645C5" w:rsidRDefault="007B3C6C" w:rsidP="00BC2582">
            <w:pPr>
              <w:rPr>
                <w:sz w:val="20"/>
                <w:szCs w:val="20"/>
              </w:rPr>
            </w:pPr>
            <w:r w:rsidRPr="001645C5">
              <w:rPr>
                <w:sz w:val="20"/>
                <w:szCs w:val="20"/>
              </w:rPr>
              <w:t>1.641</w:t>
            </w:r>
          </w:p>
        </w:tc>
        <w:tc>
          <w:tcPr>
            <w:tcW w:w="1595" w:type="dxa"/>
            <w:shd w:val="clear" w:color="auto" w:fill="auto"/>
            <w:vAlign w:val="bottom"/>
          </w:tcPr>
          <w:p w14:paraId="33358B2A" w14:textId="77777777" w:rsidR="007B3C6C" w:rsidRPr="001645C5" w:rsidRDefault="007B3C6C" w:rsidP="00BC2582">
            <w:pPr>
              <w:rPr>
                <w:sz w:val="20"/>
                <w:szCs w:val="20"/>
              </w:rPr>
            </w:pPr>
            <w:r w:rsidRPr="001645C5">
              <w:rPr>
                <w:sz w:val="20"/>
                <w:szCs w:val="20"/>
              </w:rPr>
              <w:t>89.592</w:t>
            </w:r>
          </w:p>
        </w:tc>
        <w:tc>
          <w:tcPr>
            <w:tcW w:w="1595" w:type="dxa"/>
            <w:shd w:val="clear" w:color="auto" w:fill="auto"/>
            <w:vAlign w:val="bottom"/>
          </w:tcPr>
          <w:p w14:paraId="2828A140" w14:textId="77777777" w:rsidR="007B3C6C" w:rsidRPr="001645C5" w:rsidRDefault="007B3C6C" w:rsidP="00BC2582">
            <w:pPr>
              <w:rPr>
                <w:sz w:val="20"/>
                <w:szCs w:val="20"/>
              </w:rPr>
            </w:pPr>
            <w:r w:rsidRPr="001645C5">
              <w:rPr>
                <w:sz w:val="20"/>
                <w:szCs w:val="20"/>
              </w:rPr>
              <w:t>19.351</w:t>
            </w:r>
          </w:p>
        </w:tc>
      </w:tr>
      <w:tr w:rsidR="007B3C6C" w:rsidRPr="001645C5" w14:paraId="1FAE4FC9" w14:textId="77777777" w:rsidTr="00BC2582">
        <w:trPr>
          <w:jc w:val="center"/>
        </w:trPr>
        <w:tc>
          <w:tcPr>
            <w:tcW w:w="817" w:type="dxa"/>
            <w:shd w:val="clear" w:color="auto" w:fill="auto"/>
            <w:vAlign w:val="bottom"/>
          </w:tcPr>
          <w:p w14:paraId="6C1721A8" w14:textId="77777777" w:rsidR="007B3C6C" w:rsidRPr="001645C5" w:rsidRDefault="007B3C6C" w:rsidP="00BC2582">
            <w:pPr>
              <w:rPr>
                <w:b/>
                <w:sz w:val="20"/>
                <w:szCs w:val="20"/>
              </w:rPr>
            </w:pPr>
            <w:r w:rsidRPr="001645C5">
              <w:rPr>
                <w:b/>
                <w:sz w:val="20"/>
                <w:szCs w:val="20"/>
              </w:rPr>
              <w:t>1997</w:t>
            </w:r>
          </w:p>
        </w:tc>
        <w:tc>
          <w:tcPr>
            <w:tcW w:w="1594" w:type="dxa"/>
            <w:shd w:val="clear" w:color="auto" w:fill="auto"/>
            <w:vAlign w:val="bottom"/>
          </w:tcPr>
          <w:p w14:paraId="4E731062" w14:textId="77777777" w:rsidR="007B3C6C" w:rsidRPr="001645C5" w:rsidRDefault="007B3C6C" w:rsidP="00BC2582">
            <w:pPr>
              <w:rPr>
                <w:sz w:val="20"/>
                <w:szCs w:val="20"/>
              </w:rPr>
            </w:pPr>
            <w:r w:rsidRPr="001645C5">
              <w:rPr>
                <w:sz w:val="20"/>
                <w:szCs w:val="20"/>
              </w:rPr>
              <w:t>65.175</w:t>
            </w:r>
          </w:p>
        </w:tc>
        <w:tc>
          <w:tcPr>
            <w:tcW w:w="1595" w:type="dxa"/>
            <w:shd w:val="clear" w:color="auto" w:fill="auto"/>
            <w:vAlign w:val="bottom"/>
          </w:tcPr>
          <w:p w14:paraId="2F485E3D" w14:textId="77777777" w:rsidR="007B3C6C" w:rsidRPr="001645C5" w:rsidRDefault="007B3C6C" w:rsidP="00BC2582">
            <w:pPr>
              <w:rPr>
                <w:sz w:val="20"/>
                <w:szCs w:val="20"/>
              </w:rPr>
            </w:pPr>
            <w:r w:rsidRPr="001645C5">
              <w:rPr>
                <w:sz w:val="20"/>
                <w:szCs w:val="20"/>
              </w:rPr>
              <w:t>3.100</w:t>
            </w:r>
          </w:p>
        </w:tc>
        <w:tc>
          <w:tcPr>
            <w:tcW w:w="1595" w:type="dxa"/>
            <w:shd w:val="clear" w:color="auto" w:fill="auto"/>
            <w:vAlign w:val="bottom"/>
          </w:tcPr>
          <w:p w14:paraId="06540D73" w14:textId="77777777" w:rsidR="007B3C6C" w:rsidRPr="001645C5" w:rsidRDefault="007B3C6C" w:rsidP="00BC2582">
            <w:pPr>
              <w:rPr>
                <w:sz w:val="20"/>
                <w:szCs w:val="20"/>
              </w:rPr>
            </w:pPr>
            <w:r w:rsidRPr="001645C5">
              <w:rPr>
                <w:sz w:val="20"/>
                <w:szCs w:val="20"/>
              </w:rPr>
              <w:t>96.626</w:t>
            </w:r>
          </w:p>
        </w:tc>
        <w:tc>
          <w:tcPr>
            <w:tcW w:w="1595" w:type="dxa"/>
            <w:shd w:val="clear" w:color="auto" w:fill="auto"/>
            <w:vAlign w:val="bottom"/>
          </w:tcPr>
          <w:p w14:paraId="6194AC99" w14:textId="77777777" w:rsidR="007B3C6C" w:rsidRPr="001645C5" w:rsidRDefault="007B3C6C" w:rsidP="00BC2582">
            <w:pPr>
              <w:rPr>
                <w:sz w:val="20"/>
                <w:szCs w:val="20"/>
              </w:rPr>
            </w:pPr>
            <w:r w:rsidRPr="001645C5">
              <w:rPr>
                <w:sz w:val="20"/>
                <w:szCs w:val="20"/>
              </w:rPr>
              <w:t>24.050</w:t>
            </w:r>
          </w:p>
        </w:tc>
      </w:tr>
      <w:tr w:rsidR="007B3C6C" w:rsidRPr="001645C5" w14:paraId="4CB3D7AF" w14:textId="77777777" w:rsidTr="00BC2582">
        <w:trPr>
          <w:jc w:val="center"/>
        </w:trPr>
        <w:tc>
          <w:tcPr>
            <w:tcW w:w="817" w:type="dxa"/>
            <w:shd w:val="clear" w:color="auto" w:fill="auto"/>
            <w:vAlign w:val="bottom"/>
          </w:tcPr>
          <w:p w14:paraId="7D37A290" w14:textId="77777777" w:rsidR="007B3C6C" w:rsidRPr="001645C5" w:rsidRDefault="007B3C6C" w:rsidP="00BC2582">
            <w:pPr>
              <w:rPr>
                <w:b/>
                <w:sz w:val="20"/>
                <w:szCs w:val="20"/>
              </w:rPr>
            </w:pPr>
            <w:r w:rsidRPr="001645C5">
              <w:rPr>
                <w:b/>
                <w:sz w:val="20"/>
                <w:szCs w:val="20"/>
              </w:rPr>
              <w:t>1998</w:t>
            </w:r>
          </w:p>
        </w:tc>
        <w:tc>
          <w:tcPr>
            <w:tcW w:w="1594" w:type="dxa"/>
            <w:shd w:val="clear" w:color="auto" w:fill="auto"/>
            <w:vAlign w:val="bottom"/>
          </w:tcPr>
          <w:p w14:paraId="5A6478A1" w14:textId="77777777" w:rsidR="007B3C6C" w:rsidRPr="001645C5" w:rsidRDefault="007B3C6C" w:rsidP="00BC2582">
            <w:pPr>
              <w:rPr>
                <w:sz w:val="20"/>
                <w:szCs w:val="20"/>
              </w:rPr>
            </w:pPr>
            <w:r w:rsidRPr="001645C5">
              <w:rPr>
                <w:sz w:val="20"/>
                <w:szCs w:val="20"/>
              </w:rPr>
              <w:t>72.696</w:t>
            </w:r>
          </w:p>
        </w:tc>
        <w:tc>
          <w:tcPr>
            <w:tcW w:w="1595" w:type="dxa"/>
            <w:shd w:val="clear" w:color="auto" w:fill="auto"/>
            <w:vAlign w:val="bottom"/>
          </w:tcPr>
          <w:p w14:paraId="5B749E51" w14:textId="77777777" w:rsidR="007B3C6C" w:rsidRPr="001645C5" w:rsidRDefault="007B3C6C" w:rsidP="00BC2582">
            <w:pPr>
              <w:rPr>
                <w:sz w:val="20"/>
                <w:szCs w:val="20"/>
              </w:rPr>
            </w:pPr>
            <w:r w:rsidRPr="001645C5">
              <w:rPr>
                <w:sz w:val="20"/>
                <w:szCs w:val="20"/>
              </w:rPr>
              <w:t>2.055</w:t>
            </w:r>
          </w:p>
        </w:tc>
        <w:tc>
          <w:tcPr>
            <w:tcW w:w="1595" w:type="dxa"/>
            <w:shd w:val="clear" w:color="auto" w:fill="auto"/>
            <w:vAlign w:val="bottom"/>
          </w:tcPr>
          <w:p w14:paraId="23EA5D7F" w14:textId="77777777" w:rsidR="007B3C6C" w:rsidRPr="001645C5" w:rsidRDefault="007B3C6C" w:rsidP="00BC2582">
            <w:pPr>
              <w:rPr>
                <w:sz w:val="20"/>
                <w:szCs w:val="20"/>
              </w:rPr>
            </w:pPr>
            <w:r w:rsidRPr="001645C5">
              <w:rPr>
                <w:sz w:val="20"/>
                <w:szCs w:val="20"/>
              </w:rPr>
              <w:t>98.200</w:t>
            </w:r>
          </w:p>
        </w:tc>
        <w:tc>
          <w:tcPr>
            <w:tcW w:w="1595" w:type="dxa"/>
            <w:shd w:val="clear" w:color="auto" w:fill="auto"/>
            <w:vAlign w:val="bottom"/>
          </w:tcPr>
          <w:p w14:paraId="7111A355" w14:textId="77777777" w:rsidR="007B3C6C" w:rsidRPr="001645C5" w:rsidRDefault="007B3C6C" w:rsidP="00BC2582">
            <w:pPr>
              <w:rPr>
                <w:sz w:val="20"/>
                <w:szCs w:val="20"/>
              </w:rPr>
            </w:pPr>
            <w:r w:rsidRPr="001645C5">
              <w:rPr>
                <w:sz w:val="20"/>
                <w:szCs w:val="20"/>
              </w:rPr>
              <w:t>26.657</w:t>
            </w:r>
          </w:p>
        </w:tc>
      </w:tr>
      <w:tr w:rsidR="007B3C6C" w:rsidRPr="001645C5" w14:paraId="32E773C2" w14:textId="77777777" w:rsidTr="00BC2582">
        <w:trPr>
          <w:jc w:val="center"/>
        </w:trPr>
        <w:tc>
          <w:tcPr>
            <w:tcW w:w="817" w:type="dxa"/>
            <w:shd w:val="clear" w:color="auto" w:fill="auto"/>
            <w:vAlign w:val="bottom"/>
          </w:tcPr>
          <w:p w14:paraId="2A662C51" w14:textId="77777777" w:rsidR="007B3C6C" w:rsidRPr="001645C5" w:rsidRDefault="007B3C6C" w:rsidP="00BC2582">
            <w:pPr>
              <w:rPr>
                <w:b/>
                <w:sz w:val="20"/>
                <w:szCs w:val="20"/>
              </w:rPr>
            </w:pPr>
            <w:r w:rsidRPr="001645C5">
              <w:rPr>
                <w:b/>
                <w:sz w:val="20"/>
                <w:szCs w:val="20"/>
              </w:rPr>
              <w:t>1999</w:t>
            </w:r>
          </w:p>
        </w:tc>
        <w:tc>
          <w:tcPr>
            <w:tcW w:w="1594" w:type="dxa"/>
            <w:shd w:val="clear" w:color="auto" w:fill="auto"/>
            <w:vAlign w:val="bottom"/>
          </w:tcPr>
          <w:p w14:paraId="2CBEEDCD" w14:textId="77777777" w:rsidR="007B3C6C" w:rsidRPr="001645C5" w:rsidRDefault="007B3C6C" w:rsidP="00BC2582">
            <w:pPr>
              <w:rPr>
                <w:sz w:val="20"/>
                <w:szCs w:val="20"/>
              </w:rPr>
            </w:pPr>
            <w:r w:rsidRPr="001645C5">
              <w:rPr>
                <w:sz w:val="20"/>
                <w:szCs w:val="20"/>
              </w:rPr>
              <w:t>90.559</w:t>
            </w:r>
          </w:p>
        </w:tc>
        <w:tc>
          <w:tcPr>
            <w:tcW w:w="1595" w:type="dxa"/>
            <w:shd w:val="clear" w:color="auto" w:fill="auto"/>
            <w:vAlign w:val="bottom"/>
          </w:tcPr>
          <w:p w14:paraId="33B5AB2A" w14:textId="77777777" w:rsidR="007B3C6C" w:rsidRPr="001645C5" w:rsidRDefault="007B3C6C" w:rsidP="00BC2582">
            <w:pPr>
              <w:rPr>
                <w:sz w:val="20"/>
                <w:szCs w:val="20"/>
              </w:rPr>
            </w:pPr>
            <w:r w:rsidRPr="001645C5">
              <w:rPr>
                <w:sz w:val="20"/>
                <w:szCs w:val="20"/>
              </w:rPr>
              <w:t>1.999</w:t>
            </w:r>
          </w:p>
        </w:tc>
        <w:tc>
          <w:tcPr>
            <w:tcW w:w="1595" w:type="dxa"/>
            <w:shd w:val="clear" w:color="auto" w:fill="auto"/>
            <w:vAlign w:val="bottom"/>
          </w:tcPr>
          <w:p w14:paraId="5B742DFE" w14:textId="77777777" w:rsidR="007B3C6C" w:rsidRPr="001645C5" w:rsidRDefault="007B3C6C" w:rsidP="00BC2582">
            <w:pPr>
              <w:rPr>
                <w:sz w:val="20"/>
                <w:szCs w:val="20"/>
              </w:rPr>
            </w:pPr>
            <w:r w:rsidRPr="001645C5">
              <w:rPr>
                <w:sz w:val="20"/>
                <w:szCs w:val="20"/>
              </w:rPr>
              <w:t>119.590</w:t>
            </w:r>
          </w:p>
        </w:tc>
        <w:tc>
          <w:tcPr>
            <w:tcW w:w="1595" w:type="dxa"/>
            <w:shd w:val="clear" w:color="auto" w:fill="auto"/>
            <w:vAlign w:val="bottom"/>
          </w:tcPr>
          <w:p w14:paraId="13154AE8" w14:textId="77777777" w:rsidR="007B3C6C" w:rsidRPr="001645C5" w:rsidRDefault="007B3C6C" w:rsidP="00BC2582">
            <w:pPr>
              <w:rPr>
                <w:sz w:val="20"/>
                <w:szCs w:val="20"/>
              </w:rPr>
            </w:pPr>
            <w:r w:rsidRPr="001645C5">
              <w:rPr>
                <w:sz w:val="20"/>
                <w:szCs w:val="20"/>
              </w:rPr>
              <w:t>37.151</w:t>
            </w:r>
          </w:p>
        </w:tc>
      </w:tr>
      <w:tr w:rsidR="007B3C6C" w:rsidRPr="001645C5" w14:paraId="2C42E1CA" w14:textId="77777777" w:rsidTr="00BC2582">
        <w:trPr>
          <w:jc w:val="center"/>
        </w:trPr>
        <w:tc>
          <w:tcPr>
            <w:tcW w:w="817" w:type="dxa"/>
            <w:shd w:val="clear" w:color="auto" w:fill="auto"/>
            <w:vAlign w:val="bottom"/>
          </w:tcPr>
          <w:p w14:paraId="7450AC45" w14:textId="77777777" w:rsidR="007B3C6C" w:rsidRPr="001645C5" w:rsidRDefault="007B3C6C" w:rsidP="00BC2582">
            <w:pPr>
              <w:rPr>
                <w:b/>
                <w:sz w:val="20"/>
                <w:szCs w:val="20"/>
              </w:rPr>
            </w:pPr>
            <w:r w:rsidRPr="001645C5">
              <w:rPr>
                <w:b/>
                <w:sz w:val="20"/>
                <w:szCs w:val="20"/>
              </w:rPr>
              <w:t>2000</w:t>
            </w:r>
          </w:p>
        </w:tc>
        <w:tc>
          <w:tcPr>
            <w:tcW w:w="1594" w:type="dxa"/>
            <w:shd w:val="clear" w:color="auto" w:fill="auto"/>
            <w:vAlign w:val="bottom"/>
          </w:tcPr>
          <w:p w14:paraId="55EDC841" w14:textId="77777777" w:rsidR="007B3C6C" w:rsidRPr="001645C5" w:rsidRDefault="007B3C6C" w:rsidP="00BC2582">
            <w:pPr>
              <w:rPr>
                <w:sz w:val="20"/>
                <w:szCs w:val="20"/>
              </w:rPr>
            </w:pPr>
            <w:r w:rsidRPr="001645C5">
              <w:rPr>
                <w:sz w:val="20"/>
                <w:szCs w:val="20"/>
              </w:rPr>
              <w:t>114.309</w:t>
            </w:r>
          </w:p>
        </w:tc>
        <w:tc>
          <w:tcPr>
            <w:tcW w:w="1595" w:type="dxa"/>
            <w:shd w:val="clear" w:color="auto" w:fill="auto"/>
            <w:vAlign w:val="bottom"/>
          </w:tcPr>
          <w:p w14:paraId="1E2842C0" w14:textId="77777777" w:rsidR="007B3C6C" w:rsidRPr="001645C5" w:rsidRDefault="007B3C6C" w:rsidP="00BC2582">
            <w:pPr>
              <w:rPr>
                <w:sz w:val="20"/>
                <w:szCs w:val="20"/>
              </w:rPr>
            </w:pPr>
            <w:r w:rsidRPr="001645C5">
              <w:rPr>
                <w:sz w:val="20"/>
                <w:szCs w:val="20"/>
              </w:rPr>
              <w:t>7.462</w:t>
            </w:r>
          </w:p>
        </w:tc>
        <w:tc>
          <w:tcPr>
            <w:tcW w:w="1595" w:type="dxa"/>
            <w:shd w:val="clear" w:color="auto" w:fill="auto"/>
            <w:vAlign w:val="bottom"/>
          </w:tcPr>
          <w:p w14:paraId="09959120" w14:textId="77777777" w:rsidR="007B3C6C" w:rsidRPr="001645C5" w:rsidRDefault="007B3C6C" w:rsidP="00BC2582">
            <w:pPr>
              <w:rPr>
                <w:sz w:val="20"/>
                <w:szCs w:val="20"/>
              </w:rPr>
            </w:pPr>
            <w:r w:rsidRPr="001645C5">
              <w:rPr>
                <w:sz w:val="20"/>
                <w:szCs w:val="20"/>
              </w:rPr>
              <w:t>132.472</w:t>
            </w:r>
          </w:p>
        </w:tc>
        <w:tc>
          <w:tcPr>
            <w:tcW w:w="1595" w:type="dxa"/>
            <w:shd w:val="clear" w:color="auto" w:fill="auto"/>
            <w:vAlign w:val="bottom"/>
          </w:tcPr>
          <w:p w14:paraId="49ED3624" w14:textId="77777777" w:rsidR="007B3C6C" w:rsidRPr="001645C5" w:rsidRDefault="007B3C6C" w:rsidP="00BC2582">
            <w:pPr>
              <w:rPr>
                <w:sz w:val="20"/>
                <w:szCs w:val="20"/>
              </w:rPr>
            </w:pPr>
            <w:r w:rsidRPr="001645C5">
              <w:rPr>
                <w:sz w:val="20"/>
                <w:szCs w:val="20"/>
              </w:rPr>
              <w:t>39.352</w:t>
            </w:r>
          </w:p>
        </w:tc>
      </w:tr>
      <w:tr w:rsidR="007B3C6C" w:rsidRPr="001645C5" w14:paraId="1C355550" w14:textId="77777777" w:rsidTr="00BC2582">
        <w:trPr>
          <w:jc w:val="center"/>
        </w:trPr>
        <w:tc>
          <w:tcPr>
            <w:tcW w:w="817" w:type="dxa"/>
            <w:shd w:val="clear" w:color="auto" w:fill="auto"/>
            <w:vAlign w:val="bottom"/>
          </w:tcPr>
          <w:p w14:paraId="1CDCCCA4" w14:textId="77777777" w:rsidR="007B3C6C" w:rsidRPr="001645C5" w:rsidRDefault="007B3C6C" w:rsidP="00BC2582">
            <w:pPr>
              <w:rPr>
                <w:b/>
                <w:sz w:val="20"/>
                <w:szCs w:val="20"/>
              </w:rPr>
            </w:pPr>
            <w:r w:rsidRPr="001645C5">
              <w:rPr>
                <w:b/>
                <w:sz w:val="20"/>
                <w:szCs w:val="20"/>
              </w:rPr>
              <w:t>2001</w:t>
            </w:r>
          </w:p>
        </w:tc>
        <w:tc>
          <w:tcPr>
            <w:tcW w:w="1594" w:type="dxa"/>
            <w:shd w:val="clear" w:color="auto" w:fill="auto"/>
            <w:vAlign w:val="bottom"/>
          </w:tcPr>
          <w:p w14:paraId="5DA36347" w14:textId="77777777" w:rsidR="007B3C6C" w:rsidRPr="001645C5" w:rsidRDefault="007B3C6C" w:rsidP="00BC2582">
            <w:pPr>
              <w:rPr>
                <w:sz w:val="20"/>
                <w:szCs w:val="20"/>
              </w:rPr>
            </w:pPr>
            <w:r w:rsidRPr="001645C5">
              <w:rPr>
                <w:sz w:val="20"/>
                <w:szCs w:val="20"/>
              </w:rPr>
              <w:t>92.420</w:t>
            </w:r>
          </w:p>
        </w:tc>
        <w:tc>
          <w:tcPr>
            <w:tcW w:w="1595" w:type="dxa"/>
            <w:shd w:val="clear" w:color="auto" w:fill="auto"/>
            <w:vAlign w:val="bottom"/>
          </w:tcPr>
          <w:p w14:paraId="6024815E" w14:textId="77777777" w:rsidR="007B3C6C" w:rsidRPr="001645C5" w:rsidRDefault="007B3C6C" w:rsidP="00BC2582">
            <w:pPr>
              <w:rPr>
                <w:sz w:val="20"/>
                <w:szCs w:val="20"/>
              </w:rPr>
            </w:pPr>
            <w:r w:rsidRPr="001645C5">
              <w:rPr>
                <w:sz w:val="20"/>
                <w:szCs w:val="20"/>
              </w:rPr>
              <w:t>6.645</w:t>
            </w:r>
          </w:p>
        </w:tc>
        <w:tc>
          <w:tcPr>
            <w:tcW w:w="1595" w:type="dxa"/>
            <w:shd w:val="clear" w:color="auto" w:fill="auto"/>
            <w:vAlign w:val="bottom"/>
          </w:tcPr>
          <w:p w14:paraId="7383E689" w14:textId="77777777" w:rsidR="007B3C6C" w:rsidRPr="001645C5" w:rsidRDefault="007B3C6C" w:rsidP="00BC2582">
            <w:pPr>
              <w:rPr>
                <w:sz w:val="20"/>
                <w:szCs w:val="20"/>
              </w:rPr>
            </w:pPr>
            <w:r w:rsidRPr="001645C5">
              <w:rPr>
                <w:sz w:val="20"/>
                <w:szCs w:val="20"/>
              </w:rPr>
              <w:t>152.601</w:t>
            </w:r>
          </w:p>
        </w:tc>
        <w:tc>
          <w:tcPr>
            <w:tcW w:w="1595" w:type="dxa"/>
            <w:shd w:val="clear" w:color="auto" w:fill="auto"/>
            <w:vAlign w:val="bottom"/>
          </w:tcPr>
          <w:p w14:paraId="26300B7C" w14:textId="77777777" w:rsidR="007B3C6C" w:rsidRPr="001645C5" w:rsidRDefault="007B3C6C" w:rsidP="00BC2582">
            <w:pPr>
              <w:rPr>
                <w:sz w:val="20"/>
                <w:szCs w:val="20"/>
              </w:rPr>
            </w:pPr>
            <w:r w:rsidRPr="001645C5">
              <w:rPr>
                <w:sz w:val="20"/>
                <w:szCs w:val="20"/>
              </w:rPr>
              <w:t>52.544</w:t>
            </w:r>
          </w:p>
        </w:tc>
      </w:tr>
      <w:tr w:rsidR="007B3C6C" w:rsidRPr="001645C5" w14:paraId="1EAC00C1" w14:textId="77777777" w:rsidTr="00BC2582">
        <w:trPr>
          <w:jc w:val="center"/>
        </w:trPr>
        <w:tc>
          <w:tcPr>
            <w:tcW w:w="817" w:type="dxa"/>
            <w:shd w:val="clear" w:color="auto" w:fill="auto"/>
            <w:vAlign w:val="bottom"/>
          </w:tcPr>
          <w:p w14:paraId="4516998E" w14:textId="77777777" w:rsidR="007B3C6C" w:rsidRPr="001645C5" w:rsidRDefault="007B3C6C" w:rsidP="00BC2582">
            <w:pPr>
              <w:rPr>
                <w:b/>
                <w:sz w:val="20"/>
                <w:szCs w:val="20"/>
              </w:rPr>
            </w:pPr>
            <w:r w:rsidRPr="001645C5">
              <w:rPr>
                <w:b/>
                <w:sz w:val="20"/>
                <w:szCs w:val="20"/>
              </w:rPr>
              <w:t>2002</w:t>
            </w:r>
          </w:p>
        </w:tc>
        <w:tc>
          <w:tcPr>
            <w:tcW w:w="1594" w:type="dxa"/>
            <w:shd w:val="clear" w:color="auto" w:fill="auto"/>
            <w:vAlign w:val="bottom"/>
          </w:tcPr>
          <w:p w14:paraId="0F0DBEF8" w14:textId="77777777" w:rsidR="007B3C6C" w:rsidRPr="001645C5" w:rsidRDefault="007B3C6C" w:rsidP="00BC2582">
            <w:pPr>
              <w:rPr>
                <w:sz w:val="20"/>
                <w:szCs w:val="20"/>
              </w:rPr>
            </w:pPr>
            <w:r w:rsidRPr="001645C5">
              <w:rPr>
                <w:sz w:val="20"/>
                <w:szCs w:val="20"/>
              </w:rPr>
              <w:t>92.529</w:t>
            </w:r>
          </w:p>
        </w:tc>
        <w:tc>
          <w:tcPr>
            <w:tcW w:w="1595" w:type="dxa"/>
            <w:shd w:val="clear" w:color="auto" w:fill="auto"/>
            <w:vAlign w:val="bottom"/>
          </w:tcPr>
          <w:p w14:paraId="1D63F687" w14:textId="77777777" w:rsidR="007B3C6C" w:rsidRPr="001645C5" w:rsidRDefault="007B3C6C" w:rsidP="00BC2582">
            <w:pPr>
              <w:rPr>
                <w:sz w:val="20"/>
                <w:szCs w:val="20"/>
              </w:rPr>
            </w:pPr>
            <w:r w:rsidRPr="001645C5">
              <w:rPr>
                <w:sz w:val="20"/>
                <w:szCs w:val="20"/>
              </w:rPr>
              <w:t>7.829</w:t>
            </w:r>
          </w:p>
        </w:tc>
        <w:tc>
          <w:tcPr>
            <w:tcW w:w="1595" w:type="dxa"/>
            <w:shd w:val="clear" w:color="auto" w:fill="auto"/>
            <w:vAlign w:val="bottom"/>
          </w:tcPr>
          <w:p w14:paraId="1EF568FE" w14:textId="77777777" w:rsidR="007B3C6C" w:rsidRPr="001645C5" w:rsidRDefault="007B3C6C" w:rsidP="00BC2582">
            <w:pPr>
              <w:rPr>
                <w:sz w:val="20"/>
                <w:szCs w:val="20"/>
              </w:rPr>
            </w:pPr>
            <w:r w:rsidRPr="001645C5">
              <w:rPr>
                <w:sz w:val="20"/>
                <w:szCs w:val="20"/>
              </w:rPr>
              <w:t>166.473</w:t>
            </w:r>
          </w:p>
        </w:tc>
        <w:tc>
          <w:tcPr>
            <w:tcW w:w="1595" w:type="dxa"/>
            <w:shd w:val="clear" w:color="auto" w:fill="auto"/>
            <w:vAlign w:val="bottom"/>
          </w:tcPr>
          <w:p w14:paraId="47C9AAD8" w14:textId="77777777" w:rsidR="007B3C6C" w:rsidRPr="001645C5" w:rsidRDefault="007B3C6C" w:rsidP="00BC2582">
            <w:pPr>
              <w:rPr>
                <w:sz w:val="20"/>
                <w:szCs w:val="20"/>
              </w:rPr>
            </w:pPr>
            <w:r w:rsidRPr="001645C5">
              <w:rPr>
                <w:sz w:val="20"/>
                <w:szCs w:val="20"/>
              </w:rPr>
              <w:t>56.303</w:t>
            </w:r>
          </w:p>
        </w:tc>
      </w:tr>
      <w:tr w:rsidR="007B3C6C" w:rsidRPr="001645C5" w14:paraId="3E02373F" w14:textId="77777777" w:rsidTr="00BC2582">
        <w:trPr>
          <w:jc w:val="center"/>
        </w:trPr>
        <w:tc>
          <w:tcPr>
            <w:tcW w:w="817" w:type="dxa"/>
            <w:shd w:val="clear" w:color="auto" w:fill="auto"/>
            <w:vAlign w:val="bottom"/>
          </w:tcPr>
          <w:p w14:paraId="47A5AF40" w14:textId="77777777" w:rsidR="007B3C6C" w:rsidRPr="001645C5" w:rsidRDefault="007B3C6C" w:rsidP="00BC2582">
            <w:pPr>
              <w:rPr>
                <w:b/>
                <w:sz w:val="20"/>
                <w:szCs w:val="20"/>
              </w:rPr>
            </w:pPr>
            <w:r w:rsidRPr="001645C5">
              <w:rPr>
                <w:b/>
                <w:sz w:val="20"/>
                <w:szCs w:val="20"/>
              </w:rPr>
              <w:t>2003</w:t>
            </w:r>
          </w:p>
        </w:tc>
        <w:tc>
          <w:tcPr>
            <w:tcW w:w="1594" w:type="dxa"/>
            <w:shd w:val="clear" w:color="auto" w:fill="auto"/>
            <w:vAlign w:val="bottom"/>
          </w:tcPr>
          <w:p w14:paraId="3A40FA80" w14:textId="77777777" w:rsidR="007B3C6C" w:rsidRPr="001645C5" w:rsidRDefault="007B3C6C" w:rsidP="00BC2582">
            <w:pPr>
              <w:rPr>
                <w:sz w:val="20"/>
                <w:szCs w:val="20"/>
              </w:rPr>
            </w:pPr>
            <w:r w:rsidRPr="001645C5">
              <w:rPr>
                <w:sz w:val="20"/>
                <w:szCs w:val="20"/>
              </w:rPr>
              <w:t>95.707</w:t>
            </w:r>
          </w:p>
        </w:tc>
        <w:tc>
          <w:tcPr>
            <w:tcW w:w="1595" w:type="dxa"/>
            <w:shd w:val="clear" w:color="auto" w:fill="auto"/>
            <w:vAlign w:val="bottom"/>
          </w:tcPr>
          <w:p w14:paraId="69D6C894" w14:textId="77777777" w:rsidR="007B3C6C" w:rsidRPr="001645C5" w:rsidRDefault="007B3C6C" w:rsidP="00BC2582">
            <w:pPr>
              <w:rPr>
                <w:sz w:val="20"/>
                <w:szCs w:val="20"/>
              </w:rPr>
            </w:pPr>
            <w:r w:rsidRPr="001645C5">
              <w:rPr>
                <w:sz w:val="20"/>
                <w:szCs w:val="20"/>
              </w:rPr>
              <w:t>9.022</w:t>
            </w:r>
          </w:p>
        </w:tc>
        <w:tc>
          <w:tcPr>
            <w:tcW w:w="1595" w:type="dxa"/>
            <w:shd w:val="clear" w:color="auto" w:fill="auto"/>
            <w:vAlign w:val="bottom"/>
          </w:tcPr>
          <w:p w14:paraId="6FD9CBED" w14:textId="77777777" w:rsidR="007B3C6C" w:rsidRPr="001645C5" w:rsidRDefault="007B3C6C" w:rsidP="00BC2582">
            <w:pPr>
              <w:rPr>
                <w:sz w:val="20"/>
                <w:szCs w:val="20"/>
              </w:rPr>
            </w:pPr>
            <w:r w:rsidRPr="001645C5">
              <w:rPr>
                <w:sz w:val="20"/>
                <w:szCs w:val="20"/>
              </w:rPr>
              <w:t>187.953</w:t>
            </w:r>
          </w:p>
        </w:tc>
        <w:tc>
          <w:tcPr>
            <w:tcW w:w="1595" w:type="dxa"/>
            <w:shd w:val="clear" w:color="auto" w:fill="auto"/>
            <w:vAlign w:val="bottom"/>
          </w:tcPr>
          <w:p w14:paraId="11712E19" w14:textId="77777777" w:rsidR="007B3C6C" w:rsidRPr="001645C5" w:rsidRDefault="007B3C6C" w:rsidP="00BC2582">
            <w:pPr>
              <w:rPr>
                <w:sz w:val="20"/>
                <w:szCs w:val="20"/>
              </w:rPr>
            </w:pPr>
            <w:r w:rsidRPr="001645C5">
              <w:rPr>
                <w:sz w:val="20"/>
                <w:szCs w:val="20"/>
              </w:rPr>
              <w:t>56.851</w:t>
            </w:r>
          </w:p>
        </w:tc>
      </w:tr>
      <w:tr w:rsidR="007B3C6C" w:rsidRPr="001645C5" w14:paraId="40779CC3" w14:textId="77777777" w:rsidTr="00BC2582">
        <w:trPr>
          <w:jc w:val="center"/>
        </w:trPr>
        <w:tc>
          <w:tcPr>
            <w:tcW w:w="817" w:type="dxa"/>
            <w:shd w:val="clear" w:color="auto" w:fill="auto"/>
            <w:vAlign w:val="bottom"/>
          </w:tcPr>
          <w:p w14:paraId="760E2E45" w14:textId="77777777" w:rsidR="007B3C6C" w:rsidRPr="001645C5" w:rsidRDefault="007B3C6C" w:rsidP="00BC2582">
            <w:pPr>
              <w:rPr>
                <w:b/>
                <w:sz w:val="20"/>
                <w:szCs w:val="20"/>
              </w:rPr>
            </w:pPr>
            <w:r w:rsidRPr="001645C5">
              <w:rPr>
                <w:b/>
                <w:sz w:val="20"/>
                <w:szCs w:val="20"/>
              </w:rPr>
              <w:t>2004</w:t>
            </w:r>
          </w:p>
        </w:tc>
        <w:tc>
          <w:tcPr>
            <w:tcW w:w="1594" w:type="dxa"/>
            <w:shd w:val="clear" w:color="auto" w:fill="auto"/>
            <w:vAlign w:val="bottom"/>
          </w:tcPr>
          <w:p w14:paraId="19120AB9" w14:textId="77777777" w:rsidR="007B3C6C" w:rsidRPr="001645C5" w:rsidRDefault="007B3C6C" w:rsidP="00BC2582">
            <w:pPr>
              <w:rPr>
                <w:sz w:val="20"/>
                <w:szCs w:val="20"/>
              </w:rPr>
            </w:pPr>
            <w:r w:rsidRPr="001645C5">
              <w:rPr>
                <w:sz w:val="20"/>
                <w:szCs w:val="20"/>
              </w:rPr>
              <w:t>125.276</w:t>
            </w:r>
          </w:p>
        </w:tc>
        <w:tc>
          <w:tcPr>
            <w:tcW w:w="1595" w:type="dxa"/>
            <w:shd w:val="clear" w:color="auto" w:fill="auto"/>
            <w:vAlign w:val="bottom"/>
          </w:tcPr>
          <w:p w14:paraId="64322635" w14:textId="77777777" w:rsidR="007B3C6C" w:rsidRPr="001645C5" w:rsidRDefault="007B3C6C" w:rsidP="00BC2582">
            <w:pPr>
              <w:rPr>
                <w:sz w:val="20"/>
                <w:szCs w:val="20"/>
              </w:rPr>
            </w:pPr>
            <w:r w:rsidRPr="001645C5">
              <w:rPr>
                <w:sz w:val="20"/>
                <w:szCs w:val="20"/>
              </w:rPr>
              <w:t>7.592</w:t>
            </w:r>
          </w:p>
        </w:tc>
        <w:tc>
          <w:tcPr>
            <w:tcW w:w="1595" w:type="dxa"/>
            <w:shd w:val="clear" w:color="auto" w:fill="auto"/>
            <w:vAlign w:val="bottom"/>
          </w:tcPr>
          <w:p w14:paraId="72F0B8A3" w14:textId="77777777" w:rsidR="007B3C6C" w:rsidRPr="001645C5" w:rsidRDefault="007B3C6C" w:rsidP="00BC2582">
            <w:pPr>
              <w:rPr>
                <w:sz w:val="20"/>
                <w:szCs w:val="20"/>
              </w:rPr>
            </w:pPr>
            <w:r w:rsidRPr="001645C5">
              <w:rPr>
                <w:sz w:val="20"/>
                <w:szCs w:val="20"/>
              </w:rPr>
              <w:t>214.931</w:t>
            </w:r>
          </w:p>
        </w:tc>
        <w:tc>
          <w:tcPr>
            <w:tcW w:w="1595" w:type="dxa"/>
            <w:shd w:val="clear" w:color="auto" w:fill="auto"/>
            <w:vAlign w:val="bottom"/>
          </w:tcPr>
          <w:p w14:paraId="17E828F2" w14:textId="77777777" w:rsidR="007B3C6C" w:rsidRPr="001645C5" w:rsidRDefault="007B3C6C" w:rsidP="00BC2582">
            <w:pPr>
              <w:rPr>
                <w:sz w:val="20"/>
                <w:szCs w:val="20"/>
              </w:rPr>
            </w:pPr>
            <w:r w:rsidRPr="001645C5">
              <w:rPr>
                <w:sz w:val="20"/>
                <w:szCs w:val="20"/>
              </w:rPr>
              <w:t>63.384</w:t>
            </w:r>
          </w:p>
        </w:tc>
      </w:tr>
      <w:tr w:rsidR="007B3C6C" w:rsidRPr="001645C5" w14:paraId="65B9F5B5" w14:textId="77777777" w:rsidTr="00BC2582">
        <w:trPr>
          <w:jc w:val="center"/>
        </w:trPr>
        <w:tc>
          <w:tcPr>
            <w:tcW w:w="817" w:type="dxa"/>
            <w:shd w:val="clear" w:color="auto" w:fill="auto"/>
            <w:vAlign w:val="bottom"/>
          </w:tcPr>
          <w:p w14:paraId="47C5BE4E" w14:textId="77777777" w:rsidR="007B3C6C" w:rsidRPr="001645C5" w:rsidRDefault="007B3C6C" w:rsidP="00BC2582">
            <w:pPr>
              <w:rPr>
                <w:b/>
                <w:sz w:val="20"/>
                <w:szCs w:val="20"/>
              </w:rPr>
            </w:pPr>
            <w:r w:rsidRPr="001645C5">
              <w:rPr>
                <w:b/>
                <w:sz w:val="20"/>
                <w:szCs w:val="20"/>
              </w:rPr>
              <w:t>2005</w:t>
            </w:r>
          </w:p>
        </w:tc>
        <w:tc>
          <w:tcPr>
            <w:tcW w:w="1594" w:type="dxa"/>
            <w:shd w:val="clear" w:color="auto" w:fill="auto"/>
            <w:vAlign w:val="bottom"/>
          </w:tcPr>
          <w:p w14:paraId="08228B88" w14:textId="77777777" w:rsidR="007B3C6C" w:rsidRPr="001645C5" w:rsidRDefault="007B3C6C" w:rsidP="00BC2582">
            <w:pPr>
              <w:rPr>
                <w:sz w:val="20"/>
                <w:szCs w:val="20"/>
              </w:rPr>
            </w:pPr>
            <w:r w:rsidRPr="001645C5">
              <w:rPr>
                <w:sz w:val="20"/>
                <w:szCs w:val="20"/>
              </w:rPr>
              <w:t>165.667</w:t>
            </w:r>
          </w:p>
        </w:tc>
        <w:tc>
          <w:tcPr>
            <w:tcW w:w="1595" w:type="dxa"/>
            <w:shd w:val="clear" w:color="auto" w:fill="auto"/>
            <w:vAlign w:val="bottom"/>
          </w:tcPr>
          <w:p w14:paraId="304FA80A" w14:textId="77777777" w:rsidR="007B3C6C" w:rsidRPr="001645C5" w:rsidRDefault="007B3C6C" w:rsidP="00BC2582">
            <w:pPr>
              <w:rPr>
                <w:sz w:val="20"/>
                <w:szCs w:val="20"/>
              </w:rPr>
            </w:pPr>
            <w:r w:rsidRPr="001645C5">
              <w:rPr>
                <w:sz w:val="20"/>
                <w:szCs w:val="20"/>
              </w:rPr>
              <w:t>3.595</w:t>
            </w:r>
          </w:p>
        </w:tc>
        <w:tc>
          <w:tcPr>
            <w:tcW w:w="1595" w:type="dxa"/>
            <w:shd w:val="clear" w:color="auto" w:fill="auto"/>
            <w:vAlign w:val="bottom"/>
          </w:tcPr>
          <w:p w14:paraId="7AEE53FB" w14:textId="77777777" w:rsidR="007B3C6C" w:rsidRPr="001645C5" w:rsidRDefault="007B3C6C" w:rsidP="00BC2582">
            <w:pPr>
              <w:rPr>
                <w:sz w:val="20"/>
                <w:szCs w:val="20"/>
              </w:rPr>
            </w:pPr>
            <w:r w:rsidRPr="001645C5">
              <w:rPr>
                <w:sz w:val="20"/>
                <w:szCs w:val="20"/>
              </w:rPr>
              <w:t>231.836</w:t>
            </w:r>
          </w:p>
        </w:tc>
        <w:tc>
          <w:tcPr>
            <w:tcW w:w="1595" w:type="dxa"/>
            <w:shd w:val="clear" w:color="auto" w:fill="auto"/>
            <w:vAlign w:val="bottom"/>
          </w:tcPr>
          <w:p w14:paraId="2418C7E9" w14:textId="77777777" w:rsidR="007B3C6C" w:rsidRPr="001645C5" w:rsidRDefault="007B3C6C" w:rsidP="00BC2582">
            <w:pPr>
              <w:rPr>
                <w:sz w:val="20"/>
                <w:szCs w:val="20"/>
              </w:rPr>
            </w:pPr>
            <w:r w:rsidRPr="001645C5">
              <w:rPr>
                <w:sz w:val="20"/>
                <w:szCs w:val="20"/>
              </w:rPr>
              <w:t>73.687</w:t>
            </w:r>
          </w:p>
        </w:tc>
      </w:tr>
      <w:tr w:rsidR="007B3C6C" w:rsidRPr="001645C5" w14:paraId="3F1D165F" w14:textId="77777777" w:rsidTr="00BC2582">
        <w:trPr>
          <w:jc w:val="center"/>
        </w:trPr>
        <w:tc>
          <w:tcPr>
            <w:tcW w:w="817" w:type="dxa"/>
            <w:shd w:val="clear" w:color="auto" w:fill="auto"/>
            <w:vAlign w:val="bottom"/>
          </w:tcPr>
          <w:p w14:paraId="2A140635" w14:textId="77777777" w:rsidR="007B3C6C" w:rsidRPr="001645C5" w:rsidRDefault="007B3C6C" w:rsidP="00BC2582">
            <w:pPr>
              <w:rPr>
                <w:b/>
                <w:sz w:val="20"/>
                <w:szCs w:val="20"/>
              </w:rPr>
            </w:pPr>
            <w:r w:rsidRPr="001645C5">
              <w:rPr>
                <w:b/>
                <w:sz w:val="20"/>
                <w:szCs w:val="20"/>
              </w:rPr>
              <w:t>2006</w:t>
            </w:r>
          </w:p>
        </w:tc>
        <w:tc>
          <w:tcPr>
            <w:tcW w:w="1594" w:type="dxa"/>
            <w:shd w:val="clear" w:color="auto" w:fill="auto"/>
            <w:vAlign w:val="bottom"/>
          </w:tcPr>
          <w:p w14:paraId="5D3EF6D8" w14:textId="77777777" w:rsidR="007B3C6C" w:rsidRPr="001645C5" w:rsidRDefault="007B3C6C" w:rsidP="00BC2582">
            <w:pPr>
              <w:rPr>
                <w:sz w:val="20"/>
                <w:szCs w:val="20"/>
              </w:rPr>
            </w:pPr>
            <w:r w:rsidRPr="001645C5">
              <w:rPr>
                <w:sz w:val="20"/>
                <w:szCs w:val="20"/>
              </w:rPr>
              <w:t>165.281</w:t>
            </w:r>
          </w:p>
        </w:tc>
        <w:tc>
          <w:tcPr>
            <w:tcW w:w="1595" w:type="dxa"/>
            <w:shd w:val="clear" w:color="auto" w:fill="auto"/>
            <w:vAlign w:val="bottom"/>
          </w:tcPr>
          <w:p w14:paraId="5390A345" w14:textId="77777777" w:rsidR="007B3C6C" w:rsidRPr="001645C5" w:rsidRDefault="007B3C6C" w:rsidP="00BC2582">
            <w:pPr>
              <w:rPr>
                <w:sz w:val="20"/>
                <w:szCs w:val="20"/>
              </w:rPr>
            </w:pPr>
            <w:r w:rsidRPr="001645C5">
              <w:rPr>
                <w:sz w:val="20"/>
                <w:szCs w:val="20"/>
              </w:rPr>
              <w:t>5.310</w:t>
            </w:r>
          </w:p>
        </w:tc>
        <w:tc>
          <w:tcPr>
            <w:tcW w:w="1595" w:type="dxa"/>
            <w:shd w:val="clear" w:color="auto" w:fill="auto"/>
            <w:vAlign w:val="bottom"/>
          </w:tcPr>
          <w:p w14:paraId="6ED46FFF" w14:textId="77777777" w:rsidR="007B3C6C" w:rsidRPr="001645C5" w:rsidRDefault="007B3C6C" w:rsidP="00BC2582">
            <w:pPr>
              <w:rPr>
                <w:sz w:val="20"/>
                <w:szCs w:val="20"/>
              </w:rPr>
            </w:pPr>
            <w:r w:rsidRPr="001645C5">
              <w:rPr>
                <w:sz w:val="20"/>
                <w:szCs w:val="20"/>
              </w:rPr>
              <w:t>205.134</w:t>
            </w:r>
          </w:p>
        </w:tc>
        <w:tc>
          <w:tcPr>
            <w:tcW w:w="1595" w:type="dxa"/>
            <w:shd w:val="clear" w:color="auto" w:fill="auto"/>
            <w:vAlign w:val="bottom"/>
          </w:tcPr>
          <w:p w14:paraId="66D972FC" w14:textId="77777777" w:rsidR="007B3C6C" w:rsidRPr="001645C5" w:rsidRDefault="007B3C6C" w:rsidP="00BC2582">
            <w:pPr>
              <w:rPr>
                <w:sz w:val="20"/>
                <w:szCs w:val="20"/>
              </w:rPr>
            </w:pPr>
            <w:r w:rsidRPr="001645C5">
              <w:rPr>
                <w:sz w:val="20"/>
                <w:szCs w:val="20"/>
              </w:rPr>
              <w:t>82.965</w:t>
            </w:r>
          </w:p>
        </w:tc>
      </w:tr>
      <w:tr w:rsidR="007B3C6C" w:rsidRPr="001645C5" w14:paraId="4E4E4FCE" w14:textId="77777777" w:rsidTr="00BC2582">
        <w:trPr>
          <w:jc w:val="center"/>
        </w:trPr>
        <w:tc>
          <w:tcPr>
            <w:tcW w:w="817" w:type="dxa"/>
            <w:shd w:val="clear" w:color="auto" w:fill="auto"/>
            <w:vAlign w:val="bottom"/>
          </w:tcPr>
          <w:p w14:paraId="59F018C5" w14:textId="77777777" w:rsidR="007B3C6C" w:rsidRPr="001645C5" w:rsidRDefault="007B3C6C" w:rsidP="00BC2582">
            <w:pPr>
              <w:rPr>
                <w:b/>
                <w:sz w:val="20"/>
                <w:szCs w:val="20"/>
              </w:rPr>
            </w:pPr>
            <w:r w:rsidRPr="001645C5">
              <w:rPr>
                <w:b/>
                <w:sz w:val="20"/>
                <w:szCs w:val="20"/>
              </w:rPr>
              <w:t>2007</w:t>
            </w:r>
          </w:p>
        </w:tc>
        <w:tc>
          <w:tcPr>
            <w:tcW w:w="1594" w:type="dxa"/>
            <w:shd w:val="clear" w:color="auto" w:fill="auto"/>
            <w:vAlign w:val="bottom"/>
          </w:tcPr>
          <w:p w14:paraId="6AF32ABC" w14:textId="77777777" w:rsidR="007B3C6C" w:rsidRPr="001645C5" w:rsidRDefault="007B3C6C" w:rsidP="00BC2582">
            <w:pPr>
              <w:rPr>
                <w:sz w:val="20"/>
                <w:szCs w:val="20"/>
              </w:rPr>
            </w:pPr>
            <w:r w:rsidRPr="001645C5">
              <w:rPr>
                <w:sz w:val="20"/>
                <w:szCs w:val="20"/>
              </w:rPr>
              <w:t>201.924</w:t>
            </w:r>
          </w:p>
        </w:tc>
        <w:tc>
          <w:tcPr>
            <w:tcW w:w="1595" w:type="dxa"/>
            <w:shd w:val="clear" w:color="auto" w:fill="auto"/>
            <w:vAlign w:val="bottom"/>
          </w:tcPr>
          <w:p w14:paraId="0DBB6117" w14:textId="77777777" w:rsidR="007B3C6C" w:rsidRPr="001645C5" w:rsidRDefault="007B3C6C" w:rsidP="00BC2582">
            <w:pPr>
              <w:rPr>
                <w:sz w:val="20"/>
                <w:szCs w:val="20"/>
              </w:rPr>
            </w:pPr>
            <w:r w:rsidRPr="001645C5">
              <w:rPr>
                <w:sz w:val="20"/>
                <w:szCs w:val="20"/>
              </w:rPr>
              <w:t>8.478</w:t>
            </w:r>
          </w:p>
        </w:tc>
        <w:tc>
          <w:tcPr>
            <w:tcW w:w="1595" w:type="dxa"/>
            <w:shd w:val="clear" w:color="auto" w:fill="auto"/>
            <w:vAlign w:val="bottom"/>
          </w:tcPr>
          <w:p w14:paraId="68886D52" w14:textId="77777777" w:rsidR="007B3C6C" w:rsidRPr="001645C5" w:rsidRDefault="007B3C6C" w:rsidP="00BC2582">
            <w:pPr>
              <w:rPr>
                <w:sz w:val="20"/>
                <w:szCs w:val="20"/>
              </w:rPr>
            </w:pPr>
            <w:r w:rsidRPr="001645C5">
              <w:rPr>
                <w:sz w:val="20"/>
                <w:szCs w:val="20"/>
              </w:rPr>
              <w:t>250.642</w:t>
            </w:r>
          </w:p>
        </w:tc>
        <w:tc>
          <w:tcPr>
            <w:tcW w:w="1595" w:type="dxa"/>
            <w:shd w:val="clear" w:color="auto" w:fill="auto"/>
            <w:vAlign w:val="bottom"/>
          </w:tcPr>
          <w:p w14:paraId="54D6C4F2" w14:textId="77777777" w:rsidR="007B3C6C" w:rsidRPr="001645C5" w:rsidRDefault="007B3C6C" w:rsidP="00BC2582">
            <w:pPr>
              <w:rPr>
                <w:sz w:val="20"/>
                <w:szCs w:val="20"/>
              </w:rPr>
            </w:pPr>
            <w:r w:rsidRPr="001645C5">
              <w:rPr>
                <w:sz w:val="20"/>
                <w:szCs w:val="20"/>
              </w:rPr>
              <w:t>91.046</w:t>
            </w:r>
          </w:p>
        </w:tc>
      </w:tr>
      <w:tr w:rsidR="007B3C6C" w:rsidRPr="001645C5" w14:paraId="390F5014" w14:textId="77777777" w:rsidTr="00BC2582">
        <w:trPr>
          <w:jc w:val="center"/>
        </w:trPr>
        <w:tc>
          <w:tcPr>
            <w:tcW w:w="817" w:type="dxa"/>
            <w:shd w:val="clear" w:color="auto" w:fill="auto"/>
            <w:vAlign w:val="bottom"/>
          </w:tcPr>
          <w:p w14:paraId="2D586E26" w14:textId="77777777" w:rsidR="007B3C6C" w:rsidRPr="001645C5" w:rsidRDefault="007B3C6C" w:rsidP="00BC2582">
            <w:pPr>
              <w:rPr>
                <w:b/>
                <w:sz w:val="20"/>
                <w:szCs w:val="20"/>
              </w:rPr>
            </w:pPr>
            <w:r w:rsidRPr="001645C5">
              <w:rPr>
                <w:b/>
                <w:sz w:val="20"/>
                <w:szCs w:val="20"/>
              </w:rPr>
              <w:t>2008</w:t>
            </w:r>
          </w:p>
        </w:tc>
        <w:tc>
          <w:tcPr>
            <w:tcW w:w="1594" w:type="dxa"/>
            <w:shd w:val="clear" w:color="auto" w:fill="auto"/>
            <w:vAlign w:val="bottom"/>
          </w:tcPr>
          <w:p w14:paraId="34867941" w14:textId="77777777" w:rsidR="007B3C6C" w:rsidRPr="001645C5" w:rsidRDefault="007B3C6C" w:rsidP="00BC2582">
            <w:pPr>
              <w:rPr>
                <w:sz w:val="20"/>
                <w:szCs w:val="20"/>
              </w:rPr>
            </w:pPr>
            <w:r w:rsidRPr="001645C5">
              <w:rPr>
                <w:sz w:val="20"/>
                <w:szCs w:val="20"/>
              </w:rPr>
              <w:t>168.746</w:t>
            </w:r>
          </w:p>
        </w:tc>
        <w:tc>
          <w:tcPr>
            <w:tcW w:w="1595" w:type="dxa"/>
            <w:shd w:val="clear" w:color="auto" w:fill="auto"/>
            <w:vAlign w:val="bottom"/>
          </w:tcPr>
          <w:p w14:paraId="25E6771A" w14:textId="77777777" w:rsidR="007B3C6C" w:rsidRPr="001645C5" w:rsidRDefault="007B3C6C" w:rsidP="00BC2582">
            <w:pPr>
              <w:rPr>
                <w:sz w:val="20"/>
                <w:szCs w:val="20"/>
              </w:rPr>
            </w:pPr>
            <w:r w:rsidRPr="001645C5">
              <w:rPr>
                <w:sz w:val="20"/>
                <w:szCs w:val="20"/>
              </w:rPr>
              <w:t>8.420</w:t>
            </w:r>
          </w:p>
        </w:tc>
        <w:tc>
          <w:tcPr>
            <w:tcW w:w="1595" w:type="dxa"/>
            <w:shd w:val="clear" w:color="auto" w:fill="auto"/>
            <w:vAlign w:val="bottom"/>
          </w:tcPr>
          <w:p w14:paraId="1573D4AC" w14:textId="77777777" w:rsidR="007B3C6C" w:rsidRPr="001645C5" w:rsidRDefault="007B3C6C" w:rsidP="00BC2582">
            <w:pPr>
              <w:rPr>
                <w:sz w:val="20"/>
                <w:szCs w:val="20"/>
              </w:rPr>
            </w:pPr>
            <w:r w:rsidRPr="001645C5">
              <w:rPr>
                <w:sz w:val="20"/>
                <w:szCs w:val="20"/>
              </w:rPr>
              <w:t>246.483</w:t>
            </w:r>
          </w:p>
        </w:tc>
        <w:tc>
          <w:tcPr>
            <w:tcW w:w="1595" w:type="dxa"/>
            <w:shd w:val="clear" w:color="auto" w:fill="auto"/>
            <w:vAlign w:val="bottom"/>
          </w:tcPr>
          <w:p w14:paraId="17B2951E" w14:textId="77777777" w:rsidR="007B3C6C" w:rsidRPr="001645C5" w:rsidRDefault="007B3C6C" w:rsidP="00BC2582">
            <w:pPr>
              <w:rPr>
                <w:sz w:val="20"/>
                <w:szCs w:val="20"/>
              </w:rPr>
            </w:pPr>
            <w:r w:rsidRPr="001645C5">
              <w:rPr>
                <w:sz w:val="20"/>
                <w:szCs w:val="20"/>
              </w:rPr>
              <w:t>87.443</w:t>
            </w:r>
          </w:p>
        </w:tc>
      </w:tr>
      <w:tr w:rsidR="007B3C6C" w:rsidRPr="001645C5" w14:paraId="5B5F25D3" w14:textId="77777777" w:rsidTr="00BC2582">
        <w:trPr>
          <w:jc w:val="center"/>
        </w:trPr>
        <w:tc>
          <w:tcPr>
            <w:tcW w:w="817" w:type="dxa"/>
            <w:shd w:val="clear" w:color="auto" w:fill="auto"/>
            <w:vAlign w:val="bottom"/>
          </w:tcPr>
          <w:p w14:paraId="1B7FE13D" w14:textId="77777777" w:rsidR="007B3C6C" w:rsidRPr="001645C5" w:rsidRDefault="007B3C6C" w:rsidP="00BC2582">
            <w:pPr>
              <w:rPr>
                <w:b/>
                <w:sz w:val="20"/>
                <w:szCs w:val="20"/>
              </w:rPr>
            </w:pPr>
            <w:r w:rsidRPr="001645C5">
              <w:rPr>
                <w:b/>
                <w:sz w:val="20"/>
                <w:szCs w:val="20"/>
              </w:rPr>
              <w:t>2009</w:t>
            </w:r>
          </w:p>
        </w:tc>
        <w:tc>
          <w:tcPr>
            <w:tcW w:w="1594" w:type="dxa"/>
            <w:shd w:val="clear" w:color="auto" w:fill="auto"/>
            <w:vAlign w:val="bottom"/>
          </w:tcPr>
          <w:p w14:paraId="13F0B010" w14:textId="77777777" w:rsidR="007B3C6C" w:rsidRPr="001645C5" w:rsidRDefault="007B3C6C" w:rsidP="00BC2582">
            <w:pPr>
              <w:rPr>
                <w:sz w:val="20"/>
                <w:szCs w:val="20"/>
              </w:rPr>
            </w:pPr>
            <w:r w:rsidRPr="001645C5">
              <w:rPr>
                <w:sz w:val="20"/>
                <w:szCs w:val="20"/>
              </w:rPr>
              <w:t>188.943</w:t>
            </w:r>
          </w:p>
        </w:tc>
        <w:tc>
          <w:tcPr>
            <w:tcW w:w="1595" w:type="dxa"/>
            <w:shd w:val="clear" w:color="auto" w:fill="auto"/>
            <w:vAlign w:val="bottom"/>
          </w:tcPr>
          <w:p w14:paraId="139F138E" w14:textId="77777777" w:rsidR="007B3C6C" w:rsidRPr="001645C5" w:rsidRDefault="007B3C6C" w:rsidP="00BC2582">
            <w:pPr>
              <w:rPr>
                <w:sz w:val="20"/>
                <w:szCs w:val="20"/>
              </w:rPr>
            </w:pPr>
            <w:r w:rsidRPr="001645C5">
              <w:rPr>
                <w:sz w:val="20"/>
                <w:szCs w:val="20"/>
              </w:rPr>
              <w:t>11.111</w:t>
            </w:r>
          </w:p>
        </w:tc>
        <w:tc>
          <w:tcPr>
            <w:tcW w:w="1595" w:type="dxa"/>
            <w:shd w:val="clear" w:color="auto" w:fill="auto"/>
            <w:vAlign w:val="bottom"/>
          </w:tcPr>
          <w:p w14:paraId="58BDFBD6" w14:textId="77777777" w:rsidR="007B3C6C" w:rsidRPr="001645C5" w:rsidRDefault="007B3C6C" w:rsidP="00BC2582">
            <w:pPr>
              <w:rPr>
                <w:sz w:val="20"/>
                <w:szCs w:val="20"/>
              </w:rPr>
            </w:pPr>
            <w:r w:rsidRPr="001645C5">
              <w:rPr>
                <w:sz w:val="20"/>
                <w:szCs w:val="20"/>
              </w:rPr>
              <w:t>274.807</w:t>
            </w:r>
          </w:p>
        </w:tc>
        <w:tc>
          <w:tcPr>
            <w:tcW w:w="1595" w:type="dxa"/>
            <w:shd w:val="clear" w:color="auto" w:fill="auto"/>
            <w:vAlign w:val="bottom"/>
          </w:tcPr>
          <w:p w14:paraId="0B732500" w14:textId="77777777" w:rsidR="007B3C6C" w:rsidRPr="001645C5" w:rsidRDefault="007B3C6C" w:rsidP="00BC2582">
            <w:pPr>
              <w:rPr>
                <w:sz w:val="20"/>
                <w:szCs w:val="20"/>
              </w:rPr>
            </w:pPr>
            <w:r w:rsidRPr="001645C5">
              <w:rPr>
                <w:sz w:val="20"/>
                <w:szCs w:val="20"/>
              </w:rPr>
              <w:t>84.047</w:t>
            </w:r>
          </w:p>
        </w:tc>
      </w:tr>
      <w:tr w:rsidR="007B3C6C" w:rsidRPr="001645C5" w14:paraId="3BEA4AE2" w14:textId="77777777" w:rsidTr="00BC2582">
        <w:trPr>
          <w:jc w:val="center"/>
        </w:trPr>
        <w:tc>
          <w:tcPr>
            <w:tcW w:w="817" w:type="dxa"/>
            <w:shd w:val="clear" w:color="auto" w:fill="auto"/>
            <w:vAlign w:val="bottom"/>
          </w:tcPr>
          <w:p w14:paraId="6C3AEBA9" w14:textId="77777777" w:rsidR="007B3C6C" w:rsidRPr="001645C5" w:rsidRDefault="007B3C6C" w:rsidP="00BC2582">
            <w:pPr>
              <w:rPr>
                <w:b/>
                <w:sz w:val="20"/>
                <w:szCs w:val="20"/>
              </w:rPr>
            </w:pPr>
            <w:r w:rsidRPr="001645C5">
              <w:rPr>
                <w:b/>
                <w:sz w:val="20"/>
                <w:szCs w:val="20"/>
              </w:rPr>
              <w:t>2010</w:t>
            </w:r>
          </w:p>
        </w:tc>
        <w:tc>
          <w:tcPr>
            <w:tcW w:w="1594" w:type="dxa"/>
            <w:shd w:val="clear" w:color="auto" w:fill="auto"/>
            <w:vAlign w:val="bottom"/>
          </w:tcPr>
          <w:p w14:paraId="2B6FB4B2" w14:textId="77777777" w:rsidR="007B3C6C" w:rsidRPr="001645C5" w:rsidRDefault="007B3C6C" w:rsidP="00BC2582">
            <w:pPr>
              <w:rPr>
                <w:sz w:val="20"/>
                <w:szCs w:val="20"/>
              </w:rPr>
            </w:pPr>
            <w:r w:rsidRPr="001645C5">
              <w:rPr>
                <w:sz w:val="20"/>
                <w:szCs w:val="20"/>
              </w:rPr>
              <w:t>192.463</w:t>
            </w:r>
          </w:p>
        </w:tc>
        <w:tc>
          <w:tcPr>
            <w:tcW w:w="1595" w:type="dxa"/>
            <w:shd w:val="clear" w:color="auto" w:fill="auto"/>
            <w:vAlign w:val="bottom"/>
          </w:tcPr>
          <w:p w14:paraId="7773E5B4" w14:textId="77777777" w:rsidR="007B3C6C" w:rsidRPr="001645C5" w:rsidRDefault="007B3C6C" w:rsidP="00BC2582">
            <w:pPr>
              <w:rPr>
                <w:sz w:val="20"/>
                <w:szCs w:val="20"/>
              </w:rPr>
            </w:pPr>
            <w:r w:rsidRPr="001645C5">
              <w:rPr>
                <w:sz w:val="20"/>
                <w:szCs w:val="20"/>
              </w:rPr>
              <w:t>10.970</w:t>
            </w:r>
          </w:p>
        </w:tc>
        <w:tc>
          <w:tcPr>
            <w:tcW w:w="1595" w:type="dxa"/>
            <w:shd w:val="clear" w:color="auto" w:fill="auto"/>
            <w:vAlign w:val="bottom"/>
          </w:tcPr>
          <w:p w14:paraId="344030D0" w14:textId="77777777" w:rsidR="007B3C6C" w:rsidRPr="001645C5" w:rsidRDefault="007B3C6C" w:rsidP="00BC2582">
            <w:pPr>
              <w:rPr>
                <w:sz w:val="20"/>
                <w:szCs w:val="20"/>
              </w:rPr>
            </w:pPr>
            <w:r w:rsidRPr="001645C5">
              <w:rPr>
                <w:sz w:val="20"/>
                <w:szCs w:val="20"/>
              </w:rPr>
              <w:t>295.206</w:t>
            </w:r>
          </w:p>
        </w:tc>
        <w:tc>
          <w:tcPr>
            <w:tcW w:w="1595" w:type="dxa"/>
            <w:shd w:val="clear" w:color="auto" w:fill="auto"/>
            <w:vAlign w:val="bottom"/>
          </w:tcPr>
          <w:p w14:paraId="1D9D704F" w14:textId="77777777" w:rsidR="007B3C6C" w:rsidRPr="001645C5" w:rsidRDefault="007B3C6C" w:rsidP="00BC2582">
            <w:pPr>
              <w:rPr>
                <w:sz w:val="20"/>
                <w:szCs w:val="20"/>
              </w:rPr>
            </w:pPr>
            <w:r w:rsidRPr="001645C5">
              <w:rPr>
                <w:sz w:val="20"/>
                <w:szCs w:val="20"/>
              </w:rPr>
              <w:t>85.751</w:t>
            </w:r>
          </w:p>
        </w:tc>
      </w:tr>
      <w:tr w:rsidR="007B3C6C" w:rsidRPr="001645C5" w14:paraId="217168D4" w14:textId="77777777" w:rsidTr="00BC2582">
        <w:trPr>
          <w:jc w:val="center"/>
        </w:trPr>
        <w:tc>
          <w:tcPr>
            <w:tcW w:w="817" w:type="dxa"/>
            <w:shd w:val="clear" w:color="auto" w:fill="auto"/>
            <w:vAlign w:val="bottom"/>
          </w:tcPr>
          <w:p w14:paraId="2647A52F" w14:textId="77777777" w:rsidR="007B3C6C" w:rsidRPr="001645C5" w:rsidRDefault="007B3C6C" w:rsidP="00BC2582">
            <w:pPr>
              <w:rPr>
                <w:b/>
                <w:sz w:val="20"/>
                <w:szCs w:val="20"/>
              </w:rPr>
            </w:pPr>
            <w:r w:rsidRPr="001645C5">
              <w:rPr>
                <w:b/>
                <w:sz w:val="20"/>
                <w:szCs w:val="20"/>
              </w:rPr>
              <w:t>2011</w:t>
            </w:r>
          </w:p>
        </w:tc>
        <w:tc>
          <w:tcPr>
            <w:tcW w:w="1594" w:type="dxa"/>
            <w:shd w:val="clear" w:color="auto" w:fill="auto"/>
            <w:vAlign w:val="bottom"/>
          </w:tcPr>
          <w:p w14:paraId="2598B0D3" w14:textId="77777777" w:rsidR="007B3C6C" w:rsidRPr="001645C5" w:rsidRDefault="007B3C6C" w:rsidP="00BC2582">
            <w:pPr>
              <w:rPr>
                <w:sz w:val="20"/>
                <w:szCs w:val="20"/>
              </w:rPr>
            </w:pPr>
            <w:r w:rsidRPr="001645C5">
              <w:rPr>
                <w:sz w:val="20"/>
                <w:szCs w:val="20"/>
              </w:rPr>
              <w:t>205.225</w:t>
            </w:r>
          </w:p>
        </w:tc>
        <w:tc>
          <w:tcPr>
            <w:tcW w:w="1595" w:type="dxa"/>
            <w:shd w:val="clear" w:color="auto" w:fill="auto"/>
            <w:vAlign w:val="bottom"/>
          </w:tcPr>
          <w:p w14:paraId="6DC463B2" w14:textId="77777777" w:rsidR="007B3C6C" w:rsidRPr="001645C5" w:rsidRDefault="007B3C6C" w:rsidP="00BC2582">
            <w:pPr>
              <w:rPr>
                <w:sz w:val="20"/>
                <w:szCs w:val="20"/>
              </w:rPr>
            </w:pPr>
            <w:r w:rsidRPr="001645C5">
              <w:rPr>
                <w:sz w:val="20"/>
                <w:szCs w:val="20"/>
              </w:rPr>
              <w:t>12.500</w:t>
            </w:r>
          </w:p>
        </w:tc>
        <w:tc>
          <w:tcPr>
            <w:tcW w:w="1595" w:type="dxa"/>
            <w:shd w:val="clear" w:color="auto" w:fill="auto"/>
            <w:vAlign w:val="bottom"/>
          </w:tcPr>
          <w:p w14:paraId="223183B9" w14:textId="77777777" w:rsidR="007B3C6C" w:rsidRPr="001645C5" w:rsidRDefault="007B3C6C" w:rsidP="00BC2582">
            <w:pPr>
              <w:rPr>
                <w:sz w:val="20"/>
                <w:szCs w:val="20"/>
              </w:rPr>
            </w:pPr>
            <w:r w:rsidRPr="001645C5">
              <w:rPr>
                <w:sz w:val="20"/>
                <w:szCs w:val="20"/>
              </w:rPr>
              <w:t>330.041</w:t>
            </w:r>
          </w:p>
        </w:tc>
        <w:tc>
          <w:tcPr>
            <w:tcW w:w="1595" w:type="dxa"/>
            <w:shd w:val="clear" w:color="auto" w:fill="auto"/>
            <w:vAlign w:val="bottom"/>
          </w:tcPr>
          <w:p w14:paraId="609724F3" w14:textId="77777777" w:rsidR="007B3C6C" w:rsidRPr="001645C5" w:rsidRDefault="007B3C6C" w:rsidP="00BC2582">
            <w:pPr>
              <w:rPr>
                <w:sz w:val="20"/>
                <w:szCs w:val="20"/>
              </w:rPr>
            </w:pPr>
            <w:r w:rsidRPr="001645C5">
              <w:rPr>
                <w:sz w:val="20"/>
                <w:szCs w:val="20"/>
              </w:rPr>
              <w:t>85.599</w:t>
            </w:r>
          </w:p>
        </w:tc>
      </w:tr>
      <w:tr w:rsidR="007B3C6C" w:rsidRPr="001645C5" w14:paraId="6E2C255C" w14:textId="77777777" w:rsidTr="00BC2582">
        <w:trPr>
          <w:jc w:val="center"/>
        </w:trPr>
        <w:tc>
          <w:tcPr>
            <w:tcW w:w="817" w:type="dxa"/>
            <w:shd w:val="clear" w:color="auto" w:fill="auto"/>
            <w:vAlign w:val="bottom"/>
          </w:tcPr>
          <w:p w14:paraId="16CF4BBC" w14:textId="77777777" w:rsidR="007B3C6C" w:rsidRPr="001645C5" w:rsidRDefault="007B3C6C" w:rsidP="00BC2582">
            <w:pPr>
              <w:rPr>
                <w:b/>
                <w:sz w:val="20"/>
                <w:szCs w:val="20"/>
              </w:rPr>
            </w:pPr>
            <w:r w:rsidRPr="001645C5">
              <w:rPr>
                <w:b/>
                <w:sz w:val="20"/>
                <w:szCs w:val="20"/>
              </w:rPr>
              <w:t>2012</w:t>
            </w:r>
          </w:p>
        </w:tc>
        <w:tc>
          <w:tcPr>
            <w:tcW w:w="1594" w:type="dxa"/>
            <w:shd w:val="clear" w:color="auto" w:fill="auto"/>
            <w:vAlign w:val="bottom"/>
          </w:tcPr>
          <w:p w14:paraId="2999200C" w14:textId="77777777" w:rsidR="007B3C6C" w:rsidRPr="001645C5" w:rsidRDefault="007B3C6C" w:rsidP="00BC2582">
            <w:pPr>
              <w:rPr>
                <w:sz w:val="20"/>
                <w:szCs w:val="20"/>
              </w:rPr>
            </w:pPr>
            <w:r w:rsidRPr="001645C5">
              <w:rPr>
                <w:sz w:val="20"/>
                <w:szCs w:val="20"/>
              </w:rPr>
              <w:t>219.822</w:t>
            </w:r>
          </w:p>
        </w:tc>
        <w:tc>
          <w:tcPr>
            <w:tcW w:w="1595" w:type="dxa"/>
            <w:shd w:val="clear" w:color="auto" w:fill="auto"/>
            <w:vAlign w:val="bottom"/>
          </w:tcPr>
          <w:p w14:paraId="726F4166" w14:textId="77777777" w:rsidR="007B3C6C" w:rsidRPr="001645C5" w:rsidRDefault="007B3C6C" w:rsidP="00BC2582">
            <w:pPr>
              <w:rPr>
                <w:sz w:val="20"/>
                <w:szCs w:val="20"/>
              </w:rPr>
            </w:pPr>
            <w:r w:rsidRPr="001645C5">
              <w:rPr>
                <w:sz w:val="20"/>
                <w:szCs w:val="20"/>
              </w:rPr>
              <w:t>13.618</w:t>
            </w:r>
          </w:p>
        </w:tc>
        <w:tc>
          <w:tcPr>
            <w:tcW w:w="1595" w:type="dxa"/>
            <w:shd w:val="clear" w:color="auto" w:fill="auto"/>
            <w:vAlign w:val="bottom"/>
          </w:tcPr>
          <w:p w14:paraId="312CEC7A" w14:textId="77777777" w:rsidR="007B3C6C" w:rsidRPr="001645C5" w:rsidRDefault="007B3C6C" w:rsidP="00BC2582">
            <w:pPr>
              <w:rPr>
                <w:sz w:val="20"/>
                <w:szCs w:val="20"/>
              </w:rPr>
            </w:pPr>
            <w:r w:rsidRPr="001645C5">
              <w:rPr>
                <w:sz w:val="20"/>
                <w:szCs w:val="20"/>
              </w:rPr>
              <w:t>366.709</w:t>
            </w:r>
          </w:p>
        </w:tc>
        <w:tc>
          <w:tcPr>
            <w:tcW w:w="1595" w:type="dxa"/>
            <w:shd w:val="clear" w:color="auto" w:fill="auto"/>
            <w:vAlign w:val="bottom"/>
          </w:tcPr>
          <w:p w14:paraId="2378D911" w14:textId="77777777" w:rsidR="007B3C6C" w:rsidRPr="001645C5" w:rsidRDefault="007B3C6C" w:rsidP="00BC2582">
            <w:pPr>
              <w:rPr>
                <w:sz w:val="20"/>
                <w:szCs w:val="20"/>
              </w:rPr>
            </w:pPr>
            <w:r w:rsidRPr="001645C5">
              <w:rPr>
                <w:sz w:val="20"/>
                <w:szCs w:val="20"/>
              </w:rPr>
              <w:t>104.388</w:t>
            </w:r>
          </w:p>
        </w:tc>
      </w:tr>
      <w:tr w:rsidR="007B3C6C" w:rsidRPr="001645C5" w14:paraId="4B5FF65E" w14:textId="77777777" w:rsidTr="00BC2582">
        <w:trPr>
          <w:jc w:val="center"/>
        </w:trPr>
        <w:tc>
          <w:tcPr>
            <w:tcW w:w="817" w:type="dxa"/>
            <w:shd w:val="clear" w:color="auto" w:fill="auto"/>
            <w:vAlign w:val="bottom"/>
          </w:tcPr>
          <w:p w14:paraId="2EA21F80" w14:textId="77777777" w:rsidR="007B3C6C" w:rsidRPr="001645C5" w:rsidRDefault="007B3C6C" w:rsidP="00BC2582">
            <w:pPr>
              <w:rPr>
                <w:b/>
                <w:sz w:val="20"/>
                <w:szCs w:val="20"/>
              </w:rPr>
            </w:pPr>
            <w:r w:rsidRPr="001645C5">
              <w:rPr>
                <w:b/>
                <w:sz w:val="20"/>
                <w:szCs w:val="20"/>
              </w:rPr>
              <w:t>2013</w:t>
            </w:r>
          </w:p>
        </w:tc>
        <w:tc>
          <w:tcPr>
            <w:tcW w:w="1594" w:type="dxa"/>
            <w:shd w:val="clear" w:color="auto" w:fill="auto"/>
            <w:vAlign w:val="bottom"/>
          </w:tcPr>
          <w:p w14:paraId="1C9F4CB1" w14:textId="77777777" w:rsidR="007B3C6C" w:rsidRPr="001645C5" w:rsidRDefault="007B3C6C" w:rsidP="00BC2582">
            <w:pPr>
              <w:rPr>
                <w:sz w:val="20"/>
                <w:szCs w:val="20"/>
              </w:rPr>
            </w:pPr>
            <w:r w:rsidRPr="001645C5">
              <w:rPr>
                <w:sz w:val="20"/>
                <w:szCs w:val="20"/>
              </w:rPr>
              <w:t>235.247</w:t>
            </w:r>
          </w:p>
        </w:tc>
        <w:tc>
          <w:tcPr>
            <w:tcW w:w="1595" w:type="dxa"/>
            <w:shd w:val="clear" w:color="auto" w:fill="auto"/>
            <w:vAlign w:val="bottom"/>
          </w:tcPr>
          <w:p w14:paraId="264DD7F4" w14:textId="77777777" w:rsidR="007B3C6C" w:rsidRPr="001645C5" w:rsidRDefault="007B3C6C" w:rsidP="00BC2582">
            <w:pPr>
              <w:rPr>
                <w:sz w:val="20"/>
                <w:szCs w:val="20"/>
              </w:rPr>
            </w:pPr>
            <w:r w:rsidRPr="001645C5">
              <w:rPr>
                <w:sz w:val="20"/>
                <w:szCs w:val="20"/>
              </w:rPr>
              <w:t>17.036</w:t>
            </w:r>
          </w:p>
        </w:tc>
        <w:tc>
          <w:tcPr>
            <w:tcW w:w="1595" w:type="dxa"/>
            <w:shd w:val="clear" w:color="auto" w:fill="auto"/>
            <w:vAlign w:val="bottom"/>
          </w:tcPr>
          <w:p w14:paraId="13626138" w14:textId="77777777" w:rsidR="007B3C6C" w:rsidRPr="001645C5" w:rsidRDefault="007B3C6C" w:rsidP="00BC2582">
            <w:pPr>
              <w:rPr>
                <w:sz w:val="20"/>
                <w:szCs w:val="20"/>
              </w:rPr>
            </w:pPr>
            <w:r w:rsidRPr="001645C5">
              <w:rPr>
                <w:sz w:val="20"/>
                <w:szCs w:val="20"/>
              </w:rPr>
              <w:t>390.172</w:t>
            </w:r>
          </w:p>
        </w:tc>
        <w:tc>
          <w:tcPr>
            <w:tcW w:w="1595" w:type="dxa"/>
            <w:shd w:val="clear" w:color="auto" w:fill="auto"/>
            <w:vAlign w:val="bottom"/>
          </w:tcPr>
          <w:p w14:paraId="40384FF3" w14:textId="77777777" w:rsidR="007B3C6C" w:rsidRPr="001645C5" w:rsidRDefault="007B3C6C" w:rsidP="00BC2582">
            <w:pPr>
              <w:rPr>
                <w:sz w:val="20"/>
                <w:szCs w:val="20"/>
              </w:rPr>
            </w:pPr>
            <w:r w:rsidRPr="001645C5">
              <w:rPr>
                <w:sz w:val="20"/>
                <w:szCs w:val="20"/>
              </w:rPr>
              <w:t>102.418</w:t>
            </w:r>
          </w:p>
        </w:tc>
      </w:tr>
    </w:tbl>
    <w:p w14:paraId="3B7B4CDD" w14:textId="77777777" w:rsidR="007B3C6C" w:rsidRDefault="007B3C6C" w:rsidP="007B3C6C">
      <w:pPr>
        <w:rPr>
          <w:sz w:val="20"/>
          <w:szCs w:val="20"/>
          <w:lang w:val="en-CA"/>
        </w:rPr>
      </w:pPr>
    </w:p>
    <w:p w14:paraId="4FA72BC8" w14:textId="77777777" w:rsidR="00A67B5D" w:rsidRDefault="00A67B5D" w:rsidP="007B3C6C">
      <w:pPr>
        <w:jc w:val="center"/>
        <w:rPr>
          <w:b/>
          <w:sz w:val="20"/>
          <w:szCs w:val="20"/>
          <w:lang w:val="en-CA"/>
        </w:rPr>
      </w:pPr>
    </w:p>
    <w:p w14:paraId="4D655630" w14:textId="77777777" w:rsidR="00A67B5D" w:rsidRDefault="00A67B5D" w:rsidP="007B3C6C">
      <w:pPr>
        <w:jc w:val="center"/>
        <w:rPr>
          <w:b/>
          <w:sz w:val="20"/>
          <w:szCs w:val="20"/>
          <w:lang w:val="en-CA"/>
        </w:rPr>
      </w:pPr>
    </w:p>
    <w:p w14:paraId="7B643155" w14:textId="77777777" w:rsidR="00A67B5D" w:rsidRDefault="00A67B5D" w:rsidP="007B3C6C">
      <w:pPr>
        <w:jc w:val="center"/>
        <w:rPr>
          <w:b/>
          <w:sz w:val="20"/>
          <w:szCs w:val="20"/>
          <w:lang w:val="en-CA"/>
        </w:rPr>
      </w:pPr>
    </w:p>
    <w:p w14:paraId="403CEB68" w14:textId="77777777" w:rsidR="00A67B5D" w:rsidRDefault="00A67B5D" w:rsidP="007B3C6C">
      <w:pPr>
        <w:jc w:val="center"/>
        <w:rPr>
          <w:b/>
          <w:sz w:val="20"/>
          <w:szCs w:val="20"/>
          <w:lang w:val="en-CA"/>
        </w:rPr>
      </w:pPr>
    </w:p>
    <w:p w14:paraId="1241A11E" w14:textId="77777777" w:rsidR="00A67B5D" w:rsidRDefault="00A67B5D" w:rsidP="007B3C6C">
      <w:pPr>
        <w:jc w:val="center"/>
        <w:rPr>
          <w:b/>
          <w:sz w:val="20"/>
          <w:szCs w:val="20"/>
          <w:lang w:val="en-CA"/>
        </w:rPr>
      </w:pPr>
    </w:p>
    <w:p w14:paraId="5D7176BD" w14:textId="77777777" w:rsidR="00A67B5D" w:rsidRDefault="00A67B5D" w:rsidP="007B3C6C">
      <w:pPr>
        <w:jc w:val="center"/>
        <w:rPr>
          <w:b/>
          <w:sz w:val="20"/>
          <w:szCs w:val="20"/>
          <w:lang w:val="en-CA"/>
        </w:rPr>
      </w:pPr>
    </w:p>
    <w:p w14:paraId="4888D9AF" w14:textId="77777777" w:rsidR="00A67B5D" w:rsidRDefault="00A67B5D" w:rsidP="007B3C6C">
      <w:pPr>
        <w:jc w:val="center"/>
        <w:rPr>
          <w:b/>
          <w:sz w:val="20"/>
          <w:szCs w:val="20"/>
          <w:lang w:val="en-CA"/>
        </w:rPr>
      </w:pPr>
    </w:p>
    <w:p w14:paraId="514AB888" w14:textId="77777777" w:rsidR="00A67B5D" w:rsidRDefault="00A67B5D" w:rsidP="007B3C6C">
      <w:pPr>
        <w:jc w:val="center"/>
        <w:rPr>
          <w:b/>
          <w:sz w:val="20"/>
          <w:szCs w:val="20"/>
          <w:lang w:val="en-CA"/>
        </w:rPr>
      </w:pPr>
    </w:p>
    <w:p w14:paraId="307E181B" w14:textId="77777777" w:rsidR="00A67B5D" w:rsidRDefault="00A67B5D" w:rsidP="007B3C6C">
      <w:pPr>
        <w:jc w:val="center"/>
        <w:rPr>
          <w:b/>
          <w:sz w:val="20"/>
          <w:szCs w:val="20"/>
          <w:lang w:val="en-CA"/>
        </w:rPr>
      </w:pPr>
    </w:p>
    <w:p w14:paraId="7865FAE4" w14:textId="77777777" w:rsidR="00A67B5D" w:rsidRDefault="00A67B5D" w:rsidP="007B3C6C">
      <w:pPr>
        <w:jc w:val="center"/>
        <w:rPr>
          <w:b/>
          <w:sz w:val="20"/>
          <w:szCs w:val="20"/>
          <w:lang w:val="en-CA"/>
        </w:rPr>
      </w:pPr>
    </w:p>
    <w:p w14:paraId="6864BEDB" w14:textId="77777777" w:rsidR="00A67B5D" w:rsidRDefault="00A67B5D" w:rsidP="007B3C6C">
      <w:pPr>
        <w:jc w:val="center"/>
        <w:rPr>
          <w:b/>
          <w:sz w:val="20"/>
          <w:szCs w:val="20"/>
          <w:lang w:val="en-CA"/>
        </w:rPr>
      </w:pPr>
    </w:p>
    <w:p w14:paraId="04409687" w14:textId="29F99F65" w:rsidR="007B3C6C" w:rsidRPr="00A53896" w:rsidRDefault="007B3C6C" w:rsidP="007B3C6C">
      <w:pPr>
        <w:jc w:val="center"/>
        <w:rPr>
          <w:b/>
          <w:sz w:val="20"/>
          <w:szCs w:val="20"/>
        </w:rPr>
      </w:pPr>
      <w:r w:rsidRPr="00A53896">
        <w:rPr>
          <w:b/>
          <w:sz w:val="20"/>
          <w:szCs w:val="20"/>
          <w:lang w:val="en-CA"/>
        </w:rPr>
        <w:lastRenderedPageBreak/>
        <w:t xml:space="preserve">Table 8: </w:t>
      </w:r>
      <w:r w:rsidRPr="00A53896">
        <w:rPr>
          <w:b/>
          <w:sz w:val="20"/>
          <w:szCs w:val="20"/>
        </w:rPr>
        <w:t>NAFTA Area Incoming Foreign Direct Investment (IFDI) and Foreign Direct Investment Outflows (OFDI) 1993-2013.</w:t>
      </w:r>
    </w:p>
    <w:p w14:paraId="3CDB5D29" w14:textId="77777777" w:rsidR="007B3C6C" w:rsidRPr="00A53896" w:rsidRDefault="007B3C6C" w:rsidP="007B3C6C">
      <w:pPr>
        <w:jc w:val="center"/>
        <w:rPr>
          <w:b/>
          <w:sz w:val="20"/>
          <w:szCs w:val="20"/>
          <w:lang w:val="en-CA"/>
        </w:rPr>
      </w:pPr>
      <w:r w:rsidRPr="00A53896">
        <w:rPr>
          <w:b/>
          <w:sz w:val="20"/>
          <w:szCs w:val="20"/>
        </w:rPr>
        <w:t xml:space="preserve">IFDI and OFDI in </w:t>
      </w:r>
      <w:r w:rsidRPr="00A53896">
        <w:rPr>
          <w:b/>
          <w:sz w:val="20"/>
          <w:szCs w:val="20"/>
          <w:lang w:val="en-CA"/>
        </w:rPr>
        <w:t>US Dollars at current prices and current exchange rates in millions.</w:t>
      </w:r>
    </w:p>
    <w:p w14:paraId="4691B680" w14:textId="77777777" w:rsidR="007B3C6C" w:rsidRPr="001645C5" w:rsidRDefault="007B3C6C" w:rsidP="007B3C6C">
      <w:pPr>
        <w:rPr>
          <w:sz w:val="20"/>
          <w:szCs w:val="20"/>
          <w:lang w:val="en-CA"/>
        </w:rPr>
      </w:pPr>
    </w:p>
    <w:tbl>
      <w:tblPr>
        <w:tblW w:w="0" w:type="auto"/>
        <w:jc w:val="center"/>
        <w:tblLook w:val="04A0" w:firstRow="1" w:lastRow="0" w:firstColumn="1" w:lastColumn="0" w:noHBand="0" w:noVBand="1"/>
      </w:tblPr>
      <w:tblGrid>
        <w:gridCol w:w="817"/>
        <w:gridCol w:w="1772"/>
        <w:gridCol w:w="1772"/>
      </w:tblGrid>
      <w:tr w:rsidR="007B3C6C" w:rsidRPr="001645C5" w14:paraId="65B38476" w14:textId="77777777" w:rsidTr="00BC2582">
        <w:trPr>
          <w:jc w:val="center"/>
        </w:trPr>
        <w:tc>
          <w:tcPr>
            <w:tcW w:w="817" w:type="dxa"/>
            <w:shd w:val="clear" w:color="auto" w:fill="auto"/>
          </w:tcPr>
          <w:p w14:paraId="5F1326B6" w14:textId="77777777" w:rsidR="007B3C6C" w:rsidRPr="001645C5" w:rsidRDefault="007B3C6C" w:rsidP="00BC2582">
            <w:pPr>
              <w:rPr>
                <w:b/>
                <w:sz w:val="20"/>
                <w:szCs w:val="20"/>
              </w:rPr>
            </w:pPr>
            <w:r w:rsidRPr="001645C5">
              <w:rPr>
                <w:b/>
                <w:sz w:val="20"/>
                <w:szCs w:val="20"/>
              </w:rPr>
              <w:t>Year</w:t>
            </w:r>
          </w:p>
        </w:tc>
        <w:tc>
          <w:tcPr>
            <w:tcW w:w="1772" w:type="dxa"/>
            <w:shd w:val="clear" w:color="auto" w:fill="auto"/>
          </w:tcPr>
          <w:p w14:paraId="7CC108A1" w14:textId="77777777" w:rsidR="007B3C6C" w:rsidRPr="001645C5" w:rsidRDefault="007B3C6C" w:rsidP="00BC2582">
            <w:pPr>
              <w:rPr>
                <w:sz w:val="20"/>
                <w:szCs w:val="20"/>
              </w:rPr>
            </w:pPr>
            <w:r w:rsidRPr="001645C5">
              <w:rPr>
                <w:b/>
                <w:sz w:val="20"/>
                <w:szCs w:val="20"/>
              </w:rPr>
              <w:t>NAFTA Area IFDI</w:t>
            </w:r>
          </w:p>
        </w:tc>
        <w:tc>
          <w:tcPr>
            <w:tcW w:w="1772" w:type="dxa"/>
            <w:shd w:val="clear" w:color="auto" w:fill="auto"/>
          </w:tcPr>
          <w:p w14:paraId="1474F3A4" w14:textId="77777777" w:rsidR="007B3C6C" w:rsidRPr="001645C5" w:rsidRDefault="007B3C6C" w:rsidP="00BC2582">
            <w:pPr>
              <w:rPr>
                <w:sz w:val="20"/>
                <w:szCs w:val="20"/>
              </w:rPr>
            </w:pPr>
            <w:r w:rsidRPr="001645C5">
              <w:rPr>
                <w:b/>
                <w:sz w:val="20"/>
                <w:szCs w:val="20"/>
              </w:rPr>
              <w:t>NAFTA Area OFDI</w:t>
            </w:r>
          </w:p>
        </w:tc>
      </w:tr>
      <w:tr w:rsidR="007B3C6C" w:rsidRPr="001645C5" w14:paraId="2E673AE6" w14:textId="77777777" w:rsidTr="00BC2582">
        <w:trPr>
          <w:jc w:val="center"/>
        </w:trPr>
        <w:tc>
          <w:tcPr>
            <w:tcW w:w="817" w:type="dxa"/>
            <w:shd w:val="clear" w:color="auto" w:fill="auto"/>
            <w:vAlign w:val="bottom"/>
          </w:tcPr>
          <w:p w14:paraId="32ED9150" w14:textId="77777777" w:rsidR="007B3C6C" w:rsidRPr="001645C5" w:rsidRDefault="007B3C6C" w:rsidP="00BC2582">
            <w:pPr>
              <w:rPr>
                <w:b/>
                <w:sz w:val="20"/>
                <w:szCs w:val="20"/>
              </w:rPr>
            </w:pPr>
            <w:r w:rsidRPr="001645C5">
              <w:rPr>
                <w:b/>
                <w:sz w:val="20"/>
                <w:szCs w:val="20"/>
              </w:rPr>
              <w:t>1993</w:t>
            </w:r>
          </w:p>
        </w:tc>
        <w:tc>
          <w:tcPr>
            <w:tcW w:w="1772" w:type="dxa"/>
            <w:shd w:val="clear" w:color="auto" w:fill="auto"/>
            <w:vAlign w:val="bottom"/>
          </w:tcPr>
          <w:p w14:paraId="5EEC79DC" w14:textId="77777777" w:rsidR="007B3C6C" w:rsidRPr="001645C5" w:rsidRDefault="007B3C6C" w:rsidP="00BC2582">
            <w:pPr>
              <w:rPr>
                <w:sz w:val="20"/>
                <w:szCs w:val="20"/>
              </w:rPr>
            </w:pPr>
            <w:r w:rsidRPr="001645C5">
              <w:rPr>
                <w:sz w:val="20"/>
                <w:szCs w:val="20"/>
              </w:rPr>
              <w:t>59783.387</w:t>
            </w:r>
          </w:p>
        </w:tc>
        <w:tc>
          <w:tcPr>
            <w:tcW w:w="1772" w:type="dxa"/>
            <w:shd w:val="clear" w:color="auto" w:fill="auto"/>
            <w:vAlign w:val="bottom"/>
          </w:tcPr>
          <w:p w14:paraId="310BD7EC" w14:textId="77777777" w:rsidR="007B3C6C" w:rsidRPr="001645C5" w:rsidRDefault="007B3C6C" w:rsidP="00BC2582">
            <w:pPr>
              <w:rPr>
                <w:sz w:val="20"/>
                <w:szCs w:val="20"/>
              </w:rPr>
            </w:pPr>
            <w:r w:rsidRPr="001645C5">
              <w:rPr>
                <w:sz w:val="20"/>
                <w:szCs w:val="20"/>
              </w:rPr>
              <w:t>82838.969</w:t>
            </w:r>
          </w:p>
        </w:tc>
      </w:tr>
      <w:tr w:rsidR="007B3C6C" w:rsidRPr="001645C5" w14:paraId="4A3E051B" w14:textId="77777777" w:rsidTr="00BC2582">
        <w:trPr>
          <w:jc w:val="center"/>
        </w:trPr>
        <w:tc>
          <w:tcPr>
            <w:tcW w:w="817" w:type="dxa"/>
            <w:shd w:val="clear" w:color="auto" w:fill="auto"/>
            <w:vAlign w:val="bottom"/>
          </w:tcPr>
          <w:p w14:paraId="494B4BF1" w14:textId="77777777" w:rsidR="007B3C6C" w:rsidRPr="001645C5" w:rsidRDefault="007B3C6C" w:rsidP="00BC2582">
            <w:pPr>
              <w:rPr>
                <w:b/>
                <w:sz w:val="20"/>
                <w:szCs w:val="20"/>
              </w:rPr>
            </w:pPr>
            <w:r w:rsidRPr="001645C5">
              <w:rPr>
                <w:b/>
                <w:sz w:val="20"/>
                <w:szCs w:val="20"/>
              </w:rPr>
              <w:t>1994</w:t>
            </w:r>
          </w:p>
        </w:tc>
        <w:tc>
          <w:tcPr>
            <w:tcW w:w="1772" w:type="dxa"/>
            <w:shd w:val="clear" w:color="auto" w:fill="auto"/>
            <w:vAlign w:val="bottom"/>
          </w:tcPr>
          <w:p w14:paraId="68AD33D7" w14:textId="77777777" w:rsidR="007B3C6C" w:rsidRPr="001645C5" w:rsidRDefault="007B3C6C" w:rsidP="00BC2582">
            <w:pPr>
              <w:rPr>
                <w:sz w:val="20"/>
                <w:szCs w:val="20"/>
              </w:rPr>
            </w:pPr>
            <w:r w:rsidRPr="001645C5">
              <w:rPr>
                <w:sz w:val="20"/>
                <w:szCs w:val="20"/>
              </w:rPr>
              <w:t>64271.616</w:t>
            </w:r>
          </w:p>
        </w:tc>
        <w:tc>
          <w:tcPr>
            <w:tcW w:w="1772" w:type="dxa"/>
            <w:shd w:val="clear" w:color="auto" w:fill="auto"/>
            <w:vAlign w:val="bottom"/>
          </w:tcPr>
          <w:p w14:paraId="57AAB065" w14:textId="77777777" w:rsidR="007B3C6C" w:rsidRPr="001645C5" w:rsidRDefault="007B3C6C" w:rsidP="00BC2582">
            <w:pPr>
              <w:rPr>
                <w:sz w:val="20"/>
                <w:szCs w:val="20"/>
              </w:rPr>
            </w:pPr>
            <w:r w:rsidRPr="001645C5">
              <w:rPr>
                <w:sz w:val="20"/>
                <w:szCs w:val="20"/>
              </w:rPr>
              <w:t>83603.506</w:t>
            </w:r>
          </w:p>
        </w:tc>
      </w:tr>
      <w:tr w:rsidR="007B3C6C" w:rsidRPr="001645C5" w14:paraId="3A2112C3" w14:textId="77777777" w:rsidTr="00BC2582">
        <w:trPr>
          <w:jc w:val="center"/>
        </w:trPr>
        <w:tc>
          <w:tcPr>
            <w:tcW w:w="817" w:type="dxa"/>
            <w:shd w:val="clear" w:color="auto" w:fill="auto"/>
            <w:vAlign w:val="bottom"/>
          </w:tcPr>
          <w:p w14:paraId="4856C4A9" w14:textId="77777777" w:rsidR="007B3C6C" w:rsidRPr="001645C5" w:rsidRDefault="007B3C6C" w:rsidP="00BC2582">
            <w:pPr>
              <w:rPr>
                <w:b/>
                <w:sz w:val="20"/>
                <w:szCs w:val="20"/>
              </w:rPr>
            </w:pPr>
            <w:r w:rsidRPr="001645C5">
              <w:rPr>
                <w:b/>
                <w:sz w:val="20"/>
                <w:szCs w:val="20"/>
              </w:rPr>
              <w:t>1995</w:t>
            </w:r>
          </w:p>
        </w:tc>
        <w:tc>
          <w:tcPr>
            <w:tcW w:w="1772" w:type="dxa"/>
            <w:shd w:val="clear" w:color="auto" w:fill="auto"/>
            <w:vAlign w:val="bottom"/>
          </w:tcPr>
          <w:p w14:paraId="43C357CB" w14:textId="77777777" w:rsidR="007B3C6C" w:rsidRPr="001645C5" w:rsidRDefault="007B3C6C" w:rsidP="00BC2582">
            <w:pPr>
              <w:rPr>
                <w:sz w:val="20"/>
                <w:szCs w:val="20"/>
              </w:rPr>
            </w:pPr>
            <w:r w:rsidRPr="001645C5">
              <w:rPr>
                <w:sz w:val="20"/>
                <w:szCs w:val="20"/>
              </w:rPr>
              <w:t>77553.072</w:t>
            </w:r>
          </w:p>
        </w:tc>
        <w:tc>
          <w:tcPr>
            <w:tcW w:w="1772" w:type="dxa"/>
            <w:shd w:val="clear" w:color="auto" w:fill="auto"/>
            <w:vAlign w:val="bottom"/>
          </w:tcPr>
          <w:p w14:paraId="380BDCC4" w14:textId="77777777" w:rsidR="007B3C6C" w:rsidRPr="001645C5" w:rsidRDefault="007B3C6C" w:rsidP="00BC2582">
            <w:pPr>
              <w:rPr>
                <w:sz w:val="20"/>
                <w:szCs w:val="20"/>
              </w:rPr>
            </w:pPr>
            <w:r w:rsidRPr="001645C5">
              <w:rPr>
                <w:sz w:val="20"/>
                <w:szCs w:val="20"/>
              </w:rPr>
              <w:t>103272.606</w:t>
            </w:r>
          </w:p>
        </w:tc>
      </w:tr>
      <w:tr w:rsidR="007B3C6C" w:rsidRPr="001645C5" w14:paraId="48DDB3A5" w14:textId="77777777" w:rsidTr="00BC2582">
        <w:trPr>
          <w:jc w:val="center"/>
        </w:trPr>
        <w:tc>
          <w:tcPr>
            <w:tcW w:w="817" w:type="dxa"/>
            <w:shd w:val="clear" w:color="auto" w:fill="auto"/>
            <w:vAlign w:val="bottom"/>
          </w:tcPr>
          <w:p w14:paraId="21D9883A" w14:textId="77777777" w:rsidR="007B3C6C" w:rsidRPr="001645C5" w:rsidRDefault="007B3C6C" w:rsidP="00BC2582">
            <w:pPr>
              <w:rPr>
                <w:b/>
                <w:sz w:val="20"/>
                <w:szCs w:val="20"/>
              </w:rPr>
            </w:pPr>
            <w:r w:rsidRPr="001645C5">
              <w:rPr>
                <w:b/>
                <w:sz w:val="20"/>
                <w:szCs w:val="20"/>
              </w:rPr>
              <w:t>1996</w:t>
            </w:r>
          </w:p>
        </w:tc>
        <w:tc>
          <w:tcPr>
            <w:tcW w:w="1772" w:type="dxa"/>
            <w:shd w:val="clear" w:color="auto" w:fill="auto"/>
            <w:vAlign w:val="bottom"/>
          </w:tcPr>
          <w:p w14:paraId="314BD431" w14:textId="77777777" w:rsidR="007B3C6C" w:rsidRPr="001645C5" w:rsidRDefault="007B3C6C" w:rsidP="00BC2582">
            <w:pPr>
              <w:rPr>
                <w:sz w:val="20"/>
                <w:szCs w:val="20"/>
              </w:rPr>
            </w:pPr>
            <w:r w:rsidRPr="001645C5">
              <w:rPr>
                <w:sz w:val="20"/>
                <w:szCs w:val="20"/>
              </w:rPr>
              <w:t>103274.215</w:t>
            </w:r>
          </w:p>
        </w:tc>
        <w:tc>
          <w:tcPr>
            <w:tcW w:w="1772" w:type="dxa"/>
            <w:shd w:val="clear" w:color="auto" w:fill="auto"/>
            <w:vAlign w:val="bottom"/>
          </w:tcPr>
          <w:p w14:paraId="45181B57" w14:textId="77777777" w:rsidR="007B3C6C" w:rsidRPr="001645C5" w:rsidRDefault="007B3C6C" w:rsidP="00BC2582">
            <w:pPr>
              <w:rPr>
                <w:sz w:val="20"/>
                <w:szCs w:val="20"/>
              </w:rPr>
            </w:pPr>
            <w:r w:rsidRPr="001645C5">
              <w:rPr>
                <w:sz w:val="20"/>
                <w:szCs w:val="20"/>
              </w:rPr>
              <w:t>97560.216</w:t>
            </w:r>
          </w:p>
        </w:tc>
      </w:tr>
      <w:tr w:rsidR="007B3C6C" w:rsidRPr="001645C5" w14:paraId="716F319D" w14:textId="77777777" w:rsidTr="00BC2582">
        <w:trPr>
          <w:jc w:val="center"/>
        </w:trPr>
        <w:tc>
          <w:tcPr>
            <w:tcW w:w="817" w:type="dxa"/>
            <w:shd w:val="clear" w:color="auto" w:fill="auto"/>
            <w:vAlign w:val="bottom"/>
          </w:tcPr>
          <w:p w14:paraId="7C418F03" w14:textId="77777777" w:rsidR="007B3C6C" w:rsidRPr="001645C5" w:rsidRDefault="007B3C6C" w:rsidP="00BC2582">
            <w:pPr>
              <w:rPr>
                <w:b/>
                <w:sz w:val="20"/>
                <w:szCs w:val="20"/>
              </w:rPr>
            </w:pPr>
            <w:r w:rsidRPr="001645C5">
              <w:rPr>
                <w:b/>
                <w:sz w:val="20"/>
                <w:szCs w:val="20"/>
              </w:rPr>
              <w:t>1997</w:t>
            </w:r>
          </w:p>
        </w:tc>
        <w:tc>
          <w:tcPr>
            <w:tcW w:w="1772" w:type="dxa"/>
            <w:shd w:val="clear" w:color="auto" w:fill="auto"/>
            <w:vAlign w:val="bottom"/>
          </w:tcPr>
          <w:p w14:paraId="7A1870A1" w14:textId="77777777" w:rsidR="007B3C6C" w:rsidRPr="001645C5" w:rsidRDefault="007B3C6C" w:rsidP="00BC2582">
            <w:pPr>
              <w:rPr>
                <w:sz w:val="20"/>
                <w:szCs w:val="20"/>
              </w:rPr>
            </w:pPr>
            <w:r w:rsidRPr="001645C5">
              <w:rPr>
                <w:sz w:val="20"/>
                <w:szCs w:val="20"/>
              </w:rPr>
              <w:t>127752.7398</w:t>
            </w:r>
          </w:p>
        </w:tc>
        <w:tc>
          <w:tcPr>
            <w:tcW w:w="1772" w:type="dxa"/>
            <w:shd w:val="clear" w:color="auto" w:fill="auto"/>
            <w:vAlign w:val="bottom"/>
          </w:tcPr>
          <w:p w14:paraId="16A5CB26" w14:textId="77777777" w:rsidR="007B3C6C" w:rsidRPr="001645C5" w:rsidRDefault="007B3C6C" w:rsidP="00BC2582">
            <w:pPr>
              <w:rPr>
                <w:sz w:val="20"/>
                <w:szCs w:val="20"/>
              </w:rPr>
            </w:pPr>
            <w:r w:rsidRPr="001645C5">
              <w:rPr>
                <w:sz w:val="20"/>
                <w:szCs w:val="20"/>
              </w:rPr>
              <w:t>119942.5342</w:t>
            </w:r>
          </w:p>
        </w:tc>
      </w:tr>
      <w:tr w:rsidR="007B3C6C" w:rsidRPr="001645C5" w14:paraId="7C7FA528" w14:textId="77777777" w:rsidTr="00BC2582">
        <w:trPr>
          <w:jc w:val="center"/>
        </w:trPr>
        <w:tc>
          <w:tcPr>
            <w:tcW w:w="817" w:type="dxa"/>
            <w:shd w:val="clear" w:color="auto" w:fill="auto"/>
            <w:vAlign w:val="bottom"/>
          </w:tcPr>
          <w:p w14:paraId="51CF58CF" w14:textId="77777777" w:rsidR="007B3C6C" w:rsidRPr="001645C5" w:rsidRDefault="007B3C6C" w:rsidP="00BC2582">
            <w:pPr>
              <w:rPr>
                <w:b/>
                <w:sz w:val="20"/>
                <w:szCs w:val="20"/>
              </w:rPr>
            </w:pPr>
            <w:r w:rsidRPr="001645C5">
              <w:rPr>
                <w:b/>
                <w:sz w:val="20"/>
                <w:szCs w:val="20"/>
              </w:rPr>
              <w:t>1998</w:t>
            </w:r>
          </w:p>
        </w:tc>
        <w:tc>
          <w:tcPr>
            <w:tcW w:w="1772" w:type="dxa"/>
            <w:shd w:val="clear" w:color="auto" w:fill="auto"/>
            <w:vAlign w:val="bottom"/>
          </w:tcPr>
          <w:p w14:paraId="1A8ED1F2" w14:textId="77777777" w:rsidR="007B3C6C" w:rsidRPr="001645C5" w:rsidRDefault="007B3C6C" w:rsidP="00BC2582">
            <w:pPr>
              <w:rPr>
                <w:sz w:val="20"/>
                <w:szCs w:val="20"/>
              </w:rPr>
            </w:pPr>
            <w:r w:rsidRPr="001645C5">
              <w:rPr>
                <w:sz w:val="20"/>
                <w:szCs w:val="20"/>
              </w:rPr>
              <w:t>209994.206</w:t>
            </w:r>
          </w:p>
        </w:tc>
        <w:tc>
          <w:tcPr>
            <w:tcW w:w="1772" w:type="dxa"/>
            <w:shd w:val="clear" w:color="auto" w:fill="auto"/>
            <w:vAlign w:val="bottom"/>
          </w:tcPr>
          <w:p w14:paraId="7418F519" w14:textId="77777777" w:rsidR="007B3C6C" w:rsidRPr="001645C5" w:rsidRDefault="007B3C6C" w:rsidP="00BC2582">
            <w:pPr>
              <w:rPr>
                <w:sz w:val="20"/>
                <w:szCs w:val="20"/>
              </w:rPr>
            </w:pPr>
            <w:r w:rsidRPr="001645C5">
              <w:rPr>
                <w:sz w:val="20"/>
                <w:szCs w:val="20"/>
              </w:rPr>
              <w:t>166717.1004</w:t>
            </w:r>
          </w:p>
        </w:tc>
      </w:tr>
      <w:tr w:rsidR="007B3C6C" w:rsidRPr="001645C5" w14:paraId="42BFD7D0" w14:textId="77777777" w:rsidTr="00BC2582">
        <w:trPr>
          <w:jc w:val="center"/>
        </w:trPr>
        <w:tc>
          <w:tcPr>
            <w:tcW w:w="817" w:type="dxa"/>
            <w:shd w:val="clear" w:color="auto" w:fill="auto"/>
            <w:vAlign w:val="bottom"/>
          </w:tcPr>
          <w:p w14:paraId="47EFF115" w14:textId="77777777" w:rsidR="007B3C6C" w:rsidRPr="001645C5" w:rsidRDefault="007B3C6C" w:rsidP="00BC2582">
            <w:pPr>
              <w:rPr>
                <w:b/>
                <w:sz w:val="20"/>
                <w:szCs w:val="20"/>
              </w:rPr>
            </w:pPr>
            <w:r w:rsidRPr="001645C5">
              <w:rPr>
                <w:b/>
                <w:sz w:val="20"/>
                <w:szCs w:val="20"/>
              </w:rPr>
              <w:t>1999</w:t>
            </w:r>
          </w:p>
        </w:tc>
        <w:tc>
          <w:tcPr>
            <w:tcW w:w="1772" w:type="dxa"/>
            <w:shd w:val="clear" w:color="auto" w:fill="auto"/>
            <w:vAlign w:val="bottom"/>
          </w:tcPr>
          <w:p w14:paraId="5B008EB7" w14:textId="77777777" w:rsidR="007B3C6C" w:rsidRPr="001645C5" w:rsidRDefault="007B3C6C" w:rsidP="00BC2582">
            <w:pPr>
              <w:rPr>
                <w:sz w:val="20"/>
                <w:szCs w:val="20"/>
              </w:rPr>
            </w:pPr>
            <w:r w:rsidRPr="001645C5">
              <w:rPr>
                <w:sz w:val="20"/>
                <w:szCs w:val="20"/>
              </w:rPr>
              <w:t>322059.7702</w:t>
            </w:r>
          </w:p>
        </w:tc>
        <w:tc>
          <w:tcPr>
            <w:tcW w:w="1772" w:type="dxa"/>
            <w:shd w:val="clear" w:color="auto" w:fill="auto"/>
            <w:vAlign w:val="bottom"/>
          </w:tcPr>
          <w:p w14:paraId="3F6FE563" w14:textId="77777777" w:rsidR="007B3C6C" w:rsidRPr="001645C5" w:rsidRDefault="007B3C6C" w:rsidP="00BC2582">
            <w:pPr>
              <w:rPr>
                <w:sz w:val="20"/>
                <w:szCs w:val="20"/>
              </w:rPr>
            </w:pPr>
            <w:r w:rsidRPr="001645C5">
              <w:rPr>
                <w:sz w:val="20"/>
                <w:szCs w:val="20"/>
              </w:rPr>
              <w:t>228539.0137</w:t>
            </w:r>
          </w:p>
        </w:tc>
      </w:tr>
      <w:tr w:rsidR="007B3C6C" w:rsidRPr="001645C5" w14:paraId="07C8C49A" w14:textId="77777777" w:rsidTr="00BC2582">
        <w:trPr>
          <w:jc w:val="center"/>
        </w:trPr>
        <w:tc>
          <w:tcPr>
            <w:tcW w:w="817" w:type="dxa"/>
            <w:shd w:val="clear" w:color="auto" w:fill="auto"/>
            <w:vAlign w:val="bottom"/>
          </w:tcPr>
          <w:p w14:paraId="54C72007" w14:textId="77777777" w:rsidR="007B3C6C" w:rsidRPr="001645C5" w:rsidRDefault="007B3C6C" w:rsidP="00BC2582">
            <w:pPr>
              <w:rPr>
                <w:b/>
                <w:sz w:val="20"/>
                <w:szCs w:val="20"/>
              </w:rPr>
            </w:pPr>
            <w:r w:rsidRPr="001645C5">
              <w:rPr>
                <w:b/>
                <w:sz w:val="20"/>
                <w:szCs w:val="20"/>
              </w:rPr>
              <w:t>2000</w:t>
            </w:r>
          </w:p>
        </w:tc>
        <w:tc>
          <w:tcPr>
            <w:tcW w:w="1772" w:type="dxa"/>
            <w:shd w:val="clear" w:color="auto" w:fill="auto"/>
            <w:vAlign w:val="bottom"/>
          </w:tcPr>
          <w:p w14:paraId="762481BC" w14:textId="77777777" w:rsidR="007B3C6C" w:rsidRPr="001645C5" w:rsidRDefault="007B3C6C" w:rsidP="00BC2582">
            <w:pPr>
              <w:rPr>
                <w:sz w:val="20"/>
                <w:szCs w:val="20"/>
              </w:rPr>
            </w:pPr>
            <w:r w:rsidRPr="001645C5">
              <w:rPr>
                <w:sz w:val="20"/>
                <w:szCs w:val="20"/>
              </w:rPr>
              <w:t>399105.1602</w:t>
            </w:r>
          </w:p>
        </w:tc>
        <w:tc>
          <w:tcPr>
            <w:tcW w:w="1772" w:type="dxa"/>
            <w:shd w:val="clear" w:color="auto" w:fill="auto"/>
            <w:vAlign w:val="bottom"/>
          </w:tcPr>
          <w:p w14:paraId="7191F74A" w14:textId="77777777" w:rsidR="007B3C6C" w:rsidRPr="001645C5" w:rsidRDefault="007B3C6C" w:rsidP="00BC2582">
            <w:pPr>
              <w:rPr>
                <w:sz w:val="20"/>
                <w:szCs w:val="20"/>
              </w:rPr>
            </w:pPr>
            <w:r w:rsidRPr="001645C5">
              <w:rPr>
                <w:sz w:val="20"/>
                <w:szCs w:val="20"/>
              </w:rPr>
              <w:t>187667.272</w:t>
            </w:r>
          </w:p>
        </w:tc>
      </w:tr>
      <w:tr w:rsidR="007B3C6C" w:rsidRPr="001645C5" w14:paraId="7FC38E70" w14:textId="77777777" w:rsidTr="00BC2582">
        <w:trPr>
          <w:jc w:val="center"/>
        </w:trPr>
        <w:tc>
          <w:tcPr>
            <w:tcW w:w="817" w:type="dxa"/>
            <w:shd w:val="clear" w:color="auto" w:fill="auto"/>
            <w:vAlign w:val="bottom"/>
          </w:tcPr>
          <w:p w14:paraId="3C2AFF05" w14:textId="77777777" w:rsidR="007B3C6C" w:rsidRPr="001645C5" w:rsidRDefault="007B3C6C" w:rsidP="00BC2582">
            <w:pPr>
              <w:rPr>
                <w:b/>
                <w:sz w:val="20"/>
                <w:szCs w:val="20"/>
              </w:rPr>
            </w:pPr>
            <w:r w:rsidRPr="001645C5">
              <w:rPr>
                <w:b/>
                <w:sz w:val="20"/>
                <w:szCs w:val="20"/>
              </w:rPr>
              <w:t>2001</w:t>
            </w:r>
          </w:p>
        </w:tc>
        <w:tc>
          <w:tcPr>
            <w:tcW w:w="1772" w:type="dxa"/>
            <w:shd w:val="clear" w:color="auto" w:fill="auto"/>
            <w:vAlign w:val="bottom"/>
          </w:tcPr>
          <w:p w14:paraId="588629B3" w14:textId="77777777" w:rsidR="007B3C6C" w:rsidRPr="001645C5" w:rsidRDefault="007B3C6C" w:rsidP="00BC2582">
            <w:pPr>
              <w:rPr>
                <w:sz w:val="20"/>
                <w:szCs w:val="20"/>
              </w:rPr>
            </w:pPr>
            <w:r w:rsidRPr="001645C5">
              <w:rPr>
                <w:sz w:val="20"/>
                <w:szCs w:val="20"/>
              </w:rPr>
              <w:t>217156.4291</w:t>
            </w:r>
          </w:p>
        </w:tc>
        <w:tc>
          <w:tcPr>
            <w:tcW w:w="1772" w:type="dxa"/>
            <w:shd w:val="clear" w:color="auto" w:fill="auto"/>
            <w:vAlign w:val="bottom"/>
          </w:tcPr>
          <w:p w14:paraId="2DFA8B6D" w14:textId="77777777" w:rsidR="007B3C6C" w:rsidRPr="001645C5" w:rsidRDefault="007B3C6C" w:rsidP="00BC2582">
            <w:pPr>
              <w:rPr>
                <w:sz w:val="20"/>
                <w:szCs w:val="20"/>
              </w:rPr>
            </w:pPr>
            <w:r w:rsidRPr="001645C5">
              <w:rPr>
                <w:sz w:val="20"/>
                <w:szCs w:val="20"/>
              </w:rPr>
              <w:t>165305.7801</w:t>
            </w:r>
          </w:p>
        </w:tc>
      </w:tr>
      <w:tr w:rsidR="007B3C6C" w:rsidRPr="001645C5" w14:paraId="1043F778" w14:textId="77777777" w:rsidTr="00BC2582">
        <w:trPr>
          <w:jc w:val="center"/>
        </w:trPr>
        <w:tc>
          <w:tcPr>
            <w:tcW w:w="817" w:type="dxa"/>
            <w:shd w:val="clear" w:color="auto" w:fill="auto"/>
            <w:vAlign w:val="bottom"/>
          </w:tcPr>
          <w:p w14:paraId="0C3C6796" w14:textId="77777777" w:rsidR="007B3C6C" w:rsidRPr="001645C5" w:rsidRDefault="007B3C6C" w:rsidP="00BC2582">
            <w:pPr>
              <w:rPr>
                <w:b/>
                <w:sz w:val="20"/>
                <w:szCs w:val="20"/>
              </w:rPr>
            </w:pPr>
            <w:r w:rsidRPr="001645C5">
              <w:rPr>
                <w:b/>
                <w:sz w:val="20"/>
                <w:szCs w:val="20"/>
              </w:rPr>
              <w:t>2002</w:t>
            </w:r>
          </w:p>
        </w:tc>
        <w:tc>
          <w:tcPr>
            <w:tcW w:w="1772" w:type="dxa"/>
            <w:shd w:val="clear" w:color="auto" w:fill="auto"/>
            <w:vAlign w:val="bottom"/>
          </w:tcPr>
          <w:p w14:paraId="045E9394" w14:textId="77777777" w:rsidR="007B3C6C" w:rsidRPr="001645C5" w:rsidRDefault="007B3C6C" w:rsidP="00BC2582">
            <w:pPr>
              <w:rPr>
                <w:sz w:val="20"/>
                <w:szCs w:val="20"/>
              </w:rPr>
            </w:pPr>
            <w:r w:rsidRPr="001645C5">
              <w:rPr>
                <w:sz w:val="20"/>
                <w:szCs w:val="20"/>
              </w:rPr>
              <w:t>120648.4449</w:t>
            </w:r>
          </w:p>
        </w:tc>
        <w:tc>
          <w:tcPr>
            <w:tcW w:w="1772" w:type="dxa"/>
            <w:shd w:val="clear" w:color="auto" w:fill="auto"/>
            <w:vAlign w:val="bottom"/>
          </w:tcPr>
          <w:p w14:paraId="3B503D14" w14:textId="77777777" w:rsidR="007B3C6C" w:rsidRPr="001645C5" w:rsidRDefault="007B3C6C" w:rsidP="00BC2582">
            <w:pPr>
              <w:rPr>
                <w:sz w:val="20"/>
                <w:szCs w:val="20"/>
              </w:rPr>
            </w:pPr>
            <w:r w:rsidRPr="001645C5">
              <w:rPr>
                <w:sz w:val="20"/>
                <w:szCs w:val="20"/>
              </w:rPr>
              <w:t>162609.5373</w:t>
            </w:r>
          </w:p>
        </w:tc>
      </w:tr>
      <w:tr w:rsidR="007B3C6C" w:rsidRPr="001645C5" w14:paraId="705B6D57" w14:textId="77777777" w:rsidTr="00BC2582">
        <w:trPr>
          <w:jc w:val="center"/>
        </w:trPr>
        <w:tc>
          <w:tcPr>
            <w:tcW w:w="817" w:type="dxa"/>
            <w:shd w:val="clear" w:color="auto" w:fill="auto"/>
            <w:vAlign w:val="bottom"/>
          </w:tcPr>
          <w:p w14:paraId="1A7969D9" w14:textId="77777777" w:rsidR="007B3C6C" w:rsidRPr="001645C5" w:rsidRDefault="007B3C6C" w:rsidP="00BC2582">
            <w:pPr>
              <w:rPr>
                <w:b/>
                <w:sz w:val="20"/>
                <w:szCs w:val="20"/>
              </w:rPr>
            </w:pPr>
            <w:r w:rsidRPr="001645C5">
              <w:rPr>
                <w:b/>
                <w:sz w:val="20"/>
                <w:szCs w:val="20"/>
              </w:rPr>
              <w:t>2003</w:t>
            </w:r>
          </w:p>
        </w:tc>
        <w:tc>
          <w:tcPr>
            <w:tcW w:w="1772" w:type="dxa"/>
            <w:shd w:val="clear" w:color="auto" w:fill="auto"/>
            <w:vAlign w:val="bottom"/>
          </w:tcPr>
          <w:p w14:paraId="3EDE6699" w14:textId="77777777" w:rsidR="007B3C6C" w:rsidRPr="001645C5" w:rsidRDefault="007B3C6C" w:rsidP="00BC2582">
            <w:pPr>
              <w:rPr>
                <w:sz w:val="20"/>
                <w:szCs w:val="20"/>
              </w:rPr>
            </w:pPr>
            <w:r w:rsidRPr="001645C5">
              <w:rPr>
                <w:sz w:val="20"/>
                <w:szCs w:val="20"/>
              </w:rPr>
              <w:t>79518.83546</w:t>
            </w:r>
          </w:p>
        </w:tc>
        <w:tc>
          <w:tcPr>
            <w:tcW w:w="1772" w:type="dxa"/>
            <w:shd w:val="clear" w:color="auto" w:fill="auto"/>
            <w:vAlign w:val="bottom"/>
          </w:tcPr>
          <w:p w14:paraId="7512E155" w14:textId="77777777" w:rsidR="007B3C6C" w:rsidRPr="001645C5" w:rsidRDefault="007B3C6C" w:rsidP="00BC2582">
            <w:pPr>
              <w:rPr>
                <w:sz w:val="20"/>
                <w:szCs w:val="20"/>
              </w:rPr>
            </w:pPr>
            <w:r w:rsidRPr="001645C5">
              <w:rPr>
                <w:sz w:val="20"/>
                <w:szCs w:val="20"/>
              </w:rPr>
              <w:t>153529.6994</w:t>
            </w:r>
          </w:p>
        </w:tc>
      </w:tr>
      <w:tr w:rsidR="007B3C6C" w:rsidRPr="001645C5" w14:paraId="79080213" w14:textId="77777777" w:rsidTr="00BC2582">
        <w:trPr>
          <w:jc w:val="center"/>
        </w:trPr>
        <w:tc>
          <w:tcPr>
            <w:tcW w:w="817" w:type="dxa"/>
            <w:shd w:val="clear" w:color="auto" w:fill="auto"/>
            <w:vAlign w:val="bottom"/>
          </w:tcPr>
          <w:p w14:paraId="7E7E9F5C" w14:textId="77777777" w:rsidR="007B3C6C" w:rsidRPr="001645C5" w:rsidRDefault="007B3C6C" w:rsidP="00BC2582">
            <w:pPr>
              <w:rPr>
                <w:b/>
                <w:sz w:val="20"/>
                <w:szCs w:val="20"/>
              </w:rPr>
            </w:pPr>
            <w:r w:rsidRPr="001645C5">
              <w:rPr>
                <w:b/>
                <w:sz w:val="20"/>
                <w:szCs w:val="20"/>
              </w:rPr>
              <w:t>2004</w:t>
            </w:r>
          </w:p>
        </w:tc>
        <w:tc>
          <w:tcPr>
            <w:tcW w:w="1772" w:type="dxa"/>
            <w:shd w:val="clear" w:color="auto" w:fill="auto"/>
            <w:vAlign w:val="bottom"/>
          </w:tcPr>
          <w:p w14:paraId="5AB476E5" w14:textId="77777777" w:rsidR="007B3C6C" w:rsidRPr="001645C5" w:rsidRDefault="007B3C6C" w:rsidP="00BC2582">
            <w:pPr>
              <w:rPr>
                <w:sz w:val="20"/>
                <w:szCs w:val="20"/>
              </w:rPr>
            </w:pPr>
            <w:r w:rsidRPr="001645C5">
              <w:rPr>
                <w:sz w:val="20"/>
                <w:szCs w:val="20"/>
              </w:rPr>
              <w:t>160510.9426</w:t>
            </w:r>
          </w:p>
        </w:tc>
        <w:tc>
          <w:tcPr>
            <w:tcW w:w="1772" w:type="dxa"/>
            <w:shd w:val="clear" w:color="auto" w:fill="auto"/>
            <w:vAlign w:val="bottom"/>
          </w:tcPr>
          <w:p w14:paraId="58420D60" w14:textId="77777777" w:rsidR="007B3C6C" w:rsidRPr="001645C5" w:rsidRDefault="007B3C6C" w:rsidP="00BC2582">
            <w:pPr>
              <w:rPr>
                <w:sz w:val="20"/>
                <w:szCs w:val="20"/>
              </w:rPr>
            </w:pPr>
            <w:r w:rsidRPr="001645C5">
              <w:rPr>
                <w:sz w:val="20"/>
                <w:szCs w:val="20"/>
              </w:rPr>
              <w:t>342683.6647</w:t>
            </w:r>
          </w:p>
        </w:tc>
      </w:tr>
      <w:tr w:rsidR="007B3C6C" w:rsidRPr="001645C5" w14:paraId="1201C3E1" w14:textId="77777777" w:rsidTr="00BC2582">
        <w:trPr>
          <w:jc w:val="center"/>
        </w:trPr>
        <w:tc>
          <w:tcPr>
            <w:tcW w:w="817" w:type="dxa"/>
            <w:shd w:val="clear" w:color="auto" w:fill="auto"/>
            <w:vAlign w:val="bottom"/>
          </w:tcPr>
          <w:p w14:paraId="434489D0" w14:textId="77777777" w:rsidR="007B3C6C" w:rsidRPr="001645C5" w:rsidRDefault="007B3C6C" w:rsidP="00BC2582">
            <w:pPr>
              <w:rPr>
                <w:b/>
                <w:sz w:val="20"/>
                <w:szCs w:val="20"/>
              </w:rPr>
            </w:pPr>
            <w:r w:rsidRPr="001645C5">
              <w:rPr>
                <w:b/>
                <w:sz w:val="20"/>
                <w:szCs w:val="20"/>
              </w:rPr>
              <w:t>2005</w:t>
            </w:r>
          </w:p>
        </w:tc>
        <w:tc>
          <w:tcPr>
            <w:tcW w:w="1772" w:type="dxa"/>
            <w:shd w:val="clear" w:color="auto" w:fill="auto"/>
            <w:vAlign w:val="bottom"/>
          </w:tcPr>
          <w:p w14:paraId="3767D498" w14:textId="77777777" w:rsidR="007B3C6C" w:rsidRPr="001645C5" w:rsidRDefault="007B3C6C" w:rsidP="00BC2582">
            <w:pPr>
              <w:rPr>
                <w:sz w:val="20"/>
                <w:szCs w:val="20"/>
              </w:rPr>
            </w:pPr>
            <w:r w:rsidRPr="001645C5">
              <w:rPr>
                <w:sz w:val="20"/>
                <w:szCs w:val="20"/>
              </w:rPr>
              <w:t>155199.0041</w:t>
            </w:r>
          </w:p>
        </w:tc>
        <w:tc>
          <w:tcPr>
            <w:tcW w:w="1772" w:type="dxa"/>
            <w:shd w:val="clear" w:color="auto" w:fill="auto"/>
            <w:vAlign w:val="bottom"/>
          </w:tcPr>
          <w:p w14:paraId="25539181" w14:textId="77777777" w:rsidR="007B3C6C" w:rsidRPr="001645C5" w:rsidRDefault="007B3C6C" w:rsidP="00BC2582">
            <w:pPr>
              <w:rPr>
                <w:sz w:val="20"/>
                <w:szCs w:val="20"/>
              </w:rPr>
            </w:pPr>
            <w:r w:rsidRPr="001645C5">
              <w:rPr>
                <w:sz w:val="20"/>
                <w:szCs w:val="20"/>
              </w:rPr>
              <w:t>49381.45246</w:t>
            </w:r>
          </w:p>
        </w:tc>
      </w:tr>
      <w:tr w:rsidR="007B3C6C" w:rsidRPr="001645C5" w14:paraId="07F29150" w14:textId="77777777" w:rsidTr="00BC2582">
        <w:trPr>
          <w:jc w:val="center"/>
        </w:trPr>
        <w:tc>
          <w:tcPr>
            <w:tcW w:w="817" w:type="dxa"/>
            <w:shd w:val="clear" w:color="auto" w:fill="auto"/>
            <w:vAlign w:val="bottom"/>
          </w:tcPr>
          <w:p w14:paraId="68C44330" w14:textId="77777777" w:rsidR="007B3C6C" w:rsidRPr="001645C5" w:rsidRDefault="007B3C6C" w:rsidP="00BC2582">
            <w:pPr>
              <w:rPr>
                <w:b/>
                <w:sz w:val="20"/>
                <w:szCs w:val="20"/>
              </w:rPr>
            </w:pPr>
            <w:r w:rsidRPr="001645C5">
              <w:rPr>
                <w:b/>
                <w:sz w:val="20"/>
                <w:szCs w:val="20"/>
              </w:rPr>
              <w:t>2006</w:t>
            </w:r>
          </w:p>
        </w:tc>
        <w:tc>
          <w:tcPr>
            <w:tcW w:w="1772" w:type="dxa"/>
            <w:shd w:val="clear" w:color="auto" w:fill="auto"/>
            <w:vAlign w:val="bottom"/>
          </w:tcPr>
          <w:p w14:paraId="4C5267F8" w14:textId="77777777" w:rsidR="007B3C6C" w:rsidRPr="001645C5" w:rsidRDefault="007B3C6C" w:rsidP="00BC2582">
            <w:pPr>
              <w:rPr>
                <w:sz w:val="20"/>
                <w:szCs w:val="20"/>
              </w:rPr>
            </w:pPr>
            <w:r w:rsidRPr="001645C5">
              <w:rPr>
                <w:sz w:val="20"/>
                <w:szCs w:val="20"/>
              </w:rPr>
              <w:t>318412.1632</w:t>
            </w:r>
          </w:p>
        </w:tc>
        <w:tc>
          <w:tcPr>
            <w:tcW w:w="1772" w:type="dxa"/>
            <w:shd w:val="clear" w:color="auto" w:fill="auto"/>
            <w:vAlign w:val="bottom"/>
          </w:tcPr>
          <w:p w14:paraId="106B85A4" w14:textId="77777777" w:rsidR="007B3C6C" w:rsidRPr="001645C5" w:rsidRDefault="007B3C6C" w:rsidP="00BC2582">
            <w:pPr>
              <w:rPr>
                <w:sz w:val="20"/>
                <w:szCs w:val="20"/>
              </w:rPr>
            </w:pPr>
            <w:r w:rsidRPr="001645C5">
              <w:rPr>
                <w:sz w:val="20"/>
                <w:szCs w:val="20"/>
              </w:rPr>
              <w:t>276192.204</w:t>
            </w:r>
          </w:p>
        </w:tc>
      </w:tr>
      <w:tr w:rsidR="007B3C6C" w:rsidRPr="001645C5" w14:paraId="3CC73CCA" w14:textId="77777777" w:rsidTr="00BC2582">
        <w:trPr>
          <w:jc w:val="center"/>
        </w:trPr>
        <w:tc>
          <w:tcPr>
            <w:tcW w:w="817" w:type="dxa"/>
            <w:shd w:val="clear" w:color="auto" w:fill="auto"/>
            <w:vAlign w:val="bottom"/>
          </w:tcPr>
          <w:p w14:paraId="7FBD6E65" w14:textId="77777777" w:rsidR="007B3C6C" w:rsidRPr="001645C5" w:rsidRDefault="007B3C6C" w:rsidP="00BC2582">
            <w:pPr>
              <w:rPr>
                <w:b/>
                <w:sz w:val="20"/>
                <w:szCs w:val="20"/>
              </w:rPr>
            </w:pPr>
            <w:r w:rsidRPr="001645C5">
              <w:rPr>
                <w:b/>
                <w:sz w:val="20"/>
                <w:szCs w:val="20"/>
              </w:rPr>
              <w:t>2007</w:t>
            </w:r>
          </w:p>
        </w:tc>
        <w:tc>
          <w:tcPr>
            <w:tcW w:w="1772" w:type="dxa"/>
            <w:shd w:val="clear" w:color="auto" w:fill="auto"/>
            <w:vAlign w:val="bottom"/>
          </w:tcPr>
          <w:p w14:paraId="21410BB5" w14:textId="77777777" w:rsidR="007B3C6C" w:rsidRPr="001645C5" w:rsidRDefault="007B3C6C" w:rsidP="00BC2582">
            <w:pPr>
              <w:rPr>
                <w:sz w:val="20"/>
                <w:szCs w:val="20"/>
              </w:rPr>
            </w:pPr>
            <w:r w:rsidRPr="001645C5">
              <w:rPr>
                <w:sz w:val="20"/>
                <w:szCs w:val="20"/>
              </w:rPr>
              <w:t>365093.253</w:t>
            </w:r>
          </w:p>
        </w:tc>
        <w:tc>
          <w:tcPr>
            <w:tcW w:w="1772" w:type="dxa"/>
            <w:shd w:val="clear" w:color="auto" w:fill="auto"/>
            <w:vAlign w:val="bottom"/>
          </w:tcPr>
          <w:p w14:paraId="576AF1B3" w14:textId="77777777" w:rsidR="007B3C6C" w:rsidRPr="001645C5" w:rsidRDefault="007B3C6C" w:rsidP="00BC2582">
            <w:pPr>
              <w:rPr>
                <w:sz w:val="20"/>
                <w:szCs w:val="20"/>
              </w:rPr>
            </w:pPr>
            <w:r w:rsidRPr="001645C5">
              <w:rPr>
                <w:sz w:val="20"/>
                <w:szCs w:val="20"/>
              </w:rPr>
              <w:t>466401.4697</w:t>
            </w:r>
          </w:p>
        </w:tc>
      </w:tr>
      <w:tr w:rsidR="007B3C6C" w:rsidRPr="001645C5" w14:paraId="6483AE67" w14:textId="77777777" w:rsidTr="00BC2582">
        <w:trPr>
          <w:jc w:val="center"/>
        </w:trPr>
        <w:tc>
          <w:tcPr>
            <w:tcW w:w="817" w:type="dxa"/>
            <w:shd w:val="clear" w:color="auto" w:fill="auto"/>
            <w:vAlign w:val="bottom"/>
          </w:tcPr>
          <w:p w14:paraId="4273E647" w14:textId="77777777" w:rsidR="007B3C6C" w:rsidRPr="001645C5" w:rsidRDefault="007B3C6C" w:rsidP="00BC2582">
            <w:pPr>
              <w:rPr>
                <w:b/>
                <w:sz w:val="20"/>
                <w:szCs w:val="20"/>
              </w:rPr>
            </w:pPr>
            <w:r w:rsidRPr="001645C5">
              <w:rPr>
                <w:b/>
                <w:sz w:val="20"/>
                <w:szCs w:val="20"/>
              </w:rPr>
              <w:t>2008</w:t>
            </w:r>
          </w:p>
        </w:tc>
        <w:tc>
          <w:tcPr>
            <w:tcW w:w="1772" w:type="dxa"/>
            <w:shd w:val="clear" w:color="auto" w:fill="auto"/>
            <w:vAlign w:val="bottom"/>
          </w:tcPr>
          <w:p w14:paraId="735603E9" w14:textId="77777777" w:rsidR="007B3C6C" w:rsidRPr="001645C5" w:rsidRDefault="007B3C6C" w:rsidP="00BC2582">
            <w:pPr>
              <w:rPr>
                <w:sz w:val="20"/>
                <w:szCs w:val="20"/>
              </w:rPr>
            </w:pPr>
            <w:r w:rsidRPr="001645C5">
              <w:rPr>
                <w:sz w:val="20"/>
                <w:szCs w:val="20"/>
              </w:rPr>
              <w:t>396528.6831</w:t>
            </w:r>
          </w:p>
        </w:tc>
        <w:tc>
          <w:tcPr>
            <w:tcW w:w="1772" w:type="dxa"/>
            <w:shd w:val="clear" w:color="auto" w:fill="auto"/>
            <w:vAlign w:val="bottom"/>
          </w:tcPr>
          <w:p w14:paraId="45E104D8" w14:textId="77777777" w:rsidR="007B3C6C" w:rsidRPr="001645C5" w:rsidRDefault="007B3C6C" w:rsidP="00BC2582">
            <w:pPr>
              <w:rPr>
                <w:sz w:val="20"/>
                <w:szCs w:val="20"/>
              </w:rPr>
            </w:pPr>
            <w:r w:rsidRPr="001645C5">
              <w:rPr>
                <w:sz w:val="20"/>
                <w:szCs w:val="20"/>
              </w:rPr>
              <w:t>388730.392</w:t>
            </w:r>
          </w:p>
        </w:tc>
      </w:tr>
      <w:tr w:rsidR="007B3C6C" w:rsidRPr="001645C5" w14:paraId="7D1F5286" w14:textId="77777777" w:rsidTr="00BC2582">
        <w:trPr>
          <w:jc w:val="center"/>
        </w:trPr>
        <w:tc>
          <w:tcPr>
            <w:tcW w:w="817" w:type="dxa"/>
            <w:shd w:val="clear" w:color="auto" w:fill="auto"/>
            <w:vAlign w:val="bottom"/>
          </w:tcPr>
          <w:p w14:paraId="2AC6A0C0" w14:textId="77777777" w:rsidR="007B3C6C" w:rsidRPr="001645C5" w:rsidRDefault="007B3C6C" w:rsidP="00BC2582">
            <w:pPr>
              <w:rPr>
                <w:b/>
                <w:sz w:val="20"/>
                <w:szCs w:val="20"/>
              </w:rPr>
            </w:pPr>
            <w:r w:rsidRPr="001645C5">
              <w:rPr>
                <w:b/>
                <w:sz w:val="20"/>
                <w:szCs w:val="20"/>
              </w:rPr>
              <w:t>2009</w:t>
            </w:r>
          </w:p>
        </w:tc>
        <w:tc>
          <w:tcPr>
            <w:tcW w:w="1772" w:type="dxa"/>
            <w:shd w:val="clear" w:color="auto" w:fill="auto"/>
            <w:vAlign w:val="bottom"/>
          </w:tcPr>
          <w:p w14:paraId="2111BED8" w14:textId="77777777" w:rsidR="007B3C6C" w:rsidRPr="001645C5" w:rsidRDefault="007B3C6C" w:rsidP="00BC2582">
            <w:pPr>
              <w:rPr>
                <w:sz w:val="20"/>
                <w:szCs w:val="20"/>
              </w:rPr>
            </w:pPr>
            <w:r w:rsidRPr="001645C5">
              <w:rPr>
                <w:sz w:val="20"/>
                <w:szCs w:val="20"/>
              </w:rPr>
              <w:t>183982.4913</w:t>
            </w:r>
          </w:p>
        </w:tc>
        <w:tc>
          <w:tcPr>
            <w:tcW w:w="1772" w:type="dxa"/>
            <w:shd w:val="clear" w:color="auto" w:fill="auto"/>
            <w:vAlign w:val="bottom"/>
          </w:tcPr>
          <w:p w14:paraId="40D316D2" w14:textId="77777777" w:rsidR="007B3C6C" w:rsidRPr="001645C5" w:rsidRDefault="007B3C6C" w:rsidP="00BC2582">
            <w:pPr>
              <w:rPr>
                <w:sz w:val="20"/>
                <w:szCs w:val="20"/>
              </w:rPr>
            </w:pPr>
            <w:r w:rsidRPr="001645C5">
              <w:rPr>
                <w:sz w:val="20"/>
                <w:szCs w:val="20"/>
              </w:rPr>
              <w:t>337105.7368</w:t>
            </w:r>
          </w:p>
        </w:tc>
      </w:tr>
      <w:tr w:rsidR="007B3C6C" w:rsidRPr="001645C5" w14:paraId="3D69C03B" w14:textId="77777777" w:rsidTr="00BC2582">
        <w:trPr>
          <w:jc w:val="center"/>
        </w:trPr>
        <w:tc>
          <w:tcPr>
            <w:tcW w:w="817" w:type="dxa"/>
            <w:shd w:val="clear" w:color="auto" w:fill="auto"/>
            <w:vAlign w:val="bottom"/>
          </w:tcPr>
          <w:p w14:paraId="35ADCF86" w14:textId="77777777" w:rsidR="007B3C6C" w:rsidRPr="001645C5" w:rsidRDefault="007B3C6C" w:rsidP="00BC2582">
            <w:pPr>
              <w:rPr>
                <w:b/>
                <w:sz w:val="20"/>
                <w:szCs w:val="20"/>
              </w:rPr>
            </w:pPr>
            <w:r w:rsidRPr="001645C5">
              <w:rPr>
                <w:b/>
                <w:sz w:val="20"/>
                <w:szCs w:val="20"/>
              </w:rPr>
              <w:t>2010</w:t>
            </w:r>
          </w:p>
        </w:tc>
        <w:tc>
          <w:tcPr>
            <w:tcW w:w="1772" w:type="dxa"/>
            <w:shd w:val="clear" w:color="auto" w:fill="auto"/>
            <w:vAlign w:val="bottom"/>
          </w:tcPr>
          <w:p w14:paraId="67FF106F" w14:textId="77777777" w:rsidR="007B3C6C" w:rsidRPr="001645C5" w:rsidRDefault="007B3C6C" w:rsidP="00BC2582">
            <w:pPr>
              <w:rPr>
                <w:sz w:val="20"/>
                <w:szCs w:val="20"/>
              </w:rPr>
            </w:pPr>
            <w:r w:rsidRPr="001645C5">
              <w:rPr>
                <w:sz w:val="20"/>
                <w:szCs w:val="20"/>
              </w:rPr>
              <w:t>252532.4226</w:t>
            </w:r>
          </w:p>
        </w:tc>
        <w:tc>
          <w:tcPr>
            <w:tcW w:w="1772" w:type="dxa"/>
            <w:shd w:val="clear" w:color="auto" w:fill="auto"/>
            <w:vAlign w:val="bottom"/>
          </w:tcPr>
          <w:p w14:paraId="3F265A7A" w14:textId="77777777" w:rsidR="007B3C6C" w:rsidRPr="001645C5" w:rsidRDefault="007B3C6C" w:rsidP="00BC2582">
            <w:pPr>
              <w:rPr>
                <w:sz w:val="20"/>
                <w:szCs w:val="20"/>
              </w:rPr>
            </w:pPr>
            <w:r w:rsidRPr="001645C5">
              <w:rPr>
                <w:sz w:val="20"/>
                <w:szCs w:val="20"/>
              </w:rPr>
              <w:t>327551.3105</w:t>
            </w:r>
          </w:p>
        </w:tc>
      </w:tr>
      <w:tr w:rsidR="007B3C6C" w:rsidRPr="001645C5" w14:paraId="66973B04" w14:textId="77777777" w:rsidTr="00BC2582">
        <w:trPr>
          <w:jc w:val="center"/>
        </w:trPr>
        <w:tc>
          <w:tcPr>
            <w:tcW w:w="817" w:type="dxa"/>
            <w:shd w:val="clear" w:color="auto" w:fill="auto"/>
            <w:vAlign w:val="bottom"/>
          </w:tcPr>
          <w:p w14:paraId="1D005CF8" w14:textId="77777777" w:rsidR="007B3C6C" w:rsidRPr="001645C5" w:rsidRDefault="007B3C6C" w:rsidP="00BC2582">
            <w:pPr>
              <w:rPr>
                <w:b/>
                <w:sz w:val="20"/>
                <w:szCs w:val="20"/>
              </w:rPr>
            </w:pPr>
            <w:r w:rsidRPr="001645C5">
              <w:rPr>
                <w:b/>
                <w:sz w:val="20"/>
                <w:szCs w:val="20"/>
              </w:rPr>
              <w:t>2011</w:t>
            </w:r>
          </w:p>
        </w:tc>
        <w:tc>
          <w:tcPr>
            <w:tcW w:w="1772" w:type="dxa"/>
            <w:shd w:val="clear" w:color="auto" w:fill="auto"/>
            <w:vAlign w:val="bottom"/>
          </w:tcPr>
          <w:p w14:paraId="31FB5F26" w14:textId="77777777" w:rsidR="007B3C6C" w:rsidRPr="001645C5" w:rsidRDefault="007B3C6C" w:rsidP="00BC2582">
            <w:pPr>
              <w:rPr>
                <w:sz w:val="20"/>
                <w:szCs w:val="20"/>
              </w:rPr>
            </w:pPr>
            <w:r w:rsidRPr="001645C5">
              <w:rPr>
                <w:sz w:val="20"/>
                <w:szCs w:val="20"/>
              </w:rPr>
              <w:t>292907.2269</w:t>
            </w:r>
          </w:p>
        </w:tc>
        <w:tc>
          <w:tcPr>
            <w:tcW w:w="1772" w:type="dxa"/>
            <w:shd w:val="clear" w:color="auto" w:fill="auto"/>
            <w:vAlign w:val="bottom"/>
          </w:tcPr>
          <w:p w14:paraId="137E1278" w14:textId="77777777" w:rsidR="007B3C6C" w:rsidRPr="001645C5" w:rsidRDefault="007B3C6C" w:rsidP="00BC2582">
            <w:pPr>
              <w:rPr>
                <w:sz w:val="20"/>
                <w:szCs w:val="20"/>
              </w:rPr>
            </w:pPr>
            <w:r w:rsidRPr="001645C5">
              <w:rPr>
                <w:sz w:val="20"/>
                <w:szCs w:val="20"/>
              </w:rPr>
              <w:t>461353.1567</w:t>
            </w:r>
          </w:p>
        </w:tc>
      </w:tr>
      <w:tr w:rsidR="007B3C6C" w:rsidRPr="001645C5" w14:paraId="415603FD" w14:textId="77777777" w:rsidTr="00BC2582">
        <w:trPr>
          <w:jc w:val="center"/>
        </w:trPr>
        <w:tc>
          <w:tcPr>
            <w:tcW w:w="817" w:type="dxa"/>
            <w:shd w:val="clear" w:color="auto" w:fill="auto"/>
            <w:vAlign w:val="bottom"/>
          </w:tcPr>
          <w:p w14:paraId="52BFF5D9" w14:textId="77777777" w:rsidR="007B3C6C" w:rsidRPr="001645C5" w:rsidRDefault="007B3C6C" w:rsidP="00BC2582">
            <w:pPr>
              <w:rPr>
                <w:b/>
                <w:sz w:val="20"/>
                <w:szCs w:val="20"/>
              </w:rPr>
            </w:pPr>
            <w:r w:rsidRPr="001645C5">
              <w:rPr>
                <w:b/>
                <w:sz w:val="20"/>
                <w:szCs w:val="20"/>
              </w:rPr>
              <w:t>2012</w:t>
            </w:r>
          </w:p>
        </w:tc>
        <w:tc>
          <w:tcPr>
            <w:tcW w:w="1772" w:type="dxa"/>
            <w:shd w:val="clear" w:color="auto" w:fill="auto"/>
            <w:vAlign w:val="bottom"/>
          </w:tcPr>
          <w:p w14:paraId="2947672A" w14:textId="77777777" w:rsidR="007B3C6C" w:rsidRPr="001645C5" w:rsidRDefault="007B3C6C" w:rsidP="00BC2582">
            <w:pPr>
              <w:rPr>
                <w:sz w:val="20"/>
                <w:szCs w:val="20"/>
              </w:rPr>
            </w:pPr>
            <w:r w:rsidRPr="001645C5">
              <w:rPr>
                <w:sz w:val="20"/>
                <w:szCs w:val="20"/>
              </w:rPr>
              <w:t>227896.6489</w:t>
            </w:r>
          </w:p>
        </w:tc>
        <w:tc>
          <w:tcPr>
            <w:tcW w:w="1772" w:type="dxa"/>
            <w:shd w:val="clear" w:color="auto" w:fill="auto"/>
            <w:vAlign w:val="bottom"/>
          </w:tcPr>
          <w:p w14:paraId="334D8E3A" w14:textId="77777777" w:rsidR="007B3C6C" w:rsidRPr="001645C5" w:rsidRDefault="007B3C6C" w:rsidP="00BC2582">
            <w:pPr>
              <w:rPr>
                <w:sz w:val="20"/>
                <w:szCs w:val="20"/>
              </w:rPr>
            </w:pPr>
            <w:r w:rsidRPr="001645C5">
              <w:rPr>
                <w:sz w:val="20"/>
                <w:szCs w:val="20"/>
              </w:rPr>
              <w:t>387754.8045</w:t>
            </w:r>
          </w:p>
        </w:tc>
      </w:tr>
      <w:tr w:rsidR="007B3C6C" w:rsidRPr="001645C5" w14:paraId="09FE2F7E" w14:textId="77777777" w:rsidTr="00BC2582">
        <w:trPr>
          <w:jc w:val="center"/>
        </w:trPr>
        <w:tc>
          <w:tcPr>
            <w:tcW w:w="817" w:type="dxa"/>
            <w:shd w:val="clear" w:color="auto" w:fill="auto"/>
            <w:vAlign w:val="bottom"/>
          </w:tcPr>
          <w:p w14:paraId="1BE3CE3D" w14:textId="77777777" w:rsidR="007B3C6C" w:rsidRPr="001645C5" w:rsidRDefault="007B3C6C" w:rsidP="00BC2582">
            <w:pPr>
              <w:rPr>
                <w:b/>
                <w:sz w:val="20"/>
                <w:szCs w:val="20"/>
              </w:rPr>
            </w:pPr>
            <w:r w:rsidRPr="001645C5">
              <w:rPr>
                <w:b/>
                <w:sz w:val="20"/>
                <w:szCs w:val="20"/>
              </w:rPr>
              <w:t>2013</w:t>
            </w:r>
          </w:p>
        </w:tc>
        <w:tc>
          <w:tcPr>
            <w:tcW w:w="1772" w:type="dxa"/>
            <w:shd w:val="clear" w:color="auto" w:fill="auto"/>
            <w:vAlign w:val="bottom"/>
          </w:tcPr>
          <w:p w14:paraId="0D6BBF06" w14:textId="77777777" w:rsidR="007B3C6C" w:rsidRPr="001645C5" w:rsidRDefault="007B3C6C" w:rsidP="00BC2582">
            <w:pPr>
              <w:rPr>
                <w:sz w:val="20"/>
                <w:szCs w:val="20"/>
              </w:rPr>
            </w:pPr>
            <w:r w:rsidRPr="001645C5">
              <w:rPr>
                <w:sz w:val="20"/>
                <w:szCs w:val="20"/>
              </w:rPr>
              <w:t>345959.8503</w:t>
            </w:r>
          </w:p>
        </w:tc>
        <w:tc>
          <w:tcPr>
            <w:tcW w:w="1772" w:type="dxa"/>
            <w:shd w:val="clear" w:color="auto" w:fill="auto"/>
            <w:vAlign w:val="bottom"/>
          </w:tcPr>
          <w:p w14:paraId="798BF9E1" w14:textId="77777777" w:rsidR="007B3C6C" w:rsidRPr="001645C5" w:rsidRDefault="007B3C6C" w:rsidP="00BC2582">
            <w:pPr>
              <w:rPr>
                <w:sz w:val="20"/>
                <w:szCs w:val="20"/>
              </w:rPr>
            </w:pPr>
            <w:r w:rsidRPr="001645C5">
              <w:rPr>
                <w:sz w:val="20"/>
                <w:szCs w:val="20"/>
              </w:rPr>
              <w:t>392017.3994</w:t>
            </w:r>
          </w:p>
        </w:tc>
      </w:tr>
    </w:tbl>
    <w:p w14:paraId="7770A6E6" w14:textId="77777777" w:rsidR="007B3C6C" w:rsidRDefault="007B3C6C" w:rsidP="007B3C6C">
      <w:pPr>
        <w:rPr>
          <w:sz w:val="20"/>
          <w:szCs w:val="20"/>
        </w:rPr>
      </w:pPr>
    </w:p>
    <w:p w14:paraId="504C7517" w14:textId="77777777" w:rsidR="007B3C6C" w:rsidRDefault="007B3C6C" w:rsidP="007B3C6C">
      <w:pPr>
        <w:rPr>
          <w:sz w:val="20"/>
          <w:szCs w:val="20"/>
        </w:rPr>
      </w:pPr>
    </w:p>
    <w:p w14:paraId="2034E134" w14:textId="77777777" w:rsidR="007B3C6C" w:rsidRPr="00A53896" w:rsidRDefault="007B3C6C" w:rsidP="007B3C6C">
      <w:pPr>
        <w:jc w:val="center"/>
        <w:rPr>
          <w:rFonts w:ascii="Times" w:hAnsi="Times"/>
          <w:b/>
          <w:sz w:val="20"/>
          <w:szCs w:val="20"/>
        </w:rPr>
      </w:pPr>
      <w:r w:rsidRPr="00A53896">
        <w:rPr>
          <w:rFonts w:ascii="Times" w:hAnsi="Times"/>
          <w:b/>
          <w:sz w:val="20"/>
          <w:szCs w:val="20"/>
        </w:rPr>
        <w:t>Appendix A</w:t>
      </w:r>
    </w:p>
    <w:p w14:paraId="27B0464F" w14:textId="77777777" w:rsidR="007B3C6C" w:rsidRPr="00A53896" w:rsidRDefault="007B3C6C" w:rsidP="007B3C6C">
      <w:pPr>
        <w:jc w:val="center"/>
        <w:rPr>
          <w:rFonts w:ascii="Times" w:hAnsi="Times"/>
          <w:b/>
          <w:sz w:val="20"/>
          <w:szCs w:val="20"/>
        </w:rPr>
      </w:pPr>
      <w:r w:rsidRPr="00A53896">
        <w:rPr>
          <w:rFonts w:ascii="Times" w:hAnsi="Times"/>
          <w:b/>
          <w:sz w:val="20"/>
          <w:szCs w:val="20"/>
        </w:rPr>
        <w:t>U.S. BIT Partner Countries</w:t>
      </w:r>
    </w:p>
    <w:p w14:paraId="308603F1" w14:textId="77777777" w:rsidR="007B3C6C" w:rsidRPr="00A53896" w:rsidRDefault="007B3C6C" w:rsidP="007B3C6C">
      <w:pPr>
        <w:jc w:val="center"/>
        <w:rPr>
          <w:rFonts w:ascii="Times" w:hAnsi="Times"/>
          <w:sz w:val="20"/>
          <w:szCs w:val="20"/>
        </w:rPr>
      </w:pPr>
      <w:r w:rsidRPr="00A53896">
        <w:rPr>
          <w:rFonts w:ascii="Times" w:hAnsi="Times"/>
          <w:sz w:val="20"/>
          <w:szCs w:val="20"/>
        </w:rPr>
        <w:t>(date of entry into force)</w:t>
      </w:r>
    </w:p>
    <w:p w14:paraId="2051F3B8" w14:textId="77777777" w:rsidR="007B3C6C" w:rsidRPr="00A53896" w:rsidRDefault="007B3C6C" w:rsidP="007B3C6C">
      <w:pPr>
        <w:rPr>
          <w:sz w:val="20"/>
          <w:szCs w:val="20"/>
        </w:rPr>
      </w:pPr>
    </w:p>
    <w:p w14:paraId="02FF920B" w14:textId="77777777" w:rsidR="007B3C6C" w:rsidRPr="00A53896" w:rsidRDefault="007B3C6C" w:rsidP="007B3C6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5"/>
        <w:gridCol w:w="4675"/>
      </w:tblGrid>
      <w:tr w:rsidR="007B3C6C" w:rsidRPr="00A53896" w14:paraId="3988397F" w14:textId="77777777" w:rsidTr="00BC2582">
        <w:tc>
          <w:tcPr>
            <w:tcW w:w="4788" w:type="dxa"/>
          </w:tcPr>
          <w:p w14:paraId="21926C51" w14:textId="77777777" w:rsidR="007B3C6C" w:rsidRPr="00A53896" w:rsidRDefault="007B3C6C" w:rsidP="00BC2582">
            <w:pPr>
              <w:rPr>
                <w:rFonts w:ascii="Times" w:hAnsi="Times"/>
                <w:sz w:val="20"/>
                <w:szCs w:val="20"/>
              </w:rPr>
            </w:pPr>
            <w:r w:rsidRPr="00A53896">
              <w:rPr>
                <w:rFonts w:ascii="Times" w:hAnsi="Times"/>
                <w:sz w:val="20"/>
                <w:szCs w:val="20"/>
              </w:rPr>
              <w:t>Albania</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1998</w:t>
            </w:r>
          </w:p>
          <w:p w14:paraId="09521B60" w14:textId="77777777" w:rsidR="007B3C6C" w:rsidRPr="00A53896" w:rsidRDefault="007B3C6C" w:rsidP="00BC2582">
            <w:pPr>
              <w:rPr>
                <w:rFonts w:ascii="Times" w:hAnsi="Times"/>
                <w:sz w:val="20"/>
                <w:szCs w:val="20"/>
              </w:rPr>
            </w:pPr>
            <w:r>
              <w:rPr>
                <w:rFonts w:ascii="Times" w:hAnsi="Times"/>
                <w:sz w:val="20"/>
                <w:szCs w:val="20"/>
              </w:rPr>
              <w:t>Argentina</w:t>
            </w:r>
            <w:r>
              <w:rPr>
                <w:rFonts w:ascii="Times" w:hAnsi="Times"/>
                <w:sz w:val="20"/>
                <w:szCs w:val="20"/>
              </w:rPr>
              <w:tab/>
              <w:t xml:space="preserve">        </w:t>
            </w:r>
            <w:r w:rsidRPr="00A53896">
              <w:rPr>
                <w:rFonts w:ascii="Times" w:hAnsi="Times"/>
                <w:sz w:val="20"/>
                <w:szCs w:val="20"/>
              </w:rPr>
              <w:t>1994</w:t>
            </w:r>
          </w:p>
          <w:p w14:paraId="2DF0E1FB" w14:textId="77777777" w:rsidR="007B3C6C" w:rsidRPr="00A53896" w:rsidRDefault="007B3C6C" w:rsidP="00BC2582">
            <w:pPr>
              <w:rPr>
                <w:rFonts w:ascii="Times" w:hAnsi="Times"/>
                <w:sz w:val="20"/>
                <w:szCs w:val="20"/>
              </w:rPr>
            </w:pPr>
            <w:r w:rsidRPr="00A53896">
              <w:rPr>
                <w:rFonts w:ascii="Times" w:hAnsi="Times"/>
                <w:sz w:val="20"/>
                <w:szCs w:val="20"/>
              </w:rPr>
              <w:t>Armenia</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1996</w:t>
            </w:r>
          </w:p>
          <w:p w14:paraId="0D1A2531" w14:textId="77777777" w:rsidR="007B3C6C" w:rsidRPr="00A53896" w:rsidRDefault="007B3C6C" w:rsidP="00BC2582">
            <w:pPr>
              <w:rPr>
                <w:rFonts w:ascii="Times" w:hAnsi="Times"/>
                <w:sz w:val="20"/>
                <w:szCs w:val="20"/>
              </w:rPr>
            </w:pPr>
            <w:r>
              <w:rPr>
                <w:rFonts w:ascii="Times" w:hAnsi="Times"/>
                <w:sz w:val="20"/>
                <w:szCs w:val="20"/>
              </w:rPr>
              <w:t>Azerbaijan</w:t>
            </w:r>
            <w:r>
              <w:rPr>
                <w:rFonts w:ascii="Times" w:hAnsi="Times"/>
                <w:sz w:val="20"/>
                <w:szCs w:val="20"/>
              </w:rPr>
              <w:tab/>
              <w:t xml:space="preserve">        </w:t>
            </w:r>
            <w:r w:rsidRPr="00A53896">
              <w:rPr>
                <w:rFonts w:ascii="Times" w:hAnsi="Times"/>
                <w:sz w:val="20"/>
                <w:szCs w:val="20"/>
              </w:rPr>
              <w:t>2001</w:t>
            </w:r>
          </w:p>
          <w:p w14:paraId="3F117575" w14:textId="77777777" w:rsidR="007B3C6C" w:rsidRPr="00A53896" w:rsidRDefault="007B3C6C" w:rsidP="00BC2582">
            <w:pPr>
              <w:rPr>
                <w:rFonts w:ascii="Times" w:hAnsi="Times"/>
                <w:sz w:val="20"/>
                <w:szCs w:val="20"/>
              </w:rPr>
            </w:pPr>
            <w:r w:rsidRPr="00A53896">
              <w:rPr>
                <w:rFonts w:ascii="Times" w:hAnsi="Times"/>
                <w:sz w:val="20"/>
                <w:szCs w:val="20"/>
              </w:rPr>
              <w:t>Bahrain</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2001</w:t>
            </w:r>
          </w:p>
          <w:p w14:paraId="1BD3ED3C" w14:textId="77777777" w:rsidR="007B3C6C" w:rsidRPr="00A53896" w:rsidRDefault="007B3C6C" w:rsidP="00BC2582">
            <w:pPr>
              <w:rPr>
                <w:rFonts w:ascii="Times" w:hAnsi="Times"/>
                <w:sz w:val="20"/>
                <w:szCs w:val="20"/>
              </w:rPr>
            </w:pPr>
            <w:r>
              <w:rPr>
                <w:rFonts w:ascii="Times" w:hAnsi="Times"/>
                <w:sz w:val="20"/>
                <w:szCs w:val="20"/>
              </w:rPr>
              <w:t>Bangladesh</w:t>
            </w:r>
            <w:r>
              <w:rPr>
                <w:rFonts w:ascii="Times" w:hAnsi="Times"/>
                <w:sz w:val="20"/>
                <w:szCs w:val="20"/>
              </w:rPr>
              <w:tab/>
              <w:t xml:space="preserve">        </w:t>
            </w:r>
            <w:r w:rsidRPr="00A53896">
              <w:rPr>
                <w:rFonts w:ascii="Times" w:hAnsi="Times"/>
                <w:sz w:val="20"/>
                <w:szCs w:val="20"/>
              </w:rPr>
              <w:t>1989</w:t>
            </w:r>
          </w:p>
          <w:p w14:paraId="2C40E792" w14:textId="77777777" w:rsidR="007B3C6C" w:rsidRPr="00A53896" w:rsidRDefault="007B3C6C" w:rsidP="00BC2582">
            <w:pPr>
              <w:rPr>
                <w:rFonts w:ascii="Times" w:hAnsi="Times"/>
                <w:sz w:val="20"/>
                <w:szCs w:val="20"/>
              </w:rPr>
            </w:pPr>
            <w:r>
              <w:rPr>
                <w:rFonts w:ascii="Times" w:hAnsi="Times"/>
                <w:sz w:val="20"/>
                <w:szCs w:val="20"/>
              </w:rPr>
              <w:t>Bolivia</w:t>
            </w:r>
            <w:r>
              <w:rPr>
                <w:rFonts w:ascii="Times" w:hAnsi="Times"/>
                <w:sz w:val="20"/>
                <w:szCs w:val="20"/>
              </w:rPr>
              <w:tab/>
            </w:r>
            <w:r>
              <w:rPr>
                <w:rFonts w:ascii="Times" w:hAnsi="Times"/>
                <w:sz w:val="20"/>
                <w:szCs w:val="20"/>
              </w:rPr>
              <w:tab/>
              <w:t xml:space="preserve">        </w:t>
            </w:r>
            <w:r w:rsidRPr="00A53896">
              <w:rPr>
                <w:rFonts w:ascii="Times" w:hAnsi="Times"/>
                <w:sz w:val="20"/>
                <w:szCs w:val="20"/>
              </w:rPr>
              <w:t>2001</w:t>
            </w:r>
          </w:p>
          <w:p w14:paraId="51009E89" w14:textId="77777777" w:rsidR="007B3C6C" w:rsidRPr="00A53896" w:rsidRDefault="007B3C6C" w:rsidP="00BC2582">
            <w:pPr>
              <w:rPr>
                <w:rFonts w:ascii="Times" w:hAnsi="Times"/>
                <w:sz w:val="20"/>
                <w:szCs w:val="20"/>
              </w:rPr>
            </w:pPr>
            <w:r w:rsidRPr="00A53896">
              <w:rPr>
                <w:rFonts w:ascii="Times" w:hAnsi="Times"/>
                <w:sz w:val="20"/>
                <w:szCs w:val="20"/>
              </w:rPr>
              <w:t>Bulgaria</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1994, Revised 2007</w:t>
            </w:r>
          </w:p>
          <w:p w14:paraId="1FCEC716" w14:textId="77777777" w:rsidR="007B3C6C" w:rsidRPr="00A53896" w:rsidRDefault="007B3C6C" w:rsidP="00BC2582">
            <w:pPr>
              <w:rPr>
                <w:rFonts w:ascii="Times" w:hAnsi="Times"/>
                <w:sz w:val="20"/>
                <w:szCs w:val="20"/>
              </w:rPr>
            </w:pPr>
            <w:r>
              <w:rPr>
                <w:rFonts w:ascii="Times" w:hAnsi="Times"/>
                <w:sz w:val="20"/>
                <w:szCs w:val="20"/>
              </w:rPr>
              <w:t>Cameroon</w:t>
            </w:r>
            <w:r>
              <w:rPr>
                <w:rFonts w:ascii="Times" w:hAnsi="Times"/>
                <w:sz w:val="20"/>
                <w:szCs w:val="20"/>
              </w:rPr>
              <w:tab/>
              <w:t xml:space="preserve">        </w:t>
            </w:r>
            <w:r w:rsidRPr="00A53896">
              <w:rPr>
                <w:rFonts w:ascii="Times" w:hAnsi="Times"/>
                <w:sz w:val="20"/>
                <w:szCs w:val="20"/>
              </w:rPr>
              <w:t>1989</w:t>
            </w:r>
          </w:p>
          <w:p w14:paraId="5AB85E3F" w14:textId="77777777" w:rsidR="007B3C6C" w:rsidRPr="00A53896" w:rsidRDefault="007B3C6C" w:rsidP="00BC2582">
            <w:pPr>
              <w:rPr>
                <w:rFonts w:ascii="Times" w:hAnsi="Times"/>
                <w:sz w:val="20"/>
                <w:szCs w:val="20"/>
              </w:rPr>
            </w:pPr>
            <w:r>
              <w:rPr>
                <w:rFonts w:ascii="Times" w:hAnsi="Times"/>
                <w:sz w:val="20"/>
                <w:szCs w:val="20"/>
              </w:rPr>
              <w:t xml:space="preserve">Congo (Brazzaville)    </w:t>
            </w:r>
            <w:r w:rsidRPr="00A53896">
              <w:rPr>
                <w:rFonts w:ascii="Times" w:hAnsi="Times"/>
                <w:sz w:val="20"/>
                <w:szCs w:val="20"/>
              </w:rPr>
              <w:t>1989</w:t>
            </w:r>
          </w:p>
          <w:p w14:paraId="6E048D1F" w14:textId="77777777" w:rsidR="007B3C6C" w:rsidRPr="00A53896" w:rsidRDefault="007B3C6C" w:rsidP="00BC2582">
            <w:pPr>
              <w:rPr>
                <w:rFonts w:ascii="Times" w:hAnsi="Times"/>
                <w:sz w:val="20"/>
                <w:szCs w:val="20"/>
              </w:rPr>
            </w:pPr>
            <w:r>
              <w:rPr>
                <w:rFonts w:ascii="Times" w:hAnsi="Times"/>
                <w:sz w:val="20"/>
                <w:szCs w:val="20"/>
              </w:rPr>
              <w:t xml:space="preserve">Congo (Kinshasa)        </w:t>
            </w:r>
            <w:r w:rsidRPr="00A53896">
              <w:rPr>
                <w:rFonts w:ascii="Times" w:hAnsi="Times"/>
                <w:sz w:val="20"/>
                <w:szCs w:val="20"/>
              </w:rPr>
              <w:t>1994</w:t>
            </w:r>
          </w:p>
          <w:p w14:paraId="3FA6D03A" w14:textId="77777777" w:rsidR="007B3C6C" w:rsidRPr="00A53896" w:rsidRDefault="007B3C6C" w:rsidP="00BC2582">
            <w:pPr>
              <w:rPr>
                <w:rFonts w:ascii="Times" w:hAnsi="Times"/>
                <w:sz w:val="20"/>
                <w:szCs w:val="20"/>
              </w:rPr>
            </w:pPr>
            <w:r>
              <w:rPr>
                <w:rFonts w:ascii="Times" w:hAnsi="Times"/>
                <w:sz w:val="20"/>
                <w:szCs w:val="20"/>
              </w:rPr>
              <w:t>Croatia</w:t>
            </w:r>
            <w:r>
              <w:rPr>
                <w:rFonts w:ascii="Times" w:hAnsi="Times"/>
                <w:sz w:val="20"/>
                <w:szCs w:val="20"/>
              </w:rPr>
              <w:tab/>
            </w:r>
            <w:r>
              <w:rPr>
                <w:rFonts w:ascii="Times" w:hAnsi="Times"/>
                <w:sz w:val="20"/>
                <w:szCs w:val="20"/>
              </w:rPr>
              <w:tab/>
              <w:t xml:space="preserve">        </w:t>
            </w:r>
            <w:r w:rsidRPr="00A53896">
              <w:rPr>
                <w:rFonts w:ascii="Times" w:hAnsi="Times"/>
                <w:sz w:val="20"/>
                <w:szCs w:val="20"/>
              </w:rPr>
              <w:t>2001</w:t>
            </w:r>
          </w:p>
          <w:p w14:paraId="7D8F258C" w14:textId="77777777" w:rsidR="007B3C6C" w:rsidRPr="00A53896" w:rsidRDefault="007B3C6C" w:rsidP="00BC2582">
            <w:pPr>
              <w:rPr>
                <w:rFonts w:ascii="Times" w:hAnsi="Times"/>
                <w:sz w:val="20"/>
                <w:szCs w:val="20"/>
              </w:rPr>
            </w:pPr>
            <w:r w:rsidRPr="00A53896">
              <w:rPr>
                <w:rFonts w:ascii="Times" w:hAnsi="Times"/>
                <w:sz w:val="20"/>
                <w:szCs w:val="20"/>
              </w:rPr>
              <w:t>Czech Republic</w:t>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1992, Revised 2004</w:t>
            </w:r>
          </w:p>
          <w:p w14:paraId="77A05BF3" w14:textId="77777777" w:rsidR="007B3C6C" w:rsidRPr="00A53896" w:rsidRDefault="007B3C6C" w:rsidP="00BC2582">
            <w:pPr>
              <w:rPr>
                <w:rFonts w:ascii="Times" w:hAnsi="Times"/>
                <w:sz w:val="20"/>
                <w:szCs w:val="20"/>
              </w:rPr>
            </w:pPr>
            <w:r w:rsidRPr="00A53896">
              <w:rPr>
                <w:rFonts w:ascii="Times" w:hAnsi="Times"/>
                <w:sz w:val="20"/>
                <w:szCs w:val="20"/>
              </w:rPr>
              <w:t>Ecuador</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1997</w:t>
            </w:r>
          </w:p>
          <w:p w14:paraId="5DF46F4A" w14:textId="77777777" w:rsidR="007B3C6C" w:rsidRPr="00A53896" w:rsidRDefault="007B3C6C" w:rsidP="00BC2582">
            <w:pPr>
              <w:rPr>
                <w:rFonts w:ascii="Times" w:hAnsi="Times"/>
                <w:sz w:val="20"/>
                <w:szCs w:val="20"/>
              </w:rPr>
            </w:pPr>
            <w:r>
              <w:rPr>
                <w:rFonts w:ascii="Times" w:hAnsi="Times"/>
                <w:sz w:val="20"/>
                <w:szCs w:val="20"/>
              </w:rPr>
              <w:t>Egypt</w:t>
            </w:r>
            <w:r>
              <w:rPr>
                <w:rFonts w:ascii="Times" w:hAnsi="Times"/>
                <w:sz w:val="20"/>
                <w:szCs w:val="20"/>
              </w:rPr>
              <w:tab/>
            </w:r>
            <w:r>
              <w:rPr>
                <w:rFonts w:ascii="Times" w:hAnsi="Times"/>
                <w:sz w:val="20"/>
                <w:szCs w:val="20"/>
              </w:rPr>
              <w:tab/>
              <w:t xml:space="preserve">        </w:t>
            </w:r>
            <w:r w:rsidRPr="00A53896">
              <w:rPr>
                <w:rFonts w:ascii="Times" w:hAnsi="Times"/>
                <w:sz w:val="20"/>
                <w:szCs w:val="20"/>
              </w:rPr>
              <w:t>1992</w:t>
            </w:r>
          </w:p>
          <w:p w14:paraId="055E4706" w14:textId="77777777" w:rsidR="007B3C6C" w:rsidRPr="00A53896" w:rsidRDefault="007B3C6C" w:rsidP="00BC2582">
            <w:pPr>
              <w:rPr>
                <w:rFonts w:ascii="Times" w:hAnsi="Times"/>
                <w:sz w:val="20"/>
                <w:szCs w:val="20"/>
              </w:rPr>
            </w:pPr>
            <w:r>
              <w:rPr>
                <w:rFonts w:ascii="Times" w:hAnsi="Times"/>
                <w:sz w:val="20"/>
                <w:szCs w:val="20"/>
              </w:rPr>
              <w:t>Estonia</w:t>
            </w:r>
            <w:r>
              <w:rPr>
                <w:rFonts w:ascii="Times" w:hAnsi="Times"/>
                <w:sz w:val="20"/>
                <w:szCs w:val="20"/>
              </w:rPr>
              <w:tab/>
            </w:r>
            <w:r>
              <w:rPr>
                <w:rFonts w:ascii="Times" w:hAnsi="Times"/>
                <w:sz w:val="20"/>
                <w:szCs w:val="20"/>
              </w:rPr>
              <w:tab/>
              <w:t xml:space="preserve">        </w:t>
            </w:r>
            <w:r w:rsidRPr="00A53896">
              <w:rPr>
                <w:rFonts w:ascii="Times" w:hAnsi="Times"/>
                <w:sz w:val="20"/>
                <w:szCs w:val="20"/>
              </w:rPr>
              <w:t>1997, Revised 2004</w:t>
            </w:r>
          </w:p>
          <w:p w14:paraId="0CD75C31" w14:textId="77777777" w:rsidR="007B3C6C" w:rsidRPr="00A53896" w:rsidRDefault="007B3C6C" w:rsidP="00BC2582">
            <w:pPr>
              <w:rPr>
                <w:rFonts w:ascii="Times" w:hAnsi="Times"/>
                <w:sz w:val="20"/>
                <w:szCs w:val="20"/>
              </w:rPr>
            </w:pPr>
            <w:r w:rsidRPr="00A53896">
              <w:rPr>
                <w:rFonts w:ascii="Times" w:hAnsi="Times"/>
                <w:sz w:val="20"/>
                <w:szCs w:val="20"/>
              </w:rPr>
              <w:t>Georgia</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1997</w:t>
            </w:r>
          </w:p>
          <w:p w14:paraId="3CF88151" w14:textId="77777777" w:rsidR="007B3C6C" w:rsidRPr="00A53896" w:rsidRDefault="007B3C6C" w:rsidP="00BC2582">
            <w:pPr>
              <w:rPr>
                <w:rFonts w:ascii="Times" w:hAnsi="Times"/>
                <w:sz w:val="20"/>
                <w:szCs w:val="20"/>
              </w:rPr>
            </w:pPr>
            <w:r w:rsidRPr="00A53896">
              <w:rPr>
                <w:rFonts w:ascii="Times" w:hAnsi="Times"/>
                <w:sz w:val="20"/>
                <w:szCs w:val="20"/>
              </w:rPr>
              <w:t>Grenada</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1989</w:t>
            </w:r>
          </w:p>
          <w:p w14:paraId="2485DF23" w14:textId="77777777" w:rsidR="007B3C6C" w:rsidRPr="00A53896" w:rsidRDefault="007B3C6C" w:rsidP="00BC2582">
            <w:pPr>
              <w:rPr>
                <w:rFonts w:ascii="Times" w:hAnsi="Times"/>
                <w:sz w:val="20"/>
                <w:szCs w:val="20"/>
              </w:rPr>
            </w:pPr>
            <w:r>
              <w:rPr>
                <w:rFonts w:ascii="Times" w:hAnsi="Times"/>
                <w:sz w:val="20"/>
                <w:szCs w:val="20"/>
              </w:rPr>
              <w:t>Honduras</w:t>
            </w:r>
            <w:r>
              <w:rPr>
                <w:rFonts w:ascii="Times" w:hAnsi="Times"/>
                <w:sz w:val="20"/>
                <w:szCs w:val="20"/>
              </w:rPr>
              <w:tab/>
              <w:t xml:space="preserve">        </w:t>
            </w:r>
            <w:r w:rsidRPr="00A53896">
              <w:rPr>
                <w:rFonts w:ascii="Times" w:hAnsi="Times"/>
                <w:sz w:val="20"/>
                <w:szCs w:val="20"/>
              </w:rPr>
              <w:t>2001</w:t>
            </w:r>
          </w:p>
          <w:p w14:paraId="3ECE0BF8" w14:textId="77777777" w:rsidR="007B3C6C" w:rsidRPr="00A53896" w:rsidRDefault="007B3C6C" w:rsidP="00BC2582">
            <w:pPr>
              <w:rPr>
                <w:sz w:val="20"/>
                <w:szCs w:val="20"/>
              </w:rPr>
            </w:pPr>
          </w:p>
        </w:tc>
        <w:tc>
          <w:tcPr>
            <w:tcW w:w="4788" w:type="dxa"/>
          </w:tcPr>
          <w:p w14:paraId="01AE0329" w14:textId="77777777" w:rsidR="007B3C6C" w:rsidRPr="00A53896" w:rsidRDefault="007B3C6C" w:rsidP="00BC2582">
            <w:pPr>
              <w:rPr>
                <w:rFonts w:ascii="Times" w:hAnsi="Times"/>
                <w:sz w:val="20"/>
                <w:szCs w:val="20"/>
              </w:rPr>
            </w:pPr>
            <w:r w:rsidRPr="00A53896">
              <w:rPr>
                <w:rFonts w:ascii="Times" w:hAnsi="Times"/>
                <w:sz w:val="20"/>
                <w:szCs w:val="20"/>
              </w:rPr>
              <w:t>Jamaica</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1997</w:t>
            </w:r>
          </w:p>
          <w:p w14:paraId="0BBBFC1D" w14:textId="77777777" w:rsidR="007B3C6C" w:rsidRPr="00A53896" w:rsidRDefault="007B3C6C" w:rsidP="00BC2582">
            <w:pPr>
              <w:rPr>
                <w:rFonts w:ascii="Times" w:hAnsi="Times"/>
                <w:sz w:val="20"/>
                <w:szCs w:val="20"/>
              </w:rPr>
            </w:pPr>
            <w:r w:rsidRPr="00A53896">
              <w:rPr>
                <w:rFonts w:ascii="Times" w:hAnsi="Times"/>
                <w:sz w:val="20"/>
                <w:szCs w:val="20"/>
              </w:rPr>
              <w:t>Jordan</w:t>
            </w:r>
            <w:r>
              <w:rPr>
                <w:rFonts w:ascii="Times" w:hAnsi="Times"/>
                <w:sz w:val="20"/>
                <w:szCs w:val="20"/>
              </w:rPr>
              <w:tab/>
            </w:r>
            <w:r>
              <w:rPr>
                <w:rFonts w:ascii="Times" w:hAnsi="Times"/>
                <w:sz w:val="20"/>
                <w:szCs w:val="20"/>
              </w:rPr>
              <w:tab/>
              <w:t xml:space="preserve">     </w:t>
            </w:r>
            <w:r w:rsidRPr="00A53896">
              <w:rPr>
                <w:rFonts w:ascii="Times" w:hAnsi="Times"/>
                <w:sz w:val="20"/>
                <w:szCs w:val="20"/>
              </w:rPr>
              <w:t>2003</w:t>
            </w:r>
          </w:p>
          <w:p w14:paraId="45C38B33" w14:textId="77777777" w:rsidR="007B3C6C" w:rsidRPr="00A53896" w:rsidRDefault="007B3C6C" w:rsidP="00BC2582">
            <w:pPr>
              <w:rPr>
                <w:rFonts w:ascii="Times" w:hAnsi="Times"/>
                <w:sz w:val="20"/>
                <w:szCs w:val="20"/>
              </w:rPr>
            </w:pPr>
            <w:r>
              <w:rPr>
                <w:rFonts w:ascii="Times" w:hAnsi="Times"/>
                <w:sz w:val="20"/>
                <w:szCs w:val="20"/>
              </w:rPr>
              <w:t>Kazakhstan</w:t>
            </w:r>
            <w:r>
              <w:rPr>
                <w:rFonts w:ascii="Times" w:hAnsi="Times"/>
                <w:sz w:val="20"/>
                <w:szCs w:val="20"/>
              </w:rPr>
              <w:tab/>
              <w:t xml:space="preserve">     </w:t>
            </w:r>
            <w:r w:rsidRPr="00A53896">
              <w:rPr>
                <w:rFonts w:ascii="Times" w:hAnsi="Times"/>
                <w:sz w:val="20"/>
                <w:szCs w:val="20"/>
              </w:rPr>
              <w:t>1994</w:t>
            </w:r>
          </w:p>
          <w:p w14:paraId="79C009DE" w14:textId="77777777" w:rsidR="007B3C6C" w:rsidRPr="00A53896" w:rsidRDefault="007B3C6C" w:rsidP="00BC2582">
            <w:pPr>
              <w:rPr>
                <w:rFonts w:ascii="Times" w:hAnsi="Times"/>
                <w:sz w:val="20"/>
                <w:szCs w:val="20"/>
              </w:rPr>
            </w:pPr>
            <w:r>
              <w:rPr>
                <w:rFonts w:ascii="Times" w:hAnsi="Times"/>
                <w:sz w:val="20"/>
                <w:szCs w:val="20"/>
              </w:rPr>
              <w:t>Kyrgyzstan</w:t>
            </w:r>
            <w:r>
              <w:rPr>
                <w:rFonts w:ascii="Times" w:hAnsi="Times"/>
                <w:sz w:val="20"/>
                <w:szCs w:val="20"/>
              </w:rPr>
              <w:tab/>
              <w:t xml:space="preserve">     </w:t>
            </w:r>
            <w:r w:rsidRPr="00A53896">
              <w:rPr>
                <w:rFonts w:ascii="Times" w:hAnsi="Times"/>
                <w:sz w:val="20"/>
                <w:szCs w:val="20"/>
              </w:rPr>
              <w:t>1994</w:t>
            </w:r>
          </w:p>
          <w:p w14:paraId="57477F36" w14:textId="77777777" w:rsidR="007B3C6C" w:rsidRPr="00A53896" w:rsidRDefault="007B3C6C" w:rsidP="00BC2582">
            <w:pPr>
              <w:rPr>
                <w:rFonts w:ascii="Times" w:hAnsi="Times"/>
                <w:sz w:val="20"/>
                <w:szCs w:val="20"/>
              </w:rPr>
            </w:pPr>
            <w:r>
              <w:rPr>
                <w:rFonts w:ascii="Times" w:hAnsi="Times"/>
                <w:sz w:val="20"/>
                <w:szCs w:val="20"/>
              </w:rPr>
              <w:t>Latvia</w:t>
            </w:r>
            <w:r>
              <w:rPr>
                <w:rFonts w:ascii="Times" w:hAnsi="Times"/>
                <w:sz w:val="20"/>
                <w:szCs w:val="20"/>
              </w:rPr>
              <w:tab/>
            </w:r>
            <w:r>
              <w:rPr>
                <w:rFonts w:ascii="Times" w:hAnsi="Times"/>
                <w:sz w:val="20"/>
                <w:szCs w:val="20"/>
              </w:rPr>
              <w:tab/>
              <w:t xml:space="preserve">     </w:t>
            </w:r>
            <w:r w:rsidRPr="00A53896">
              <w:rPr>
                <w:rFonts w:ascii="Times" w:hAnsi="Times"/>
                <w:sz w:val="20"/>
                <w:szCs w:val="20"/>
              </w:rPr>
              <w:t>1996, Revised 2004</w:t>
            </w:r>
          </w:p>
          <w:p w14:paraId="6CE8144E" w14:textId="77777777" w:rsidR="007B3C6C" w:rsidRPr="00A53896" w:rsidRDefault="007B3C6C" w:rsidP="00BC2582">
            <w:pPr>
              <w:rPr>
                <w:rFonts w:ascii="Times" w:hAnsi="Times"/>
                <w:sz w:val="20"/>
                <w:szCs w:val="20"/>
              </w:rPr>
            </w:pPr>
            <w:r>
              <w:rPr>
                <w:rFonts w:ascii="Times" w:hAnsi="Times"/>
                <w:sz w:val="20"/>
                <w:szCs w:val="20"/>
              </w:rPr>
              <w:t>Lithuania</w:t>
            </w:r>
            <w:r>
              <w:rPr>
                <w:rFonts w:ascii="Times" w:hAnsi="Times"/>
                <w:sz w:val="20"/>
                <w:szCs w:val="20"/>
              </w:rPr>
              <w:tab/>
              <w:t xml:space="preserve">     </w:t>
            </w:r>
            <w:r w:rsidRPr="00A53896">
              <w:rPr>
                <w:rFonts w:ascii="Times" w:hAnsi="Times"/>
                <w:sz w:val="20"/>
                <w:szCs w:val="20"/>
              </w:rPr>
              <w:t>2001, Revised 2004</w:t>
            </w:r>
          </w:p>
          <w:p w14:paraId="1E5FDE70" w14:textId="77777777" w:rsidR="007B3C6C" w:rsidRPr="00A53896" w:rsidRDefault="007B3C6C" w:rsidP="00BC2582">
            <w:pPr>
              <w:rPr>
                <w:rFonts w:ascii="Times" w:hAnsi="Times"/>
                <w:sz w:val="20"/>
                <w:szCs w:val="20"/>
              </w:rPr>
            </w:pPr>
            <w:r>
              <w:rPr>
                <w:rFonts w:ascii="Times" w:hAnsi="Times"/>
                <w:sz w:val="20"/>
                <w:szCs w:val="20"/>
              </w:rPr>
              <w:t>Laos</w:t>
            </w:r>
            <w:r>
              <w:rPr>
                <w:rFonts w:ascii="Times" w:hAnsi="Times"/>
                <w:sz w:val="20"/>
                <w:szCs w:val="20"/>
              </w:rPr>
              <w:tab/>
            </w:r>
            <w:r>
              <w:rPr>
                <w:rFonts w:ascii="Times" w:hAnsi="Times"/>
                <w:sz w:val="20"/>
                <w:szCs w:val="20"/>
              </w:rPr>
              <w:tab/>
              <w:t xml:space="preserve">     </w:t>
            </w:r>
            <w:r w:rsidRPr="00A53896">
              <w:rPr>
                <w:rFonts w:ascii="Times" w:hAnsi="Times"/>
                <w:sz w:val="20"/>
                <w:szCs w:val="20"/>
              </w:rPr>
              <w:t>2005</w:t>
            </w:r>
          </w:p>
          <w:p w14:paraId="5EE529F4" w14:textId="77777777" w:rsidR="007B3C6C" w:rsidRPr="00A53896" w:rsidRDefault="007B3C6C" w:rsidP="00BC2582">
            <w:pPr>
              <w:rPr>
                <w:rFonts w:ascii="Times" w:hAnsi="Times"/>
                <w:sz w:val="20"/>
                <w:szCs w:val="20"/>
              </w:rPr>
            </w:pPr>
            <w:r>
              <w:rPr>
                <w:rFonts w:ascii="Times" w:hAnsi="Times"/>
                <w:sz w:val="20"/>
                <w:szCs w:val="20"/>
              </w:rPr>
              <w:t>Moldova</w:t>
            </w:r>
            <w:r>
              <w:rPr>
                <w:rFonts w:ascii="Times" w:hAnsi="Times"/>
                <w:sz w:val="20"/>
                <w:szCs w:val="20"/>
              </w:rPr>
              <w:tab/>
              <w:t xml:space="preserve">     </w:t>
            </w:r>
            <w:r w:rsidRPr="00A53896">
              <w:rPr>
                <w:rFonts w:ascii="Times" w:hAnsi="Times"/>
                <w:sz w:val="20"/>
                <w:szCs w:val="20"/>
              </w:rPr>
              <w:t>1994</w:t>
            </w:r>
          </w:p>
          <w:p w14:paraId="1887697C" w14:textId="77777777" w:rsidR="007B3C6C" w:rsidRPr="00A53896" w:rsidRDefault="007B3C6C" w:rsidP="00BC2582">
            <w:pPr>
              <w:rPr>
                <w:rFonts w:ascii="Times" w:hAnsi="Times"/>
                <w:sz w:val="20"/>
                <w:szCs w:val="20"/>
              </w:rPr>
            </w:pPr>
            <w:r>
              <w:rPr>
                <w:rFonts w:ascii="Times" w:hAnsi="Times"/>
                <w:sz w:val="20"/>
                <w:szCs w:val="20"/>
              </w:rPr>
              <w:t>Mongolia</w:t>
            </w:r>
            <w:r>
              <w:rPr>
                <w:rFonts w:ascii="Times" w:hAnsi="Times"/>
                <w:sz w:val="20"/>
                <w:szCs w:val="20"/>
              </w:rPr>
              <w:tab/>
              <w:t xml:space="preserve">     </w:t>
            </w:r>
            <w:r w:rsidRPr="00A53896">
              <w:rPr>
                <w:rFonts w:ascii="Times" w:hAnsi="Times"/>
                <w:sz w:val="20"/>
                <w:szCs w:val="20"/>
              </w:rPr>
              <w:t>1997</w:t>
            </w:r>
          </w:p>
          <w:p w14:paraId="1DE6667B" w14:textId="77777777" w:rsidR="007B3C6C" w:rsidRPr="00A53896" w:rsidRDefault="007B3C6C" w:rsidP="00BC2582">
            <w:pPr>
              <w:rPr>
                <w:rFonts w:ascii="Times" w:hAnsi="Times"/>
                <w:sz w:val="20"/>
                <w:szCs w:val="20"/>
              </w:rPr>
            </w:pPr>
            <w:r>
              <w:rPr>
                <w:rFonts w:ascii="Times" w:hAnsi="Times"/>
                <w:sz w:val="20"/>
                <w:szCs w:val="20"/>
              </w:rPr>
              <w:t>Morocco</w:t>
            </w:r>
            <w:r>
              <w:rPr>
                <w:rFonts w:ascii="Times" w:hAnsi="Times"/>
                <w:sz w:val="20"/>
                <w:szCs w:val="20"/>
              </w:rPr>
              <w:tab/>
              <w:t xml:space="preserve">     </w:t>
            </w:r>
            <w:r w:rsidRPr="00A53896">
              <w:rPr>
                <w:rFonts w:ascii="Times" w:hAnsi="Times"/>
                <w:sz w:val="20"/>
                <w:szCs w:val="20"/>
              </w:rPr>
              <w:t>1991</w:t>
            </w:r>
          </w:p>
          <w:p w14:paraId="2AF64B83" w14:textId="77777777" w:rsidR="007B3C6C" w:rsidRPr="00A53896" w:rsidRDefault="007B3C6C" w:rsidP="00BC2582">
            <w:pPr>
              <w:rPr>
                <w:rFonts w:ascii="Times" w:hAnsi="Times"/>
                <w:sz w:val="20"/>
                <w:szCs w:val="20"/>
              </w:rPr>
            </w:pPr>
            <w:r>
              <w:rPr>
                <w:rFonts w:ascii="Times" w:hAnsi="Times"/>
                <w:sz w:val="20"/>
                <w:szCs w:val="20"/>
              </w:rPr>
              <w:t>Mozambique</w:t>
            </w:r>
            <w:r>
              <w:rPr>
                <w:rFonts w:ascii="Times" w:hAnsi="Times"/>
                <w:sz w:val="20"/>
                <w:szCs w:val="20"/>
              </w:rPr>
              <w:tab/>
              <w:t xml:space="preserve">     </w:t>
            </w:r>
            <w:r w:rsidRPr="00A53896">
              <w:rPr>
                <w:rFonts w:ascii="Times" w:hAnsi="Times"/>
                <w:sz w:val="20"/>
                <w:szCs w:val="20"/>
              </w:rPr>
              <w:t>2005</w:t>
            </w:r>
          </w:p>
          <w:p w14:paraId="45BB975D" w14:textId="77777777" w:rsidR="007B3C6C" w:rsidRPr="00A53896" w:rsidRDefault="007B3C6C" w:rsidP="00BC2582">
            <w:pPr>
              <w:rPr>
                <w:rFonts w:ascii="Times" w:hAnsi="Times"/>
                <w:sz w:val="20"/>
                <w:szCs w:val="20"/>
              </w:rPr>
            </w:pPr>
            <w:r w:rsidRPr="00A53896">
              <w:rPr>
                <w:rFonts w:ascii="Times" w:hAnsi="Times"/>
                <w:sz w:val="20"/>
                <w:szCs w:val="20"/>
              </w:rPr>
              <w:t>Panama</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1991</w:t>
            </w:r>
          </w:p>
          <w:p w14:paraId="48AA9C28" w14:textId="77777777" w:rsidR="007B3C6C" w:rsidRPr="00A53896" w:rsidRDefault="007B3C6C" w:rsidP="00BC2582">
            <w:pPr>
              <w:rPr>
                <w:rFonts w:ascii="Times" w:hAnsi="Times"/>
                <w:sz w:val="20"/>
                <w:szCs w:val="20"/>
              </w:rPr>
            </w:pPr>
            <w:r>
              <w:rPr>
                <w:rFonts w:ascii="Times" w:hAnsi="Times"/>
                <w:sz w:val="20"/>
                <w:szCs w:val="20"/>
              </w:rPr>
              <w:t>Romania</w:t>
            </w:r>
            <w:r>
              <w:rPr>
                <w:rFonts w:ascii="Times" w:hAnsi="Times"/>
                <w:sz w:val="20"/>
                <w:szCs w:val="20"/>
              </w:rPr>
              <w:tab/>
              <w:t xml:space="preserve">     </w:t>
            </w:r>
            <w:r w:rsidRPr="00A53896">
              <w:rPr>
                <w:rFonts w:ascii="Times" w:hAnsi="Times"/>
                <w:sz w:val="20"/>
                <w:szCs w:val="20"/>
              </w:rPr>
              <w:t>1994, Revised 2007</w:t>
            </w:r>
          </w:p>
          <w:p w14:paraId="54358E69" w14:textId="77777777" w:rsidR="007B3C6C" w:rsidRPr="00A53896" w:rsidRDefault="007B3C6C" w:rsidP="00BC2582">
            <w:pPr>
              <w:tabs>
                <w:tab w:val="center" w:pos="2286"/>
              </w:tabs>
              <w:rPr>
                <w:rFonts w:ascii="Times" w:hAnsi="Times"/>
                <w:sz w:val="20"/>
                <w:szCs w:val="20"/>
              </w:rPr>
            </w:pPr>
            <w:r>
              <w:rPr>
                <w:rFonts w:ascii="Times" w:hAnsi="Times"/>
                <w:sz w:val="20"/>
                <w:szCs w:val="20"/>
              </w:rPr>
              <w:t xml:space="preserve">Rwanda                     </w:t>
            </w:r>
            <w:r w:rsidRPr="00A53896">
              <w:rPr>
                <w:rFonts w:ascii="Times" w:hAnsi="Times"/>
                <w:sz w:val="20"/>
                <w:szCs w:val="20"/>
              </w:rPr>
              <w:t>2012</w:t>
            </w:r>
          </w:p>
          <w:p w14:paraId="25A530DB" w14:textId="77777777" w:rsidR="007B3C6C" w:rsidRPr="00A53896" w:rsidRDefault="007B3C6C" w:rsidP="00BC2582">
            <w:pPr>
              <w:rPr>
                <w:rFonts w:ascii="Times" w:hAnsi="Times"/>
                <w:sz w:val="20"/>
                <w:szCs w:val="20"/>
              </w:rPr>
            </w:pPr>
            <w:r w:rsidRPr="00A53896">
              <w:rPr>
                <w:rFonts w:ascii="Times" w:hAnsi="Times"/>
                <w:sz w:val="20"/>
                <w:szCs w:val="20"/>
              </w:rPr>
              <w:t>Senegal</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1990</w:t>
            </w:r>
          </w:p>
          <w:p w14:paraId="4D500BD0" w14:textId="77777777" w:rsidR="007B3C6C" w:rsidRPr="00A53896" w:rsidRDefault="007B3C6C" w:rsidP="00BC2582">
            <w:pPr>
              <w:tabs>
                <w:tab w:val="center" w:pos="2286"/>
              </w:tabs>
              <w:rPr>
                <w:rFonts w:ascii="Times" w:hAnsi="Times"/>
                <w:sz w:val="20"/>
                <w:szCs w:val="20"/>
              </w:rPr>
            </w:pPr>
            <w:r w:rsidRPr="00A53896">
              <w:rPr>
                <w:rFonts w:ascii="Times" w:hAnsi="Times"/>
                <w:sz w:val="20"/>
                <w:szCs w:val="20"/>
              </w:rPr>
              <w:t>Slovakia</w:t>
            </w:r>
            <w:r w:rsidRPr="00A53896">
              <w:rPr>
                <w:rFonts w:ascii="Times" w:hAnsi="Times"/>
                <w:sz w:val="20"/>
                <w:szCs w:val="20"/>
              </w:rPr>
              <w:tab/>
              <w:t xml:space="preserve">    </w:t>
            </w:r>
            <w:r>
              <w:rPr>
                <w:rFonts w:ascii="Times" w:hAnsi="Times"/>
                <w:sz w:val="20"/>
                <w:szCs w:val="20"/>
              </w:rPr>
              <w:t xml:space="preserve">    </w:t>
            </w:r>
            <w:r w:rsidRPr="00A53896">
              <w:rPr>
                <w:rFonts w:ascii="Times" w:hAnsi="Times"/>
                <w:sz w:val="20"/>
                <w:szCs w:val="20"/>
              </w:rPr>
              <w:t>1992, Revised 2004</w:t>
            </w:r>
          </w:p>
          <w:p w14:paraId="12E204A1" w14:textId="77777777" w:rsidR="007B3C6C" w:rsidRPr="00A53896" w:rsidRDefault="007B3C6C" w:rsidP="00BC2582">
            <w:pPr>
              <w:rPr>
                <w:rFonts w:ascii="Times" w:hAnsi="Times"/>
                <w:sz w:val="20"/>
                <w:szCs w:val="20"/>
              </w:rPr>
            </w:pPr>
            <w:r>
              <w:rPr>
                <w:rFonts w:ascii="Times" w:hAnsi="Times"/>
                <w:sz w:val="20"/>
                <w:szCs w:val="20"/>
              </w:rPr>
              <w:t>Sri Lanka</w:t>
            </w:r>
            <w:r>
              <w:rPr>
                <w:rFonts w:ascii="Times" w:hAnsi="Times"/>
                <w:sz w:val="20"/>
                <w:szCs w:val="20"/>
              </w:rPr>
              <w:tab/>
              <w:t xml:space="preserve">     </w:t>
            </w:r>
            <w:r w:rsidRPr="00A53896">
              <w:rPr>
                <w:rFonts w:ascii="Times" w:hAnsi="Times"/>
                <w:sz w:val="20"/>
                <w:szCs w:val="20"/>
              </w:rPr>
              <w:t>1993</w:t>
            </w:r>
          </w:p>
          <w:p w14:paraId="03D854B5" w14:textId="77777777" w:rsidR="007B3C6C" w:rsidRPr="00A53896" w:rsidRDefault="007B3C6C" w:rsidP="00BC2582">
            <w:pPr>
              <w:rPr>
                <w:rFonts w:ascii="Times" w:hAnsi="Times"/>
                <w:sz w:val="20"/>
                <w:szCs w:val="20"/>
              </w:rPr>
            </w:pPr>
            <w:r>
              <w:rPr>
                <w:rFonts w:ascii="Times" w:hAnsi="Times"/>
                <w:sz w:val="20"/>
                <w:szCs w:val="20"/>
              </w:rPr>
              <w:t xml:space="preserve">Trinidad and Tobago </w:t>
            </w:r>
            <w:r w:rsidRPr="00A53896">
              <w:rPr>
                <w:rFonts w:ascii="Times" w:hAnsi="Times"/>
                <w:sz w:val="20"/>
                <w:szCs w:val="20"/>
              </w:rPr>
              <w:t>1996</w:t>
            </w:r>
          </w:p>
          <w:p w14:paraId="1D364A6B" w14:textId="77777777" w:rsidR="007B3C6C" w:rsidRPr="00A53896" w:rsidRDefault="007B3C6C" w:rsidP="00BC2582">
            <w:pPr>
              <w:rPr>
                <w:rFonts w:ascii="Times" w:hAnsi="Times"/>
                <w:sz w:val="20"/>
                <w:szCs w:val="20"/>
              </w:rPr>
            </w:pPr>
            <w:r w:rsidRPr="00A53896">
              <w:rPr>
                <w:rFonts w:ascii="Times" w:hAnsi="Times"/>
                <w:sz w:val="20"/>
                <w:szCs w:val="20"/>
              </w:rPr>
              <w:t>Tunisia</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1993</w:t>
            </w:r>
          </w:p>
          <w:p w14:paraId="46D1BA38" w14:textId="77777777" w:rsidR="007B3C6C" w:rsidRPr="00A53896" w:rsidRDefault="007B3C6C" w:rsidP="00BC2582">
            <w:pPr>
              <w:rPr>
                <w:rFonts w:ascii="Times" w:hAnsi="Times"/>
                <w:sz w:val="20"/>
                <w:szCs w:val="20"/>
              </w:rPr>
            </w:pPr>
            <w:r>
              <w:rPr>
                <w:rFonts w:ascii="Times" w:hAnsi="Times"/>
                <w:sz w:val="20"/>
                <w:szCs w:val="20"/>
              </w:rPr>
              <w:t>Turkey</w:t>
            </w:r>
            <w:r>
              <w:rPr>
                <w:rFonts w:ascii="Times" w:hAnsi="Times"/>
                <w:sz w:val="20"/>
                <w:szCs w:val="20"/>
              </w:rPr>
              <w:tab/>
            </w:r>
            <w:r>
              <w:rPr>
                <w:rFonts w:ascii="Times" w:hAnsi="Times"/>
                <w:sz w:val="20"/>
                <w:szCs w:val="20"/>
              </w:rPr>
              <w:tab/>
              <w:t xml:space="preserve">      </w:t>
            </w:r>
            <w:r w:rsidRPr="00A53896">
              <w:rPr>
                <w:rFonts w:ascii="Times" w:hAnsi="Times"/>
                <w:sz w:val="20"/>
                <w:szCs w:val="20"/>
              </w:rPr>
              <w:t>1990</w:t>
            </w:r>
          </w:p>
          <w:p w14:paraId="76E1DDE4" w14:textId="77777777" w:rsidR="007B3C6C" w:rsidRPr="00A53896" w:rsidRDefault="007B3C6C" w:rsidP="00BC2582">
            <w:pPr>
              <w:rPr>
                <w:rFonts w:ascii="Times" w:hAnsi="Times"/>
                <w:sz w:val="20"/>
                <w:szCs w:val="20"/>
              </w:rPr>
            </w:pPr>
            <w:r w:rsidRPr="00A53896">
              <w:rPr>
                <w:rFonts w:ascii="Times" w:hAnsi="Times"/>
                <w:sz w:val="20"/>
                <w:szCs w:val="20"/>
              </w:rPr>
              <w:t>Ukraine</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1996</w:t>
            </w:r>
          </w:p>
          <w:p w14:paraId="520A7514" w14:textId="77777777" w:rsidR="007B3C6C" w:rsidRPr="00A53896" w:rsidRDefault="007B3C6C" w:rsidP="00BC2582">
            <w:pPr>
              <w:rPr>
                <w:rFonts w:ascii="Times" w:hAnsi="Times"/>
                <w:sz w:val="20"/>
                <w:szCs w:val="20"/>
              </w:rPr>
            </w:pPr>
            <w:r w:rsidRPr="00A53896">
              <w:rPr>
                <w:rFonts w:ascii="Times" w:hAnsi="Times"/>
                <w:sz w:val="20"/>
                <w:szCs w:val="20"/>
              </w:rPr>
              <w:t>Uruguay</w:t>
            </w:r>
            <w:r w:rsidRPr="00A53896">
              <w:rPr>
                <w:rFonts w:ascii="Times" w:hAnsi="Times"/>
                <w:sz w:val="20"/>
                <w:szCs w:val="20"/>
              </w:rPr>
              <w:tab/>
            </w:r>
            <w:r w:rsidRPr="00A53896">
              <w:rPr>
                <w:rFonts w:ascii="Times" w:hAnsi="Times"/>
                <w:sz w:val="20"/>
                <w:szCs w:val="20"/>
              </w:rPr>
              <w:tab/>
            </w:r>
            <w:r>
              <w:rPr>
                <w:rFonts w:ascii="Times" w:hAnsi="Times"/>
                <w:sz w:val="20"/>
                <w:szCs w:val="20"/>
              </w:rPr>
              <w:t xml:space="preserve">      </w:t>
            </w:r>
            <w:r w:rsidRPr="00A53896">
              <w:rPr>
                <w:rFonts w:ascii="Times" w:hAnsi="Times"/>
                <w:sz w:val="20"/>
                <w:szCs w:val="20"/>
              </w:rPr>
              <w:t>2006</w:t>
            </w:r>
          </w:p>
          <w:p w14:paraId="763A66D7" w14:textId="77777777" w:rsidR="007B3C6C" w:rsidRPr="00A53896" w:rsidRDefault="007B3C6C" w:rsidP="00BC2582">
            <w:pPr>
              <w:rPr>
                <w:sz w:val="20"/>
                <w:szCs w:val="20"/>
              </w:rPr>
            </w:pPr>
          </w:p>
        </w:tc>
      </w:tr>
    </w:tbl>
    <w:p w14:paraId="3A128C7D" w14:textId="77777777" w:rsidR="007B3C6C" w:rsidRPr="00A53896" w:rsidRDefault="007B3C6C" w:rsidP="007B3C6C">
      <w:pPr>
        <w:rPr>
          <w:sz w:val="20"/>
          <w:szCs w:val="20"/>
        </w:rPr>
      </w:pPr>
    </w:p>
    <w:p w14:paraId="74A45898" w14:textId="77777777" w:rsidR="007B3C6C" w:rsidRPr="00A53896" w:rsidRDefault="007B3C6C" w:rsidP="007B3C6C">
      <w:pPr>
        <w:rPr>
          <w:sz w:val="20"/>
          <w:szCs w:val="20"/>
        </w:rPr>
      </w:pPr>
    </w:p>
    <w:p w14:paraId="5FE7C078" w14:textId="77777777" w:rsidR="007B3C6C" w:rsidRPr="00A53896" w:rsidRDefault="007B3C6C" w:rsidP="007B3C6C">
      <w:pPr>
        <w:jc w:val="center"/>
        <w:rPr>
          <w:b/>
          <w:sz w:val="20"/>
          <w:szCs w:val="20"/>
        </w:rPr>
      </w:pPr>
      <w:r w:rsidRPr="00A53896">
        <w:rPr>
          <w:b/>
          <w:sz w:val="20"/>
          <w:szCs w:val="20"/>
        </w:rPr>
        <w:t>Agreements Signed, But Not Yet Entered Into Force Since 1984 (BITs)</w:t>
      </w:r>
    </w:p>
    <w:p w14:paraId="58CFA22B" w14:textId="77777777" w:rsidR="007B3C6C" w:rsidRPr="00A53896" w:rsidRDefault="007B3C6C" w:rsidP="007B3C6C">
      <w:pPr>
        <w:rPr>
          <w:sz w:val="20"/>
          <w:szCs w:val="20"/>
        </w:rPr>
      </w:pPr>
    </w:p>
    <w:p w14:paraId="308D3F03" w14:textId="77777777" w:rsidR="007B3C6C" w:rsidRPr="00A53896" w:rsidRDefault="007B3C6C" w:rsidP="007B3C6C">
      <w:pPr>
        <w:rPr>
          <w:sz w:val="20"/>
          <w:szCs w:val="20"/>
        </w:rPr>
      </w:pPr>
      <w:r w:rsidRPr="00A53896">
        <w:rPr>
          <w:sz w:val="20"/>
          <w:szCs w:val="20"/>
        </w:rPr>
        <w:t>Belarus</w:t>
      </w:r>
      <w:r w:rsidRPr="00A53896">
        <w:rPr>
          <w:sz w:val="20"/>
          <w:szCs w:val="20"/>
        </w:rPr>
        <w:tab/>
      </w:r>
      <w:r>
        <w:rPr>
          <w:sz w:val="20"/>
          <w:szCs w:val="20"/>
        </w:rPr>
        <w:t xml:space="preserve">              </w:t>
      </w:r>
      <w:r w:rsidRPr="00A53896">
        <w:rPr>
          <w:sz w:val="20"/>
          <w:szCs w:val="20"/>
        </w:rPr>
        <w:t>1994</w:t>
      </w:r>
    </w:p>
    <w:p w14:paraId="35B72571" w14:textId="77777777" w:rsidR="007B3C6C" w:rsidRPr="00A53896" w:rsidRDefault="007B3C6C" w:rsidP="007B3C6C">
      <w:pPr>
        <w:rPr>
          <w:sz w:val="20"/>
          <w:szCs w:val="20"/>
        </w:rPr>
      </w:pPr>
      <w:r w:rsidRPr="00A53896">
        <w:rPr>
          <w:sz w:val="20"/>
          <w:szCs w:val="20"/>
        </w:rPr>
        <w:t>El Salvador</w:t>
      </w:r>
      <w:r w:rsidRPr="00A53896">
        <w:rPr>
          <w:sz w:val="20"/>
          <w:szCs w:val="20"/>
        </w:rPr>
        <w:tab/>
        <w:t>1999</w:t>
      </w:r>
    </w:p>
    <w:p w14:paraId="4E24213D" w14:textId="77777777" w:rsidR="007B3C6C" w:rsidRPr="00A53896" w:rsidRDefault="007B3C6C" w:rsidP="007B3C6C">
      <w:pPr>
        <w:rPr>
          <w:sz w:val="20"/>
          <w:szCs w:val="20"/>
        </w:rPr>
      </w:pPr>
      <w:r w:rsidRPr="00A53896">
        <w:rPr>
          <w:sz w:val="20"/>
          <w:szCs w:val="20"/>
        </w:rPr>
        <w:t>Nicaragua</w:t>
      </w:r>
      <w:r w:rsidRPr="00A53896">
        <w:rPr>
          <w:sz w:val="20"/>
          <w:szCs w:val="20"/>
        </w:rPr>
        <w:tab/>
        <w:t>1995</w:t>
      </w:r>
    </w:p>
    <w:p w14:paraId="5B1BFC0C" w14:textId="77777777" w:rsidR="007B3C6C" w:rsidRPr="00A53896" w:rsidRDefault="007B3C6C" w:rsidP="007B3C6C">
      <w:pPr>
        <w:rPr>
          <w:sz w:val="20"/>
          <w:szCs w:val="20"/>
        </w:rPr>
      </w:pPr>
      <w:r w:rsidRPr="00A53896">
        <w:rPr>
          <w:sz w:val="20"/>
          <w:szCs w:val="20"/>
        </w:rPr>
        <w:t>Russia</w:t>
      </w:r>
      <w:r w:rsidRPr="00A53896">
        <w:rPr>
          <w:sz w:val="20"/>
          <w:szCs w:val="20"/>
        </w:rPr>
        <w:tab/>
      </w:r>
      <w:r w:rsidRPr="00A53896">
        <w:rPr>
          <w:sz w:val="20"/>
          <w:szCs w:val="20"/>
        </w:rPr>
        <w:tab/>
        <w:t>1992</w:t>
      </w:r>
    </w:p>
    <w:p w14:paraId="5BA13EDC" w14:textId="77777777" w:rsidR="007B3C6C" w:rsidRPr="00A53896" w:rsidRDefault="007B3C6C" w:rsidP="007B3C6C">
      <w:pPr>
        <w:rPr>
          <w:sz w:val="20"/>
          <w:szCs w:val="20"/>
        </w:rPr>
      </w:pPr>
      <w:r w:rsidRPr="00A53896">
        <w:rPr>
          <w:sz w:val="20"/>
          <w:szCs w:val="20"/>
        </w:rPr>
        <w:t>Uzbekistan</w:t>
      </w:r>
      <w:r w:rsidRPr="00A53896">
        <w:rPr>
          <w:sz w:val="20"/>
          <w:szCs w:val="20"/>
        </w:rPr>
        <w:tab/>
        <w:t>1994</w:t>
      </w:r>
    </w:p>
    <w:p w14:paraId="53F56A58" w14:textId="77777777" w:rsidR="007B3C6C" w:rsidRPr="00A53896" w:rsidRDefault="007B3C6C" w:rsidP="007B3C6C">
      <w:pPr>
        <w:rPr>
          <w:sz w:val="20"/>
          <w:szCs w:val="20"/>
        </w:rPr>
      </w:pPr>
    </w:p>
    <w:p w14:paraId="08FD8571" w14:textId="77777777" w:rsidR="007B3C6C" w:rsidRPr="00A53896" w:rsidRDefault="007B3C6C" w:rsidP="007B3C6C">
      <w:pPr>
        <w:rPr>
          <w:sz w:val="20"/>
          <w:szCs w:val="20"/>
        </w:rPr>
      </w:pPr>
    </w:p>
    <w:p w14:paraId="5CF53544" w14:textId="12BE81F9" w:rsidR="002C0115" w:rsidRPr="00B37A0E" w:rsidRDefault="007B3C6C" w:rsidP="00B37A0E">
      <w:pPr>
        <w:rPr>
          <w:sz w:val="20"/>
          <w:szCs w:val="20"/>
        </w:rPr>
      </w:pPr>
      <w:r w:rsidRPr="00A53896">
        <w:rPr>
          <w:sz w:val="20"/>
          <w:szCs w:val="20"/>
        </w:rPr>
        <w:t>Source: United States Trade Representative, Annual Report to Congress 2014, Appendix III</w:t>
      </w:r>
    </w:p>
    <w:sectPr w:rsidR="002C0115" w:rsidRPr="00B37A0E" w:rsidSect="00F45310">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68DEF" w14:textId="77777777" w:rsidR="00064362" w:rsidRDefault="00064362" w:rsidP="00D87683">
      <w:r>
        <w:separator/>
      </w:r>
    </w:p>
  </w:endnote>
  <w:endnote w:type="continuationSeparator" w:id="0">
    <w:p w14:paraId="2917DD55" w14:textId="77777777" w:rsidR="00064362" w:rsidRDefault="00064362" w:rsidP="00D8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DAAD" w14:textId="77777777" w:rsidR="00064362" w:rsidRDefault="00064362" w:rsidP="00BC25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77E58" w14:textId="77777777" w:rsidR="00064362" w:rsidRDefault="00064362" w:rsidP="00F453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700B" w14:textId="72CE58D8" w:rsidR="00064362" w:rsidRDefault="00064362" w:rsidP="00BC25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846">
      <w:rPr>
        <w:rStyle w:val="PageNumber"/>
        <w:noProof/>
      </w:rPr>
      <w:t>20</w:t>
    </w:r>
    <w:r>
      <w:rPr>
        <w:rStyle w:val="PageNumber"/>
      </w:rPr>
      <w:fldChar w:fldCharType="end"/>
    </w:r>
  </w:p>
  <w:p w14:paraId="149C838D" w14:textId="77777777" w:rsidR="00064362" w:rsidRDefault="00064362" w:rsidP="00F453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87057" w14:textId="77777777" w:rsidR="00064362" w:rsidRDefault="00064362" w:rsidP="00D87683">
      <w:r>
        <w:separator/>
      </w:r>
    </w:p>
  </w:footnote>
  <w:footnote w:type="continuationSeparator" w:id="0">
    <w:p w14:paraId="50A60A9C" w14:textId="77777777" w:rsidR="00064362" w:rsidRDefault="00064362" w:rsidP="00D87683">
      <w:r>
        <w:continuationSeparator/>
      </w:r>
    </w:p>
  </w:footnote>
  <w:footnote w:id="1">
    <w:p w14:paraId="75AABA84" w14:textId="5C64E21F" w:rsidR="00064362" w:rsidRPr="00733772" w:rsidRDefault="00064362">
      <w:pPr>
        <w:pStyle w:val="FootnoteText"/>
        <w:rPr>
          <w:lang w:val="en-CA"/>
        </w:rPr>
      </w:pPr>
      <w:r>
        <w:rPr>
          <w:rStyle w:val="FootnoteReference"/>
        </w:rPr>
        <w:footnoteRef/>
      </w:r>
      <w:r>
        <w:t xml:space="preserve"> </w:t>
      </w:r>
      <w:r>
        <w:rPr>
          <w:lang w:val="en-CA"/>
        </w:rPr>
        <w:t xml:space="preserve">The claim that the TTIP will/would have multilateralized investment rules can be challenged—it's , of course, technically a bilateral negotiation between the EU (as represented by the Commission) and the United States. However, because the TTIP investment negotiations would have involved most of the same OECD countries that were at the table during the MAI negotiations in 1995-1998, and would likely have established a new global standard for these rules others (perhaps in the WTO) would have followed, we use the term multilateral in connection to the TTIP. </w:t>
      </w:r>
    </w:p>
  </w:footnote>
  <w:footnote w:id="2">
    <w:p w14:paraId="7A432645" w14:textId="485E5072" w:rsidR="00064362" w:rsidRPr="00A37F1A" w:rsidRDefault="00064362" w:rsidP="00F67C81">
      <w:pPr>
        <w:pStyle w:val="FootnoteText"/>
        <w:rPr>
          <w:lang w:val="en-CA"/>
        </w:rPr>
      </w:pPr>
      <w:r>
        <w:rPr>
          <w:rStyle w:val="FootnoteReference"/>
        </w:rPr>
        <w:footnoteRef/>
      </w:r>
      <w:r>
        <w:t xml:space="preserve"> </w:t>
      </w:r>
      <w:r>
        <w:rPr>
          <w:lang w:val="en-CA"/>
        </w:rPr>
        <w:t>Specifically, NAFTA Chapter 11, Articles 1115-1138;</w:t>
      </w:r>
      <w:r w:rsidRPr="00A67B5D">
        <w:rPr>
          <w:i/>
          <w:lang w:val="en-CA"/>
        </w:rPr>
        <w:t>Energy Charter</w:t>
      </w:r>
      <w:r w:rsidR="00833D49">
        <w:rPr>
          <w:i/>
          <w:lang w:val="en-CA"/>
        </w:rPr>
        <w:t xml:space="preserve"> Treaty</w:t>
      </w:r>
      <w:r>
        <w:rPr>
          <w:lang w:val="en-CA"/>
        </w:rPr>
        <w:t>, , Article 26.</w:t>
      </w:r>
    </w:p>
  </w:footnote>
  <w:footnote w:id="3">
    <w:p w14:paraId="11B23362" w14:textId="77777777" w:rsidR="00064362" w:rsidRPr="00C63D86" w:rsidRDefault="00064362" w:rsidP="00006426">
      <w:pPr>
        <w:rPr>
          <w:rFonts w:ascii="Times" w:hAnsi="Times"/>
        </w:rPr>
      </w:pPr>
      <w:r>
        <w:rPr>
          <w:rStyle w:val="FootnoteReference"/>
        </w:rPr>
        <w:footnoteRef/>
      </w:r>
      <w:r>
        <w:t xml:space="preserve"> </w:t>
      </w:r>
      <w:r>
        <w:rPr>
          <w:rFonts w:ascii="Times" w:hAnsi="Times"/>
        </w:rPr>
        <w:t xml:space="preserve">See </w:t>
      </w:r>
      <w:r w:rsidRPr="00C76EAB">
        <w:rPr>
          <w:rFonts w:ascii="Times" w:hAnsi="Times"/>
        </w:rPr>
        <w:t xml:space="preserve">Edward M. Graham, </w:t>
      </w:r>
      <w:r w:rsidRPr="003A36EE">
        <w:rPr>
          <w:rFonts w:ascii="Times" w:hAnsi="Times"/>
          <w:i/>
        </w:rPr>
        <w:t>Fighting the Wrong Enemy: Antiglobal Activists and Multinational Enterprises</w:t>
      </w:r>
      <w:r w:rsidRPr="00C76EAB">
        <w:rPr>
          <w:rFonts w:ascii="Times" w:hAnsi="Times"/>
        </w:rPr>
        <w:t xml:space="preserve">, (Washington, D.C.: Institute for International Economics, 2000), 3-7; Deborah L. Swenson, “Why Do Developing Countries Sign BITs,” </w:t>
      </w:r>
      <w:r w:rsidRPr="00C76EAB">
        <w:rPr>
          <w:rFonts w:ascii="Times" w:hAnsi="Times"/>
          <w:i/>
        </w:rPr>
        <w:t xml:space="preserve">U.C. Davis Journal of International Law </w:t>
      </w:r>
      <w:r w:rsidRPr="00C63D86">
        <w:rPr>
          <w:rFonts w:ascii="Times" w:hAnsi="Times"/>
          <w:i/>
        </w:rPr>
        <w:t>&amp; Policy</w:t>
      </w:r>
      <w:r>
        <w:rPr>
          <w:rFonts w:ascii="Times" w:hAnsi="Times"/>
        </w:rPr>
        <w:t xml:space="preserve"> 12 (2005-2006): 131-155; Jeswald Salacuse and Nicholas Sullivan, “Do BITs Really Work?: An Evaluation of Bilateral Investment Treaties and Their Grand Bargain,”</w:t>
      </w:r>
      <w:r w:rsidRPr="007C4912">
        <w:rPr>
          <w:rFonts w:ascii="Times" w:hAnsi="Times"/>
          <w:i/>
        </w:rPr>
        <w:t xml:space="preserve"> Harvard Journal of International Law </w:t>
      </w:r>
      <w:r>
        <w:rPr>
          <w:rFonts w:ascii="Times" w:hAnsi="Times"/>
        </w:rPr>
        <w:t>46 no.1 (Winter 2005): 67-130.</w:t>
      </w:r>
    </w:p>
  </w:footnote>
  <w:footnote w:id="4">
    <w:p w14:paraId="7C69E0B5" w14:textId="77777777" w:rsidR="00064362" w:rsidRPr="00C63D86" w:rsidRDefault="00064362" w:rsidP="00006426">
      <w:pPr>
        <w:pStyle w:val="FootnoteText"/>
        <w:rPr>
          <w:rFonts w:ascii="Times" w:hAnsi="Times"/>
        </w:rPr>
      </w:pPr>
      <w:r w:rsidRPr="00C63D86">
        <w:rPr>
          <w:rStyle w:val="FootnoteReference"/>
          <w:rFonts w:ascii="Times" w:hAnsi="Times"/>
        </w:rPr>
        <w:footnoteRef/>
      </w:r>
      <w:r w:rsidRPr="00C63D86">
        <w:rPr>
          <w:rFonts w:ascii="Times" w:hAnsi="Times"/>
        </w:rPr>
        <w:t xml:space="preserve"> </w:t>
      </w:r>
      <w:r w:rsidRPr="00C63D86">
        <w:rPr>
          <w:rFonts w:ascii="Times" w:hAnsi="Times"/>
          <w:i/>
        </w:rPr>
        <w:t>OECD Investment News</w:t>
      </w:r>
      <w:r w:rsidRPr="00C63D86">
        <w:rPr>
          <w:rFonts w:ascii="Times" w:hAnsi="Times"/>
        </w:rPr>
        <w:t>, Issue 7, June 2008.</w:t>
      </w:r>
    </w:p>
  </w:footnote>
  <w:footnote w:id="5">
    <w:p w14:paraId="04DE831B" w14:textId="77777777" w:rsidR="00064362" w:rsidRPr="00C63D86" w:rsidRDefault="00064362" w:rsidP="00006426">
      <w:pPr>
        <w:pStyle w:val="FootnoteText"/>
        <w:rPr>
          <w:rFonts w:ascii="Times" w:hAnsi="Times"/>
        </w:rPr>
      </w:pPr>
      <w:r w:rsidRPr="00C63D86">
        <w:rPr>
          <w:rStyle w:val="FootnoteReference"/>
          <w:rFonts w:ascii="Times" w:hAnsi="Times"/>
        </w:rPr>
        <w:footnoteRef/>
      </w:r>
      <w:r w:rsidRPr="00C63D86">
        <w:rPr>
          <w:rFonts w:ascii="Times" w:hAnsi="Times"/>
        </w:rPr>
        <w:t xml:space="preserve"> Ibid.; The World Bank, “FDI Trends,” </w:t>
      </w:r>
      <w:r w:rsidRPr="00C63D86">
        <w:rPr>
          <w:rFonts w:ascii="Times" w:hAnsi="Times"/>
          <w:i/>
        </w:rPr>
        <w:t>Public Policy for the Private Sector</w:t>
      </w:r>
      <w:r w:rsidRPr="00C63D86">
        <w:rPr>
          <w:rFonts w:ascii="Times" w:hAnsi="Times"/>
        </w:rPr>
        <w:t>, Note Number 273, September 2004.</w:t>
      </w:r>
    </w:p>
  </w:footnote>
  <w:footnote w:id="6">
    <w:p w14:paraId="67586651" w14:textId="77777777" w:rsidR="00064362" w:rsidRDefault="00064362" w:rsidP="00006426">
      <w:pPr>
        <w:pStyle w:val="FootnoteText"/>
      </w:pPr>
      <w:r>
        <w:rPr>
          <w:rStyle w:val="FootnoteReference"/>
        </w:rPr>
        <w:footnoteRef/>
      </w:r>
      <w:r>
        <w:t xml:space="preserve"> Organization for Economic Cooperation and Development, “FDI in Figures,” April 2015. </w:t>
      </w:r>
    </w:p>
  </w:footnote>
  <w:footnote w:id="7">
    <w:p w14:paraId="455A2484" w14:textId="77777777" w:rsidR="00064362" w:rsidRDefault="00064362" w:rsidP="00006426">
      <w:pPr>
        <w:pStyle w:val="FootnoteText"/>
      </w:pPr>
      <w:r w:rsidRPr="00C63D86">
        <w:rPr>
          <w:rStyle w:val="FootnoteReference"/>
          <w:rFonts w:ascii="Times" w:hAnsi="Times"/>
        </w:rPr>
        <w:footnoteRef/>
      </w:r>
      <w:r w:rsidRPr="00C63D86">
        <w:rPr>
          <w:rFonts w:ascii="Times" w:hAnsi="Times"/>
        </w:rPr>
        <w:t xml:space="preserve"> See Appendix A</w:t>
      </w:r>
      <w:r>
        <w:rPr>
          <w:rFonts w:ascii="Times" w:hAnsi="Times"/>
        </w:rPr>
        <w:t>.</w:t>
      </w:r>
    </w:p>
  </w:footnote>
  <w:footnote w:id="8">
    <w:p w14:paraId="2E37B5CB" w14:textId="77777777" w:rsidR="00064362" w:rsidRPr="00AF628F" w:rsidRDefault="00064362" w:rsidP="00006426">
      <w:pPr>
        <w:pStyle w:val="FootnoteText"/>
        <w:rPr>
          <w:rFonts w:ascii="Times" w:hAnsi="Times"/>
        </w:rPr>
      </w:pPr>
      <w:r w:rsidRPr="00AF628F">
        <w:rPr>
          <w:rStyle w:val="FootnoteReference"/>
          <w:rFonts w:ascii="Times" w:hAnsi="Times"/>
        </w:rPr>
        <w:footnoteRef/>
      </w:r>
      <w:r w:rsidRPr="00AF628F">
        <w:rPr>
          <w:rFonts w:ascii="Times" w:hAnsi="Times"/>
        </w:rPr>
        <w:t xml:space="preserve"> See Bureau of Economic Analysis, U.S. Direct Investment Abroad and Foreign Direct Investment in the U.S. at http://www.bea.gov/international/</w:t>
      </w:r>
    </w:p>
  </w:footnote>
  <w:footnote w:id="9">
    <w:p w14:paraId="2A45FE6B" w14:textId="77777777" w:rsidR="00064362" w:rsidRPr="000804ED" w:rsidRDefault="00064362" w:rsidP="00006426">
      <w:pPr>
        <w:pStyle w:val="FootnoteText"/>
        <w:rPr>
          <w:rFonts w:ascii="Times" w:hAnsi="Times"/>
        </w:rPr>
      </w:pPr>
      <w:r w:rsidRPr="000804ED">
        <w:rPr>
          <w:rStyle w:val="FootnoteReference"/>
          <w:rFonts w:ascii="Times" w:hAnsi="Times"/>
        </w:rPr>
        <w:footnoteRef/>
      </w:r>
      <w:r w:rsidRPr="000804ED">
        <w:rPr>
          <w:rFonts w:ascii="Times" w:hAnsi="Times"/>
        </w:rPr>
        <w:t xml:space="preserve"> See Kenneth Waltz, “Globalization and American Power,” </w:t>
      </w:r>
      <w:r w:rsidRPr="000804ED">
        <w:rPr>
          <w:rFonts w:ascii="Times" w:hAnsi="Times"/>
          <w:i/>
        </w:rPr>
        <w:t>The National Interest</w:t>
      </w:r>
      <w:r w:rsidRPr="000804ED">
        <w:rPr>
          <w:rFonts w:ascii="Times" w:hAnsi="Times"/>
        </w:rPr>
        <w:t xml:space="preserve"> (Spring 2000): 46-56; Beth V. Yarbrough and Robert M. Yarbrough, “Cooperation in the Liberalization of International Trade: After Hegemony, What?,” </w:t>
      </w:r>
      <w:r w:rsidRPr="000804ED">
        <w:rPr>
          <w:rFonts w:ascii="Times" w:hAnsi="Times"/>
          <w:i/>
        </w:rPr>
        <w:t>International Organization</w:t>
      </w:r>
      <w:r w:rsidRPr="000804ED">
        <w:rPr>
          <w:rFonts w:ascii="Times" w:hAnsi="Times"/>
        </w:rPr>
        <w:t xml:space="preserve"> 41(1)(Winter 1987):1-26; John Mearsheimer, “The False Promise of International Institutions,” </w:t>
      </w:r>
      <w:r w:rsidRPr="000804ED">
        <w:rPr>
          <w:rFonts w:ascii="Times" w:hAnsi="Times"/>
          <w:i/>
        </w:rPr>
        <w:t>International Security</w:t>
      </w:r>
      <w:r w:rsidRPr="000804ED">
        <w:rPr>
          <w:rFonts w:ascii="Times" w:hAnsi="Times"/>
        </w:rPr>
        <w:t xml:space="preserve"> 19(3)(Winter 1994/95): 5-49.</w:t>
      </w:r>
    </w:p>
  </w:footnote>
  <w:footnote w:id="10">
    <w:p w14:paraId="5A3E2842" w14:textId="77777777" w:rsidR="00064362" w:rsidRDefault="00064362" w:rsidP="00006426">
      <w:pPr>
        <w:pStyle w:val="FootnoteText"/>
      </w:pPr>
      <w:r>
        <w:rPr>
          <w:rStyle w:val="FootnoteReference"/>
        </w:rPr>
        <w:footnoteRef/>
      </w:r>
      <w:r>
        <w:t xml:space="preserve"> See Earl Grinols and Robert Perrelli, “The WTO Impact on International Trade Disputes: An Event History Analysis,” </w:t>
      </w:r>
      <w:r w:rsidRPr="006D6928">
        <w:rPr>
          <w:i/>
        </w:rPr>
        <w:t>The Review of Economics and Statistics</w:t>
      </w:r>
      <w:r>
        <w:t xml:space="preserve"> 88 no. 4 (November 2006): 613-624.</w:t>
      </w:r>
    </w:p>
  </w:footnote>
  <w:footnote w:id="11">
    <w:p w14:paraId="1D9B6091" w14:textId="77777777" w:rsidR="00064362" w:rsidRDefault="00064362" w:rsidP="00006426">
      <w:pPr>
        <w:pStyle w:val="FootnoteText"/>
      </w:pPr>
      <w:r>
        <w:rPr>
          <w:rStyle w:val="FootnoteReference"/>
        </w:rPr>
        <w:footnoteRef/>
      </w:r>
      <w:r>
        <w:t xml:space="preserve"> United Nations Conference on Trade and Development, </w:t>
      </w:r>
      <w:r w:rsidRPr="00861F8D">
        <w:rPr>
          <w:i/>
        </w:rPr>
        <w:t>World Investment Report, 2014</w:t>
      </w:r>
      <w:r>
        <w:t>, (New York: UNCTAD, 2014), 124-126.</w:t>
      </w:r>
    </w:p>
  </w:footnote>
  <w:footnote w:id="12">
    <w:p w14:paraId="5E60AD12" w14:textId="6540F882" w:rsidR="00064362" w:rsidRDefault="00064362" w:rsidP="007B2D09">
      <w:pPr>
        <w:pStyle w:val="FootnoteText"/>
      </w:pPr>
      <w:r>
        <w:rPr>
          <w:rStyle w:val="FootnoteReference"/>
        </w:rPr>
        <w:footnoteRef/>
      </w:r>
      <w:r>
        <w:t xml:space="preserve"> Linda C. Reif, “The Evolution of Foreign Direct Investment Law: From an Inter-State to a Transnational Dynamic,” in M. Irish, ed., </w:t>
      </w:r>
      <w:r>
        <w:rPr>
          <w:i/>
        </w:rPr>
        <w:t>The Auto Pact: Investment, Labor, and the WTO</w:t>
      </w:r>
      <w:r>
        <w:t xml:space="preserve">, (London: Kluwer Law International, 2004): 175-193; Jeswald Salacuse,  “BIT by BIT: The Growth of Bilateral Investment Treaties and Their Impact on Foreign Investment in Developing Countries,” </w:t>
      </w:r>
      <w:r>
        <w:rPr>
          <w:i/>
        </w:rPr>
        <w:t>International Lawyer</w:t>
      </w:r>
      <w:r>
        <w:t xml:space="preserve"> 24 (1990):655 -675; Edward M. Graham, </w:t>
      </w:r>
      <w:r>
        <w:rPr>
          <w:i/>
        </w:rPr>
        <w:t>Fighting the Wrong Enemy: Anti-Global Activists and Multinational Enterprises</w:t>
      </w:r>
      <w:r>
        <w:t>, (Washington, D.C.: Institute for International Economics, 2000), 20-24.</w:t>
      </w:r>
    </w:p>
  </w:footnote>
  <w:footnote w:id="13">
    <w:p w14:paraId="5CC6C8E4" w14:textId="77777777" w:rsidR="00064362" w:rsidRDefault="00064362" w:rsidP="00000E4F">
      <w:r w:rsidRPr="00036729">
        <w:rPr>
          <w:rStyle w:val="FootnoteReference"/>
        </w:rPr>
        <w:footnoteRef/>
      </w:r>
      <w:r>
        <w:t>United Nations Conference on Trade and Development, World Investment Report, 2014, 114. In 2001 only 8% of all BITs concluded were between developing countries, reflecting the relative lack of FDI flowing between them.</w:t>
      </w:r>
    </w:p>
  </w:footnote>
  <w:footnote w:id="14">
    <w:p w14:paraId="24E96F98" w14:textId="77777777" w:rsidR="00064362" w:rsidRDefault="00064362" w:rsidP="00000E4F">
      <w:pPr>
        <w:pStyle w:val="FootnoteText"/>
      </w:pPr>
      <w:r>
        <w:rPr>
          <w:rStyle w:val="FootnoteReference"/>
        </w:rPr>
        <w:footnoteRef/>
      </w:r>
      <w:r>
        <w:t xml:space="preserve"> Salacuse and Sullivan, “Do BITs Really Work,” 79; Swenson, “Why Do Developing Countries Sign BITs?,” 131-155.</w:t>
      </w:r>
    </w:p>
  </w:footnote>
  <w:footnote w:id="15">
    <w:p w14:paraId="5115CD7C" w14:textId="77777777" w:rsidR="00064362" w:rsidRDefault="00064362" w:rsidP="00000E4F">
      <w:r w:rsidRPr="00036729">
        <w:rPr>
          <w:rStyle w:val="FootnoteReference"/>
        </w:rPr>
        <w:footnoteRef/>
      </w:r>
      <w:r>
        <w:t xml:space="preserve"> Swenson, “Why Do Developing Countries Sign BITs,” 131-155.</w:t>
      </w:r>
    </w:p>
  </w:footnote>
  <w:footnote w:id="16">
    <w:p w14:paraId="0D945E4B" w14:textId="77777777" w:rsidR="00064362" w:rsidRDefault="00064362" w:rsidP="007B2D09">
      <w:pPr>
        <w:pStyle w:val="FootnoteText"/>
      </w:pPr>
      <w:r>
        <w:rPr>
          <w:rStyle w:val="FootnoteReference"/>
        </w:rPr>
        <w:footnoteRef/>
      </w:r>
      <w:r>
        <w:t xml:space="preserve"> Stephen J. Canner, “The Multilateral Agreement on Investment,” </w:t>
      </w:r>
      <w:r w:rsidRPr="000132B4">
        <w:rPr>
          <w:i/>
        </w:rPr>
        <w:t>Cornell International Law Journal</w:t>
      </w:r>
      <w:r>
        <w:t xml:space="preserve"> 31 (1998): 657-681; Riyaz Dattu, “A Journey from Havana to Paris: The Fifty-Year Quest for the Elusive Multilateral Agreement on Investment,” </w:t>
      </w:r>
      <w:r w:rsidRPr="000132B4">
        <w:rPr>
          <w:i/>
        </w:rPr>
        <w:t xml:space="preserve">Fordham International Law Journal </w:t>
      </w:r>
      <w:r>
        <w:t xml:space="preserve">24 (2000): 275-316; Jurgen Kurtz, “A General Investment Agreement in the WTO? Lessons from Chapter 11 of NAFTA and the OECD Multilateral Agreement on Investment,” </w:t>
      </w:r>
      <w:r w:rsidRPr="00D76DDE">
        <w:rPr>
          <w:i/>
        </w:rPr>
        <w:t>University of Pennsylvania Journal of International Economic Law</w:t>
      </w:r>
      <w:r>
        <w:t>,” 23, no. 4 (Winter 2002):  713-789.</w:t>
      </w:r>
    </w:p>
  </w:footnote>
  <w:footnote w:id="17">
    <w:p w14:paraId="0FF21DD8" w14:textId="77777777" w:rsidR="00064362" w:rsidRDefault="00064362" w:rsidP="007B2D09">
      <w:r w:rsidRPr="00036729">
        <w:rPr>
          <w:rStyle w:val="FootnoteReference"/>
        </w:rPr>
        <w:footnoteRef/>
      </w:r>
      <w:r>
        <w:t xml:space="preserve">See Aron Broches, </w:t>
      </w:r>
      <w:r>
        <w:rPr>
          <w:i/>
        </w:rPr>
        <w:t>Selected Essays, World Bank, ICSID, and other Subjects of Public and Private International Law</w:t>
      </w:r>
      <w:r>
        <w:t>, (London: Kluwer Academic Publishers, 1995), especially chapters 5-8.</w:t>
      </w:r>
    </w:p>
  </w:footnote>
  <w:footnote w:id="18">
    <w:p w14:paraId="0B8F6ADA" w14:textId="77777777" w:rsidR="00064362" w:rsidRDefault="00064362" w:rsidP="00EF5122">
      <w:r w:rsidRPr="00036729">
        <w:rPr>
          <w:rStyle w:val="FootnoteReference"/>
        </w:rPr>
        <w:footnoteRef/>
      </w:r>
      <w:r>
        <w:t>Salacuse, “BIT by BIT,” 657.</w:t>
      </w:r>
    </w:p>
  </w:footnote>
  <w:footnote w:id="19">
    <w:p w14:paraId="2C87C19B" w14:textId="77777777" w:rsidR="00064362" w:rsidRDefault="00064362" w:rsidP="00EF5122">
      <w:r w:rsidRPr="00036729">
        <w:rPr>
          <w:rStyle w:val="FootnoteReference"/>
        </w:rPr>
        <w:footnoteRef/>
      </w:r>
      <w:r>
        <w:t>Salacuse, “BIT by BIT,” 656; Vandevelde, 162.</w:t>
      </w:r>
    </w:p>
  </w:footnote>
  <w:footnote w:id="20">
    <w:p w14:paraId="489DDB1A" w14:textId="77777777" w:rsidR="00064362" w:rsidRDefault="00064362" w:rsidP="00000E4F">
      <w:r w:rsidRPr="00D93DAC">
        <w:rPr>
          <w:rStyle w:val="FootnoteReference"/>
        </w:rPr>
        <w:footnoteRef/>
      </w:r>
      <w:r>
        <w:t xml:space="preserve">See U.S. Department of State, Bureau of Economic and Business Affairs, for a listing of current U.S. BITs at </w:t>
      </w:r>
      <w:r>
        <w:fldChar w:fldCharType="begin"/>
      </w:r>
      <w:r>
        <w:instrText xml:space="preserve"> GOTOBUTTON BM_2_ www.state.gov.</w:instrText>
      </w:r>
      <w:r>
        <w:fldChar w:fldCharType="end"/>
      </w:r>
      <w:r>
        <w:t>; U.S. Department of Commerce, Trade Compliance Centre, Bilateral Investment Treaties, at http://ttc.export.gov.</w:t>
      </w:r>
    </w:p>
  </w:footnote>
  <w:footnote w:id="21">
    <w:p w14:paraId="13502114" w14:textId="77777777" w:rsidR="00064362" w:rsidRDefault="00064362" w:rsidP="00EC4846">
      <w:pPr>
        <w:pStyle w:val="FootnoteText"/>
      </w:pPr>
      <w:r>
        <w:rPr>
          <w:rStyle w:val="FootnoteReference"/>
        </w:rPr>
        <w:footnoteRef/>
      </w:r>
      <w:r>
        <w:t xml:space="preserve"> See ICSID Member States Database, </w:t>
      </w:r>
      <w:hyperlink r:id="rId1" w:history="1">
        <w:r w:rsidRPr="00E0370F">
          <w:rPr>
            <w:rStyle w:val="Hyperlink"/>
          </w:rPr>
          <w:t>http://icsid.worldbank.org</w:t>
        </w:r>
      </w:hyperlink>
      <w:r>
        <w:t>. All three NAFTA parties have been more consistent members of the UNCITRAL Commission: United States, 1968-2016; Canada, 1989-1995, 2001-2019; Mexico, 1968-1980, 1983-2019.</w:t>
      </w:r>
    </w:p>
  </w:footnote>
  <w:footnote w:id="22">
    <w:p w14:paraId="224CCD2E" w14:textId="77777777" w:rsidR="00064362" w:rsidRDefault="00064362" w:rsidP="00EC4846">
      <w:pPr>
        <w:pStyle w:val="FootnoteText"/>
      </w:pPr>
      <w:r>
        <w:rPr>
          <w:rStyle w:val="FootnoteReference"/>
        </w:rPr>
        <w:footnoteRef/>
      </w:r>
      <w:r>
        <w:t xml:space="preserve"> See Edward Graham and Christopher Wilkie, “Multinationals and the Investment Provisions of the NAFTA,” </w:t>
      </w:r>
      <w:r w:rsidRPr="003A36EE">
        <w:rPr>
          <w:i/>
        </w:rPr>
        <w:t>The International Trade Journal</w:t>
      </w:r>
      <w:r>
        <w:t xml:space="preserve"> 8, no. 1 (Spring 1994): 9-38.</w:t>
      </w:r>
    </w:p>
  </w:footnote>
  <w:footnote w:id="23">
    <w:p w14:paraId="776828C9" w14:textId="77777777" w:rsidR="00064362" w:rsidRDefault="00064362" w:rsidP="00EC4846">
      <w:r>
        <w:rPr>
          <w:rStyle w:val="FootnoteReference"/>
        </w:rPr>
        <w:footnoteRef/>
      </w:r>
      <w:r>
        <w:t xml:space="preserve"> Earl Fry, </w:t>
      </w:r>
      <w:r>
        <w:rPr>
          <w:i/>
        </w:rPr>
        <w:t>The Politics of International Investment</w:t>
      </w:r>
      <w:r>
        <w:t xml:space="preserve">, (New York: McGraw-Hill, Inc. 1983), 80-90; Michael Hart, Bill Dymond and Colin Robertson, </w:t>
      </w:r>
      <w:r>
        <w:rPr>
          <w:i/>
        </w:rPr>
        <w:t>Decision at Midnight: Inside the Canada-U.S. Free Trade Negotiations,</w:t>
      </w:r>
      <w:r>
        <w:t xml:space="preserve"> (Vancouver: UBC Press, 1994), 16, 221-224; </w:t>
      </w:r>
      <w:r w:rsidRPr="004E313D">
        <w:t>George Glover, “Canada’s Foreign Investment Review Act,”</w:t>
      </w:r>
      <w:r>
        <w:t xml:space="preserve"> </w:t>
      </w:r>
      <w:r w:rsidRPr="004E313D">
        <w:rPr>
          <w:i/>
        </w:rPr>
        <w:t>Business Lawyer</w:t>
      </w:r>
      <w:r>
        <w:t>, v</w:t>
      </w:r>
      <w:r w:rsidRPr="004E313D">
        <w:t xml:space="preserve">ol. </w:t>
      </w:r>
      <w:r>
        <w:t xml:space="preserve">29, no. 3 (April 1974): 805-822; Carlos Salinas de Gortari, </w:t>
      </w:r>
      <w:r>
        <w:rPr>
          <w:i/>
        </w:rPr>
        <w:t>Mexico: The Policy and Politics of Modernization</w:t>
      </w:r>
      <w:r>
        <w:t xml:space="preserve"> (Barcelona: Plaza &amp; Janes Editores, 2002), 37-47, 394-491; Maxwell Cameron and Brian W. Tomlin</w:t>
      </w:r>
      <w:r>
        <w:rPr>
          <w:i/>
        </w:rPr>
        <w:t>, The Making of the NAFTA: How the Deal was Done</w:t>
      </w:r>
      <w:r>
        <w:t xml:space="preserve"> (Ithaca: Cornell University Press, 2000), 40-42, 62-63.</w:t>
      </w:r>
    </w:p>
  </w:footnote>
  <w:footnote w:id="24">
    <w:p w14:paraId="2A498AF7" w14:textId="77777777" w:rsidR="00064362" w:rsidRDefault="00064362" w:rsidP="00EC4846">
      <w:pPr>
        <w:pStyle w:val="FootnoteText"/>
      </w:pPr>
      <w:r>
        <w:rPr>
          <w:rStyle w:val="FootnoteReference"/>
        </w:rPr>
        <w:footnoteRef/>
      </w:r>
      <w:r>
        <w:t xml:space="preserve"> Public Citizen, </w:t>
      </w:r>
      <w:r w:rsidRPr="00777EFD">
        <w:rPr>
          <w:i/>
        </w:rPr>
        <w:t>Myths and Omissions: Unpacking Obama Administration Defense of Investor-State Corporate Privileges</w:t>
      </w:r>
      <w:r>
        <w:t xml:space="preserve">, (Washington, D.C.: Public Citizen’s Global Trade Watch, 2014); see also See Joseph De Pencier, “Investment, Environment and Dispute Settlement: Arbitration Under NAFTA Chapter Eleven,” </w:t>
      </w:r>
      <w:r w:rsidRPr="00996B61">
        <w:rPr>
          <w:i/>
        </w:rPr>
        <w:t>Hastings International and Comparative Law Review</w:t>
      </w:r>
      <w:r>
        <w:t xml:space="preserve"> 23 (1999-2000): 409-419.</w:t>
      </w:r>
    </w:p>
  </w:footnote>
  <w:footnote w:id="25">
    <w:p w14:paraId="11B5FF7D" w14:textId="77777777" w:rsidR="00064362" w:rsidRDefault="00064362" w:rsidP="00E16199">
      <w:pPr>
        <w:pStyle w:val="FootnoteText"/>
      </w:pPr>
      <w:r>
        <w:rPr>
          <w:rStyle w:val="FootnoteReference"/>
        </w:rPr>
        <w:footnoteRef/>
      </w:r>
      <w:r>
        <w:t xml:space="preserve"> Source: Internet World Stats (</w:t>
      </w:r>
      <w:hyperlink r:id="rId2" w:history="1">
        <w:r w:rsidRPr="0042102F">
          <w:rPr>
            <w:rStyle w:val="Hyperlink"/>
          </w:rPr>
          <w:t>http://www.internetworldstats.com/emarketing.htm</w:t>
        </w:r>
      </w:hyperlink>
      <w:r>
        <w:t>) Accessed February 14, 2017.</w:t>
      </w:r>
    </w:p>
  </w:footnote>
  <w:footnote w:id="26">
    <w:p w14:paraId="3D213DED" w14:textId="77777777" w:rsidR="00064362" w:rsidRDefault="00064362" w:rsidP="00F16980">
      <w:pPr>
        <w:pStyle w:val="FootnoteText"/>
      </w:pPr>
      <w:r>
        <w:rPr>
          <w:rStyle w:val="FootnoteReference"/>
        </w:rPr>
        <w:footnoteRef/>
      </w:r>
      <w:r>
        <w:t xml:space="preserve"> Jagdish Bhagwati, “Coping with Antiglobalization: A Trilogy of Discontents,” </w:t>
      </w:r>
      <w:r w:rsidRPr="00924D98">
        <w:rPr>
          <w:i/>
        </w:rPr>
        <w:t>Foreign Affairs</w:t>
      </w:r>
      <w:r>
        <w:t xml:space="preserve"> 81 no. 1 (January/February 2002): 2-7</w:t>
      </w:r>
    </w:p>
  </w:footnote>
  <w:footnote w:id="27">
    <w:p w14:paraId="3F518C55" w14:textId="77777777" w:rsidR="00064362" w:rsidRDefault="00064362" w:rsidP="00F16980">
      <w:pPr>
        <w:pStyle w:val="FootnoteText"/>
      </w:pPr>
      <w:r>
        <w:rPr>
          <w:rStyle w:val="FootnoteReference"/>
        </w:rPr>
        <w:footnoteRef/>
      </w:r>
      <w:r>
        <w:t xml:space="preserve"> David A. Jones, “The Polarizing Effect of New Media Messages,” </w:t>
      </w:r>
      <w:r w:rsidRPr="007A665D">
        <w:rPr>
          <w:i/>
        </w:rPr>
        <w:t>International Journal of Public Opinion Research</w:t>
      </w:r>
      <w:r>
        <w:t xml:space="preserve"> 14 (2002): 158-74.</w:t>
      </w:r>
    </w:p>
  </w:footnote>
  <w:footnote w:id="28">
    <w:p w14:paraId="66925FC6" w14:textId="77777777" w:rsidR="00064362" w:rsidRDefault="00064362" w:rsidP="00E03AFF">
      <w:pPr>
        <w:pStyle w:val="FootnoteText"/>
      </w:pPr>
      <w:r>
        <w:rPr>
          <w:rStyle w:val="FootnoteReference"/>
        </w:rPr>
        <w:footnoteRef/>
      </w:r>
      <w:r>
        <w:t xml:space="preserve"> </w:t>
      </w:r>
      <w:r w:rsidRPr="008F79AC">
        <w:t xml:space="preserve">Marco C. Yzer and Brian G. Southwell, “New Communication Technologies, Old Questions,” </w:t>
      </w:r>
      <w:r w:rsidRPr="008F79AC">
        <w:rPr>
          <w:i/>
        </w:rPr>
        <w:t>American Behavioral Scientist</w:t>
      </w:r>
      <w:r w:rsidRPr="008F79AC">
        <w:t xml:space="preserve"> 52 no. 1 (September 2008)</w:t>
      </w:r>
      <w:r>
        <w:t>:12-13.</w:t>
      </w:r>
    </w:p>
  </w:footnote>
  <w:footnote w:id="29">
    <w:p w14:paraId="265FA2EB" w14:textId="77777777" w:rsidR="00064362" w:rsidRDefault="00064362" w:rsidP="00E062F9">
      <w:pPr>
        <w:pStyle w:val="FootnoteText"/>
      </w:pPr>
      <w:r>
        <w:rPr>
          <w:rStyle w:val="FootnoteReference"/>
        </w:rPr>
        <w:footnoteRef/>
      </w:r>
      <w:r>
        <w:t xml:space="preserve"> Jerry W. Knudson, “Rebellion in Chiapas: Insurrection by Internet and Public Relations,” </w:t>
      </w:r>
      <w:r w:rsidRPr="00266FC6">
        <w:rPr>
          <w:i/>
        </w:rPr>
        <w:t>Media, Culture, &amp; Society</w:t>
      </w:r>
      <w:r>
        <w:t xml:space="preserve"> 20, no. 3 (1998): 507-518.</w:t>
      </w:r>
    </w:p>
  </w:footnote>
  <w:footnote w:id="30">
    <w:p w14:paraId="2C2F306A" w14:textId="77777777" w:rsidR="00064362" w:rsidRDefault="00064362" w:rsidP="00E062F9">
      <w:pPr>
        <w:pStyle w:val="FootnoteText"/>
      </w:pPr>
      <w:r>
        <w:rPr>
          <w:rStyle w:val="FootnoteReference"/>
        </w:rPr>
        <w:footnoteRef/>
      </w:r>
      <w:r>
        <w:t xml:space="preserve"> Jeffrey M. Ayres, “From the Streets to the Internet: The Cyber-Diffusion of Contention,” </w:t>
      </w:r>
      <w:r w:rsidRPr="00867FE1">
        <w:rPr>
          <w:i/>
        </w:rPr>
        <w:t>The ANNALS of the American Academy of Political and Social Science</w:t>
      </w:r>
      <w:r>
        <w:t xml:space="preserve"> 566 (November 1999): 132-143.</w:t>
      </w:r>
    </w:p>
  </w:footnote>
  <w:footnote w:id="31">
    <w:p w14:paraId="6B3180C3" w14:textId="42F6322B" w:rsidR="00064362" w:rsidRDefault="00064362" w:rsidP="00F16980">
      <w:pPr>
        <w:pStyle w:val="FootnoteText"/>
      </w:pPr>
      <w:r>
        <w:rPr>
          <w:rStyle w:val="FootnoteReference"/>
        </w:rPr>
        <w:footnoteRef/>
      </w:r>
      <w:r>
        <w:t xml:space="preserve"> Knudson, 508-509.</w:t>
      </w:r>
    </w:p>
  </w:footnote>
  <w:footnote w:id="32">
    <w:p w14:paraId="6525B78B" w14:textId="77777777" w:rsidR="00064362" w:rsidRDefault="00064362" w:rsidP="00F16980">
      <w:pPr>
        <w:pStyle w:val="FootnoteText"/>
      </w:pPr>
      <w:r>
        <w:rPr>
          <w:rStyle w:val="FootnoteReference"/>
        </w:rPr>
        <w:footnoteRef/>
      </w:r>
      <w:r>
        <w:t xml:space="preserve"> Ibid., 512.</w:t>
      </w:r>
    </w:p>
  </w:footnote>
  <w:footnote w:id="33">
    <w:p w14:paraId="7D4197E5" w14:textId="6F838412" w:rsidR="00064362" w:rsidRDefault="00064362" w:rsidP="009C1B0C">
      <w:pPr>
        <w:pStyle w:val="FootnoteText"/>
      </w:pPr>
      <w:r>
        <w:rPr>
          <w:rStyle w:val="FootnoteReference"/>
        </w:rPr>
        <w:footnoteRef/>
      </w:r>
      <w:r>
        <w:t xml:space="preserve"> Ayres, 140.</w:t>
      </w:r>
    </w:p>
  </w:footnote>
  <w:footnote w:id="34">
    <w:p w14:paraId="72FF2F54" w14:textId="73051002" w:rsidR="00064362" w:rsidRDefault="00064362" w:rsidP="00F16980">
      <w:pPr>
        <w:pStyle w:val="FootnoteText"/>
      </w:pPr>
      <w:r>
        <w:rPr>
          <w:rStyle w:val="FootnoteReference"/>
        </w:rPr>
        <w:footnoteRef/>
      </w:r>
      <w:r>
        <w:t xml:space="preserve"> Knudson, 515-16.</w:t>
      </w:r>
    </w:p>
  </w:footnote>
  <w:footnote w:id="35">
    <w:p w14:paraId="49BF00E1" w14:textId="77777777" w:rsidR="00064362" w:rsidRDefault="00064362" w:rsidP="009C1B0C">
      <w:pPr>
        <w:pStyle w:val="FootnoteText"/>
      </w:pPr>
      <w:r>
        <w:rPr>
          <w:rStyle w:val="FootnoteReference"/>
        </w:rPr>
        <w:footnoteRef/>
      </w:r>
      <w:r>
        <w:t xml:space="preserve"> See “Lori’s War, the Foreign Policy Interview,” </w:t>
      </w:r>
      <w:r w:rsidRPr="00570F8B">
        <w:rPr>
          <w:i/>
        </w:rPr>
        <w:t>Foreign Policy</w:t>
      </w:r>
      <w:r>
        <w:t xml:space="preserve"> 118 (Spring 2000): 29-55; Jeffrey Schott, </w:t>
      </w:r>
      <w:r w:rsidRPr="00CB1B79">
        <w:rPr>
          <w:i/>
        </w:rPr>
        <w:t>The WTO After Seattle</w:t>
      </w:r>
      <w:r>
        <w:t xml:space="preserve">, (Washington, D.C.: Institute for International Economics, 2000); Greg Anderson, “Did Canada Kill Fast Track?,” </w:t>
      </w:r>
      <w:r w:rsidRPr="00DF5042">
        <w:rPr>
          <w:i/>
        </w:rPr>
        <w:t>Diplomatic History</w:t>
      </w:r>
      <w:r>
        <w:t xml:space="preserve"> 36, no. 3 (June 2012).</w:t>
      </w:r>
    </w:p>
  </w:footnote>
  <w:footnote w:id="36">
    <w:p w14:paraId="4CBEDA32" w14:textId="6656C70A" w:rsidR="00064362" w:rsidRDefault="00064362" w:rsidP="00117172">
      <w:pPr>
        <w:pStyle w:val="FootnoteText"/>
      </w:pPr>
      <w:r>
        <w:rPr>
          <w:rStyle w:val="FootnoteReference"/>
        </w:rPr>
        <w:footnoteRef/>
      </w:r>
      <w:r>
        <w:t xml:space="preserve"> Ayres, 137-42.</w:t>
      </w:r>
    </w:p>
  </w:footnote>
  <w:footnote w:id="37">
    <w:p w14:paraId="3A39E82D" w14:textId="2A1EBE66" w:rsidR="00064362" w:rsidRPr="0051666F" w:rsidRDefault="00064362">
      <w:pPr>
        <w:pStyle w:val="FootnoteText"/>
        <w:rPr>
          <w:lang w:val="en-CA"/>
        </w:rPr>
      </w:pPr>
      <w:r>
        <w:rPr>
          <w:rStyle w:val="FootnoteReference"/>
        </w:rPr>
        <w:footnoteRef/>
      </w:r>
      <w:r>
        <w:t xml:space="preserve"> </w:t>
      </w:r>
      <w:r>
        <w:rPr>
          <w:lang w:val="en-CA"/>
        </w:rPr>
        <w:t xml:space="preserve">Edward M. Graham, </w:t>
      </w:r>
      <w:r w:rsidRPr="0051666F">
        <w:rPr>
          <w:i/>
          <w:lang w:val="en-CA"/>
        </w:rPr>
        <w:t>Fighting the Wrong Enemy: Anti-Global Activists and Multinational Enterprises</w:t>
      </w:r>
      <w:r>
        <w:rPr>
          <w:lang w:val="en-CA"/>
        </w:rPr>
        <w:t>, (Washington, D.C.: Institute for International Economics), 35-49.</w:t>
      </w:r>
    </w:p>
  </w:footnote>
  <w:footnote w:id="38">
    <w:p w14:paraId="5284300E" w14:textId="77777777" w:rsidR="00064362" w:rsidRDefault="00064362" w:rsidP="00117172">
      <w:pPr>
        <w:pStyle w:val="FootnoteText"/>
      </w:pPr>
      <w:r>
        <w:rPr>
          <w:rStyle w:val="FootnoteReference"/>
        </w:rPr>
        <w:footnoteRef/>
      </w:r>
      <w:r>
        <w:t xml:space="preserve"> Ibid., 132-143; Peter Van Aelst and Stefaan Walgrave, “New Media, New Movements? The Role of the Internet in Shaping the ‘Anti-Globalization” Movement,” </w:t>
      </w:r>
      <w:r w:rsidRPr="001106EA">
        <w:rPr>
          <w:i/>
        </w:rPr>
        <w:t>Information, Communication &amp; Society</w:t>
      </w:r>
      <w:r>
        <w:t xml:space="preserve"> 5, no. 4 (2002): 465-493; see also Maude Barlow, </w:t>
      </w:r>
      <w:r w:rsidRPr="001106EA">
        <w:rPr>
          <w:i/>
        </w:rPr>
        <w:t>MAI : The Multilateral Agreement on Investment and the Threat to Canadian Sovereignty</w:t>
      </w:r>
      <w:r>
        <w:t xml:space="preserve">, (Toronto: Stoddard, 1997). Edward Graham has convincingly argued that the MAI’s failure is more easily understood as a mix of factors of which pressure from NGOs was only a part. See Edward Graham, </w:t>
      </w:r>
      <w:r w:rsidRPr="000F56A3">
        <w:rPr>
          <w:i/>
        </w:rPr>
        <w:t>Fighting the Wrong Enemy: Antiglobal Activists and Multinational Enterprises</w:t>
      </w:r>
      <w:r>
        <w:t>, (Washington: Institute for International Economics, 2000), 10-20.</w:t>
      </w:r>
    </w:p>
  </w:footnote>
  <w:footnote w:id="39">
    <w:p w14:paraId="18520FD9" w14:textId="77777777" w:rsidR="00064362" w:rsidRDefault="00064362" w:rsidP="00FC1352">
      <w:pPr>
        <w:pStyle w:val="FootnoteText"/>
      </w:pPr>
      <w:r>
        <w:rPr>
          <w:rStyle w:val="FootnoteReference"/>
        </w:rPr>
        <w:footnoteRef/>
      </w:r>
      <w:r>
        <w:t xml:space="preserve"> See Douglass Irwin, </w:t>
      </w:r>
      <w:r w:rsidRPr="00BC6E6B">
        <w:rPr>
          <w:i/>
        </w:rPr>
        <w:t>Against the Tide</w:t>
      </w:r>
      <w:r>
        <w:t xml:space="preserve">, (New Haven: Yale University Press, 1996). </w:t>
      </w:r>
    </w:p>
  </w:footnote>
  <w:footnote w:id="40">
    <w:p w14:paraId="54C9F81C" w14:textId="77777777" w:rsidR="00064362" w:rsidRPr="00B16355" w:rsidRDefault="00064362" w:rsidP="00FC1352">
      <w:pPr>
        <w:pStyle w:val="FootnoteText"/>
      </w:pPr>
      <w:r w:rsidRPr="00B16355">
        <w:rPr>
          <w:rStyle w:val="FootnoteReference"/>
        </w:rPr>
        <w:footnoteRef/>
      </w:r>
      <w:r w:rsidRPr="00B16355">
        <w:t xml:space="preserve"> See The Loewen Group and Raymond L Loewen v. United States of America, Statement of Claim, October 30, 1998.</w:t>
      </w:r>
    </w:p>
  </w:footnote>
  <w:footnote w:id="41">
    <w:p w14:paraId="2E5C1CA5" w14:textId="77777777" w:rsidR="00064362" w:rsidRPr="00B16355" w:rsidRDefault="00064362" w:rsidP="00FC1352">
      <w:pPr>
        <w:pStyle w:val="FootnoteText"/>
      </w:pPr>
      <w:r w:rsidRPr="00B16355">
        <w:rPr>
          <w:rStyle w:val="FootnoteReference"/>
        </w:rPr>
        <w:footnoteRef/>
      </w:r>
      <w:r w:rsidRPr="00B16355">
        <w:t xml:space="preserve"> White House, </w:t>
      </w:r>
      <w:r w:rsidRPr="00B16355">
        <w:rPr>
          <w:i/>
        </w:rPr>
        <w:t>North American Free Trade Agreement Implementation Act, Statement of Administrative Action</w:t>
      </w:r>
      <w:r w:rsidRPr="00B16355">
        <w:t>, November 4, 1993,152.</w:t>
      </w:r>
    </w:p>
  </w:footnote>
  <w:footnote w:id="42">
    <w:p w14:paraId="1EC3A183" w14:textId="77777777" w:rsidR="00064362" w:rsidRPr="00B16355" w:rsidRDefault="00064362" w:rsidP="00FC1352">
      <w:pPr>
        <w:pStyle w:val="FootnoteText"/>
      </w:pPr>
      <w:r w:rsidRPr="00B16355">
        <w:rPr>
          <w:rStyle w:val="FootnoteReference"/>
        </w:rPr>
        <w:footnoteRef/>
      </w:r>
      <w:r w:rsidRPr="00B16355">
        <w:t xml:space="preserve"> Courtney Kirkman, “Fair and Equitable Treatment: Methanex v. United States and the Narrowing Scope of NAFTA Article 1105,” </w:t>
      </w:r>
      <w:r w:rsidRPr="00B16355">
        <w:rPr>
          <w:i/>
        </w:rPr>
        <w:t xml:space="preserve">Law and Policy in International Business </w:t>
      </w:r>
      <w:r w:rsidRPr="00B16355">
        <w:t>34  (2002-2003): 343-392.</w:t>
      </w:r>
    </w:p>
  </w:footnote>
  <w:footnote w:id="43">
    <w:p w14:paraId="5217E193" w14:textId="77777777" w:rsidR="00064362" w:rsidRPr="00B16355" w:rsidRDefault="00064362" w:rsidP="00FC1352">
      <w:pPr>
        <w:pStyle w:val="FootnoteText"/>
      </w:pPr>
      <w:r w:rsidRPr="00B16355">
        <w:rPr>
          <w:rStyle w:val="FootnoteReference"/>
        </w:rPr>
        <w:footnoteRef/>
      </w:r>
      <w:r w:rsidRPr="00B16355">
        <w:t xml:space="preserve"> Katia Fach Gomez, “Rethinking the Role of Amicus Curiae in International Investment Arbitration: How to Draw the Line Favorably for the Public Interest,” </w:t>
      </w:r>
      <w:r w:rsidRPr="00B16355">
        <w:rPr>
          <w:i/>
        </w:rPr>
        <w:t>Fordham International Law Journal</w:t>
      </w:r>
      <w:r w:rsidRPr="00B16355">
        <w:t xml:space="preserve"> 35 (2012): 510-564.</w:t>
      </w:r>
    </w:p>
  </w:footnote>
  <w:footnote w:id="44">
    <w:p w14:paraId="7935AD13" w14:textId="77777777" w:rsidR="00064362" w:rsidRPr="00B16355" w:rsidRDefault="00064362" w:rsidP="00FC1352">
      <w:pPr>
        <w:pStyle w:val="FootnoteText"/>
      </w:pPr>
      <w:r w:rsidRPr="00B16355">
        <w:rPr>
          <w:rStyle w:val="FootnoteReference"/>
        </w:rPr>
        <w:footnoteRef/>
      </w:r>
      <w:r w:rsidRPr="00B16355">
        <w:t xml:space="preserve"> Alberto Alvarez-Jimenez, “The Methanex Final Award: An Analysis from the Perspectives of Environmental Regulatory Authorities and Foreign Investors,” </w:t>
      </w:r>
      <w:r w:rsidRPr="00B16355">
        <w:rPr>
          <w:i/>
        </w:rPr>
        <w:t>Journal of International Arbitration</w:t>
      </w:r>
      <w:r w:rsidRPr="00B16355">
        <w:t xml:space="preserve"> 23 no. 5 (2006): 427-434l; Joseph de Pencier, “Investment, Environment and Dispute Settlement: Arbitration Under NAFTA Chapter Eleven,” Hasting International Comparative Law Review 23 (1999-2000): 409-419.</w:t>
      </w:r>
    </w:p>
  </w:footnote>
  <w:footnote w:id="45">
    <w:p w14:paraId="1B3DA897" w14:textId="77777777" w:rsidR="00064362" w:rsidRPr="00B16355" w:rsidRDefault="00064362" w:rsidP="00FC1352">
      <w:pPr>
        <w:pStyle w:val="FootnoteText"/>
      </w:pPr>
      <w:r w:rsidRPr="00B16355">
        <w:rPr>
          <w:rStyle w:val="FootnoteReference"/>
        </w:rPr>
        <w:footnoteRef/>
      </w:r>
      <w:r w:rsidRPr="00B16355">
        <w:t xml:space="preserve"> Stephen J. Canner, “The Multilateral Agreement on Investment, </w:t>
      </w:r>
      <w:r w:rsidRPr="00B16355">
        <w:rPr>
          <w:i/>
        </w:rPr>
        <w:t>Cornell International Law Journal</w:t>
      </w:r>
      <w:r w:rsidRPr="00B16355">
        <w:t xml:space="preserve">,” 31 (1998): 657-681; See also, Tony Clarke and Maude Barlow, </w:t>
      </w:r>
      <w:r w:rsidRPr="00B16355">
        <w:rPr>
          <w:i/>
        </w:rPr>
        <w:t>MAI: The Multilateral Agreement on Investment and the Threat to Canadian Sovereignty</w:t>
      </w:r>
      <w:r w:rsidRPr="00B16355">
        <w:t xml:space="preserve">, (Toronto: Stoddard Press, 1997). </w:t>
      </w:r>
    </w:p>
  </w:footnote>
  <w:footnote w:id="46">
    <w:p w14:paraId="277977E8" w14:textId="77777777" w:rsidR="00064362" w:rsidRPr="00B16355" w:rsidRDefault="00064362" w:rsidP="00FC1352">
      <w:r w:rsidRPr="00B16355">
        <w:rPr>
          <w:rStyle w:val="FootnoteReference"/>
        </w:rPr>
        <w:footnoteRef/>
      </w:r>
      <w:r w:rsidRPr="00B16355">
        <w:t xml:space="preserve">See Public Citizen, </w:t>
      </w:r>
      <w:r w:rsidRPr="00B16355">
        <w:rPr>
          <w:i/>
        </w:rPr>
        <w:t>Myths and Omissions</w:t>
      </w:r>
      <w:r w:rsidRPr="00B16355">
        <w:t xml:space="preserve">, 1-35; Clarke and Barlow, </w:t>
      </w:r>
      <w:r w:rsidRPr="00B16355">
        <w:rPr>
          <w:i/>
        </w:rPr>
        <w:t>MAI</w:t>
      </w:r>
      <w:r w:rsidRPr="00B16355">
        <w:t>, 30-54.</w:t>
      </w:r>
    </w:p>
  </w:footnote>
  <w:footnote w:id="47">
    <w:p w14:paraId="79F9CAF5" w14:textId="77777777" w:rsidR="00064362" w:rsidRPr="00B16355" w:rsidRDefault="00064362" w:rsidP="00FC1352">
      <w:pPr>
        <w:pStyle w:val="FootnoteText"/>
      </w:pPr>
      <w:r w:rsidRPr="00B16355">
        <w:rPr>
          <w:rStyle w:val="FootnoteReference"/>
        </w:rPr>
        <w:footnoteRef/>
      </w:r>
      <w:r>
        <w:t xml:space="preserve"> Vandevelde, 160;</w:t>
      </w:r>
      <w:r w:rsidRPr="00B16355">
        <w:t xml:space="preserve"> Gabriel Egli, “Don’t Get Bit: Addressing ICSID’s Inconsistent Application of Most-Favored Nation Clauses to Dispute Resolution Provisions,” </w:t>
      </w:r>
      <w:r w:rsidRPr="00B16355">
        <w:rPr>
          <w:i/>
        </w:rPr>
        <w:t>Pepperdine Law Review</w:t>
      </w:r>
      <w:r w:rsidRPr="00B16355">
        <w:t xml:space="preserve"> 34, no. 4 (2006-2007): 1050-51.</w:t>
      </w:r>
    </w:p>
  </w:footnote>
  <w:footnote w:id="48">
    <w:p w14:paraId="7EEC045F" w14:textId="77777777" w:rsidR="00064362" w:rsidRPr="00B16355" w:rsidRDefault="00064362" w:rsidP="00FC1352">
      <w:r w:rsidRPr="00B16355">
        <w:rPr>
          <w:rStyle w:val="FootnoteReference"/>
        </w:rPr>
        <w:footnoteRef/>
      </w:r>
      <w:r w:rsidRPr="00B16355">
        <w:t xml:space="preserve">See NAFTA Article 1136 (b) and ICSID Additional Facility Rules, Article 57. In October 2000, </w:t>
      </w:r>
      <w:r w:rsidRPr="00B16355">
        <w:rPr>
          <w:i/>
        </w:rPr>
        <w:t>Metalclad vs. United Mexican States</w:t>
      </w:r>
      <w:r w:rsidRPr="00B16355">
        <w:t>, Metalclad petitioned the Supreme Court of British Columbia to have the arbitration decision against it overturned on the grounds that the tribunal had exceeded its jurisdiction under the Convention and that enforcing the award would be a violation of public policy. On February 8, 2001 Canada made a similar claim before a federal court in Ottawa over an arbitral award in its case with S.D. Myers Inc. See also, Clodfelter, “U.S. State Department,” 1279.</w:t>
      </w:r>
    </w:p>
  </w:footnote>
  <w:footnote w:id="49">
    <w:p w14:paraId="3F70BBF4" w14:textId="77777777" w:rsidR="00064362" w:rsidRPr="00B16355" w:rsidRDefault="00064362" w:rsidP="00FC1352">
      <w:pPr>
        <w:pStyle w:val="FootnoteText"/>
      </w:pPr>
      <w:r w:rsidRPr="00B16355">
        <w:rPr>
          <w:rStyle w:val="FootnoteReference"/>
        </w:rPr>
        <w:footnoteRef/>
      </w:r>
      <w:r w:rsidRPr="00B16355">
        <w:t xml:space="preserve"> See Leon Trakman, “The Status of Investor-State Arbitration: Resolving Investment Disputes under the Trans Pacific Partnership,” </w:t>
      </w:r>
      <w:r w:rsidRPr="00B16355">
        <w:rPr>
          <w:i/>
        </w:rPr>
        <w:t>Journal of World Trade</w:t>
      </w:r>
      <w:r w:rsidRPr="00B16355">
        <w:t xml:space="preserve"> 48, no. 1 (2014): 4-7; Government of Australia, “Gillard Government Trade Policy Statement: Trading Our Way to More Jobs and Prosperity,” April 2011: 14; see U.S. Department of State, </w:t>
      </w:r>
      <w:r w:rsidRPr="00B16355">
        <w:rPr>
          <w:i/>
        </w:rPr>
        <w:t>The New U.S. Model Bilateral Investment Treaty: A Public Interest Critique</w:t>
      </w:r>
      <w:r w:rsidRPr="00B16355">
        <w:t>, Advisory Committee on International Economic Policy (ACIEP), May 9, 2012.</w:t>
      </w:r>
    </w:p>
  </w:footnote>
  <w:footnote w:id="50">
    <w:p w14:paraId="62E75AD4" w14:textId="77777777" w:rsidR="00064362" w:rsidRPr="00B16355" w:rsidRDefault="00064362" w:rsidP="00FC1352">
      <w:pPr>
        <w:pStyle w:val="FootnoteText"/>
      </w:pPr>
      <w:r w:rsidRPr="00B16355">
        <w:rPr>
          <w:rStyle w:val="FootnoteReference"/>
        </w:rPr>
        <w:footnoteRef/>
      </w:r>
      <w:r w:rsidRPr="00B16355">
        <w:t xml:space="preserve"> Vandevelde, 175; Egli, 1057.</w:t>
      </w:r>
    </w:p>
  </w:footnote>
  <w:footnote w:id="51">
    <w:p w14:paraId="60945307" w14:textId="77777777" w:rsidR="00064362" w:rsidRPr="00B16355" w:rsidRDefault="00064362" w:rsidP="00FC1352">
      <w:r w:rsidRPr="00B16355">
        <w:rPr>
          <w:rStyle w:val="FootnoteReference"/>
        </w:rPr>
        <w:footnoteRef/>
      </w:r>
      <w:r w:rsidRPr="00B16355">
        <w:t>See Free Trade Commission Clarifications Related to Chapter 11, July 31, 2001.</w:t>
      </w:r>
    </w:p>
  </w:footnote>
  <w:footnote w:id="52">
    <w:p w14:paraId="35420F7B" w14:textId="77777777" w:rsidR="00064362" w:rsidRPr="00B16355" w:rsidRDefault="00064362" w:rsidP="00FC1352">
      <w:r w:rsidRPr="00B16355">
        <w:rPr>
          <w:rStyle w:val="FootnoteReference"/>
        </w:rPr>
        <w:footnoteRef/>
      </w:r>
      <w:r w:rsidRPr="00B16355">
        <w:rPr>
          <w:i/>
        </w:rPr>
        <w:t>ADF Group vs. United States</w:t>
      </w:r>
      <w:r w:rsidRPr="00B16355">
        <w:t xml:space="preserve">, </w:t>
      </w:r>
      <w:r w:rsidRPr="00B16355">
        <w:rPr>
          <w:i/>
        </w:rPr>
        <w:t>Methanex Corp. vs. United States</w:t>
      </w:r>
      <w:r w:rsidRPr="00B16355">
        <w:t>,</w:t>
      </w:r>
      <w:r w:rsidRPr="00B16355">
        <w:rPr>
          <w:i/>
        </w:rPr>
        <w:t xml:space="preserve"> S.D. Meyers vs. Government of Canada</w:t>
      </w:r>
      <w:r w:rsidRPr="00B16355">
        <w:t xml:space="preserve">, </w:t>
      </w:r>
      <w:r w:rsidRPr="00B16355">
        <w:rPr>
          <w:i/>
        </w:rPr>
        <w:t>Waste Management vs. United Mexican States</w:t>
      </w:r>
      <w:r w:rsidRPr="00B16355">
        <w:t xml:space="preserve">, </w:t>
      </w:r>
      <w:r w:rsidRPr="00B16355">
        <w:rPr>
          <w:i/>
        </w:rPr>
        <w:t>Metalclad vs. United Mexican States</w:t>
      </w:r>
      <w:r w:rsidRPr="00B16355">
        <w:t>.</w:t>
      </w:r>
    </w:p>
  </w:footnote>
  <w:footnote w:id="53">
    <w:p w14:paraId="4258B6A7" w14:textId="77777777" w:rsidR="00064362" w:rsidRPr="00B16355" w:rsidRDefault="00064362" w:rsidP="00FC1352">
      <w:r w:rsidRPr="00B16355">
        <w:rPr>
          <w:rStyle w:val="FootnoteReference"/>
        </w:rPr>
        <w:footnoteRef/>
      </w:r>
      <w:r w:rsidRPr="00B16355">
        <w:rPr>
          <w:i/>
        </w:rPr>
        <w:t>ADF Group vs. United States</w:t>
      </w:r>
      <w:r w:rsidRPr="00B16355">
        <w:t xml:space="preserve">, </w:t>
      </w:r>
      <w:r w:rsidRPr="00B16355">
        <w:rPr>
          <w:i/>
        </w:rPr>
        <w:t>Ethyl Corp vs. Government of Canada</w:t>
      </w:r>
      <w:r w:rsidRPr="00B16355">
        <w:t>,</w:t>
      </w:r>
      <w:r w:rsidRPr="00B16355">
        <w:rPr>
          <w:i/>
        </w:rPr>
        <w:t xml:space="preserve">  S.D. Meyers vs. Government of Canada</w:t>
      </w:r>
      <w:r w:rsidRPr="00B16355">
        <w:t xml:space="preserve">, </w:t>
      </w:r>
      <w:r w:rsidRPr="00B16355">
        <w:rPr>
          <w:i/>
        </w:rPr>
        <w:t>Metalclad vs. United Mexican States</w:t>
      </w:r>
      <w:r w:rsidRPr="00B16355">
        <w:t>.</w:t>
      </w:r>
    </w:p>
  </w:footnote>
  <w:footnote w:id="54">
    <w:p w14:paraId="6063FDC2" w14:textId="77777777" w:rsidR="00064362" w:rsidRPr="00B16355" w:rsidRDefault="00064362" w:rsidP="00FC1352">
      <w:r w:rsidRPr="00B16355">
        <w:rPr>
          <w:rStyle w:val="FootnoteReference"/>
        </w:rPr>
        <w:footnoteRef/>
      </w:r>
      <w:r w:rsidRPr="00B16355">
        <w:rPr>
          <w:i/>
        </w:rPr>
        <w:t>Methanex Corp. vs. United States</w:t>
      </w:r>
      <w:r w:rsidRPr="00B16355">
        <w:t xml:space="preserve">, </w:t>
      </w:r>
      <w:r w:rsidRPr="00B16355">
        <w:rPr>
          <w:i/>
        </w:rPr>
        <w:t>Ethyl Corp. vs. Government of Canada</w:t>
      </w:r>
      <w:r w:rsidRPr="00B16355">
        <w:t xml:space="preserve">,  </w:t>
      </w:r>
      <w:r w:rsidRPr="00B16355">
        <w:rPr>
          <w:i/>
        </w:rPr>
        <w:t>S.D. Meyers vs. Government of Canada</w:t>
      </w:r>
      <w:r w:rsidRPr="00B16355">
        <w:t xml:space="preserve">, </w:t>
      </w:r>
      <w:r w:rsidRPr="00B16355">
        <w:rPr>
          <w:i/>
        </w:rPr>
        <w:t>Waste Management vs. United Mexican States</w:t>
      </w:r>
      <w:r w:rsidRPr="00B16355">
        <w:t xml:space="preserve">, </w:t>
      </w:r>
      <w:r w:rsidRPr="00B16355">
        <w:rPr>
          <w:i/>
        </w:rPr>
        <w:t>Metalclad vs. United Mexican States</w:t>
      </w:r>
      <w:r w:rsidRPr="00B16355">
        <w:t>.</w:t>
      </w:r>
    </w:p>
  </w:footnote>
  <w:footnote w:id="55">
    <w:p w14:paraId="770AD430" w14:textId="77777777" w:rsidR="00064362" w:rsidRPr="00B16355" w:rsidRDefault="00064362" w:rsidP="00FC1352">
      <w:pPr>
        <w:pStyle w:val="FootnoteText"/>
      </w:pPr>
      <w:r w:rsidRPr="00B16355">
        <w:rPr>
          <w:rStyle w:val="FootnoteReference"/>
        </w:rPr>
        <w:footnoteRef/>
      </w:r>
      <w:r w:rsidRPr="00B16355">
        <w:t xml:space="preserve"> An exception here is </w:t>
      </w:r>
      <w:r w:rsidRPr="00B16355">
        <w:rPr>
          <w:i/>
        </w:rPr>
        <w:t>AbitibiBowater Inc. v. Government of Canada</w:t>
      </w:r>
      <w:r w:rsidRPr="00B16355">
        <w:t>, launched in April 2009. Abitibi, a U.S. forest products company, alleged that the Province of Newfoundland and Labrador directly expropriated the firm’s assets via provincial legislation. In 2010, Ottawa settled with AbitibiBowater for $C130 million. See also, Levy, “NAFTA’s Provision for Compensation,” 423-53.</w:t>
      </w:r>
    </w:p>
  </w:footnote>
  <w:footnote w:id="56">
    <w:p w14:paraId="757B3809" w14:textId="77777777" w:rsidR="00064362" w:rsidRPr="00B16355" w:rsidRDefault="00064362" w:rsidP="00FC1352">
      <w:r w:rsidRPr="00B16355">
        <w:rPr>
          <w:rStyle w:val="FootnoteReference"/>
        </w:rPr>
        <w:footnoteRef/>
      </w:r>
      <w:r w:rsidRPr="00B16355">
        <w:t xml:space="preserve">One possible exception to this is </w:t>
      </w:r>
      <w:r w:rsidRPr="00B16355">
        <w:rPr>
          <w:i/>
        </w:rPr>
        <w:t>Metalclad vs. United Mexican States</w:t>
      </w:r>
      <w:r w:rsidRPr="00B16355">
        <w:t xml:space="preserve"> in which Metalclad was forced to abandon an investment to operate a hazardous waste facility in Mexico. The divestiture of the facility was largely the result of a bureaucratic dispute between Mexican local and federal officials over permits for operation that the tribunal ruled was </w:t>
      </w:r>
      <w:r w:rsidRPr="00B16355">
        <w:rPr>
          <w:i/>
        </w:rPr>
        <w:t>tantamount to</w:t>
      </w:r>
      <w:r w:rsidRPr="00B16355">
        <w:t xml:space="preserve"> expropriation, but not outright expropriation. The tribunal awarded Metalclad $16.7 million on August 30, 2000 only to have the award set aside by a British Columbia court.</w:t>
      </w:r>
    </w:p>
  </w:footnote>
  <w:footnote w:id="57">
    <w:p w14:paraId="1321A231" w14:textId="77777777" w:rsidR="00064362" w:rsidRPr="00B16355" w:rsidRDefault="00064362" w:rsidP="00FC1352">
      <w:pPr>
        <w:pStyle w:val="FootnoteText"/>
      </w:pPr>
      <w:r w:rsidRPr="00B16355">
        <w:rPr>
          <w:rStyle w:val="FootnoteReference"/>
        </w:rPr>
        <w:footnoteRef/>
      </w:r>
      <w:r w:rsidRPr="00B16355">
        <w:t xml:space="preserve"> In 2012, four separate cases were launched in connection with the Allen Sanford financial services ponzi scheme fraud, one each using the investment protection provisions of, respectively, the US-Uruguay BIT, US-Peru FTA, US-Chile FTA, and the CAFTA-DR.</w:t>
      </w:r>
    </w:p>
  </w:footnote>
  <w:footnote w:id="58">
    <w:p w14:paraId="0C57DB17" w14:textId="77777777" w:rsidR="00064362" w:rsidRPr="00B16355" w:rsidRDefault="00064362" w:rsidP="00FC1352">
      <w:pPr>
        <w:rPr>
          <w:i/>
        </w:rPr>
      </w:pPr>
      <w:r w:rsidRPr="00B16355">
        <w:rPr>
          <w:rStyle w:val="FootnoteReference"/>
        </w:rPr>
        <w:footnoteRef/>
      </w:r>
      <w:r w:rsidRPr="00B16355">
        <w:t xml:space="preserve">For example, </w:t>
      </w:r>
      <w:r w:rsidRPr="00B16355">
        <w:rPr>
          <w:i/>
        </w:rPr>
        <w:t>ADF Group vs. United States</w:t>
      </w:r>
      <w:r w:rsidRPr="00B16355">
        <w:t xml:space="preserve">, </w:t>
      </w:r>
      <w:r w:rsidRPr="00B16355">
        <w:rPr>
          <w:i/>
        </w:rPr>
        <w:t>Loewen Group Inc. vs. United States</w:t>
      </w:r>
      <w:r w:rsidRPr="00B16355">
        <w:t>,</w:t>
      </w:r>
      <w:r w:rsidRPr="00B16355">
        <w:rPr>
          <w:i/>
        </w:rPr>
        <w:t xml:space="preserve"> Mondev International Ltd. vs. United States</w:t>
      </w:r>
      <w:r w:rsidRPr="00B16355">
        <w:t xml:space="preserve">, </w:t>
      </w:r>
      <w:r w:rsidRPr="00B16355">
        <w:rPr>
          <w:i/>
        </w:rPr>
        <w:t>Azinian et al. vs. United Mexican States</w:t>
      </w:r>
      <w:r w:rsidRPr="00B16355">
        <w:t>,</w:t>
      </w:r>
      <w:r w:rsidRPr="00B16355">
        <w:rPr>
          <w:i/>
        </w:rPr>
        <w:t xml:space="preserve"> Marvin Roy Feldman Karper (CEMSA) vs United Mexican States</w:t>
      </w:r>
      <w:r w:rsidRPr="00B16355">
        <w:t xml:space="preserve"> (partial dismissal); </w:t>
      </w:r>
      <w:r w:rsidRPr="00B16355">
        <w:rPr>
          <w:i/>
        </w:rPr>
        <w:t>Methanex v. United States.</w:t>
      </w:r>
    </w:p>
  </w:footnote>
  <w:footnote w:id="59">
    <w:p w14:paraId="217CB80E" w14:textId="77777777" w:rsidR="00064362" w:rsidRPr="00B16355" w:rsidRDefault="00064362" w:rsidP="00FC1352">
      <w:pPr>
        <w:pStyle w:val="FootnoteText"/>
      </w:pPr>
      <w:r w:rsidRPr="00B16355">
        <w:rPr>
          <w:rStyle w:val="FootnoteReference"/>
        </w:rPr>
        <w:footnoteRef/>
      </w:r>
      <w:r w:rsidRPr="00B16355">
        <w:t xml:space="preserve"> </w:t>
      </w:r>
      <w:r>
        <w:t xml:space="preserve">Thus far, </w:t>
      </w:r>
      <w:r w:rsidRPr="00A45BF2">
        <w:rPr>
          <w:i/>
        </w:rPr>
        <w:t>Metalclad v. United Mexican States</w:t>
      </w:r>
      <w:r>
        <w:t xml:space="preserve"> ($16 million); </w:t>
      </w:r>
      <w:r w:rsidRPr="00A45BF2">
        <w:rPr>
          <w:i/>
        </w:rPr>
        <w:t>Pope &amp; Talbot v. Government of Canada</w:t>
      </w:r>
      <w:r>
        <w:t xml:space="preserve"> ($461,000); </w:t>
      </w:r>
      <w:r w:rsidRPr="00A45BF2">
        <w:rPr>
          <w:i/>
        </w:rPr>
        <w:t>S.D. Meyers v. Government of Canada</w:t>
      </w:r>
      <w:r>
        <w:t xml:space="preserve"> ($6 million). A couple of others have been settled outside arbitral proceedings; </w:t>
      </w:r>
      <w:r w:rsidRPr="00A45BF2">
        <w:rPr>
          <w:i/>
        </w:rPr>
        <w:t>Ethyl Corporation v. Government of Canada</w:t>
      </w:r>
      <w:r>
        <w:t xml:space="preserve">; </w:t>
      </w:r>
      <w:r w:rsidRPr="00A45BF2">
        <w:rPr>
          <w:i/>
        </w:rPr>
        <w:t>AbitibiBowater v. Government of Canada</w:t>
      </w:r>
      <w:r>
        <w:t xml:space="preserve">. </w:t>
      </w:r>
    </w:p>
  </w:footnote>
  <w:footnote w:id="60">
    <w:p w14:paraId="48ADBB7D" w14:textId="77777777" w:rsidR="00064362" w:rsidRPr="00B16355" w:rsidRDefault="00064362" w:rsidP="00FC1352">
      <w:pPr>
        <w:pStyle w:val="FootnoteText"/>
      </w:pPr>
      <w:r w:rsidRPr="00B16355">
        <w:rPr>
          <w:rStyle w:val="FootnoteReference"/>
        </w:rPr>
        <w:footnoteRef/>
      </w:r>
      <w:r w:rsidRPr="00B16355">
        <w:t xml:space="preserve"> See </w:t>
      </w:r>
      <w:r w:rsidRPr="00B16355">
        <w:rPr>
          <w:i/>
        </w:rPr>
        <w:t>Methanex Corporation v. United States</w:t>
      </w:r>
      <w:r w:rsidRPr="00B16355">
        <w:t>, Notice of Claim, December 3, 1999.</w:t>
      </w:r>
    </w:p>
  </w:footnote>
  <w:footnote w:id="61">
    <w:p w14:paraId="2D7334D4" w14:textId="23963087" w:rsidR="00064362" w:rsidRPr="00176319" w:rsidRDefault="00064362">
      <w:pPr>
        <w:pStyle w:val="FootnoteText"/>
        <w:rPr>
          <w:lang w:val="en-CA"/>
        </w:rPr>
      </w:pPr>
      <w:r>
        <w:rPr>
          <w:rStyle w:val="FootnoteReference"/>
        </w:rPr>
        <w:footnoteRef/>
      </w:r>
      <w:r>
        <w:t xml:space="preserve"> </w:t>
      </w:r>
      <w:r w:rsidRPr="00B16355">
        <w:t>Jeffrey Zients, Director of the National Economic Council, “Investor-State Dispute Settlement Questions and Answers,” White House Blog, February 2015; Chris Evans, Office of the United States Trade Representative, Investor State Dispute Settlement, Fact Sheet, March 2015.</w:t>
      </w:r>
    </w:p>
  </w:footnote>
  <w:footnote w:id="62">
    <w:p w14:paraId="4BFE9269" w14:textId="77777777" w:rsidR="00064362" w:rsidRPr="00B16355" w:rsidRDefault="00064362" w:rsidP="00FC1352">
      <w:r w:rsidRPr="00B16355">
        <w:rPr>
          <w:rStyle w:val="FootnoteReference"/>
        </w:rPr>
        <w:footnoteRef/>
      </w:r>
      <w:r w:rsidRPr="00B16355">
        <w:t>See NAFTA, Article 1110.</w:t>
      </w:r>
    </w:p>
  </w:footnote>
  <w:footnote w:id="63">
    <w:p w14:paraId="0043A47C" w14:textId="77777777" w:rsidR="00064362" w:rsidRPr="00B16355" w:rsidRDefault="00064362" w:rsidP="00FC1352">
      <w:r w:rsidRPr="00B16355">
        <w:rPr>
          <w:rStyle w:val="FootnoteReference"/>
        </w:rPr>
        <w:footnoteRef/>
      </w:r>
      <w:r w:rsidRPr="00B16355">
        <w:t xml:space="preserve">Jon A. Stanley, “Keeping Big Brother Out of Our Backyard: Regulatory Takings as Defined in International Law and Compared to American Fifth Amendment Jurisprudence,” </w:t>
      </w:r>
      <w:r w:rsidRPr="00B16355">
        <w:rPr>
          <w:i/>
        </w:rPr>
        <w:t>Emory International Law Review</w:t>
      </w:r>
      <w:r>
        <w:t xml:space="preserve"> 15, no. 1 (2001): </w:t>
      </w:r>
      <w:r w:rsidRPr="00B16355">
        <w:t>353-54; Note that the legal battle over the 5</w:t>
      </w:r>
      <w:r w:rsidRPr="00B16355">
        <w:rPr>
          <w:vertAlign w:val="superscript"/>
        </w:rPr>
        <w:t>th</w:t>
      </w:r>
      <w:r w:rsidRPr="00B16355">
        <w:t xml:space="preserve"> Amendment’s property protections and takings remains unsettled as a result of the U.S. Supreme Court decision in </w:t>
      </w:r>
      <w:r w:rsidRPr="00B16355">
        <w:rPr>
          <w:i/>
        </w:rPr>
        <w:t>Kelo v. City of New London</w:t>
      </w:r>
      <w:r w:rsidRPr="00B16355">
        <w:t xml:space="preserve"> on June 23, 2005; See </w:t>
      </w:r>
      <w:r w:rsidRPr="00B16355">
        <w:rPr>
          <w:i/>
        </w:rPr>
        <w:t>The Economist</w:t>
      </w:r>
      <w:r w:rsidRPr="00B16355">
        <w:t xml:space="preserve">, “An American’s Home is Still Her Castle,” November 23, 2006. </w:t>
      </w:r>
    </w:p>
  </w:footnote>
  <w:footnote w:id="64">
    <w:p w14:paraId="3E09D076" w14:textId="77777777" w:rsidR="00064362" w:rsidRPr="00B16355" w:rsidRDefault="00064362" w:rsidP="00FC1352">
      <w:r w:rsidRPr="00B16355">
        <w:rPr>
          <w:rStyle w:val="FootnoteReference"/>
        </w:rPr>
        <w:footnoteRef/>
      </w:r>
      <w:r w:rsidRPr="00B16355">
        <w:t xml:space="preserve">Pennsylvania Coal Co. v. Mahon, 260 U.S. 393 1922. Prior to this, the U.S. Supreme Court had taken a </w:t>
      </w:r>
      <w:r w:rsidRPr="00B16355">
        <w:rPr>
          <w:i/>
        </w:rPr>
        <w:t>de jure</w:t>
      </w:r>
      <w:r w:rsidRPr="00B16355">
        <w:t xml:space="preserve"> approach to the definition of takings (see </w:t>
      </w:r>
      <w:r w:rsidRPr="00B16355">
        <w:rPr>
          <w:i/>
        </w:rPr>
        <w:t>Mulger v Kansas</w:t>
      </w:r>
      <w:r w:rsidRPr="00B16355">
        <w:t xml:space="preserve">, 123 U.S. 623, 1887). With </w:t>
      </w:r>
      <w:r w:rsidRPr="00B16355">
        <w:rPr>
          <w:i/>
        </w:rPr>
        <w:t>Pennsylvania Coal v. Mahon</w:t>
      </w:r>
      <w:r w:rsidRPr="00B16355">
        <w:t xml:space="preserve">, the Court introduced the concept of </w:t>
      </w:r>
      <w:r w:rsidRPr="00B16355">
        <w:rPr>
          <w:i/>
        </w:rPr>
        <w:t>de facto,</w:t>
      </w:r>
      <w:r w:rsidRPr="00B16355">
        <w:t xml:space="preserve"> or regulatory takings.</w:t>
      </w:r>
    </w:p>
  </w:footnote>
  <w:footnote w:id="65">
    <w:p w14:paraId="198F072D" w14:textId="77777777" w:rsidR="00064362" w:rsidRPr="00B16355" w:rsidRDefault="00064362" w:rsidP="00FC1352">
      <w:r w:rsidRPr="00B16355">
        <w:rPr>
          <w:rStyle w:val="FootnoteReference"/>
        </w:rPr>
        <w:footnoteRef/>
      </w:r>
      <w:r>
        <w:t xml:space="preserve">Stanley, “Keeping Big Brother,” </w:t>
      </w:r>
      <w:r w:rsidRPr="00B16355">
        <w:t xml:space="preserve">365-370. Note again the uncertainty over takings in the public interest that has been generated by </w:t>
      </w:r>
      <w:r w:rsidRPr="00B16355">
        <w:rPr>
          <w:i/>
        </w:rPr>
        <w:t xml:space="preserve">Kelo v. United States </w:t>
      </w:r>
      <w:r w:rsidRPr="00B16355">
        <w:t>(2005).</w:t>
      </w:r>
    </w:p>
  </w:footnote>
  <w:footnote w:id="66">
    <w:p w14:paraId="1F131614" w14:textId="77777777" w:rsidR="00064362" w:rsidRPr="00B16355" w:rsidRDefault="00064362" w:rsidP="00FC1352">
      <w:pPr>
        <w:pStyle w:val="FootnoteText"/>
      </w:pPr>
      <w:r w:rsidRPr="00B16355">
        <w:rPr>
          <w:rStyle w:val="FootnoteReference"/>
        </w:rPr>
        <w:footnoteRef/>
      </w:r>
      <w:r w:rsidRPr="00B16355">
        <w:t xml:space="preserve"> Formally named the </w:t>
      </w:r>
      <w:r w:rsidRPr="00B16355">
        <w:rPr>
          <w:i/>
        </w:rPr>
        <w:t>Declaration of the Government of the Democratic and Popular Republic of Algeria Concerning the Settlement of Claims of the Government of the United States of America and the Government of the Islamic Republic of Iran</w:t>
      </w:r>
      <w:r w:rsidRPr="00B16355">
        <w:t xml:space="preserve"> (Claims S</w:t>
      </w:r>
      <w:r>
        <w:t>ettlement Declaration), 19, Janu</w:t>
      </w:r>
      <w:r w:rsidRPr="00B16355">
        <w:t>ary 1981. See also, Clodfelter, “U.S. State Department,” 1273-1283.</w:t>
      </w:r>
    </w:p>
  </w:footnote>
  <w:footnote w:id="67">
    <w:p w14:paraId="3A42B0BE" w14:textId="77777777" w:rsidR="00064362" w:rsidRPr="00B16355" w:rsidRDefault="00064362" w:rsidP="00FC1352">
      <w:r w:rsidRPr="00B16355">
        <w:rPr>
          <w:rStyle w:val="FootnoteReference"/>
        </w:rPr>
        <w:footnoteRef/>
      </w:r>
      <w:r w:rsidRPr="00B16355">
        <w:t xml:space="preserve">George H. Aldrich, “What Constitutes a Compensable Taking of Property? The Decisions of the Iran-United States Claims Tribunal.” </w:t>
      </w:r>
      <w:r w:rsidRPr="00B16355">
        <w:rPr>
          <w:i/>
        </w:rPr>
        <w:t xml:space="preserve">The American Journal of International Law </w:t>
      </w:r>
      <w:r w:rsidRPr="00B16355">
        <w:t>88, no. 4 (October 1994): 609.</w:t>
      </w:r>
    </w:p>
  </w:footnote>
  <w:footnote w:id="68">
    <w:p w14:paraId="2B833AB2" w14:textId="77777777" w:rsidR="00064362" w:rsidRPr="00B16355" w:rsidRDefault="00064362" w:rsidP="00FC1352">
      <w:r w:rsidRPr="00B16355">
        <w:rPr>
          <w:rStyle w:val="FootnoteReference"/>
        </w:rPr>
        <w:footnoteRef/>
      </w:r>
      <w:r w:rsidRPr="00B16355">
        <w:t>Ibid., 590.</w:t>
      </w:r>
    </w:p>
  </w:footnote>
  <w:footnote w:id="69">
    <w:p w14:paraId="646F980D" w14:textId="77777777" w:rsidR="00064362" w:rsidRPr="00B16355" w:rsidRDefault="00064362" w:rsidP="00FC1352">
      <w:r w:rsidRPr="00B16355">
        <w:rPr>
          <w:rStyle w:val="FootnoteReference"/>
        </w:rPr>
        <w:footnoteRef/>
      </w:r>
      <w:r w:rsidRPr="00B16355">
        <w:t>Stanley, “Keeping Big Brother Out,” 385-89. Chapter 11 jurisprudence has followed this same pattern to now with numerous tribunals ruling in favor of governments.</w:t>
      </w:r>
    </w:p>
  </w:footnote>
  <w:footnote w:id="70">
    <w:p w14:paraId="28291F50" w14:textId="77777777" w:rsidR="00064362" w:rsidRPr="00B16355" w:rsidRDefault="00064362" w:rsidP="00FC1352">
      <w:pPr>
        <w:pStyle w:val="FootnoteText"/>
      </w:pPr>
      <w:r w:rsidRPr="00B16355">
        <w:rPr>
          <w:rStyle w:val="FootnoteReference"/>
        </w:rPr>
        <w:footnoteRef/>
      </w:r>
      <w:r w:rsidRPr="00B16355">
        <w:t xml:space="preserve"> See De Pencier, “Investment, Environment and Dispute Settlement,” 409-419; Marisa Yee, “The Future of Environmental Regulation After Article 1110 of NAFTA,” </w:t>
      </w:r>
      <w:r w:rsidRPr="00B16355">
        <w:rPr>
          <w:i/>
        </w:rPr>
        <w:t>Hastings West-Northwest Journal of Environmental Law and Policy</w:t>
      </w:r>
      <w:r w:rsidRPr="00B16355">
        <w:t xml:space="preserve"> 9, no. 1 (2002): 85-108.</w:t>
      </w:r>
    </w:p>
  </w:footnote>
  <w:footnote w:id="71">
    <w:p w14:paraId="4CA30BD1" w14:textId="77777777" w:rsidR="00064362" w:rsidRPr="00B16355" w:rsidRDefault="00064362" w:rsidP="00FC1352">
      <w:pPr>
        <w:pStyle w:val="FootnoteText"/>
      </w:pPr>
      <w:r w:rsidRPr="00B16355">
        <w:rPr>
          <w:rStyle w:val="FootnoteReference"/>
        </w:rPr>
        <w:footnoteRef/>
      </w:r>
      <w:r w:rsidRPr="00B16355">
        <w:t xml:space="preserve"> Yee, “The Future of Environmental Regulation,” 85-108.</w:t>
      </w:r>
    </w:p>
  </w:footnote>
  <w:footnote w:id="72">
    <w:p w14:paraId="26091CE8" w14:textId="77777777" w:rsidR="00064362" w:rsidRPr="00B16355" w:rsidRDefault="00064362" w:rsidP="00FC1352">
      <w:pPr>
        <w:pStyle w:val="FootnoteText"/>
      </w:pPr>
      <w:r w:rsidRPr="00B16355">
        <w:rPr>
          <w:rStyle w:val="FootnoteReference"/>
        </w:rPr>
        <w:footnoteRef/>
      </w:r>
      <w:r w:rsidRPr="00B16355">
        <w:t xml:space="preserve"> I would like to thank Danny Calhoun of Keating Muething &amp; Klekamp PLL in Cincinnati, Ohio for his helpful insights into the </w:t>
      </w:r>
      <w:r w:rsidRPr="00B16355">
        <w:rPr>
          <w:i/>
        </w:rPr>
        <w:t>Methanex</w:t>
      </w:r>
      <w:r>
        <w:t xml:space="preserve"> case; see also</w:t>
      </w:r>
      <w:r w:rsidRPr="00B16355">
        <w:t xml:space="preserve"> Kirkman</w:t>
      </w:r>
      <w:r>
        <w:t xml:space="preserve">, “Fair and Equitable Treatment,” </w:t>
      </w:r>
      <w:r w:rsidRPr="00B16355">
        <w:t xml:space="preserve">343-392; Alberto Alvarez-Jimenez, “The Methanex Final Award: An Analysis from the Perspectives of Environmental Regulatory Authorities and Foreign Investors,” </w:t>
      </w:r>
      <w:r w:rsidRPr="00B16355">
        <w:rPr>
          <w:i/>
        </w:rPr>
        <w:t>Journal of International Arbitration</w:t>
      </w:r>
      <w:r w:rsidRPr="00B16355">
        <w:t xml:space="preserve"> 23, no. 5 (2006): 427-434.</w:t>
      </w:r>
    </w:p>
  </w:footnote>
  <w:footnote w:id="73">
    <w:p w14:paraId="46A6AACD" w14:textId="77777777" w:rsidR="00064362" w:rsidRPr="00B16355" w:rsidRDefault="00064362" w:rsidP="00FC1352">
      <w:r w:rsidRPr="00B16355">
        <w:rPr>
          <w:rStyle w:val="FootnoteReference"/>
        </w:rPr>
        <w:footnoteRef/>
      </w:r>
      <w:r w:rsidRPr="00B16355">
        <w:t xml:space="preserve">See </w:t>
      </w:r>
      <w:r w:rsidRPr="00B16355">
        <w:rPr>
          <w:i/>
        </w:rPr>
        <w:t>Interim Award by Arbitral Tribunal in the Matter of an Arbitration Under Chapter Eleven of the North American Free Trade Agreement Between Pope &amp; Talbot and the Government of Canada,</w:t>
      </w:r>
      <w:r w:rsidRPr="00B16355">
        <w:t xml:space="preserve"> June 26, 2000, 35. Available at http://www.dfait</w:t>
      </w:r>
      <w:r w:rsidRPr="00B16355">
        <w:noBreakHyphen/>
        <w:t>maeci.gc.ca/tna</w:t>
      </w:r>
      <w:r w:rsidRPr="00B16355">
        <w:noBreakHyphen/>
        <w:t>nac/documents/pubdoc7.pdf.</w:t>
      </w:r>
    </w:p>
  </w:footnote>
  <w:footnote w:id="74">
    <w:p w14:paraId="02F34EFF" w14:textId="77777777" w:rsidR="00064362" w:rsidRPr="00B16355" w:rsidRDefault="00064362" w:rsidP="00FC1352">
      <w:r w:rsidRPr="00B16355">
        <w:rPr>
          <w:rStyle w:val="FootnoteReference"/>
        </w:rPr>
        <w:footnoteRef/>
      </w:r>
      <w:r w:rsidRPr="00B16355">
        <w:rPr>
          <w:i/>
        </w:rPr>
        <w:t>Interim Award, Pope &amp; Talbot v. Government of Canada</w:t>
      </w:r>
      <w:r w:rsidRPr="00B16355">
        <w:t>, 34.</w:t>
      </w:r>
    </w:p>
  </w:footnote>
  <w:footnote w:id="75">
    <w:p w14:paraId="4B2A3BEB" w14:textId="77777777" w:rsidR="00064362" w:rsidRPr="00B16355" w:rsidRDefault="00064362" w:rsidP="00FC1352">
      <w:r w:rsidRPr="00B16355">
        <w:rPr>
          <w:rStyle w:val="FootnoteReference"/>
        </w:rPr>
        <w:footnoteRef/>
      </w:r>
      <w:r w:rsidRPr="00B16355">
        <w:rPr>
          <w:i/>
        </w:rPr>
        <w:t>Award Between Metalclad Corporation and The United Mexican States</w:t>
      </w:r>
      <w:r w:rsidRPr="00B16355">
        <w:t>, ICSID Additional Facility, Case No. ARB(AF)/97/1 (August 30, 2000). Available at http://www.worldbank.org/icsid/cases/awards.htm.</w:t>
      </w:r>
    </w:p>
  </w:footnote>
  <w:footnote w:id="76">
    <w:p w14:paraId="2E497174" w14:textId="77777777" w:rsidR="00064362" w:rsidRPr="00B16355" w:rsidRDefault="00064362" w:rsidP="00FC1352">
      <w:pPr>
        <w:pStyle w:val="FootnoteText"/>
      </w:pPr>
      <w:r w:rsidRPr="00B16355">
        <w:rPr>
          <w:rStyle w:val="FootnoteReference"/>
        </w:rPr>
        <w:footnoteRef/>
      </w:r>
      <w:r w:rsidRPr="00B16355">
        <w:t xml:space="preserve"> See Stephen Fietta, “Expropriation and the ‘Fair and Equitable’ Standard,” </w:t>
      </w:r>
      <w:r w:rsidRPr="00B16355">
        <w:rPr>
          <w:i/>
        </w:rPr>
        <w:t>Journal of International Arbitration</w:t>
      </w:r>
      <w:r w:rsidRPr="00B16355">
        <w:t xml:space="preserve"> 23, no. 5 (2006):375-399. Fietta argues that NAFTA tribunals have been inconsistent in their interpretation of “fair and equitable treatment” under Article 1131 and have not dealt with the link between “fair and equitable” treatment and “expropriation,” particularly where the legitimate expectations of the investor are concerned. </w:t>
      </w:r>
    </w:p>
  </w:footnote>
  <w:footnote w:id="77">
    <w:p w14:paraId="529239C5" w14:textId="77777777" w:rsidR="00064362" w:rsidRPr="00B16355" w:rsidRDefault="00064362" w:rsidP="00FC1352">
      <w:pPr>
        <w:pStyle w:val="FootnoteText"/>
      </w:pPr>
      <w:r w:rsidRPr="00B16355">
        <w:rPr>
          <w:rStyle w:val="FootnoteReference"/>
        </w:rPr>
        <w:footnoteRef/>
      </w:r>
      <w:r w:rsidRPr="00B16355">
        <w:t xml:space="preserve"> See Aldrich, “What Constitutes Compensable Taking,” 585-610.</w:t>
      </w:r>
    </w:p>
  </w:footnote>
  <w:footnote w:id="78">
    <w:p w14:paraId="4EBF111C" w14:textId="77777777" w:rsidR="00064362" w:rsidRPr="00B16355" w:rsidRDefault="00064362" w:rsidP="00FC1352">
      <w:pPr>
        <w:pStyle w:val="FootnoteText"/>
      </w:pPr>
      <w:r w:rsidRPr="00B16355">
        <w:rPr>
          <w:rStyle w:val="FootnoteReference"/>
        </w:rPr>
        <w:footnoteRef/>
      </w:r>
      <w:r w:rsidRPr="00B16355">
        <w:t xml:space="preserve"> Courtney Kirkman</w:t>
      </w:r>
      <w:r>
        <w:t xml:space="preserve">, “Fair and Equitable Treatment,” </w:t>
      </w:r>
      <w:r w:rsidRPr="00B16355">
        <w:t>343-392; Yee, “The Future of Environmental Regulation,” 85-108; Alvarez-Jimenez, “The Methanex Final Award,” 427-434.</w:t>
      </w:r>
    </w:p>
  </w:footnote>
  <w:footnote w:id="79">
    <w:p w14:paraId="13003126" w14:textId="77777777" w:rsidR="00064362" w:rsidRPr="00B16355" w:rsidRDefault="00064362" w:rsidP="00FC1352">
      <w:pPr>
        <w:pStyle w:val="FootnoteText"/>
      </w:pPr>
      <w:r w:rsidRPr="00B16355">
        <w:rPr>
          <w:rStyle w:val="FootnoteReference"/>
        </w:rPr>
        <w:footnoteRef/>
      </w:r>
      <w:r w:rsidRPr="00B16355">
        <w:t xml:space="preserve"> Marisa Yee, “The Future of Environmental Regulation,” 85-108.</w:t>
      </w:r>
    </w:p>
  </w:footnote>
  <w:footnote w:id="80">
    <w:p w14:paraId="7937703F" w14:textId="65639AB4" w:rsidR="00064362" w:rsidRPr="000A1CD6" w:rsidRDefault="00064362">
      <w:pPr>
        <w:pStyle w:val="FootnoteText"/>
        <w:rPr>
          <w:lang w:val="en-CA"/>
        </w:rPr>
      </w:pPr>
      <w:r>
        <w:rPr>
          <w:rStyle w:val="FootnoteReference"/>
        </w:rPr>
        <w:footnoteRef/>
      </w:r>
      <w:r>
        <w:t xml:space="preserve"> </w:t>
      </w:r>
      <w:r>
        <w:rPr>
          <w:lang w:val="en-CA"/>
        </w:rPr>
        <w:t xml:space="preserve">Robert Pastor, </w:t>
      </w:r>
      <w:r w:rsidRPr="00581190">
        <w:rPr>
          <w:i/>
          <w:lang w:val="en-CA"/>
        </w:rPr>
        <w:t>Toward a North American Community</w:t>
      </w:r>
      <w:r>
        <w:rPr>
          <w:lang w:val="en-CA"/>
        </w:rPr>
        <w:t xml:space="preserve"> (Washington, D.C.: Institute for International Economics, 2001). </w:t>
      </w:r>
    </w:p>
  </w:footnote>
  <w:footnote w:id="81">
    <w:p w14:paraId="03183C7D" w14:textId="55884D07" w:rsidR="00064362" w:rsidRPr="00E15CDB" w:rsidRDefault="00064362">
      <w:pPr>
        <w:pStyle w:val="FootnoteText"/>
        <w:rPr>
          <w:lang w:val="en-CA"/>
        </w:rPr>
      </w:pPr>
      <w:r>
        <w:rPr>
          <w:rStyle w:val="FootnoteReference"/>
        </w:rPr>
        <w:footnoteRef/>
      </w:r>
      <w:r>
        <w:t xml:space="preserve"> </w:t>
      </w:r>
      <w:r>
        <w:rPr>
          <w:lang w:val="en-CA"/>
        </w:rPr>
        <w:t xml:space="preserve">Jan Paulson, “Arbitration Without Privity,” </w:t>
      </w:r>
      <w:r w:rsidRPr="00C77BE3">
        <w:rPr>
          <w:i/>
          <w:lang w:val="en-CA"/>
        </w:rPr>
        <w:t>ICSID Review: Foreign Investment Law Journal</w:t>
      </w:r>
      <w:r>
        <w:rPr>
          <w:lang w:val="en-CA"/>
        </w:rPr>
        <w:t xml:space="preserve"> 10 No. 2 (Fall 1995): 232.</w:t>
      </w:r>
    </w:p>
  </w:footnote>
  <w:footnote w:id="82">
    <w:p w14:paraId="560B0E8C" w14:textId="568210E5" w:rsidR="00064362" w:rsidRPr="000A2572" w:rsidRDefault="00064362">
      <w:pPr>
        <w:pStyle w:val="FootnoteText"/>
        <w:rPr>
          <w:lang w:val="en-CA"/>
        </w:rPr>
      </w:pPr>
      <w:r>
        <w:rPr>
          <w:rStyle w:val="FootnoteReference"/>
        </w:rPr>
        <w:footnoteRef/>
      </w:r>
      <w:r>
        <w:t xml:space="preserve"> </w:t>
      </w:r>
      <w:r>
        <w:rPr>
          <w:lang w:val="en-CA"/>
        </w:rPr>
        <w:t xml:space="preserve">Ibid., 233. </w:t>
      </w:r>
    </w:p>
  </w:footnote>
  <w:footnote w:id="83">
    <w:p w14:paraId="1FC3B69F" w14:textId="33C84E16" w:rsidR="00064362" w:rsidRPr="008E3908" w:rsidRDefault="00064362">
      <w:pPr>
        <w:pStyle w:val="FootnoteText"/>
        <w:rPr>
          <w:lang w:val="en-CA"/>
        </w:rPr>
      </w:pPr>
      <w:r>
        <w:rPr>
          <w:rStyle w:val="FootnoteReference"/>
        </w:rPr>
        <w:footnoteRef/>
      </w:r>
      <w:r>
        <w:t xml:space="preserve"> </w:t>
      </w:r>
      <w:r>
        <w:rPr>
          <w:lang w:val="en-CA"/>
        </w:rPr>
        <w:t>Ibid.</w:t>
      </w:r>
    </w:p>
  </w:footnote>
  <w:footnote w:id="84">
    <w:p w14:paraId="0C2A49B1" w14:textId="03BC67C0" w:rsidR="00064362" w:rsidRPr="00F3592F" w:rsidRDefault="00064362">
      <w:pPr>
        <w:pStyle w:val="FootnoteText"/>
      </w:pPr>
      <w:r>
        <w:rPr>
          <w:rStyle w:val="FootnoteReference"/>
        </w:rPr>
        <w:footnoteRef/>
      </w:r>
      <w:r>
        <w:t xml:space="preserve"> Der Speigel, “Power Plant Battle Goes to International Arbitration,” July 15, 2009; </w:t>
      </w:r>
      <w:r w:rsidRPr="00F3592F">
        <w:t>Vattenfall AB, Vattenfall Europe AG, Vattenfall Europe Generation AG v. Federal Republic of Germany (ICSID Case No. ARB/09/6)</w:t>
      </w:r>
    </w:p>
  </w:footnote>
  <w:footnote w:id="85">
    <w:p w14:paraId="538795BC" w14:textId="088A7DEE" w:rsidR="00064362" w:rsidRDefault="00064362" w:rsidP="00A67B5D">
      <w:r>
        <w:rPr>
          <w:rStyle w:val="FootnoteReference"/>
        </w:rPr>
        <w:footnoteRef/>
      </w:r>
      <w:r>
        <w:t xml:space="preserve"> Nathalie Benasconi-Osterwalder and Martin Dietrich Brach, “The State of Play in Vattenfall v. Germany II: Leaving the German Public in the Dark,” International Institute for Sustainable Development Briefing Note December 2014: 1-8; </w:t>
      </w:r>
      <w:r w:rsidRPr="00F3592F">
        <w:t>Vattenfall AB and others v. Federal Republic of Germany (ICSID Case No. ARB/12/12)</w:t>
      </w:r>
      <w:r>
        <w:t>.</w:t>
      </w:r>
    </w:p>
  </w:footnote>
  <w:footnote w:id="86">
    <w:p w14:paraId="461A94F4" w14:textId="41C5420C" w:rsidR="00064362" w:rsidRPr="00FB0777" w:rsidRDefault="00064362">
      <w:pPr>
        <w:pStyle w:val="FootnoteText"/>
        <w:rPr>
          <w:lang w:val="en-CA"/>
        </w:rPr>
      </w:pPr>
      <w:r>
        <w:rPr>
          <w:rStyle w:val="FootnoteReference"/>
        </w:rPr>
        <w:footnoteRef/>
      </w:r>
      <w:r>
        <w:t xml:space="preserve"> </w:t>
      </w:r>
      <w:r w:rsidRPr="000351AA">
        <w:t>Attac, “Globalisierung Geht Ganz Anders,” G 8 Broschüre, February 2007, 37-38, available at http://www.attac.de/archive/G8%20Heiligendamm/www.attac.de/heiligendamm07/media/text_dl/material/G8-Reader-Online-eBook.pdf</w:t>
      </w:r>
      <w:r w:rsidRPr="000351AA" w:rsidDel="00517770">
        <w:t xml:space="preserve"> </w:t>
      </w:r>
      <w:r w:rsidRPr="000351AA">
        <w:t xml:space="preserve"> (last accessed March </w:t>
      </w:r>
      <w:r>
        <w:t>21, 2017).</w:t>
      </w:r>
    </w:p>
  </w:footnote>
  <w:footnote w:id="87">
    <w:p w14:paraId="14BE06AF" w14:textId="3DC188E0" w:rsidR="00064362" w:rsidRPr="00FA44E3" w:rsidRDefault="00064362">
      <w:pPr>
        <w:pStyle w:val="FootnoteText"/>
      </w:pPr>
      <w:r>
        <w:rPr>
          <w:rStyle w:val="FootnoteReference"/>
        </w:rPr>
        <w:footnoteRef/>
      </w:r>
      <w:r>
        <w:t xml:space="preserve"> </w:t>
      </w:r>
      <w:r w:rsidRPr="00FA44E3">
        <w:t xml:space="preserve">Attac, “International Press Release: European-wide protests against TTIP, CETA and TISA on </w:t>
      </w:r>
      <w:r>
        <w:t xml:space="preserve">October 11, 2014,” available at </w:t>
      </w:r>
      <w:r w:rsidRPr="00FA44E3">
        <w:t>h</w:t>
      </w:r>
      <w:r>
        <w:t>ttp://www.attac.at/presse/attac</w:t>
      </w:r>
      <w:r w:rsidRPr="00FA44E3">
        <w:t>presseaussendung/datum/2014/10/10/international-press-release-european-wide-protests-against-ttip-ceta-and-tisa-on-october-11-2014.html (last accessed February 19, 2015); Stop TTIP, “10 October 2015,” https://stop-ttip.org/10-oktober-2015/ (last accessed April 30, 2016).  </w:t>
      </w:r>
    </w:p>
  </w:footnote>
  <w:footnote w:id="88">
    <w:p w14:paraId="36228901" w14:textId="440DB9C0" w:rsidR="00064362" w:rsidRPr="002912DD" w:rsidRDefault="00064362">
      <w:pPr>
        <w:pStyle w:val="FootnoteText"/>
        <w:rPr>
          <w:lang w:val="en-CA"/>
        </w:rPr>
      </w:pPr>
      <w:r>
        <w:rPr>
          <w:rStyle w:val="FootnoteReference"/>
        </w:rPr>
        <w:footnoteRef/>
      </w:r>
      <w:r>
        <w:t xml:space="preserve"> Jürgen Maier, “Investoren-Schiedsgerichte: Lobbying in Eigener Sache,” Campact, February 26, 2014, available at </w:t>
      </w:r>
      <w:hyperlink r:id="rId3" w:history="1">
        <w:r w:rsidRPr="00C10D8C">
          <w:rPr>
            <w:rStyle w:val="Hyperlink"/>
          </w:rPr>
          <w:t>https://blog.campact.de/2014/02/investoren-schiedsgerichte-lobbying-in-eigener-sache/</w:t>
        </w:r>
      </w:hyperlink>
      <w:r>
        <w:t xml:space="preserve"> (last accessed March 15, 2017).  </w:t>
      </w:r>
      <w:r w:rsidRPr="00940BD9">
        <w:t>AbitibiBowater Inc. v. Canada (ICSID Case No. UNCT/10/1)</w:t>
      </w:r>
      <w:r>
        <w:t>, award rendered in December 2010.</w:t>
      </w:r>
      <w:r w:rsidRPr="006C2E82">
        <w:t xml:space="preserve"> </w:t>
      </w:r>
      <w:r>
        <w:t xml:space="preserve"> </w:t>
      </w:r>
      <w:hyperlink r:id="rId4" w:history="1">
        <w:r w:rsidRPr="00BE4285">
          <w:rPr>
            <w:rStyle w:val="Hyperlink"/>
          </w:rPr>
          <w:t>https://icsid.worldbank.org/en/Pages/cases/casedetail.aspx?CaseNo=UNCT/10/1</w:t>
        </w:r>
      </w:hyperlink>
      <w:r>
        <w:t>, Accessed March 10, 2017.</w:t>
      </w:r>
    </w:p>
  </w:footnote>
  <w:footnote w:id="89">
    <w:p w14:paraId="4A693DE4" w14:textId="4F55132B" w:rsidR="00064362" w:rsidRPr="00FC62CB" w:rsidRDefault="00064362">
      <w:pPr>
        <w:pStyle w:val="FootnoteText"/>
        <w:rPr>
          <w:lang w:val="en-CA"/>
        </w:rPr>
      </w:pPr>
      <w:r>
        <w:rPr>
          <w:rStyle w:val="FootnoteReference"/>
        </w:rPr>
        <w:footnoteRef/>
      </w:r>
      <w:r>
        <w:t xml:space="preserve"> </w:t>
      </w:r>
      <w:r>
        <w:rPr>
          <w:lang w:val="en-CA"/>
        </w:rPr>
        <w:t xml:space="preserve">“A Running Start for U.S.-Europe Trade Pact,” </w:t>
      </w:r>
      <w:r w:rsidRPr="00FC62CB">
        <w:rPr>
          <w:i/>
          <w:lang w:val="en-CA"/>
        </w:rPr>
        <w:t>New York Times</w:t>
      </w:r>
      <w:r>
        <w:rPr>
          <w:lang w:val="en-CA"/>
        </w:rPr>
        <w:t xml:space="preserve">, February 13, 2013; see also, President Obama, State of the Union Address, February 12, 2013, </w:t>
      </w:r>
      <w:hyperlink r:id="rId5" w:history="1">
        <w:r w:rsidRPr="00BE4285">
          <w:rPr>
            <w:rStyle w:val="Hyperlink"/>
            <w:lang w:val="en-CA"/>
          </w:rPr>
          <w:t>https://obamawhitehouse.archives.gov/the-press-office/2013/02/12/remarks-president-state-union-address</w:t>
        </w:r>
      </w:hyperlink>
      <w:r>
        <w:rPr>
          <w:lang w:val="en-CA"/>
        </w:rPr>
        <w:t xml:space="preserve"> Accessed March 10, 2017; </w:t>
      </w:r>
      <w:r>
        <w:t>Stefanie Rosskopf, “New Challenges for EU-Trade Policy-making: Why is the EU Pursuing a Comprehensive Economic and trade Agreement with Canada,” in The EU and the Eurozone Crisis- Policy Challenges and Strategic Choices, ed. Finn Laursen (Surrey, England/ Burlington, USA: Ashgate Publishing Limited/ Ashgate Publishing Company, 2013), 115.</w:t>
      </w:r>
    </w:p>
  </w:footnote>
  <w:footnote w:id="90">
    <w:p w14:paraId="418D57AE" w14:textId="03E7B268" w:rsidR="00064362" w:rsidRPr="00211337" w:rsidRDefault="00064362">
      <w:pPr>
        <w:pStyle w:val="FootnoteText"/>
        <w:rPr>
          <w:lang w:val="en-CA"/>
        </w:rPr>
      </w:pPr>
      <w:r>
        <w:rPr>
          <w:rStyle w:val="FootnoteReference"/>
        </w:rPr>
        <w:footnoteRef/>
      </w:r>
      <w:r>
        <w:t xml:space="preserve"> </w:t>
      </w:r>
      <w:r>
        <w:rPr>
          <w:lang w:val="en-CA"/>
        </w:rPr>
        <w:t xml:space="preserve">Janyce McGregor, “EU Quietly Asks Canada to Rework Thorny Investment Clause,” </w:t>
      </w:r>
      <w:r w:rsidRPr="00D7043E">
        <w:rPr>
          <w:u w:val="single"/>
          <w:lang w:val="en-CA"/>
        </w:rPr>
        <w:t>CBC News</w:t>
      </w:r>
      <w:r>
        <w:rPr>
          <w:lang w:val="en-CA"/>
        </w:rPr>
        <w:t xml:space="preserve">, January 21, 2016, available at </w:t>
      </w:r>
      <w:hyperlink r:id="rId6" w:history="1">
        <w:r w:rsidRPr="00C10D8C">
          <w:rPr>
            <w:rStyle w:val="Hyperlink"/>
            <w:lang w:val="en-CA"/>
          </w:rPr>
          <w:t>http://www.cbc.ca/news/politics/canada-europe-trade-isds-ceta-1.3412943</w:t>
        </w:r>
      </w:hyperlink>
      <w:r>
        <w:rPr>
          <w:lang w:val="en-CA"/>
        </w:rPr>
        <w:t xml:space="preserve"> (last accessed March 15, 2017); European Commission, “CETA: EU and Canada Agree on New Approach on Investment in Trade Agreement,” News Release, February 29, 2016, available at </w:t>
      </w:r>
      <w:hyperlink r:id="rId7" w:history="1">
        <w:r w:rsidRPr="00C10D8C">
          <w:rPr>
            <w:rStyle w:val="Hyperlink"/>
            <w:lang w:val="en-CA"/>
          </w:rPr>
          <w:t>http://trade.ec.europa.eu/doclib/press/index.cfm?id=1468</w:t>
        </w:r>
      </w:hyperlink>
      <w:r>
        <w:rPr>
          <w:lang w:val="en-CA"/>
        </w:rPr>
        <w:t xml:space="preserve"> (last accessed March 15, 2017).</w:t>
      </w:r>
    </w:p>
  </w:footnote>
  <w:footnote w:id="91">
    <w:p w14:paraId="26133113" w14:textId="77777777" w:rsidR="00064362" w:rsidRDefault="00064362" w:rsidP="000351AA">
      <w:pPr>
        <w:pStyle w:val="FootnoteText"/>
      </w:pPr>
      <w:r>
        <w:rPr>
          <w:rStyle w:val="FootnoteReference"/>
        </w:rPr>
        <w:footnoteRef/>
      </w:r>
      <w:r>
        <w:t xml:space="preserve"> European Council, “EU-Canada Trade Agreement: Council Adopts Decision to Sign CETA,” Press Release, October 28, 2016, available at </w:t>
      </w:r>
      <w:hyperlink r:id="rId8" w:history="1">
        <w:r w:rsidRPr="00C10D8C">
          <w:rPr>
            <w:rStyle w:val="Hyperlink"/>
          </w:rPr>
          <w:t>http://www.consilium.europa.eu/en/press/press-releases/2016/10/28-eu-canada-trade-agreement/</w:t>
        </w:r>
      </w:hyperlink>
      <w:r>
        <w:t xml:space="preserve"> (last accessed March 15, 2017).</w:t>
      </w:r>
    </w:p>
  </w:footnote>
  <w:footnote w:id="92">
    <w:p w14:paraId="494E5A0D" w14:textId="77777777" w:rsidR="00064362" w:rsidRDefault="00064362" w:rsidP="000351AA">
      <w:pPr>
        <w:pStyle w:val="FootnoteText"/>
      </w:pPr>
      <w:r>
        <w:rPr>
          <w:rStyle w:val="FootnoteReference"/>
        </w:rPr>
        <w:footnoteRef/>
      </w:r>
      <w:r>
        <w:t xml:space="preserve"> European Commission, “European Commission Welcomes Parliament’s Support of Trade Deal with Canada,” Press Release, February 15, 2017, available at </w:t>
      </w:r>
      <w:hyperlink r:id="rId9" w:history="1">
        <w:r w:rsidRPr="00C10D8C">
          <w:rPr>
            <w:rStyle w:val="Hyperlink"/>
          </w:rPr>
          <w:t>http://trade.ec.europa.eu/doclib/press/index.cfm?id=1624</w:t>
        </w:r>
      </w:hyperlink>
      <w:r>
        <w:t xml:space="preserve"> (last accessed March 15, 2017).</w:t>
      </w:r>
    </w:p>
  </w:footnote>
  <w:footnote w:id="93">
    <w:p w14:paraId="50F4B477" w14:textId="4F2A9452" w:rsidR="00064362" w:rsidRPr="0038101D" w:rsidRDefault="00064362" w:rsidP="00C44C10">
      <w:pPr>
        <w:pStyle w:val="FootnoteText"/>
      </w:pPr>
      <w:r>
        <w:rPr>
          <w:rStyle w:val="FootnoteReference"/>
        </w:rPr>
        <w:footnoteRef/>
      </w:r>
      <w:r>
        <w:t xml:space="preserve"> </w:t>
      </w:r>
      <w:r w:rsidRPr="00223BDC">
        <w:t xml:space="preserve">Roderick Abbott, Frederik Erixon, and Martina Francesca Ferracane, “Demystifying Investor-State Dispute Settlement (ISDS),” </w:t>
      </w:r>
      <w:r w:rsidRPr="00223BDC">
        <w:rPr>
          <w:i/>
          <w:iCs/>
        </w:rPr>
        <w:t xml:space="preserve">ECIPE Occasional Paper </w:t>
      </w:r>
      <w:r w:rsidRPr="00223BDC">
        <w:t>no. 5 (2014): 7.  </w:t>
      </w:r>
    </w:p>
  </w:footnote>
  <w:footnote w:id="94">
    <w:p w14:paraId="0B8EE4D3" w14:textId="50B7E69C" w:rsidR="00064362" w:rsidRPr="003867FE" w:rsidRDefault="00064362">
      <w:pPr>
        <w:pStyle w:val="FootnoteText"/>
      </w:pPr>
      <w:r>
        <w:rPr>
          <w:rStyle w:val="FootnoteReference"/>
        </w:rPr>
        <w:footnoteRef/>
      </w:r>
      <w:r>
        <w:t xml:space="preserve"> </w:t>
      </w:r>
      <w:r w:rsidRPr="0038101D">
        <w:t xml:space="preserve">Shawn Donnan and Stefan Wagstyl, “Transatlantic Trade Talks Hit German Snag,” </w:t>
      </w:r>
      <w:r w:rsidRPr="0038101D">
        <w:rPr>
          <w:i/>
          <w:iCs/>
        </w:rPr>
        <w:t>Financial Times</w:t>
      </w:r>
      <w:r w:rsidRPr="0038101D">
        <w:t xml:space="preserve">, March 14, 2014, available at </w:t>
      </w:r>
      <w:hyperlink r:id="rId10" w:history="1">
        <w:r w:rsidRPr="00D14541">
          <w:rPr>
            <w:rStyle w:val="Hyperlink"/>
          </w:rPr>
          <w:t>http://www.ft.com/cms/s/0/cc5c4860-ab9d-11e3-90af-00144feab7de.html</w:t>
        </w:r>
      </w:hyperlink>
      <w:r>
        <w:t xml:space="preserve"> </w:t>
      </w:r>
      <w:r w:rsidRPr="0038101D">
        <w:t xml:space="preserve">(last accessed October 2, 2014); Jonathan Stoel, Markus Burgstaller and Michael Jacoboson, “Germany Reverses its Support for Investor-State Dispute Settlement in the Transatlantic Trade and investment Partnership (TTIP),” Hogan Lovells AR Blog- International Arbitration News, Trends and Cases, entry posted April 1, 2014, available at </w:t>
      </w:r>
      <w:hyperlink r:id="rId11" w:history="1">
        <w:r w:rsidRPr="00D14541">
          <w:rPr>
            <w:rStyle w:val="Hyperlink"/>
          </w:rPr>
          <w:t>http://www.hlarbitrationlaw.com/2014/04/germany-reverses-its-support-for-investor-state-dispute-settlement-in-the-transatlantic-trade-and-investment-partnership-ttip/</w:t>
        </w:r>
      </w:hyperlink>
      <w:r>
        <w:t xml:space="preserve"> (last accessed July 28, 2014); </w:t>
      </w:r>
      <w:r w:rsidRPr="00B94AC0">
        <w:t xml:space="preserve">Silvia Liebrich, “Bremst CETA,” </w:t>
      </w:r>
      <w:r w:rsidRPr="00B94AC0">
        <w:rPr>
          <w:i/>
          <w:iCs/>
        </w:rPr>
        <w:t>Sueddeutsche Zeitung</w:t>
      </w:r>
      <w:r w:rsidRPr="00B94AC0">
        <w:t xml:space="preserve">, July 28, 2014, available at </w:t>
      </w:r>
      <w:hyperlink r:id="rId12" w:history="1">
        <w:r w:rsidRPr="00D14541">
          <w:rPr>
            <w:rStyle w:val="Hyperlink"/>
          </w:rPr>
          <w:t>http://www.sueddeutsche.de/wirtschaft/freihandelsabkommen-mit-kanada-bremst-ceta-1.2146094</w:t>
        </w:r>
      </w:hyperlink>
      <w:r>
        <w:t xml:space="preserve"> </w:t>
      </w:r>
      <w:r w:rsidRPr="00B94AC0">
        <w:t xml:space="preserve"> (last accessed July 28, 2014); </w:t>
      </w:r>
      <w:r w:rsidRPr="00B94AC0">
        <w:rPr>
          <w:i/>
          <w:iCs/>
        </w:rPr>
        <w:t>Die Zeit</w:t>
      </w:r>
      <w:r w:rsidRPr="00B94AC0">
        <w:t xml:space="preserve">, “Deutschland Lehnt Freihandelsabkommen Vorerst Ab,” July 26, 2014, available at </w:t>
      </w:r>
      <w:hyperlink r:id="rId13" w:history="1">
        <w:r w:rsidRPr="00D14541">
          <w:rPr>
            <w:rStyle w:val="Hyperlink"/>
          </w:rPr>
          <w:t>http://www.zeit.de/wirtschaft/2014-07/ceta-ttip-deutschland</w:t>
        </w:r>
      </w:hyperlink>
      <w:r>
        <w:t xml:space="preserve"> </w:t>
      </w:r>
      <w:r w:rsidRPr="00B94AC0">
        <w:t>(last accessed July 28, 2014).  </w:t>
      </w:r>
    </w:p>
  </w:footnote>
  <w:footnote w:id="95">
    <w:p w14:paraId="50509606" w14:textId="76B49252" w:rsidR="00064362" w:rsidRPr="001C6191" w:rsidRDefault="00064362">
      <w:pPr>
        <w:pStyle w:val="FootnoteText"/>
      </w:pPr>
      <w:r>
        <w:rPr>
          <w:rStyle w:val="FootnoteReference"/>
        </w:rPr>
        <w:footnoteRef/>
      </w:r>
      <w:r>
        <w:t xml:space="preserve"> </w:t>
      </w:r>
      <w:r w:rsidRPr="00B60DB8">
        <w:t xml:space="preserve">Peter Clark, “Germany Throws down Gauntlet in CETA Investor-State Negotiations,” </w:t>
      </w:r>
      <w:r w:rsidRPr="00B60DB8">
        <w:rPr>
          <w:i/>
          <w:iCs/>
        </w:rPr>
        <w:t xml:space="preserve">IPolitics </w:t>
      </w:r>
      <w:r w:rsidRPr="00B60DB8">
        <w:t xml:space="preserve">, July 27, 2014, available at </w:t>
      </w:r>
      <w:hyperlink r:id="rId14" w:history="1">
        <w:r w:rsidRPr="00D14541">
          <w:rPr>
            <w:rStyle w:val="Hyperlink"/>
          </w:rPr>
          <w:t>http://www.ipolitics.ca/2014/07/27/germany-throws-down-gauntlet-in-ceta-investor-state-negotiations/</w:t>
        </w:r>
      </w:hyperlink>
      <w:r>
        <w:t xml:space="preserve"> </w:t>
      </w:r>
      <w:r w:rsidRPr="00B60DB8">
        <w:t>(last accessed July 28, 2014).  </w:t>
      </w:r>
    </w:p>
  </w:footnote>
  <w:footnote w:id="96">
    <w:p w14:paraId="75BF0CDC" w14:textId="3CD66AF6" w:rsidR="00064362" w:rsidRPr="001C6191" w:rsidRDefault="00064362" w:rsidP="001C6191">
      <w:pPr>
        <w:pStyle w:val="FootnoteText"/>
      </w:pPr>
      <w:r>
        <w:rPr>
          <w:rStyle w:val="FootnoteReference"/>
        </w:rPr>
        <w:footnoteRef/>
      </w:r>
      <w:r>
        <w:t xml:space="preserve"> European Commission, Staff Working Document, </w:t>
      </w:r>
      <w:r w:rsidRPr="001C6191">
        <w:t>Report</w:t>
      </w:r>
      <w:r>
        <w:t xml:space="preserve"> </w:t>
      </w:r>
      <w:r w:rsidRPr="001C6191">
        <w:t>Online public consultation on investment protection and investor-to-state dispute</w:t>
      </w:r>
      <w:r>
        <w:t xml:space="preserve"> </w:t>
      </w:r>
      <w:r w:rsidRPr="001C6191">
        <w:t>settlement (ISDS) in the Transatlantic Trade and Investment Partnership Agreement</w:t>
      </w:r>
      <w:r>
        <w:t xml:space="preserve"> </w:t>
      </w:r>
      <w:r w:rsidRPr="001C6191">
        <w:t>(TTIP)</w:t>
      </w:r>
      <w:r>
        <w:t>,</w:t>
      </w:r>
      <w:r w:rsidRPr="001C6191">
        <w:rPr>
          <w:rFonts w:ascii="Times" w:eastAsiaTheme="minorHAnsi" w:hAnsi="Times"/>
          <w:sz w:val="18"/>
          <w:szCs w:val="18"/>
        </w:rPr>
        <w:t xml:space="preserve"> </w:t>
      </w:r>
      <w:r w:rsidRPr="001C6191">
        <w:t>Brussels, 13.1.2015</w:t>
      </w:r>
    </w:p>
    <w:p w14:paraId="258F9695" w14:textId="0912F2DD" w:rsidR="00064362" w:rsidRPr="00C70902" w:rsidRDefault="00064362">
      <w:pPr>
        <w:pStyle w:val="FootnoteText"/>
      </w:pPr>
      <w:r>
        <w:t xml:space="preserve">SWD(2015) 3, p. 8. </w:t>
      </w:r>
    </w:p>
  </w:footnote>
  <w:footnote w:id="97">
    <w:p w14:paraId="6DDFAE82" w14:textId="77777777" w:rsidR="00064362" w:rsidRPr="00B16355" w:rsidRDefault="00064362" w:rsidP="002B1750">
      <w:pPr>
        <w:pStyle w:val="FootnoteText"/>
      </w:pPr>
      <w:r w:rsidRPr="00B16355">
        <w:rPr>
          <w:rStyle w:val="FootnoteReference"/>
        </w:rPr>
        <w:footnoteRef/>
      </w:r>
      <w:r w:rsidRPr="00B16355">
        <w:t xml:space="preserve"> Kenneth Vandevelde, “Model Bilateral Investment Treaties: The Way Forward,” </w:t>
      </w:r>
      <w:r w:rsidRPr="00F43A55">
        <w:rPr>
          <w:i/>
        </w:rPr>
        <w:t>Southwest Journal of International Law</w:t>
      </w:r>
      <w:r w:rsidRPr="00B16355">
        <w:t xml:space="preserve"> 18 (2011): 309; Kantor, “The New Draft Model U.S. BIT,” 383.</w:t>
      </w:r>
    </w:p>
  </w:footnote>
  <w:footnote w:id="98">
    <w:p w14:paraId="3936A810" w14:textId="77777777" w:rsidR="00064362" w:rsidRPr="00B16355" w:rsidRDefault="00064362" w:rsidP="002B1750">
      <w:pPr>
        <w:pStyle w:val="FootnoteText"/>
      </w:pPr>
      <w:r w:rsidRPr="00B16355">
        <w:rPr>
          <w:rStyle w:val="FootnoteReference"/>
        </w:rPr>
        <w:footnoteRef/>
      </w:r>
      <w:r w:rsidRPr="00B16355">
        <w:t xml:space="preserve"> Vandevelde, “Model Bilateral Investment Treaties,” 310.</w:t>
      </w:r>
    </w:p>
  </w:footnote>
  <w:footnote w:id="99">
    <w:p w14:paraId="00DA4AF4" w14:textId="77777777" w:rsidR="00064362" w:rsidRPr="00B16355" w:rsidRDefault="00064362" w:rsidP="002B1750">
      <w:pPr>
        <w:pStyle w:val="FootnoteText"/>
      </w:pPr>
      <w:r w:rsidRPr="00B16355">
        <w:rPr>
          <w:rStyle w:val="FootnoteReference"/>
        </w:rPr>
        <w:footnoteRef/>
      </w:r>
      <w:r w:rsidRPr="00B16355">
        <w:t xml:space="preserve"> See Treaty Between the Government of the United States of America and the Government of [Country] Concerning the Encouragement of and Reciprocal Protection of Investment, Art 5 (2004).</w:t>
      </w:r>
    </w:p>
  </w:footnote>
  <w:footnote w:id="100">
    <w:p w14:paraId="517A1DA6" w14:textId="77777777" w:rsidR="00064362" w:rsidRPr="00B16355" w:rsidRDefault="00064362" w:rsidP="002B1750">
      <w:pPr>
        <w:pStyle w:val="FootnoteText"/>
      </w:pPr>
      <w:r w:rsidRPr="00B16355">
        <w:rPr>
          <w:rStyle w:val="FootnoteReference"/>
        </w:rPr>
        <w:footnoteRef/>
      </w:r>
      <w:r w:rsidRPr="00B16355">
        <w:t xml:space="preserve"> Ibid., Art. 5(2)(a)(b), and Annex A.</w:t>
      </w:r>
    </w:p>
  </w:footnote>
  <w:footnote w:id="101">
    <w:p w14:paraId="54D04D2F" w14:textId="77777777" w:rsidR="00064362" w:rsidRPr="00B16355" w:rsidRDefault="00064362" w:rsidP="002B1750">
      <w:pPr>
        <w:pStyle w:val="FootnoteText"/>
      </w:pPr>
      <w:r w:rsidRPr="00B16355">
        <w:rPr>
          <w:rStyle w:val="FootnoteReference"/>
        </w:rPr>
        <w:footnoteRef/>
      </w:r>
      <w:r w:rsidRPr="00B16355">
        <w:t xml:space="preserve"> Ibid., Art. 6 and Annex B.</w:t>
      </w:r>
    </w:p>
  </w:footnote>
  <w:footnote w:id="102">
    <w:p w14:paraId="562DEE3F" w14:textId="77777777" w:rsidR="00064362" w:rsidRPr="00B16355" w:rsidRDefault="00064362" w:rsidP="002B1750">
      <w:pPr>
        <w:pStyle w:val="FootnoteText"/>
      </w:pPr>
      <w:r w:rsidRPr="00B16355">
        <w:rPr>
          <w:rStyle w:val="FootnoteReference"/>
        </w:rPr>
        <w:footnoteRef/>
      </w:r>
      <w:r w:rsidRPr="00B16355">
        <w:t xml:space="preserve"> Ibid., Art. 30(3) and Art. 31.</w:t>
      </w:r>
    </w:p>
  </w:footnote>
  <w:footnote w:id="103">
    <w:p w14:paraId="3B19CF7D" w14:textId="77777777" w:rsidR="00064362" w:rsidRPr="00B16355" w:rsidRDefault="00064362" w:rsidP="002B1750">
      <w:pPr>
        <w:pStyle w:val="FootnoteText"/>
      </w:pPr>
      <w:r w:rsidRPr="00B16355">
        <w:rPr>
          <w:rStyle w:val="FootnoteReference"/>
        </w:rPr>
        <w:footnoteRef/>
      </w:r>
      <w:r w:rsidRPr="00B16355">
        <w:t xml:space="preserve"> Ibid., Art. 26(2).</w:t>
      </w:r>
    </w:p>
  </w:footnote>
  <w:footnote w:id="104">
    <w:p w14:paraId="6839B7C3" w14:textId="77777777" w:rsidR="00064362" w:rsidRPr="00B16355" w:rsidRDefault="00064362" w:rsidP="002B1750">
      <w:pPr>
        <w:pStyle w:val="FootnoteText"/>
      </w:pPr>
      <w:r w:rsidRPr="00B16355">
        <w:rPr>
          <w:rStyle w:val="FootnoteReference"/>
        </w:rPr>
        <w:footnoteRef/>
      </w:r>
      <w:r w:rsidRPr="00B16355">
        <w:t xml:space="preserve"> Ibid., Art. 26(1).</w:t>
      </w:r>
    </w:p>
  </w:footnote>
  <w:footnote w:id="105">
    <w:p w14:paraId="094BAD61" w14:textId="77777777" w:rsidR="00064362" w:rsidRPr="00B16355" w:rsidRDefault="00064362" w:rsidP="002B1750">
      <w:pPr>
        <w:pStyle w:val="FootnoteText"/>
      </w:pPr>
      <w:r w:rsidRPr="00B16355">
        <w:rPr>
          <w:rStyle w:val="FootnoteReference"/>
        </w:rPr>
        <w:footnoteRef/>
      </w:r>
      <w:r w:rsidRPr="00B16355">
        <w:t xml:space="preserve"> Ibid., Art. 29. </w:t>
      </w:r>
    </w:p>
  </w:footnote>
  <w:footnote w:id="106">
    <w:p w14:paraId="3747072E" w14:textId="77777777" w:rsidR="00064362" w:rsidRPr="00B16355" w:rsidRDefault="00064362" w:rsidP="002B1750">
      <w:pPr>
        <w:pStyle w:val="FootnoteText"/>
      </w:pPr>
      <w:r w:rsidRPr="00B16355">
        <w:rPr>
          <w:rStyle w:val="FootnoteReference"/>
        </w:rPr>
        <w:footnoteRef/>
      </w:r>
      <w:r w:rsidRPr="00B16355">
        <w:t xml:space="preserve"> Ibid., Art. 28 (4)-(6).</w:t>
      </w:r>
    </w:p>
  </w:footnote>
  <w:footnote w:id="107">
    <w:p w14:paraId="3AEB383E" w14:textId="77777777" w:rsidR="00064362" w:rsidRPr="00B16355" w:rsidRDefault="00064362" w:rsidP="002B1750">
      <w:pPr>
        <w:pStyle w:val="FootnoteText"/>
      </w:pPr>
      <w:r w:rsidRPr="00B16355">
        <w:rPr>
          <w:rStyle w:val="FootnoteReference"/>
        </w:rPr>
        <w:footnoteRef/>
      </w:r>
      <w:r w:rsidRPr="00B16355">
        <w:t xml:space="preserve"> Ibid., Annex D. </w:t>
      </w:r>
    </w:p>
  </w:footnote>
  <w:footnote w:id="108">
    <w:p w14:paraId="2927BC4E" w14:textId="77777777" w:rsidR="00064362" w:rsidRPr="00B16355" w:rsidRDefault="00064362" w:rsidP="00D07578">
      <w:pPr>
        <w:pStyle w:val="FootnoteText"/>
      </w:pPr>
      <w:r w:rsidRPr="00B16355">
        <w:rPr>
          <w:rStyle w:val="FootnoteReference"/>
        </w:rPr>
        <w:footnoteRef/>
      </w:r>
      <w:r w:rsidRPr="00B16355">
        <w:t xml:space="preserve"> See Report of the Subcommittee on Investment of the Advisory Committee on International Economic Policy (ACIEP) Regarding the Model Bilateral Investment Treaty, September 2009.</w:t>
      </w:r>
    </w:p>
  </w:footnote>
  <w:footnote w:id="109">
    <w:p w14:paraId="39658E68" w14:textId="76AD06DD" w:rsidR="00064362" w:rsidRPr="00D07578" w:rsidRDefault="00064362" w:rsidP="00D07578">
      <w:pPr>
        <w:pStyle w:val="FootnoteText"/>
      </w:pPr>
      <w:r>
        <w:rPr>
          <w:rStyle w:val="FootnoteReference"/>
        </w:rPr>
        <w:footnoteRef/>
      </w:r>
      <w:r>
        <w:t xml:space="preserve"> T</w:t>
      </w:r>
      <w:r w:rsidRPr="00B16355">
        <w:t>echnically, the Agreement Between the Government of Hong Kong and the Government of Australia for the Protection of</w:t>
      </w:r>
      <w:r>
        <w:t xml:space="preserve"> Investments, 15 September 1993; </w:t>
      </w:r>
      <w:r w:rsidRPr="00B16355">
        <w:t xml:space="preserve">Stephen Easton, “Sovereign Risk: First ISDS Dispute Won, But it Won’t be the Last,” </w:t>
      </w:r>
      <w:r w:rsidRPr="00B16355">
        <w:rPr>
          <w:i/>
        </w:rPr>
        <w:t>The Mandarin</w:t>
      </w:r>
      <w:r w:rsidRPr="00B16355">
        <w:t>, December 23, 2015.</w:t>
      </w:r>
    </w:p>
  </w:footnote>
  <w:footnote w:id="110">
    <w:p w14:paraId="062AB4EA" w14:textId="77777777" w:rsidR="00064362" w:rsidRPr="00B16355" w:rsidRDefault="00064362" w:rsidP="00BC30D5">
      <w:pPr>
        <w:pStyle w:val="FootnoteText"/>
      </w:pPr>
      <w:r w:rsidRPr="00B16355">
        <w:rPr>
          <w:rStyle w:val="FootnoteReference"/>
        </w:rPr>
        <w:footnoteRef/>
      </w:r>
      <w:r w:rsidRPr="00B16355">
        <w:t xml:space="preserve"> See 2012 U.S. Model Bilateral Investment Treaty, Article 24: Submission of a Claim to Arbitration; See also Miller and Hicks, “Investor-State Dispute Settlement,” 23.</w:t>
      </w:r>
    </w:p>
  </w:footnote>
  <w:footnote w:id="111">
    <w:p w14:paraId="2F6B3154" w14:textId="77777777" w:rsidR="00064362" w:rsidRPr="00B16355" w:rsidRDefault="00064362" w:rsidP="00BC30D5">
      <w:pPr>
        <w:pStyle w:val="FootnoteText"/>
      </w:pPr>
      <w:r w:rsidRPr="00B16355">
        <w:rPr>
          <w:rStyle w:val="FootnoteReference"/>
        </w:rPr>
        <w:footnoteRef/>
      </w:r>
      <w:r w:rsidRPr="00B16355">
        <w:t xml:space="preserve"> Ibid. See also, Jeffrey Zients, Director of the National Economic Council, “Investor-State Dispute Settlement Questions and Answers,” White House Blog, February 2015. </w:t>
      </w:r>
    </w:p>
  </w:footnote>
  <w:footnote w:id="112">
    <w:p w14:paraId="3E501F75" w14:textId="77777777" w:rsidR="00064362" w:rsidRPr="00B16355" w:rsidRDefault="00064362" w:rsidP="00BC30D5">
      <w:pPr>
        <w:pStyle w:val="FootnoteText"/>
      </w:pPr>
      <w:r w:rsidRPr="00B16355">
        <w:rPr>
          <w:rStyle w:val="FootnoteReference"/>
        </w:rPr>
        <w:footnoteRef/>
      </w:r>
      <w:r w:rsidRPr="00B16355">
        <w:t xml:space="preserve"> See also Vandevelde, “Model Bilateral Investment Treaties,” 313-314.</w:t>
      </w:r>
    </w:p>
  </w:footnote>
  <w:footnote w:id="113">
    <w:p w14:paraId="14BF2605" w14:textId="77777777" w:rsidR="00064362" w:rsidRPr="00B16355" w:rsidRDefault="00064362" w:rsidP="008E7DC3">
      <w:pPr>
        <w:pStyle w:val="FootnoteText"/>
      </w:pPr>
      <w:r w:rsidRPr="00B16355">
        <w:rPr>
          <w:rStyle w:val="FootnoteReference"/>
        </w:rPr>
        <w:footnoteRef/>
      </w:r>
      <w:r w:rsidRPr="00B16355">
        <w:t xml:space="preserve"> Trans Pacific Partnership, Chapter 9, Investment (</w:t>
      </w:r>
      <w:hyperlink r:id="rId15" w:anchor="text" w:history="1">
        <w:r w:rsidRPr="00B16355">
          <w:rPr>
            <w:rStyle w:val="Hyperlink"/>
          </w:rPr>
          <w:t>https://ustr.gov/tpp/#text</w:t>
        </w:r>
      </w:hyperlink>
      <w:r w:rsidRPr="00B16355">
        <w:t>, accessed March 27, 2016).</w:t>
      </w:r>
    </w:p>
  </w:footnote>
  <w:footnote w:id="114">
    <w:p w14:paraId="04225D8B" w14:textId="77777777" w:rsidR="00064362" w:rsidRPr="00B16355" w:rsidRDefault="00064362" w:rsidP="008E7DC3">
      <w:pPr>
        <w:pStyle w:val="FootnoteText"/>
      </w:pPr>
      <w:r w:rsidRPr="00B16355">
        <w:rPr>
          <w:rStyle w:val="FootnoteReference"/>
        </w:rPr>
        <w:footnoteRef/>
      </w:r>
      <w:r w:rsidRPr="00B16355">
        <w:t xml:space="preserve"> Elizabeth Warren, “The TransPacific Partnership Clause Everyone Should Oppose,” </w:t>
      </w:r>
      <w:r w:rsidRPr="00B16355">
        <w:rPr>
          <w:i/>
        </w:rPr>
        <w:t>The Washington Post</w:t>
      </w:r>
      <w:r w:rsidRPr="00B16355">
        <w:t xml:space="preserve">, February 25, 2015; Simon Lester, “Responding to the White House Response on ISDS,” </w:t>
      </w:r>
      <w:r w:rsidRPr="00B16355">
        <w:rPr>
          <w:i/>
        </w:rPr>
        <w:t>Cato at Liberty</w:t>
      </w:r>
      <w:r w:rsidRPr="00B16355">
        <w:t>, February 27, 2015.</w:t>
      </w:r>
    </w:p>
  </w:footnote>
  <w:footnote w:id="115">
    <w:p w14:paraId="356B5B2A" w14:textId="77777777" w:rsidR="00064362" w:rsidRPr="00B16355" w:rsidRDefault="00064362" w:rsidP="008E7DC3">
      <w:pPr>
        <w:pStyle w:val="FootnoteText"/>
      </w:pPr>
      <w:r w:rsidRPr="00B16355">
        <w:rPr>
          <w:rStyle w:val="FootnoteReference"/>
        </w:rPr>
        <w:footnoteRef/>
      </w:r>
      <w:r w:rsidRPr="00B16355">
        <w:t xml:space="preserve"> Jeffrey Zients, Director of the National Economic Council, “Investor-State Dispute Settlement Questions and Answers,” White House Blog, February 2015; Chris Evans, Office of the United States Trade Representative, Investor State Dispute Settlement, Fact Sheet, March 2015.</w:t>
      </w:r>
    </w:p>
  </w:footnote>
  <w:footnote w:id="116">
    <w:p w14:paraId="7295208A" w14:textId="77777777" w:rsidR="00064362" w:rsidRPr="00B16355" w:rsidRDefault="00064362" w:rsidP="008E7DC3">
      <w:pPr>
        <w:pStyle w:val="FootnoteText"/>
      </w:pPr>
      <w:r w:rsidRPr="00B16355">
        <w:rPr>
          <w:rStyle w:val="FootnoteReference"/>
        </w:rPr>
        <w:footnoteRef/>
      </w:r>
      <w:r w:rsidRPr="00B16355">
        <w:t xml:space="preserve"> Zeints, “Investor-State,” February 2015. </w:t>
      </w:r>
    </w:p>
  </w:footnote>
  <w:footnote w:id="117">
    <w:p w14:paraId="5E0E3682" w14:textId="381E9A51" w:rsidR="00064362" w:rsidRPr="00B16355" w:rsidRDefault="00064362" w:rsidP="008E7DC3">
      <w:pPr>
        <w:pStyle w:val="FootnoteText"/>
      </w:pPr>
      <w:r w:rsidRPr="00B16355">
        <w:rPr>
          <w:rStyle w:val="FootnoteReference"/>
        </w:rPr>
        <w:footnoteRef/>
      </w:r>
      <w:r w:rsidRPr="00B16355">
        <w:t xml:space="preserve"> CBCNews Poli</w:t>
      </w:r>
      <w:r>
        <w:t>t</w:t>
      </w:r>
      <w:r w:rsidRPr="00B16355">
        <w:t xml:space="preserve">ics, “EU Quietly Asks Canada to Rework Trade Deal’s Thorny Investment Clause,” January 21, 2016. </w:t>
      </w:r>
      <w:hyperlink r:id="rId16" w:history="1">
        <w:r w:rsidRPr="00B16355">
          <w:rPr>
            <w:rStyle w:val="Hyperlink"/>
          </w:rPr>
          <w:t>http://www.cbc.ca/news/politics/canada-europe-trade-isds-ceta-1.3412943</w:t>
        </w:r>
      </w:hyperlink>
      <w:r w:rsidRPr="00B16355">
        <w:t>. Accessed March 29, 2016. Formally, the Comprehensive Economic and Trade Agreement (CETA) between Canada of the One Part, and the European Union, text released February 29, 2016.</w:t>
      </w:r>
    </w:p>
  </w:footnote>
  <w:footnote w:id="118">
    <w:p w14:paraId="624DF41D" w14:textId="77777777" w:rsidR="00064362" w:rsidRPr="00B16355" w:rsidRDefault="00064362" w:rsidP="008E7DC3">
      <w:pPr>
        <w:pStyle w:val="FootnoteText"/>
      </w:pPr>
      <w:r w:rsidRPr="00B16355">
        <w:rPr>
          <w:rStyle w:val="FootnoteReference"/>
        </w:rPr>
        <w:footnoteRef/>
      </w:r>
      <w:r w:rsidRPr="00B16355">
        <w:t xml:space="preserve"> CETA Articles 8.23, 8.27.</w:t>
      </w:r>
    </w:p>
  </w:footnote>
  <w:footnote w:id="119">
    <w:p w14:paraId="639AE309" w14:textId="77777777" w:rsidR="00064362" w:rsidRPr="00B16355" w:rsidRDefault="00064362" w:rsidP="008E7DC3">
      <w:pPr>
        <w:pStyle w:val="FootnoteText"/>
      </w:pPr>
      <w:r w:rsidRPr="00B16355">
        <w:rPr>
          <w:rStyle w:val="FootnoteReference"/>
        </w:rPr>
        <w:footnoteRef/>
      </w:r>
      <w:r w:rsidRPr="00B16355">
        <w:t xml:space="preserve"> CETA Articles 8.28, 8.29.</w:t>
      </w:r>
    </w:p>
  </w:footnote>
  <w:footnote w:id="120">
    <w:p w14:paraId="4804BCB1" w14:textId="77777777" w:rsidR="00064362" w:rsidRDefault="00064362" w:rsidP="008E7DC3">
      <w:pPr>
        <w:pStyle w:val="FootnoteText"/>
      </w:pPr>
      <w:r w:rsidRPr="00B16355">
        <w:rPr>
          <w:rStyle w:val="FootnoteReference"/>
        </w:rPr>
        <w:footnoteRef/>
      </w:r>
      <w:r w:rsidRPr="00B16355">
        <w:t xml:space="preserve"> European Union’s proposal for Investment Protection and Resolution of Investment Disputes, Transatlantic Trade and Investment Partnership, 12 November 2015. </w:t>
      </w:r>
      <w:hyperlink r:id="rId17" w:history="1">
        <w:r w:rsidRPr="00B16355">
          <w:rPr>
            <w:rStyle w:val="Hyperlink"/>
          </w:rPr>
          <w:t>http://trade.ec.europa.eu/doclib/docs/2015/november/tradoc_153955.pdf</w:t>
        </w:r>
      </w:hyperlink>
      <w:r w:rsidRPr="00B16355">
        <w:t>. Accessed March 29,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16"/>
    <w:rsid w:val="00000E4F"/>
    <w:rsid w:val="00006426"/>
    <w:rsid w:val="0002576B"/>
    <w:rsid w:val="000258D4"/>
    <w:rsid w:val="00032B2D"/>
    <w:rsid w:val="000351AA"/>
    <w:rsid w:val="000351ED"/>
    <w:rsid w:val="00062EE8"/>
    <w:rsid w:val="00064362"/>
    <w:rsid w:val="0006687D"/>
    <w:rsid w:val="0006710E"/>
    <w:rsid w:val="00083C8D"/>
    <w:rsid w:val="00094BBA"/>
    <w:rsid w:val="000A1CD6"/>
    <w:rsid w:val="000A2572"/>
    <w:rsid w:val="000A78B2"/>
    <w:rsid w:val="000C6063"/>
    <w:rsid w:val="000E1161"/>
    <w:rsid w:val="000F7DC3"/>
    <w:rsid w:val="001031E3"/>
    <w:rsid w:val="0010424C"/>
    <w:rsid w:val="00117172"/>
    <w:rsid w:val="00126508"/>
    <w:rsid w:val="00132B69"/>
    <w:rsid w:val="00135F53"/>
    <w:rsid w:val="0016085B"/>
    <w:rsid w:val="00176319"/>
    <w:rsid w:val="001A508F"/>
    <w:rsid w:val="001B012C"/>
    <w:rsid w:val="001B457C"/>
    <w:rsid w:val="001B5AEE"/>
    <w:rsid w:val="001C6191"/>
    <w:rsid w:val="001F6FA6"/>
    <w:rsid w:val="002008F9"/>
    <w:rsid w:val="00211337"/>
    <w:rsid w:val="00215F77"/>
    <w:rsid w:val="0021683E"/>
    <w:rsid w:val="00223BDC"/>
    <w:rsid w:val="002349DB"/>
    <w:rsid w:val="00261194"/>
    <w:rsid w:val="00270BEF"/>
    <w:rsid w:val="00280745"/>
    <w:rsid w:val="00290CAF"/>
    <w:rsid w:val="002912DD"/>
    <w:rsid w:val="002A0DBB"/>
    <w:rsid w:val="002A14F8"/>
    <w:rsid w:val="002B1750"/>
    <w:rsid w:val="002B3AD8"/>
    <w:rsid w:val="002C0115"/>
    <w:rsid w:val="002D56E5"/>
    <w:rsid w:val="002F6D7B"/>
    <w:rsid w:val="003034D1"/>
    <w:rsid w:val="0031207B"/>
    <w:rsid w:val="003226E1"/>
    <w:rsid w:val="0034692F"/>
    <w:rsid w:val="0038101D"/>
    <w:rsid w:val="003867FE"/>
    <w:rsid w:val="003B7978"/>
    <w:rsid w:val="003C2333"/>
    <w:rsid w:val="003D093F"/>
    <w:rsid w:val="003D0F2F"/>
    <w:rsid w:val="003D354C"/>
    <w:rsid w:val="00415D4C"/>
    <w:rsid w:val="00435BBD"/>
    <w:rsid w:val="004377AE"/>
    <w:rsid w:val="00444CB3"/>
    <w:rsid w:val="00465F57"/>
    <w:rsid w:val="00476CC3"/>
    <w:rsid w:val="00490B63"/>
    <w:rsid w:val="004A2DBA"/>
    <w:rsid w:val="004B00D4"/>
    <w:rsid w:val="004B2B0E"/>
    <w:rsid w:val="004B3382"/>
    <w:rsid w:val="004D37CE"/>
    <w:rsid w:val="004E558B"/>
    <w:rsid w:val="004E5949"/>
    <w:rsid w:val="004F5F4E"/>
    <w:rsid w:val="00505F22"/>
    <w:rsid w:val="005122C2"/>
    <w:rsid w:val="005125A3"/>
    <w:rsid w:val="0051666F"/>
    <w:rsid w:val="00523F35"/>
    <w:rsid w:val="00581190"/>
    <w:rsid w:val="005A1979"/>
    <w:rsid w:val="005B20C4"/>
    <w:rsid w:val="005B54BF"/>
    <w:rsid w:val="005C45D4"/>
    <w:rsid w:val="005E2483"/>
    <w:rsid w:val="005E7B03"/>
    <w:rsid w:val="00601A84"/>
    <w:rsid w:val="006032B6"/>
    <w:rsid w:val="00620381"/>
    <w:rsid w:val="0063296A"/>
    <w:rsid w:val="00644620"/>
    <w:rsid w:val="006509CC"/>
    <w:rsid w:val="006535A5"/>
    <w:rsid w:val="00655F8E"/>
    <w:rsid w:val="00661492"/>
    <w:rsid w:val="00670C67"/>
    <w:rsid w:val="00673F9F"/>
    <w:rsid w:val="00677739"/>
    <w:rsid w:val="006942E2"/>
    <w:rsid w:val="006A1846"/>
    <w:rsid w:val="006A1F0D"/>
    <w:rsid w:val="006A21E1"/>
    <w:rsid w:val="006B233D"/>
    <w:rsid w:val="006B292F"/>
    <w:rsid w:val="006B6433"/>
    <w:rsid w:val="006C2E82"/>
    <w:rsid w:val="006E1361"/>
    <w:rsid w:val="006E5B47"/>
    <w:rsid w:val="00703DBF"/>
    <w:rsid w:val="0070403E"/>
    <w:rsid w:val="0073302A"/>
    <w:rsid w:val="00733772"/>
    <w:rsid w:val="0075607F"/>
    <w:rsid w:val="00787265"/>
    <w:rsid w:val="007A209E"/>
    <w:rsid w:val="007B2D09"/>
    <w:rsid w:val="007B3C6C"/>
    <w:rsid w:val="007D2128"/>
    <w:rsid w:val="00810DB2"/>
    <w:rsid w:val="00814C7B"/>
    <w:rsid w:val="00830D9B"/>
    <w:rsid w:val="00833D49"/>
    <w:rsid w:val="008361D7"/>
    <w:rsid w:val="00841E65"/>
    <w:rsid w:val="00842E2E"/>
    <w:rsid w:val="00852665"/>
    <w:rsid w:val="00883553"/>
    <w:rsid w:val="008A55C9"/>
    <w:rsid w:val="008A5968"/>
    <w:rsid w:val="008B7FA6"/>
    <w:rsid w:val="008C3DB4"/>
    <w:rsid w:val="008E1AA4"/>
    <w:rsid w:val="008E35AC"/>
    <w:rsid w:val="008E3908"/>
    <w:rsid w:val="008E7DC3"/>
    <w:rsid w:val="008F79AC"/>
    <w:rsid w:val="00903F03"/>
    <w:rsid w:val="0090670C"/>
    <w:rsid w:val="009335F8"/>
    <w:rsid w:val="00940BD9"/>
    <w:rsid w:val="0094631E"/>
    <w:rsid w:val="00953A89"/>
    <w:rsid w:val="00954589"/>
    <w:rsid w:val="009617CD"/>
    <w:rsid w:val="0097439E"/>
    <w:rsid w:val="00976E77"/>
    <w:rsid w:val="009A49C8"/>
    <w:rsid w:val="009C1B0C"/>
    <w:rsid w:val="009C76BE"/>
    <w:rsid w:val="009D79BF"/>
    <w:rsid w:val="009E2053"/>
    <w:rsid w:val="009E63B5"/>
    <w:rsid w:val="009F290A"/>
    <w:rsid w:val="00A05C26"/>
    <w:rsid w:val="00A25A11"/>
    <w:rsid w:val="00A26F16"/>
    <w:rsid w:val="00A32C7C"/>
    <w:rsid w:val="00A36241"/>
    <w:rsid w:val="00A37F1A"/>
    <w:rsid w:val="00A525BB"/>
    <w:rsid w:val="00A63E83"/>
    <w:rsid w:val="00A67B5D"/>
    <w:rsid w:val="00A91809"/>
    <w:rsid w:val="00AC0823"/>
    <w:rsid w:val="00AC084A"/>
    <w:rsid w:val="00AC43C4"/>
    <w:rsid w:val="00AC7195"/>
    <w:rsid w:val="00AE7F0D"/>
    <w:rsid w:val="00B124D8"/>
    <w:rsid w:val="00B1328F"/>
    <w:rsid w:val="00B213D7"/>
    <w:rsid w:val="00B2535C"/>
    <w:rsid w:val="00B32D5C"/>
    <w:rsid w:val="00B37A0E"/>
    <w:rsid w:val="00B60DB8"/>
    <w:rsid w:val="00B634D7"/>
    <w:rsid w:val="00B6742D"/>
    <w:rsid w:val="00B836A3"/>
    <w:rsid w:val="00B94AC0"/>
    <w:rsid w:val="00BB1C29"/>
    <w:rsid w:val="00BC2582"/>
    <w:rsid w:val="00BC30D5"/>
    <w:rsid w:val="00BD36E9"/>
    <w:rsid w:val="00BE53F6"/>
    <w:rsid w:val="00C14AFB"/>
    <w:rsid w:val="00C16D55"/>
    <w:rsid w:val="00C17B8E"/>
    <w:rsid w:val="00C44C10"/>
    <w:rsid w:val="00C466B7"/>
    <w:rsid w:val="00C570D9"/>
    <w:rsid w:val="00C62CE1"/>
    <w:rsid w:val="00C70902"/>
    <w:rsid w:val="00C77BE3"/>
    <w:rsid w:val="00C810F6"/>
    <w:rsid w:val="00C81494"/>
    <w:rsid w:val="00C82077"/>
    <w:rsid w:val="00C83571"/>
    <w:rsid w:val="00C92958"/>
    <w:rsid w:val="00C937EC"/>
    <w:rsid w:val="00C9584D"/>
    <w:rsid w:val="00CC00C9"/>
    <w:rsid w:val="00CC6054"/>
    <w:rsid w:val="00CE5D75"/>
    <w:rsid w:val="00D05186"/>
    <w:rsid w:val="00D07578"/>
    <w:rsid w:val="00D15A58"/>
    <w:rsid w:val="00D16805"/>
    <w:rsid w:val="00D37DC3"/>
    <w:rsid w:val="00D4340A"/>
    <w:rsid w:val="00D57556"/>
    <w:rsid w:val="00D648A6"/>
    <w:rsid w:val="00D841AA"/>
    <w:rsid w:val="00D87683"/>
    <w:rsid w:val="00DB1B86"/>
    <w:rsid w:val="00DB6CDE"/>
    <w:rsid w:val="00DF13A6"/>
    <w:rsid w:val="00E03AFF"/>
    <w:rsid w:val="00E062F9"/>
    <w:rsid w:val="00E15CDB"/>
    <w:rsid w:val="00E16199"/>
    <w:rsid w:val="00E45309"/>
    <w:rsid w:val="00E73723"/>
    <w:rsid w:val="00E7477E"/>
    <w:rsid w:val="00E8295B"/>
    <w:rsid w:val="00E91BCD"/>
    <w:rsid w:val="00EA3EE0"/>
    <w:rsid w:val="00EA3F5B"/>
    <w:rsid w:val="00EA5E91"/>
    <w:rsid w:val="00EB0F69"/>
    <w:rsid w:val="00EC4846"/>
    <w:rsid w:val="00ED3696"/>
    <w:rsid w:val="00EF5122"/>
    <w:rsid w:val="00F110D9"/>
    <w:rsid w:val="00F16980"/>
    <w:rsid w:val="00F3592F"/>
    <w:rsid w:val="00F45310"/>
    <w:rsid w:val="00F4690B"/>
    <w:rsid w:val="00F6618D"/>
    <w:rsid w:val="00F67C81"/>
    <w:rsid w:val="00F70ADB"/>
    <w:rsid w:val="00F70C3A"/>
    <w:rsid w:val="00F7570A"/>
    <w:rsid w:val="00F75E21"/>
    <w:rsid w:val="00F8337C"/>
    <w:rsid w:val="00F95E57"/>
    <w:rsid w:val="00F96289"/>
    <w:rsid w:val="00FA44E3"/>
    <w:rsid w:val="00FB0777"/>
    <w:rsid w:val="00FC1352"/>
    <w:rsid w:val="00FC3A2A"/>
    <w:rsid w:val="00FC62CB"/>
    <w:rsid w:val="00FE4B62"/>
    <w:rsid w:val="00FE7DFC"/>
    <w:rsid w:val="00F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1E41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7683"/>
    <w:rPr>
      <w:rFonts w:ascii="Times New Roman" w:eastAsia="Times New Roman" w:hAnsi="Times New Roman" w:cs="Times New Roman"/>
    </w:rPr>
  </w:style>
  <w:style w:type="paragraph" w:styleId="Heading1">
    <w:name w:val="heading 1"/>
    <w:basedOn w:val="Normal"/>
    <w:next w:val="Normal"/>
    <w:link w:val="Heading1Char"/>
    <w:qFormat/>
    <w:rsid w:val="00D07578"/>
    <w:pPr>
      <w:keepNext/>
      <w:tabs>
        <w:tab w:val="left" w:pos="-720"/>
      </w:tabs>
      <w:suppressAutoHyphens/>
      <w:spacing w:line="480" w:lineRule="auto"/>
      <w:outlineLvl w:val="0"/>
    </w:pPr>
    <w:rPr>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578"/>
    <w:rPr>
      <w:rFonts w:ascii="Times New Roman" w:eastAsia="Times New Roman" w:hAnsi="Times New Roman" w:cs="Times New Roman"/>
      <w:b/>
      <w:bCs/>
      <w:i/>
      <w:iCs/>
      <w:spacing w:val="-3"/>
    </w:rPr>
  </w:style>
  <w:style w:type="character" w:styleId="FootnoteReference">
    <w:name w:val="footnote reference"/>
    <w:rsid w:val="00D87683"/>
    <w:rPr>
      <w:vertAlign w:val="superscript"/>
    </w:rPr>
  </w:style>
  <w:style w:type="paragraph" w:styleId="FootnoteText">
    <w:name w:val="footnote text"/>
    <w:basedOn w:val="Normal"/>
    <w:link w:val="FootnoteTextChar"/>
    <w:uiPriority w:val="99"/>
    <w:rsid w:val="00D87683"/>
  </w:style>
  <w:style w:type="character" w:customStyle="1" w:styleId="FootnoteTextChar">
    <w:name w:val="Footnote Text Char"/>
    <w:basedOn w:val="DefaultParagraphFont"/>
    <w:link w:val="FootnoteText"/>
    <w:uiPriority w:val="99"/>
    <w:rsid w:val="00D87683"/>
    <w:rPr>
      <w:rFonts w:ascii="Times New Roman" w:eastAsia="Times New Roman" w:hAnsi="Times New Roman" w:cs="Times New Roman"/>
    </w:rPr>
  </w:style>
  <w:style w:type="character" w:styleId="Hyperlink">
    <w:name w:val="Hyperlink"/>
    <w:uiPriority w:val="99"/>
    <w:rsid w:val="00D87683"/>
    <w:rPr>
      <w:color w:val="0000FF"/>
      <w:u w:val="single"/>
    </w:rPr>
  </w:style>
  <w:style w:type="character" w:styleId="FollowedHyperlink">
    <w:name w:val="FollowedHyperlink"/>
    <w:basedOn w:val="DefaultParagraphFont"/>
    <w:uiPriority w:val="99"/>
    <w:semiHidden/>
    <w:unhideWhenUsed/>
    <w:rsid w:val="00F16980"/>
    <w:rPr>
      <w:color w:val="954F72" w:themeColor="followedHyperlink"/>
      <w:u w:val="single"/>
    </w:rPr>
  </w:style>
  <w:style w:type="character" w:customStyle="1" w:styleId="ng-binding">
    <w:name w:val="ng-binding"/>
    <w:basedOn w:val="DefaultParagraphFont"/>
    <w:rsid w:val="00F3592F"/>
  </w:style>
  <w:style w:type="paragraph" w:styleId="Footer">
    <w:name w:val="footer"/>
    <w:basedOn w:val="Normal"/>
    <w:link w:val="FooterChar"/>
    <w:unhideWhenUsed/>
    <w:rsid w:val="00F45310"/>
    <w:pPr>
      <w:tabs>
        <w:tab w:val="center" w:pos="4680"/>
        <w:tab w:val="right" w:pos="9360"/>
      </w:tabs>
    </w:pPr>
  </w:style>
  <w:style w:type="character" w:customStyle="1" w:styleId="FooterChar">
    <w:name w:val="Footer Char"/>
    <w:basedOn w:val="DefaultParagraphFont"/>
    <w:link w:val="Footer"/>
    <w:rsid w:val="00F45310"/>
    <w:rPr>
      <w:rFonts w:ascii="Times New Roman" w:eastAsia="Times New Roman" w:hAnsi="Times New Roman" w:cs="Times New Roman"/>
    </w:rPr>
  </w:style>
  <w:style w:type="character" w:styleId="PageNumber">
    <w:name w:val="page number"/>
    <w:basedOn w:val="DefaultParagraphFont"/>
    <w:unhideWhenUsed/>
    <w:rsid w:val="00F45310"/>
  </w:style>
  <w:style w:type="character" w:customStyle="1" w:styleId="BalloonTextChar">
    <w:name w:val="Balloon Text Char"/>
    <w:basedOn w:val="DefaultParagraphFont"/>
    <w:link w:val="BalloonText"/>
    <w:semiHidden/>
    <w:rsid w:val="007B3C6C"/>
    <w:rPr>
      <w:rFonts w:ascii="Lucida Grande" w:eastAsia="Times New Roman" w:hAnsi="Lucida Grande" w:cs="Times New Roman"/>
      <w:sz w:val="18"/>
      <w:szCs w:val="18"/>
    </w:rPr>
  </w:style>
  <w:style w:type="paragraph" w:styleId="BalloonText">
    <w:name w:val="Balloon Text"/>
    <w:basedOn w:val="Normal"/>
    <w:link w:val="BalloonTextChar"/>
    <w:semiHidden/>
    <w:rsid w:val="007B3C6C"/>
    <w:rPr>
      <w:rFonts w:ascii="Lucida Grande" w:hAnsi="Lucida Grande"/>
      <w:sz w:val="18"/>
      <w:szCs w:val="18"/>
    </w:rPr>
  </w:style>
  <w:style w:type="character" w:customStyle="1" w:styleId="EndnoteTextChar">
    <w:name w:val="Endnote Text Char"/>
    <w:link w:val="EndnoteText"/>
    <w:semiHidden/>
    <w:rsid w:val="007B3C6C"/>
    <w:rPr>
      <w:rFonts w:ascii="Times New Roman" w:eastAsia="Times New Roman" w:hAnsi="Times New Roman" w:cs="Times New Roman"/>
    </w:rPr>
  </w:style>
  <w:style w:type="paragraph" w:styleId="EndnoteText">
    <w:name w:val="endnote text"/>
    <w:basedOn w:val="Normal"/>
    <w:link w:val="EndnoteTextChar"/>
    <w:semiHidden/>
    <w:rsid w:val="007B3C6C"/>
  </w:style>
  <w:style w:type="character" w:customStyle="1" w:styleId="EndnoteTextChar1">
    <w:name w:val="Endnote Text Char1"/>
    <w:basedOn w:val="DefaultParagraphFont"/>
    <w:uiPriority w:val="99"/>
    <w:semiHidden/>
    <w:rsid w:val="007B3C6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D79BF"/>
    <w:rPr>
      <w:sz w:val="16"/>
      <w:szCs w:val="16"/>
    </w:rPr>
  </w:style>
  <w:style w:type="paragraph" w:styleId="CommentText">
    <w:name w:val="annotation text"/>
    <w:basedOn w:val="Normal"/>
    <w:link w:val="CommentTextChar"/>
    <w:uiPriority w:val="99"/>
    <w:semiHidden/>
    <w:unhideWhenUsed/>
    <w:rsid w:val="009D79BF"/>
    <w:rPr>
      <w:sz w:val="20"/>
      <w:szCs w:val="20"/>
    </w:rPr>
  </w:style>
  <w:style w:type="character" w:customStyle="1" w:styleId="CommentTextChar">
    <w:name w:val="Comment Text Char"/>
    <w:basedOn w:val="DefaultParagraphFont"/>
    <w:link w:val="CommentText"/>
    <w:uiPriority w:val="99"/>
    <w:semiHidden/>
    <w:rsid w:val="009D79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79BF"/>
    <w:rPr>
      <w:b/>
      <w:bCs/>
    </w:rPr>
  </w:style>
  <w:style w:type="character" w:customStyle="1" w:styleId="CommentSubjectChar">
    <w:name w:val="Comment Subject Char"/>
    <w:basedOn w:val="CommentTextChar"/>
    <w:link w:val="CommentSubject"/>
    <w:uiPriority w:val="99"/>
    <w:semiHidden/>
    <w:rsid w:val="009D79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75">
      <w:bodyDiv w:val="1"/>
      <w:marLeft w:val="0"/>
      <w:marRight w:val="0"/>
      <w:marTop w:val="0"/>
      <w:marBottom w:val="0"/>
      <w:divBdr>
        <w:top w:val="none" w:sz="0" w:space="0" w:color="auto"/>
        <w:left w:val="none" w:sz="0" w:space="0" w:color="auto"/>
        <w:bottom w:val="none" w:sz="0" w:space="0" w:color="auto"/>
        <w:right w:val="none" w:sz="0" w:space="0" w:color="auto"/>
      </w:divBdr>
    </w:div>
    <w:div w:id="24524034">
      <w:bodyDiv w:val="1"/>
      <w:marLeft w:val="0"/>
      <w:marRight w:val="0"/>
      <w:marTop w:val="0"/>
      <w:marBottom w:val="0"/>
      <w:divBdr>
        <w:top w:val="none" w:sz="0" w:space="0" w:color="auto"/>
        <w:left w:val="none" w:sz="0" w:space="0" w:color="auto"/>
        <w:bottom w:val="none" w:sz="0" w:space="0" w:color="auto"/>
        <w:right w:val="none" w:sz="0" w:space="0" w:color="auto"/>
      </w:divBdr>
    </w:div>
    <w:div w:id="117456686">
      <w:bodyDiv w:val="1"/>
      <w:marLeft w:val="0"/>
      <w:marRight w:val="0"/>
      <w:marTop w:val="0"/>
      <w:marBottom w:val="0"/>
      <w:divBdr>
        <w:top w:val="none" w:sz="0" w:space="0" w:color="auto"/>
        <w:left w:val="none" w:sz="0" w:space="0" w:color="auto"/>
        <w:bottom w:val="none" w:sz="0" w:space="0" w:color="auto"/>
        <w:right w:val="none" w:sz="0" w:space="0" w:color="auto"/>
      </w:divBdr>
    </w:div>
    <w:div w:id="272254244">
      <w:bodyDiv w:val="1"/>
      <w:marLeft w:val="0"/>
      <w:marRight w:val="0"/>
      <w:marTop w:val="0"/>
      <w:marBottom w:val="0"/>
      <w:divBdr>
        <w:top w:val="none" w:sz="0" w:space="0" w:color="auto"/>
        <w:left w:val="none" w:sz="0" w:space="0" w:color="auto"/>
        <w:bottom w:val="none" w:sz="0" w:space="0" w:color="auto"/>
        <w:right w:val="none" w:sz="0" w:space="0" w:color="auto"/>
      </w:divBdr>
    </w:div>
    <w:div w:id="381487447">
      <w:bodyDiv w:val="1"/>
      <w:marLeft w:val="0"/>
      <w:marRight w:val="0"/>
      <w:marTop w:val="0"/>
      <w:marBottom w:val="0"/>
      <w:divBdr>
        <w:top w:val="none" w:sz="0" w:space="0" w:color="auto"/>
        <w:left w:val="none" w:sz="0" w:space="0" w:color="auto"/>
        <w:bottom w:val="none" w:sz="0" w:space="0" w:color="auto"/>
        <w:right w:val="none" w:sz="0" w:space="0" w:color="auto"/>
      </w:divBdr>
    </w:div>
    <w:div w:id="485049845">
      <w:bodyDiv w:val="1"/>
      <w:marLeft w:val="0"/>
      <w:marRight w:val="0"/>
      <w:marTop w:val="0"/>
      <w:marBottom w:val="0"/>
      <w:divBdr>
        <w:top w:val="none" w:sz="0" w:space="0" w:color="auto"/>
        <w:left w:val="none" w:sz="0" w:space="0" w:color="auto"/>
        <w:bottom w:val="none" w:sz="0" w:space="0" w:color="auto"/>
        <w:right w:val="none" w:sz="0" w:space="0" w:color="auto"/>
      </w:divBdr>
    </w:div>
    <w:div w:id="604077082">
      <w:bodyDiv w:val="1"/>
      <w:marLeft w:val="0"/>
      <w:marRight w:val="0"/>
      <w:marTop w:val="0"/>
      <w:marBottom w:val="0"/>
      <w:divBdr>
        <w:top w:val="none" w:sz="0" w:space="0" w:color="auto"/>
        <w:left w:val="none" w:sz="0" w:space="0" w:color="auto"/>
        <w:bottom w:val="none" w:sz="0" w:space="0" w:color="auto"/>
        <w:right w:val="none" w:sz="0" w:space="0" w:color="auto"/>
      </w:divBdr>
    </w:div>
    <w:div w:id="641663256">
      <w:bodyDiv w:val="1"/>
      <w:marLeft w:val="0"/>
      <w:marRight w:val="0"/>
      <w:marTop w:val="0"/>
      <w:marBottom w:val="0"/>
      <w:divBdr>
        <w:top w:val="none" w:sz="0" w:space="0" w:color="auto"/>
        <w:left w:val="none" w:sz="0" w:space="0" w:color="auto"/>
        <w:bottom w:val="none" w:sz="0" w:space="0" w:color="auto"/>
        <w:right w:val="none" w:sz="0" w:space="0" w:color="auto"/>
      </w:divBdr>
    </w:div>
    <w:div w:id="801994667">
      <w:bodyDiv w:val="1"/>
      <w:marLeft w:val="0"/>
      <w:marRight w:val="0"/>
      <w:marTop w:val="0"/>
      <w:marBottom w:val="0"/>
      <w:divBdr>
        <w:top w:val="none" w:sz="0" w:space="0" w:color="auto"/>
        <w:left w:val="none" w:sz="0" w:space="0" w:color="auto"/>
        <w:bottom w:val="none" w:sz="0" w:space="0" w:color="auto"/>
        <w:right w:val="none" w:sz="0" w:space="0" w:color="auto"/>
      </w:divBdr>
    </w:div>
    <w:div w:id="929848327">
      <w:bodyDiv w:val="1"/>
      <w:marLeft w:val="0"/>
      <w:marRight w:val="0"/>
      <w:marTop w:val="0"/>
      <w:marBottom w:val="0"/>
      <w:divBdr>
        <w:top w:val="none" w:sz="0" w:space="0" w:color="auto"/>
        <w:left w:val="none" w:sz="0" w:space="0" w:color="auto"/>
        <w:bottom w:val="none" w:sz="0" w:space="0" w:color="auto"/>
        <w:right w:val="none" w:sz="0" w:space="0" w:color="auto"/>
      </w:divBdr>
    </w:div>
    <w:div w:id="1024089376">
      <w:bodyDiv w:val="1"/>
      <w:marLeft w:val="0"/>
      <w:marRight w:val="0"/>
      <w:marTop w:val="0"/>
      <w:marBottom w:val="0"/>
      <w:divBdr>
        <w:top w:val="none" w:sz="0" w:space="0" w:color="auto"/>
        <w:left w:val="none" w:sz="0" w:space="0" w:color="auto"/>
        <w:bottom w:val="none" w:sz="0" w:space="0" w:color="auto"/>
        <w:right w:val="none" w:sz="0" w:space="0" w:color="auto"/>
      </w:divBdr>
    </w:div>
    <w:div w:id="1100955738">
      <w:bodyDiv w:val="1"/>
      <w:marLeft w:val="0"/>
      <w:marRight w:val="0"/>
      <w:marTop w:val="0"/>
      <w:marBottom w:val="0"/>
      <w:divBdr>
        <w:top w:val="none" w:sz="0" w:space="0" w:color="auto"/>
        <w:left w:val="none" w:sz="0" w:space="0" w:color="auto"/>
        <w:bottom w:val="none" w:sz="0" w:space="0" w:color="auto"/>
        <w:right w:val="none" w:sz="0" w:space="0" w:color="auto"/>
      </w:divBdr>
    </w:div>
    <w:div w:id="1106534578">
      <w:bodyDiv w:val="1"/>
      <w:marLeft w:val="0"/>
      <w:marRight w:val="0"/>
      <w:marTop w:val="0"/>
      <w:marBottom w:val="0"/>
      <w:divBdr>
        <w:top w:val="none" w:sz="0" w:space="0" w:color="auto"/>
        <w:left w:val="none" w:sz="0" w:space="0" w:color="auto"/>
        <w:bottom w:val="none" w:sz="0" w:space="0" w:color="auto"/>
        <w:right w:val="none" w:sz="0" w:space="0" w:color="auto"/>
      </w:divBdr>
    </w:div>
    <w:div w:id="1164055022">
      <w:bodyDiv w:val="1"/>
      <w:marLeft w:val="0"/>
      <w:marRight w:val="0"/>
      <w:marTop w:val="0"/>
      <w:marBottom w:val="0"/>
      <w:divBdr>
        <w:top w:val="none" w:sz="0" w:space="0" w:color="auto"/>
        <w:left w:val="none" w:sz="0" w:space="0" w:color="auto"/>
        <w:bottom w:val="none" w:sz="0" w:space="0" w:color="auto"/>
        <w:right w:val="none" w:sz="0" w:space="0" w:color="auto"/>
      </w:divBdr>
    </w:div>
    <w:div w:id="1166095087">
      <w:bodyDiv w:val="1"/>
      <w:marLeft w:val="0"/>
      <w:marRight w:val="0"/>
      <w:marTop w:val="0"/>
      <w:marBottom w:val="0"/>
      <w:divBdr>
        <w:top w:val="none" w:sz="0" w:space="0" w:color="auto"/>
        <w:left w:val="none" w:sz="0" w:space="0" w:color="auto"/>
        <w:bottom w:val="none" w:sz="0" w:space="0" w:color="auto"/>
        <w:right w:val="none" w:sz="0" w:space="0" w:color="auto"/>
      </w:divBdr>
    </w:div>
    <w:div w:id="1181357296">
      <w:bodyDiv w:val="1"/>
      <w:marLeft w:val="0"/>
      <w:marRight w:val="0"/>
      <w:marTop w:val="0"/>
      <w:marBottom w:val="0"/>
      <w:divBdr>
        <w:top w:val="none" w:sz="0" w:space="0" w:color="auto"/>
        <w:left w:val="none" w:sz="0" w:space="0" w:color="auto"/>
        <w:bottom w:val="none" w:sz="0" w:space="0" w:color="auto"/>
        <w:right w:val="none" w:sz="0" w:space="0" w:color="auto"/>
      </w:divBdr>
    </w:div>
    <w:div w:id="1221864449">
      <w:bodyDiv w:val="1"/>
      <w:marLeft w:val="0"/>
      <w:marRight w:val="0"/>
      <w:marTop w:val="0"/>
      <w:marBottom w:val="0"/>
      <w:divBdr>
        <w:top w:val="none" w:sz="0" w:space="0" w:color="auto"/>
        <w:left w:val="none" w:sz="0" w:space="0" w:color="auto"/>
        <w:bottom w:val="none" w:sz="0" w:space="0" w:color="auto"/>
        <w:right w:val="none" w:sz="0" w:space="0" w:color="auto"/>
      </w:divBdr>
    </w:div>
    <w:div w:id="1233156538">
      <w:bodyDiv w:val="1"/>
      <w:marLeft w:val="0"/>
      <w:marRight w:val="0"/>
      <w:marTop w:val="0"/>
      <w:marBottom w:val="0"/>
      <w:divBdr>
        <w:top w:val="none" w:sz="0" w:space="0" w:color="auto"/>
        <w:left w:val="none" w:sz="0" w:space="0" w:color="auto"/>
        <w:bottom w:val="none" w:sz="0" w:space="0" w:color="auto"/>
        <w:right w:val="none" w:sz="0" w:space="0" w:color="auto"/>
      </w:divBdr>
    </w:div>
    <w:div w:id="1381829219">
      <w:bodyDiv w:val="1"/>
      <w:marLeft w:val="0"/>
      <w:marRight w:val="0"/>
      <w:marTop w:val="0"/>
      <w:marBottom w:val="0"/>
      <w:divBdr>
        <w:top w:val="none" w:sz="0" w:space="0" w:color="auto"/>
        <w:left w:val="none" w:sz="0" w:space="0" w:color="auto"/>
        <w:bottom w:val="none" w:sz="0" w:space="0" w:color="auto"/>
        <w:right w:val="none" w:sz="0" w:space="0" w:color="auto"/>
      </w:divBdr>
    </w:div>
    <w:div w:id="1664237459">
      <w:bodyDiv w:val="1"/>
      <w:marLeft w:val="0"/>
      <w:marRight w:val="0"/>
      <w:marTop w:val="0"/>
      <w:marBottom w:val="0"/>
      <w:divBdr>
        <w:top w:val="none" w:sz="0" w:space="0" w:color="auto"/>
        <w:left w:val="none" w:sz="0" w:space="0" w:color="auto"/>
        <w:bottom w:val="none" w:sz="0" w:space="0" w:color="auto"/>
        <w:right w:val="none" w:sz="0" w:space="0" w:color="auto"/>
      </w:divBdr>
    </w:div>
    <w:div w:id="1672440617">
      <w:bodyDiv w:val="1"/>
      <w:marLeft w:val="0"/>
      <w:marRight w:val="0"/>
      <w:marTop w:val="0"/>
      <w:marBottom w:val="0"/>
      <w:divBdr>
        <w:top w:val="none" w:sz="0" w:space="0" w:color="auto"/>
        <w:left w:val="none" w:sz="0" w:space="0" w:color="auto"/>
        <w:bottom w:val="none" w:sz="0" w:space="0" w:color="auto"/>
        <w:right w:val="none" w:sz="0" w:space="0" w:color="auto"/>
      </w:divBdr>
    </w:div>
    <w:div w:id="1748501725">
      <w:bodyDiv w:val="1"/>
      <w:marLeft w:val="0"/>
      <w:marRight w:val="0"/>
      <w:marTop w:val="0"/>
      <w:marBottom w:val="0"/>
      <w:divBdr>
        <w:top w:val="none" w:sz="0" w:space="0" w:color="auto"/>
        <w:left w:val="none" w:sz="0" w:space="0" w:color="auto"/>
        <w:bottom w:val="none" w:sz="0" w:space="0" w:color="auto"/>
        <w:right w:val="none" w:sz="0" w:space="0" w:color="auto"/>
      </w:divBdr>
    </w:div>
    <w:div w:id="1768117181">
      <w:bodyDiv w:val="1"/>
      <w:marLeft w:val="0"/>
      <w:marRight w:val="0"/>
      <w:marTop w:val="0"/>
      <w:marBottom w:val="0"/>
      <w:divBdr>
        <w:top w:val="none" w:sz="0" w:space="0" w:color="auto"/>
        <w:left w:val="none" w:sz="0" w:space="0" w:color="auto"/>
        <w:bottom w:val="none" w:sz="0" w:space="0" w:color="auto"/>
        <w:right w:val="none" w:sz="0" w:space="0" w:color="auto"/>
      </w:divBdr>
    </w:div>
    <w:div w:id="1921021800">
      <w:bodyDiv w:val="1"/>
      <w:marLeft w:val="0"/>
      <w:marRight w:val="0"/>
      <w:marTop w:val="0"/>
      <w:marBottom w:val="0"/>
      <w:divBdr>
        <w:top w:val="none" w:sz="0" w:space="0" w:color="auto"/>
        <w:left w:val="none" w:sz="0" w:space="0" w:color="auto"/>
        <w:bottom w:val="none" w:sz="0" w:space="0" w:color="auto"/>
        <w:right w:val="none" w:sz="0" w:space="0" w:color="auto"/>
      </w:divBdr>
    </w:div>
    <w:div w:id="1996690109">
      <w:bodyDiv w:val="1"/>
      <w:marLeft w:val="0"/>
      <w:marRight w:val="0"/>
      <w:marTop w:val="0"/>
      <w:marBottom w:val="0"/>
      <w:divBdr>
        <w:top w:val="none" w:sz="0" w:space="0" w:color="auto"/>
        <w:left w:val="none" w:sz="0" w:space="0" w:color="auto"/>
        <w:bottom w:val="none" w:sz="0" w:space="0" w:color="auto"/>
        <w:right w:val="none" w:sz="0" w:space="0" w:color="auto"/>
      </w:divBdr>
    </w:div>
    <w:div w:id="2021159050">
      <w:bodyDiv w:val="1"/>
      <w:marLeft w:val="0"/>
      <w:marRight w:val="0"/>
      <w:marTop w:val="0"/>
      <w:marBottom w:val="0"/>
      <w:divBdr>
        <w:top w:val="none" w:sz="0" w:space="0" w:color="auto"/>
        <w:left w:val="none" w:sz="0" w:space="0" w:color="auto"/>
        <w:bottom w:val="none" w:sz="0" w:space="0" w:color="auto"/>
        <w:right w:val="none" w:sz="0" w:space="0" w:color="auto"/>
      </w:divBdr>
    </w:div>
    <w:div w:id="2051882228">
      <w:bodyDiv w:val="1"/>
      <w:marLeft w:val="0"/>
      <w:marRight w:val="0"/>
      <w:marTop w:val="0"/>
      <w:marBottom w:val="0"/>
      <w:divBdr>
        <w:top w:val="none" w:sz="0" w:space="0" w:color="auto"/>
        <w:left w:val="none" w:sz="0" w:space="0" w:color="auto"/>
        <w:bottom w:val="none" w:sz="0" w:space="0" w:color="auto"/>
        <w:right w:val="none" w:sz="0" w:space="0" w:color="auto"/>
      </w:divBdr>
    </w:div>
    <w:div w:id="2053310143">
      <w:bodyDiv w:val="1"/>
      <w:marLeft w:val="0"/>
      <w:marRight w:val="0"/>
      <w:marTop w:val="0"/>
      <w:marBottom w:val="0"/>
      <w:divBdr>
        <w:top w:val="none" w:sz="0" w:space="0" w:color="auto"/>
        <w:left w:val="none" w:sz="0" w:space="0" w:color="auto"/>
        <w:bottom w:val="none" w:sz="0" w:space="0" w:color="auto"/>
        <w:right w:val="none" w:sz="0" w:space="0" w:color="auto"/>
      </w:divBdr>
    </w:div>
    <w:div w:id="2072734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en/press/press-releases/2016/10/28-eu-canada-trade-agreement/" TargetMode="External"/><Relationship Id="rId13" Type="http://schemas.openxmlformats.org/officeDocument/2006/relationships/hyperlink" Target="http://www.zeit.de/wirtschaft/2014-07/ceta-ttip-deutschland" TargetMode="External"/><Relationship Id="rId3" Type="http://schemas.openxmlformats.org/officeDocument/2006/relationships/hyperlink" Target="https://blog.campact.de/2014/02/investoren-schiedsgerichte-lobbying-in-eigener-sache/" TargetMode="External"/><Relationship Id="rId7" Type="http://schemas.openxmlformats.org/officeDocument/2006/relationships/hyperlink" Target="http://trade.ec.europa.eu/doclib/press/index.cfm?id=1468" TargetMode="External"/><Relationship Id="rId12" Type="http://schemas.openxmlformats.org/officeDocument/2006/relationships/hyperlink" Target="http://www.sueddeutsche.de/wirtschaft/freihandelsabkommen-mit-kanada-bremst-ceta-1.2146094" TargetMode="External"/><Relationship Id="rId17" Type="http://schemas.openxmlformats.org/officeDocument/2006/relationships/hyperlink" Target="http://trade.ec.europa.eu/doclib/docs/2015/november/tradoc_153955.pdf" TargetMode="External"/><Relationship Id="rId2" Type="http://schemas.openxmlformats.org/officeDocument/2006/relationships/hyperlink" Target="http://www.internetworldstats.com/emarketing.htm" TargetMode="External"/><Relationship Id="rId16" Type="http://schemas.openxmlformats.org/officeDocument/2006/relationships/hyperlink" Target="http://www.cbc.ca/news/politics/canada-europe-trade-isds-ceta-1.3412943" TargetMode="External"/><Relationship Id="rId1" Type="http://schemas.openxmlformats.org/officeDocument/2006/relationships/hyperlink" Target="http://icsid.worldbank.org" TargetMode="External"/><Relationship Id="rId6" Type="http://schemas.openxmlformats.org/officeDocument/2006/relationships/hyperlink" Target="http://www.cbc.ca/news/politics/canada-europe-trade-isds-ceta-1.3412943" TargetMode="External"/><Relationship Id="rId11" Type="http://schemas.openxmlformats.org/officeDocument/2006/relationships/hyperlink" Target="http://www.hlarbitrationlaw.com/2014/04/germany-reverses-its-support-for-investor-state-dispute-settlement-in-the-transatlantic-trade-and-investment-partnership-ttip/" TargetMode="External"/><Relationship Id="rId5" Type="http://schemas.openxmlformats.org/officeDocument/2006/relationships/hyperlink" Target="https://obamawhitehouse.archives.gov/the-press-office/2013/02/12/remarks-president-state-union-address" TargetMode="External"/><Relationship Id="rId15" Type="http://schemas.openxmlformats.org/officeDocument/2006/relationships/hyperlink" Target="https://ustr.gov/tpp/" TargetMode="External"/><Relationship Id="rId10" Type="http://schemas.openxmlformats.org/officeDocument/2006/relationships/hyperlink" Target="http://www.ft.com/cms/s/0/cc5c4860-ab9d-11e3-90af-00144feab7de.html" TargetMode="External"/><Relationship Id="rId4" Type="http://schemas.openxmlformats.org/officeDocument/2006/relationships/hyperlink" Target="https://icsid.worldbank.org/en/Pages/cases/casedetail.aspx?CaseNo=UNCT/10/1" TargetMode="External"/><Relationship Id="rId9" Type="http://schemas.openxmlformats.org/officeDocument/2006/relationships/hyperlink" Target="http://trade.ec.europa.eu/doclib/press/index.cfm?id=1624" TargetMode="External"/><Relationship Id="rId14" Type="http://schemas.openxmlformats.org/officeDocument/2006/relationships/hyperlink" Target="http://www.ipolitics.ca/2014/07/27/germany-throws-down-gauntlet-in-ceta-investor-state-negot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62EE-0CCA-4591-ABFD-47EBC5D0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10169</Words>
  <Characters>57969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Stefanie Rosskopf</cp:lastModifiedBy>
  <cp:revision>2</cp:revision>
  <dcterms:created xsi:type="dcterms:W3CDTF">2017-05-01T04:51:00Z</dcterms:created>
  <dcterms:modified xsi:type="dcterms:W3CDTF">2017-05-01T04:51:00Z</dcterms:modified>
</cp:coreProperties>
</file>