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B8C2" w14:textId="7A04E9FC" w:rsidR="00DE7941" w:rsidRPr="00F25696" w:rsidRDefault="00F25696" w:rsidP="00F25696">
      <w:pPr>
        <w:spacing w:line="276" w:lineRule="auto"/>
        <w:jc w:val="center"/>
        <w:rPr>
          <w:sz w:val="52"/>
          <w:lang w:val="en-GB"/>
        </w:rPr>
      </w:pPr>
      <w:bookmarkStart w:id="0" w:name="_GoBack"/>
      <w:bookmarkEnd w:id="0"/>
      <w:r w:rsidRPr="00F25696">
        <w:rPr>
          <w:sz w:val="52"/>
          <w:lang w:val="en-GB"/>
        </w:rPr>
        <w:t>FROM NADA TO NAMUR: NATIONAL PARLIAMENTS’ INVOLVEMENT IN EU TRADE POLITICS AND THE CASE OF BELGIUM</w:t>
      </w:r>
    </w:p>
    <w:p w14:paraId="29B3B87B" w14:textId="77777777" w:rsidR="00DE7941" w:rsidRPr="00586598" w:rsidRDefault="00DE7941" w:rsidP="009074F5">
      <w:pPr>
        <w:spacing w:line="276" w:lineRule="auto"/>
        <w:jc w:val="both"/>
        <w:rPr>
          <w:i/>
          <w:lang w:val="en-GB"/>
        </w:rPr>
      </w:pPr>
    </w:p>
    <w:p w14:paraId="49E322BF" w14:textId="77777777" w:rsidR="00DE7941" w:rsidRPr="00586598" w:rsidRDefault="00DE7941" w:rsidP="009074F5">
      <w:pPr>
        <w:spacing w:line="276" w:lineRule="auto"/>
        <w:jc w:val="both"/>
        <w:rPr>
          <w:i/>
          <w:lang w:val="en-GB"/>
        </w:rPr>
      </w:pPr>
    </w:p>
    <w:p w14:paraId="29B8D939" w14:textId="77777777" w:rsidR="00DE7941" w:rsidRPr="008E355A" w:rsidRDefault="00DE7941" w:rsidP="009074F5">
      <w:pPr>
        <w:spacing w:line="276" w:lineRule="auto"/>
        <w:jc w:val="center"/>
        <w:rPr>
          <w:lang w:val="en-US"/>
        </w:rPr>
      </w:pPr>
      <w:r w:rsidRPr="008E355A">
        <w:rPr>
          <w:lang w:val="en-US"/>
        </w:rPr>
        <w:t xml:space="preserve">Yelter Bollen, Ferdi De Ville and Niels Gheyle </w:t>
      </w:r>
    </w:p>
    <w:p w14:paraId="33721F66" w14:textId="77777777" w:rsidR="00DE7941" w:rsidRDefault="00DE7941" w:rsidP="009074F5">
      <w:pPr>
        <w:spacing w:line="276" w:lineRule="auto"/>
        <w:jc w:val="center"/>
        <w:rPr>
          <w:lang w:val="en-GB"/>
        </w:rPr>
      </w:pPr>
      <w:r w:rsidRPr="00586598">
        <w:rPr>
          <w:lang w:val="en-GB"/>
        </w:rPr>
        <w:t>Centre for EU-Studies, Ghent University</w:t>
      </w:r>
    </w:p>
    <w:p w14:paraId="35CB36EA" w14:textId="77777777" w:rsidR="00AB0D5D" w:rsidRDefault="00AB0D5D" w:rsidP="009074F5">
      <w:pPr>
        <w:spacing w:line="276" w:lineRule="auto"/>
        <w:jc w:val="center"/>
        <w:rPr>
          <w:lang w:val="en-GB"/>
        </w:rPr>
      </w:pPr>
    </w:p>
    <w:p w14:paraId="50067B95" w14:textId="738C0B0E" w:rsidR="00AB0D5D" w:rsidRDefault="006C0736" w:rsidP="009074F5">
      <w:pPr>
        <w:spacing w:line="276" w:lineRule="auto"/>
        <w:jc w:val="center"/>
        <w:rPr>
          <w:lang w:val="en-GB"/>
        </w:rPr>
      </w:pPr>
      <w:r>
        <w:rPr>
          <w:lang w:val="en-GB"/>
        </w:rPr>
        <w:t xml:space="preserve">Paper prepared for the EUSA Conference 2017, Miami, </w:t>
      </w:r>
      <w:proofErr w:type="gramStart"/>
      <w:r>
        <w:rPr>
          <w:lang w:val="en-GB"/>
        </w:rPr>
        <w:t>4</w:t>
      </w:r>
      <w:proofErr w:type="gramEnd"/>
      <w:r>
        <w:rPr>
          <w:lang w:val="en-GB"/>
        </w:rPr>
        <w:t>-6 May</w:t>
      </w:r>
    </w:p>
    <w:p w14:paraId="6C799045" w14:textId="77777777" w:rsidR="00DB3A75" w:rsidRDefault="00DB3A75" w:rsidP="009074F5">
      <w:pPr>
        <w:spacing w:line="276" w:lineRule="auto"/>
        <w:jc w:val="center"/>
        <w:rPr>
          <w:lang w:val="en-GB"/>
        </w:rPr>
      </w:pPr>
    </w:p>
    <w:p w14:paraId="0EA0A074" w14:textId="675514B8" w:rsidR="00DB3A75" w:rsidRPr="00586598" w:rsidRDefault="003D1D56" w:rsidP="009074F5">
      <w:pPr>
        <w:spacing w:line="276" w:lineRule="auto"/>
        <w:jc w:val="center"/>
        <w:rPr>
          <w:lang w:val="en-GB"/>
        </w:rPr>
      </w:pPr>
      <w:r>
        <w:rPr>
          <w:lang w:val="en-GB"/>
        </w:rPr>
        <w:t xml:space="preserve"> Draft</w:t>
      </w:r>
      <w:r w:rsidR="00DB3A75">
        <w:rPr>
          <w:lang w:val="en-GB"/>
        </w:rPr>
        <w:t xml:space="preserve"> – Do not cite without permission of the authors</w:t>
      </w:r>
      <w:r w:rsidR="00217C63">
        <w:rPr>
          <w:lang w:val="en-GB"/>
        </w:rPr>
        <w:t>, comments welcome!</w:t>
      </w:r>
    </w:p>
    <w:p w14:paraId="23F70238" w14:textId="77777777" w:rsidR="00DE7941" w:rsidRPr="00586598" w:rsidRDefault="00DE7941" w:rsidP="009074F5">
      <w:pPr>
        <w:spacing w:line="276" w:lineRule="auto"/>
        <w:jc w:val="both"/>
        <w:rPr>
          <w:b/>
          <w:i/>
          <w:lang w:val="en-GB"/>
        </w:rPr>
      </w:pPr>
    </w:p>
    <w:p w14:paraId="561CD544" w14:textId="77777777" w:rsidR="00DE7941" w:rsidRPr="00586598" w:rsidRDefault="00DE7941" w:rsidP="009074F5">
      <w:pPr>
        <w:spacing w:line="276" w:lineRule="auto"/>
        <w:jc w:val="both"/>
        <w:rPr>
          <w:b/>
          <w:i/>
          <w:lang w:val="en-GB"/>
        </w:rPr>
      </w:pPr>
    </w:p>
    <w:p w14:paraId="2B2E7103" w14:textId="1B0E47CB" w:rsidR="00DE7941" w:rsidRPr="00EA5EF0" w:rsidRDefault="00DE7941" w:rsidP="00EA5EF0">
      <w:pPr>
        <w:spacing w:line="276" w:lineRule="auto"/>
        <w:rPr>
          <w:b/>
          <w:sz w:val="28"/>
          <w:lang w:val="en-GB"/>
        </w:rPr>
      </w:pPr>
      <w:r w:rsidRPr="00EA5EF0">
        <w:rPr>
          <w:b/>
          <w:sz w:val="28"/>
          <w:lang w:val="en-GB"/>
        </w:rPr>
        <w:t>Abstract</w:t>
      </w:r>
      <w:r w:rsidR="006C0736">
        <w:rPr>
          <w:b/>
          <w:sz w:val="28"/>
          <w:lang w:val="en-GB"/>
        </w:rPr>
        <w:t>:</w:t>
      </w:r>
    </w:p>
    <w:p w14:paraId="68D9D9B3" w14:textId="42BA4D3F" w:rsidR="00BF7ACB" w:rsidRPr="00A23D95" w:rsidRDefault="00BF7ACB" w:rsidP="009074F5">
      <w:pPr>
        <w:spacing w:line="276" w:lineRule="auto"/>
        <w:jc w:val="both"/>
        <w:rPr>
          <w:i/>
          <w:lang w:val="en-GB"/>
        </w:rPr>
      </w:pPr>
      <w:r w:rsidRPr="00A23D95">
        <w:rPr>
          <w:i/>
          <w:lang w:val="en-GB"/>
        </w:rPr>
        <w:t xml:space="preserve">In the past years we have </w:t>
      </w:r>
      <w:r w:rsidR="000664CE">
        <w:rPr>
          <w:i/>
          <w:lang w:val="en-GB"/>
        </w:rPr>
        <w:t>witnessed</w:t>
      </w:r>
      <w:r w:rsidRPr="00A23D95">
        <w:rPr>
          <w:i/>
          <w:lang w:val="en-GB"/>
        </w:rPr>
        <w:t xml:space="preserve"> a somewhat paradoxical evolution in EU trade politics. While the Lisbon Treaty was </w:t>
      </w:r>
      <w:r w:rsidR="000664CE">
        <w:rPr>
          <w:i/>
          <w:lang w:val="en-GB"/>
        </w:rPr>
        <w:t>intended</w:t>
      </w:r>
      <w:r w:rsidRPr="00A23D95">
        <w:rPr>
          <w:i/>
          <w:lang w:val="en-GB"/>
        </w:rPr>
        <w:t xml:space="preserve"> to facilitate the adoption of trade agreements by bolstering the exclusive supranational competence of the European Union, (</w:t>
      </w:r>
      <w:proofErr w:type="gramStart"/>
      <w:r w:rsidRPr="00A23D95">
        <w:rPr>
          <w:i/>
          <w:lang w:val="en-GB"/>
        </w:rPr>
        <w:t>sub)national</w:t>
      </w:r>
      <w:proofErr w:type="gramEnd"/>
      <w:r w:rsidRPr="00A23D95">
        <w:rPr>
          <w:i/>
          <w:lang w:val="en-GB"/>
        </w:rPr>
        <w:t xml:space="preserve"> Parliaments have now become more involved in trade policy than ever before.</w:t>
      </w:r>
      <w:r w:rsidR="000D7B77" w:rsidRPr="00A23D95">
        <w:rPr>
          <w:i/>
          <w:lang w:val="en-GB"/>
        </w:rPr>
        <w:t xml:space="preserve"> </w:t>
      </w:r>
      <w:r w:rsidR="006C0736" w:rsidRPr="00A23D95">
        <w:rPr>
          <w:i/>
          <w:lang w:val="en-GB"/>
        </w:rPr>
        <w:t>This has been exemplified by the Walloon Region’s</w:t>
      </w:r>
      <w:r w:rsidR="00EA5EF0">
        <w:rPr>
          <w:i/>
          <w:lang w:val="en-GB"/>
        </w:rPr>
        <w:t xml:space="preserve"> temporary</w:t>
      </w:r>
      <w:r w:rsidR="006C0736" w:rsidRPr="00A23D95">
        <w:rPr>
          <w:i/>
          <w:lang w:val="en-GB"/>
        </w:rPr>
        <w:t xml:space="preserve"> refusal to allow the Belgian Government to sign the EU-Canada trade agreement CETA.</w:t>
      </w:r>
      <w:r w:rsidRPr="00A23D95">
        <w:rPr>
          <w:i/>
          <w:lang w:val="en-GB"/>
        </w:rPr>
        <w:t xml:space="preserve"> We investigate this shift in involvement </w:t>
      </w:r>
      <w:r w:rsidR="006C0736" w:rsidRPr="00A23D95">
        <w:rPr>
          <w:i/>
          <w:lang w:val="en-GB"/>
        </w:rPr>
        <w:t xml:space="preserve">by analysing </w:t>
      </w:r>
      <w:r w:rsidR="00321CED">
        <w:rPr>
          <w:i/>
          <w:lang w:val="en-GB"/>
        </w:rPr>
        <w:t>p</w:t>
      </w:r>
      <w:r w:rsidR="00FD2FFF">
        <w:rPr>
          <w:i/>
          <w:lang w:val="en-GB"/>
        </w:rPr>
        <w:t>arliament</w:t>
      </w:r>
      <w:r w:rsidR="006C0736" w:rsidRPr="00A23D95">
        <w:rPr>
          <w:i/>
          <w:lang w:val="en-GB"/>
        </w:rPr>
        <w:t xml:space="preserve">ary activity on trade policy in the Belgian Federal, Flemish and Walloon </w:t>
      </w:r>
      <w:r w:rsidR="00FD2FFF">
        <w:rPr>
          <w:i/>
          <w:lang w:val="en-GB"/>
        </w:rPr>
        <w:t>Parliament</w:t>
      </w:r>
      <w:r w:rsidR="00564F43">
        <w:rPr>
          <w:i/>
          <w:lang w:val="en-GB"/>
        </w:rPr>
        <w:t>s</w:t>
      </w:r>
      <w:r w:rsidR="006C0736" w:rsidRPr="00A23D95">
        <w:rPr>
          <w:i/>
          <w:lang w:val="en-GB"/>
        </w:rPr>
        <w:t xml:space="preserve">. We find that these </w:t>
      </w:r>
      <w:r w:rsidR="00FD2FFF">
        <w:rPr>
          <w:i/>
          <w:lang w:val="en-GB"/>
        </w:rPr>
        <w:t>Parliament</w:t>
      </w:r>
      <w:r w:rsidR="006C0736" w:rsidRPr="00A23D95">
        <w:rPr>
          <w:i/>
          <w:lang w:val="en-GB"/>
        </w:rPr>
        <w:t>s paid little attention to EU trade policy i</w:t>
      </w:r>
      <w:r w:rsidRPr="00A23D95">
        <w:rPr>
          <w:i/>
          <w:lang w:val="en-GB"/>
        </w:rPr>
        <w:t>n the past fifteen</w:t>
      </w:r>
      <w:r w:rsidR="006C0736" w:rsidRPr="00A23D95">
        <w:rPr>
          <w:i/>
          <w:lang w:val="en-GB"/>
        </w:rPr>
        <w:t xml:space="preserve"> years</w:t>
      </w:r>
      <w:r w:rsidRPr="00A23D95">
        <w:rPr>
          <w:i/>
          <w:lang w:val="en-GB"/>
        </w:rPr>
        <w:t>. This has changed since</w:t>
      </w:r>
      <w:r w:rsidR="000664CE">
        <w:rPr>
          <w:i/>
          <w:lang w:val="en-GB"/>
        </w:rPr>
        <w:t xml:space="preserve"> 2013</w:t>
      </w:r>
      <w:r w:rsidR="00A23D95">
        <w:rPr>
          <w:i/>
          <w:lang w:val="en-GB"/>
        </w:rPr>
        <w:t xml:space="preserve"> in all three </w:t>
      </w:r>
      <w:r w:rsidR="00FD2FFF">
        <w:rPr>
          <w:i/>
          <w:lang w:val="en-GB"/>
        </w:rPr>
        <w:t>Parliament</w:t>
      </w:r>
      <w:r w:rsidR="00A23D95">
        <w:rPr>
          <w:i/>
          <w:lang w:val="en-GB"/>
        </w:rPr>
        <w:t>s</w:t>
      </w:r>
      <w:r w:rsidRPr="00A23D95">
        <w:rPr>
          <w:i/>
          <w:lang w:val="en-GB"/>
        </w:rPr>
        <w:t>.</w:t>
      </w:r>
      <w:r w:rsidR="006C0736" w:rsidRPr="00A23D95">
        <w:rPr>
          <w:i/>
          <w:lang w:val="en-GB"/>
        </w:rPr>
        <w:t xml:space="preserve"> </w:t>
      </w:r>
      <w:r w:rsidRPr="00A23D95">
        <w:rPr>
          <w:i/>
          <w:lang w:val="en-GB"/>
        </w:rPr>
        <w:t xml:space="preserve">Combining a variety of sources, we conclude that several interacting factors have fuelled this increase in </w:t>
      </w:r>
      <w:r w:rsidR="00F25696">
        <w:rPr>
          <w:i/>
          <w:lang w:val="en-GB"/>
        </w:rPr>
        <w:t>parliamentary</w:t>
      </w:r>
      <w:r w:rsidRPr="00A23D95">
        <w:rPr>
          <w:i/>
          <w:lang w:val="en-GB"/>
        </w:rPr>
        <w:t xml:space="preserve"> involvement. First, </w:t>
      </w:r>
      <w:r w:rsidR="00A23D95" w:rsidRPr="00A23D95">
        <w:rPr>
          <w:i/>
          <w:lang w:val="en-GB"/>
        </w:rPr>
        <w:t>TTIP has generated an unseen amount of mobilisation and contestation</w:t>
      </w:r>
      <w:r w:rsidR="000E2ACF">
        <w:rPr>
          <w:i/>
          <w:lang w:val="en-GB"/>
        </w:rPr>
        <w:t>, and this has led politicians</w:t>
      </w:r>
      <w:r w:rsidR="00A23D95" w:rsidRPr="00A23D95">
        <w:rPr>
          <w:i/>
          <w:lang w:val="en-GB"/>
        </w:rPr>
        <w:t xml:space="preserve"> to join the fray as well</w:t>
      </w:r>
      <w:r w:rsidRPr="00A23D95">
        <w:rPr>
          <w:i/>
          <w:lang w:val="en-GB"/>
        </w:rPr>
        <w:t>. Second</w:t>
      </w:r>
      <w:r w:rsidR="00A23D95">
        <w:rPr>
          <w:i/>
          <w:lang w:val="en-GB"/>
        </w:rPr>
        <w:t>,</w:t>
      </w:r>
      <w:r w:rsidR="00A23D95" w:rsidRPr="00A23D95">
        <w:rPr>
          <w:i/>
          <w:lang w:val="en-GB"/>
        </w:rPr>
        <w:t xml:space="preserve"> TTIP (the EU-US trade agreement) and CETA contain ‘deep trade’ provisions that </w:t>
      </w:r>
      <w:r w:rsidR="000E2ACF">
        <w:rPr>
          <w:i/>
          <w:lang w:val="en-GB"/>
        </w:rPr>
        <w:t>touch upon sensitive issues for national</w:t>
      </w:r>
      <w:r w:rsidR="00A23D95" w:rsidRPr="00A23D95">
        <w:rPr>
          <w:i/>
          <w:lang w:val="en-GB"/>
        </w:rPr>
        <w:t xml:space="preserve"> </w:t>
      </w:r>
      <w:r w:rsidR="000E2ACF">
        <w:rPr>
          <w:i/>
          <w:lang w:val="en-GB"/>
        </w:rPr>
        <w:t>politician</w:t>
      </w:r>
      <w:r w:rsidR="00A23D95" w:rsidRPr="00A23D95">
        <w:rPr>
          <w:i/>
          <w:lang w:val="en-GB"/>
        </w:rPr>
        <w:t>s</w:t>
      </w:r>
      <w:r w:rsidRPr="00A23D95">
        <w:rPr>
          <w:i/>
          <w:lang w:val="en-GB"/>
        </w:rPr>
        <w:t xml:space="preserve">. Finally, the </w:t>
      </w:r>
      <w:proofErr w:type="gramStart"/>
      <w:r w:rsidRPr="00A23D95">
        <w:rPr>
          <w:i/>
          <w:lang w:val="en-GB"/>
        </w:rPr>
        <w:t>asy</w:t>
      </w:r>
      <w:r w:rsidR="000E2ACF">
        <w:rPr>
          <w:i/>
          <w:lang w:val="en-GB"/>
        </w:rPr>
        <w:t>mmetry between the Walloon and F</w:t>
      </w:r>
      <w:r w:rsidRPr="00A23D95">
        <w:rPr>
          <w:i/>
          <w:lang w:val="en-GB"/>
        </w:rPr>
        <w:t>ederal governing coalitions have</w:t>
      </w:r>
      <w:proofErr w:type="gramEnd"/>
      <w:r w:rsidRPr="00A23D95">
        <w:rPr>
          <w:i/>
          <w:lang w:val="en-GB"/>
        </w:rPr>
        <w:t xml:space="preserve"> favoured a more activist opposition by Wallonia, while Flanders’ centre-right </w:t>
      </w:r>
      <w:r w:rsidR="00C67682" w:rsidRPr="00A23D95">
        <w:rPr>
          <w:i/>
          <w:lang w:val="en-GB"/>
        </w:rPr>
        <w:t>coalition</w:t>
      </w:r>
      <w:r w:rsidRPr="00A23D95">
        <w:rPr>
          <w:i/>
          <w:lang w:val="en-GB"/>
        </w:rPr>
        <w:t xml:space="preserve"> has remained supportive.</w:t>
      </w:r>
    </w:p>
    <w:p w14:paraId="6E56D12D" w14:textId="77777777" w:rsidR="00BF7ACB" w:rsidRPr="00C67682" w:rsidRDefault="00BF7ACB" w:rsidP="009074F5">
      <w:pPr>
        <w:spacing w:line="276" w:lineRule="auto"/>
        <w:rPr>
          <w:rFonts w:asciiTheme="majorHAnsi" w:eastAsiaTheme="majorEastAsia" w:hAnsiTheme="majorHAnsi" w:cstheme="majorBidi"/>
          <w:b/>
          <w:bCs/>
          <w:i/>
          <w:sz w:val="28"/>
          <w:szCs w:val="28"/>
          <w:lang w:val="en-GB"/>
        </w:rPr>
      </w:pPr>
      <w:r w:rsidRPr="00C67682">
        <w:rPr>
          <w:i/>
          <w:lang w:val="en-GB"/>
        </w:rPr>
        <w:br w:type="page"/>
      </w:r>
    </w:p>
    <w:p w14:paraId="573B68E8" w14:textId="1C652A64" w:rsidR="00EE56D3" w:rsidRPr="00D96223" w:rsidRDefault="00652B92" w:rsidP="009074F5">
      <w:pPr>
        <w:pStyle w:val="Kop1"/>
        <w:spacing w:line="276" w:lineRule="auto"/>
        <w:rPr>
          <w:lang w:val="en-GB"/>
        </w:rPr>
      </w:pPr>
      <w:r>
        <w:rPr>
          <w:lang w:val="en-GB"/>
        </w:rPr>
        <w:lastRenderedPageBreak/>
        <w:t xml:space="preserve">1. </w:t>
      </w:r>
      <w:r w:rsidR="00DE7941" w:rsidRPr="007C3BA4">
        <w:rPr>
          <w:lang w:val="en-GB"/>
        </w:rPr>
        <w:t xml:space="preserve">Introduction </w:t>
      </w:r>
    </w:p>
    <w:p w14:paraId="1D34793B" w14:textId="77777777" w:rsidR="00EE56D3" w:rsidRDefault="00EE56D3" w:rsidP="009074F5">
      <w:pPr>
        <w:spacing w:line="276" w:lineRule="auto"/>
        <w:jc w:val="both"/>
        <w:rPr>
          <w:lang w:val="en-GB"/>
        </w:rPr>
      </w:pPr>
    </w:p>
    <w:p w14:paraId="4B827853" w14:textId="25F50A5F" w:rsidR="00B33B77" w:rsidRDefault="00B33B77" w:rsidP="009074F5">
      <w:pPr>
        <w:spacing w:line="276" w:lineRule="auto"/>
        <w:jc w:val="both"/>
        <w:rPr>
          <w:lang w:val="en-GB"/>
        </w:rPr>
      </w:pPr>
      <w:r>
        <w:rPr>
          <w:lang w:val="en-GB"/>
        </w:rPr>
        <w:t xml:space="preserve">In October 2016, the Belgian Walloon Region made the headlines worldwide when it refused to give the authority to the Belgian Federal Government to sign the EU-Canada trade agreement CETA, leading Canadian Prime Minister Justin Trudeau to have to postpone its visit to Brussels </w:t>
      </w:r>
      <w:r w:rsidR="00245DDC">
        <w:rPr>
          <w:lang w:val="en-GB"/>
        </w:rPr>
        <w:t>for</w:t>
      </w:r>
      <w:r>
        <w:rPr>
          <w:lang w:val="en-GB"/>
        </w:rPr>
        <w:t xml:space="preserve"> the signing ceremony. </w:t>
      </w:r>
      <w:r w:rsidR="00321CED">
        <w:rPr>
          <w:lang w:val="en-GB"/>
        </w:rPr>
        <w:t>This is a remarkable development</w:t>
      </w:r>
      <w:r>
        <w:rPr>
          <w:lang w:val="en-GB"/>
        </w:rPr>
        <w:t>, given that th</w:t>
      </w:r>
      <w:r w:rsidR="00245DDC">
        <w:rPr>
          <w:lang w:val="en-GB"/>
        </w:rPr>
        <w:t>e 2009 Lisbon Treaty reforms were</w:t>
      </w:r>
      <w:r>
        <w:rPr>
          <w:lang w:val="en-GB"/>
        </w:rPr>
        <w:t xml:space="preserve"> intended to streamline the negotiation and conclusion of EU trade agreements by</w:t>
      </w:r>
      <w:r w:rsidR="000E2ACF">
        <w:rPr>
          <w:lang w:val="en-GB"/>
        </w:rPr>
        <w:t xml:space="preserve"> enlarging its scope and</w:t>
      </w:r>
      <w:r>
        <w:rPr>
          <w:lang w:val="en-GB"/>
        </w:rPr>
        <w:t xml:space="preserve"> </w:t>
      </w:r>
      <w:r w:rsidR="000E2ACF">
        <w:rPr>
          <w:lang w:val="en-GB"/>
        </w:rPr>
        <w:t>transferring</w:t>
      </w:r>
      <w:r>
        <w:rPr>
          <w:lang w:val="en-GB"/>
        </w:rPr>
        <w:t xml:space="preserve"> the competence of control </w:t>
      </w:r>
      <w:r w:rsidR="000E2ACF">
        <w:rPr>
          <w:lang w:val="en-GB"/>
        </w:rPr>
        <w:t>from</w:t>
      </w:r>
      <w:r>
        <w:rPr>
          <w:lang w:val="en-GB"/>
        </w:rPr>
        <w:t xml:space="preserve"> national legislatures to the European Parliament</w:t>
      </w:r>
      <w:r w:rsidR="000E2ACF">
        <w:rPr>
          <w:lang w:val="en-GB"/>
        </w:rPr>
        <w:t xml:space="preserve"> </w:t>
      </w:r>
      <w:r w:rsidR="000E2ACF">
        <w:rPr>
          <w:lang w:val="en-GB"/>
        </w:rPr>
        <w:fldChar w:fldCharType="begin" w:fldLock="1"/>
      </w:r>
      <w:r w:rsidR="000E2ACF">
        <w:rPr>
          <w:lang w:val="en-GB"/>
        </w:rPr>
        <w:instrText>ADDIN CSL_CITATION { "citationItems" : [ { "id" : "ITEM-1", "itemData" : { "author" : [ { "dropping-particle" : "", "family" : "Krajewski", "given" : "Markus", "non-dropping-particle" : "", "parse-names" : false, "suffix" : "" } ], "container-title" : "European Union Law after the Treaty of Lisbon", "editor" : [ { "dropping-particle" : "", "family" : "Bioni", "given" : "A", "non-dropping-particle" : "", "parse-names" : false, "suffix" : "" }, { "dropping-particle" : "", "family" : "Eeckhout", "given" : "P", "non-dropping-particle" : "", "parse-names" : false, "suffix" : "" } ], "id" : "ITEM-1", "issued" : { "date-parts" : [ [ "2010" ] ] }, "title" : "The Reform of the Common Commercial Policy", "type" : "chapter" }, "uris" : [ "http://www.mendeley.com/documents/?uuid=a7602302-237c-4f8d-b82c-2faf912ac12a" ] } ], "mendeley" : { "formattedCitation" : "(Krajewski, 2010)", "plainTextFormattedCitation" : "(Krajewski, 2010)", "previouslyFormattedCitation" : "(Krajewski, 2010)" }, "properties" : { "noteIndex" : 0 }, "schema" : "https://github.com/citation-style-language/schema/raw/master/csl-citation.json" }</w:instrText>
      </w:r>
      <w:r w:rsidR="000E2ACF">
        <w:rPr>
          <w:lang w:val="en-GB"/>
        </w:rPr>
        <w:fldChar w:fldCharType="separate"/>
      </w:r>
      <w:r w:rsidR="000E2ACF" w:rsidRPr="00C51CE6">
        <w:rPr>
          <w:noProof/>
          <w:lang w:val="en-GB"/>
        </w:rPr>
        <w:t>(</w:t>
      </w:r>
      <w:r w:rsidR="000E2ACF">
        <w:rPr>
          <w:noProof/>
          <w:lang w:val="en-GB"/>
        </w:rPr>
        <w:t xml:space="preserve">cfr. </w:t>
      </w:r>
      <w:r w:rsidR="000E2ACF" w:rsidRPr="00C51CE6">
        <w:rPr>
          <w:noProof/>
          <w:lang w:val="en-GB"/>
        </w:rPr>
        <w:t>Krajewski, 2010)</w:t>
      </w:r>
      <w:r w:rsidR="000E2ACF">
        <w:rPr>
          <w:lang w:val="en-GB"/>
        </w:rPr>
        <w:fldChar w:fldCharType="end"/>
      </w:r>
      <w:proofErr w:type="gramStart"/>
      <w:r w:rsidR="000E2ACF">
        <w:rPr>
          <w:rStyle w:val="Voetnootmarkering"/>
          <w:lang w:val="en-GB"/>
        </w:rPr>
        <w:footnoteReference w:id="1"/>
      </w:r>
      <w:r>
        <w:rPr>
          <w:lang w:val="en-GB"/>
        </w:rPr>
        <w:t>?</w:t>
      </w:r>
      <w:proofErr w:type="gramEnd"/>
      <w:r>
        <w:rPr>
          <w:lang w:val="en-GB"/>
        </w:rPr>
        <w:t xml:space="preserve"> In this paper, we will not go into the legal discussion about the status of the CETA agreement and if it should</w:t>
      </w:r>
      <w:r w:rsidR="00652B92">
        <w:rPr>
          <w:lang w:val="en-GB"/>
        </w:rPr>
        <w:t xml:space="preserve"> have</w:t>
      </w:r>
      <w:r>
        <w:rPr>
          <w:lang w:val="en-GB"/>
        </w:rPr>
        <w:t xml:space="preserve"> be</w:t>
      </w:r>
      <w:r w:rsidR="00652B92">
        <w:rPr>
          <w:lang w:val="en-GB"/>
        </w:rPr>
        <w:t>en</w:t>
      </w:r>
      <w:r>
        <w:rPr>
          <w:lang w:val="en-GB"/>
        </w:rPr>
        <w:t xml:space="preserve"> considered a ‘mixed agreement’ implying Member State ratification</w:t>
      </w:r>
      <w:r w:rsidR="00652B92">
        <w:rPr>
          <w:lang w:val="en-GB"/>
        </w:rPr>
        <w:t xml:space="preserve"> or not</w:t>
      </w:r>
      <w:r>
        <w:rPr>
          <w:lang w:val="en-GB"/>
        </w:rPr>
        <w:t>. We will</w:t>
      </w:r>
      <w:r w:rsidR="00245DDC">
        <w:rPr>
          <w:lang w:val="en-GB"/>
        </w:rPr>
        <w:t xml:space="preserve"> look at the political dimension and</w:t>
      </w:r>
      <w:r>
        <w:rPr>
          <w:lang w:val="en-GB"/>
        </w:rPr>
        <w:t xml:space="preserve"> analyse how exceptional the ‘CETA saga’ was and, if not, why </w:t>
      </w:r>
      <w:r w:rsidR="004D12F9">
        <w:rPr>
          <w:lang w:val="en-GB"/>
        </w:rPr>
        <w:t>(</w:t>
      </w:r>
      <w:proofErr w:type="gramStart"/>
      <w:r w:rsidR="004D12F9">
        <w:rPr>
          <w:lang w:val="en-GB"/>
        </w:rPr>
        <w:t>sub)</w:t>
      </w:r>
      <w:r>
        <w:rPr>
          <w:lang w:val="en-GB"/>
        </w:rPr>
        <w:t>national</w:t>
      </w:r>
      <w:proofErr w:type="gramEnd"/>
      <w:r>
        <w:rPr>
          <w:lang w:val="en-GB"/>
        </w:rPr>
        <w:t xml:space="preserve"> </w:t>
      </w:r>
      <w:r w:rsidR="00FD2FFF">
        <w:rPr>
          <w:lang w:val="en-GB"/>
        </w:rPr>
        <w:t>Parliament</w:t>
      </w:r>
      <w:r>
        <w:rPr>
          <w:lang w:val="en-GB"/>
        </w:rPr>
        <w:t xml:space="preserve">s have become more involved in EU trade agreements, </w:t>
      </w:r>
      <w:r w:rsidR="00245DDC">
        <w:rPr>
          <w:lang w:val="en-GB"/>
        </w:rPr>
        <w:t xml:space="preserve">seemingly in contradiction with (the spirit of) the Lisbon Treaty. </w:t>
      </w:r>
      <w:r w:rsidR="000D7B77">
        <w:rPr>
          <w:lang w:val="en-GB"/>
        </w:rPr>
        <w:t>To find an answer to these questions, we will look at the Belgian case, the arena where the CETA saga played out. We will point out where the Belgian case is idiosyncratic, but will formulate findings and conclusions that can be applied to other EU Member States</w:t>
      </w:r>
      <w:r w:rsidR="00652B92">
        <w:rPr>
          <w:lang w:val="en-GB"/>
        </w:rPr>
        <w:t xml:space="preserve"> as well</w:t>
      </w:r>
      <w:r w:rsidR="000D7B77">
        <w:rPr>
          <w:lang w:val="en-GB"/>
        </w:rPr>
        <w:t xml:space="preserve">. </w:t>
      </w:r>
    </w:p>
    <w:p w14:paraId="0FB29FA4" w14:textId="77777777" w:rsidR="00652B92" w:rsidRDefault="00652B92" w:rsidP="009074F5">
      <w:pPr>
        <w:spacing w:line="276" w:lineRule="auto"/>
        <w:jc w:val="both"/>
        <w:rPr>
          <w:lang w:val="en-GB"/>
        </w:rPr>
      </w:pPr>
    </w:p>
    <w:p w14:paraId="52A3167E" w14:textId="1A815DC5" w:rsidR="00652B92" w:rsidRDefault="00652B92" w:rsidP="009074F5">
      <w:pPr>
        <w:spacing w:line="276" w:lineRule="auto"/>
        <w:jc w:val="both"/>
        <w:rPr>
          <w:lang w:val="en-GB"/>
        </w:rPr>
      </w:pPr>
      <w:r>
        <w:rPr>
          <w:lang w:val="en-GB"/>
        </w:rPr>
        <w:t>The remainder of this paper</w:t>
      </w:r>
      <w:r w:rsidRPr="00586598">
        <w:rPr>
          <w:lang w:val="en-GB"/>
        </w:rPr>
        <w:t xml:space="preserve"> is structured as follows. In the next section, we</w:t>
      </w:r>
      <w:r>
        <w:rPr>
          <w:lang w:val="en-GB"/>
        </w:rPr>
        <w:t xml:space="preserve"> review the literature on EU trade policy-making after the Lisbon Treaty reforms, with a specific focus on the role </w:t>
      </w:r>
      <w:r w:rsidR="00564F43">
        <w:rPr>
          <w:lang w:val="en-GB"/>
        </w:rPr>
        <w:t xml:space="preserve">of </w:t>
      </w:r>
      <w:r w:rsidRPr="002C52DD">
        <w:rPr>
          <w:lang w:val="en-GB"/>
        </w:rPr>
        <w:t xml:space="preserve">Member States’ (national and subnational) </w:t>
      </w:r>
      <w:r w:rsidR="00FD2FFF" w:rsidRPr="002C52DD">
        <w:rPr>
          <w:lang w:val="en-GB"/>
        </w:rPr>
        <w:t>Parliament</w:t>
      </w:r>
      <w:r w:rsidRPr="002C52DD">
        <w:rPr>
          <w:lang w:val="en-GB"/>
        </w:rPr>
        <w:t>s. Subsequently, we discuss the involvement of the Belgi</w:t>
      </w:r>
      <w:r w:rsidR="000E2ACF" w:rsidRPr="002C52DD">
        <w:rPr>
          <w:lang w:val="en-GB"/>
        </w:rPr>
        <w:t xml:space="preserve">an </w:t>
      </w:r>
      <w:r w:rsidR="00FD2FFF" w:rsidRPr="002C52DD">
        <w:rPr>
          <w:lang w:val="en-GB"/>
        </w:rPr>
        <w:t>Parliament</w:t>
      </w:r>
      <w:r w:rsidR="000E2ACF" w:rsidRPr="002C52DD">
        <w:rPr>
          <w:lang w:val="en-GB"/>
        </w:rPr>
        <w:t>s in trade since the start of the century</w:t>
      </w:r>
      <w:r w:rsidRPr="002C52DD">
        <w:rPr>
          <w:lang w:val="en-GB"/>
        </w:rPr>
        <w:t xml:space="preserve">, based on desk research and </w:t>
      </w:r>
      <w:r w:rsidR="005636D8">
        <w:rPr>
          <w:lang w:val="en-GB"/>
        </w:rPr>
        <w:t>twenty</w:t>
      </w:r>
      <w:r w:rsidRPr="002C52DD">
        <w:rPr>
          <w:lang w:val="en-GB"/>
        </w:rPr>
        <w:t xml:space="preserve"> interviews</w:t>
      </w:r>
      <w:r>
        <w:rPr>
          <w:lang w:val="en-GB"/>
        </w:rPr>
        <w:t xml:space="preserve"> with decision-makers and stakeholders in Belgium. In the fourth section, we offer a number of explanations for the recent politicisation of </w:t>
      </w:r>
      <w:r w:rsidR="00564F43">
        <w:rPr>
          <w:lang w:val="en-GB"/>
        </w:rPr>
        <w:t>EU</w:t>
      </w:r>
      <w:r>
        <w:rPr>
          <w:lang w:val="en-GB"/>
        </w:rPr>
        <w:t xml:space="preserve"> trade policy in Belgium. We conclude with some reflections about the implications of these developments for the future of EU trade policy. </w:t>
      </w:r>
    </w:p>
    <w:p w14:paraId="7C7F9942" w14:textId="77777777" w:rsidR="00652B92" w:rsidRDefault="00652B92" w:rsidP="009074F5">
      <w:pPr>
        <w:spacing w:line="276" w:lineRule="auto"/>
        <w:jc w:val="both"/>
        <w:rPr>
          <w:lang w:val="en-GB"/>
        </w:rPr>
      </w:pPr>
    </w:p>
    <w:p w14:paraId="674EF34C" w14:textId="1AD642D2" w:rsidR="00B33B77" w:rsidRPr="00A23D95" w:rsidRDefault="00652B92" w:rsidP="009074F5">
      <w:pPr>
        <w:spacing w:line="276" w:lineRule="auto"/>
        <w:jc w:val="both"/>
        <w:rPr>
          <w:b/>
          <w:sz w:val="28"/>
          <w:lang w:val="en-GB"/>
        </w:rPr>
      </w:pPr>
      <w:r w:rsidRPr="00A23D95">
        <w:rPr>
          <w:b/>
          <w:sz w:val="28"/>
          <w:lang w:val="en-GB"/>
        </w:rPr>
        <w:t xml:space="preserve">2. National </w:t>
      </w:r>
      <w:r w:rsidR="00FD2FFF">
        <w:rPr>
          <w:b/>
          <w:sz w:val="28"/>
          <w:lang w:val="en-GB"/>
        </w:rPr>
        <w:t>Parliament</w:t>
      </w:r>
      <w:r w:rsidRPr="00A23D95">
        <w:rPr>
          <w:b/>
          <w:sz w:val="28"/>
          <w:lang w:val="en-GB"/>
        </w:rPr>
        <w:t>s in EU trade policy after Lisbon</w:t>
      </w:r>
    </w:p>
    <w:p w14:paraId="46277A87" w14:textId="77777777" w:rsidR="00652B92" w:rsidRDefault="00652B92" w:rsidP="009074F5">
      <w:pPr>
        <w:spacing w:line="276" w:lineRule="auto"/>
        <w:jc w:val="both"/>
        <w:rPr>
          <w:lang w:val="en-GB"/>
        </w:rPr>
      </w:pPr>
    </w:p>
    <w:p w14:paraId="31ED267E" w14:textId="4F853315" w:rsidR="006E3CC7" w:rsidRDefault="003C0609" w:rsidP="009074F5">
      <w:pPr>
        <w:spacing w:line="276" w:lineRule="auto"/>
        <w:jc w:val="both"/>
        <w:rPr>
          <w:lang w:val="en-GB"/>
        </w:rPr>
      </w:pPr>
      <w:r>
        <w:rPr>
          <w:lang w:val="en-GB"/>
        </w:rPr>
        <w:t xml:space="preserve">Although </w:t>
      </w:r>
      <w:r w:rsidR="00EE56D3">
        <w:rPr>
          <w:lang w:val="en-GB"/>
        </w:rPr>
        <w:t xml:space="preserve">trade policy has been a supranational competence from the </w:t>
      </w:r>
      <w:r w:rsidR="00A47E56">
        <w:rPr>
          <w:lang w:val="en-GB"/>
        </w:rPr>
        <w:t xml:space="preserve">outset </w:t>
      </w:r>
      <w:r w:rsidR="00EE56D3">
        <w:rPr>
          <w:lang w:val="en-GB"/>
        </w:rPr>
        <w:t>of European integration</w:t>
      </w:r>
      <w:r w:rsidR="00C47174">
        <w:rPr>
          <w:lang w:val="en-GB"/>
        </w:rPr>
        <w:t xml:space="preserve">, </w:t>
      </w:r>
      <w:r>
        <w:rPr>
          <w:lang w:val="en-GB"/>
        </w:rPr>
        <w:t xml:space="preserve">there have always been political and judicial struggles over the exact scope of this competence and the division of labour among EU and national </w:t>
      </w:r>
      <w:r w:rsidR="00564F43">
        <w:rPr>
          <w:lang w:val="en-GB"/>
        </w:rPr>
        <w:t xml:space="preserve">levels </w:t>
      </w:r>
      <w:r w:rsidR="004531A8">
        <w:rPr>
          <w:lang w:val="en-GB"/>
        </w:rPr>
        <w:fldChar w:fldCharType="begin" w:fldLock="1"/>
      </w:r>
      <w:r w:rsidR="00C51CE6">
        <w:rPr>
          <w:lang w:val="en-GB"/>
        </w:rPr>
        <w:instrText>ADDIN CSL_CITATION { "citationItems" : [ { "id" : "ITEM-1", "itemData" : { "DOI" : "10.1111/j.1468-5965.2006.00667.x", "ISBN" : "1468-5965", "ISSN" : "00219886", "abstract" : "Despite the rise of 'mixity', the Commission is nonetheless the key European player in the WTO, even regarding issues that are not exclusive EC competences. While established integration theories struggle to explain this phenomenon, this article argues that the external institutional context should be brought into the analysis.", "author" : [ { "dropping-particle" : "", "family" : "Billiet", "given" : "Stijn", "non-dropping-particle" : "", "parse-names" : false, "suffix" : "" } ], "container-title" : "Journal of Common Market Studies", "id" : "ITEM-1", "issue" : "5", "issued" : { "date-parts" : [ [ "2006" ] ] }, "page" : "899-919", "title" : "From GATT to the WTO: The internal struggle for external competences in the EU", "type" : "article-journal", "volume" : "44" }, "uris" : [ "http://www.mendeley.com/documents/?uuid=330fa064-0992-4966-8335-6f277f50b1c0" ] }, { "id" : "ITEM-2", "itemData" : { "author" : [ { "dropping-particle" : "", "family" : "Young", "given" : "Alasdair", "non-dropping-particle" : "", "parse-names" : false, "suffix" : "" }, { "dropping-particle" : "", "family" : "Holmes", "given" : "Peter", "non-dropping-particle" : "", "parse-names" : false, "suffix" : "" }, { "dropping-particle" : "", "family" : "Rollo", "given" : "Jim", "non-dropping-particle" : "", "parse-names" : false, "suffix" : "" } ], "container-title" : "SEI Working Paper No.37", "id" : "ITEM-2", "issue" : "37", "issued" : { "date-parts" : [ [ "2000" ] ] }, "title" : "The European Trade Agenda after Seattle", "type" : "article-journal" }, "uris" : [ "http://www.mendeley.com/documents/?uuid=5cbd6fd6-109a-4a90-8d53-66c26dae3d62" ] } ], "mendeley" : { "formattedCitation" : "(Billiet, 2006; Young, Holmes, &amp; Rollo, 2000)", "plainTextFormattedCitation" : "(Billiet, 2006; Young, Holmes, &amp; Rollo, 2000)", "previouslyFormattedCitation" : "(Billiet, 2006; Young, Holmes, &amp; Rollo, 2000)" }, "properties" : { "noteIndex" : 0 }, "schema" : "https://github.com/citation-style-language/schema/raw/master/csl-citation.json" }</w:instrText>
      </w:r>
      <w:r w:rsidR="004531A8">
        <w:rPr>
          <w:lang w:val="en-GB"/>
        </w:rPr>
        <w:fldChar w:fldCharType="separate"/>
      </w:r>
      <w:r w:rsidR="00C51CE6" w:rsidRPr="00C51CE6">
        <w:rPr>
          <w:noProof/>
          <w:lang w:val="en-GB"/>
        </w:rPr>
        <w:t>(Billiet, 2006; Young, Holmes, &amp; Rollo, 2000)</w:t>
      </w:r>
      <w:r w:rsidR="004531A8">
        <w:rPr>
          <w:lang w:val="en-GB"/>
        </w:rPr>
        <w:fldChar w:fldCharType="end"/>
      </w:r>
      <w:r w:rsidR="004531A8">
        <w:rPr>
          <w:lang w:val="en-GB"/>
        </w:rPr>
        <w:t>.</w:t>
      </w:r>
      <w:r w:rsidR="00772A3B">
        <w:rPr>
          <w:lang w:val="en-GB"/>
        </w:rPr>
        <w:t xml:space="preserve"> </w:t>
      </w:r>
      <w:r w:rsidR="006E3CC7">
        <w:rPr>
          <w:lang w:val="en-GB"/>
        </w:rPr>
        <w:t>At its core, much of this debate has revolved around the trade-off between efficiency (by increasing supranational authority and Commission autonomy) and legitimacy</w:t>
      </w:r>
      <w:r w:rsidR="00564F43">
        <w:rPr>
          <w:lang w:val="en-GB"/>
        </w:rPr>
        <w:t xml:space="preserve"> (by ensuring control by representatives </w:t>
      </w:r>
      <w:r w:rsidR="000E2ACF">
        <w:rPr>
          <w:lang w:val="en-GB"/>
        </w:rPr>
        <w:t>close to</w:t>
      </w:r>
      <w:r w:rsidR="00564F43">
        <w:rPr>
          <w:lang w:val="en-GB"/>
        </w:rPr>
        <w:t xml:space="preserve"> the citizens)</w:t>
      </w:r>
      <w:r w:rsidR="00A47E56">
        <w:rPr>
          <w:lang w:val="en-GB"/>
        </w:rPr>
        <w:t xml:space="preserve">: how can </w:t>
      </w:r>
      <w:r w:rsidR="009818B6">
        <w:rPr>
          <w:lang w:val="en-GB"/>
        </w:rPr>
        <w:t>the EU</w:t>
      </w:r>
      <w:r w:rsidR="00A47E56">
        <w:rPr>
          <w:lang w:val="en-GB"/>
        </w:rPr>
        <w:t xml:space="preserve"> negotiate and conclude ambitious </w:t>
      </w:r>
      <w:r w:rsidR="009818B6">
        <w:rPr>
          <w:lang w:val="en-GB"/>
        </w:rPr>
        <w:t>agreements while at the same time safeguarding (</w:t>
      </w:r>
      <w:proofErr w:type="gramStart"/>
      <w:r w:rsidR="009818B6">
        <w:rPr>
          <w:lang w:val="en-GB"/>
        </w:rPr>
        <w:t>sub)national</w:t>
      </w:r>
      <w:proofErr w:type="gramEnd"/>
      <w:r w:rsidR="009818B6">
        <w:rPr>
          <w:lang w:val="en-GB"/>
        </w:rPr>
        <w:t xml:space="preserve"> interests and involvement</w:t>
      </w:r>
      <w:r w:rsidR="006E3CC7">
        <w:rPr>
          <w:lang w:val="en-GB"/>
        </w:rPr>
        <w:t xml:space="preserve"> </w:t>
      </w:r>
      <w:r w:rsidR="004531A8">
        <w:rPr>
          <w:lang w:val="en-GB"/>
        </w:rPr>
        <w:fldChar w:fldCharType="begin" w:fldLock="1"/>
      </w:r>
      <w:r w:rsidR="004531A8">
        <w:rPr>
          <w:lang w:val="en-GB"/>
        </w:rPr>
        <w:instrText>ADDIN CSL_CITATION { "citationItems" : [ { "id" : "ITEM-1", "itemData" : { "author" : [ { "dropping-particle" : "", "family" : "Meunier", "given" : "Sophie", "non-dropping-particle" : "", "parse-names" : false, "suffix" : "" } ], "id" : "ITEM-1", "issued" : { "date-parts" : [ [ "2005" ] ] }, "publisher" : "Princeton University Press", "publisher-place" : "Princeton", "title" : "Trading Voices: The European Union in International Commercial Negotiations", "type" : "book" }, "uris" : [ "http://www.mendeley.com/documents/?uuid=f28d5465-c109-47d7-8cb6-ce93d6cd9e0d" ] } ], "mendeley" : { "formattedCitation" : "(Meunier, 2005)", "plainTextFormattedCitation" : "(Meunier, 2005)", "previouslyFormattedCitation" : "(Meunier, 2005)" }, "properties" : { "noteIndex" : 0 }, "schema" : "https://github.com/citation-style-language/schema/raw/master/csl-citation.json" }</w:instrText>
      </w:r>
      <w:r w:rsidR="004531A8">
        <w:rPr>
          <w:lang w:val="en-GB"/>
        </w:rPr>
        <w:fldChar w:fldCharType="separate"/>
      </w:r>
      <w:r w:rsidR="004531A8" w:rsidRPr="004531A8">
        <w:rPr>
          <w:noProof/>
          <w:lang w:val="en-GB"/>
        </w:rPr>
        <w:t>(Meunier, 2005)</w:t>
      </w:r>
      <w:r w:rsidR="004531A8">
        <w:rPr>
          <w:lang w:val="en-GB"/>
        </w:rPr>
        <w:fldChar w:fldCharType="end"/>
      </w:r>
      <w:r w:rsidR="000E2ACF">
        <w:rPr>
          <w:lang w:val="en-GB"/>
        </w:rPr>
        <w:t>?</w:t>
      </w:r>
    </w:p>
    <w:p w14:paraId="4905018A" w14:textId="77777777" w:rsidR="006E3CC7" w:rsidRDefault="006E3CC7" w:rsidP="009074F5">
      <w:pPr>
        <w:spacing w:line="276" w:lineRule="auto"/>
        <w:jc w:val="both"/>
        <w:rPr>
          <w:lang w:val="en-GB"/>
        </w:rPr>
      </w:pPr>
    </w:p>
    <w:p w14:paraId="2A31D147" w14:textId="684655D7" w:rsidR="00D16F40" w:rsidRDefault="00C47174" w:rsidP="009074F5">
      <w:pPr>
        <w:spacing w:line="276" w:lineRule="auto"/>
        <w:jc w:val="both"/>
        <w:rPr>
          <w:lang w:val="en-GB"/>
        </w:rPr>
      </w:pPr>
      <w:r>
        <w:rPr>
          <w:lang w:val="en-GB"/>
        </w:rPr>
        <w:t>The Lisbon Treaty</w:t>
      </w:r>
      <w:r w:rsidR="006E3CC7">
        <w:rPr>
          <w:lang w:val="en-GB"/>
        </w:rPr>
        <w:t xml:space="preserve"> attempted</w:t>
      </w:r>
      <w:r w:rsidR="00CF23DC">
        <w:rPr>
          <w:lang w:val="en-GB"/>
        </w:rPr>
        <w:t xml:space="preserve"> to </w:t>
      </w:r>
      <w:r w:rsidR="006E3CC7">
        <w:rPr>
          <w:lang w:val="en-GB"/>
        </w:rPr>
        <w:t xml:space="preserve">resolve </w:t>
      </w:r>
      <w:r w:rsidR="00CF23DC">
        <w:rPr>
          <w:lang w:val="en-GB"/>
        </w:rPr>
        <w:t xml:space="preserve">this trade-off </w:t>
      </w:r>
      <w:r w:rsidR="006E3CC7">
        <w:rPr>
          <w:lang w:val="en-GB"/>
        </w:rPr>
        <w:t xml:space="preserve">by transcending it </w:t>
      </w:r>
      <w:r w:rsidR="004531A8">
        <w:rPr>
          <w:lang w:val="en-GB"/>
        </w:rPr>
        <w:fldChar w:fldCharType="begin" w:fldLock="1"/>
      </w:r>
      <w:r w:rsidR="007A766D">
        <w:rPr>
          <w:lang w:val="en-GB"/>
        </w:rPr>
        <w:instrText>ADDIN CSL_CITATION { "citationItems" : [ { "id" : "ITEM-1", "itemData" : { "ISBN" : "140947657X", "abstract" : "European Union Economic Diplomacy provides the first comprehensive analysis of the factors that determine the role of the EU in economic diplomacy. In an up-to-date treatment that includes consideration of the impact of the Treaty of Lisbon, it contains a comprehensive explanation of decision making and negotiating processes in the core areas of trade, financial market regulation, environmental diplomacy and development co-operation. The book is intended for those interested in EU policy making, but also those who simply need to understand how the EU functions in the field of economic diplomacy.", "author" : [ { "dropping-particle" : "", "family" : "Woolcock", "given" : "Dr Stephen", "non-dropping-particle" : "", "parse-names" : false, "suffix" : "" } ], "id" : "ITEM-1", "issued" : { "date-parts" : [ [ "2013" ] ] }, "number-of-pages" : "220", "publisher" : "Ashgate Publishing", "title" : "European Union Economic Diplomacy: The Role of the EU in External Economic Relations", "type" : "book" }, "uris" : [ "http://www.mendeley.com/documents/?uuid=c9cc2438-6323-458c-b6ac-1456f39a9ca3" ] }, { "id" : "ITEM-2", "itemData" : { "author" : [ { "dropping-particle" : "", "family" : "Devuyst", "given" : "Youri", "non-dropping-particle" : "", "parse-names" : false, "suffix" : "" } ], "container-title" : "Journal of International Business &amp; Law", "id" : "ITEM-2", "issued" : { "date-parts" : [ [ "2013" ] ] }, "title" : "European union law and practice in the negotation and conclusion of international trade agreements", "type" : "article-journal" }, "prefix" : "cfr. ", "uris" : [ "http://www.mendeley.com/documents/?uuid=e983fc86-89f4-46c4-bec5-d8593c4d6db8" ] } ], "mendeley" : { "formattedCitation" : "(cfr. Devuyst, 2013; Woolcock, 2013)", "plainTextFormattedCitation" : "(cfr. Devuyst, 2013; Woolcock, 2013)", "previouslyFormattedCitation" : "(cfr. Devuyst, 2013; Woolcock, 2013)" }, "properties" : { "noteIndex" : 0 }, "schema" : "https://github.com/citation-style-language/schema/raw/master/csl-citation.json" }</w:instrText>
      </w:r>
      <w:r w:rsidR="004531A8">
        <w:rPr>
          <w:lang w:val="en-GB"/>
        </w:rPr>
        <w:fldChar w:fldCharType="separate"/>
      </w:r>
      <w:r w:rsidR="004531A8" w:rsidRPr="004531A8">
        <w:rPr>
          <w:noProof/>
          <w:lang w:val="en-GB"/>
        </w:rPr>
        <w:t>(cfr. Devuyst, 2013; Woolcock, 2013)</w:t>
      </w:r>
      <w:r w:rsidR="004531A8">
        <w:rPr>
          <w:lang w:val="en-GB"/>
        </w:rPr>
        <w:fldChar w:fldCharType="end"/>
      </w:r>
      <w:r w:rsidR="004531A8">
        <w:rPr>
          <w:lang w:val="en-GB"/>
        </w:rPr>
        <w:t>.</w:t>
      </w:r>
      <w:r w:rsidR="00CF23DC">
        <w:rPr>
          <w:lang w:val="en-GB"/>
        </w:rPr>
        <w:t xml:space="preserve"> </w:t>
      </w:r>
      <w:proofErr w:type="gramStart"/>
      <w:r w:rsidR="006E3CC7">
        <w:rPr>
          <w:lang w:val="en-GB"/>
        </w:rPr>
        <w:t xml:space="preserve">On the one hand, the ‘efficiency’ dimension was strengthened by expanding the scope </w:t>
      </w:r>
      <w:r w:rsidR="00E630E8">
        <w:rPr>
          <w:lang w:val="en-GB"/>
        </w:rPr>
        <w:t>of</w:t>
      </w:r>
      <w:r w:rsidR="00CF23DC">
        <w:rPr>
          <w:lang w:val="en-GB"/>
        </w:rPr>
        <w:t xml:space="preserve"> supranational</w:t>
      </w:r>
      <w:r w:rsidR="00564F43">
        <w:rPr>
          <w:lang w:val="en-GB"/>
        </w:rPr>
        <w:t xml:space="preserve"> trade</w:t>
      </w:r>
      <w:r w:rsidR="00CF23DC">
        <w:rPr>
          <w:lang w:val="en-GB"/>
        </w:rPr>
        <w:t xml:space="preserve"> competence</w:t>
      </w:r>
      <w:r w:rsidR="005E3A88">
        <w:rPr>
          <w:lang w:val="en-GB"/>
        </w:rPr>
        <w:t xml:space="preserve"> (which now also </w:t>
      </w:r>
      <w:r w:rsidR="00CF23DC">
        <w:rPr>
          <w:lang w:val="en-GB"/>
        </w:rPr>
        <w:t>cover</w:t>
      </w:r>
      <w:r w:rsidR="00564F43">
        <w:rPr>
          <w:lang w:val="en-GB"/>
        </w:rPr>
        <w:t>s</w:t>
      </w:r>
      <w:r w:rsidR="00CF23DC">
        <w:rPr>
          <w:lang w:val="en-GB"/>
        </w:rPr>
        <w:t xml:space="preserve"> </w:t>
      </w:r>
      <w:r w:rsidR="0070110C">
        <w:rPr>
          <w:lang w:val="en-GB"/>
        </w:rPr>
        <w:t>services, intellectual property rights and foreign direct investment</w:t>
      </w:r>
      <w:r w:rsidR="005E3A88">
        <w:rPr>
          <w:lang w:val="en-GB"/>
        </w:rPr>
        <w:t xml:space="preserve">), thereby limiting the need for national </w:t>
      </w:r>
      <w:r w:rsidR="00F25696">
        <w:rPr>
          <w:lang w:val="en-GB"/>
        </w:rPr>
        <w:t>parliamentary</w:t>
      </w:r>
      <w:r w:rsidR="00E630E8">
        <w:rPr>
          <w:lang w:val="en-GB"/>
        </w:rPr>
        <w:t xml:space="preserve"> ratification</w:t>
      </w:r>
      <w:proofErr w:type="gramEnd"/>
      <w:r w:rsidR="00E630E8">
        <w:rPr>
          <w:lang w:val="en-GB"/>
        </w:rPr>
        <w:t xml:space="preserve">. </w:t>
      </w:r>
      <w:r w:rsidR="0086035B">
        <w:rPr>
          <w:lang w:val="en-GB"/>
        </w:rPr>
        <w:t>T</w:t>
      </w:r>
      <w:r w:rsidR="00D96223">
        <w:rPr>
          <w:lang w:val="en-GB"/>
        </w:rPr>
        <w:t>his</w:t>
      </w:r>
      <w:r w:rsidR="00E630E8">
        <w:rPr>
          <w:lang w:val="en-GB"/>
        </w:rPr>
        <w:t xml:space="preserve"> change</w:t>
      </w:r>
      <w:r w:rsidR="00D96223">
        <w:rPr>
          <w:lang w:val="en-GB"/>
        </w:rPr>
        <w:t xml:space="preserve"> </w:t>
      </w:r>
      <w:r w:rsidR="00E630E8">
        <w:rPr>
          <w:lang w:val="en-GB"/>
        </w:rPr>
        <w:t>was necessary</w:t>
      </w:r>
      <w:r w:rsidR="00D96223">
        <w:rPr>
          <w:lang w:val="en-GB"/>
        </w:rPr>
        <w:t xml:space="preserve">, it </w:t>
      </w:r>
      <w:r w:rsidR="00B67AF5">
        <w:rPr>
          <w:lang w:val="en-GB"/>
        </w:rPr>
        <w:t>was</w:t>
      </w:r>
      <w:r w:rsidR="00D96223">
        <w:rPr>
          <w:lang w:val="en-GB"/>
        </w:rPr>
        <w:t xml:space="preserve"> argued, </w:t>
      </w:r>
      <w:r w:rsidR="00E630E8">
        <w:rPr>
          <w:lang w:val="en-GB"/>
        </w:rPr>
        <w:t xml:space="preserve">to </w:t>
      </w:r>
      <w:r w:rsidR="00D96223">
        <w:rPr>
          <w:lang w:val="en-GB"/>
        </w:rPr>
        <w:t>make the EU a more reliable and efficient negotiating partner</w:t>
      </w:r>
      <w:r w:rsidR="00217C63">
        <w:rPr>
          <w:lang w:val="en-GB"/>
        </w:rPr>
        <w:t xml:space="preserve">. </w:t>
      </w:r>
      <w:r w:rsidR="005E3A88">
        <w:rPr>
          <w:lang w:val="en-GB"/>
        </w:rPr>
        <w:t xml:space="preserve">On the other hand, </w:t>
      </w:r>
      <w:r w:rsidR="00CF23DC">
        <w:rPr>
          <w:lang w:val="en-GB"/>
        </w:rPr>
        <w:t>the</w:t>
      </w:r>
      <w:r w:rsidR="005E3A88">
        <w:rPr>
          <w:lang w:val="en-GB"/>
        </w:rPr>
        <w:t xml:space="preserve"> ‘legitimacy’ of the EU’s trade policies was to be bolstered by expanding the role of the</w:t>
      </w:r>
      <w:r w:rsidR="00CF23DC">
        <w:rPr>
          <w:lang w:val="en-GB"/>
        </w:rPr>
        <w:t xml:space="preserve"> European </w:t>
      </w:r>
      <w:r w:rsidR="001A05A0">
        <w:rPr>
          <w:lang w:val="en-GB"/>
        </w:rPr>
        <w:t>Parliament</w:t>
      </w:r>
      <w:r w:rsidR="005E3A88">
        <w:rPr>
          <w:lang w:val="en-GB"/>
        </w:rPr>
        <w:t xml:space="preserve"> (EP)</w:t>
      </w:r>
      <w:r w:rsidR="005E3A88">
        <w:rPr>
          <w:rStyle w:val="Voetnootmarkering"/>
          <w:lang w:val="en-GB"/>
        </w:rPr>
        <w:footnoteReference w:id="2"/>
      </w:r>
      <w:r w:rsidR="005E3A88">
        <w:rPr>
          <w:lang w:val="en-GB"/>
        </w:rPr>
        <w:t>.</w:t>
      </w:r>
      <w:r w:rsidR="006B42A6">
        <w:rPr>
          <w:lang w:val="en-GB"/>
        </w:rPr>
        <w:t xml:space="preserve"> In that way, it was considered that the Lisbon Treaty reforms boosted EU trade policy legitimacy</w:t>
      </w:r>
      <w:r w:rsidR="000E2ACF">
        <w:rPr>
          <w:lang w:val="en-GB"/>
        </w:rPr>
        <w:t>.</w:t>
      </w:r>
      <w:r w:rsidR="00CE6092">
        <w:rPr>
          <w:lang w:val="en-GB"/>
        </w:rPr>
        <w:t xml:space="preserve"> </w:t>
      </w:r>
      <w:r w:rsidR="000E2ACF">
        <w:rPr>
          <w:lang w:val="en-GB"/>
        </w:rPr>
        <w:t xml:space="preserve">Before this double reform, </w:t>
      </w:r>
      <w:r w:rsidR="006B42A6">
        <w:rPr>
          <w:lang w:val="en-GB"/>
        </w:rPr>
        <w:t xml:space="preserve">national </w:t>
      </w:r>
      <w:r w:rsidR="00FD2FFF">
        <w:rPr>
          <w:lang w:val="en-GB"/>
        </w:rPr>
        <w:t>Parliament</w:t>
      </w:r>
      <w:r w:rsidR="006B42A6">
        <w:rPr>
          <w:lang w:val="en-GB"/>
        </w:rPr>
        <w:t>s had</w:t>
      </w:r>
      <w:r w:rsidR="005E3A88">
        <w:rPr>
          <w:lang w:val="en-GB"/>
        </w:rPr>
        <w:t xml:space="preserve"> </w:t>
      </w:r>
      <w:r w:rsidR="00652B92">
        <w:rPr>
          <w:lang w:val="en-GB"/>
        </w:rPr>
        <w:t>‘abdicated their control over the making of trade policy’</w:t>
      </w:r>
      <w:r w:rsidR="00564F43">
        <w:rPr>
          <w:lang w:val="en-GB"/>
        </w:rPr>
        <w:t xml:space="preserve"> </w:t>
      </w:r>
      <w:r w:rsidR="00321CED">
        <w:rPr>
          <w:lang w:val="en-GB"/>
        </w:rPr>
        <w:t xml:space="preserve">in EU exclusive trade agreements </w:t>
      </w:r>
      <w:r w:rsidR="00564F43">
        <w:rPr>
          <w:lang w:val="en-GB"/>
        </w:rPr>
        <w:t>formally, while the European Parli</w:t>
      </w:r>
      <w:r w:rsidR="00CE6092">
        <w:rPr>
          <w:lang w:val="en-GB"/>
        </w:rPr>
        <w:t xml:space="preserve">ament </w:t>
      </w:r>
      <w:r w:rsidR="000E2ACF">
        <w:rPr>
          <w:lang w:val="en-GB"/>
        </w:rPr>
        <w:t>held no role either</w:t>
      </w:r>
      <w:r w:rsidR="00564F43">
        <w:rPr>
          <w:lang w:val="en-GB"/>
        </w:rPr>
        <w:t xml:space="preserve">, creating a democratic deficit </w:t>
      </w:r>
      <w:r w:rsidR="00652B92">
        <w:rPr>
          <w:lang w:val="en-GB"/>
        </w:rPr>
        <w:t>(</w:t>
      </w:r>
      <w:proofErr w:type="spellStart"/>
      <w:r w:rsidR="00652B92">
        <w:rPr>
          <w:lang w:val="en-GB"/>
        </w:rPr>
        <w:t>Meunier</w:t>
      </w:r>
      <w:proofErr w:type="spellEnd"/>
      <w:r w:rsidR="00652B92">
        <w:rPr>
          <w:lang w:val="en-GB"/>
        </w:rPr>
        <w:t xml:space="preserve"> 2005: 191). </w:t>
      </w:r>
      <w:r w:rsidR="00631005">
        <w:rPr>
          <w:lang w:val="en-GB"/>
        </w:rPr>
        <w:t xml:space="preserve">Moreover, national </w:t>
      </w:r>
      <w:r w:rsidR="00FD2FFF">
        <w:rPr>
          <w:lang w:val="en-GB"/>
        </w:rPr>
        <w:t>Parliament</w:t>
      </w:r>
      <w:r w:rsidR="00631005">
        <w:rPr>
          <w:lang w:val="en-GB"/>
        </w:rPr>
        <w:t xml:space="preserve">s were seen as having abdicated their control function </w:t>
      </w:r>
      <w:r w:rsidR="000E2ACF">
        <w:rPr>
          <w:i/>
          <w:lang w:val="en-GB"/>
        </w:rPr>
        <w:t>de facto</w:t>
      </w:r>
      <w:r w:rsidR="000E2ACF">
        <w:rPr>
          <w:lang w:val="en-GB"/>
        </w:rPr>
        <w:t xml:space="preserve"> also</w:t>
      </w:r>
      <w:r w:rsidR="00631005">
        <w:rPr>
          <w:lang w:val="en-GB"/>
        </w:rPr>
        <w:t xml:space="preserve"> when they held the ratification competence in mixed agreements: ‘[</w:t>
      </w:r>
      <w:proofErr w:type="gramStart"/>
      <w:r w:rsidR="00631005">
        <w:rPr>
          <w:lang w:val="en-GB"/>
        </w:rPr>
        <w:t>m]</w:t>
      </w:r>
      <w:proofErr w:type="spellStart"/>
      <w:r w:rsidR="00631005">
        <w:rPr>
          <w:lang w:val="en-GB"/>
        </w:rPr>
        <w:t>ost</w:t>
      </w:r>
      <w:proofErr w:type="spellEnd"/>
      <w:proofErr w:type="gramEnd"/>
      <w:r w:rsidR="00631005">
        <w:rPr>
          <w:lang w:val="en-GB"/>
        </w:rPr>
        <w:t xml:space="preserve"> member state </w:t>
      </w:r>
      <w:r w:rsidR="00FD2FFF">
        <w:rPr>
          <w:lang w:val="en-GB"/>
        </w:rPr>
        <w:t>Parliament</w:t>
      </w:r>
      <w:r w:rsidR="00631005">
        <w:rPr>
          <w:lang w:val="en-GB"/>
        </w:rPr>
        <w:t>s have never been able – or perhaps interested enough – to provide effective scrutiny of EC external trade policy as they are two steps removed from the real negotiations’ (</w:t>
      </w:r>
      <w:proofErr w:type="spellStart"/>
      <w:r w:rsidR="00631005">
        <w:rPr>
          <w:lang w:val="en-GB"/>
        </w:rPr>
        <w:t>Woolcock</w:t>
      </w:r>
      <w:proofErr w:type="spellEnd"/>
      <w:r w:rsidR="00631005">
        <w:rPr>
          <w:lang w:val="en-GB"/>
        </w:rPr>
        <w:t xml:space="preserve"> 2010: 7). </w:t>
      </w:r>
      <w:r w:rsidR="000E2ACF">
        <w:rPr>
          <w:lang w:val="en-GB"/>
        </w:rPr>
        <w:t xml:space="preserve">Hence, several EU trade policy observers considered the Lisbon Treaty reforms as an unequivocal win-win for the effectiveness and legitimacy of EU trade </w:t>
      </w:r>
      <w:proofErr w:type="gramStart"/>
      <w:r w:rsidR="000E2ACF">
        <w:rPr>
          <w:lang w:val="en-GB"/>
        </w:rPr>
        <w:t>policy,</w:t>
      </w:r>
      <w:proofErr w:type="gramEnd"/>
      <w:r w:rsidR="00C71C83">
        <w:rPr>
          <w:lang w:val="en-GB"/>
        </w:rPr>
        <w:t xml:space="preserve"> ‘go[</w:t>
      </w:r>
      <w:proofErr w:type="spellStart"/>
      <w:r w:rsidR="00C71C83">
        <w:rPr>
          <w:lang w:val="en-GB"/>
        </w:rPr>
        <w:t>ing</w:t>
      </w:r>
      <w:proofErr w:type="spellEnd"/>
      <w:r w:rsidR="00C71C83">
        <w:rPr>
          <w:lang w:val="en-GB"/>
        </w:rPr>
        <w:t>] a considerable way to filling the democratic deficit that previously existed with the technocratic decision-making process’</w:t>
      </w:r>
      <w:r w:rsidR="00CE6092">
        <w:rPr>
          <w:lang w:val="en-GB"/>
        </w:rPr>
        <w:t xml:space="preserve"> (</w:t>
      </w:r>
      <w:proofErr w:type="spellStart"/>
      <w:r w:rsidR="00CE6092">
        <w:rPr>
          <w:lang w:val="en-GB"/>
        </w:rPr>
        <w:t>Woolcock</w:t>
      </w:r>
      <w:proofErr w:type="spellEnd"/>
      <w:r w:rsidR="00CE6092">
        <w:rPr>
          <w:lang w:val="en-GB"/>
        </w:rPr>
        <w:t xml:space="preserve"> 2010:14). </w:t>
      </w:r>
    </w:p>
    <w:p w14:paraId="461BA0BB" w14:textId="77777777" w:rsidR="00D16F40" w:rsidRDefault="00D16F40" w:rsidP="009074F5">
      <w:pPr>
        <w:spacing w:line="276" w:lineRule="auto"/>
        <w:jc w:val="both"/>
        <w:rPr>
          <w:lang w:val="en-GB"/>
        </w:rPr>
      </w:pPr>
    </w:p>
    <w:p w14:paraId="03CE70D8" w14:textId="54366709" w:rsidR="00536012" w:rsidRDefault="000E2ACF" w:rsidP="009074F5">
      <w:pPr>
        <w:spacing w:line="276" w:lineRule="auto"/>
        <w:jc w:val="both"/>
        <w:rPr>
          <w:lang w:val="en-GB"/>
        </w:rPr>
      </w:pPr>
      <w:r>
        <w:rPr>
          <w:lang w:val="en-GB"/>
        </w:rPr>
        <w:t>The reforms were</w:t>
      </w:r>
      <w:r w:rsidR="00C71C83">
        <w:rPr>
          <w:lang w:val="en-GB"/>
        </w:rPr>
        <w:t xml:space="preserve"> not universally welcomed</w:t>
      </w:r>
      <w:r w:rsidR="00CE6092">
        <w:rPr>
          <w:lang w:val="en-GB"/>
        </w:rPr>
        <w:t>, however</w:t>
      </w:r>
      <w:r w:rsidR="00C71C83">
        <w:rPr>
          <w:lang w:val="en-GB"/>
        </w:rPr>
        <w:t>.</w:t>
      </w:r>
      <w:r w:rsidR="007B79D7">
        <w:rPr>
          <w:lang w:val="en-GB"/>
        </w:rPr>
        <w:t xml:space="preserve"> On the one hand, two authorities in the legal discipline of EU external relations, Marc </w:t>
      </w:r>
      <w:proofErr w:type="spellStart"/>
      <w:r w:rsidR="007B79D7">
        <w:rPr>
          <w:lang w:val="en-GB"/>
        </w:rPr>
        <w:t>Maresceau</w:t>
      </w:r>
      <w:proofErr w:type="spellEnd"/>
      <w:r w:rsidR="007B79D7">
        <w:rPr>
          <w:lang w:val="en-GB"/>
        </w:rPr>
        <w:t xml:space="preserve"> and Joseph </w:t>
      </w:r>
      <w:proofErr w:type="spellStart"/>
      <w:r w:rsidR="007B79D7">
        <w:rPr>
          <w:lang w:val="en-GB"/>
        </w:rPr>
        <w:t>Weiler</w:t>
      </w:r>
      <w:proofErr w:type="spellEnd"/>
      <w:r w:rsidR="007B79D7">
        <w:rPr>
          <w:lang w:val="en-GB"/>
        </w:rPr>
        <w:t>, expressed their scepticism about the impact of the European Parliament’s new powers on the effectiveness of EU tra</w:t>
      </w:r>
      <w:r w:rsidR="00D87B40">
        <w:rPr>
          <w:lang w:val="en-GB"/>
        </w:rPr>
        <w:t xml:space="preserve">de policy (cited in </w:t>
      </w:r>
      <w:proofErr w:type="spellStart"/>
      <w:r w:rsidR="00D87B40">
        <w:rPr>
          <w:lang w:val="en-GB"/>
        </w:rPr>
        <w:t>Devuyst</w:t>
      </w:r>
      <w:proofErr w:type="spellEnd"/>
      <w:r w:rsidR="00D87B40">
        <w:rPr>
          <w:lang w:val="en-GB"/>
        </w:rPr>
        <w:t xml:space="preserve"> 2013</w:t>
      </w:r>
      <w:r w:rsidR="007B79D7">
        <w:rPr>
          <w:lang w:val="en-GB"/>
        </w:rPr>
        <w:t>: 311-312).</w:t>
      </w:r>
      <w:r w:rsidR="00F54A5C">
        <w:rPr>
          <w:lang w:val="en-GB"/>
        </w:rPr>
        <w:t xml:space="preserve"> </w:t>
      </w:r>
      <w:r w:rsidR="007B79D7">
        <w:rPr>
          <w:lang w:val="en-GB"/>
        </w:rPr>
        <w:t>On the other hand</w:t>
      </w:r>
      <w:r w:rsidR="00F54A5C">
        <w:rPr>
          <w:lang w:val="en-GB"/>
        </w:rPr>
        <w:t xml:space="preserve">, some scholars pointed out that giving the European Parliament more power in trade </w:t>
      </w:r>
      <w:proofErr w:type="gramStart"/>
      <w:r w:rsidR="00F54A5C">
        <w:rPr>
          <w:lang w:val="en-GB"/>
        </w:rPr>
        <w:t>may</w:t>
      </w:r>
      <w:proofErr w:type="gramEnd"/>
      <w:r w:rsidR="00F54A5C">
        <w:rPr>
          <w:lang w:val="en-GB"/>
        </w:rPr>
        <w:t xml:space="preserve"> </w:t>
      </w:r>
      <w:r>
        <w:rPr>
          <w:lang w:val="en-GB"/>
        </w:rPr>
        <w:t>be positive in terms of control at the supranational level, but that this may create new problems.</w:t>
      </w:r>
      <w:r w:rsidR="00F54A5C">
        <w:rPr>
          <w:lang w:val="en-GB"/>
        </w:rPr>
        <w:t xml:space="preserve"> </w:t>
      </w:r>
      <w:r>
        <w:rPr>
          <w:lang w:val="en-GB"/>
        </w:rPr>
        <w:t>As several policy domains potentially affected by deep trade agreements (e.g. social policy) remain national competences and (</w:t>
      </w:r>
      <w:proofErr w:type="gramStart"/>
      <w:r>
        <w:rPr>
          <w:lang w:val="en-GB"/>
        </w:rPr>
        <w:t>re)distributive</w:t>
      </w:r>
      <w:proofErr w:type="gramEnd"/>
      <w:r>
        <w:rPr>
          <w:lang w:val="en-GB"/>
        </w:rPr>
        <w:t xml:space="preserve"> consequences of trade agreements have to be mainly dealt with at the Member State level in the EU’s overall architecture</w:t>
      </w:r>
      <w:r w:rsidR="000664CE">
        <w:rPr>
          <w:rStyle w:val="Voetnootmarkering"/>
          <w:lang w:val="en-GB"/>
        </w:rPr>
        <w:footnoteReference w:id="3"/>
      </w:r>
      <w:r>
        <w:rPr>
          <w:lang w:val="en-GB"/>
        </w:rPr>
        <w:t xml:space="preserve">, the loss of power of national </w:t>
      </w:r>
      <w:r w:rsidR="00FD2FFF">
        <w:rPr>
          <w:lang w:val="en-GB"/>
        </w:rPr>
        <w:t>Parliament</w:t>
      </w:r>
      <w:r>
        <w:rPr>
          <w:lang w:val="en-GB"/>
        </w:rPr>
        <w:t>s could weaken the legitimacy of an expanded EU trade policy</w:t>
      </w:r>
      <w:r w:rsidR="00F54A5C">
        <w:rPr>
          <w:lang w:val="en-GB"/>
        </w:rPr>
        <w:t xml:space="preserve">. Since </w:t>
      </w:r>
      <w:r w:rsidR="0086035B">
        <w:rPr>
          <w:lang w:val="en-GB"/>
        </w:rPr>
        <w:t xml:space="preserve">the </w:t>
      </w:r>
      <w:r w:rsidR="00F54A5C">
        <w:rPr>
          <w:lang w:val="en-GB"/>
        </w:rPr>
        <w:t>EU’s new competences went well beyond classic ‘at-the-border’ instruments such as tariffs, expanding into the ‘deep trade’ zone of regulatory and normative issues</w:t>
      </w:r>
      <w:r w:rsidR="004531A8">
        <w:rPr>
          <w:lang w:val="en-GB"/>
        </w:rPr>
        <w:t xml:space="preserve"> </w:t>
      </w:r>
      <w:r w:rsidR="004531A8">
        <w:rPr>
          <w:lang w:val="en-GB"/>
        </w:rPr>
        <w:fldChar w:fldCharType="begin" w:fldLock="1"/>
      </w:r>
      <w:r w:rsidR="00C51CE6">
        <w:rPr>
          <w:lang w:val="en-GB"/>
        </w:rPr>
        <w:instrText>ADDIN CSL_CITATION { "citationItems" : [ { "id" : "ITEM-1", "itemData" : { "DOI" : "10.1111/j.1468-5965.2007.00748.x", "ISBN" : "0021-9886", "ISSN" : "00219886", "PMID" : "270", "abstract" : "The European Union is a key player in the Doha Development Round of multilateral trade negotiations. This article argues that its negotiating position reflects distinctive patterns of politics underlying three aspects of trade policy \u2013 traditional trade policy, commercial policy and social trade policy \u2013 characterized by different sets of actors and political dynamics. Although there is significant variation in the substance of the EU's position within each aspect of trade policy, their distinctive patterns of politics help to explain why the EU's negotiating position is most liberal in traditional trade policy and least in social trade policy.", "author" : [ { "dropping-particle" : "", "family" : "Young", "given" : "Alasdair", "non-dropping-particle" : "", "parse-names" : false, "suffix" : "" } ], "container-title" : "Journal of Common Market Studies", "id" : "ITEM-1", "issue" : "4", "issued" : { "date-parts" : [ [ "2007" ] ] }, "page" : "789-811", "title" : "Trade politics ain't what it used to be: The European union in the doha round", "type" : "article-journal", "volume" : "45" }, "uris" : [ "http://www.mendeley.com/documents/?uuid=c6c33732-f5ac-4dc6-b3f1-5c01387e758f" ] } ], "mendeley" : { "formattedCitation" : "(Young, 2007)", "plainTextFormattedCitation" : "(Young, 2007)", "previouslyFormattedCitation" : "(Young, 2007)" }, "properties" : { "noteIndex" : 0 }, "schema" : "https://github.com/citation-style-language/schema/raw/master/csl-citation.json" }</w:instrText>
      </w:r>
      <w:r w:rsidR="004531A8">
        <w:rPr>
          <w:lang w:val="en-GB"/>
        </w:rPr>
        <w:fldChar w:fldCharType="separate"/>
      </w:r>
      <w:r w:rsidR="00C51CE6" w:rsidRPr="00C51CE6">
        <w:rPr>
          <w:noProof/>
          <w:lang w:val="en-GB"/>
        </w:rPr>
        <w:t>(Young, 2007)</w:t>
      </w:r>
      <w:r w:rsidR="004531A8">
        <w:rPr>
          <w:lang w:val="en-GB"/>
        </w:rPr>
        <w:fldChar w:fldCharType="end"/>
      </w:r>
      <w:r w:rsidR="004531A8">
        <w:rPr>
          <w:lang w:val="en-GB"/>
        </w:rPr>
        <w:t>,</w:t>
      </w:r>
      <w:r w:rsidR="00F54A5C">
        <w:rPr>
          <w:lang w:val="en-GB"/>
        </w:rPr>
        <w:t xml:space="preserve"> ‘subsidiarity’ did not </w:t>
      </w:r>
      <w:r w:rsidR="00FE4E19">
        <w:rPr>
          <w:lang w:val="en-GB"/>
        </w:rPr>
        <w:t>unambiguously</w:t>
      </w:r>
      <w:r w:rsidR="00F54A5C">
        <w:rPr>
          <w:lang w:val="en-GB"/>
        </w:rPr>
        <w:t xml:space="preserve"> favour further Europeanization</w:t>
      </w:r>
      <w:r w:rsidR="00C51CE6">
        <w:rPr>
          <w:lang w:val="en-GB"/>
        </w:rPr>
        <w:t xml:space="preserve"> </w:t>
      </w:r>
      <w:r w:rsidR="00C51CE6">
        <w:rPr>
          <w:lang w:val="en-GB"/>
        </w:rPr>
        <w:fldChar w:fldCharType="begin" w:fldLock="1"/>
      </w:r>
      <w:r w:rsidR="00C51CE6">
        <w:rPr>
          <w:lang w:val="en-GB"/>
        </w:rPr>
        <w:instrText>ADDIN CSL_CITATION { "citationItems" : [ { "id" : "ITEM-1", "itemData" : { "author" : [ { "dropping-particle" : "", "family" : "Bossuyt", "given" : "Fabienne", "non-dropping-particle" : "", "parse-names" : false, "suffix" : "" } ], "container-title" : "Res Publica", "id" : "ITEM-1", "issued" : { "date-parts" : [ [ "2012" ] ] }, "title" : "De impact van multilevel governance op de democratische input in het EU-handelsbeleid onder het Verdrag van Lissabon", "type" : "article-journal", "volume" : "1" }, "uris" : [ "http://www.mendeley.com/documents/?uuid=32b75268-3b85-43f9-a2c8-5354f83630a8" ] }, { "id" : "ITEM-2", "itemData" : { "author" : [ { "dropping-particle" : "", "family" : "Ville", "given" : "Ferdi", "non-dropping-particle" : "De", "parse-names" : false, "suffix" : "" } ], "container-title" : "Subsidiarity and multi-level governance", "id" : "ITEM-2", "issued" : { "date-parts" : [ [ "2012" ] ] }, "page" : "125-136", "publisher" : "Koninklijke Vlaamse Academie van Belgi\u00eb voor Wetenschappen en Kunsten", "publisher-place" : "Brussels", "title" : "Subsidiarity and EU trade policy: overview of the (complex) discussion, treaty of Lisbon, and implications for Flanders", "type" : "chapter" }, "uris" : [ "http://www.mendeley.com/documents/?uuid=6d3b8f95-4f44-43df-a521-2a9afd638113" ] } ], "mendeley" : { "formattedCitation" : "(Bossuyt, 2012; De Ville, 2012)", "plainTextFormattedCitation" : "(Bossuyt, 2012; De Ville, 2012)", "previouslyFormattedCitation" : "(Bossuyt, 2012; De Ville, 2012)" }, "properties" : { "noteIndex" : 0 }, "schema" : "https://github.com/citation-style-language/schema/raw/master/csl-citation.json" }</w:instrText>
      </w:r>
      <w:r w:rsidR="00C51CE6">
        <w:rPr>
          <w:lang w:val="en-GB"/>
        </w:rPr>
        <w:fldChar w:fldCharType="separate"/>
      </w:r>
      <w:r w:rsidR="00C51CE6" w:rsidRPr="00C51CE6">
        <w:rPr>
          <w:noProof/>
          <w:lang w:val="en-GB"/>
        </w:rPr>
        <w:t>(Bossuyt, 2012; De Ville, 2012)</w:t>
      </w:r>
      <w:r w:rsidR="00C51CE6">
        <w:rPr>
          <w:lang w:val="en-GB"/>
        </w:rPr>
        <w:fldChar w:fldCharType="end"/>
      </w:r>
      <w:r w:rsidR="00F54A5C">
        <w:rPr>
          <w:lang w:val="en-GB"/>
        </w:rPr>
        <w:t xml:space="preserve">. </w:t>
      </w:r>
      <w:r w:rsidR="00233944">
        <w:rPr>
          <w:lang w:val="en-GB"/>
        </w:rPr>
        <w:t xml:space="preserve">Seen </w:t>
      </w:r>
      <w:r w:rsidR="00233944">
        <w:rPr>
          <w:lang w:val="en-GB"/>
        </w:rPr>
        <w:lastRenderedPageBreak/>
        <w:t xml:space="preserve">from this angle, </w:t>
      </w:r>
      <w:r w:rsidR="00630FCC">
        <w:rPr>
          <w:lang w:val="en-GB"/>
        </w:rPr>
        <w:t xml:space="preserve">the Lisbon Treaty changes did not overcome the fundamental trade governance question: how </w:t>
      </w:r>
      <w:r w:rsidR="0012133E">
        <w:rPr>
          <w:lang w:val="en-GB"/>
        </w:rPr>
        <w:t>can</w:t>
      </w:r>
      <w:r w:rsidR="00630FCC">
        <w:rPr>
          <w:lang w:val="en-GB"/>
        </w:rPr>
        <w:t xml:space="preserve"> we reconcile the benefits of </w:t>
      </w:r>
      <w:r w:rsidR="0012133E">
        <w:rPr>
          <w:lang w:val="en-GB"/>
        </w:rPr>
        <w:t xml:space="preserve">(institutionalized) </w:t>
      </w:r>
      <w:r w:rsidR="00630FCC">
        <w:rPr>
          <w:lang w:val="en-GB"/>
        </w:rPr>
        <w:t>open trade, with the right of (</w:t>
      </w:r>
      <w:proofErr w:type="gramStart"/>
      <w:r w:rsidR="00630FCC">
        <w:rPr>
          <w:lang w:val="en-GB"/>
        </w:rPr>
        <w:t>sub)national</w:t>
      </w:r>
      <w:proofErr w:type="gramEnd"/>
      <w:r w:rsidR="00630FCC">
        <w:rPr>
          <w:lang w:val="en-GB"/>
        </w:rPr>
        <w:t xml:space="preserve"> authorities to pursue legitimate domestic policy goals</w:t>
      </w:r>
      <w:r w:rsidR="00C51CE6">
        <w:rPr>
          <w:lang w:val="en-GB"/>
        </w:rPr>
        <w:t xml:space="preserve"> </w:t>
      </w:r>
      <w:r w:rsidR="00C51CE6">
        <w:rPr>
          <w:lang w:val="en-GB"/>
        </w:rPr>
        <w:fldChar w:fldCharType="begin" w:fldLock="1"/>
      </w:r>
      <w:r w:rsidR="00466BC5">
        <w:rPr>
          <w:lang w:val="en-GB"/>
        </w:rPr>
        <w:instrText>ADDIN CSL_CITATION { "citationItems" : [ { "id" : "ITEM-1", "itemData" : { "author" : [ { "dropping-particle" : "", "family" : "Ville", "given" : "Ferdi", "non-dropping-particle" : "De", "parse-names" : false, "suffix" : "" } ], "container-title" : "Subsidiarity and multi-level governance", "id" : "ITEM-1", "issued" : { "date-parts" : [ [ "2012" ] ] }, "page" : "125-136", "publisher" : "Koninklijke Vlaamse Academie van Belgi\u00eb voor Wetenschappen en Kunsten", "publisher-place" : "Brussels", "title" : "Subsidiarity and EU trade policy: overview of the (complex) discussion, treaty of Lisbon, and implications for Flanders", "type" : "chapter" }, "uris" : [ "http://www.mendeley.com/documents/?uuid=6d3b8f95-4f44-43df-a521-2a9afd638113" ] }, { "id" : "ITEM-2", "itemData" : { "author" : [ { "dropping-particle" : "", "family" : "Rodrik", "given" : "Dani", "non-dropping-particle" : "", "parse-names" : false, "suffix" : "" } ], "container-title" : "Harvard University, July", "id" : "ITEM-2", "issued" : { "date-parts" : [ [ "2007" ] ] }, "title" : "How to save globalization from its cheerleaders", "type" : "article-journal" }, "uris" : [ "http://www.mendeley.com/documents/?uuid=df178a86-09ef-45dd-bf61-189dacd12de3" ] }, { "id" : "ITEM-3", "itemData" : { "author" : [ { "dropping-particle" : "", "family" : "Howse", "given" : "R", "non-dropping-particle" : "", "parse-names" : false, "suffix" : "" }, { "dropping-particle" : "", "family" : "Nicola\u00efdis", "given" : "Kalypso", "non-dropping-particle" : "", "parse-names" : false, "suffix" : "" } ], "container-title" : "Governance", "id" : "ITEM-3", "issue" : "1", "issued" : { "date-parts" : [ [ "2003" ] ] }, "page" : "73-94", "title" : "Enhancing WTO legitimacy: constitutionalization or global subsidiarity?", "type" : "article-journal", "volume" : "16" }, "prefix" : "see also ", "uris" : [ "http://www.mendeley.com/documents/?uuid=bfd6fb41-dc3c-49cf-a0fa-b382aed6b6da" ] } ], "mendeley" : { "formattedCitation" : "(De Ville, 2012; see also Howse &amp; Nicola\u00efdis, 2003; Rodrik, 2007)", "plainTextFormattedCitation" : "(De Ville, 2012; see also Howse &amp; Nicola\u00efdis, 2003; Rodrik, 2007)", "previouslyFormattedCitation" : "(De Ville, 2012; see also Howse &amp; Nicola\u00efdis, 2003; Rodrik, 2007)" }, "properties" : { "noteIndex" : 0 }, "schema" : "https://github.com/citation-style-language/schema/raw/master/csl-citation.json" }</w:instrText>
      </w:r>
      <w:r w:rsidR="00C51CE6">
        <w:rPr>
          <w:lang w:val="en-GB"/>
        </w:rPr>
        <w:fldChar w:fldCharType="separate"/>
      </w:r>
      <w:r w:rsidR="00466BC5" w:rsidRPr="00466BC5">
        <w:rPr>
          <w:noProof/>
          <w:lang w:val="en-GB"/>
        </w:rPr>
        <w:t>(De Ville, 2012; see also Howse &amp; Nicolaïdis, 2003; Rodrik, 2007)</w:t>
      </w:r>
      <w:r w:rsidR="00C51CE6">
        <w:rPr>
          <w:lang w:val="en-GB"/>
        </w:rPr>
        <w:fldChar w:fldCharType="end"/>
      </w:r>
      <w:r w:rsidR="00C51CE6">
        <w:rPr>
          <w:lang w:val="en-GB"/>
        </w:rPr>
        <w:t xml:space="preserve">. </w:t>
      </w:r>
    </w:p>
    <w:p w14:paraId="66838E0D" w14:textId="77777777" w:rsidR="00C10531" w:rsidRDefault="00C10531" w:rsidP="009074F5">
      <w:pPr>
        <w:spacing w:line="276" w:lineRule="auto"/>
        <w:jc w:val="both"/>
        <w:rPr>
          <w:lang w:val="en-GB"/>
        </w:rPr>
      </w:pPr>
    </w:p>
    <w:p w14:paraId="0026A16E" w14:textId="7354B1E1" w:rsidR="007275FE" w:rsidRDefault="00CC5ACF" w:rsidP="009074F5">
      <w:pPr>
        <w:spacing w:line="276" w:lineRule="auto"/>
        <w:jc w:val="both"/>
        <w:rPr>
          <w:lang w:val="en-GB"/>
        </w:rPr>
      </w:pPr>
      <w:r>
        <w:rPr>
          <w:lang w:val="en-GB"/>
        </w:rPr>
        <w:t>This latter perspective is our starting point to understand the ‘CETA saga’. The apparent paradox of sudden (</w:t>
      </w:r>
      <w:proofErr w:type="gramStart"/>
      <w:r>
        <w:rPr>
          <w:lang w:val="en-GB"/>
        </w:rPr>
        <w:t>sub)national</w:t>
      </w:r>
      <w:proofErr w:type="gramEnd"/>
      <w:r>
        <w:rPr>
          <w:lang w:val="en-GB"/>
        </w:rPr>
        <w:t xml:space="preserve"> activity on an EU trade agreement</w:t>
      </w:r>
      <w:r w:rsidR="00FE4E19">
        <w:rPr>
          <w:lang w:val="en-GB"/>
        </w:rPr>
        <w:t>,</w:t>
      </w:r>
      <w:r>
        <w:rPr>
          <w:lang w:val="en-GB"/>
        </w:rPr>
        <w:t xml:space="preserve"> while the Lisbon Treaty intended to do away with this</w:t>
      </w:r>
      <w:r w:rsidR="00FE4E19">
        <w:rPr>
          <w:lang w:val="en-GB"/>
        </w:rPr>
        <w:t>,</w:t>
      </w:r>
      <w:r>
        <w:rPr>
          <w:lang w:val="en-GB"/>
        </w:rPr>
        <w:t xml:space="preserve"> could be the consequence of the deeper intrusion of post-Lisbon EU trade agreements. In the remainder of this paper, we will focus empirically on Belgium to answer two questions. First, how does the ‘CETA saga’ fit in the wider context of (</w:t>
      </w:r>
      <w:proofErr w:type="gramStart"/>
      <w:r>
        <w:rPr>
          <w:lang w:val="en-GB"/>
        </w:rPr>
        <w:t>sub)national</w:t>
      </w:r>
      <w:proofErr w:type="gramEnd"/>
      <w:r>
        <w:rPr>
          <w:lang w:val="en-GB"/>
        </w:rPr>
        <w:t xml:space="preserve"> </w:t>
      </w:r>
      <w:r w:rsidR="00F25696">
        <w:rPr>
          <w:lang w:val="en-GB"/>
        </w:rPr>
        <w:t>parliamentary</w:t>
      </w:r>
      <w:r w:rsidR="00FE4E19">
        <w:rPr>
          <w:lang w:val="en-GB"/>
        </w:rPr>
        <w:t xml:space="preserve"> trade</w:t>
      </w:r>
      <w:r>
        <w:rPr>
          <w:lang w:val="en-GB"/>
        </w:rPr>
        <w:t xml:space="preserve"> activity before and after the Lisbon Treaty? Second, how can we explain this evolution? </w:t>
      </w:r>
      <w:r w:rsidR="007275FE">
        <w:rPr>
          <w:lang w:val="en-GB"/>
        </w:rPr>
        <w:t>Recently, a limited number of authors have looked at similar questions.</w:t>
      </w:r>
      <w:r w:rsidR="00536012">
        <w:rPr>
          <w:lang w:val="en-GB"/>
        </w:rPr>
        <w:t xml:space="preserve"> </w:t>
      </w:r>
      <w:proofErr w:type="spellStart"/>
      <w:r w:rsidR="00536012">
        <w:rPr>
          <w:lang w:val="en-GB"/>
        </w:rPr>
        <w:t>Rosén</w:t>
      </w:r>
      <w:proofErr w:type="spellEnd"/>
      <w:r w:rsidR="00536012">
        <w:rPr>
          <w:lang w:val="en-GB"/>
        </w:rPr>
        <w:t xml:space="preserve"> (2016) has discussed the disagreement during the Constitutional Convention, which would later lead to the Lisbon Treaty, about the desirability of handing the European Parliament co-decision competence in trade. She concludes that the European Parliament has succeeded during these negotiations to convince the other Convention members that this transfer of power was in line with the EU’s constitutional principles and the </w:t>
      </w:r>
      <w:proofErr w:type="spellStart"/>
      <w:r w:rsidR="00536012">
        <w:rPr>
          <w:lang w:val="en-GB"/>
        </w:rPr>
        <w:t>Laeken</w:t>
      </w:r>
      <w:proofErr w:type="spellEnd"/>
      <w:r w:rsidR="00536012">
        <w:rPr>
          <w:lang w:val="en-GB"/>
        </w:rPr>
        <w:t xml:space="preserve"> Declaration’s emphasis on legitimacy (and not doing so would lead to inconsistencies). </w:t>
      </w:r>
      <w:proofErr w:type="spellStart"/>
      <w:r w:rsidRPr="00CC5ACF">
        <w:rPr>
          <w:lang w:val="en-GB"/>
        </w:rPr>
        <w:t>Jančić</w:t>
      </w:r>
      <w:proofErr w:type="spellEnd"/>
      <w:r>
        <w:rPr>
          <w:lang w:val="en-GB"/>
        </w:rPr>
        <w:t xml:space="preserve"> </w:t>
      </w:r>
      <w:r w:rsidR="00E67774">
        <w:rPr>
          <w:lang w:val="en-GB"/>
        </w:rPr>
        <w:t>(2017)</w:t>
      </w:r>
      <w:r w:rsidR="007275FE">
        <w:rPr>
          <w:lang w:val="en-GB"/>
        </w:rPr>
        <w:t xml:space="preserve"> has studied</w:t>
      </w:r>
      <w:r w:rsidR="00E67774">
        <w:rPr>
          <w:lang w:val="en-GB"/>
        </w:rPr>
        <w:t xml:space="preserve"> the involvement of national </w:t>
      </w:r>
      <w:r w:rsidR="00FD2FFF">
        <w:rPr>
          <w:lang w:val="en-GB"/>
        </w:rPr>
        <w:t>Parliament</w:t>
      </w:r>
      <w:r w:rsidR="00E67774">
        <w:rPr>
          <w:lang w:val="en-GB"/>
        </w:rPr>
        <w:t xml:space="preserve">s in TTIP, </w:t>
      </w:r>
      <w:r>
        <w:rPr>
          <w:lang w:val="en-GB"/>
        </w:rPr>
        <w:t>focusing</w:t>
      </w:r>
      <w:r w:rsidR="00E67774">
        <w:rPr>
          <w:lang w:val="en-GB"/>
        </w:rPr>
        <w:t xml:space="preserve"> on the UK and France. </w:t>
      </w:r>
      <w:r w:rsidR="00744E28">
        <w:rPr>
          <w:lang w:val="en-GB"/>
        </w:rPr>
        <w:t>H</w:t>
      </w:r>
      <w:r w:rsidR="00E67774">
        <w:rPr>
          <w:lang w:val="en-GB"/>
        </w:rPr>
        <w:t xml:space="preserve">is intent </w:t>
      </w:r>
      <w:r w:rsidR="007275FE">
        <w:rPr>
          <w:lang w:val="en-GB"/>
        </w:rPr>
        <w:t>was</w:t>
      </w:r>
      <w:r w:rsidR="00E67774">
        <w:rPr>
          <w:lang w:val="en-GB"/>
        </w:rPr>
        <w:t xml:space="preserve"> to explain differences in </w:t>
      </w:r>
      <w:r w:rsidR="00F25696">
        <w:rPr>
          <w:lang w:val="en-GB"/>
        </w:rPr>
        <w:t>parliamentary</w:t>
      </w:r>
      <w:r w:rsidR="00E67774">
        <w:rPr>
          <w:lang w:val="en-GB"/>
        </w:rPr>
        <w:t xml:space="preserve"> influence over the executive</w:t>
      </w:r>
      <w:r>
        <w:rPr>
          <w:lang w:val="en-GB"/>
        </w:rPr>
        <w:t xml:space="preserve"> in the negotiations</w:t>
      </w:r>
      <w:r w:rsidR="00E67774">
        <w:rPr>
          <w:lang w:val="en-GB"/>
        </w:rPr>
        <w:t xml:space="preserve">, through a comparison of the </w:t>
      </w:r>
      <w:r w:rsidR="00744E28">
        <w:rPr>
          <w:lang w:val="en-GB"/>
        </w:rPr>
        <w:t xml:space="preserve">UK and France. He finds that ‘the key factors of </w:t>
      </w:r>
      <w:r w:rsidR="00F25696">
        <w:rPr>
          <w:lang w:val="en-GB"/>
        </w:rPr>
        <w:t>parliamentary</w:t>
      </w:r>
      <w:r w:rsidR="00744E28">
        <w:rPr>
          <w:lang w:val="en-GB"/>
        </w:rPr>
        <w:t xml:space="preserve"> influence over the executive in EU external trade relations are the nature of the agreement, information access, and the level of fusion between the government and </w:t>
      </w:r>
      <w:r w:rsidR="00F25696">
        <w:rPr>
          <w:lang w:val="en-GB"/>
        </w:rPr>
        <w:t>parliamentary</w:t>
      </w:r>
      <w:r w:rsidR="00744E28">
        <w:rPr>
          <w:lang w:val="en-GB"/>
        </w:rPr>
        <w:t xml:space="preserve"> majority’ (2017: 216). O</w:t>
      </w:r>
      <w:r w:rsidR="00E67774">
        <w:rPr>
          <w:lang w:val="en-GB"/>
        </w:rPr>
        <w:t xml:space="preserve">ur aim is to explain why national </w:t>
      </w:r>
      <w:r w:rsidR="00FD2FFF">
        <w:rPr>
          <w:lang w:val="en-GB"/>
        </w:rPr>
        <w:t>Parliament</w:t>
      </w:r>
      <w:r w:rsidR="00E67774">
        <w:rPr>
          <w:lang w:val="en-GB"/>
        </w:rPr>
        <w:t xml:space="preserve">s have taken up their scrutiny function at a time </w:t>
      </w:r>
      <w:r w:rsidR="00CE6092">
        <w:rPr>
          <w:lang w:val="en-GB"/>
        </w:rPr>
        <w:t>when</w:t>
      </w:r>
      <w:r w:rsidR="00E67774">
        <w:rPr>
          <w:lang w:val="en-GB"/>
        </w:rPr>
        <w:t xml:space="preserve"> they seemed to have lost this competence, while they had neglected this role in the past when they held the formal responsibility. </w:t>
      </w:r>
    </w:p>
    <w:p w14:paraId="052B83A1" w14:textId="77777777" w:rsidR="00F07E1A" w:rsidRDefault="00F07E1A" w:rsidP="009074F5">
      <w:pPr>
        <w:spacing w:line="276" w:lineRule="auto"/>
        <w:jc w:val="both"/>
        <w:rPr>
          <w:lang w:val="en-GB"/>
        </w:rPr>
      </w:pPr>
    </w:p>
    <w:p w14:paraId="599A64DA" w14:textId="513182EA" w:rsidR="00F07E1A" w:rsidRDefault="00F07E1A" w:rsidP="009074F5">
      <w:pPr>
        <w:spacing w:line="276" w:lineRule="auto"/>
        <w:jc w:val="both"/>
        <w:rPr>
          <w:lang w:val="en-GB"/>
        </w:rPr>
      </w:pPr>
      <w:r>
        <w:rPr>
          <w:lang w:val="en-GB"/>
        </w:rPr>
        <w:t>In the next section, we</w:t>
      </w:r>
      <w:r w:rsidR="007275FE">
        <w:rPr>
          <w:lang w:val="en-GB"/>
        </w:rPr>
        <w:t xml:space="preserve"> descriptively</w:t>
      </w:r>
      <w:r>
        <w:rPr>
          <w:lang w:val="en-GB"/>
        </w:rPr>
        <w:t xml:space="preserve"> map the evolution of </w:t>
      </w:r>
      <w:r w:rsidR="00F25696">
        <w:rPr>
          <w:lang w:val="en-GB"/>
        </w:rPr>
        <w:t>parliamentary</w:t>
      </w:r>
      <w:r>
        <w:rPr>
          <w:lang w:val="en-GB"/>
        </w:rPr>
        <w:t xml:space="preserve"> activity in Belgium over the past two decades. </w:t>
      </w:r>
      <w:r w:rsidR="00536012">
        <w:rPr>
          <w:lang w:val="en-GB"/>
        </w:rPr>
        <w:t xml:space="preserve">Subsequently, we offer explanations for this </w:t>
      </w:r>
      <w:r w:rsidR="00CC5ACF">
        <w:rPr>
          <w:lang w:val="en-GB"/>
        </w:rPr>
        <w:t>evolution</w:t>
      </w:r>
      <w:r w:rsidR="00536012">
        <w:rPr>
          <w:lang w:val="en-GB"/>
        </w:rPr>
        <w:t>.</w:t>
      </w:r>
      <w:r w:rsidR="007275FE">
        <w:rPr>
          <w:lang w:val="en-GB"/>
        </w:rPr>
        <w:t xml:space="preserve"> These explanations have been </w:t>
      </w:r>
      <w:proofErr w:type="spellStart"/>
      <w:r w:rsidR="007275FE">
        <w:rPr>
          <w:lang w:val="en-GB"/>
        </w:rPr>
        <w:t>abductively</w:t>
      </w:r>
      <w:proofErr w:type="spellEnd"/>
      <w:r w:rsidR="007275FE">
        <w:rPr>
          <w:lang w:val="en-GB"/>
        </w:rPr>
        <w:t xml:space="preserve"> generated (e.g. </w:t>
      </w:r>
      <w:proofErr w:type="spellStart"/>
      <w:r w:rsidR="007275FE">
        <w:rPr>
          <w:lang w:val="en-GB"/>
        </w:rPr>
        <w:t>Friedrichs</w:t>
      </w:r>
      <w:proofErr w:type="spellEnd"/>
      <w:r w:rsidR="007275FE">
        <w:rPr>
          <w:lang w:val="en-GB"/>
        </w:rPr>
        <w:t xml:space="preserve"> &amp; </w:t>
      </w:r>
      <w:proofErr w:type="spellStart"/>
      <w:r w:rsidR="007275FE">
        <w:rPr>
          <w:lang w:val="en-GB"/>
        </w:rPr>
        <w:t>Kratochwil</w:t>
      </w:r>
      <w:proofErr w:type="spellEnd"/>
      <w:r w:rsidR="007275FE">
        <w:rPr>
          <w:lang w:val="en-GB"/>
        </w:rPr>
        <w:t xml:space="preserve"> 2009). </w:t>
      </w:r>
      <w:r w:rsidR="00CC5ACF">
        <w:rPr>
          <w:lang w:val="en-GB"/>
        </w:rPr>
        <w:t>This</w:t>
      </w:r>
      <w:r w:rsidR="007275FE">
        <w:rPr>
          <w:lang w:val="en-GB"/>
        </w:rPr>
        <w:t xml:space="preserve"> means that </w:t>
      </w:r>
      <w:r w:rsidR="00005BED">
        <w:rPr>
          <w:lang w:val="en-GB"/>
        </w:rPr>
        <w:t>our search for them</w:t>
      </w:r>
      <w:r w:rsidR="007275FE">
        <w:rPr>
          <w:lang w:val="en-GB"/>
        </w:rPr>
        <w:t xml:space="preserve"> </w:t>
      </w:r>
      <w:r w:rsidR="00005BED">
        <w:rPr>
          <w:lang w:val="en-GB"/>
        </w:rPr>
        <w:t>has</w:t>
      </w:r>
      <w:r w:rsidR="007275FE">
        <w:rPr>
          <w:lang w:val="en-GB"/>
        </w:rPr>
        <w:t xml:space="preserve"> been guided by</w:t>
      </w:r>
      <w:r w:rsidR="00CC5ACF">
        <w:rPr>
          <w:lang w:val="en-GB"/>
        </w:rPr>
        <w:t xml:space="preserve"> the literature discussed in this section and by</w:t>
      </w:r>
      <w:r w:rsidR="007275FE">
        <w:rPr>
          <w:lang w:val="en-GB"/>
        </w:rPr>
        <w:t xml:space="preserve"> our</w:t>
      </w:r>
      <w:r w:rsidR="00CC5ACF">
        <w:rPr>
          <w:lang w:val="en-GB"/>
        </w:rPr>
        <w:t xml:space="preserve"> own</w:t>
      </w:r>
      <w:r w:rsidR="007275FE">
        <w:rPr>
          <w:lang w:val="en-GB"/>
        </w:rPr>
        <w:t xml:space="preserve"> previous research on </w:t>
      </w:r>
      <w:r w:rsidR="00005BED">
        <w:rPr>
          <w:lang w:val="en-GB"/>
        </w:rPr>
        <w:t>Belgian involvement in EU trade policy,</w:t>
      </w:r>
      <w:r w:rsidR="00FE4E19">
        <w:rPr>
          <w:lang w:val="en-GB"/>
        </w:rPr>
        <w:t xml:space="preserve"> on</w:t>
      </w:r>
      <w:r w:rsidR="00005BED">
        <w:rPr>
          <w:lang w:val="en-GB"/>
        </w:rPr>
        <w:t xml:space="preserve"> </w:t>
      </w:r>
      <w:r w:rsidR="007275FE">
        <w:rPr>
          <w:lang w:val="en-GB"/>
        </w:rPr>
        <w:t xml:space="preserve">recent EU trade </w:t>
      </w:r>
      <w:r w:rsidR="00005BED">
        <w:rPr>
          <w:lang w:val="en-GB"/>
        </w:rPr>
        <w:t>agreements,</w:t>
      </w:r>
      <w:r w:rsidR="007275FE">
        <w:rPr>
          <w:lang w:val="en-GB"/>
        </w:rPr>
        <w:t xml:space="preserve"> and</w:t>
      </w:r>
      <w:r w:rsidR="00FE4E19">
        <w:rPr>
          <w:lang w:val="en-GB"/>
        </w:rPr>
        <w:t xml:space="preserve"> in</w:t>
      </w:r>
      <w:r w:rsidR="007275FE">
        <w:rPr>
          <w:lang w:val="en-GB"/>
        </w:rPr>
        <w:t xml:space="preserve"> </w:t>
      </w:r>
      <w:r w:rsidR="00005BED">
        <w:rPr>
          <w:lang w:val="en-GB"/>
        </w:rPr>
        <w:t>politicisation of the policy domain</w:t>
      </w:r>
      <w:r w:rsidR="007275FE">
        <w:rPr>
          <w:lang w:val="en-GB"/>
        </w:rPr>
        <w:t xml:space="preserve"> (e.g. Bollen et al. 2015; De Ville &amp; Siles-Brügge 2016; </w:t>
      </w:r>
      <w:r w:rsidR="00005BED">
        <w:rPr>
          <w:lang w:val="en-GB"/>
        </w:rPr>
        <w:t>Gheyle 2016</w:t>
      </w:r>
      <w:r w:rsidR="007275FE">
        <w:rPr>
          <w:lang w:val="en-GB"/>
        </w:rPr>
        <w:t>)</w:t>
      </w:r>
      <w:r w:rsidR="00005BED">
        <w:rPr>
          <w:lang w:val="en-GB"/>
        </w:rPr>
        <w:t xml:space="preserve">, while during our analysis of </w:t>
      </w:r>
      <w:r w:rsidR="00F25696">
        <w:rPr>
          <w:lang w:val="en-GB"/>
        </w:rPr>
        <w:t>parliamentary</w:t>
      </w:r>
      <w:r w:rsidR="00005BED">
        <w:rPr>
          <w:lang w:val="en-GB"/>
        </w:rPr>
        <w:t xml:space="preserve"> debates and interviews we have been open for alternative interpretations.  </w:t>
      </w:r>
      <w:r w:rsidR="00536012">
        <w:rPr>
          <w:lang w:val="en-GB"/>
        </w:rPr>
        <w:t xml:space="preserve"> </w:t>
      </w:r>
    </w:p>
    <w:p w14:paraId="38FC4085" w14:textId="66B6C1A3" w:rsidR="00C47174" w:rsidRPr="006E20E5" w:rsidRDefault="00536012" w:rsidP="009074F5">
      <w:pPr>
        <w:pStyle w:val="Kop1"/>
        <w:spacing w:line="276" w:lineRule="auto"/>
        <w:rPr>
          <w:lang w:val="en-GB"/>
        </w:rPr>
      </w:pPr>
      <w:r>
        <w:rPr>
          <w:lang w:val="en-GB"/>
        </w:rPr>
        <w:t xml:space="preserve">3. </w:t>
      </w:r>
      <w:r w:rsidR="00CA45D7">
        <w:rPr>
          <w:lang w:val="en-GB"/>
        </w:rPr>
        <w:t>National</w:t>
      </w:r>
      <w:r w:rsidR="003B01C5">
        <w:rPr>
          <w:lang w:val="en-GB"/>
        </w:rPr>
        <w:t xml:space="preserve"> </w:t>
      </w:r>
      <w:r w:rsidR="00F25696">
        <w:rPr>
          <w:lang w:val="en-GB"/>
        </w:rPr>
        <w:t>parliamentary</w:t>
      </w:r>
      <w:r w:rsidR="00CA45D7" w:rsidRPr="006E20E5">
        <w:rPr>
          <w:lang w:val="en-GB"/>
        </w:rPr>
        <w:t xml:space="preserve"> </w:t>
      </w:r>
      <w:r w:rsidR="006240C7" w:rsidRPr="006E20E5">
        <w:rPr>
          <w:lang w:val="en-GB"/>
        </w:rPr>
        <w:t>involvement in EU trade policy: the case of Belgium</w:t>
      </w:r>
    </w:p>
    <w:p w14:paraId="197AC20E" w14:textId="77777777" w:rsidR="00802C59" w:rsidRPr="00A47E56" w:rsidRDefault="00802C59" w:rsidP="009074F5">
      <w:pPr>
        <w:spacing w:line="276" w:lineRule="auto"/>
        <w:jc w:val="both"/>
        <w:rPr>
          <w:rStyle w:val="Verwijzingopmerking"/>
          <w:lang w:val="en-US"/>
        </w:rPr>
      </w:pPr>
    </w:p>
    <w:p w14:paraId="61EB6803" w14:textId="0A91FCCC" w:rsidR="00331316" w:rsidRPr="00332454" w:rsidRDefault="00536012" w:rsidP="009074F5">
      <w:pPr>
        <w:pStyle w:val="Kop2"/>
        <w:spacing w:line="276" w:lineRule="auto"/>
        <w:rPr>
          <w:b w:val="0"/>
        </w:rPr>
      </w:pPr>
      <w:r w:rsidRPr="00332454">
        <w:rPr>
          <w:b w:val="0"/>
        </w:rPr>
        <w:lastRenderedPageBreak/>
        <w:t xml:space="preserve">3.1. </w:t>
      </w:r>
      <w:r w:rsidR="006E20EF" w:rsidRPr="00332454">
        <w:rPr>
          <w:b w:val="0"/>
        </w:rPr>
        <w:t>Trade-Policy</w:t>
      </w:r>
      <w:r w:rsidR="007C3BA4" w:rsidRPr="00332454">
        <w:rPr>
          <w:b w:val="0"/>
        </w:rPr>
        <w:t xml:space="preserve"> Making </w:t>
      </w:r>
      <w:r w:rsidR="006E20EF" w:rsidRPr="00332454">
        <w:rPr>
          <w:b w:val="0"/>
        </w:rPr>
        <w:t>in Belgium</w:t>
      </w:r>
    </w:p>
    <w:p w14:paraId="65E856F8" w14:textId="77777777" w:rsidR="00331316" w:rsidRPr="00243E23" w:rsidRDefault="00331316" w:rsidP="009074F5">
      <w:pPr>
        <w:spacing w:line="276" w:lineRule="auto"/>
        <w:jc w:val="both"/>
        <w:rPr>
          <w:lang w:val="en-US"/>
        </w:rPr>
      </w:pPr>
    </w:p>
    <w:p w14:paraId="160DE437" w14:textId="3A8AAAA1" w:rsidR="006F4B6E" w:rsidRDefault="006F4B6E" w:rsidP="009074F5">
      <w:pPr>
        <w:spacing w:line="276" w:lineRule="auto"/>
        <w:jc w:val="both"/>
        <w:rPr>
          <w:lang w:val="en-US"/>
        </w:rPr>
      </w:pPr>
      <w:r w:rsidRPr="006F4B6E">
        <w:rPr>
          <w:lang w:val="en-US"/>
        </w:rPr>
        <w:t xml:space="preserve">Since the late </w:t>
      </w:r>
      <w:r w:rsidR="00802C59">
        <w:rPr>
          <w:lang w:val="en-US"/>
        </w:rPr>
        <w:t>1980s</w:t>
      </w:r>
      <w:r w:rsidRPr="006F4B6E">
        <w:rPr>
          <w:lang w:val="en-US"/>
        </w:rPr>
        <w:t xml:space="preserve">, a series of constitutional reforms have altered the </w:t>
      </w:r>
      <w:r w:rsidR="00332454">
        <w:rPr>
          <w:lang w:val="en-US"/>
        </w:rPr>
        <w:t>way that foreign</w:t>
      </w:r>
      <w:r w:rsidRPr="006F4B6E">
        <w:rPr>
          <w:lang w:val="en-US"/>
        </w:rPr>
        <w:t xml:space="preserve"> and trade</w:t>
      </w:r>
      <w:r w:rsidR="0086035B">
        <w:rPr>
          <w:lang w:val="en-US"/>
        </w:rPr>
        <w:t xml:space="preserve"> </w:t>
      </w:r>
      <w:r w:rsidRPr="006F4B6E">
        <w:rPr>
          <w:lang w:val="en-US"/>
        </w:rPr>
        <w:t xml:space="preserve">policies are formulated in Belgium. </w:t>
      </w:r>
      <w:r w:rsidR="005170B4">
        <w:rPr>
          <w:lang w:val="en-US"/>
        </w:rPr>
        <w:t>First, t</w:t>
      </w:r>
      <w:r w:rsidRPr="006F4B6E">
        <w:rPr>
          <w:lang w:val="en-US"/>
        </w:rPr>
        <w:t xml:space="preserve">he </w:t>
      </w:r>
      <w:r w:rsidR="00A966A2">
        <w:rPr>
          <w:lang w:val="en-US"/>
        </w:rPr>
        <w:t>“</w:t>
      </w:r>
      <w:proofErr w:type="spellStart"/>
      <w:r w:rsidR="00202EA0">
        <w:rPr>
          <w:lang w:val="en-US"/>
        </w:rPr>
        <w:t>Sint-Michiels</w:t>
      </w:r>
      <w:proofErr w:type="spellEnd"/>
      <w:r w:rsidR="00202EA0">
        <w:rPr>
          <w:lang w:val="en-US"/>
        </w:rPr>
        <w:t xml:space="preserve"> Agreement</w:t>
      </w:r>
      <w:r w:rsidR="00A966A2">
        <w:rPr>
          <w:lang w:val="en-US"/>
        </w:rPr>
        <w:t>”</w:t>
      </w:r>
      <w:r w:rsidRPr="006F4B6E">
        <w:rPr>
          <w:lang w:val="en-US"/>
        </w:rPr>
        <w:t xml:space="preserve"> of 1993</w:t>
      </w:r>
      <w:r w:rsidR="002C3F70">
        <w:rPr>
          <w:lang w:val="en-US"/>
        </w:rPr>
        <w:t xml:space="preserve"> </w:t>
      </w:r>
      <w:r w:rsidR="00CA45D7">
        <w:rPr>
          <w:lang w:val="en-US"/>
        </w:rPr>
        <w:t>granted</w:t>
      </w:r>
      <w:r w:rsidRPr="006F4B6E">
        <w:rPr>
          <w:lang w:val="en-US"/>
        </w:rPr>
        <w:t xml:space="preserve"> the </w:t>
      </w:r>
      <w:r w:rsidR="00CA45D7">
        <w:rPr>
          <w:lang w:val="en-US"/>
        </w:rPr>
        <w:t>sub-national</w:t>
      </w:r>
      <w:r w:rsidR="00CA45D7" w:rsidRPr="006F4B6E">
        <w:rPr>
          <w:lang w:val="en-US"/>
        </w:rPr>
        <w:t xml:space="preserve"> </w:t>
      </w:r>
      <w:r w:rsidRPr="006F4B6E">
        <w:rPr>
          <w:lang w:val="en-US"/>
        </w:rPr>
        <w:t>governments the ability to sign international agreements in matters where they h</w:t>
      </w:r>
      <w:r w:rsidR="005170B4">
        <w:rPr>
          <w:lang w:val="en-US"/>
        </w:rPr>
        <w:t>o</w:t>
      </w:r>
      <w:r w:rsidRPr="006F4B6E">
        <w:rPr>
          <w:lang w:val="en-US"/>
        </w:rPr>
        <w:t>ld exclusive competence.</w:t>
      </w:r>
      <w:r w:rsidR="005170B4">
        <w:rPr>
          <w:lang w:val="en-US"/>
        </w:rPr>
        <w:t xml:space="preserve"> Subsequently, in 2001</w:t>
      </w:r>
      <w:r w:rsidR="005170B4" w:rsidRPr="006F4B6E">
        <w:rPr>
          <w:lang w:val="en-US"/>
        </w:rPr>
        <w:t xml:space="preserve"> and 2016, the remaining chunks of export</w:t>
      </w:r>
      <w:r w:rsidR="005170B4">
        <w:rPr>
          <w:lang w:val="en-US"/>
        </w:rPr>
        <w:t xml:space="preserve"> </w:t>
      </w:r>
      <w:r w:rsidR="005170B4" w:rsidRPr="006F4B6E">
        <w:rPr>
          <w:lang w:val="en-US"/>
        </w:rPr>
        <w:t>policy were regionalized, along with federal funds and personnel</w:t>
      </w:r>
      <w:r w:rsidR="005170B4" w:rsidRPr="00010708">
        <w:rPr>
          <w:rStyle w:val="Voetnootmarkering"/>
        </w:rPr>
        <w:footnoteReference w:id="4"/>
      </w:r>
      <w:r w:rsidR="00FE4E19">
        <w:rPr>
          <w:lang w:val="en-US"/>
        </w:rPr>
        <w:t>.</w:t>
      </w:r>
      <w:r w:rsidRPr="006F4B6E">
        <w:rPr>
          <w:lang w:val="en-US"/>
        </w:rPr>
        <w:t xml:space="preserve"> A non-hierarchical system </w:t>
      </w:r>
      <w:r w:rsidR="00536012">
        <w:rPr>
          <w:lang w:val="en-US"/>
        </w:rPr>
        <w:t>has been</w:t>
      </w:r>
      <w:r w:rsidR="00536012" w:rsidRPr="006F4B6E">
        <w:rPr>
          <w:lang w:val="en-US"/>
        </w:rPr>
        <w:t xml:space="preserve"> </w:t>
      </w:r>
      <w:r w:rsidRPr="006F4B6E">
        <w:rPr>
          <w:lang w:val="en-US"/>
        </w:rPr>
        <w:t xml:space="preserve">set in place, in which the federal level </w:t>
      </w:r>
      <w:r w:rsidR="00536012">
        <w:rPr>
          <w:lang w:val="en-US"/>
        </w:rPr>
        <w:t>is</w:t>
      </w:r>
      <w:r w:rsidR="00536012" w:rsidRPr="006F4B6E">
        <w:rPr>
          <w:lang w:val="en-US"/>
        </w:rPr>
        <w:t xml:space="preserve"> </w:t>
      </w:r>
      <w:r w:rsidRPr="006F4B6E">
        <w:rPr>
          <w:lang w:val="en-US"/>
        </w:rPr>
        <w:t>primarily in charge of coordinating</w:t>
      </w:r>
      <w:r w:rsidR="00332454">
        <w:rPr>
          <w:lang w:val="en-US"/>
        </w:rPr>
        <w:t xml:space="preserve"> with</w:t>
      </w:r>
      <w:r w:rsidRPr="006F4B6E">
        <w:rPr>
          <w:lang w:val="en-US"/>
        </w:rPr>
        <w:t xml:space="preserve"> the other levels</w:t>
      </w:r>
      <w:r w:rsidR="005170B4">
        <w:rPr>
          <w:lang w:val="en-US"/>
        </w:rPr>
        <w:t xml:space="preserve"> to find Belgian positions over EU trade policy issues</w:t>
      </w:r>
      <w:r w:rsidRPr="006F4B6E">
        <w:rPr>
          <w:lang w:val="en-US"/>
        </w:rPr>
        <w:t xml:space="preserve">. Belgium </w:t>
      </w:r>
      <w:r w:rsidR="00536012">
        <w:rPr>
          <w:lang w:val="en-US"/>
        </w:rPr>
        <w:t>can</w:t>
      </w:r>
      <w:r w:rsidR="00536012" w:rsidRPr="006F4B6E">
        <w:rPr>
          <w:lang w:val="en-US"/>
        </w:rPr>
        <w:t xml:space="preserve"> </w:t>
      </w:r>
      <w:r w:rsidRPr="006F4B6E">
        <w:rPr>
          <w:lang w:val="en-US"/>
        </w:rPr>
        <w:t xml:space="preserve">now no longer take any stance unless Wallonia, Brussels and Flanders (i.e. the communal/regional governments) </w:t>
      </w:r>
      <w:r w:rsidR="00332454">
        <w:rPr>
          <w:lang w:val="en-US"/>
        </w:rPr>
        <w:t>are</w:t>
      </w:r>
      <w:r w:rsidRPr="006F4B6E">
        <w:rPr>
          <w:lang w:val="en-US"/>
        </w:rPr>
        <w:t xml:space="preserve"> able to reach an agreement. Without consensus</w:t>
      </w:r>
      <w:r w:rsidR="00202EA0">
        <w:rPr>
          <w:lang w:val="en-US"/>
        </w:rPr>
        <w:t>,</w:t>
      </w:r>
      <w:r w:rsidRPr="006F4B6E">
        <w:rPr>
          <w:lang w:val="en-US"/>
        </w:rPr>
        <w:t xml:space="preserve"> Belgium</w:t>
      </w:r>
      <w:r w:rsidR="00E122DA">
        <w:rPr>
          <w:lang w:val="en-US"/>
        </w:rPr>
        <w:t xml:space="preserve"> would need to abstain. </w:t>
      </w:r>
      <w:r w:rsidRPr="006F4B6E">
        <w:rPr>
          <w:lang w:val="en-US"/>
        </w:rPr>
        <w:t>These transitions were not always very smooth, and were often accompanied by inter-institutional struggles</w:t>
      </w:r>
      <w:r w:rsidR="004531A8">
        <w:rPr>
          <w:lang w:val="en-US"/>
        </w:rPr>
        <w:t xml:space="preserve"> </w:t>
      </w:r>
      <w:r w:rsidR="004531A8">
        <w:rPr>
          <w:lang w:val="en-US"/>
        </w:rPr>
        <w:fldChar w:fldCharType="begin" w:fldLock="1"/>
      </w:r>
      <w:r w:rsidR="007A766D">
        <w:rPr>
          <w:lang w:val="en-US"/>
        </w:rPr>
        <w:instrText>ADDIN CSL_CITATION { "citationItems" : [ { "id" : "ITEM-1", "itemData" : { "author" : [ { "dropping-particle" : "", "family" : "Coolsaet", "given" : "Rik", "non-dropping-particle" : "", "parse-names" : false, "suffix" : "" } ], "id" : "ITEM-1", "issued" : { "date-parts" : [ [ "2015" ] ] }, "title" : "Belgie en zijn buitenlandse politiek: 1830-2015", "type" : "article" }, "uris" : [ "http://www.mendeley.com/documents/?uuid=9bd5df0c-6d12-49a2-a7b2-b13de45276a3" ] }, { "id" : "ITEM-2", "itemData" : { "author" : [ { "dropping-particle" : "", "family" : "Bollen", "given" : "Yelter", "non-dropping-particle" : "", "parse-names" : false, "suffix" : "" }, { "dropping-particle" : "", "family" : "Derous", "given" : "Marjolein", "non-dropping-particle" : "", "parse-names" : false, "suffix" : "" }, { "dropping-particle" : "", "family" : "Ville", "given" : "Ferdi", "non-dropping-particle" : "De", "parse-names" : false, "suffix" : "" }, { "dropping-particle" : "", "family" : "Gheyle", "given" : "Niels", "non-dropping-particle" : "", "parse-names" : false, "suffix" : "" }, { "dropping-particle" : "", "family" : "Orbie", "given" : "Jan", "non-dropping-particle" : "", "parse-names" : false, "suffix" : "" }, { "dropping-particle" : "", "family" : "Putte", "given" : "Lore", "non-dropping-particle" : "Van den", "parse-names" : false, "suffix" : "" } ], "container-title" : "Studia Diplomatica", "id" : "ITEM-2", "issue" : "2", "issued" : { "date-parts" : [ [ "2015" ] ] }, "page" : "73-90", "title" : "Belgium\u2019s role in EU Trade Policy", "type" : "article-journal", "volume" : "68" }, "uris" : [ "http://www.mendeley.com/documents/?uuid=c5d55290-56ad-4108-a430-78c5f4746771" ] } ], "mendeley" : { "formattedCitation" : "(Bollen et al., 2015; Coolsaet, 2015)", "plainTextFormattedCitation" : "(Bollen et al., 2015; Coolsaet, 2015)", "previouslyFormattedCitation" : "(Bollen et al., 2015; Coolsaet, 2015)" }, "properties" : { "noteIndex" : 0 }, "schema" : "https://github.com/citation-style-language/schema/raw/master/csl-citation.json" }</w:instrText>
      </w:r>
      <w:r w:rsidR="004531A8">
        <w:rPr>
          <w:lang w:val="en-US"/>
        </w:rPr>
        <w:fldChar w:fldCharType="separate"/>
      </w:r>
      <w:r w:rsidR="00466BC5" w:rsidRPr="00466BC5">
        <w:rPr>
          <w:noProof/>
          <w:lang w:val="en-US"/>
        </w:rPr>
        <w:t>(Bollen et al., 2015; Coolsaet, 2015)</w:t>
      </w:r>
      <w:r w:rsidR="004531A8">
        <w:rPr>
          <w:lang w:val="en-US"/>
        </w:rPr>
        <w:fldChar w:fldCharType="end"/>
      </w:r>
      <w:r w:rsidRPr="00010708">
        <w:rPr>
          <w:rStyle w:val="Voetnootmarkering"/>
        </w:rPr>
        <w:footnoteReference w:id="5"/>
      </w:r>
      <w:r w:rsidR="00FE4E19">
        <w:rPr>
          <w:lang w:val="en-US"/>
        </w:rPr>
        <w:t>.</w:t>
      </w:r>
    </w:p>
    <w:p w14:paraId="7556EEA9" w14:textId="77777777" w:rsidR="006F4B6E" w:rsidRPr="006F4B6E" w:rsidRDefault="006F4B6E" w:rsidP="009074F5">
      <w:pPr>
        <w:spacing w:line="276" w:lineRule="auto"/>
        <w:rPr>
          <w:lang w:val="en-US"/>
        </w:rPr>
      </w:pPr>
    </w:p>
    <w:p w14:paraId="70DFEA96" w14:textId="71FA6CB8" w:rsidR="003C2943" w:rsidRDefault="006F4B6E" w:rsidP="009074F5">
      <w:pPr>
        <w:spacing w:line="276" w:lineRule="auto"/>
        <w:jc w:val="both"/>
        <w:rPr>
          <w:lang w:val="en-US"/>
        </w:rPr>
      </w:pPr>
      <w:r w:rsidRPr="006F4B6E">
        <w:rPr>
          <w:lang w:val="en-US"/>
        </w:rPr>
        <w:t>This devolution has led to the construction of regional trade administrations and export agencies, as well as the growth of an intensive process of coordination between the f</w:t>
      </w:r>
      <w:r w:rsidR="003C2943">
        <w:rPr>
          <w:lang w:val="en-US"/>
        </w:rPr>
        <w:t xml:space="preserve">ederal and sub-national levels, organized by the ministry of Foreign Affairs. </w:t>
      </w:r>
      <w:r>
        <w:rPr>
          <w:lang w:val="en-US"/>
        </w:rPr>
        <w:t xml:space="preserve">This coordinative webbing has also spread to the sub-national levels, where various parties and departments now have to come to a </w:t>
      </w:r>
      <w:r w:rsidRPr="00035730">
        <w:rPr>
          <w:lang w:val="en-US"/>
        </w:rPr>
        <w:t>regional</w:t>
      </w:r>
      <w:r>
        <w:rPr>
          <w:lang w:val="en-US"/>
        </w:rPr>
        <w:t xml:space="preserve"> position as well. Flanders has dealt with this by creating institutions similar to those at the Federal level</w:t>
      </w:r>
      <w:r w:rsidR="003C2943">
        <w:rPr>
          <w:lang w:val="en-US"/>
        </w:rPr>
        <w:t>: with the support of his administration (‘Department International Flanders’) the Flemish minister of foreign trade</w:t>
      </w:r>
      <w:r w:rsidR="003C2943">
        <w:rPr>
          <w:rStyle w:val="Voetnootmarkering"/>
          <w:lang w:val="en-US"/>
        </w:rPr>
        <w:footnoteReference w:id="6"/>
      </w:r>
      <w:r w:rsidR="003C2943">
        <w:rPr>
          <w:lang w:val="en-US"/>
        </w:rPr>
        <w:t xml:space="preserve"> organizes (bi-</w:t>
      </w:r>
      <w:proofErr w:type="gramStart"/>
      <w:r w:rsidR="003C2943">
        <w:rPr>
          <w:lang w:val="en-US"/>
        </w:rPr>
        <w:t>)weekly</w:t>
      </w:r>
      <w:proofErr w:type="gramEnd"/>
      <w:r w:rsidR="003C2943">
        <w:rPr>
          <w:lang w:val="en-US"/>
        </w:rPr>
        <w:t xml:space="preserve"> consultations </w:t>
      </w:r>
      <w:r w:rsidR="00C06E68">
        <w:rPr>
          <w:lang w:val="en-US"/>
        </w:rPr>
        <w:t xml:space="preserve">in </w:t>
      </w:r>
      <w:r w:rsidR="003C2943">
        <w:rPr>
          <w:lang w:val="en-US"/>
        </w:rPr>
        <w:t>a ‘Working group on EU Trade’; here, cabinet-members and technical personnel from all interested departments disc</w:t>
      </w:r>
      <w:r w:rsidR="00802C59">
        <w:rPr>
          <w:lang w:val="en-US"/>
        </w:rPr>
        <w:t>uss policy positions drafted by</w:t>
      </w:r>
      <w:r w:rsidR="003C2943">
        <w:rPr>
          <w:lang w:val="en-US"/>
        </w:rPr>
        <w:t xml:space="preserve"> ‘International Flanders’. Wallonia’s internal decision-mak</w:t>
      </w:r>
      <w:r w:rsidR="00C93E04">
        <w:rPr>
          <w:lang w:val="en-US"/>
        </w:rPr>
        <w:t xml:space="preserve">ing is less institutionalized, and relies on informal contacts between (the </w:t>
      </w:r>
      <w:r w:rsidR="005D0AEB">
        <w:rPr>
          <w:lang w:val="en-US"/>
        </w:rPr>
        <w:t>administration</w:t>
      </w:r>
      <w:r w:rsidR="00A966A2">
        <w:rPr>
          <w:lang w:val="en-US"/>
        </w:rPr>
        <w:t xml:space="preserve"> of) the Minister of C</w:t>
      </w:r>
      <w:r w:rsidR="00C93E04">
        <w:rPr>
          <w:lang w:val="en-US"/>
        </w:rPr>
        <w:t>omme</w:t>
      </w:r>
      <w:r w:rsidR="00A966A2">
        <w:rPr>
          <w:lang w:val="en-US"/>
        </w:rPr>
        <w:t>rce, the regional and communal Heads of G</w:t>
      </w:r>
      <w:r w:rsidR="00C93E04">
        <w:rPr>
          <w:lang w:val="en-US"/>
        </w:rPr>
        <w:t xml:space="preserve">overnment (in charge of foreign affairs), and </w:t>
      </w:r>
      <w:r w:rsidR="005D0AEB">
        <w:rPr>
          <w:lang w:val="en-US"/>
        </w:rPr>
        <w:t>the joint</w:t>
      </w:r>
      <w:r w:rsidR="00C93E04">
        <w:rPr>
          <w:lang w:val="en-US"/>
        </w:rPr>
        <w:t xml:space="preserve"> </w:t>
      </w:r>
      <w:r w:rsidR="005D0AEB">
        <w:rPr>
          <w:lang w:val="en-US"/>
        </w:rPr>
        <w:t xml:space="preserve">international affairs’ </w:t>
      </w:r>
      <w:r w:rsidR="005D0AEB" w:rsidRPr="002C52DD">
        <w:rPr>
          <w:lang w:val="en-US"/>
        </w:rPr>
        <w:t>adm</w:t>
      </w:r>
      <w:r w:rsidR="00A966A2" w:rsidRPr="002C52DD">
        <w:rPr>
          <w:lang w:val="en-US"/>
        </w:rPr>
        <w:t>inistration of the Francophone Community and the Walloon R</w:t>
      </w:r>
      <w:r w:rsidR="005D0AEB" w:rsidRPr="002C52DD">
        <w:rPr>
          <w:lang w:val="en-US"/>
        </w:rPr>
        <w:t>egion, ‘Wallonia-Brussels International’</w:t>
      </w:r>
      <w:r w:rsidR="00D65403" w:rsidRPr="002C52DD">
        <w:rPr>
          <w:lang w:val="en-US"/>
        </w:rPr>
        <w:t xml:space="preserve"> </w:t>
      </w:r>
      <w:r w:rsidR="002C52DD" w:rsidRPr="002C52DD">
        <w:rPr>
          <w:lang w:val="en-US"/>
        </w:rPr>
        <w:t>(</w:t>
      </w:r>
      <w:r w:rsidR="002C52DD">
        <w:rPr>
          <w:lang w:val="en-US"/>
        </w:rPr>
        <w:t>i</w:t>
      </w:r>
      <w:r w:rsidR="002C52DD" w:rsidRPr="002C52DD">
        <w:rPr>
          <w:lang w:val="en-US"/>
        </w:rPr>
        <w:t>nterviews 16 &amp; 17).</w:t>
      </w:r>
      <w:r w:rsidR="002C52DD">
        <w:rPr>
          <w:lang w:val="en-US"/>
        </w:rPr>
        <w:t xml:space="preserve"> </w:t>
      </w:r>
    </w:p>
    <w:p w14:paraId="22B4437F" w14:textId="47794329" w:rsidR="006F4B6E" w:rsidRPr="006F4B6E" w:rsidRDefault="006F4B6E" w:rsidP="009074F5">
      <w:pPr>
        <w:spacing w:line="276" w:lineRule="auto"/>
        <w:jc w:val="both"/>
        <w:rPr>
          <w:lang w:val="en-US"/>
        </w:rPr>
      </w:pPr>
    </w:p>
    <w:p w14:paraId="0FE5B170" w14:textId="07F6A4BE" w:rsidR="006E20EF" w:rsidRPr="00332454" w:rsidRDefault="00536012" w:rsidP="00A23D95">
      <w:pPr>
        <w:pStyle w:val="Kop2"/>
        <w:spacing w:line="276" w:lineRule="auto"/>
        <w:rPr>
          <w:b w:val="0"/>
        </w:rPr>
      </w:pPr>
      <w:r w:rsidRPr="00332454">
        <w:rPr>
          <w:b w:val="0"/>
        </w:rPr>
        <w:t xml:space="preserve">3.2. </w:t>
      </w:r>
      <w:r w:rsidR="00F25696">
        <w:rPr>
          <w:b w:val="0"/>
        </w:rPr>
        <w:t>Parliamentary</w:t>
      </w:r>
      <w:r w:rsidR="006E20EF" w:rsidRPr="00332454">
        <w:rPr>
          <w:b w:val="0"/>
        </w:rPr>
        <w:t xml:space="preserve"> Involvement </w:t>
      </w:r>
    </w:p>
    <w:p w14:paraId="145C5960" w14:textId="77777777" w:rsidR="006240C7" w:rsidRPr="00C56E4F" w:rsidRDefault="006240C7" w:rsidP="009074F5">
      <w:pPr>
        <w:spacing w:line="276" w:lineRule="auto"/>
        <w:jc w:val="both"/>
        <w:rPr>
          <w:lang w:val="en-US"/>
        </w:rPr>
      </w:pPr>
    </w:p>
    <w:p w14:paraId="1D72F349" w14:textId="4A02B23C" w:rsidR="005D0AEB" w:rsidRDefault="00C56E4F" w:rsidP="009074F5">
      <w:pPr>
        <w:spacing w:line="276" w:lineRule="auto"/>
        <w:jc w:val="both"/>
        <w:rPr>
          <w:lang w:val="en-US"/>
        </w:rPr>
      </w:pPr>
      <w:r>
        <w:rPr>
          <w:lang w:val="en-US"/>
        </w:rPr>
        <w:t>T</w:t>
      </w:r>
      <w:r w:rsidR="00802C59">
        <w:rPr>
          <w:lang w:val="en-US"/>
        </w:rPr>
        <w:t xml:space="preserve">he Belgian </w:t>
      </w:r>
      <w:r w:rsidR="001A05A0">
        <w:rPr>
          <w:lang w:val="en-US"/>
        </w:rPr>
        <w:t>Parliament</w:t>
      </w:r>
      <w:r w:rsidRPr="00C56E4F">
        <w:rPr>
          <w:lang w:val="en-US"/>
        </w:rPr>
        <w:t>s are weak and subjugated players in the Belgian system</w:t>
      </w:r>
      <w:r w:rsidR="00D03747">
        <w:rPr>
          <w:lang w:val="en-US"/>
        </w:rPr>
        <w:t>, which is dominated by the parties in government</w:t>
      </w:r>
      <w:r w:rsidR="00ED3B85">
        <w:rPr>
          <w:lang w:val="en-US"/>
        </w:rPr>
        <w:t>.</w:t>
      </w:r>
      <w:r w:rsidR="006160D1" w:rsidRPr="006160D1">
        <w:rPr>
          <w:lang w:val="en-US"/>
        </w:rPr>
        <w:t xml:space="preserve"> </w:t>
      </w:r>
      <w:r w:rsidR="006160D1">
        <w:rPr>
          <w:lang w:val="en-US"/>
        </w:rPr>
        <w:t>T</w:t>
      </w:r>
      <w:r w:rsidR="006160D1" w:rsidRPr="00C56E4F">
        <w:rPr>
          <w:lang w:val="en-US"/>
        </w:rPr>
        <w:t>he real decision</w:t>
      </w:r>
      <w:r w:rsidR="006160D1">
        <w:rPr>
          <w:lang w:val="en-US"/>
        </w:rPr>
        <w:t>s</w:t>
      </w:r>
      <w:r w:rsidR="006160D1" w:rsidRPr="00C56E4F">
        <w:rPr>
          <w:lang w:val="en-US"/>
        </w:rPr>
        <w:t xml:space="preserve"> </w:t>
      </w:r>
      <w:r w:rsidR="006160D1">
        <w:rPr>
          <w:lang w:val="en-US"/>
        </w:rPr>
        <w:t>are</w:t>
      </w:r>
      <w:r w:rsidR="006160D1" w:rsidRPr="00C56E4F">
        <w:rPr>
          <w:lang w:val="en-US"/>
        </w:rPr>
        <w:t xml:space="preserve"> made in the </w:t>
      </w:r>
      <w:r w:rsidR="006160D1" w:rsidRPr="00C56E4F">
        <w:rPr>
          <w:lang w:val="en-US"/>
        </w:rPr>
        <w:lastRenderedPageBreak/>
        <w:t>administrations and</w:t>
      </w:r>
      <w:r w:rsidR="006160D1">
        <w:rPr>
          <w:lang w:val="en-US"/>
        </w:rPr>
        <w:t xml:space="preserve"> at</w:t>
      </w:r>
      <w:r w:rsidR="006160D1" w:rsidRPr="00C56E4F">
        <w:rPr>
          <w:lang w:val="en-US"/>
        </w:rPr>
        <w:t xml:space="preserve"> the </w:t>
      </w:r>
      <w:r w:rsidR="00C80241">
        <w:rPr>
          <w:lang w:val="en-US"/>
        </w:rPr>
        <w:t>inter-</w:t>
      </w:r>
      <w:r w:rsidR="006160D1" w:rsidRPr="00C56E4F">
        <w:rPr>
          <w:lang w:val="en-US"/>
        </w:rPr>
        <w:t>ministerial level</w:t>
      </w:r>
      <w:r w:rsidR="006160D1">
        <w:rPr>
          <w:lang w:val="en-US"/>
        </w:rPr>
        <w:t>, coordinating across the Belgian strata.</w:t>
      </w:r>
      <w:r w:rsidR="00802C59">
        <w:rPr>
          <w:lang w:val="en-US"/>
        </w:rPr>
        <w:t xml:space="preserve"> </w:t>
      </w:r>
      <w:r w:rsidR="006160D1">
        <w:rPr>
          <w:lang w:val="en-US"/>
        </w:rPr>
        <w:t>There is</w:t>
      </w:r>
      <w:r w:rsidR="00A966A2">
        <w:rPr>
          <w:lang w:val="en-US"/>
        </w:rPr>
        <w:t xml:space="preserve"> little reason to expect trade </w:t>
      </w:r>
      <w:r w:rsidR="006160D1">
        <w:rPr>
          <w:lang w:val="en-US"/>
        </w:rPr>
        <w:t xml:space="preserve">policy to be any different, especially since the ‘formal’ role of the </w:t>
      </w:r>
      <w:r w:rsidR="001A05A0">
        <w:rPr>
          <w:lang w:val="en-US"/>
        </w:rPr>
        <w:t>Parliament</w:t>
      </w:r>
      <w:r w:rsidR="006160D1">
        <w:rPr>
          <w:lang w:val="en-US"/>
        </w:rPr>
        <w:t xml:space="preserve">s was </w:t>
      </w:r>
      <w:r w:rsidR="00A966A2">
        <w:rPr>
          <w:lang w:val="en-US"/>
        </w:rPr>
        <w:t xml:space="preserve">always rather </w:t>
      </w:r>
      <w:r w:rsidR="006160D1">
        <w:rPr>
          <w:lang w:val="en-US"/>
        </w:rPr>
        <w:t>limited here</w:t>
      </w:r>
      <w:r w:rsidR="00A966A2">
        <w:rPr>
          <w:lang w:val="en-US"/>
        </w:rPr>
        <w:t xml:space="preserve"> (see infra)</w:t>
      </w:r>
      <w:r w:rsidR="006160D1">
        <w:rPr>
          <w:lang w:val="en-US"/>
        </w:rPr>
        <w:t>. Apart from ratifying treaties, they</w:t>
      </w:r>
      <w:r w:rsidRPr="00C56E4F">
        <w:rPr>
          <w:lang w:val="en-US"/>
        </w:rPr>
        <w:t xml:space="preserve"> </w:t>
      </w:r>
      <w:r w:rsidR="0067357A">
        <w:rPr>
          <w:lang w:val="en-US"/>
        </w:rPr>
        <w:t>could</w:t>
      </w:r>
      <w:r w:rsidRPr="00C56E4F">
        <w:rPr>
          <w:lang w:val="en-US"/>
        </w:rPr>
        <w:t xml:space="preserve"> at most v</w:t>
      </w:r>
      <w:r w:rsidR="005142E2">
        <w:rPr>
          <w:lang w:val="en-US"/>
        </w:rPr>
        <w:t xml:space="preserve">ote for non-binding resolutions. </w:t>
      </w:r>
    </w:p>
    <w:p w14:paraId="405516C8" w14:textId="77777777" w:rsidR="005D0AEB" w:rsidRDefault="005D0AEB" w:rsidP="009074F5">
      <w:pPr>
        <w:spacing w:line="276" w:lineRule="auto"/>
        <w:jc w:val="both"/>
        <w:rPr>
          <w:lang w:val="en-US"/>
        </w:rPr>
      </w:pPr>
    </w:p>
    <w:p w14:paraId="2EC798CF" w14:textId="482BEAB5" w:rsidR="006160D1" w:rsidRDefault="00C80241" w:rsidP="009074F5">
      <w:pPr>
        <w:spacing w:line="276" w:lineRule="auto"/>
        <w:jc w:val="both"/>
        <w:rPr>
          <w:lang w:val="en-US"/>
        </w:rPr>
      </w:pPr>
      <w:r>
        <w:rPr>
          <w:lang w:val="en-US"/>
        </w:rPr>
        <w:t>Yet</w:t>
      </w:r>
      <w:r w:rsidR="00ED3B85">
        <w:rPr>
          <w:lang w:val="en-US"/>
        </w:rPr>
        <w:t xml:space="preserve"> </w:t>
      </w:r>
      <w:r w:rsidR="0067357A">
        <w:rPr>
          <w:lang w:val="en-US"/>
        </w:rPr>
        <w:t xml:space="preserve">their lack of clear avenues for a strong </w:t>
      </w:r>
      <w:r w:rsidR="0067357A">
        <w:rPr>
          <w:i/>
          <w:lang w:val="en-US"/>
        </w:rPr>
        <w:t>formal</w:t>
      </w:r>
      <w:r w:rsidR="0067357A">
        <w:rPr>
          <w:lang w:val="en-US"/>
        </w:rPr>
        <w:t xml:space="preserve"> role in the Belgian trade</w:t>
      </w:r>
      <w:r w:rsidR="000F2DF1">
        <w:rPr>
          <w:lang w:val="en-US"/>
        </w:rPr>
        <w:t xml:space="preserve"> </w:t>
      </w:r>
      <w:r w:rsidR="00882843">
        <w:rPr>
          <w:lang w:val="en-US"/>
        </w:rPr>
        <w:t xml:space="preserve">policy system does not necessarily exclude </w:t>
      </w:r>
      <w:r w:rsidR="00F25696">
        <w:rPr>
          <w:lang w:val="en-US"/>
        </w:rPr>
        <w:t>parliamentary</w:t>
      </w:r>
      <w:r w:rsidR="00882843">
        <w:rPr>
          <w:lang w:val="en-US"/>
        </w:rPr>
        <w:t xml:space="preserve"> influence through other means. Non-binding resolutions, </w:t>
      </w:r>
      <w:r w:rsidR="00F25696">
        <w:rPr>
          <w:lang w:val="en-US"/>
        </w:rPr>
        <w:t>parliamentary</w:t>
      </w:r>
      <w:r w:rsidR="00882843">
        <w:rPr>
          <w:lang w:val="en-US"/>
        </w:rPr>
        <w:t xml:space="preserve"> questions and hearings,</w:t>
      </w:r>
      <w:r>
        <w:rPr>
          <w:lang w:val="en-US"/>
        </w:rPr>
        <w:t xml:space="preserve"> as well as reports and interviews in</w:t>
      </w:r>
      <w:r w:rsidR="0014393F">
        <w:rPr>
          <w:lang w:val="en-US"/>
        </w:rPr>
        <w:t xml:space="preserve"> public media can all put pressure on government policies. Individual members of </w:t>
      </w:r>
      <w:r w:rsidR="001A05A0">
        <w:rPr>
          <w:lang w:val="en-US"/>
        </w:rPr>
        <w:t>Parliament</w:t>
      </w:r>
      <w:r w:rsidR="0014393F">
        <w:rPr>
          <w:lang w:val="en-US"/>
        </w:rPr>
        <w:t xml:space="preserve"> can also build up expertise and a network of their own, for example within the cabinets or through influential stakeholders, that allows them to exert some control over the Belgian position. </w:t>
      </w:r>
      <w:r w:rsidR="006160D1">
        <w:rPr>
          <w:lang w:val="en-US"/>
        </w:rPr>
        <w:t xml:space="preserve">The </w:t>
      </w:r>
      <w:r w:rsidR="001A05A0">
        <w:rPr>
          <w:lang w:val="en-US"/>
        </w:rPr>
        <w:t>Parliament</w:t>
      </w:r>
      <w:r w:rsidR="006160D1">
        <w:rPr>
          <w:lang w:val="en-US"/>
        </w:rPr>
        <w:t xml:space="preserve"> can also serve as a ‘</w:t>
      </w:r>
      <w:r w:rsidR="00C5793B">
        <w:rPr>
          <w:lang w:val="en-US"/>
        </w:rPr>
        <w:t xml:space="preserve">bullhorn’ </w:t>
      </w:r>
      <w:r w:rsidR="006160D1">
        <w:rPr>
          <w:lang w:val="en-US"/>
        </w:rPr>
        <w:t xml:space="preserve">or intermediary </w:t>
      </w:r>
      <w:r w:rsidR="00C5793B">
        <w:rPr>
          <w:lang w:val="en-US"/>
        </w:rPr>
        <w:t xml:space="preserve">for </w:t>
      </w:r>
      <w:r w:rsidR="006160D1">
        <w:rPr>
          <w:lang w:val="en-US"/>
        </w:rPr>
        <w:t>societal (or interest</w:t>
      </w:r>
      <w:r w:rsidR="00202EA0">
        <w:rPr>
          <w:lang w:val="en-US"/>
        </w:rPr>
        <w:t xml:space="preserve"> </w:t>
      </w:r>
      <w:r w:rsidR="006160D1">
        <w:rPr>
          <w:lang w:val="en-US"/>
        </w:rPr>
        <w:t>group) demands.</w:t>
      </w:r>
    </w:p>
    <w:p w14:paraId="0975A754" w14:textId="77777777" w:rsidR="00C80241" w:rsidRDefault="00C80241" w:rsidP="009074F5">
      <w:pPr>
        <w:spacing w:line="276" w:lineRule="auto"/>
        <w:jc w:val="both"/>
        <w:rPr>
          <w:lang w:val="en-US"/>
        </w:rPr>
      </w:pPr>
    </w:p>
    <w:p w14:paraId="6172231B" w14:textId="154735C1" w:rsidR="00536012" w:rsidRPr="00831DE4" w:rsidRDefault="00202EA0" w:rsidP="00FE4E19">
      <w:pPr>
        <w:spacing w:line="276" w:lineRule="auto"/>
        <w:rPr>
          <w:lang w:val="en-US"/>
        </w:rPr>
      </w:pPr>
      <w:r>
        <w:rPr>
          <w:lang w:val="en-US"/>
        </w:rPr>
        <w:t>On the basis of interviews with MPs as well as NGOs and trade officials, it seems that</w:t>
      </w:r>
      <w:r w:rsidR="00C80241">
        <w:rPr>
          <w:lang w:val="en-US"/>
        </w:rPr>
        <w:t xml:space="preserve"> the </w:t>
      </w:r>
      <w:r w:rsidR="001A05A0">
        <w:rPr>
          <w:lang w:val="en-US"/>
        </w:rPr>
        <w:t>Parliament</w:t>
      </w:r>
      <w:r w:rsidR="00C80241">
        <w:rPr>
          <w:lang w:val="en-US"/>
        </w:rPr>
        <w:t xml:space="preserve"> has seldom attempted to play an autonomous role of much importance</w:t>
      </w:r>
      <w:r w:rsidR="003108AC">
        <w:rPr>
          <w:lang w:val="en-US"/>
        </w:rPr>
        <w:t xml:space="preserve">. </w:t>
      </w:r>
      <w:r w:rsidR="004B57C9">
        <w:rPr>
          <w:lang w:val="en-US"/>
        </w:rPr>
        <w:t>A</w:t>
      </w:r>
      <w:r w:rsidR="00F7539E">
        <w:rPr>
          <w:lang w:val="en-US"/>
        </w:rPr>
        <w:t xml:space="preserve">s we will show, this </w:t>
      </w:r>
      <w:r w:rsidR="0002761C">
        <w:rPr>
          <w:lang w:val="en-US"/>
        </w:rPr>
        <w:t xml:space="preserve">has become less true in recent years. </w:t>
      </w:r>
      <w:r w:rsidR="00F7539E">
        <w:rPr>
          <w:lang w:val="en-US"/>
        </w:rPr>
        <w:t xml:space="preserve"> </w:t>
      </w:r>
    </w:p>
    <w:p w14:paraId="72B99F44" w14:textId="77777777" w:rsidR="00536012" w:rsidRPr="00831DE4" w:rsidRDefault="00536012" w:rsidP="00A23D95">
      <w:pPr>
        <w:rPr>
          <w:lang w:val="en-US"/>
        </w:rPr>
      </w:pPr>
    </w:p>
    <w:p w14:paraId="2EF21EE3" w14:textId="57D80C60" w:rsidR="00B9547D" w:rsidRDefault="00536012" w:rsidP="009074F5">
      <w:pPr>
        <w:pStyle w:val="Kop3"/>
        <w:spacing w:line="276" w:lineRule="auto"/>
        <w:rPr>
          <w:lang w:val="en-US"/>
        </w:rPr>
      </w:pPr>
      <w:r>
        <w:rPr>
          <w:lang w:val="en-US"/>
        </w:rPr>
        <w:t xml:space="preserve">3.2.1 </w:t>
      </w:r>
      <w:r w:rsidR="00B9547D">
        <w:rPr>
          <w:lang w:val="en-US"/>
        </w:rPr>
        <w:t xml:space="preserve">Some Data: </w:t>
      </w:r>
      <w:r w:rsidR="00F25696">
        <w:rPr>
          <w:lang w:val="en-US"/>
        </w:rPr>
        <w:t>parliamentary</w:t>
      </w:r>
      <w:r w:rsidR="00B9547D">
        <w:rPr>
          <w:lang w:val="en-US"/>
        </w:rPr>
        <w:t xml:space="preserve"> Scrutiny of Trade Issues</w:t>
      </w:r>
    </w:p>
    <w:p w14:paraId="749CD0BC" w14:textId="77777777" w:rsidR="002B2E49" w:rsidRDefault="002B2E49" w:rsidP="009074F5">
      <w:pPr>
        <w:spacing w:line="276" w:lineRule="auto"/>
        <w:jc w:val="both"/>
        <w:rPr>
          <w:i/>
          <w:u w:val="single"/>
          <w:lang w:val="en-US"/>
        </w:rPr>
      </w:pPr>
    </w:p>
    <w:p w14:paraId="766A8C94" w14:textId="6A96219E" w:rsidR="00B9547D" w:rsidRDefault="005771F0" w:rsidP="009074F5">
      <w:pPr>
        <w:spacing w:line="276" w:lineRule="auto"/>
        <w:jc w:val="both"/>
        <w:rPr>
          <w:lang w:val="en-US"/>
        </w:rPr>
      </w:pPr>
      <w:r>
        <w:rPr>
          <w:lang w:val="en-US"/>
        </w:rPr>
        <w:t xml:space="preserve">Using the search engines from the Walloon, Flemish and Federal </w:t>
      </w:r>
      <w:r w:rsidR="00FD2FFF">
        <w:rPr>
          <w:lang w:val="en-US"/>
        </w:rPr>
        <w:t>Parliament</w:t>
      </w:r>
      <w:r>
        <w:rPr>
          <w:lang w:val="en-US"/>
        </w:rPr>
        <w:t>s</w:t>
      </w:r>
      <w:r w:rsidR="00BA7FCD">
        <w:rPr>
          <w:rStyle w:val="Voetnootmarkering"/>
          <w:lang w:val="en-US"/>
        </w:rPr>
        <w:footnoteReference w:id="7"/>
      </w:r>
      <w:r>
        <w:rPr>
          <w:lang w:val="en-US"/>
        </w:rPr>
        <w:t>, we have constructed a database of all trade-related questions</w:t>
      </w:r>
      <w:r w:rsidR="00BA7FCD">
        <w:rPr>
          <w:rStyle w:val="Voetnootmarkering"/>
          <w:lang w:val="en-US"/>
        </w:rPr>
        <w:footnoteReference w:id="8"/>
      </w:r>
      <w:r>
        <w:rPr>
          <w:lang w:val="en-US"/>
        </w:rPr>
        <w:t xml:space="preserve"> (written and oral)</w:t>
      </w:r>
      <w:r>
        <w:rPr>
          <w:rStyle w:val="Voetnootmarkering"/>
          <w:lang w:val="en-US"/>
        </w:rPr>
        <w:footnoteReference w:id="9"/>
      </w:r>
      <w:r>
        <w:rPr>
          <w:lang w:val="en-US"/>
        </w:rPr>
        <w:t>.</w:t>
      </w:r>
      <w:r w:rsidR="00FD2FFF">
        <w:rPr>
          <w:lang w:val="en-US"/>
        </w:rPr>
        <w:t xml:space="preserve"> While activity on trade broadly defined was present also before 2009, especially in the sub-federal parliaments these were concentrated on issues such as export promotion, trade performance of regional companies or weapons export. In the figures below, we exclude these topics and concentrate on activity related to ‘trade politics’ </w:t>
      </w:r>
      <w:proofErr w:type="spellStart"/>
      <w:r w:rsidR="00FD2FFF" w:rsidRPr="00FD2FFF">
        <w:rPr>
          <w:i/>
          <w:lang w:val="en-US"/>
        </w:rPr>
        <w:t>strictu</w:t>
      </w:r>
      <w:proofErr w:type="spellEnd"/>
      <w:r w:rsidR="00FD2FFF" w:rsidRPr="00FD2FFF">
        <w:rPr>
          <w:i/>
          <w:lang w:val="en-US"/>
        </w:rPr>
        <w:t xml:space="preserve"> </w:t>
      </w:r>
      <w:proofErr w:type="spellStart"/>
      <w:r w:rsidR="00FD2FFF" w:rsidRPr="00FD2FFF">
        <w:rPr>
          <w:i/>
          <w:lang w:val="en-US"/>
        </w:rPr>
        <w:t>sensu</w:t>
      </w:r>
      <w:proofErr w:type="spellEnd"/>
      <w:r w:rsidR="00DA7F67">
        <w:rPr>
          <w:rStyle w:val="Voetnootmarkering"/>
          <w:i/>
          <w:lang w:val="en-US"/>
        </w:rPr>
        <w:footnoteReference w:id="10"/>
      </w:r>
      <w:r w:rsidR="00FD2FFF">
        <w:rPr>
          <w:lang w:val="en-US"/>
        </w:rPr>
        <w:t>.</w:t>
      </w:r>
      <w:r>
        <w:rPr>
          <w:lang w:val="en-US"/>
        </w:rPr>
        <w:t xml:space="preserve"> </w:t>
      </w:r>
      <w:r w:rsidR="00035730">
        <w:rPr>
          <w:lang w:val="en-US"/>
        </w:rPr>
        <w:t>As can be seen from Figure 1</w:t>
      </w:r>
      <w:r w:rsidR="00B9547D" w:rsidRPr="00202EA0">
        <w:rPr>
          <w:lang w:val="en-US"/>
        </w:rPr>
        <w:t>,</w:t>
      </w:r>
      <w:r w:rsidR="00B9547D">
        <w:rPr>
          <w:lang w:val="en-US"/>
        </w:rPr>
        <w:t xml:space="preserve"> in all three the attention for trade issues</w:t>
      </w:r>
      <w:r w:rsidR="00FD2FFF">
        <w:rPr>
          <w:lang w:val="en-US"/>
        </w:rPr>
        <w:t xml:space="preserve"> strictly defined</w:t>
      </w:r>
      <w:r w:rsidR="00B9547D">
        <w:rPr>
          <w:lang w:val="en-US"/>
        </w:rPr>
        <w:t xml:space="preserve"> has ge</w:t>
      </w:r>
      <w:r w:rsidR="00CA7E7B">
        <w:rPr>
          <w:lang w:val="en-US"/>
        </w:rPr>
        <w:t xml:space="preserve">nerally been low but has </w:t>
      </w:r>
      <w:r w:rsidR="00035730">
        <w:rPr>
          <w:lang w:val="en-US"/>
        </w:rPr>
        <w:t>increased enormously sin</w:t>
      </w:r>
      <w:r w:rsidR="00FD2FFF">
        <w:rPr>
          <w:lang w:val="en-US"/>
        </w:rPr>
        <w:t>ce 2013</w:t>
      </w:r>
      <w:r w:rsidR="00CA7E7B">
        <w:rPr>
          <w:lang w:val="en-US"/>
        </w:rPr>
        <w:t xml:space="preserve">. </w:t>
      </w:r>
    </w:p>
    <w:p w14:paraId="175043E4" w14:textId="41E89687" w:rsidR="00B9547D" w:rsidRDefault="00B9547D" w:rsidP="009074F5">
      <w:pPr>
        <w:spacing w:line="276" w:lineRule="auto"/>
        <w:jc w:val="both"/>
        <w:rPr>
          <w:b/>
          <w:i/>
          <w:lang w:val="en-US"/>
        </w:rPr>
      </w:pPr>
    </w:p>
    <w:p w14:paraId="155942FC" w14:textId="77777777" w:rsidR="00035730" w:rsidRPr="00831DE4" w:rsidRDefault="00035730" w:rsidP="009074F5">
      <w:pPr>
        <w:spacing w:line="276" w:lineRule="auto"/>
        <w:jc w:val="center"/>
        <w:rPr>
          <w:lang w:val="en-US"/>
        </w:rPr>
      </w:pPr>
      <w:r w:rsidRPr="00035730">
        <w:rPr>
          <w:noProof/>
          <w:lang w:val="en-US"/>
        </w:rPr>
        <w:t xml:space="preserve"> </w:t>
      </w:r>
    </w:p>
    <w:p w14:paraId="1C6B7944" w14:textId="71FAA6F5" w:rsidR="00035730" w:rsidRPr="00831DE4" w:rsidRDefault="00035730" w:rsidP="00035730">
      <w:pPr>
        <w:pStyle w:val="Bijschrift"/>
        <w:keepNext/>
        <w:jc w:val="center"/>
        <w:rPr>
          <w:lang w:val="en-US"/>
        </w:rPr>
      </w:pPr>
      <w:r w:rsidRPr="00831DE4">
        <w:rPr>
          <w:lang w:val="en-US"/>
        </w:rPr>
        <w:lastRenderedPageBreak/>
        <w:t xml:space="preserve">Figure </w:t>
      </w:r>
      <w:r>
        <w:fldChar w:fldCharType="begin"/>
      </w:r>
      <w:r w:rsidRPr="00831DE4">
        <w:rPr>
          <w:lang w:val="en-US"/>
        </w:rPr>
        <w:instrText xml:space="preserve"> SEQ Figure \* ARABIC </w:instrText>
      </w:r>
      <w:r>
        <w:fldChar w:fldCharType="separate"/>
      </w:r>
      <w:r w:rsidR="00706AF8">
        <w:rPr>
          <w:noProof/>
          <w:lang w:val="en-US"/>
        </w:rPr>
        <w:t>1</w:t>
      </w:r>
      <w:r>
        <w:fldChar w:fldCharType="end"/>
      </w:r>
      <w:r w:rsidRPr="00831DE4">
        <w:rPr>
          <w:lang w:val="en-US"/>
        </w:rPr>
        <w:t xml:space="preserve"> Activity on trade in the Belgian Federal, Flemish and Walloon Parliaments</w:t>
      </w:r>
    </w:p>
    <w:p w14:paraId="3C249C7C" w14:textId="52823331" w:rsidR="000244AE" w:rsidRDefault="00132CDE" w:rsidP="009074F5">
      <w:pPr>
        <w:spacing w:line="276" w:lineRule="auto"/>
        <w:jc w:val="center"/>
        <w:rPr>
          <w:b/>
          <w:i/>
          <w:lang w:val="en-US"/>
        </w:rPr>
      </w:pPr>
      <w:r>
        <w:rPr>
          <w:b/>
          <w:i/>
          <w:noProof/>
          <w:lang w:val="en-US"/>
        </w:rPr>
        <w:drawing>
          <wp:inline distT="0" distB="0" distL="0" distR="0" wp14:anchorId="214626F2" wp14:editId="45951EF5">
            <wp:extent cx="3841115" cy="2529840"/>
            <wp:effectExtent l="0" t="0" r="698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115" cy="2529840"/>
                    </a:xfrm>
                    <a:prstGeom prst="rect">
                      <a:avLst/>
                    </a:prstGeom>
                    <a:noFill/>
                  </pic:spPr>
                </pic:pic>
              </a:graphicData>
            </a:graphic>
          </wp:inline>
        </w:drawing>
      </w:r>
    </w:p>
    <w:p w14:paraId="4D046F02" w14:textId="405C3793" w:rsidR="00C337D7" w:rsidRDefault="00C337D7" w:rsidP="009074F5">
      <w:pPr>
        <w:spacing w:line="276" w:lineRule="auto"/>
        <w:jc w:val="both"/>
        <w:rPr>
          <w:b/>
          <w:i/>
          <w:lang w:val="en-US"/>
        </w:rPr>
      </w:pPr>
    </w:p>
    <w:p w14:paraId="18F5B3A7" w14:textId="74CA8E34" w:rsidR="00FD2FFF" w:rsidRDefault="00CA7E7B" w:rsidP="00FD2FFF">
      <w:pPr>
        <w:spacing w:line="276" w:lineRule="auto"/>
        <w:jc w:val="both"/>
        <w:rPr>
          <w:lang w:val="en-US"/>
        </w:rPr>
      </w:pPr>
      <w:r w:rsidRPr="00CA7E7B">
        <w:rPr>
          <w:lang w:val="en-US"/>
        </w:rPr>
        <w:t xml:space="preserve">In the </w:t>
      </w:r>
      <w:r w:rsidRPr="00FD2FFF">
        <w:rPr>
          <w:lang w:val="en-US"/>
        </w:rPr>
        <w:t xml:space="preserve">federal </w:t>
      </w:r>
      <w:r w:rsidR="00FD2FFF">
        <w:rPr>
          <w:lang w:val="en-US"/>
        </w:rPr>
        <w:t>Parliament</w:t>
      </w:r>
      <w:r w:rsidRPr="00CA7E7B">
        <w:rPr>
          <w:lang w:val="en-US"/>
        </w:rPr>
        <w:t>, the at</w:t>
      </w:r>
      <w:r w:rsidR="00FE4E19">
        <w:rPr>
          <w:lang w:val="en-US"/>
        </w:rPr>
        <w:t>tention paid to trade issues had</w:t>
      </w:r>
      <w:r w:rsidRPr="00CA7E7B">
        <w:rPr>
          <w:lang w:val="en-US"/>
        </w:rPr>
        <w:t xml:space="preserve"> generally been low, with </w:t>
      </w:r>
      <w:r w:rsidR="00FD2FFF">
        <w:rPr>
          <w:lang w:val="en-US"/>
        </w:rPr>
        <w:t>a peak</w:t>
      </w:r>
      <w:r w:rsidRPr="00CA7E7B">
        <w:rPr>
          <w:lang w:val="en-US"/>
        </w:rPr>
        <w:t xml:space="preserve"> in interventions in 2005 (related to textiles and the Doha round</w:t>
      </w:r>
      <w:r w:rsidR="00FD2FFF">
        <w:rPr>
          <w:lang w:val="en-US"/>
        </w:rPr>
        <w:t>). The increase since 2012</w:t>
      </w:r>
      <w:r w:rsidRPr="00CA7E7B">
        <w:rPr>
          <w:lang w:val="en-US"/>
        </w:rPr>
        <w:t xml:space="preserve"> is unprecedente</w:t>
      </w:r>
      <w:r w:rsidR="00FD2FFF">
        <w:rPr>
          <w:lang w:val="en-US"/>
        </w:rPr>
        <w:t>d.</w:t>
      </w:r>
      <w:r>
        <w:rPr>
          <w:lang w:val="en-US"/>
        </w:rPr>
        <w:t xml:space="preserve"> </w:t>
      </w:r>
      <w:r w:rsidRPr="00CA7E7B">
        <w:rPr>
          <w:lang w:val="en-US"/>
        </w:rPr>
        <w:t>This dynamic is not wholly attributable to the i</w:t>
      </w:r>
      <w:r w:rsidR="00FE4E19">
        <w:rPr>
          <w:lang w:val="en-US"/>
        </w:rPr>
        <w:t xml:space="preserve">ncreasing zeal of particular </w:t>
      </w:r>
      <w:proofErr w:type="gramStart"/>
      <w:r w:rsidR="00FE4E19">
        <w:rPr>
          <w:lang w:val="en-US"/>
        </w:rPr>
        <w:t>MP</w:t>
      </w:r>
      <w:r w:rsidRPr="00CA7E7B">
        <w:rPr>
          <w:lang w:val="en-US"/>
        </w:rPr>
        <w:t>s,</w:t>
      </w:r>
      <w:proofErr w:type="gramEnd"/>
      <w:r w:rsidRPr="00CA7E7B">
        <w:rPr>
          <w:lang w:val="en-US"/>
        </w:rPr>
        <w:t xml:space="preserve"> it is also driven by an increase in the </w:t>
      </w:r>
      <w:r w:rsidR="00E84721">
        <w:rPr>
          <w:lang w:val="en-US"/>
        </w:rPr>
        <w:t>number</w:t>
      </w:r>
      <w:r w:rsidR="00E84721" w:rsidRPr="00CA7E7B">
        <w:rPr>
          <w:lang w:val="en-US"/>
        </w:rPr>
        <w:t xml:space="preserve"> </w:t>
      </w:r>
      <w:r w:rsidR="00FE4E19">
        <w:rPr>
          <w:lang w:val="en-US"/>
        </w:rPr>
        <w:t>of MP</w:t>
      </w:r>
      <w:r w:rsidRPr="00CA7E7B">
        <w:rPr>
          <w:lang w:val="en-US"/>
        </w:rPr>
        <w:t xml:space="preserve">s that are active in this theme. In the </w:t>
      </w:r>
      <w:r w:rsidRPr="00FD2FFF">
        <w:rPr>
          <w:lang w:val="en-US"/>
        </w:rPr>
        <w:t xml:space="preserve">Flemish </w:t>
      </w:r>
      <w:r w:rsidR="00FD2FFF">
        <w:rPr>
          <w:lang w:val="en-US"/>
        </w:rPr>
        <w:t>Parliament</w:t>
      </w:r>
      <w:r w:rsidRPr="00CA7E7B">
        <w:rPr>
          <w:lang w:val="en-US"/>
        </w:rPr>
        <w:t xml:space="preserve">, </w:t>
      </w:r>
      <w:r w:rsidRPr="00D52CCB">
        <w:rPr>
          <w:lang w:val="en-US"/>
        </w:rPr>
        <w:t>activity related to trade issues</w:t>
      </w:r>
      <w:r w:rsidRPr="00CA7E7B">
        <w:rPr>
          <w:lang w:val="en-US"/>
        </w:rPr>
        <w:t xml:space="preserve"> has be</w:t>
      </w:r>
      <w:r w:rsidR="00FD2FFF">
        <w:rPr>
          <w:lang w:val="en-US"/>
        </w:rPr>
        <w:t>en slowly increasing after 2009</w:t>
      </w:r>
      <w:r w:rsidR="00663FFD">
        <w:rPr>
          <w:lang w:val="en-US"/>
        </w:rPr>
        <w:t>.</w:t>
      </w:r>
      <w:r w:rsidR="002B2E49">
        <w:rPr>
          <w:lang w:val="en-US"/>
        </w:rPr>
        <w:t xml:space="preserve"> </w:t>
      </w:r>
      <w:r w:rsidR="00A72E42">
        <w:rPr>
          <w:lang w:val="en-US"/>
        </w:rPr>
        <w:t>Just like at the federal level</w:t>
      </w:r>
      <w:r w:rsidR="002B2E49" w:rsidRPr="00CA7E7B">
        <w:rPr>
          <w:lang w:val="en-US"/>
        </w:rPr>
        <w:t>, this</w:t>
      </w:r>
      <w:r w:rsidR="00FD2FFF">
        <w:rPr>
          <w:lang w:val="en-US"/>
        </w:rPr>
        <w:t xml:space="preserve"> growing</w:t>
      </w:r>
      <w:r w:rsidR="002B2E49" w:rsidRPr="00CA7E7B">
        <w:rPr>
          <w:lang w:val="en-US"/>
        </w:rPr>
        <w:t xml:space="preserve"> activity </w:t>
      </w:r>
      <w:r w:rsidR="00FD2FFF">
        <w:rPr>
          <w:lang w:val="en-US"/>
        </w:rPr>
        <w:t>is accompanied by an increasing number of</w:t>
      </w:r>
      <w:r w:rsidR="002B2E49" w:rsidRPr="00CA7E7B">
        <w:rPr>
          <w:lang w:val="en-US"/>
        </w:rPr>
        <w:t xml:space="preserve"> active MPs</w:t>
      </w:r>
      <w:r w:rsidRPr="00CA7E7B">
        <w:rPr>
          <w:lang w:val="en-US"/>
        </w:rPr>
        <w:t xml:space="preserve">. In the </w:t>
      </w:r>
      <w:r w:rsidRPr="00FD2FFF">
        <w:rPr>
          <w:lang w:val="en-US"/>
        </w:rPr>
        <w:t xml:space="preserve">Walloon </w:t>
      </w:r>
      <w:r w:rsidR="00FD2FFF">
        <w:rPr>
          <w:lang w:val="en-US"/>
        </w:rPr>
        <w:t>Parliament</w:t>
      </w:r>
      <w:r w:rsidRPr="00CA7E7B">
        <w:rPr>
          <w:lang w:val="en-US"/>
        </w:rPr>
        <w:t>, as in the other ones, there was a</w:t>
      </w:r>
      <w:r w:rsidRPr="00CA7E7B">
        <w:rPr>
          <w:b/>
          <w:lang w:val="en-US"/>
        </w:rPr>
        <w:t xml:space="preserve"> </w:t>
      </w:r>
      <w:r w:rsidRPr="00CA7E7B">
        <w:rPr>
          <w:lang w:val="en-US"/>
        </w:rPr>
        <w:t xml:space="preserve">steady </w:t>
      </w:r>
      <w:r w:rsidR="00FD2FFF">
        <w:rPr>
          <w:lang w:val="en-US"/>
        </w:rPr>
        <w:t>increase in attention</w:t>
      </w:r>
      <w:r w:rsidR="00BA7FCD">
        <w:rPr>
          <w:lang w:val="en-US"/>
        </w:rPr>
        <w:t>, especially</w:t>
      </w:r>
      <w:r w:rsidR="00FD2FFF">
        <w:rPr>
          <w:lang w:val="en-US"/>
        </w:rPr>
        <w:t xml:space="preserve"> after 2013</w:t>
      </w:r>
      <w:r w:rsidRPr="00CA7E7B">
        <w:rPr>
          <w:lang w:val="en-US"/>
        </w:rPr>
        <w:t>. Again this has been accompani</w:t>
      </w:r>
      <w:r>
        <w:rPr>
          <w:lang w:val="en-US"/>
        </w:rPr>
        <w:t>e</w:t>
      </w:r>
      <w:r w:rsidRPr="00CA7E7B">
        <w:rPr>
          <w:lang w:val="en-US"/>
        </w:rPr>
        <w:t xml:space="preserve">d by a rise in the amount of active MPs. </w:t>
      </w:r>
    </w:p>
    <w:p w14:paraId="1BC42201" w14:textId="77777777" w:rsidR="00FD2FFF" w:rsidRDefault="00FD2FFF" w:rsidP="00FD2FFF">
      <w:pPr>
        <w:spacing w:line="276" w:lineRule="auto"/>
        <w:jc w:val="both"/>
        <w:rPr>
          <w:lang w:val="en-US"/>
        </w:rPr>
      </w:pPr>
    </w:p>
    <w:p w14:paraId="222ED239" w14:textId="77777777" w:rsidR="00BA7FCD" w:rsidRDefault="00C224AB" w:rsidP="00FD2FFF">
      <w:pPr>
        <w:spacing w:line="276" w:lineRule="auto"/>
        <w:jc w:val="both"/>
        <w:rPr>
          <w:lang w:val="en-US"/>
        </w:rPr>
      </w:pPr>
      <w:r>
        <w:rPr>
          <w:lang w:val="en-US"/>
        </w:rPr>
        <w:t xml:space="preserve">The bulk of the extra trade activity has been focused on EU free trade agreements, and within this category on TTIP and CETA in particular. </w:t>
      </w:r>
      <w:r w:rsidR="00BA7FCD">
        <w:rPr>
          <w:lang w:val="en-US"/>
        </w:rPr>
        <w:t>Figure 2</w:t>
      </w:r>
      <w:r>
        <w:rPr>
          <w:lang w:val="en-US"/>
        </w:rPr>
        <w:t xml:space="preserve"> is especially interesting for the sequence of the growing interest that it highlights. This increase started in 2013 with activity on TTIP in the Federal Parliament. In 2015, debate on TTIP was still by far the most important category of trade-related activities in </w:t>
      </w:r>
      <w:r w:rsidR="00BA7FCD">
        <w:rPr>
          <w:lang w:val="en-US"/>
        </w:rPr>
        <w:t>the Federal and Flemish</w:t>
      </w:r>
      <w:r>
        <w:rPr>
          <w:lang w:val="en-US"/>
        </w:rPr>
        <w:t xml:space="preserve"> Parliaments</w:t>
      </w:r>
      <w:r w:rsidR="00BB12A2">
        <w:rPr>
          <w:lang w:val="en-US"/>
        </w:rPr>
        <w:t xml:space="preserve">, </w:t>
      </w:r>
      <w:r w:rsidR="00BA7FCD">
        <w:rPr>
          <w:lang w:val="en-US"/>
        </w:rPr>
        <w:t>while</w:t>
      </w:r>
      <w:r w:rsidR="00BB12A2">
        <w:rPr>
          <w:lang w:val="en-US"/>
        </w:rPr>
        <w:t xml:space="preserve"> in </w:t>
      </w:r>
      <w:r w:rsidR="00BB12A2" w:rsidRPr="00BB12A2">
        <w:rPr>
          <w:lang w:val="en-US"/>
        </w:rPr>
        <w:t>Wallonia</w:t>
      </w:r>
      <w:r w:rsidR="00BB12A2">
        <w:rPr>
          <w:lang w:val="en-US"/>
        </w:rPr>
        <w:t xml:space="preserve"> activity on CETA had already overtaken interest in TTIP</w:t>
      </w:r>
      <w:r>
        <w:rPr>
          <w:lang w:val="en-US"/>
        </w:rPr>
        <w:t>.</w:t>
      </w:r>
      <w:r w:rsidR="00BB12A2">
        <w:rPr>
          <w:lang w:val="en-US"/>
        </w:rPr>
        <w:t xml:space="preserve"> In 2016, finally, CETA was the core trade occupation in all three Parliaments. Also remarkable is that the attention for TTIP and CETA has also led to a</w:t>
      </w:r>
      <w:r w:rsidR="00BA7FCD">
        <w:rPr>
          <w:lang w:val="en-US"/>
        </w:rPr>
        <w:t xml:space="preserve"> very recent</w:t>
      </w:r>
      <w:r w:rsidR="00BB12A2">
        <w:rPr>
          <w:lang w:val="en-US"/>
        </w:rPr>
        <w:t xml:space="preserve"> significant increase in consideration for other FTAs in all three Parliaments. Hence, we can conclude that activity on EU trade policy in Belgian Parliaments has increased since 2013, starting with attention for TTIP, </w:t>
      </w:r>
      <w:r w:rsidR="00BA7FCD">
        <w:rPr>
          <w:lang w:val="en-US"/>
        </w:rPr>
        <w:t>spilling over into</w:t>
      </w:r>
      <w:r w:rsidR="00BB12A2">
        <w:rPr>
          <w:lang w:val="en-US"/>
        </w:rPr>
        <w:t xml:space="preserve"> much commotion around CETA and resulting, in the final year of our analysis, in increased devotion to other trade agreements as well. In the next sections, we look for answer for this boost in activity and the sequence of its components.</w:t>
      </w:r>
    </w:p>
    <w:p w14:paraId="577442AD" w14:textId="79439358" w:rsidR="00BA7FCD" w:rsidRDefault="00BB12A2" w:rsidP="00FD2FFF">
      <w:pPr>
        <w:spacing w:line="276" w:lineRule="auto"/>
        <w:jc w:val="both"/>
        <w:rPr>
          <w:lang w:val="en-US"/>
        </w:rPr>
        <w:sectPr w:rsidR="00BA7FCD" w:rsidSect="00525A17">
          <w:pgSz w:w="11900" w:h="16840"/>
          <w:pgMar w:top="1417" w:right="1417" w:bottom="1417" w:left="1417" w:header="708" w:footer="708" w:gutter="0"/>
          <w:cols w:space="708"/>
          <w:docGrid w:linePitch="360"/>
        </w:sectPr>
      </w:pPr>
      <w:r>
        <w:rPr>
          <w:lang w:val="en-US"/>
        </w:rPr>
        <w:t xml:space="preserve"> </w:t>
      </w:r>
      <w:r w:rsidR="00C224AB">
        <w:rPr>
          <w:lang w:val="en-US"/>
        </w:rPr>
        <w:t xml:space="preserve"> </w:t>
      </w:r>
    </w:p>
    <w:p w14:paraId="4304E4C9" w14:textId="37BFE300" w:rsidR="00C224AB" w:rsidRDefault="00C224AB" w:rsidP="00FD2FFF">
      <w:pPr>
        <w:spacing w:line="276" w:lineRule="auto"/>
        <w:jc w:val="both"/>
        <w:rPr>
          <w:lang w:val="en-US"/>
        </w:rPr>
      </w:pPr>
    </w:p>
    <w:p w14:paraId="5928B2F0" w14:textId="77777777" w:rsidR="00663FFD" w:rsidRDefault="00663FFD" w:rsidP="00FD2FFF">
      <w:pPr>
        <w:spacing w:line="276" w:lineRule="auto"/>
        <w:jc w:val="both"/>
        <w:rPr>
          <w:lang w:val="en-US"/>
        </w:rPr>
      </w:pPr>
    </w:p>
    <w:p w14:paraId="496EE158" w14:textId="3D62A325" w:rsidR="00C224AB" w:rsidRPr="00831DE4" w:rsidRDefault="00C224AB" w:rsidP="00C224AB">
      <w:pPr>
        <w:pStyle w:val="Bijschrift"/>
        <w:keepNext/>
        <w:jc w:val="center"/>
        <w:rPr>
          <w:lang w:val="en-US"/>
        </w:rPr>
      </w:pPr>
      <w:r w:rsidRPr="00831DE4">
        <w:rPr>
          <w:lang w:val="en-US"/>
        </w:rPr>
        <w:t xml:space="preserve">Figure </w:t>
      </w:r>
      <w:r>
        <w:fldChar w:fldCharType="begin"/>
      </w:r>
      <w:r w:rsidRPr="00831DE4">
        <w:rPr>
          <w:lang w:val="en-US"/>
        </w:rPr>
        <w:instrText xml:space="preserve"> SEQ Figure \* ARABIC </w:instrText>
      </w:r>
      <w:r>
        <w:fldChar w:fldCharType="separate"/>
      </w:r>
      <w:r w:rsidR="00706AF8">
        <w:rPr>
          <w:noProof/>
          <w:lang w:val="en-US"/>
        </w:rPr>
        <w:t>2</w:t>
      </w:r>
      <w:r>
        <w:fldChar w:fldCharType="end"/>
      </w:r>
      <w:proofErr w:type="gramStart"/>
      <w:r w:rsidRPr="00831DE4">
        <w:rPr>
          <w:lang w:val="en-US"/>
        </w:rPr>
        <w:t xml:space="preserve"> Activity</w:t>
      </w:r>
      <w:proofErr w:type="gramEnd"/>
      <w:r w:rsidRPr="00831DE4">
        <w:rPr>
          <w:lang w:val="en-US"/>
        </w:rPr>
        <w:t xml:space="preserve"> on CETA, TTIP and other FTAs</w:t>
      </w:r>
      <w:r w:rsidR="00BA7FCD">
        <w:rPr>
          <w:lang w:val="en-US"/>
        </w:rPr>
        <w:t xml:space="preserve"> in the </w:t>
      </w:r>
      <w:r w:rsidR="00D61777">
        <w:rPr>
          <w:lang w:val="en-US"/>
        </w:rPr>
        <w:t>Federal</w:t>
      </w:r>
      <w:r w:rsidR="00BA7FCD">
        <w:rPr>
          <w:lang w:val="en-US"/>
        </w:rPr>
        <w:t xml:space="preserve">, Walloon and </w:t>
      </w:r>
      <w:r w:rsidR="00D61777">
        <w:rPr>
          <w:lang w:val="en-US"/>
        </w:rPr>
        <w:t>Flemish</w:t>
      </w:r>
      <w:r w:rsidR="00BA7FCD">
        <w:rPr>
          <w:lang w:val="en-US"/>
        </w:rPr>
        <w:t xml:space="preserve"> Parliaments</w:t>
      </w:r>
    </w:p>
    <w:p w14:paraId="09658DC3" w14:textId="05D28CC4" w:rsidR="00663FFD" w:rsidRPr="00FD2FFF" w:rsidRDefault="00973DEA" w:rsidP="00C224AB">
      <w:pPr>
        <w:spacing w:line="276" w:lineRule="auto"/>
        <w:jc w:val="center"/>
        <w:rPr>
          <w:lang w:val="en-US"/>
        </w:rPr>
      </w:pPr>
      <w:r>
        <w:rPr>
          <w:noProof/>
          <w:lang w:val="en-US"/>
        </w:rPr>
        <w:drawing>
          <wp:inline distT="0" distB="0" distL="0" distR="0" wp14:anchorId="14C16C04" wp14:editId="338EB3FD">
            <wp:extent cx="8331200" cy="4622800"/>
            <wp:effectExtent l="0" t="0" r="12700" b="2540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71CE90" w14:textId="5BC56802" w:rsidR="00BA7FCD" w:rsidRDefault="00BA7FCD" w:rsidP="009074F5">
      <w:pPr>
        <w:pStyle w:val="Kop3"/>
        <w:spacing w:line="276" w:lineRule="auto"/>
        <w:rPr>
          <w:rFonts w:asciiTheme="minorHAnsi" w:eastAsiaTheme="minorEastAsia" w:hAnsiTheme="minorHAnsi" w:cstheme="minorBidi"/>
          <w:bCs w:val="0"/>
          <w:i w:val="0"/>
          <w:lang w:val="en-US"/>
        </w:rPr>
        <w:sectPr w:rsidR="00BA7FCD" w:rsidSect="00BA7FCD">
          <w:pgSz w:w="16840" w:h="11900" w:orient="landscape"/>
          <w:pgMar w:top="1417" w:right="1417" w:bottom="1417" w:left="1417" w:header="708" w:footer="708" w:gutter="0"/>
          <w:cols w:space="708"/>
          <w:docGrid w:linePitch="360"/>
        </w:sectPr>
      </w:pPr>
    </w:p>
    <w:p w14:paraId="4F48D3E6" w14:textId="0E4660C5" w:rsidR="00B9547D" w:rsidRDefault="005F17AE" w:rsidP="009074F5">
      <w:pPr>
        <w:pStyle w:val="Kop3"/>
        <w:spacing w:line="276" w:lineRule="auto"/>
        <w:rPr>
          <w:lang w:val="en-US"/>
        </w:rPr>
      </w:pPr>
      <w:r>
        <w:rPr>
          <w:lang w:val="en-US"/>
        </w:rPr>
        <w:lastRenderedPageBreak/>
        <w:t xml:space="preserve">3.2.2. </w:t>
      </w:r>
      <w:r w:rsidR="00B9547D" w:rsidRPr="00202EA0">
        <w:rPr>
          <w:lang w:val="en-US"/>
        </w:rPr>
        <w:t>Interviews</w:t>
      </w:r>
      <w:r>
        <w:rPr>
          <w:lang w:val="en-US"/>
        </w:rPr>
        <w:t xml:space="preserve"> and analysis of recent debates</w:t>
      </w:r>
    </w:p>
    <w:p w14:paraId="62BF4115" w14:textId="77777777" w:rsidR="006A4654" w:rsidRPr="00202EA0" w:rsidRDefault="006A4654" w:rsidP="009074F5">
      <w:pPr>
        <w:spacing w:line="276" w:lineRule="auto"/>
        <w:rPr>
          <w:lang w:val="en-US"/>
        </w:rPr>
      </w:pPr>
    </w:p>
    <w:p w14:paraId="2C0F54BF" w14:textId="099F5073" w:rsidR="006A4654" w:rsidRPr="00202EA0" w:rsidRDefault="006A4654" w:rsidP="009074F5">
      <w:pPr>
        <w:spacing w:line="276" w:lineRule="auto"/>
        <w:jc w:val="both"/>
        <w:rPr>
          <w:lang w:val="en-US"/>
        </w:rPr>
      </w:pPr>
      <w:r>
        <w:rPr>
          <w:lang w:val="en-US"/>
        </w:rPr>
        <w:t xml:space="preserve">Next to composing these general figures on the rough ‘quantitative’ trends in </w:t>
      </w:r>
      <w:r w:rsidR="00F25696">
        <w:rPr>
          <w:lang w:val="en-US"/>
        </w:rPr>
        <w:t>parliamentary</w:t>
      </w:r>
      <w:r>
        <w:rPr>
          <w:lang w:val="en-US"/>
        </w:rPr>
        <w:t xml:space="preserve"> scrutiny, we have also conducted a series of interviews with Flemish, Walloon and Federal MPs</w:t>
      </w:r>
      <w:r w:rsidR="00E36025">
        <w:rPr>
          <w:lang w:val="en-US"/>
        </w:rPr>
        <w:t xml:space="preserve"> to substantiate these findings</w:t>
      </w:r>
      <w:r w:rsidR="00CC197A">
        <w:rPr>
          <w:lang w:val="en-US"/>
        </w:rPr>
        <w:t xml:space="preserve">. </w:t>
      </w:r>
      <w:r w:rsidR="00BB12A2">
        <w:rPr>
          <w:lang w:val="en-US"/>
        </w:rPr>
        <w:t>In addition, we</w:t>
      </w:r>
      <w:r w:rsidR="00EB1CB7">
        <w:rPr>
          <w:lang w:val="en-US"/>
        </w:rPr>
        <w:t xml:space="preserve"> looked at the substance of </w:t>
      </w:r>
      <w:r w:rsidR="00F25696">
        <w:rPr>
          <w:lang w:val="en-US"/>
        </w:rPr>
        <w:t>parliamentary</w:t>
      </w:r>
      <w:r w:rsidR="00EB1CB7">
        <w:rPr>
          <w:lang w:val="en-US"/>
        </w:rPr>
        <w:t xml:space="preserve"> debates, hearings and resolutions, while using </w:t>
      </w:r>
      <w:proofErr w:type="spellStart"/>
      <w:r w:rsidR="00EB1CB7">
        <w:rPr>
          <w:lang w:val="en-US"/>
        </w:rPr>
        <w:t>GoPress</w:t>
      </w:r>
      <w:proofErr w:type="spellEnd"/>
      <w:r w:rsidR="00EB1CB7">
        <w:rPr>
          <w:lang w:val="en-US"/>
        </w:rPr>
        <w:t xml:space="preserve"> to perform a cursory analysis of the press’ coverage of recent events.  </w:t>
      </w:r>
    </w:p>
    <w:p w14:paraId="342542F0" w14:textId="77777777" w:rsidR="00B9547D" w:rsidRDefault="00B9547D" w:rsidP="009074F5">
      <w:pPr>
        <w:spacing w:line="276" w:lineRule="auto"/>
        <w:jc w:val="both"/>
        <w:rPr>
          <w:b/>
          <w:i/>
          <w:lang w:val="en-US"/>
        </w:rPr>
      </w:pPr>
    </w:p>
    <w:p w14:paraId="46EE9A59" w14:textId="44763CB0" w:rsidR="00D52CCB" w:rsidRDefault="00D52CCB" w:rsidP="009074F5">
      <w:pPr>
        <w:spacing w:line="276" w:lineRule="auto"/>
        <w:jc w:val="both"/>
        <w:rPr>
          <w:lang w:val="en-US"/>
        </w:rPr>
      </w:pPr>
      <w:r>
        <w:rPr>
          <w:lang w:val="en-US"/>
        </w:rPr>
        <w:t xml:space="preserve">First of all, our interviewees confirmed that </w:t>
      </w:r>
      <w:r w:rsidR="00F25696">
        <w:rPr>
          <w:lang w:val="en-US"/>
        </w:rPr>
        <w:t>parliamentary</w:t>
      </w:r>
      <w:r>
        <w:rPr>
          <w:lang w:val="en-US"/>
        </w:rPr>
        <w:t xml:space="preserve"> </w:t>
      </w:r>
      <w:r w:rsidRPr="00BB12A2">
        <w:rPr>
          <w:lang w:val="en-US"/>
        </w:rPr>
        <w:t>attention</w:t>
      </w:r>
      <w:r>
        <w:rPr>
          <w:lang w:val="en-US"/>
        </w:rPr>
        <w:t xml:space="preserve"> for trade policy has generally been very low, at least until TTIP, and that this had seldom been a divisive, partisan issue</w:t>
      </w:r>
      <w:r w:rsidR="00B0348F">
        <w:rPr>
          <w:lang w:val="en-US"/>
        </w:rPr>
        <w:t xml:space="preserve">. </w:t>
      </w:r>
      <w:r>
        <w:rPr>
          <w:lang w:val="en-US"/>
        </w:rPr>
        <w:t>This is true for all Parliaments.</w:t>
      </w:r>
      <w:r w:rsidRPr="00202EA0">
        <w:rPr>
          <w:lang w:val="en-US"/>
        </w:rPr>
        <w:t xml:space="preserve"> In the </w:t>
      </w:r>
      <w:r w:rsidRPr="001F108D">
        <w:rPr>
          <w:lang w:val="en-US"/>
        </w:rPr>
        <w:t xml:space="preserve">Flemish </w:t>
      </w:r>
      <w:r w:rsidR="00FD2FFF">
        <w:rPr>
          <w:lang w:val="en-US"/>
        </w:rPr>
        <w:t>Parliament</w:t>
      </w:r>
      <w:r>
        <w:rPr>
          <w:lang w:val="en-US"/>
        </w:rPr>
        <w:t xml:space="preserve">, for example, </w:t>
      </w:r>
      <w:r w:rsidR="009074F5">
        <w:rPr>
          <w:lang w:val="en-US"/>
        </w:rPr>
        <w:t>past</w:t>
      </w:r>
      <w:r w:rsidRPr="00202EA0">
        <w:rPr>
          <w:lang w:val="en-US"/>
        </w:rPr>
        <w:t xml:space="preserve"> discussion had often been limited to the economic missions undertaken by Belgium and the regions</w:t>
      </w:r>
      <w:r>
        <w:rPr>
          <w:lang w:val="en-US"/>
        </w:rPr>
        <w:t xml:space="preserve">. </w:t>
      </w:r>
      <w:r w:rsidRPr="00202EA0">
        <w:rPr>
          <w:lang w:val="en-US"/>
        </w:rPr>
        <w:t>With the exception of arms’ trade, there was seldom any discussion o</w:t>
      </w:r>
      <w:r w:rsidR="00B0348F">
        <w:rPr>
          <w:lang w:val="en-US"/>
        </w:rPr>
        <w:t>r</w:t>
      </w:r>
      <w:r w:rsidRPr="00202EA0">
        <w:rPr>
          <w:lang w:val="en-US"/>
        </w:rPr>
        <w:t xml:space="preserve"> larger debate </w:t>
      </w:r>
      <w:r w:rsidR="00B0348F">
        <w:rPr>
          <w:lang w:val="en-US"/>
        </w:rPr>
        <w:t>o</w:t>
      </w:r>
      <w:r w:rsidRPr="00202EA0">
        <w:rPr>
          <w:lang w:val="en-US"/>
        </w:rPr>
        <w:t>n trade policy, which also reflected the lack of real, politically salient cleavages among the parties</w:t>
      </w:r>
      <w:r w:rsidR="002C52DD">
        <w:rPr>
          <w:lang w:val="en-US"/>
        </w:rPr>
        <w:t xml:space="preserve"> (interviews 5, 6, 7)</w:t>
      </w:r>
      <w:r w:rsidRPr="00202EA0">
        <w:rPr>
          <w:lang w:val="en-US"/>
        </w:rPr>
        <w:t>.</w:t>
      </w:r>
      <w:r w:rsidR="00BB12A2">
        <w:rPr>
          <w:lang w:val="en-US"/>
        </w:rPr>
        <w:t xml:space="preserve"> </w:t>
      </w:r>
      <w:r>
        <w:rPr>
          <w:lang w:val="en-US"/>
        </w:rPr>
        <w:t xml:space="preserve">Asked for the percentage of their time spent on trade (in 2016, so after TTIP became a relatively big issue), several of our respondents estimated this was </w:t>
      </w:r>
      <w:r w:rsidR="00BB12A2">
        <w:rPr>
          <w:lang w:val="en-US"/>
        </w:rPr>
        <w:t xml:space="preserve">still </w:t>
      </w:r>
      <w:r>
        <w:rPr>
          <w:lang w:val="en-US"/>
        </w:rPr>
        <w:t xml:space="preserve">at most </w:t>
      </w:r>
      <w:r w:rsidR="00B0348F">
        <w:rPr>
          <w:lang w:val="en-US"/>
        </w:rPr>
        <w:t xml:space="preserve">about </w:t>
      </w:r>
      <w:r w:rsidR="008A583C">
        <w:rPr>
          <w:lang w:val="en-US"/>
        </w:rPr>
        <w:t>5-</w:t>
      </w:r>
      <w:r w:rsidR="00B0348F">
        <w:rPr>
          <w:lang w:val="en-US"/>
        </w:rPr>
        <w:t>10</w:t>
      </w:r>
      <w:r>
        <w:rPr>
          <w:lang w:val="en-US"/>
        </w:rPr>
        <w:t>%, while it was</w:t>
      </w:r>
      <w:r w:rsidR="00BB12A2">
        <w:rPr>
          <w:lang w:val="en-US"/>
        </w:rPr>
        <w:t xml:space="preserve"> even</w:t>
      </w:r>
      <w:r>
        <w:rPr>
          <w:lang w:val="en-US"/>
        </w:rPr>
        <w:t xml:space="preserve"> less in the past. This makes MPs dependent on the expertise (and agenda-setting) of outside players such as NGOs</w:t>
      </w:r>
      <w:r w:rsidR="00BB12A2">
        <w:rPr>
          <w:lang w:val="en-US"/>
        </w:rPr>
        <w:t xml:space="preserve"> (see infra)</w:t>
      </w:r>
      <w:r>
        <w:rPr>
          <w:lang w:val="en-US"/>
        </w:rPr>
        <w:t xml:space="preserve">. </w:t>
      </w:r>
    </w:p>
    <w:p w14:paraId="1081B44D" w14:textId="3FEB74DA" w:rsidR="00D52CCB" w:rsidRDefault="00D52CCB" w:rsidP="009074F5">
      <w:pPr>
        <w:spacing w:line="276" w:lineRule="auto"/>
        <w:jc w:val="both"/>
        <w:rPr>
          <w:lang w:val="en-US"/>
        </w:rPr>
      </w:pPr>
    </w:p>
    <w:p w14:paraId="24BAFDE7" w14:textId="19A4FAE6" w:rsidR="00407B9A" w:rsidRPr="001F108D" w:rsidRDefault="00D52CCB" w:rsidP="009074F5">
      <w:pPr>
        <w:spacing w:line="276" w:lineRule="auto"/>
        <w:jc w:val="both"/>
        <w:rPr>
          <w:lang w:val="en-US"/>
        </w:rPr>
      </w:pPr>
      <w:r>
        <w:rPr>
          <w:lang w:val="en-US"/>
        </w:rPr>
        <w:t>Secondly</w:t>
      </w:r>
      <w:r w:rsidR="00407B9A">
        <w:rPr>
          <w:lang w:val="en-US"/>
        </w:rPr>
        <w:t xml:space="preserve">, our interviewees confirmed that </w:t>
      </w:r>
      <w:r w:rsidR="00F25696">
        <w:rPr>
          <w:lang w:val="en-US"/>
        </w:rPr>
        <w:t>parliamentary</w:t>
      </w:r>
      <w:r w:rsidR="00407B9A">
        <w:rPr>
          <w:lang w:val="en-US"/>
        </w:rPr>
        <w:t xml:space="preserve"> </w:t>
      </w:r>
      <w:r w:rsidR="00407B9A" w:rsidRPr="00A61AB0">
        <w:rPr>
          <w:lang w:val="en-US"/>
        </w:rPr>
        <w:t>ratification</w:t>
      </w:r>
      <w:r w:rsidR="00407B9A">
        <w:rPr>
          <w:lang w:val="en-US"/>
        </w:rPr>
        <w:t xml:space="preserve"> has almost always been a pro-forma </w:t>
      </w:r>
      <w:r w:rsidR="00B0348F">
        <w:rPr>
          <w:lang w:val="en-US"/>
        </w:rPr>
        <w:t xml:space="preserve">– or ‘rubber-stamping’ – </w:t>
      </w:r>
      <w:r w:rsidR="00407B9A">
        <w:rPr>
          <w:lang w:val="en-US"/>
        </w:rPr>
        <w:t xml:space="preserve">procedure. </w:t>
      </w:r>
      <w:r w:rsidR="00407B9A" w:rsidRPr="002C163E">
        <w:rPr>
          <w:lang w:val="en-US"/>
        </w:rPr>
        <w:t xml:space="preserve">One interviewee could recall only one instance in which the </w:t>
      </w:r>
      <w:r w:rsidR="001A05A0">
        <w:rPr>
          <w:lang w:val="en-US"/>
        </w:rPr>
        <w:t>Parliament</w:t>
      </w:r>
      <w:r w:rsidR="00407B9A" w:rsidRPr="002C163E">
        <w:rPr>
          <w:lang w:val="en-US"/>
        </w:rPr>
        <w:t xml:space="preserve"> defied the government by refusing to </w:t>
      </w:r>
      <w:r w:rsidR="00B0348F">
        <w:rPr>
          <w:lang w:val="en-US"/>
        </w:rPr>
        <w:t>ratify</w:t>
      </w:r>
      <w:r w:rsidR="00B0348F" w:rsidRPr="002C163E">
        <w:rPr>
          <w:lang w:val="en-US"/>
        </w:rPr>
        <w:t xml:space="preserve"> </w:t>
      </w:r>
      <w:r w:rsidR="00407B9A" w:rsidRPr="002C163E">
        <w:rPr>
          <w:lang w:val="en-US"/>
        </w:rPr>
        <w:t xml:space="preserve">a signed </w:t>
      </w:r>
      <w:r w:rsidR="00B0348F">
        <w:rPr>
          <w:lang w:val="en-US"/>
        </w:rPr>
        <w:t>agreement</w:t>
      </w:r>
      <w:r w:rsidR="00407B9A" w:rsidRPr="002C163E">
        <w:rPr>
          <w:lang w:val="en-US"/>
        </w:rPr>
        <w:t>, the EU</w:t>
      </w:r>
      <w:r w:rsidR="00407B9A" w:rsidRPr="00217C63">
        <w:rPr>
          <w:lang w:val="en-US"/>
        </w:rPr>
        <w:t xml:space="preserve">-Israel Association Agreement. Yet even here, the </w:t>
      </w:r>
      <w:r w:rsidR="001A05A0" w:rsidRPr="00217C63">
        <w:rPr>
          <w:lang w:val="en-US"/>
        </w:rPr>
        <w:t>Parliament</w:t>
      </w:r>
      <w:r w:rsidR="00407B9A" w:rsidRPr="00217C63">
        <w:rPr>
          <w:lang w:val="en-US"/>
        </w:rPr>
        <w:t xml:space="preserve"> eventually yielded to government pressure and ratified the deal</w:t>
      </w:r>
      <w:r w:rsidR="002C52DD">
        <w:rPr>
          <w:lang w:val="en-US"/>
        </w:rPr>
        <w:t xml:space="preserve"> (interview 6)</w:t>
      </w:r>
      <w:r w:rsidR="00407B9A" w:rsidRPr="00217C63">
        <w:rPr>
          <w:lang w:val="en-US"/>
        </w:rPr>
        <w:t xml:space="preserve">. </w:t>
      </w:r>
      <w:r w:rsidRPr="00217C63">
        <w:rPr>
          <w:lang w:val="en-US"/>
        </w:rPr>
        <w:t xml:space="preserve">More generally, the MPs were aware of the constraints that the Belgium system imposes on </w:t>
      </w:r>
      <w:r w:rsidR="00F25696">
        <w:rPr>
          <w:lang w:val="en-US"/>
        </w:rPr>
        <w:t>parliamentary</w:t>
      </w:r>
      <w:r w:rsidRPr="00217C63">
        <w:rPr>
          <w:lang w:val="en-US"/>
        </w:rPr>
        <w:t xml:space="preserve"> action. They did not believe that the </w:t>
      </w:r>
      <w:r w:rsidR="00F25696">
        <w:rPr>
          <w:lang w:val="en-US"/>
        </w:rPr>
        <w:t>parliamentary</w:t>
      </w:r>
      <w:r w:rsidRPr="00217C63">
        <w:rPr>
          <w:lang w:val="en-US"/>
        </w:rPr>
        <w:t xml:space="preserve"> debates in themselves had much power to shape policy. By the time these dossiers finally end up in the committee, the course and the policy positions of the parties have already been set: the government has decided on its position, negotiations have nearly been completed, if the issue drew civil society’s attention then stakeholders and associated parties have staked out their position and have dug</w:t>
      </w:r>
      <w:r w:rsidRPr="00B0348F">
        <w:rPr>
          <w:lang w:val="en-US"/>
        </w:rPr>
        <w:t xml:space="preserve"> in their heels. Given the </w:t>
      </w:r>
      <w:r w:rsidR="00FD2FFF">
        <w:rPr>
          <w:lang w:val="en-US"/>
        </w:rPr>
        <w:t>Parliament</w:t>
      </w:r>
      <w:r w:rsidRPr="00B0348F">
        <w:rPr>
          <w:lang w:val="en-US"/>
        </w:rPr>
        <w:t>’s subservience to the governing coalition’s policies and dynamics, any subsequent debate (no matter how fiery) is mostly for show.</w:t>
      </w:r>
      <w:r w:rsidR="00C457E8">
        <w:rPr>
          <w:lang w:val="en-US"/>
        </w:rPr>
        <w:t xml:space="preserve"> </w:t>
      </w:r>
      <w:r w:rsidR="00C457E8" w:rsidRPr="001F108D">
        <w:rPr>
          <w:lang w:val="en-US"/>
        </w:rPr>
        <w:t>Especially for MP</w:t>
      </w:r>
      <w:r w:rsidR="00C457E8" w:rsidRPr="00B0348F">
        <w:rPr>
          <w:lang w:val="en-US"/>
        </w:rPr>
        <w:t>s from the governing parties, making use of informal channels to influence decision</w:t>
      </w:r>
      <w:r w:rsidR="009B5CA3">
        <w:rPr>
          <w:lang w:val="en-US"/>
        </w:rPr>
        <w:t>-</w:t>
      </w:r>
      <w:r w:rsidR="00C457E8" w:rsidRPr="00B0348F">
        <w:rPr>
          <w:lang w:val="en-US"/>
        </w:rPr>
        <w:t xml:space="preserve">making at an earlier stage </w:t>
      </w:r>
      <w:r w:rsidR="00C457E8">
        <w:rPr>
          <w:lang w:val="en-US"/>
        </w:rPr>
        <w:t>is</w:t>
      </w:r>
      <w:r w:rsidR="00C457E8" w:rsidRPr="00B0348F">
        <w:rPr>
          <w:lang w:val="en-US"/>
        </w:rPr>
        <w:t xml:space="preserve"> more likely to bear fruit</w:t>
      </w:r>
      <w:r w:rsidR="002C52DD">
        <w:rPr>
          <w:lang w:val="en-US"/>
        </w:rPr>
        <w:t xml:space="preserve"> (interview 6, 5)</w:t>
      </w:r>
      <w:r w:rsidR="00C457E8" w:rsidRPr="00B0348F">
        <w:rPr>
          <w:lang w:val="en-US"/>
        </w:rPr>
        <w:t xml:space="preserve">. </w:t>
      </w:r>
    </w:p>
    <w:p w14:paraId="34AB4C3A" w14:textId="77777777" w:rsidR="00407B9A" w:rsidRDefault="00407B9A" w:rsidP="009074F5">
      <w:pPr>
        <w:spacing w:line="276" w:lineRule="auto"/>
        <w:jc w:val="both"/>
        <w:rPr>
          <w:lang w:val="en-US"/>
        </w:rPr>
      </w:pPr>
    </w:p>
    <w:p w14:paraId="0A942C80" w14:textId="4D969702" w:rsidR="00CA571A" w:rsidRDefault="00E961D3" w:rsidP="009074F5">
      <w:pPr>
        <w:spacing w:line="276" w:lineRule="auto"/>
        <w:jc w:val="both"/>
        <w:rPr>
          <w:lang w:val="en-US"/>
        </w:rPr>
      </w:pPr>
      <w:r>
        <w:rPr>
          <w:lang w:val="en-US"/>
        </w:rPr>
        <w:t>As</w:t>
      </w:r>
      <w:r w:rsidR="00407B9A" w:rsidRPr="005B3BA0">
        <w:rPr>
          <w:lang w:val="en-US"/>
        </w:rPr>
        <w:t xml:space="preserve"> is also evident from </w:t>
      </w:r>
      <w:r w:rsidR="000F2DF1">
        <w:rPr>
          <w:lang w:val="en-US"/>
        </w:rPr>
        <w:t>our interviews</w:t>
      </w:r>
      <w:r w:rsidR="00407B9A" w:rsidRPr="005B3BA0">
        <w:rPr>
          <w:lang w:val="en-US"/>
        </w:rPr>
        <w:t xml:space="preserve">, </w:t>
      </w:r>
      <w:r w:rsidR="00A61AB0">
        <w:rPr>
          <w:lang w:val="en-US"/>
        </w:rPr>
        <w:t>an</w:t>
      </w:r>
      <w:r w:rsidR="00BA7FCD">
        <w:rPr>
          <w:lang w:val="en-US"/>
        </w:rPr>
        <w:t>d</w:t>
      </w:r>
      <w:r w:rsidR="00A61AB0">
        <w:rPr>
          <w:lang w:val="en-US"/>
        </w:rPr>
        <w:t xml:space="preserve"> in line with the statistics presented above</w:t>
      </w:r>
      <w:r w:rsidR="00407B9A" w:rsidRPr="005B3BA0">
        <w:rPr>
          <w:lang w:val="en-US"/>
        </w:rPr>
        <w:t xml:space="preserve">, </w:t>
      </w:r>
      <w:r w:rsidR="00F25696">
        <w:rPr>
          <w:lang w:val="en-US"/>
        </w:rPr>
        <w:t>parliamentary</w:t>
      </w:r>
      <w:r w:rsidR="00407B9A" w:rsidRPr="005B3BA0">
        <w:rPr>
          <w:lang w:val="en-US"/>
        </w:rPr>
        <w:t xml:space="preserve"> work on trade has </w:t>
      </w:r>
      <w:r w:rsidR="00407B9A" w:rsidRPr="00BF7ACB">
        <w:rPr>
          <w:lang w:val="en-US"/>
        </w:rPr>
        <w:t>picked up tremendously in</w:t>
      </w:r>
      <w:r w:rsidR="00407B9A" w:rsidRPr="00B0348F">
        <w:rPr>
          <w:b/>
          <w:lang w:val="en-US"/>
        </w:rPr>
        <w:t xml:space="preserve"> </w:t>
      </w:r>
      <w:r w:rsidR="00407B9A" w:rsidRPr="00A61AB0">
        <w:rPr>
          <w:lang w:val="en-US"/>
        </w:rPr>
        <w:t>recent years</w:t>
      </w:r>
      <w:r w:rsidR="00407B9A" w:rsidRPr="005B3BA0">
        <w:rPr>
          <w:lang w:val="en-US"/>
        </w:rPr>
        <w:t>.</w:t>
      </w:r>
      <w:r w:rsidR="00D020AA">
        <w:rPr>
          <w:lang w:val="en-US"/>
        </w:rPr>
        <w:t xml:space="preserve"> Most of this activity has revolved around the controversial deals with the US and </w:t>
      </w:r>
      <w:r w:rsidR="00D020AA" w:rsidRPr="00217C63">
        <w:rPr>
          <w:lang w:val="en-US"/>
        </w:rPr>
        <w:t xml:space="preserve">Canada. In Flanders for example, TTIP has received a rare amount of </w:t>
      </w:r>
      <w:r w:rsidR="00F25696">
        <w:rPr>
          <w:lang w:val="en-US"/>
        </w:rPr>
        <w:t>parliamentary</w:t>
      </w:r>
      <w:r w:rsidR="00D020AA" w:rsidRPr="00217C63">
        <w:rPr>
          <w:lang w:val="en-US"/>
        </w:rPr>
        <w:t xml:space="preserve"> attention: not only have the negotiations been discussed in multiple</w:t>
      </w:r>
      <w:r w:rsidR="008A583C" w:rsidRPr="00217C63">
        <w:rPr>
          <w:lang w:val="en-US"/>
        </w:rPr>
        <w:t xml:space="preserve"> </w:t>
      </w:r>
      <w:r w:rsidR="00D020AA" w:rsidRPr="00217C63">
        <w:rPr>
          <w:lang w:val="en-US"/>
        </w:rPr>
        <w:t xml:space="preserve">debates, they have also been the subject of </w:t>
      </w:r>
      <w:r w:rsidR="00D020AA" w:rsidRPr="00217C63">
        <w:rPr>
          <w:lang w:val="en-US"/>
        </w:rPr>
        <w:lastRenderedPageBreak/>
        <w:t>hearings with academics, stakeholders and EU/US diplomats and politicians. Even MPs from the (left-wing) opposition were pleased (and a little surprised) with the amount of space allotted to these deals</w:t>
      </w:r>
      <w:r w:rsidR="00A33406">
        <w:rPr>
          <w:lang w:val="en-US"/>
        </w:rPr>
        <w:t xml:space="preserve"> (interview 1)</w:t>
      </w:r>
      <w:r w:rsidR="00D020AA" w:rsidRPr="00217C63">
        <w:rPr>
          <w:lang w:val="en-US"/>
        </w:rPr>
        <w:t>.</w:t>
      </w:r>
      <w:r w:rsidR="00371FFC" w:rsidRPr="00217C63">
        <w:rPr>
          <w:lang w:val="en-US"/>
        </w:rPr>
        <w:t xml:space="preserve"> </w:t>
      </w:r>
      <w:r w:rsidR="00CA571A" w:rsidRPr="00217C63">
        <w:rPr>
          <w:lang w:val="en-US"/>
        </w:rPr>
        <w:t xml:space="preserve">Moreover, the passive consensus has made way </w:t>
      </w:r>
      <w:r w:rsidR="00C457E8" w:rsidRPr="00217C63">
        <w:rPr>
          <w:lang w:val="en-US"/>
        </w:rPr>
        <w:t xml:space="preserve">for </w:t>
      </w:r>
      <w:r w:rsidR="00CA571A" w:rsidRPr="00217C63">
        <w:rPr>
          <w:lang w:val="en-US"/>
        </w:rPr>
        <w:t xml:space="preserve">ideologically charged divisions. Our respondents from the right echoed </w:t>
      </w:r>
      <w:r w:rsidR="00CA571A" w:rsidRPr="00217C63">
        <w:rPr>
          <w:i/>
          <w:lang w:val="en-US"/>
        </w:rPr>
        <w:t xml:space="preserve">the Economist’s </w:t>
      </w:r>
      <w:r w:rsidR="007A766D">
        <w:rPr>
          <w:i/>
          <w:lang w:val="en-US"/>
        </w:rPr>
        <w:fldChar w:fldCharType="begin" w:fldLock="1"/>
      </w:r>
      <w:r w:rsidR="007A766D">
        <w:rPr>
          <w:i/>
          <w:lang w:val="en-US"/>
        </w:rPr>
        <w:instrText>ADDIN CSL_CITATION { "citationItems" : [ { "id" : "ITEM-1", "itemData" : { "URL" : "http://www.economist.com/news/leaders/21702750-farewell-left-versus-right-contest-matters-now-open-against-closed-new?cid1=cust/ednew/n/bl/n/20160728n/owned/n/n/nwl/n/n/n/n %0A%0A", "author" : [ { "dropping-particle" : "", "family" : "The Economist", "given" : "", "non-dropping-particle" : "", "parse-names" : false, "suffix" : "" } ], "id" : "ITEM-1", "issued" : { "date-parts" : [ [ "2016" ] ] }, "title" : "The New Political Divide", "type" : "webpage" }, "suppress-author" : 1, "uris" : [ "http://www.mendeley.com/documents/?uuid=e3feee8a-71d0-4419-8a76-b9f0e71c73b8" ] } ], "mendeley" : { "formattedCitation" : "(2016)", "plainTextFormattedCitation" : "(2016)", "previouslyFormattedCitation" : "(2016)" }, "properties" : { "noteIndex" : 0 }, "schema" : "https://github.com/citation-style-language/schema/raw/master/csl-citation.json" }</w:instrText>
      </w:r>
      <w:r w:rsidR="007A766D">
        <w:rPr>
          <w:i/>
          <w:lang w:val="en-US"/>
        </w:rPr>
        <w:fldChar w:fldCharType="separate"/>
      </w:r>
      <w:r w:rsidR="007A766D" w:rsidRPr="007A766D">
        <w:rPr>
          <w:noProof/>
          <w:lang w:val="en-US"/>
        </w:rPr>
        <w:t>(2016)</w:t>
      </w:r>
      <w:r w:rsidR="007A766D">
        <w:rPr>
          <w:i/>
          <w:lang w:val="en-US"/>
        </w:rPr>
        <w:fldChar w:fldCharType="end"/>
      </w:r>
      <w:r w:rsidR="007A766D">
        <w:rPr>
          <w:i/>
          <w:lang w:val="en-US"/>
        </w:rPr>
        <w:t xml:space="preserve"> </w:t>
      </w:r>
      <w:r w:rsidR="00CA571A" w:rsidRPr="00217C63">
        <w:rPr>
          <w:lang w:val="en-US"/>
        </w:rPr>
        <w:t>observation that old left-right cleavages had been cross-cut by an open-closed divide</w:t>
      </w:r>
      <w:r w:rsidR="009B5CA3">
        <w:rPr>
          <w:lang w:val="en-US"/>
        </w:rPr>
        <w:t>.</w:t>
      </w:r>
      <w:r w:rsidR="007A766D">
        <w:rPr>
          <w:lang w:val="en-US"/>
        </w:rPr>
        <w:t xml:space="preserve"> </w:t>
      </w:r>
      <w:r w:rsidR="00CA571A" w:rsidRPr="00217C63">
        <w:rPr>
          <w:lang w:val="en-US"/>
        </w:rPr>
        <w:t>Substantively, they argued, the Greens and Socialists were now allied with the extreme-right. Our respondents of the left, on the other hand, rejoiced that the ‘TINA’ doctrine had now been challenged, even though the right-wing majority still tended to</w:t>
      </w:r>
      <w:r w:rsidR="00CA571A" w:rsidRPr="0024360D">
        <w:rPr>
          <w:lang w:val="en-US"/>
        </w:rPr>
        <w:t xml:space="preserve"> unreflexively support any proposed trade deal</w:t>
      </w:r>
      <w:r w:rsidR="00A33406">
        <w:rPr>
          <w:lang w:val="en-US"/>
        </w:rPr>
        <w:t xml:space="preserve"> (interviews 1, 3, 5 &amp; 7)</w:t>
      </w:r>
      <w:r w:rsidR="00CA571A" w:rsidRPr="0024360D">
        <w:rPr>
          <w:lang w:val="en-US"/>
        </w:rPr>
        <w:t xml:space="preserve">. </w:t>
      </w:r>
    </w:p>
    <w:p w14:paraId="0709058F" w14:textId="77777777" w:rsidR="00CA571A" w:rsidRDefault="00CA571A" w:rsidP="009074F5">
      <w:pPr>
        <w:spacing w:line="276" w:lineRule="auto"/>
        <w:jc w:val="both"/>
        <w:rPr>
          <w:lang w:val="en-US"/>
        </w:rPr>
      </w:pPr>
    </w:p>
    <w:p w14:paraId="4C9B2A79" w14:textId="3024BE70" w:rsidR="00C457E8" w:rsidRDefault="00CA571A" w:rsidP="009074F5">
      <w:pPr>
        <w:spacing w:line="276" w:lineRule="auto"/>
        <w:jc w:val="both"/>
        <w:rPr>
          <w:lang w:val="en-US"/>
        </w:rPr>
      </w:pPr>
      <w:r>
        <w:rPr>
          <w:lang w:val="en-US"/>
        </w:rPr>
        <w:t xml:space="preserve">The same developments were present, </w:t>
      </w:r>
      <w:r>
        <w:rPr>
          <w:i/>
          <w:lang w:val="en-US"/>
        </w:rPr>
        <w:t xml:space="preserve">a fortiori, </w:t>
      </w:r>
      <w:r>
        <w:rPr>
          <w:lang w:val="en-US"/>
        </w:rPr>
        <w:t xml:space="preserve">in </w:t>
      </w:r>
      <w:r w:rsidR="00371FFC" w:rsidRPr="008C61BE">
        <w:rPr>
          <w:lang w:val="en-US"/>
        </w:rPr>
        <w:t>Wallonia</w:t>
      </w:r>
      <w:r>
        <w:rPr>
          <w:b/>
          <w:lang w:val="en-US"/>
        </w:rPr>
        <w:t xml:space="preserve">. </w:t>
      </w:r>
      <w:r w:rsidRPr="00B0348F">
        <w:rPr>
          <w:lang w:val="en-US"/>
        </w:rPr>
        <w:t>W</w:t>
      </w:r>
      <w:r w:rsidR="00371FFC" w:rsidRPr="003C0609">
        <w:rPr>
          <w:lang w:val="en-US"/>
        </w:rPr>
        <w:t>ith</w:t>
      </w:r>
      <w:r w:rsidR="00371FFC">
        <w:rPr>
          <w:lang w:val="en-US"/>
        </w:rPr>
        <w:t xml:space="preserve"> </w:t>
      </w:r>
      <w:r w:rsidR="00371FFC" w:rsidRPr="00B0348F">
        <w:rPr>
          <w:lang w:val="en-US"/>
        </w:rPr>
        <w:t xml:space="preserve">the arrival of the new </w:t>
      </w:r>
      <w:r w:rsidR="00FD2FFF">
        <w:rPr>
          <w:lang w:val="en-US"/>
        </w:rPr>
        <w:t>Parliament</w:t>
      </w:r>
      <w:r w:rsidR="00371FFC" w:rsidRPr="00B0348F">
        <w:rPr>
          <w:lang w:val="en-US"/>
        </w:rPr>
        <w:t xml:space="preserve"> </w:t>
      </w:r>
      <w:r w:rsidR="00F974D4">
        <w:rPr>
          <w:lang w:val="en-US"/>
        </w:rPr>
        <w:t xml:space="preserve">in </w:t>
      </w:r>
      <w:r w:rsidR="00371FFC" w:rsidRPr="00B0348F">
        <w:rPr>
          <w:lang w:val="en-US"/>
        </w:rPr>
        <w:t xml:space="preserve">May 2014), there was an important shift in the modus </w:t>
      </w:r>
      <w:r w:rsidR="00C457E8">
        <w:rPr>
          <w:lang w:val="en-US"/>
        </w:rPr>
        <w:t>operandi</w:t>
      </w:r>
      <w:r w:rsidR="00C457E8" w:rsidRPr="00B0348F">
        <w:rPr>
          <w:lang w:val="en-US"/>
        </w:rPr>
        <w:t xml:space="preserve"> </w:t>
      </w:r>
      <w:r w:rsidR="00371FFC" w:rsidRPr="00B0348F">
        <w:rPr>
          <w:lang w:val="en-US"/>
        </w:rPr>
        <w:t xml:space="preserve">of the assembly </w:t>
      </w:r>
      <w:r w:rsidR="00C457E8">
        <w:rPr>
          <w:lang w:val="en-US"/>
        </w:rPr>
        <w:t>regarding</w:t>
      </w:r>
      <w:r w:rsidR="00371FFC" w:rsidRPr="00B0348F">
        <w:rPr>
          <w:lang w:val="en-US"/>
        </w:rPr>
        <w:t xml:space="preserve"> trade deals. Whereas before the committee on European Affairs “</w:t>
      </w:r>
      <w:r w:rsidR="00371FFC" w:rsidRPr="00B0348F">
        <w:rPr>
          <w:i/>
          <w:lang w:val="en-US"/>
        </w:rPr>
        <w:t>had not spent resources on scrutinizing the pre-approval phase of the deals</w:t>
      </w:r>
      <w:r w:rsidR="00371FFC" w:rsidRPr="00B0348F">
        <w:rPr>
          <w:lang w:val="en-US"/>
        </w:rPr>
        <w:t>”, it now took an interest in the ongoing TTIP-negotiations, therefore “</w:t>
      </w:r>
      <w:r w:rsidR="00371FFC" w:rsidRPr="00B0348F">
        <w:rPr>
          <w:i/>
          <w:lang w:val="en-US"/>
        </w:rPr>
        <w:t>radically changing the Parliament’s practices by preoccupying itself, proactively, with a potential future treaty, rather than finding, at the time the agreement is enacted, that certain elements could have taken another form”</w:t>
      </w:r>
      <w:r>
        <w:rPr>
          <w:i/>
          <w:lang w:val="en-US"/>
        </w:rPr>
        <w:t xml:space="preserve"> </w:t>
      </w:r>
      <w:r>
        <w:rPr>
          <w:i/>
          <w:lang w:val="en-US"/>
        </w:rPr>
        <w:fldChar w:fldCharType="begin" w:fldLock="1"/>
      </w:r>
      <w:r w:rsidR="00256984">
        <w:rPr>
          <w:i/>
          <w:lang w:val="en-US"/>
        </w:rPr>
        <w:instrText>ADDIN CSL_CITATION { "citationItems" : [ { "id" : "ITEM-1", "itemData" : { "author" : [ { "dropping-particle" : "", "family" : "Comit\u00e9 d'avis charg\u00e9 des questions Europ\u00e9ennes", "given" : "", "non-dropping-particle" : "", "parse-names" : false, "suffix" : "" } ], "id" : "ITEM-1", "issued" : { "date-parts" : [ [ "2015" ] ] }, "title" : "Projet de Partenarait Transatlantique de Commerce et d'investissement entre l'Union Europ\u00e9enne et les \u00c9tats-Unis (TTIP)", "type" : "article-journal" }, "locator" : "1-2", "uris" : [ "http://www.mendeley.com/documents/?uuid=d5764c3c-c9ea-4648-b299-e3f6c087b630" ] } ], "mendeley" : { "formattedCitation" : "(Comit\u00e9 d\u2019avis charg\u00e9 des questions Europ\u00e9ennes, 2015, pp. 1\u20132)", "plainTextFormattedCitation" : "(Comit\u00e9 d\u2019avis charg\u00e9 des questions Europ\u00e9ennes, 2015, pp. 1\u20132)", "previouslyFormattedCitation" : "(Comit\u00e9 d\u2019avis charg\u00e9 des questions Europ\u00e9ennes, 2015, pp. 1\u20132)" }, "properties" : { "noteIndex" : 0 }, "schema" : "https://github.com/citation-style-language/schema/raw/master/csl-citation.json" }</w:instrText>
      </w:r>
      <w:r>
        <w:rPr>
          <w:i/>
          <w:lang w:val="en-US"/>
        </w:rPr>
        <w:fldChar w:fldCharType="separate"/>
      </w:r>
      <w:r w:rsidRPr="00CA571A">
        <w:rPr>
          <w:noProof/>
          <w:lang w:val="en-US"/>
        </w:rPr>
        <w:t>(Comité d’avis chargé des questions Européennes, 2015, pp. 1–2</w:t>
      </w:r>
      <w:r w:rsidR="00F807F5">
        <w:rPr>
          <w:noProof/>
          <w:lang w:val="en-US"/>
        </w:rPr>
        <w:t>, our translation</w:t>
      </w:r>
      <w:r w:rsidRPr="00CA571A">
        <w:rPr>
          <w:noProof/>
          <w:lang w:val="en-US"/>
        </w:rPr>
        <w:t>)</w:t>
      </w:r>
      <w:r>
        <w:rPr>
          <w:i/>
          <w:lang w:val="en-US"/>
        </w:rPr>
        <w:fldChar w:fldCharType="end"/>
      </w:r>
      <w:r>
        <w:rPr>
          <w:i/>
          <w:lang w:val="en-US"/>
        </w:rPr>
        <w:t>.</w:t>
      </w:r>
      <w:r w:rsidR="00371FFC" w:rsidRPr="00B0348F">
        <w:rPr>
          <w:i/>
          <w:lang w:val="en-US"/>
        </w:rPr>
        <w:t xml:space="preserve"> </w:t>
      </w:r>
      <w:r w:rsidR="00371FFC" w:rsidRPr="00B0348F">
        <w:rPr>
          <w:lang w:val="en-US"/>
        </w:rPr>
        <w:t xml:space="preserve">The </w:t>
      </w:r>
      <w:r w:rsidR="00FD2FFF">
        <w:rPr>
          <w:lang w:val="en-US"/>
        </w:rPr>
        <w:t>Parliament</w:t>
      </w:r>
      <w:r w:rsidR="00371FFC" w:rsidRPr="00B0348F">
        <w:rPr>
          <w:lang w:val="en-US"/>
        </w:rPr>
        <w:t xml:space="preserve"> then organized a series of </w:t>
      </w:r>
      <w:r>
        <w:rPr>
          <w:lang w:val="en-US"/>
        </w:rPr>
        <w:t xml:space="preserve">(committee and plenary) </w:t>
      </w:r>
      <w:r w:rsidR="00371FFC" w:rsidRPr="00B0348F">
        <w:rPr>
          <w:lang w:val="en-US"/>
        </w:rPr>
        <w:t>debates, hearings with policy-makers, stakeholders and experts, and also greatly increased the volume of questions directed at the government</w:t>
      </w:r>
      <w:r w:rsidR="00A33406">
        <w:rPr>
          <w:lang w:val="en-US"/>
        </w:rPr>
        <w:t xml:space="preserve"> (interview 2)</w:t>
      </w:r>
      <w:r w:rsidR="00217C63">
        <w:rPr>
          <w:lang w:val="en-US"/>
        </w:rPr>
        <w:t>.</w:t>
      </w:r>
      <w:r w:rsidR="00371FFC" w:rsidRPr="00B0348F">
        <w:rPr>
          <w:lang w:val="en-US"/>
        </w:rPr>
        <w:t xml:space="preserve"> </w:t>
      </w:r>
    </w:p>
    <w:p w14:paraId="1B110F6D" w14:textId="77777777" w:rsidR="00C457E8" w:rsidRDefault="00C457E8" w:rsidP="009074F5">
      <w:pPr>
        <w:spacing w:line="276" w:lineRule="auto"/>
        <w:jc w:val="both"/>
        <w:rPr>
          <w:lang w:val="en-US"/>
        </w:rPr>
      </w:pPr>
    </w:p>
    <w:p w14:paraId="4B85844D" w14:textId="6963AE5B" w:rsidR="008E3729" w:rsidRDefault="00CA571A" w:rsidP="009074F5">
      <w:pPr>
        <w:spacing w:line="276" w:lineRule="auto"/>
        <w:jc w:val="both"/>
        <w:rPr>
          <w:lang w:val="en-US"/>
        </w:rPr>
      </w:pPr>
      <w:r>
        <w:rPr>
          <w:lang w:val="en-US"/>
        </w:rPr>
        <w:t xml:space="preserve">As in Flanders these debates were </w:t>
      </w:r>
      <w:r w:rsidR="00217C63">
        <w:rPr>
          <w:lang w:val="en-US"/>
        </w:rPr>
        <w:t>ideologically charged,</w:t>
      </w:r>
      <w:r>
        <w:rPr>
          <w:lang w:val="en-US"/>
        </w:rPr>
        <w:t xml:space="preserve"> but contrary to</w:t>
      </w:r>
      <w:r w:rsidR="00532330">
        <w:rPr>
          <w:lang w:val="en-US"/>
        </w:rPr>
        <w:t xml:space="preserve"> </w:t>
      </w:r>
      <w:r w:rsidR="00C457E8">
        <w:rPr>
          <w:lang w:val="en-US"/>
        </w:rPr>
        <w:t xml:space="preserve">the </w:t>
      </w:r>
      <w:proofErr w:type="spellStart"/>
      <w:r w:rsidR="00532330">
        <w:rPr>
          <w:lang w:val="en-US"/>
        </w:rPr>
        <w:t>centre</w:t>
      </w:r>
      <w:proofErr w:type="spellEnd"/>
      <w:r w:rsidR="00532330">
        <w:rPr>
          <w:lang w:val="en-US"/>
        </w:rPr>
        <w:t>-right majority’s general satisfaction with the deals in the north</w:t>
      </w:r>
      <w:r w:rsidR="000D1261">
        <w:rPr>
          <w:lang w:val="en-US"/>
        </w:rPr>
        <w:t xml:space="preserve">, in </w:t>
      </w:r>
      <w:r w:rsidR="00532330">
        <w:rPr>
          <w:lang w:val="en-US"/>
        </w:rPr>
        <w:t>Wallonia</w:t>
      </w:r>
      <w:r w:rsidR="000D1261">
        <w:rPr>
          <w:lang w:val="en-US"/>
        </w:rPr>
        <w:t xml:space="preserve"> this led to </w:t>
      </w:r>
      <w:r w:rsidR="000D1261" w:rsidRPr="00217C63">
        <w:rPr>
          <w:lang w:val="en-US"/>
        </w:rPr>
        <w:t xml:space="preserve">a </w:t>
      </w:r>
      <w:r w:rsidR="007D6D8A" w:rsidRPr="00217C63">
        <w:rPr>
          <w:lang w:val="en-US"/>
        </w:rPr>
        <w:t>revolt against the ‘</w:t>
      </w:r>
      <w:r w:rsidR="007D6D8A" w:rsidRPr="008C61BE">
        <w:rPr>
          <w:lang w:val="en-US"/>
        </w:rPr>
        <w:t>rubberstamping’</w:t>
      </w:r>
      <w:r w:rsidR="007D6D8A" w:rsidRPr="00217C63">
        <w:rPr>
          <w:lang w:val="en-US"/>
        </w:rPr>
        <w:t xml:space="preserve"> of FTAs</w:t>
      </w:r>
      <w:r w:rsidR="007D6D8A" w:rsidRPr="005B3BA0">
        <w:rPr>
          <w:lang w:val="en-US"/>
        </w:rPr>
        <w:t xml:space="preserve">. </w:t>
      </w:r>
      <w:r w:rsidR="00217C63">
        <w:rPr>
          <w:lang w:val="en-US"/>
        </w:rPr>
        <w:t>This has so far gone farthest in concern to CETA.</w:t>
      </w:r>
      <w:r w:rsidR="00532330" w:rsidRPr="008A583C">
        <w:rPr>
          <w:lang w:val="en-US"/>
        </w:rPr>
        <w:t xml:space="preserve"> </w:t>
      </w:r>
      <w:r w:rsidR="000D1261" w:rsidRPr="008A583C">
        <w:rPr>
          <w:lang w:val="en-US"/>
        </w:rPr>
        <w:t xml:space="preserve">On 26 May 2015 the </w:t>
      </w:r>
      <w:proofErr w:type="spellStart"/>
      <w:r w:rsidR="000D1261" w:rsidRPr="008A583C">
        <w:rPr>
          <w:lang w:val="en-US"/>
        </w:rPr>
        <w:t>centre</w:t>
      </w:r>
      <w:proofErr w:type="spellEnd"/>
      <w:r w:rsidR="000D1261" w:rsidRPr="008A583C">
        <w:rPr>
          <w:lang w:val="en-US"/>
        </w:rPr>
        <w:t xml:space="preserve">-left PS proposed a resolution </w:t>
      </w:r>
      <w:r w:rsidR="00C457E8" w:rsidRPr="008A583C">
        <w:rPr>
          <w:lang w:val="en-US"/>
        </w:rPr>
        <w:t xml:space="preserve">with </w:t>
      </w:r>
      <w:r w:rsidR="000D1261" w:rsidRPr="008A583C">
        <w:rPr>
          <w:lang w:val="en-US"/>
        </w:rPr>
        <w:t>concern</w:t>
      </w:r>
      <w:r w:rsidR="00C457E8" w:rsidRPr="008A583C">
        <w:rPr>
          <w:lang w:val="en-US"/>
        </w:rPr>
        <w:t>s</w:t>
      </w:r>
      <w:r w:rsidR="000D1261" w:rsidRPr="008A583C">
        <w:rPr>
          <w:lang w:val="en-US"/>
        </w:rPr>
        <w:t xml:space="preserve"> </w:t>
      </w:r>
      <w:r w:rsidR="00C457E8" w:rsidRPr="008A583C">
        <w:rPr>
          <w:lang w:val="en-US"/>
        </w:rPr>
        <w:t xml:space="preserve">about </w:t>
      </w:r>
      <w:r w:rsidR="000D1261" w:rsidRPr="008A583C">
        <w:rPr>
          <w:lang w:val="en-US"/>
        </w:rPr>
        <w:t>CETA, which was adopted (with the support of all parties except for the liberal MR) on 7 April 2016</w:t>
      </w:r>
      <w:r w:rsidR="000D1261" w:rsidRPr="004A234D">
        <w:rPr>
          <w:lang w:val="en-US"/>
        </w:rPr>
        <w:t>. The draft resolution’s wording was strong, calling CETA a ‘Trojan horse’ and opposing the deal as it stood, but became even sharper and more detailed in the final version</w:t>
      </w:r>
      <w:r w:rsidR="000D1261">
        <w:rPr>
          <w:lang w:val="en-US"/>
        </w:rPr>
        <w:t xml:space="preserve"> – now openly asking that the government not give the federal level the power to sign the deal. </w:t>
      </w:r>
      <w:r w:rsidR="000D1261" w:rsidRPr="004A234D">
        <w:rPr>
          <w:lang w:val="en-US"/>
        </w:rPr>
        <w:t xml:space="preserve">On 14 October 2016, the Walloon </w:t>
      </w:r>
      <w:r w:rsidR="00FD2FFF">
        <w:rPr>
          <w:lang w:val="en-US"/>
        </w:rPr>
        <w:t>Parliament</w:t>
      </w:r>
      <w:r w:rsidR="000D1261" w:rsidRPr="004A234D">
        <w:rPr>
          <w:lang w:val="en-US"/>
        </w:rPr>
        <w:t xml:space="preserve"> again confirmed </w:t>
      </w:r>
      <w:r w:rsidR="0023168D">
        <w:rPr>
          <w:lang w:val="en-US"/>
        </w:rPr>
        <w:t xml:space="preserve">its resistance – a message condoned by the Walloon government. </w:t>
      </w:r>
      <w:r w:rsidR="0023168D" w:rsidRPr="00B0348F">
        <w:rPr>
          <w:lang w:val="en-US"/>
        </w:rPr>
        <w:t xml:space="preserve">This triggered an intra-Belgian as well as a European crisis, since it meant that Belgium would not be able to sign the treaty. After </w:t>
      </w:r>
      <w:r w:rsidR="00C457E8">
        <w:rPr>
          <w:lang w:val="en-US"/>
        </w:rPr>
        <w:t xml:space="preserve">several days of hard re-negotiation </w:t>
      </w:r>
      <w:r w:rsidR="008C61BE">
        <w:rPr>
          <w:lang w:val="en-US"/>
        </w:rPr>
        <w:t>by the Walloon Government</w:t>
      </w:r>
      <w:r w:rsidR="00C457E8">
        <w:rPr>
          <w:lang w:val="en-US"/>
        </w:rPr>
        <w:t xml:space="preserve"> and</w:t>
      </w:r>
      <w:r w:rsidR="008C61BE">
        <w:rPr>
          <w:lang w:val="en-US"/>
        </w:rPr>
        <w:t xml:space="preserve"> the other Belgian Governments as well as</w:t>
      </w:r>
      <w:r w:rsidR="00C457E8">
        <w:rPr>
          <w:lang w:val="en-US"/>
        </w:rPr>
        <w:t xml:space="preserve"> with European </w:t>
      </w:r>
      <w:r w:rsidR="008C61BE">
        <w:rPr>
          <w:lang w:val="en-US"/>
        </w:rPr>
        <w:t>institutions (and, defying Belgian and EU constitutional practice</w:t>
      </w:r>
      <w:r w:rsidR="0023168D" w:rsidRPr="00B0348F">
        <w:rPr>
          <w:lang w:val="en-US"/>
        </w:rPr>
        <w:t>,</w:t>
      </w:r>
      <w:r w:rsidR="008C61BE">
        <w:rPr>
          <w:lang w:val="en-US"/>
        </w:rPr>
        <w:t xml:space="preserve"> even between the Walloon Government and the Canadian Minister for Trade)</w:t>
      </w:r>
      <w:r w:rsidR="0023168D" w:rsidRPr="00B0348F">
        <w:rPr>
          <w:lang w:val="en-US"/>
        </w:rPr>
        <w:t xml:space="preserve"> the </w:t>
      </w:r>
      <w:r w:rsidR="00FD2FFF">
        <w:rPr>
          <w:lang w:val="en-US"/>
        </w:rPr>
        <w:t>Parliament</w:t>
      </w:r>
      <w:r w:rsidR="0023168D" w:rsidRPr="00B0348F">
        <w:rPr>
          <w:lang w:val="en-US"/>
        </w:rPr>
        <w:t xml:space="preserve"> </w:t>
      </w:r>
      <w:r w:rsidR="0023168D">
        <w:rPr>
          <w:lang w:val="en-US"/>
        </w:rPr>
        <w:t>did ultimately</w:t>
      </w:r>
      <w:r w:rsidR="0023168D" w:rsidRPr="00B0348F">
        <w:rPr>
          <w:lang w:val="en-US"/>
        </w:rPr>
        <w:t xml:space="preserve"> condone Belgium’s </w:t>
      </w:r>
      <w:r w:rsidR="0023168D">
        <w:rPr>
          <w:lang w:val="en-US"/>
        </w:rPr>
        <w:t>signing</w:t>
      </w:r>
      <w:r w:rsidR="0023168D" w:rsidRPr="00B0348F">
        <w:rPr>
          <w:lang w:val="en-US"/>
        </w:rPr>
        <w:t xml:space="preserve"> of the deal on 28 October 2016</w:t>
      </w:r>
      <w:r w:rsidR="008A583C">
        <w:rPr>
          <w:lang w:val="en-US"/>
        </w:rPr>
        <w:t xml:space="preserve"> (only </w:t>
      </w:r>
      <w:proofErr w:type="spellStart"/>
      <w:r w:rsidR="008A583C">
        <w:rPr>
          <w:lang w:val="en-US"/>
        </w:rPr>
        <w:t>Ecolo</w:t>
      </w:r>
      <w:proofErr w:type="spellEnd"/>
      <w:r w:rsidR="008A583C">
        <w:rPr>
          <w:lang w:val="en-US"/>
        </w:rPr>
        <w:t xml:space="preserve"> and the PTB voted against</w:t>
      </w:r>
      <w:r w:rsidR="008C61BE">
        <w:rPr>
          <w:lang w:val="en-US"/>
        </w:rPr>
        <w:t xml:space="preserve"> while recognizing the efforts made by the coalition in the two week</w:t>
      </w:r>
      <w:r w:rsidR="00DE5B92">
        <w:rPr>
          <w:lang w:val="en-US"/>
        </w:rPr>
        <w:t>s</w:t>
      </w:r>
      <w:r w:rsidR="008C61BE">
        <w:rPr>
          <w:lang w:val="en-US"/>
        </w:rPr>
        <w:t xml:space="preserve"> of the ‘CETA saga’</w:t>
      </w:r>
      <w:r w:rsidR="008A583C">
        <w:rPr>
          <w:lang w:val="en-US"/>
        </w:rPr>
        <w:t>)</w:t>
      </w:r>
      <w:r w:rsidR="0023168D" w:rsidRPr="00B0348F">
        <w:rPr>
          <w:lang w:val="en-US"/>
        </w:rPr>
        <w:t xml:space="preserve">. </w:t>
      </w:r>
      <w:r w:rsidR="0023168D">
        <w:rPr>
          <w:lang w:val="en-US"/>
        </w:rPr>
        <w:t xml:space="preserve">Whether the Parliament will eventually also </w:t>
      </w:r>
      <w:r w:rsidR="0023168D">
        <w:rPr>
          <w:i/>
          <w:lang w:val="en-US"/>
        </w:rPr>
        <w:t>ratify</w:t>
      </w:r>
      <w:r w:rsidR="0023168D">
        <w:rPr>
          <w:lang w:val="en-US"/>
        </w:rPr>
        <w:t xml:space="preserve"> the agreement remains unsure, however, and </w:t>
      </w:r>
      <w:r w:rsidR="008A583C">
        <w:rPr>
          <w:lang w:val="en-US"/>
        </w:rPr>
        <w:t>is now</w:t>
      </w:r>
      <w:r w:rsidR="0023168D">
        <w:rPr>
          <w:lang w:val="en-US"/>
        </w:rPr>
        <w:t xml:space="preserve"> (according to the intra-Belgian deal)</w:t>
      </w:r>
      <w:r w:rsidR="0023168D" w:rsidRPr="00B0348F">
        <w:rPr>
          <w:lang w:val="en-US"/>
        </w:rPr>
        <w:t xml:space="preserve"> </w:t>
      </w:r>
      <w:r w:rsidR="0023168D">
        <w:rPr>
          <w:lang w:val="en-US"/>
        </w:rPr>
        <w:t xml:space="preserve">contingent on a series of demands being met. </w:t>
      </w:r>
      <w:r w:rsidR="007D6D8A" w:rsidRPr="005B3BA0">
        <w:rPr>
          <w:lang w:val="en-US"/>
        </w:rPr>
        <w:t>Although it is unclear to what extent this</w:t>
      </w:r>
      <w:r w:rsidR="007D6D8A">
        <w:rPr>
          <w:lang w:val="en-US"/>
        </w:rPr>
        <w:t xml:space="preserve"> move is indicative of </w:t>
      </w:r>
      <w:r w:rsidR="00F25696">
        <w:rPr>
          <w:lang w:val="en-US"/>
        </w:rPr>
        <w:t>parliamentary</w:t>
      </w:r>
      <w:r w:rsidR="007D6D8A">
        <w:rPr>
          <w:lang w:val="en-US"/>
        </w:rPr>
        <w:t xml:space="preserve"> ‘e</w:t>
      </w:r>
      <w:r w:rsidR="008C61BE">
        <w:rPr>
          <w:lang w:val="en-US"/>
        </w:rPr>
        <w:t>mancipation’ from the regional G</w:t>
      </w:r>
      <w:r w:rsidR="007D6D8A">
        <w:rPr>
          <w:lang w:val="en-US"/>
        </w:rPr>
        <w:t>overnment (</w:t>
      </w:r>
      <w:r w:rsidR="000F2DF1">
        <w:rPr>
          <w:lang w:val="en-US"/>
        </w:rPr>
        <w:t xml:space="preserve">the Government was critical of the </w:t>
      </w:r>
      <w:r w:rsidR="000F2DF1">
        <w:rPr>
          <w:lang w:val="en-US"/>
        </w:rPr>
        <w:lastRenderedPageBreak/>
        <w:t>agreement</w:t>
      </w:r>
      <w:r w:rsidR="008C61BE">
        <w:rPr>
          <w:lang w:val="en-US"/>
        </w:rPr>
        <w:t xml:space="preserve"> itself</w:t>
      </w:r>
      <w:r w:rsidR="00532330">
        <w:rPr>
          <w:lang w:val="en-US"/>
        </w:rPr>
        <w:t>, and the resolutions were supported by the governing parties</w:t>
      </w:r>
      <w:r w:rsidR="007D6D8A">
        <w:rPr>
          <w:lang w:val="en-US"/>
        </w:rPr>
        <w:t xml:space="preserve">), this nonetheless represents a break from </w:t>
      </w:r>
      <w:r w:rsidR="00AD0D76">
        <w:rPr>
          <w:lang w:val="en-US"/>
        </w:rPr>
        <w:t xml:space="preserve">past passivity.  </w:t>
      </w:r>
    </w:p>
    <w:p w14:paraId="17840602" w14:textId="6E0C3842" w:rsidR="007D6D8A" w:rsidRDefault="007D6D8A" w:rsidP="009074F5">
      <w:pPr>
        <w:tabs>
          <w:tab w:val="left" w:pos="5520"/>
        </w:tabs>
        <w:spacing w:line="276" w:lineRule="auto"/>
        <w:jc w:val="both"/>
        <w:rPr>
          <w:lang w:val="en-US"/>
        </w:rPr>
      </w:pPr>
      <w:r>
        <w:rPr>
          <w:lang w:val="en-US"/>
        </w:rPr>
        <w:tab/>
      </w:r>
    </w:p>
    <w:p w14:paraId="7759C70C" w14:textId="08AE84A0" w:rsidR="000C0637" w:rsidRDefault="00CC62CD" w:rsidP="009074F5">
      <w:pPr>
        <w:spacing w:line="276" w:lineRule="auto"/>
        <w:jc w:val="both"/>
        <w:rPr>
          <w:lang w:val="en-US"/>
        </w:rPr>
      </w:pPr>
      <w:r w:rsidRPr="003F7147">
        <w:rPr>
          <w:lang w:val="en-US"/>
        </w:rPr>
        <w:t xml:space="preserve">Finally, the politicization of TTIP </w:t>
      </w:r>
      <w:r w:rsidR="003F7147" w:rsidRPr="003F7147">
        <w:rPr>
          <w:lang w:val="en-US"/>
        </w:rPr>
        <w:t xml:space="preserve">has also fostered the Parliaments’ need for </w:t>
      </w:r>
      <w:r w:rsidR="003F7147" w:rsidRPr="008C61BE">
        <w:rPr>
          <w:lang w:val="en-US"/>
        </w:rPr>
        <w:t>expertise and networks</w:t>
      </w:r>
      <w:r w:rsidR="003F7147" w:rsidRPr="003F7147">
        <w:rPr>
          <w:lang w:val="en-US"/>
        </w:rPr>
        <w:t xml:space="preserve"> in these dossiers. </w:t>
      </w:r>
      <w:r w:rsidR="005B3BA0" w:rsidRPr="003F7147">
        <w:rPr>
          <w:lang w:val="en-US"/>
        </w:rPr>
        <w:t>The federal Chamber of Representatives as well as all</w:t>
      </w:r>
      <w:r w:rsidRPr="003F7147">
        <w:rPr>
          <w:lang w:val="en-US"/>
        </w:rPr>
        <w:t xml:space="preserve"> regions have organized </w:t>
      </w:r>
      <w:r w:rsidR="00F25696">
        <w:rPr>
          <w:lang w:val="en-US"/>
        </w:rPr>
        <w:t>parliamentary</w:t>
      </w:r>
      <w:r w:rsidRPr="003F7147">
        <w:rPr>
          <w:lang w:val="en-US"/>
        </w:rPr>
        <w:t xml:space="preserve"> hearings about CETA and TTIP, and have</w:t>
      </w:r>
      <w:r w:rsidR="005B3BA0" w:rsidRPr="003F7147">
        <w:rPr>
          <w:lang w:val="en-US"/>
        </w:rPr>
        <w:t xml:space="preserve"> invited Commissioner Malmström</w:t>
      </w:r>
      <w:r w:rsidRPr="003F7147">
        <w:rPr>
          <w:lang w:val="en-US"/>
        </w:rPr>
        <w:t xml:space="preserve"> to come</w:t>
      </w:r>
      <w:r w:rsidR="005B3BA0" w:rsidRPr="003F7147">
        <w:rPr>
          <w:lang w:val="en-US"/>
        </w:rPr>
        <w:t xml:space="preserve"> and</w:t>
      </w:r>
      <w:r w:rsidRPr="003F7147">
        <w:rPr>
          <w:lang w:val="en-US"/>
        </w:rPr>
        <w:t xml:space="preserve"> </w:t>
      </w:r>
      <w:r w:rsidR="005B3BA0" w:rsidRPr="003F7147">
        <w:rPr>
          <w:lang w:val="en-US"/>
        </w:rPr>
        <w:t>explain</w:t>
      </w:r>
      <w:r w:rsidRPr="003F7147">
        <w:rPr>
          <w:lang w:val="en-US"/>
        </w:rPr>
        <w:t xml:space="preserve"> the deal</w:t>
      </w:r>
      <w:r w:rsidR="005B3BA0" w:rsidRPr="003F7147">
        <w:rPr>
          <w:lang w:val="en-US"/>
        </w:rPr>
        <w:t>s</w:t>
      </w:r>
      <w:r w:rsidRPr="003F7147">
        <w:rPr>
          <w:lang w:val="en-US"/>
        </w:rPr>
        <w:t xml:space="preserve">. The federal </w:t>
      </w:r>
      <w:r w:rsidR="001A05A0" w:rsidRPr="003F7147">
        <w:rPr>
          <w:lang w:val="en-US"/>
        </w:rPr>
        <w:t>Parliament</w:t>
      </w:r>
      <w:r w:rsidRPr="003F7147">
        <w:rPr>
          <w:lang w:val="en-US"/>
        </w:rPr>
        <w:t xml:space="preserve"> has also tried to strengthen its links with the INTA committee</w:t>
      </w:r>
      <w:r w:rsidR="000F2DF1" w:rsidRPr="003F7147">
        <w:rPr>
          <w:lang w:val="en-US"/>
        </w:rPr>
        <w:t>,</w:t>
      </w:r>
      <w:r w:rsidRPr="003F7147">
        <w:rPr>
          <w:lang w:val="en-US"/>
        </w:rPr>
        <w:t xml:space="preserve"> which, as Belgian</w:t>
      </w:r>
      <w:r w:rsidRPr="003F7147">
        <w:rPr>
          <w:b/>
          <w:lang w:val="en-US"/>
        </w:rPr>
        <w:t xml:space="preserve"> </w:t>
      </w:r>
      <w:r w:rsidRPr="003F7147">
        <w:rPr>
          <w:lang w:val="en-US"/>
        </w:rPr>
        <w:t>MP’s acknowledge, still houses most trade-related expertise</w:t>
      </w:r>
      <w:r w:rsidR="00A33406">
        <w:rPr>
          <w:lang w:val="en-US"/>
        </w:rPr>
        <w:t xml:space="preserve"> (interview 6)</w:t>
      </w:r>
      <w:r w:rsidRPr="003F7147">
        <w:rPr>
          <w:lang w:val="en-US"/>
        </w:rPr>
        <w:t>.</w:t>
      </w:r>
      <w:r>
        <w:rPr>
          <w:lang w:val="en-US"/>
        </w:rPr>
        <w:t xml:space="preserve"> </w:t>
      </w:r>
    </w:p>
    <w:p w14:paraId="78E8080D" w14:textId="77777777" w:rsidR="00EF3446" w:rsidRPr="00BF7ACB" w:rsidRDefault="00EF3446" w:rsidP="009074F5">
      <w:pPr>
        <w:spacing w:line="276" w:lineRule="auto"/>
        <w:jc w:val="both"/>
        <w:rPr>
          <w:lang w:val="en-US"/>
        </w:rPr>
      </w:pPr>
    </w:p>
    <w:p w14:paraId="21E0AF16" w14:textId="77964342" w:rsidR="00345ADD" w:rsidRDefault="00345ADD" w:rsidP="009074F5">
      <w:pPr>
        <w:spacing w:line="276" w:lineRule="auto"/>
        <w:jc w:val="both"/>
        <w:rPr>
          <w:lang w:val="en-US"/>
        </w:rPr>
      </w:pPr>
      <w:r w:rsidRPr="00BF7ACB">
        <w:rPr>
          <w:lang w:val="en-US"/>
        </w:rPr>
        <w:t>Some</w:t>
      </w:r>
      <w:r w:rsidR="001F108D" w:rsidRPr="00BF7ACB">
        <w:rPr>
          <w:lang w:val="en-US"/>
        </w:rPr>
        <w:t xml:space="preserve"> (but certainly not all) MPs</w:t>
      </w:r>
      <w:r w:rsidRPr="00BF7ACB">
        <w:rPr>
          <w:lang w:val="en-US"/>
        </w:rPr>
        <w:t xml:space="preserve"> are pessimistic about the durability of this new interest in trade policy, an issue</w:t>
      </w:r>
      <w:r>
        <w:rPr>
          <w:lang w:val="en-US"/>
        </w:rPr>
        <w:t xml:space="preserve"> we will pick up in the concluding section. Still, the break from the past is </w:t>
      </w:r>
      <w:r w:rsidR="00911561">
        <w:rPr>
          <w:lang w:val="en-US"/>
        </w:rPr>
        <w:t xml:space="preserve">remarkable </w:t>
      </w:r>
      <w:r w:rsidR="001F108D">
        <w:rPr>
          <w:lang w:val="en-US"/>
        </w:rPr>
        <w:t xml:space="preserve">and in light of the diminished (formal) power of the national </w:t>
      </w:r>
      <w:r w:rsidR="00FD2FFF">
        <w:rPr>
          <w:lang w:val="en-US"/>
        </w:rPr>
        <w:t>Parliament</w:t>
      </w:r>
      <w:r w:rsidR="001F108D">
        <w:rPr>
          <w:lang w:val="en-US"/>
        </w:rPr>
        <w:t xml:space="preserve">s since Lisbon </w:t>
      </w:r>
      <w:r w:rsidR="00911561">
        <w:rPr>
          <w:lang w:val="en-US"/>
        </w:rPr>
        <w:t>also somewhat puzzling.</w:t>
      </w:r>
    </w:p>
    <w:p w14:paraId="6896BE94" w14:textId="0EC6754D" w:rsidR="00243AA4" w:rsidRDefault="00FA05F7" w:rsidP="009074F5">
      <w:pPr>
        <w:pStyle w:val="Kop1"/>
        <w:spacing w:line="276" w:lineRule="auto"/>
        <w:rPr>
          <w:lang w:val="en-GB"/>
        </w:rPr>
      </w:pPr>
      <w:r>
        <w:rPr>
          <w:lang w:val="en-US"/>
        </w:rPr>
        <w:t xml:space="preserve">4. </w:t>
      </w:r>
      <w:r w:rsidR="004C1F85" w:rsidRPr="005B3BA0">
        <w:rPr>
          <w:lang w:val="en-US"/>
        </w:rPr>
        <w:t xml:space="preserve">Explaining the shifts in </w:t>
      </w:r>
      <w:r w:rsidR="00F25696">
        <w:rPr>
          <w:lang w:val="en-US"/>
        </w:rPr>
        <w:t>parliamentary</w:t>
      </w:r>
      <w:r w:rsidR="004C1F85" w:rsidRPr="005B3BA0">
        <w:rPr>
          <w:lang w:val="en-US"/>
        </w:rPr>
        <w:t xml:space="preserve"> involvement</w:t>
      </w:r>
    </w:p>
    <w:p w14:paraId="6637A3DA" w14:textId="77777777" w:rsidR="00243AA4" w:rsidRDefault="00243AA4" w:rsidP="009074F5">
      <w:pPr>
        <w:spacing w:line="276" w:lineRule="auto"/>
        <w:jc w:val="both"/>
        <w:rPr>
          <w:b/>
          <w:lang w:val="en-GB"/>
        </w:rPr>
      </w:pPr>
    </w:p>
    <w:p w14:paraId="208ED9C2" w14:textId="090DEC52" w:rsidR="00243AA4" w:rsidRDefault="00FA05F7" w:rsidP="009074F5">
      <w:pPr>
        <w:pStyle w:val="Kop2"/>
        <w:spacing w:line="276" w:lineRule="auto"/>
        <w:rPr>
          <w:lang w:val="en-GB"/>
        </w:rPr>
      </w:pPr>
      <w:r>
        <w:rPr>
          <w:b w:val="0"/>
          <w:lang w:val="en-GB"/>
        </w:rPr>
        <w:t xml:space="preserve">4.1. </w:t>
      </w:r>
      <w:r w:rsidR="00243AA4">
        <w:rPr>
          <w:b w:val="0"/>
          <w:lang w:val="en-GB"/>
        </w:rPr>
        <w:t xml:space="preserve">Why the lack of attention </w:t>
      </w:r>
      <w:r w:rsidR="005B3BA0">
        <w:rPr>
          <w:b w:val="0"/>
          <w:lang w:val="en-GB"/>
        </w:rPr>
        <w:t>before the Lisbon Treaty</w:t>
      </w:r>
      <w:r w:rsidR="00243AA4">
        <w:rPr>
          <w:b w:val="0"/>
          <w:lang w:val="en-GB"/>
        </w:rPr>
        <w:t>?</w:t>
      </w:r>
    </w:p>
    <w:p w14:paraId="1A8ED144" w14:textId="77777777" w:rsidR="00243AA4" w:rsidRDefault="00243AA4" w:rsidP="009074F5">
      <w:pPr>
        <w:spacing w:line="276" w:lineRule="auto"/>
        <w:jc w:val="both"/>
        <w:rPr>
          <w:b/>
          <w:lang w:val="en-GB"/>
        </w:rPr>
      </w:pPr>
    </w:p>
    <w:p w14:paraId="2F47353F" w14:textId="74BCF87D" w:rsidR="00523718" w:rsidRDefault="005B3BA0" w:rsidP="009074F5">
      <w:pPr>
        <w:spacing w:line="276" w:lineRule="auto"/>
        <w:jc w:val="both"/>
        <w:rPr>
          <w:lang w:val="en-US"/>
        </w:rPr>
      </w:pPr>
      <w:r>
        <w:rPr>
          <w:lang w:val="en-US"/>
        </w:rPr>
        <w:t xml:space="preserve">A first question is why Belgian </w:t>
      </w:r>
      <w:r w:rsidR="001A05A0">
        <w:rPr>
          <w:lang w:val="en-US"/>
        </w:rPr>
        <w:t>Parliament</w:t>
      </w:r>
      <w:r>
        <w:rPr>
          <w:lang w:val="en-US"/>
        </w:rPr>
        <w:t>s dedicated so little attention to EU trade policy before the Lisbon Treaty entered into force, i.e. at a time when they still had t</w:t>
      </w:r>
      <w:r w:rsidR="00EA2462">
        <w:rPr>
          <w:lang w:val="en-US"/>
        </w:rPr>
        <w:t>he power to</w:t>
      </w:r>
      <w:r w:rsidR="008C61BE">
        <w:rPr>
          <w:lang w:val="en-US"/>
        </w:rPr>
        <w:t xml:space="preserve"> ratify EU trade agreements. </w:t>
      </w:r>
      <w:r>
        <w:rPr>
          <w:lang w:val="en-US"/>
        </w:rPr>
        <w:t xml:space="preserve">Part of the answer can be found in how Belgian </w:t>
      </w:r>
      <w:r w:rsidR="001A05A0">
        <w:rPr>
          <w:lang w:val="en-US"/>
        </w:rPr>
        <w:t>Parliament</w:t>
      </w:r>
      <w:r>
        <w:rPr>
          <w:lang w:val="en-US"/>
        </w:rPr>
        <w:t xml:space="preserve">s are organized and relate to the government. </w:t>
      </w:r>
      <w:r w:rsidR="00243AA4">
        <w:rPr>
          <w:lang w:val="en-US"/>
        </w:rPr>
        <w:t>M</w:t>
      </w:r>
      <w:r>
        <w:rPr>
          <w:lang w:val="en-US"/>
        </w:rPr>
        <w:t xml:space="preserve">embers of </w:t>
      </w:r>
      <w:r w:rsidR="001A05A0">
        <w:rPr>
          <w:lang w:val="en-US"/>
        </w:rPr>
        <w:t>Parliament</w:t>
      </w:r>
      <w:r w:rsidR="00243AA4">
        <w:rPr>
          <w:lang w:val="en-US"/>
        </w:rPr>
        <w:t xml:space="preserve"> have</w:t>
      </w:r>
      <w:r w:rsidR="00F7539E">
        <w:rPr>
          <w:lang w:val="en-US"/>
        </w:rPr>
        <w:t xml:space="preserve"> an overcrowded agenda, and can</w:t>
      </w:r>
      <w:r w:rsidR="00243AA4">
        <w:rPr>
          <w:lang w:val="en-US"/>
        </w:rPr>
        <w:t>not afford to spend many resources on a technical and oft</w:t>
      </w:r>
      <w:r>
        <w:rPr>
          <w:lang w:val="en-US"/>
        </w:rPr>
        <w:t>en</w:t>
      </w:r>
      <w:r w:rsidR="00243AA4">
        <w:rPr>
          <w:lang w:val="en-US"/>
        </w:rPr>
        <w:t xml:space="preserve"> low-key issue suc</w:t>
      </w:r>
      <w:r w:rsidR="00E961D3">
        <w:rPr>
          <w:lang w:val="en-US"/>
        </w:rPr>
        <w:t xml:space="preserve">h as trade policy. The Belgian </w:t>
      </w:r>
      <w:r w:rsidR="001A05A0">
        <w:rPr>
          <w:lang w:val="en-US"/>
        </w:rPr>
        <w:t>Parliament</w:t>
      </w:r>
      <w:r w:rsidR="00243AA4">
        <w:rPr>
          <w:lang w:val="en-US"/>
        </w:rPr>
        <w:t>s do not have the capacity to study these issues in much detail.</w:t>
      </w:r>
      <w:r w:rsidR="008D45FF">
        <w:rPr>
          <w:lang w:val="en-US"/>
        </w:rPr>
        <w:t xml:space="preserve"> </w:t>
      </w:r>
      <w:r w:rsidR="008D45FF" w:rsidRPr="005B3BA0">
        <w:rPr>
          <w:lang w:val="en-US"/>
        </w:rPr>
        <w:t>This has been reinforced by</w:t>
      </w:r>
      <w:r w:rsidR="000F2DF1">
        <w:rPr>
          <w:lang w:val="en-US"/>
        </w:rPr>
        <w:t xml:space="preserve"> G</w:t>
      </w:r>
      <w:r w:rsidR="00243AA4" w:rsidRPr="005B3BA0">
        <w:rPr>
          <w:lang w:val="en-US"/>
        </w:rPr>
        <w:t>overnment-</w:t>
      </w:r>
      <w:r w:rsidR="001A05A0">
        <w:rPr>
          <w:lang w:val="en-US"/>
        </w:rPr>
        <w:t>Parliament</w:t>
      </w:r>
      <w:r w:rsidR="00243AA4" w:rsidRPr="005B3BA0">
        <w:rPr>
          <w:lang w:val="en-US"/>
        </w:rPr>
        <w:t xml:space="preserve"> dynamics</w:t>
      </w:r>
      <w:r>
        <w:rPr>
          <w:lang w:val="en-US"/>
        </w:rPr>
        <w:t xml:space="preserve"> in foreign affairs in general</w:t>
      </w:r>
      <w:r w:rsidR="00E961D3">
        <w:rPr>
          <w:lang w:val="en-US"/>
        </w:rPr>
        <w:t>. The Belgian C</w:t>
      </w:r>
      <w:r w:rsidR="00243AA4" w:rsidRPr="005B3BA0">
        <w:rPr>
          <w:lang w:val="en-US"/>
        </w:rPr>
        <w:t>onstitution stipulates that foreign policy is the prer</w:t>
      </w:r>
      <w:r w:rsidR="008D45FF" w:rsidRPr="005B3BA0">
        <w:rPr>
          <w:lang w:val="en-US"/>
        </w:rPr>
        <w:t>ogative of the executive branch: t</w:t>
      </w:r>
      <w:r>
        <w:rPr>
          <w:lang w:val="en-US"/>
        </w:rPr>
        <w:t>he G</w:t>
      </w:r>
      <w:r w:rsidR="00243AA4" w:rsidRPr="005B3BA0">
        <w:rPr>
          <w:lang w:val="en-US"/>
        </w:rPr>
        <w:t>overnment n</w:t>
      </w:r>
      <w:r>
        <w:rPr>
          <w:lang w:val="en-US"/>
        </w:rPr>
        <w:t xml:space="preserve">egotiates and signs deals, the </w:t>
      </w:r>
      <w:r w:rsidR="001A05A0">
        <w:rPr>
          <w:lang w:val="en-US"/>
        </w:rPr>
        <w:t>Parliament</w:t>
      </w:r>
      <w:r w:rsidR="00243AA4" w:rsidRPr="005B3BA0">
        <w:rPr>
          <w:lang w:val="en-US"/>
        </w:rPr>
        <w:t xml:space="preserve"> ratifies. </w:t>
      </w:r>
      <w:r w:rsidR="008D45FF">
        <w:rPr>
          <w:lang w:val="en-US"/>
        </w:rPr>
        <w:t>N</w:t>
      </w:r>
      <w:r w:rsidR="008D45FF" w:rsidRPr="002C163E">
        <w:rPr>
          <w:lang w:val="en-US"/>
        </w:rPr>
        <w:t xml:space="preserve">o formal procedures </w:t>
      </w:r>
      <w:r w:rsidR="008D45FF">
        <w:rPr>
          <w:lang w:val="en-US"/>
        </w:rPr>
        <w:t>(f</w:t>
      </w:r>
      <w:r>
        <w:rPr>
          <w:lang w:val="en-US"/>
        </w:rPr>
        <w:t>or example</w:t>
      </w:r>
      <w:r w:rsidR="008D45FF">
        <w:rPr>
          <w:lang w:val="en-US"/>
        </w:rPr>
        <w:t xml:space="preserve"> specialized committees) </w:t>
      </w:r>
      <w:r>
        <w:rPr>
          <w:lang w:val="en-US"/>
        </w:rPr>
        <w:t xml:space="preserve">assured that the </w:t>
      </w:r>
      <w:r w:rsidR="001A05A0">
        <w:rPr>
          <w:lang w:val="en-US"/>
        </w:rPr>
        <w:t>Parliament</w:t>
      </w:r>
      <w:r w:rsidR="008D45FF" w:rsidRPr="002C163E">
        <w:rPr>
          <w:lang w:val="en-US"/>
        </w:rPr>
        <w:t xml:space="preserve"> was</w:t>
      </w:r>
      <w:r w:rsidR="008D45FF">
        <w:rPr>
          <w:lang w:val="en-US"/>
        </w:rPr>
        <w:t xml:space="preserve"> </w:t>
      </w:r>
      <w:r w:rsidR="00243AA4" w:rsidRPr="005B3BA0">
        <w:rPr>
          <w:lang w:val="en-US"/>
        </w:rPr>
        <w:t>regularly updated in some detail about ongoing negotiations. This combination of powerlessness a</w:t>
      </w:r>
      <w:r>
        <w:rPr>
          <w:lang w:val="en-US"/>
        </w:rPr>
        <w:t>n</w:t>
      </w:r>
      <w:r w:rsidR="00243AA4" w:rsidRPr="005B3BA0">
        <w:rPr>
          <w:lang w:val="en-US"/>
        </w:rPr>
        <w:t xml:space="preserve">d information-asymmetry arguably raised the bar for </w:t>
      </w:r>
      <w:r w:rsidR="00F25696">
        <w:rPr>
          <w:lang w:val="en-US"/>
        </w:rPr>
        <w:t>parliamentary</w:t>
      </w:r>
      <w:r w:rsidR="00243AA4" w:rsidRPr="005B3BA0">
        <w:rPr>
          <w:lang w:val="en-US"/>
        </w:rPr>
        <w:t xml:space="preserve"> involvement, as the follow-up of trade deals was entirely up to the initiative of the </w:t>
      </w:r>
      <w:r w:rsidR="001A05A0">
        <w:rPr>
          <w:lang w:val="en-US"/>
        </w:rPr>
        <w:t>Parliament</w:t>
      </w:r>
      <w:r w:rsidR="00243AA4" w:rsidRPr="005B3BA0">
        <w:rPr>
          <w:lang w:val="en-US"/>
        </w:rPr>
        <w:t>, which then would have to ‘sacrifice’ time and resources allocated to other themes over which it had perhaps more immediate control</w:t>
      </w:r>
      <w:r w:rsidR="00A33406">
        <w:rPr>
          <w:lang w:val="en-US"/>
        </w:rPr>
        <w:t xml:space="preserve"> (interviews 6, 4 &amp; 7</w:t>
      </w:r>
      <w:r w:rsidR="00F974D4">
        <w:rPr>
          <w:lang w:val="en-US"/>
        </w:rPr>
        <w:t>)</w:t>
      </w:r>
      <w:r w:rsidR="00243AA4">
        <w:rPr>
          <w:lang w:val="en-US"/>
        </w:rPr>
        <w:t xml:space="preserve">. </w:t>
      </w:r>
      <w:r w:rsidR="008D45FF">
        <w:rPr>
          <w:lang w:val="en-US"/>
        </w:rPr>
        <w:t xml:space="preserve"> </w:t>
      </w:r>
    </w:p>
    <w:p w14:paraId="7D8C2D23" w14:textId="77777777" w:rsidR="00523718" w:rsidRDefault="00523718" w:rsidP="009074F5">
      <w:pPr>
        <w:spacing w:line="276" w:lineRule="auto"/>
        <w:jc w:val="both"/>
        <w:rPr>
          <w:lang w:val="en-US"/>
        </w:rPr>
      </w:pPr>
    </w:p>
    <w:p w14:paraId="12376058" w14:textId="37B24A38" w:rsidR="00243AA4" w:rsidRDefault="00EA2462" w:rsidP="009074F5">
      <w:pPr>
        <w:spacing w:line="276" w:lineRule="auto"/>
        <w:jc w:val="both"/>
        <w:rPr>
          <w:lang w:val="en-US"/>
        </w:rPr>
      </w:pPr>
      <w:r>
        <w:rPr>
          <w:lang w:val="en-US"/>
        </w:rPr>
        <w:t>Secondly</w:t>
      </w:r>
      <w:r w:rsidR="00243AA4">
        <w:rPr>
          <w:lang w:val="en-US"/>
        </w:rPr>
        <w:t xml:space="preserve">, activity on these issues </w:t>
      </w:r>
      <w:r w:rsidR="008D45FF">
        <w:rPr>
          <w:lang w:val="en-US"/>
        </w:rPr>
        <w:t xml:space="preserve">has </w:t>
      </w:r>
      <w:r>
        <w:rPr>
          <w:lang w:val="en-US"/>
        </w:rPr>
        <w:t xml:space="preserve">also </w:t>
      </w:r>
      <w:r w:rsidR="008D45FF">
        <w:rPr>
          <w:lang w:val="en-US"/>
        </w:rPr>
        <w:t>been</w:t>
      </w:r>
      <w:r w:rsidR="00243AA4">
        <w:rPr>
          <w:lang w:val="en-US"/>
        </w:rPr>
        <w:t xml:space="preserve"> low beca</w:t>
      </w:r>
      <w:r w:rsidR="008D45FF">
        <w:rPr>
          <w:lang w:val="en-US"/>
        </w:rPr>
        <w:t xml:space="preserve">use </w:t>
      </w:r>
      <w:r w:rsidR="008D45FF" w:rsidRPr="008C61BE">
        <w:rPr>
          <w:lang w:val="en-US"/>
        </w:rPr>
        <w:t>public interest was limited</w:t>
      </w:r>
      <w:r w:rsidR="00243AA4">
        <w:rPr>
          <w:lang w:val="en-US"/>
        </w:rPr>
        <w:t xml:space="preserve"> and the </w:t>
      </w:r>
      <w:r w:rsidR="001A05A0">
        <w:rPr>
          <w:lang w:val="en-US"/>
        </w:rPr>
        <w:t>Parliament</w:t>
      </w:r>
      <w:r w:rsidR="00243AA4">
        <w:rPr>
          <w:lang w:val="en-US"/>
        </w:rPr>
        <w:t xml:space="preserve"> is to </w:t>
      </w:r>
      <w:r>
        <w:rPr>
          <w:lang w:val="en-US"/>
        </w:rPr>
        <w:t xml:space="preserve">a certain </w:t>
      </w:r>
      <w:r w:rsidR="00243AA4">
        <w:rPr>
          <w:lang w:val="en-US"/>
        </w:rPr>
        <w:t>extent a ‘reactive’ institution. If there is little interest in trade fro</w:t>
      </w:r>
      <w:r w:rsidR="00E961D3">
        <w:rPr>
          <w:lang w:val="en-US"/>
        </w:rPr>
        <w:t>m local constituents, the press</w:t>
      </w:r>
      <w:r w:rsidR="00243AA4">
        <w:rPr>
          <w:lang w:val="en-US"/>
        </w:rPr>
        <w:t xml:space="preserve">, civil society or business, the incentive for </w:t>
      </w:r>
      <w:r w:rsidR="00E961D3">
        <w:rPr>
          <w:lang w:val="en-US"/>
        </w:rPr>
        <w:t>focusing</w:t>
      </w:r>
      <w:r w:rsidR="00243AA4">
        <w:rPr>
          <w:lang w:val="en-US"/>
        </w:rPr>
        <w:t xml:space="preserve"> on an issue will be small, and will then largely depend on specific interests (</w:t>
      </w:r>
      <w:r w:rsidR="00DE5B92">
        <w:rPr>
          <w:lang w:val="en-US"/>
        </w:rPr>
        <w:t>and resources) of particular MP</w:t>
      </w:r>
      <w:r w:rsidR="00243AA4">
        <w:rPr>
          <w:lang w:val="en-US"/>
        </w:rPr>
        <w:t>s</w:t>
      </w:r>
      <w:r w:rsidR="00927B8E">
        <w:rPr>
          <w:lang w:val="en-US"/>
        </w:rPr>
        <w:t xml:space="preserve"> (interview 6)</w:t>
      </w:r>
      <w:r w:rsidR="00243AA4">
        <w:rPr>
          <w:lang w:val="en-US"/>
        </w:rPr>
        <w:t xml:space="preserve">. Of course, this is in some ways a vicious </w:t>
      </w:r>
      <w:r w:rsidR="00243AA4">
        <w:rPr>
          <w:lang w:val="en-US"/>
        </w:rPr>
        <w:lastRenderedPageBreak/>
        <w:t xml:space="preserve">circle, as lack of attention and expertise in turn lower the potential for the </w:t>
      </w:r>
      <w:r w:rsidR="001A05A0">
        <w:rPr>
          <w:lang w:val="en-US"/>
        </w:rPr>
        <w:t>Parliament</w:t>
      </w:r>
      <w:r w:rsidR="00243AA4">
        <w:rPr>
          <w:lang w:val="en-US"/>
        </w:rPr>
        <w:t xml:space="preserve"> to pick up and politicize an issue. </w:t>
      </w:r>
    </w:p>
    <w:p w14:paraId="460E8D05" w14:textId="77777777" w:rsidR="00243AA4" w:rsidRDefault="00243AA4" w:rsidP="009074F5">
      <w:pPr>
        <w:spacing w:line="276" w:lineRule="auto"/>
        <w:jc w:val="both"/>
        <w:rPr>
          <w:b/>
          <w:lang w:val="en-GB"/>
        </w:rPr>
      </w:pPr>
    </w:p>
    <w:p w14:paraId="15D61368" w14:textId="406C52A2" w:rsidR="00243AA4" w:rsidRDefault="0093711D" w:rsidP="009074F5">
      <w:pPr>
        <w:pStyle w:val="Kop2"/>
        <w:spacing w:line="276" w:lineRule="auto"/>
        <w:rPr>
          <w:lang w:val="en-GB"/>
        </w:rPr>
      </w:pPr>
      <w:r>
        <w:rPr>
          <w:b w:val="0"/>
          <w:lang w:val="en-GB"/>
        </w:rPr>
        <w:t xml:space="preserve">4.2. </w:t>
      </w:r>
      <w:r w:rsidR="00243AA4">
        <w:rPr>
          <w:b w:val="0"/>
          <w:lang w:val="en-GB"/>
        </w:rPr>
        <w:t xml:space="preserve">Why the shift in recent years? </w:t>
      </w:r>
    </w:p>
    <w:p w14:paraId="6FA51F0A" w14:textId="77777777" w:rsidR="00243AA4" w:rsidRDefault="00243AA4" w:rsidP="009074F5">
      <w:pPr>
        <w:spacing w:line="276" w:lineRule="auto"/>
        <w:jc w:val="both"/>
        <w:rPr>
          <w:b/>
          <w:lang w:val="en-GB"/>
        </w:rPr>
      </w:pPr>
    </w:p>
    <w:p w14:paraId="2C5A04EC" w14:textId="5D0D04AD" w:rsidR="001A05A0" w:rsidRPr="001A05A0" w:rsidRDefault="001A05A0" w:rsidP="009074F5">
      <w:pPr>
        <w:spacing w:line="276" w:lineRule="auto"/>
        <w:jc w:val="both"/>
        <w:rPr>
          <w:lang w:val="en-GB"/>
        </w:rPr>
      </w:pPr>
      <w:r>
        <w:rPr>
          <w:lang w:val="en-GB"/>
        </w:rPr>
        <w:t>A second questio</w:t>
      </w:r>
      <w:r w:rsidR="008C61BE">
        <w:rPr>
          <w:lang w:val="en-GB"/>
        </w:rPr>
        <w:t>n we aim to address is why the Belgian</w:t>
      </w:r>
      <w:r>
        <w:rPr>
          <w:lang w:val="en-GB"/>
        </w:rPr>
        <w:t xml:space="preserve"> Parliaments’ passivity has disappeared to </w:t>
      </w:r>
      <w:r w:rsidR="00EA2462">
        <w:rPr>
          <w:lang w:val="en-GB"/>
        </w:rPr>
        <w:t xml:space="preserve">a </w:t>
      </w:r>
      <w:r>
        <w:rPr>
          <w:lang w:val="en-GB"/>
        </w:rPr>
        <w:t>considerable extent in recent years, paradoxically after their competences had</w:t>
      </w:r>
      <w:r w:rsidR="008C61BE">
        <w:rPr>
          <w:lang w:val="en-GB"/>
        </w:rPr>
        <w:t xml:space="preserve"> seemingly</w:t>
      </w:r>
      <w:r>
        <w:rPr>
          <w:lang w:val="en-GB"/>
        </w:rPr>
        <w:t xml:space="preserve"> been transferred to the European Parliament after the Lisbon Treaty.</w:t>
      </w:r>
    </w:p>
    <w:p w14:paraId="147B8D9B" w14:textId="77777777" w:rsidR="001A05A0" w:rsidRDefault="001A05A0" w:rsidP="009074F5">
      <w:pPr>
        <w:spacing w:line="276" w:lineRule="auto"/>
        <w:jc w:val="both"/>
        <w:rPr>
          <w:b/>
          <w:lang w:val="en-GB"/>
        </w:rPr>
      </w:pPr>
    </w:p>
    <w:p w14:paraId="2D820FCD" w14:textId="16AAF748" w:rsidR="008D45FF" w:rsidRPr="008C61BE" w:rsidRDefault="0093711D" w:rsidP="009074F5">
      <w:pPr>
        <w:pStyle w:val="Kop3"/>
        <w:spacing w:line="276" w:lineRule="auto"/>
        <w:rPr>
          <w:lang w:val="en-GB"/>
        </w:rPr>
      </w:pPr>
      <w:r w:rsidRPr="008C61BE">
        <w:rPr>
          <w:lang w:val="en-GB"/>
        </w:rPr>
        <w:t xml:space="preserve">4.2.1. </w:t>
      </w:r>
      <w:proofErr w:type="gramStart"/>
      <w:r w:rsidR="008D45FF" w:rsidRPr="008C61BE">
        <w:rPr>
          <w:lang w:val="en-GB"/>
        </w:rPr>
        <w:t>The</w:t>
      </w:r>
      <w:proofErr w:type="gramEnd"/>
      <w:r w:rsidR="008D45FF" w:rsidRPr="008C61BE">
        <w:rPr>
          <w:lang w:val="en-GB"/>
        </w:rPr>
        <w:t xml:space="preserve"> altered substance of the deals </w:t>
      </w:r>
    </w:p>
    <w:p w14:paraId="69E52917" w14:textId="77777777" w:rsidR="00523718" w:rsidRDefault="00523718" w:rsidP="009074F5">
      <w:pPr>
        <w:spacing w:line="276" w:lineRule="auto"/>
        <w:rPr>
          <w:lang w:val="en-GB"/>
        </w:rPr>
      </w:pPr>
    </w:p>
    <w:p w14:paraId="4E64ED6F" w14:textId="2A824E32" w:rsidR="008926A0" w:rsidRDefault="00523718" w:rsidP="009074F5">
      <w:pPr>
        <w:spacing w:line="276" w:lineRule="auto"/>
        <w:jc w:val="both"/>
        <w:rPr>
          <w:lang w:val="en-GB"/>
        </w:rPr>
      </w:pPr>
      <w:r>
        <w:rPr>
          <w:lang w:val="en-GB"/>
        </w:rPr>
        <w:t xml:space="preserve">Part of the </w:t>
      </w:r>
      <w:r w:rsidRPr="00326F6D">
        <w:rPr>
          <w:lang w:val="en-GB"/>
        </w:rPr>
        <w:t>explanation is related to the nature and the substance of the new ‘generation’ of FTAs. TTIP and CETA are exponents of the movement towards ‘deep’ trade agreements, and</w:t>
      </w:r>
      <w:r w:rsidR="00793EAF" w:rsidRPr="00326F6D">
        <w:rPr>
          <w:lang w:val="en-GB"/>
        </w:rPr>
        <w:t xml:space="preserve"> include provisions </w:t>
      </w:r>
      <w:r w:rsidR="002729A2" w:rsidRPr="00326F6D">
        <w:rPr>
          <w:lang w:val="en-GB"/>
        </w:rPr>
        <w:t xml:space="preserve">that </w:t>
      </w:r>
      <w:r w:rsidRPr="00326F6D">
        <w:rPr>
          <w:lang w:val="en-GB"/>
        </w:rPr>
        <w:t>seem to encroach directly on domestic policy space</w:t>
      </w:r>
      <w:r w:rsidR="004531A8">
        <w:rPr>
          <w:lang w:val="en-GB"/>
        </w:rPr>
        <w:t xml:space="preserve"> </w:t>
      </w:r>
      <w:r w:rsidR="00466BC5">
        <w:rPr>
          <w:lang w:val="en-GB"/>
        </w:rPr>
        <w:fldChar w:fldCharType="begin" w:fldLock="1"/>
      </w:r>
      <w:r w:rsidR="00466BC5">
        <w:rPr>
          <w:lang w:val="en-GB"/>
        </w:rPr>
        <w:instrText>ADDIN CSL_CITATION { "citationItems" : [ { "id" : "ITEM-1", "itemData" : { "DOI" : "10.1111/j.1468-5965.2007.00748.x", "ISBN" : "0021-9886", "ISSN" : "00219886", "PMID" : "270", "abstract" : "The European Union is a key player in the Doha Development Round of multilateral trade negotiations. This article argues that its negotiating position reflects distinctive patterns of politics underlying three aspects of trade policy \u2013 traditional trade policy, commercial policy and social trade policy \u2013 characterized by different sets of actors and political dynamics. Although there is significant variation in the substance of the EU's position within each aspect of trade policy, their distinctive patterns of politics help to explain why the EU's negotiating position is most liberal in traditional trade policy and least in social trade policy.", "author" : [ { "dropping-particle" : "", "family" : "Young", "given" : "Alasdair", "non-dropping-particle" : "", "parse-names" : false, "suffix" : "" } ], "container-title" : "Journal of Common Market Studies", "id" : "ITEM-1", "issue" : "4", "issued" : { "date-parts" : [ [ "2007" ] ] }, "page" : "789-811", "title" : "Trade politics ain't what it used to be: The European union in the doha round", "type" : "article-journal", "volume" : "45" }, "uris" : [ "http://www.mendeley.com/documents/?uuid=c6c33732-f5ac-4dc6-b3f1-5c01387e758f" ] }, { "id" : "ITEM-2", "itemData" : { "author" : [ { "dropping-particle" : "", "family" : "Ville", "given" : "Ferdi", "non-dropping-particle" : "De", "parse-names" : false, "suffix" : "" } ], "container-title" : "FEPS Policy Brief, February 2016", "id" : "ITEM-2", "issued" : { "date-parts" : [ [ "2016" ] ] }, "title" : "Regulatory Cooperation in TTIP. A risk for democratic policy making?", "type" : "article-journal" }, "uris" : [ "http://www.mendeley.com/documents/?uuid=20db2025-86ac-4ac1-bf28-d3942ce5f4ec" ] } ], "mendeley" : { "formattedCitation" : "(De Ville, 2016; Young, 2007)", "plainTextFormattedCitation" : "(De Ville, 2016; Young, 2007)", "previouslyFormattedCitation" : "(De Ville, 2016; Young, 2007)" }, "properties" : { "noteIndex" : 0 }, "schema" : "https://github.com/citation-style-language/schema/raw/master/csl-citation.json" }</w:instrText>
      </w:r>
      <w:r w:rsidR="00466BC5">
        <w:rPr>
          <w:lang w:val="en-GB"/>
        </w:rPr>
        <w:fldChar w:fldCharType="separate"/>
      </w:r>
      <w:r w:rsidR="00466BC5" w:rsidRPr="00466BC5">
        <w:rPr>
          <w:noProof/>
          <w:lang w:val="en-GB"/>
        </w:rPr>
        <w:t>(De Ville 2016; Young 2007)</w:t>
      </w:r>
      <w:r w:rsidR="00466BC5">
        <w:rPr>
          <w:lang w:val="en-GB"/>
        </w:rPr>
        <w:fldChar w:fldCharType="end"/>
      </w:r>
      <w:r w:rsidR="00466BC5">
        <w:rPr>
          <w:lang w:val="en-GB"/>
        </w:rPr>
        <w:t xml:space="preserve">. </w:t>
      </w:r>
      <w:r w:rsidR="007860EC">
        <w:rPr>
          <w:lang w:val="en-GB"/>
        </w:rPr>
        <w:t>This has not only resulted in renewed discussion about the status (exclusive or mixed) of these agreements, and hence about t</w:t>
      </w:r>
      <w:r w:rsidR="00585239">
        <w:rPr>
          <w:lang w:val="en-GB"/>
        </w:rPr>
        <w:t>he competence of (</w:t>
      </w:r>
      <w:proofErr w:type="gramStart"/>
      <w:r w:rsidR="00585239">
        <w:rPr>
          <w:lang w:val="en-GB"/>
        </w:rPr>
        <w:t>sub)national</w:t>
      </w:r>
      <w:proofErr w:type="gramEnd"/>
      <w:r w:rsidR="00585239">
        <w:rPr>
          <w:lang w:val="en-GB"/>
        </w:rPr>
        <w:t xml:space="preserve"> P</w:t>
      </w:r>
      <w:r w:rsidR="007860EC">
        <w:rPr>
          <w:lang w:val="en-GB"/>
        </w:rPr>
        <w:t>arliaments with regard to them, but has aroused the attention of MPs independent from their legal status. After all, activity on CETA preceded the decision by the European Commission to declare the agreement ‘mixed’ in July 2016.</w:t>
      </w:r>
    </w:p>
    <w:p w14:paraId="06B1732F" w14:textId="77777777" w:rsidR="008926A0" w:rsidRDefault="008926A0" w:rsidP="009074F5">
      <w:pPr>
        <w:spacing w:line="276" w:lineRule="auto"/>
        <w:jc w:val="both"/>
        <w:rPr>
          <w:lang w:val="en-GB"/>
        </w:rPr>
      </w:pPr>
    </w:p>
    <w:p w14:paraId="6888824D" w14:textId="5FEC73E2" w:rsidR="00793EAF" w:rsidRDefault="00793EAF" w:rsidP="009074F5">
      <w:pPr>
        <w:spacing w:line="276" w:lineRule="auto"/>
        <w:jc w:val="both"/>
        <w:rPr>
          <w:lang w:val="en-GB"/>
        </w:rPr>
      </w:pPr>
      <w:r>
        <w:rPr>
          <w:lang w:val="en-GB"/>
        </w:rPr>
        <w:t>The first</w:t>
      </w:r>
      <w:r w:rsidR="004235BF">
        <w:rPr>
          <w:lang w:val="en-GB"/>
        </w:rPr>
        <w:t xml:space="preserve"> of these provisions</w:t>
      </w:r>
      <w:r w:rsidR="007860EC">
        <w:rPr>
          <w:lang w:val="en-GB"/>
        </w:rPr>
        <w:t xml:space="preserve"> inciting attention of MPs</w:t>
      </w:r>
      <w:r>
        <w:rPr>
          <w:lang w:val="en-GB"/>
        </w:rPr>
        <w:t xml:space="preserve"> is </w:t>
      </w:r>
      <w:r w:rsidRPr="004235BF">
        <w:rPr>
          <w:i/>
          <w:lang w:val="en-GB"/>
        </w:rPr>
        <w:t>investment protection</w:t>
      </w:r>
      <w:r>
        <w:rPr>
          <w:lang w:val="en-GB"/>
        </w:rPr>
        <w:t xml:space="preserve">, which </w:t>
      </w:r>
      <w:r w:rsidR="00F974D4">
        <w:rPr>
          <w:lang w:val="en-GB"/>
        </w:rPr>
        <w:t xml:space="preserve">only </w:t>
      </w:r>
      <w:r>
        <w:rPr>
          <w:lang w:val="en-GB"/>
        </w:rPr>
        <w:t>became a supranational competence with the Lisbon Treaty as discussed above. Investment protection provisions and the dispute settlement procedures to adjudicate disputes (better-known under the acronym ISDS that stands for investment-state dispute settlement) through which international investors can sue governments and demand compensation against public measures that offend their Treaty-sanctioned rights are not limited to decision</w:t>
      </w:r>
      <w:r w:rsidR="004235BF">
        <w:rPr>
          <w:lang w:val="en-GB"/>
        </w:rPr>
        <w:t>s</w:t>
      </w:r>
      <w:r>
        <w:rPr>
          <w:lang w:val="en-GB"/>
        </w:rPr>
        <w:t xml:space="preserve"> by the supranational level, but extend to every government level. Therefore, every government level also has a reason to fear that its policies become the target of a complaint by an investor </w:t>
      </w:r>
      <w:r w:rsidR="004235BF">
        <w:rPr>
          <w:lang w:val="en-GB"/>
        </w:rPr>
        <w:t>that</w:t>
      </w:r>
      <w:r>
        <w:rPr>
          <w:lang w:val="en-GB"/>
        </w:rPr>
        <w:t xml:space="preserve"> might result in sanctions </w:t>
      </w:r>
      <w:r w:rsidR="004235BF">
        <w:rPr>
          <w:lang w:val="en-GB"/>
        </w:rPr>
        <w:t>as well as in</w:t>
      </w:r>
      <w:r>
        <w:rPr>
          <w:lang w:val="en-GB"/>
        </w:rPr>
        <w:t xml:space="preserve"> a ‘chill</w:t>
      </w:r>
      <w:r w:rsidR="004235BF">
        <w:rPr>
          <w:lang w:val="en-GB"/>
        </w:rPr>
        <w:t>ing</w:t>
      </w:r>
      <w:r>
        <w:rPr>
          <w:lang w:val="en-GB"/>
        </w:rPr>
        <w:t xml:space="preserve"> effect’ in decision-making to avoid the risk of being sanctioned. Secondly, TTIP is the first agreement where the self-proclaimed central objective is</w:t>
      </w:r>
      <w:r w:rsidR="004235BF">
        <w:rPr>
          <w:lang w:val="en-GB"/>
        </w:rPr>
        <w:t xml:space="preserve"> </w:t>
      </w:r>
      <w:r w:rsidR="004235BF" w:rsidRPr="004235BF">
        <w:rPr>
          <w:i/>
          <w:lang w:val="en-GB"/>
        </w:rPr>
        <w:t>regulatory cooperation</w:t>
      </w:r>
      <w:r w:rsidR="004235BF">
        <w:rPr>
          <w:lang w:val="en-GB"/>
        </w:rPr>
        <w:t>, more precisely</w:t>
      </w:r>
      <w:r>
        <w:rPr>
          <w:lang w:val="en-GB"/>
        </w:rPr>
        <w:t xml:space="preserve"> to remove regulatory differences between the parties as well as to establish mechanisms that should render it less probable that the parties adopt different regulations in the future</w:t>
      </w:r>
      <w:r w:rsidR="004531A8">
        <w:rPr>
          <w:lang w:val="en-GB"/>
        </w:rPr>
        <w:t xml:space="preserve"> </w:t>
      </w:r>
      <w:r w:rsidR="004531A8">
        <w:rPr>
          <w:lang w:val="en-GB"/>
        </w:rPr>
        <w:fldChar w:fldCharType="begin" w:fldLock="1"/>
      </w:r>
      <w:r w:rsidR="004531A8">
        <w:rPr>
          <w:lang w:val="en-GB"/>
        </w:rPr>
        <w:instrText>ADDIN CSL_CITATION { "citationItems" : [ { "id" : "ITEM-1", "itemData" : { "author" : [ { "dropping-particle" : "", "family" : "Ville", "given" : "Ferdi", "non-dropping-particle" : "De", "parse-names" : false, "suffix" : "" }, { "dropping-particle" : "", "family" : "Siles-Br\u00fcgge", "given" : "Gabriel", "non-dropping-particle" : "", "parse-names" : false, "suffix" : "" } ], "id" : "ITEM-1", "issued" : { "date-parts" : [ [ "2015" ] ] }, "publisher" : "Polity Press", "publisher-place" : "Cambridge, MA", "title" : "TTIP - The truth about the transatlantic trade and investment partnership.", "type" : "book" }, "prefix" : "see ", "uris" : [ "http://www.mendeley.com/documents/?uuid=4cc020aa-97fa-449b-8853-b3bd3057ede7" ] } ], "mendeley" : { "formattedCitation" : "(see De Ville &amp; Siles-Br\u00fcgge, 2015)", "plainTextFormattedCitation" : "(see De Ville &amp; Siles-Br\u00fcgge, 2015)", "previouslyFormattedCitation" : "(see De Ville &amp; Siles-Br\u00fcgge, 2015)" }, "properties" : { "noteIndex" : 0 }, "schema" : "https://github.com/citation-style-language/schema/raw/master/csl-citation.json" }</w:instrText>
      </w:r>
      <w:r w:rsidR="004531A8">
        <w:rPr>
          <w:lang w:val="en-GB"/>
        </w:rPr>
        <w:fldChar w:fldCharType="separate"/>
      </w:r>
      <w:r w:rsidR="004531A8" w:rsidRPr="004531A8">
        <w:rPr>
          <w:noProof/>
          <w:lang w:val="en-GB"/>
        </w:rPr>
        <w:t>(see De Ville &amp; Siles-Brügge 201</w:t>
      </w:r>
      <w:r w:rsidR="0093711D">
        <w:rPr>
          <w:noProof/>
          <w:lang w:val="en-GB"/>
        </w:rPr>
        <w:t>6</w:t>
      </w:r>
      <w:r w:rsidR="004531A8" w:rsidRPr="004531A8">
        <w:rPr>
          <w:noProof/>
          <w:lang w:val="en-GB"/>
        </w:rPr>
        <w:t>)</w:t>
      </w:r>
      <w:r w:rsidR="004531A8">
        <w:rPr>
          <w:lang w:val="en-GB"/>
        </w:rPr>
        <w:fldChar w:fldCharType="end"/>
      </w:r>
      <w:r w:rsidR="004531A8">
        <w:rPr>
          <w:lang w:val="en-GB"/>
        </w:rPr>
        <w:t xml:space="preserve">. </w:t>
      </w:r>
      <w:r>
        <w:rPr>
          <w:lang w:val="en-GB"/>
        </w:rPr>
        <w:t>The latter should be achieved by adhering to ‘Good Regulatory Practices’ – a number of procedural requirements that governments should follow when adopting regulations to ensure that they have given sufficient consideration to the trade and investment effects and opinions of stakeholders – and bilateral ‘Regulatory Cooperation’ – mandatory consultations on regulations by representatives from both parties. What the critics of this new dimension of trade agreements fear is that these ostensibl</w:t>
      </w:r>
      <w:r w:rsidR="00F974D4">
        <w:rPr>
          <w:lang w:val="en-GB"/>
        </w:rPr>
        <w:t>y</w:t>
      </w:r>
      <w:r>
        <w:rPr>
          <w:lang w:val="en-GB"/>
        </w:rPr>
        <w:t xml:space="preserve"> innocent provisions </w:t>
      </w:r>
      <w:r>
        <w:rPr>
          <w:lang w:val="en-GB"/>
        </w:rPr>
        <w:lastRenderedPageBreak/>
        <w:t xml:space="preserve">will lead – analogous to the concerns about investment protection – </w:t>
      </w:r>
      <w:r w:rsidR="00E4303F">
        <w:rPr>
          <w:lang w:val="en-GB"/>
        </w:rPr>
        <w:t xml:space="preserve">to ‘paralysis by analysis’ and </w:t>
      </w:r>
      <w:r>
        <w:rPr>
          <w:lang w:val="en-GB"/>
        </w:rPr>
        <w:t xml:space="preserve">to regulatory chill, i.e. to less decision-making autonomy and lower levels of protection than would have been decided by governments absent these provisions. </w:t>
      </w:r>
    </w:p>
    <w:p w14:paraId="5BD1E024" w14:textId="77777777" w:rsidR="00793EAF" w:rsidRDefault="00793EAF" w:rsidP="009074F5">
      <w:pPr>
        <w:spacing w:line="276" w:lineRule="auto"/>
        <w:jc w:val="both"/>
        <w:rPr>
          <w:lang w:val="en-GB"/>
        </w:rPr>
      </w:pPr>
    </w:p>
    <w:p w14:paraId="3DB30B0F" w14:textId="7C8F0C1C" w:rsidR="00ED7556" w:rsidRDefault="00EA2462" w:rsidP="009074F5">
      <w:pPr>
        <w:spacing w:line="276" w:lineRule="auto"/>
        <w:jc w:val="both"/>
        <w:rPr>
          <w:lang w:val="en-GB"/>
        </w:rPr>
      </w:pPr>
      <w:r>
        <w:rPr>
          <w:lang w:val="en-GB"/>
        </w:rPr>
        <w:t>These</w:t>
      </w:r>
      <w:r w:rsidR="00BA028E" w:rsidRPr="00AD7462">
        <w:rPr>
          <w:lang w:val="en-GB"/>
        </w:rPr>
        <w:t xml:space="preserve"> deals might</w:t>
      </w:r>
      <w:r>
        <w:rPr>
          <w:lang w:val="en-GB"/>
        </w:rPr>
        <w:t xml:space="preserve"> thus</w:t>
      </w:r>
      <w:r w:rsidR="00BA028E" w:rsidRPr="00AD7462">
        <w:rPr>
          <w:lang w:val="en-GB"/>
        </w:rPr>
        <w:t xml:space="preserve"> further limit </w:t>
      </w:r>
      <w:r w:rsidR="00AD7462">
        <w:rPr>
          <w:lang w:val="en-GB"/>
        </w:rPr>
        <w:t>Parliaments’</w:t>
      </w:r>
      <w:r w:rsidR="00BA028E" w:rsidRPr="00AD7462">
        <w:rPr>
          <w:lang w:val="en-GB"/>
        </w:rPr>
        <w:t xml:space="preserve"> power to shape society, </w:t>
      </w:r>
      <w:r>
        <w:rPr>
          <w:lang w:val="en-GB"/>
        </w:rPr>
        <w:t xml:space="preserve">possibly </w:t>
      </w:r>
      <w:r w:rsidR="005A0377" w:rsidRPr="00AD7462">
        <w:rPr>
          <w:lang w:val="en-GB"/>
        </w:rPr>
        <w:t>leading to</w:t>
      </w:r>
      <w:r w:rsidR="00BA028E" w:rsidRPr="00AD7462">
        <w:rPr>
          <w:lang w:val="en-GB"/>
        </w:rPr>
        <w:t xml:space="preserve"> increased awareness</w:t>
      </w:r>
      <w:r w:rsidR="00326F6D">
        <w:rPr>
          <w:lang w:val="en-GB"/>
        </w:rPr>
        <w:t xml:space="preserve"> of</w:t>
      </w:r>
      <w:r w:rsidR="00BA028E" w:rsidRPr="00AD7462">
        <w:rPr>
          <w:lang w:val="en-GB"/>
        </w:rPr>
        <w:t xml:space="preserve"> and in some cases opposition to the deals. In the Belgian case there is some evidence of this, i.e. that </w:t>
      </w:r>
      <w:r w:rsidR="00F25696">
        <w:rPr>
          <w:lang w:val="en-GB"/>
        </w:rPr>
        <w:t>parliamentary</w:t>
      </w:r>
      <w:r w:rsidR="00BA028E" w:rsidRPr="00AD7462">
        <w:rPr>
          <w:lang w:val="en-GB"/>
        </w:rPr>
        <w:t xml:space="preserve"> attention was triggered in part by the substance of the agreements</w:t>
      </w:r>
      <w:r w:rsidR="00326F6D">
        <w:rPr>
          <w:lang w:val="en-GB"/>
        </w:rPr>
        <w:t>. For example</w:t>
      </w:r>
      <w:r w:rsidR="004235BF">
        <w:rPr>
          <w:lang w:val="en-GB"/>
        </w:rPr>
        <w:t>, i</w:t>
      </w:r>
      <w:r w:rsidR="00793EAF">
        <w:rPr>
          <w:lang w:val="en-GB"/>
        </w:rPr>
        <w:t xml:space="preserve">n Belgium, </w:t>
      </w:r>
      <w:r w:rsidR="00F25696">
        <w:rPr>
          <w:lang w:val="en-GB"/>
        </w:rPr>
        <w:t>parliamentary</w:t>
      </w:r>
      <w:r w:rsidR="00793EAF">
        <w:rPr>
          <w:lang w:val="en-GB"/>
        </w:rPr>
        <w:t xml:space="preserve"> debates have (</w:t>
      </w:r>
      <w:r w:rsidR="00E4303F">
        <w:rPr>
          <w:lang w:val="en-GB"/>
        </w:rPr>
        <w:t>just as in</w:t>
      </w:r>
      <w:r w:rsidR="00793EAF">
        <w:rPr>
          <w:lang w:val="en-GB"/>
        </w:rPr>
        <w:t xml:space="preserve"> </w:t>
      </w:r>
      <w:r w:rsidR="004235BF">
        <w:rPr>
          <w:lang w:val="en-GB"/>
        </w:rPr>
        <w:t>many</w:t>
      </w:r>
      <w:r w:rsidR="00793EAF">
        <w:rPr>
          <w:lang w:val="en-GB"/>
        </w:rPr>
        <w:t xml:space="preserve"> other </w:t>
      </w:r>
      <w:r w:rsidR="004235BF">
        <w:rPr>
          <w:lang w:val="en-GB"/>
        </w:rPr>
        <w:t>Member States</w:t>
      </w:r>
      <w:r w:rsidR="00793EAF">
        <w:rPr>
          <w:lang w:val="en-GB"/>
        </w:rPr>
        <w:t>) focused</w:t>
      </w:r>
      <w:r w:rsidR="007E104F">
        <w:rPr>
          <w:lang w:val="en-GB"/>
        </w:rPr>
        <w:t xml:space="preserve"> primarily</w:t>
      </w:r>
      <w:r w:rsidR="00793EAF">
        <w:rPr>
          <w:lang w:val="en-GB"/>
        </w:rPr>
        <w:t xml:space="preserve"> on ISDS</w:t>
      </w:r>
      <w:r w:rsidR="007E104F">
        <w:rPr>
          <w:lang w:val="en-GB"/>
        </w:rPr>
        <w:t xml:space="preserve"> and</w:t>
      </w:r>
      <w:r w:rsidR="00793EAF">
        <w:rPr>
          <w:lang w:val="en-GB"/>
        </w:rPr>
        <w:t xml:space="preserve"> regulatory cooperation</w:t>
      </w:r>
      <w:r w:rsidR="007E104F">
        <w:rPr>
          <w:lang w:val="en-GB"/>
        </w:rPr>
        <w:t>, as well as the issue of (the fear for liberalisation of) public services. Much less</w:t>
      </w:r>
      <w:r w:rsidR="00793EAF">
        <w:rPr>
          <w:lang w:val="en-GB"/>
        </w:rPr>
        <w:t xml:space="preserve"> attention </w:t>
      </w:r>
      <w:r w:rsidR="007E104F">
        <w:rPr>
          <w:lang w:val="en-GB"/>
        </w:rPr>
        <w:t>has been dedicated to</w:t>
      </w:r>
      <w:r w:rsidR="00793EAF">
        <w:rPr>
          <w:lang w:val="en-GB"/>
        </w:rPr>
        <w:t xml:space="preserve"> the</w:t>
      </w:r>
      <w:r w:rsidR="007E104F">
        <w:rPr>
          <w:lang w:val="en-GB"/>
        </w:rPr>
        <w:t xml:space="preserve"> more</w:t>
      </w:r>
      <w:r w:rsidR="00793EAF">
        <w:rPr>
          <w:lang w:val="en-GB"/>
        </w:rPr>
        <w:t xml:space="preserve"> tradit</w:t>
      </w:r>
      <w:r w:rsidR="007E104F">
        <w:rPr>
          <w:lang w:val="en-GB"/>
        </w:rPr>
        <w:t>ional elements of the negotiations such as tariffs.</w:t>
      </w:r>
      <w:r w:rsidR="00793EAF">
        <w:rPr>
          <w:lang w:val="en-GB"/>
        </w:rPr>
        <w:t xml:space="preserve"> </w:t>
      </w:r>
      <w:r w:rsidR="004A701B">
        <w:rPr>
          <w:lang w:val="en-GB"/>
        </w:rPr>
        <w:t xml:space="preserve">The role of the </w:t>
      </w:r>
      <w:r w:rsidR="004A701B" w:rsidRPr="004A701B">
        <w:rPr>
          <w:lang w:val="en-GB"/>
        </w:rPr>
        <w:t xml:space="preserve">special nature of the treaties was also mentioned in some of our interviews. </w:t>
      </w:r>
      <w:r w:rsidR="007E104F" w:rsidRPr="004A701B">
        <w:rPr>
          <w:lang w:val="en-GB"/>
        </w:rPr>
        <w:t>However, this argument about the content of the latest generation of trade agreements is not able to explain the different degree of attention that has gone to TTIP and</w:t>
      </w:r>
      <w:r w:rsidR="005E6A47">
        <w:rPr>
          <w:lang w:val="en-GB"/>
        </w:rPr>
        <w:t xml:space="preserve"> (</w:t>
      </w:r>
      <w:r w:rsidR="007860EC">
        <w:rPr>
          <w:lang w:val="en-GB"/>
        </w:rPr>
        <w:t>only after the conclusion of the negotiations</w:t>
      </w:r>
      <w:r w:rsidR="005E6A47">
        <w:rPr>
          <w:lang w:val="en-GB"/>
        </w:rPr>
        <w:t>)</w:t>
      </w:r>
      <w:r w:rsidR="007E104F" w:rsidRPr="004A701B">
        <w:rPr>
          <w:lang w:val="en-GB"/>
        </w:rPr>
        <w:t xml:space="preserve"> CETA </w:t>
      </w:r>
      <w:r w:rsidR="007860EC" w:rsidRPr="004A701B">
        <w:rPr>
          <w:lang w:val="en-GB"/>
        </w:rPr>
        <w:t xml:space="preserve">on the one hand </w:t>
      </w:r>
      <w:r w:rsidR="007860EC">
        <w:rPr>
          <w:lang w:val="en-GB"/>
        </w:rPr>
        <w:t>and</w:t>
      </w:r>
      <w:r w:rsidR="002729A2" w:rsidRPr="004A701B">
        <w:rPr>
          <w:lang w:val="en-GB"/>
        </w:rPr>
        <w:t>,</w:t>
      </w:r>
      <w:r w:rsidR="007E104F" w:rsidRPr="004A701B">
        <w:rPr>
          <w:lang w:val="en-GB"/>
        </w:rPr>
        <w:t xml:space="preserve"> EU-Japan</w:t>
      </w:r>
      <w:r w:rsidR="007860EC">
        <w:rPr>
          <w:lang w:val="en-GB"/>
        </w:rPr>
        <w:t xml:space="preserve"> and other deep and comprehensive EU trade negotiations</w:t>
      </w:r>
      <w:r w:rsidR="007E104F" w:rsidRPr="004A701B">
        <w:rPr>
          <w:lang w:val="en-GB"/>
        </w:rPr>
        <w:t xml:space="preserve"> on the other, while their substance is very comparable.</w:t>
      </w:r>
      <w:r w:rsidR="00342E43" w:rsidRPr="004A701B">
        <w:rPr>
          <w:lang w:val="en-GB"/>
        </w:rPr>
        <w:t xml:space="preserve"> </w:t>
      </w:r>
    </w:p>
    <w:p w14:paraId="00C939E8" w14:textId="77777777" w:rsidR="00ED7556" w:rsidRDefault="00ED7556" w:rsidP="009074F5">
      <w:pPr>
        <w:spacing w:line="276" w:lineRule="auto"/>
        <w:jc w:val="both"/>
        <w:rPr>
          <w:lang w:val="en-GB"/>
        </w:rPr>
      </w:pPr>
    </w:p>
    <w:p w14:paraId="49E632D9" w14:textId="18BC099B" w:rsidR="008D45FF" w:rsidRDefault="00342E43" w:rsidP="009074F5">
      <w:pPr>
        <w:spacing w:line="276" w:lineRule="auto"/>
        <w:jc w:val="both"/>
        <w:rPr>
          <w:lang w:val="en-GB"/>
        </w:rPr>
      </w:pPr>
      <w:r>
        <w:rPr>
          <w:lang w:val="en-GB"/>
        </w:rPr>
        <w:t xml:space="preserve">The missing link, as we hope to show in the following section, </w:t>
      </w:r>
      <w:r w:rsidRPr="00342E43">
        <w:rPr>
          <w:lang w:val="en-GB"/>
        </w:rPr>
        <w:t xml:space="preserve">is the </w:t>
      </w:r>
      <w:r w:rsidR="008D45FF" w:rsidRPr="00342E43">
        <w:rPr>
          <w:lang w:val="en-GB"/>
        </w:rPr>
        <w:t>wide</w:t>
      </w:r>
      <w:r w:rsidRPr="00342E43">
        <w:rPr>
          <w:lang w:val="en-GB"/>
        </w:rPr>
        <w:t>-scale</w:t>
      </w:r>
      <w:r w:rsidR="008D45FF" w:rsidRPr="00342E43">
        <w:rPr>
          <w:lang w:val="en-GB"/>
        </w:rPr>
        <w:t xml:space="preserve"> mobilisation</w:t>
      </w:r>
      <w:r w:rsidRPr="00342E43">
        <w:rPr>
          <w:lang w:val="en-GB"/>
        </w:rPr>
        <w:t xml:space="preserve"> </w:t>
      </w:r>
      <w:r w:rsidR="008D45FF" w:rsidRPr="00342E43">
        <w:rPr>
          <w:lang w:val="en-GB"/>
        </w:rPr>
        <w:t>against TTIP</w:t>
      </w:r>
      <w:r w:rsidR="00BE0299" w:rsidRPr="00342E43">
        <w:rPr>
          <w:lang w:val="en-GB"/>
        </w:rPr>
        <w:t>, and subsequently CETA,</w:t>
      </w:r>
      <w:r w:rsidR="008D45FF" w:rsidRPr="00342E43">
        <w:rPr>
          <w:lang w:val="en-GB"/>
        </w:rPr>
        <w:t xml:space="preserve"> by a number of non-governmental organisations (NGOs).</w:t>
      </w:r>
    </w:p>
    <w:p w14:paraId="4D383BD0" w14:textId="00C6DD7C" w:rsidR="00793EAF" w:rsidRPr="007860EC" w:rsidRDefault="0078565A" w:rsidP="009074F5">
      <w:pPr>
        <w:pStyle w:val="Kop3"/>
        <w:spacing w:line="276" w:lineRule="auto"/>
        <w:rPr>
          <w:lang w:val="en-GB"/>
        </w:rPr>
      </w:pPr>
      <w:r w:rsidRPr="007860EC">
        <w:rPr>
          <w:lang w:val="en-GB"/>
        </w:rPr>
        <w:t xml:space="preserve">4.2.2. </w:t>
      </w:r>
      <w:r w:rsidR="00793EAF" w:rsidRPr="007860EC">
        <w:rPr>
          <w:lang w:val="en-GB"/>
        </w:rPr>
        <w:t>Mobilization by NGOs</w:t>
      </w:r>
      <w:r w:rsidR="00DC2C33" w:rsidRPr="007860EC">
        <w:rPr>
          <w:lang w:val="en-GB"/>
        </w:rPr>
        <w:t xml:space="preserve"> and</w:t>
      </w:r>
      <w:r w:rsidR="00793EAF" w:rsidRPr="007860EC">
        <w:rPr>
          <w:lang w:val="en-GB"/>
        </w:rPr>
        <w:t xml:space="preserve"> public salience</w:t>
      </w:r>
    </w:p>
    <w:p w14:paraId="13153AA5" w14:textId="20266D66" w:rsidR="00793EAF" w:rsidRPr="00FA4C2D" w:rsidRDefault="00793EAF" w:rsidP="009074F5">
      <w:pPr>
        <w:spacing w:line="276" w:lineRule="auto"/>
        <w:jc w:val="both"/>
        <w:rPr>
          <w:lang w:val="en-GB"/>
        </w:rPr>
      </w:pPr>
    </w:p>
    <w:p w14:paraId="5968D3D9" w14:textId="5ABEE183" w:rsidR="00F308C4" w:rsidRPr="00223DC7" w:rsidRDefault="009D36B4" w:rsidP="009074F5">
      <w:pPr>
        <w:spacing w:line="276" w:lineRule="auto"/>
        <w:jc w:val="both"/>
        <w:rPr>
          <w:lang w:val="en-GB"/>
        </w:rPr>
      </w:pPr>
      <w:r>
        <w:rPr>
          <w:lang w:val="en-GB"/>
        </w:rPr>
        <w:t>TTIP</w:t>
      </w:r>
      <w:r w:rsidR="00DC2C33">
        <w:rPr>
          <w:lang w:val="en-GB"/>
        </w:rPr>
        <w:t xml:space="preserve"> </w:t>
      </w:r>
      <w:r w:rsidR="005A0377">
        <w:rPr>
          <w:lang w:val="en-GB"/>
        </w:rPr>
        <w:t xml:space="preserve">and to a lesser extent CETA have </w:t>
      </w:r>
      <w:r>
        <w:rPr>
          <w:lang w:val="en-GB"/>
        </w:rPr>
        <w:t>led to</w:t>
      </w:r>
      <w:r w:rsidR="00DC2C33">
        <w:rPr>
          <w:lang w:val="en-GB"/>
        </w:rPr>
        <w:t xml:space="preserve"> </w:t>
      </w:r>
      <w:r w:rsidR="005A0377">
        <w:rPr>
          <w:lang w:val="en-GB"/>
        </w:rPr>
        <w:t xml:space="preserve">an </w:t>
      </w:r>
      <w:r w:rsidR="00DC2C33">
        <w:rPr>
          <w:lang w:val="en-GB"/>
        </w:rPr>
        <w:t>unprecedented</w:t>
      </w:r>
      <w:r>
        <w:rPr>
          <w:lang w:val="en-GB"/>
        </w:rPr>
        <w:t xml:space="preserve"> </w:t>
      </w:r>
      <w:r w:rsidR="003C3371">
        <w:rPr>
          <w:lang w:val="en-GB"/>
        </w:rPr>
        <w:t xml:space="preserve">politicization of the EU’s trade agenda. </w:t>
      </w:r>
      <w:r w:rsidR="005A0377">
        <w:rPr>
          <w:lang w:val="en-GB"/>
        </w:rPr>
        <w:t>Again</w:t>
      </w:r>
      <w:r w:rsidR="00DC2C33">
        <w:rPr>
          <w:lang w:val="en-GB"/>
        </w:rPr>
        <w:t>,</w:t>
      </w:r>
      <w:r>
        <w:rPr>
          <w:lang w:val="en-GB"/>
        </w:rPr>
        <w:t xml:space="preserve"> this </w:t>
      </w:r>
      <w:r w:rsidR="00242ED7">
        <w:rPr>
          <w:lang w:val="en-GB"/>
        </w:rPr>
        <w:t xml:space="preserve">is </w:t>
      </w:r>
      <w:r w:rsidR="003C3371">
        <w:rPr>
          <w:lang w:val="en-GB"/>
        </w:rPr>
        <w:t xml:space="preserve">in part </w:t>
      </w:r>
      <w:r>
        <w:rPr>
          <w:lang w:val="en-GB"/>
        </w:rPr>
        <w:t>linked to the substance of</w:t>
      </w:r>
      <w:r w:rsidR="005A0377">
        <w:rPr>
          <w:lang w:val="en-GB"/>
        </w:rPr>
        <w:t xml:space="preserve"> these treaties,</w:t>
      </w:r>
      <w:r w:rsidR="00DC2C33">
        <w:rPr>
          <w:lang w:val="en-GB"/>
        </w:rPr>
        <w:t xml:space="preserve"> which </w:t>
      </w:r>
      <w:r w:rsidR="001A4D86">
        <w:rPr>
          <w:lang w:val="en-GB"/>
        </w:rPr>
        <w:t xml:space="preserve">raised </w:t>
      </w:r>
      <w:r w:rsidR="00DC2C33">
        <w:rPr>
          <w:lang w:val="en-GB"/>
        </w:rPr>
        <w:t>concerns about the impact on domestic policies and policy space.</w:t>
      </w:r>
      <w:r w:rsidR="005A0377">
        <w:rPr>
          <w:lang w:val="en-GB"/>
        </w:rPr>
        <w:t xml:space="preserve"> T</w:t>
      </w:r>
      <w:r w:rsidR="00DC2C33">
        <w:rPr>
          <w:lang w:val="en-GB"/>
        </w:rPr>
        <w:t>h</w:t>
      </w:r>
      <w:r w:rsidR="005A0377">
        <w:rPr>
          <w:lang w:val="en-GB"/>
        </w:rPr>
        <w:t xml:space="preserve">ese worries were probably </w:t>
      </w:r>
      <w:r w:rsidR="001A4D86">
        <w:rPr>
          <w:lang w:val="en-GB"/>
        </w:rPr>
        <w:t xml:space="preserve">also </w:t>
      </w:r>
      <w:r w:rsidR="005A0377">
        <w:rPr>
          <w:lang w:val="en-GB"/>
        </w:rPr>
        <w:t xml:space="preserve">exacerbated </w:t>
      </w:r>
      <w:r>
        <w:rPr>
          <w:lang w:val="en-GB"/>
        </w:rPr>
        <w:t xml:space="preserve">by the fact that </w:t>
      </w:r>
      <w:r w:rsidR="005A0377">
        <w:rPr>
          <w:lang w:val="en-GB"/>
        </w:rPr>
        <w:t xml:space="preserve">TTIP, which received the brunt of the contestation, </w:t>
      </w:r>
      <w:r>
        <w:rPr>
          <w:lang w:val="en-GB"/>
        </w:rPr>
        <w:t xml:space="preserve">was being negotiated with the United States. </w:t>
      </w:r>
      <w:r w:rsidR="00DC2C33">
        <w:rPr>
          <w:lang w:val="en-GB"/>
        </w:rPr>
        <w:t xml:space="preserve">Not </w:t>
      </w:r>
      <w:r w:rsidR="005A0377">
        <w:rPr>
          <w:lang w:val="en-GB"/>
        </w:rPr>
        <w:t>just because this aroused</w:t>
      </w:r>
      <w:r w:rsidR="00DC2C33">
        <w:rPr>
          <w:lang w:val="en-GB"/>
        </w:rPr>
        <w:t xml:space="preserve"> </w:t>
      </w:r>
      <w:r w:rsidR="005A0377">
        <w:rPr>
          <w:lang w:val="en-GB"/>
        </w:rPr>
        <w:t>some latent</w:t>
      </w:r>
      <w:r w:rsidR="00DC2C33">
        <w:rPr>
          <w:lang w:val="en-GB"/>
        </w:rPr>
        <w:t xml:space="preserve"> anti-Americanism </w:t>
      </w:r>
      <w:r w:rsidR="005A0377">
        <w:rPr>
          <w:lang w:val="en-GB"/>
        </w:rPr>
        <w:t xml:space="preserve">with the public and NGOs, </w:t>
      </w:r>
      <w:r w:rsidR="00E4303F">
        <w:rPr>
          <w:lang w:val="en-GB"/>
        </w:rPr>
        <w:t xml:space="preserve">but </w:t>
      </w:r>
      <w:r w:rsidR="00DC2C33">
        <w:rPr>
          <w:lang w:val="en-GB"/>
        </w:rPr>
        <w:t xml:space="preserve">also </w:t>
      </w:r>
      <w:r w:rsidR="005A0377">
        <w:rPr>
          <w:lang w:val="en-GB"/>
        </w:rPr>
        <w:t xml:space="preserve">because the risk of </w:t>
      </w:r>
      <w:proofErr w:type="gramStart"/>
      <w:r w:rsidR="005A0377">
        <w:rPr>
          <w:lang w:val="en-GB"/>
        </w:rPr>
        <w:t>substantial(</w:t>
      </w:r>
      <w:proofErr w:type="spellStart"/>
      <w:proofErr w:type="gramEnd"/>
      <w:r w:rsidR="005A0377">
        <w:rPr>
          <w:lang w:val="en-GB"/>
        </w:rPr>
        <w:t>ly</w:t>
      </w:r>
      <w:proofErr w:type="spellEnd"/>
      <w:r w:rsidR="005A0377">
        <w:rPr>
          <w:lang w:val="en-GB"/>
        </w:rPr>
        <w:t xml:space="preserve"> negative) </w:t>
      </w:r>
      <w:r w:rsidR="00F93310">
        <w:rPr>
          <w:lang w:val="en-GB"/>
        </w:rPr>
        <w:t>effects</w:t>
      </w:r>
      <w:r w:rsidR="00242ED7">
        <w:rPr>
          <w:lang w:val="en-GB"/>
        </w:rPr>
        <w:t xml:space="preserve"> (such as those related to ISDS cases, or the possible lowering of food standards, see </w:t>
      </w:r>
      <w:r w:rsidR="00242ED7" w:rsidRPr="00BF7ACB">
        <w:rPr>
          <w:lang w:val="en-GB"/>
        </w:rPr>
        <w:t>also</w:t>
      </w:r>
      <w:r w:rsidR="00466BC5">
        <w:rPr>
          <w:lang w:val="en-GB"/>
        </w:rPr>
        <w:t xml:space="preserve"> </w:t>
      </w:r>
      <w:r w:rsidR="00466BC5" w:rsidRPr="00466BC5">
        <w:rPr>
          <w:lang w:val="en-GB"/>
        </w:rPr>
        <w:fldChar w:fldCharType="begin" w:fldLock="1"/>
      </w:r>
      <w:r w:rsidR="00466BC5" w:rsidRPr="00466BC5">
        <w:rPr>
          <w:lang w:val="en-GB"/>
        </w:rPr>
        <w:instrText>ADDIN CSL_CITATION { "citationItems" : [ { "id" : "ITEM-1", "itemData" : { "author" : [ { "dropping-particle" : "", "family" : "Eliasson", "given" : "Leif Johan", "non-dropping-particle" : "", "parse-names" : false, "suffix" : "" } ], "container-title" : "14th Biennial Meeting of the European Union Studies Association, Boston", "id" : "ITEM-1", "issued" : { "date-parts" : [ [ "2015" ] ] }, "page" : "5-7", "title" : "The Transatlantic Trade and Investment Partnership: Interest groups and public opinion", "type" : "article-journal" }, "uris" : [ "http://www.mendeley.com/documents/?uuid=1d11ca1a-43be-493b-81df-801b30285ce6" ] } ], "mendeley" : { "formattedCitation" : "(Eliasson, 2015)", "manualFormatting" : "Eliasson, 2015", "plainTextFormattedCitation" : "(Eliasson, 2015)", "previouslyFormattedCitation" : "(Eliasson, 2015)" }, "properties" : { "noteIndex" : 0 }, "schema" : "https://github.com/citation-style-language/schema/raw/master/csl-citation.json" }</w:instrText>
      </w:r>
      <w:r w:rsidR="00466BC5" w:rsidRPr="00466BC5">
        <w:rPr>
          <w:lang w:val="en-GB"/>
        </w:rPr>
        <w:fldChar w:fldCharType="separate"/>
      </w:r>
      <w:r w:rsidR="00466BC5" w:rsidRPr="00466BC5">
        <w:rPr>
          <w:noProof/>
          <w:lang w:val="en-GB"/>
        </w:rPr>
        <w:t>Eliasson 2015</w:t>
      </w:r>
      <w:r w:rsidR="00466BC5" w:rsidRPr="00466BC5">
        <w:rPr>
          <w:lang w:val="en-GB"/>
        </w:rPr>
        <w:fldChar w:fldCharType="end"/>
      </w:r>
      <w:r w:rsidR="00242ED7" w:rsidRPr="00466BC5">
        <w:rPr>
          <w:lang w:val="en-GB"/>
        </w:rPr>
        <w:t>)</w:t>
      </w:r>
      <w:r w:rsidR="00F93310" w:rsidRPr="00466BC5">
        <w:rPr>
          <w:lang w:val="en-GB"/>
        </w:rPr>
        <w:t xml:space="preserve"> was far more</w:t>
      </w:r>
      <w:r w:rsidR="00F93310">
        <w:rPr>
          <w:lang w:val="en-GB"/>
        </w:rPr>
        <w:t xml:space="preserve"> likely with such a powerful political and economic counterpart</w:t>
      </w:r>
      <w:r w:rsidR="00F308C4">
        <w:rPr>
          <w:rStyle w:val="Voetnootmarkering"/>
          <w:lang w:val="en-GB"/>
        </w:rPr>
        <w:footnoteReference w:id="11"/>
      </w:r>
      <w:r w:rsidR="00F308C4">
        <w:rPr>
          <w:lang w:val="en-GB"/>
        </w:rPr>
        <w:t>.</w:t>
      </w:r>
      <w:r w:rsidR="00F93310">
        <w:rPr>
          <w:lang w:val="en-GB"/>
        </w:rPr>
        <w:t xml:space="preserve"> </w:t>
      </w:r>
      <w:r w:rsidR="003C3371">
        <w:rPr>
          <w:lang w:val="en-GB"/>
        </w:rPr>
        <w:t xml:space="preserve">However, </w:t>
      </w:r>
      <w:r w:rsidR="00F308C4">
        <w:rPr>
          <w:lang w:val="en-GB"/>
        </w:rPr>
        <w:t xml:space="preserve">it seems unlikely that these elements would have sufficed to bring about the measure of opposition we’ve witnessed in the past three years, without the active, successful and enduring </w:t>
      </w:r>
      <w:r w:rsidR="00F308C4" w:rsidRPr="00985388">
        <w:rPr>
          <w:lang w:val="en-GB"/>
        </w:rPr>
        <w:t>mobilization and organization by a wide coalition of NGOs</w:t>
      </w:r>
      <w:r w:rsidR="00F308C4">
        <w:rPr>
          <w:lang w:val="en-GB"/>
        </w:rPr>
        <w:t xml:space="preserve"> and </w:t>
      </w:r>
      <w:r w:rsidR="00F308C4" w:rsidRPr="00C80CC7">
        <w:rPr>
          <w:lang w:val="en-GB"/>
        </w:rPr>
        <w:t>their networks</w:t>
      </w:r>
      <w:r w:rsidR="00466BC5">
        <w:rPr>
          <w:lang w:val="en-GB"/>
        </w:rPr>
        <w:t xml:space="preserve"> </w:t>
      </w:r>
      <w:r w:rsidR="00466BC5">
        <w:rPr>
          <w:lang w:val="en-GB"/>
        </w:rPr>
        <w:fldChar w:fldCharType="begin" w:fldLock="1"/>
      </w:r>
      <w:r w:rsidR="00466BC5">
        <w:rPr>
          <w:lang w:val="en-GB"/>
        </w:rPr>
        <w:instrText>ADDIN CSL_CITATION { "citationItems" : [ { "id" : "ITEM-1", "itemData" : { "author" : [ { "dropping-particle" : "", "family" : "Gheyle", "given" : "Niels", "non-dropping-particle" : "", "parse-names" : false, "suffix" : "" } ], "container-title" : "Paper presented at the GIFTA workshop series \u2018Social and Labour Impacts of Free Trade Agreements\u2019, 7-8 July, Brussels", "id" : "ITEM-1", "issued" : { "date-parts" : [ [ "2016" ] ] }, "title" : "Adding fuel to the flames: how TTIP reinvigorated the politicization of trade", "type" : "article-journal" }, "uris" : [ "http://www.mendeley.com/documents/?uuid=c1748aac-3f90-462f-9c58-d4f1880b7439" ] } ], "mendeley" : { "formattedCitation" : "(Gheyle, 2016)", "plainTextFormattedCitation" : "(Gheyle, 2016)", "previouslyFormattedCitation" : "(Gheyle, 2016)" }, "properties" : { "noteIndex" : 0 }, "schema" : "https://github.com/citation-style-language/schema/raw/master/csl-citation.json" }</w:instrText>
      </w:r>
      <w:r w:rsidR="00466BC5">
        <w:rPr>
          <w:lang w:val="en-GB"/>
        </w:rPr>
        <w:fldChar w:fldCharType="separate"/>
      </w:r>
      <w:r w:rsidR="00466BC5" w:rsidRPr="00466BC5">
        <w:rPr>
          <w:noProof/>
          <w:lang w:val="en-GB"/>
        </w:rPr>
        <w:t>(Gheyle 2016)</w:t>
      </w:r>
      <w:r w:rsidR="00466BC5">
        <w:rPr>
          <w:lang w:val="en-GB"/>
        </w:rPr>
        <w:fldChar w:fldCharType="end"/>
      </w:r>
      <w:r w:rsidR="00223DC7">
        <w:rPr>
          <w:rStyle w:val="Voetnootmarkering"/>
          <w:lang w:val="en-GB"/>
        </w:rPr>
        <w:footnoteReference w:id="12"/>
      </w:r>
      <w:r w:rsidR="00E676EB" w:rsidRPr="00C80CC7">
        <w:rPr>
          <w:lang w:val="en-GB"/>
        </w:rPr>
        <w:t xml:space="preserve">. </w:t>
      </w:r>
      <w:r w:rsidR="00997B66" w:rsidRPr="00242ED7">
        <w:rPr>
          <w:lang w:val="en-US"/>
        </w:rPr>
        <w:t xml:space="preserve">Civil society has been able to foster a (self-feeding) cycle of growing press coverage, public </w:t>
      </w:r>
      <w:r w:rsidR="00997B66" w:rsidRPr="00242ED7">
        <w:rPr>
          <w:lang w:val="en-US"/>
        </w:rPr>
        <w:lastRenderedPageBreak/>
        <w:t>awareness</w:t>
      </w:r>
      <w:r w:rsidR="00997B66" w:rsidRPr="00C80CC7">
        <w:rPr>
          <w:lang w:val="en-US"/>
        </w:rPr>
        <w:t xml:space="preserve"> and</w:t>
      </w:r>
      <w:r w:rsidR="00997B66" w:rsidRPr="00242ED7">
        <w:rPr>
          <w:lang w:val="en-US"/>
        </w:rPr>
        <w:t xml:space="preserve"> </w:t>
      </w:r>
      <w:r w:rsidR="00997B66" w:rsidRPr="00C80CC7">
        <w:rPr>
          <w:lang w:val="en-US"/>
        </w:rPr>
        <w:t>mobilization,</w:t>
      </w:r>
      <w:r w:rsidR="001A4D86" w:rsidRPr="00242ED7">
        <w:rPr>
          <w:lang w:val="en-US"/>
        </w:rPr>
        <w:t xml:space="preserve"> which eventually led to </w:t>
      </w:r>
      <w:r w:rsidR="00997B66" w:rsidRPr="00C80CC7">
        <w:rPr>
          <w:lang w:val="en-GB"/>
        </w:rPr>
        <w:t>polit</w:t>
      </w:r>
      <w:r w:rsidR="001A4D86" w:rsidRPr="00242ED7">
        <w:rPr>
          <w:lang w:val="en-GB"/>
        </w:rPr>
        <w:t xml:space="preserve">ical, including </w:t>
      </w:r>
      <w:r w:rsidR="00F25696">
        <w:rPr>
          <w:lang w:val="en-GB"/>
        </w:rPr>
        <w:t>parliamentary</w:t>
      </w:r>
      <w:r w:rsidR="001A4D86" w:rsidRPr="00242ED7">
        <w:rPr>
          <w:lang w:val="en-GB"/>
        </w:rPr>
        <w:t>,</w:t>
      </w:r>
      <w:r w:rsidR="00997B66" w:rsidRPr="00C80CC7">
        <w:rPr>
          <w:lang w:val="en-GB"/>
        </w:rPr>
        <w:t xml:space="preserve"> </w:t>
      </w:r>
      <w:r w:rsidR="001A4D86" w:rsidRPr="00223DC7">
        <w:rPr>
          <w:lang w:val="en-GB"/>
        </w:rPr>
        <w:t>attention</w:t>
      </w:r>
      <w:r w:rsidR="00997B66" w:rsidRPr="00223DC7">
        <w:rPr>
          <w:lang w:val="en-GB"/>
        </w:rPr>
        <w:t xml:space="preserve"> </w:t>
      </w:r>
      <w:r w:rsidR="001A4D86" w:rsidRPr="00223DC7">
        <w:rPr>
          <w:lang w:val="en-GB"/>
        </w:rPr>
        <w:t>and contestation.</w:t>
      </w:r>
    </w:p>
    <w:p w14:paraId="67933A80" w14:textId="77777777" w:rsidR="00926398" w:rsidRPr="00223DC7" w:rsidRDefault="00926398" w:rsidP="009074F5">
      <w:pPr>
        <w:spacing w:line="276" w:lineRule="auto"/>
        <w:jc w:val="both"/>
        <w:rPr>
          <w:lang w:val="en-GB"/>
        </w:rPr>
      </w:pPr>
    </w:p>
    <w:p w14:paraId="4FE9245F" w14:textId="66C285F0" w:rsidR="00922BCF" w:rsidRPr="00A23D95" w:rsidRDefault="001A4D86" w:rsidP="009074F5">
      <w:pPr>
        <w:spacing w:line="276" w:lineRule="auto"/>
        <w:jc w:val="both"/>
        <w:rPr>
          <w:lang w:val="en-US"/>
        </w:rPr>
      </w:pPr>
      <w:r w:rsidRPr="00223DC7">
        <w:rPr>
          <w:lang w:val="en-US"/>
        </w:rPr>
        <w:t>In Belgium, TTIP has led to t</w:t>
      </w:r>
      <w:r w:rsidR="00223DC7">
        <w:rPr>
          <w:lang w:val="en-US"/>
        </w:rPr>
        <w:t>he emergence of new trade</w:t>
      </w:r>
      <w:r w:rsidR="002A690C">
        <w:rPr>
          <w:lang w:val="en-US"/>
        </w:rPr>
        <w:t xml:space="preserve"> </w:t>
      </w:r>
      <w:r w:rsidR="00223DC7">
        <w:rPr>
          <w:lang w:val="en-US"/>
        </w:rPr>
        <w:t xml:space="preserve">policy coalitions. </w:t>
      </w:r>
      <w:r w:rsidR="00926398" w:rsidRPr="00223DC7">
        <w:rPr>
          <w:lang w:val="en-US"/>
        </w:rPr>
        <w:t>Before TTIP,</w:t>
      </w:r>
      <w:r w:rsidR="00242ED7" w:rsidRPr="00223DC7">
        <w:rPr>
          <w:lang w:val="en-US"/>
        </w:rPr>
        <w:t xml:space="preserve"> there was a small but </w:t>
      </w:r>
      <w:r w:rsidR="00585239">
        <w:rPr>
          <w:lang w:val="en-US"/>
        </w:rPr>
        <w:t>committed</w:t>
      </w:r>
      <w:r w:rsidR="00242ED7" w:rsidRPr="00223DC7">
        <w:rPr>
          <w:lang w:val="en-US"/>
        </w:rPr>
        <w:t xml:space="preserve"> </w:t>
      </w:r>
      <w:r w:rsidR="00585239">
        <w:rPr>
          <w:lang w:val="en-US"/>
        </w:rPr>
        <w:t>group</w:t>
      </w:r>
      <w:r w:rsidR="00242ED7" w:rsidRPr="00223DC7">
        <w:rPr>
          <w:lang w:val="en-US"/>
        </w:rPr>
        <w:t xml:space="preserve"> of</w:t>
      </w:r>
      <w:r w:rsidR="00926398" w:rsidRPr="00223DC7">
        <w:rPr>
          <w:lang w:val="en-US"/>
        </w:rPr>
        <w:t xml:space="preserve"> Belgian NGO</w:t>
      </w:r>
      <w:r w:rsidR="00585239">
        <w:rPr>
          <w:lang w:val="en-US"/>
        </w:rPr>
        <w:t xml:space="preserve"> (and trade union)</w:t>
      </w:r>
      <w:r w:rsidR="002A690C">
        <w:rPr>
          <w:lang w:val="en-US"/>
        </w:rPr>
        <w:t xml:space="preserve"> representative</w:t>
      </w:r>
      <w:r w:rsidR="00585239">
        <w:rPr>
          <w:lang w:val="en-US"/>
        </w:rPr>
        <w:t>s</w:t>
      </w:r>
      <w:r w:rsidR="00926398" w:rsidRPr="00223DC7">
        <w:rPr>
          <w:lang w:val="en-US"/>
        </w:rPr>
        <w:t xml:space="preserve"> </w:t>
      </w:r>
      <w:r w:rsidR="00922BCF" w:rsidRPr="00223DC7">
        <w:rPr>
          <w:lang w:val="en-US"/>
        </w:rPr>
        <w:t>who</w:t>
      </w:r>
      <w:r w:rsidR="00242ED7" w:rsidRPr="00223DC7">
        <w:rPr>
          <w:lang w:val="en-US"/>
        </w:rPr>
        <w:t xml:space="preserve"> often worked and campaigned on trade policy</w:t>
      </w:r>
      <w:r w:rsidR="00223DC7" w:rsidRPr="00223DC7">
        <w:rPr>
          <w:lang w:val="en-US"/>
        </w:rPr>
        <w:t xml:space="preserve">, and built up considerable expertise. Their work was </w:t>
      </w:r>
      <w:r w:rsidR="00926398" w:rsidRPr="00223DC7">
        <w:rPr>
          <w:lang w:val="en-US"/>
        </w:rPr>
        <w:t>mostly related to development and global justice</w:t>
      </w:r>
      <w:r w:rsidR="00242ED7" w:rsidRPr="00223DC7">
        <w:rPr>
          <w:lang w:val="en-US"/>
        </w:rPr>
        <w:t xml:space="preserve"> issues</w:t>
      </w:r>
      <w:r w:rsidR="00926398" w:rsidRPr="00223DC7">
        <w:rPr>
          <w:lang w:val="en-US"/>
        </w:rPr>
        <w:t xml:space="preserve">. For example, they mobilized against the BLEU (Belgian-Luxemburg Economic Union) Colombia Investment Treaty because of labor issues in Colombia, or </w:t>
      </w:r>
      <w:r w:rsidR="00922BCF" w:rsidRPr="00223DC7">
        <w:rPr>
          <w:lang w:val="en-US"/>
        </w:rPr>
        <w:t>campaigned against</w:t>
      </w:r>
      <w:r w:rsidR="00926398" w:rsidRPr="00223DC7">
        <w:rPr>
          <w:lang w:val="en-US"/>
        </w:rPr>
        <w:t xml:space="preserve"> the Economic Partnership Agreements</w:t>
      </w:r>
      <w:r w:rsidR="00985388">
        <w:rPr>
          <w:lang w:val="en-US"/>
        </w:rPr>
        <w:t xml:space="preserve"> because of concerns about the development impact of these deals</w:t>
      </w:r>
      <w:r w:rsidR="00926398" w:rsidRPr="00223DC7">
        <w:rPr>
          <w:lang w:val="en-US"/>
        </w:rPr>
        <w:t xml:space="preserve">. </w:t>
      </w:r>
      <w:r w:rsidR="00223DC7" w:rsidRPr="00223DC7">
        <w:rPr>
          <w:lang w:val="en-US"/>
        </w:rPr>
        <w:t>Outside of</w:t>
      </w:r>
      <w:r w:rsidR="00242ED7" w:rsidRPr="00223DC7">
        <w:rPr>
          <w:lang w:val="en-US"/>
        </w:rPr>
        <w:t xml:space="preserve"> this core group (which includes</w:t>
      </w:r>
      <w:r w:rsidR="00922BCF" w:rsidRPr="00223DC7">
        <w:rPr>
          <w:lang w:val="en-US"/>
        </w:rPr>
        <w:t xml:space="preserve"> amongst others</w:t>
      </w:r>
      <w:r w:rsidR="00242ED7" w:rsidRPr="00223DC7">
        <w:rPr>
          <w:lang w:val="en-US"/>
        </w:rPr>
        <w:t xml:space="preserve"> CNCD-11.11.11</w:t>
      </w:r>
      <w:r w:rsidR="00922BCF" w:rsidRPr="00223DC7">
        <w:rPr>
          <w:lang w:val="en-US"/>
        </w:rPr>
        <w:t xml:space="preserve">, Oxfam or </w:t>
      </w:r>
      <w:proofErr w:type="spellStart"/>
      <w:r w:rsidR="00922BCF" w:rsidRPr="00223DC7">
        <w:rPr>
          <w:lang w:val="en-US"/>
        </w:rPr>
        <w:t>Wereldsolidariteit</w:t>
      </w:r>
      <w:proofErr w:type="spellEnd"/>
      <w:r w:rsidR="00922BCF" w:rsidRPr="00223DC7">
        <w:rPr>
          <w:lang w:val="en-US"/>
        </w:rPr>
        <w:t>)</w:t>
      </w:r>
      <w:r w:rsidR="00926398" w:rsidRPr="00223DC7">
        <w:rPr>
          <w:lang w:val="en-US"/>
        </w:rPr>
        <w:t xml:space="preserve">, trade policy was a </w:t>
      </w:r>
      <w:r w:rsidRPr="00223DC7">
        <w:rPr>
          <w:lang w:val="en-US"/>
        </w:rPr>
        <w:t>secondary</w:t>
      </w:r>
      <w:r w:rsidR="00926398" w:rsidRPr="00223DC7">
        <w:rPr>
          <w:lang w:val="en-US"/>
        </w:rPr>
        <w:t xml:space="preserve"> issue</w:t>
      </w:r>
      <w:r w:rsidR="00922BCF" w:rsidRPr="00223DC7">
        <w:rPr>
          <w:lang w:val="en-US"/>
        </w:rPr>
        <w:t xml:space="preserve"> for many other organizations</w:t>
      </w:r>
      <w:r w:rsidR="00FC4B19">
        <w:rPr>
          <w:lang w:val="en-US"/>
        </w:rPr>
        <w:t xml:space="preserve"> (</w:t>
      </w:r>
      <w:r w:rsidR="00A33406">
        <w:rPr>
          <w:lang w:val="en-US"/>
        </w:rPr>
        <w:t>interviews 11, 12, 10, 13 &amp; 14</w:t>
      </w:r>
      <w:r w:rsidR="00FC4B19">
        <w:rPr>
          <w:lang w:val="en-US"/>
        </w:rPr>
        <w:t>)</w:t>
      </w:r>
      <w:r w:rsidR="00926398" w:rsidRPr="00223DC7">
        <w:rPr>
          <w:lang w:val="en-US"/>
        </w:rPr>
        <w:t>. TTIP, however, has drawn many new organizations to trade politics</w:t>
      </w:r>
      <w:r w:rsidR="00922BCF" w:rsidRPr="00223DC7">
        <w:rPr>
          <w:lang w:val="en-US"/>
        </w:rPr>
        <w:t>, given the possible scope of the agreement</w:t>
      </w:r>
      <w:r w:rsidR="00926398" w:rsidRPr="00223DC7">
        <w:rPr>
          <w:lang w:val="en-US"/>
        </w:rPr>
        <w:t xml:space="preserve">. </w:t>
      </w:r>
      <w:r w:rsidR="00342E43" w:rsidRPr="00223DC7">
        <w:rPr>
          <w:lang w:val="en-US"/>
        </w:rPr>
        <w:t>A</w:t>
      </w:r>
      <w:r w:rsidR="00922BCF" w:rsidRPr="00223DC7">
        <w:rPr>
          <w:lang w:val="en-US"/>
        </w:rPr>
        <w:t xml:space="preserve"> core group</w:t>
      </w:r>
      <w:r w:rsidR="00922BCF">
        <w:rPr>
          <w:lang w:val="en-US"/>
        </w:rPr>
        <w:t xml:space="preserve"> of trade unions, North-South organizations and several environmental groups </w:t>
      </w:r>
      <w:r w:rsidR="00342E43">
        <w:rPr>
          <w:lang w:val="en-US"/>
        </w:rPr>
        <w:t xml:space="preserve">has </w:t>
      </w:r>
      <w:r w:rsidR="00922BCF">
        <w:rPr>
          <w:lang w:val="en-US"/>
        </w:rPr>
        <w:t xml:space="preserve">sided with less-traditional groups such as consumer, </w:t>
      </w:r>
      <w:r w:rsidR="00985388">
        <w:rPr>
          <w:lang w:val="en-US"/>
        </w:rPr>
        <w:t>health insurance</w:t>
      </w:r>
      <w:r w:rsidR="00922BCF">
        <w:rPr>
          <w:lang w:val="en-US"/>
        </w:rPr>
        <w:t xml:space="preserve"> and climate organizations, in the self-named 4 May (2015) Coalition</w:t>
      </w:r>
      <w:r w:rsidR="00466BC5">
        <w:rPr>
          <w:lang w:val="en-US"/>
        </w:rPr>
        <w:t xml:space="preserve"> </w:t>
      </w:r>
      <w:r w:rsidR="00466BC5">
        <w:rPr>
          <w:lang w:val="en-US"/>
        </w:rPr>
        <w:fldChar w:fldCharType="begin" w:fldLock="1"/>
      </w:r>
      <w:r w:rsidR="00466BC5">
        <w:rPr>
          <w:lang w:val="en-US"/>
        </w:rPr>
        <w:instrText>ADDIN CSL_CITATION { "citationItems" : [ { "id" : "ITEM-1", "itemData" : { "author" : [ { "dropping-particle" : "", "family" : "Verenigde Verenigingen", "given" : "", "non-dropping-particle" : "", "parse-names" : false, "suffix" : "" } ], "id" : "ITEM-1", "issued" : { "date-parts" : [ [ "2015" ] ] }, "title" : "Trans-Atlantische handelsakkoorden: Het Belgische middenveld slaat de handen in mekaar tegen deze ondemocratische dereguleringsakkoorden", "type" : "article-journal" }, "uris" : [ "http://www.mendeley.com/documents/?uuid=d65a40d8-dae7-45d4-8300-253b12ab303e" ] } ], "mendeley" : { "formattedCitation" : "(Verenigde Verenigingen, 2015)", "plainTextFormattedCitation" : "(Verenigde Verenigingen, 2015)", "previouslyFormattedCitation" : "(Verenigde Verenigingen, 2015)" }, "properties" : { "noteIndex" : 0 }, "schema" : "https://github.com/citation-style-language/schema/raw/master/csl-citation.json" }</w:instrText>
      </w:r>
      <w:r w:rsidR="00466BC5">
        <w:rPr>
          <w:lang w:val="en-US"/>
        </w:rPr>
        <w:fldChar w:fldCharType="separate"/>
      </w:r>
      <w:r w:rsidR="00466BC5" w:rsidRPr="00466BC5">
        <w:rPr>
          <w:noProof/>
          <w:lang w:val="en-US"/>
        </w:rPr>
        <w:t>(Verenigde Verenigingen, 2015)</w:t>
      </w:r>
      <w:r w:rsidR="00466BC5">
        <w:rPr>
          <w:lang w:val="en-US"/>
        </w:rPr>
        <w:fldChar w:fldCharType="end"/>
      </w:r>
      <w:r w:rsidR="00922BCF">
        <w:rPr>
          <w:lang w:val="en-US"/>
        </w:rPr>
        <w:t>. This nation-wide coalition has been the main ‘policy’ and lobbying organization within Belgium to date</w:t>
      </w:r>
      <w:r w:rsidR="00545181">
        <w:rPr>
          <w:lang w:val="en-US"/>
        </w:rPr>
        <w:t>, and is coordinated mainly by CNCD-11.11.11</w:t>
      </w:r>
      <w:r w:rsidR="00922BCF">
        <w:rPr>
          <w:lang w:val="en-US"/>
        </w:rPr>
        <w:t>. Next to this, a more broad-based STOP TTIP coalition (with a very large membership) was established, which acts more as the mobili</w:t>
      </w:r>
      <w:r w:rsidR="00545181">
        <w:rPr>
          <w:lang w:val="en-US"/>
        </w:rPr>
        <w:t xml:space="preserve">zation </w:t>
      </w:r>
      <w:r w:rsidR="00545181" w:rsidRPr="00223DC7">
        <w:rPr>
          <w:lang w:val="en-US"/>
        </w:rPr>
        <w:t>pillar of the coalition: planning actions or demonstrations, writing letters to</w:t>
      </w:r>
      <w:r w:rsidR="00223DC7" w:rsidRPr="00223DC7">
        <w:rPr>
          <w:lang w:val="en-US"/>
        </w:rPr>
        <w:t xml:space="preserve"> ministers, press releases, </w:t>
      </w:r>
      <w:proofErr w:type="spellStart"/>
      <w:r w:rsidR="00223DC7" w:rsidRPr="00223DC7">
        <w:rPr>
          <w:lang w:val="en-US"/>
        </w:rPr>
        <w:t>etc</w:t>
      </w:r>
      <w:proofErr w:type="spellEnd"/>
      <w:r w:rsidR="00B764A5">
        <w:rPr>
          <w:lang w:val="en-US"/>
        </w:rPr>
        <w:t xml:space="preserve"> (ibid)</w:t>
      </w:r>
      <w:r w:rsidR="00545181" w:rsidRPr="00223DC7">
        <w:rPr>
          <w:rStyle w:val="Voetnootmarkering"/>
          <w:lang w:val="en-US"/>
        </w:rPr>
        <w:footnoteReference w:id="13"/>
      </w:r>
      <w:r w:rsidR="00223DC7" w:rsidRPr="00223DC7">
        <w:rPr>
          <w:lang w:val="en-US"/>
        </w:rPr>
        <w:t>.</w:t>
      </w:r>
      <w:r w:rsidR="00545181" w:rsidRPr="00223DC7">
        <w:rPr>
          <w:lang w:val="en-US"/>
        </w:rPr>
        <w:t xml:space="preserve"> </w:t>
      </w:r>
    </w:p>
    <w:p w14:paraId="48EBA63C" w14:textId="77777777" w:rsidR="00922BCF" w:rsidRPr="00223DC7" w:rsidRDefault="00922BCF" w:rsidP="009074F5">
      <w:pPr>
        <w:spacing w:line="276" w:lineRule="auto"/>
        <w:jc w:val="both"/>
        <w:rPr>
          <w:lang w:val="en-US"/>
        </w:rPr>
      </w:pPr>
    </w:p>
    <w:p w14:paraId="04F7C382" w14:textId="7DD8417B" w:rsidR="00926398" w:rsidRPr="00A52F5E" w:rsidRDefault="00926398" w:rsidP="009074F5">
      <w:pPr>
        <w:spacing w:line="276" w:lineRule="auto"/>
        <w:jc w:val="both"/>
        <w:rPr>
          <w:lang w:val="en-US"/>
        </w:rPr>
      </w:pPr>
      <w:r w:rsidRPr="00223DC7">
        <w:rPr>
          <w:lang w:val="en-US"/>
        </w:rPr>
        <w:t>These organizations were successful in their atte</w:t>
      </w:r>
      <w:r w:rsidR="00D758BB">
        <w:rPr>
          <w:lang w:val="en-US"/>
        </w:rPr>
        <w:t>m</w:t>
      </w:r>
      <w:r w:rsidRPr="00223DC7">
        <w:rPr>
          <w:lang w:val="en-US"/>
        </w:rPr>
        <w:t xml:space="preserve">pts to mobilize their membership and parts of the general public, but also in generating </w:t>
      </w:r>
      <w:r w:rsidR="00F25696">
        <w:rPr>
          <w:lang w:val="en-US"/>
        </w:rPr>
        <w:t>parliamentary</w:t>
      </w:r>
      <w:r w:rsidRPr="00223DC7">
        <w:rPr>
          <w:lang w:val="en-US"/>
        </w:rPr>
        <w:t xml:space="preserve"> scrutiny</w:t>
      </w:r>
      <w:r w:rsidR="00B764A5">
        <w:rPr>
          <w:lang w:val="en-US"/>
        </w:rPr>
        <w:t xml:space="preserve"> (interview 8)</w:t>
      </w:r>
      <w:r w:rsidRPr="00223DC7">
        <w:rPr>
          <w:lang w:val="en-US"/>
        </w:rPr>
        <w:t>.</w:t>
      </w:r>
      <w:r w:rsidR="001A4D86" w:rsidRPr="00223DC7">
        <w:rPr>
          <w:lang w:val="en-US"/>
        </w:rPr>
        <w:t xml:space="preserve"> The important role of civil society clearly emerges, for example, when analyzing </w:t>
      </w:r>
      <w:r w:rsidR="00F25696">
        <w:rPr>
          <w:lang w:val="en-US"/>
        </w:rPr>
        <w:t>parliamentary</w:t>
      </w:r>
      <w:r w:rsidRPr="00223DC7">
        <w:rPr>
          <w:lang w:val="en-US"/>
        </w:rPr>
        <w:t xml:space="preserve"> texts and discussions. In Wallonia’s debates and resolutions, at various times the deals’ opponents hail the work of the NGOs in raising awareness, or mention the greatly increased democratic stakes now that such a substantial part of civil society (and the general public) was involved. </w:t>
      </w:r>
      <w:r w:rsidRPr="00223DC7">
        <w:rPr>
          <w:lang w:val="fr-BE"/>
        </w:rPr>
        <w:t>For exampl</w:t>
      </w:r>
      <w:r w:rsidR="00106A1D">
        <w:rPr>
          <w:lang w:val="fr-BE"/>
        </w:rPr>
        <w:t>e, in the 2015 CETA Resolution</w:t>
      </w:r>
      <w:r w:rsidRPr="00223DC7">
        <w:rPr>
          <w:lang w:val="fr-BE"/>
        </w:rPr>
        <w:t xml:space="preserve">, the authors state that </w:t>
      </w:r>
      <w:r w:rsidRPr="00223DC7">
        <w:rPr>
          <w:rStyle w:val="Nadruk"/>
          <w:lang w:val="fr-BE"/>
        </w:rPr>
        <w:t>« récemment,  les  négociations  entourant  [TTIP, CETA and FTAs in general] ont mobilisé largement</w:t>
      </w:r>
      <w:r w:rsidRPr="00A52F5E">
        <w:rPr>
          <w:rStyle w:val="Nadruk"/>
          <w:lang w:val="fr-BE"/>
        </w:rPr>
        <w:t xml:space="preserve"> la société civile  belge  et  européenne,  mais  également  les  parlements européen et nationaux ». </w:t>
      </w:r>
      <w:r w:rsidRPr="00A52F5E">
        <w:rPr>
          <w:rStyle w:val="Nadruk"/>
          <w:i w:val="0"/>
          <w:lang w:val="en-US"/>
        </w:rPr>
        <w:t>Civil society’s role was also confirmed throughout our interviews</w:t>
      </w:r>
      <w:r w:rsidR="00B764A5">
        <w:rPr>
          <w:rStyle w:val="Nadruk"/>
          <w:i w:val="0"/>
          <w:lang w:val="en-US"/>
        </w:rPr>
        <w:t xml:space="preserve"> (interviews 8, 9, 12, 11, 14 &amp; 15,)</w:t>
      </w:r>
      <w:r w:rsidRPr="00A52F5E">
        <w:rPr>
          <w:rStyle w:val="Nadruk"/>
          <w:i w:val="0"/>
          <w:lang w:val="en-US"/>
        </w:rPr>
        <w:t>.</w:t>
      </w:r>
      <w:r w:rsidR="005E6A47">
        <w:rPr>
          <w:rStyle w:val="Nadruk"/>
          <w:i w:val="0"/>
          <w:lang w:val="en-US"/>
        </w:rPr>
        <w:t xml:space="preserve"> In the book that Walloon Minister-President Paul </w:t>
      </w:r>
      <w:proofErr w:type="spellStart"/>
      <w:r w:rsidR="005E6A47">
        <w:rPr>
          <w:rStyle w:val="Nadruk"/>
          <w:i w:val="0"/>
          <w:lang w:val="en-US"/>
        </w:rPr>
        <w:t>Magnette</w:t>
      </w:r>
      <w:proofErr w:type="spellEnd"/>
      <w:r w:rsidR="005E6A47">
        <w:rPr>
          <w:rStyle w:val="Nadruk"/>
          <w:i w:val="0"/>
          <w:lang w:val="en-US"/>
        </w:rPr>
        <w:t xml:space="preserve"> wrote about the whole CETA episode, the first chapter is </w:t>
      </w:r>
      <w:r w:rsidR="002A690C">
        <w:rPr>
          <w:rStyle w:val="Nadruk"/>
          <w:i w:val="0"/>
          <w:lang w:val="en-US"/>
        </w:rPr>
        <w:t>revealingly</w:t>
      </w:r>
      <w:r w:rsidR="005E6A47">
        <w:rPr>
          <w:rStyle w:val="Nadruk"/>
          <w:i w:val="0"/>
          <w:lang w:val="en-US"/>
        </w:rPr>
        <w:t xml:space="preserve"> entitled ‘when civil society awakens’ (</w:t>
      </w:r>
      <w:proofErr w:type="spellStart"/>
      <w:r w:rsidR="005E6A47">
        <w:rPr>
          <w:rStyle w:val="Nadruk"/>
          <w:i w:val="0"/>
          <w:lang w:val="en-US"/>
        </w:rPr>
        <w:t>Magnette</w:t>
      </w:r>
      <w:proofErr w:type="spellEnd"/>
      <w:r w:rsidR="005E6A47">
        <w:rPr>
          <w:rStyle w:val="Nadruk"/>
          <w:i w:val="0"/>
          <w:lang w:val="en-US"/>
        </w:rPr>
        <w:t xml:space="preserve"> 2017).</w:t>
      </w:r>
      <w:r w:rsidRPr="00A52F5E">
        <w:rPr>
          <w:rStyle w:val="Nadruk"/>
          <w:i w:val="0"/>
          <w:lang w:val="en-US"/>
        </w:rPr>
        <w:t xml:space="preserve"> </w:t>
      </w:r>
      <w:r w:rsidR="00C80CC7">
        <w:rPr>
          <w:rStyle w:val="Nadruk"/>
          <w:i w:val="0"/>
          <w:lang w:val="en-US"/>
        </w:rPr>
        <w:t xml:space="preserve">There </w:t>
      </w:r>
      <w:r w:rsidR="005E6A47">
        <w:rPr>
          <w:rStyle w:val="Nadruk"/>
          <w:i w:val="0"/>
          <w:lang w:val="en-US"/>
        </w:rPr>
        <w:t xml:space="preserve">have been </w:t>
      </w:r>
      <w:r w:rsidR="00C80CC7">
        <w:rPr>
          <w:rStyle w:val="Nadruk"/>
          <w:i w:val="0"/>
          <w:lang w:val="en-US"/>
        </w:rPr>
        <w:t xml:space="preserve">frequent contacts between civil society and </w:t>
      </w:r>
      <w:r w:rsidR="002A690C">
        <w:rPr>
          <w:rStyle w:val="Nadruk"/>
          <w:i w:val="0"/>
          <w:lang w:val="en-US"/>
        </w:rPr>
        <w:t xml:space="preserve">especially </w:t>
      </w:r>
      <w:r w:rsidR="00C80CC7">
        <w:rPr>
          <w:rStyle w:val="Nadruk"/>
          <w:i w:val="0"/>
          <w:lang w:val="en-US"/>
        </w:rPr>
        <w:t xml:space="preserve">the parties of the left (greens, socialists, to lesser extent Christian democrats), and some of the NGOs claim that a </w:t>
      </w:r>
      <w:proofErr w:type="gramStart"/>
      <w:r w:rsidR="00C80CC7">
        <w:rPr>
          <w:rStyle w:val="Nadruk"/>
          <w:i w:val="0"/>
          <w:lang w:val="en-US"/>
        </w:rPr>
        <w:lastRenderedPageBreak/>
        <w:t>substantial</w:t>
      </w:r>
      <w:proofErr w:type="gramEnd"/>
      <w:r w:rsidR="00C80CC7">
        <w:rPr>
          <w:rStyle w:val="Nadruk"/>
          <w:i w:val="0"/>
          <w:lang w:val="en-US"/>
        </w:rPr>
        <w:t xml:space="preserve"> amount of </w:t>
      </w:r>
      <w:r w:rsidR="00F25696">
        <w:rPr>
          <w:rStyle w:val="Nadruk"/>
          <w:i w:val="0"/>
          <w:lang w:val="en-US"/>
        </w:rPr>
        <w:t>parliamentary</w:t>
      </w:r>
      <w:r w:rsidR="00C80CC7">
        <w:rPr>
          <w:rStyle w:val="Nadruk"/>
          <w:i w:val="0"/>
          <w:lang w:val="en-US"/>
        </w:rPr>
        <w:t xml:space="preserve"> questions have been fed by them</w:t>
      </w:r>
      <w:r w:rsidR="00B764A5">
        <w:rPr>
          <w:rStyle w:val="Nadruk"/>
          <w:i w:val="0"/>
          <w:lang w:val="en-US"/>
        </w:rPr>
        <w:t xml:space="preserve"> (interview 8)</w:t>
      </w:r>
      <w:r w:rsidR="00C80CC7">
        <w:rPr>
          <w:rStyle w:val="Nadruk"/>
          <w:i w:val="0"/>
          <w:lang w:val="en-US"/>
        </w:rPr>
        <w:t xml:space="preserve">. </w:t>
      </w:r>
      <w:r w:rsidR="00A51CB6">
        <w:rPr>
          <w:rStyle w:val="Nadruk"/>
          <w:i w:val="0"/>
          <w:lang w:val="en-US"/>
        </w:rPr>
        <w:t>Some</w:t>
      </w:r>
      <w:r w:rsidR="00C80CC7">
        <w:rPr>
          <w:rStyle w:val="Nadruk"/>
          <w:i w:val="0"/>
          <w:lang w:val="en-US"/>
        </w:rPr>
        <w:t xml:space="preserve"> MPs acknowledged that </w:t>
      </w:r>
      <w:r w:rsidR="00C66450">
        <w:rPr>
          <w:rStyle w:val="Nadruk"/>
          <w:i w:val="0"/>
          <w:lang w:val="en-US"/>
        </w:rPr>
        <w:t>they had not been actively scrutinizing</w:t>
      </w:r>
      <w:r w:rsidR="00C80CC7">
        <w:rPr>
          <w:rStyle w:val="Nadruk"/>
          <w:i w:val="0"/>
          <w:lang w:val="en-US"/>
        </w:rPr>
        <w:t xml:space="preserve"> the treaties until civil society’s active attempt to raise awareness and foster opposition.</w:t>
      </w:r>
      <w:r w:rsidR="009C5563">
        <w:rPr>
          <w:rStyle w:val="Nadruk"/>
          <w:i w:val="0"/>
          <w:lang w:val="en-US"/>
        </w:rPr>
        <w:t xml:space="preserve"> At least initially, </w:t>
      </w:r>
      <w:r w:rsidR="009C5563" w:rsidRPr="00A51CB6">
        <w:rPr>
          <w:rStyle w:val="Nadruk"/>
          <w:i w:val="0"/>
          <w:lang w:val="en-US"/>
        </w:rPr>
        <w:t>they lacked not only awareness but also expertise, which the NGOs could provide</w:t>
      </w:r>
      <w:r w:rsidR="00FC4B19" w:rsidRPr="00A51CB6">
        <w:rPr>
          <w:rStyle w:val="Nadruk"/>
          <w:i w:val="0"/>
          <w:lang w:val="en-US"/>
        </w:rPr>
        <w:t xml:space="preserve"> (</w:t>
      </w:r>
      <w:r w:rsidR="00B764A5" w:rsidRPr="00A51CB6">
        <w:rPr>
          <w:rStyle w:val="Nadruk"/>
          <w:i w:val="0"/>
          <w:lang w:val="en-US"/>
        </w:rPr>
        <w:t>inte</w:t>
      </w:r>
      <w:r w:rsidR="00C66450" w:rsidRPr="00A51CB6">
        <w:rPr>
          <w:rStyle w:val="Nadruk"/>
          <w:i w:val="0"/>
          <w:lang w:val="en-US"/>
        </w:rPr>
        <w:t>rview</w:t>
      </w:r>
      <w:r w:rsidR="00A51CB6" w:rsidRPr="00A51CB6">
        <w:rPr>
          <w:rStyle w:val="Nadruk"/>
          <w:i w:val="0"/>
          <w:lang w:val="en-US"/>
        </w:rPr>
        <w:t>s</w:t>
      </w:r>
      <w:r w:rsidR="00C66450" w:rsidRPr="00A51CB6">
        <w:rPr>
          <w:rStyle w:val="Nadruk"/>
          <w:i w:val="0"/>
          <w:lang w:val="en-US"/>
        </w:rPr>
        <w:t xml:space="preserve"> 1, 2 &amp; 6</w:t>
      </w:r>
      <w:r w:rsidR="00B764A5" w:rsidRPr="00A51CB6">
        <w:rPr>
          <w:rStyle w:val="Nadruk"/>
          <w:i w:val="0"/>
          <w:lang w:val="en-US"/>
        </w:rPr>
        <w:t>)</w:t>
      </w:r>
      <w:r w:rsidR="005A1CE4">
        <w:rPr>
          <w:rStyle w:val="Nadruk"/>
          <w:i w:val="0"/>
          <w:lang w:val="en-US"/>
        </w:rPr>
        <w:t xml:space="preserve">. </w:t>
      </w:r>
      <w:r w:rsidR="00C80CC7" w:rsidRPr="00A51CB6">
        <w:rPr>
          <w:rStyle w:val="Nadruk"/>
          <w:i w:val="0"/>
          <w:lang w:val="en-US"/>
        </w:rPr>
        <w:t xml:space="preserve"> This claim is bolstered by </w:t>
      </w:r>
      <w:r w:rsidR="005A1CE4">
        <w:rPr>
          <w:rStyle w:val="Nadruk"/>
          <w:i w:val="0"/>
          <w:lang w:val="en-US"/>
        </w:rPr>
        <w:t xml:space="preserve">the fact that the PS, </w:t>
      </w:r>
      <w:proofErr w:type="spellStart"/>
      <w:r w:rsidR="005A1CE4">
        <w:rPr>
          <w:rStyle w:val="Nadruk"/>
          <w:i w:val="0"/>
          <w:lang w:val="en-US"/>
        </w:rPr>
        <w:t>cdH</w:t>
      </w:r>
      <w:proofErr w:type="spellEnd"/>
      <w:r w:rsidR="005A1CE4">
        <w:rPr>
          <w:rStyle w:val="Nadruk"/>
          <w:i w:val="0"/>
          <w:lang w:val="en-US"/>
        </w:rPr>
        <w:t xml:space="preserve"> and </w:t>
      </w:r>
      <w:proofErr w:type="spellStart"/>
      <w:r w:rsidR="005A1CE4">
        <w:rPr>
          <w:rStyle w:val="Nadruk"/>
          <w:i w:val="0"/>
          <w:lang w:val="en-US"/>
        </w:rPr>
        <w:t>Ecolo</w:t>
      </w:r>
      <w:proofErr w:type="spellEnd"/>
      <w:r w:rsidR="005A1CE4">
        <w:rPr>
          <w:rStyle w:val="Nadruk"/>
          <w:i w:val="0"/>
          <w:lang w:val="en-US"/>
        </w:rPr>
        <w:t>, which would,</w:t>
      </w:r>
      <w:r w:rsidR="00642624">
        <w:rPr>
          <w:rStyle w:val="Nadruk"/>
          <w:i w:val="0"/>
          <w:lang w:val="en-US"/>
        </w:rPr>
        <w:t xml:space="preserve"> from late 2014 on</w:t>
      </w:r>
      <w:r w:rsidR="005A1CE4">
        <w:rPr>
          <w:rStyle w:val="Nadruk"/>
          <w:i w:val="0"/>
          <w:lang w:val="en-US"/>
        </w:rPr>
        <w:t>,</w:t>
      </w:r>
      <w:r w:rsidR="00642624">
        <w:rPr>
          <w:rStyle w:val="Nadruk"/>
          <w:i w:val="0"/>
          <w:lang w:val="en-US"/>
        </w:rPr>
        <w:t xml:space="preserve"> start opposing these deals </w:t>
      </w:r>
      <w:r w:rsidR="00494217">
        <w:rPr>
          <w:rStyle w:val="Nadruk"/>
          <w:i w:val="0"/>
          <w:lang w:val="en-US"/>
        </w:rPr>
        <w:t>fiercely</w:t>
      </w:r>
      <w:r w:rsidR="00642624">
        <w:rPr>
          <w:rStyle w:val="Nadruk"/>
          <w:i w:val="0"/>
          <w:lang w:val="en-US"/>
        </w:rPr>
        <w:t xml:space="preserve"> from within the </w:t>
      </w:r>
      <w:r w:rsidR="005A1CE4">
        <w:rPr>
          <w:rStyle w:val="Nadruk"/>
          <w:i w:val="0"/>
          <w:lang w:val="en-US"/>
        </w:rPr>
        <w:t>parliaments,</w:t>
      </w:r>
      <w:r w:rsidR="008D2A82">
        <w:rPr>
          <w:rStyle w:val="Nadruk"/>
          <w:i w:val="0"/>
          <w:lang w:val="en-US"/>
        </w:rPr>
        <w:t xml:space="preserve"> </w:t>
      </w:r>
      <w:r w:rsidR="00642624">
        <w:rPr>
          <w:rStyle w:val="Nadruk"/>
          <w:i w:val="0"/>
          <w:lang w:val="en-US"/>
        </w:rPr>
        <w:t xml:space="preserve">were all part of the Walloon government when </w:t>
      </w:r>
      <w:r w:rsidR="00F449DF">
        <w:rPr>
          <w:rStyle w:val="Nadruk"/>
          <w:i w:val="0"/>
          <w:lang w:val="en-US"/>
        </w:rPr>
        <w:t>CETA</w:t>
      </w:r>
      <w:r w:rsidR="00C80CC7">
        <w:rPr>
          <w:rStyle w:val="Nadruk"/>
          <w:i w:val="0"/>
          <w:lang w:val="en-US"/>
        </w:rPr>
        <w:t xml:space="preserve"> was mandated and concluded</w:t>
      </w:r>
      <w:r w:rsidR="00A63764">
        <w:rPr>
          <w:rStyle w:val="Nadruk"/>
          <w:i w:val="0"/>
          <w:lang w:val="en-US"/>
        </w:rPr>
        <w:t xml:space="preserve">, as was the </w:t>
      </w:r>
      <w:proofErr w:type="spellStart"/>
      <w:r w:rsidR="00B13619">
        <w:rPr>
          <w:rStyle w:val="Nadruk"/>
          <w:i w:val="0"/>
          <w:lang w:val="en-US"/>
        </w:rPr>
        <w:t>sp</w:t>
      </w:r>
      <w:r w:rsidR="00A63764">
        <w:rPr>
          <w:rStyle w:val="Nadruk"/>
          <w:i w:val="0"/>
          <w:lang w:val="en-US"/>
        </w:rPr>
        <w:t>.</w:t>
      </w:r>
      <w:r w:rsidR="00B13619">
        <w:rPr>
          <w:rStyle w:val="Nadruk"/>
          <w:i w:val="0"/>
          <w:lang w:val="en-US"/>
        </w:rPr>
        <w:t>a</w:t>
      </w:r>
      <w:proofErr w:type="spellEnd"/>
      <w:r w:rsidR="008D2A82">
        <w:rPr>
          <w:rStyle w:val="Nadruk"/>
          <w:i w:val="0"/>
          <w:lang w:val="en-US"/>
        </w:rPr>
        <w:t xml:space="preserve"> in Flanders</w:t>
      </w:r>
      <w:r w:rsidR="00B13619">
        <w:rPr>
          <w:rStyle w:val="Nadruk"/>
          <w:i w:val="0"/>
          <w:lang w:val="en-US"/>
        </w:rPr>
        <w:t xml:space="preserve"> and the PS, </w:t>
      </w:r>
      <w:proofErr w:type="spellStart"/>
      <w:r w:rsidR="00B13619">
        <w:rPr>
          <w:rStyle w:val="Nadruk"/>
          <w:i w:val="0"/>
          <w:lang w:val="en-US"/>
        </w:rPr>
        <w:t>cdH</w:t>
      </w:r>
      <w:proofErr w:type="spellEnd"/>
      <w:r w:rsidR="00B13619">
        <w:rPr>
          <w:rStyle w:val="Nadruk"/>
          <w:i w:val="0"/>
          <w:lang w:val="en-US"/>
        </w:rPr>
        <w:t xml:space="preserve"> and the </w:t>
      </w:r>
      <w:proofErr w:type="spellStart"/>
      <w:r w:rsidR="00B13619">
        <w:rPr>
          <w:rStyle w:val="Nadruk"/>
          <w:i w:val="0"/>
          <w:lang w:val="en-US"/>
        </w:rPr>
        <w:t>sp.a</w:t>
      </w:r>
      <w:proofErr w:type="spellEnd"/>
      <w:r w:rsidR="00B13619">
        <w:rPr>
          <w:rStyle w:val="Nadruk"/>
          <w:i w:val="0"/>
          <w:lang w:val="en-US"/>
        </w:rPr>
        <w:t xml:space="preserve"> at the federal level</w:t>
      </w:r>
      <w:r w:rsidR="00C80CC7">
        <w:rPr>
          <w:rStyle w:val="Nadruk"/>
          <w:i w:val="0"/>
          <w:lang w:val="en-US"/>
        </w:rPr>
        <w:t xml:space="preserve">. </w:t>
      </w:r>
    </w:p>
    <w:p w14:paraId="1638328B" w14:textId="2E590992" w:rsidR="00926398" w:rsidRPr="00223DC7" w:rsidRDefault="00223DC7" w:rsidP="009074F5">
      <w:pPr>
        <w:tabs>
          <w:tab w:val="left" w:pos="6159"/>
        </w:tabs>
        <w:spacing w:line="276" w:lineRule="auto"/>
        <w:jc w:val="both"/>
        <w:rPr>
          <w:b/>
          <w:lang w:val="en-US"/>
        </w:rPr>
      </w:pPr>
      <w:r w:rsidRPr="00223DC7">
        <w:rPr>
          <w:b/>
          <w:lang w:val="en-US"/>
        </w:rPr>
        <w:tab/>
      </w:r>
    </w:p>
    <w:p w14:paraId="0EEE0CC3" w14:textId="3A0DBC76" w:rsidR="00926398" w:rsidRDefault="00926398" w:rsidP="009074F5">
      <w:pPr>
        <w:spacing w:line="276" w:lineRule="auto"/>
        <w:jc w:val="both"/>
        <w:rPr>
          <w:lang w:val="en-GB"/>
        </w:rPr>
      </w:pPr>
      <w:r w:rsidRPr="00223DC7">
        <w:rPr>
          <w:lang w:val="en-GB"/>
        </w:rPr>
        <w:t xml:space="preserve">It is clear however, that there have been pronounced regional differences in the attention for, mobilisation and </w:t>
      </w:r>
      <w:r w:rsidR="00F25696">
        <w:rPr>
          <w:lang w:val="en-GB"/>
        </w:rPr>
        <w:t>parliamentary</w:t>
      </w:r>
      <w:r w:rsidRPr="00223DC7">
        <w:rPr>
          <w:lang w:val="en-GB"/>
        </w:rPr>
        <w:t xml:space="preserve"> activity on TTIP and CETA</w:t>
      </w:r>
      <w:r w:rsidRPr="00BF4F20">
        <w:rPr>
          <w:b/>
          <w:lang w:val="en-GB"/>
        </w:rPr>
        <w:t>.</w:t>
      </w:r>
      <w:r>
        <w:rPr>
          <w:lang w:val="en-GB"/>
        </w:rPr>
        <w:t xml:space="preserve"> In almost all of the Belgian organisations that have been mobilizing against TTIP, the ‘southern’ wings were first to become active and have remained most vocal</w:t>
      </w:r>
      <w:r w:rsidR="00FC4B19">
        <w:rPr>
          <w:lang w:val="en-GB"/>
        </w:rPr>
        <w:t xml:space="preserve"> (</w:t>
      </w:r>
      <w:r w:rsidR="00FC4B19" w:rsidRPr="00BD4CDB">
        <w:rPr>
          <w:lang w:val="en-GB"/>
        </w:rPr>
        <w:t>interviews</w:t>
      </w:r>
      <w:r w:rsidR="00BD4CDB" w:rsidRPr="00BD4CDB">
        <w:rPr>
          <w:lang w:val="en-GB"/>
        </w:rPr>
        <w:t xml:space="preserve"> </w:t>
      </w:r>
      <w:proofErr w:type="gramStart"/>
      <w:r w:rsidR="00BD4CDB" w:rsidRPr="00BD4CDB">
        <w:rPr>
          <w:lang w:val="en-GB"/>
        </w:rPr>
        <w:t>8 ,</w:t>
      </w:r>
      <w:proofErr w:type="gramEnd"/>
      <w:r w:rsidR="00BD4CDB" w:rsidRPr="00BD4CDB">
        <w:rPr>
          <w:lang w:val="en-GB"/>
        </w:rPr>
        <w:t xml:space="preserve"> 11, 14 </w:t>
      </w:r>
      <w:r w:rsidR="00FC4B19" w:rsidRPr="00BD4CDB">
        <w:rPr>
          <w:lang w:val="en-GB"/>
        </w:rPr>
        <w:t>)</w:t>
      </w:r>
      <w:r w:rsidRPr="00BD4CDB">
        <w:rPr>
          <w:lang w:val="en-GB"/>
        </w:rPr>
        <w:t>.</w:t>
      </w:r>
      <w:r>
        <w:rPr>
          <w:lang w:val="en-GB"/>
        </w:rPr>
        <w:t xml:space="preserve"> This has been translated in the political salience of the issue as well. Not only have we seen a much larger number of municipalities declare themselves ‘TTIP-free’ in the south of the country</w:t>
      </w:r>
      <w:r w:rsidR="00F974D4">
        <w:rPr>
          <w:rStyle w:val="Voetnootmarkering"/>
          <w:lang w:val="en-GB"/>
        </w:rPr>
        <w:footnoteReference w:id="14"/>
      </w:r>
      <w:r>
        <w:rPr>
          <w:lang w:val="en-GB"/>
        </w:rPr>
        <w:t>, but we have also seen much earlier and more intense attention in the Walloon and Federal Parliament</w:t>
      </w:r>
      <w:r w:rsidR="00906143">
        <w:rPr>
          <w:rStyle w:val="Voetnootmarkering"/>
          <w:lang w:val="en-GB"/>
        </w:rPr>
        <w:footnoteReference w:id="15"/>
      </w:r>
      <w:r>
        <w:rPr>
          <w:lang w:val="en-GB"/>
        </w:rPr>
        <w:t xml:space="preserve">. </w:t>
      </w:r>
    </w:p>
    <w:p w14:paraId="34D1EE0E" w14:textId="1A7841BC" w:rsidR="00926398" w:rsidRPr="00C80CC7" w:rsidRDefault="00926398" w:rsidP="009074F5">
      <w:pPr>
        <w:spacing w:line="276" w:lineRule="auto"/>
        <w:jc w:val="both"/>
        <w:rPr>
          <w:lang w:val="en-US"/>
        </w:rPr>
      </w:pPr>
    </w:p>
    <w:p w14:paraId="5E965B6B" w14:textId="4A01D0B7" w:rsidR="00256984" w:rsidRPr="004A234D" w:rsidRDefault="006170CE" w:rsidP="009074F5">
      <w:pPr>
        <w:spacing w:line="276" w:lineRule="auto"/>
        <w:jc w:val="both"/>
        <w:rPr>
          <w:lang w:val="en-GB"/>
        </w:rPr>
      </w:pPr>
      <w:r w:rsidRPr="00223DC7">
        <w:rPr>
          <w:lang w:val="en-US"/>
        </w:rPr>
        <w:t xml:space="preserve">Meanwhile, the </w:t>
      </w:r>
      <w:r w:rsidR="00223DC7" w:rsidRPr="00223DC7">
        <w:rPr>
          <w:lang w:val="en-US"/>
        </w:rPr>
        <w:t>supporters</w:t>
      </w:r>
      <w:r w:rsidRPr="00223DC7">
        <w:rPr>
          <w:lang w:val="en-US"/>
        </w:rPr>
        <w:t xml:space="preserve"> of the trade agreements were caught off guard</w:t>
      </w:r>
      <w:r w:rsidR="00256984" w:rsidRPr="00223DC7">
        <w:rPr>
          <w:lang w:val="en-US"/>
        </w:rPr>
        <w:t xml:space="preserve"> </w:t>
      </w:r>
      <w:r w:rsidR="00223DC7">
        <w:rPr>
          <w:lang w:val="en-US"/>
        </w:rPr>
        <w:t>a</w:t>
      </w:r>
      <w:r w:rsidRPr="00223DC7">
        <w:rPr>
          <w:lang w:val="en-US"/>
        </w:rPr>
        <w:t>nd failed to develop a coherent block</w:t>
      </w:r>
      <w:r w:rsidR="00FC4B19">
        <w:rPr>
          <w:lang w:val="en-US"/>
        </w:rPr>
        <w:t xml:space="preserve"> (</w:t>
      </w:r>
      <w:r w:rsidR="002C5751">
        <w:rPr>
          <w:lang w:val="en-US"/>
        </w:rPr>
        <w:t>interviews 9 &amp; 15)</w:t>
      </w:r>
      <w:r w:rsidR="00256984" w:rsidRPr="00223DC7">
        <w:rPr>
          <w:lang w:val="en-US"/>
        </w:rPr>
        <w:t>. In Wallonia, for example, t</w:t>
      </w:r>
      <w:r w:rsidR="00256984" w:rsidRPr="00223DC7">
        <w:rPr>
          <w:lang w:val="en-GB"/>
        </w:rPr>
        <w:t xml:space="preserve">he general business federation, </w:t>
      </w:r>
      <w:proofErr w:type="spellStart"/>
      <w:r w:rsidR="00256984" w:rsidRPr="00223DC7">
        <w:rPr>
          <w:i/>
          <w:lang w:val="en-GB"/>
        </w:rPr>
        <w:t>l’Union</w:t>
      </w:r>
      <w:proofErr w:type="spellEnd"/>
      <w:r w:rsidR="00256984" w:rsidRPr="00223DC7">
        <w:rPr>
          <w:i/>
          <w:lang w:val="en-GB"/>
        </w:rPr>
        <w:t xml:space="preserve"> </w:t>
      </w:r>
      <w:proofErr w:type="spellStart"/>
      <w:r w:rsidR="00256984" w:rsidRPr="00223DC7">
        <w:rPr>
          <w:i/>
          <w:lang w:val="en-GB"/>
        </w:rPr>
        <w:t>Wallonne</w:t>
      </w:r>
      <w:proofErr w:type="spellEnd"/>
      <w:r w:rsidR="00256984" w:rsidRPr="00223DC7">
        <w:rPr>
          <w:i/>
          <w:lang w:val="en-GB"/>
        </w:rPr>
        <w:t xml:space="preserve"> des </w:t>
      </w:r>
      <w:proofErr w:type="spellStart"/>
      <w:r w:rsidR="00256984" w:rsidRPr="00223DC7">
        <w:rPr>
          <w:i/>
          <w:lang w:val="en-GB"/>
        </w:rPr>
        <w:t>Entreprise</w:t>
      </w:r>
      <w:proofErr w:type="spellEnd"/>
      <w:r w:rsidR="00256984" w:rsidRPr="00223DC7">
        <w:rPr>
          <w:lang w:val="en-GB"/>
        </w:rPr>
        <w:t xml:space="preserve"> (UWE), supported both deals, but mustered little in terms</w:t>
      </w:r>
      <w:r w:rsidR="00256984">
        <w:rPr>
          <w:lang w:val="en-GB"/>
        </w:rPr>
        <w:t xml:space="preserve"> of actual </w:t>
      </w:r>
      <w:r w:rsidR="00E003AE">
        <w:rPr>
          <w:lang w:val="en-GB"/>
        </w:rPr>
        <w:t>impact</w:t>
      </w:r>
      <w:r w:rsidR="00256984">
        <w:rPr>
          <w:lang w:val="en-GB"/>
        </w:rPr>
        <w:t>. Their earliest public remarks</w:t>
      </w:r>
      <w:r w:rsidR="00F807F5">
        <w:rPr>
          <w:lang w:val="en-GB"/>
        </w:rPr>
        <w:t xml:space="preserve"> </w:t>
      </w:r>
      <w:r w:rsidR="00256984">
        <w:rPr>
          <w:lang w:val="en-GB"/>
        </w:rPr>
        <w:t>about CETA</w:t>
      </w:r>
      <w:r w:rsidR="00E003AE">
        <w:rPr>
          <w:lang w:val="en-GB"/>
        </w:rPr>
        <w:t xml:space="preserve"> date</w:t>
      </w:r>
      <w:r w:rsidR="00256984">
        <w:rPr>
          <w:lang w:val="en-GB"/>
        </w:rPr>
        <w:t xml:space="preserve"> from April 2016, around the time of the </w:t>
      </w:r>
      <w:r w:rsidR="00E003AE">
        <w:rPr>
          <w:lang w:val="en-GB"/>
        </w:rPr>
        <w:t xml:space="preserve">Walloon </w:t>
      </w:r>
      <w:r w:rsidR="00256984">
        <w:rPr>
          <w:lang w:val="en-GB"/>
        </w:rPr>
        <w:t>Parliaments’ resolution, and in an interview they acknowledged that they were not putting much effort in turning the tide. Meanwhile, the employers’ federation for the SMEs (almost 70% of Walloon employment) came out against the deals</w:t>
      </w:r>
      <w:r w:rsidR="00256984">
        <w:rPr>
          <w:rStyle w:val="Voetnootmarkering"/>
          <w:lang w:val="en-GB"/>
        </w:rPr>
        <w:footnoteReference w:id="16"/>
      </w:r>
      <w:r w:rsidR="00256984">
        <w:rPr>
          <w:lang w:val="en-GB"/>
        </w:rPr>
        <w:t xml:space="preserve">, as did </w:t>
      </w:r>
      <w:r w:rsidR="00256984" w:rsidRPr="00242ED7">
        <w:rPr>
          <w:lang w:val="en-US"/>
        </w:rPr>
        <w:t xml:space="preserve">Wallonia’s main farmers’ federation, </w:t>
      </w:r>
      <w:r w:rsidR="00256984" w:rsidRPr="00242ED7">
        <w:rPr>
          <w:i/>
          <w:lang w:val="en-US"/>
        </w:rPr>
        <w:t xml:space="preserve">le </w:t>
      </w:r>
      <w:proofErr w:type="spellStart"/>
      <w:r w:rsidR="00256984" w:rsidRPr="00242ED7">
        <w:rPr>
          <w:i/>
          <w:lang w:val="en-US"/>
        </w:rPr>
        <w:t>Fédération</w:t>
      </w:r>
      <w:proofErr w:type="spellEnd"/>
      <w:r w:rsidR="00256984" w:rsidRPr="00242ED7">
        <w:rPr>
          <w:i/>
          <w:lang w:val="en-US"/>
        </w:rPr>
        <w:t xml:space="preserve"> </w:t>
      </w:r>
      <w:proofErr w:type="spellStart"/>
      <w:r w:rsidR="00256984" w:rsidRPr="00242ED7">
        <w:rPr>
          <w:i/>
          <w:lang w:val="en-US"/>
        </w:rPr>
        <w:t>Wallonne</w:t>
      </w:r>
      <w:proofErr w:type="spellEnd"/>
      <w:r w:rsidR="00256984" w:rsidRPr="00242ED7">
        <w:rPr>
          <w:i/>
          <w:lang w:val="en-US"/>
        </w:rPr>
        <w:t xml:space="preserve"> de </w:t>
      </w:r>
      <w:proofErr w:type="spellStart"/>
      <w:r w:rsidR="00256984" w:rsidRPr="00242ED7">
        <w:rPr>
          <w:i/>
          <w:lang w:val="en-US"/>
        </w:rPr>
        <w:t>l’Agriculture</w:t>
      </w:r>
      <w:proofErr w:type="spellEnd"/>
      <w:r w:rsidR="00256984" w:rsidRPr="00242ED7">
        <w:rPr>
          <w:i/>
          <w:lang w:val="en-US"/>
        </w:rPr>
        <w:t xml:space="preserve"> (FWA</w:t>
      </w:r>
      <w:r w:rsidR="00256984">
        <w:rPr>
          <w:i/>
          <w:lang w:val="en-US"/>
        </w:rPr>
        <w:t xml:space="preserve">) </w:t>
      </w:r>
      <w:r w:rsidR="00256984">
        <w:rPr>
          <w:lang w:val="en-US"/>
        </w:rPr>
        <w:t xml:space="preserve">for a variety of reasons related to beef quota, normative and regulatory issues, and geographical indicators </w:t>
      </w:r>
      <w:r w:rsidR="00256984">
        <w:fldChar w:fldCharType="begin" w:fldLock="1"/>
      </w:r>
      <w:r w:rsidR="004531A8">
        <w:rPr>
          <w:lang w:val="en-US"/>
        </w:rPr>
        <w:instrText>ADDIN CSL_CITATION { "citationItems" : [ { "id" : "ITEM-1", "itemData" : { "author" : [ { "dropping-particle" : "", "family" : "FWA", "given" : "", "non-dropping-particle" : "", "parse-names" : false, "suffix" : "" } ], "id" : "ITEM-1", "issued" : { "date-parts" : [ [ "2016" ] ] }, "title" : "FWA CETA", "type" : "article" }, "uris" : [ "http://www.mendeley.com/documents/?uuid=c2cd0106-d3eb-4897-8497-c9e907f247a9" ] } ], "mendeley" : { "formattedCitation" : "(FWA, 2016)", "plainTextFormattedCitation" : "(FWA, 2016)", "previouslyFormattedCitation" : "(FWA, 2016)" }, "properties" : { "noteIndex" : 0 }, "schema" : "https://github.com/citation-style-language/schema/raw/master/csl-citation.json" }</w:instrText>
      </w:r>
      <w:r w:rsidR="00256984">
        <w:fldChar w:fldCharType="separate"/>
      </w:r>
      <w:r w:rsidR="003E31F0" w:rsidRPr="003E31F0">
        <w:rPr>
          <w:noProof/>
          <w:lang w:val="en-US"/>
        </w:rPr>
        <w:t>(FWA, 2016)</w:t>
      </w:r>
      <w:r w:rsidR="00256984">
        <w:fldChar w:fldCharType="end"/>
      </w:r>
      <w:r w:rsidR="00256984" w:rsidRPr="004A234D">
        <w:rPr>
          <w:lang w:val="en-US"/>
        </w:rPr>
        <w:t xml:space="preserve">. </w:t>
      </w:r>
      <w:r w:rsidR="00F55CC4">
        <w:rPr>
          <w:lang w:val="en-US"/>
        </w:rPr>
        <w:t xml:space="preserve">Again this differed from the situation in Flanders, as Flemish business was more united in </w:t>
      </w:r>
      <w:r w:rsidR="00F55CC4">
        <w:rPr>
          <w:lang w:val="en-GB"/>
        </w:rPr>
        <w:t>its approval of the negotiations.  Here, representatives of farmers, SMEs and business in general all openly supported TTIP and CETA</w:t>
      </w:r>
      <w:r w:rsidR="00BD4CDB">
        <w:rPr>
          <w:lang w:val="en-GB"/>
        </w:rPr>
        <w:t xml:space="preserve"> (interviews 15, 19, 20)</w:t>
      </w:r>
      <w:r w:rsidR="00F55CC4">
        <w:rPr>
          <w:lang w:val="en-GB"/>
        </w:rPr>
        <w:t xml:space="preserve">. </w:t>
      </w:r>
    </w:p>
    <w:p w14:paraId="335A3FA0" w14:textId="77777777" w:rsidR="001210D4" w:rsidRDefault="001210D4" w:rsidP="009074F5">
      <w:pPr>
        <w:tabs>
          <w:tab w:val="left" w:pos="8367"/>
        </w:tabs>
        <w:spacing w:line="276" w:lineRule="auto"/>
        <w:jc w:val="both"/>
        <w:rPr>
          <w:lang w:val="en-US"/>
        </w:rPr>
      </w:pPr>
    </w:p>
    <w:p w14:paraId="65A01080" w14:textId="0018C61B" w:rsidR="004F6470" w:rsidRPr="004531A8" w:rsidRDefault="002B41E0" w:rsidP="009074F5">
      <w:pPr>
        <w:pStyle w:val="Kop3"/>
        <w:spacing w:line="276" w:lineRule="auto"/>
        <w:rPr>
          <w:lang w:val="en-US"/>
        </w:rPr>
      </w:pPr>
      <w:r>
        <w:rPr>
          <w:lang w:val="en-US"/>
        </w:rPr>
        <w:t xml:space="preserve">4.2.3. </w:t>
      </w:r>
      <w:r w:rsidR="004F6470" w:rsidRPr="004531A8">
        <w:rPr>
          <w:lang w:val="en-US"/>
        </w:rPr>
        <w:t>Party Politics, Institutions and People</w:t>
      </w:r>
    </w:p>
    <w:p w14:paraId="399E5400" w14:textId="77777777" w:rsidR="004F6470" w:rsidRDefault="004F6470" w:rsidP="009074F5">
      <w:pPr>
        <w:spacing w:line="276" w:lineRule="auto"/>
        <w:jc w:val="both"/>
        <w:rPr>
          <w:i/>
          <w:lang w:val="en-GB"/>
        </w:rPr>
      </w:pPr>
    </w:p>
    <w:p w14:paraId="0E10B617" w14:textId="7718970C" w:rsidR="00D045A2" w:rsidRDefault="00106A1D" w:rsidP="009074F5">
      <w:pPr>
        <w:spacing w:line="276" w:lineRule="auto"/>
        <w:jc w:val="both"/>
        <w:rPr>
          <w:lang w:val="en-US"/>
        </w:rPr>
      </w:pPr>
      <w:r>
        <w:rPr>
          <w:lang w:val="en-US"/>
        </w:rPr>
        <w:lastRenderedPageBreak/>
        <w:t>T</w:t>
      </w:r>
      <w:r w:rsidR="000C5A7B">
        <w:rPr>
          <w:lang w:val="en-US"/>
        </w:rPr>
        <w:t>here are</w:t>
      </w:r>
      <w:r>
        <w:rPr>
          <w:lang w:val="en-US"/>
        </w:rPr>
        <w:t xml:space="preserve"> of course also</w:t>
      </w:r>
      <w:r w:rsidR="000C5A7B">
        <w:rPr>
          <w:lang w:val="en-US"/>
        </w:rPr>
        <w:t xml:space="preserve"> some specific institutional and party-political dynamics at play.</w:t>
      </w:r>
      <w:r w:rsidR="00D045A2">
        <w:rPr>
          <w:lang w:val="en-US"/>
        </w:rPr>
        <w:t xml:space="preserve"> </w:t>
      </w:r>
      <w:r w:rsidR="002B41E0">
        <w:rPr>
          <w:lang w:val="en-US"/>
        </w:rPr>
        <w:t>O</w:t>
      </w:r>
      <w:r w:rsidR="00223DC7">
        <w:rPr>
          <w:lang w:val="en-US"/>
        </w:rPr>
        <w:t>ne somewhat idiosyncratic</w:t>
      </w:r>
      <w:r w:rsidR="004F6470" w:rsidRPr="00242ED7">
        <w:rPr>
          <w:lang w:val="en-US"/>
        </w:rPr>
        <w:t xml:space="preserve"> reason that these debates have rec</w:t>
      </w:r>
      <w:r w:rsidR="004F6470">
        <w:rPr>
          <w:lang w:val="en-US"/>
        </w:rPr>
        <w:t>ei</w:t>
      </w:r>
      <w:r w:rsidR="004F6470" w:rsidRPr="00242ED7">
        <w:rPr>
          <w:lang w:val="en-US"/>
        </w:rPr>
        <w:t xml:space="preserve">ved </w:t>
      </w:r>
      <w:r w:rsidR="004F6470">
        <w:rPr>
          <w:lang w:val="en-US"/>
        </w:rPr>
        <w:t>this kind of</w:t>
      </w:r>
      <w:r w:rsidR="004F6470" w:rsidRPr="00242ED7">
        <w:rPr>
          <w:lang w:val="en-US"/>
        </w:rPr>
        <w:t xml:space="preserve"> attention</w:t>
      </w:r>
      <w:r w:rsidR="004F6470">
        <w:rPr>
          <w:lang w:val="en-US"/>
        </w:rPr>
        <w:t xml:space="preserve"> even</w:t>
      </w:r>
      <w:r w:rsidR="004F6470" w:rsidRPr="00242ED7">
        <w:rPr>
          <w:lang w:val="en-US"/>
        </w:rPr>
        <w:t xml:space="preserve"> in the Flemish </w:t>
      </w:r>
      <w:r w:rsidR="00FD2FFF">
        <w:rPr>
          <w:lang w:val="en-US"/>
        </w:rPr>
        <w:t>Parliament</w:t>
      </w:r>
      <w:r w:rsidR="004F6470" w:rsidRPr="00242ED7">
        <w:rPr>
          <w:lang w:val="en-US"/>
        </w:rPr>
        <w:t xml:space="preserve"> has to do with an intra-</w:t>
      </w:r>
      <w:r w:rsidR="00F25696">
        <w:rPr>
          <w:lang w:val="en-US"/>
        </w:rPr>
        <w:t>parliamentary</w:t>
      </w:r>
      <w:r w:rsidR="004F6470" w:rsidRPr="00242ED7">
        <w:rPr>
          <w:lang w:val="en-US"/>
        </w:rPr>
        <w:t xml:space="preserve"> development: the rejuvenation of </w:t>
      </w:r>
      <w:r w:rsidR="004F6470" w:rsidRPr="00223DC7">
        <w:rPr>
          <w:lang w:val="en-US"/>
        </w:rPr>
        <w:t>the commission for EU affairs</w:t>
      </w:r>
      <w:r w:rsidR="004F6470" w:rsidRPr="00242ED7">
        <w:rPr>
          <w:lang w:val="en-US"/>
        </w:rPr>
        <w:t xml:space="preserve"> under chairman </w:t>
      </w:r>
      <w:proofErr w:type="spellStart"/>
      <w:r w:rsidR="004F6470" w:rsidRPr="00242ED7">
        <w:rPr>
          <w:lang w:val="en-US"/>
        </w:rPr>
        <w:t>Rik</w:t>
      </w:r>
      <w:proofErr w:type="spellEnd"/>
      <w:r w:rsidR="004F6470" w:rsidRPr="00242ED7">
        <w:rPr>
          <w:lang w:val="en-US"/>
        </w:rPr>
        <w:t xml:space="preserve"> </w:t>
      </w:r>
      <w:proofErr w:type="spellStart"/>
      <w:r w:rsidR="004F6470" w:rsidRPr="00242ED7">
        <w:rPr>
          <w:lang w:val="en-US"/>
        </w:rPr>
        <w:t>Daems</w:t>
      </w:r>
      <w:proofErr w:type="spellEnd"/>
      <w:r w:rsidR="004F6470" w:rsidRPr="00242ED7">
        <w:rPr>
          <w:lang w:val="en-US"/>
        </w:rPr>
        <w:t xml:space="preserve">, and the latter’s willingness to make room for in-depth debates on foreign economic policy. This allowed the committee members to build the requisite expertise, which in turn stimulated discussions. </w:t>
      </w:r>
      <w:r w:rsidR="00E676EB">
        <w:rPr>
          <w:lang w:val="en-US"/>
        </w:rPr>
        <w:t>As we saw before, this was to some extent also true of the Walloon committee, which decided in 2014 to be more vigilant about trade negotiations in particular</w:t>
      </w:r>
      <w:r w:rsidR="00FC4B19">
        <w:rPr>
          <w:lang w:val="en-US"/>
        </w:rPr>
        <w:t xml:space="preserve"> (</w:t>
      </w:r>
      <w:r w:rsidR="00BD4CDB">
        <w:rPr>
          <w:lang w:val="en-US"/>
        </w:rPr>
        <w:t>interview 2).</w:t>
      </w:r>
      <w:r w:rsidR="00E676EB">
        <w:rPr>
          <w:lang w:val="en-US"/>
        </w:rPr>
        <w:t xml:space="preserve"> </w:t>
      </w:r>
    </w:p>
    <w:p w14:paraId="0B674D12" w14:textId="77777777" w:rsidR="00D045A2" w:rsidRDefault="00D045A2" w:rsidP="009074F5">
      <w:pPr>
        <w:spacing w:line="276" w:lineRule="auto"/>
        <w:jc w:val="both"/>
        <w:rPr>
          <w:lang w:val="en-US"/>
        </w:rPr>
      </w:pPr>
    </w:p>
    <w:p w14:paraId="02C246AE" w14:textId="741B567D" w:rsidR="00BB2DF8" w:rsidRDefault="00D045A2" w:rsidP="009074F5">
      <w:pPr>
        <w:spacing w:line="276" w:lineRule="auto"/>
        <w:jc w:val="both"/>
        <w:rPr>
          <w:lang w:val="en-US"/>
        </w:rPr>
      </w:pPr>
      <w:r>
        <w:rPr>
          <w:lang w:val="en-US"/>
        </w:rPr>
        <w:t>Finally, we must take into account the Belgian institutiona</w:t>
      </w:r>
      <w:r w:rsidR="00A047AB">
        <w:rPr>
          <w:lang w:val="en-US"/>
        </w:rPr>
        <w:t xml:space="preserve">l and party-political setting. Notably, </w:t>
      </w:r>
      <w:proofErr w:type="gramStart"/>
      <w:r w:rsidR="00A047AB">
        <w:rPr>
          <w:lang w:val="en-US"/>
        </w:rPr>
        <w:t>the fact that the PS has been p</w:t>
      </w:r>
      <w:r w:rsidR="00106A1D">
        <w:rPr>
          <w:lang w:val="en-US"/>
        </w:rPr>
        <w:t>art of the Walloon but not the Federal G</w:t>
      </w:r>
      <w:r w:rsidR="00A047AB">
        <w:rPr>
          <w:lang w:val="en-US"/>
        </w:rPr>
        <w:t>overnment is seen by many as an important factor</w:t>
      </w:r>
      <w:proofErr w:type="gramEnd"/>
      <w:r w:rsidR="00A047AB">
        <w:rPr>
          <w:lang w:val="en-US"/>
        </w:rPr>
        <w:t xml:space="preserve"> in this party’s activism on the trade front. </w:t>
      </w:r>
      <w:proofErr w:type="spellStart"/>
      <w:r w:rsidR="00A047AB">
        <w:rPr>
          <w:lang w:val="en-US"/>
        </w:rPr>
        <w:t>Magnette’s</w:t>
      </w:r>
      <w:proofErr w:type="spellEnd"/>
      <w:r w:rsidR="00A047AB">
        <w:rPr>
          <w:lang w:val="en-US"/>
        </w:rPr>
        <w:t xml:space="preserve"> refusal to sign CETA was </w:t>
      </w:r>
      <w:r w:rsidR="00C04062">
        <w:rPr>
          <w:lang w:val="en-US"/>
        </w:rPr>
        <w:t>perceived</w:t>
      </w:r>
      <w:r w:rsidR="00A047AB">
        <w:rPr>
          <w:lang w:val="en-US"/>
        </w:rPr>
        <w:t xml:space="preserve"> as a way </w:t>
      </w:r>
      <w:proofErr w:type="gramStart"/>
      <w:r w:rsidR="00A047AB">
        <w:rPr>
          <w:lang w:val="en-US"/>
        </w:rPr>
        <w:t>to both sabotage the federal government (in which the liberal MR is the only Walloon party) while simultaneously strengthening its profile vis-à</w:t>
      </w:r>
      <w:r w:rsidR="00106A1D">
        <w:rPr>
          <w:lang w:val="en-US"/>
        </w:rPr>
        <w:t>-vis the communist PTB that had</w:t>
      </w:r>
      <w:r w:rsidR="00A047AB">
        <w:rPr>
          <w:lang w:val="en-US"/>
        </w:rPr>
        <w:t xml:space="preserve"> been searing in the polls</w:t>
      </w:r>
      <w:proofErr w:type="gramEnd"/>
      <w:r w:rsidR="00A047AB">
        <w:rPr>
          <w:lang w:val="en-US"/>
        </w:rPr>
        <w:t xml:space="preserve">. </w:t>
      </w:r>
      <w:r w:rsidR="00C04062">
        <w:rPr>
          <w:lang w:val="en-US"/>
        </w:rPr>
        <w:t xml:space="preserve">Had the PS been present in the federal government, the party’s stance may have been less confrontational, and this may have also dampened the enthusiasm of its MPs. This counterfactual is of course hard to assess. </w:t>
      </w:r>
      <w:r w:rsidR="00C04062" w:rsidRPr="00C04062">
        <w:rPr>
          <w:lang w:val="en-US"/>
        </w:rPr>
        <w:t>To some extent it seems like a plausible narrative, especially at the governmental</w:t>
      </w:r>
      <w:r w:rsidR="00106A1D">
        <w:rPr>
          <w:lang w:val="en-US"/>
        </w:rPr>
        <w:t xml:space="preserve"> level. Had the PS been in the Federal G</w:t>
      </w:r>
      <w:r w:rsidR="00C04062" w:rsidRPr="00C04062">
        <w:rPr>
          <w:lang w:val="en-US"/>
        </w:rPr>
        <w:t xml:space="preserve">overnment, we would probably not have seen the kind of </w:t>
      </w:r>
      <w:r w:rsidR="00161802">
        <w:rPr>
          <w:lang w:val="en-US"/>
        </w:rPr>
        <w:t>tightrope</w:t>
      </w:r>
      <w:r w:rsidR="00C04062" w:rsidRPr="00C04062">
        <w:rPr>
          <w:lang w:val="en-US"/>
        </w:rPr>
        <w:t xml:space="preserve"> politics that we now witnessed in October 2016. </w:t>
      </w:r>
      <w:r w:rsidR="00C04062">
        <w:rPr>
          <w:lang w:val="en-US"/>
        </w:rPr>
        <w:t>T</w:t>
      </w:r>
      <w:r w:rsidR="00C04062" w:rsidRPr="00C04062">
        <w:rPr>
          <w:lang w:val="en-US"/>
        </w:rPr>
        <w:t xml:space="preserve">he conflict </w:t>
      </w:r>
      <w:r w:rsidR="00C04062">
        <w:rPr>
          <w:lang w:val="en-US"/>
        </w:rPr>
        <w:t xml:space="preserve">would </w:t>
      </w:r>
      <w:r w:rsidR="00C04062" w:rsidRPr="00C04062">
        <w:rPr>
          <w:lang w:val="en-US"/>
        </w:rPr>
        <w:t>have been resolved within the coalition</w:t>
      </w:r>
      <w:r w:rsidR="00C04062">
        <w:rPr>
          <w:lang w:val="en-US"/>
        </w:rPr>
        <w:t>, unless the PS was willing to threaten the cabinet’s survival over trade. However, it seems plausible that the difference would have been one of degrees and not kind</w:t>
      </w:r>
      <w:r w:rsidR="004366E9">
        <w:rPr>
          <w:lang w:val="en-US"/>
        </w:rPr>
        <w:t>. T</w:t>
      </w:r>
      <w:r w:rsidR="00C04062">
        <w:rPr>
          <w:lang w:val="en-US"/>
        </w:rPr>
        <w:t xml:space="preserve">he </w:t>
      </w:r>
      <w:r w:rsidR="00FD2FFF">
        <w:rPr>
          <w:lang w:val="en-US"/>
        </w:rPr>
        <w:t>Parliament</w:t>
      </w:r>
      <w:r w:rsidR="00C04062">
        <w:rPr>
          <w:lang w:val="en-US"/>
        </w:rPr>
        <w:t xml:space="preserve">s </w:t>
      </w:r>
      <w:r w:rsidR="00223DC7">
        <w:rPr>
          <w:lang w:val="en-US"/>
        </w:rPr>
        <w:t>could</w:t>
      </w:r>
      <w:r w:rsidR="00C04062">
        <w:rPr>
          <w:lang w:val="en-US"/>
        </w:rPr>
        <w:t xml:space="preserve"> not have turned a blind eye to the </w:t>
      </w:r>
      <w:r w:rsidR="004366E9">
        <w:rPr>
          <w:lang w:val="en-US"/>
        </w:rPr>
        <w:t>strong and persistent</w:t>
      </w:r>
      <w:r w:rsidR="00C04062">
        <w:rPr>
          <w:lang w:val="en-US"/>
        </w:rPr>
        <w:t xml:space="preserve"> campaigning by a broad set of </w:t>
      </w:r>
      <w:r w:rsidR="004366E9">
        <w:rPr>
          <w:lang w:val="en-US"/>
        </w:rPr>
        <w:t xml:space="preserve">societal groups, </w:t>
      </w:r>
      <w:r w:rsidR="00223DC7">
        <w:rPr>
          <w:lang w:val="en-US"/>
        </w:rPr>
        <w:t xml:space="preserve">and </w:t>
      </w:r>
      <w:r w:rsidR="004366E9">
        <w:rPr>
          <w:lang w:val="en-US"/>
        </w:rPr>
        <w:t>awareness, expertise and contestation would have increased</w:t>
      </w:r>
      <w:r w:rsidR="00106A1D">
        <w:rPr>
          <w:lang w:val="en-US"/>
        </w:rPr>
        <w:t xml:space="preserve"> anyway</w:t>
      </w:r>
      <w:r w:rsidR="004366E9">
        <w:rPr>
          <w:lang w:val="en-US"/>
        </w:rPr>
        <w:t xml:space="preserve">; but the immediate political fallout may </w:t>
      </w:r>
      <w:r w:rsidR="007F26EF">
        <w:rPr>
          <w:lang w:val="en-US"/>
        </w:rPr>
        <w:t>have been different</w:t>
      </w:r>
      <w:r w:rsidR="004366E9">
        <w:rPr>
          <w:lang w:val="en-US"/>
        </w:rPr>
        <w:t xml:space="preserve">. </w:t>
      </w:r>
      <w:r w:rsidR="00BB2DF8">
        <w:rPr>
          <w:lang w:val="en-US"/>
        </w:rPr>
        <w:t>This factor echoes findings in the literature that divided government (Belgium in this period with different majorities at the federal and sub-federal levels could be considered a divided</w:t>
      </w:r>
      <w:r w:rsidR="00106A1D">
        <w:rPr>
          <w:lang w:val="en-US"/>
        </w:rPr>
        <w:t xml:space="preserve"> federal</w:t>
      </w:r>
      <w:r w:rsidR="00BB2DF8">
        <w:rPr>
          <w:lang w:val="en-US"/>
        </w:rPr>
        <w:t xml:space="preserve"> government) leads to a stronger </w:t>
      </w:r>
      <w:r w:rsidR="00F25696">
        <w:rPr>
          <w:lang w:val="en-US"/>
        </w:rPr>
        <w:t>parliamentary</w:t>
      </w:r>
      <w:r w:rsidR="00BB2DF8">
        <w:rPr>
          <w:lang w:val="en-US"/>
        </w:rPr>
        <w:t xml:space="preserve"> grip over an executive’s trade policy (</w:t>
      </w:r>
      <w:proofErr w:type="spellStart"/>
      <w:r w:rsidR="00BB2DF8">
        <w:rPr>
          <w:lang w:val="en-US"/>
        </w:rPr>
        <w:t>Lohmann</w:t>
      </w:r>
      <w:proofErr w:type="spellEnd"/>
      <w:r w:rsidR="00BB2DF8">
        <w:rPr>
          <w:lang w:val="en-US"/>
        </w:rPr>
        <w:t xml:space="preserve"> &amp; O’Halloran 1994, Maurer 2005 in </w:t>
      </w:r>
      <w:proofErr w:type="spellStart"/>
      <w:r w:rsidR="00BB2DF8">
        <w:rPr>
          <w:lang w:val="en-US"/>
        </w:rPr>
        <w:t>Jancic</w:t>
      </w:r>
      <w:proofErr w:type="spellEnd"/>
      <w:r w:rsidR="00BB2DF8">
        <w:rPr>
          <w:lang w:val="en-US"/>
        </w:rPr>
        <w:t xml:space="preserve"> 2017).</w:t>
      </w:r>
    </w:p>
    <w:p w14:paraId="4322D327" w14:textId="5B8F37BE" w:rsidR="008E3729" w:rsidRDefault="002B41E0" w:rsidP="009074F5">
      <w:pPr>
        <w:pStyle w:val="Kop1"/>
        <w:spacing w:line="276" w:lineRule="auto"/>
        <w:rPr>
          <w:lang w:val="en-GB"/>
        </w:rPr>
      </w:pPr>
      <w:r>
        <w:rPr>
          <w:lang w:val="en-GB"/>
        </w:rPr>
        <w:t xml:space="preserve">5. </w:t>
      </w:r>
      <w:r w:rsidR="00D80323">
        <w:rPr>
          <w:lang w:val="en-GB"/>
        </w:rPr>
        <w:t>C</w:t>
      </w:r>
      <w:r w:rsidR="00D73601" w:rsidRPr="00D73601">
        <w:rPr>
          <w:lang w:val="en-GB"/>
        </w:rPr>
        <w:t>onclusion</w:t>
      </w:r>
    </w:p>
    <w:p w14:paraId="51E24DFD" w14:textId="77777777" w:rsidR="008E3729" w:rsidRDefault="008E3729" w:rsidP="009074F5">
      <w:pPr>
        <w:spacing w:line="276" w:lineRule="auto"/>
        <w:jc w:val="both"/>
        <w:rPr>
          <w:b/>
          <w:lang w:val="en-GB"/>
        </w:rPr>
      </w:pPr>
    </w:p>
    <w:p w14:paraId="7D97949D" w14:textId="3CF22394" w:rsidR="00B9307A" w:rsidRDefault="00AC2EC8" w:rsidP="009074F5">
      <w:pPr>
        <w:spacing w:line="276" w:lineRule="auto"/>
        <w:jc w:val="both"/>
        <w:rPr>
          <w:lang w:val="en-GB"/>
        </w:rPr>
      </w:pPr>
      <w:r>
        <w:rPr>
          <w:lang w:val="en-GB"/>
        </w:rPr>
        <w:t>I</w:t>
      </w:r>
      <w:r w:rsidR="00B9307A">
        <w:rPr>
          <w:lang w:val="en-GB"/>
        </w:rPr>
        <w:t xml:space="preserve">n </w:t>
      </w:r>
      <w:r w:rsidR="002729A2">
        <w:rPr>
          <w:lang w:val="en-GB"/>
        </w:rPr>
        <w:t>t</w:t>
      </w:r>
      <w:r w:rsidR="008E3729">
        <w:rPr>
          <w:lang w:val="en-GB"/>
        </w:rPr>
        <w:t xml:space="preserve">he past years </w:t>
      </w:r>
      <w:r w:rsidR="00B9307A">
        <w:rPr>
          <w:lang w:val="en-GB"/>
        </w:rPr>
        <w:t xml:space="preserve">we </w:t>
      </w:r>
      <w:r w:rsidR="008E3729">
        <w:rPr>
          <w:lang w:val="en-GB"/>
        </w:rPr>
        <w:t xml:space="preserve">have </w:t>
      </w:r>
      <w:r w:rsidR="00B9307A">
        <w:rPr>
          <w:lang w:val="en-GB"/>
        </w:rPr>
        <w:t xml:space="preserve">seen a somewhat </w:t>
      </w:r>
      <w:r w:rsidR="008E3729">
        <w:rPr>
          <w:lang w:val="en-GB"/>
        </w:rPr>
        <w:t xml:space="preserve">paradoxical evolution in EU trade politics. While the Lisbon Treaty was meant to facilitate the adoption of trade agreements by clarifying the exclusive supranational competence of the European Union through ‘updating’ the scope to the new trade agenda, </w:t>
      </w:r>
      <w:r w:rsidR="001A05A0">
        <w:rPr>
          <w:lang w:val="en-GB"/>
        </w:rPr>
        <w:t>Parliament</w:t>
      </w:r>
      <w:r w:rsidR="008E3729">
        <w:rPr>
          <w:lang w:val="en-GB"/>
        </w:rPr>
        <w:t xml:space="preserve">s below the supranational level have </w:t>
      </w:r>
      <w:r w:rsidR="00117EB4">
        <w:rPr>
          <w:lang w:val="en-GB"/>
        </w:rPr>
        <w:t>become</w:t>
      </w:r>
      <w:r w:rsidR="008E3729">
        <w:rPr>
          <w:lang w:val="en-GB"/>
        </w:rPr>
        <w:t xml:space="preserve"> more involved in trade policy than ever before.</w:t>
      </w:r>
      <w:r w:rsidR="00B9307A">
        <w:rPr>
          <w:lang w:val="en-GB"/>
        </w:rPr>
        <w:t xml:space="preserve"> </w:t>
      </w:r>
    </w:p>
    <w:p w14:paraId="32ACC367" w14:textId="77777777" w:rsidR="00117EB4" w:rsidRDefault="00117EB4" w:rsidP="009074F5">
      <w:pPr>
        <w:spacing w:line="276" w:lineRule="auto"/>
        <w:jc w:val="both"/>
        <w:rPr>
          <w:lang w:val="en-GB"/>
        </w:rPr>
      </w:pPr>
    </w:p>
    <w:p w14:paraId="52C38AB2" w14:textId="57D1ED66" w:rsidR="00117EB4" w:rsidRDefault="00117EB4" w:rsidP="009074F5">
      <w:pPr>
        <w:spacing w:line="276" w:lineRule="auto"/>
        <w:jc w:val="both"/>
        <w:rPr>
          <w:lang w:val="en-GB"/>
        </w:rPr>
      </w:pPr>
      <w:r>
        <w:rPr>
          <w:lang w:val="en-GB"/>
        </w:rPr>
        <w:lastRenderedPageBreak/>
        <w:t xml:space="preserve">We have investigated the shift in involvement across the Belgian </w:t>
      </w:r>
      <w:r w:rsidR="00FD2FFF">
        <w:rPr>
          <w:lang w:val="en-GB"/>
        </w:rPr>
        <w:t>Parliament</w:t>
      </w:r>
      <w:r w:rsidR="00106A1D">
        <w:rPr>
          <w:lang w:val="en-GB"/>
        </w:rPr>
        <w:t>s. In the past fifteen years</w:t>
      </w:r>
      <w:r>
        <w:rPr>
          <w:lang w:val="en-GB"/>
        </w:rPr>
        <w:t xml:space="preserve"> the Federal, Flemish and Walloon </w:t>
      </w:r>
      <w:r w:rsidR="00FD2FFF">
        <w:rPr>
          <w:lang w:val="en-GB"/>
        </w:rPr>
        <w:t>Parliament</w:t>
      </w:r>
      <w:r w:rsidR="00106A1D">
        <w:rPr>
          <w:lang w:val="en-GB"/>
        </w:rPr>
        <w:t>s</w:t>
      </w:r>
      <w:r>
        <w:rPr>
          <w:lang w:val="en-GB"/>
        </w:rPr>
        <w:t xml:space="preserve"> paid little attention to EU trade pol</w:t>
      </w:r>
      <w:r w:rsidR="00985388">
        <w:rPr>
          <w:lang w:val="en-GB"/>
        </w:rPr>
        <w:t>icy. This has changed since 2013</w:t>
      </w:r>
      <w:r>
        <w:rPr>
          <w:lang w:val="en-GB"/>
        </w:rPr>
        <w:t xml:space="preserve">, especially in Wallonia but also in the other assemblies. </w:t>
      </w:r>
      <w:r w:rsidR="00863CB3">
        <w:rPr>
          <w:lang w:val="en-GB"/>
        </w:rPr>
        <w:t xml:space="preserve">Several interacting </w:t>
      </w:r>
      <w:r w:rsidR="00C000AA">
        <w:rPr>
          <w:lang w:val="en-GB"/>
        </w:rPr>
        <w:t xml:space="preserve">factors </w:t>
      </w:r>
      <w:r>
        <w:rPr>
          <w:lang w:val="en-GB"/>
        </w:rPr>
        <w:t xml:space="preserve">fuelled this increase in </w:t>
      </w:r>
      <w:r w:rsidR="00F25696">
        <w:rPr>
          <w:lang w:val="en-GB"/>
        </w:rPr>
        <w:t>parliamentary</w:t>
      </w:r>
      <w:r>
        <w:rPr>
          <w:lang w:val="en-GB"/>
        </w:rPr>
        <w:t xml:space="preserve"> involvement. </w:t>
      </w:r>
      <w:r w:rsidR="00C000AA">
        <w:rPr>
          <w:lang w:val="en-GB"/>
        </w:rPr>
        <w:t xml:space="preserve">First, TTIP and CETA contain provisions that (are perceived to) go qualitatively beyond older trade agreements </w:t>
      </w:r>
      <w:r>
        <w:rPr>
          <w:lang w:val="en-GB"/>
        </w:rPr>
        <w:t>by</w:t>
      </w:r>
      <w:r w:rsidR="00C000AA">
        <w:rPr>
          <w:lang w:val="en-GB"/>
        </w:rPr>
        <w:t xml:space="preserve"> potentially interfering wit</w:t>
      </w:r>
      <w:r w:rsidR="00B9307A">
        <w:rPr>
          <w:lang w:val="en-GB"/>
        </w:rPr>
        <w:t>h (</w:t>
      </w:r>
      <w:proofErr w:type="gramStart"/>
      <w:r w:rsidR="00B9307A">
        <w:rPr>
          <w:lang w:val="en-GB"/>
        </w:rPr>
        <w:t>sub)national</w:t>
      </w:r>
      <w:proofErr w:type="gramEnd"/>
      <w:r w:rsidR="00B9307A">
        <w:rPr>
          <w:lang w:val="en-GB"/>
        </w:rPr>
        <w:t xml:space="preserve"> policy choices</w:t>
      </w:r>
      <w:r w:rsidR="00C000AA">
        <w:rPr>
          <w:lang w:val="en-GB"/>
        </w:rPr>
        <w:t>, namely investment protection provisions and regulatory cooperation. Second, TTIP has generated</w:t>
      </w:r>
      <w:r w:rsidR="00B9307A">
        <w:rPr>
          <w:lang w:val="en-GB"/>
        </w:rPr>
        <w:t xml:space="preserve"> </w:t>
      </w:r>
      <w:r w:rsidR="00C000AA">
        <w:rPr>
          <w:lang w:val="en-GB"/>
        </w:rPr>
        <w:t xml:space="preserve">unseen civil </w:t>
      </w:r>
      <w:r w:rsidR="00C000AA" w:rsidRPr="00117EB4">
        <w:rPr>
          <w:lang w:val="en-GB"/>
        </w:rPr>
        <w:t xml:space="preserve">society mobilisation, and this has </w:t>
      </w:r>
      <w:r w:rsidRPr="00117EB4">
        <w:rPr>
          <w:lang w:val="en-GB"/>
        </w:rPr>
        <w:t>led</w:t>
      </w:r>
      <w:r w:rsidR="00C000AA" w:rsidRPr="00117EB4">
        <w:rPr>
          <w:lang w:val="en-GB"/>
        </w:rPr>
        <w:t xml:space="preserve"> politicians (especially on the left and in the opposition) </w:t>
      </w:r>
      <w:r w:rsidRPr="00117EB4">
        <w:rPr>
          <w:lang w:val="en-GB"/>
        </w:rPr>
        <w:t>to join the fray as well.</w:t>
      </w:r>
      <w:r>
        <w:rPr>
          <w:lang w:val="en-GB"/>
        </w:rPr>
        <w:t xml:space="preserve"> </w:t>
      </w:r>
      <w:r w:rsidR="00863CB3">
        <w:rPr>
          <w:lang w:val="en-GB"/>
        </w:rPr>
        <w:t xml:space="preserve">Finally, the </w:t>
      </w:r>
      <w:proofErr w:type="gramStart"/>
      <w:r w:rsidR="00603834">
        <w:rPr>
          <w:lang w:val="en-GB"/>
        </w:rPr>
        <w:t>a</w:t>
      </w:r>
      <w:r w:rsidR="00863CB3">
        <w:rPr>
          <w:lang w:val="en-GB"/>
        </w:rPr>
        <w:t>symmetry betwee</w:t>
      </w:r>
      <w:r w:rsidR="00106A1D">
        <w:rPr>
          <w:lang w:val="en-GB"/>
        </w:rPr>
        <w:t>n the Walloon and F</w:t>
      </w:r>
      <w:r w:rsidR="00863CB3">
        <w:rPr>
          <w:lang w:val="en-GB"/>
        </w:rPr>
        <w:t>ederal governing coalitions have</w:t>
      </w:r>
      <w:proofErr w:type="gramEnd"/>
      <w:r w:rsidR="00863CB3">
        <w:rPr>
          <w:lang w:val="en-GB"/>
        </w:rPr>
        <w:t xml:space="preserve"> favoured a more activist opposition by Wallonia</w:t>
      </w:r>
      <w:r w:rsidR="00106A1D">
        <w:rPr>
          <w:lang w:val="en-GB"/>
        </w:rPr>
        <w:t>, while Flanders’ centre-right G</w:t>
      </w:r>
      <w:r w:rsidR="00863CB3">
        <w:rPr>
          <w:lang w:val="en-GB"/>
        </w:rPr>
        <w:t>overnment has remained supportive.</w:t>
      </w:r>
      <w:r w:rsidR="00BB2DF8">
        <w:rPr>
          <w:lang w:val="en-GB"/>
        </w:rPr>
        <w:t xml:space="preserve"> </w:t>
      </w:r>
    </w:p>
    <w:p w14:paraId="16955DCF" w14:textId="22AEB4F7" w:rsidR="00F9178B" w:rsidRDefault="00C000AA" w:rsidP="009074F5">
      <w:pPr>
        <w:spacing w:line="276" w:lineRule="auto"/>
        <w:jc w:val="both"/>
        <w:rPr>
          <w:lang w:val="en-GB"/>
        </w:rPr>
      </w:pPr>
      <w:r w:rsidRPr="00117EB4">
        <w:rPr>
          <w:lang w:val="en-GB"/>
        </w:rPr>
        <w:t xml:space="preserve"> </w:t>
      </w:r>
    </w:p>
    <w:p w14:paraId="4255559A" w14:textId="1719B29E" w:rsidR="00C000AA" w:rsidRDefault="00C000AA" w:rsidP="009074F5">
      <w:pPr>
        <w:spacing w:line="276" w:lineRule="auto"/>
        <w:jc w:val="both"/>
        <w:rPr>
          <w:lang w:val="en-GB"/>
        </w:rPr>
      </w:pPr>
      <w:r>
        <w:rPr>
          <w:lang w:val="en-GB"/>
        </w:rPr>
        <w:t>An important question</w:t>
      </w:r>
      <w:r w:rsidR="00603834">
        <w:rPr>
          <w:lang w:val="en-GB"/>
        </w:rPr>
        <w:t>, which also divided our respondents,</w:t>
      </w:r>
      <w:r>
        <w:rPr>
          <w:lang w:val="en-GB"/>
        </w:rPr>
        <w:t xml:space="preserve"> is how durable the politicisation </w:t>
      </w:r>
      <w:r w:rsidR="00D40C4E">
        <w:rPr>
          <w:lang w:val="en-GB"/>
        </w:rPr>
        <w:t xml:space="preserve">of </w:t>
      </w:r>
      <w:r w:rsidR="00A3369F">
        <w:rPr>
          <w:lang w:val="en-GB"/>
        </w:rPr>
        <w:t>trade policy and the (consequent) attention and involvement of (</w:t>
      </w:r>
      <w:proofErr w:type="gramStart"/>
      <w:r w:rsidR="00A3369F">
        <w:rPr>
          <w:lang w:val="en-GB"/>
        </w:rPr>
        <w:t>sub)national</w:t>
      </w:r>
      <w:proofErr w:type="gramEnd"/>
      <w:r w:rsidR="00A3369F">
        <w:rPr>
          <w:lang w:val="en-GB"/>
        </w:rPr>
        <w:t xml:space="preserve"> MPs will eventually be.</w:t>
      </w:r>
      <w:r w:rsidR="00603834">
        <w:rPr>
          <w:lang w:val="en-GB"/>
        </w:rPr>
        <w:t xml:space="preserve"> </w:t>
      </w:r>
      <w:r w:rsidR="00A3369F">
        <w:rPr>
          <w:lang w:val="en-GB"/>
        </w:rPr>
        <w:t>It is conceivable that the mobilisation by civil society will wane if and when the TTIP negotiations are eventually concluded (successfully or not).</w:t>
      </w:r>
      <w:r w:rsidR="00D154F9">
        <w:rPr>
          <w:lang w:val="en-GB"/>
        </w:rPr>
        <w:t xml:space="preserve"> </w:t>
      </w:r>
      <w:r w:rsidR="00F974D4">
        <w:rPr>
          <w:lang w:val="en-GB"/>
        </w:rPr>
        <w:t>Hence</w:t>
      </w:r>
      <w:r w:rsidR="00A3369F">
        <w:rPr>
          <w:lang w:val="en-GB"/>
        </w:rPr>
        <w:t>, attention for EU trade policy in (</w:t>
      </w:r>
      <w:proofErr w:type="gramStart"/>
      <w:r w:rsidR="00A3369F">
        <w:rPr>
          <w:lang w:val="en-GB"/>
        </w:rPr>
        <w:t>sub)national</w:t>
      </w:r>
      <w:proofErr w:type="gramEnd"/>
      <w:r w:rsidR="00A3369F">
        <w:rPr>
          <w:lang w:val="en-GB"/>
        </w:rPr>
        <w:t xml:space="preserve"> Parliaments might fade out, even if the substance </w:t>
      </w:r>
      <w:r w:rsidR="00106A1D">
        <w:rPr>
          <w:lang w:val="en-GB"/>
        </w:rPr>
        <w:t>of</w:t>
      </w:r>
      <w:r w:rsidR="00A3369F">
        <w:rPr>
          <w:lang w:val="en-GB"/>
        </w:rPr>
        <w:t xml:space="preserve"> other agreements </w:t>
      </w:r>
      <w:r w:rsidR="00106A1D">
        <w:rPr>
          <w:lang w:val="en-GB"/>
        </w:rPr>
        <w:t>is</w:t>
      </w:r>
      <w:r w:rsidR="00A3369F">
        <w:rPr>
          <w:lang w:val="en-GB"/>
        </w:rPr>
        <w:t xml:space="preserve"> similar (as is today to some extent the case vis-à-vis the EU-Japan negotiations). </w:t>
      </w:r>
      <w:r w:rsidR="00D154F9">
        <w:rPr>
          <w:lang w:val="en-GB"/>
        </w:rPr>
        <w:t xml:space="preserve">The year 2017 may already be indicative in that respect. </w:t>
      </w:r>
      <w:r w:rsidR="00A3369F">
        <w:rPr>
          <w:lang w:val="en-GB"/>
        </w:rPr>
        <w:t>On the other hand, significant energy and resources have been invested in building expertise and networks, by NGOs as well as (</w:t>
      </w:r>
      <w:proofErr w:type="gramStart"/>
      <w:r w:rsidR="00A3369F">
        <w:rPr>
          <w:lang w:val="en-GB"/>
        </w:rPr>
        <w:t>sub)national</w:t>
      </w:r>
      <w:proofErr w:type="gramEnd"/>
      <w:r w:rsidR="00A3369F">
        <w:rPr>
          <w:lang w:val="en-GB"/>
        </w:rPr>
        <w:t xml:space="preserve"> MPs. Such “sunk costs” might lead them to continue their involvement in EU </w:t>
      </w:r>
      <w:r w:rsidR="00A3369F" w:rsidRPr="00603834">
        <w:rPr>
          <w:lang w:val="en-GB"/>
        </w:rPr>
        <w:t>trade politics, especially if current efforts would turn out to be successful</w:t>
      </w:r>
      <w:r w:rsidR="00AB0D5D" w:rsidRPr="00603834">
        <w:rPr>
          <w:lang w:val="en-GB"/>
        </w:rPr>
        <w:t xml:space="preserve"> in both influencing</w:t>
      </w:r>
      <w:r w:rsidR="00A3369F" w:rsidRPr="00603834">
        <w:rPr>
          <w:lang w:val="en-GB"/>
        </w:rPr>
        <w:t xml:space="preserve"> the outcome of negotiations and elections. </w:t>
      </w:r>
      <w:r w:rsidR="00700C01" w:rsidRPr="00603834">
        <w:rPr>
          <w:lang w:val="en-GB"/>
        </w:rPr>
        <w:t xml:space="preserve">The recent </w:t>
      </w:r>
      <w:r w:rsidR="00863CB3" w:rsidRPr="00603834">
        <w:rPr>
          <w:lang w:val="en-GB"/>
        </w:rPr>
        <w:t>‘</w:t>
      </w:r>
      <w:r w:rsidR="00700C01" w:rsidRPr="00603834">
        <w:rPr>
          <w:lang w:val="en-GB"/>
        </w:rPr>
        <w:t>CETA episode</w:t>
      </w:r>
      <w:r w:rsidR="00863CB3" w:rsidRPr="00603834">
        <w:rPr>
          <w:lang w:val="en-GB"/>
        </w:rPr>
        <w:t>’</w:t>
      </w:r>
      <w:r w:rsidR="00700C01" w:rsidRPr="00603834">
        <w:rPr>
          <w:lang w:val="en-GB"/>
        </w:rPr>
        <w:t xml:space="preserve"> in Belgium has already </w:t>
      </w:r>
      <w:r w:rsidR="003D4EE3" w:rsidRPr="00603834">
        <w:rPr>
          <w:lang w:val="en-GB"/>
        </w:rPr>
        <w:t>strengthened</w:t>
      </w:r>
      <w:r w:rsidR="00700C01" w:rsidRPr="00603834">
        <w:rPr>
          <w:lang w:val="en-GB"/>
        </w:rPr>
        <w:t xml:space="preserve"> the </w:t>
      </w:r>
      <w:r w:rsidR="003D4EE3" w:rsidRPr="00603834">
        <w:rPr>
          <w:lang w:val="en-GB"/>
        </w:rPr>
        <w:t xml:space="preserve">activity by the </w:t>
      </w:r>
      <w:r w:rsidR="00700C01" w:rsidRPr="00603834">
        <w:rPr>
          <w:lang w:val="en-GB"/>
        </w:rPr>
        <w:t>Walloon Parliament</w:t>
      </w:r>
      <w:r w:rsidR="00863CB3" w:rsidRPr="00603834">
        <w:rPr>
          <w:lang w:val="en-GB"/>
        </w:rPr>
        <w:t>. They seem determined</w:t>
      </w:r>
      <w:r w:rsidR="00700C01" w:rsidRPr="00603834">
        <w:rPr>
          <w:lang w:val="en-GB"/>
        </w:rPr>
        <w:t xml:space="preserve"> to further scrutinize other trade deals cu</w:t>
      </w:r>
      <w:r w:rsidR="006A6381" w:rsidRPr="00603834">
        <w:rPr>
          <w:lang w:val="en-GB"/>
        </w:rPr>
        <w:t>rrently being negotiated, most</w:t>
      </w:r>
      <w:r w:rsidR="00700C01" w:rsidRPr="00603834">
        <w:rPr>
          <w:lang w:val="en-GB"/>
        </w:rPr>
        <w:t xml:space="preserve"> significantly the Trade in Services Agreement (</w:t>
      </w:r>
      <w:proofErr w:type="spellStart"/>
      <w:r w:rsidR="00700C01" w:rsidRPr="00603834">
        <w:rPr>
          <w:lang w:val="en-GB"/>
        </w:rPr>
        <w:t>TiSA</w:t>
      </w:r>
      <w:proofErr w:type="spellEnd"/>
      <w:r w:rsidR="00700C01" w:rsidRPr="00603834">
        <w:rPr>
          <w:lang w:val="en-GB"/>
        </w:rPr>
        <w:t xml:space="preserve">). </w:t>
      </w:r>
      <w:r w:rsidR="006A6381" w:rsidRPr="00603834">
        <w:rPr>
          <w:lang w:val="en-GB"/>
        </w:rPr>
        <w:t xml:space="preserve">Furthermore, </w:t>
      </w:r>
      <w:r w:rsidR="003D4EE3" w:rsidRPr="00603834">
        <w:rPr>
          <w:lang w:val="en-GB"/>
        </w:rPr>
        <w:t>the “Namur declaration”</w:t>
      </w:r>
      <w:r w:rsidR="00700C01" w:rsidRPr="00603834">
        <w:rPr>
          <w:lang w:val="en-GB"/>
        </w:rPr>
        <w:t xml:space="preserve"> </w:t>
      </w:r>
      <w:r w:rsidR="00863CB3" w:rsidRPr="00603834">
        <w:rPr>
          <w:lang w:val="en-GB"/>
        </w:rPr>
        <w:t>boosted by</w:t>
      </w:r>
      <w:r w:rsidR="00106A1D">
        <w:rPr>
          <w:lang w:val="en-GB"/>
        </w:rPr>
        <w:t xml:space="preserve"> Walloon</w:t>
      </w:r>
      <w:r w:rsidR="00700C01" w:rsidRPr="00603834">
        <w:rPr>
          <w:lang w:val="en-GB"/>
        </w:rPr>
        <w:t xml:space="preserve"> Minister-President Paul </w:t>
      </w:r>
      <w:proofErr w:type="spellStart"/>
      <w:r w:rsidR="00700C01" w:rsidRPr="00603834">
        <w:rPr>
          <w:lang w:val="en-GB"/>
        </w:rPr>
        <w:t>Magnette</w:t>
      </w:r>
      <w:proofErr w:type="spellEnd"/>
      <w:r w:rsidR="00700C01" w:rsidRPr="00603834">
        <w:rPr>
          <w:lang w:val="en-GB"/>
        </w:rPr>
        <w:t>,</w:t>
      </w:r>
      <w:r w:rsidR="00863CB3" w:rsidRPr="00603834">
        <w:rPr>
          <w:lang w:val="en-GB"/>
        </w:rPr>
        <w:t xml:space="preserve"> signed by the likes of </w:t>
      </w:r>
      <w:proofErr w:type="spellStart"/>
      <w:r w:rsidR="00863CB3" w:rsidRPr="00603834">
        <w:rPr>
          <w:lang w:val="en-GB"/>
        </w:rPr>
        <w:t>Piketty</w:t>
      </w:r>
      <w:proofErr w:type="spellEnd"/>
      <w:r w:rsidR="00863CB3" w:rsidRPr="00603834">
        <w:rPr>
          <w:lang w:val="en-GB"/>
        </w:rPr>
        <w:t xml:space="preserve"> and </w:t>
      </w:r>
      <w:proofErr w:type="spellStart"/>
      <w:r w:rsidR="00863CB3" w:rsidRPr="00603834">
        <w:rPr>
          <w:lang w:val="en-GB"/>
        </w:rPr>
        <w:t>Dani</w:t>
      </w:r>
      <w:proofErr w:type="spellEnd"/>
      <w:r w:rsidR="00863CB3" w:rsidRPr="00603834">
        <w:rPr>
          <w:lang w:val="en-GB"/>
        </w:rPr>
        <w:t xml:space="preserve"> </w:t>
      </w:r>
      <w:proofErr w:type="spellStart"/>
      <w:r w:rsidR="00863CB3" w:rsidRPr="00603834">
        <w:rPr>
          <w:lang w:val="en-GB"/>
        </w:rPr>
        <w:t>Rodrik</w:t>
      </w:r>
      <w:proofErr w:type="spellEnd"/>
      <w:r w:rsidR="00863CB3" w:rsidRPr="00603834">
        <w:rPr>
          <w:lang w:val="en-GB"/>
        </w:rPr>
        <w:t>,</w:t>
      </w:r>
      <w:r w:rsidR="00700C01" w:rsidRPr="00603834">
        <w:rPr>
          <w:lang w:val="en-GB"/>
        </w:rPr>
        <w:t xml:space="preserve"> also shows that </w:t>
      </w:r>
      <w:r w:rsidR="006A6381" w:rsidRPr="00603834">
        <w:rPr>
          <w:lang w:val="en-GB"/>
        </w:rPr>
        <w:t>the</w:t>
      </w:r>
      <w:r w:rsidR="00863CB3" w:rsidRPr="00603834">
        <w:rPr>
          <w:lang w:val="en-GB"/>
        </w:rPr>
        <w:t xml:space="preserve"> opposition is trying to seize the momentum</w:t>
      </w:r>
      <w:r w:rsidR="00E45CF0">
        <w:rPr>
          <w:lang w:val="en-GB"/>
        </w:rPr>
        <w:t xml:space="preserve"> (</w:t>
      </w:r>
      <w:proofErr w:type="spellStart"/>
      <w:r w:rsidR="00E45CF0">
        <w:rPr>
          <w:lang w:val="en-GB"/>
        </w:rPr>
        <w:t>Magnette</w:t>
      </w:r>
      <w:proofErr w:type="spellEnd"/>
      <w:r w:rsidR="00E45CF0">
        <w:rPr>
          <w:lang w:val="en-GB"/>
        </w:rPr>
        <w:t xml:space="preserve"> 2016)</w:t>
      </w:r>
      <w:r w:rsidR="006A6381" w:rsidRPr="00603834">
        <w:rPr>
          <w:lang w:val="en-GB"/>
        </w:rPr>
        <w:t xml:space="preserve">. </w:t>
      </w:r>
      <w:r w:rsidR="00857143">
        <w:rPr>
          <w:lang w:val="en-GB"/>
        </w:rPr>
        <w:t xml:space="preserve">In this paper, we have described and offered explanations for how we have gone ‘from nada to Namur’ in terms of national </w:t>
      </w:r>
      <w:r w:rsidR="00F25696">
        <w:rPr>
          <w:lang w:val="en-GB"/>
        </w:rPr>
        <w:t>parliamentary</w:t>
      </w:r>
      <w:r w:rsidR="00857143">
        <w:rPr>
          <w:lang w:val="en-GB"/>
        </w:rPr>
        <w:t xml:space="preserve"> activity on EU trade policy. What will follow from Namur (and its declaration on trade) is an open question.</w:t>
      </w:r>
      <w:r w:rsidR="00036059">
        <w:rPr>
          <w:lang w:val="en-GB"/>
        </w:rPr>
        <w:t xml:space="preserve"> Paul </w:t>
      </w:r>
      <w:proofErr w:type="spellStart"/>
      <w:r w:rsidR="00036059">
        <w:rPr>
          <w:lang w:val="en-GB"/>
        </w:rPr>
        <w:t>Magnette</w:t>
      </w:r>
      <w:proofErr w:type="spellEnd"/>
      <w:r w:rsidR="00036059">
        <w:rPr>
          <w:lang w:val="en-GB"/>
        </w:rPr>
        <w:t xml:space="preserve"> seems to believe the ‘CETA saga’ could lead to substantial change to EU trade policy: the final chapter of his book is titled ‘pour </w:t>
      </w:r>
      <w:proofErr w:type="spellStart"/>
      <w:r w:rsidR="00036059">
        <w:rPr>
          <w:lang w:val="en-GB"/>
        </w:rPr>
        <w:t>une</w:t>
      </w:r>
      <w:proofErr w:type="spellEnd"/>
      <w:r w:rsidR="00036059">
        <w:rPr>
          <w:lang w:val="en-GB"/>
        </w:rPr>
        <w:t xml:space="preserve"> </w:t>
      </w:r>
      <w:proofErr w:type="spellStart"/>
      <w:r w:rsidR="00036059">
        <w:rPr>
          <w:lang w:val="en-GB"/>
        </w:rPr>
        <w:t>autre</w:t>
      </w:r>
      <w:proofErr w:type="spellEnd"/>
      <w:r w:rsidR="00036059">
        <w:rPr>
          <w:lang w:val="en-GB"/>
        </w:rPr>
        <w:t xml:space="preserve"> </w:t>
      </w:r>
      <w:proofErr w:type="spellStart"/>
      <w:r w:rsidR="00036059">
        <w:rPr>
          <w:lang w:val="en-GB"/>
        </w:rPr>
        <w:t>mondialisation</w:t>
      </w:r>
      <w:proofErr w:type="spellEnd"/>
      <w:r w:rsidR="00036059">
        <w:rPr>
          <w:lang w:val="en-GB"/>
        </w:rPr>
        <w:t xml:space="preserve">’. </w:t>
      </w:r>
    </w:p>
    <w:p w14:paraId="33157690" w14:textId="77777777" w:rsidR="00A3369F" w:rsidRDefault="00A3369F" w:rsidP="009074F5">
      <w:pPr>
        <w:spacing w:line="276" w:lineRule="auto"/>
        <w:jc w:val="both"/>
        <w:rPr>
          <w:lang w:val="en-GB"/>
        </w:rPr>
      </w:pPr>
    </w:p>
    <w:p w14:paraId="5972428F" w14:textId="4FE621BA" w:rsidR="00A3369F" w:rsidRPr="00863CB3" w:rsidRDefault="00A3369F" w:rsidP="009074F5">
      <w:pPr>
        <w:spacing w:line="276" w:lineRule="auto"/>
        <w:jc w:val="both"/>
        <w:rPr>
          <w:lang w:val="en-GB"/>
        </w:rPr>
      </w:pPr>
      <w:r>
        <w:rPr>
          <w:lang w:val="en-GB"/>
        </w:rPr>
        <w:t xml:space="preserve">Would </w:t>
      </w:r>
      <w:r w:rsidR="00300393">
        <w:rPr>
          <w:lang w:val="en-GB"/>
        </w:rPr>
        <w:t>continue</w:t>
      </w:r>
      <w:r w:rsidR="00D154F9">
        <w:rPr>
          <w:lang w:val="en-GB"/>
        </w:rPr>
        <w:t>d</w:t>
      </w:r>
      <w:r>
        <w:rPr>
          <w:lang w:val="en-GB"/>
        </w:rPr>
        <w:t xml:space="preserve"> (</w:t>
      </w:r>
      <w:proofErr w:type="gramStart"/>
      <w:r>
        <w:rPr>
          <w:lang w:val="en-GB"/>
        </w:rPr>
        <w:t>sub)national</w:t>
      </w:r>
      <w:proofErr w:type="gramEnd"/>
      <w:r>
        <w:rPr>
          <w:lang w:val="en-GB"/>
        </w:rPr>
        <w:t xml:space="preserve"> </w:t>
      </w:r>
      <w:r w:rsidR="00F25696">
        <w:rPr>
          <w:lang w:val="en-GB"/>
        </w:rPr>
        <w:t>parliamentary</w:t>
      </w:r>
      <w:r>
        <w:rPr>
          <w:lang w:val="en-GB"/>
        </w:rPr>
        <w:t xml:space="preserve"> involvement in EU trade politics mark the death of EU trade policy, as</w:t>
      </w:r>
      <w:r w:rsidR="00AB0D5D">
        <w:rPr>
          <w:lang w:val="en-GB"/>
        </w:rPr>
        <w:t xml:space="preserve"> it</w:t>
      </w:r>
      <w:r>
        <w:rPr>
          <w:lang w:val="en-GB"/>
        </w:rPr>
        <w:t xml:space="preserve"> is sometimes claimed</w:t>
      </w:r>
      <w:r w:rsidR="00DE732F">
        <w:rPr>
          <w:lang w:val="en-GB"/>
        </w:rPr>
        <w:t xml:space="preserve">, inter alia by another declaration </w:t>
      </w:r>
      <w:r w:rsidR="00E45CF0">
        <w:rPr>
          <w:lang w:val="en-GB"/>
        </w:rPr>
        <w:t xml:space="preserve">“Trading Together’ by academics </w:t>
      </w:r>
      <w:r w:rsidR="00DE732F">
        <w:rPr>
          <w:lang w:val="en-GB"/>
        </w:rPr>
        <w:t>responding to the Namur Declaration</w:t>
      </w:r>
      <w:r w:rsidR="00E45CF0">
        <w:rPr>
          <w:lang w:val="en-GB"/>
        </w:rPr>
        <w:t xml:space="preserve"> (Anon. 2017)</w:t>
      </w:r>
      <w:r>
        <w:rPr>
          <w:lang w:val="en-GB"/>
        </w:rPr>
        <w:t xml:space="preserve">? We tend to disagree. On the one </w:t>
      </w:r>
      <w:r w:rsidR="00AB0D5D">
        <w:rPr>
          <w:lang w:val="en-GB"/>
        </w:rPr>
        <w:t>h</w:t>
      </w:r>
      <w:r>
        <w:rPr>
          <w:lang w:val="en-GB"/>
        </w:rPr>
        <w:t>and, the attention and interest of (</w:t>
      </w:r>
      <w:proofErr w:type="gramStart"/>
      <w:r>
        <w:rPr>
          <w:lang w:val="en-GB"/>
        </w:rPr>
        <w:t>sub)national</w:t>
      </w:r>
      <w:proofErr w:type="gramEnd"/>
      <w:r>
        <w:rPr>
          <w:lang w:val="en-GB"/>
        </w:rPr>
        <w:t xml:space="preserve"> MPs has concentrated on a number of (sensitive) issues, </w:t>
      </w:r>
      <w:r w:rsidR="00AB0D5D">
        <w:rPr>
          <w:lang w:val="en-GB"/>
        </w:rPr>
        <w:t>which</w:t>
      </w:r>
      <w:r>
        <w:rPr>
          <w:lang w:val="en-GB"/>
        </w:rPr>
        <w:t xml:space="preserve"> might be accommodated in </w:t>
      </w:r>
      <w:r w:rsidR="00E45CF0">
        <w:rPr>
          <w:lang w:val="en-GB"/>
        </w:rPr>
        <w:t xml:space="preserve">the substance of </w:t>
      </w:r>
      <w:r>
        <w:rPr>
          <w:lang w:val="en-GB"/>
        </w:rPr>
        <w:t>agreements. On the other hand, the participation of (</w:t>
      </w:r>
      <w:proofErr w:type="gramStart"/>
      <w:r>
        <w:rPr>
          <w:lang w:val="en-GB"/>
        </w:rPr>
        <w:t>sub)national</w:t>
      </w:r>
      <w:proofErr w:type="gramEnd"/>
      <w:r>
        <w:rPr>
          <w:lang w:val="en-GB"/>
        </w:rPr>
        <w:t xml:space="preserve"> MPs in EU trade politics might be enhanced </w:t>
      </w:r>
      <w:r w:rsidR="00E45CF0">
        <w:rPr>
          <w:lang w:val="en-GB"/>
        </w:rPr>
        <w:t>procedurally</w:t>
      </w:r>
      <w:r>
        <w:rPr>
          <w:lang w:val="en-GB"/>
        </w:rPr>
        <w:t xml:space="preserve"> </w:t>
      </w:r>
      <w:r w:rsidR="00AB0D5D">
        <w:rPr>
          <w:lang w:val="en-GB"/>
        </w:rPr>
        <w:t xml:space="preserve">during the negotiations </w:t>
      </w:r>
      <w:r>
        <w:rPr>
          <w:lang w:val="en-GB"/>
        </w:rPr>
        <w:t xml:space="preserve">by </w:t>
      </w:r>
      <w:r>
        <w:rPr>
          <w:lang w:val="en-GB"/>
        </w:rPr>
        <w:lastRenderedPageBreak/>
        <w:t>collaboration between the European Parliament and the national Parliament</w:t>
      </w:r>
      <w:r w:rsidR="00E45CF0">
        <w:rPr>
          <w:lang w:val="en-GB"/>
        </w:rPr>
        <w:t>s</w:t>
      </w:r>
      <w:r w:rsidR="00863CB3">
        <w:rPr>
          <w:lang w:val="en-GB"/>
        </w:rPr>
        <w:t>, as well as</w:t>
      </w:r>
      <w:r>
        <w:rPr>
          <w:lang w:val="en-GB"/>
        </w:rPr>
        <w:t xml:space="preserve"> </w:t>
      </w:r>
      <w:r w:rsidR="00E45CF0">
        <w:rPr>
          <w:lang w:val="en-GB"/>
        </w:rPr>
        <w:t xml:space="preserve">by </w:t>
      </w:r>
      <w:r>
        <w:rPr>
          <w:lang w:val="en-GB"/>
        </w:rPr>
        <w:t xml:space="preserve">outreach by the </w:t>
      </w:r>
      <w:r w:rsidRPr="000E3FCF">
        <w:rPr>
          <w:lang w:val="en-GB"/>
        </w:rPr>
        <w:t>European Commission</w:t>
      </w:r>
      <w:r w:rsidR="00863CB3" w:rsidRPr="000E3FCF">
        <w:rPr>
          <w:lang w:val="en-GB"/>
        </w:rPr>
        <w:t xml:space="preserve">. </w:t>
      </w:r>
      <w:r w:rsidRPr="000E3FCF">
        <w:rPr>
          <w:lang w:val="en-GB"/>
        </w:rPr>
        <w:t>Steps in that direction have</w:t>
      </w:r>
      <w:r w:rsidR="00AB0D5D" w:rsidRPr="000E3FCF">
        <w:rPr>
          <w:lang w:val="en-GB"/>
        </w:rPr>
        <w:t xml:space="preserve"> already</w:t>
      </w:r>
      <w:r w:rsidRPr="000E3FCF">
        <w:rPr>
          <w:lang w:val="en-GB"/>
        </w:rPr>
        <w:t xml:space="preserve"> been taken by the Belgian Parliaments, the European Parliament and the European Commission</w:t>
      </w:r>
      <w:r w:rsidR="00863CB3" w:rsidRPr="000E3FCF">
        <w:rPr>
          <w:lang w:val="en-GB"/>
        </w:rPr>
        <w:t>,</w:t>
      </w:r>
      <w:r w:rsidR="00AB0D5D" w:rsidRPr="000E3FCF">
        <w:rPr>
          <w:lang w:val="en-GB"/>
        </w:rPr>
        <w:t xml:space="preserve"> and could be reinforced</w:t>
      </w:r>
      <w:r w:rsidRPr="000E3FCF">
        <w:rPr>
          <w:lang w:val="en-GB"/>
        </w:rPr>
        <w:t xml:space="preserve">. </w:t>
      </w:r>
      <w:r w:rsidR="000E3FCF">
        <w:rPr>
          <w:i/>
          <w:lang w:val="en-GB"/>
        </w:rPr>
        <w:t>Prima facie</w:t>
      </w:r>
      <w:r w:rsidR="000E3FCF">
        <w:rPr>
          <w:lang w:val="en-GB"/>
        </w:rPr>
        <w:t xml:space="preserve">, the partial re-nationalisation and continued politicization of trade politics may benefit the democratic legitimacy of this domain – although it certainly hasn’t made the Commission’s life any easier.  </w:t>
      </w:r>
      <w:r w:rsidR="00863CB3">
        <w:rPr>
          <w:lang w:val="en-GB"/>
        </w:rPr>
        <w:t xml:space="preserve"> </w:t>
      </w:r>
    </w:p>
    <w:p w14:paraId="5FA0E758" w14:textId="77777777" w:rsidR="00D73601" w:rsidRDefault="00D73601" w:rsidP="009074F5">
      <w:pPr>
        <w:spacing w:line="276" w:lineRule="auto"/>
        <w:jc w:val="both"/>
        <w:rPr>
          <w:lang w:val="en-GB"/>
        </w:rPr>
      </w:pPr>
    </w:p>
    <w:p w14:paraId="0B5262CB" w14:textId="77777777" w:rsidR="00730C7D" w:rsidRPr="000E3FCF" w:rsidRDefault="00730C7D" w:rsidP="009074F5">
      <w:pPr>
        <w:spacing w:line="276" w:lineRule="auto"/>
        <w:jc w:val="both"/>
        <w:rPr>
          <w:highlight w:val="yellow"/>
          <w:lang w:val="en-US"/>
        </w:rPr>
      </w:pPr>
    </w:p>
    <w:p w14:paraId="609A7D58" w14:textId="77777777" w:rsidR="00D600C3" w:rsidRPr="000E3FCF" w:rsidRDefault="00D600C3" w:rsidP="009074F5">
      <w:pPr>
        <w:spacing w:line="276" w:lineRule="auto"/>
        <w:jc w:val="both"/>
        <w:rPr>
          <w:lang w:val="en-US"/>
        </w:rPr>
      </w:pPr>
    </w:p>
    <w:p w14:paraId="62E7D61F" w14:textId="77777777" w:rsidR="00E7350A" w:rsidRPr="000E3FCF" w:rsidRDefault="00E7350A" w:rsidP="009074F5">
      <w:pPr>
        <w:spacing w:line="276" w:lineRule="auto"/>
        <w:rPr>
          <w:lang w:val="en-US"/>
        </w:rPr>
      </w:pPr>
      <w:r w:rsidRPr="000E3FCF">
        <w:rPr>
          <w:lang w:val="en-US"/>
        </w:rPr>
        <w:br w:type="page"/>
      </w:r>
    </w:p>
    <w:p w14:paraId="581B8F7C" w14:textId="2C39343B" w:rsidR="00B57AC5" w:rsidRDefault="00B57AC5" w:rsidP="009074F5">
      <w:pPr>
        <w:spacing w:line="276" w:lineRule="auto"/>
        <w:jc w:val="both"/>
        <w:rPr>
          <w:b/>
          <w:lang w:val="en-GB"/>
        </w:rPr>
      </w:pPr>
      <w:r w:rsidRPr="00B57AC5">
        <w:rPr>
          <w:b/>
          <w:lang w:val="en-GB"/>
        </w:rPr>
        <w:lastRenderedPageBreak/>
        <w:t>Interviews</w:t>
      </w:r>
    </w:p>
    <w:p w14:paraId="4A037605" w14:textId="77777777" w:rsidR="00B57AC5" w:rsidRDefault="00B57AC5" w:rsidP="009074F5">
      <w:pPr>
        <w:spacing w:line="276" w:lineRule="auto"/>
        <w:jc w:val="both"/>
        <w:rPr>
          <w:b/>
          <w:lang w:val="en-GB"/>
        </w:rPr>
      </w:pPr>
    </w:p>
    <w:p w14:paraId="29957BB9" w14:textId="05675F12" w:rsidR="00B57AC5" w:rsidRPr="002C52DD" w:rsidRDefault="00B57AC5" w:rsidP="002C52DD">
      <w:pPr>
        <w:pStyle w:val="Lijstalinea"/>
        <w:numPr>
          <w:ilvl w:val="0"/>
          <w:numId w:val="3"/>
        </w:numPr>
        <w:spacing w:line="276" w:lineRule="auto"/>
        <w:rPr>
          <w:i/>
          <w:lang w:val="nl-NL"/>
        </w:rPr>
      </w:pPr>
      <w:proofErr w:type="spellStart"/>
      <w:r w:rsidRPr="002C52DD">
        <w:rPr>
          <w:i/>
          <w:lang w:val="nl-NL"/>
        </w:rPr>
        <w:t>Flemish</w:t>
      </w:r>
      <w:proofErr w:type="spellEnd"/>
      <w:r w:rsidRPr="002C52DD">
        <w:rPr>
          <w:i/>
          <w:lang w:val="nl-NL"/>
        </w:rPr>
        <w:t xml:space="preserve"> </w:t>
      </w:r>
      <w:r w:rsidR="00DA7F67" w:rsidRPr="002C52DD">
        <w:rPr>
          <w:i/>
          <w:lang w:val="nl-NL"/>
        </w:rPr>
        <w:t>MP</w:t>
      </w:r>
      <w:r w:rsidRPr="002C52DD">
        <w:rPr>
          <w:i/>
          <w:lang w:val="nl-NL"/>
        </w:rPr>
        <w:t xml:space="preserve"> </w:t>
      </w:r>
      <w:r w:rsidR="00DA7F67" w:rsidRPr="002C52DD">
        <w:rPr>
          <w:i/>
          <w:lang w:val="nl-NL"/>
        </w:rPr>
        <w:t>(Groen)</w:t>
      </w:r>
      <w:r w:rsidR="00F7432F" w:rsidRPr="002C52DD">
        <w:rPr>
          <w:i/>
          <w:lang w:val="nl-NL"/>
        </w:rPr>
        <w:t xml:space="preserve"> - 10/11/2016</w:t>
      </w:r>
    </w:p>
    <w:p w14:paraId="128EA3BF" w14:textId="7116DBC2" w:rsidR="00DA7F67" w:rsidRPr="002C52DD" w:rsidRDefault="00B57AC5" w:rsidP="002C52DD">
      <w:pPr>
        <w:pStyle w:val="Lijstalinea"/>
        <w:numPr>
          <w:ilvl w:val="0"/>
          <w:numId w:val="3"/>
        </w:numPr>
        <w:spacing w:line="276" w:lineRule="auto"/>
        <w:rPr>
          <w:i/>
          <w:lang w:val="nl-NL"/>
        </w:rPr>
      </w:pPr>
      <w:proofErr w:type="spellStart"/>
      <w:r w:rsidRPr="002C52DD">
        <w:rPr>
          <w:i/>
          <w:lang w:val="nl-NL"/>
        </w:rPr>
        <w:t>Walloon</w:t>
      </w:r>
      <w:proofErr w:type="spellEnd"/>
      <w:r w:rsidRPr="002C52DD">
        <w:rPr>
          <w:i/>
          <w:lang w:val="nl-NL"/>
        </w:rPr>
        <w:t xml:space="preserve"> </w:t>
      </w:r>
      <w:r w:rsidR="00DA7F67" w:rsidRPr="002C52DD">
        <w:rPr>
          <w:i/>
          <w:lang w:val="nl-NL"/>
        </w:rPr>
        <w:t>MP</w:t>
      </w:r>
      <w:r w:rsidRPr="002C52DD">
        <w:rPr>
          <w:i/>
          <w:lang w:val="nl-NL"/>
        </w:rPr>
        <w:t xml:space="preserve"> (Ecolo)</w:t>
      </w:r>
      <w:r w:rsidR="00F7432F" w:rsidRPr="002C52DD">
        <w:rPr>
          <w:i/>
          <w:lang w:val="nl-NL"/>
        </w:rPr>
        <w:t xml:space="preserve"> - 12/12/2016</w:t>
      </w:r>
    </w:p>
    <w:p w14:paraId="25E9BA07" w14:textId="47075592" w:rsidR="00B57AC5" w:rsidRPr="002C52DD" w:rsidRDefault="00B57AC5" w:rsidP="002C52DD">
      <w:pPr>
        <w:pStyle w:val="Lijstalinea"/>
        <w:numPr>
          <w:ilvl w:val="0"/>
          <w:numId w:val="3"/>
        </w:numPr>
        <w:spacing w:line="276" w:lineRule="auto"/>
        <w:rPr>
          <w:i/>
          <w:lang w:val="en-US"/>
        </w:rPr>
      </w:pPr>
      <w:r w:rsidRPr="002C52DD">
        <w:rPr>
          <w:i/>
          <w:lang w:val="en-US"/>
        </w:rPr>
        <w:t xml:space="preserve">Federal </w:t>
      </w:r>
      <w:r w:rsidR="00DA7F67" w:rsidRPr="002C52DD">
        <w:rPr>
          <w:i/>
          <w:lang w:val="en-US"/>
        </w:rPr>
        <w:t>MP</w:t>
      </w:r>
      <w:r w:rsidRPr="002C52DD">
        <w:rPr>
          <w:i/>
          <w:lang w:val="en-US"/>
        </w:rPr>
        <w:t xml:space="preserve"> (MR)</w:t>
      </w:r>
      <w:r w:rsidR="00F7432F" w:rsidRPr="002C52DD">
        <w:rPr>
          <w:i/>
          <w:lang w:val="en-US"/>
        </w:rPr>
        <w:t xml:space="preserve"> - 27/10/2016</w:t>
      </w:r>
    </w:p>
    <w:p w14:paraId="35A89A67" w14:textId="2678012D" w:rsidR="00B57AC5" w:rsidRPr="002C52DD" w:rsidRDefault="00B57AC5" w:rsidP="002C52DD">
      <w:pPr>
        <w:pStyle w:val="Lijstalinea"/>
        <w:numPr>
          <w:ilvl w:val="0"/>
          <w:numId w:val="3"/>
        </w:numPr>
        <w:spacing w:line="276" w:lineRule="auto"/>
        <w:rPr>
          <w:i/>
          <w:lang w:val="nl-NL"/>
        </w:rPr>
      </w:pPr>
      <w:r w:rsidRPr="002C52DD">
        <w:rPr>
          <w:i/>
          <w:lang w:val="nl-NL"/>
        </w:rPr>
        <w:t xml:space="preserve">Federal </w:t>
      </w:r>
      <w:r w:rsidR="00DA7F67" w:rsidRPr="002C52DD">
        <w:rPr>
          <w:i/>
          <w:lang w:val="nl-NL"/>
        </w:rPr>
        <w:t>MP</w:t>
      </w:r>
      <w:r w:rsidRPr="002C52DD">
        <w:rPr>
          <w:i/>
          <w:lang w:val="nl-NL"/>
        </w:rPr>
        <w:t xml:space="preserve"> (Groen)</w:t>
      </w:r>
      <w:r w:rsidR="00F7432F" w:rsidRPr="002C52DD">
        <w:rPr>
          <w:i/>
          <w:lang w:val="nl-NL"/>
        </w:rPr>
        <w:t xml:space="preserve"> - </w:t>
      </w:r>
      <w:r w:rsidR="00F7432F" w:rsidRPr="002C52DD">
        <w:rPr>
          <w:lang w:val="nl-NL"/>
        </w:rPr>
        <w:t>16/9/2016</w:t>
      </w:r>
    </w:p>
    <w:p w14:paraId="0A43922E" w14:textId="365B4A63" w:rsidR="00B57AC5" w:rsidRPr="002C52DD" w:rsidRDefault="00B57AC5" w:rsidP="002C52DD">
      <w:pPr>
        <w:pStyle w:val="Lijstalinea"/>
        <w:numPr>
          <w:ilvl w:val="0"/>
          <w:numId w:val="3"/>
        </w:numPr>
        <w:spacing w:line="276" w:lineRule="auto"/>
        <w:rPr>
          <w:i/>
          <w:lang w:val="en-US"/>
        </w:rPr>
      </w:pPr>
      <w:r w:rsidRPr="002C52DD">
        <w:rPr>
          <w:i/>
          <w:lang w:val="en-US"/>
        </w:rPr>
        <w:t xml:space="preserve">Flemish </w:t>
      </w:r>
      <w:r w:rsidR="00DA7F67" w:rsidRPr="002C52DD">
        <w:rPr>
          <w:i/>
          <w:lang w:val="en-US"/>
        </w:rPr>
        <w:t>MP</w:t>
      </w:r>
      <w:r w:rsidRPr="002C52DD">
        <w:rPr>
          <w:i/>
          <w:lang w:val="en-US"/>
        </w:rPr>
        <w:t xml:space="preserve"> (N</w:t>
      </w:r>
      <w:r w:rsidR="00F7432F" w:rsidRPr="002C52DD">
        <w:rPr>
          <w:i/>
          <w:lang w:val="en-US"/>
        </w:rPr>
        <w:t>-</w:t>
      </w:r>
      <w:r w:rsidRPr="002C52DD">
        <w:rPr>
          <w:i/>
          <w:lang w:val="en-US"/>
        </w:rPr>
        <w:t>VA)</w:t>
      </w:r>
      <w:r w:rsidR="00F7432F" w:rsidRPr="002C52DD">
        <w:rPr>
          <w:i/>
          <w:lang w:val="en-US"/>
        </w:rPr>
        <w:t xml:space="preserve"> - 16/11/2016</w:t>
      </w:r>
    </w:p>
    <w:p w14:paraId="5C3C35D8" w14:textId="5036F886" w:rsidR="00B57AC5" w:rsidRPr="002C52DD" w:rsidRDefault="00B57AC5" w:rsidP="002C52DD">
      <w:pPr>
        <w:pStyle w:val="Lijstalinea"/>
        <w:numPr>
          <w:ilvl w:val="0"/>
          <w:numId w:val="3"/>
        </w:numPr>
        <w:spacing w:line="276" w:lineRule="auto"/>
        <w:rPr>
          <w:i/>
          <w:lang w:val="en-US"/>
        </w:rPr>
      </w:pPr>
      <w:r w:rsidRPr="002C52DD">
        <w:rPr>
          <w:i/>
          <w:lang w:val="en-US"/>
        </w:rPr>
        <w:t xml:space="preserve">Federal </w:t>
      </w:r>
      <w:r w:rsidR="00DA7F67" w:rsidRPr="002C52DD">
        <w:rPr>
          <w:i/>
          <w:lang w:val="en-US"/>
        </w:rPr>
        <w:t>MP</w:t>
      </w:r>
      <w:r w:rsidRPr="002C52DD">
        <w:rPr>
          <w:i/>
          <w:lang w:val="en-US"/>
        </w:rPr>
        <w:t xml:space="preserve"> (</w:t>
      </w:r>
      <w:proofErr w:type="spellStart"/>
      <w:r w:rsidRPr="002C52DD">
        <w:rPr>
          <w:i/>
          <w:lang w:val="en-US"/>
        </w:rPr>
        <w:t>sp.a</w:t>
      </w:r>
      <w:proofErr w:type="spellEnd"/>
      <w:r w:rsidRPr="002C52DD">
        <w:rPr>
          <w:i/>
          <w:lang w:val="en-US"/>
        </w:rPr>
        <w:t>)</w:t>
      </w:r>
      <w:r w:rsidR="00F7432F" w:rsidRPr="002C52DD">
        <w:rPr>
          <w:i/>
          <w:lang w:val="en-US"/>
        </w:rPr>
        <w:t xml:space="preserve"> - 14/07/2016</w:t>
      </w:r>
    </w:p>
    <w:p w14:paraId="3AE70E7D" w14:textId="591062AE" w:rsidR="00B57AC5" w:rsidRPr="002C52DD" w:rsidRDefault="00B57AC5" w:rsidP="002C52DD">
      <w:pPr>
        <w:pStyle w:val="Lijstalinea"/>
        <w:numPr>
          <w:ilvl w:val="0"/>
          <w:numId w:val="3"/>
        </w:numPr>
        <w:spacing w:line="276" w:lineRule="auto"/>
        <w:rPr>
          <w:i/>
          <w:lang w:val="en-US"/>
        </w:rPr>
      </w:pPr>
      <w:r w:rsidRPr="002C52DD">
        <w:rPr>
          <w:i/>
          <w:lang w:val="en-US"/>
        </w:rPr>
        <w:t xml:space="preserve">Flemish </w:t>
      </w:r>
      <w:r w:rsidR="00DA7F67" w:rsidRPr="002C52DD">
        <w:rPr>
          <w:i/>
          <w:lang w:val="en-US"/>
        </w:rPr>
        <w:t>MP</w:t>
      </w:r>
      <w:r w:rsidRPr="002C52DD">
        <w:rPr>
          <w:i/>
          <w:lang w:val="en-US"/>
        </w:rPr>
        <w:t xml:space="preserve"> (Open VLD)</w:t>
      </w:r>
      <w:r w:rsidR="00F7432F" w:rsidRPr="002C52DD">
        <w:rPr>
          <w:i/>
          <w:lang w:val="en-US"/>
        </w:rPr>
        <w:t xml:space="preserve"> - 25/11/2016</w:t>
      </w:r>
    </w:p>
    <w:p w14:paraId="4E4C2426" w14:textId="71BD2D36" w:rsidR="00B57AC5" w:rsidRPr="002C52DD" w:rsidRDefault="00B57AC5" w:rsidP="002C52DD">
      <w:pPr>
        <w:pStyle w:val="Lijstalinea"/>
        <w:numPr>
          <w:ilvl w:val="0"/>
          <w:numId w:val="3"/>
        </w:numPr>
        <w:spacing w:line="276" w:lineRule="auto"/>
        <w:rPr>
          <w:i/>
          <w:lang w:val="nl-NL"/>
        </w:rPr>
      </w:pPr>
      <w:r w:rsidRPr="002C52DD">
        <w:rPr>
          <w:i/>
          <w:lang w:val="nl-NL"/>
        </w:rPr>
        <w:t>CNCD</w:t>
      </w:r>
      <w:r w:rsidR="00F7432F" w:rsidRPr="002C52DD">
        <w:rPr>
          <w:i/>
          <w:lang w:val="nl-NL"/>
        </w:rPr>
        <w:t xml:space="preserve"> - 22/02/2017</w:t>
      </w:r>
    </w:p>
    <w:p w14:paraId="74D53098" w14:textId="1A3B257E" w:rsidR="00B57AC5" w:rsidRPr="002C52DD" w:rsidRDefault="00B57AC5" w:rsidP="002C52DD">
      <w:pPr>
        <w:pStyle w:val="Lijstalinea"/>
        <w:numPr>
          <w:ilvl w:val="0"/>
          <w:numId w:val="3"/>
        </w:numPr>
        <w:spacing w:line="276" w:lineRule="auto"/>
        <w:rPr>
          <w:i/>
          <w:lang w:val="nl-NL"/>
        </w:rPr>
      </w:pPr>
      <w:r w:rsidRPr="002C52DD">
        <w:rPr>
          <w:i/>
          <w:lang w:val="nl-NL"/>
        </w:rPr>
        <w:t>UWE</w:t>
      </w:r>
      <w:r w:rsidR="00F7432F" w:rsidRPr="002C52DD">
        <w:rPr>
          <w:i/>
          <w:lang w:val="nl-NL"/>
        </w:rPr>
        <w:t xml:space="preserve"> - 24/06/2016</w:t>
      </w:r>
    </w:p>
    <w:p w14:paraId="79C9855B" w14:textId="653B7C83" w:rsidR="00B57AC5" w:rsidRPr="002C52DD" w:rsidRDefault="00D65403" w:rsidP="002C52DD">
      <w:pPr>
        <w:pStyle w:val="Lijstalinea"/>
        <w:numPr>
          <w:ilvl w:val="0"/>
          <w:numId w:val="3"/>
        </w:numPr>
        <w:spacing w:line="276" w:lineRule="auto"/>
        <w:rPr>
          <w:i/>
          <w:lang w:val="nl-NL"/>
        </w:rPr>
      </w:pPr>
      <w:r w:rsidRPr="002C52DD">
        <w:rPr>
          <w:i/>
          <w:lang w:val="nl-NL"/>
        </w:rPr>
        <w:t>11.11.11</w:t>
      </w:r>
      <w:r w:rsidR="00F7432F" w:rsidRPr="002C52DD">
        <w:rPr>
          <w:i/>
          <w:lang w:val="nl-NL"/>
        </w:rPr>
        <w:t xml:space="preserve"> - 21/03/2016</w:t>
      </w:r>
    </w:p>
    <w:p w14:paraId="61878576" w14:textId="04F2B0F8" w:rsidR="0034670E" w:rsidRPr="002C52DD" w:rsidRDefault="0034670E" w:rsidP="002C52DD">
      <w:pPr>
        <w:pStyle w:val="Lijstalinea"/>
        <w:numPr>
          <w:ilvl w:val="0"/>
          <w:numId w:val="3"/>
        </w:numPr>
        <w:spacing w:line="276" w:lineRule="auto"/>
        <w:rPr>
          <w:i/>
          <w:lang w:val="nl-NL"/>
        </w:rPr>
      </w:pPr>
      <w:r w:rsidRPr="002C52DD">
        <w:rPr>
          <w:i/>
          <w:lang w:val="nl-NL"/>
        </w:rPr>
        <w:t>Christelijke Mutualiteit (CM)</w:t>
      </w:r>
      <w:r w:rsidR="00F7432F" w:rsidRPr="002C52DD">
        <w:rPr>
          <w:i/>
          <w:lang w:val="nl-NL"/>
        </w:rPr>
        <w:t xml:space="preserve"> - 21/04/2016</w:t>
      </w:r>
    </w:p>
    <w:p w14:paraId="62CC8742" w14:textId="342CC476" w:rsidR="00FC4B19" w:rsidRPr="002C52DD" w:rsidRDefault="00FC4B19" w:rsidP="002C52DD">
      <w:pPr>
        <w:pStyle w:val="Lijstalinea"/>
        <w:numPr>
          <w:ilvl w:val="0"/>
          <w:numId w:val="3"/>
        </w:numPr>
        <w:spacing w:line="276" w:lineRule="auto"/>
        <w:rPr>
          <w:i/>
          <w:lang w:val="nl-NL"/>
        </w:rPr>
      </w:pPr>
      <w:proofErr w:type="spellStart"/>
      <w:r w:rsidRPr="002C52DD">
        <w:rPr>
          <w:i/>
          <w:lang w:val="nl-NL"/>
        </w:rPr>
        <w:t>TestAankoop</w:t>
      </w:r>
      <w:proofErr w:type="spellEnd"/>
      <w:r w:rsidR="00F7432F" w:rsidRPr="002C52DD">
        <w:rPr>
          <w:i/>
          <w:lang w:val="nl-NL"/>
        </w:rPr>
        <w:t xml:space="preserve"> - 19/04/2016</w:t>
      </w:r>
    </w:p>
    <w:p w14:paraId="5B6DDB8C" w14:textId="40C99460" w:rsidR="00FC4B19" w:rsidRPr="002C52DD" w:rsidRDefault="00FC4B19" w:rsidP="002C52DD">
      <w:pPr>
        <w:pStyle w:val="Lijstalinea"/>
        <w:numPr>
          <w:ilvl w:val="0"/>
          <w:numId w:val="3"/>
        </w:numPr>
        <w:spacing w:line="276" w:lineRule="auto"/>
        <w:rPr>
          <w:i/>
          <w:lang w:val="nl-NL"/>
        </w:rPr>
      </w:pPr>
      <w:r w:rsidRPr="002C52DD">
        <w:rPr>
          <w:i/>
          <w:lang w:val="nl-NL"/>
        </w:rPr>
        <w:t>ABVV/FGTB</w:t>
      </w:r>
      <w:r w:rsidR="00F7432F" w:rsidRPr="002C52DD">
        <w:rPr>
          <w:i/>
          <w:lang w:val="nl-NL"/>
        </w:rPr>
        <w:t xml:space="preserve"> - 23/05/2016</w:t>
      </w:r>
    </w:p>
    <w:p w14:paraId="208C6B45" w14:textId="1C9231BD" w:rsidR="00FC4B19" w:rsidRPr="002C52DD" w:rsidRDefault="00FC4B19" w:rsidP="002C52DD">
      <w:pPr>
        <w:pStyle w:val="Lijstalinea"/>
        <w:numPr>
          <w:ilvl w:val="0"/>
          <w:numId w:val="3"/>
        </w:numPr>
        <w:spacing w:line="276" w:lineRule="auto"/>
        <w:rPr>
          <w:i/>
          <w:lang w:val="nl-NL"/>
        </w:rPr>
      </w:pPr>
      <w:r w:rsidRPr="002C52DD">
        <w:rPr>
          <w:i/>
          <w:lang w:val="nl-NL"/>
        </w:rPr>
        <w:t>ACV/CSC</w:t>
      </w:r>
      <w:r w:rsidR="00F7432F" w:rsidRPr="002C52DD">
        <w:rPr>
          <w:i/>
          <w:lang w:val="nl-NL"/>
        </w:rPr>
        <w:t xml:space="preserve"> - 12/05/2016</w:t>
      </w:r>
    </w:p>
    <w:p w14:paraId="45FBEEA3" w14:textId="7FB54AA3" w:rsidR="00FC4B19" w:rsidRPr="002C52DD" w:rsidRDefault="00FC4B19" w:rsidP="002C52DD">
      <w:pPr>
        <w:pStyle w:val="Lijstalinea"/>
        <w:numPr>
          <w:ilvl w:val="0"/>
          <w:numId w:val="3"/>
        </w:numPr>
        <w:spacing w:line="276" w:lineRule="auto"/>
        <w:rPr>
          <w:i/>
          <w:lang w:val="nl-NL"/>
        </w:rPr>
      </w:pPr>
      <w:r w:rsidRPr="002C52DD">
        <w:rPr>
          <w:i/>
          <w:lang w:val="nl-NL"/>
        </w:rPr>
        <w:t>VBO</w:t>
      </w:r>
      <w:r w:rsidR="00F7432F" w:rsidRPr="002C52DD">
        <w:rPr>
          <w:i/>
          <w:lang w:val="nl-NL"/>
        </w:rPr>
        <w:t xml:space="preserve"> - 13/04/2016</w:t>
      </w:r>
    </w:p>
    <w:p w14:paraId="4DB8F44B" w14:textId="0135F7EE" w:rsidR="00B57AC5" w:rsidRPr="002C52DD" w:rsidRDefault="00D65403" w:rsidP="002C52DD">
      <w:pPr>
        <w:pStyle w:val="Lijstalinea"/>
        <w:numPr>
          <w:ilvl w:val="0"/>
          <w:numId w:val="3"/>
        </w:numPr>
        <w:spacing w:line="276" w:lineRule="auto"/>
        <w:rPr>
          <w:lang w:val="fr-BE"/>
        </w:rPr>
      </w:pPr>
      <w:r w:rsidRPr="002C52DD">
        <w:rPr>
          <w:i/>
          <w:lang w:val="fr-BE"/>
        </w:rPr>
        <w:t>Wallonie</w:t>
      </w:r>
      <w:r w:rsidR="00F7432F" w:rsidRPr="002C52DD">
        <w:rPr>
          <w:i/>
          <w:lang w:val="fr-BE"/>
        </w:rPr>
        <w:t>-</w:t>
      </w:r>
      <w:r w:rsidRPr="002C52DD">
        <w:rPr>
          <w:i/>
          <w:lang w:val="fr-BE"/>
        </w:rPr>
        <w:t>Bruxelles International</w:t>
      </w:r>
      <w:r w:rsidRPr="002C52DD">
        <w:rPr>
          <w:lang w:val="fr-BE"/>
        </w:rPr>
        <w:t xml:space="preserve"> </w:t>
      </w:r>
      <w:r w:rsidR="00F7432F" w:rsidRPr="002C52DD">
        <w:rPr>
          <w:lang w:val="fr-BE"/>
        </w:rPr>
        <w:t xml:space="preserve"> - 23/06/2016</w:t>
      </w:r>
    </w:p>
    <w:p w14:paraId="4F028340" w14:textId="3DCEBAE9" w:rsidR="00DA7F67" w:rsidRPr="002C52DD" w:rsidRDefault="00D65403" w:rsidP="002C52DD">
      <w:pPr>
        <w:pStyle w:val="Lijstalinea"/>
        <w:numPr>
          <w:ilvl w:val="0"/>
          <w:numId w:val="3"/>
        </w:numPr>
        <w:spacing w:line="276" w:lineRule="auto"/>
        <w:rPr>
          <w:i/>
          <w:lang w:val="fr-BE"/>
        </w:rPr>
      </w:pPr>
      <w:r w:rsidRPr="002C52DD">
        <w:rPr>
          <w:i/>
          <w:lang w:val="fr-BE"/>
        </w:rPr>
        <w:t>Departement Internationaal Vlaanderen</w:t>
      </w:r>
      <w:r w:rsidR="00F7432F" w:rsidRPr="002C52DD">
        <w:rPr>
          <w:i/>
          <w:lang w:val="fr-BE"/>
        </w:rPr>
        <w:t xml:space="preserve"> - 26/04/2016</w:t>
      </w:r>
    </w:p>
    <w:p w14:paraId="3D639FE5" w14:textId="38DCB062" w:rsidR="00FC4B19" w:rsidRDefault="00FC4B19" w:rsidP="002C52DD">
      <w:pPr>
        <w:pStyle w:val="Lijstalinea"/>
        <w:numPr>
          <w:ilvl w:val="0"/>
          <w:numId w:val="3"/>
        </w:numPr>
        <w:spacing w:line="276" w:lineRule="auto"/>
        <w:rPr>
          <w:i/>
          <w:lang w:val="fr-BE"/>
        </w:rPr>
      </w:pPr>
      <w:r w:rsidRPr="002C52DD">
        <w:rPr>
          <w:i/>
          <w:lang w:val="fr-BE"/>
        </w:rPr>
        <w:t>European Documentation Service, Flemish Parliament</w:t>
      </w:r>
      <w:r w:rsidR="00F7432F" w:rsidRPr="002C52DD">
        <w:rPr>
          <w:i/>
          <w:lang w:val="fr-BE"/>
        </w:rPr>
        <w:t xml:space="preserve"> - 16/11/2016</w:t>
      </w:r>
    </w:p>
    <w:p w14:paraId="2C8690BC" w14:textId="191995F2" w:rsidR="00BD4CDB" w:rsidRDefault="00BD4CDB" w:rsidP="002C52DD">
      <w:pPr>
        <w:pStyle w:val="Lijstalinea"/>
        <w:numPr>
          <w:ilvl w:val="0"/>
          <w:numId w:val="3"/>
        </w:numPr>
        <w:spacing w:line="276" w:lineRule="auto"/>
        <w:rPr>
          <w:i/>
          <w:lang w:val="fr-BE"/>
        </w:rPr>
      </w:pPr>
      <w:r>
        <w:rPr>
          <w:i/>
          <w:lang w:val="fr-BE"/>
        </w:rPr>
        <w:t>Boerenbond – 27/04/2016</w:t>
      </w:r>
    </w:p>
    <w:p w14:paraId="42B0D7F8" w14:textId="3CD05BDC" w:rsidR="00BD4CDB" w:rsidRPr="002C52DD" w:rsidRDefault="00BD4CDB" w:rsidP="002C52DD">
      <w:pPr>
        <w:pStyle w:val="Lijstalinea"/>
        <w:numPr>
          <w:ilvl w:val="0"/>
          <w:numId w:val="3"/>
        </w:numPr>
        <w:spacing w:line="276" w:lineRule="auto"/>
        <w:rPr>
          <w:i/>
          <w:lang w:val="fr-BE"/>
        </w:rPr>
      </w:pPr>
      <w:r>
        <w:rPr>
          <w:i/>
          <w:lang w:val="fr-BE"/>
        </w:rPr>
        <w:t>VOKA – 14/07/2016</w:t>
      </w:r>
    </w:p>
    <w:p w14:paraId="6A7EAB90" w14:textId="77777777" w:rsidR="00DA7F67" w:rsidRPr="00F7432F" w:rsidRDefault="00DA7F67" w:rsidP="009074F5">
      <w:pPr>
        <w:spacing w:line="276" w:lineRule="auto"/>
        <w:jc w:val="both"/>
        <w:rPr>
          <w:i/>
          <w:lang w:val="fr-BE"/>
        </w:rPr>
      </w:pPr>
    </w:p>
    <w:p w14:paraId="21C77FD9" w14:textId="2E721AE6" w:rsidR="00D600C3" w:rsidRPr="00F7432F" w:rsidRDefault="00730C7D" w:rsidP="009074F5">
      <w:pPr>
        <w:spacing w:line="276" w:lineRule="auto"/>
        <w:jc w:val="both"/>
        <w:rPr>
          <w:b/>
          <w:lang w:val="en-US"/>
        </w:rPr>
      </w:pPr>
      <w:r w:rsidRPr="00F7432F">
        <w:rPr>
          <w:b/>
          <w:lang w:val="en-US"/>
        </w:rPr>
        <w:t xml:space="preserve">Bibliography </w:t>
      </w:r>
      <w:r w:rsidR="00C000AA" w:rsidRPr="00F7432F">
        <w:rPr>
          <w:b/>
          <w:lang w:val="en-US"/>
        </w:rPr>
        <w:t>(preliminary)</w:t>
      </w:r>
    </w:p>
    <w:p w14:paraId="59A8DD1F" w14:textId="2FBC08F5" w:rsidR="006D01A1" w:rsidRPr="00F7432F" w:rsidRDefault="006D01A1" w:rsidP="009074F5">
      <w:pPr>
        <w:spacing w:line="276" w:lineRule="auto"/>
        <w:jc w:val="both"/>
        <w:rPr>
          <w:lang w:val="en-US"/>
        </w:rPr>
      </w:pPr>
    </w:p>
    <w:p w14:paraId="05826B26" w14:textId="25ADEF93" w:rsidR="00E45CF0" w:rsidRPr="00B57AC5" w:rsidRDefault="00E45CF0" w:rsidP="009074F5">
      <w:pPr>
        <w:widowControl w:val="0"/>
        <w:autoSpaceDE w:val="0"/>
        <w:autoSpaceDN w:val="0"/>
        <w:adjustRightInd w:val="0"/>
        <w:spacing w:line="276" w:lineRule="auto"/>
        <w:ind w:left="480" w:hanging="480"/>
        <w:rPr>
          <w:lang w:val="en-GB"/>
        </w:rPr>
      </w:pPr>
      <w:proofErr w:type="gramStart"/>
      <w:r w:rsidRPr="00B57AC5">
        <w:rPr>
          <w:lang w:val="en-GB"/>
        </w:rPr>
        <w:t>Anon. (2017).</w:t>
      </w:r>
      <w:proofErr w:type="gramEnd"/>
      <w:r w:rsidRPr="00B57AC5">
        <w:rPr>
          <w:lang w:val="en-GB"/>
        </w:rPr>
        <w:t xml:space="preserve"> Trading together: For strong and democratically legitimized EU international agreements. 25 January, available at </w:t>
      </w:r>
      <w:hyperlink r:id="rId11" w:history="1">
        <w:r w:rsidRPr="00B57AC5">
          <w:rPr>
            <w:rStyle w:val="Hyperlink"/>
            <w:lang w:val="en-GB"/>
          </w:rPr>
          <w:t>https://media.wix.com/ugd/035467_d81f8a7835434c438cff38b5f20dd036.pdf</w:t>
        </w:r>
      </w:hyperlink>
      <w:r w:rsidRPr="00B57AC5">
        <w:rPr>
          <w:lang w:val="en-GB"/>
        </w:rPr>
        <w:t xml:space="preserve">. </w:t>
      </w:r>
    </w:p>
    <w:p w14:paraId="4B94629C" w14:textId="3F7A4FD1"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lang w:val="en-GB"/>
        </w:rPr>
        <w:fldChar w:fldCharType="begin" w:fldLock="1"/>
      </w:r>
      <w:r w:rsidRPr="00B57AC5">
        <w:rPr>
          <w:lang w:val="en-GB"/>
        </w:rPr>
        <w:instrText xml:space="preserve">ADDIN Mendeley Bibliography CSL_BIBLIOGRAPHY </w:instrText>
      </w:r>
      <w:r w:rsidRPr="00B57AC5">
        <w:rPr>
          <w:lang w:val="en-GB"/>
        </w:rPr>
        <w:fldChar w:fldCharType="separate"/>
      </w:r>
      <w:r w:rsidRPr="00B57AC5">
        <w:rPr>
          <w:rFonts w:cs="Times New Roman"/>
          <w:noProof/>
          <w:lang w:val="en-US"/>
        </w:rPr>
        <w:t xml:space="preserve">Billiet, S. (2006). From GATT to the WTO: The internal struggle for external competences in the EU. </w:t>
      </w:r>
      <w:r w:rsidRPr="00B57AC5">
        <w:rPr>
          <w:rFonts w:cs="Times New Roman"/>
          <w:i/>
          <w:iCs/>
          <w:noProof/>
          <w:lang w:val="en-US"/>
        </w:rPr>
        <w:t>Journal of Common Market Studies</w:t>
      </w:r>
      <w:r w:rsidRPr="00B57AC5">
        <w:rPr>
          <w:rFonts w:cs="Times New Roman"/>
          <w:noProof/>
          <w:lang w:val="en-US"/>
        </w:rPr>
        <w:t xml:space="preserve">, </w:t>
      </w:r>
      <w:r w:rsidRPr="00B57AC5">
        <w:rPr>
          <w:rFonts w:cs="Times New Roman"/>
          <w:i/>
          <w:iCs/>
          <w:noProof/>
          <w:lang w:val="en-US"/>
        </w:rPr>
        <w:t>44</w:t>
      </w:r>
      <w:r w:rsidRPr="00B57AC5">
        <w:rPr>
          <w:rFonts w:cs="Times New Roman"/>
          <w:noProof/>
          <w:lang w:val="en-US"/>
        </w:rPr>
        <w:t>(5), 899–919. http://doi.org/10.1111/j.1468-5965.2006.00667.x</w:t>
      </w:r>
    </w:p>
    <w:p w14:paraId="1697D94F"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Bollen, Y., Derous, M., De Ville, F., Gheyle, N., Orbie, J., &amp; Van den Putte, L. (2015). Belgium’s role in EU Trade Policy. </w:t>
      </w:r>
      <w:r w:rsidRPr="00B57AC5">
        <w:rPr>
          <w:rFonts w:cs="Times New Roman"/>
          <w:i/>
          <w:iCs/>
          <w:noProof/>
          <w:lang w:val="en-US"/>
        </w:rPr>
        <w:t>Studia Diplomatica</w:t>
      </w:r>
      <w:r w:rsidRPr="00B57AC5">
        <w:rPr>
          <w:rFonts w:cs="Times New Roman"/>
          <w:noProof/>
          <w:lang w:val="en-US"/>
        </w:rPr>
        <w:t xml:space="preserve">, </w:t>
      </w:r>
      <w:r w:rsidRPr="00B57AC5">
        <w:rPr>
          <w:rFonts w:cs="Times New Roman"/>
          <w:i/>
          <w:iCs/>
          <w:noProof/>
          <w:lang w:val="en-US"/>
        </w:rPr>
        <w:t>68</w:t>
      </w:r>
      <w:r w:rsidRPr="00B57AC5">
        <w:rPr>
          <w:rFonts w:cs="Times New Roman"/>
          <w:noProof/>
          <w:lang w:val="en-US"/>
        </w:rPr>
        <w:t>(2), 73–90.</w:t>
      </w:r>
    </w:p>
    <w:p w14:paraId="5A786EFC"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fr-BE"/>
        </w:rPr>
      </w:pPr>
      <w:r w:rsidRPr="00B57AC5">
        <w:rPr>
          <w:rFonts w:cs="Times New Roman"/>
          <w:noProof/>
          <w:lang w:val="en-US"/>
        </w:rPr>
        <w:t xml:space="preserve">Bossuyt, F. (2012). </w:t>
      </w:r>
      <w:r w:rsidRPr="00B57AC5">
        <w:rPr>
          <w:rFonts w:cs="Times New Roman"/>
          <w:noProof/>
        </w:rPr>
        <w:t xml:space="preserve">De impact van multilevel governance op de democratische input in het EU-handelsbeleid onder het Verdrag van Lissabon. </w:t>
      </w:r>
      <w:r w:rsidRPr="00B57AC5">
        <w:rPr>
          <w:rFonts w:cs="Times New Roman"/>
          <w:i/>
          <w:iCs/>
          <w:noProof/>
          <w:lang w:val="fr-BE"/>
        </w:rPr>
        <w:t>Res Publica</w:t>
      </w:r>
      <w:r w:rsidRPr="00B57AC5">
        <w:rPr>
          <w:rFonts w:cs="Times New Roman"/>
          <w:noProof/>
          <w:lang w:val="fr-BE"/>
        </w:rPr>
        <w:t xml:space="preserve">, </w:t>
      </w:r>
      <w:r w:rsidRPr="00B57AC5">
        <w:rPr>
          <w:rFonts w:cs="Times New Roman"/>
          <w:i/>
          <w:iCs/>
          <w:noProof/>
          <w:lang w:val="fr-BE"/>
        </w:rPr>
        <w:t>1</w:t>
      </w:r>
      <w:r w:rsidRPr="00B57AC5">
        <w:rPr>
          <w:rFonts w:cs="Times New Roman"/>
          <w:noProof/>
          <w:lang w:val="fr-BE"/>
        </w:rPr>
        <w:t>.</w:t>
      </w:r>
    </w:p>
    <w:p w14:paraId="594697BB"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fr-BE"/>
        </w:rPr>
      </w:pPr>
      <w:r w:rsidRPr="00B57AC5">
        <w:rPr>
          <w:rFonts w:cs="Times New Roman"/>
          <w:noProof/>
          <w:lang w:val="fr-BE"/>
        </w:rPr>
        <w:t>Comité d’avis chargé des questions Européennes. (2015). Projet de Partenarait Transatlantique de Commerce et d’investissement entre l’Union Européenne et les États-Unis (TTIP).</w:t>
      </w:r>
    </w:p>
    <w:p w14:paraId="0437C724" w14:textId="77777777" w:rsidR="007A766D" w:rsidRPr="00B57AC5" w:rsidRDefault="007A766D" w:rsidP="009074F5">
      <w:pPr>
        <w:widowControl w:val="0"/>
        <w:autoSpaceDE w:val="0"/>
        <w:autoSpaceDN w:val="0"/>
        <w:adjustRightInd w:val="0"/>
        <w:spacing w:line="276" w:lineRule="auto"/>
        <w:ind w:left="480" w:hanging="480"/>
        <w:rPr>
          <w:rFonts w:cs="Times New Roman"/>
          <w:noProof/>
        </w:rPr>
      </w:pPr>
      <w:r w:rsidRPr="00B57AC5">
        <w:rPr>
          <w:rFonts w:cs="Times New Roman"/>
          <w:noProof/>
        </w:rPr>
        <w:t>Coolsaet, R. (2015). Belgie en zijn buitenlandse politiek: 1830-2015.</w:t>
      </w:r>
    </w:p>
    <w:p w14:paraId="6ADF5A43" w14:textId="77777777" w:rsidR="007A766D" w:rsidRPr="00B57AC5" w:rsidRDefault="007A766D" w:rsidP="009074F5">
      <w:pPr>
        <w:widowControl w:val="0"/>
        <w:autoSpaceDE w:val="0"/>
        <w:autoSpaceDN w:val="0"/>
        <w:adjustRightInd w:val="0"/>
        <w:spacing w:line="276" w:lineRule="auto"/>
        <w:ind w:left="480" w:hanging="480"/>
        <w:rPr>
          <w:rFonts w:cs="Times New Roman"/>
          <w:noProof/>
        </w:rPr>
      </w:pPr>
      <w:r w:rsidRPr="00B57AC5">
        <w:rPr>
          <w:rFonts w:cs="Times New Roman"/>
          <w:noProof/>
          <w:lang w:val="en-US"/>
        </w:rPr>
        <w:t xml:space="preserve">De Ville, F. (2012). Subsidiarity and EU trade policy: overview of the (complex) discussion, treaty of Lisbon, and implications for Flanders. </w:t>
      </w:r>
      <w:r w:rsidRPr="00B57AC5">
        <w:rPr>
          <w:rFonts w:cs="Times New Roman"/>
          <w:noProof/>
        </w:rPr>
        <w:t xml:space="preserve">In </w:t>
      </w:r>
      <w:r w:rsidRPr="00B57AC5">
        <w:rPr>
          <w:rFonts w:cs="Times New Roman"/>
          <w:i/>
          <w:iCs/>
          <w:noProof/>
        </w:rPr>
        <w:t>Subsidiarity and multi-level governance</w:t>
      </w:r>
      <w:r w:rsidRPr="00B57AC5">
        <w:rPr>
          <w:rFonts w:cs="Times New Roman"/>
          <w:noProof/>
        </w:rPr>
        <w:t xml:space="preserve"> (pp. 125–136). Brussels: Koninklijke Vlaamse Academie van België voor Wetenschappen en Kunsten.</w:t>
      </w:r>
    </w:p>
    <w:p w14:paraId="1596A04C"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lastRenderedPageBreak/>
        <w:t xml:space="preserve">De Ville, F. (2016). Regulatory Cooperation in TTIP. A risk for democratic policy making? </w:t>
      </w:r>
      <w:r w:rsidRPr="00B57AC5">
        <w:rPr>
          <w:rFonts w:cs="Times New Roman"/>
          <w:i/>
          <w:iCs/>
          <w:noProof/>
          <w:lang w:val="en-US"/>
        </w:rPr>
        <w:t>FEPS Policy Brief, February 2016</w:t>
      </w:r>
      <w:r w:rsidRPr="00B57AC5">
        <w:rPr>
          <w:rFonts w:cs="Times New Roman"/>
          <w:noProof/>
          <w:lang w:val="en-US"/>
        </w:rPr>
        <w:t>.</w:t>
      </w:r>
    </w:p>
    <w:p w14:paraId="4E9042EC"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De Ville, F., &amp; Siles-Brügge, G. (2015). </w:t>
      </w:r>
      <w:r w:rsidRPr="00B57AC5">
        <w:rPr>
          <w:rFonts w:cs="Times New Roman"/>
          <w:i/>
          <w:iCs/>
          <w:noProof/>
          <w:lang w:val="en-US"/>
        </w:rPr>
        <w:t>TTIP - The truth about the transatlantic trade and investment partnership.</w:t>
      </w:r>
      <w:r w:rsidRPr="00B57AC5">
        <w:rPr>
          <w:rFonts w:cs="Times New Roman"/>
          <w:noProof/>
          <w:lang w:val="en-US"/>
        </w:rPr>
        <w:t xml:space="preserve"> Cambridge, MA: Polity Press.</w:t>
      </w:r>
    </w:p>
    <w:p w14:paraId="0F64443C"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Devuyst, Y. (2013). European union law and practice in the negotation and conclusion of international trade agreements. </w:t>
      </w:r>
      <w:r w:rsidRPr="00B57AC5">
        <w:rPr>
          <w:rFonts w:cs="Times New Roman"/>
          <w:i/>
          <w:iCs/>
          <w:noProof/>
          <w:lang w:val="en-US"/>
        </w:rPr>
        <w:t>Journal of International Business &amp; Law</w:t>
      </w:r>
      <w:r w:rsidRPr="00B57AC5">
        <w:rPr>
          <w:rFonts w:cs="Times New Roman"/>
          <w:noProof/>
          <w:lang w:val="en-US"/>
        </w:rPr>
        <w:t>.</w:t>
      </w:r>
    </w:p>
    <w:p w14:paraId="149A65E0"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Eliasson, L. J. (2015). The Transatlantic Trade and Investment Partnership: Interest groups and public opinion. </w:t>
      </w:r>
      <w:r w:rsidRPr="00B57AC5">
        <w:rPr>
          <w:rFonts w:cs="Times New Roman"/>
          <w:i/>
          <w:iCs/>
          <w:noProof/>
          <w:lang w:val="en-US"/>
        </w:rPr>
        <w:t xml:space="preserve">14th Biennial Meeting of the European Union Studies </w:t>
      </w:r>
      <w:r w:rsidRPr="00B57AC5">
        <w:rPr>
          <w:rFonts w:cs="Times New Roman"/>
          <w:noProof/>
          <w:lang w:val="en-US"/>
        </w:rPr>
        <w:t>Association, Boston, 5–7.</w:t>
      </w:r>
    </w:p>
    <w:p w14:paraId="6DCF9952" w14:textId="514C9210" w:rsidR="000664CE" w:rsidRPr="00B57AC5" w:rsidRDefault="000664CE" w:rsidP="00B57AC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Falkner, G. (2016). The European Union's social dimension. In: Cini, M. &amp; Borragan, N. P-S. (eds.), European Union Politics (Fifth Edition), Oxford: Oxford University Press, pp. 269-280,  </w:t>
      </w:r>
    </w:p>
    <w:p w14:paraId="32C7B69F" w14:textId="77777777" w:rsidR="007275FE" w:rsidRPr="00B57AC5" w:rsidRDefault="007275FE" w:rsidP="00B57AC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Friedrichs, J., &amp; Kratochwil, F. (2009). On acting and knowing: how pragmatism can advance international relations research and methodology. International Organization, 63(04), 701-731.</w:t>
      </w:r>
    </w:p>
    <w:p w14:paraId="0242FF12" w14:textId="77777777" w:rsidR="007A766D" w:rsidRPr="00B57AC5" w:rsidRDefault="007A766D" w:rsidP="00B57AC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FWA. (2016). FWA CETA.</w:t>
      </w:r>
    </w:p>
    <w:p w14:paraId="5F400DF5" w14:textId="77777777" w:rsidR="007A766D" w:rsidRPr="00B57AC5" w:rsidRDefault="007A766D" w:rsidP="00B57AC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Gheyle, N. (2016). Adding fuel to the flames: how TTIP reinvigorated the politicization of trade. Paper Presented at the GIFTA Workshop Series “Social and Labour Impacts of Free Trade Agreements”, 7-8 July, Brussels.</w:t>
      </w:r>
    </w:p>
    <w:p w14:paraId="37646798"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Howse, R., &amp; Nicolaïdis, K. (2003). Enhancing WTO legitimacy: constitutionalization or global subsidiarity? Governance, 16(1), 73–94.</w:t>
      </w:r>
    </w:p>
    <w:p w14:paraId="59D85296" w14:textId="6388F613" w:rsidR="00BB2DF8" w:rsidRPr="00B57AC5" w:rsidRDefault="00CC5ACF"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Jančić</w:t>
      </w:r>
      <w:r w:rsidR="00BB2DF8" w:rsidRPr="00B57AC5">
        <w:rPr>
          <w:rFonts w:cs="Times New Roman"/>
          <w:noProof/>
          <w:lang w:val="en-US"/>
        </w:rPr>
        <w:t xml:space="preserve">, D. (2017). TTIP and legislative-executive relations in EU trade policy. West European Politics, 40(1), 202-221. </w:t>
      </w:r>
    </w:p>
    <w:p w14:paraId="21E6F8CE"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Krajewski, M. (2010). The Reform of the Common Commercial Policy. In A. Bioni &amp; P. Eeckhout (Eds.), </w:t>
      </w:r>
      <w:r w:rsidRPr="00B57AC5">
        <w:rPr>
          <w:rFonts w:cs="Times New Roman"/>
          <w:i/>
          <w:iCs/>
          <w:noProof/>
          <w:lang w:val="en-US"/>
        </w:rPr>
        <w:t>European Union Law after the Treaty of Lisbon</w:t>
      </w:r>
      <w:r w:rsidRPr="00B57AC5">
        <w:rPr>
          <w:rFonts w:cs="Times New Roman"/>
          <w:noProof/>
          <w:lang w:val="en-US"/>
        </w:rPr>
        <w:t>.</w:t>
      </w:r>
    </w:p>
    <w:p w14:paraId="7DBFF251" w14:textId="034005F0" w:rsidR="00E45CF0" w:rsidRPr="00B57AC5" w:rsidRDefault="00E45CF0"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Magnette, P. (2016). Namur Decleration. Namur, 5 December, available at http://declarationdenamur.eu/wp-content/uploads/2016/12/EN-Déclaration-de-Namur-EN-.pdf. </w:t>
      </w:r>
    </w:p>
    <w:p w14:paraId="4A307CDD" w14:textId="6D7B4555" w:rsidR="00E45CF0" w:rsidRPr="00B57AC5" w:rsidRDefault="00E45CF0" w:rsidP="009074F5">
      <w:pPr>
        <w:widowControl w:val="0"/>
        <w:autoSpaceDE w:val="0"/>
        <w:autoSpaceDN w:val="0"/>
        <w:adjustRightInd w:val="0"/>
        <w:spacing w:line="276" w:lineRule="auto"/>
        <w:ind w:left="480" w:hanging="480"/>
        <w:rPr>
          <w:rFonts w:cs="Times New Roman"/>
          <w:noProof/>
          <w:lang w:val="fr-BE"/>
        </w:rPr>
      </w:pPr>
      <w:r w:rsidRPr="00B57AC5">
        <w:rPr>
          <w:rFonts w:cs="Times New Roman"/>
          <w:noProof/>
          <w:lang w:val="fr-BE"/>
        </w:rPr>
        <w:t xml:space="preserve">Magnette, P. (2017). CETA: Quand l'Europe déraille. Waterloo: Editions Luc Pire. </w:t>
      </w:r>
    </w:p>
    <w:p w14:paraId="34E3AE5C"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fr-BE"/>
        </w:rPr>
        <w:t xml:space="preserve">Meunier, S. (2005). </w:t>
      </w:r>
      <w:r w:rsidRPr="00B57AC5">
        <w:rPr>
          <w:rFonts w:cs="Times New Roman"/>
          <w:i/>
          <w:iCs/>
          <w:noProof/>
          <w:lang w:val="en-US"/>
        </w:rPr>
        <w:t>Trading Voices: The European Union in International Commercial Negotiations</w:t>
      </w:r>
      <w:r w:rsidRPr="00B57AC5">
        <w:rPr>
          <w:rFonts w:cs="Times New Roman"/>
          <w:noProof/>
          <w:lang w:val="en-US"/>
        </w:rPr>
        <w:t>. Princeton: Princeton University Press.</w:t>
      </w:r>
    </w:p>
    <w:p w14:paraId="1DA4C9C1"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Rodrik, D. (2007). How to save globalization from its cheerleaders. </w:t>
      </w:r>
      <w:r w:rsidRPr="00B57AC5">
        <w:rPr>
          <w:rFonts w:cs="Times New Roman"/>
          <w:i/>
          <w:iCs/>
          <w:noProof/>
          <w:lang w:val="en-US"/>
        </w:rPr>
        <w:t>Harvard University, July</w:t>
      </w:r>
      <w:r w:rsidRPr="00B57AC5">
        <w:rPr>
          <w:rFonts w:cs="Times New Roman"/>
          <w:noProof/>
          <w:lang w:val="en-US"/>
        </w:rPr>
        <w:t>.</w:t>
      </w:r>
    </w:p>
    <w:p w14:paraId="2D6A069A" w14:textId="0C5B21FA" w:rsidR="005420D7" w:rsidRPr="00B57AC5" w:rsidRDefault="005420D7"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Rosén, G. (2016) The impact of norms on political decision-making: How to account for the European Parliament's empowerment in EU external trade policy. </w:t>
      </w:r>
      <w:r w:rsidRPr="00B57AC5">
        <w:rPr>
          <w:rFonts w:cs="Times New Roman"/>
          <w:i/>
          <w:noProof/>
          <w:lang w:val="en-US"/>
        </w:rPr>
        <w:t>Journal of European Public Policy</w:t>
      </w:r>
      <w:r w:rsidRPr="00B57AC5">
        <w:rPr>
          <w:rFonts w:cs="Times New Roman"/>
          <w:noProof/>
          <w:lang w:val="en-US"/>
        </w:rPr>
        <w:t xml:space="preserve">. </w:t>
      </w:r>
    </w:p>
    <w:p w14:paraId="55DCABC8"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The Economist. (2016). The New Political Divide. Retrieved from http://www.economist.com/news/leaders/21702750-farewell-left-versus-right-contest-matters-now-open-against-closed-new?cid1=cust/ednew/n/bl/n/20160728n/owned/n/n/nwl/n/n/n/n %0A%0A</w:t>
      </w:r>
    </w:p>
    <w:p w14:paraId="0DB6FA1E" w14:textId="77777777" w:rsidR="007A766D" w:rsidRPr="00B57AC5" w:rsidRDefault="007A766D" w:rsidP="009074F5">
      <w:pPr>
        <w:widowControl w:val="0"/>
        <w:autoSpaceDE w:val="0"/>
        <w:autoSpaceDN w:val="0"/>
        <w:adjustRightInd w:val="0"/>
        <w:spacing w:line="276" w:lineRule="auto"/>
        <w:ind w:left="480" w:hanging="480"/>
        <w:rPr>
          <w:rFonts w:cs="Times New Roman"/>
          <w:noProof/>
        </w:rPr>
      </w:pPr>
      <w:r w:rsidRPr="00B57AC5">
        <w:rPr>
          <w:rFonts w:cs="Times New Roman"/>
          <w:noProof/>
        </w:rPr>
        <w:t>Verenigde Verenigingen. (2015). Trans-Atlantische handelsakkoorden: Het Belgische middenveld slaat de handen in mekaar tegen deze ondemocratische dereguleringsakkoorden.</w:t>
      </w:r>
    </w:p>
    <w:p w14:paraId="03FB1135" w14:textId="43F20BB4" w:rsidR="00631005" w:rsidRPr="00B57AC5" w:rsidRDefault="00631005"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lastRenderedPageBreak/>
        <w:t xml:space="preserve">Woolcock, S. (2010). </w:t>
      </w:r>
      <w:r w:rsidRPr="00B57AC5">
        <w:rPr>
          <w:rFonts w:cs="Times New Roman"/>
          <w:i/>
          <w:noProof/>
          <w:lang w:val="en-US"/>
        </w:rPr>
        <w:t xml:space="preserve">The Treaty of Lisbon and the European Union as </w:t>
      </w:r>
      <w:r w:rsidR="00CE6092" w:rsidRPr="00B57AC5">
        <w:rPr>
          <w:rFonts w:cs="Times New Roman"/>
          <w:i/>
          <w:noProof/>
          <w:lang w:val="en-US"/>
        </w:rPr>
        <w:t>an Actor in International Trade</w:t>
      </w:r>
      <w:r w:rsidRPr="00B57AC5">
        <w:rPr>
          <w:rFonts w:cs="Times New Roman"/>
          <w:noProof/>
          <w:lang w:val="en-US"/>
        </w:rPr>
        <w:t xml:space="preserve">. Brussels: ECIPE (working paper 01/2010). </w:t>
      </w:r>
    </w:p>
    <w:p w14:paraId="3FA5F7F0"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Woolcock, D. S. (2013). </w:t>
      </w:r>
      <w:r w:rsidRPr="00B57AC5">
        <w:rPr>
          <w:rFonts w:cs="Times New Roman"/>
          <w:i/>
          <w:iCs/>
          <w:noProof/>
          <w:lang w:val="en-US"/>
        </w:rPr>
        <w:t>European Union Economic Diplomacy: The Role of the EU in External Economic Relations</w:t>
      </w:r>
      <w:r w:rsidRPr="00B57AC5">
        <w:rPr>
          <w:rFonts w:cs="Times New Roman"/>
          <w:noProof/>
          <w:lang w:val="en-US"/>
        </w:rPr>
        <w:t>. Ashgate Publishing.</w:t>
      </w:r>
    </w:p>
    <w:p w14:paraId="5D257E03" w14:textId="77777777" w:rsidR="007A766D" w:rsidRPr="00B57AC5" w:rsidRDefault="007A766D" w:rsidP="009074F5">
      <w:pPr>
        <w:widowControl w:val="0"/>
        <w:autoSpaceDE w:val="0"/>
        <w:autoSpaceDN w:val="0"/>
        <w:adjustRightInd w:val="0"/>
        <w:spacing w:line="276" w:lineRule="auto"/>
        <w:ind w:left="480" w:hanging="480"/>
        <w:rPr>
          <w:rFonts w:cs="Times New Roman"/>
          <w:noProof/>
          <w:lang w:val="en-US"/>
        </w:rPr>
      </w:pPr>
      <w:r w:rsidRPr="00B57AC5">
        <w:rPr>
          <w:rFonts w:cs="Times New Roman"/>
          <w:noProof/>
          <w:lang w:val="en-US"/>
        </w:rPr>
        <w:t xml:space="preserve">Young, A. (2007). Trade politics ain’t what it used to be: The European union in the doha round. </w:t>
      </w:r>
      <w:r w:rsidRPr="00B57AC5">
        <w:rPr>
          <w:rFonts w:cs="Times New Roman"/>
          <w:i/>
          <w:iCs/>
          <w:noProof/>
          <w:lang w:val="en-US"/>
        </w:rPr>
        <w:t>Journal of Common Market Studies</w:t>
      </w:r>
      <w:r w:rsidRPr="00B57AC5">
        <w:rPr>
          <w:rFonts w:cs="Times New Roman"/>
          <w:noProof/>
          <w:lang w:val="en-US"/>
        </w:rPr>
        <w:t xml:space="preserve">, </w:t>
      </w:r>
      <w:r w:rsidRPr="00B57AC5">
        <w:rPr>
          <w:rFonts w:cs="Times New Roman"/>
          <w:i/>
          <w:iCs/>
          <w:noProof/>
          <w:lang w:val="en-US"/>
        </w:rPr>
        <w:t>45</w:t>
      </w:r>
      <w:r w:rsidRPr="00B57AC5">
        <w:rPr>
          <w:rFonts w:cs="Times New Roman"/>
          <w:noProof/>
          <w:lang w:val="en-US"/>
        </w:rPr>
        <w:t>(4), 789–811. http://doi.org/10.1111/j.1468-5965.2007.00748.x</w:t>
      </w:r>
    </w:p>
    <w:p w14:paraId="02603267" w14:textId="77777777" w:rsidR="007A766D" w:rsidRPr="00B57AC5" w:rsidRDefault="007A766D" w:rsidP="009074F5">
      <w:pPr>
        <w:widowControl w:val="0"/>
        <w:autoSpaceDE w:val="0"/>
        <w:autoSpaceDN w:val="0"/>
        <w:adjustRightInd w:val="0"/>
        <w:spacing w:line="276" w:lineRule="auto"/>
        <w:ind w:left="480" w:hanging="480"/>
        <w:rPr>
          <w:noProof/>
        </w:rPr>
      </w:pPr>
      <w:r w:rsidRPr="00B57AC5">
        <w:rPr>
          <w:rFonts w:cs="Times New Roman"/>
          <w:noProof/>
          <w:lang w:val="en-US"/>
        </w:rPr>
        <w:t xml:space="preserve">Young, A., Holmes, P., &amp; Rollo, J. (2000). The European Trade Agenda after Seattle. </w:t>
      </w:r>
      <w:r w:rsidRPr="00B57AC5">
        <w:rPr>
          <w:rFonts w:cs="Times New Roman"/>
          <w:i/>
          <w:iCs/>
          <w:noProof/>
        </w:rPr>
        <w:t>SEI Working Paper No.37</w:t>
      </w:r>
      <w:r w:rsidRPr="00B57AC5">
        <w:rPr>
          <w:rFonts w:cs="Times New Roman"/>
          <w:noProof/>
        </w:rPr>
        <w:t>, (37).</w:t>
      </w:r>
    </w:p>
    <w:p w14:paraId="5BB05B52" w14:textId="22E6181F" w:rsidR="007A766D" w:rsidRPr="004C5083" w:rsidRDefault="007A766D" w:rsidP="009074F5">
      <w:pPr>
        <w:widowControl w:val="0"/>
        <w:autoSpaceDE w:val="0"/>
        <w:autoSpaceDN w:val="0"/>
        <w:adjustRightInd w:val="0"/>
        <w:spacing w:line="276" w:lineRule="auto"/>
        <w:ind w:left="480" w:hanging="480"/>
        <w:rPr>
          <w:lang w:val="en-GB"/>
        </w:rPr>
      </w:pPr>
      <w:r w:rsidRPr="00B57AC5">
        <w:rPr>
          <w:lang w:val="en-GB"/>
        </w:rPr>
        <w:fldChar w:fldCharType="end"/>
      </w:r>
    </w:p>
    <w:sectPr w:rsidR="007A766D" w:rsidRPr="004C5083" w:rsidSect="00BA7FCD">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30FD1" w15:done="0"/>
  <w15:commentEx w15:paraId="0173AAC0" w15:done="0"/>
  <w15:commentEx w15:paraId="7DB1A820" w15:done="0"/>
  <w15:commentEx w15:paraId="2CF20552" w15:done="0"/>
  <w15:commentEx w15:paraId="487BE706" w15:done="0"/>
  <w15:commentEx w15:paraId="17D7C989" w15:done="0"/>
  <w15:commentEx w15:paraId="561FF973" w15:done="0"/>
  <w15:commentEx w15:paraId="3BF9B0C6" w15:done="0"/>
  <w15:commentEx w15:paraId="2AC6271B" w15:done="0"/>
  <w15:commentEx w15:paraId="377275B8" w15:done="0"/>
  <w15:commentEx w15:paraId="66F81EAE" w15:done="0"/>
  <w15:commentEx w15:paraId="20C12018" w15:done="0"/>
  <w15:commentEx w15:paraId="6D7D7C54" w15:done="0"/>
  <w15:commentEx w15:paraId="52AAAEC9" w15:done="0"/>
  <w15:commentEx w15:paraId="717BD68E" w15:done="0"/>
  <w15:commentEx w15:paraId="31C6B9BE" w15:done="0"/>
  <w15:commentEx w15:paraId="68E5AB2F" w15:done="0"/>
  <w15:commentEx w15:paraId="7889934C" w15:done="0"/>
  <w15:commentEx w15:paraId="75D3FBFF" w15:done="0"/>
  <w15:commentEx w15:paraId="74F34653" w15:done="0"/>
  <w15:commentEx w15:paraId="2A360167" w15:done="0"/>
  <w15:commentEx w15:paraId="28921CD9" w15:done="0"/>
  <w15:commentEx w15:paraId="2A10D037" w15:done="0"/>
  <w15:commentEx w15:paraId="0F43744C" w15:done="0"/>
  <w15:commentEx w15:paraId="7D374D97" w15:done="0"/>
  <w15:commentEx w15:paraId="4DA88E5E" w15:done="0"/>
  <w15:commentEx w15:paraId="079F3096" w15:done="0"/>
  <w15:commentEx w15:paraId="6C56D1C9" w15:done="0"/>
  <w15:commentEx w15:paraId="4CA95C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ADCF" w14:textId="77777777" w:rsidR="00C2093F" w:rsidRDefault="00C2093F" w:rsidP="006F4B6E">
      <w:r>
        <w:separator/>
      </w:r>
    </w:p>
  </w:endnote>
  <w:endnote w:type="continuationSeparator" w:id="0">
    <w:p w14:paraId="2B3CB958" w14:textId="77777777" w:rsidR="00C2093F" w:rsidRDefault="00C2093F" w:rsidP="006F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F588" w14:textId="77777777" w:rsidR="00C2093F" w:rsidRDefault="00C2093F" w:rsidP="006F4B6E">
      <w:r>
        <w:separator/>
      </w:r>
    </w:p>
  </w:footnote>
  <w:footnote w:type="continuationSeparator" w:id="0">
    <w:p w14:paraId="64540648" w14:textId="77777777" w:rsidR="00C2093F" w:rsidRDefault="00C2093F" w:rsidP="006F4B6E">
      <w:r>
        <w:continuationSeparator/>
      </w:r>
    </w:p>
  </w:footnote>
  <w:footnote w:id="1">
    <w:p w14:paraId="568A5EAE" w14:textId="77777777" w:rsidR="00C66450" w:rsidRDefault="00C66450" w:rsidP="000E2ACF">
      <w:pPr>
        <w:pStyle w:val="Kop7"/>
      </w:pPr>
      <w:r>
        <w:rPr>
          <w:rStyle w:val="Voetnootmarkering"/>
        </w:rPr>
        <w:footnoteRef/>
      </w:r>
      <w:r w:rsidRPr="005E3A88">
        <w:t xml:space="preserve"> </w:t>
      </w:r>
      <w:r>
        <w:t xml:space="preserve">A third reform of the Lisbon Treaty, bringing trade policy under the foreign policy umbrella of the treaty (without, however, making the European External Action Service responsible for the policy domain), is of less importance for this paper. </w:t>
      </w:r>
    </w:p>
    <w:p w14:paraId="155F2B54" w14:textId="77777777" w:rsidR="00C66450" w:rsidRPr="00A23D95" w:rsidRDefault="00C66450" w:rsidP="000E2ACF">
      <w:pPr>
        <w:pStyle w:val="Voetnoottekst"/>
        <w:rPr>
          <w:lang w:val="en-GB"/>
        </w:rPr>
      </w:pPr>
    </w:p>
  </w:footnote>
  <w:footnote w:id="2">
    <w:p w14:paraId="4BADBCC9" w14:textId="42663C4E" w:rsidR="00C66450" w:rsidRPr="005E3A88" w:rsidRDefault="00C66450" w:rsidP="00A23D95">
      <w:pPr>
        <w:pStyle w:val="Kop7"/>
      </w:pPr>
      <w:r>
        <w:rPr>
          <w:rStyle w:val="Voetnootmarkering"/>
        </w:rPr>
        <w:footnoteRef/>
      </w:r>
      <w:r w:rsidRPr="005E3A88">
        <w:t xml:space="preserve"> </w:t>
      </w:r>
      <w:r>
        <w:t>The EP was given co-decision powers in trade policy legislation. With respect to free trade agreements, the Treaty stipulates that the European Parliament has to be kept continuously informed by the European Commission about the state and progress of trade negotiations (in contrast to the Council, it does not have to give the Commission the authority to open negotiations) and that its consent (by a simple majority of its members) is required for an agreement to enter into force.</w:t>
      </w:r>
    </w:p>
  </w:footnote>
  <w:footnote w:id="3">
    <w:p w14:paraId="57D3CA80" w14:textId="2CF73026" w:rsidR="00C66450" w:rsidRPr="000664CE" w:rsidRDefault="00C66450">
      <w:pPr>
        <w:pStyle w:val="Voetnoottekst"/>
        <w:rPr>
          <w:rFonts w:ascii="Times New Roman" w:eastAsiaTheme="majorEastAsia" w:hAnsi="Times New Roman" w:cstheme="majorBidi"/>
          <w:iCs/>
          <w:szCs w:val="24"/>
          <w:lang w:val="en-US"/>
        </w:rPr>
      </w:pPr>
      <w:r>
        <w:rPr>
          <w:rStyle w:val="Voetnootmarkering"/>
        </w:rPr>
        <w:footnoteRef/>
      </w:r>
      <w:r w:rsidRPr="00D61777">
        <w:rPr>
          <w:lang w:val="en-US"/>
        </w:rPr>
        <w:t xml:space="preserve"> </w:t>
      </w:r>
      <w:r w:rsidRPr="000664CE">
        <w:rPr>
          <w:rFonts w:ascii="Times New Roman" w:eastAsiaTheme="majorEastAsia" w:hAnsi="Times New Roman" w:cstheme="majorBidi"/>
          <w:iCs/>
          <w:szCs w:val="24"/>
          <w:lang w:val="en-US"/>
        </w:rPr>
        <w:t>An exception</w:t>
      </w:r>
      <w:r>
        <w:rPr>
          <w:rFonts w:ascii="Times New Roman" w:eastAsiaTheme="majorEastAsia" w:hAnsi="Times New Roman" w:cstheme="majorBidi"/>
          <w:iCs/>
          <w:szCs w:val="24"/>
          <w:lang w:val="en-US"/>
        </w:rPr>
        <w:t xml:space="preserve"> specifically introduced to respond to the dislocation effects of EU trade </w:t>
      </w:r>
      <w:proofErr w:type="spellStart"/>
      <w:r>
        <w:rPr>
          <w:rFonts w:ascii="Times New Roman" w:eastAsiaTheme="majorEastAsia" w:hAnsi="Times New Roman" w:cstheme="majorBidi"/>
          <w:iCs/>
          <w:szCs w:val="24"/>
          <w:lang w:val="en-US"/>
        </w:rPr>
        <w:t>liberalisation</w:t>
      </w:r>
      <w:proofErr w:type="spellEnd"/>
      <w:r w:rsidRPr="000664CE">
        <w:rPr>
          <w:rFonts w:ascii="Times New Roman" w:eastAsiaTheme="majorEastAsia" w:hAnsi="Times New Roman" w:cstheme="majorBidi"/>
          <w:iCs/>
          <w:szCs w:val="24"/>
          <w:lang w:val="en-US"/>
        </w:rPr>
        <w:t xml:space="preserve"> is the European </w:t>
      </w:r>
      <w:proofErr w:type="spellStart"/>
      <w:r w:rsidRPr="000664CE">
        <w:rPr>
          <w:rFonts w:ascii="Times New Roman" w:eastAsiaTheme="majorEastAsia" w:hAnsi="Times New Roman" w:cstheme="majorBidi"/>
          <w:iCs/>
          <w:szCs w:val="24"/>
          <w:lang w:val="en-US"/>
        </w:rPr>
        <w:t>Globalisation</w:t>
      </w:r>
      <w:proofErr w:type="spellEnd"/>
      <w:r w:rsidRPr="000664CE">
        <w:rPr>
          <w:rFonts w:ascii="Times New Roman" w:eastAsiaTheme="majorEastAsia" w:hAnsi="Times New Roman" w:cstheme="majorBidi"/>
          <w:iCs/>
          <w:szCs w:val="24"/>
          <w:lang w:val="en-US"/>
        </w:rPr>
        <w:t xml:space="preserve"> Fund, but this is generally considered to be underfunded and </w:t>
      </w:r>
      <w:proofErr w:type="spellStart"/>
      <w:r w:rsidRPr="000664CE">
        <w:rPr>
          <w:rFonts w:ascii="Times New Roman" w:eastAsiaTheme="majorEastAsia" w:hAnsi="Times New Roman" w:cstheme="majorBidi"/>
          <w:iCs/>
          <w:szCs w:val="24"/>
          <w:lang w:val="en-US"/>
        </w:rPr>
        <w:t>underutilised</w:t>
      </w:r>
      <w:proofErr w:type="spellEnd"/>
      <w:r w:rsidRPr="000664CE">
        <w:rPr>
          <w:rFonts w:ascii="Times New Roman" w:eastAsiaTheme="majorEastAsia" w:hAnsi="Times New Roman" w:cstheme="majorBidi"/>
          <w:iCs/>
          <w:szCs w:val="24"/>
          <w:lang w:val="en-US"/>
        </w:rPr>
        <w:t xml:space="preserve"> (</w:t>
      </w:r>
      <w:proofErr w:type="spellStart"/>
      <w:r w:rsidRPr="000664CE">
        <w:rPr>
          <w:rFonts w:ascii="Times New Roman" w:eastAsiaTheme="majorEastAsia" w:hAnsi="Times New Roman" w:cstheme="majorBidi"/>
          <w:iCs/>
          <w:szCs w:val="24"/>
          <w:lang w:val="en-US"/>
        </w:rPr>
        <w:t>cfr</w:t>
      </w:r>
      <w:proofErr w:type="spellEnd"/>
      <w:r w:rsidRPr="000664CE">
        <w:rPr>
          <w:rFonts w:ascii="Times New Roman" w:eastAsiaTheme="majorEastAsia" w:hAnsi="Times New Roman" w:cstheme="majorBidi"/>
          <w:iCs/>
          <w:szCs w:val="24"/>
          <w:lang w:val="en-US"/>
        </w:rPr>
        <w:t xml:space="preserve">. Falkner 2016). </w:t>
      </w:r>
    </w:p>
  </w:footnote>
  <w:footnote w:id="4">
    <w:p w14:paraId="012BA346" w14:textId="77777777" w:rsidR="00C66450" w:rsidRPr="00E810C8" w:rsidRDefault="00C66450" w:rsidP="005170B4">
      <w:pPr>
        <w:pStyle w:val="Kop7"/>
      </w:pPr>
      <w:r>
        <w:rPr>
          <w:rStyle w:val="Voetnootmarkering"/>
        </w:rPr>
        <w:footnoteRef/>
      </w:r>
      <w:r>
        <w:t xml:space="preserve"> For example, </w:t>
      </w:r>
      <w:r w:rsidRPr="00010708">
        <w:t xml:space="preserve">the ‘Belgian Service for International Trade’ </w:t>
      </w:r>
      <w:r>
        <w:t xml:space="preserve">was transformed </w:t>
      </w:r>
      <w:r w:rsidRPr="00010708">
        <w:t>into the ‘</w:t>
      </w:r>
      <w:proofErr w:type="spellStart"/>
      <w:r w:rsidRPr="00010708">
        <w:t>interfederal</w:t>
      </w:r>
      <w:proofErr w:type="spellEnd"/>
      <w:r w:rsidRPr="00010708">
        <w:t>’ ‘Agency for Foreign Trade’</w:t>
      </w:r>
      <w:r>
        <w:t xml:space="preserve">, and was </w:t>
      </w:r>
      <w:r w:rsidRPr="00E810C8">
        <w:t xml:space="preserve">to operate </w:t>
      </w:r>
      <w:r>
        <w:t>‘</w:t>
      </w:r>
      <w:r w:rsidRPr="00E810C8">
        <w:t>at the service</w:t>
      </w:r>
      <w:r>
        <w:t>’</w:t>
      </w:r>
      <w:r w:rsidRPr="00E810C8">
        <w:t xml:space="preserve"> of the regional export-agencies that had been created in the 1990s</w:t>
      </w:r>
      <w:r>
        <w:t>.</w:t>
      </w:r>
    </w:p>
  </w:footnote>
  <w:footnote w:id="5">
    <w:p w14:paraId="40C86D66" w14:textId="2A23AE61" w:rsidR="00C66450" w:rsidRPr="00FA634E" w:rsidRDefault="00C66450" w:rsidP="006F4B6E">
      <w:pPr>
        <w:pStyle w:val="Kop7"/>
      </w:pPr>
      <w:r>
        <w:rPr>
          <w:rStyle w:val="Voetnootmarkering"/>
        </w:rPr>
        <w:footnoteRef/>
      </w:r>
      <w:r>
        <w:t xml:space="preserve"> </w:t>
      </w:r>
      <w:r w:rsidRPr="00E810C8">
        <w:t>Economic diplomacy and export-promotion have been the most important bones of contention, Flanders in particular has been suspicious of the federal level clawing back some</w:t>
      </w:r>
      <w:r>
        <w:t xml:space="preserve"> of its lost prerogatives </w:t>
      </w:r>
      <w:r>
        <w:fldChar w:fldCharType="begin" w:fldLock="1"/>
      </w:r>
      <w:r>
        <w:instrText>ADDIN CSL_CITATION { "citationItems" : [ { "id" : "ITEM-1", "itemData" : { "author" : [ { "dropping-particle" : "", "family" : "Coolsaet", "given" : "Rik", "non-dropping-particle" : "", "parse-names" : false, "suffix" : "" } ], "id" : "ITEM-1", "issued" : { "date-parts" : [ [ "2015" ] ] }, "title" : "Belgie en zijn buitenlandse politiek: 1830-2015", "type" : "article" }, "uris" : [ "http://www.mendeley.com/documents/?uuid=9bd5df0c-6d12-49a2-a7b2-b13de45276a3" ] } ], "mendeley" : { "formattedCitation" : "(Coolsaet, 2015)", "plainTextFormattedCitation" : "(Coolsaet, 2015)", "previouslyFormattedCitation" : "(Coolsaet, 2015)" }, "properties" : { "noteIndex" : 0 }, "schema" : "https://github.com/citation-style-language/schema/raw/master/csl-citation.json" }</w:instrText>
      </w:r>
      <w:r>
        <w:fldChar w:fldCharType="separate"/>
      </w:r>
      <w:r w:rsidRPr="00C51CE6">
        <w:rPr>
          <w:noProof/>
        </w:rPr>
        <w:t>(Coolsaet, 2015)</w:t>
      </w:r>
      <w:r>
        <w:fldChar w:fldCharType="end"/>
      </w:r>
      <w:r>
        <w:t xml:space="preserve">. Moreover, there have been persistent concerns that the fragmentation of international trade policy is hampering the coherence as well as the pursuit of Belgian and sub-national trade interests. For example, minister of development Alexander De </w:t>
      </w:r>
      <w:proofErr w:type="spellStart"/>
      <w:r>
        <w:t>Croo</w:t>
      </w:r>
      <w:proofErr w:type="spellEnd"/>
      <w:r>
        <w:t xml:space="preserve"> recently launched a proposal to reverse some of this devolution in a variety of policy areas, including trade and development.</w:t>
      </w:r>
    </w:p>
  </w:footnote>
  <w:footnote w:id="6">
    <w:p w14:paraId="1E7042DD" w14:textId="6486A260" w:rsidR="00C66450" w:rsidRPr="003C2943" w:rsidRDefault="00C66450" w:rsidP="005771F0">
      <w:pPr>
        <w:pStyle w:val="Kop7"/>
      </w:pPr>
      <w:r>
        <w:rPr>
          <w:rStyle w:val="Voetnootmarkering"/>
        </w:rPr>
        <w:footnoteRef/>
      </w:r>
      <w:r w:rsidRPr="003C2943">
        <w:t xml:space="preserve"> </w:t>
      </w:r>
      <w:r>
        <w:t xml:space="preserve">This has almost always been the Flemish head of government, or ‘minister-president’. </w:t>
      </w:r>
    </w:p>
  </w:footnote>
  <w:footnote w:id="7">
    <w:p w14:paraId="02C15058" w14:textId="3E55CF9F" w:rsidR="00C66450" w:rsidRPr="00BA7FCD" w:rsidRDefault="00C66450">
      <w:pPr>
        <w:pStyle w:val="Voetnoottekst"/>
        <w:rPr>
          <w:rFonts w:ascii="Times New Roman" w:eastAsiaTheme="majorEastAsia" w:hAnsi="Times New Roman" w:cstheme="majorBidi"/>
          <w:iCs/>
          <w:szCs w:val="24"/>
          <w:lang w:val="en-US"/>
        </w:rPr>
      </w:pPr>
      <w:r>
        <w:rPr>
          <w:rStyle w:val="Voetnootmarkering"/>
        </w:rPr>
        <w:footnoteRef/>
      </w:r>
      <w:r w:rsidRPr="00D61777">
        <w:rPr>
          <w:lang w:val="en-US"/>
        </w:rPr>
        <w:t xml:space="preserve"> </w:t>
      </w:r>
      <w:r w:rsidRPr="00BA7FCD">
        <w:rPr>
          <w:rFonts w:ascii="Times New Roman" w:eastAsiaTheme="majorEastAsia" w:hAnsi="Times New Roman" w:cstheme="majorBidi"/>
          <w:iCs/>
          <w:szCs w:val="24"/>
          <w:lang w:val="en-US"/>
        </w:rPr>
        <w:t>We decided</w:t>
      </w:r>
      <w:r>
        <w:rPr>
          <w:rFonts w:ascii="Times New Roman" w:eastAsiaTheme="majorEastAsia" w:hAnsi="Times New Roman" w:cstheme="majorBidi"/>
          <w:iCs/>
          <w:szCs w:val="24"/>
          <w:lang w:val="en-US"/>
        </w:rPr>
        <w:t xml:space="preserve"> to focus on the three largest P</w:t>
      </w:r>
      <w:r w:rsidRPr="00BA7FCD">
        <w:rPr>
          <w:rFonts w:ascii="Times New Roman" w:eastAsiaTheme="majorEastAsia" w:hAnsi="Times New Roman" w:cstheme="majorBidi"/>
          <w:iCs/>
          <w:szCs w:val="24"/>
          <w:lang w:val="en-US"/>
        </w:rPr>
        <w:t>arliament</w:t>
      </w:r>
      <w:r>
        <w:rPr>
          <w:rFonts w:ascii="Times New Roman" w:eastAsiaTheme="majorEastAsia" w:hAnsi="Times New Roman" w:cstheme="majorBidi"/>
          <w:iCs/>
          <w:szCs w:val="24"/>
          <w:lang w:val="en-US"/>
        </w:rPr>
        <w:t>s</w:t>
      </w:r>
      <w:r w:rsidRPr="00BA7FCD">
        <w:rPr>
          <w:rFonts w:ascii="Times New Roman" w:eastAsiaTheme="majorEastAsia" w:hAnsi="Times New Roman" w:cstheme="majorBidi"/>
          <w:iCs/>
          <w:szCs w:val="24"/>
          <w:lang w:val="en-US"/>
        </w:rPr>
        <w:t xml:space="preserve"> in Belgium, and excluding the Brussels and German-</w:t>
      </w:r>
      <w:r>
        <w:rPr>
          <w:rFonts w:ascii="Times New Roman" w:eastAsiaTheme="majorEastAsia" w:hAnsi="Times New Roman" w:cstheme="majorBidi"/>
          <w:iCs/>
          <w:szCs w:val="24"/>
          <w:lang w:val="en-US"/>
        </w:rPr>
        <w:t>speaking parliaments. In very general terms, it can be said that they have taken positions that are close to the one of the Walloon Parliament.</w:t>
      </w:r>
    </w:p>
  </w:footnote>
  <w:footnote w:id="8">
    <w:p w14:paraId="57B99402" w14:textId="77777777" w:rsidR="00C66450" w:rsidRPr="00B82509" w:rsidRDefault="00C66450" w:rsidP="00BA7FCD">
      <w:pPr>
        <w:pStyle w:val="Kop7"/>
      </w:pPr>
      <w:r>
        <w:rPr>
          <w:rStyle w:val="Voetnootmarkering"/>
        </w:rPr>
        <w:footnoteRef/>
      </w:r>
      <w:r w:rsidRPr="00B82509">
        <w:t xml:space="preserve"> </w:t>
      </w:r>
      <w:r>
        <w:t xml:space="preserve">Long lists of keywords have been used to search for questions or resolutions that deal with trade policy. The list is available on demand. </w:t>
      </w:r>
    </w:p>
  </w:footnote>
  <w:footnote w:id="9">
    <w:p w14:paraId="052A690E" w14:textId="04D543FD" w:rsidR="00C66450" w:rsidRPr="005771F0" w:rsidRDefault="00C66450" w:rsidP="00B82509">
      <w:pPr>
        <w:pStyle w:val="Kop7"/>
      </w:pPr>
      <w:r>
        <w:rPr>
          <w:rStyle w:val="Voetnootmarkering"/>
        </w:rPr>
        <w:footnoteRef/>
      </w:r>
      <w:r w:rsidRPr="005771F0">
        <w:t xml:space="preserve"> </w:t>
      </w:r>
      <w:r>
        <w:t xml:space="preserve">The number of interventions isn’t strictly comparable, because of differences in the size of the Parliaments and the way the search engines function, but the differences should be marginal. </w:t>
      </w:r>
    </w:p>
  </w:footnote>
  <w:footnote w:id="10">
    <w:p w14:paraId="1C9496AC" w14:textId="7202EDCD" w:rsidR="00C66450" w:rsidRPr="00DA7F67" w:rsidRDefault="00C66450" w:rsidP="00DA7F67">
      <w:pPr>
        <w:pStyle w:val="Voetnoottekst"/>
        <w:jc w:val="both"/>
        <w:rPr>
          <w:lang w:val="en-US"/>
        </w:rPr>
      </w:pPr>
      <w:r>
        <w:rPr>
          <w:rStyle w:val="Voetnootmarkering"/>
        </w:rPr>
        <w:footnoteRef/>
      </w:r>
      <w:r w:rsidRPr="00DA7F67">
        <w:rPr>
          <w:lang w:val="en-US"/>
        </w:rPr>
        <w:t xml:space="preserve"> </w:t>
      </w:r>
      <w:r>
        <w:rPr>
          <w:lang w:val="en-US"/>
        </w:rPr>
        <w:t xml:space="preserve">This includes all questions related to anti-dumping, the WTO, FTAs, market-access issues, ‘trade ethics’ (e.g. fair trade), and the trade-development nexus. This excludes questions related strictly to investment, arms’ trade and economic diplomacy (export promotion, trade missions, general questions about the commercial performance or trade-promoting institutions of Belgium and the regions). </w:t>
      </w:r>
    </w:p>
  </w:footnote>
  <w:footnote w:id="11">
    <w:p w14:paraId="5F27C864" w14:textId="1AB9339B" w:rsidR="00C66450" w:rsidRPr="00906143" w:rsidRDefault="00C66450" w:rsidP="00342E43">
      <w:pPr>
        <w:pStyle w:val="Kop7"/>
      </w:pPr>
      <w:r>
        <w:rPr>
          <w:rStyle w:val="Voetnootmarkering"/>
        </w:rPr>
        <w:footnoteRef/>
      </w:r>
      <w:r w:rsidRPr="00906143">
        <w:t xml:space="preserve"> </w:t>
      </w:r>
      <w:r>
        <w:t>In earlier agreements, there was no power asymmetry to the disadvantage of the European Union, given that the EU mainly conducted trade negotiations with smaller, developing and/or ex-colonial countries. With the US, the EU was for the first meeting a partner of at least equal power, heightening the fear that EU organizations and societies might be harmed.</w:t>
      </w:r>
    </w:p>
  </w:footnote>
  <w:footnote w:id="12">
    <w:p w14:paraId="01DAFE66" w14:textId="43EEC71B" w:rsidR="00C66450" w:rsidRPr="00985388" w:rsidRDefault="00C66450" w:rsidP="00985388">
      <w:pPr>
        <w:pStyle w:val="Kop7"/>
      </w:pPr>
      <w:r>
        <w:rPr>
          <w:rStyle w:val="Voetnootmarkering"/>
        </w:rPr>
        <w:footnoteRef/>
      </w:r>
      <w:r w:rsidRPr="00906143">
        <w:t xml:space="preserve"> </w:t>
      </w:r>
      <w:r>
        <w:t xml:space="preserve">Of course, the ‘substantive’ and the ‘mobilization’ explanation are related. The NGOs have captured the attention of national Parliaments to some extent by arguing that TTIP and CETA threaten the policy-making autonomy of national governments. And these elements of the deal were in turn partially responsible for the mobilization of civil society. </w:t>
      </w:r>
    </w:p>
  </w:footnote>
  <w:footnote w:id="13">
    <w:p w14:paraId="7556F3A9" w14:textId="291B5D13" w:rsidR="00C66450" w:rsidRPr="00195EAD" w:rsidRDefault="00C66450" w:rsidP="00195EAD">
      <w:pPr>
        <w:pStyle w:val="Kop7"/>
      </w:pPr>
      <w:r w:rsidRPr="00223DC7">
        <w:rPr>
          <w:rStyle w:val="Voetnootmarkering"/>
        </w:rPr>
        <w:footnoteRef/>
      </w:r>
      <w:r w:rsidRPr="00223DC7">
        <w:t xml:space="preserve"> This group as well is coordinated by CNCD, which shows that the Belgian civil society is</w:t>
      </w:r>
      <w:r>
        <w:t xml:space="preserve"> still</w:t>
      </w:r>
      <w:r w:rsidRPr="00223DC7">
        <w:t xml:space="preserve"> a small, but well-connected group of organizations, </w:t>
      </w:r>
      <w:proofErr w:type="gramStart"/>
      <w:r w:rsidRPr="00223DC7">
        <w:t>who</w:t>
      </w:r>
      <w:proofErr w:type="gramEnd"/>
      <w:r w:rsidRPr="00223DC7">
        <w:t xml:space="preserve"> are able to mobilize their partner organizations, and, subsequently, their members. The membership of this alliance is evidence of the non-traditional opposition to trade policy. Here too, the question of the durability of the alliance is prominent. For some, the actions and cooperation in the last two years was a building block for more to come, while others were more pessimistic about sustaining all these organizations’ attention for other trade deals</w:t>
      </w:r>
      <w:r>
        <w:t>.</w:t>
      </w:r>
    </w:p>
  </w:footnote>
  <w:footnote w:id="14">
    <w:p w14:paraId="31231887" w14:textId="5B364F7B" w:rsidR="00F974D4" w:rsidRPr="00F25696" w:rsidRDefault="00F974D4">
      <w:pPr>
        <w:pStyle w:val="Voetnoottekst"/>
        <w:rPr>
          <w:lang w:val="en-US"/>
        </w:rPr>
      </w:pPr>
      <w:r>
        <w:rPr>
          <w:rStyle w:val="Voetnootmarkering"/>
        </w:rPr>
        <w:footnoteRef/>
      </w:r>
      <w:r w:rsidRPr="00F25696">
        <w:rPr>
          <w:lang w:val="en-US"/>
        </w:rPr>
        <w:t xml:space="preserve"> </w:t>
      </w:r>
      <w:r>
        <w:rPr>
          <w:lang w:val="en-US"/>
        </w:rPr>
        <w:t xml:space="preserve">See </w:t>
      </w:r>
      <w:r w:rsidRPr="00F974D4">
        <w:rPr>
          <w:lang w:val="en-US"/>
        </w:rPr>
        <w:t>https://www.ttip-free-zones.eu/</w:t>
      </w:r>
    </w:p>
  </w:footnote>
  <w:footnote w:id="15">
    <w:p w14:paraId="6F570F55" w14:textId="364D87BB" w:rsidR="00C66450" w:rsidRPr="00906143" w:rsidRDefault="00C66450" w:rsidP="00195EAD">
      <w:pPr>
        <w:pStyle w:val="Kop7"/>
      </w:pPr>
      <w:r>
        <w:rPr>
          <w:rStyle w:val="Voetnootmarkering"/>
        </w:rPr>
        <w:footnoteRef/>
      </w:r>
      <w:r w:rsidRPr="00906143">
        <w:t xml:space="preserve"> </w:t>
      </w:r>
      <w:r>
        <w:t xml:space="preserve">Again, this cannot be simply explained by the differential potential impact of these agreements on the Walloon Region in comparison to the other territories, but is related to mobilization resources, NGO networks and differences in responsiveness.  </w:t>
      </w:r>
    </w:p>
  </w:footnote>
  <w:footnote w:id="16">
    <w:p w14:paraId="218BEA6B" w14:textId="5BE91059" w:rsidR="00C66450" w:rsidRPr="009E57E7" w:rsidRDefault="00C66450" w:rsidP="00117EB4">
      <w:pPr>
        <w:pStyle w:val="Kop7"/>
      </w:pPr>
      <w:r>
        <w:rPr>
          <w:rStyle w:val="Voetnootmarkering"/>
        </w:rPr>
        <w:footnoteRef/>
      </w:r>
      <w:r w:rsidRPr="003C0609">
        <w:t xml:space="preserve"> </w:t>
      </w:r>
      <w:r>
        <w:t xml:space="preserve">After resisting TTIP from 2015 on yet hesitating with a clear position on CETA, the </w:t>
      </w:r>
      <w:r w:rsidRPr="00635BBE">
        <w:rPr>
          <w:i/>
        </w:rPr>
        <w:t xml:space="preserve">Union des Classes </w:t>
      </w:r>
      <w:proofErr w:type="spellStart"/>
      <w:r w:rsidRPr="00635BBE">
        <w:rPr>
          <w:i/>
        </w:rPr>
        <w:t>Moyennes</w:t>
      </w:r>
      <w:proofErr w:type="spellEnd"/>
      <w:r>
        <w:t xml:space="preserve"> (UCM) finally supported the government’s resistance in October 2016. They feared that diminishing intra-European trade, lacking geographical indications, and increased competition from multinationals would disadvantage </w:t>
      </w:r>
      <w:r w:rsidRPr="00906143">
        <w:t>SMEs</w:t>
      </w:r>
      <w:r>
        <w:t xml:space="preserve">, while few such enterprises would stand to gain: only a handful of the minority of SMEs that export have a significant stake in transatlantic trade, most trade within the EU </w:t>
      </w:r>
      <w:r w:rsidRPr="009E57E7">
        <w:t>(</w:t>
      </w:r>
      <w:proofErr w:type="spellStart"/>
      <w:r w:rsidRPr="009E57E7">
        <w:t>L'Echo</w:t>
      </w:r>
      <w:proofErr w:type="spellEnd"/>
      <w:r>
        <w:t>, 27/10/</w:t>
      </w:r>
      <w:r w:rsidRPr="009E57E7">
        <w:t>2016</w:t>
      </w:r>
      <w:r w:rsidRPr="009E57E7">
        <w:rPr>
          <w:iCs w:val="0"/>
        </w:rPr>
        <w:t>).</w:t>
      </w:r>
    </w:p>
    <w:p w14:paraId="070203DB" w14:textId="7870FC4C" w:rsidR="00C66450" w:rsidRPr="00A23D95" w:rsidRDefault="00C66450">
      <w:pPr>
        <w:pStyle w:val="Voetnootteks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2"/>
    <w:multiLevelType w:val="hybridMultilevel"/>
    <w:tmpl w:val="59FA37DC"/>
    <w:lvl w:ilvl="0" w:tplc="1444DC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A6450"/>
    <w:multiLevelType w:val="hybridMultilevel"/>
    <w:tmpl w:val="5294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F6674"/>
    <w:multiLevelType w:val="hybridMultilevel"/>
    <w:tmpl w:val="E7A8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ls Gheyle">
    <w15:presenceInfo w15:providerId="AD" w15:userId="S-1-5-21-4030456262-320625612-449655040-83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0A"/>
    <w:rsid w:val="00005BED"/>
    <w:rsid w:val="000244AE"/>
    <w:rsid w:val="0002761C"/>
    <w:rsid w:val="00035730"/>
    <w:rsid w:val="00035F97"/>
    <w:rsid w:val="00036059"/>
    <w:rsid w:val="00062988"/>
    <w:rsid w:val="000664CE"/>
    <w:rsid w:val="00072CB2"/>
    <w:rsid w:val="00080D42"/>
    <w:rsid w:val="000A54FF"/>
    <w:rsid w:val="000C0637"/>
    <w:rsid w:val="000C3F11"/>
    <w:rsid w:val="000C5A7B"/>
    <w:rsid w:val="000D1261"/>
    <w:rsid w:val="000D7B77"/>
    <w:rsid w:val="000E2ACF"/>
    <w:rsid w:val="000E3FCF"/>
    <w:rsid w:val="000F2DF1"/>
    <w:rsid w:val="0010262C"/>
    <w:rsid w:val="00106A1D"/>
    <w:rsid w:val="00117EB4"/>
    <w:rsid w:val="001210D4"/>
    <w:rsid w:val="0012133E"/>
    <w:rsid w:val="00132CDE"/>
    <w:rsid w:val="00134369"/>
    <w:rsid w:val="0014393F"/>
    <w:rsid w:val="001570FF"/>
    <w:rsid w:val="00161802"/>
    <w:rsid w:val="00166FDF"/>
    <w:rsid w:val="00180661"/>
    <w:rsid w:val="00195EAD"/>
    <w:rsid w:val="001A05A0"/>
    <w:rsid w:val="001A4D86"/>
    <w:rsid w:val="001B2F6A"/>
    <w:rsid w:val="001C0005"/>
    <w:rsid w:val="001C13BC"/>
    <w:rsid w:val="001C3792"/>
    <w:rsid w:val="001D6F4A"/>
    <w:rsid w:val="001D748F"/>
    <w:rsid w:val="001F108D"/>
    <w:rsid w:val="00202EA0"/>
    <w:rsid w:val="002042D3"/>
    <w:rsid w:val="00205C2C"/>
    <w:rsid w:val="00217C63"/>
    <w:rsid w:val="00223DC7"/>
    <w:rsid w:val="0023168D"/>
    <w:rsid w:val="00233944"/>
    <w:rsid w:val="002379B1"/>
    <w:rsid w:val="00242ED7"/>
    <w:rsid w:val="00243AA4"/>
    <w:rsid w:val="00243E23"/>
    <w:rsid w:val="00245DDC"/>
    <w:rsid w:val="00247E65"/>
    <w:rsid w:val="0025004E"/>
    <w:rsid w:val="00251E37"/>
    <w:rsid w:val="00256984"/>
    <w:rsid w:val="00262787"/>
    <w:rsid w:val="002729A2"/>
    <w:rsid w:val="0027595A"/>
    <w:rsid w:val="002A690C"/>
    <w:rsid w:val="002A71C4"/>
    <w:rsid w:val="002B2E49"/>
    <w:rsid w:val="002B3246"/>
    <w:rsid w:val="002B41E0"/>
    <w:rsid w:val="002C1B5E"/>
    <w:rsid w:val="002C3F70"/>
    <w:rsid w:val="002C52DD"/>
    <w:rsid w:val="002C5751"/>
    <w:rsid w:val="002D3811"/>
    <w:rsid w:val="002D74F5"/>
    <w:rsid w:val="00300393"/>
    <w:rsid w:val="003108AC"/>
    <w:rsid w:val="0031305B"/>
    <w:rsid w:val="00317DCE"/>
    <w:rsid w:val="00321CED"/>
    <w:rsid w:val="0032675F"/>
    <w:rsid w:val="00326F6D"/>
    <w:rsid w:val="003301E2"/>
    <w:rsid w:val="00331316"/>
    <w:rsid w:val="00332454"/>
    <w:rsid w:val="00342E43"/>
    <w:rsid w:val="00345ADD"/>
    <w:rsid w:val="0034670E"/>
    <w:rsid w:val="00346E2E"/>
    <w:rsid w:val="003527D7"/>
    <w:rsid w:val="00353E5A"/>
    <w:rsid w:val="00371FFC"/>
    <w:rsid w:val="003728AA"/>
    <w:rsid w:val="00380D83"/>
    <w:rsid w:val="003B01C5"/>
    <w:rsid w:val="003B4BCB"/>
    <w:rsid w:val="003C0609"/>
    <w:rsid w:val="003C12CA"/>
    <w:rsid w:val="003C2943"/>
    <w:rsid w:val="003C3371"/>
    <w:rsid w:val="003D16BA"/>
    <w:rsid w:val="003D1D56"/>
    <w:rsid w:val="003D4EE3"/>
    <w:rsid w:val="003E072F"/>
    <w:rsid w:val="003E31F0"/>
    <w:rsid w:val="003F7147"/>
    <w:rsid w:val="00407B9A"/>
    <w:rsid w:val="00410760"/>
    <w:rsid w:val="00423288"/>
    <w:rsid w:val="004235BF"/>
    <w:rsid w:val="0043348E"/>
    <w:rsid w:val="004366E9"/>
    <w:rsid w:val="00440106"/>
    <w:rsid w:val="004449A5"/>
    <w:rsid w:val="004531A8"/>
    <w:rsid w:val="004575C5"/>
    <w:rsid w:val="00466BC5"/>
    <w:rsid w:val="0047031E"/>
    <w:rsid w:val="00487305"/>
    <w:rsid w:val="00487F7A"/>
    <w:rsid w:val="00494217"/>
    <w:rsid w:val="004A30FE"/>
    <w:rsid w:val="004A701B"/>
    <w:rsid w:val="004B57C9"/>
    <w:rsid w:val="004C1F85"/>
    <w:rsid w:val="004C5083"/>
    <w:rsid w:val="004D12F9"/>
    <w:rsid w:val="004D26FE"/>
    <w:rsid w:val="004D4484"/>
    <w:rsid w:val="004F271E"/>
    <w:rsid w:val="004F6470"/>
    <w:rsid w:val="005142E2"/>
    <w:rsid w:val="005170B4"/>
    <w:rsid w:val="00523718"/>
    <w:rsid w:val="00525A17"/>
    <w:rsid w:val="00532330"/>
    <w:rsid w:val="00536012"/>
    <w:rsid w:val="005420D7"/>
    <w:rsid w:val="00544899"/>
    <w:rsid w:val="00545181"/>
    <w:rsid w:val="00550BF6"/>
    <w:rsid w:val="00551492"/>
    <w:rsid w:val="005636D8"/>
    <w:rsid w:val="00564F43"/>
    <w:rsid w:val="005771F0"/>
    <w:rsid w:val="00585239"/>
    <w:rsid w:val="00585C1F"/>
    <w:rsid w:val="00586598"/>
    <w:rsid w:val="005A0377"/>
    <w:rsid w:val="005A1CE4"/>
    <w:rsid w:val="005A2B44"/>
    <w:rsid w:val="005B3658"/>
    <w:rsid w:val="005B3BA0"/>
    <w:rsid w:val="005B4B85"/>
    <w:rsid w:val="005D0AEB"/>
    <w:rsid w:val="005E0183"/>
    <w:rsid w:val="005E104E"/>
    <w:rsid w:val="005E3A88"/>
    <w:rsid w:val="005E6A47"/>
    <w:rsid w:val="005F17AE"/>
    <w:rsid w:val="005F5F62"/>
    <w:rsid w:val="005F718B"/>
    <w:rsid w:val="00603834"/>
    <w:rsid w:val="006105C9"/>
    <w:rsid w:val="006160D1"/>
    <w:rsid w:val="006170CE"/>
    <w:rsid w:val="006240C7"/>
    <w:rsid w:val="00630FCC"/>
    <w:rsid w:val="00631005"/>
    <w:rsid w:val="006424F9"/>
    <w:rsid w:val="00642624"/>
    <w:rsid w:val="00643D6B"/>
    <w:rsid w:val="00646B8D"/>
    <w:rsid w:val="00652B92"/>
    <w:rsid w:val="00653667"/>
    <w:rsid w:val="00663FFD"/>
    <w:rsid w:val="0067357A"/>
    <w:rsid w:val="00681FA6"/>
    <w:rsid w:val="006932C4"/>
    <w:rsid w:val="006A4654"/>
    <w:rsid w:val="006A6381"/>
    <w:rsid w:val="006B02AD"/>
    <w:rsid w:val="006B42A6"/>
    <w:rsid w:val="006C0736"/>
    <w:rsid w:val="006C7546"/>
    <w:rsid w:val="006D01A1"/>
    <w:rsid w:val="006D1024"/>
    <w:rsid w:val="006D13FD"/>
    <w:rsid w:val="006E20E5"/>
    <w:rsid w:val="006E20EF"/>
    <w:rsid w:val="006E3CC7"/>
    <w:rsid w:val="006E7CC3"/>
    <w:rsid w:val="006F4B6E"/>
    <w:rsid w:val="00700C01"/>
    <w:rsid w:val="0070110C"/>
    <w:rsid w:val="00706AF8"/>
    <w:rsid w:val="0071325E"/>
    <w:rsid w:val="007275FE"/>
    <w:rsid w:val="00730601"/>
    <w:rsid w:val="0073087B"/>
    <w:rsid w:val="00730C7D"/>
    <w:rsid w:val="00733DE4"/>
    <w:rsid w:val="0073465D"/>
    <w:rsid w:val="00742415"/>
    <w:rsid w:val="00744E28"/>
    <w:rsid w:val="007609E0"/>
    <w:rsid w:val="00765A38"/>
    <w:rsid w:val="00771E07"/>
    <w:rsid w:val="00772A3B"/>
    <w:rsid w:val="007734AC"/>
    <w:rsid w:val="007805B3"/>
    <w:rsid w:val="00783AD6"/>
    <w:rsid w:val="0078565A"/>
    <w:rsid w:val="007860EC"/>
    <w:rsid w:val="00793EAF"/>
    <w:rsid w:val="00795F40"/>
    <w:rsid w:val="007A72BF"/>
    <w:rsid w:val="007A766D"/>
    <w:rsid w:val="007B79D7"/>
    <w:rsid w:val="007C3BA4"/>
    <w:rsid w:val="007D6D8A"/>
    <w:rsid w:val="007E104F"/>
    <w:rsid w:val="007F26EF"/>
    <w:rsid w:val="00802C59"/>
    <w:rsid w:val="00831DE4"/>
    <w:rsid w:val="008447B6"/>
    <w:rsid w:val="00844B0D"/>
    <w:rsid w:val="00852D5A"/>
    <w:rsid w:val="00854C35"/>
    <w:rsid w:val="00857143"/>
    <w:rsid w:val="0086035B"/>
    <w:rsid w:val="00861401"/>
    <w:rsid w:val="00863946"/>
    <w:rsid w:val="00863CB3"/>
    <w:rsid w:val="00864435"/>
    <w:rsid w:val="00865444"/>
    <w:rsid w:val="008756B0"/>
    <w:rsid w:val="0087689D"/>
    <w:rsid w:val="00882843"/>
    <w:rsid w:val="00882CC6"/>
    <w:rsid w:val="00884D67"/>
    <w:rsid w:val="008926A0"/>
    <w:rsid w:val="008939FF"/>
    <w:rsid w:val="008A583C"/>
    <w:rsid w:val="008C61BE"/>
    <w:rsid w:val="008D22B4"/>
    <w:rsid w:val="008D2A82"/>
    <w:rsid w:val="008D45FF"/>
    <w:rsid w:val="008D5191"/>
    <w:rsid w:val="008E355A"/>
    <w:rsid w:val="008E3729"/>
    <w:rsid w:val="008E4518"/>
    <w:rsid w:val="008F17A9"/>
    <w:rsid w:val="00906143"/>
    <w:rsid w:val="009074F5"/>
    <w:rsid w:val="00911561"/>
    <w:rsid w:val="00922BCF"/>
    <w:rsid w:val="00926398"/>
    <w:rsid w:val="00927B8E"/>
    <w:rsid w:val="0093711D"/>
    <w:rsid w:val="009436F8"/>
    <w:rsid w:val="00966685"/>
    <w:rsid w:val="009732D5"/>
    <w:rsid w:val="00973DEA"/>
    <w:rsid w:val="009818B6"/>
    <w:rsid w:val="00985388"/>
    <w:rsid w:val="00997B66"/>
    <w:rsid w:val="009A37E2"/>
    <w:rsid w:val="009B5CA3"/>
    <w:rsid w:val="009B7F1A"/>
    <w:rsid w:val="009C5563"/>
    <w:rsid w:val="009C68B4"/>
    <w:rsid w:val="009D36B4"/>
    <w:rsid w:val="009E57E7"/>
    <w:rsid w:val="009E597B"/>
    <w:rsid w:val="009F68D9"/>
    <w:rsid w:val="00A02CFF"/>
    <w:rsid w:val="00A03D53"/>
    <w:rsid w:val="00A03E8D"/>
    <w:rsid w:val="00A047AB"/>
    <w:rsid w:val="00A10A43"/>
    <w:rsid w:val="00A23D95"/>
    <w:rsid w:val="00A2591E"/>
    <w:rsid w:val="00A3254C"/>
    <w:rsid w:val="00A33406"/>
    <w:rsid w:val="00A335B5"/>
    <w:rsid w:val="00A3369F"/>
    <w:rsid w:val="00A35637"/>
    <w:rsid w:val="00A47E56"/>
    <w:rsid w:val="00A51CB6"/>
    <w:rsid w:val="00A61AB0"/>
    <w:rsid w:val="00A63764"/>
    <w:rsid w:val="00A72E42"/>
    <w:rsid w:val="00A86311"/>
    <w:rsid w:val="00A966A2"/>
    <w:rsid w:val="00AA74F4"/>
    <w:rsid w:val="00AB0D5D"/>
    <w:rsid w:val="00AC2EC8"/>
    <w:rsid w:val="00AD0D76"/>
    <w:rsid w:val="00AD3298"/>
    <w:rsid w:val="00AD610A"/>
    <w:rsid w:val="00AD7462"/>
    <w:rsid w:val="00B0348F"/>
    <w:rsid w:val="00B05A56"/>
    <w:rsid w:val="00B06A5A"/>
    <w:rsid w:val="00B11C84"/>
    <w:rsid w:val="00B13619"/>
    <w:rsid w:val="00B33B77"/>
    <w:rsid w:val="00B53295"/>
    <w:rsid w:val="00B57AC5"/>
    <w:rsid w:val="00B67AF5"/>
    <w:rsid w:val="00B764A5"/>
    <w:rsid w:val="00B8060E"/>
    <w:rsid w:val="00B816F9"/>
    <w:rsid w:val="00B82509"/>
    <w:rsid w:val="00B83947"/>
    <w:rsid w:val="00B860E0"/>
    <w:rsid w:val="00B90E4D"/>
    <w:rsid w:val="00B9307A"/>
    <w:rsid w:val="00B9547D"/>
    <w:rsid w:val="00BA028E"/>
    <w:rsid w:val="00BA0D7F"/>
    <w:rsid w:val="00BA7FCD"/>
    <w:rsid w:val="00BB12A2"/>
    <w:rsid w:val="00BB2DF8"/>
    <w:rsid w:val="00BD4CDB"/>
    <w:rsid w:val="00BE0299"/>
    <w:rsid w:val="00BF7ACB"/>
    <w:rsid w:val="00C000AA"/>
    <w:rsid w:val="00C02D1A"/>
    <w:rsid w:val="00C04062"/>
    <w:rsid w:val="00C06E68"/>
    <w:rsid w:val="00C07E07"/>
    <w:rsid w:val="00C10531"/>
    <w:rsid w:val="00C2093F"/>
    <w:rsid w:val="00C224AB"/>
    <w:rsid w:val="00C238D8"/>
    <w:rsid w:val="00C337D7"/>
    <w:rsid w:val="00C34BEB"/>
    <w:rsid w:val="00C457E8"/>
    <w:rsid w:val="00C47174"/>
    <w:rsid w:val="00C50F55"/>
    <w:rsid w:val="00C51CE6"/>
    <w:rsid w:val="00C5252D"/>
    <w:rsid w:val="00C56E4F"/>
    <w:rsid w:val="00C5793B"/>
    <w:rsid w:val="00C62609"/>
    <w:rsid w:val="00C66450"/>
    <w:rsid w:val="00C67682"/>
    <w:rsid w:val="00C71C83"/>
    <w:rsid w:val="00C80241"/>
    <w:rsid w:val="00C80CC7"/>
    <w:rsid w:val="00C82645"/>
    <w:rsid w:val="00C82E9A"/>
    <w:rsid w:val="00C93E04"/>
    <w:rsid w:val="00C96C90"/>
    <w:rsid w:val="00CA45D7"/>
    <w:rsid w:val="00CA571A"/>
    <w:rsid w:val="00CA7E7B"/>
    <w:rsid w:val="00CB5F42"/>
    <w:rsid w:val="00CC197A"/>
    <w:rsid w:val="00CC5ACF"/>
    <w:rsid w:val="00CC62CD"/>
    <w:rsid w:val="00CC7E3D"/>
    <w:rsid w:val="00CD28C3"/>
    <w:rsid w:val="00CE6092"/>
    <w:rsid w:val="00CF04D1"/>
    <w:rsid w:val="00CF23DC"/>
    <w:rsid w:val="00D00E95"/>
    <w:rsid w:val="00D020AA"/>
    <w:rsid w:val="00D03747"/>
    <w:rsid w:val="00D045A2"/>
    <w:rsid w:val="00D0486A"/>
    <w:rsid w:val="00D04FD8"/>
    <w:rsid w:val="00D058C3"/>
    <w:rsid w:val="00D05978"/>
    <w:rsid w:val="00D154F9"/>
    <w:rsid w:val="00D16F40"/>
    <w:rsid w:val="00D40C4E"/>
    <w:rsid w:val="00D42579"/>
    <w:rsid w:val="00D52B45"/>
    <w:rsid w:val="00D52CCB"/>
    <w:rsid w:val="00D5318E"/>
    <w:rsid w:val="00D600C3"/>
    <w:rsid w:val="00D61777"/>
    <w:rsid w:val="00D65403"/>
    <w:rsid w:val="00D71454"/>
    <w:rsid w:val="00D71673"/>
    <w:rsid w:val="00D73601"/>
    <w:rsid w:val="00D73656"/>
    <w:rsid w:val="00D758BB"/>
    <w:rsid w:val="00D77604"/>
    <w:rsid w:val="00D80323"/>
    <w:rsid w:val="00D87B40"/>
    <w:rsid w:val="00D96223"/>
    <w:rsid w:val="00DA7F67"/>
    <w:rsid w:val="00DB3A75"/>
    <w:rsid w:val="00DB681E"/>
    <w:rsid w:val="00DC2C33"/>
    <w:rsid w:val="00DE5B92"/>
    <w:rsid w:val="00DE677E"/>
    <w:rsid w:val="00DE732F"/>
    <w:rsid w:val="00DE7941"/>
    <w:rsid w:val="00DF7243"/>
    <w:rsid w:val="00E0016C"/>
    <w:rsid w:val="00E003AE"/>
    <w:rsid w:val="00E0544B"/>
    <w:rsid w:val="00E122DA"/>
    <w:rsid w:val="00E36025"/>
    <w:rsid w:val="00E4259D"/>
    <w:rsid w:val="00E4303F"/>
    <w:rsid w:val="00E45CF0"/>
    <w:rsid w:val="00E630E8"/>
    <w:rsid w:val="00E659CA"/>
    <w:rsid w:val="00E676EB"/>
    <w:rsid w:val="00E67774"/>
    <w:rsid w:val="00E7350A"/>
    <w:rsid w:val="00E84721"/>
    <w:rsid w:val="00E86F5D"/>
    <w:rsid w:val="00E94B91"/>
    <w:rsid w:val="00E961D3"/>
    <w:rsid w:val="00EA2462"/>
    <w:rsid w:val="00EA5EF0"/>
    <w:rsid w:val="00EB020F"/>
    <w:rsid w:val="00EB1CB7"/>
    <w:rsid w:val="00EC7E94"/>
    <w:rsid w:val="00ED3273"/>
    <w:rsid w:val="00ED341C"/>
    <w:rsid w:val="00ED3B85"/>
    <w:rsid w:val="00ED7556"/>
    <w:rsid w:val="00EE56D3"/>
    <w:rsid w:val="00EF3446"/>
    <w:rsid w:val="00F007AE"/>
    <w:rsid w:val="00F02E7A"/>
    <w:rsid w:val="00F03905"/>
    <w:rsid w:val="00F07CA6"/>
    <w:rsid w:val="00F07E1A"/>
    <w:rsid w:val="00F15303"/>
    <w:rsid w:val="00F25696"/>
    <w:rsid w:val="00F308C4"/>
    <w:rsid w:val="00F449DF"/>
    <w:rsid w:val="00F54A5C"/>
    <w:rsid w:val="00F55CC4"/>
    <w:rsid w:val="00F6100C"/>
    <w:rsid w:val="00F7432F"/>
    <w:rsid w:val="00F7539E"/>
    <w:rsid w:val="00F807F5"/>
    <w:rsid w:val="00F87FB5"/>
    <w:rsid w:val="00F9178B"/>
    <w:rsid w:val="00F93310"/>
    <w:rsid w:val="00F974D4"/>
    <w:rsid w:val="00FA05F7"/>
    <w:rsid w:val="00FA4C2D"/>
    <w:rsid w:val="00FC4B19"/>
    <w:rsid w:val="00FD2FFF"/>
    <w:rsid w:val="00FE4E19"/>
    <w:rsid w:val="00FF0E3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0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C3BA4"/>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Normaal"/>
    <w:next w:val="Normaal"/>
    <w:link w:val="Kop2Teken"/>
    <w:autoRedefine/>
    <w:uiPriority w:val="9"/>
    <w:unhideWhenUsed/>
    <w:qFormat/>
    <w:rsid w:val="00523718"/>
    <w:pPr>
      <w:keepNext/>
      <w:keepLines/>
      <w:spacing w:before="40"/>
      <w:outlineLvl w:val="1"/>
    </w:pPr>
    <w:rPr>
      <w:rFonts w:asciiTheme="majorHAnsi" w:eastAsiaTheme="majorEastAsia" w:hAnsiTheme="majorHAnsi" w:cstheme="majorBidi"/>
      <w:b/>
      <w:i/>
      <w:sz w:val="26"/>
      <w:szCs w:val="26"/>
      <w:lang w:val="en-US"/>
    </w:rPr>
  </w:style>
  <w:style w:type="paragraph" w:styleId="Kop3">
    <w:name w:val="heading 3"/>
    <w:basedOn w:val="Normaal"/>
    <w:next w:val="Normaal"/>
    <w:link w:val="Kop3Teken"/>
    <w:uiPriority w:val="9"/>
    <w:unhideWhenUsed/>
    <w:qFormat/>
    <w:rsid w:val="007C3BA4"/>
    <w:pPr>
      <w:keepNext/>
      <w:keepLines/>
      <w:spacing w:before="200"/>
      <w:outlineLvl w:val="2"/>
    </w:pPr>
    <w:rPr>
      <w:rFonts w:asciiTheme="majorHAnsi" w:eastAsiaTheme="majorEastAsia" w:hAnsiTheme="majorHAnsi" w:cstheme="majorBidi"/>
      <w:bCs/>
      <w:i/>
    </w:rPr>
  </w:style>
  <w:style w:type="paragraph" w:styleId="Kop4">
    <w:name w:val="heading 4"/>
    <w:basedOn w:val="Normaal"/>
    <w:next w:val="Normaal"/>
    <w:link w:val="Kop4Teken"/>
    <w:uiPriority w:val="9"/>
    <w:semiHidden/>
    <w:unhideWhenUsed/>
    <w:qFormat/>
    <w:rsid w:val="00256984"/>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aliases w:val="VNOOT"/>
    <w:basedOn w:val="Voetnoottekst"/>
    <w:next w:val="Voetnoottekst"/>
    <w:link w:val="Kop7Teken"/>
    <w:autoRedefine/>
    <w:uiPriority w:val="9"/>
    <w:unhideWhenUsed/>
    <w:qFormat/>
    <w:rsid w:val="00217C63"/>
    <w:pPr>
      <w:keepNext/>
      <w:keepLines/>
      <w:contextualSpacing/>
      <w:jc w:val="both"/>
      <w:outlineLvl w:val="6"/>
    </w:pPr>
    <w:rPr>
      <w:rFonts w:ascii="Times New Roman" w:eastAsiaTheme="majorEastAsia" w:hAnsi="Times New Roman" w:cstheme="majorBidi"/>
      <w:iCs/>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7941"/>
    <w:pPr>
      <w:ind w:left="720"/>
      <w:contextualSpacing/>
    </w:pPr>
  </w:style>
  <w:style w:type="character" w:styleId="Verwijzingopmerking">
    <w:name w:val="annotation reference"/>
    <w:basedOn w:val="Standaardalinea-lettertype"/>
    <w:uiPriority w:val="99"/>
    <w:semiHidden/>
    <w:unhideWhenUsed/>
    <w:rsid w:val="00E0016C"/>
    <w:rPr>
      <w:sz w:val="16"/>
      <w:szCs w:val="16"/>
    </w:rPr>
  </w:style>
  <w:style w:type="paragraph" w:styleId="Tekstopmerking">
    <w:name w:val="annotation text"/>
    <w:basedOn w:val="Normaal"/>
    <w:link w:val="TekstopmerkingTeken"/>
    <w:uiPriority w:val="99"/>
    <w:unhideWhenUsed/>
    <w:rsid w:val="00E0016C"/>
    <w:rPr>
      <w:sz w:val="20"/>
      <w:szCs w:val="20"/>
    </w:rPr>
  </w:style>
  <w:style w:type="character" w:customStyle="1" w:styleId="TekstopmerkingTeken">
    <w:name w:val="Tekst opmerking Teken"/>
    <w:basedOn w:val="Standaardalinea-lettertype"/>
    <w:link w:val="Tekstopmerking"/>
    <w:uiPriority w:val="99"/>
    <w:rsid w:val="00E0016C"/>
    <w:rPr>
      <w:sz w:val="20"/>
      <w:szCs w:val="20"/>
    </w:rPr>
  </w:style>
  <w:style w:type="paragraph" w:styleId="Onderwerpvanopmerking">
    <w:name w:val="annotation subject"/>
    <w:basedOn w:val="Tekstopmerking"/>
    <w:next w:val="Tekstopmerking"/>
    <w:link w:val="OnderwerpvanopmerkingTeken"/>
    <w:uiPriority w:val="99"/>
    <w:semiHidden/>
    <w:unhideWhenUsed/>
    <w:rsid w:val="00E0016C"/>
    <w:rPr>
      <w:b/>
      <w:bCs/>
    </w:rPr>
  </w:style>
  <w:style w:type="character" w:customStyle="1" w:styleId="OnderwerpvanopmerkingTeken">
    <w:name w:val="Onderwerp van opmerking Teken"/>
    <w:basedOn w:val="TekstopmerkingTeken"/>
    <w:link w:val="Onderwerpvanopmerking"/>
    <w:uiPriority w:val="99"/>
    <w:semiHidden/>
    <w:rsid w:val="00E0016C"/>
    <w:rPr>
      <w:b/>
      <w:bCs/>
      <w:sz w:val="20"/>
      <w:szCs w:val="20"/>
    </w:rPr>
  </w:style>
  <w:style w:type="paragraph" w:styleId="Ballontekst">
    <w:name w:val="Balloon Text"/>
    <w:basedOn w:val="Normaal"/>
    <w:link w:val="BallontekstTeken"/>
    <w:uiPriority w:val="99"/>
    <w:semiHidden/>
    <w:unhideWhenUsed/>
    <w:rsid w:val="00E0016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0016C"/>
    <w:rPr>
      <w:rFonts w:ascii="Tahoma" w:hAnsi="Tahoma" w:cs="Tahoma"/>
      <w:sz w:val="16"/>
      <w:szCs w:val="16"/>
    </w:rPr>
  </w:style>
  <w:style w:type="character" w:customStyle="1" w:styleId="Kop7Teken">
    <w:name w:val="Kop 7 Teken"/>
    <w:aliases w:val="VNOOT Teken"/>
    <w:basedOn w:val="Standaardalinea-lettertype"/>
    <w:link w:val="Kop7"/>
    <w:uiPriority w:val="9"/>
    <w:rsid w:val="00217C63"/>
    <w:rPr>
      <w:rFonts w:ascii="Times New Roman" w:eastAsiaTheme="majorEastAsia" w:hAnsi="Times New Roman" w:cstheme="majorBidi"/>
      <w:iCs/>
      <w:sz w:val="20"/>
      <w:lang w:val="en-US"/>
    </w:rPr>
  </w:style>
  <w:style w:type="character" w:styleId="Voetnootmarkering">
    <w:name w:val="footnote reference"/>
    <w:basedOn w:val="Standaardalinea-lettertype"/>
    <w:uiPriority w:val="99"/>
    <w:unhideWhenUsed/>
    <w:rsid w:val="006F4B6E"/>
    <w:rPr>
      <w:vertAlign w:val="superscript"/>
    </w:rPr>
  </w:style>
  <w:style w:type="paragraph" w:styleId="Voetnoottekst">
    <w:name w:val="footnote text"/>
    <w:basedOn w:val="Normaal"/>
    <w:link w:val="VoetnoottekstTeken"/>
    <w:uiPriority w:val="99"/>
    <w:unhideWhenUsed/>
    <w:rsid w:val="006F4B6E"/>
    <w:rPr>
      <w:sz w:val="20"/>
      <w:szCs w:val="20"/>
    </w:rPr>
  </w:style>
  <w:style w:type="character" w:customStyle="1" w:styleId="VoetnoottekstTeken">
    <w:name w:val="Voetnoottekst Teken"/>
    <w:basedOn w:val="Standaardalinea-lettertype"/>
    <w:link w:val="Voetnoottekst"/>
    <w:uiPriority w:val="99"/>
    <w:rsid w:val="006F4B6E"/>
    <w:rPr>
      <w:sz w:val="20"/>
      <w:szCs w:val="20"/>
    </w:rPr>
  </w:style>
  <w:style w:type="character" w:customStyle="1" w:styleId="Kop2Teken">
    <w:name w:val="Kop 2 Teken"/>
    <w:basedOn w:val="Standaardalinea-lettertype"/>
    <w:link w:val="Kop2"/>
    <w:uiPriority w:val="9"/>
    <w:rsid w:val="00523718"/>
    <w:rPr>
      <w:rFonts w:asciiTheme="majorHAnsi" w:eastAsiaTheme="majorEastAsia" w:hAnsiTheme="majorHAnsi" w:cstheme="majorBidi"/>
      <w:b/>
      <w:i/>
      <w:sz w:val="26"/>
      <w:szCs w:val="26"/>
      <w:lang w:val="en-US"/>
    </w:rPr>
  </w:style>
  <w:style w:type="character" w:styleId="Hyperlink">
    <w:name w:val="Hyperlink"/>
    <w:basedOn w:val="Standaardalinea-lettertype"/>
    <w:uiPriority w:val="99"/>
    <w:unhideWhenUsed/>
    <w:rsid w:val="00243E23"/>
    <w:rPr>
      <w:color w:val="0000FF" w:themeColor="hyperlink"/>
      <w:u w:val="single"/>
    </w:rPr>
  </w:style>
  <w:style w:type="paragraph" w:styleId="Revisie">
    <w:name w:val="Revision"/>
    <w:hidden/>
    <w:uiPriority w:val="99"/>
    <w:semiHidden/>
    <w:rsid w:val="004C1F85"/>
  </w:style>
  <w:style w:type="character" w:customStyle="1" w:styleId="Kop4Teken">
    <w:name w:val="Kop 4 Teken"/>
    <w:basedOn w:val="Standaardalinea-lettertype"/>
    <w:link w:val="Kop4"/>
    <w:uiPriority w:val="9"/>
    <w:semiHidden/>
    <w:rsid w:val="00256984"/>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256984"/>
    <w:rPr>
      <w:b/>
      <w:bCs/>
    </w:rPr>
  </w:style>
  <w:style w:type="paragraph" w:styleId="Normaalweb">
    <w:name w:val="Normal (Web)"/>
    <w:basedOn w:val="Normaal"/>
    <w:uiPriority w:val="99"/>
    <w:unhideWhenUsed/>
    <w:rsid w:val="00256984"/>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256984"/>
    <w:rPr>
      <w:i/>
      <w:iCs/>
    </w:rPr>
  </w:style>
  <w:style w:type="character" w:customStyle="1" w:styleId="Kop1Teken">
    <w:name w:val="Kop 1 Teken"/>
    <w:basedOn w:val="Standaardalinea-lettertype"/>
    <w:link w:val="Kop1"/>
    <w:uiPriority w:val="9"/>
    <w:rsid w:val="007C3BA4"/>
    <w:rPr>
      <w:rFonts w:asciiTheme="majorHAnsi" w:eastAsiaTheme="majorEastAsia" w:hAnsiTheme="majorHAnsi" w:cstheme="majorBidi"/>
      <w:b/>
      <w:bCs/>
      <w:sz w:val="28"/>
      <w:szCs w:val="28"/>
    </w:rPr>
  </w:style>
  <w:style w:type="character" w:customStyle="1" w:styleId="Kop3Teken">
    <w:name w:val="Kop 3 Teken"/>
    <w:basedOn w:val="Standaardalinea-lettertype"/>
    <w:link w:val="Kop3"/>
    <w:uiPriority w:val="9"/>
    <w:rsid w:val="007C3BA4"/>
    <w:rPr>
      <w:rFonts w:asciiTheme="majorHAnsi" w:eastAsiaTheme="majorEastAsia" w:hAnsiTheme="majorHAnsi" w:cstheme="majorBidi"/>
      <w:bCs/>
      <w:i/>
    </w:rPr>
  </w:style>
  <w:style w:type="paragraph" w:styleId="Bijschrift">
    <w:name w:val="caption"/>
    <w:basedOn w:val="Normaal"/>
    <w:next w:val="Normaal"/>
    <w:uiPriority w:val="35"/>
    <w:semiHidden/>
    <w:unhideWhenUsed/>
    <w:qFormat/>
    <w:rsid w:val="0003573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C3BA4"/>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Normaal"/>
    <w:next w:val="Normaal"/>
    <w:link w:val="Kop2Teken"/>
    <w:autoRedefine/>
    <w:uiPriority w:val="9"/>
    <w:unhideWhenUsed/>
    <w:qFormat/>
    <w:rsid w:val="00523718"/>
    <w:pPr>
      <w:keepNext/>
      <w:keepLines/>
      <w:spacing w:before="40"/>
      <w:outlineLvl w:val="1"/>
    </w:pPr>
    <w:rPr>
      <w:rFonts w:asciiTheme="majorHAnsi" w:eastAsiaTheme="majorEastAsia" w:hAnsiTheme="majorHAnsi" w:cstheme="majorBidi"/>
      <w:b/>
      <w:i/>
      <w:sz w:val="26"/>
      <w:szCs w:val="26"/>
      <w:lang w:val="en-US"/>
    </w:rPr>
  </w:style>
  <w:style w:type="paragraph" w:styleId="Kop3">
    <w:name w:val="heading 3"/>
    <w:basedOn w:val="Normaal"/>
    <w:next w:val="Normaal"/>
    <w:link w:val="Kop3Teken"/>
    <w:uiPriority w:val="9"/>
    <w:unhideWhenUsed/>
    <w:qFormat/>
    <w:rsid w:val="007C3BA4"/>
    <w:pPr>
      <w:keepNext/>
      <w:keepLines/>
      <w:spacing w:before="200"/>
      <w:outlineLvl w:val="2"/>
    </w:pPr>
    <w:rPr>
      <w:rFonts w:asciiTheme="majorHAnsi" w:eastAsiaTheme="majorEastAsia" w:hAnsiTheme="majorHAnsi" w:cstheme="majorBidi"/>
      <w:bCs/>
      <w:i/>
    </w:rPr>
  </w:style>
  <w:style w:type="paragraph" w:styleId="Kop4">
    <w:name w:val="heading 4"/>
    <w:basedOn w:val="Normaal"/>
    <w:next w:val="Normaal"/>
    <w:link w:val="Kop4Teken"/>
    <w:uiPriority w:val="9"/>
    <w:semiHidden/>
    <w:unhideWhenUsed/>
    <w:qFormat/>
    <w:rsid w:val="00256984"/>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aliases w:val="VNOOT"/>
    <w:basedOn w:val="Voetnoottekst"/>
    <w:next w:val="Voetnoottekst"/>
    <w:link w:val="Kop7Teken"/>
    <w:autoRedefine/>
    <w:uiPriority w:val="9"/>
    <w:unhideWhenUsed/>
    <w:qFormat/>
    <w:rsid w:val="00217C63"/>
    <w:pPr>
      <w:keepNext/>
      <w:keepLines/>
      <w:contextualSpacing/>
      <w:jc w:val="both"/>
      <w:outlineLvl w:val="6"/>
    </w:pPr>
    <w:rPr>
      <w:rFonts w:ascii="Times New Roman" w:eastAsiaTheme="majorEastAsia" w:hAnsi="Times New Roman" w:cstheme="majorBidi"/>
      <w:iCs/>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7941"/>
    <w:pPr>
      <w:ind w:left="720"/>
      <w:contextualSpacing/>
    </w:pPr>
  </w:style>
  <w:style w:type="character" w:styleId="Verwijzingopmerking">
    <w:name w:val="annotation reference"/>
    <w:basedOn w:val="Standaardalinea-lettertype"/>
    <w:uiPriority w:val="99"/>
    <w:semiHidden/>
    <w:unhideWhenUsed/>
    <w:rsid w:val="00E0016C"/>
    <w:rPr>
      <w:sz w:val="16"/>
      <w:szCs w:val="16"/>
    </w:rPr>
  </w:style>
  <w:style w:type="paragraph" w:styleId="Tekstopmerking">
    <w:name w:val="annotation text"/>
    <w:basedOn w:val="Normaal"/>
    <w:link w:val="TekstopmerkingTeken"/>
    <w:uiPriority w:val="99"/>
    <w:unhideWhenUsed/>
    <w:rsid w:val="00E0016C"/>
    <w:rPr>
      <w:sz w:val="20"/>
      <w:szCs w:val="20"/>
    </w:rPr>
  </w:style>
  <w:style w:type="character" w:customStyle="1" w:styleId="TekstopmerkingTeken">
    <w:name w:val="Tekst opmerking Teken"/>
    <w:basedOn w:val="Standaardalinea-lettertype"/>
    <w:link w:val="Tekstopmerking"/>
    <w:uiPriority w:val="99"/>
    <w:rsid w:val="00E0016C"/>
    <w:rPr>
      <w:sz w:val="20"/>
      <w:szCs w:val="20"/>
    </w:rPr>
  </w:style>
  <w:style w:type="paragraph" w:styleId="Onderwerpvanopmerking">
    <w:name w:val="annotation subject"/>
    <w:basedOn w:val="Tekstopmerking"/>
    <w:next w:val="Tekstopmerking"/>
    <w:link w:val="OnderwerpvanopmerkingTeken"/>
    <w:uiPriority w:val="99"/>
    <w:semiHidden/>
    <w:unhideWhenUsed/>
    <w:rsid w:val="00E0016C"/>
    <w:rPr>
      <w:b/>
      <w:bCs/>
    </w:rPr>
  </w:style>
  <w:style w:type="character" w:customStyle="1" w:styleId="OnderwerpvanopmerkingTeken">
    <w:name w:val="Onderwerp van opmerking Teken"/>
    <w:basedOn w:val="TekstopmerkingTeken"/>
    <w:link w:val="Onderwerpvanopmerking"/>
    <w:uiPriority w:val="99"/>
    <w:semiHidden/>
    <w:rsid w:val="00E0016C"/>
    <w:rPr>
      <w:b/>
      <w:bCs/>
      <w:sz w:val="20"/>
      <w:szCs w:val="20"/>
    </w:rPr>
  </w:style>
  <w:style w:type="paragraph" w:styleId="Ballontekst">
    <w:name w:val="Balloon Text"/>
    <w:basedOn w:val="Normaal"/>
    <w:link w:val="BallontekstTeken"/>
    <w:uiPriority w:val="99"/>
    <w:semiHidden/>
    <w:unhideWhenUsed/>
    <w:rsid w:val="00E0016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0016C"/>
    <w:rPr>
      <w:rFonts w:ascii="Tahoma" w:hAnsi="Tahoma" w:cs="Tahoma"/>
      <w:sz w:val="16"/>
      <w:szCs w:val="16"/>
    </w:rPr>
  </w:style>
  <w:style w:type="character" w:customStyle="1" w:styleId="Kop7Teken">
    <w:name w:val="Kop 7 Teken"/>
    <w:aliases w:val="VNOOT Teken"/>
    <w:basedOn w:val="Standaardalinea-lettertype"/>
    <w:link w:val="Kop7"/>
    <w:uiPriority w:val="9"/>
    <w:rsid w:val="00217C63"/>
    <w:rPr>
      <w:rFonts w:ascii="Times New Roman" w:eastAsiaTheme="majorEastAsia" w:hAnsi="Times New Roman" w:cstheme="majorBidi"/>
      <w:iCs/>
      <w:sz w:val="20"/>
      <w:lang w:val="en-US"/>
    </w:rPr>
  </w:style>
  <w:style w:type="character" w:styleId="Voetnootmarkering">
    <w:name w:val="footnote reference"/>
    <w:basedOn w:val="Standaardalinea-lettertype"/>
    <w:uiPriority w:val="99"/>
    <w:unhideWhenUsed/>
    <w:rsid w:val="006F4B6E"/>
    <w:rPr>
      <w:vertAlign w:val="superscript"/>
    </w:rPr>
  </w:style>
  <w:style w:type="paragraph" w:styleId="Voetnoottekst">
    <w:name w:val="footnote text"/>
    <w:basedOn w:val="Normaal"/>
    <w:link w:val="VoetnoottekstTeken"/>
    <w:uiPriority w:val="99"/>
    <w:unhideWhenUsed/>
    <w:rsid w:val="006F4B6E"/>
    <w:rPr>
      <w:sz w:val="20"/>
      <w:szCs w:val="20"/>
    </w:rPr>
  </w:style>
  <w:style w:type="character" w:customStyle="1" w:styleId="VoetnoottekstTeken">
    <w:name w:val="Voetnoottekst Teken"/>
    <w:basedOn w:val="Standaardalinea-lettertype"/>
    <w:link w:val="Voetnoottekst"/>
    <w:uiPriority w:val="99"/>
    <w:rsid w:val="006F4B6E"/>
    <w:rPr>
      <w:sz w:val="20"/>
      <w:szCs w:val="20"/>
    </w:rPr>
  </w:style>
  <w:style w:type="character" w:customStyle="1" w:styleId="Kop2Teken">
    <w:name w:val="Kop 2 Teken"/>
    <w:basedOn w:val="Standaardalinea-lettertype"/>
    <w:link w:val="Kop2"/>
    <w:uiPriority w:val="9"/>
    <w:rsid w:val="00523718"/>
    <w:rPr>
      <w:rFonts w:asciiTheme="majorHAnsi" w:eastAsiaTheme="majorEastAsia" w:hAnsiTheme="majorHAnsi" w:cstheme="majorBidi"/>
      <w:b/>
      <w:i/>
      <w:sz w:val="26"/>
      <w:szCs w:val="26"/>
      <w:lang w:val="en-US"/>
    </w:rPr>
  </w:style>
  <w:style w:type="character" w:styleId="Hyperlink">
    <w:name w:val="Hyperlink"/>
    <w:basedOn w:val="Standaardalinea-lettertype"/>
    <w:uiPriority w:val="99"/>
    <w:unhideWhenUsed/>
    <w:rsid w:val="00243E23"/>
    <w:rPr>
      <w:color w:val="0000FF" w:themeColor="hyperlink"/>
      <w:u w:val="single"/>
    </w:rPr>
  </w:style>
  <w:style w:type="paragraph" w:styleId="Revisie">
    <w:name w:val="Revision"/>
    <w:hidden/>
    <w:uiPriority w:val="99"/>
    <w:semiHidden/>
    <w:rsid w:val="004C1F85"/>
  </w:style>
  <w:style w:type="character" w:customStyle="1" w:styleId="Kop4Teken">
    <w:name w:val="Kop 4 Teken"/>
    <w:basedOn w:val="Standaardalinea-lettertype"/>
    <w:link w:val="Kop4"/>
    <w:uiPriority w:val="9"/>
    <w:semiHidden/>
    <w:rsid w:val="00256984"/>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256984"/>
    <w:rPr>
      <w:b/>
      <w:bCs/>
    </w:rPr>
  </w:style>
  <w:style w:type="paragraph" w:styleId="Normaalweb">
    <w:name w:val="Normal (Web)"/>
    <w:basedOn w:val="Normaal"/>
    <w:uiPriority w:val="99"/>
    <w:unhideWhenUsed/>
    <w:rsid w:val="00256984"/>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256984"/>
    <w:rPr>
      <w:i/>
      <w:iCs/>
    </w:rPr>
  </w:style>
  <w:style w:type="character" w:customStyle="1" w:styleId="Kop1Teken">
    <w:name w:val="Kop 1 Teken"/>
    <w:basedOn w:val="Standaardalinea-lettertype"/>
    <w:link w:val="Kop1"/>
    <w:uiPriority w:val="9"/>
    <w:rsid w:val="007C3BA4"/>
    <w:rPr>
      <w:rFonts w:asciiTheme="majorHAnsi" w:eastAsiaTheme="majorEastAsia" w:hAnsiTheme="majorHAnsi" w:cstheme="majorBidi"/>
      <w:b/>
      <w:bCs/>
      <w:sz w:val="28"/>
      <w:szCs w:val="28"/>
    </w:rPr>
  </w:style>
  <w:style w:type="character" w:customStyle="1" w:styleId="Kop3Teken">
    <w:name w:val="Kop 3 Teken"/>
    <w:basedOn w:val="Standaardalinea-lettertype"/>
    <w:link w:val="Kop3"/>
    <w:uiPriority w:val="9"/>
    <w:rsid w:val="007C3BA4"/>
    <w:rPr>
      <w:rFonts w:asciiTheme="majorHAnsi" w:eastAsiaTheme="majorEastAsia" w:hAnsiTheme="majorHAnsi" w:cstheme="majorBidi"/>
      <w:bCs/>
      <w:i/>
    </w:rPr>
  </w:style>
  <w:style w:type="paragraph" w:styleId="Bijschrift">
    <w:name w:val="caption"/>
    <w:basedOn w:val="Normaal"/>
    <w:next w:val="Normaal"/>
    <w:uiPriority w:val="35"/>
    <w:semiHidden/>
    <w:unhideWhenUsed/>
    <w:qFormat/>
    <w:rsid w:val="0003573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4885">
      <w:bodyDiv w:val="1"/>
      <w:marLeft w:val="0"/>
      <w:marRight w:val="0"/>
      <w:marTop w:val="0"/>
      <w:marBottom w:val="0"/>
      <w:divBdr>
        <w:top w:val="none" w:sz="0" w:space="0" w:color="auto"/>
        <w:left w:val="none" w:sz="0" w:space="0" w:color="auto"/>
        <w:bottom w:val="none" w:sz="0" w:space="0" w:color="auto"/>
        <w:right w:val="none" w:sz="0" w:space="0" w:color="auto"/>
      </w:divBdr>
    </w:div>
    <w:div w:id="768937776">
      <w:bodyDiv w:val="1"/>
      <w:marLeft w:val="0"/>
      <w:marRight w:val="0"/>
      <w:marTop w:val="0"/>
      <w:marBottom w:val="0"/>
      <w:divBdr>
        <w:top w:val="none" w:sz="0" w:space="0" w:color="auto"/>
        <w:left w:val="none" w:sz="0" w:space="0" w:color="auto"/>
        <w:bottom w:val="none" w:sz="0" w:space="0" w:color="auto"/>
        <w:right w:val="none" w:sz="0" w:space="0" w:color="auto"/>
      </w:divBdr>
    </w:div>
    <w:div w:id="919873504">
      <w:bodyDiv w:val="1"/>
      <w:marLeft w:val="0"/>
      <w:marRight w:val="0"/>
      <w:marTop w:val="0"/>
      <w:marBottom w:val="0"/>
      <w:divBdr>
        <w:top w:val="none" w:sz="0" w:space="0" w:color="auto"/>
        <w:left w:val="none" w:sz="0" w:space="0" w:color="auto"/>
        <w:bottom w:val="none" w:sz="0" w:space="0" w:color="auto"/>
        <w:right w:val="none" w:sz="0" w:space="0" w:color="auto"/>
      </w:divBdr>
    </w:div>
    <w:div w:id="978614338">
      <w:bodyDiv w:val="1"/>
      <w:marLeft w:val="0"/>
      <w:marRight w:val="0"/>
      <w:marTop w:val="0"/>
      <w:marBottom w:val="0"/>
      <w:divBdr>
        <w:top w:val="none" w:sz="0" w:space="0" w:color="auto"/>
        <w:left w:val="none" w:sz="0" w:space="0" w:color="auto"/>
        <w:bottom w:val="none" w:sz="0" w:space="0" w:color="auto"/>
        <w:right w:val="none" w:sz="0" w:space="0" w:color="auto"/>
      </w:divBdr>
    </w:div>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 w:id="206374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dia.wix.com/ugd/035467_d81f8a7835434c438cff38b5f20dd036.pdf"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bollen\Dropbox\Waterloo\'Data'\All%20Parliaments%20Graphs.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265059848015394"/>
          <c:y val="0.0921260220370476"/>
          <c:w val="0.962596661317748"/>
          <c:h val="0.691409218821754"/>
        </c:manualLayout>
      </c:layout>
      <c:barChart>
        <c:barDir val="col"/>
        <c:grouping val="stacked"/>
        <c:varyColors val="0"/>
        <c:ser>
          <c:idx val="0"/>
          <c:order val="0"/>
          <c:tx>
            <c:strRef>
              <c:f>Blad1!$C$74</c:f>
              <c:strCache>
                <c:ptCount val="1"/>
                <c:pt idx="0">
                  <c:v>CETA</c:v>
                </c:pt>
              </c:strCache>
            </c:strRef>
          </c:tx>
          <c:spPr>
            <a:solidFill>
              <a:srgbClr val="FF0000"/>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Blad1!$D$74:$BB$74</c:f>
              <c:numCache>
                <c:formatCode>General</c:formatCode>
                <c:ptCount val="51"/>
                <c:pt idx="0">
                  <c:v>0.0</c:v>
                </c:pt>
                <c:pt idx="1">
                  <c:v>0.0</c:v>
                </c:pt>
                <c:pt idx="2">
                  <c:v>0.0</c:v>
                </c:pt>
                <c:pt idx="3">
                  <c:v>0.0</c:v>
                </c:pt>
                <c:pt idx="4">
                  <c:v>0.0</c:v>
                </c:pt>
                <c:pt idx="5">
                  <c:v>0.0</c:v>
                </c:pt>
                <c:pt idx="6">
                  <c:v>0.0</c:v>
                </c:pt>
                <c:pt idx="7">
                  <c:v>0.0</c:v>
                </c:pt>
                <c:pt idx="8">
                  <c:v>0.0</c:v>
                </c:pt>
                <c:pt idx="9">
                  <c:v>1.0</c:v>
                </c:pt>
                <c:pt idx="10">
                  <c:v>0.0</c:v>
                </c:pt>
                <c:pt idx="11">
                  <c:v>1.0</c:v>
                </c:pt>
                <c:pt idx="12">
                  <c:v>0.0</c:v>
                </c:pt>
                <c:pt idx="13">
                  <c:v>1.0</c:v>
                </c:pt>
                <c:pt idx="14">
                  <c:v>2.0</c:v>
                </c:pt>
                <c:pt idx="15">
                  <c:v>2.0</c:v>
                </c:pt>
                <c:pt idx="16">
                  <c:v>34.0</c:v>
                </c:pt>
              </c:numCache>
            </c:numRef>
          </c:val>
        </c:ser>
        <c:ser>
          <c:idx val="1"/>
          <c:order val="1"/>
          <c:tx>
            <c:strRef>
              <c:f>Blad1!$C$75</c:f>
              <c:strCache>
                <c:ptCount val="1"/>
                <c:pt idx="0">
                  <c:v>TTIP</c:v>
                </c:pt>
              </c:strCache>
            </c:strRef>
          </c:tx>
          <c:spPr>
            <a:solidFill>
              <a:schemeClr val="tx1"/>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Blad1!$D$75:$BB$75</c:f>
              <c:numCache>
                <c:formatCode>General</c:formatCode>
                <c:ptCount val="51"/>
                <c:pt idx="0">
                  <c:v>0.0</c:v>
                </c:pt>
                <c:pt idx="1">
                  <c:v>0.0</c:v>
                </c:pt>
                <c:pt idx="2">
                  <c:v>0.0</c:v>
                </c:pt>
                <c:pt idx="3">
                  <c:v>0.0</c:v>
                </c:pt>
                <c:pt idx="4">
                  <c:v>0.0</c:v>
                </c:pt>
                <c:pt idx="5">
                  <c:v>0.0</c:v>
                </c:pt>
                <c:pt idx="6">
                  <c:v>0.0</c:v>
                </c:pt>
                <c:pt idx="7">
                  <c:v>0.0</c:v>
                </c:pt>
                <c:pt idx="8">
                  <c:v>0.0</c:v>
                </c:pt>
                <c:pt idx="9">
                  <c:v>0.0</c:v>
                </c:pt>
                <c:pt idx="10">
                  <c:v>0.0</c:v>
                </c:pt>
                <c:pt idx="11">
                  <c:v>0.0</c:v>
                </c:pt>
                <c:pt idx="12">
                  <c:v>0.0</c:v>
                </c:pt>
                <c:pt idx="13">
                  <c:v>15.0</c:v>
                </c:pt>
                <c:pt idx="14">
                  <c:v>3.0</c:v>
                </c:pt>
                <c:pt idx="15">
                  <c:v>28.0</c:v>
                </c:pt>
                <c:pt idx="16">
                  <c:v>28.0</c:v>
                </c:pt>
              </c:numCache>
            </c:numRef>
          </c:val>
        </c:ser>
        <c:ser>
          <c:idx val="2"/>
          <c:order val="2"/>
          <c:tx>
            <c:strRef>
              <c:f>Blad1!$C$76</c:f>
              <c:strCache>
                <c:ptCount val="1"/>
                <c:pt idx="0">
                  <c:v>TTIP &amp; CETA*</c:v>
                </c:pt>
              </c:strCache>
            </c:strRef>
          </c:tx>
          <c:spPr>
            <a:pattFill prst="wdDnDiag">
              <a:fgClr>
                <a:schemeClr val="tx1"/>
              </a:fgClr>
              <a:bgClr>
                <a:srgbClr val="FF0000"/>
              </a:bgClr>
            </a:patt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Blad1!$D$76:$BB$76</c:f>
              <c:numCache>
                <c:formatCode>General</c:formatCode>
                <c:ptCount val="5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numCache>
            </c:numRef>
          </c:val>
        </c:ser>
        <c:ser>
          <c:idx val="3"/>
          <c:order val="3"/>
          <c:tx>
            <c:strRef>
              <c:f>Blad1!$C$77</c:f>
              <c:strCache>
                <c:ptCount val="1"/>
                <c:pt idx="0">
                  <c:v>Other</c:v>
                </c:pt>
              </c:strCache>
            </c:strRef>
          </c:tx>
          <c:spPr>
            <a:solidFill>
              <a:schemeClr val="bg1"/>
            </a:solidFill>
            <a:ln>
              <a:solidFill>
                <a:schemeClr val="tx1"/>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Blad1!$D$77:$BB$77</c:f>
              <c:numCache>
                <c:formatCode>General</c:formatCode>
                <c:ptCount val="51"/>
                <c:pt idx="0">
                  <c:v>0.0</c:v>
                </c:pt>
                <c:pt idx="1">
                  <c:v>1.0</c:v>
                </c:pt>
                <c:pt idx="2">
                  <c:v>0.0</c:v>
                </c:pt>
                <c:pt idx="3">
                  <c:v>1.0</c:v>
                </c:pt>
                <c:pt idx="4">
                  <c:v>5.0</c:v>
                </c:pt>
                <c:pt idx="5">
                  <c:v>1.0</c:v>
                </c:pt>
                <c:pt idx="6">
                  <c:v>0.0</c:v>
                </c:pt>
                <c:pt idx="7">
                  <c:v>0.0</c:v>
                </c:pt>
                <c:pt idx="8">
                  <c:v>3.0</c:v>
                </c:pt>
                <c:pt idx="9">
                  <c:v>2.0</c:v>
                </c:pt>
                <c:pt idx="10">
                  <c:v>14.0</c:v>
                </c:pt>
                <c:pt idx="11">
                  <c:v>3.0</c:v>
                </c:pt>
                <c:pt idx="12">
                  <c:v>5.0</c:v>
                </c:pt>
                <c:pt idx="13">
                  <c:v>5.0</c:v>
                </c:pt>
                <c:pt idx="14">
                  <c:v>3.0</c:v>
                </c:pt>
                <c:pt idx="15">
                  <c:v>8.0</c:v>
                </c:pt>
                <c:pt idx="16">
                  <c:v>20.0</c:v>
                </c:pt>
              </c:numCache>
            </c:numRef>
          </c:val>
        </c:ser>
        <c:ser>
          <c:idx val="4"/>
          <c:order val="4"/>
          <c:tx>
            <c:strRef>
              <c:f>Blad1!$C$79</c:f>
              <c:strCache>
                <c:ptCount val="1"/>
                <c:pt idx="0">
                  <c:v>CETA</c:v>
                </c:pt>
              </c:strCache>
            </c:strRef>
          </c:tx>
          <c:spPr>
            <a:solidFill>
              <a:srgbClr val="FF0000"/>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Blad1!$D$79:$BB$79</c:f>
              <c:numCache>
                <c:formatCode>General</c:formatCode>
                <c:ptCount val="51"/>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2.0</c:v>
                </c:pt>
                <c:pt idx="32">
                  <c:v>9.0</c:v>
                </c:pt>
                <c:pt idx="33">
                  <c:v>23.0</c:v>
                </c:pt>
              </c:numCache>
            </c:numRef>
          </c:val>
        </c:ser>
        <c:ser>
          <c:idx val="5"/>
          <c:order val="5"/>
          <c:tx>
            <c:strRef>
              <c:f>Blad1!$C$80</c:f>
              <c:strCache>
                <c:ptCount val="1"/>
                <c:pt idx="0">
                  <c:v>TTIP</c:v>
                </c:pt>
              </c:strCache>
            </c:strRef>
          </c:tx>
          <c:spPr>
            <a:solidFill>
              <a:schemeClr val="tx1"/>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Blad1!$D$80:$BB$80</c:f>
              <c:numCache>
                <c:formatCode>General</c:formatCode>
                <c:ptCount val="51"/>
                <c:pt idx="17">
                  <c:v>0.0</c:v>
                </c:pt>
                <c:pt idx="18">
                  <c:v>0.0</c:v>
                </c:pt>
                <c:pt idx="19">
                  <c:v>0.0</c:v>
                </c:pt>
                <c:pt idx="20">
                  <c:v>0.0</c:v>
                </c:pt>
                <c:pt idx="21">
                  <c:v>0.0</c:v>
                </c:pt>
                <c:pt idx="22">
                  <c:v>0.0</c:v>
                </c:pt>
                <c:pt idx="23">
                  <c:v>0.0</c:v>
                </c:pt>
                <c:pt idx="24">
                  <c:v>0.0</c:v>
                </c:pt>
                <c:pt idx="25">
                  <c:v>0.0</c:v>
                </c:pt>
                <c:pt idx="26">
                  <c:v>0.0</c:v>
                </c:pt>
                <c:pt idx="27">
                  <c:v>0.0</c:v>
                </c:pt>
                <c:pt idx="28">
                  <c:v>0.0</c:v>
                </c:pt>
                <c:pt idx="29">
                  <c:v>1.0</c:v>
                </c:pt>
                <c:pt idx="30">
                  <c:v>4.0</c:v>
                </c:pt>
                <c:pt idx="31">
                  <c:v>1.0</c:v>
                </c:pt>
                <c:pt idx="32">
                  <c:v>6.0</c:v>
                </c:pt>
                <c:pt idx="33">
                  <c:v>10.0</c:v>
                </c:pt>
              </c:numCache>
            </c:numRef>
          </c:val>
        </c:ser>
        <c:ser>
          <c:idx val="6"/>
          <c:order val="6"/>
          <c:tx>
            <c:strRef>
              <c:f>Blad1!$C$81</c:f>
              <c:strCache>
                <c:ptCount val="1"/>
                <c:pt idx="0">
                  <c:v>TTIP &amp; CETA*</c:v>
                </c:pt>
              </c:strCache>
            </c:strRef>
          </c:tx>
          <c:spPr>
            <a:pattFill prst="wdDnDiag">
              <a:fgClr>
                <a:schemeClr val="tx1"/>
              </a:fgClr>
              <a:bgClr>
                <a:srgbClr val="FF0000"/>
              </a:bgClr>
            </a:patt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Blad1!$D$81:$BB$81</c:f>
              <c:numCache>
                <c:formatCode>General</c:formatCode>
                <c:ptCount val="51"/>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0.0</c:v>
                </c:pt>
                <c:pt idx="32">
                  <c:v>1.0</c:v>
                </c:pt>
                <c:pt idx="33">
                  <c:v>9.0</c:v>
                </c:pt>
              </c:numCache>
            </c:numRef>
          </c:val>
        </c:ser>
        <c:ser>
          <c:idx val="7"/>
          <c:order val="7"/>
          <c:tx>
            <c:strRef>
              <c:f>Blad1!$C$82</c:f>
              <c:strCache>
                <c:ptCount val="1"/>
                <c:pt idx="0">
                  <c:v>Other</c:v>
                </c:pt>
              </c:strCache>
            </c:strRef>
          </c:tx>
          <c:spPr>
            <a:solidFill>
              <a:schemeClr val="bg1"/>
            </a:solidFill>
            <a:ln>
              <a:solidFill>
                <a:schemeClr val="tx1"/>
              </a:solidFill>
            </a:ln>
          </c:spPr>
          <c:invertIfNegative val="0"/>
          <c:dPt>
            <c:idx val="33"/>
            <c:invertIfNegative val="0"/>
            <c:bubble3D val="0"/>
          </c:dPt>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Blad1!$D$82:$BB$82</c:f>
              <c:numCache>
                <c:formatCode>General</c:formatCode>
                <c:ptCount val="51"/>
                <c:pt idx="17">
                  <c:v>0.0</c:v>
                </c:pt>
                <c:pt idx="18">
                  <c:v>0.0</c:v>
                </c:pt>
                <c:pt idx="19">
                  <c:v>0.0</c:v>
                </c:pt>
                <c:pt idx="20">
                  <c:v>0.0</c:v>
                </c:pt>
                <c:pt idx="21">
                  <c:v>0.0</c:v>
                </c:pt>
                <c:pt idx="22">
                  <c:v>0.0</c:v>
                </c:pt>
                <c:pt idx="23">
                  <c:v>0.0</c:v>
                </c:pt>
                <c:pt idx="24">
                  <c:v>2.0</c:v>
                </c:pt>
                <c:pt idx="25">
                  <c:v>0.0</c:v>
                </c:pt>
                <c:pt idx="26">
                  <c:v>0.0</c:v>
                </c:pt>
                <c:pt idx="27">
                  <c:v>0.0</c:v>
                </c:pt>
                <c:pt idx="28">
                  <c:v>0.0</c:v>
                </c:pt>
                <c:pt idx="29">
                  <c:v>2.0</c:v>
                </c:pt>
                <c:pt idx="30">
                  <c:v>0.0</c:v>
                </c:pt>
                <c:pt idx="31">
                  <c:v>2.0</c:v>
                </c:pt>
                <c:pt idx="32">
                  <c:v>2.0</c:v>
                </c:pt>
                <c:pt idx="33">
                  <c:v>10.0</c:v>
                </c:pt>
              </c:numCache>
            </c:numRef>
          </c:val>
        </c:ser>
        <c:ser>
          <c:idx val="8"/>
          <c:order val="8"/>
          <c:tx>
            <c:strRef>
              <c:f>Blad1!$C$84</c:f>
              <c:strCache>
                <c:ptCount val="1"/>
                <c:pt idx="0">
                  <c:v>CETA</c:v>
                </c:pt>
              </c:strCache>
            </c:strRef>
          </c:tx>
          <c:spPr>
            <a:solidFill>
              <a:srgbClr val="FF0000"/>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Blad1!$D$84:$BB$84</c:f>
              <c:numCache>
                <c:formatCode>General</c:formatCode>
                <c:ptCount val="51"/>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1.0</c:v>
                </c:pt>
                <c:pt idx="49">
                  <c:v>0.0</c:v>
                </c:pt>
                <c:pt idx="50">
                  <c:v>11.0</c:v>
                </c:pt>
              </c:numCache>
            </c:numRef>
          </c:val>
        </c:ser>
        <c:ser>
          <c:idx val="9"/>
          <c:order val="9"/>
          <c:tx>
            <c:strRef>
              <c:f>Blad1!$C$85</c:f>
              <c:strCache>
                <c:ptCount val="1"/>
                <c:pt idx="0">
                  <c:v>TTIP</c:v>
                </c:pt>
              </c:strCache>
            </c:strRef>
          </c:tx>
          <c:spPr>
            <a:solidFill>
              <a:schemeClr val="tx1"/>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Blad1!$D$85:$BB$85</c:f>
              <c:numCache>
                <c:formatCode>General</c:formatCode>
                <c:ptCount val="51"/>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3.0</c:v>
                </c:pt>
                <c:pt idx="48">
                  <c:v>1.0</c:v>
                </c:pt>
                <c:pt idx="49">
                  <c:v>6.0</c:v>
                </c:pt>
                <c:pt idx="50">
                  <c:v>9.0</c:v>
                </c:pt>
              </c:numCache>
            </c:numRef>
          </c:val>
        </c:ser>
        <c:ser>
          <c:idx val="10"/>
          <c:order val="10"/>
          <c:tx>
            <c:strRef>
              <c:f>Blad1!$C$86</c:f>
              <c:strCache>
                <c:ptCount val="1"/>
                <c:pt idx="0">
                  <c:v>Other</c:v>
                </c:pt>
              </c:strCache>
            </c:strRef>
          </c:tx>
          <c:spPr>
            <a:solidFill>
              <a:schemeClr val="bg1">
                <a:lumMod val="85000"/>
              </a:schemeClr>
            </a:solidFill>
            <a:ln>
              <a:solidFill>
                <a:sysClr val="windowText" lastClr="000000"/>
              </a:solidFill>
            </a:ln>
          </c:spPr>
          <c:invertIfNegative val="0"/>
          <c:cat>
            <c:numRef>
              <c:f>Blad1!$D$73:$BB$73</c:f>
              <c:numCache>
                <c:formatCode>General</c:formatCode>
                <c:ptCount val="51"/>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2000.0</c:v>
                </c:pt>
                <c:pt idx="18">
                  <c:v>2001.0</c:v>
                </c:pt>
                <c:pt idx="19">
                  <c:v>2002.0</c:v>
                </c:pt>
                <c:pt idx="20">
                  <c:v>2003.0</c:v>
                </c:pt>
                <c:pt idx="21">
                  <c:v>2004.0</c:v>
                </c:pt>
                <c:pt idx="22">
                  <c:v>2005.0</c:v>
                </c:pt>
                <c:pt idx="23">
                  <c:v>2006.0</c:v>
                </c:pt>
                <c:pt idx="24">
                  <c:v>2007.0</c:v>
                </c:pt>
                <c:pt idx="25">
                  <c:v>2008.0</c:v>
                </c:pt>
                <c:pt idx="26">
                  <c:v>2009.0</c:v>
                </c:pt>
                <c:pt idx="27">
                  <c:v>2010.0</c:v>
                </c:pt>
                <c:pt idx="28">
                  <c:v>2011.0</c:v>
                </c:pt>
                <c:pt idx="29">
                  <c:v>2012.0</c:v>
                </c:pt>
                <c:pt idx="30">
                  <c:v>2013.0</c:v>
                </c:pt>
                <c:pt idx="31">
                  <c:v>2014.0</c:v>
                </c:pt>
                <c:pt idx="32">
                  <c:v>2015.0</c:v>
                </c:pt>
                <c:pt idx="33">
                  <c:v>2016.0</c:v>
                </c:pt>
                <c:pt idx="34">
                  <c:v>2000.0</c:v>
                </c:pt>
                <c:pt idx="35">
                  <c:v>2001.0</c:v>
                </c:pt>
                <c:pt idx="36">
                  <c:v>2002.0</c:v>
                </c:pt>
                <c:pt idx="37">
                  <c:v>2003.0</c:v>
                </c:pt>
                <c:pt idx="38">
                  <c:v>2004.0</c:v>
                </c:pt>
                <c:pt idx="39">
                  <c:v>2005.0</c:v>
                </c:pt>
                <c:pt idx="40">
                  <c:v>2006.0</c:v>
                </c:pt>
                <c:pt idx="41">
                  <c:v>2007.0</c:v>
                </c:pt>
                <c:pt idx="42">
                  <c:v>2008.0</c:v>
                </c:pt>
                <c:pt idx="43">
                  <c:v>2009.0</c:v>
                </c:pt>
                <c:pt idx="44">
                  <c:v>2010.0</c:v>
                </c:pt>
                <c:pt idx="45">
                  <c:v>2011.0</c:v>
                </c:pt>
                <c:pt idx="46">
                  <c:v>2012.0</c:v>
                </c:pt>
                <c:pt idx="47">
                  <c:v>2013.0</c:v>
                </c:pt>
                <c:pt idx="48">
                  <c:v>2014.0</c:v>
                </c:pt>
                <c:pt idx="49">
                  <c:v>2015.0</c:v>
                </c:pt>
                <c:pt idx="50">
                  <c:v>2016.0</c:v>
                </c:pt>
              </c:numCache>
            </c:numRef>
          </c:cat>
          <c:val>
            <c:numRef>
              <c:f>Blad1!$D$86:$BB$86</c:f>
              <c:numCache>
                <c:formatCode>General</c:formatCode>
                <c:ptCount val="51"/>
                <c:pt idx="34">
                  <c:v>0.0</c:v>
                </c:pt>
                <c:pt idx="35">
                  <c:v>0.0</c:v>
                </c:pt>
                <c:pt idx="36">
                  <c:v>1.0</c:v>
                </c:pt>
                <c:pt idx="37">
                  <c:v>0.0</c:v>
                </c:pt>
                <c:pt idx="38">
                  <c:v>0.0</c:v>
                </c:pt>
                <c:pt idx="39">
                  <c:v>0.0</c:v>
                </c:pt>
                <c:pt idx="40">
                  <c:v>2.0</c:v>
                </c:pt>
                <c:pt idx="41">
                  <c:v>0.0</c:v>
                </c:pt>
                <c:pt idx="42">
                  <c:v>0.0</c:v>
                </c:pt>
                <c:pt idx="43">
                  <c:v>0.0</c:v>
                </c:pt>
                <c:pt idx="44">
                  <c:v>1.0</c:v>
                </c:pt>
                <c:pt idx="45">
                  <c:v>1.0</c:v>
                </c:pt>
                <c:pt idx="46">
                  <c:v>1.0</c:v>
                </c:pt>
                <c:pt idx="47">
                  <c:v>0.0</c:v>
                </c:pt>
                <c:pt idx="48">
                  <c:v>3.0</c:v>
                </c:pt>
                <c:pt idx="49">
                  <c:v>3.0</c:v>
                </c:pt>
                <c:pt idx="50">
                  <c:v>6.0</c:v>
                </c:pt>
              </c:numCache>
            </c:numRef>
          </c:val>
        </c:ser>
        <c:dLbls>
          <c:showLegendKey val="0"/>
          <c:showVal val="0"/>
          <c:showCatName val="0"/>
          <c:showSerName val="0"/>
          <c:showPercent val="0"/>
          <c:showBubbleSize val="0"/>
        </c:dLbls>
        <c:gapWidth val="150"/>
        <c:overlap val="100"/>
        <c:axId val="-2098178376"/>
        <c:axId val="-2078954568"/>
      </c:barChart>
      <c:lineChart>
        <c:grouping val="standard"/>
        <c:varyColors val="0"/>
        <c:ser>
          <c:idx val="11"/>
          <c:order val="11"/>
          <c:tx>
            <c:strRef>
              <c:f>Blad1!$B$90</c:f>
              <c:strCache>
                <c:ptCount val="1"/>
                <c:pt idx="0">
                  <c:v>AS</c:v>
                </c:pt>
              </c:strCache>
            </c:strRef>
          </c:tx>
          <c:marker>
            <c:symbol val="none"/>
          </c:marker>
          <c:cat>
            <c:strRef>
              <c:f>Blad1!$A$91:$A$93</c:f>
              <c:strCache>
                <c:ptCount val="3"/>
                <c:pt idx="0">
                  <c:v>Flanders</c:v>
                </c:pt>
                <c:pt idx="1">
                  <c:v>Wallonia</c:v>
                </c:pt>
                <c:pt idx="2">
                  <c:v>Federal</c:v>
                </c:pt>
              </c:strCache>
            </c:strRef>
          </c:cat>
          <c:val>
            <c:numRef>
              <c:f>Blad1!$B$91:$B$93</c:f>
              <c:numCache>
                <c:formatCode>General</c:formatCode>
                <c:ptCount val="3"/>
                <c:pt idx="0">
                  <c:v>50.0</c:v>
                </c:pt>
              </c:numCache>
            </c:numRef>
          </c:val>
          <c:smooth val="0"/>
        </c:ser>
        <c:dLbls>
          <c:showLegendKey val="0"/>
          <c:showVal val="0"/>
          <c:showCatName val="0"/>
          <c:showSerName val="0"/>
          <c:showPercent val="0"/>
          <c:showBubbleSize val="0"/>
        </c:dLbls>
        <c:marker val="1"/>
        <c:smooth val="0"/>
        <c:axId val="-2072230760"/>
        <c:axId val="-2097641320"/>
      </c:lineChart>
      <c:catAx>
        <c:axId val="-2098178376"/>
        <c:scaling>
          <c:orientation val="minMax"/>
        </c:scaling>
        <c:delete val="0"/>
        <c:axPos val="b"/>
        <c:title>
          <c:tx>
            <c:rich>
              <a:bodyPr/>
              <a:lstStyle/>
              <a:p>
                <a:pPr>
                  <a:defRPr sz="800" b="0" i="1">
                    <a:ln>
                      <a:noFill/>
                    </a:ln>
                  </a:defRPr>
                </a:pPr>
                <a:r>
                  <a:rPr lang="en-US" sz="800" b="0" i="1">
                    <a:ln>
                      <a:noFill/>
                    </a:ln>
                  </a:rPr>
                  <a:t>* Some</a:t>
                </a:r>
                <a:r>
                  <a:rPr lang="en-US" sz="800" b="0" i="1" baseline="0">
                    <a:ln>
                      <a:noFill/>
                    </a:ln>
                  </a:rPr>
                  <a:t> questions explicitly targeted both FTAs</a:t>
                </a:r>
                <a:endParaRPr lang="en-US" sz="800" b="0" i="1">
                  <a:ln>
                    <a:noFill/>
                  </a:ln>
                </a:endParaRPr>
              </a:p>
            </c:rich>
          </c:tx>
          <c:layout>
            <c:manualLayout>
              <c:xMode val="edge"/>
              <c:yMode val="edge"/>
              <c:x val="0.381885654074324"/>
              <c:y val="0.924934455308471"/>
            </c:manualLayout>
          </c:layout>
          <c:overlay val="0"/>
        </c:title>
        <c:numFmt formatCode="General" sourceLinked="1"/>
        <c:majorTickMark val="out"/>
        <c:minorTickMark val="none"/>
        <c:tickLblPos val="nextTo"/>
        <c:spPr>
          <a:ln w="12700">
            <a:solidFill>
              <a:schemeClr val="tx1"/>
            </a:solidFill>
          </a:ln>
        </c:spPr>
        <c:txPr>
          <a:bodyPr/>
          <a:lstStyle/>
          <a:p>
            <a:pPr>
              <a:defRPr sz="900"/>
            </a:pPr>
            <a:endParaRPr lang="nl-NL"/>
          </a:p>
        </c:txPr>
        <c:crossAx val="-2078954568"/>
        <c:crosses val="autoZero"/>
        <c:auto val="1"/>
        <c:lblAlgn val="ctr"/>
        <c:lblOffset val="100"/>
        <c:noMultiLvlLbl val="0"/>
      </c:catAx>
      <c:valAx>
        <c:axId val="-2078954568"/>
        <c:scaling>
          <c:orientation val="minMax"/>
        </c:scaling>
        <c:delete val="0"/>
        <c:axPos val="l"/>
        <c:majorGridlines/>
        <c:numFmt formatCode="General" sourceLinked="1"/>
        <c:majorTickMark val="out"/>
        <c:minorTickMark val="none"/>
        <c:tickLblPos val="nextTo"/>
        <c:crossAx val="-2098178376"/>
        <c:crosses val="autoZero"/>
        <c:crossBetween val="between"/>
      </c:valAx>
      <c:valAx>
        <c:axId val="-2097641320"/>
        <c:scaling>
          <c:orientation val="minMax"/>
        </c:scaling>
        <c:delete val="1"/>
        <c:axPos val="l"/>
        <c:numFmt formatCode="General" sourceLinked="1"/>
        <c:majorTickMark val="out"/>
        <c:minorTickMark val="none"/>
        <c:tickLblPos val="nextTo"/>
        <c:crossAx val="-2072230760"/>
        <c:crosses val="max"/>
        <c:crossBetween val="between"/>
      </c:valAx>
      <c:catAx>
        <c:axId val="-2072230760"/>
        <c:scaling>
          <c:orientation val="maxMin"/>
        </c:scaling>
        <c:delete val="0"/>
        <c:axPos val="t"/>
        <c:numFmt formatCode="General" sourceLinked="1"/>
        <c:majorTickMark val="out"/>
        <c:minorTickMark val="none"/>
        <c:tickLblPos val="nextTo"/>
        <c:txPr>
          <a:bodyPr/>
          <a:lstStyle/>
          <a:p>
            <a:pPr>
              <a:defRPr sz="1400" b="0"/>
            </a:pPr>
            <a:endParaRPr lang="nl-NL"/>
          </a:p>
        </c:txPr>
        <c:crossAx val="-2097641320"/>
        <c:crosses val="max"/>
        <c:auto val="1"/>
        <c:lblAlgn val="ctr"/>
        <c:lblOffset val="100"/>
        <c:noMultiLvlLbl val="0"/>
      </c:catAx>
    </c:plotArea>
    <c:legend>
      <c:legendPos val="b"/>
      <c:legendEntry>
        <c:idx val="11"/>
        <c:delete val="1"/>
      </c:legendEntry>
      <c:layout>
        <c:manualLayout>
          <c:xMode val="edge"/>
          <c:yMode val="edge"/>
          <c:x val="0.335913133727709"/>
          <c:y val="0.876759214186183"/>
          <c:w val="0.365623559631266"/>
          <c:h val="0.038032888286512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0.35327</cdr:x>
      <cdr:y>0.07643</cdr:y>
    </cdr:from>
    <cdr:to>
      <cdr:x>0.35327</cdr:x>
      <cdr:y>0.78987</cdr:y>
    </cdr:to>
    <cdr:cxnSp macro="">
      <cdr:nvCxnSpPr>
        <cdr:cNvPr id="3" name="Rechte verbindingslijn 2"/>
        <cdr:cNvCxnSpPr/>
      </cdr:nvCxnSpPr>
      <cdr:spPr>
        <a:xfrm xmlns:a="http://schemas.openxmlformats.org/drawingml/2006/main">
          <a:off x="2943157" y="353321"/>
          <a:ext cx="0" cy="329809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0.67476</cdr:x>
      <cdr:y>0.07849</cdr:y>
    </cdr:from>
    <cdr:to>
      <cdr:x>0.67476</cdr:x>
      <cdr:y>0.79193</cdr:y>
    </cdr:to>
    <cdr:cxnSp macro="">
      <cdr:nvCxnSpPr>
        <cdr:cNvPr id="6" name="Rechte verbindingslijn 5"/>
        <cdr:cNvCxnSpPr/>
      </cdr:nvCxnSpPr>
      <cdr:spPr>
        <a:xfrm xmlns:a="http://schemas.openxmlformats.org/drawingml/2006/main">
          <a:off x="5621530" y="362844"/>
          <a:ext cx="0" cy="329809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122ED4E-AC71-6D46-B17A-B79E2D87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11178</Words>
  <Characters>61480</Characters>
  <Application>Microsoft Macintosh Word</Application>
  <DocSecurity>0</DocSecurity>
  <Lines>512</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72513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 De Ville</dc:creator>
  <cp:lastModifiedBy>Ferdi De Ville</cp:lastModifiedBy>
  <cp:revision>6</cp:revision>
  <cp:lastPrinted>2017-04-29T20:22:00Z</cp:lastPrinted>
  <dcterms:created xsi:type="dcterms:W3CDTF">2017-04-27T10:45:00Z</dcterms:created>
  <dcterms:modified xsi:type="dcterms:W3CDTF">2017-04-29T20:22:00Z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63ccead5-27d2-3007-985d-ed8270b0a8a8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http://csl.mendeley.com/styles/18561431/EdgarElgar</vt:lpwstr>
  </property>
  <property fmtid="{D5CDD505-2E9C-101B-9397-08002B2CF9AE}" pid="10" name="Mendeley Recent Style Name 2_1">
    <vt:lpwstr>American Psychological Association 6th edition - Yelter Bollen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http://csl.mendeley.com/styles/18561431/apayb</vt:lpwstr>
  </property>
  <property fmtid="{D5CDD505-2E9C-101B-9397-08002B2CF9AE}" pid="16" name="Mendeley Recent Style Name 5_1">
    <vt:lpwstr>Edgard Publishing</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